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79BE" w14:textId="7F1702EF" w:rsidR="002E1E39" w:rsidRDefault="00EC3A0D" w:rsidP="0064474A">
      <w:pPr>
        <w:tabs>
          <w:tab w:val="left" w:pos="1695"/>
        </w:tabs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1DB2081" wp14:editId="4CCCA1F8">
            <wp:simplePos x="0" y="0"/>
            <wp:positionH relativeFrom="margin">
              <wp:posOffset>2479040</wp:posOffset>
            </wp:positionH>
            <wp:positionV relativeFrom="paragraph">
              <wp:posOffset>38100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D88149" w14:textId="0FD41DE5" w:rsidR="000D72DE" w:rsidRDefault="000D72DE" w:rsidP="0064474A">
      <w:pPr>
        <w:tabs>
          <w:tab w:val="left" w:pos="1695"/>
        </w:tabs>
        <w:spacing w:after="0"/>
        <w:jc w:val="center"/>
      </w:pPr>
    </w:p>
    <w:p w14:paraId="7C326B00" w14:textId="77777777" w:rsidR="00EC3A0D" w:rsidRDefault="00EC3A0D" w:rsidP="0064474A">
      <w:pPr>
        <w:spacing w:after="0"/>
        <w:jc w:val="center"/>
      </w:pPr>
    </w:p>
    <w:p w14:paraId="353FE9D8" w14:textId="77777777" w:rsidR="00EC3A0D" w:rsidRPr="00EC3A0D" w:rsidRDefault="00EC3A0D" w:rsidP="0064474A">
      <w:pPr>
        <w:spacing w:after="16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6FFACD45" w14:textId="34676B38" w:rsidR="00EC3A0D" w:rsidRPr="00EC3A0D" w:rsidRDefault="00EC3A0D" w:rsidP="0064474A">
      <w:pPr>
        <w:spacing w:after="16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7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30</w:t>
      </w:r>
    </w:p>
    <w:p w14:paraId="03A1CD0D" w14:textId="5AD0E74A" w:rsidR="00EC3A0D" w:rsidRPr="00EC3A0D" w:rsidRDefault="00EC3A0D" w:rsidP="0064474A">
      <w:pPr>
        <w:spacing w:after="16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EC3A0D">
        <w:rPr>
          <w:rFonts w:asciiTheme="minorHAnsi" w:eastAsiaTheme="minorHAnsi" w:hAnsiTheme="minorHAnsi" w:cstheme="minorHAnsi"/>
          <w:b/>
          <w:i/>
          <w:sz w:val="28"/>
          <w:szCs w:val="28"/>
        </w:rPr>
        <w:t xml:space="preserve">Ministerstvo </w:t>
      </w:r>
      <w:r w:rsidR="005F2754">
        <w:rPr>
          <w:rFonts w:asciiTheme="minorHAnsi" w:eastAsiaTheme="minorHAnsi" w:hAnsiTheme="minorHAnsi" w:cstheme="minorHAnsi"/>
          <w:b/>
          <w:i/>
          <w:sz w:val="28"/>
          <w:szCs w:val="28"/>
        </w:rPr>
        <w:t>obrany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7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, účetní závěrka Ministerstva 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obrany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 xml:space="preserve">7 </w:t>
      </w:r>
      <w:r w:rsidR="0064474A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a údaje předkládané M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inisterstvem 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 xml:space="preserve">obrany </w:t>
      </w:r>
      <w:r w:rsidR="0064474A">
        <w:rPr>
          <w:rFonts w:asciiTheme="minorHAnsi" w:eastAsiaTheme="minorHAnsi" w:hAnsiTheme="minorHAnsi" w:cstheme="minorHAnsi"/>
          <w:b/>
          <w:sz w:val="28"/>
          <w:szCs w:val="28"/>
        </w:rPr>
        <w:br/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pro hodnocení plnění státního rozpočtu za rok 201</w:t>
      </w:r>
      <w:r w:rsidR="005F2754">
        <w:rPr>
          <w:rFonts w:asciiTheme="minorHAnsi" w:eastAsiaTheme="minorHAnsi" w:hAnsiTheme="minorHAnsi" w:cstheme="minorHAnsi"/>
          <w:b/>
          <w:sz w:val="28"/>
          <w:szCs w:val="28"/>
        </w:rPr>
        <w:t>7</w:t>
      </w:r>
    </w:p>
    <w:p w14:paraId="71441E4C" w14:textId="7637CDE8" w:rsidR="00EC3A0D" w:rsidRPr="0064474A" w:rsidRDefault="00EC3A0D" w:rsidP="0064474A">
      <w:pPr>
        <w:spacing w:after="0"/>
        <w:jc w:val="both"/>
        <w:rPr>
          <w:rFonts w:asciiTheme="minorHAnsi" w:eastAsiaTheme="minorHAnsi" w:hAnsiTheme="minorHAnsi" w:cstheme="minorHAnsi"/>
          <w:szCs w:val="28"/>
        </w:rPr>
      </w:pPr>
    </w:p>
    <w:p w14:paraId="55E33816" w14:textId="77777777" w:rsidR="009A5856" w:rsidRPr="0064474A" w:rsidRDefault="009A5856" w:rsidP="0064474A">
      <w:pPr>
        <w:spacing w:after="0"/>
        <w:jc w:val="both"/>
        <w:rPr>
          <w:rFonts w:asciiTheme="minorHAnsi" w:eastAsiaTheme="minorHAnsi" w:hAnsiTheme="minorHAnsi" w:cstheme="minorHAnsi"/>
          <w:szCs w:val="28"/>
        </w:rPr>
      </w:pPr>
    </w:p>
    <w:p w14:paraId="5D4B3AC0" w14:textId="16CF3045" w:rsidR="00EC3A0D" w:rsidRDefault="00EC3A0D" w:rsidP="0064474A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Kontrolní akce byla zařazena do plánu kontrolní činnosti Nejvyššího kontrolního úřadu (dále </w:t>
      </w:r>
      <w:r w:rsidR="00EA44A3">
        <w:rPr>
          <w:rFonts w:asciiTheme="minorHAnsi" w:eastAsiaTheme="minorHAnsi" w:hAnsiTheme="minorHAnsi" w:cstheme="minorHAnsi"/>
        </w:rPr>
        <w:t>také</w:t>
      </w:r>
      <w:r w:rsidRPr="00EC3A0D">
        <w:rPr>
          <w:rFonts w:asciiTheme="minorHAnsi" w:eastAsiaTheme="minorHAnsi" w:hAnsiTheme="minorHAnsi" w:cstheme="minorHAnsi"/>
        </w:rPr>
        <w:t xml:space="preserve"> „NKÚ“) na rok 201</w:t>
      </w:r>
      <w:r w:rsidR="0043145D">
        <w:rPr>
          <w:rFonts w:asciiTheme="minorHAnsi" w:eastAsiaTheme="minorHAnsi" w:hAnsiTheme="minorHAnsi" w:cstheme="minorHAnsi"/>
        </w:rPr>
        <w:t>7</w:t>
      </w:r>
      <w:r w:rsidRPr="00EC3A0D">
        <w:rPr>
          <w:rFonts w:asciiTheme="minorHAnsi" w:eastAsiaTheme="minorHAnsi" w:hAnsiTheme="minorHAnsi" w:cstheme="minorHAnsi"/>
        </w:rPr>
        <w:t xml:space="preserve"> pod číslem </w:t>
      </w:r>
      <w:r w:rsidR="0043145D">
        <w:rPr>
          <w:rFonts w:asciiTheme="minorHAnsi" w:eastAsiaTheme="minorHAnsi" w:hAnsiTheme="minorHAnsi" w:cstheme="minorHAnsi"/>
        </w:rPr>
        <w:t>17</w:t>
      </w:r>
      <w:r w:rsidRPr="00EC3A0D">
        <w:rPr>
          <w:rFonts w:asciiTheme="minorHAnsi" w:eastAsiaTheme="minorHAnsi" w:hAnsiTheme="minorHAnsi" w:cstheme="minorHAnsi"/>
        </w:rPr>
        <w:t>/</w:t>
      </w:r>
      <w:r w:rsidR="005F2754">
        <w:rPr>
          <w:rFonts w:asciiTheme="minorHAnsi" w:eastAsiaTheme="minorHAnsi" w:hAnsiTheme="minorHAnsi" w:cstheme="minorHAnsi"/>
        </w:rPr>
        <w:t>30</w:t>
      </w:r>
      <w:r w:rsidRPr="00EC3A0D">
        <w:rPr>
          <w:rFonts w:asciiTheme="minorHAnsi" w:eastAsiaTheme="minorHAnsi" w:hAnsiTheme="minorHAnsi" w:cstheme="minorHAnsi"/>
        </w:rPr>
        <w:t xml:space="preserve">. </w:t>
      </w:r>
      <w:r w:rsidR="005F2754">
        <w:rPr>
          <w:rFonts w:asciiTheme="minorHAnsi" w:eastAsiaTheme="minorHAnsi" w:hAnsiTheme="minorHAnsi" w:cstheme="minorHAnsi"/>
        </w:rPr>
        <w:t>Kontrolní akci řídil</w:t>
      </w:r>
      <w:r w:rsidRPr="00EC3A0D">
        <w:rPr>
          <w:rFonts w:asciiTheme="minorHAnsi" w:eastAsiaTheme="minorHAnsi" w:hAnsiTheme="minorHAnsi" w:cstheme="minorHAnsi"/>
        </w:rPr>
        <w:t xml:space="preserve"> a kontrolní závěr vypracoval člen</w:t>
      </w:r>
      <w:r w:rsidR="005F2754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</w:rPr>
        <w:t>NKÚ Ing. Ja</w:t>
      </w:r>
      <w:r w:rsidR="005F2754">
        <w:rPr>
          <w:rFonts w:asciiTheme="minorHAnsi" w:eastAsiaTheme="minorHAnsi" w:hAnsiTheme="minorHAnsi" w:cstheme="minorHAnsi"/>
        </w:rPr>
        <w:t>n Vedral</w:t>
      </w:r>
      <w:r w:rsidRPr="00EC3A0D">
        <w:rPr>
          <w:rFonts w:asciiTheme="minorHAnsi" w:eastAsiaTheme="minorHAnsi" w:hAnsiTheme="minorHAnsi" w:cstheme="minorHAnsi"/>
        </w:rPr>
        <w:t>.</w:t>
      </w:r>
    </w:p>
    <w:p w14:paraId="257B9119" w14:textId="77777777" w:rsidR="0064474A" w:rsidRPr="00EC3A0D" w:rsidRDefault="0064474A" w:rsidP="0064474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A19BC61" w14:textId="5BF45416" w:rsidR="00EC3A0D" w:rsidRDefault="00EC3A0D" w:rsidP="0064474A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EC3A0D">
        <w:rPr>
          <w:rFonts w:asciiTheme="minorHAnsi" w:eastAsiaTheme="minorHAnsi" w:hAnsiTheme="minorHAnsi" w:cstheme="minorHAnsi"/>
        </w:rPr>
        <w:t xml:space="preserve">Cílem kontroly bylo prověřit, </w:t>
      </w:r>
      <w:r w:rsidRPr="00EC3A0D">
        <w:rPr>
          <w:rFonts w:asciiTheme="minorHAnsi" w:eastAsiaTheme="minorHAnsi" w:hAnsiTheme="minorHAnsi" w:cstheme="minorHAnsi"/>
          <w:bCs/>
        </w:rPr>
        <w:t xml:space="preserve">zda Ministerstvo </w:t>
      </w:r>
      <w:r w:rsidR="005F2754">
        <w:rPr>
          <w:rFonts w:asciiTheme="minorHAnsi" w:eastAsiaTheme="minorHAnsi" w:hAnsiTheme="minorHAnsi" w:cstheme="minorHAnsi"/>
          <w:bCs/>
        </w:rPr>
        <w:t>obrany</w:t>
      </w:r>
      <w:r w:rsidRPr="00EC3A0D">
        <w:rPr>
          <w:rFonts w:asciiTheme="minorHAnsi" w:eastAsiaTheme="minorHAnsi" w:hAnsiTheme="minorHAnsi" w:cstheme="minorHAnsi"/>
          <w:bCs/>
        </w:rPr>
        <w:t xml:space="preserve"> při sestavení závěrečného účtu a</w:t>
      </w:r>
      <w:r w:rsidR="008D7FE9">
        <w:rPr>
          <w:rFonts w:asciiTheme="minorHAnsi" w:eastAsiaTheme="minorHAnsi" w:hAnsiTheme="minorHAnsi" w:cstheme="minorHAnsi"/>
          <w:bCs/>
        </w:rPr>
        <w:t xml:space="preserve"> </w:t>
      </w:r>
      <w:r w:rsidRPr="00EC3A0D">
        <w:rPr>
          <w:rFonts w:asciiTheme="minorHAnsi" w:eastAsiaTheme="minorHAnsi" w:hAnsiTheme="minorHAnsi" w:cstheme="minorHAnsi"/>
          <w:bCs/>
        </w:rPr>
        <w:t xml:space="preserve">při vedení účetnictví a sestavení účetní závěrky a předkládání údajů pro hodnocení </w:t>
      </w:r>
      <w:r w:rsidRPr="000D72DE">
        <w:rPr>
          <w:rFonts w:asciiTheme="minorHAnsi" w:eastAsiaTheme="minorHAnsi" w:hAnsiTheme="minorHAnsi" w:cstheme="minorHAnsi"/>
          <w:bCs/>
        </w:rPr>
        <w:t>plnění státního rozpočtu za rok 201</w:t>
      </w:r>
      <w:r w:rsidR="005F2754">
        <w:rPr>
          <w:rFonts w:asciiTheme="minorHAnsi" w:eastAsiaTheme="minorHAnsi" w:hAnsiTheme="minorHAnsi" w:cstheme="minorHAnsi"/>
          <w:bCs/>
        </w:rPr>
        <w:t>7</w:t>
      </w:r>
      <w:r w:rsidRPr="000D72DE">
        <w:rPr>
          <w:rFonts w:asciiTheme="minorHAnsi" w:eastAsiaTheme="minorHAnsi" w:hAnsiTheme="minorHAnsi" w:cstheme="minorHAnsi"/>
          <w:bCs/>
        </w:rPr>
        <w:t xml:space="preserve"> postupovalo v souladu s příslušnými právními předpisy.</w:t>
      </w:r>
    </w:p>
    <w:p w14:paraId="474AC6AE" w14:textId="77777777" w:rsidR="0064474A" w:rsidRPr="000D72DE" w:rsidRDefault="0064474A" w:rsidP="0064474A">
      <w:pPr>
        <w:spacing w:after="0"/>
        <w:jc w:val="both"/>
        <w:rPr>
          <w:rFonts w:asciiTheme="minorHAnsi" w:eastAsiaTheme="minorHAnsi" w:hAnsiTheme="minorHAnsi" w:cstheme="minorHAnsi"/>
          <w:bCs/>
        </w:rPr>
      </w:pPr>
    </w:p>
    <w:p w14:paraId="385CACE8" w14:textId="77777777" w:rsidR="00EC3A0D" w:rsidRPr="00EC3A0D" w:rsidRDefault="00EC3A0D" w:rsidP="0064474A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</w:rPr>
        <w:t>Kontrolovaná osoba:</w:t>
      </w:r>
    </w:p>
    <w:p w14:paraId="566207B0" w14:textId="08136366" w:rsidR="00EC3A0D" w:rsidRDefault="00EC3A0D" w:rsidP="0064474A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Ministerstvo </w:t>
      </w:r>
      <w:r w:rsidR="005F2754">
        <w:rPr>
          <w:rFonts w:asciiTheme="minorHAnsi" w:eastAsiaTheme="minorHAnsi" w:hAnsiTheme="minorHAnsi" w:cstheme="minorHAnsi"/>
        </w:rPr>
        <w:t>obrany</w:t>
      </w:r>
      <w:r w:rsidRPr="00EC3A0D">
        <w:rPr>
          <w:rFonts w:asciiTheme="minorHAnsi" w:eastAsiaTheme="minorHAnsi" w:hAnsiTheme="minorHAnsi" w:cstheme="minorHAnsi"/>
        </w:rPr>
        <w:t xml:space="preserve"> (dále také „M</w:t>
      </w:r>
      <w:r w:rsidR="005F2754">
        <w:rPr>
          <w:rFonts w:asciiTheme="minorHAnsi" w:eastAsiaTheme="minorHAnsi" w:hAnsiTheme="minorHAnsi" w:cstheme="minorHAnsi"/>
        </w:rPr>
        <w:t>O</w:t>
      </w:r>
      <w:r w:rsidRPr="00EC3A0D">
        <w:rPr>
          <w:rFonts w:asciiTheme="minorHAnsi" w:eastAsiaTheme="minorHAnsi" w:hAnsiTheme="minorHAnsi" w:cstheme="minorHAnsi"/>
        </w:rPr>
        <w:t>“).</w:t>
      </w:r>
    </w:p>
    <w:p w14:paraId="6AD8FB19" w14:textId="77777777" w:rsidR="0064474A" w:rsidRPr="00EC3A0D" w:rsidRDefault="0064474A" w:rsidP="0064474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9CDC8C0" w14:textId="3757D34E" w:rsidR="00EC3A0D" w:rsidRDefault="00EC3A0D" w:rsidP="0064474A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>Kontrolováno bylo období roku 201</w:t>
      </w:r>
      <w:r w:rsidR="005F2754">
        <w:rPr>
          <w:rFonts w:asciiTheme="minorHAnsi" w:eastAsiaTheme="minorHAnsi" w:hAnsiTheme="minorHAnsi" w:cstheme="minorHAnsi"/>
        </w:rPr>
        <w:t>7</w:t>
      </w:r>
      <w:r w:rsidR="00493351">
        <w:rPr>
          <w:rFonts w:asciiTheme="minorHAnsi" w:eastAsiaTheme="minorHAnsi" w:hAnsiTheme="minorHAnsi" w:cstheme="minorHAnsi"/>
        </w:rPr>
        <w:t>, případně</w:t>
      </w:r>
      <w:r w:rsidRPr="00EC3A0D">
        <w:rPr>
          <w:rFonts w:asciiTheme="minorHAnsi" w:eastAsiaTheme="minorHAnsi" w:hAnsiTheme="minorHAnsi" w:cstheme="minorHAnsi"/>
        </w:rPr>
        <w:t xml:space="preserve"> související skutečnost</w:t>
      </w:r>
      <w:r w:rsidR="00493351">
        <w:rPr>
          <w:rFonts w:asciiTheme="minorHAnsi" w:eastAsiaTheme="minorHAnsi" w:hAnsiTheme="minorHAnsi" w:cstheme="minorHAnsi"/>
        </w:rPr>
        <w:t>i</w:t>
      </w:r>
      <w:r w:rsidRPr="00EC3A0D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EC3A0D">
        <w:rPr>
          <w:rFonts w:asciiTheme="minorHAnsi" w:eastAsiaTheme="minorHAnsi" w:hAnsiTheme="minorHAnsi" w:cstheme="minorHAnsi"/>
        </w:rPr>
        <w:t>.</w:t>
      </w:r>
    </w:p>
    <w:p w14:paraId="3F52269C" w14:textId="77777777" w:rsidR="0064474A" w:rsidRPr="00EC3A0D" w:rsidRDefault="0064474A" w:rsidP="0064474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69B311D" w14:textId="3705A86B" w:rsidR="00EC3A0D" w:rsidRDefault="00EC3A0D" w:rsidP="0064474A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Kontrola byla prováděna u kontrolované osoby v době od </w:t>
      </w:r>
      <w:r w:rsidR="005F2754">
        <w:rPr>
          <w:rFonts w:asciiTheme="minorHAnsi" w:eastAsiaTheme="minorHAnsi" w:hAnsiTheme="minorHAnsi" w:cstheme="minorHAnsi"/>
        </w:rPr>
        <w:t>října 2017</w:t>
      </w:r>
      <w:r w:rsidRPr="00EC3A0D">
        <w:rPr>
          <w:rFonts w:asciiTheme="minorHAnsi" w:eastAsiaTheme="minorHAnsi" w:hAnsiTheme="minorHAnsi" w:cstheme="minorHAnsi"/>
        </w:rPr>
        <w:t xml:space="preserve"> do </w:t>
      </w:r>
      <w:r w:rsidR="005F2754">
        <w:rPr>
          <w:rFonts w:asciiTheme="minorHAnsi" w:eastAsiaTheme="minorHAnsi" w:hAnsiTheme="minorHAnsi" w:cstheme="minorHAnsi"/>
        </w:rPr>
        <w:t>dubna 2018</w:t>
      </w:r>
      <w:r w:rsidRPr="00EC3A0D">
        <w:rPr>
          <w:rFonts w:asciiTheme="minorHAnsi" w:eastAsiaTheme="minorHAnsi" w:hAnsiTheme="minorHAnsi" w:cstheme="minorHAnsi"/>
        </w:rPr>
        <w:t>.</w:t>
      </w:r>
    </w:p>
    <w:p w14:paraId="6F1AE071" w14:textId="77777777" w:rsidR="0064474A" w:rsidRPr="00EC3A0D" w:rsidRDefault="0064474A" w:rsidP="0064474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3A22912" w14:textId="0554A81E" w:rsidR="005F2754" w:rsidRPr="00391416" w:rsidRDefault="005F2754" w:rsidP="0064474A">
      <w:pPr>
        <w:spacing w:after="0"/>
        <w:jc w:val="both"/>
        <w:rPr>
          <w:rFonts w:asciiTheme="minorHAnsi" w:hAnsiTheme="minorHAnsi" w:cstheme="minorHAnsi"/>
        </w:rPr>
      </w:pPr>
      <w:r w:rsidRPr="00391416">
        <w:rPr>
          <w:rFonts w:asciiTheme="minorHAnsi" w:hAnsiTheme="minorHAnsi" w:cstheme="minorHAnsi"/>
        </w:rPr>
        <w:t>Námitky proti kontrolnímu protokolu</w:t>
      </w:r>
      <w:r>
        <w:rPr>
          <w:rFonts w:asciiTheme="minorHAnsi" w:hAnsiTheme="minorHAnsi" w:cstheme="minorHAnsi"/>
        </w:rPr>
        <w:t xml:space="preserve"> </w:t>
      </w:r>
      <w:r w:rsidRPr="00391416">
        <w:rPr>
          <w:rFonts w:asciiTheme="minorHAnsi" w:hAnsiTheme="minorHAnsi" w:cstheme="minorHAnsi"/>
        </w:rPr>
        <w:t xml:space="preserve">Ministerstvo </w:t>
      </w:r>
      <w:r>
        <w:rPr>
          <w:rFonts w:asciiTheme="minorHAnsi" w:hAnsiTheme="minorHAnsi" w:cstheme="minorHAnsi"/>
        </w:rPr>
        <w:t>obrany</w:t>
      </w:r>
      <w:r w:rsidRPr="00391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nepodalo.</w:t>
      </w:r>
    </w:p>
    <w:p w14:paraId="7BBF263B" w14:textId="2BD56479" w:rsidR="00EC3A0D" w:rsidRDefault="00EC3A0D" w:rsidP="0064474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47C532B" w14:textId="77777777" w:rsidR="0064474A" w:rsidRPr="00EC3A0D" w:rsidRDefault="0064474A" w:rsidP="0064474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F2A9CCB" w14:textId="34FED245" w:rsidR="00EC3A0D" w:rsidRPr="00D90A66" w:rsidRDefault="00EC3A0D" w:rsidP="0064474A">
      <w:pPr>
        <w:spacing w:after="16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EC3A0D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EC3A0D">
        <w:rPr>
          <w:rFonts w:asciiTheme="minorHAnsi" w:eastAsiaTheme="minorHAnsi" w:hAnsiTheme="minorHAnsi" w:cstheme="minorHAnsi"/>
        </w:rPr>
        <w:t xml:space="preserve">   na svém </w:t>
      </w:r>
      <w:r w:rsidR="00773086">
        <w:rPr>
          <w:rFonts w:asciiTheme="minorHAnsi" w:eastAsiaTheme="minorHAnsi" w:hAnsiTheme="minorHAnsi" w:cstheme="minorHAnsi"/>
        </w:rPr>
        <w:t>VIII.</w:t>
      </w:r>
      <w:r w:rsidRPr="00D90A66">
        <w:rPr>
          <w:rFonts w:asciiTheme="minorHAnsi" w:eastAsiaTheme="minorHAnsi" w:hAnsiTheme="minorHAnsi" w:cstheme="minorHAnsi"/>
        </w:rPr>
        <w:t xml:space="preserve"> jednání, které se konalo </w:t>
      </w:r>
      <w:r w:rsidRPr="0069206B">
        <w:rPr>
          <w:rFonts w:asciiTheme="minorHAnsi" w:eastAsiaTheme="minorHAnsi" w:hAnsiTheme="minorHAnsi" w:cstheme="minorHAnsi"/>
        </w:rPr>
        <w:t>dne</w:t>
      </w:r>
      <w:r w:rsidR="00243613" w:rsidRPr="0069206B">
        <w:rPr>
          <w:rFonts w:asciiTheme="minorHAnsi" w:eastAsiaTheme="minorHAnsi" w:hAnsiTheme="minorHAnsi" w:cstheme="minorHAnsi"/>
        </w:rPr>
        <w:t xml:space="preserve"> </w:t>
      </w:r>
      <w:r w:rsidR="00773086">
        <w:rPr>
          <w:rFonts w:asciiTheme="minorHAnsi" w:eastAsiaTheme="minorHAnsi" w:hAnsiTheme="minorHAnsi" w:cstheme="minorHAnsi"/>
        </w:rPr>
        <w:t xml:space="preserve">25. června </w:t>
      </w:r>
      <w:r w:rsidRPr="0069206B">
        <w:rPr>
          <w:rFonts w:asciiTheme="minorHAnsi" w:eastAsiaTheme="minorHAnsi" w:hAnsiTheme="minorHAnsi" w:cstheme="minorHAnsi"/>
        </w:rPr>
        <w:t>201</w:t>
      </w:r>
      <w:r w:rsidR="00243613" w:rsidRPr="0069206B">
        <w:rPr>
          <w:rFonts w:asciiTheme="minorHAnsi" w:eastAsiaTheme="minorHAnsi" w:hAnsiTheme="minorHAnsi" w:cstheme="minorHAnsi"/>
        </w:rPr>
        <w:t>8</w:t>
      </w:r>
      <w:r w:rsidRPr="0069206B">
        <w:rPr>
          <w:rFonts w:asciiTheme="minorHAnsi" w:eastAsiaTheme="minorHAnsi" w:hAnsiTheme="minorHAnsi" w:cstheme="minorHAnsi"/>
        </w:rPr>
        <w:t>,</w:t>
      </w:r>
    </w:p>
    <w:p w14:paraId="50CDFF39" w14:textId="2AAB9027" w:rsidR="00EC3A0D" w:rsidRPr="00D90A66" w:rsidRDefault="00EC3A0D" w:rsidP="0064474A">
      <w:pPr>
        <w:spacing w:after="160"/>
        <w:jc w:val="both"/>
        <w:rPr>
          <w:rFonts w:asciiTheme="minorHAnsi" w:eastAsiaTheme="minorHAnsi" w:hAnsiTheme="minorHAnsi" w:cstheme="minorHAnsi"/>
        </w:rPr>
      </w:pPr>
      <w:r w:rsidRPr="00D90A66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164D18">
        <w:rPr>
          <w:rFonts w:asciiTheme="minorHAnsi" w:eastAsiaTheme="minorHAnsi" w:hAnsiTheme="minorHAnsi" w:cstheme="minorHAnsi"/>
        </w:rPr>
        <w:t xml:space="preserve">   </w:t>
      </w:r>
      <w:r w:rsidRPr="0069206B">
        <w:rPr>
          <w:rFonts w:asciiTheme="minorHAnsi" w:eastAsiaTheme="minorHAnsi" w:hAnsiTheme="minorHAnsi" w:cstheme="minorHAnsi"/>
        </w:rPr>
        <w:t>usnesením č</w:t>
      </w:r>
      <w:r w:rsidRPr="00773086">
        <w:rPr>
          <w:rFonts w:asciiTheme="minorHAnsi" w:eastAsiaTheme="minorHAnsi" w:hAnsiTheme="minorHAnsi" w:cstheme="minorHAnsi"/>
        </w:rPr>
        <w:t xml:space="preserve">. </w:t>
      </w:r>
      <w:r w:rsidR="009A5856">
        <w:rPr>
          <w:rFonts w:asciiTheme="minorHAnsi" w:eastAsiaTheme="minorHAnsi" w:hAnsiTheme="minorHAnsi" w:cstheme="minorHAnsi"/>
        </w:rPr>
        <w:t>11</w:t>
      </w:r>
      <w:r w:rsidR="00773086">
        <w:rPr>
          <w:rFonts w:asciiTheme="minorHAnsi" w:eastAsiaTheme="minorHAnsi" w:hAnsiTheme="minorHAnsi" w:cstheme="minorHAnsi"/>
        </w:rPr>
        <w:t>/VIII/</w:t>
      </w:r>
      <w:r w:rsidRPr="00773086">
        <w:rPr>
          <w:rFonts w:asciiTheme="minorHAnsi" w:eastAsiaTheme="minorHAnsi" w:hAnsiTheme="minorHAnsi" w:cstheme="minorHAnsi"/>
        </w:rPr>
        <w:t>/201</w:t>
      </w:r>
      <w:r w:rsidR="00243613" w:rsidRPr="00773086">
        <w:rPr>
          <w:rFonts w:asciiTheme="minorHAnsi" w:eastAsiaTheme="minorHAnsi" w:hAnsiTheme="minorHAnsi" w:cstheme="minorHAnsi"/>
        </w:rPr>
        <w:t>8</w:t>
      </w:r>
    </w:p>
    <w:p w14:paraId="09C501B5" w14:textId="77777777" w:rsidR="00EC3A0D" w:rsidRDefault="00EC3A0D" w:rsidP="0064474A">
      <w:pPr>
        <w:spacing w:after="160"/>
        <w:jc w:val="both"/>
        <w:rPr>
          <w:rFonts w:asciiTheme="minorHAnsi" w:eastAsiaTheme="minorHAnsi" w:hAnsiTheme="minorHAnsi" w:cstheme="minorHAnsi"/>
        </w:rPr>
      </w:pPr>
      <w:r w:rsidRPr="0018212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18212D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18212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F2295D">
        <w:rPr>
          <w:rFonts w:asciiTheme="minorHAnsi" w:eastAsiaTheme="minorHAnsi" w:hAnsiTheme="minorHAnsi" w:cstheme="minorHAnsi"/>
        </w:rPr>
        <w:t xml:space="preserve">   v tomto znění:</w:t>
      </w:r>
    </w:p>
    <w:p w14:paraId="32B72D37" w14:textId="5EA0E890" w:rsidR="002A5276" w:rsidRDefault="002A5276" w:rsidP="0064474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B5CA192" w14:textId="77777777" w:rsidR="0064474A" w:rsidRDefault="0064474A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p w14:paraId="66289C40" w14:textId="4D29D8DF" w:rsidR="0033466E" w:rsidRDefault="0033466E" w:rsidP="004B194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33466E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Klí</w:t>
      </w:r>
      <w:r w:rsidR="005C4963">
        <w:rPr>
          <w:rFonts w:asciiTheme="minorHAnsi" w:eastAsiaTheme="minorHAnsi" w:hAnsiTheme="minorHAnsi" w:cstheme="minorHAnsi"/>
          <w:b/>
          <w:sz w:val="28"/>
          <w:szCs w:val="28"/>
        </w:rPr>
        <w:t>č</w:t>
      </w:r>
      <w:r w:rsidRPr="0033466E">
        <w:rPr>
          <w:rFonts w:asciiTheme="minorHAnsi" w:eastAsiaTheme="minorHAnsi" w:hAnsiTheme="minorHAnsi" w:cstheme="minorHAnsi"/>
          <w:b/>
          <w:sz w:val="28"/>
          <w:szCs w:val="28"/>
        </w:rPr>
        <w:t>ová fakta</w:t>
      </w:r>
    </w:p>
    <w:p w14:paraId="7D7C050A" w14:textId="77777777" w:rsidR="004B1946" w:rsidRPr="004B1946" w:rsidRDefault="004B1946" w:rsidP="004B1946">
      <w:pPr>
        <w:spacing w:after="0"/>
      </w:pPr>
    </w:p>
    <w:p w14:paraId="19DA5509" w14:textId="77777777" w:rsidR="004B1946" w:rsidRPr="004B1946" w:rsidRDefault="004B1946" w:rsidP="004B1946">
      <w:pPr>
        <w:spacing w:after="0"/>
      </w:pPr>
    </w:p>
    <w:p w14:paraId="2B287570" w14:textId="17A283EA" w:rsidR="0033466E" w:rsidRDefault="00B406C8" w:rsidP="00DA24CE">
      <w:pPr>
        <w:spacing w:after="0"/>
        <w:rPr>
          <w:b/>
        </w:rPr>
      </w:pPr>
      <w:r w:rsidRPr="00DA24CE">
        <w:rPr>
          <w:b/>
        </w:rPr>
        <w:t>Účetní závěrka MO k 31. prosinci 2017</w:t>
      </w:r>
    </w:p>
    <w:p w14:paraId="50AB5471" w14:textId="77777777" w:rsidR="00DA24CE" w:rsidRPr="00DA24CE" w:rsidRDefault="00DA24CE" w:rsidP="00DA24CE">
      <w:pPr>
        <w:spacing w:after="0"/>
        <w:rPr>
          <w:sz w:val="22"/>
        </w:rPr>
      </w:pPr>
    </w:p>
    <w:tbl>
      <w:tblPr>
        <w:tblStyle w:val="Mkatabulky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6086"/>
      </w:tblGrid>
      <w:tr w:rsidR="00FC18AF" w14:paraId="59AC97B2" w14:textId="77777777" w:rsidTr="004B1946">
        <w:trPr>
          <w:trHeight w:val="964"/>
        </w:trPr>
        <w:tc>
          <w:tcPr>
            <w:tcW w:w="2971" w:type="dxa"/>
            <w:vAlign w:val="center"/>
          </w:tcPr>
          <w:p w14:paraId="2B85BD1B" w14:textId="695DD79E" w:rsidR="00FC18AF" w:rsidRDefault="00FC18AF" w:rsidP="004B1946">
            <w:pPr>
              <w:spacing w:after="160"/>
            </w:pPr>
            <w:r w:rsidRPr="00EF3204">
              <w:rPr>
                <w:b/>
              </w:rPr>
              <w:t>Spolehlivost údajů účetní závěrky sestavené k 31.</w:t>
            </w:r>
            <w:r w:rsidR="0064474A">
              <w:rPr>
                <w:b/>
              </w:rPr>
              <w:t> </w:t>
            </w:r>
            <w:r w:rsidRPr="00EF3204">
              <w:rPr>
                <w:b/>
              </w:rPr>
              <w:t>prosinci 2017</w:t>
            </w:r>
          </w:p>
        </w:tc>
        <w:tc>
          <w:tcPr>
            <w:tcW w:w="6086" w:type="dxa"/>
            <w:vAlign w:val="center"/>
          </w:tcPr>
          <w:p w14:paraId="44B47300" w14:textId="77777777" w:rsidR="00FC18AF" w:rsidRPr="00555A33" w:rsidRDefault="00FC18AF" w:rsidP="004B1946">
            <w:pPr>
              <w:spacing w:after="160"/>
              <w:jc w:val="both"/>
            </w:pPr>
            <w:r w:rsidRPr="00555A33">
              <w:rPr>
                <w:rFonts w:cs="Arial"/>
              </w:rPr>
              <w:t>Podle názoru Nejvyššího kontrolního úřadu účetní závěrka MO sestavená k 31. prosinci 2017 podává věrný a poctivý obraz předmětu účetnictví a finanční situace účetní jednotky dle účetních předpisů pro některé vybrané účetní jednotky.</w:t>
            </w:r>
          </w:p>
        </w:tc>
      </w:tr>
    </w:tbl>
    <w:p w14:paraId="403385BD" w14:textId="77777777" w:rsidR="004B1946" w:rsidRPr="004B1946" w:rsidRDefault="004B1946" w:rsidP="004B1946">
      <w:pPr>
        <w:spacing w:after="0"/>
      </w:pPr>
    </w:p>
    <w:p w14:paraId="139E8A17" w14:textId="77777777" w:rsidR="004B1946" w:rsidRPr="004B1946" w:rsidRDefault="004B1946" w:rsidP="004B1946">
      <w:pPr>
        <w:spacing w:after="0"/>
      </w:pPr>
    </w:p>
    <w:tbl>
      <w:tblPr>
        <w:tblStyle w:val="Mkatabulky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608"/>
        <w:gridCol w:w="3402"/>
      </w:tblGrid>
      <w:tr w:rsidR="0033466E" w:rsidRPr="00716417" w14:paraId="7949E6C8" w14:textId="77777777" w:rsidTr="004B1946">
        <w:trPr>
          <w:trHeight w:val="680"/>
          <w:jc w:val="center"/>
        </w:trPr>
        <w:tc>
          <w:tcPr>
            <w:tcW w:w="3061" w:type="dxa"/>
            <w:shd w:val="clear" w:color="auto" w:fill="DEEAF6" w:themeFill="accent1" w:themeFillTint="33"/>
            <w:vAlign w:val="center"/>
          </w:tcPr>
          <w:p w14:paraId="4A2E0C73" w14:textId="77777777" w:rsidR="0033466E" w:rsidRPr="0064474A" w:rsidRDefault="0033466E" w:rsidP="00DA24CE">
            <w:pPr>
              <w:spacing w:after="0"/>
              <w:jc w:val="center"/>
              <w:rPr>
                <w:b/>
                <w:sz w:val="28"/>
                <w:szCs w:val="40"/>
              </w:rPr>
            </w:pPr>
            <w:r w:rsidRPr="0064474A">
              <w:rPr>
                <w:b/>
                <w:sz w:val="28"/>
                <w:szCs w:val="40"/>
              </w:rPr>
              <w:t>405 mil. Kč</w:t>
            </w:r>
          </w:p>
        </w:tc>
        <w:tc>
          <w:tcPr>
            <w:tcW w:w="2608" w:type="dxa"/>
            <w:shd w:val="clear" w:color="auto" w:fill="DEEAF6" w:themeFill="accent1" w:themeFillTint="33"/>
            <w:vAlign w:val="center"/>
          </w:tcPr>
          <w:p w14:paraId="63A06B8C" w14:textId="77777777" w:rsidR="0033466E" w:rsidRPr="0064474A" w:rsidRDefault="0033466E" w:rsidP="00DA24CE">
            <w:pPr>
              <w:spacing w:after="0"/>
              <w:jc w:val="center"/>
              <w:rPr>
                <w:b/>
                <w:sz w:val="28"/>
                <w:szCs w:val="40"/>
              </w:rPr>
            </w:pPr>
            <w:r w:rsidRPr="0064474A">
              <w:rPr>
                <w:b/>
                <w:sz w:val="28"/>
                <w:szCs w:val="40"/>
              </w:rPr>
              <w:t>131 mld. Kč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1C4AB68C" w14:textId="77777777" w:rsidR="0033466E" w:rsidRPr="0064474A" w:rsidRDefault="0033466E" w:rsidP="00DA24CE">
            <w:pPr>
              <w:spacing w:after="0"/>
              <w:jc w:val="center"/>
              <w:rPr>
                <w:b/>
                <w:sz w:val="28"/>
                <w:szCs w:val="40"/>
              </w:rPr>
            </w:pPr>
            <w:r w:rsidRPr="0064474A">
              <w:rPr>
                <w:b/>
                <w:sz w:val="28"/>
                <w:szCs w:val="40"/>
              </w:rPr>
              <w:t>2,6 mld. Kč</w:t>
            </w:r>
          </w:p>
        </w:tc>
      </w:tr>
      <w:tr w:rsidR="0033466E" w14:paraId="697FDACC" w14:textId="77777777" w:rsidTr="004B1946">
        <w:trPr>
          <w:jc w:val="center"/>
        </w:trPr>
        <w:tc>
          <w:tcPr>
            <w:tcW w:w="3061" w:type="dxa"/>
            <w:shd w:val="clear" w:color="auto" w:fill="DEEAF6" w:themeFill="accent1" w:themeFillTint="33"/>
          </w:tcPr>
          <w:p w14:paraId="23278344" w14:textId="73A0B940" w:rsidR="0033466E" w:rsidRPr="0064474A" w:rsidRDefault="0033466E" w:rsidP="00F13889">
            <w:pPr>
              <w:spacing w:before="120"/>
              <w:jc w:val="center"/>
              <w:rPr>
                <w:szCs w:val="20"/>
              </w:rPr>
            </w:pPr>
            <w:r w:rsidRPr="0064474A">
              <w:rPr>
                <w:szCs w:val="20"/>
              </w:rPr>
              <w:t>Celková částka nesprávností</w:t>
            </w:r>
            <w:r w:rsidR="00B406C8" w:rsidRPr="0064474A">
              <w:rPr>
                <w:szCs w:val="20"/>
              </w:rPr>
              <w:t xml:space="preserve"> ÚZ</w:t>
            </w:r>
            <w:r w:rsidRPr="0064474A">
              <w:rPr>
                <w:szCs w:val="20"/>
              </w:rPr>
              <w:t>, které byly v průběhu kontroly zjištěny</w:t>
            </w:r>
          </w:p>
        </w:tc>
        <w:tc>
          <w:tcPr>
            <w:tcW w:w="2608" w:type="dxa"/>
            <w:shd w:val="clear" w:color="auto" w:fill="DEEAF6" w:themeFill="accent1" w:themeFillTint="33"/>
          </w:tcPr>
          <w:p w14:paraId="5B60E0BA" w14:textId="6DB2FEB2" w:rsidR="0033466E" w:rsidRPr="0064474A" w:rsidRDefault="0033466E" w:rsidP="00F13889">
            <w:pPr>
              <w:spacing w:before="120"/>
              <w:jc w:val="center"/>
              <w:rPr>
                <w:szCs w:val="20"/>
              </w:rPr>
            </w:pPr>
            <w:r w:rsidRPr="0064474A">
              <w:rPr>
                <w:szCs w:val="20"/>
              </w:rPr>
              <w:t>Aktiva netto/pasiva</w:t>
            </w:r>
            <w:r w:rsidR="0064474A">
              <w:rPr>
                <w:szCs w:val="20"/>
              </w:rPr>
              <w:t xml:space="preserve"> </w:t>
            </w:r>
            <w:r w:rsidRPr="0064474A">
              <w:rPr>
                <w:szCs w:val="20"/>
              </w:rPr>
              <w:t>k 31.</w:t>
            </w:r>
            <w:r w:rsidR="0064474A">
              <w:rPr>
                <w:szCs w:val="20"/>
              </w:rPr>
              <w:t> </w:t>
            </w:r>
            <w:r w:rsidRPr="0064474A">
              <w:rPr>
                <w:szCs w:val="20"/>
              </w:rPr>
              <w:t>prosinci 2017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2E9A1E0E" w14:textId="4D2617B3" w:rsidR="0033466E" w:rsidRPr="0064474A" w:rsidRDefault="0033466E" w:rsidP="00B3359E">
            <w:pPr>
              <w:spacing w:before="120"/>
              <w:jc w:val="center"/>
              <w:rPr>
                <w:szCs w:val="20"/>
              </w:rPr>
            </w:pPr>
            <w:r w:rsidRPr="0064474A">
              <w:rPr>
                <w:szCs w:val="20"/>
              </w:rPr>
              <w:t>Významnost (</w:t>
            </w:r>
            <w:proofErr w:type="spellStart"/>
            <w:r w:rsidRPr="0064474A">
              <w:rPr>
                <w:szCs w:val="20"/>
              </w:rPr>
              <w:t>materialita</w:t>
            </w:r>
            <w:proofErr w:type="spellEnd"/>
            <w:r w:rsidRPr="0064474A">
              <w:rPr>
                <w:szCs w:val="20"/>
              </w:rPr>
              <w:t xml:space="preserve">), která byla </w:t>
            </w:r>
            <w:r w:rsidR="00B3359E">
              <w:rPr>
                <w:szCs w:val="20"/>
              </w:rPr>
              <w:t>stanovena</w:t>
            </w:r>
            <w:r w:rsidRPr="0064474A">
              <w:rPr>
                <w:szCs w:val="20"/>
              </w:rPr>
              <w:t xml:space="preserve"> pro posouzení spolehlivosti účetní závěrky</w:t>
            </w:r>
          </w:p>
        </w:tc>
      </w:tr>
    </w:tbl>
    <w:p w14:paraId="118D9D28" w14:textId="77777777" w:rsidR="004B1946" w:rsidRPr="004B1946" w:rsidRDefault="004B1946" w:rsidP="004B1946">
      <w:pPr>
        <w:spacing w:after="0"/>
      </w:pPr>
    </w:p>
    <w:p w14:paraId="00D2CD98" w14:textId="77777777" w:rsidR="004B1946" w:rsidRPr="004B1946" w:rsidRDefault="004B1946" w:rsidP="004B1946">
      <w:pPr>
        <w:spacing w:after="0"/>
      </w:pPr>
    </w:p>
    <w:p w14:paraId="4D102F39" w14:textId="4CA5164D" w:rsidR="0033466E" w:rsidRDefault="00B406C8" w:rsidP="00DA24CE">
      <w:pPr>
        <w:spacing w:after="0"/>
        <w:rPr>
          <w:b/>
        </w:rPr>
      </w:pPr>
      <w:r w:rsidRPr="004B1946">
        <w:rPr>
          <w:b/>
        </w:rPr>
        <w:t>Výk</w:t>
      </w:r>
      <w:r w:rsidR="000F42EF" w:rsidRPr="004B1946">
        <w:rPr>
          <w:b/>
        </w:rPr>
        <w:t>az pro hodnocení plnění rozpočtu</w:t>
      </w:r>
      <w:r w:rsidRPr="004B1946">
        <w:rPr>
          <w:b/>
        </w:rPr>
        <w:t xml:space="preserve"> MO za rok 2017</w:t>
      </w:r>
    </w:p>
    <w:p w14:paraId="74556EC5" w14:textId="77777777" w:rsidR="00DA24CE" w:rsidRPr="00DA24CE" w:rsidRDefault="00DA24CE" w:rsidP="00DA24CE">
      <w:pPr>
        <w:spacing w:after="0"/>
      </w:pPr>
    </w:p>
    <w:tbl>
      <w:tblPr>
        <w:tblStyle w:val="Mkatabulky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6086"/>
      </w:tblGrid>
      <w:tr w:rsidR="00FC18AF" w14:paraId="0DD51E4F" w14:textId="77777777" w:rsidTr="004B1946">
        <w:trPr>
          <w:trHeight w:val="964"/>
        </w:trPr>
        <w:tc>
          <w:tcPr>
            <w:tcW w:w="2971" w:type="dxa"/>
            <w:vAlign w:val="center"/>
          </w:tcPr>
          <w:p w14:paraId="519E9E5F" w14:textId="222E67C3" w:rsidR="00FC18AF" w:rsidRDefault="00FC18AF" w:rsidP="004B1946">
            <w:pPr>
              <w:spacing w:after="160"/>
            </w:pPr>
            <w:r>
              <w:rPr>
                <w:b/>
              </w:rPr>
              <w:t>Údaje předkládané pro hodnocení plnění státního rozpočtu za rok 2017</w:t>
            </w:r>
          </w:p>
        </w:tc>
        <w:tc>
          <w:tcPr>
            <w:tcW w:w="6086" w:type="dxa"/>
            <w:vAlign w:val="center"/>
          </w:tcPr>
          <w:p w14:paraId="4D2E8C9C" w14:textId="1B2DFB19" w:rsidR="00FC18AF" w:rsidRPr="00B406C8" w:rsidRDefault="00687661" w:rsidP="004B1946">
            <w:pPr>
              <w:spacing w:after="160"/>
              <w:jc w:val="both"/>
              <w:rPr>
                <w:b/>
              </w:rPr>
            </w:pPr>
            <w:r>
              <w:rPr>
                <w:rFonts w:cs="Arial"/>
              </w:rPr>
              <w:t xml:space="preserve">Zjištěná </w:t>
            </w:r>
            <w:r w:rsidR="005D3D9A">
              <w:rPr>
                <w:rFonts w:cs="Arial"/>
              </w:rPr>
              <w:t xml:space="preserve">chyba </w:t>
            </w:r>
            <w:r w:rsidR="00FC18AF">
              <w:rPr>
                <w:rFonts w:cs="Arial"/>
              </w:rPr>
              <w:t xml:space="preserve">v údajích předkládaných pro hodnocení plnění státního rozpočtu za rok 2017 </w:t>
            </w:r>
            <w:r w:rsidR="00381C9F">
              <w:rPr>
                <w:rFonts w:cs="Arial"/>
              </w:rPr>
              <w:t>nebyla významná.</w:t>
            </w:r>
          </w:p>
        </w:tc>
      </w:tr>
    </w:tbl>
    <w:p w14:paraId="66EFA3B9" w14:textId="13B3CB77" w:rsidR="00FC18AF" w:rsidRPr="004B1946" w:rsidRDefault="00FC18AF" w:rsidP="004B1946">
      <w:pPr>
        <w:spacing w:after="0"/>
      </w:pPr>
    </w:p>
    <w:p w14:paraId="73915F3B" w14:textId="77777777" w:rsidR="004B1946" w:rsidRPr="004B1946" w:rsidRDefault="004B1946" w:rsidP="004B1946">
      <w:pPr>
        <w:spacing w:after="0"/>
      </w:pPr>
    </w:p>
    <w:tbl>
      <w:tblPr>
        <w:tblStyle w:val="Mkatabulky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C18AF" w:rsidRPr="00716417" w14:paraId="19E00319" w14:textId="77777777" w:rsidTr="00F13889">
        <w:trPr>
          <w:trHeight w:val="680"/>
          <w:jc w:val="center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0DA0D975" w14:textId="494444A3" w:rsidR="00FC18AF" w:rsidRPr="004B1946" w:rsidRDefault="00FC18AF" w:rsidP="00DA24CE">
            <w:pPr>
              <w:spacing w:after="0"/>
              <w:jc w:val="center"/>
              <w:rPr>
                <w:b/>
                <w:sz w:val="28"/>
                <w:szCs w:val="40"/>
              </w:rPr>
            </w:pPr>
            <w:r w:rsidRPr="004B1946">
              <w:rPr>
                <w:b/>
                <w:sz w:val="28"/>
                <w:szCs w:val="40"/>
              </w:rPr>
              <w:t>116 mil. Kč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7C6C1EE5" w14:textId="146BFBA0" w:rsidR="00FC18AF" w:rsidRPr="004B1946" w:rsidRDefault="00FC18AF" w:rsidP="00DA24CE">
            <w:pPr>
              <w:spacing w:after="0"/>
              <w:jc w:val="center"/>
              <w:rPr>
                <w:b/>
                <w:sz w:val="28"/>
                <w:szCs w:val="40"/>
              </w:rPr>
            </w:pPr>
            <w:r w:rsidRPr="004B1946">
              <w:rPr>
                <w:b/>
                <w:sz w:val="28"/>
                <w:szCs w:val="40"/>
              </w:rPr>
              <w:t>53 mld. Kč/5 mld. Kč</w:t>
            </w:r>
          </w:p>
        </w:tc>
      </w:tr>
      <w:tr w:rsidR="00FC18AF" w14:paraId="2B6FCDB0" w14:textId="77777777" w:rsidTr="00F13889">
        <w:trPr>
          <w:trHeight w:val="850"/>
          <w:jc w:val="center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4D581461" w14:textId="1F5DDB84" w:rsidR="00FC18AF" w:rsidRPr="00DA24CE" w:rsidRDefault="00D4297E" w:rsidP="00DA24CE">
            <w:pPr>
              <w:spacing w:before="120"/>
              <w:ind w:left="170" w:right="181"/>
              <w:jc w:val="center"/>
              <w:rPr>
                <w:szCs w:val="20"/>
              </w:rPr>
            </w:pPr>
            <w:r w:rsidRPr="00DA24CE">
              <w:rPr>
                <w:szCs w:val="20"/>
              </w:rPr>
              <w:t>Nesprávnost v údajích předkládaných MO pro hodnocení plnění státního rozpočtu za rok 2017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41E3A8E1" w14:textId="49681A13" w:rsidR="00FC18AF" w:rsidRPr="00DA24CE" w:rsidRDefault="00FC18AF" w:rsidP="00DA24CE">
            <w:pPr>
              <w:spacing w:before="120"/>
              <w:ind w:left="170" w:right="181"/>
              <w:jc w:val="center"/>
              <w:rPr>
                <w:szCs w:val="20"/>
              </w:rPr>
            </w:pPr>
            <w:r w:rsidRPr="00DA24CE">
              <w:rPr>
                <w:szCs w:val="20"/>
              </w:rPr>
              <w:t xml:space="preserve">Výdaje/příjmy </w:t>
            </w:r>
            <w:r w:rsidR="003965E0" w:rsidRPr="00DA24CE">
              <w:rPr>
                <w:szCs w:val="20"/>
              </w:rPr>
              <w:t>–</w:t>
            </w:r>
            <w:r w:rsidRPr="00DA24CE">
              <w:rPr>
                <w:szCs w:val="20"/>
              </w:rPr>
              <w:t xml:space="preserve"> skutečnost z výkazu pro hodnocení plnění rozpočtu MO za rok 2017</w:t>
            </w:r>
          </w:p>
        </w:tc>
      </w:tr>
    </w:tbl>
    <w:p w14:paraId="3E6C7704" w14:textId="275A7E4A" w:rsidR="00B406C8" w:rsidRDefault="00B406C8" w:rsidP="004B1946">
      <w:pPr>
        <w:spacing w:after="0"/>
        <w:rPr>
          <w:b/>
        </w:rPr>
      </w:pPr>
    </w:p>
    <w:p w14:paraId="55ABA4BD" w14:textId="77777777" w:rsidR="004B1946" w:rsidRDefault="004B1946" w:rsidP="004B1946">
      <w:pPr>
        <w:spacing w:after="0"/>
        <w:rPr>
          <w:b/>
        </w:rPr>
      </w:pPr>
    </w:p>
    <w:tbl>
      <w:tblPr>
        <w:tblStyle w:val="Mkatabulky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6086"/>
      </w:tblGrid>
      <w:tr w:rsidR="00FC18AF" w14:paraId="376E81F7" w14:textId="77777777" w:rsidTr="004B1946">
        <w:trPr>
          <w:trHeight w:val="964"/>
        </w:trPr>
        <w:tc>
          <w:tcPr>
            <w:tcW w:w="2971" w:type="dxa"/>
          </w:tcPr>
          <w:p w14:paraId="5536A692" w14:textId="77777777" w:rsidR="00FC18AF" w:rsidRPr="0095492C" w:rsidRDefault="00FC18AF" w:rsidP="004B1946">
            <w:pPr>
              <w:spacing w:after="160"/>
              <w:rPr>
                <w:b/>
              </w:rPr>
            </w:pPr>
            <w:r w:rsidRPr="0095492C">
              <w:rPr>
                <w:b/>
              </w:rPr>
              <w:t>Závěrečný účet</w:t>
            </w:r>
            <w:r>
              <w:rPr>
                <w:b/>
              </w:rPr>
              <w:t xml:space="preserve"> za rok 2017</w:t>
            </w:r>
          </w:p>
        </w:tc>
        <w:tc>
          <w:tcPr>
            <w:tcW w:w="6086" w:type="dxa"/>
          </w:tcPr>
          <w:p w14:paraId="2CA0FF4A" w14:textId="39BD21E5" w:rsidR="00FC18AF" w:rsidRPr="00AB0B60" w:rsidRDefault="00FC18AF" w:rsidP="006F47CD">
            <w:pPr>
              <w:spacing w:after="160"/>
              <w:jc w:val="both"/>
              <w:rPr>
                <w:lang w:eastAsia="cs-CZ"/>
              </w:rPr>
            </w:pPr>
            <w:r w:rsidRPr="00931D82">
              <w:t>Při kontrole závěrečného účtu kapitoly 307</w:t>
            </w:r>
            <w:r w:rsidR="006F47CD">
              <w:t> –</w:t>
            </w:r>
            <w:r w:rsidRPr="00931D82">
              <w:t xml:space="preserve"> </w:t>
            </w:r>
            <w:r w:rsidRPr="00555A33">
              <w:rPr>
                <w:i/>
              </w:rPr>
              <w:t>M</w:t>
            </w:r>
            <w:r w:rsidR="006F47CD" w:rsidRPr="00555A33">
              <w:rPr>
                <w:i/>
              </w:rPr>
              <w:t>inisterstvo obrany</w:t>
            </w:r>
            <w:r w:rsidRPr="00931D82">
              <w:t xml:space="preserve"> </w:t>
            </w:r>
            <w:r>
              <w:t xml:space="preserve">nebyly zjištěny nedostatky. </w:t>
            </w:r>
          </w:p>
        </w:tc>
      </w:tr>
      <w:tr w:rsidR="0033466E" w14:paraId="1C185D14" w14:textId="77777777" w:rsidTr="004B1946">
        <w:trPr>
          <w:trHeight w:val="964"/>
        </w:trPr>
        <w:tc>
          <w:tcPr>
            <w:tcW w:w="2971" w:type="dxa"/>
          </w:tcPr>
          <w:p w14:paraId="00F0754D" w14:textId="77777777" w:rsidR="0033466E" w:rsidRPr="0095492C" w:rsidRDefault="0033466E" w:rsidP="004B1946">
            <w:pPr>
              <w:spacing w:after="160"/>
              <w:rPr>
                <w:b/>
              </w:rPr>
            </w:pPr>
            <w:r w:rsidRPr="0095492C">
              <w:rPr>
                <w:b/>
              </w:rPr>
              <w:t>Nápravná opatření z předchozích KA</w:t>
            </w:r>
          </w:p>
        </w:tc>
        <w:tc>
          <w:tcPr>
            <w:tcW w:w="6086" w:type="dxa"/>
          </w:tcPr>
          <w:p w14:paraId="23D0CB6A" w14:textId="77777777" w:rsidR="0033466E" w:rsidRPr="005D1545" w:rsidRDefault="0033466E" w:rsidP="004B1946">
            <w:pPr>
              <w:spacing w:after="160"/>
              <w:jc w:val="both"/>
            </w:pPr>
            <w:r w:rsidRPr="00AB0B60">
              <w:rPr>
                <w:lang w:eastAsia="cs-CZ"/>
              </w:rPr>
              <w:t>MO ve všech případech přijalo opatření k nápravě v oblasti účetnictví, která přispěla k odstranění většiny identifikovaných nesprávností</w:t>
            </w:r>
            <w:r>
              <w:rPr>
                <w:lang w:eastAsia="cs-CZ"/>
              </w:rPr>
              <w:t>.</w:t>
            </w:r>
          </w:p>
        </w:tc>
      </w:tr>
    </w:tbl>
    <w:p w14:paraId="33EC2B03" w14:textId="77777777" w:rsidR="0033466E" w:rsidRDefault="0033466E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 w:type="page"/>
      </w:r>
    </w:p>
    <w:p w14:paraId="6C12A6A4" w14:textId="71093FB5" w:rsidR="0033466E" w:rsidRPr="004B1946" w:rsidRDefault="0033466E" w:rsidP="004B1946">
      <w:pPr>
        <w:spacing w:after="0"/>
        <w:jc w:val="center"/>
        <w:rPr>
          <w:rFonts w:cs="Calibri"/>
          <w:b/>
          <w:sz w:val="28"/>
        </w:rPr>
      </w:pPr>
      <w:r w:rsidRPr="004B1946">
        <w:rPr>
          <w:rFonts w:cs="Calibri"/>
          <w:b/>
          <w:sz w:val="28"/>
        </w:rPr>
        <w:lastRenderedPageBreak/>
        <w:t>I. Shrnutí a vyhodnocení</w:t>
      </w:r>
    </w:p>
    <w:p w14:paraId="25E1E0D1" w14:textId="77777777" w:rsidR="004B1946" w:rsidRDefault="004B1946" w:rsidP="004B1946">
      <w:pPr>
        <w:spacing w:after="0"/>
        <w:jc w:val="both"/>
        <w:rPr>
          <w:rFonts w:eastAsiaTheme="minorHAnsi" w:cs="Calibri"/>
        </w:rPr>
      </w:pPr>
    </w:p>
    <w:p w14:paraId="1FEF720F" w14:textId="10C4F436" w:rsidR="0033466E" w:rsidRDefault="0033466E" w:rsidP="004B1946">
      <w:pPr>
        <w:spacing w:after="0"/>
        <w:jc w:val="both"/>
        <w:rPr>
          <w:rFonts w:eastAsiaTheme="minorHAnsi" w:cs="Calibri"/>
        </w:rPr>
      </w:pPr>
      <w:r w:rsidRPr="004B1946">
        <w:rPr>
          <w:rFonts w:eastAsiaTheme="minorHAnsi" w:cs="Calibri"/>
        </w:rPr>
        <w:t>Cílem kontrolní akce č. 17/30 bylo prověřit, zda MO při vedení účetnictví v roce 2017 a sestav</w:t>
      </w:r>
      <w:r w:rsidR="00B3359E">
        <w:rPr>
          <w:rFonts w:eastAsiaTheme="minorHAnsi" w:cs="Calibri"/>
        </w:rPr>
        <w:t>ová</w:t>
      </w:r>
      <w:r w:rsidRPr="004B1946">
        <w:rPr>
          <w:rFonts w:eastAsiaTheme="minorHAnsi" w:cs="Calibri"/>
        </w:rPr>
        <w:t>ní účetní závěrky k 31. prosinci 2017, při předkládání údajů pro hodnocení plnění rozpočtu</w:t>
      </w:r>
      <w:r w:rsidR="005D3D9A" w:rsidRPr="004B1946">
        <w:rPr>
          <w:rFonts w:eastAsiaTheme="minorHAnsi" w:cs="Calibri"/>
        </w:rPr>
        <w:t xml:space="preserve"> </w:t>
      </w:r>
      <w:r w:rsidRPr="004B1946">
        <w:rPr>
          <w:rFonts w:eastAsiaTheme="minorHAnsi" w:cs="Calibri"/>
        </w:rPr>
        <w:t>a při sestav</w:t>
      </w:r>
      <w:r w:rsidR="00B3359E">
        <w:rPr>
          <w:rFonts w:eastAsiaTheme="minorHAnsi" w:cs="Calibri"/>
        </w:rPr>
        <w:t>ová</w:t>
      </w:r>
      <w:r w:rsidRPr="004B1946">
        <w:rPr>
          <w:rFonts w:eastAsiaTheme="minorHAnsi" w:cs="Calibri"/>
        </w:rPr>
        <w:t xml:space="preserve">ní závěrečného účtu za rok 2017 postupovalo v souladu s příslušnými právními předpisy. </w:t>
      </w:r>
    </w:p>
    <w:p w14:paraId="6D4F810B" w14:textId="77777777" w:rsidR="004B1946" w:rsidRPr="004B1946" w:rsidRDefault="004B1946" w:rsidP="004B1946">
      <w:pPr>
        <w:spacing w:after="0"/>
        <w:jc w:val="both"/>
        <w:rPr>
          <w:rFonts w:eastAsiaTheme="minorHAnsi" w:cs="Calibri"/>
        </w:rPr>
      </w:pPr>
    </w:p>
    <w:p w14:paraId="74A50E7F" w14:textId="59AFC5FE" w:rsidR="0033466E" w:rsidRDefault="0033466E" w:rsidP="004B1946">
      <w:pPr>
        <w:spacing w:after="0"/>
        <w:jc w:val="both"/>
        <w:rPr>
          <w:rFonts w:eastAsiaTheme="minorHAnsi" w:cs="Calibri"/>
        </w:rPr>
      </w:pPr>
      <w:r w:rsidRPr="004B1946">
        <w:rPr>
          <w:rFonts w:eastAsiaTheme="minorHAnsi" w:cs="Calibri"/>
        </w:rPr>
        <w:t>Při kontrole bylo provedeno i vyhodnocení opatření přijatých k nápravě nedostatků zjištěných kontrolní akcí NKÚ č. 13/29</w:t>
      </w:r>
      <w:r w:rsidR="00C05A88" w:rsidRPr="004B1946">
        <w:rPr>
          <w:rStyle w:val="Znakapoznpodarou"/>
          <w:rFonts w:eastAsiaTheme="minorHAnsi" w:cs="Calibri"/>
        </w:rPr>
        <w:footnoteReference w:id="1"/>
      </w:r>
      <w:r w:rsidRPr="004B1946">
        <w:rPr>
          <w:rFonts w:eastAsiaTheme="minorHAnsi" w:cs="Calibri"/>
        </w:rPr>
        <w:t>, 14/08</w:t>
      </w:r>
      <w:r w:rsidR="00480446" w:rsidRPr="004B1946">
        <w:rPr>
          <w:rFonts w:eastAsiaTheme="minorHAnsi" w:cs="Calibri"/>
          <w:vertAlign w:val="superscript"/>
        </w:rPr>
        <w:footnoteReference w:id="2"/>
      </w:r>
      <w:r w:rsidRPr="004B1946">
        <w:rPr>
          <w:rFonts w:eastAsiaTheme="minorHAnsi" w:cs="Calibri"/>
        </w:rPr>
        <w:t xml:space="preserve"> a 15/34</w:t>
      </w:r>
      <w:r w:rsidR="00480446" w:rsidRPr="004B1946">
        <w:rPr>
          <w:rStyle w:val="Znakapoznpodarou"/>
          <w:rFonts w:eastAsiaTheme="minorHAnsi" w:cs="Calibri"/>
        </w:rPr>
        <w:footnoteReference w:id="3"/>
      </w:r>
      <w:r w:rsidRPr="004B1946">
        <w:rPr>
          <w:rFonts w:eastAsiaTheme="minorHAnsi" w:cs="Calibri"/>
        </w:rPr>
        <w:t>.</w:t>
      </w:r>
    </w:p>
    <w:p w14:paraId="474B7C76" w14:textId="77777777" w:rsidR="004B1946" w:rsidRPr="004B1946" w:rsidRDefault="004B1946" w:rsidP="004B1946">
      <w:pPr>
        <w:spacing w:after="0"/>
        <w:jc w:val="both"/>
        <w:rPr>
          <w:rFonts w:eastAsiaTheme="minorHAnsi" w:cs="Calibri"/>
        </w:rPr>
      </w:pPr>
    </w:p>
    <w:p w14:paraId="1DF2C19B" w14:textId="40565AE1" w:rsidR="0033466E" w:rsidRPr="00C42990" w:rsidRDefault="00C42990" w:rsidP="004B1946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1. </w:t>
      </w:r>
      <w:r w:rsidR="0033466E" w:rsidRPr="00C42990">
        <w:rPr>
          <w:rFonts w:cs="Calibri"/>
          <w:b/>
        </w:rPr>
        <w:t>Vedení účetnictví</w:t>
      </w:r>
    </w:p>
    <w:p w14:paraId="2F633BE6" w14:textId="77777777" w:rsidR="00C42990" w:rsidRDefault="00C42990" w:rsidP="004B1946">
      <w:pPr>
        <w:spacing w:after="0"/>
        <w:jc w:val="both"/>
        <w:rPr>
          <w:rFonts w:cs="Calibri"/>
        </w:rPr>
      </w:pPr>
    </w:p>
    <w:p w14:paraId="04FA0E4F" w14:textId="556370CB" w:rsidR="0033466E" w:rsidRDefault="0033466E" w:rsidP="004B1946">
      <w:pPr>
        <w:spacing w:after="0"/>
        <w:jc w:val="both"/>
        <w:rPr>
          <w:rFonts w:cs="Calibri"/>
        </w:rPr>
      </w:pPr>
      <w:r w:rsidRPr="004B1946">
        <w:rPr>
          <w:rFonts w:cs="Calibri"/>
        </w:rPr>
        <w:t xml:space="preserve">V oblasti vedení účetnictví se kontrola zaměřila na jeho správnost, úplnost, průkaznost a srozumitelnost. Prověřila dodržování směrné účtové osnovy a správnost používání účetních metod. Byly identifikovány významné transakční cykly a posouzeno nastavení systému účtování. </w:t>
      </w:r>
      <w:r w:rsidRPr="004B1946">
        <w:rPr>
          <w:rFonts w:cs="Calibri"/>
          <w:b/>
        </w:rPr>
        <w:t>U vybraných účetních případů byla provedena kontrola</w:t>
      </w:r>
      <w:r w:rsidRPr="004B1946">
        <w:rPr>
          <w:rFonts w:cs="Calibri"/>
        </w:rPr>
        <w:t xml:space="preserve"> s cílem ověřit systém účtování a vykazování informací o skutečnostech, které jsou předmětem účetnictví. </w:t>
      </w:r>
    </w:p>
    <w:p w14:paraId="62EAF1B0" w14:textId="77777777" w:rsidR="00C42990" w:rsidRPr="004B1946" w:rsidRDefault="00C42990" w:rsidP="004B1946">
      <w:pPr>
        <w:spacing w:after="0"/>
        <w:jc w:val="both"/>
        <w:rPr>
          <w:rFonts w:cs="Calibri"/>
        </w:rPr>
      </w:pPr>
    </w:p>
    <w:p w14:paraId="65A3F5D8" w14:textId="471A4ED1" w:rsidR="00FC18AF" w:rsidRDefault="00FC18AF" w:rsidP="004B1946">
      <w:pPr>
        <w:spacing w:after="0"/>
        <w:jc w:val="both"/>
        <w:rPr>
          <w:rFonts w:cs="Calibri"/>
        </w:rPr>
      </w:pPr>
      <w:r w:rsidRPr="004B1946">
        <w:rPr>
          <w:rFonts w:cs="Calibri"/>
        </w:rPr>
        <w:t xml:space="preserve">Kontrolou byly zjištěny významné nesprávnosti, které MO ještě v průběhu kontroly opravilo. </w:t>
      </w:r>
      <w:r w:rsidR="00381C9F" w:rsidRPr="004B1946">
        <w:rPr>
          <w:rFonts w:cs="Calibri"/>
        </w:rPr>
        <w:t xml:space="preserve">Jednalo se o účetní případy, které nebyly zaúčtovány vůbec, nebo nebyly zaúčtovány správně. </w:t>
      </w:r>
      <w:r w:rsidRPr="004B1946">
        <w:rPr>
          <w:rFonts w:cs="Calibri"/>
        </w:rPr>
        <w:t>Opravu některých nesprávností MO realizovalo ještě před uzavřením účetních knih za rok 2017 a před sestavením účetní závěrky</w:t>
      </w:r>
      <w:r w:rsidR="00381C9F" w:rsidRPr="004B1946">
        <w:rPr>
          <w:rFonts w:cs="Calibri"/>
        </w:rPr>
        <w:t>. MO</w:t>
      </w:r>
      <w:r w:rsidRPr="004B1946">
        <w:rPr>
          <w:rFonts w:cs="Calibri"/>
        </w:rPr>
        <w:t xml:space="preserve"> takto</w:t>
      </w:r>
      <w:r w:rsidR="00381C9F" w:rsidRPr="004B1946">
        <w:rPr>
          <w:rFonts w:cs="Calibri"/>
        </w:rPr>
        <w:t xml:space="preserve"> </w:t>
      </w:r>
      <w:r w:rsidRPr="004B1946">
        <w:rPr>
          <w:rFonts w:cs="Calibri"/>
        </w:rPr>
        <w:t xml:space="preserve">opravilo nesprávnosti </w:t>
      </w:r>
      <w:r w:rsidR="00B3359E">
        <w:rPr>
          <w:rFonts w:cs="Calibri"/>
        </w:rPr>
        <w:t>v celkovém součtu převyšující 3 mld. </w:t>
      </w:r>
      <w:r w:rsidRPr="004B1946">
        <w:rPr>
          <w:rFonts w:cs="Calibri"/>
        </w:rPr>
        <w:t>Kč.</w:t>
      </w:r>
    </w:p>
    <w:p w14:paraId="34729995" w14:textId="77777777" w:rsidR="00C42990" w:rsidRPr="004B1946" w:rsidRDefault="00C42990" w:rsidP="004B1946">
      <w:pPr>
        <w:spacing w:after="0"/>
        <w:jc w:val="both"/>
        <w:rPr>
          <w:rFonts w:cs="Calibri"/>
        </w:rPr>
      </w:pPr>
    </w:p>
    <w:p w14:paraId="17F58624" w14:textId="06058F42" w:rsidR="0033466E" w:rsidRPr="004B1946" w:rsidRDefault="0033466E" w:rsidP="004B1946">
      <w:pPr>
        <w:spacing w:after="0"/>
        <w:jc w:val="both"/>
        <w:rPr>
          <w:rFonts w:cs="Calibri"/>
          <w:b/>
        </w:rPr>
      </w:pPr>
      <w:r w:rsidRPr="004B1946">
        <w:rPr>
          <w:rFonts w:cs="Calibri"/>
          <w:b/>
        </w:rPr>
        <w:t>Spolehlivost údajů účetní závěrky sestavené k 31. prosinci 2017</w:t>
      </w:r>
    </w:p>
    <w:p w14:paraId="25C2932A" w14:textId="77777777" w:rsidR="00C42990" w:rsidRDefault="00C42990" w:rsidP="004B1946">
      <w:pPr>
        <w:spacing w:after="0"/>
        <w:jc w:val="both"/>
        <w:rPr>
          <w:rFonts w:eastAsiaTheme="minorHAnsi" w:cs="Calibri"/>
        </w:rPr>
      </w:pPr>
    </w:p>
    <w:p w14:paraId="4127D5B1" w14:textId="63AFE50F" w:rsidR="0033466E" w:rsidRDefault="0033466E" w:rsidP="004B1946">
      <w:pPr>
        <w:spacing w:after="0"/>
        <w:jc w:val="both"/>
        <w:rPr>
          <w:rFonts w:eastAsiaTheme="minorHAnsi" w:cs="Calibri"/>
        </w:rPr>
      </w:pPr>
      <w:r w:rsidRPr="004B1946">
        <w:rPr>
          <w:rFonts w:eastAsiaTheme="minorHAnsi" w:cs="Calibri"/>
        </w:rPr>
        <w:t>Kontrolovány byly činnosti a skutečnosti, které byly předmětem účetnictví MO a měly vliv na hodnoty kontrolovaných významných konečných zůstatků účtů v účetní závěrce MO k 31. prosinci 2017.</w:t>
      </w:r>
    </w:p>
    <w:p w14:paraId="6DF34A49" w14:textId="77777777" w:rsidR="00C42990" w:rsidRPr="004B1946" w:rsidRDefault="00C42990" w:rsidP="004B1946">
      <w:pPr>
        <w:spacing w:after="0"/>
        <w:jc w:val="both"/>
        <w:rPr>
          <w:rFonts w:eastAsiaTheme="minorHAnsi" w:cs="Calibri"/>
        </w:rPr>
      </w:pPr>
    </w:p>
    <w:p w14:paraId="303DAD23" w14:textId="77777777" w:rsidR="0033466E" w:rsidRPr="004B1946" w:rsidRDefault="0033466E" w:rsidP="004B1946">
      <w:pPr>
        <w:spacing w:after="0"/>
        <w:jc w:val="both"/>
        <w:rPr>
          <w:rFonts w:eastAsiaTheme="minorHAnsi" w:cs="Calibri"/>
          <w:b/>
        </w:rPr>
      </w:pPr>
      <w:r w:rsidRPr="004B1946">
        <w:rPr>
          <w:rFonts w:eastAsiaTheme="minorHAnsi" w:cs="Calibri"/>
          <w:b/>
        </w:rPr>
        <w:t xml:space="preserve">Pro posouzení spolehlivosti účetní závěrky byla stanovena významnost neboli </w:t>
      </w:r>
      <w:proofErr w:type="spellStart"/>
      <w:r w:rsidRPr="004B1946">
        <w:rPr>
          <w:rFonts w:eastAsiaTheme="minorHAnsi" w:cs="Calibri"/>
          <w:b/>
        </w:rPr>
        <w:t>materialita</w:t>
      </w:r>
      <w:proofErr w:type="spellEnd"/>
      <w:r w:rsidRPr="004B1946">
        <w:rPr>
          <w:rStyle w:val="Znakapoznpodarou"/>
          <w:rFonts w:eastAsiaTheme="minorHAnsi" w:cs="Calibri"/>
          <w:b/>
        </w:rPr>
        <w:footnoteReference w:id="4"/>
      </w:r>
      <w:r w:rsidRPr="004B1946">
        <w:rPr>
          <w:rFonts w:eastAsiaTheme="minorHAnsi" w:cs="Calibri"/>
          <w:b/>
        </w:rPr>
        <w:t xml:space="preserve"> ve výši 2,6 mld. Kč</w:t>
      </w:r>
      <w:r w:rsidRPr="004B1946">
        <w:rPr>
          <w:rFonts w:eastAsiaTheme="minorHAnsi" w:cs="Calibri"/>
          <w:b/>
          <w:vertAlign w:val="superscript"/>
        </w:rPr>
        <w:footnoteReference w:id="5"/>
      </w:r>
      <w:r w:rsidRPr="004B1946">
        <w:rPr>
          <w:rFonts w:eastAsiaTheme="minorHAnsi" w:cs="Calibri"/>
          <w:b/>
        </w:rPr>
        <w:t>.</w:t>
      </w:r>
    </w:p>
    <w:p w14:paraId="3C6CE23B" w14:textId="77777777" w:rsidR="00C42990" w:rsidRDefault="00C42990" w:rsidP="004B1946">
      <w:pPr>
        <w:spacing w:after="0"/>
        <w:jc w:val="both"/>
        <w:rPr>
          <w:rFonts w:eastAsia="Calibri" w:cs="Calibri"/>
        </w:rPr>
      </w:pPr>
    </w:p>
    <w:p w14:paraId="0F77517B" w14:textId="4420E137" w:rsidR="00953B6F" w:rsidRPr="004B1946" w:rsidRDefault="0033466E" w:rsidP="004B1946">
      <w:pPr>
        <w:spacing w:after="0"/>
        <w:jc w:val="both"/>
        <w:rPr>
          <w:rFonts w:eastAsia="Calibri" w:cs="Calibri"/>
        </w:rPr>
      </w:pPr>
      <w:r w:rsidRPr="004B1946">
        <w:rPr>
          <w:rFonts w:eastAsia="Calibri" w:cs="Calibri"/>
        </w:rPr>
        <w:t xml:space="preserve">Kontrolou bylo zjištěno, že některé informace v účetní závěrce sestavené k 31. prosinci 2017 nevykázalo MO v souladu s právními předpisy upravujícími vedení účetnictví. V údajích za běžné období byly zjištěny nesprávnosti ve výši 404,67 mil. Kč (viz tabulka č. </w:t>
      </w:r>
      <w:r w:rsidR="00D2616D" w:rsidRPr="004B1946">
        <w:rPr>
          <w:rFonts w:eastAsia="Calibri" w:cs="Calibri"/>
        </w:rPr>
        <w:t>1</w:t>
      </w:r>
      <w:r w:rsidRPr="004B1946">
        <w:rPr>
          <w:rFonts w:eastAsia="Calibri" w:cs="Calibri"/>
        </w:rPr>
        <w:t xml:space="preserve">). </w:t>
      </w:r>
    </w:p>
    <w:p w14:paraId="59F226EB" w14:textId="77777777" w:rsidR="00953B6F" w:rsidRPr="004B1946" w:rsidRDefault="00953B6F" w:rsidP="004B1946">
      <w:pPr>
        <w:spacing w:after="0"/>
        <w:rPr>
          <w:rFonts w:eastAsia="Calibri" w:cs="Calibri"/>
        </w:rPr>
      </w:pPr>
    </w:p>
    <w:p w14:paraId="765A7B29" w14:textId="59C79D80" w:rsidR="0033466E" w:rsidRPr="007A748F" w:rsidRDefault="0033466E" w:rsidP="00C42990">
      <w:pPr>
        <w:keepNext/>
        <w:shd w:val="clear" w:color="auto" w:fill="FFFFFF" w:themeFill="background1"/>
        <w:tabs>
          <w:tab w:val="right" w:pos="9072"/>
        </w:tabs>
        <w:spacing w:after="40"/>
        <w:jc w:val="both"/>
        <w:rPr>
          <w:rFonts w:asciiTheme="minorHAnsi" w:eastAsiaTheme="minorHAnsi" w:hAnsiTheme="minorHAnsi" w:cstheme="minorHAnsi"/>
          <w:b/>
        </w:rPr>
      </w:pPr>
      <w:r w:rsidRPr="007A748F">
        <w:rPr>
          <w:rFonts w:asciiTheme="minorHAnsi" w:eastAsiaTheme="minorHAnsi" w:hAnsiTheme="minorHAnsi" w:cstheme="minorHAnsi"/>
          <w:b/>
        </w:rPr>
        <w:t xml:space="preserve">Tabulka č. </w:t>
      </w:r>
      <w:r w:rsidR="00D2616D">
        <w:rPr>
          <w:rFonts w:asciiTheme="minorHAnsi" w:eastAsiaTheme="minorHAnsi" w:hAnsiTheme="minorHAnsi" w:cstheme="minorHAnsi"/>
          <w:b/>
        </w:rPr>
        <w:t>1</w:t>
      </w:r>
      <w:r>
        <w:rPr>
          <w:rFonts w:asciiTheme="minorHAnsi" w:eastAsiaTheme="minorHAnsi" w:hAnsiTheme="minorHAnsi" w:cstheme="minorHAnsi"/>
          <w:b/>
        </w:rPr>
        <w:t>:</w:t>
      </w:r>
      <w:r w:rsidRPr="007A748F">
        <w:rPr>
          <w:rFonts w:asciiTheme="minorHAnsi" w:eastAsiaTheme="minorHAnsi" w:hAnsiTheme="minorHAnsi" w:cstheme="minorHAnsi"/>
          <w:b/>
        </w:rPr>
        <w:t xml:space="preserve"> Přehled</w:t>
      </w:r>
      <w:r>
        <w:rPr>
          <w:rFonts w:asciiTheme="minorHAnsi" w:eastAsiaTheme="minorHAnsi" w:hAnsiTheme="minorHAnsi" w:cstheme="minorHAnsi"/>
          <w:b/>
        </w:rPr>
        <w:t xml:space="preserve"> vyčíslených</w:t>
      </w:r>
      <w:r w:rsidRPr="007A748F">
        <w:rPr>
          <w:rFonts w:asciiTheme="minorHAnsi" w:eastAsiaTheme="minorHAnsi" w:hAnsiTheme="minorHAnsi" w:cstheme="minorHAnsi"/>
          <w:b/>
        </w:rPr>
        <w:t xml:space="preserve"> nesprávností zjištěných v jednotlivých částech ÚZ </w:t>
      </w:r>
      <w:r w:rsidRPr="007A748F">
        <w:rPr>
          <w:rFonts w:asciiTheme="minorHAnsi" w:eastAsiaTheme="minorHAnsi" w:hAnsiTheme="minorHAnsi" w:cstheme="minorHAnsi"/>
          <w:b/>
        </w:rPr>
        <w:tab/>
        <w:t>(v Kč)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3912"/>
      </w:tblGrid>
      <w:tr w:rsidR="0033466E" w:rsidRPr="00C42990" w14:paraId="482E6B50" w14:textId="009DEB13" w:rsidTr="00C42990">
        <w:trPr>
          <w:trHeight w:val="283"/>
          <w:tblHeader/>
        </w:trPr>
        <w:tc>
          <w:tcPr>
            <w:tcW w:w="9072" w:type="dxa"/>
            <w:gridSpan w:val="2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3D992" w14:textId="6D9B79D6" w:rsidR="0033466E" w:rsidRPr="00C42990" w:rsidRDefault="0033466E" w:rsidP="00C42990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Nesprávnost v účetní závěrce </w:t>
            </w:r>
          </w:p>
        </w:tc>
      </w:tr>
      <w:tr w:rsidR="0033466E" w:rsidRPr="00C42990" w14:paraId="7877F00B" w14:textId="44799D79" w:rsidTr="00C42990">
        <w:trPr>
          <w:trHeight w:val="283"/>
          <w:tblHeader/>
        </w:trPr>
        <w:tc>
          <w:tcPr>
            <w:tcW w:w="5160" w:type="dxa"/>
            <w:shd w:val="clear" w:color="auto" w:fill="E5F1FF"/>
            <w:vAlign w:val="center"/>
            <w:hideMark/>
          </w:tcPr>
          <w:p w14:paraId="37D7BB86" w14:textId="2747AB6E" w:rsidR="0033466E" w:rsidRPr="00C42990" w:rsidRDefault="0033466E" w:rsidP="00C42990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Výkaz</w:t>
            </w:r>
          </w:p>
        </w:tc>
        <w:tc>
          <w:tcPr>
            <w:tcW w:w="3912" w:type="dxa"/>
            <w:shd w:val="clear" w:color="auto" w:fill="E5F1FF"/>
            <w:vAlign w:val="center"/>
            <w:hideMark/>
          </w:tcPr>
          <w:p w14:paraId="6A41C6E3" w14:textId="7B7B4E59" w:rsidR="0033466E" w:rsidRPr="00C42990" w:rsidRDefault="0033466E" w:rsidP="00C42990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Celková nesprávnost</w:t>
            </w:r>
          </w:p>
        </w:tc>
      </w:tr>
      <w:tr w:rsidR="0033466E" w:rsidRPr="00C42990" w14:paraId="799F79B6" w14:textId="5FCA7261" w:rsidTr="00C42990">
        <w:trPr>
          <w:trHeight w:val="283"/>
        </w:trPr>
        <w:tc>
          <w:tcPr>
            <w:tcW w:w="5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0C052" w14:textId="3FB1C529" w:rsidR="0033466E" w:rsidRPr="00C42990" w:rsidRDefault="0033466E" w:rsidP="00C42990">
            <w:pPr>
              <w:spacing w:after="0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CELKOVÁ NESPRÁVNOST V ÚČETNÍ ZÁVĚRCE</w:t>
            </w:r>
          </w:p>
        </w:tc>
        <w:tc>
          <w:tcPr>
            <w:tcW w:w="3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EDA09" w14:textId="7C04D0C8" w:rsidR="0033466E" w:rsidRPr="00C42990" w:rsidRDefault="0033466E" w:rsidP="00C42990">
            <w:pPr>
              <w:spacing w:after="0"/>
              <w:ind w:right="1066"/>
              <w:jc w:val="right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404 673 761,76</w:t>
            </w:r>
          </w:p>
        </w:tc>
      </w:tr>
      <w:tr w:rsidR="0033466E" w:rsidRPr="00C42990" w14:paraId="6E591CDA" w14:textId="353D7BE5" w:rsidTr="00C42990">
        <w:trPr>
          <w:trHeight w:val="283"/>
        </w:trPr>
        <w:tc>
          <w:tcPr>
            <w:tcW w:w="5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0D3147" w14:textId="40873648" w:rsidR="0033466E" w:rsidRPr="00C42990" w:rsidRDefault="0033466E" w:rsidP="00C42990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Rozvaha</w:t>
            </w:r>
          </w:p>
        </w:tc>
        <w:tc>
          <w:tcPr>
            <w:tcW w:w="3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85BDD" w14:textId="3A143B8E" w:rsidR="0033466E" w:rsidRPr="00C42990" w:rsidRDefault="0033466E" w:rsidP="00C42990">
            <w:pPr>
              <w:spacing w:after="0"/>
              <w:ind w:right="106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131 016 965,07</w:t>
            </w:r>
          </w:p>
        </w:tc>
      </w:tr>
      <w:tr w:rsidR="0033466E" w:rsidRPr="00C42990" w14:paraId="159783DE" w14:textId="3712D94B" w:rsidTr="00C42990">
        <w:trPr>
          <w:trHeight w:val="283"/>
        </w:trPr>
        <w:tc>
          <w:tcPr>
            <w:tcW w:w="5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4C2DD" w14:textId="71C11569" w:rsidR="0033466E" w:rsidRPr="00C42990" w:rsidRDefault="0033466E" w:rsidP="00C42990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Výkaz zisku a ztráty</w:t>
            </w:r>
          </w:p>
        </w:tc>
        <w:tc>
          <w:tcPr>
            <w:tcW w:w="3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4993D" w14:textId="40AC8FBB" w:rsidR="0033466E" w:rsidRPr="00C42990" w:rsidRDefault="0033466E" w:rsidP="00C42990">
            <w:pPr>
              <w:spacing w:after="0"/>
              <w:ind w:right="106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104 563 046,50</w:t>
            </w:r>
          </w:p>
        </w:tc>
      </w:tr>
      <w:tr w:rsidR="0033466E" w:rsidRPr="00C42990" w14:paraId="3BC3D1B8" w14:textId="4FE73B2B" w:rsidTr="00C42990">
        <w:trPr>
          <w:trHeight w:val="283"/>
        </w:trPr>
        <w:tc>
          <w:tcPr>
            <w:tcW w:w="5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A92CB" w14:textId="12E034D3" w:rsidR="0033466E" w:rsidRPr="00C42990" w:rsidRDefault="0033466E" w:rsidP="00C42990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Příloha účetní závěrky (podrozvahové účty)</w:t>
            </w:r>
          </w:p>
        </w:tc>
        <w:tc>
          <w:tcPr>
            <w:tcW w:w="3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E69F5" w14:textId="35E93D73" w:rsidR="0033466E" w:rsidRPr="00C42990" w:rsidRDefault="0033466E" w:rsidP="00C42990">
            <w:pPr>
              <w:spacing w:after="0"/>
              <w:ind w:right="106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169 093 750,19</w:t>
            </w:r>
          </w:p>
        </w:tc>
      </w:tr>
    </w:tbl>
    <w:p w14:paraId="62514108" w14:textId="2168E9C0" w:rsidR="0033466E" w:rsidRPr="00C42990" w:rsidRDefault="006F3F69" w:rsidP="00C42990">
      <w:pPr>
        <w:spacing w:before="40" w:after="0"/>
        <w:rPr>
          <w:rFonts w:eastAsia="Calibri" w:cs="Calibri"/>
          <w:sz w:val="20"/>
          <w:szCs w:val="20"/>
        </w:rPr>
      </w:pPr>
      <w:r w:rsidRPr="00C42990">
        <w:rPr>
          <w:rFonts w:eastAsia="Calibri" w:cs="Calibri"/>
          <w:b/>
          <w:sz w:val="20"/>
          <w:szCs w:val="20"/>
        </w:rPr>
        <w:t>Zdroj:</w:t>
      </w:r>
      <w:r w:rsidRPr="00C42990">
        <w:rPr>
          <w:rFonts w:eastAsia="Calibri" w:cs="Calibri"/>
          <w:sz w:val="20"/>
          <w:szCs w:val="20"/>
        </w:rPr>
        <w:t xml:space="preserve"> vlastní analýza</w:t>
      </w:r>
      <w:r w:rsidR="00B033EE" w:rsidRPr="00C42990">
        <w:rPr>
          <w:rFonts w:eastAsia="Calibri" w:cs="Calibri"/>
          <w:sz w:val="20"/>
          <w:szCs w:val="20"/>
        </w:rPr>
        <w:t>.</w:t>
      </w:r>
    </w:p>
    <w:p w14:paraId="4466C29B" w14:textId="77777777" w:rsidR="006F3F69" w:rsidRDefault="006F3F69" w:rsidP="00C42990">
      <w:pPr>
        <w:spacing w:after="0"/>
        <w:jc w:val="both"/>
        <w:rPr>
          <w:rFonts w:cs="Calibri"/>
        </w:rPr>
      </w:pPr>
    </w:p>
    <w:p w14:paraId="7EFD0738" w14:textId="3996EB6F" w:rsidR="003735C6" w:rsidRDefault="005E36A3" w:rsidP="00C42990">
      <w:pPr>
        <w:spacing w:after="0"/>
        <w:jc w:val="both"/>
        <w:rPr>
          <w:rFonts w:cs="Calibri"/>
        </w:rPr>
      </w:pPr>
      <w:r>
        <w:rPr>
          <w:rFonts w:cs="Calibri"/>
          <w:b/>
        </w:rPr>
        <w:t>C</w:t>
      </w:r>
      <w:r w:rsidR="003735C6">
        <w:rPr>
          <w:rFonts w:cs="Calibri"/>
          <w:b/>
        </w:rPr>
        <w:t>elková částka nesprávností</w:t>
      </w:r>
      <w:r w:rsidR="003735C6">
        <w:rPr>
          <w:rFonts w:cs="Calibri"/>
        </w:rPr>
        <w:t>, které byly v průběhu kontr</w:t>
      </w:r>
      <w:r w:rsidR="00B033EE">
        <w:rPr>
          <w:rFonts w:cs="Calibri"/>
        </w:rPr>
        <w:t>oly zjištěny a vyčísleny v ÚZ a </w:t>
      </w:r>
      <w:r w:rsidR="003735C6">
        <w:rPr>
          <w:rFonts w:cs="Calibri"/>
        </w:rPr>
        <w:t xml:space="preserve">Ministerstvem obrany již nebyly opraveny, </w:t>
      </w:r>
      <w:r w:rsidR="003735C6">
        <w:rPr>
          <w:rFonts w:cs="Calibri"/>
          <w:b/>
        </w:rPr>
        <w:t>není významná</w:t>
      </w:r>
      <w:r w:rsidR="003735C6" w:rsidRPr="00555A33">
        <w:rPr>
          <w:rFonts w:cs="Calibri"/>
          <w:b/>
        </w:rPr>
        <w:t>.</w:t>
      </w:r>
      <w:r w:rsidR="003735C6">
        <w:rPr>
          <w:rFonts w:cs="Calibri"/>
        </w:rPr>
        <w:t xml:space="preserve"> </w:t>
      </w:r>
    </w:p>
    <w:p w14:paraId="2F7AF466" w14:textId="77777777" w:rsidR="003735C6" w:rsidRDefault="003735C6" w:rsidP="00C42990">
      <w:pPr>
        <w:spacing w:after="0"/>
        <w:jc w:val="both"/>
        <w:rPr>
          <w:rFonts w:cs="Calibri"/>
        </w:rPr>
      </w:pPr>
    </w:p>
    <w:p w14:paraId="560EA828" w14:textId="30DC8492" w:rsidR="00D2616D" w:rsidRDefault="00D2616D" w:rsidP="00C42990">
      <w:pPr>
        <w:spacing w:after="0"/>
        <w:jc w:val="both"/>
        <w:rPr>
          <w:rFonts w:asciiTheme="minorHAnsi" w:eastAsiaTheme="minorHAnsi" w:hAnsiTheme="minorHAnsi" w:cs="Calibri"/>
        </w:rPr>
      </w:pPr>
      <w:r w:rsidRPr="003634E8">
        <w:rPr>
          <w:rFonts w:asciiTheme="minorHAnsi" w:eastAsiaTheme="minorHAnsi" w:hAnsiTheme="minorHAnsi" w:cs="Calibri"/>
        </w:rPr>
        <w:t xml:space="preserve">Bližší informace o skutečnostech zjištěných v oblasti účetnictví jsou </w:t>
      </w:r>
      <w:r w:rsidRPr="0069206B">
        <w:rPr>
          <w:rFonts w:asciiTheme="minorHAnsi" w:eastAsiaTheme="minorHAnsi" w:hAnsiTheme="minorHAnsi" w:cs="Calibri"/>
        </w:rPr>
        <w:t xml:space="preserve">uvedeny </w:t>
      </w:r>
      <w:r w:rsidRPr="00DC4129">
        <w:rPr>
          <w:rFonts w:asciiTheme="minorHAnsi" w:eastAsiaTheme="minorHAnsi" w:hAnsiTheme="minorHAnsi" w:cs="Calibri"/>
        </w:rPr>
        <w:t>v</w:t>
      </w:r>
      <w:r w:rsidR="00C42990">
        <w:rPr>
          <w:rFonts w:asciiTheme="minorHAnsi" w:eastAsiaTheme="minorHAnsi" w:hAnsiTheme="minorHAnsi" w:cs="Calibri"/>
        </w:rPr>
        <w:t> </w:t>
      </w:r>
      <w:r w:rsidRPr="00DC4129">
        <w:rPr>
          <w:rFonts w:asciiTheme="minorHAnsi" w:eastAsiaTheme="minorHAnsi" w:hAnsiTheme="minorHAnsi" w:cs="Calibri"/>
        </w:rPr>
        <w:t>části</w:t>
      </w:r>
      <w:r w:rsidR="00C42990">
        <w:rPr>
          <w:rFonts w:asciiTheme="minorHAnsi" w:eastAsiaTheme="minorHAnsi" w:hAnsiTheme="minorHAnsi" w:cs="Calibri"/>
        </w:rPr>
        <w:t xml:space="preserve"> </w:t>
      </w:r>
      <w:r w:rsidRPr="00DC4129">
        <w:rPr>
          <w:rFonts w:asciiTheme="minorHAnsi" w:eastAsiaTheme="minorHAnsi" w:hAnsiTheme="minorHAnsi" w:cs="Calibri"/>
        </w:rPr>
        <w:t>I</w:t>
      </w:r>
      <w:r w:rsidR="00185710">
        <w:rPr>
          <w:rFonts w:asciiTheme="minorHAnsi" w:eastAsiaTheme="minorHAnsi" w:hAnsiTheme="minorHAnsi" w:cs="Calibri"/>
        </w:rPr>
        <w:t>V</w:t>
      </w:r>
      <w:r w:rsidRPr="00DC4129">
        <w:rPr>
          <w:rFonts w:asciiTheme="minorHAnsi" w:eastAsiaTheme="minorHAnsi" w:hAnsiTheme="minorHAnsi" w:cs="Calibri"/>
        </w:rPr>
        <w:t>.</w:t>
      </w:r>
      <w:r w:rsidR="00C42990">
        <w:rPr>
          <w:rFonts w:asciiTheme="minorHAnsi" w:eastAsiaTheme="minorHAnsi" w:hAnsiTheme="minorHAnsi" w:cs="Calibri"/>
        </w:rPr>
        <w:t> </w:t>
      </w:r>
      <w:r w:rsidRPr="00DC4129">
        <w:rPr>
          <w:rFonts w:asciiTheme="minorHAnsi" w:eastAsiaTheme="minorHAnsi" w:hAnsiTheme="minorHAnsi" w:cs="Calibri"/>
        </w:rPr>
        <w:t>tohoto kontrolníh</w:t>
      </w:r>
      <w:r w:rsidRPr="0069206B">
        <w:rPr>
          <w:rFonts w:asciiTheme="minorHAnsi" w:eastAsiaTheme="minorHAnsi" w:hAnsiTheme="minorHAnsi" w:cs="Calibri"/>
        </w:rPr>
        <w:t>o závěru.</w:t>
      </w:r>
      <w:r w:rsidRPr="003634E8">
        <w:rPr>
          <w:rFonts w:asciiTheme="minorHAnsi" w:eastAsiaTheme="minorHAnsi" w:hAnsiTheme="minorHAnsi" w:cs="Calibri"/>
        </w:rPr>
        <w:t xml:space="preserve"> </w:t>
      </w:r>
    </w:p>
    <w:p w14:paraId="417AFF33" w14:textId="77777777" w:rsidR="00C42990" w:rsidRPr="0069206B" w:rsidRDefault="00C42990" w:rsidP="00C42990">
      <w:pPr>
        <w:spacing w:after="0"/>
        <w:jc w:val="both"/>
        <w:rPr>
          <w:rFonts w:asciiTheme="minorHAnsi" w:eastAsiaTheme="minorHAnsi" w:hAnsiTheme="minorHAnsi" w:cs="Calibri"/>
        </w:rPr>
      </w:pPr>
    </w:p>
    <w:p w14:paraId="60128D68" w14:textId="78E02633" w:rsidR="0033466E" w:rsidRDefault="00965C4E" w:rsidP="0033466E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4E9F" wp14:editId="3D2982FE">
                <wp:simplePos x="0" y="0"/>
                <wp:positionH relativeFrom="column">
                  <wp:posOffset>-24130</wp:posOffset>
                </wp:positionH>
                <wp:positionV relativeFrom="paragraph">
                  <wp:posOffset>26670</wp:posOffset>
                </wp:positionV>
                <wp:extent cx="5873750" cy="9525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952500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826F5" w14:textId="371F2E11" w:rsidR="00BA15A2" w:rsidRPr="00D31E6E" w:rsidRDefault="00BA15A2" w:rsidP="00DD6C78">
                            <w:pPr>
                              <w:shd w:val="clear" w:color="auto" w:fill="E5F1FF"/>
                              <w:spacing w:before="120" w:line="288" w:lineRule="auto"/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 w:rsidRPr="00DD6C78">
                              <w:rPr>
                                <w:rFonts w:cs="Arial"/>
                                <w:b/>
                              </w:rPr>
                              <w:t>Podle názoru Nejvyššího kontrolního úřadu účetní závěrka MO sestavená k 31. prosinci 2017 podává věrný a poctivý obraz předmětu účetnictví a finanční situace účetní jednotky dle účetních předpisů pro některé vybrané účetní jednotky.</w:t>
                            </w:r>
                          </w:p>
                          <w:p w14:paraId="77C9F43E" w14:textId="77777777" w:rsidR="00BA15A2" w:rsidRDefault="00BA15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A4E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.9pt;margin-top:2.1pt;width:462.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3qTgIAAH8EAAAOAAAAZHJzL2Uyb0RvYy54bWysVMFuGjEQvVfqP1i+NwsEQoJYIpqUqlKU&#10;REqqnI3XCyt5Pa5t2KV/1O/oj/XZC4SmPVW9eMee5/HMezM7vW5rzbbK+YpMzvtnPc6UkVRUZpXz&#10;r8+LD5ec+SBMITQZlfOd8vx69v7dtLETNaA16UI5hiDGTxqb83UIdpJlXq5VLfwZWWXgLMnVImDr&#10;VlnhRIPotc4Gvd5F1pArrCOpvMfpbefksxS/LJUMD2XpVWA658gtpNWldRnXbDYVk5UTdl3JfRri&#10;H7KoRWXw6DHUrQiCbVz1R6i6ko48leFMUp1RWVZSpRpQTb/3ppqntbAq1QJyvD3S5P9fWHm/fXSs&#10;KnI+4MyIGhI9qzbQ9ucPZkkrNogUNdZPgHyywIb2I7WQ+nDucRgrb0tXxy9qYvCD7N2RYERkEoej&#10;y/H5eASXhO9qNBj1kgLZ623rfPisqGbRyLmDgIlXsb3zAZkAeoDExzzpqlhUWqeNWy1vtGNbAbE/&#10;jRb9xSImiSu/wbRhTc4vzpFHvGUo3u9w2gAei+2KilZol+2egSUVOxDgqOsib+WiQpZ3wodH4dA2&#10;KAyjEB6wlJrwCO0tztbkvv/tPOKhJrycNWjDnPtvG+EUZ/qLgc5X/eEw9m3aDEfjATbu1LM89ZhN&#10;fUMovo+hszKZER/0wSwd1S+YmHl8FS5hJN7OeTiYN6EbDkycVPN5AqFTrQh35snKGDqSFjV4bl+E&#10;s3uhAiS+p0PDiskbvTpsR/d8E6iskpiR4I7VPe/o8iTYfiLjGJ3uE+r1vzH7BQAA//8DAFBLAwQU&#10;AAYACAAAACEATkysfN4AAAAIAQAADwAAAGRycy9kb3ducmV2LnhtbEyPMU/DMBCFdyT+g3VILKh1&#10;GiiCEKeKihAMMLSwsLnxEUfY5yh22uTfc0yw3d17eve9cjN5J444xC6QgtUyA4HUBNNRq+Dj/Wlx&#10;ByImTUa7QKhgxgib6vys1IUJJ9rhcZ9awSEUC63AptQXUsbGotdxGXok1r7C4HXidWilGfSJw72T&#10;eZbdSq874g9W97i12HzvR88p6/F57uqXx/mzuXrb2Xrr2tdZqcuLqX4AkXBKf2b4xWd0qJjpEEYy&#10;UTgFi2smTwpuchAs3+crHg7sW/NFVqX8X6D6AQAA//8DAFBLAQItABQABgAIAAAAIQC2gziS/gAA&#10;AOEBAAATAAAAAAAAAAAAAAAAAAAAAABbQ29udGVudF9UeXBlc10ueG1sUEsBAi0AFAAGAAgAAAAh&#10;ADj9If/WAAAAlAEAAAsAAAAAAAAAAAAAAAAALwEAAF9yZWxzLy5yZWxzUEsBAi0AFAAGAAgAAAAh&#10;AJhB7epOAgAAfwQAAA4AAAAAAAAAAAAAAAAALgIAAGRycy9lMm9Eb2MueG1sUEsBAi0AFAAGAAgA&#10;AAAhAE5MrHzeAAAACAEAAA8AAAAAAAAAAAAAAAAAqAQAAGRycy9kb3ducmV2LnhtbFBLBQYAAAAA&#10;BAAEAPMAAACzBQAAAAA=&#10;" fillcolor="#e5f1ff" stroked="f" strokeweight=".5pt">
                <v:textbox>
                  <w:txbxContent>
                    <w:p w14:paraId="3B9826F5" w14:textId="371F2E11" w:rsidR="00BA15A2" w:rsidRPr="00D31E6E" w:rsidRDefault="00BA15A2" w:rsidP="00DD6C78">
                      <w:pPr>
                        <w:shd w:val="clear" w:color="auto" w:fill="E5F1FF"/>
                        <w:spacing w:before="120" w:line="288" w:lineRule="auto"/>
                        <w:jc w:val="both"/>
                        <w:rPr>
                          <w:rFonts w:cs="Arial"/>
                          <w:b/>
                        </w:rPr>
                      </w:pPr>
                      <w:r w:rsidRPr="00DD6C78">
                        <w:rPr>
                          <w:rFonts w:cs="Arial"/>
                          <w:b/>
                        </w:rPr>
                        <w:t>Podle názoru Nejvyššího kontrolního úřadu účetní závěrka MO sestavená k 31. prosinci 2017 podává věrný a poctivý obraz předmětu účetnictví a finanční situace účetní jednotky dle účetních předpisů pro některé vybrané účetní jednotky.</w:t>
                      </w:r>
                    </w:p>
                    <w:p w14:paraId="77C9F43E" w14:textId="77777777" w:rsidR="00BA15A2" w:rsidRDefault="00BA15A2"/>
                  </w:txbxContent>
                </v:textbox>
              </v:shape>
            </w:pict>
          </mc:Fallback>
        </mc:AlternateContent>
      </w:r>
    </w:p>
    <w:p w14:paraId="37F886C1" w14:textId="6FAF8A37" w:rsidR="008D381A" w:rsidRDefault="008D381A" w:rsidP="0033466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0B52696" w14:textId="08173767" w:rsidR="003735C6" w:rsidRDefault="003735C6" w:rsidP="0033466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DB52981" w14:textId="5FCD7EE2" w:rsidR="003735C6" w:rsidRDefault="003735C6" w:rsidP="0033466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98984AF" w14:textId="7B6E8DE0" w:rsidR="003735C6" w:rsidRDefault="003735C6" w:rsidP="0033466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B45D404" w14:textId="77777777" w:rsidR="003735C6" w:rsidRDefault="003735C6" w:rsidP="00C42990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2C7C8FD" w14:textId="4728DBA6" w:rsidR="0033466E" w:rsidRPr="00C42990" w:rsidRDefault="00C42990" w:rsidP="00C42990">
      <w:pPr>
        <w:pStyle w:val="Nadpis2"/>
        <w:numPr>
          <w:ilvl w:val="0"/>
          <w:numId w:val="0"/>
        </w:numPr>
        <w:spacing w:after="0" w:line="240" w:lineRule="auto"/>
        <w:contextualSpacing w:val="0"/>
        <w:rPr>
          <w:rFonts w:ascii="Calibri" w:hAnsi="Calibri" w:cs="Calibri"/>
        </w:rPr>
      </w:pPr>
      <w:r w:rsidRPr="00C42990">
        <w:rPr>
          <w:rFonts w:ascii="Calibri" w:hAnsi="Calibri" w:cs="Calibri"/>
        </w:rPr>
        <w:t xml:space="preserve">2. </w:t>
      </w:r>
      <w:r w:rsidR="0033466E" w:rsidRPr="00C42990">
        <w:rPr>
          <w:rFonts w:ascii="Calibri" w:hAnsi="Calibri" w:cs="Calibri"/>
        </w:rPr>
        <w:t>Údaje předkládané pro hodnocení plnění státního rozpočtu</w:t>
      </w:r>
    </w:p>
    <w:p w14:paraId="12A33861" w14:textId="77777777" w:rsidR="00C42990" w:rsidRDefault="00C42990" w:rsidP="00C42990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1FA4164E" w14:textId="794984A8" w:rsidR="0033466E" w:rsidRDefault="0033466E" w:rsidP="00C42990">
      <w:pPr>
        <w:pStyle w:val="Textpoznpodarou"/>
        <w:jc w:val="both"/>
        <w:rPr>
          <w:rFonts w:ascii="Calibri" w:hAnsi="Calibri" w:cs="Calibri"/>
          <w:sz w:val="24"/>
          <w:szCs w:val="24"/>
        </w:rPr>
      </w:pPr>
      <w:r w:rsidRPr="00C42990">
        <w:rPr>
          <w:rFonts w:ascii="Calibri" w:eastAsiaTheme="minorHAnsi" w:hAnsi="Calibri" w:cs="Calibri"/>
          <w:b/>
          <w:sz w:val="24"/>
          <w:szCs w:val="24"/>
        </w:rPr>
        <w:t>Kontrolou vybraných údajů</w:t>
      </w:r>
      <w:r w:rsidRPr="00C42990">
        <w:rPr>
          <w:rFonts w:ascii="Calibri" w:eastAsiaTheme="minorHAnsi" w:hAnsi="Calibri" w:cs="Calibri"/>
          <w:sz w:val="24"/>
          <w:szCs w:val="24"/>
        </w:rPr>
        <w:t xml:space="preserve"> vložených MO do rozpočtového systému byly zjištěny </w:t>
      </w:r>
      <w:r w:rsidRPr="00C42990">
        <w:rPr>
          <w:rFonts w:ascii="Calibri" w:eastAsiaTheme="minorHAnsi" w:hAnsi="Calibri" w:cs="Calibri"/>
          <w:b/>
          <w:sz w:val="24"/>
          <w:szCs w:val="24"/>
        </w:rPr>
        <w:t>nesprávnosti v celkové výši 115,82 mil. Kč</w:t>
      </w:r>
      <w:r w:rsidRPr="00555A33">
        <w:rPr>
          <w:rFonts w:ascii="Calibri" w:eastAsiaTheme="minorHAnsi" w:hAnsi="Calibri" w:cs="Calibri"/>
          <w:b/>
          <w:sz w:val="24"/>
          <w:szCs w:val="24"/>
        </w:rPr>
        <w:t>.</w:t>
      </w:r>
      <w:r w:rsidRPr="00C42990">
        <w:rPr>
          <w:rFonts w:ascii="Calibri" w:hAnsi="Calibri" w:cs="Calibri"/>
          <w:sz w:val="24"/>
          <w:szCs w:val="24"/>
        </w:rPr>
        <w:t xml:space="preserve"> </w:t>
      </w:r>
      <w:r w:rsidR="00687661" w:rsidRPr="00C42990">
        <w:rPr>
          <w:rFonts w:ascii="Calibri" w:hAnsi="Calibri" w:cs="Calibri"/>
          <w:sz w:val="24"/>
          <w:szCs w:val="24"/>
        </w:rPr>
        <w:t>Zjištěná chyb</w:t>
      </w:r>
      <w:r w:rsidR="005D3D9A" w:rsidRPr="00C42990">
        <w:rPr>
          <w:rFonts w:ascii="Calibri" w:hAnsi="Calibri" w:cs="Calibri"/>
          <w:sz w:val="24"/>
          <w:szCs w:val="24"/>
        </w:rPr>
        <w:t>a</w:t>
      </w:r>
      <w:r w:rsidR="00650F12" w:rsidRPr="00C42990">
        <w:rPr>
          <w:rFonts w:ascii="Calibri" w:hAnsi="Calibri" w:cs="Calibri"/>
          <w:sz w:val="24"/>
          <w:szCs w:val="24"/>
        </w:rPr>
        <w:t xml:space="preserve"> v údajích předkládaných pro hodnocení plnění státního rozpočtu za rok 20</w:t>
      </w:r>
      <w:r w:rsidR="008B4CE8" w:rsidRPr="00C42990">
        <w:rPr>
          <w:rFonts w:ascii="Calibri" w:hAnsi="Calibri" w:cs="Calibri"/>
          <w:sz w:val="24"/>
          <w:szCs w:val="24"/>
        </w:rPr>
        <w:t>17 nebyla významná</w:t>
      </w:r>
      <w:r w:rsidR="008B4CE8" w:rsidRPr="00C42990">
        <w:rPr>
          <w:rFonts w:ascii="Calibri" w:eastAsia="Calibri" w:hAnsi="Calibri" w:cs="Calibri"/>
          <w:sz w:val="24"/>
          <w:szCs w:val="24"/>
        </w:rPr>
        <w:t xml:space="preserve"> (</w:t>
      </w:r>
      <w:r w:rsidR="008B4CE8" w:rsidRPr="00C42990">
        <w:rPr>
          <w:rFonts w:ascii="Calibri" w:hAnsi="Calibri" w:cs="Calibri"/>
          <w:sz w:val="24"/>
          <w:szCs w:val="24"/>
        </w:rPr>
        <w:t>viz tabulka č. 2).</w:t>
      </w:r>
    </w:p>
    <w:p w14:paraId="147321D6" w14:textId="77777777" w:rsidR="00C42990" w:rsidRPr="00C42990" w:rsidRDefault="00C42990" w:rsidP="00C42990">
      <w:pPr>
        <w:pStyle w:val="Textpoznpodarou"/>
        <w:jc w:val="both"/>
        <w:rPr>
          <w:rFonts w:ascii="Calibri" w:hAnsi="Calibri" w:cs="Calibri"/>
          <w:sz w:val="24"/>
          <w:szCs w:val="24"/>
        </w:rPr>
      </w:pPr>
    </w:p>
    <w:p w14:paraId="047213C1" w14:textId="4781CFEA" w:rsidR="00012608" w:rsidRPr="007A748F" w:rsidRDefault="00012608" w:rsidP="002B281A">
      <w:pPr>
        <w:keepNext/>
        <w:shd w:val="clear" w:color="auto" w:fill="FFFFFF" w:themeFill="background1"/>
        <w:tabs>
          <w:tab w:val="right" w:pos="9072"/>
        </w:tabs>
        <w:spacing w:after="40"/>
        <w:ind w:left="1276" w:hanging="1276"/>
        <w:jc w:val="both"/>
        <w:rPr>
          <w:rFonts w:asciiTheme="minorHAnsi" w:eastAsiaTheme="minorHAnsi" w:hAnsiTheme="minorHAnsi" w:cstheme="minorHAnsi"/>
          <w:b/>
        </w:rPr>
      </w:pPr>
      <w:r w:rsidRPr="007A748F">
        <w:rPr>
          <w:rFonts w:asciiTheme="minorHAnsi" w:eastAsiaTheme="minorHAnsi" w:hAnsiTheme="minorHAnsi" w:cstheme="minorHAnsi"/>
          <w:b/>
        </w:rPr>
        <w:t xml:space="preserve">Tabulka č. </w:t>
      </w:r>
      <w:r>
        <w:rPr>
          <w:rFonts w:asciiTheme="minorHAnsi" w:eastAsiaTheme="minorHAnsi" w:hAnsiTheme="minorHAnsi" w:cstheme="minorHAnsi"/>
          <w:b/>
        </w:rPr>
        <w:t>2:</w:t>
      </w:r>
      <w:r w:rsidRPr="007A748F">
        <w:rPr>
          <w:rFonts w:asciiTheme="minorHAnsi" w:eastAsiaTheme="minorHAnsi" w:hAnsiTheme="minorHAnsi" w:cstheme="minorHAnsi"/>
          <w:b/>
        </w:rPr>
        <w:t xml:space="preserve"> </w:t>
      </w:r>
      <w:r w:rsidR="00C42990">
        <w:rPr>
          <w:rFonts w:asciiTheme="minorHAnsi" w:eastAsiaTheme="minorHAnsi" w:hAnsiTheme="minorHAnsi" w:cstheme="minorHAnsi"/>
          <w:b/>
        </w:rPr>
        <w:tab/>
      </w:r>
      <w:r w:rsidRPr="007A748F">
        <w:rPr>
          <w:rFonts w:asciiTheme="minorHAnsi" w:eastAsiaTheme="minorHAnsi" w:hAnsiTheme="minorHAnsi" w:cstheme="minorHAnsi"/>
          <w:b/>
        </w:rPr>
        <w:t>Přehled</w:t>
      </w:r>
      <w:r>
        <w:rPr>
          <w:rFonts w:asciiTheme="minorHAnsi" w:eastAsiaTheme="minorHAnsi" w:hAnsiTheme="minorHAnsi" w:cstheme="minorHAnsi"/>
          <w:b/>
        </w:rPr>
        <w:t xml:space="preserve"> vyčíslených</w:t>
      </w:r>
      <w:r w:rsidRPr="007A748F">
        <w:rPr>
          <w:rFonts w:asciiTheme="minorHAnsi" w:eastAsiaTheme="minorHAnsi" w:hAnsiTheme="minorHAnsi" w:cstheme="minorHAnsi"/>
          <w:b/>
        </w:rPr>
        <w:t xml:space="preserve"> nesprávností zjištěných </w:t>
      </w:r>
      <w:r>
        <w:rPr>
          <w:rFonts w:asciiTheme="minorHAnsi" w:eastAsiaTheme="minorHAnsi" w:hAnsiTheme="minorHAnsi" w:cstheme="minorHAnsi"/>
          <w:b/>
        </w:rPr>
        <w:t>ve výkazu pro hodnocení plnění rozpočtu</w:t>
      </w:r>
      <w:r w:rsidRPr="007A748F">
        <w:rPr>
          <w:rFonts w:asciiTheme="minorHAnsi" w:eastAsiaTheme="minorHAnsi" w:hAnsiTheme="minorHAnsi" w:cstheme="minorHAnsi"/>
          <w:b/>
        </w:rPr>
        <w:t xml:space="preserve"> </w:t>
      </w:r>
      <w:r w:rsidRPr="007A748F">
        <w:rPr>
          <w:rFonts w:asciiTheme="minorHAnsi" w:eastAsiaTheme="minorHAnsi" w:hAnsiTheme="minorHAnsi" w:cstheme="minorHAnsi"/>
          <w:b/>
        </w:rPr>
        <w:tab/>
        <w:t>(v Kč)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2292"/>
      </w:tblGrid>
      <w:tr w:rsidR="00012608" w:rsidRPr="00C42990" w14:paraId="29C6E18A" w14:textId="77777777" w:rsidTr="00C42990">
        <w:trPr>
          <w:trHeight w:val="28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5F004E40" w14:textId="77777777" w:rsidR="00012608" w:rsidRPr="00C42990" w:rsidRDefault="00012608" w:rsidP="00C4299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>Nesprávnost ve výkazu pro hodnocení plnění rozpočtu</w:t>
            </w:r>
          </w:p>
        </w:tc>
      </w:tr>
      <w:tr w:rsidR="00012608" w:rsidRPr="00C42990" w14:paraId="2AC8AEA1" w14:textId="77777777" w:rsidTr="00C42990">
        <w:trPr>
          <w:trHeight w:val="283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4DC74160" w14:textId="77777777" w:rsidR="00012608" w:rsidRPr="00C42990" w:rsidRDefault="00012608" w:rsidP="00C4299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>Položka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7023DC55" w14:textId="77777777" w:rsidR="00012608" w:rsidRPr="00C42990" w:rsidRDefault="00012608" w:rsidP="00C42990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>Celková nesprávnost</w:t>
            </w:r>
          </w:p>
        </w:tc>
      </w:tr>
      <w:tr w:rsidR="00012608" w:rsidRPr="00C42990" w14:paraId="2AD589E8" w14:textId="77777777" w:rsidTr="00C42990">
        <w:trPr>
          <w:trHeight w:val="283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12CE" w14:textId="5BA37997" w:rsidR="00012608" w:rsidRPr="00C42990" w:rsidRDefault="00012608" w:rsidP="00310854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CELKOVÁ NESPRÁNOST </w:t>
            </w:r>
            <w:r w:rsidR="00310854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VYKÁZANÝCH </w:t>
            </w:r>
            <w:r w:rsidRPr="00C42990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>PŘÍJM</w:t>
            </w:r>
            <w:r w:rsidR="00310854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>Ů</w:t>
            </w:r>
            <w:r w:rsidRPr="00C42990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 A VÝDAJ</w:t>
            </w:r>
            <w:r w:rsidR="00310854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>Ů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4B25" w14:textId="77777777" w:rsidR="00012608" w:rsidRPr="00C42990" w:rsidRDefault="00012608" w:rsidP="00C42990">
            <w:pPr>
              <w:spacing w:after="0"/>
              <w:ind w:right="356"/>
              <w:jc w:val="right"/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b/>
                <w:bCs/>
                <w:color w:val="000000"/>
                <w:sz w:val="20"/>
                <w:szCs w:val="22"/>
                <w:lang w:eastAsia="cs-CZ"/>
              </w:rPr>
              <w:t>115 824 133,60</w:t>
            </w:r>
          </w:p>
        </w:tc>
      </w:tr>
      <w:tr w:rsidR="00012608" w:rsidRPr="00C42990" w14:paraId="568DE1EE" w14:textId="77777777" w:rsidTr="00C42990">
        <w:trPr>
          <w:trHeight w:val="283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D5A" w14:textId="77777777" w:rsidR="00012608" w:rsidRPr="00C42990" w:rsidRDefault="00012608" w:rsidP="00012608">
            <w:pPr>
              <w:spacing w:after="0"/>
              <w:rPr>
                <w:rFonts w:cs="Calibri"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color w:val="000000"/>
                <w:sz w:val="20"/>
                <w:szCs w:val="22"/>
                <w:lang w:eastAsia="cs-CZ"/>
              </w:rPr>
              <w:t>Příjmy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2EE6" w14:textId="77777777" w:rsidR="00012608" w:rsidRPr="00C42990" w:rsidRDefault="00012608" w:rsidP="00C42990">
            <w:pPr>
              <w:spacing w:after="0"/>
              <w:ind w:right="356"/>
              <w:jc w:val="right"/>
              <w:rPr>
                <w:rFonts w:cs="Calibri"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color w:val="000000"/>
                <w:sz w:val="20"/>
                <w:szCs w:val="22"/>
                <w:lang w:eastAsia="cs-CZ"/>
              </w:rPr>
              <w:t>38 724 834,56</w:t>
            </w:r>
          </w:p>
        </w:tc>
      </w:tr>
      <w:tr w:rsidR="00012608" w:rsidRPr="00C42990" w14:paraId="5FECA330" w14:textId="77777777" w:rsidTr="00C42990">
        <w:trPr>
          <w:trHeight w:val="283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4007" w14:textId="77777777" w:rsidR="00012608" w:rsidRPr="00C42990" w:rsidRDefault="00012608" w:rsidP="00012608">
            <w:pPr>
              <w:spacing w:after="0"/>
              <w:rPr>
                <w:rFonts w:cs="Calibri"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color w:val="000000"/>
                <w:sz w:val="20"/>
                <w:szCs w:val="22"/>
                <w:lang w:eastAsia="cs-CZ"/>
              </w:rPr>
              <w:t>Výdaje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1AD8" w14:textId="77777777" w:rsidR="00012608" w:rsidRPr="00C42990" w:rsidRDefault="00012608" w:rsidP="00C42990">
            <w:pPr>
              <w:spacing w:after="0"/>
              <w:ind w:right="356"/>
              <w:jc w:val="right"/>
              <w:rPr>
                <w:rFonts w:cs="Calibri"/>
                <w:color w:val="000000"/>
                <w:sz w:val="20"/>
                <w:szCs w:val="22"/>
                <w:lang w:eastAsia="cs-CZ"/>
              </w:rPr>
            </w:pPr>
            <w:r w:rsidRPr="00C42990">
              <w:rPr>
                <w:rFonts w:cs="Calibri"/>
                <w:color w:val="000000"/>
                <w:sz w:val="20"/>
                <w:szCs w:val="22"/>
                <w:lang w:eastAsia="cs-CZ"/>
              </w:rPr>
              <w:t>77 099 299,04</w:t>
            </w:r>
          </w:p>
        </w:tc>
      </w:tr>
    </w:tbl>
    <w:p w14:paraId="0AD383C7" w14:textId="310D1118" w:rsidR="008B08AD" w:rsidRPr="00C42990" w:rsidRDefault="008B08AD" w:rsidP="00C42990">
      <w:pPr>
        <w:spacing w:before="40" w:after="0"/>
        <w:rPr>
          <w:rFonts w:eastAsia="Calibri" w:cs="Calibri"/>
          <w:sz w:val="20"/>
          <w:szCs w:val="20"/>
        </w:rPr>
      </w:pPr>
      <w:r w:rsidRPr="00C42990">
        <w:rPr>
          <w:rFonts w:eastAsia="Calibri" w:cs="Calibri"/>
          <w:b/>
          <w:sz w:val="20"/>
          <w:szCs w:val="20"/>
        </w:rPr>
        <w:t>Zdroj:</w:t>
      </w:r>
      <w:r w:rsidRPr="00C42990">
        <w:rPr>
          <w:rFonts w:eastAsia="Calibri" w:cs="Calibri"/>
          <w:sz w:val="20"/>
          <w:szCs w:val="20"/>
        </w:rPr>
        <w:t xml:space="preserve"> vlastní analýza</w:t>
      </w:r>
      <w:r w:rsidR="008078B0" w:rsidRPr="00C42990">
        <w:rPr>
          <w:rFonts w:eastAsia="Calibri" w:cs="Calibri"/>
          <w:sz w:val="20"/>
          <w:szCs w:val="20"/>
        </w:rPr>
        <w:t>.</w:t>
      </w:r>
    </w:p>
    <w:p w14:paraId="5DFD38BD" w14:textId="77777777" w:rsidR="00012608" w:rsidRDefault="00012608" w:rsidP="00C42990">
      <w:pPr>
        <w:pStyle w:val="Textpoznpodarou"/>
        <w:jc w:val="both"/>
        <w:rPr>
          <w:rFonts w:asciiTheme="minorHAnsi" w:hAnsiTheme="minorHAnsi" w:cstheme="minorHAnsi"/>
          <w:sz w:val="24"/>
          <w:szCs w:val="24"/>
        </w:rPr>
      </w:pPr>
    </w:p>
    <w:p w14:paraId="77AABBC8" w14:textId="5014F81F" w:rsidR="0033466E" w:rsidRDefault="0033466E" w:rsidP="00C42990">
      <w:pPr>
        <w:spacing w:after="0"/>
        <w:jc w:val="both"/>
        <w:rPr>
          <w:rFonts w:asciiTheme="minorHAnsi" w:eastAsiaTheme="minorHAnsi" w:hAnsiTheme="minorHAnsi" w:cstheme="minorHAnsi"/>
        </w:rPr>
      </w:pPr>
      <w:r w:rsidRPr="004C76A5">
        <w:rPr>
          <w:rFonts w:asciiTheme="minorHAnsi" w:hAnsiTheme="minorHAnsi" w:cs="Calibri"/>
          <w:b/>
        </w:rPr>
        <w:t>Tyto nesprávnosti vznikly zejména nesprávným zatříděním výdajů související</w:t>
      </w:r>
      <w:r w:rsidR="000E2C95">
        <w:rPr>
          <w:rFonts w:asciiTheme="minorHAnsi" w:hAnsiTheme="minorHAnsi" w:cs="Calibri"/>
          <w:b/>
        </w:rPr>
        <w:t>ch</w:t>
      </w:r>
      <w:r w:rsidRPr="004C76A5">
        <w:rPr>
          <w:rFonts w:asciiTheme="minorHAnsi" w:hAnsiTheme="minorHAnsi" w:cs="Calibri"/>
          <w:b/>
        </w:rPr>
        <w:t xml:space="preserve"> s informačními a komunikačními technologiemi na položk</w:t>
      </w:r>
      <w:r w:rsidR="00B406C8">
        <w:rPr>
          <w:rFonts w:asciiTheme="minorHAnsi" w:hAnsiTheme="minorHAnsi" w:cs="Calibri"/>
          <w:b/>
        </w:rPr>
        <w:t>u</w:t>
      </w:r>
      <w:r w:rsidRPr="004C76A5">
        <w:rPr>
          <w:rFonts w:asciiTheme="minorHAnsi" w:hAnsiTheme="minorHAnsi" w:cs="Calibri"/>
          <w:b/>
        </w:rPr>
        <w:t xml:space="preserve"> rozpočtové skladby 5169 – </w:t>
      </w:r>
      <w:r w:rsidRPr="004C76A5">
        <w:rPr>
          <w:rFonts w:asciiTheme="minorHAnsi" w:hAnsiTheme="minorHAnsi" w:cs="Calibri"/>
          <w:b/>
          <w:i/>
        </w:rPr>
        <w:t>Nákup ostatních služeb</w:t>
      </w:r>
      <w:r w:rsidRPr="00555A33">
        <w:rPr>
          <w:rFonts w:asciiTheme="minorHAnsi" w:hAnsiTheme="minorHAnsi" w:cs="Calibri"/>
          <w:b/>
        </w:rPr>
        <w:t>,</w:t>
      </w:r>
      <w:r w:rsidRPr="004C76A5">
        <w:rPr>
          <w:rFonts w:asciiTheme="minorHAnsi" w:hAnsiTheme="minorHAnsi" w:cs="Calibri"/>
          <w:b/>
          <w:i/>
        </w:rPr>
        <w:t xml:space="preserve"> </w:t>
      </w:r>
      <w:r w:rsidR="00D2616D" w:rsidRPr="00D2616D">
        <w:rPr>
          <w:rFonts w:asciiTheme="minorHAnsi" w:hAnsiTheme="minorHAnsi" w:cs="Calibri"/>
          <w:b/>
        </w:rPr>
        <w:t>d</w:t>
      </w:r>
      <w:r w:rsidRPr="00D2616D">
        <w:rPr>
          <w:rFonts w:asciiTheme="minorHAnsi" w:hAnsiTheme="minorHAnsi" w:cs="Calibri"/>
          <w:b/>
        </w:rPr>
        <w:t xml:space="preserve">ále </w:t>
      </w:r>
      <w:r>
        <w:rPr>
          <w:rFonts w:asciiTheme="minorHAnsi" w:hAnsiTheme="minorHAnsi" w:cs="Calibri"/>
          <w:b/>
        </w:rPr>
        <w:t>pak nesprávným zatříděním příjmů z titulu sankčních plateb na položk</w:t>
      </w:r>
      <w:r w:rsidR="00B406C8">
        <w:rPr>
          <w:rFonts w:asciiTheme="minorHAnsi" w:hAnsiTheme="minorHAnsi" w:cs="Calibri"/>
          <w:b/>
        </w:rPr>
        <w:t>y</w:t>
      </w:r>
      <w:r>
        <w:rPr>
          <w:rFonts w:asciiTheme="minorHAnsi" w:hAnsiTheme="minorHAnsi" w:cs="Calibri"/>
          <w:b/>
        </w:rPr>
        <w:t xml:space="preserve"> rozpočtové skladby </w:t>
      </w:r>
      <w:r w:rsidR="00B406C8">
        <w:rPr>
          <w:rFonts w:asciiTheme="minorHAnsi" w:hAnsiTheme="minorHAnsi" w:cs="Calibri"/>
          <w:b/>
        </w:rPr>
        <w:t xml:space="preserve">2329 – </w:t>
      </w:r>
      <w:r w:rsidR="00B406C8" w:rsidRPr="00B406C8">
        <w:rPr>
          <w:rFonts w:asciiTheme="minorHAnsi" w:hAnsiTheme="minorHAnsi" w:cs="Calibri"/>
          <w:b/>
          <w:i/>
        </w:rPr>
        <w:t>Ostatní nedaňové příjmy jinde nezařazené</w:t>
      </w:r>
      <w:r w:rsidR="00B406C8">
        <w:rPr>
          <w:rFonts w:asciiTheme="minorHAnsi" w:hAnsiTheme="minorHAnsi" w:cs="Calibri"/>
          <w:b/>
        </w:rPr>
        <w:t xml:space="preserve"> a </w:t>
      </w:r>
      <w:r>
        <w:rPr>
          <w:rFonts w:asciiTheme="minorHAnsi" w:hAnsiTheme="minorHAnsi" w:cs="Calibri"/>
          <w:b/>
        </w:rPr>
        <w:t xml:space="preserve">2324 – </w:t>
      </w:r>
      <w:r w:rsidRPr="004C76A5">
        <w:rPr>
          <w:rFonts w:asciiTheme="minorHAnsi" w:hAnsiTheme="minorHAnsi" w:cs="Calibri"/>
          <w:b/>
          <w:i/>
        </w:rPr>
        <w:t>Přijaté nekapitálové příspěvky a náhrady</w:t>
      </w:r>
      <w:r>
        <w:rPr>
          <w:rFonts w:asciiTheme="minorHAnsi" w:hAnsiTheme="minorHAnsi" w:cs="Calibri"/>
          <w:b/>
        </w:rPr>
        <w:t xml:space="preserve"> </w:t>
      </w:r>
      <w:r w:rsidRPr="004139C8">
        <w:rPr>
          <w:rFonts w:asciiTheme="minorHAnsi" w:eastAsiaTheme="minorHAnsi" w:hAnsiTheme="minorHAnsi" w:cstheme="minorHAnsi"/>
        </w:rPr>
        <w:t xml:space="preserve">(viz </w:t>
      </w:r>
      <w:r w:rsidRPr="0069206B">
        <w:rPr>
          <w:rFonts w:asciiTheme="minorHAnsi" w:eastAsiaTheme="minorHAnsi" w:hAnsiTheme="minorHAnsi" w:cstheme="minorHAnsi"/>
        </w:rPr>
        <w:t>část I</w:t>
      </w:r>
      <w:r w:rsidR="00185710">
        <w:rPr>
          <w:rFonts w:asciiTheme="minorHAnsi" w:eastAsiaTheme="minorHAnsi" w:hAnsiTheme="minorHAnsi" w:cstheme="minorHAnsi"/>
        </w:rPr>
        <w:t>V</w:t>
      </w:r>
      <w:r w:rsidRPr="0069206B">
        <w:rPr>
          <w:rFonts w:asciiTheme="minorHAnsi" w:eastAsiaTheme="minorHAnsi" w:hAnsiTheme="minorHAnsi" w:cstheme="minorHAnsi"/>
        </w:rPr>
        <w:t>. tohoto kontrolního</w:t>
      </w:r>
      <w:r w:rsidRPr="00531553">
        <w:rPr>
          <w:rFonts w:asciiTheme="minorHAnsi" w:eastAsiaTheme="minorHAnsi" w:hAnsiTheme="minorHAnsi" w:cstheme="minorHAnsi"/>
        </w:rPr>
        <w:t xml:space="preserve"> závěru)</w:t>
      </w:r>
      <w:r w:rsidRPr="00157F5E">
        <w:rPr>
          <w:rFonts w:asciiTheme="minorHAnsi" w:eastAsiaTheme="minorHAnsi" w:hAnsiTheme="minorHAnsi" w:cstheme="minorHAnsi"/>
        </w:rPr>
        <w:t>.</w:t>
      </w:r>
    </w:p>
    <w:p w14:paraId="03968896" w14:textId="77777777" w:rsidR="006F3F69" w:rsidRPr="004C76A5" w:rsidRDefault="006F3F69" w:rsidP="00C42990">
      <w:pPr>
        <w:spacing w:after="0"/>
        <w:jc w:val="both"/>
        <w:rPr>
          <w:rFonts w:asciiTheme="minorHAnsi" w:hAnsiTheme="minorHAnsi" w:cs="Calibri"/>
          <w:sz w:val="22"/>
          <w:szCs w:val="22"/>
        </w:rPr>
      </w:pPr>
    </w:p>
    <w:p w14:paraId="2DA8DD48" w14:textId="2E1D0926" w:rsidR="00A50B68" w:rsidRPr="006F3417" w:rsidRDefault="0040185B" w:rsidP="0040185B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</w:pPr>
      <w:r>
        <w:lastRenderedPageBreak/>
        <w:t xml:space="preserve">3. </w:t>
      </w:r>
      <w:r w:rsidR="00A50B68" w:rsidRPr="006F3417">
        <w:t xml:space="preserve">Vyhodnocení opatření k odstranění nedostatků </w:t>
      </w:r>
      <w:r w:rsidR="00A50B68">
        <w:t xml:space="preserve">zjištěných </w:t>
      </w:r>
      <w:r w:rsidR="00A50B68" w:rsidRPr="006F3417">
        <w:t>kontrolní akc</w:t>
      </w:r>
      <w:r w:rsidR="00A50B68">
        <w:t>í</w:t>
      </w:r>
      <w:r w:rsidR="00A50B68" w:rsidRPr="006F3417">
        <w:t xml:space="preserve"> č. </w:t>
      </w:r>
      <w:r w:rsidR="00A50B68">
        <w:t>13/29, 14/08 a 15/34</w:t>
      </w:r>
    </w:p>
    <w:p w14:paraId="4018264C" w14:textId="77777777" w:rsidR="00C42990" w:rsidRDefault="00C42990" w:rsidP="00C42990">
      <w:pPr>
        <w:spacing w:after="0"/>
        <w:jc w:val="both"/>
        <w:rPr>
          <w:rFonts w:asciiTheme="minorHAnsi" w:hAnsiTheme="minorHAnsi"/>
        </w:rPr>
      </w:pPr>
    </w:p>
    <w:p w14:paraId="423DCE33" w14:textId="54EDC129" w:rsidR="00A50B68" w:rsidRPr="003738A8" w:rsidRDefault="00A50B68" w:rsidP="00C42990">
      <w:pPr>
        <w:spacing w:after="0"/>
        <w:jc w:val="both"/>
        <w:rPr>
          <w:rFonts w:asciiTheme="minorHAnsi" w:hAnsiTheme="minorHAnsi"/>
        </w:rPr>
      </w:pPr>
      <w:r w:rsidRPr="003738A8">
        <w:rPr>
          <w:rFonts w:asciiTheme="minorHAnsi" w:hAnsiTheme="minorHAnsi"/>
        </w:rPr>
        <w:t xml:space="preserve">V rámci prověřování opatření přijatých k odstranění nedostatků zjištěných </w:t>
      </w:r>
      <w:r w:rsidR="006B4DEB">
        <w:rPr>
          <w:rFonts w:asciiTheme="minorHAnsi" w:hAnsiTheme="minorHAnsi"/>
        </w:rPr>
        <w:t xml:space="preserve">a uvedených v kontrolních závěrech </w:t>
      </w:r>
      <w:r w:rsidR="003735C6">
        <w:rPr>
          <w:rFonts w:asciiTheme="minorHAnsi" w:hAnsiTheme="minorHAnsi"/>
        </w:rPr>
        <w:t>kontrolních akcí</w:t>
      </w:r>
      <w:r w:rsidRPr="003738A8">
        <w:rPr>
          <w:rFonts w:asciiTheme="minorHAnsi" w:hAnsiTheme="minorHAnsi"/>
        </w:rPr>
        <w:t xml:space="preserve"> č. 13/29, 14/08 a 15/34 </w:t>
      </w:r>
      <w:r w:rsidR="006B4DEB">
        <w:rPr>
          <w:rFonts w:asciiTheme="minorHAnsi" w:hAnsiTheme="minorHAnsi"/>
        </w:rPr>
        <w:t>bylo ověřeno</w:t>
      </w:r>
      <w:r w:rsidRPr="003738A8">
        <w:rPr>
          <w:rFonts w:asciiTheme="minorHAnsi" w:hAnsiTheme="minorHAnsi"/>
        </w:rPr>
        <w:t xml:space="preserve">, že MO ve všech případech přijalo opatření k nápravě v oblasti účetnictví, která přispěla k odstranění většiny identifikovaných nesprávností. </w:t>
      </w:r>
    </w:p>
    <w:p w14:paraId="581C5976" w14:textId="77777777" w:rsidR="00A50B68" w:rsidRPr="00AB0B60" w:rsidRDefault="00A50B68" w:rsidP="00C42990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D7C74CF" w14:textId="297C79F6" w:rsidR="0033466E" w:rsidRPr="00157F5E" w:rsidRDefault="0040185B" w:rsidP="0040185B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</w:pPr>
      <w:r>
        <w:t xml:space="preserve">4. </w:t>
      </w:r>
      <w:r w:rsidR="0033466E" w:rsidRPr="006F3417">
        <w:t xml:space="preserve">Závěrečný účet kapitoly </w:t>
      </w:r>
      <w:r w:rsidR="0033466E">
        <w:t>307</w:t>
      </w:r>
      <w:r w:rsidR="006F47CD">
        <w:t> –</w:t>
      </w:r>
      <w:r w:rsidR="0033466E">
        <w:t xml:space="preserve"> </w:t>
      </w:r>
      <w:r w:rsidR="0033466E" w:rsidRPr="00555A33">
        <w:rPr>
          <w:i/>
        </w:rPr>
        <w:t>M</w:t>
      </w:r>
      <w:r w:rsidR="006F47CD" w:rsidRPr="00555A33">
        <w:rPr>
          <w:i/>
        </w:rPr>
        <w:t>inisterstvo obrany</w:t>
      </w:r>
      <w:r w:rsidR="0033466E">
        <w:t xml:space="preserve"> za rok </w:t>
      </w:r>
      <w:r w:rsidR="0033466E" w:rsidRPr="005A689C">
        <w:t>2017</w:t>
      </w:r>
    </w:p>
    <w:p w14:paraId="5617DE58" w14:textId="77777777" w:rsidR="00C42990" w:rsidRDefault="00C42990" w:rsidP="00C42990">
      <w:pPr>
        <w:spacing w:after="0"/>
        <w:jc w:val="both"/>
        <w:rPr>
          <w:rFonts w:asciiTheme="minorHAnsi" w:hAnsiTheme="minorHAnsi"/>
        </w:rPr>
      </w:pPr>
    </w:p>
    <w:p w14:paraId="24EBE166" w14:textId="0BE6CACD" w:rsidR="003738A8" w:rsidRDefault="003738A8" w:rsidP="00C42990">
      <w:pPr>
        <w:spacing w:after="0"/>
        <w:jc w:val="both"/>
        <w:rPr>
          <w:rFonts w:asciiTheme="minorHAnsi" w:hAnsiTheme="minorHAnsi"/>
        </w:rPr>
      </w:pPr>
      <w:r w:rsidRPr="00931D82">
        <w:rPr>
          <w:rFonts w:asciiTheme="minorHAnsi" w:hAnsiTheme="minorHAnsi"/>
        </w:rPr>
        <w:t xml:space="preserve">Návrh závěrečného účtu státního rozpočtu České republiky za rok 2017 za kapitolu </w:t>
      </w:r>
      <w:r w:rsidR="006F47CD">
        <w:rPr>
          <w:rFonts w:asciiTheme="minorHAnsi" w:hAnsiTheme="minorHAnsi"/>
        </w:rPr>
        <w:br/>
      </w:r>
      <w:r w:rsidRPr="00931D82">
        <w:rPr>
          <w:rFonts w:asciiTheme="minorHAnsi" w:hAnsiTheme="minorHAnsi"/>
        </w:rPr>
        <w:t>307</w:t>
      </w:r>
      <w:r w:rsidR="006F47CD">
        <w:rPr>
          <w:rFonts w:asciiTheme="minorHAnsi" w:hAnsiTheme="minorHAnsi"/>
        </w:rPr>
        <w:t> –</w:t>
      </w:r>
      <w:r w:rsidRPr="00931D82">
        <w:rPr>
          <w:rFonts w:asciiTheme="minorHAnsi" w:hAnsiTheme="minorHAnsi"/>
        </w:rPr>
        <w:t xml:space="preserve"> </w:t>
      </w:r>
      <w:r w:rsidRPr="00555A33">
        <w:rPr>
          <w:rFonts w:asciiTheme="minorHAnsi" w:hAnsiTheme="minorHAnsi"/>
          <w:i/>
        </w:rPr>
        <w:t>Ministerstvo obrany</w:t>
      </w:r>
      <w:r w:rsidRPr="00931D82">
        <w:rPr>
          <w:rFonts w:asciiTheme="minorHAnsi" w:hAnsiTheme="minorHAnsi"/>
        </w:rPr>
        <w:t xml:space="preserve"> </w:t>
      </w:r>
      <w:r w:rsidR="006F47CD">
        <w:rPr>
          <w:rFonts w:asciiTheme="minorHAnsi" w:hAnsiTheme="minorHAnsi"/>
        </w:rPr>
        <w:t xml:space="preserve">(dále také „307 MO“) </w:t>
      </w:r>
      <w:r w:rsidRPr="00931D82">
        <w:rPr>
          <w:rFonts w:asciiTheme="minorHAnsi" w:hAnsiTheme="minorHAnsi"/>
        </w:rPr>
        <w:t>sestavený k 31. prosinci 2017 byl prověřen na soul</w:t>
      </w:r>
      <w:r w:rsidR="006B4DEB">
        <w:rPr>
          <w:rFonts w:asciiTheme="minorHAnsi" w:hAnsiTheme="minorHAnsi"/>
        </w:rPr>
        <w:t>ad s vyhláškou č. 419/2001 Sb.</w:t>
      </w:r>
      <w:r w:rsidR="000E2C95">
        <w:rPr>
          <w:rStyle w:val="Znakapoznpodarou"/>
          <w:rFonts w:asciiTheme="minorHAnsi" w:hAnsiTheme="minorHAnsi"/>
        </w:rPr>
        <w:footnoteReference w:id="6"/>
      </w:r>
      <w:r w:rsidR="006B4DEB">
        <w:rPr>
          <w:rFonts w:asciiTheme="minorHAnsi" w:hAnsiTheme="minorHAnsi"/>
        </w:rPr>
        <w:t xml:space="preserve"> </w:t>
      </w:r>
      <w:r w:rsidRPr="00931D82">
        <w:rPr>
          <w:rFonts w:asciiTheme="minorHAnsi" w:hAnsiTheme="minorHAnsi"/>
        </w:rPr>
        <w:t xml:space="preserve">Při kontrole závěrečného účtu kapitoly 307 MO </w:t>
      </w:r>
      <w:r w:rsidR="006B4DEB">
        <w:rPr>
          <w:rFonts w:asciiTheme="minorHAnsi" w:hAnsiTheme="minorHAnsi"/>
        </w:rPr>
        <w:t>nebyly</w:t>
      </w:r>
      <w:r>
        <w:rPr>
          <w:rFonts w:asciiTheme="minorHAnsi" w:hAnsiTheme="minorHAnsi"/>
        </w:rPr>
        <w:t xml:space="preserve"> zjištěny nedostatky. </w:t>
      </w:r>
    </w:p>
    <w:p w14:paraId="0917EF68" w14:textId="609E6307" w:rsidR="00C42990" w:rsidRDefault="00C42990" w:rsidP="00C42990">
      <w:pPr>
        <w:spacing w:after="0"/>
        <w:jc w:val="both"/>
        <w:rPr>
          <w:rFonts w:asciiTheme="minorHAnsi" w:hAnsiTheme="minorHAnsi"/>
        </w:rPr>
      </w:pPr>
    </w:p>
    <w:p w14:paraId="3482F909" w14:textId="77777777" w:rsidR="001B6E46" w:rsidRPr="00C42990" w:rsidRDefault="001B6E46" w:rsidP="001B6E46">
      <w:pPr>
        <w:spacing w:before="40"/>
        <w:ind w:left="595" w:hanging="595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C42990">
        <w:rPr>
          <w:rFonts w:cstheme="minorHAnsi"/>
          <w:b/>
          <w:sz w:val="20"/>
          <w:szCs w:val="20"/>
          <w:lang w:eastAsia="cs-CZ"/>
        </w:rPr>
        <w:t>Pozn.:</w:t>
      </w:r>
      <w:r w:rsidRPr="00C42990">
        <w:rPr>
          <w:rFonts w:cstheme="minorHAnsi"/>
          <w:sz w:val="20"/>
          <w:szCs w:val="20"/>
          <w:lang w:eastAsia="cs-CZ"/>
        </w:rPr>
        <w:t xml:space="preserve"> Všechny právní předpisy uvedené v tomto kontrolním závěru jsou aplikovány ve znění účinném pro kontrolované období.</w:t>
      </w:r>
    </w:p>
    <w:p w14:paraId="667CF5C6" w14:textId="6B4C8961" w:rsidR="0033466E" w:rsidRDefault="0033466E" w:rsidP="0040185B">
      <w:pPr>
        <w:spacing w:after="0"/>
        <w:jc w:val="both"/>
        <w:rPr>
          <w:rFonts w:asciiTheme="minorHAnsi" w:hAnsiTheme="minorHAnsi" w:cs="Calibri"/>
        </w:rPr>
      </w:pPr>
    </w:p>
    <w:p w14:paraId="6575BAB9" w14:textId="5580A447" w:rsidR="002B281A" w:rsidRDefault="002B281A" w:rsidP="0040185B">
      <w:pPr>
        <w:spacing w:after="0"/>
        <w:jc w:val="both"/>
        <w:rPr>
          <w:rFonts w:asciiTheme="minorHAnsi" w:hAnsiTheme="minorHAnsi" w:cs="Calibri"/>
        </w:rPr>
      </w:pPr>
    </w:p>
    <w:p w14:paraId="0EA2B200" w14:textId="77777777" w:rsidR="003735C6" w:rsidRDefault="003735C6" w:rsidP="002B281A">
      <w:pPr>
        <w:pStyle w:val="Nadpis1"/>
        <w:spacing w:after="0" w:line="240" w:lineRule="auto"/>
      </w:pPr>
      <w:r>
        <w:t>II. Informace o kontrolované oblasti</w:t>
      </w:r>
    </w:p>
    <w:p w14:paraId="1625A73D" w14:textId="77777777" w:rsidR="002B281A" w:rsidRDefault="002B281A" w:rsidP="002B281A">
      <w:pPr>
        <w:spacing w:after="0"/>
        <w:jc w:val="both"/>
        <w:rPr>
          <w:rFonts w:asciiTheme="minorHAnsi" w:hAnsiTheme="minorHAnsi" w:cstheme="minorHAnsi"/>
        </w:rPr>
      </w:pPr>
    </w:p>
    <w:p w14:paraId="1D44F49C" w14:textId="1A7B54A8" w:rsidR="003735C6" w:rsidRDefault="003735C6" w:rsidP="002B281A">
      <w:pPr>
        <w:spacing w:after="0"/>
        <w:jc w:val="both"/>
        <w:rPr>
          <w:rFonts w:asciiTheme="minorHAnsi" w:hAnsiTheme="minorHAnsi" w:cstheme="minorHAnsi"/>
        </w:rPr>
      </w:pPr>
      <w:r w:rsidRPr="00514C40">
        <w:rPr>
          <w:rFonts w:asciiTheme="minorHAnsi" w:hAnsiTheme="minorHAnsi" w:cstheme="minorHAnsi"/>
        </w:rPr>
        <w:t xml:space="preserve">Ministerstvo </w:t>
      </w:r>
      <w:r w:rsidRPr="00F356EB">
        <w:rPr>
          <w:rFonts w:asciiTheme="minorHAnsi" w:hAnsiTheme="minorHAnsi" w:cstheme="minorHAnsi"/>
        </w:rPr>
        <w:t>obrany (dále také „MO“)</w:t>
      </w:r>
      <w:r w:rsidRPr="00514C40">
        <w:rPr>
          <w:rFonts w:asciiTheme="minorHAnsi" w:hAnsiTheme="minorHAnsi" w:cstheme="minorHAnsi"/>
        </w:rPr>
        <w:t xml:space="preserve"> bylo </w:t>
      </w:r>
      <w:r w:rsidRPr="00E90285">
        <w:rPr>
          <w:rFonts w:asciiTheme="minorHAnsi" w:hAnsiTheme="minorHAnsi" w:cstheme="minorHAnsi"/>
        </w:rPr>
        <w:t>zřízeno zákonem č. 2/1969 Sb.</w:t>
      </w:r>
      <w:r>
        <w:rPr>
          <w:rStyle w:val="Znakapoznpodarou"/>
          <w:rFonts w:asciiTheme="minorHAnsi" w:hAnsiTheme="minorHAnsi" w:cstheme="minorHAnsi"/>
        </w:rPr>
        <w:footnoteReference w:id="7"/>
      </w:r>
      <w:r w:rsidRPr="00E9028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podle</w:t>
      </w:r>
      <w:r w:rsidRPr="00514C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kterého </w:t>
      </w:r>
      <w:r w:rsidRPr="00514C40">
        <w:rPr>
          <w:rFonts w:asciiTheme="minorHAnsi" w:hAnsiTheme="minorHAnsi" w:cstheme="minorHAnsi"/>
        </w:rPr>
        <w:t>je MO ústředním orgánem státní správy zejména pro zabezpečování obrany České republiky, řízení Armády České republiky a</w:t>
      </w:r>
      <w:r w:rsidR="00171136">
        <w:rPr>
          <w:rFonts w:asciiTheme="minorHAnsi" w:hAnsiTheme="minorHAnsi" w:cstheme="minorHAnsi"/>
        </w:rPr>
        <w:t> pro</w:t>
      </w:r>
      <w:r w:rsidRPr="00514C40">
        <w:rPr>
          <w:rFonts w:asciiTheme="minorHAnsi" w:hAnsiTheme="minorHAnsi" w:cstheme="minorHAnsi"/>
        </w:rPr>
        <w:t xml:space="preserve"> správu vojenských újezdů. Jako orgán pro zabezpečování obrany se podílí na zpracování návrhu vojenské obranné politiky státu, připravuje koncepci operační přípravy státního území, navrhuje potřebná opatření k zajištění obrany státu vládě České republiky, Radě obrany České republiky a prezidentu České republiky, koordinuje činnost ústředních orgánů, správní</w:t>
      </w:r>
      <w:r>
        <w:rPr>
          <w:rFonts w:asciiTheme="minorHAnsi" w:hAnsiTheme="minorHAnsi" w:cstheme="minorHAnsi"/>
        </w:rPr>
        <w:t>ch orgánů a orgánů samosprávy a </w:t>
      </w:r>
      <w:r w:rsidRPr="00514C40">
        <w:rPr>
          <w:rFonts w:asciiTheme="minorHAnsi" w:hAnsiTheme="minorHAnsi" w:cstheme="minorHAnsi"/>
        </w:rPr>
        <w:t>právnických osob důležitých pro obranu státu při přípravě k obraně, řídí vojenské zpravodajství, zabezpečuje nedotknutelnost vzdušného prostoru České republiky, o</w:t>
      </w:r>
      <w:r w:rsidR="00783548">
        <w:rPr>
          <w:rFonts w:asciiTheme="minorHAnsi" w:hAnsiTheme="minorHAnsi" w:cstheme="minorHAnsi"/>
        </w:rPr>
        <w:t>rganizuje a provádí opatření k </w:t>
      </w:r>
      <w:r w:rsidRPr="00514C40">
        <w:rPr>
          <w:rFonts w:asciiTheme="minorHAnsi" w:hAnsiTheme="minorHAnsi" w:cstheme="minorHAnsi"/>
        </w:rPr>
        <w:t>mobilizaci Armády České republiky, k vedení evidence občanů podléhajících branné povinnosti a k vedení evidence věc</w:t>
      </w:r>
      <w:r>
        <w:rPr>
          <w:rFonts w:asciiTheme="minorHAnsi" w:hAnsiTheme="minorHAnsi" w:cstheme="minorHAnsi"/>
        </w:rPr>
        <w:t>ných prostředků, které budou za</w:t>
      </w:r>
      <w:r w:rsidR="00171136">
        <w:rPr>
          <w:rFonts w:asciiTheme="minorHAnsi" w:hAnsiTheme="minorHAnsi" w:cstheme="minorHAnsi"/>
        </w:rPr>
        <w:t xml:space="preserve"> </w:t>
      </w:r>
      <w:r w:rsidRPr="00514C40">
        <w:rPr>
          <w:rFonts w:asciiTheme="minorHAnsi" w:hAnsiTheme="minorHAnsi" w:cstheme="minorHAnsi"/>
        </w:rPr>
        <w:t>branné pohotovosti poskytnuty pro potřeby Armády České republiky</w:t>
      </w:r>
      <w:r w:rsidR="00171136">
        <w:rPr>
          <w:rFonts w:asciiTheme="minorHAnsi" w:hAnsiTheme="minorHAnsi" w:cstheme="minorHAnsi"/>
        </w:rPr>
        <w:t>,</w:t>
      </w:r>
      <w:r w:rsidRPr="00514C40">
        <w:rPr>
          <w:rFonts w:asciiTheme="minorHAnsi" w:hAnsiTheme="minorHAnsi" w:cstheme="minorHAnsi"/>
        </w:rPr>
        <w:t xml:space="preserve"> a povolává občany České republiky k plnění branné povinnosti. MO dále v rámci evropských bezpečnostních struktur organizuje součinnost s armádami jiných států a vykonává státní dozor nad radiační ochranou ve vojenských objektech.</w:t>
      </w:r>
    </w:p>
    <w:p w14:paraId="1240C311" w14:textId="77777777" w:rsidR="002B281A" w:rsidRPr="00514C40" w:rsidRDefault="002B281A" w:rsidP="002B281A">
      <w:pPr>
        <w:spacing w:after="0"/>
        <w:jc w:val="both"/>
        <w:rPr>
          <w:rFonts w:asciiTheme="minorHAnsi" w:hAnsiTheme="minorHAnsi" w:cstheme="minorHAnsi"/>
        </w:rPr>
      </w:pPr>
    </w:p>
    <w:p w14:paraId="7968BD51" w14:textId="4B486852" w:rsidR="003735C6" w:rsidRDefault="003735C6" w:rsidP="002B281A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</w:rPr>
        <w:lastRenderedPageBreak/>
        <w:t>MO je organizační složkou státu</w:t>
      </w:r>
      <w:r>
        <w:rPr>
          <w:rStyle w:val="Znakapoznpodarou"/>
          <w:rFonts w:asciiTheme="minorHAnsi" w:eastAsiaTheme="minorHAnsi" w:hAnsiTheme="minorHAnsi" w:cstheme="minorBidi"/>
        </w:rPr>
        <w:footnoteReference w:id="8"/>
      </w:r>
      <w:r>
        <w:rPr>
          <w:rFonts w:asciiTheme="minorHAnsi" w:eastAsiaTheme="minorHAnsi" w:hAnsiTheme="minorHAnsi" w:cstheme="minorBidi"/>
        </w:rPr>
        <w:t xml:space="preserve"> (dále také „OSS</w:t>
      </w:r>
      <w:r w:rsidR="000E2C95">
        <w:rPr>
          <w:rFonts w:asciiTheme="minorHAnsi" w:eastAsiaTheme="minorHAnsi" w:hAnsiTheme="minorHAnsi" w:cstheme="minorBidi"/>
        </w:rPr>
        <w:t>“</w:t>
      </w:r>
      <w:r>
        <w:rPr>
          <w:rFonts w:asciiTheme="minorHAnsi" w:eastAsiaTheme="minorHAnsi" w:hAnsiTheme="minorHAnsi" w:cstheme="minorBidi"/>
        </w:rPr>
        <w:t>), vybranou účetní jednotkou</w:t>
      </w:r>
      <w:r>
        <w:rPr>
          <w:rStyle w:val="Znakapoznpodarou"/>
          <w:rFonts w:asciiTheme="minorHAnsi" w:eastAsiaTheme="minorHAnsi" w:hAnsiTheme="minorHAnsi" w:cstheme="minorBidi"/>
        </w:rPr>
        <w:footnoteReference w:id="9"/>
      </w:r>
      <w:r>
        <w:rPr>
          <w:rFonts w:asciiTheme="minorHAnsi" w:eastAsiaTheme="minorHAnsi" w:hAnsiTheme="minorHAnsi" w:cstheme="minorBidi"/>
        </w:rPr>
        <w:t xml:space="preserve"> a správcem kapitoly státního rozpočtu 307 – </w:t>
      </w:r>
      <w:r w:rsidRPr="008D381A">
        <w:rPr>
          <w:rFonts w:asciiTheme="minorHAnsi" w:eastAsiaTheme="minorHAnsi" w:hAnsiTheme="minorHAnsi" w:cstheme="minorBidi"/>
          <w:i/>
        </w:rPr>
        <w:t>Ministerstvo obrany</w:t>
      </w:r>
      <w:r w:rsidRPr="00555A33">
        <w:rPr>
          <w:rStyle w:val="Znakapoznpodarou"/>
          <w:rFonts w:asciiTheme="minorHAnsi" w:eastAsiaTheme="minorHAnsi" w:hAnsiTheme="minorHAnsi" w:cstheme="minorBidi"/>
        </w:rPr>
        <w:footnoteReference w:id="10"/>
      </w:r>
      <w:r>
        <w:rPr>
          <w:rFonts w:asciiTheme="minorHAnsi" w:eastAsiaTheme="minorHAnsi" w:hAnsiTheme="minorHAnsi" w:cstheme="minorBidi"/>
        </w:rPr>
        <w:t xml:space="preserve">. </w:t>
      </w:r>
      <w:r w:rsidRPr="00081860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O </w:t>
      </w:r>
      <w:r w:rsidRPr="00081860">
        <w:rPr>
          <w:rFonts w:asciiTheme="minorHAnsi" w:hAnsiTheme="minorHAnsi" w:cstheme="minorHAnsi"/>
        </w:rPr>
        <w:t xml:space="preserve">bylo k 31. </w:t>
      </w:r>
      <w:r>
        <w:rPr>
          <w:rFonts w:asciiTheme="minorHAnsi" w:hAnsiTheme="minorHAnsi" w:cstheme="minorHAnsi"/>
        </w:rPr>
        <w:t>prosinci</w:t>
      </w:r>
      <w:r w:rsidRPr="00081860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7</w:t>
      </w:r>
      <w:r w:rsidRPr="00081860">
        <w:rPr>
          <w:rFonts w:asciiTheme="minorHAnsi" w:hAnsiTheme="minorHAnsi" w:cstheme="minorHAnsi"/>
        </w:rPr>
        <w:t xml:space="preserve"> </w:t>
      </w:r>
      <w:r w:rsidRPr="00D31708">
        <w:rPr>
          <w:rFonts w:asciiTheme="minorHAnsi" w:hAnsiTheme="minorHAnsi" w:cstheme="minorHAnsi"/>
        </w:rPr>
        <w:t xml:space="preserve">zřizovatelem </w:t>
      </w:r>
      <w:r>
        <w:rPr>
          <w:rFonts w:asciiTheme="minorHAnsi" w:hAnsiTheme="minorHAnsi" w:cstheme="minorHAnsi"/>
        </w:rPr>
        <w:t>devíti</w:t>
      </w:r>
      <w:r w:rsidRPr="00D31708">
        <w:rPr>
          <w:rFonts w:asciiTheme="minorHAnsi" w:hAnsiTheme="minorHAnsi" w:cstheme="minorHAnsi"/>
        </w:rPr>
        <w:t xml:space="preserve"> příspěvkových organizací.</w:t>
      </w:r>
    </w:p>
    <w:p w14:paraId="33D6FC43" w14:textId="77777777" w:rsidR="002B281A" w:rsidRDefault="002B281A" w:rsidP="002B281A">
      <w:pPr>
        <w:spacing w:after="0"/>
        <w:jc w:val="both"/>
        <w:rPr>
          <w:rFonts w:asciiTheme="minorHAnsi" w:hAnsiTheme="minorHAnsi" w:cstheme="minorHAnsi"/>
        </w:rPr>
      </w:pPr>
    </w:p>
    <w:p w14:paraId="7C3FF39D" w14:textId="15624A1A" w:rsidR="004E62D1" w:rsidRPr="004E62D1" w:rsidRDefault="004E62D1" w:rsidP="002B281A">
      <w:pPr>
        <w:spacing w:after="0"/>
        <w:jc w:val="both"/>
        <w:rPr>
          <w:rFonts w:asciiTheme="minorHAnsi" w:eastAsiaTheme="minorHAnsi" w:hAnsiTheme="minorHAnsi" w:cstheme="minorBidi"/>
        </w:rPr>
      </w:pPr>
      <w:r w:rsidRPr="004E62D1">
        <w:rPr>
          <w:rFonts w:asciiTheme="minorHAnsi" w:eastAsiaTheme="minorHAnsi" w:hAnsiTheme="minorHAnsi" w:cstheme="minorBidi"/>
        </w:rPr>
        <w:t xml:space="preserve">Přehled základních údajů z účetní závěrky MO sestavené k 31. prosinci 2017 </w:t>
      </w:r>
      <w:r w:rsidR="006B4DEB">
        <w:rPr>
          <w:rFonts w:asciiTheme="minorHAnsi" w:eastAsiaTheme="minorHAnsi" w:hAnsiTheme="minorHAnsi" w:cstheme="minorBidi"/>
        </w:rPr>
        <w:t xml:space="preserve">je </w:t>
      </w:r>
      <w:r w:rsidRPr="004E62D1">
        <w:rPr>
          <w:rFonts w:asciiTheme="minorHAnsi" w:eastAsiaTheme="minorHAnsi" w:hAnsiTheme="minorHAnsi" w:cstheme="minorBidi"/>
        </w:rPr>
        <w:t>uveden v následujících tabulkách.</w:t>
      </w:r>
    </w:p>
    <w:p w14:paraId="74835198" w14:textId="1509EB33" w:rsidR="004E62D1" w:rsidRPr="004E62D1" w:rsidRDefault="004E62D1" w:rsidP="002B281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CDE3073" w14:textId="43E17ABA" w:rsidR="004E62D1" w:rsidRPr="004E62D1" w:rsidRDefault="004E62D1" w:rsidP="00624450">
      <w:pPr>
        <w:keepNext/>
        <w:spacing w:after="40"/>
        <w:ind w:left="1276" w:hanging="1276"/>
        <w:rPr>
          <w:rFonts w:asciiTheme="minorHAnsi" w:eastAsiaTheme="minorHAnsi" w:hAnsiTheme="minorHAnsi" w:cstheme="minorBidi"/>
        </w:rPr>
      </w:pPr>
      <w:r w:rsidRPr="004E62D1">
        <w:rPr>
          <w:rFonts w:asciiTheme="minorHAnsi" w:eastAsiaTheme="minorHAnsi" w:hAnsiTheme="minorHAnsi" w:cstheme="minorBidi"/>
          <w:b/>
        </w:rPr>
        <w:t xml:space="preserve">Tabulka č. </w:t>
      </w:r>
      <w:r w:rsidR="00012608">
        <w:rPr>
          <w:rFonts w:asciiTheme="minorHAnsi" w:eastAsiaTheme="minorHAnsi" w:hAnsiTheme="minorHAnsi" w:cstheme="minorBidi"/>
          <w:b/>
        </w:rPr>
        <w:t>3</w:t>
      </w:r>
      <w:r w:rsidRPr="004E62D1">
        <w:rPr>
          <w:rFonts w:asciiTheme="minorHAnsi" w:eastAsiaTheme="minorHAnsi" w:hAnsiTheme="minorHAnsi" w:cstheme="minorBidi"/>
          <w:b/>
        </w:rPr>
        <w:t>:</w:t>
      </w:r>
      <w:r w:rsidRPr="004E62D1">
        <w:rPr>
          <w:rFonts w:asciiTheme="minorHAnsi" w:eastAsiaTheme="minorHAnsi" w:hAnsiTheme="minorHAnsi" w:cstheme="minorBidi"/>
          <w:b/>
        </w:rPr>
        <w:tab/>
        <w:t>Údaje účetní závěrky MO sestavené k 31. prosinci 2017 – rozvaha a výkaz zisku a ztráty, údaje za běžné období</w:t>
      </w:r>
      <w:r w:rsidR="00171136">
        <w:rPr>
          <w:rFonts w:asciiTheme="minorHAnsi" w:eastAsiaTheme="minorHAnsi" w:hAnsiTheme="minorHAnsi" w:cstheme="minorBidi"/>
          <w:b/>
        </w:rPr>
        <w:tab/>
      </w:r>
    </w:p>
    <w:tbl>
      <w:tblPr>
        <w:tblW w:w="90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4E62D1" w:rsidRPr="00814E79" w14:paraId="023FBA9E" w14:textId="77777777" w:rsidTr="002B281A">
        <w:trPr>
          <w:trHeight w:val="283"/>
          <w:tblHeader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F58BEA" w14:textId="77777777" w:rsidR="004E62D1" w:rsidRPr="00814E79" w:rsidRDefault="004E62D1" w:rsidP="004E62D1">
            <w:pPr>
              <w:spacing w:after="0" w:line="259" w:lineRule="auto"/>
              <w:ind w:left="67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054548" w14:textId="4EF514D0" w:rsidR="004E62D1" w:rsidRPr="00814E79" w:rsidRDefault="004E62D1" w:rsidP="004E62D1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4E62D1" w:rsidRPr="00814E79" w14:paraId="405B92CB" w14:textId="77777777" w:rsidTr="002B281A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029B" w14:textId="77777777" w:rsidR="004E62D1" w:rsidRPr="00814E79" w:rsidRDefault="004E62D1" w:rsidP="004E62D1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Aktiva netto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1E3" w14:textId="77777777" w:rsidR="004E62D1" w:rsidRPr="00814E79" w:rsidRDefault="004E62D1" w:rsidP="002B281A">
            <w:pPr>
              <w:spacing w:after="0" w:line="259" w:lineRule="auto"/>
              <w:ind w:right="1711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131 211 978 942,44</w:t>
            </w:r>
          </w:p>
        </w:tc>
      </w:tr>
      <w:tr w:rsidR="004E62D1" w:rsidRPr="00814E79" w14:paraId="43BB32C3" w14:textId="77777777" w:rsidTr="002B281A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3D02" w14:textId="77777777" w:rsidR="004E62D1" w:rsidRPr="00814E79" w:rsidRDefault="004E62D1" w:rsidP="004E62D1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Pasiva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1F3C" w14:textId="77777777" w:rsidR="004E62D1" w:rsidRPr="00814E79" w:rsidRDefault="004E62D1" w:rsidP="002B281A">
            <w:pPr>
              <w:spacing w:after="0" w:line="259" w:lineRule="auto"/>
              <w:ind w:right="1711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131 211 978 942,44</w:t>
            </w:r>
          </w:p>
        </w:tc>
      </w:tr>
      <w:tr w:rsidR="004E62D1" w:rsidRPr="00814E79" w14:paraId="024063F8" w14:textId="77777777" w:rsidTr="002B281A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4751" w14:textId="77777777" w:rsidR="004E62D1" w:rsidRPr="00814E79" w:rsidRDefault="004E62D1" w:rsidP="004E62D1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Náklady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 za hlavní a hospodářskou činnost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DE84" w14:textId="77777777" w:rsidR="004E62D1" w:rsidRPr="00814E79" w:rsidRDefault="004E62D1" w:rsidP="002B281A">
            <w:pPr>
              <w:spacing w:after="0" w:line="259" w:lineRule="auto"/>
              <w:ind w:right="1711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53 693 666 165,99</w:t>
            </w:r>
          </w:p>
        </w:tc>
      </w:tr>
      <w:tr w:rsidR="004E62D1" w:rsidRPr="00814E79" w14:paraId="21EC1DCF" w14:textId="77777777" w:rsidTr="002B281A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D7CA" w14:textId="77777777" w:rsidR="004E62D1" w:rsidRPr="00814E79" w:rsidRDefault="004E62D1" w:rsidP="004E62D1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Výnosy</w:t>
            </w: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 za hlavní a hospodářskou činnost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5128" w14:textId="77777777" w:rsidR="004E62D1" w:rsidRPr="00814E79" w:rsidRDefault="004E62D1" w:rsidP="002B281A">
            <w:pPr>
              <w:spacing w:after="0" w:line="259" w:lineRule="auto"/>
              <w:ind w:right="1711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5 967 470 967,66</w:t>
            </w:r>
          </w:p>
        </w:tc>
      </w:tr>
      <w:tr w:rsidR="004E62D1" w:rsidRPr="00814E79" w14:paraId="69E46378" w14:textId="77777777" w:rsidTr="002B281A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6377" w14:textId="77777777" w:rsidR="004E62D1" w:rsidRPr="00814E79" w:rsidRDefault="004E62D1" w:rsidP="004E62D1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132" w14:textId="1671E0DE" w:rsidR="004E62D1" w:rsidRPr="00814E79" w:rsidRDefault="004E62D1" w:rsidP="002B281A">
            <w:pPr>
              <w:spacing w:after="0" w:line="259" w:lineRule="auto"/>
              <w:ind w:right="1711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782503">
              <w:rPr>
                <w:rFonts w:cs="Calibri"/>
                <w:sz w:val="20"/>
                <w:szCs w:val="20"/>
              </w:rPr>
              <w:t>−</w:t>
            </w:r>
            <w:r w:rsidR="00782503" w:rsidRPr="00782503">
              <w:rPr>
                <w:rFonts w:eastAsiaTheme="minorHAnsi" w:cs="Calibri"/>
                <w:sz w:val="20"/>
                <w:szCs w:val="20"/>
              </w:rPr>
              <w:t>47 726 195 198,33</w:t>
            </w:r>
          </w:p>
        </w:tc>
      </w:tr>
    </w:tbl>
    <w:p w14:paraId="79C8D74B" w14:textId="086B65DC" w:rsidR="004E62D1" w:rsidRPr="004E62D1" w:rsidRDefault="004E62D1" w:rsidP="002B281A">
      <w:pPr>
        <w:spacing w:before="40" w:after="0"/>
        <w:rPr>
          <w:rFonts w:asciiTheme="minorHAnsi" w:eastAsiaTheme="minorHAnsi" w:hAnsiTheme="minorHAnsi" w:cs="Arial"/>
          <w:sz w:val="20"/>
          <w:szCs w:val="20"/>
        </w:rPr>
      </w:pPr>
      <w:r w:rsidRPr="004E62D1">
        <w:rPr>
          <w:rFonts w:asciiTheme="minorHAnsi" w:eastAsiaTheme="minorHAnsi" w:hAnsiTheme="minorHAnsi" w:cs="Arial"/>
          <w:b/>
          <w:sz w:val="20"/>
          <w:szCs w:val="20"/>
        </w:rPr>
        <w:t>Zdroj:</w:t>
      </w:r>
      <w:r w:rsidRPr="004E62D1">
        <w:rPr>
          <w:rFonts w:asciiTheme="minorHAnsi" w:eastAsiaTheme="minorHAnsi" w:hAnsiTheme="minorHAnsi" w:cs="Arial"/>
          <w:sz w:val="20"/>
          <w:szCs w:val="20"/>
        </w:rPr>
        <w:t xml:space="preserve"> </w:t>
      </w:r>
      <w:r w:rsidR="00624450">
        <w:rPr>
          <w:rFonts w:asciiTheme="minorHAnsi" w:eastAsiaTheme="minorHAnsi" w:hAnsiTheme="minorHAnsi" w:cs="Arial"/>
          <w:sz w:val="20"/>
          <w:szCs w:val="20"/>
        </w:rPr>
        <w:t>účetní závěrka</w:t>
      </w:r>
      <w:r w:rsidRPr="004E62D1">
        <w:rPr>
          <w:rFonts w:asciiTheme="minorHAnsi" w:eastAsiaTheme="minorHAnsi" w:hAnsiTheme="minorHAnsi" w:cs="Arial"/>
          <w:sz w:val="20"/>
          <w:szCs w:val="20"/>
        </w:rPr>
        <w:t xml:space="preserve"> MO sestavená k 31. prosinci 201</w:t>
      </w:r>
      <w:r w:rsidR="004D05B3">
        <w:rPr>
          <w:rFonts w:asciiTheme="minorHAnsi" w:eastAsiaTheme="minorHAnsi" w:hAnsiTheme="minorHAnsi" w:cs="Arial"/>
          <w:sz w:val="20"/>
          <w:szCs w:val="20"/>
        </w:rPr>
        <w:t>7</w:t>
      </w:r>
      <w:r w:rsidRPr="004E62D1">
        <w:rPr>
          <w:rFonts w:asciiTheme="minorHAnsi" w:eastAsiaTheme="minorHAnsi" w:hAnsiTheme="minorHAnsi" w:cs="Arial"/>
          <w:sz w:val="20"/>
          <w:szCs w:val="20"/>
        </w:rPr>
        <w:t>.</w:t>
      </w:r>
    </w:p>
    <w:p w14:paraId="28F85D3F" w14:textId="2A9FE496" w:rsidR="004E62D1" w:rsidRPr="004E62D1" w:rsidRDefault="004E62D1" w:rsidP="002B281A">
      <w:pPr>
        <w:spacing w:after="0"/>
        <w:ind w:left="567" w:hanging="567"/>
        <w:jc w:val="both"/>
        <w:rPr>
          <w:rFonts w:asciiTheme="minorHAnsi" w:eastAsiaTheme="minorHAnsi" w:hAnsiTheme="minorHAnsi" w:cs="Arial"/>
          <w:sz w:val="20"/>
          <w:szCs w:val="20"/>
        </w:rPr>
      </w:pPr>
      <w:r w:rsidRPr="004E62D1">
        <w:rPr>
          <w:rFonts w:asciiTheme="minorHAnsi" w:eastAsiaTheme="minorHAnsi" w:hAnsiTheme="minorHAnsi" w:cs="Arial"/>
          <w:b/>
          <w:sz w:val="20"/>
          <w:szCs w:val="20"/>
        </w:rPr>
        <w:t>Pozn.:</w:t>
      </w:r>
      <w:r>
        <w:rPr>
          <w:rFonts w:asciiTheme="minorHAnsi" w:eastAsiaTheme="minorHAnsi" w:hAnsiTheme="minorHAnsi" w:cs="Arial"/>
          <w:sz w:val="20"/>
          <w:szCs w:val="20"/>
        </w:rPr>
        <w:t xml:space="preserve"> </w:t>
      </w:r>
      <w:r w:rsidR="002B281A">
        <w:rPr>
          <w:rFonts w:asciiTheme="minorHAnsi" w:eastAsiaTheme="minorHAnsi" w:hAnsiTheme="minorHAnsi" w:cs="Arial"/>
          <w:sz w:val="20"/>
          <w:szCs w:val="20"/>
        </w:rPr>
        <w:tab/>
      </w:r>
      <w:r w:rsidRPr="004E62D1">
        <w:rPr>
          <w:rFonts w:asciiTheme="minorHAnsi" w:eastAsiaTheme="minorHAnsi" w:hAnsiTheme="minorHAnsi" w:cs="Arial"/>
          <w:sz w:val="20"/>
          <w:szCs w:val="20"/>
        </w:rPr>
        <w:t>MO v ÚZ vykázalo aktiva v hodnotě brutto ve výši 234 925 944 825,65 Kč upraven</w:t>
      </w:r>
      <w:r w:rsidR="006B4DEB">
        <w:rPr>
          <w:rFonts w:asciiTheme="minorHAnsi" w:eastAsiaTheme="minorHAnsi" w:hAnsiTheme="minorHAnsi" w:cs="Arial"/>
          <w:sz w:val="20"/>
          <w:szCs w:val="20"/>
        </w:rPr>
        <w:t>á</w:t>
      </w:r>
      <w:r w:rsidRPr="004E62D1">
        <w:rPr>
          <w:rFonts w:asciiTheme="minorHAnsi" w:eastAsiaTheme="minorHAnsi" w:hAnsiTheme="minorHAnsi" w:cs="Arial"/>
          <w:sz w:val="20"/>
          <w:szCs w:val="20"/>
        </w:rPr>
        <w:t xml:space="preserve"> o korekce ve výši 103 713 965 883,21 Kč.</w:t>
      </w:r>
    </w:p>
    <w:p w14:paraId="37CFF395" w14:textId="77777777" w:rsidR="002B281A" w:rsidRDefault="002B281A" w:rsidP="002B281A">
      <w:pPr>
        <w:spacing w:after="0"/>
        <w:jc w:val="both"/>
        <w:rPr>
          <w:rFonts w:asciiTheme="minorHAnsi" w:hAnsiTheme="minorHAnsi" w:cstheme="minorHAnsi"/>
        </w:rPr>
      </w:pPr>
    </w:p>
    <w:p w14:paraId="28893F0B" w14:textId="786A2379" w:rsidR="004E62D1" w:rsidRPr="004E62D1" w:rsidRDefault="004E62D1" w:rsidP="002B281A">
      <w:pPr>
        <w:keepNext/>
        <w:spacing w:after="0" w:line="259" w:lineRule="auto"/>
        <w:ind w:left="1276" w:hanging="1276"/>
        <w:jc w:val="both"/>
        <w:rPr>
          <w:rFonts w:asciiTheme="minorHAnsi" w:eastAsiaTheme="minorHAnsi" w:hAnsiTheme="minorHAnsi" w:cs="Arial"/>
          <w:b/>
          <w:spacing w:val="-4"/>
        </w:rPr>
      </w:pPr>
      <w:r w:rsidRPr="004E62D1">
        <w:rPr>
          <w:rFonts w:asciiTheme="minorHAnsi" w:eastAsiaTheme="minorHAnsi" w:hAnsiTheme="minorHAnsi" w:cs="Arial"/>
          <w:b/>
          <w:spacing w:val="-4"/>
        </w:rPr>
        <w:t xml:space="preserve">Tabulka č. </w:t>
      </w:r>
      <w:r w:rsidR="00012608">
        <w:rPr>
          <w:rFonts w:asciiTheme="minorHAnsi" w:eastAsiaTheme="minorHAnsi" w:hAnsiTheme="minorHAnsi" w:cs="Arial"/>
          <w:b/>
          <w:spacing w:val="-4"/>
        </w:rPr>
        <w:t>4</w:t>
      </w:r>
      <w:r w:rsidR="002B281A">
        <w:rPr>
          <w:rFonts w:asciiTheme="minorHAnsi" w:eastAsiaTheme="minorHAnsi" w:hAnsiTheme="minorHAnsi" w:cs="Arial"/>
          <w:b/>
          <w:spacing w:val="-4"/>
        </w:rPr>
        <w:t>:</w:t>
      </w:r>
      <w:r w:rsidRPr="004E62D1">
        <w:rPr>
          <w:rFonts w:asciiTheme="minorHAnsi" w:eastAsiaTheme="minorHAnsi" w:hAnsiTheme="minorHAnsi" w:cs="Arial"/>
          <w:b/>
          <w:spacing w:val="-4"/>
        </w:rPr>
        <w:tab/>
        <w:t>Údaje účetní závěrky M</w:t>
      </w:r>
      <w:r w:rsidR="00782503">
        <w:rPr>
          <w:rFonts w:asciiTheme="minorHAnsi" w:eastAsiaTheme="minorHAnsi" w:hAnsiTheme="minorHAnsi" w:cs="Arial"/>
          <w:b/>
          <w:spacing w:val="-4"/>
        </w:rPr>
        <w:t>O</w:t>
      </w:r>
      <w:r w:rsidRPr="004E62D1">
        <w:rPr>
          <w:rFonts w:asciiTheme="minorHAnsi" w:eastAsiaTheme="minorHAnsi" w:hAnsiTheme="minorHAnsi" w:cs="Arial"/>
          <w:b/>
          <w:spacing w:val="-4"/>
        </w:rPr>
        <w:t xml:space="preserve"> sestavené k 31. prosinci 2017</w:t>
      </w:r>
      <w:r w:rsidR="006B4DEB">
        <w:rPr>
          <w:rFonts w:asciiTheme="minorHAnsi" w:eastAsiaTheme="minorHAnsi" w:hAnsiTheme="minorHAnsi" w:cs="Arial"/>
          <w:b/>
          <w:spacing w:val="-4"/>
        </w:rPr>
        <w:t>,</w:t>
      </w:r>
      <w:r w:rsidRPr="004E62D1">
        <w:rPr>
          <w:rFonts w:asciiTheme="minorHAnsi" w:eastAsiaTheme="minorHAnsi" w:hAnsiTheme="minorHAnsi" w:cs="Arial"/>
          <w:b/>
          <w:spacing w:val="-4"/>
        </w:rPr>
        <w:t xml:space="preserve"> informace o stavu účtů v knize podrozvahových účtů, údaje za běžné období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126"/>
      </w:tblGrid>
      <w:tr w:rsidR="004E62D1" w:rsidRPr="005229EA" w14:paraId="1D95DCDA" w14:textId="77777777" w:rsidTr="002B281A">
        <w:trPr>
          <w:trHeight w:val="283"/>
          <w:tblHeader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44444B7" w14:textId="77777777" w:rsidR="004E62D1" w:rsidRPr="004D05B3" w:rsidRDefault="004E62D1" w:rsidP="004E62D1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0CF167" w14:textId="77777777" w:rsidR="004E62D1" w:rsidRPr="004D05B3" w:rsidRDefault="004E62D1" w:rsidP="004E62D1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4E62D1" w:rsidRPr="005229EA" w14:paraId="7166D10D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66845" w14:textId="77777777" w:rsidR="004E62D1" w:rsidRPr="004D05B3" w:rsidRDefault="004E62D1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P.I.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AE713" w14:textId="77777777" w:rsidR="004E62D1" w:rsidRPr="004D05B3" w:rsidRDefault="004E62D1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Majetek a závazky účetní jednotky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8CBB" w14:textId="67FB51A6" w:rsidR="004E62D1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1 999 206 911,35</w:t>
            </w:r>
          </w:p>
        </w:tc>
      </w:tr>
      <w:tr w:rsidR="004E62D1" w:rsidRPr="005229EA" w14:paraId="2D7C05EC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EC7E0" w14:textId="2F963BC9" w:rsidR="004E62D1" w:rsidRPr="004D05B3" w:rsidRDefault="004D05B3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P.II</w:t>
            </w:r>
            <w:proofErr w:type="gramEnd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6A270" w14:textId="04648829" w:rsidR="004E62D1" w:rsidRPr="004D05B3" w:rsidRDefault="004E62D1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Krátkodobé podmíněné pohledávky </w:t>
            </w:r>
            <w:r w:rsidR="004D05B3"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z transferů a krátkodobé podmíněné závazky z transferů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4FCC" w14:textId="71B015FD" w:rsidR="004E62D1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918 078357,36</w:t>
            </w:r>
          </w:p>
        </w:tc>
      </w:tr>
      <w:tr w:rsidR="004E62D1" w:rsidRPr="005229EA" w14:paraId="297E72C7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DC537" w14:textId="77777777" w:rsidR="004E62D1" w:rsidRPr="004D05B3" w:rsidRDefault="004E62D1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P.III</w:t>
            </w:r>
            <w:proofErr w:type="gramEnd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A64" w14:textId="77777777" w:rsidR="004E62D1" w:rsidRPr="004D05B3" w:rsidRDefault="004E62D1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Podmíněné pohledávky z důvodu užívání majetku jinou osobou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1806" w14:textId="1E320393" w:rsidR="004E62D1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0,00</w:t>
            </w:r>
          </w:p>
        </w:tc>
      </w:tr>
      <w:tr w:rsidR="004E62D1" w:rsidRPr="005229EA" w14:paraId="0E0649D3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5F28A" w14:textId="77777777" w:rsidR="004E62D1" w:rsidRPr="004D05B3" w:rsidRDefault="004E62D1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P.IV</w:t>
            </w:r>
            <w:proofErr w:type="gramEnd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8574" w14:textId="77777777" w:rsidR="004E62D1" w:rsidRPr="004D05B3" w:rsidRDefault="004E62D1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Další podmíněné pohledávky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D95" w14:textId="25CE74AC" w:rsidR="004E62D1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2 179 312 390,31</w:t>
            </w:r>
          </w:p>
        </w:tc>
      </w:tr>
      <w:tr w:rsidR="004E62D1" w:rsidRPr="005229EA" w14:paraId="2F94E4A1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ADC13" w14:textId="746BA16A" w:rsidR="004E62D1" w:rsidRPr="004D05B3" w:rsidRDefault="004E62D1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P.V</w:t>
            </w:r>
            <w:r w:rsidR="004D05B3"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9620" w14:textId="1A956D8F" w:rsidR="004E62D1" w:rsidRPr="004D05B3" w:rsidRDefault="004D05B3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Dlouhodobé podmíněné pohledávky z transferů a dlouhodobé podmíněné závazky z transferů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1F92" w14:textId="08A44B14" w:rsidR="004E62D1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1 394 171 265,81</w:t>
            </w:r>
          </w:p>
        </w:tc>
      </w:tr>
      <w:tr w:rsidR="004D05B3" w:rsidRPr="005229EA" w14:paraId="1E0E8AEA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0CEB9" w14:textId="54709978" w:rsidR="004D05B3" w:rsidRPr="004D05B3" w:rsidRDefault="004D05B3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P.VI</w:t>
            </w:r>
            <w:proofErr w:type="gramEnd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8DC" w14:textId="3D0E8A02" w:rsidR="004D05B3" w:rsidRPr="004D05B3" w:rsidRDefault="004D05B3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Podmíněné závazky z důvodu užívání cizího majetku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EF8" w14:textId="451BE9C1" w:rsidR="004D05B3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7 681 240 644,18</w:t>
            </w:r>
          </w:p>
        </w:tc>
      </w:tr>
      <w:tr w:rsidR="004E62D1" w:rsidRPr="005229EA" w14:paraId="76019709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3BDFD" w14:textId="77777777" w:rsidR="004E62D1" w:rsidRPr="004D05B3" w:rsidRDefault="004E62D1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P.VII</w:t>
            </w:r>
            <w:proofErr w:type="gramEnd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9A61" w14:textId="77777777" w:rsidR="004E62D1" w:rsidRPr="004D05B3" w:rsidRDefault="004E62D1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Další podmíněné závazky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64AA" w14:textId="5DF1A42F" w:rsidR="004E62D1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27 053 100 743,00</w:t>
            </w:r>
          </w:p>
        </w:tc>
      </w:tr>
      <w:tr w:rsidR="004D05B3" w:rsidRPr="005229EA" w14:paraId="0B6AB959" w14:textId="77777777" w:rsidTr="00A5523B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8AFF8" w14:textId="0E97329D" w:rsidR="004D05B3" w:rsidRPr="004D05B3" w:rsidRDefault="004D05B3" w:rsidP="00A5523B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P.VIII</w:t>
            </w:r>
            <w:proofErr w:type="gramEnd"/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206" w14:textId="42080794" w:rsidR="004D05B3" w:rsidRPr="004D05B3" w:rsidRDefault="004D05B3" w:rsidP="00A5523B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Ostatní podmíněná aktiva a ostatní podmíněná pasiva a vyrovnávací účty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8D5B" w14:textId="32EB5278" w:rsidR="004D05B3" w:rsidRPr="004D05B3" w:rsidRDefault="004D05B3" w:rsidP="004F6D05">
            <w:pPr>
              <w:spacing w:after="0" w:line="259" w:lineRule="auto"/>
              <w:ind w:right="214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4D05B3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122 090 876,84</w:t>
            </w:r>
          </w:p>
        </w:tc>
      </w:tr>
    </w:tbl>
    <w:p w14:paraId="360C26D6" w14:textId="74EB2E6A" w:rsidR="004E62D1" w:rsidRDefault="004E62D1" w:rsidP="00A5523B">
      <w:pPr>
        <w:spacing w:before="40" w:after="0"/>
        <w:rPr>
          <w:rFonts w:asciiTheme="minorHAnsi" w:eastAsiaTheme="minorHAnsi" w:hAnsiTheme="minorHAnsi" w:cstheme="minorBidi"/>
          <w:sz w:val="20"/>
          <w:szCs w:val="22"/>
        </w:rPr>
      </w:pPr>
      <w:r w:rsidRPr="004D05B3">
        <w:rPr>
          <w:rFonts w:asciiTheme="minorHAnsi" w:eastAsiaTheme="minorHAnsi" w:hAnsiTheme="minorHAnsi" w:cstheme="minorBidi"/>
          <w:b/>
          <w:sz w:val="20"/>
          <w:szCs w:val="22"/>
        </w:rPr>
        <w:t>Zdroj:</w:t>
      </w:r>
      <w:r w:rsidRPr="004D05B3">
        <w:rPr>
          <w:rFonts w:asciiTheme="minorHAnsi" w:eastAsiaTheme="minorHAnsi" w:hAnsiTheme="minorHAnsi" w:cstheme="minorBidi"/>
          <w:sz w:val="20"/>
          <w:szCs w:val="22"/>
        </w:rPr>
        <w:t xml:space="preserve"> účetní závěrka MO sestavená k 31. prosinci 2017.</w:t>
      </w:r>
    </w:p>
    <w:p w14:paraId="7D781903" w14:textId="77777777" w:rsidR="004F6D05" w:rsidRPr="004E62D1" w:rsidRDefault="004F6D05" w:rsidP="004F6D05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5862F6F" w14:textId="77777777" w:rsidR="009B77E9" w:rsidRDefault="009B77E9" w:rsidP="004F6D05">
      <w:pPr>
        <w:pStyle w:val="textKZ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 je významnou účetní jednotkou zejména z hlediska aktiv a v roce 2017 bylo třetím nejvýznamnějším ministerstvem z hlediska rozpočtu:</w:t>
      </w:r>
    </w:p>
    <w:p w14:paraId="47D68EB7" w14:textId="1B2F5E93" w:rsidR="009B77E9" w:rsidRDefault="009B77E9" w:rsidP="00DA24CE">
      <w:pPr>
        <w:pStyle w:val="textKZ"/>
        <w:numPr>
          <w:ilvl w:val="0"/>
          <w:numId w:val="14"/>
        </w:numPr>
        <w:spacing w:after="0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 31. 12. 2017 hodnota aktiv (brutto) všech 14 ministerstev činila 980 mld. Kč, z toho 235 mld. Kč tvořily aktiva (brutto) Ministerstva obrany, tj. 24 %;</w:t>
      </w:r>
    </w:p>
    <w:p w14:paraId="0D2DD0B6" w14:textId="77777777" w:rsidR="009B77E9" w:rsidRPr="000D00AD" w:rsidRDefault="009B77E9" w:rsidP="00DA24CE">
      <w:pPr>
        <w:pStyle w:val="textKZ"/>
        <w:numPr>
          <w:ilvl w:val="0"/>
          <w:numId w:val="14"/>
        </w:numPr>
        <w:spacing w:after="0"/>
        <w:ind w:left="284" w:hanging="284"/>
        <w:rPr>
          <w:rFonts w:asciiTheme="minorHAnsi" w:hAnsiTheme="minorHAnsi" w:cstheme="minorHAnsi"/>
        </w:rPr>
      </w:pPr>
      <w:r w:rsidRPr="000D00AD">
        <w:rPr>
          <w:rFonts w:asciiTheme="minorHAnsi" w:hAnsiTheme="minorHAnsi" w:cstheme="minorHAnsi"/>
        </w:rPr>
        <w:t>objem výdajů všech 14 ministerstev ČR za rok 2017 činil 448,7 mld. Kč, z toho výdaje MO za rok 2017 dostáhly 53 mld. Kč, tj. 12 %.</w:t>
      </w:r>
    </w:p>
    <w:p w14:paraId="3AE754F0" w14:textId="77777777" w:rsidR="004F6D05" w:rsidRDefault="004F6D05" w:rsidP="004F6D05">
      <w:pPr>
        <w:pStyle w:val="textKZ"/>
        <w:spacing w:after="0"/>
        <w:rPr>
          <w:rFonts w:asciiTheme="minorHAnsi" w:hAnsiTheme="minorHAnsi" w:cstheme="minorHAnsi"/>
        </w:rPr>
      </w:pPr>
    </w:p>
    <w:p w14:paraId="31AC7B82" w14:textId="034BE2FB" w:rsidR="009B77E9" w:rsidRDefault="009B77E9" w:rsidP="004F6D05">
      <w:pPr>
        <w:pStyle w:val="textKZ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porovnání s ostatními </w:t>
      </w:r>
      <w:r w:rsidR="00624450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ministerstvy ČR je významnost MO patrná především u objemu stálých aktiv brutto, a to především u dlouhodobého hmotného majetku a zásob, jak vyplývá z následující</w:t>
      </w:r>
      <w:r w:rsidR="008B08AD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grafu. </w:t>
      </w:r>
    </w:p>
    <w:p w14:paraId="410AF634" w14:textId="54788EB6" w:rsidR="009B77E9" w:rsidRDefault="009B77E9" w:rsidP="00731D85">
      <w:pPr>
        <w:keepNext/>
        <w:spacing w:after="0"/>
        <w:ind w:left="992" w:hanging="992"/>
        <w:jc w:val="both"/>
        <w:rPr>
          <w:rFonts w:cstheme="minorHAnsi"/>
          <w:b/>
        </w:rPr>
      </w:pPr>
      <w:r>
        <w:rPr>
          <w:b/>
          <w:color w:val="000000" w:themeColor="text1"/>
        </w:rPr>
        <w:lastRenderedPageBreak/>
        <w:t xml:space="preserve">Graf č. </w:t>
      </w: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SEQ Obrázek \* ARABIC </w:instrText>
      </w:r>
      <w:r>
        <w:rPr>
          <w:b/>
          <w:color w:val="000000" w:themeColor="text1"/>
        </w:rPr>
        <w:fldChar w:fldCharType="separate"/>
      </w:r>
      <w:r w:rsidR="00D405F5">
        <w:rPr>
          <w:b/>
          <w:noProof/>
          <w:color w:val="000000" w:themeColor="text1"/>
        </w:rPr>
        <w:t>1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ab/>
      </w:r>
      <w:r>
        <w:rPr>
          <w:rFonts w:cstheme="minorHAnsi"/>
          <w:b/>
        </w:rPr>
        <w:t>Podíly aktiv (brutto), zásob a dlouhodobého hmotného majetku MO na sumách všech 14 ministerstev ČR</w:t>
      </w:r>
      <w:bookmarkStart w:id="0" w:name="_GoBack"/>
      <w:bookmarkEnd w:id="0"/>
    </w:p>
    <w:p w14:paraId="5C9409C6" w14:textId="77777777" w:rsidR="009B77E9" w:rsidRDefault="009B77E9" w:rsidP="00731D85">
      <w:pPr>
        <w:keepNext/>
        <w:spacing w:after="0"/>
        <w:ind w:left="992" w:hanging="992"/>
        <w:jc w:val="both"/>
        <w:rPr>
          <w:rFonts w:cstheme="minorHAnsi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BCFDD95" wp14:editId="7A3738FD">
            <wp:simplePos x="0" y="0"/>
            <wp:positionH relativeFrom="column">
              <wp:posOffset>-1298</wp:posOffset>
            </wp:positionH>
            <wp:positionV relativeFrom="paragraph">
              <wp:posOffset>3617</wp:posOffset>
            </wp:positionV>
            <wp:extent cx="5543550" cy="2918128"/>
            <wp:effectExtent l="0" t="0" r="0" b="15875"/>
            <wp:wrapTopAndBottom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7C573" w14:textId="205526D5" w:rsidR="009B77E9" w:rsidRDefault="009B77E9" w:rsidP="00731D85">
      <w:pPr>
        <w:keepNext/>
        <w:spacing w:after="0"/>
        <w:ind w:left="993" w:hanging="993"/>
        <w:jc w:val="both"/>
        <w:rPr>
          <w:rFonts w:asciiTheme="minorHAnsi" w:hAnsiTheme="minorHAnsi" w:cstheme="minorHAnsi"/>
        </w:rPr>
      </w:pPr>
      <w:r>
        <w:rPr>
          <w:noProof/>
          <w:lang w:eastAsia="cs-CZ"/>
        </w:rPr>
        <w:drawing>
          <wp:inline distT="0" distB="0" distL="0" distR="0" wp14:anchorId="30102113" wp14:editId="1C02C71F">
            <wp:extent cx="2772000" cy="1948014"/>
            <wp:effectExtent l="0" t="0" r="9525" b="1460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780E703" wp14:editId="23675CD0">
            <wp:extent cx="2700000" cy="1995778"/>
            <wp:effectExtent l="0" t="0" r="5715" b="50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DBF7565" w14:textId="77777777" w:rsidR="005F3AA8" w:rsidRDefault="005F3AA8" w:rsidP="00731D85">
      <w:pPr>
        <w:keepNext/>
        <w:spacing w:after="0"/>
        <w:ind w:left="993" w:hanging="993"/>
        <w:jc w:val="both"/>
        <w:rPr>
          <w:rFonts w:asciiTheme="minorHAnsi" w:hAnsiTheme="minorHAnsi" w:cstheme="minorHAnsi"/>
        </w:rPr>
      </w:pPr>
    </w:p>
    <w:p w14:paraId="7A6EA26B" w14:textId="59051F76" w:rsidR="009B77E9" w:rsidRPr="005A3F1A" w:rsidRDefault="009B77E9" w:rsidP="00B62B3C">
      <w:pPr>
        <w:spacing w:before="40" w:after="0"/>
        <w:rPr>
          <w:rFonts w:asciiTheme="minorHAnsi" w:eastAsiaTheme="minorHAnsi" w:hAnsiTheme="minorHAnsi" w:cstheme="minorBidi"/>
          <w:sz w:val="20"/>
          <w:szCs w:val="22"/>
        </w:rPr>
      </w:pPr>
      <w:r w:rsidRPr="005A3F1A">
        <w:rPr>
          <w:rFonts w:asciiTheme="minorHAnsi" w:eastAsiaTheme="minorHAnsi" w:hAnsiTheme="minorHAnsi" w:cstheme="minorBidi"/>
          <w:b/>
          <w:sz w:val="20"/>
          <w:szCs w:val="22"/>
        </w:rPr>
        <w:t>Zdroj:</w:t>
      </w:r>
      <w:r w:rsidRPr="005A3F1A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 w:rsidR="00731D85">
        <w:rPr>
          <w:rFonts w:asciiTheme="minorHAnsi" w:eastAsiaTheme="minorHAnsi" w:hAnsiTheme="minorHAnsi" w:cstheme="minorBidi"/>
          <w:sz w:val="20"/>
          <w:szCs w:val="22"/>
        </w:rPr>
        <w:t xml:space="preserve">informační systém </w:t>
      </w:r>
      <w:r w:rsidRPr="00555A33">
        <w:rPr>
          <w:rFonts w:asciiTheme="minorHAnsi" w:eastAsiaTheme="minorHAnsi" w:hAnsiTheme="minorHAnsi" w:cstheme="minorBidi"/>
          <w:i/>
          <w:sz w:val="20"/>
          <w:szCs w:val="22"/>
        </w:rPr>
        <w:t>Monitor Státní pokladny</w:t>
      </w:r>
      <w:r w:rsidR="004A2DFD">
        <w:rPr>
          <w:rFonts w:asciiTheme="minorHAnsi" w:eastAsiaTheme="minorHAnsi" w:hAnsiTheme="minorHAnsi" w:cstheme="minorBidi"/>
          <w:sz w:val="20"/>
          <w:szCs w:val="22"/>
        </w:rPr>
        <w:t>.</w:t>
      </w:r>
    </w:p>
    <w:p w14:paraId="63FA195B" w14:textId="7DC0EA02" w:rsidR="00B62B3C" w:rsidRDefault="00B62B3C" w:rsidP="00B62B3C">
      <w:pPr>
        <w:pStyle w:val="textKZ"/>
        <w:spacing w:after="0"/>
        <w:rPr>
          <w:rFonts w:asciiTheme="minorHAnsi" w:hAnsiTheme="minorHAnsi" w:cstheme="minorHAnsi"/>
        </w:rPr>
      </w:pPr>
    </w:p>
    <w:p w14:paraId="6CDE5884" w14:textId="77777777" w:rsidR="00B62B3C" w:rsidRDefault="00B62B3C" w:rsidP="00B62B3C">
      <w:pPr>
        <w:pStyle w:val="textKZ"/>
        <w:spacing w:after="0"/>
        <w:rPr>
          <w:rFonts w:asciiTheme="minorHAnsi" w:hAnsiTheme="minorHAnsi" w:cstheme="minorHAnsi"/>
        </w:rPr>
      </w:pPr>
    </w:p>
    <w:p w14:paraId="64505440" w14:textId="46F393EE" w:rsidR="003735C6" w:rsidRPr="00657CF2" w:rsidRDefault="00FC42C0" w:rsidP="008C1562">
      <w:pPr>
        <w:pStyle w:val="Nadpis1"/>
        <w:spacing w:after="0" w:line="240" w:lineRule="auto"/>
      </w:pPr>
      <w:r w:rsidRPr="00657CF2">
        <w:t>I</w:t>
      </w:r>
      <w:r w:rsidR="003735C6" w:rsidRPr="00657CF2">
        <w:t>II. Rozsah kontroly</w:t>
      </w:r>
    </w:p>
    <w:p w14:paraId="3AC5FCEF" w14:textId="77777777" w:rsidR="008C1562" w:rsidRPr="0033466E" w:rsidRDefault="008C1562" w:rsidP="008C1562">
      <w:pPr>
        <w:spacing w:after="0"/>
      </w:pPr>
    </w:p>
    <w:p w14:paraId="65A0315D" w14:textId="702444AC" w:rsidR="00D32CA1" w:rsidRDefault="008832E1" w:rsidP="008C1562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Kontrolní akce byla kontrolou typu finanční audit</w:t>
      </w:r>
      <w:r w:rsidR="00D32CA1">
        <w:rPr>
          <w:rFonts w:asciiTheme="minorHAnsi" w:hAnsiTheme="minorHAnsi" w:cstheme="minorHAnsi"/>
        </w:rPr>
        <w:t xml:space="preserve"> a jejím </w:t>
      </w:r>
      <w:r>
        <w:rPr>
          <w:rFonts w:asciiTheme="minorHAnsi" w:hAnsiTheme="minorHAnsi" w:cstheme="minorHAnsi"/>
        </w:rPr>
        <w:t xml:space="preserve">cílem bylo zjistit, zda kontrolovaná </w:t>
      </w:r>
      <w:r w:rsidR="00D32CA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soba při sestav</w:t>
      </w:r>
      <w:r w:rsidR="00731D85">
        <w:rPr>
          <w:rFonts w:asciiTheme="minorHAnsi" w:hAnsiTheme="minorHAnsi" w:cstheme="minorHAnsi"/>
        </w:rPr>
        <w:t>ová</w:t>
      </w:r>
      <w:r>
        <w:rPr>
          <w:rFonts w:asciiTheme="minorHAnsi" w:hAnsiTheme="minorHAnsi" w:cstheme="minorHAnsi"/>
        </w:rPr>
        <w:t xml:space="preserve">ní souhrnných finančních </w:t>
      </w:r>
      <w:r w:rsidR="00D32CA1">
        <w:rPr>
          <w:rFonts w:asciiTheme="minorHAnsi" w:hAnsiTheme="minorHAnsi" w:cstheme="minorHAnsi"/>
        </w:rPr>
        <w:t>informací,</w:t>
      </w:r>
      <w:r>
        <w:rPr>
          <w:rFonts w:asciiTheme="minorHAnsi" w:hAnsiTheme="minorHAnsi" w:cstheme="minorHAnsi"/>
        </w:rPr>
        <w:t xml:space="preserve"> </w:t>
      </w:r>
      <w:r w:rsidR="00D32CA1">
        <w:rPr>
          <w:rFonts w:asciiTheme="minorHAnsi" w:hAnsiTheme="minorHAnsi" w:cstheme="minorHAnsi"/>
        </w:rPr>
        <w:t>které o svém hospodaření zveřej</w:t>
      </w:r>
      <w:r w:rsidR="007D5523">
        <w:rPr>
          <w:rFonts w:asciiTheme="minorHAnsi" w:hAnsiTheme="minorHAnsi" w:cstheme="minorHAnsi"/>
        </w:rPr>
        <w:t>ň</w:t>
      </w:r>
      <w:r w:rsidR="00D32CA1">
        <w:rPr>
          <w:rFonts w:asciiTheme="minorHAnsi" w:hAnsiTheme="minorHAnsi" w:cstheme="minorHAnsi"/>
        </w:rPr>
        <w:t xml:space="preserve">uje, </w:t>
      </w:r>
      <w:r w:rsidR="004A2DFD">
        <w:rPr>
          <w:rFonts w:asciiTheme="minorHAnsi" w:hAnsiTheme="minorHAnsi" w:cstheme="minorHAnsi"/>
        </w:rPr>
        <w:t>a </w:t>
      </w:r>
      <w:r>
        <w:rPr>
          <w:rFonts w:asciiTheme="minorHAnsi" w:hAnsiTheme="minorHAnsi" w:cstheme="minorHAnsi"/>
        </w:rPr>
        <w:t xml:space="preserve">při </w:t>
      </w:r>
      <w:r w:rsidR="00D32CA1">
        <w:rPr>
          <w:rFonts w:asciiTheme="minorHAnsi" w:hAnsiTheme="minorHAnsi" w:cstheme="minorHAnsi"/>
        </w:rPr>
        <w:t>provádění</w:t>
      </w:r>
      <w:r>
        <w:rPr>
          <w:rFonts w:asciiTheme="minorHAnsi" w:hAnsiTheme="minorHAnsi" w:cstheme="minorHAnsi"/>
        </w:rPr>
        <w:t xml:space="preserve"> </w:t>
      </w:r>
      <w:r w:rsidR="00D32CA1">
        <w:rPr>
          <w:rFonts w:asciiTheme="minorHAnsi" w:hAnsiTheme="minorHAnsi" w:cstheme="minorHAnsi"/>
        </w:rPr>
        <w:t>jednotlivých</w:t>
      </w:r>
      <w:r>
        <w:rPr>
          <w:rFonts w:asciiTheme="minorHAnsi" w:hAnsiTheme="minorHAnsi" w:cstheme="minorHAnsi"/>
        </w:rPr>
        <w:t xml:space="preserve"> transakcí postupovala v </w:t>
      </w:r>
      <w:r w:rsidR="00D32CA1">
        <w:rPr>
          <w:rFonts w:asciiTheme="minorHAnsi" w:hAnsiTheme="minorHAnsi" w:cstheme="minorHAnsi"/>
        </w:rPr>
        <w:t>souladu</w:t>
      </w:r>
      <w:r>
        <w:rPr>
          <w:rFonts w:asciiTheme="minorHAnsi" w:hAnsiTheme="minorHAnsi" w:cstheme="minorHAnsi"/>
        </w:rPr>
        <w:t xml:space="preserve"> s</w:t>
      </w:r>
      <w:r w:rsidR="00D32CA1">
        <w:rPr>
          <w:rFonts w:asciiTheme="minorHAnsi" w:hAnsiTheme="minorHAnsi" w:cstheme="minorHAnsi"/>
        </w:rPr>
        <w:t> příslušn</w:t>
      </w:r>
      <w:r w:rsidR="008C1562">
        <w:rPr>
          <w:rFonts w:asciiTheme="minorHAnsi" w:hAnsiTheme="minorHAnsi" w:cstheme="minorHAnsi"/>
        </w:rPr>
        <w:t>ými právními předpisy.</w:t>
      </w:r>
    </w:p>
    <w:p w14:paraId="5B260762" w14:textId="77777777" w:rsidR="008C1562" w:rsidRDefault="008C1562" w:rsidP="008C1562">
      <w:pPr>
        <w:spacing w:after="0"/>
        <w:jc w:val="both"/>
        <w:rPr>
          <w:rFonts w:asciiTheme="minorHAnsi" w:hAnsiTheme="minorHAnsi" w:cstheme="minorHAnsi"/>
        </w:rPr>
      </w:pPr>
    </w:p>
    <w:p w14:paraId="5FE56A73" w14:textId="5945D695" w:rsidR="007D5523" w:rsidRDefault="007D5523" w:rsidP="008C1562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Kontrola se zaměřila na č</w:t>
      </w:r>
      <w:r w:rsidRPr="000A1BA9">
        <w:rPr>
          <w:rFonts w:asciiTheme="minorHAnsi" w:hAnsiTheme="minorHAnsi" w:cstheme="minorHAnsi"/>
        </w:rPr>
        <w:t xml:space="preserve">innosti a skutečnosti, které byly předmětem účetnictví a měly vliv na hodnotu kontrolovaných významných konečných zůstatků účtů v účetní závěrce Ministerstva </w:t>
      </w:r>
      <w:r>
        <w:rPr>
          <w:rFonts w:asciiTheme="minorHAnsi" w:hAnsiTheme="minorHAnsi" w:cstheme="minorHAnsi"/>
        </w:rPr>
        <w:t>obrany</w:t>
      </w:r>
      <w:r w:rsidRPr="000A1BA9">
        <w:rPr>
          <w:rFonts w:asciiTheme="minorHAnsi" w:hAnsiTheme="minorHAnsi" w:cstheme="minorHAnsi"/>
        </w:rPr>
        <w:t xml:space="preserve"> za rok 201</w:t>
      </w:r>
      <w:r>
        <w:rPr>
          <w:rFonts w:asciiTheme="minorHAnsi" w:hAnsiTheme="minorHAnsi" w:cstheme="minorHAnsi"/>
        </w:rPr>
        <w:t>7, které měly vliv na hodnotu významných údajů předkládaných pro hodnocení plnění státního rozpočtu za rok 2017 a na závěrečný účet kapitoly státního rozpočtu 307 za</w:t>
      </w:r>
      <w:r w:rsidR="008C156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rok 2017</w:t>
      </w:r>
      <w:r w:rsidRPr="000A1BA9">
        <w:rPr>
          <w:rFonts w:asciiTheme="minorHAnsi" w:hAnsiTheme="minorHAnsi" w:cstheme="minorHAnsi"/>
          <w:bCs/>
        </w:rPr>
        <w:t>.</w:t>
      </w:r>
    </w:p>
    <w:p w14:paraId="4FD68CB6" w14:textId="77777777" w:rsidR="008C1562" w:rsidRPr="000A1BA9" w:rsidRDefault="008C1562" w:rsidP="008C1562">
      <w:pPr>
        <w:spacing w:after="0"/>
        <w:jc w:val="both"/>
        <w:rPr>
          <w:rFonts w:asciiTheme="minorHAnsi" w:hAnsiTheme="minorHAnsi" w:cstheme="minorHAnsi"/>
          <w:bCs/>
        </w:rPr>
      </w:pPr>
    </w:p>
    <w:p w14:paraId="7F31AE2B" w14:textId="41EB9AE8" w:rsidR="007D5523" w:rsidRDefault="007D5523" w:rsidP="008C1562">
      <w:pPr>
        <w:spacing w:after="0"/>
        <w:jc w:val="both"/>
        <w:rPr>
          <w:rFonts w:asciiTheme="minorHAnsi" w:eastAsiaTheme="minorHAnsi" w:hAnsiTheme="minorHAnsi" w:cstheme="minorHAnsi"/>
        </w:rPr>
      </w:pPr>
      <w:r w:rsidRPr="006957FD">
        <w:rPr>
          <w:rFonts w:asciiTheme="minorHAnsi" w:eastAsiaTheme="minorHAnsi" w:hAnsiTheme="minorHAnsi" w:cstheme="minorHAnsi"/>
        </w:rPr>
        <w:t xml:space="preserve">Organizační složky státu jsou povinny v souladu se zákonem o účetnictví účtovat o stavu a pohybu majetku a jiných aktiv, závazků a jiných pasiv, o nákladech a výnosech a o výsledku </w:t>
      </w:r>
      <w:r w:rsidRPr="006957FD">
        <w:rPr>
          <w:rFonts w:asciiTheme="minorHAnsi" w:eastAsiaTheme="minorHAnsi" w:hAnsiTheme="minorHAnsi" w:cstheme="minorHAnsi"/>
        </w:rPr>
        <w:lastRenderedPageBreak/>
        <w:t>hospodaření. Informace, které předkládají v účetní závěrce</w:t>
      </w:r>
      <w:r w:rsidRPr="006957FD">
        <w:rPr>
          <w:rFonts w:asciiTheme="minorHAnsi" w:eastAsiaTheme="minorHAnsi" w:hAnsiTheme="minorHAnsi" w:cstheme="minorHAnsi"/>
          <w:vertAlign w:val="superscript"/>
        </w:rPr>
        <w:footnoteReference w:id="11"/>
      </w:r>
      <w:r w:rsidRPr="006957FD">
        <w:rPr>
          <w:rFonts w:asciiTheme="minorHAnsi" w:eastAsiaTheme="minorHAnsi" w:hAnsiTheme="minorHAnsi" w:cstheme="minorHAnsi"/>
        </w:rPr>
        <w:t>, musí být spolehlivé, srovnatelné, srozumitelné a posu</w:t>
      </w:r>
      <w:r w:rsidR="008C1562">
        <w:rPr>
          <w:rFonts w:asciiTheme="minorHAnsi" w:eastAsiaTheme="minorHAnsi" w:hAnsiTheme="minorHAnsi" w:cstheme="minorHAnsi"/>
        </w:rPr>
        <w:t>zují se z hlediska významnosti.</w:t>
      </w:r>
    </w:p>
    <w:p w14:paraId="06A29A04" w14:textId="77777777" w:rsidR="008C1562" w:rsidRDefault="008C1562" w:rsidP="008C1562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FF39325" w14:textId="4E42CA93" w:rsidR="007D5523" w:rsidRDefault="007D5523" w:rsidP="008C1562">
      <w:pPr>
        <w:pStyle w:val="textodstavce"/>
        <w:spacing w:after="0"/>
        <w:rPr>
          <w:rFonts w:asciiTheme="minorHAnsi" w:hAnsiTheme="minorHAnsi"/>
          <w:i/>
        </w:rPr>
      </w:pPr>
      <w:r w:rsidRPr="00980180">
        <w:t>Při kontrole bylo provedeno také vyhodnocení opatření přijatých k nápravě z</w:t>
      </w:r>
      <w:r>
        <w:t> </w:t>
      </w:r>
      <w:r w:rsidRPr="00980180">
        <w:t>kontrolní</w:t>
      </w:r>
      <w:r>
        <w:t xml:space="preserve">ch </w:t>
      </w:r>
      <w:r w:rsidRPr="00980180">
        <w:t>akc</w:t>
      </w:r>
      <w:r>
        <w:t>í</w:t>
      </w:r>
      <w:r w:rsidRPr="00980180">
        <w:t xml:space="preserve"> č. </w:t>
      </w:r>
      <w:r>
        <w:t>13/29</w:t>
      </w:r>
      <w:r w:rsidRPr="00980180">
        <w:t xml:space="preserve"> – </w:t>
      </w:r>
      <w:r w:rsidRPr="003A54A7">
        <w:rPr>
          <w:i/>
        </w:rPr>
        <w:t>Závěrečný účet kapitoly státního rozpočtu Ministerstvo obrany za rok 2012, účetní závěrka a finanční výkazy Ministerstva obrany za rok 2012</w:t>
      </w:r>
      <w:r>
        <w:t xml:space="preserve">, č. </w:t>
      </w:r>
      <w:r w:rsidRPr="007A4EB7">
        <w:rPr>
          <w:rFonts w:asciiTheme="minorHAnsi" w:hAnsiTheme="minorHAnsi"/>
        </w:rPr>
        <w:t xml:space="preserve">14/08 – </w:t>
      </w:r>
      <w:r w:rsidRPr="003A54A7">
        <w:rPr>
          <w:rFonts w:asciiTheme="minorHAnsi" w:hAnsiTheme="minorHAnsi"/>
          <w:i/>
        </w:rPr>
        <w:t>Prostředky státu v oblasti důchodového pojištění</w:t>
      </w:r>
      <w:r>
        <w:rPr>
          <w:rFonts w:asciiTheme="minorHAnsi" w:hAnsiTheme="minorHAnsi"/>
          <w:i/>
        </w:rPr>
        <w:t xml:space="preserve"> </w:t>
      </w:r>
      <w:r w:rsidRPr="003A54A7">
        <w:rPr>
          <w:rFonts w:asciiTheme="minorHAnsi" w:hAnsiTheme="minorHAnsi"/>
        </w:rPr>
        <w:t>a</w:t>
      </w:r>
      <w:r>
        <w:rPr>
          <w:rFonts w:asciiTheme="minorHAnsi" w:hAnsiTheme="minorHAnsi"/>
          <w:i/>
        </w:rPr>
        <w:t xml:space="preserve"> </w:t>
      </w:r>
      <w:r w:rsidRPr="003A54A7">
        <w:rPr>
          <w:rFonts w:asciiTheme="minorHAnsi" w:hAnsiTheme="minorHAnsi"/>
        </w:rPr>
        <w:t>č.</w:t>
      </w:r>
      <w:r>
        <w:rPr>
          <w:rFonts w:asciiTheme="minorHAnsi" w:hAnsiTheme="minorHAnsi"/>
          <w:i/>
        </w:rPr>
        <w:t xml:space="preserve"> </w:t>
      </w:r>
      <w:r w:rsidRPr="007A4EB7">
        <w:rPr>
          <w:rFonts w:asciiTheme="minorHAnsi" w:hAnsiTheme="minorHAnsi"/>
        </w:rPr>
        <w:t xml:space="preserve">15/34 – </w:t>
      </w:r>
      <w:r w:rsidRPr="007A4EB7">
        <w:rPr>
          <w:rFonts w:asciiTheme="minorHAnsi" w:hAnsiTheme="minorHAnsi"/>
          <w:i/>
        </w:rPr>
        <w:t>Peněžní prostředky vynakládané na úhradu nákladů z činnosti u vybraných ministerstev</w:t>
      </w:r>
      <w:r>
        <w:rPr>
          <w:rFonts w:asciiTheme="minorHAnsi" w:hAnsiTheme="minorHAnsi"/>
          <w:i/>
        </w:rPr>
        <w:t>.</w:t>
      </w:r>
    </w:p>
    <w:p w14:paraId="736240C4" w14:textId="77777777" w:rsidR="008C1562" w:rsidRPr="009F61CA" w:rsidRDefault="008C1562" w:rsidP="008C1562">
      <w:pPr>
        <w:pStyle w:val="textodstavce"/>
        <w:spacing w:after="0"/>
      </w:pPr>
    </w:p>
    <w:p w14:paraId="07F1ADC1" w14:textId="70FC7D28" w:rsidR="003735C6" w:rsidRDefault="003735C6" w:rsidP="008C1562">
      <w:pPr>
        <w:pStyle w:val="textKZ"/>
        <w:spacing w:after="0"/>
        <w:rPr>
          <w:rFonts w:asciiTheme="minorHAnsi" w:hAnsiTheme="minorHAnsi" w:cstheme="minorHAnsi"/>
        </w:rPr>
      </w:pPr>
      <w:r w:rsidRPr="000A1BA9">
        <w:rPr>
          <w:rFonts w:asciiTheme="minorHAnsi" w:hAnsiTheme="minorHAnsi" w:cstheme="minorHAnsi"/>
        </w:rPr>
        <w:t>Výběr položek účetní závěrky</w:t>
      </w:r>
      <w:r>
        <w:rPr>
          <w:rFonts w:asciiTheme="minorHAnsi" w:hAnsiTheme="minorHAnsi" w:cstheme="minorHAnsi"/>
        </w:rPr>
        <w:t xml:space="preserve"> a údajů předkládaných ministerstvem pro hodnocení plnění státního rozpočtu</w:t>
      </w:r>
      <w:r w:rsidRPr="000A1BA9">
        <w:rPr>
          <w:rFonts w:asciiTheme="minorHAnsi" w:hAnsiTheme="minorHAnsi" w:cstheme="minorHAnsi"/>
        </w:rPr>
        <w:t xml:space="preserve"> byl</w:t>
      </w:r>
      <w:r w:rsidR="007B3355">
        <w:rPr>
          <w:rFonts w:asciiTheme="minorHAnsi" w:hAnsiTheme="minorHAnsi" w:cstheme="minorHAnsi"/>
        </w:rPr>
        <w:t xml:space="preserve"> NKÚ</w:t>
      </w:r>
      <w:r w:rsidRPr="000A1BA9">
        <w:rPr>
          <w:rFonts w:asciiTheme="minorHAnsi" w:hAnsiTheme="minorHAnsi" w:cstheme="minorHAnsi"/>
        </w:rPr>
        <w:t xml:space="preserve"> proveden se zaměřením na vyhodnocená rizika nesprávnosti vykázaných údajů. </w:t>
      </w:r>
    </w:p>
    <w:p w14:paraId="215A6B7B" w14:textId="77777777" w:rsidR="008C1562" w:rsidRDefault="008C1562" w:rsidP="008C1562">
      <w:pPr>
        <w:pStyle w:val="textKZ"/>
        <w:spacing w:after="0"/>
        <w:rPr>
          <w:rFonts w:asciiTheme="minorHAnsi" w:hAnsiTheme="minorHAnsi" w:cstheme="minorHAnsi"/>
        </w:rPr>
      </w:pPr>
    </w:p>
    <w:p w14:paraId="5DA37C55" w14:textId="3F7E1B10" w:rsidR="003735C6" w:rsidRDefault="003735C6" w:rsidP="008C1562">
      <w:pPr>
        <w:pStyle w:val="textKZ"/>
        <w:spacing w:after="0"/>
        <w:rPr>
          <w:rFonts w:asciiTheme="minorHAnsi" w:hAnsiTheme="minorHAnsi" w:cstheme="minorHAnsi"/>
        </w:rPr>
      </w:pPr>
      <w:r w:rsidRPr="000A1BA9">
        <w:rPr>
          <w:rFonts w:asciiTheme="minorHAnsi" w:hAnsiTheme="minorHAnsi" w:cstheme="minorHAnsi"/>
        </w:rPr>
        <w:t xml:space="preserve">Kontrolována byla také </w:t>
      </w:r>
      <w:r w:rsidRPr="00DD6C78">
        <w:rPr>
          <w:rFonts w:asciiTheme="minorHAnsi" w:hAnsiTheme="minorHAnsi" w:cstheme="minorHAnsi"/>
          <w:b/>
        </w:rPr>
        <w:t>správnost používaných účetních metod a ostatních podmínek vedení účetnictví</w:t>
      </w:r>
      <w:r w:rsidRPr="000A1BA9">
        <w:rPr>
          <w:rFonts w:asciiTheme="minorHAnsi" w:hAnsiTheme="minorHAnsi" w:cstheme="minorHAnsi"/>
        </w:rPr>
        <w:t xml:space="preserve"> stanovených účetními předpisy s účinností pro kontrolované období. </w:t>
      </w:r>
      <w:r>
        <w:rPr>
          <w:lang w:eastAsia="cs-CZ"/>
        </w:rPr>
        <w:t xml:space="preserve">U vybraných účetních případů roku 2017, </w:t>
      </w:r>
      <w:r w:rsidRPr="00980180">
        <w:t>na vybraných položkách majetkové evidence a evidence uzavřených smluv</w:t>
      </w:r>
      <w:r>
        <w:rPr>
          <w:lang w:eastAsia="cs-CZ"/>
        </w:rPr>
        <w:t xml:space="preserve"> byla provedena kontrola s cílem prověřit systém účtování a vykazování informací o skutečnostech, které byly předmětem účetnictví.</w:t>
      </w:r>
      <w:r w:rsidRPr="000A1BA9">
        <w:rPr>
          <w:rFonts w:asciiTheme="minorHAnsi" w:hAnsiTheme="minorHAnsi" w:cstheme="minorHAnsi"/>
        </w:rPr>
        <w:t xml:space="preserve"> </w:t>
      </w:r>
    </w:p>
    <w:p w14:paraId="63E107E8" w14:textId="77777777" w:rsidR="008C1562" w:rsidRDefault="008C1562" w:rsidP="008C1562">
      <w:pPr>
        <w:pStyle w:val="textKZ"/>
        <w:spacing w:after="0"/>
        <w:rPr>
          <w:lang w:eastAsia="cs-CZ"/>
        </w:rPr>
      </w:pPr>
    </w:p>
    <w:p w14:paraId="25B8E9A4" w14:textId="2B29F14B" w:rsidR="005E36A3" w:rsidRDefault="005E36A3" w:rsidP="008C1562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V případě </w:t>
      </w:r>
      <w:r w:rsidRPr="005D3D9A">
        <w:rPr>
          <w:rFonts w:asciiTheme="minorHAnsi" w:eastAsiaTheme="minorHAnsi" w:hAnsiTheme="minorHAnsi" w:cstheme="minorHAnsi"/>
          <w:b/>
        </w:rPr>
        <w:t>údajů předkládaných pro hodnocení plnění státního rozpočtu</w:t>
      </w:r>
      <w:r>
        <w:rPr>
          <w:rFonts w:asciiTheme="minorHAnsi" w:eastAsiaTheme="minorHAnsi" w:hAnsiTheme="minorHAnsi" w:cstheme="minorHAnsi"/>
        </w:rPr>
        <w:t xml:space="preserve"> bylo prověřováno, zda byla dodržena správnost třídění příjmů a výdajů rozpočtovou skladbou v oblasti druhového a odvětvového třídění dle vyhlášky č. 323/2002 Sb., o rozpočtové skladbě.</w:t>
      </w:r>
    </w:p>
    <w:p w14:paraId="031A91E2" w14:textId="77777777" w:rsidR="008C1562" w:rsidRDefault="008C1562" w:rsidP="008C1562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DF138AF" w14:textId="16E808AC" w:rsidR="003735C6" w:rsidRDefault="003735C6" w:rsidP="008C1562">
      <w:pPr>
        <w:spacing w:after="0"/>
        <w:jc w:val="both"/>
        <w:rPr>
          <w:rFonts w:asciiTheme="minorHAnsi" w:hAnsiTheme="minorHAnsi" w:cs="Calibri"/>
        </w:rPr>
      </w:pPr>
      <w:r w:rsidRPr="005E36A3">
        <w:rPr>
          <w:rFonts w:asciiTheme="minorHAnsi" w:hAnsiTheme="minorHAnsi" w:cs="Calibri"/>
        </w:rPr>
        <w:t>V </w:t>
      </w:r>
      <w:r w:rsidRPr="005E36A3">
        <w:rPr>
          <w:rFonts w:asciiTheme="minorHAnsi" w:hAnsiTheme="minorHAnsi" w:cs="Calibri"/>
          <w:b/>
        </w:rPr>
        <w:t>závěrečných účtech kapitol</w:t>
      </w:r>
      <w:r w:rsidRPr="005E36A3">
        <w:rPr>
          <w:rFonts w:asciiTheme="minorHAnsi" w:hAnsiTheme="minorHAnsi" w:cs="Calibri"/>
        </w:rPr>
        <w:t xml:space="preserve"> státního rozpočtu mají jejich jednotliví správci povinnost zveřejnit informace o výsledcích rozpočtového hospodaření v příslušné kapitole státního rozpočtu za příslušný rozpočtový rok</w:t>
      </w:r>
      <w:r w:rsidRPr="005E36A3">
        <w:rPr>
          <w:vertAlign w:val="superscript"/>
        </w:rPr>
        <w:footnoteReference w:id="12"/>
      </w:r>
      <w:r w:rsidRPr="005E36A3">
        <w:rPr>
          <w:rFonts w:asciiTheme="minorHAnsi" w:hAnsiTheme="minorHAnsi" w:cs="Calibri"/>
        </w:rPr>
        <w:t xml:space="preserve"> v rozsahu stanoveném právními předpisy</w:t>
      </w:r>
      <w:r w:rsidRPr="005E36A3">
        <w:rPr>
          <w:vertAlign w:val="superscript"/>
        </w:rPr>
        <w:footnoteReference w:id="13"/>
      </w:r>
      <w:r w:rsidRPr="005E36A3">
        <w:rPr>
          <w:rFonts w:asciiTheme="minorHAnsi" w:hAnsiTheme="minorHAnsi" w:cs="Calibri"/>
        </w:rPr>
        <w:t xml:space="preserve">. </w:t>
      </w:r>
    </w:p>
    <w:p w14:paraId="5EA168A1" w14:textId="77777777" w:rsidR="008C1562" w:rsidRPr="005E36A3" w:rsidRDefault="008C1562" w:rsidP="008C1562">
      <w:pPr>
        <w:spacing w:after="0"/>
        <w:jc w:val="both"/>
        <w:rPr>
          <w:rFonts w:asciiTheme="minorHAnsi" w:hAnsiTheme="minorHAnsi" w:cs="Calibri"/>
        </w:rPr>
      </w:pPr>
    </w:p>
    <w:p w14:paraId="2A18936E" w14:textId="3A6B7405" w:rsidR="003735C6" w:rsidRPr="00980180" w:rsidRDefault="003735C6" w:rsidP="008C1562">
      <w:pPr>
        <w:spacing w:after="0"/>
        <w:jc w:val="both"/>
        <w:rPr>
          <w:rFonts w:cs="Calibri"/>
          <w:lang w:eastAsia="cs-CZ"/>
        </w:rPr>
      </w:pPr>
      <w:r w:rsidRPr="005E36A3">
        <w:rPr>
          <w:rFonts w:cs="Calibri"/>
          <w:lang w:eastAsia="cs-CZ"/>
        </w:rPr>
        <w:t>Při kontrole závěrečného účtu kapitoly státního rozpočtu 307 za rok 2017 se skupina kontrolujících zaměřila na dodržení souladu s vyhláškou č. 419/2001 Sb., o rozsahu, struktuře a termínech údajů předkládaných pro vypracování návrhu státního závěrečného účtu a o rozsahu a termínech sestavení návrhů závěrečných účtů kapitol státního rozpočtu, na</w:t>
      </w:r>
      <w:r w:rsidR="005074B6">
        <w:rPr>
          <w:rFonts w:cs="Calibri"/>
          <w:lang w:eastAsia="cs-CZ"/>
        </w:rPr>
        <w:t xml:space="preserve"> </w:t>
      </w:r>
      <w:r w:rsidRPr="005E36A3">
        <w:rPr>
          <w:rFonts w:cs="Calibri"/>
          <w:lang w:eastAsia="cs-CZ"/>
        </w:rPr>
        <w:t>ověření správnosti a úplnosti údajů a číselných hodnot uvedených v průvodní zprávě.</w:t>
      </w:r>
      <w:r w:rsidRPr="00980180">
        <w:rPr>
          <w:rFonts w:cs="Calibri"/>
          <w:lang w:eastAsia="cs-CZ"/>
        </w:rPr>
        <w:t xml:space="preserve"> </w:t>
      </w:r>
    </w:p>
    <w:p w14:paraId="0BDC99BD" w14:textId="1A4C9A3B" w:rsidR="003735C6" w:rsidRDefault="003735C6" w:rsidP="008C1562">
      <w:pPr>
        <w:spacing w:after="0"/>
      </w:pPr>
    </w:p>
    <w:p w14:paraId="07C57F89" w14:textId="77777777" w:rsidR="008C1562" w:rsidRPr="0033466E" w:rsidRDefault="008C1562" w:rsidP="008C1562">
      <w:pPr>
        <w:spacing w:after="0"/>
      </w:pPr>
    </w:p>
    <w:p w14:paraId="559418C7" w14:textId="77777777" w:rsidR="008C1562" w:rsidRDefault="008C1562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5F2B7622" w14:textId="659D10A3" w:rsidR="003735C6" w:rsidRPr="00657CF2" w:rsidRDefault="003735C6" w:rsidP="008C1562">
      <w:pPr>
        <w:pStyle w:val="Nadpis1"/>
        <w:spacing w:after="0" w:line="240" w:lineRule="auto"/>
      </w:pPr>
      <w:r w:rsidRPr="00657CF2">
        <w:lastRenderedPageBreak/>
        <w:t>I</w:t>
      </w:r>
      <w:r w:rsidR="00FC42C0" w:rsidRPr="00657CF2">
        <w:t>V</w:t>
      </w:r>
      <w:r w:rsidR="008C1562">
        <w:t xml:space="preserve">. </w:t>
      </w:r>
      <w:r w:rsidR="00FC42C0" w:rsidRPr="00657CF2">
        <w:t>Podrobné skutečnosti zjištěné kontrolou</w:t>
      </w:r>
    </w:p>
    <w:p w14:paraId="4591426B" w14:textId="77777777" w:rsidR="008C1562" w:rsidRDefault="008C1562" w:rsidP="00A020FE">
      <w:pPr>
        <w:pStyle w:val="Textpoznpodarou"/>
        <w:jc w:val="both"/>
        <w:rPr>
          <w:rFonts w:asciiTheme="minorHAnsi" w:hAnsiTheme="minorHAnsi" w:cstheme="minorHAnsi"/>
          <w:spacing w:val="-2"/>
          <w:sz w:val="24"/>
        </w:rPr>
      </w:pPr>
    </w:p>
    <w:p w14:paraId="61D61E2C" w14:textId="7A526247" w:rsidR="0033466E" w:rsidRDefault="0033466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Kontrolou byly zjištěny n</w:t>
      </w:r>
      <w:r w:rsidRPr="00391416">
        <w:rPr>
          <w:rFonts w:asciiTheme="minorHAnsi" w:hAnsiTheme="minorHAnsi" w:cstheme="minorHAnsi"/>
          <w:spacing w:val="-2"/>
          <w:sz w:val="24"/>
        </w:rPr>
        <w:t xml:space="preserve">esprávnosti dle jednotlivých položek ÚZ </w:t>
      </w:r>
      <w:r>
        <w:rPr>
          <w:rFonts w:asciiTheme="minorHAnsi" w:hAnsiTheme="minorHAnsi" w:cstheme="minorHAnsi"/>
          <w:spacing w:val="-2"/>
          <w:sz w:val="24"/>
        </w:rPr>
        <w:t>v návaznosti</w:t>
      </w:r>
      <w:r w:rsidRPr="00391416">
        <w:rPr>
          <w:rFonts w:asciiTheme="minorHAnsi" w:hAnsiTheme="minorHAnsi" w:cstheme="minorHAnsi"/>
          <w:spacing w:val="-2"/>
          <w:sz w:val="24"/>
        </w:rPr>
        <w:t xml:space="preserve"> na jejich obsahové</w:t>
      </w:r>
      <w:r w:rsidRPr="00391416">
        <w:rPr>
          <w:rFonts w:asciiTheme="minorHAnsi" w:hAnsiTheme="minorHAnsi" w:cstheme="minorHAnsi"/>
          <w:sz w:val="24"/>
        </w:rPr>
        <w:t xml:space="preserve"> v</w:t>
      </w:r>
      <w:r>
        <w:rPr>
          <w:rFonts w:asciiTheme="minorHAnsi" w:hAnsiTheme="minorHAnsi" w:cstheme="minorHAnsi"/>
          <w:sz w:val="24"/>
        </w:rPr>
        <w:t xml:space="preserve">ymezení </w:t>
      </w:r>
      <w:r w:rsidRPr="00391416">
        <w:rPr>
          <w:rFonts w:asciiTheme="minorHAnsi" w:hAnsiTheme="minorHAnsi" w:cstheme="minorHAnsi"/>
          <w:sz w:val="24"/>
        </w:rPr>
        <w:t>podle vyhlášky č. 410/2009 Sb</w:t>
      </w:r>
      <w:r w:rsidRPr="00322477">
        <w:rPr>
          <w:rFonts w:asciiTheme="minorHAnsi" w:hAnsiTheme="minorHAnsi" w:cstheme="minorHAnsi"/>
          <w:sz w:val="24"/>
          <w:szCs w:val="24"/>
        </w:rPr>
        <w:t>.,</w:t>
      </w:r>
      <w:r w:rsidRPr="00C56F59">
        <w:rPr>
          <w:rStyle w:val="Znakapoznpodarou"/>
          <w:rFonts w:asciiTheme="minorHAnsi" w:hAnsiTheme="minorHAnsi" w:cstheme="minorHAnsi"/>
          <w:sz w:val="24"/>
          <w:szCs w:val="24"/>
        </w:rPr>
        <w:t xml:space="preserve"> </w:t>
      </w:r>
      <w:r w:rsidRPr="00A7754F">
        <w:rPr>
          <w:rFonts w:asciiTheme="minorHAnsi" w:hAnsiTheme="minorHAnsi"/>
          <w:sz w:val="24"/>
          <w:szCs w:val="24"/>
        </w:rPr>
        <w:t>kterou se provádě</w:t>
      </w:r>
      <w:r>
        <w:rPr>
          <w:rFonts w:asciiTheme="minorHAnsi" w:hAnsiTheme="minorHAnsi"/>
          <w:sz w:val="24"/>
          <w:szCs w:val="24"/>
        </w:rPr>
        <w:t>jí některá ustanovení zákona č. </w:t>
      </w:r>
      <w:r w:rsidRPr="00A7754F">
        <w:rPr>
          <w:rFonts w:asciiTheme="minorHAnsi" w:hAnsiTheme="minorHAnsi"/>
          <w:sz w:val="24"/>
          <w:szCs w:val="24"/>
        </w:rPr>
        <w:t>563/1991 Sb., o účetnictví, ve znění pozdějších předpisů, pro některé vybrané účetní jednotky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</w:rPr>
        <w:t xml:space="preserve"> Tyto nesprávnosti vznikly v důsledku nesprávné aplikace účetních metod a v důsledku nedodržení dalších podmínek vedení účetnictví stanovených právními předpisy.</w:t>
      </w:r>
      <w:r w:rsidRPr="0039141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V níže uvedených případech</w:t>
      </w:r>
      <w:r w:rsidRPr="00391416">
        <w:rPr>
          <w:rFonts w:asciiTheme="minorHAnsi" w:hAnsiTheme="minorHAnsi" w:cstheme="minorHAnsi"/>
          <w:sz w:val="24"/>
        </w:rPr>
        <w:t xml:space="preserve"> jsou uvedena</w:t>
      </w:r>
      <w:r>
        <w:rPr>
          <w:rFonts w:asciiTheme="minorHAnsi" w:hAnsiTheme="minorHAnsi" w:cstheme="minorHAnsi"/>
          <w:sz w:val="24"/>
        </w:rPr>
        <w:t xml:space="preserve"> </w:t>
      </w:r>
      <w:r w:rsidRPr="00391416">
        <w:rPr>
          <w:rFonts w:asciiTheme="minorHAnsi" w:hAnsiTheme="minorHAnsi" w:cstheme="minorHAnsi"/>
          <w:sz w:val="24"/>
        </w:rPr>
        <w:t xml:space="preserve">zjištění </w:t>
      </w:r>
      <w:r>
        <w:rPr>
          <w:rFonts w:asciiTheme="minorHAnsi" w:hAnsiTheme="minorHAnsi" w:cstheme="minorHAnsi"/>
          <w:sz w:val="24"/>
        </w:rPr>
        <w:t>s vlivem na ÚZ.</w:t>
      </w:r>
    </w:p>
    <w:p w14:paraId="300981A2" w14:textId="77777777" w:rsidR="00522D69" w:rsidRDefault="00522D69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7376CD6F" w14:textId="03E89538" w:rsidR="00522D69" w:rsidRPr="00381C9F" w:rsidRDefault="00A020FE" w:rsidP="00A020FE">
      <w:pPr>
        <w:pStyle w:val="Nadpis2"/>
        <w:numPr>
          <w:ilvl w:val="0"/>
          <w:numId w:val="0"/>
        </w:numPr>
        <w:spacing w:after="0" w:line="240" w:lineRule="auto"/>
        <w:contextualSpacing w:val="0"/>
      </w:pPr>
      <w:r>
        <w:t xml:space="preserve">1. </w:t>
      </w:r>
      <w:r w:rsidR="00522D69" w:rsidRPr="00381C9F">
        <w:t>Oprava nesprávností zjištěných v průběhu kontroly</w:t>
      </w:r>
    </w:p>
    <w:p w14:paraId="22F0FE7A" w14:textId="77777777" w:rsidR="00A020FE" w:rsidRDefault="00A020FE" w:rsidP="00A020FE">
      <w:pPr>
        <w:spacing w:after="0"/>
        <w:jc w:val="both"/>
        <w:rPr>
          <w:lang w:eastAsia="cs-CZ"/>
        </w:rPr>
      </w:pPr>
    </w:p>
    <w:p w14:paraId="2FB41070" w14:textId="771E08F2" w:rsidR="00522D69" w:rsidRDefault="00522D69" w:rsidP="00A020FE">
      <w:pPr>
        <w:spacing w:after="0"/>
        <w:jc w:val="both"/>
        <w:rPr>
          <w:lang w:eastAsia="cs-CZ"/>
        </w:rPr>
      </w:pPr>
      <w:r>
        <w:rPr>
          <w:lang w:eastAsia="cs-CZ"/>
        </w:rPr>
        <w:t>Kontrolní akce č. 17/30 byla zahájena v průběhu kontrolovaného účetního období 2017, což umožnilo MO ještě v průběhu kontroly před uzavřením účetních knih</w:t>
      </w:r>
      <w:r w:rsidR="001101E0">
        <w:rPr>
          <w:lang w:eastAsia="cs-CZ"/>
        </w:rPr>
        <w:t xml:space="preserve"> na základě upozornění NKÚ</w:t>
      </w:r>
      <w:r>
        <w:rPr>
          <w:lang w:eastAsia="cs-CZ"/>
        </w:rPr>
        <w:t xml:space="preserve"> provést opravu identifikovaných nesprávností. MO před uzavřením účetních knih opravilo nesprávnosti v</w:t>
      </w:r>
      <w:r w:rsidR="00F028DC">
        <w:rPr>
          <w:lang w:eastAsia="cs-CZ"/>
        </w:rPr>
        <w:t> </w:t>
      </w:r>
      <w:r>
        <w:rPr>
          <w:lang w:eastAsia="cs-CZ"/>
        </w:rPr>
        <w:t>účetnictví</w:t>
      </w:r>
      <w:r w:rsidR="00F028DC">
        <w:rPr>
          <w:lang w:eastAsia="cs-CZ"/>
        </w:rPr>
        <w:t>, jejichž celková</w:t>
      </w:r>
      <w:r>
        <w:rPr>
          <w:lang w:eastAsia="cs-CZ"/>
        </w:rPr>
        <w:t xml:space="preserve"> výš</w:t>
      </w:r>
      <w:r w:rsidR="00F028DC">
        <w:rPr>
          <w:lang w:eastAsia="cs-CZ"/>
        </w:rPr>
        <w:t>e přesáhla</w:t>
      </w:r>
      <w:r w:rsidR="00381C9F">
        <w:rPr>
          <w:lang w:eastAsia="cs-CZ"/>
        </w:rPr>
        <w:t xml:space="preserve"> </w:t>
      </w:r>
      <w:r>
        <w:rPr>
          <w:lang w:eastAsia="cs-CZ"/>
        </w:rPr>
        <w:t>3 mld. Kč. Jednalo se například o tyto opravené nesprávnosti:</w:t>
      </w:r>
    </w:p>
    <w:p w14:paraId="2E56B6ED" w14:textId="70098DC0" w:rsidR="00A25118" w:rsidRDefault="00A25118" w:rsidP="00A020FE">
      <w:pPr>
        <w:pStyle w:val="Odstavecseseznamem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lang w:eastAsia="cs-CZ"/>
        </w:rPr>
      </w:pPr>
      <w:r>
        <w:rPr>
          <w:lang w:eastAsia="cs-CZ"/>
        </w:rPr>
        <w:t>neúčtování o některých podmíněných krátkodobých a dlouhodobých závazcích z uzavřených smluv o pořízení dlouhodobého majetku a na zajištění služeb,</w:t>
      </w:r>
    </w:p>
    <w:p w14:paraId="39900433" w14:textId="12F07899" w:rsidR="00A25118" w:rsidRDefault="00381C9F" w:rsidP="00A020FE">
      <w:pPr>
        <w:pStyle w:val="Odstavecseseznamem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lang w:eastAsia="cs-CZ"/>
        </w:rPr>
      </w:pPr>
      <w:r>
        <w:rPr>
          <w:lang w:eastAsia="cs-CZ"/>
        </w:rPr>
        <w:t>nesprávné</w:t>
      </w:r>
      <w:r w:rsidR="00A25118">
        <w:rPr>
          <w:lang w:eastAsia="cs-CZ"/>
        </w:rPr>
        <w:t xml:space="preserve"> vykázání poskytovaných investičních transferů zřízeným příspěvkovým organizacím v rámci přehledu o změnách vlastního kapitálu,</w:t>
      </w:r>
    </w:p>
    <w:p w14:paraId="39957D0A" w14:textId="639EAFC8" w:rsidR="00522D69" w:rsidRDefault="00381C9F" w:rsidP="00A020FE">
      <w:pPr>
        <w:pStyle w:val="Odstavecseseznamem"/>
        <w:numPr>
          <w:ilvl w:val="0"/>
          <w:numId w:val="8"/>
        </w:numPr>
        <w:spacing w:after="0"/>
        <w:ind w:left="284" w:hanging="284"/>
        <w:contextualSpacing w:val="0"/>
        <w:jc w:val="both"/>
        <w:rPr>
          <w:lang w:eastAsia="cs-CZ"/>
        </w:rPr>
      </w:pPr>
      <w:r>
        <w:rPr>
          <w:lang w:eastAsia="cs-CZ"/>
        </w:rPr>
        <w:t>nesprávné</w:t>
      </w:r>
      <w:r w:rsidR="00A25118">
        <w:rPr>
          <w:lang w:eastAsia="cs-CZ"/>
        </w:rPr>
        <w:t xml:space="preserve"> účtování srážkové daně.</w:t>
      </w:r>
    </w:p>
    <w:p w14:paraId="59CA67D1" w14:textId="77777777" w:rsidR="00A020FE" w:rsidRDefault="00A020FE" w:rsidP="00A020FE">
      <w:pPr>
        <w:spacing w:after="0"/>
        <w:jc w:val="both"/>
        <w:rPr>
          <w:lang w:eastAsia="cs-CZ"/>
        </w:rPr>
      </w:pPr>
    </w:p>
    <w:p w14:paraId="535249EA" w14:textId="407104BD" w:rsidR="00343508" w:rsidRPr="00657CF2" w:rsidRDefault="00F028DC" w:rsidP="00F028DC">
      <w:pPr>
        <w:pStyle w:val="Nadpis2"/>
        <w:numPr>
          <w:ilvl w:val="0"/>
          <w:numId w:val="0"/>
        </w:numPr>
        <w:spacing w:after="0" w:line="240" w:lineRule="auto"/>
        <w:contextualSpacing w:val="0"/>
      </w:pPr>
      <w:r>
        <w:t xml:space="preserve">2. </w:t>
      </w:r>
      <w:r w:rsidR="00343508" w:rsidRPr="00657CF2">
        <w:t xml:space="preserve">Nesprávnosti zjištěné v účetnictví a v účetní závěrce </w:t>
      </w:r>
    </w:p>
    <w:p w14:paraId="25FC4F6B" w14:textId="77777777" w:rsidR="00A020FE" w:rsidRDefault="00A020FE" w:rsidP="00A020FE">
      <w:pPr>
        <w:pStyle w:val="Textpoznpodarou"/>
        <w:jc w:val="both"/>
        <w:rPr>
          <w:rFonts w:asciiTheme="minorHAnsi" w:hAnsiTheme="minorHAnsi" w:cstheme="minorHAnsi"/>
          <w:spacing w:val="-2"/>
          <w:sz w:val="24"/>
        </w:rPr>
      </w:pPr>
    </w:p>
    <w:p w14:paraId="16EA7A57" w14:textId="68151E27" w:rsidR="00343508" w:rsidRDefault="00343508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pacing w:val="-2"/>
          <w:sz w:val="24"/>
        </w:rPr>
        <w:t>V této části jsou uvedeny zjištěné nesprávnosti, které MO v pr</w:t>
      </w:r>
      <w:r w:rsidR="00676F7B">
        <w:rPr>
          <w:rFonts w:asciiTheme="minorHAnsi" w:hAnsiTheme="minorHAnsi" w:cstheme="minorHAnsi"/>
          <w:spacing w:val="-2"/>
          <w:sz w:val="24"/>
        </w:rPr>
        <w:t>ůběhu kontroly již neopravilo</w:t>
      </w:r>
      <w:r w:rsidR="00F028DC">
        <w:rPr>
          <w:rFonts w:asciiTheme="minorHAnsi" w:hAnsiTheme="minorHAnsi" w:cstheme="minorHAnsi"/>
          <w:spacing w:val="-2"/>
          <w:sz w:val="24"/>
        </w:rPr>
        <w:t>,</w:t>
      </w:r>
      <w:r w:rsidR="00676F7B">
        <w:rPr>
          <w:rFonts w:asciiTheme="minorHAnsi" w:hAnsiTheme="minorHAnsi" w:cstheme="minorHAnsi"/>
          <w:spacing w:val="-2"/>
          <w:sz w:val="24"/>
        </w:rPr>
        <w:t xml:space="preserve"> a </w:t>
      </w:r>
      <w:r>
        <w:rPr>
          <w:rFonts w:asciiTheme="minorHAnsi" w:hAnsiTheme="minorHAnsi" w:cstheme="minorHAnsi"/>
          <w:spacing w:val="-2"/>
          <w:sz w:val="24"/>
        </w:rPr>
        <w:t xml:space="preserve">které tak měly vliv na ÚZ. </w:t>
      </w:r>
      <w:r w:rsidRPr="00AC4259">
        <w:rPr>
          <w:rFonts w:asciiTheme="minorHAnsi" w:hAnsiTheme="minorHAnsi" w:cstheme="minorHAnsi"/>
          <w:sz w:val="24"/>
        </w:rPr>
        <w:t>Tyto nesprávnosti vznikly v důsledku nesprávné aplikace účetních metod a v důsledku nedodržení dalších podmínek vedení účetnictví stanovených právními předpisy.</w:t>
      </w:r>
    </w:p>
    <w:p w14:paraId="6B2F53CB" w14:textId="77777777" w:rsidR="00A020FE" w:rsidRDefault="00A020F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1A4E089B" w14:textId="77777777" w:rsidR="0033466E" w:rsidRPr="00657CF2" w:rsidRDefault="0033466E" w:rsidP="00A020FE">
      <w:pPr>
        <w:pStyle w:val="Nadpis3"/>
        <w:spacing w:before="0" w:line="240" w:lineRule="auto"/>
        <w:contextualSpacing w:val="0"/>
      </w:pPr>
      <w:r w:rsidRPr="00657CF2">
        <w:t>Dlouhodobý hmotný majetek</w:t>
      </w:r>
    </w:p>
    <w:p w14:paraId="0594F86E" w14:textId="77777777" w:rsidR="00A020FE" w:rsidRDefault="00A020FE" w:rsidP="00A020FE">
      <w:pPr>
        <w:spacing w:after="0"/>
        <w:jc w:val="both"/>
        <w:rPr>
          <w:rFonts w:asciiTheme="minorHAnsi" w:hAnsiTheme="minorHAnsi"/>
          <w:bCs/>
          <w:iCs/>
        </w:rPr>
      </w:pPr>
    </w:p>
    <w:p w14:paraId="3EACE5BF" w14:textId="628BF3BD" w:rsidR="0033466E" w:rsidRDefault="0033466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  <w:r w:rsidRPr="006B4DEB">
        <w:rPr>
          <w:rFonts w:asciiTheme="minorHAnsi" w:hAnsiTheme="minorHAnsi" w:cstheme="minorHAnsi"/>
          <w:b/>
          <w:sz w:val="24"/>
        </w:rPr>
        <w:t xml:space="preserve">MO faktury související s rekonstrukcí budovy vykázalo na účtu 042 – </w:t>
      </w:r>
      <w:r w:rsidRPr="006B4DEB">
        <w:rPr>
          <w:rFonts w:asciiTheme="minorHAnsi" w:hAnsiTheme="minorHAnsi" w:cstheme="minorHAnsi"/>
          <w:b/>
          <w:i/>
          <w:sz w:val="24"/>
        </w:rPr>
        <w:t>Nedokončený dlouhodobý hmotný majetek</w:t>
      </w:r>
      <w:r w:rsidRPr="006B4DEB">
        <w:rPr>
          <w:rFonts w:asciiTheme="minorHAnsi" w:hAnsiTheme="minorHAnsi" w:cstheme="minorHAnsi"/>
          <w:b/>
          <w:sz w:val="24"/>
        </w:rPr>
        <w:t>,</w:t>
      </w:r>
      <w:r w:rsidRPr="00F42496">
        <w:rPr>
          <w:rFonts w:asciiTheme="minorHAnsi" w:hAnsiTheme="minorHAnsi" w:cstheme="minorHAnsi"/>
          <w:sz w:val="24"/>
        </w:rPr>
        <w:t xml:space="preserve"> </w:t>
      </w:r>
      <w:r w:rsidRPr="006B4DEB">
        <w:rPr>
          <w:rFonts w:asciiTheme="minorHAnsi" w:hAnsiTheme="minorHAnsi" w:cstheme="minorHAnsi"/>
          <w:b/>
          <w:sz w:val="24"/>
        </w:rPr>
        <w:t>ačkoliv byl tento majetek již způsobilý k užíván</w:t>
      </w:r>
      <w:r w:rsidRPr="00F42496">
        <w:rPr>
          <w:rFonts w:asciiTheme="minorHAnsi" w:hAnsiTheme="minorHAnsi" w:cstheme="minorHAnsi"/>
          <w:sz w:val="24"/>
        </w:rPr>
        <w:t xml:space="preserve">í a kolaudační souhlas byl vydán. V důsledku toho </w:t>
      </w:r>
      <w:r w:rsidR="00D73249">
        <w:rPr>
          <w:rFonts w:asciiTheme="minorHAnsi" w:hAnsiTheme="minorHAnsi" w:cstheme="minorHAnsi"/>
          <w:sz w:val="24"/>
        </w:rPr>
        <w:t>došlo v ÚZ</w:t>
      </w:r>
      <w:r w:rsidRPr="00F42496">
        <w:rPr>
          <w:rFonts w:asciiTheme="minorHAnsi" w:hAnsiTheme="minorHAnsi" w:cstheme="minorHAnsi"/>
          <w:sz w:val="24"/>
        </w:rPr>
        <w:t xml:space="preserve"> </w:t>
      </w:r>
      <w:r w:rsidR="00D73249">
        <w:rPr>
          <w:rFonts w:asciiTheme="minorHAnsi" w:hAnsiTheme="minorHAnsi" w:cstheme="minorHAnsi"/>
          <w:sz w:val="24"/>
        </w:rPr>
        <w:t>k podhodnocení zůstatku</w:t>
      </w:r>
      <w:r w:rsidRPr="00F42496">
        <w:rPr>
          <w:rFonts w:asciiTheme="minorHAnsi" w:hAnsiTheme="minorHAnsi" w:cstheme="minorHAnsi"/>
          <w:sz w:val="24"/>
        </w:rPr>
        <w:t xml:space="preserve"> účtu 021 – </w:t>
      </w:r>
      <w:r w:rsidRPr="00DB44A2">
        <w:rPr>
          <w:rFonts w:asciiTheme="minorHAnsi" w:hAnsiTheme="minorHAnsi" w:cstheme="minorHAnsi"/>
          <w:i/>
          <w:sz w:val="24"/>
        </w:rPr>
        <w:t>Stavby</w:t>
      </w:r>
      <w:r w:rsidR="005A6B78">
        <w:rPr>
          <w:rFonts w:asciiTheme="minorHAnsi" w:hAnsiTheme="minorHAnsi" w:cstheme="minorHAnsi"/>
          <w:sz w:val="24"/>
        </w:rPr>
        <w:t xml:space="preserve"> </w:t>
      </w:r>
      <w:r w:rsidR="00676F7B">
        <w:rPr>
          <w:rFonts w:asciiTheme="minorHAnsi" w:hAnsiTheme="minorHAnsi" w:cstheme="minorHAnsi"/>
          <w:sz w:val="24"/>
        </w:rPr>
        <w:t>a </w:t>
      </w:r>
      <w:r w:rsidR="00D73249">
        <w:rPr>
          <w:rFonts w:asciiTheme="minorHAnsi" w:hAnsiTheme="minorHAnsi" w:cstheme="minorHAnsi"/>
          <w:sz w:val="24"/>
        </w:rPr>
        <w:t>nadhodnocení zůstatku účtu</w:t>
      </w:r>
      <w:r w:rsidRPr="00F42496">
        <w:rPr>
          <w:rFonts w:asciiTheme="minorHAnsi" w:hAnsiTheme="minorHAnsi" w:cstheme="minorHAnsi"/>
          <w:sz w:val="24"/>
        </w:rPr>
        <w:t xml:space="preserve"> 042 – </w:t>
      </w:r>
      <w:r w:rsidRPr="00DB44A2">
        <w:rPr>
          <w:rFonts w:asciiTheme="minorHAnsi" w:hAnsiTheme="minorHAnsi" w:cstheme="minorHAnsi"/>
          <w:i/>
          <w:sz w:val="24"/>
        </w:rPr>
        <w:t>Nedokončený dlouhodobý hmotný majetek</w:t>
      </w:r>
      <w:r w:rsidR="00D73249">
        <w:rPr>
          <w:rFonts w:asciiTheme="minorHAnsi" w:hAnsiTheme="minorHAnsi" w:cstheme="minorHAnsi"/>
          <w:i/>
          <w:sz w:val="24"/>
        </w:rPr>
        <w:t xml:space="preserve"> </w:t>
      </w:r>
      <w:r w:rsidR="00D73249">
        <w:rPr>
          <w:rFonts w:asciiTheme="minorHAnsi" w:hAnsiTheme="minorHAnsi" w:cstheme="minorHAnsi"/>
          <w:sz w:val="24"/>
        </w:rPr>
        <w:t>o částku 53,8 </w:t>
      </w:r>
      <w:r w:rsidR="00D73249" w:rsidRPr="00D73249">
        <w:rPr>
          <w:rFonts w:asciiTheme="minorHAnsi" w:hAnsiTheme="minorHAnsi" w:cstheme="minorHAnsi"/>
          <w:sz w:val="24"/>
        </w:rPr>
        <w:t>mil. Kč</w:t>
      </w:r>
      <w:r w:rsidRPr="00D73249">
        <w:rPr>
          <w:rFonts w:asciiTheme="minorHAnsi" w:hAnsiTheme="minorHAnsi" w:cstheme="minorHAnsi"/>
          <w:sz w:val="24"/>
        </w:rPr>
        <w:t xml:space="preserve">. </w:t>
      </w:r>
    </w:p>
    <w:p w14:paraId="2E129704" w14:textId="77777777" w:rsidR="00A020FE" w:rsidRPr="00D73249" w:rsidRDefault="00A020F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4BB738D2" w14:textId="21D900CE" w:rsidR="00A50B68" w:rsidRDefault="007254E8" w:rsidP="00A020FE">
      <w:pPr>
        <w:pStyle w:val="textodstavce"/>
        <w:spacing w:after="0"/>
      </w:pPr>
      <w:r w:rsidRPr="00343508">
        <w:t>V důsledku této nesprávnosti</w:t>
      </w:r>
      <w:r w:rsidR="00A50B68" w:rsidRPr="00343508">
        <w:t xml:space="preserve"> byly rovněž ovlivněny </w:t>
      </w:r>
      <w:r w:rsidR="00343508" w:rsidRPr="00343508">
        <w:t xml:space="preserve">zůstatky syntetických účtů </w:t>
      </w:r>
      <w:r w:rsidR="00CA0D23" w:rsidRPr="00343508">
        <w:t xml:space="preserve">vykázaných </w:t>
      </w:r>
      <w:r w:rsidR="00134A61">
        <w:t>v </w:t>
      </w:r>
      <w:r w:rsidR="00343508" w:rsidRPr="00343508">
        <w:t>účetní závěrce</w:t>
      </w:r>
      <w:r w:rsidR="00D73249">
        <w:t>, a to</w:t>
      </w:r>
      <w:r w:rsidR="00343508" w:rsidRPr="00343508">
        <w:t xml:space="preserve"> v odpisech, ko</w:t>
      </w:r>
      <w:r w:rsidR="00A020FE">
        <w:t>rekcích a výsledku hospodaření.</w:t>
      </w:r>
    </w:p>
    <w:p w14:paraId="1D009AEE" w14:textId="77777777" w:rsidR="00A020FE" w:rsidRDefault="00A020FE" w:rsidP="00A020FE">
      <w:pPr>
        <w:pStyle w:val="textodstavce"/>
        <w:spacing w:after="0"/>
      </w:pPr>
    </w:p>
    <w:p w14:paraId="750613EE" w14:textId="77777777" w:rsidR="00343508" w:rsidRPr="00657CF2" w:rsidRDefault="00343508" w:rsidP="00A020FE">
      <w:pPr>
        <w:pStyle w:val="Nadpis3"/>
        <w:spacing w:before="0" w:line="240" w:lineRule="auto"/>
        <w:contextualSpacing w:val="0"/>
      </w:pPr>
      <w:r w:rsidRPr="00657CF2">
        <w:t>Výnosy z prodeje letounů</w:t>
      </w:r>
    </w:p>
    <w:p w14:paraId="27366155" w14:textId="77777777" w:rsidR="00A020FE" w:rsidRDefault="00A020FE" w:rsidP="00A020FE">
      <w:pPr>
        <w:spacing w:after="0"/>
        <w:jc w:val="both"/>
        <w:rPr>
          <w:rFonts w:asciiTheme="minorHAnsi" w:hAnsiTheme="minorHAnsi"/>
          <w:bCs/>
          <w:iCs/>
        </w:rPr>
      </w:pPr>
    </w:p>
    <w:p w14:paraId="05377665" w14:textId="2D515328" w:rsidR="00343508" w:rsidRDefault="00343508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  <w:r w:rsidRPr="00FF5260">
        <w:rPr>
          <w:rFonts w:asciiTheme="minorHAnsi" w:hAnsiTheme="minorHAnsi" w:cstheme="minorHAnsi"/>
          <w:b/>
          <w:sz w:val="24"/>
        </w:rPr>
        <w:t>MO neúčtovalo o výnosech z</w:t>
      </w:r>
      <w:r>
        <w:rPr>
          <w:rFonts w:asciiTheme="minorHAnsi" w:hAnsiTheme="minorHAnsi" w:cstheme="minorHAnsi"/>
          <w:b/>
          <w:sz w:val="24"/>
        </w:rPr>
        <w:t> </w:t>
      </w:r>
      <w:r w:rsidRPr="00FF5260">
        <w:rPr>
          <w:rFonts w:asciiTheme="minorHAnsi" w:hAnsiTheme="minorHAnsi" w:cstheme="minorHAnsi"/>
          <w:b/>
          <w:sz w:val="24"/>
        </w:rPr>
        <w:t>prodeje</w:t>
      </w:r>
      <w:r>
        <w:rPr>
          <w:rFonts w:asciiTheme="minorHAnsi" w:hAnsiTheme="minorHAnsi" w:cstheme="minorHAnsi"/>
          <w:b/>
          <w:sz w:val="24"/>
        </w:rPr>
        <w:t xml:space="preserve"> nepotřebného majetku </w:t>
      </w:r>
      <w:r w:rsidR="00676F7B">
        <w:rPr>
          <w:rFonts w:asciiTheme="minorHAnsi" w:hAnsiTheme="minorHAnsi" w:cstheme="minorHAnsi"/>
          <w:b/>
          <w:sz w:val="24"/>
        </w:rPr>
        <w:t>–</w:t>
      </w:r>
      <w:r w:rsidRPr="00FF5260">
        <w:rPr>
          <w:rFonts w:asciiTheme="minorHAnsi" w:hAnsiTheme="minorHAnsi" w:cstheme="minorHAnsi"/>
          <w:b/>
          <w:sz w:val="24"/>
        </w:rPr>
        <w:t xml:space="preserve"> letounů</w:t>
      </w:r>
      <w:r w:rsidR="00F028DC">
        <w:rPr>
          <w:rFonts w:asciiTheme="minorHAnsi" w:hAnsiTheme="minorHAnsi" w:cstheme="minorHAnsi"/>
          <w:b/>
          <w:sz w:val="24"/>
        </w:rPr>
        <w:t> –</w:t>
      </w:r>
      <w:r w:rsidRPr="00FF5260">
        <w:rPr>
          <w:rFonts w:asciiTheme="minorHAnsi" w:hAnsiTheme="minorHAnsi" w:cstheme="minorHAnsi"/>
          <w:b/>
          <w:sz w:val="24"/>
        </w:rPr>
        <w:t xml:space="preserve"> do období, s nímž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134A61">
        <w:rPr>
          <w:rFonts w:asciiTheme="minorHAnsi" w:hAnsiTheme="minorHAnsi" w:cstheme="minorHAnsi"/>
          <w:b/>
          <w:sz w:val="24"/>
        </w:rPr>
        <w:t>prodej věcně a časově</w:t>
      </w:r>
      <w:r>
        <w:rPr>
          <w:rFonts w:asciiTheme="minorHAnsi" w:hAnsiTheme="minorHAnsi" w:cstheme="minorHAnsi"/>
          <w:b/>
          <w:sz w:val="24"/>
        </w:rPr>
        <w:t xml:space="preserve"> souvisel</w:t>
      </w:r>
      <w:r w:rsidRPr="00FF5260">
        <w:rPr>
          <w:rFonts w:asciiTheme="minorHAnsi" w:hAnsiTheme="minorHAnsi" w:cstheme="minorHAnsi"/>
          <w:b/>
          <w:sz w:val="24"/>
        </w:rPr>
        <w:t xml:space="preserve">, </w:t>
      </w:r>
      <w:r w:rsidRPr="006744B0">
        <w:rPr>
          <w:rFonts w:asciiTheme="minorHAnsi" w:hAnsiTheme="minorHAnsi" w:cstheme="minorHAnsi"/>
          <w:sz w:val="24"/>
        </w:rPr>
        <w:t>ačkoliv ke konečnému odběru</w:t>
      </w:r>
      <w:r>
        <w:rPr>
          <w:rFonts w:asciiTheme="minorHAnsi" w:hAnsiTheme="minorHAnsi" w:cstheme="minorHAnsi"/>
          <w:sz w:val="24"/>
        </w:rPr>
        <w:t xml:space="preserve"> některých letounů</w:t>
      </w:r>
      <w:r w:rsidRPr="006744B0">
        <w:rPr>
          <w:rFonts w:asciiTheme="minorHAnsi" w:hAnsiTheme="minorHAnsi" w:cstheme="minorHAnsi"/>
          <w:sz w:val="24"/>
        </w:rPr>
        <w:t xml:space="preserve"> </w:t>
      </w:r>
      <w:r w:rsidR="000E2C95" w:rsidRPr="006744B0">
        <w:rPr>
          <w:rFonts w:asciiTheme="minorHAnsi" w:hAnsiTheme="minorHAnsi" w:cstheme="minorHAnsi"/>
          <w:sz w:val="24"/>
        </w:rPr>
        <w:t>kupující</w:t>
      </w:r>
      <w:r w:rsidR="000E2C95">
        <w:rPr>
          <w:rFonts w:asciiTheme="minorHAnsi" w:hAnsiTheme="minorHAnsi" w:cstheme="minorHAnsi"/>
          <w:sz w:val="24"/>
        </w:rPr>
        <w:t>m</w:t>
      </w:r>
      <w:r w:rsidR="005E36A3">
        <w:rPr>
          <w:rFonts w:asciiTheme="minorHAnsi" w:hAnsiTheme="minorHAnsi" w:cstheme="minorHAnsi"/>
          <w:sz w:val="24"/>
        </w:rPr>
        <w:t xml:space="preserve"> </w:t>
      </w:r>
      <w:r w:rsidRPr="006744B0">
        <w:rPr>
          <w:rFonts w:asciiTheme="minorHAnsi" w:hAnsiTheme="minorHAnsi" w:cstheme="minorHAnsi"/>
          <w:sz w:val="24"/>
        </w:rPr>
        <w:t>došlo v souladu s</w:t>
      </w:r>
      <w:r>
        <w:rPr>
          <w:rFonts w:asciiTheme="minorHAnsi" w:hAnsiTheme="minorHAnsi" w:cstheme="minorHAnsi"/>
          <w:sz w:val="24"/>
        </w:rPr>
        <w:t> </w:t>
      </w:r>
      <w:r w:rsidRPr="006744B0">
        <w:rPr>
          <w:rFonts w:asciiTheme="minorHAnsi" w:hAnsiTheme="minorHAnsi" w:cstheme="minorHAnsi"/>
          <w:sz w:val="24"/>
        </w:rPr>
        <w:t>uzavřeno</w:t>
      </w:r>
      <w:r w:rsidR="00D73249">
        <w:rPr>
          <w:rFonts w:asciiTheme="minorHAnsi" w:hAnsiTheme="minorHAnsi" w:cstheme="minorHAnsi"/>
          <w:sz w:val="24"/>
        </w:rPr>
        <w:t xml:space="preserve">u smlouvou </w:t>
      </w:r>
      <w:r w:rsidR="00F028DC">
        <w:rPr>
          <w:rFonts w:asciiTheme="minorHAnsi" w:hAnsiTheme="minorHAnsi" w:cstheme="minorHAnsi"/>
          <w:sz w:val="24"/>
        </w:rPr>
        <w:t xml:space="preserve">již </w:t>
      </w:r>
      <w:r w:rsidR="00D73249">
        <w:rPr>
          <w:rFonts w:asciiTheme="minorHAnsi" w:hAnsiTheme="minorHAnsi" w:cstheme="minorHAnsi"/>
          <w:sz w:val="24"/>
        </w:rPr>
        <w:t>v letech 2015 a 2016. MO účtovalo o </w:t>
      </w:r>
      <w:r w:rsidRPr="006744B0">
        <w:rPr>
          <w:rFonts w:asciiTheme="minorHAnsi" w:hAnsiTheme="minorHAnsi" w:cstheme="minorHAnsi"/>
          <w:sz w:val="24"/>
        </w:rPr>
        <w:t xml:space="preserve">výnosech za všechny prodávané letouny </w:t>
      </w:r>
      <w:r>
        <w:rPr>
          <w:rFonts w:asciiTheme="minorHAnsi" w:hAnsiTheme="minorHAnsi" w:cstheme="minorHAnsi"/>
          <w:sz w:val="24"/>
        </w:rPr>
        <w:t xml:space="preserve">až </w:t>
      </w:r>
      <w:r w:rsidRPr="006744B0">
        <w:rPr>
          <w:rFonts w:asciiTheme="minorHAnsi" w:hAnsiTheme="minorHAnsi" w:cstheme="minorHAnsi"/>
          <w:sz w:val="24"/>
        </w:rPr>
        <w:t>v roce 2017.</w:t>
      </w:r>
      <w:r w:rsidR="005A6B78">
        <w:rPr>
          <w:rFonts w:asciiTheme="minorHAnsi" w:hAnsiTheme="minorHAnsi" w:cstheme="minorHAnsi"/>
          <w:sz w:val="24"/>
        </w:rPr>
        <w:t xml:space="preserve"> </w:t>
      </w:r>
      <w:r w:rsidRPr="002B5BE9">
        <w:rPr>
          <w:rFonts w:asciiTheme="minorHAnsi" w:hAnsiTheme="minorHAnsi" w:cstheme="minorHAnsi"/>
          <w:sz w:val="24"/>
        </w:rPr>
        <w:t xml:space="preserve">V důsledku toho </w:t>
      </w:r>
      <w:r w:rsidR="00D73249">
        <w:rPr>
          <w:rFonts w:asciiTheme="minorHAnsi" w:hAnsiTheme="minorHAnsi" w:cstheme="minorHAnsi"/>
          <w:sz w:val="24"/>
        </w:rPr>
        <w:t xml:space="preserve">došlo v ÚZ </w:t>
      </w:r>
      <w:r w:rsidR="00142E1F">
        <w:rPr>
          <w:rFonts w:asciiTheme="minorHAnsi" w:hAnsiTheme="minorHAnsi" w:cstheme="minorHAnsi"/>
          <w:sz w:val="24"/>
        </w:rPr>
        <w:t>k </w:t>
      </w:r>
      <w:r w:rsidR="00D73249">
        <w:rPr>
          <w:rFonts w:asciiTheme="minorHAnsi" w:hAnsiTheme="minorHAnsi" w:cstheme="minorHAnsi"/>
          <w:sz w:val="24"/>
        </w:rPr>
        <w:t>nadhodnocení</w:t>
      </w:r>
      <w:r w:rsidRPr="002B5BE9">
        <w:rPr>
          <w:rFonts w:asciiTheme="minorHAnsi" w:hAnsiTheme="minorHAnsi" w:cstheme="minorHAnsi"/>
          <w:sz w:val="24"/>
        </w:rPr>
        <w:t xml:space="preserve"> zůstat</w:t>
      </w:r>
      <w:r w:rsidR="00D73249">
        <w:rPr>
          <w:rFonts w:asciiTheme="minorHAnsi" w:hAnsiTheme="minorHAnsi" w:cstheme="minorHAnsi"/>
          <w:sz w:val="24"/>
        </w:rPr>
        <w:t>ku</w:t>
      </w:r>
      <w:r w:rsidRPr="002B5BE9">
        <w:rPr>
          <w:rFonts w:asciiTheme="minorHAnsi" w:hAnsiTheme="minorHAnsi" w:cstheme="minorHAnsi"/>
          <w:sz w:val="24"/>
        </w:rPr>
        <w:t xml:space="preserve"> účtu </w:t>
      </w:r>
      <w:r w:rsidRPr="009F53DB">
        <w:rPr>
          <w:rFonts w:asciiTheme="minorHAnsi" w:hAnsiTheme="minorHAnsi" w:cstheme="minorHAnsi"/>
          <w:sz w:val="24"/>
        </w:rPr>
        <w:t xml:space="preserve">646 – </w:t>
      </w:r>
      <w:r w:rsidRPr="00FF5260">
        <w:rPr>
          <w:rFonts w:asciiTheme="minorHAnsi" w:hAnsiTheme="minorHAnsi" w:cstheme="minorHAnsi"/>
          <w:i/>
          <w:sz w:val="24"/>
        </w:rPr>
        <w:t>Výnosy z prodeje dlouhodobého hmotného majetku kromě pozemků</w:t>
      </w:r>
      <w:r w:rsidR="00FD2DE4">
        <w:rPr>
          <w:rFonts w:asciiTheme="minorHAnsi" w:hAnsiTheme="minorHAnsi" w:cstheme="minorHAnsi"/>
          <w:sz w:val="24"/>
        </w:rPr>
        <w:t xml:space="preserve"> </w:t>
      </w:r>
      <w:r w:rsidR="00FD2DE4">
        <w:rPr>
          <w:rFonts w:asciiTheme="minorHAnsi" w:hAnsiTheme="minorHAnsi" w:cstheme="minorHAnsi"/>
          <w:sz w:val="24"/>
        </w:rPr>
        <w:lastRenderedPageBreak/>
        <w:t>a </w:t>
      </w:r>
      <w:r w:rsidR="005E36A3">
        <w:rPr>
          <w:rFonts w:asciiTheme="minorHAnsi" w:hAnsiTheme="minorHAnsi" w:cstheme="minorHAnsi"/>
          <w:sz w:val="24"/>
        </w:rPr>
        <w:t xml:space="preserve">podhodnocení </w:t>
      </w:r>
      <w:r w:rsidRPr="009F53DB">
        <w:rPr>
          <w:rFonts w:asciiTheme="minorHAnsi" w:hAnsiTheme="minorHAnsi" w:cstheme="minorHAnsi"/>
          <w:sz w:val="24"/>
        </w:rPr>
        <w:t xml:space="preserve">účtu 432 – </w:t>
      </w:r>
      <w:r w:rsidRPr="00FF5260">
        <w:rPr>
          <w:rFonts w:asciiTheme="minorHAnsi" w:hAnsiTheme="minorHAnsi" w:cstheme="minorHAnsi"/>
          <w:i/>
          <w:sz w:val="24"/>
        </w:rPr>
        <w:t>Výsledek hospodaření předcházejících účetních obdob</w:t>
      </w:r>
      <w:r w:rsidRPr="009F53DB">
        <w:rPr>
          <w:rFonts w:asciiTheme="minorHAnsi" w:hAnsiTheme="minorHAnsi" w:cstheme="minorHAnsi"/>
          <w:sz w:val="24"/>
        </w:rPr>
        <w:t>í o 148,8</w:t>
      </w:r>
      <w:r>
        <w:rPr>
          <w:rFonts w:asciiTheme="minorHAnsi" w:hAnsiTheme="minorHAnsi" w:cstheme="minorHAnsi"/>
          <w:sz w:val="24"/>
        </w:rPr>
        <w:t>3</w:t>
      </w:r>
      <w:r w:rsidR="00142E1F">
        <w:rPr>
          <w:rFonts w:asciiTheme="minorHAnsi" w:hAnsiTheme="minorHAnsi" w:cstheme="minorHAnsi"/>
          <w:sz w:val="24"/>
        </w:rPr>
        <w:t> </w:t>
      </w:r>
      <w:r w:rsidRPr="009F53DB">
        <w:rPr>
          <w:rFonts w:asciiTheme="minorHAnsi" w:hAnsiTheme="minorHAnsi" w:cstheme="minorHAnsi"/>
          <w:sz w:val="24"/>
        </w:rPr>
        <w:t>mil. Kč</w:t>
      </w:r>
      <w:r w:rsidRPr="009F53DB" w:rsidDel="00C34C16">
        <w:rPr>
          <w:rFonts w:asciiTheme="minorHAnsi" w:hAnsiTheme="minorHAnsi" w:cstheme="minorHAnsi"/>
          <w:sz w:val="24"/>
        </w:rPr>
        <w:t xml:space="preserve"> </w:t>
      </w:r>
      <w:r w:rsidRPr="009F53DB">
        <w:rPr>
          <w:rFonts w:asciiTheme="minorHAnsi" w:hAnsiTheme="minorHAnsi" w:cstheme="minorHAnsi"/>
          <w:sz w:val="24"/>
        </w:rPr>
        <w:t xml:space="preserve">a </w:t>
      </w:r>
      <w:r w:rsidR="005E36A3">
        <w:rPr>
          <w:rFonts w:asciiTheme="minorHAnsi" w:hAnsiTheme="minorHAnsi" w:cstheme="minorHAnsi"/>
          <w:sz w:val="24"/>
        </w:rPr>
        <w:t xml:space="preserve">nadhodnocení </w:t>
      </w:r>
      <w:r w:rsidR="00D73249">
        <w:rPr>
          <w:rFonts w:asciiTheme="minorHAnsi" w:hAnsiTheme="minorHAnsi" w:cstheme="minorHAnsi"/>
          <w:sz w:val="24"/>
        </w:rPr>
        <w:t>zůstatku</w:t>
      </w:r>
      <w:r w:rsidRPr="009F53DB">
        <w:rPr>
          <w:rFonts w:asciiTheme="minorHAnsi" w:hAnsiTheme="minorHAnsi" w:cstheme="minorHAnsi"/>
          <w:sz w:val="24"/>
        </w:rPr>
        <w:t xml:space="preserve"> účtu 493 – </w:t>
      </w:r>
      <w:r w:rsidRPr="00FF5260">
        <w:rPr>
          <w:rFonts w:asciiTheme="minorHAnsi" w:hAnsiTheme="minorHAnsi" w:cstheme="minorHAnsi"/>
          <w:i/>
          <w:sz w:val="24"/>
        </w:rPr>
        <w:t>Výsledek hospodaření běžného účetního období</w:t>
      </w:r>
      <w:r w:rsidRPr="009F53DB">
        <w:rPr>
          <w:rFonts w:asciiTheme="minorHAnsi" w:hAnsiTheme="minorHAnsi" w:cstheme="minorHAnsi"/>
          <w:sz w:val="24"/>
        </w:rPr>
        <w:t xml:space="preserve"> o stejnou částku. </w:t>
      </w:r>
    </w:p>
    <w:p w14:paraId="34963024" w14:textId="77777777" w:rsidR="00A020FE" w:rsidRPr="009F53DB" w:rsidRDefault="00A020F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4EE5E864" w14:textId="7F8F01CC" w:rsidR="0033466E" w:rsidRPr="00A637FA" w:rsidRDefault="0033466E" w:rsidP="00A020FE">
      <w:pPr>
        <w:pStyle w:val="Nadpis3"/>
        <w:spacing w:before="0" w:line="240" w:lineRule="auto"/>
        <w:contextualSpacing w:val="0"/>
      </w:pPr>
      <w:r w:rsidRPr="00A637FA">
        <w:t>Časové rozlišení nákladů</w:t>
      </w:r>
    </w:p>
    <w:p w14:paraId="7F612609" w14:textId="77777777" w:rsidR="00A020FE" w:rsidRDefault="00A020FE" w:rsidP="00A020FE">
      <w:pPr>
        <w:spacing w:after="0"/>
        <w:jc w:val="both"/>
      </w:pPr>
    </w:p>
    <w:p w14:paraId="2C44F3CF" w14:textId="18368A37" w:rsidR="007254E8" w:rsidRPr="00A637FA" w:rsidRDefault="007254E8" w:rsidP="00A020FE">
      <w:pPr>
        <w:spacing w:after="0"/>
        <w:jc w:val="both"/>
      </w:pPr>
      <w:r w:rsidRPr="00A637FA">
        <w:t xml:space="preserve">Při kontrole vybraných operací byly zjištěny následující případy, kdy </w:t>
      </w:r>
      <w:r w:rsidRPr="00A25118">
        <w:rPr>
          <w:b/>
        </w:rPr>
        <w:t>MO časově nerozlišilo náklady do období, se kterým věcně a časově tyto náklady souvisely</w:t>
      </w:r>
      <w:r w:rsidRPr="00555A33">
        <w:rPr>
          <w:b/>
        </w:rPr>
        <w:t>:</w:t>
      </w:r>
    </w:p>
    <w:p w14:paraId="65112728" w14:textId="0059B36B" w:rsidR="0033466E" w:rsidRPr="001906ED" w:rsidRDefault="007254E8" w:rsidP="00A020FE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1906ED">
        <w:rPr>
          <w:rFonts w:asciiTheme="minorHAnsi" w:eastAsiaTheme="minorHAnsi" w:hAnsiTheme="minorHAnsi" w:cstheme="minorHAnsi"/>
        </w:rPr>
        <w:t xml:space="preserve">náklady </w:t>
      </w:r>
      <w:r w:rsidR="0033466E" w:rsidRPr="001906ED">
        <w:rPr>
          <w:rFonts w:asciiTheme="minorHAnsi" w:eastAsiaTheme="minorHAnsi" w:hAnsiTheme="minorHAnsi" w:cstheme="minorHAnsi"/>
        </w:rPr>
        <w:t xml:space="preserve">z titulu služeb vynaložených v roce 2016 za připojení, servis a údržbu </w:t>
      </w:r>
      <w:r w:rsidR="00CF622D">
        <w:rPr>
          <w:rFonts w:asciiTheme="minorHAnsi" w:eastAsiaTheme="minorHAnsi" w:hAnsiTheme="minorHAnsi" w:cstheme="minorHAnsi"/>
        </w:rPr>
        <w:t xml:space="preserve">informačního systému </w:t>
      </w:r>
      <w:r w:rsidR="0033466E" w:rsidRPr="001906ED">
        <w:rPr>
          <w:rFonts w:asciiTheme="minorHAnsi" w:eastAsiaTheme="minorHAnsi" w:hAnsiTheme="minorHAnsi" w:cstheme="minorHAnsi"/>
        </w:rPr>
        <w:t>NATO provozovaného a používaného jednotkami AČR</w:t>
      </w:r>
      <w:r w:rsidR="001906ED" w:rsidRPr="001906ED">
        <w:rPr>
          <w:rFonts w:asciiTheme="minorHAnsi" w:eastAsiaTheme="minorHAnsi" w:hAnsiTheme="minorHAnsi" w:cstheme="minorHAnsi"/>
        </w:rPr>
        <w:t>;</w:t>
      </w:r>
      <w:r w:rsidR="0033466E" w:rsidRPr="001906ED">
        <w:rPr>
          <w:rFonts w:asciiTheme="minorHAnsi" w:eastAsiaTheme="minorHAnsi" w:hAnsiTheme="minorHAnsi" w:cstheme="minorHAnsi"/>
        </w:rPr>
        <w:t xml:space="preserve"> </w:t>
      </w:r>
    </w:p>
    <w:p w14:paraId="5E1819C6" w14:textId="6374E44B" w:rsidR="0033466E" w:rsidRPr="001906ED" w:rsidRDefault="0033466E" w:rsidP="00A020FE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1906ED">
        <w:rPr>
          <w:rFonts w:asciiTheme="minorHAnsi" w:eastAsiaTheme="minorHAnsi" w:hAnsiTheme="minorHAnsi" w:cstheme="minorHAnsi"/>
        </w:rPr>
        <w:t>pobytové náklady příslušníků AČR na vojenských operací</w:t>
      </w:r>
      <w:r w:rsidR="00C52E1A" w:rsidRPr="001906ED">
        <w:rPr>
          <w:rFonts w:asciiTheme="minorHAnsi" w:eastAsiaTheme="minorHAnsi" w:hAnsiTheme="minorHAnsi" w:cstheme="minorHAnsi"/>
        </w:rPr>
        <w:t>ch</w:t>
      </w:r>
      <w:r w:rsidRPr="001906ED">
        <w:rPr>
          <w:rFonts w:asciiTheme="minorHAnsi" w:eastAsiaTheme="minorHAnsi" w:hAnsiTheme="minorHAnsi" w:cstheme="minorHAnsi"/>
        </w:rPr>
        <w:t xml:space="preserve"> NATO</w:t>
      </w:r>
      <w:r w:rsidR="00A637FA" w:rsidRPr="001906ED">
        <w:rPr>
          <w:rFonts w:asciiTheme="minorHAnsi" w:eastAsiaTheme="minorHAnsi" w:hAnsiTheme="minorHAnsi" w:cstheme="minorHAnsi"/>
        </w:rPr>
        <w:t xml:space="preserve"> za rok 2016</w:t>
      </w:r>
      <w:r w:rsidR="00A637FA" w:rsidRPr="001906ED">
        <w:rPr>
          <w:rFonts w:asciiTheme="minorHAnsi" w:hAnsiTheme="minorHAnsi" w:cs="Calibri"/>
          <w:bCs/>
          <w:iCs/>
        </w:rPr>
        <w:t>;</w:t>
      </w:r>
    </w:p>
    <w:p w14:paraId="5DA19E83" w14:textId="6F3DF152" w:rsidR="0033466E" w:rsidRPr="001906ED" w:rsidRDefault="0033466E" w:rsidP="00A020FE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1906ED">
        <w:rPr>
          <w:rFonts w:asciiTheme="minorHAnsi" w:hAnsiTheme="minorHAnsi" w:cs="Calibri"/>
          <w:bCs/>
          <w:iCs/>
        </w:rPr>
        <w:t xml:space="preserve">náklady za operace a mise aliance poskytnuté ve prospěch příslušníků MO </w:t>
      </w:r>
      <w:r w:rsidR="00A637FA" w:rsidRPr="001906ED">
        <w:rPr>
          <w:rFonts w:asciiTheme="minorHAnsi" w:hAnsiTheme="minorHAnsi" w:cs="Calibri"/>
          <w:bCs/>
          <w:iCs/>
        </w:rPr>
        <w:t>v</w:t>
      </w:r>
      <w:r w:rsidRPr="001906ED">
        <w:rPr>
          <w:rFonts w:asciiTheme="minorHAnsi" w:hAnsiTheme="minorHAnsi" w:cs="Calibri"/>
          <w:bCs/>
          <w:iCs/>
        </w:rPr>
        <w:t xml:space="preserve"> zahraniční operaci za období od dubna </w:t>
      </w:r>
      <w:r w:rsidR="007254E8" w:rsidRPr="001906ED">
        <w:rPr>
          <w:rFonts w:asciiTheme="minorHAnsi" w:hAnsiTheme="minorHAnsi" w:cs="Calibri"/>
          <w:bCs/>
          <w:iCs/>
        </w:rPr>
        <w:t>do</w:t>
      </w:r>
      <w:r w:rsidRPr="001906ED">
        <w:rPr>
          <w:rFonts w:asciiTheme="minorHAnsi" w:hAnsiTheme="minorHAnsi" w:cs="Calibri"/>
          <w:bCs/>
          <w:iCs/>
        </w:rPr>
        <w:t xml:space="preserve"> prosince roku 2015</w:t>
      </w:r>
      <w:r w:rsidR="00A637FA" w:rsidRPr="001906ED">
        <w:rPr>
          <w:rFonts w:asciiTheme="minorHAnsi" w:hAnsiTheme="minorHAnsi" w:cs="Calibri"/>
          <w:bCs/>
          <w:iCs/>
        </w:rPr>
        <w:t>;</w:t>
      </w:r>
      <w:r w:rsidRPr="001906ED">
        <w:rPr>
          <w:rFonts w:asciiTheme="minorHAnsi" w:hAnsiTheme="minorHAnsi" w:cs="Calibri"/>
          <w:bCs/>
          <w:iCs/>
        </w:rPr>
        <w:t xml:space="preserve"> </w:t>
      </w:r>
    </w:p>
    <w:p w14:paraId="1C4B02C6" w14:textId="564A3602" w:rsidR="0033466E" w:rsidRPr="001906ED" w:rsidRDefault="007254E8" w:rsidP="00A020FE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1906ED">
        <w:rPr>
          <w:rFonts w:asciiTheme="minorHAnsi" w:hAnsiTheme="minorHAnsi" w:cs="Calibri"/>
          <w:bCs/>
          <w:iCs/>
        </w:rPr>
        <w:t xml:space="preserve">náklady z titulu nevyúčtované poskytnuté zálohy na transfer z roku 2016, kdy MO nepostupovalo v souladu </w:t>
      </w:r>
      <w:r w:rsidR="0033466E" w:rsidRPr="001906ED">
        <w:rPr>
          <w:rFonts w:asciiTheme="minorHAnsi" w:hAnsiTheme="minorHAnsi" w:cs="Calibri"/>
          <w:bCs/>
          <w:iCs/>
        </w:rPr>
        <w:t>s bodem 5.2.3 ČÚS č. 703</w:t>
      </w:r>
      <w:r w:rsidRPr="001906ED">
        <w:rPr>
          <w:rFonts w:asciiTheme="minorHAnsi" w:hAnsiTheme="minorHAnsi" w:cs="Calibri"/>
          <w:bCs/>
          <w:iCs/>
        </w:rPr>
        <w:t xml:space="preserve"> – </w:t>
      </w:r>
      <w:r w:rsidRPr="001906ED">
        <w:rPr>
          <w:rFonts w:asciiTheme="minorHAnsi" w:hAnsiTheme="minorHAnsi" w:cs="Calibri"/>
          <w:bCs/>
          <w:i/>
          <w:iCs/>
        </w:rPr>
        <w:t>Transfery</w:t>
      </w:r>
      <w:r w:rsidR="0033466E" w:rsidRPr="001906ED">
        <w:rPr>
          <w:rFonts w:asciiTheme="minorHAnsi" w:hAnsiTheme="minorHAnsi" w:cs="Calibri"/>
          <w:bCs/>
          <w:iCs/>
        </w:rPr>
        <w:t xml:space="preserve">. </w:t>
      </w:r>
    </w:p>
    <w:p w14:paraId="31F560C3" w14:textId="77777777" w:rsidR="00A020FE" w:rsidRDefault="00A020FE" w:rsidP="00A020FE">
      <w:pPr>
        <w:spacing w:after="0"/>
        <w:jc w:val="both"/>
        <w:rPr>
          <w:rFonts w:asciiTheme="minorHAnsi" w:hAnsiTheme="minorHAnsi" w:cs="Calibri"/>
          <w:bCs/>
          <w:iCs/>
        </w:rPr>
      </w:pPr>
    </w:p>
    <w:p w14:paraId="1A201EDF" w14:textId="2EF57C67" w:rsidR="001906ED" w:rsidRDefault="001101E0" w:rsidP="00A020FE">
      <w:pPr>
        <w:spacing w:after="0"/>
        <w:jc w:val="both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>V důsledku toho došlo v ÚZ</w:t>
      </w:r>
      <w:r w:rsidR="001906ED" w:rsidRPr="00E919A1">
        <w:rPr>
          <w:rFonts w:asciiTheme="minorHAnsi" w:hAnsiTheme="minorHAnsi" w:cs="Calibri"/>
          <w:bCs/>
          <w:iCs/>
        </w:rPr>
        <w:t xml:space="preserve"> k</w:t>
      </w:r>
      <w:r w:rsidR="001906ED">
        <w:rPr>
          <w:rFonts w:asciiTheme="minorHAnsi" w:hAnsiTheme="minorHAnsi" w:cs="Calibri"/>
          <w:bCs/>
          <w:iCs/>
        </w:rPr>
        <w:t xml:space="preserve"> nadhodnocení účtu 432 </w:t>
      </w:r>
      <w:r w:rsidR="001906ED" w:rsidRPr="00A637FA">
        <w:rPr>
          <w:rFonts w:asciiTheme="minorHAnsi" w:hAnsiTheme="minorHAnsi" w:cs="Calibri"/>
          <w:bCs/>
          <w:iCs/>
        </w:rPr>
        <w:t xml:space="preserve">– </w:t>
      </w:r>
      <w:r w:rsidR="001906ED" w:rsidRPr="00A637FA">
        <w:rPr>
          <w:rFonts w:asciiTheme="minorHAnsi" w:hAnsiTheme="minorHAnsi" w:cs="Calibri"/>
          <w:bCs/>
          <w:i/>
          <w:iCs/>
        </w:rPr>
        <w:t>Výsledek hospodaření předcházejících účetních období</w:t>
      </w:r>
      <w:r w:rsidR="001906ED" w:rsidRPr="00E919A1">
        <w:rPr>
          <w:rFonts w:asciiTheme="minorHAnsi" w:hAnsiTheme="minorHAnsi" w:cs="Calibri"/>
          <w:bCs/>
          <w:iCs/>
        </w:rPr>
        <w:t xml:space="preserve"> </w:t>
      </w:r>
      <w:r w:rsidR="001906ED" w:rsidRPr="0061735F">
        <w:rPr>
          <w:rFonts w:asciiTheme="minorHAnsi" w:hAnsiTheme="minorHAnsi" w:cs="Calibri"/>
          <w:bCs/>
          <w:i/>
          <w:iCs/>
        </w:rPr>
        <w:t>smluv</w:t>
      </w:r>
      <w:r w:rsidR="001906ED">
        <w:rPr>
          <w:rStyle w:val="Znakapoznpodarou"/>
          <w:rFonts w:asciiTheme="minorHAnsi" w:hAnsiTheme="minorHAnsi" w:cs="Calibri"/>
          <w:bCs/>
          <w:i/>
          <w:iCs/>
        </w:rPr>
        <w:footnoteReference w:id="14"/>
      </w:r>
      <w:r w:rsidR="001906ED" w:rsidRPr="00E919A1">
        <w:rPr>
          <w:rFonts w:asciiTheme="minorHAnsi" w:hAnsiTheme="minorHAnsi" w:cs="Calibri"/>
          <w:bCs/>
          <w:iCs/>
        </w:rPr>
        <w:t xml:space="preserve"> a </w:t>
      </w:r>
      <w:r w:rsidR="001906ED">
        <w:rPr>
          <w:rFonts w:asciiTheme="minorHAnsi" w:hAnsiTheme="minorHAnsi" w:cs="Calibri"/>
          <w:bCs/>
          <w:iCs/>
        </w:rPr>
        <w:t>podh</w:t>
      </w:r>
      <w:r w:rsidR="001906ED" w:rsidRPr="00E919A1">
        <w:rPr>
          <w:rFonts w:asciiTheme="minorHAnsi" w:hAnsiTheme="minorHAnsi" w:cs="Calibri"/>
          <w:bCs/>
          <w:iCs/>
        </w:rPr>
        <w:t xml:space="preserve">odnocení účtu </w:t>
      </w:r>
      <w:r>
        <w:rPr>
          <w:rFonts w:asciiTheme="minorHAnsi" w:hAnsiTheme="minorHAnsi" w:cs="Calibri"/>
          <w:bCs/>
          <w:iCs/>
        </w:rPr>
        <w:t>493</w:t>
      </w:r>
      <w:r w:rsidR="001906ED" w:rsidRPr="00E919A1">
        <w:rPr>
          <w:rFonts w:asciiTheme="minorHAnsi" w:hAnsiTheme="minorHAnsi" w:cs="Calibri"/>
          <w:bCs/>
          <w:iCs/>
        </w:rPr>
        <w:t xml:space="preserve"> – </w:t>
      </w:r>
      <w:r w:rsidR="001906ED" w:rsidRPr="00A637FA">
        <w:rPr>
          <w:rFonts w:asciiTheme="minorHAnsi" w:hAnsiTheme="minorHAnsi" w:cs="Calibri"/>
          <w:bCs/>
          <w:i/>
          <w:iCs/>
        </w:rPr>
        <w:t>Výsledek hospodaření běžného účetního období</w:t>
      </w:r>
      <w:r w:rsidR="001906ED" w:rsidRPr="00E919A1">
        <w:rPr>
          <w:rFonts w:asciiTheme="minorHAnsi" w:hAnsiTheme="minorHAnsi" w:cs="Calibri"/>
          <w:bCs/>
          <w:iCs/>
        </w:rPr>
        <w:t xml:space="preserve"> o</w:t>
      </w:r>
      <w:r w:rsidR="00D73249" w:rsidRPr="00D73249">
        <w:rPr>
          <w:rFonts w:asciiTheme="minorHAnsi" w:hAnsiTheme="minorHAnsi" w:cs="Calibri"/>
          <w:bCs/>
          <w:iCs/>
        </w:rPr>
        <w:t xml:space="preserve"> </w:t>
      </w:r>
      <w:r w:rsidR="00D73249">
        <w:rPr>
          <w:rFonts w:asciiTheme="minorHAnsi" w:hAnsiTheme="minorHAnsi" w:cs="Calibri"/>
          <w:bCs/>
          <w:iCs/>
        </w:rPr>
        <w:t>částku 26,1</w:t>
      </w:r>
      <w:r w:rsidR="00D73249" w:rsidRPr="00E919A1">
        <w:rPr>
          <w:rFonts w:asciiTheme="minorHAnsi" w:hAnsiTheme="minorHAnsi" w:cs="Calibri"/>
          <w:bCs/>
          <w:iCs/>
        </w:rPr>
        <w:t xml:space="preserve"> mil. Kč</w:t>
      </w:r>
      <w:r w:rsidR="003965E0">
        <w:rPr>
          <w:rFonts w:asciiTheme="minorHAnsi" w:hAnsiTheme="minorHAnsi" w:cs="Calibri"/>
          <w:bCs/>
          <w:iCs/>
        </w:rPr>
        <w:t>.</w:t>
      </w:r>
    </w:p>
    <w:p w14:paraId="538753FC" w14:textId="77777777" w:rsidR="00A020FE" w:rsidRPr="00E919A1" w:rsidRDefault="00A020FE" w:rsidP="00A020FE">
      <w:pPr>
        <w:spacing w:after="0"/>
        <w:jc w:val="both"/>
        <w:rPr>
          <w:rFonts w:asciiTheme="minorHAnsi" w:hAnsiTheme="minorHAnsi" w:cs="Calibri"/>
          <w:bCs/>
          <w:iCs/>
        </w:rPr>
      </w:pPr>
    </w:p>
    <w:p w14:paraId="328A730E" w14:textId="7806BB92" w:rsidR="00A87CDA" w:rsidRDefault="00343508" w:rsidP="00A020FE">
      <w:pPr>
        <w:pStyle w:val="Nadpis3"/>
        <w:spacing w:before="0" w:line="240" w:lineRule="auto"/>
        <w:contextualSpacing w:val="0"/>
      </w:pPr>
      <w:r>
        <w:t>Ostatní nesprávnosti v</w:t>
      </w:r>
      <w:r w:rsidR="00A87CDA">
        <w:t> </w:t>
      </w:r>
      <w:r>
        <w:t>ÚZ</w:t>
      </w:r>
      <w:r w:rsidR="00A87CDA">
        <w:t>, které měly vliv na konečné zůstatky účtů ÚZ</w:t>
      </w:r>
    </w:p>
    <w:p w14:paraId="2D94CF23" w14:textId="0F2FFBBD" w:rsidR="00A020FE" w:rsidRDefault="00A020FE" w:rsidP="00A020FE">
      <w:pPr>
        <w:spacing w:after="0"/>
      </w:pPr>
    </w:p>
    <w:p w14:paraId="3ED9482B" w14:textId="793BB9B4" w:rsidR="00F028DC" w:rsidRPr="00A020FE" w:rsidRDefault="00F028DC" w:rsidP="00F028DC">
      <w:pPr>
        <w:spacing w:after="0"/>
        <w:jc w:val="both"/>
      </w:pPr>
      <w:r w:rsidRPr="00A637FA">
        <w:t xml:space="preserve">Při kontrole vybraných operací byly zjištěny následující </w:t>
      </w:r>
      <w:r>
        <w:t>nesprávnosti</w:t>
      </w:r>
      <w:r w:rsidRPr="00A637FA">
        <w:t>, k</w:t>
      </w:r>
      <w:r>
        <w:t>teré měly vliv na konečné zůstatky účtů:</w:t>
      </w:r>
    </w:p>
    <w:p w14:paraId="46C44ADA" w14:textId="58317825" w:rsidR="00A87CDA" w:rsidRPr="00522D69" w:rsidRDefault="0033466E" w:rsidP="00A020FE">
      <w:pPr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522D69">
        <w:rPr>
          <w:rFonts w:asciiTheme="minorHAnsi" w:hAnsiTheme="minorHAnsi" w:cs="Calibri"/>
          <w:bCs/>
          <w:iCs/>
        </w:rPr>
        <w:t>MO</w:t>
      </w:r>
      <w:r w:rsidR="00C52E1A" w:rsidRPr="00522D69">
        <w:rPr>
          <w:rFonts w:asciiTheme="minorHAnsi" w:hAnsiTheme="minorHAnsi" w:cs="Calibri"/>
          <w:bCs/>
          <w:iCs/>
        </w:rPr>
        <w:t xml:space="preserve"> v rozpo</w:t>
      </w:r>
      <w:r w:rsidR="006744B0" w:rsidRPr="00522D69">
        <w:rPr>
          <w:rFonts w:asciiTheme="minorHAnsi" w:hAnsiTheme="minorHAnsi" w:cs="Calibri"/>
          <w:bCs/>
          <w:iCs/>
        </w:rPr>
        <w:t>ru</w:t>
      </w:r>
      <w:r w:rsidR="00C52E1A" w:rsidRPr="00522D69">
        <w:rPr>
          <w:rFonts w:asciiTheme="minorHAnsi" w:hAnsiTheme="minorHAnsi" w:cs="Calibri"/>
          <w:bCs/>
          <w:iCs/>
        </w:rPr>
        <w:t xml:space="preserve"> s </w:t>
      </w:r>
      <w:r w:rsidR="00C52E1A" w:rsidRPr="00522D69">
        <w:rPr>
          <w:rFonts w:asciiTheme="minorHAnsi" w:hAnsiTheme="minorHAnsi"/>
          <w:bCs/>
          <w:iCs/>
        </w:rPr>
        <w:t xml:space="preserve">§ 24 odst. 1 zákona o účetnictví </w:t>
      </w:r>
      <w:r w:rsidRPr="00522D69">
        <w:rPr>
          <w:rFonts w:asciiTheme="minorHAnsi" w:hAnsiTheme="minorHAnsi" w:cs="Calibri"/>
          <w:bCs/>
          <w:iCs/>
        </w:rPr>
        <w:t>účtovalo o navýšení ceny pozemků v souvislosti se změnou výměry pozemků při pro</w:t>
      </w:r>
      <w:r w:rsidR="006B4DEB" w:rsidRPr="00522D69">
        <w:rPr>
          <w:rFonts w:asciiTheme="minorHAnsi" w:hAnsiTheme="minorHAnsi" w:cs="Calibri"/>
          <w:bCs/>
          <w:iCs/>
        </w:rPr>
        <w:t>ve</w:t>
      </w:r>
      <w:r w:rsidR="00A87CDA" w:rsidRPr="00522D69">
        <w:rPr>
          <w:rFonts w:asciiTheme="minorHAnsi" w:hAnsiTheme="minorHAnsi" w:cs="Calibri"/>
          <w:bCs/>
          <w:iCs/>
        </w:rPr>
        <w:t>dené digitalizaci katastrálního</w:t>
      </w:r>
      <w:r w:rsidR="00134A61">
        <w:rPr>
          <w:rFonts w:asciiTheme="minorHAnsi" w:hAnsiTheme="minorHAnsi" w:cs="Calibri"/>
          <w:bCs/>
          <w:iCs/>
        </w:rPr>
        <w:t xml:space="preserve"> operátu</w:t>
      </w:r>
      <w:r w:rsidR="006C29D8">
        <w:rPr>
          <w:rFonts w:asciiTheme="minorHAnsi" w:hAnsiTheme="minorHAnsi" w:cs="Calibri"/>
          <w:bCs/>
          <w:iCs/>
        </w:rPr>
        <w:t>;</w:t>
      </w:r>
    </w:p>
    <w:p w14:paraId="3B92319C" w14:textId="3BA381D8" w:rsidR="00A87CDA" w:rsidRPr="00522D69" w:rsidRDefault="00343508" w:rsidP="00A020FE">
      <w:pPr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522D69">
        <w:rPr>
          <w:rFonts w:asciiTheme="minorHAnsi" w:hAnsiTheme="minorHAnsi" w:cs="Calibri"/>
          <w:bCs/>
          <w:iCs/>
        </w:rPr>
        <w:t xml:space="preserve">v souladu s usnesením vlády České republiky ze dne 8. března 2017 č. 176 </w:t>
      </w:r>
      <w:r w:rsidR="00BA15A2" w:rsidRPr="00522D69">
        <w:rPr>
          <w:rFonts w:asciiTheme="minorHAnsi" w:hAnsiTheme="minorHAnsi" w:cs="Calibri"/>
          <w:bCs/>
          <w:iCs/>
        </w:rPr>
        <w:t xml:space="preserve">poskytlo </w:t>
      </w:r>
      <w:r w:rsidRPr="00522D69">
        <w:rPr>
          <w:rFonts w:asciiTheme="minorHAnsi" w:hAnsiTheme="minorHAnsi" w:cs="Calibri"/>
          <w:bCs/>
          <w:iCs/>
        </w:rPr>
        <w:t xml:space="preserve">MO v roce 2017 peněžní prostředky </w:t>
      </w:r>
      <w:r w:rsidR="00BA15A2">
        <w:rPr>
          <w:rFonts w:asciiTheme="minorHAnsi" w:hAnsiTheme="minorHAnsi" w:cs="Calibri"/>
          <w:bCs/>
          <w:iCs/>
        </w:rPr>
        <w:t>(</w:t>
      </w:r>
      <w:r w:rsidRPr="00522D69">
        <w:rPr>
          <w:rFonts w:asciiTheme="minorHAnsi" w:hAnsiTheme="minorHAnsi" w:cs="Calibri"/>
          <w:bCs/>
          <w:iCs/>
        </w:rPr>
        <w:t>peněžní dar</w:t>
      </w:r>
      <w:r w:rsidR="00BA15A2">
        <w:rPr>
          <w:rFonts w:asciiTheme="minorHAnsi" w:hAnsiTheme="minorHAnsi" w:cs="Calibri"/>
          <w:bCs/>
          <w:iCs/>
        </w:rPr>
        <w:t>)</w:t>
      </w:r>
      <w:r w:rsidRPr="00522D69">
        <w:rPr>
          <w:rFonts w:asciiTheme="minorHAnsi" w:hAnsiTheme="minorHAnsi" w:cs="Calibri"/>
          <w:bCs/>
          <w:iCs/>
        </w:rPr>
        <w:t>, které měly být zachyceny jako transfer</w:t>
      </w:r>
      <w:r w:rsidR="00BA15A2">
        <w:rPr>
          <w:rFonts w:asciiTheme="minorHAnsi" w:hAnsiTheme="minorHAnsi" w:cs="Calibri"/>
          <w:bCs/>
          <w:iCs/>
        </w:rPr>
        <w:t>,</w:t>
      </w:r>
      <w:r w:rsidRPr="00522D69">
        <w:rPr>
          <w:rFonts w:asciiTheme="minorHAnsi" w:hAnsiTheme="minorHAnsi" w:cs="Calibri"/>
          <w:bCs/>
          <w:iCs/>
        </w:rPr>
        <w:t xml:space="preserve"> a</w:t>
      </w:r>
      <w:r w:rsidR="00BA15A2">
        <w:rPr>
          <w:rFonts w:asciiTheme="minorHAnsi" w:hAnsiTheme="minorHAnsi" w:cs="Calibri"/>
          <w:bCs/>
          <w:iCs/>
        </w:rPr>
        <w:t> </w:t>
      </w:r>
      <w:r w:rsidRPr="00522D69">
        <w:rPr>
          <w:rFonts w:asciiTheme="minorHAnsi" w:hAnsiTheme="minorHAnsi" w:cs="Calibri"/>
          <w:bCs/>
          <w:iCs/>
        </w:rPr>
        <w:t>nikoliv jako náklad na pořízení služeb</w:t>
      </w:r>
      <w:r w:rsidR="006C29D8">
        <w:rPr>
          <w:rFonts w:asciiTheme="minorHAnsi" w:hAnsiTheme="minorHAnsi" w:cs="Calibri"/>
          <w:bCs/>
          <w:iCs/>
        </w:rPr>
        <w:t>;</w:t>
      </w:r>
    </w:p>
    <w:p w14:paraId="6FA2C0B4" w14:textId="367E2909" w:rsidR="00A87CDA" w:rsidRPr="00522D69" w:rsidRDefault="0033466E" w:rsidP="00A020FE">
      <w:pPr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522D69">
        <w:rPr>
          <w:rFonts w:asciiTheme="minorHAnsi" w:hAnsiTheme="minorHAnsi" w:cs="Calibri"/>
          <w:bCs/>
          <w:iCs/>
        </w:rPr>
        <w:t xml:space="preserve">MO </w:t>
      </w:r>
      <w:r w:rsidR="00A25118" w:rsidRPr="00522D69">
        <w:rPr>
          <w:rFonts w:asciiTheme="minorHAnsi" w:hAnsiTheme="minorHAnsi" w:cs="Calibri"/>
          <w:bCs/>
          <w:iCs/>
        </w:rPr>
        <w:t xml:space="preserve">účtovalo nesprávně </w:t>
      </w:r>
      <w:r w:rsidRPr="00522D69">
        <w:rPr>
          <w:rFonts w:asciiTheme="minorHAnsi" w:hAnsiTheme="minorHAnsi" w:cs="Calibri"/>
          <w:bCs/>
          <w:iCs/>
        </w:rPr>
        <w:t xml:space="preserve">o pokutě vydané na základě řízení o přestupku prostřednictvím účtu 605 – </w:t>
      </w:r>
      <w:r w:rsidRPr="00A25118">
        <w:rPr>
          <w:rFonts w:asciiTheme="minorHAnsi" w:hAnsiTheme="minorHAnsi" w:cs="Calibri"/>
          <w:bCs/>
          <w:i/>
          <w:iCs/>
        </w:rPr>
        <w:t>Výnosy z</w:t>
      </w:r>
      <w:r w:rsidR="00F721A1">
        <w:rPr>
          <w:rFonts w:asciiTheme="minorHAnsi" w:hAnsiTheme="minorHAnsi" w:cs="Calibri"/>
          <w:bCs/>
          <w:i/>
          <w:iCs/>
        </w:rPr>
        <w:t>e</w:t>
      </w:r>
      <w:r w:rsidRPr="00A25118">
        <w:rPr>
          <w:rFonts w:asciiTheme="minorHAnsi" w:hAnsiTheme="minorHAnsi" w:cs="Calibri"/>
          <w:bCs/>
          <w:i/>
          <w:iCs/>
        </w:rPr>
        <w:t xml:space="preserve"> </w:t>
      </w:r>
      <w:r w:rsidR="00F721A1">
        <w:rPr>
          <w:rFonts w:asciiTheme="minorHAnsi" w:hAnsiTheme="minorHAnsi" w:cs="Calibri"/>
          <w:bCs/>
          <w:i/>
          <w:iCs/>
        </w:rPr>
        <w:t>s</w:t>
      </w:r>
      <w:r w:rsidRPr="00A25118">
        <w:rPr>
          <w:rFonts w:asciiTheme="minorHAnsi" w:hAnsiTheme="minorHAnsi" w:cs="Calibri"/>
          <w:bCs/>
          <w:i/>
          <w:iCs/>
        </w:rPr>
        <w:t>právních poplatků</w:t>
      </w:r>
      <w:r w:rsidRPr="00522D69">
        <w:rPr>
          <w:rFonts w:asciiTheme="minorHAnsi" w:hAnsiTheme="minorHAnsi" w:cs="Calibri"/>
          <w:bCs/>
          <w:iCs/>
        </w:rPr>
        <w:t xml:space="preserve">, </w:t>
      </w:r>
      <w:r w:rsidR="00134A61">
        <w:rPr>
          <w:rFonts w:asciiTheme="minorHAnsi" w:hAnsiTheme="minorHAnsi" w:cs="Calibri"/>
          <w:bCs/>
          <w:iCs/>
        </w:rPr>
        <w:t>přestože</w:t>
      </w:r>
      <w:r w:rsidRPr="00522D69">
        <w:rPr>
          <w:rFonts w:asciiTheme="minorHAnsi" w:hAnsiTheme="minorHAnsi" w:cs="Calibri"/>
          <w:bCs/>
          <w:iCs/>
        </w:rPr>
        <w:t xml:space="preserve"> se jednalo o činnost </w:t>
      </w:r>
      <w:r w:rsidR="006B4DEB" w:rsidRPr="00522D69">
        <w:rPr>
          <w:rFonts w:asciiTheme="minorHAnsi" w:hAnsiTheme="minorHAnsi" w:cs="Calibri"/>
          <w:bCs/>
          <w:iCs/>
        </w:rPr>
        <w:t>s</w:t>
      </w:r>
      <w:r w:rsidRPr="00522D69">
        <w:rPr>
          <w:rFonts w:asciiTheme="minorHAnsi" w:hAnsiTheme="minorHAnsi" w:cs="Calibri"/>
          <w:bCs/>
          <w:iCs/>
        </w:rPr>
        <w:t>právních úřad</w:t>
      </w:r>
      <w:r w:rsidR="006B4DEB" w:rsidRPr="00522D69">
        <w:rPr>
          <w:rFonts w:asciiTheme="minorHAnsi" w:hAnsiTheme="minorHAnsi" w:cs="Calibri"/>
          <w:bCs/>
          <w:iCs/>
        </w:rPr>
        <w:t>ů</w:t>
      </w:r>
      <w:r w:rsidRPr="00522D69">
        <w:rPr>
          <w:rFonts w:asciiTheme="minorHAnsi" w:hAnsiTheme="minorHAnsi" w:cs="Calibri"/>
          <w:bCs/>
          <w:iCs/>
        </w:rPr>
        <w:t>, která není předmětem správních poplatků dle zákona č. 634/2004 Sb.</w:t>
      </w:r>
      <w:r w:rsidR="006744B0" w:rsidRPr="00134A61">
        <w:rPr>
          <w:rFonts w:cs="Calibri"/>
          <w:bCs/>
          <w:iCs/>
          <w:vertAlign w:val="superscript"/>
        </w:rPr>
        <w:footnoteReference w:id="15"/>
      </w:r>
      <w:r w:rsidR="006C29D8">
        <w:rPr>
          <w:rFonts w:asciiTheme="minorHAnsi" w:hAnsiTheme="minorHAnsi" w:cs="Calibri"/>
          <w:bCs/>
          <w:iCs/>
        </w:rPr>
        <w:t>;</w:t>
      </w:r>
    </w:p>
    <w:p w14:paraId="2E966692" w14:textId="6AC5B3DB" w:rsidR="00A87CDA" w:rsidRPr="00522D69" w:rsidRDefault="0033466E" w:rsidP="00A020FE">
      <w:pPr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 w:rsidRPr="00522D69">
        <w:rPr>
          <w:rFonts w:asciiTheme="minorHAnsi" w:hAnsiTheme="minorHAnsi" w:cs="Calibri"/>
          <w:bCs/>
          <w:iCs/>
        </w:rPr>
        <w:t xml:space="preserve">v některých případech </w:t>
      </w:r>
      <w:r w:rsidR="00A25118">
        <w:rPr>
          <w:rFonts w:asciiTheme="minorHAnsi" w:hAnsiTheme="minorHAnsi" w:cs="Calibri"/>
          <w:bCs/>
          <w:iCs/>
        </w:rPr>
        <w:t xml:space="preserve">MO </w:t>
      </w:r>
      <w:r w:rsidRPr="00522D69">
        <w:rPr>
          <w:rFonts w:asciiTheme="minorHAnsi" w:hAnsiTheme="minorHAnsi" w:cs="Calibri"/>
          <w:bCs/>
          <w:iCs/>
        </w:rPr>
        <w:t xml:space="preserve">nesprávně </w:t>
      </w:r>
      <w:r w:rsidR="00FF5260" w:rsidRPr="00522D69">
        <w:rPr>
          <w:rFonts w:asciiTheme="minorHAnsi" w:hAnsiTheme="minorHAnsi" w:cs="Calibri"/>
          <w:bCs/>
          <w:iCs/>
        </w:rPr>
        <w:t>účtovalo</w:t>
      </w:r>
      <w:r w:rsidRPr="00522D69">
        <w:rPr>
          <w:rFonts w:asciiTheme="minorHAnsi" w:hAnsiTheme="minorHAnsi" w:cs="Calibri"/>
          <w:bCs/>
          <w:iCs/>
        </w:rPr>
        <w:t xml:space="preserve"> smluvní pokuty za nedodržení dohodnutých podmínek </w:t>
      </w:r>
      <w:r w:rsidR="00C52E1A" w:rsidRPr="00522D69">
        <w:rPr>
          <w:rFonts w:asciiTheme="minorHAnsi" w:hAnsiTheme="minorHAnsi" w:cs="Calibri"/>
          <w:bCs/>
          <w:iCs/>
        </w:rPr>
        <w:t>dle uzavřené smlouvy</w:t>
      </w:r>
      <w:r w:rsidR="006C29D8">
        <w:rPr>
          <w:rFonts w:asciiTheme="minorHAnsi" w:hAnsiTheme="minorHAnsi" w:cs="Calibri"/>
          <w:bCs/>
          <w:iCs/>
        </w:rPr>
        <w:t>;</w:t>
      </w:r>
      <w:r w:rsidRPr="00522D69">
        <w:rPr>
          <w:rFonts w:asciiTheme="minorHAnsi" w:hAnsiTheme="minorHAnsi" w:cs="Calibri"/>
          <w:bCs/>
          <w:iCs/>
        </w:rPr>
        <w:t xml:space="preserve"> </w:t>
      </w:r>
    </w:p>
    <w:p w14:paraId="1B35FB64" w14:textId="0AB8FF95" w:rsidR="0033466E" w:rsidRDefault="00BA15A2" w:rsidP="00A020FE">
      <w:pPr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 w:cs="Calibri"/>
          <w:bCs/>
          <w:iCs/>
        </w:rPr>
      </w:pPr>
      <w:r>
        <w:rPr>
          <w:rFonts w:asciiTheme="minorHAnsi" w:hAnsiTheme="minorHAnsi" w:cs="Calibri"/>
          <w:bCs/>
          <w:iCs/>
        </w:rPr>
        <w:t xml:space="preserve">MO </w:t>
      </w:r>
      <w:r w:rsidRPr="00522D69">
        <w:rPr>
          <w:rFonts w:asciiTheme="minorHAnsi" w:hAnsiTheme="minorHAnsi" w:cs="Calibri"/>
          <w:bCs/>
          <w:iCs/>
        </w:rPr>
        <w:t xml:space="preserve">časově </w:t>
      </w:r>
      <w:r w:rsidR="00A25118" w:rsidRPr="00522D69">
        <w:rPr>
          <w:rFonts w:asciiTheme="minorHAnsi" w:hAnsiTheme="minorHAnsi" w:cs="Calibri"/>
          <w:bCs/>
          <w:iCs/>
        </w:rPr>
        <w:t xml:space="preserve">nerozlišilo </w:t>
      </w:r>
      <w:r w:rsidR="0033466E" w:rsidRPr="00522D69">
        <w:rPr>
          <w:rFonts w:asciiTheme="minorHAnsi" w:hAnsiTheme="minorHAnsi" w:cs="Calibri"/>
          <w:bCs/>
          <w:iCs/>
        </w:rPr>
        <w:t>výnosy z poskytnutí vo</w:t>
      </w:r>
      <w:r w:rsidR="00FF5260" w:rsidRPr="00522D69">
        <w:rPr>
          <w:rFonts w:asciiTheme="minorHAnsi" w:hAnsiTheme="minorHAnsi" w:cs="Calibri"/>
          <w:bCs/>
          <w:iCs/>
        </w:rPr>
        <w:t>lných výcvikových kapacit pilotům z jiného státu</w:t>
      </w:r>
      <w:r w:rsidR="0033466E" w:rsidRPr="00522D69">
        <w:rPr>
          <w:rFonts w:asciiTheme="minorHAnsi" w:hAnsiTheme="minorHAnsi" w:cs="Calibri"/>
          <w:bCs/>
          <w:iCs/>
        </w:rPr>
        <w:t xml:space="preserve">. Výcvik </w:t>
      </w:r>
      <w:r w:rsidR="00FF5260" w:rsidRPr="00522D69">
        <w:rPr>
          <w:rFonts w:asciiTheme="minorHAnsi" w:hAnsiTheme="minorHAnsi" w:cs="Calibri"/>
          <w:bCs/>
          <w:iCs/>
        </w:rPr>
        <w:t xml:space="preserve">těchto </w:t>
      </w:r>
      <w:r w:rsidR="0033466E" w:rsidRPr="00522D69">
        <w:rPr>
          <w:rFonts w:asciiTheme="minorHAnsi" w:hAnsiTheme="minorHAnsi" w:cs="Calibri"/>
          <w:bCs/>
          <w:iCs/>
        </w:rPr>
        <w:t>pilotů byl ukončen v říjnu 2016, MO uvedené výnosy zaúčtovalo do účetního období roku 2017 namísto roku 2016</w:t>
      </w:r>
      <w:r w:rsidR="00A87CDA" w:rsidRPr="00522D69">
        <w:rPr>
          <w:rFonts w:asciiTheme="minorHAnsi" w:hAnsiTheme="minorHAnsi" w:cs="Calibri"/>
          <w:bCs/>
          <w:iCs/>
        </w:rPr>
        <w:t>.</w:t>
      </w:r>
    </w:p>
    <w:p w14:paraId="0AEF2749" w14:textId="77777777" w:rsidR="00A020FE" w:rsidRPr="00522D69" w:rsidRDefault="00A020FE" w:rsidP="00A020FE">
      <w:pPr>
        <w:spacing w:after="0"/>
        <w:jc w:val="both"/>
        <w:rPr>
          <w:rFonts w:asciiTheme="minorHAnsi" w:hAnsiTheme="minorHAnsi" w:cs="Calibri"/>
          <w:bCs/>
          <w:iCs/>
        </w:rPr>
      </w:pPr>
    </w:p>
    <w:p w14:paraId="0CF3B5DD" w14:textId="77777777" w:rsidR="0033466E" w:rsidRPr="0061735F" w:rsidRDefault="0033466E" w:rsidP="00A020FE">
      <w:pPr>
        <w:pStyle w:val="Nadpis3"/>
        <w:spacing w:before="0" w:line="240" w:lineRule="auto"/>
        <w:contextualSpacing w:val="0"/>
      </w:pPr>
      <w:r w:rsidRPr="0061735F">
        <w:t>Uplatnění reálné hodnoty u majetku určeného k prodeji</w:t>
      </w:r>
    </w:p>
    <w:p w14:paraId="7AB62CC6" w14:textId="77777777" w:rsidR="00A020FE" w:rsidRDefault="00A020FE" w:rsidP="00A020FE">
      <w:pPr>
        <w:spacing w:after="0"/>
        <w:jc w:val="both"/>
        <w:rPr>
          <w:rFonts w:asciiTheme="minorHAnsi" w:hAnsiTheme="minorHAnsi"/>
          <w:bCs/>
          <w:iCs/>
        </w:rPr>
      </w:pPr>
    </w:p>
    <w:p w14:paraId="7C94A411" w14:textId="7C7583BD" w:rsidR="0033466E" w:rsidRDefault="0033466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  <w:r w:rsidRPr="0061735F">
        <w:rPr>
          <w:rFonts w:asciiTheme="minorHAnsi" w:hAnsiTheme="minorHAnsi" w:cstheme="minorHAnsi"/>
          <w:b/>
          <w:sz w:val="24"/>
        </w:rPr>
        <w:t>MO v některých případech prodeje nemovitostí neúčtovalo o přecenění na reálnou hodnotu podle § 64 vyhlášky č. 410/2009 Sb.,</w:t>
      </w:r>
      <w:r w:rsidRPr="00A5506D">
        <w:rPr>
          <w:rFonts w:asciiTheme="minorHAnsi" w:hAnsiTheme="minorHAnsi" w:cstheme="minorHAnsi"/>
          <w:sz w:val="24"/>
        </w:rPr>
        <w:t xml:space="preserve"> tj. k okamžiku, kdy bylo rozhodnuto o prodeji majetku, a od tohoto okamžiku neměl b</w:t>
      </w:r>
      <w:r w:rsidR="0061735F">
        <w:rPr>
          <w:rFonts w:asciiTheme="minorHAnsi" w:hAnsiTheme="minorHAnsi" w:cstheme="minorHAnsi"/>
          <w:sz w:val="24"/>
        </w:rPr>
        <w:t>ýt majetek dále</w:t>
      </w:r>
      <w:r w:rsidRPr="00A5506D">
        <w:rPr>
          <w:rFonts w:asciiTheme="minorHAnsi" w:hAnsiTheme="minorHAnsi" w:cstheme="minorHAnsi"/>
          <w:sz w:val="24"/>
        </w:rPr>
        <w:t xml:space="preserve"> odpisován. </w:t>
      </w:r>
      <w:r w:rsidR="001101E0">
        <w:rPr>
          <w:rFonts w:asciiTheme="minorHAnsi" w:hAnsiTheme="minorHAnsi" w:cstheme="minorHAnsi"/>
          <w:sz w:val="24"/>
        </w:rPr>
        <w:t xml:space="preserve">V důsledku toho </w:t>
      </w:r>
      <w:r w:rsidRPr="00A5506D">
        <w:rPr>
          <w:rFonts w:asciiTheme="minorHAnsi" w:hAnsiTheme="minorHAnsi" w:cstheme="minorHAnsi"/>
          <w:sz w:val="24"/>
        </w:rPr>
        <w:t xml:space="preserve">došlo </w:t>
      </w:r>
      <w:r w:rsidR="00226527">
        <w:rPr>
          <w:rFonts w:asciiTheme="minorHAnsi" w:hAnsiTheme="minorHAnsi" w:cstheme="minorHAnsi"/>
          <w:sz w:val="24"/>
        </w:rPr>
        <w:lastRenderedPageBreak/>
        <w:t>v</w:t>
      </w:r>
      <w:r w:rsidR="00A020FE">
        <w:rPr>
          <w:rFonts w:asciiTheme="minorHAnsi" w:hAnsiTheme="minorHAnsi" w:cstheme="minorHAnsi"/>
          <w:sz w:val="24"/>
        </w:rPr>
        <w:t> </w:t>
      </w:r>
      <w:r w:rsidR="00226527">
        <w:rPr>
          <w:rFonts w:asciiTheme="minorHAnsi" w:hAnsiTheme="minorHAnsi" w:cstheme="minorHAnsi"/>
          <w:sz w:val="24"/>
        </w:rPr>
        <w:t>ÚZ</w:t>
      </w:r>
      <w:r w:rsidR="00A020FE">
        <w:rPr>
          <w:rFonts w:asciiTheme="minorHAnsi" w:hAnsiTheme="minorHAnsi" w:cstheme="minorHAnsi"/>
          <w:sz w:val="24"/>
        </w:rPr>
        <w:t> </w:t>
      </w:r>
      <w:r w:rsidRPr="00A5506D">
        <w:rPr>
          <w:rFonts w:asciiTheme="minorHAnsi" w:hAnsiTheme="minorHAnsi" w:cstheme="minorHAnsi"/>
          <w:sz w:val="24"/>
        </w:rPr>
        <w:t xml:space="preserve">k nadhodnocení zůstatků účtu 664 – </w:t>
      </w:r>
      <w:r w:rsidRPr="0061735F">
        <w:rPr>
          <w:rFonts w:asciiTheme="minorHAnsi" w:hAnsiTheme="minorHAnsi" w:cstheme="minorHAnsi"/>
          <w:i/>
          <w:sz w:val="24"/>
        </w:rPr>
        <w:t>Výnosy z přecenění na reálnou hodnotu</w:t>
      </w:r>
      <w:r w:rsidRPr="00A5506D">
        <w:rPr>
          <w:rFonts w:asciiTheme="minorHAnsi" w:hAnsiTheme="minorHAnsi" w:cstheme="minorHAnsi"/>
          <w:sz w:val="24"/>
        </w:rPr>
        <w:t xml:space="preserve"> o </w:t>
      </w:r>
      <w:r w:rsidR="001906ED">
        <w:rPr>
          <w:rFonts w:asciiTheme="minorHAnsi" w:hAnsiTheme="minorHAnsi" w:cstheme="minorHAnsi"/>
          <w:sz w:val="24"/>
        </w:rPr>
        <w:t>4,6 mil.</w:t>
      </w:r>
      <w:r w:rsidRPr="00A5506D">
        <w:rPr>
          <w:rFonts w:asciiTheme="minorHAnsi" w:hAnsiTheme="minorHAnsi" w:cstheme="minorHAnsi"/>
          <w:sz w:val="24"/>
        </w:rPr>
        <w:t xml:space="preserve"> Kč, účtu 551 – </w:t>
      </w:r>
      <w:r w:rsidRPr="0061735F">
        <w:rPr>
          <w:rFonts w:asciiTheme="minorHAnsi" w:hAnsiTheme="minorHAnsi" w:cstheme="minorHAnsi"/>
          <w:i/>
          <w:sz w:val="24"/>
        </w:rPr>
        <w:t>Odpisy dlouhodobého majetku</w:t>
      </w:r>
      <w:r w:rsidRPr="00A5506D">
        <w:rPr>
          <w:rFonts w:asciiTheme="minorHAnsi" w:hAnsiTheme="minorHAnsi" w:cstheme="minorHAnsi"/>
          <w:sz w:val="24"/>
        </w:rPr>
        <w:t xml:space="preserve"> o </w:t>
      </w:r>
      <w:r w:rsidR="000A75DF">
        <w:rPr>
          <w:rFonts w:asciiTheme="minorHAnsi" w:hAnsiTheme="minorHAnsi" w:cstheme="minorHAnsi"/>
          <w:sz w:val="24"/>
        </w:rPr>
        <w:t>314 tis.</w:t>
      </w:r>
      <w:r w:rsidRPr="00A5506D">
        <w:rPr>
          <w:rFonts w:asciiTheme="minorHAnsi" w:hAnsiTheme="minorHAnsi" w:cstheme="minorHAnsi"/>
          <w:sz w:val="24"/>
        </w:rPr>
        <w:t xml:space="preserve"> Kč a účtu 493 – </w:t>
      </w:r>
      <w:r w:rsidRPr="0061735F">
        <w:rPr>
          <w:rFonts w:asciiTheme="minorHAnsi" w:hAnsiTheme="minorHAnsi" w:cstheme="minorHAnsi"/>
          <w:i/>
          <w:sz w:val="24"/>
        </w:rPr>
        <w:t xml:space="preserve">Výsledek hospodaření běžného účetního období </w:t>
      </w:r>
      <w:r w:rsidRPr="005D3D9A">
        <w:rPr>
          <w:rFonts w:asciiTheme="minorHAnsi" w:hAnsiTheme="minorHAnsi" w:cstheme="minorHAnsi"/>
          <w:sz w:val="24"/>
        </w:rPr>
        <w:t>o částku</w:t>
      </w:r>
      <w:r w:rsidRPr="00A5506D">
        <w:rPr>
          <w:rFonts w:asciiTheme="minorHAnsi" w:hAnsiTheme="minorHAnsi" w:cstheme="minorHAnsi"/>
          <w:sz w:val="24"/>
        </w:rPr>
        <w:t xml:space="preserve"> </w:t>
      </w:r>
      <w:r w:rsidR="001906ED">
        <w:rPr>
          <w:rFonts w:asciiTheme="minorHAnsi" w:hAnsiTheme="minorHAnsi" w:cstheme="minorHAnsi"/>
          <w:sz w:val="24"/>
        </w:rPr>
        <w:t>4,3 mil.</w:t>
      </w:r>
      <w:r w:rsidRPr="00A5506D">
        <w:rPr>
          <w:rFonts w:asciiTheme="minorHAnsi" w:hAnsiTheme="minorHAnsi" w:cstheme="minorHAnsi"/>
          <w:sz w:val="24"/>
        </w:rPr>
        <w:t xml:space="preserve"> Kč a </w:t>
      </w:r>
      <w:r w:rsidR="005E36A3">
        <w:rPr>
          <w:rFonts w:asciiTheme="minorHAnsi" w:hAnsiTheme="minorHAnsi" w:cstheme="minorHAnsi"/>
          <w:sz w:val="24"/>
        </w:rPr>
        <w:t xml:space="preserve">podhodnocení zůstatku </w:t>
      </w:r>
      <w:r w:rsidRPr="00A5506D">
        <w:rPr>
          <w:rFonts w:asciiTheme="minorHAnsi" w:hAnsiTheme="minorHAnsi" w:cstheme="minorHAnsi"/>
          <w:sz w:val="24"/>
        </w:rPr>
        <w:t xml:space="preserve">účtu 432 – </w:t>
      </w:r>
      <w:r w:rsidRPr="0061735F">
        <w:rPr>
          <w:rFonts w:asciiTheme="minorHAnsi" w:hAnsiTheme="minorHAnsi" w:cstheme="minorHAnsi"/>
          <w:i/>
          <w:sz w:val="24"/>
        </w:rPr>
        <w:t>Výsledek hospodaření předcházejících účetních období</w:t>
      </w:r>
      <w:r w:rsidRPr="00A5506D">
        <w:rPr>
          <w:rFonts w:asciiTheme="minorHAnsi" w:hAnsiTheme="minorHAnsi" w:cstheme="minorHAnsi"/>
          <w:sz w:val="24"/>
        </w:rPr>
        <w:t xml:space="preserve"> o </w:t>
      </w:r>
      <w:r w:rsidR="005E36A3">
        <w:rPr>
          <w:rFonts w:asciiTheme="minorHAnsi" w:hAnsiTheme="minorHAnsi" w:cstheme="minorHAnsi"/>
          <w:sz w:val="24"/>
        </w:rPr>
        <w:t>částku 4,3 mil. Kč</w:t>
      </w:r>
      <w:r w:rsidRPr="00A5506D">
        <w:rPr>
          <w:rFonts w:asciiTheme="minorHAnsi" w:hAnsiTheme="minorHAnsi" w:cstheme="minorHAnsi"/>
          <w:sz w:val="24"/>
        </w:rPr>
        <w:t xml:space="preserve">. </w:t>
      </w:r>
    </w:p>
    <w:p w14:paraId="44A73066" w14:textId="77777777" w:rsidR="00A020FE" w:rsidRDefault="00A020F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289587FC" w14:textId="77777777" w:rsidR="0033466E" w:rsidRPr="0061735F" w:rsidRDefault="0033466E" w:rsidP="00A020FE">
      <w:pPr>
        <w:pStyle w:val="Nadpis3"/>
        <w:spacing w:before="0" w:line="240" w:lineRule="auto"/>
        <w:contextualSpacing w:val="0"/>
      </w:pPr>
      <w:r w:rsidRPr="0061735F">
        <w:t xml:space="preserve">Podrozvahové účty </w:t>
      </w:r>
    </w:p>
    <w:p w14:paraId="2008E1A0" w14:textId="77777777" w:rsidR="00A020FE" w:rsidRPr="00A020FE" w:rsidRDefault="00A020FE" w:rsidP="00A020FE">
      <w:pPr>
        <w:spacing w:after="0"/>
        <w:jc w:val="both"/>
        <w:rPr>
          <w:rFonts w:asciiTheme="minorHAnsi" w:hAnsiTheme="minorHAnsi" w:cs="Calibri"/>
          <w:bCs/>
          <w:iCs/>
        </w:rPr>
      </w:pPr>
    </w:p>
    <w:p w14:paraId="2411BA69" w14:textId="79F28CF4" w:rsidR="006C29D8" w:rsidRDefault="0033466E" w:rsidP="00555A33">
      <w:pPr>
        <w:spacing w:after="0"/>
        <w:jc w:val="both"/>
        <w:rPr>
          <w:rFonts w:asciiTheme="minorHAnsi" w:hAnsiTheme="minorHAnsi" w:cs="Calibri"/>
          <w:bCs/>
          <w:iCs/>
        </w:rPr>
      </w:pPr>
      <w:r w:rsidRPr="006C29D8">
        <w:rPr>
          <w:rFonts w:asciiTheme="minorHAnsi" w:hAnsiTheme="minorHAnsi" w:cs="Calibri"/>
          <w:b/>
          <w:bCs/>
          <w:iCs/>
        </w:rPr>
        <w:t>MO neúčtovalo o některých krátkodobých a dlouhodobých podmíněných závazcích z uzavřených smluv</w:t>
      </w:r>
      <w:r w:rsidR="0061735F" w:rsidRPr="006C29D8">
        <w:rPr>
          <w:rFonts w:asciiTheme="minorHAnsi" w:hAnsiTheme="minorHAnsi" w:cs="Calibri"/>
          <w:b/>
          <w:bCs/>
          <w:iCs/>
        </w:rPr>
        <w:t xml:space="preserve"> ve správné výši</w:t>
      </w:r>
      <w:r w:rsidRPr="006C29D8">
        <w:rPr>
          <w:rFonts w:asciiTheme="minorHAnsi" w:hAnsiTheme="minorHAnsi" w:cs="Calibri"/>
          <w:b/>
          <w:bCs/>
          <w:iCs/>
        </w:rPr>
        <w:t>.</w:t>
      </w:r>
      <w:r w:rsidRPr="006C29D8">
        <w:rPr>
          <w:rFonts w:asciiTheme="minorHAnsi" w:hAnsiTheme="minorHAnsi" w:cs="Calibri"/>
          <w:bCs/>
          <w:iCs/>
        </w:rPr>
        <w:t xml:space="preserve"> Při kontrole vybraných operací byla vyčíslena nesprávnost, která měla dopad na vykázané zůstatky účtů přílohy ÚZ, tj. </w:t>
      </w:r>
      <w:r w:rsidR="006C29D8">
        <w:rPr>
          <w:rFonts w:asciiTheme="minorHAnsi" w:hAnsiTheme="minorHAnsi" w:cs="Calibri"/>
          <w:bCs/>
          <w:iCs/>
        </w:rPr>
        <w:t>došlo k </w:t>
      </w:r>
      <w:r w:rsidRPr="006C29D8">
        <w:rPr>
          <w:rFonts w:asciiTheme="minorHAnsi" w:hAnsiTheme="minorHAnsi" w:cs="Calibri"/>
          <w:bCs/>
          <w:iCs/>
        </w:rPr>
        <w:t xml:space="preserve">podhodnocení zůstatků účtů 973 – </w:t>
      </w:r>
      <w:r w:rsidRPr="006C29D8">
        <w:rPr>
          <w:rFonts w:asciiTheme="minorHAnsi" w:hAnsiTheme="minorHAnsi" w:cs="Calibri"/>
          <w:bCs/>
          <w:i/>
          <w:iCs/>
        </w:rPr>
        <w:t>Krátkodobé podmíněné závazky z jiných smluv</w:t>
      </w:r>
      <w:r w:rsidR="006C29D8">
        <w:rPr>
          <w:rFonts w:asciiTheme="minorHAnsi" w:hAnsiTheme="minorHAnsi" w:cs="Calibri"/>
          <w:bCs/>
          <w:iCs/>
        </w:rPr>
        <w:t xml:space="preserve"> o </w:t>
      </w:r>
      <w:r w:rsidRPr="006C29D8">
        <w:rPr>
          <w:rFonts w:asciiTheme="minorHAnsi" w:hAnsiTheme="minorHAnsi" w:cs="Calibri"/>
          <w:bCs/>
          <w:iCs/>
        </w:rPr>
        <w:t>80,75</w:t>
      </w:r>
      <w:r w:rsidR="00A020FE">
        <w:rPr>
          <w:rFonts w:asciiTheme="minorHAnsi" w:hAnsiTheme="minorHAnsi" w:cs="Calibri"/>
          <w:bCs/>
          <w:iCs/>
        </w:rPr>
        <w:t> </w:t>
      </w:r>
      <w:r w:rsidRPr="006C29D8">
        <w:rPr>
          <w:rFonts w:asciiTheme="minorHAnsi" w:hAnsiTheme="minorHAnsi" w:cs="Calibri"/>
          <w:bCs/>
          <w:iCs/>
        </w:rPr>
        <w:t>mil. Kč</w:t>
      </w:r>
      <w:r w:rsidRPr="004D1438">
        <w:rPr>
          <w:rFonts w:asciiTheme="minorHAnsi" w:hAnsiTheme="minorHAnsi" w:cs="Calibri"/>
          <w:bCs/>
          <w:iCs/>
          <w:vertAlign w:val="superscript"/>
        </w:rPr>
        <w:footnoteReference w:id="16"/>
      </w:r>
      <w:r w:rsidRPr="006C29D8">
        <w:rPr>
          <w:rFonts w:asciiTheme="minorHAnsi" w:hAnsiTheme="minorHAnsi" w:cs="Calibri"/>
          <w:bCs/>
          <w:iCs/>
        </w:rPr>
        <w:t xml:space="preserve"> a 974 – </w:t>
      </w:r>
      <w:r w:rsidRPr="006C29D8">
        <w:rPr>
          <w:rFonts w:asciiTheme="minorHAnsi" w:hAnsiTheme="minorHAnsi" w:cs="Calibri"/>
          <w:bCs/>
          <w:i/>
          <w:iCs/>
        </w:rPr>
        <w:t>Dlouhodobé podmíněné závazky z jiných smluv</w:t>
      </w:r>
      <w:r w:rsidRPr="006C29D8">
        <w:rPr>
          <w:rFonts w:asciiTheme="minorHAnsi" w:hAnsiTheme="minorHAnsi" w:cs="Calibri"/>
          <w:bCs/>
          <w:iCs/>
        </w:rPr>
        <w:t xml:space="preserve"> o</w:t>
      </w:r>
      <w:r w:rsidR="00B92EF5">
        <w:rPr>
          <w:rFonts w:asciiTheme="minorHAnsi" w:hAnsiTheme="minorHAnsi" w:cs="Calibri"/>
          <w:bCs/>
          <w:iCs/>
        </w:rPr>
        <w:t> </w:t>
      </w:r>
      <w:r w:rsidRPr="006C29D8">
        <w:rPr>
          <w:rFonts w:asciiTheme="minorHAnsi" w:hAnsiTheme="minorHAnsi" w:cs="Calibri"/>
          <w:bCs/>
          <w:iCs/>
        </w:rPr>
        <w:t>88,34</w:t>
      </w:r>
      <w:r w:rsidR="00B92EF5">
        <w:rPr>
          <w:rFonts w:asciiTheme="minorHAnsi" w:hAnsiTheme="minorHAnsi" w:cs="Calibri"/>
          <w:bCs/>
          <w:iCs/>
        </w:rPr>
        <w:t> </w:t>
      </w:r>
      <w:r w:rsidRPr="006C29D8">
        <w:rPr>
          <w:rFonts w:asciiTheme="minorHAnsi" w:hAnsiTheme="minorHAnsi" w:cs="Calibri"/>
          <w:bCs/>
          <w:iCs/>
        </w:rPr>
        <w:t>mil.</w:t>
      </w:r>
      <w:r w:rsidR="00B92EF5">
        <w:rPr>
          <w:rFonts w:asciiTheme="minorHAnsi" w:hAnsiTheme="minorHAnsi" w:cs="Calibri"/>
          <w:bCs/>
          <w:iCs/>
        </w:rPr>
        <w:t> </w:t>
      </w:r>
      <w:r w:rsidRPr="006C29D8">
        <w:rPr>
          <w:rFonts w:asciiTheme="minorHAnsi" w:hAnsiTheme="minorHAnsi" w:cs="Calibri"/>
          <w:bCs/>
          <w:iCs/>
        </w:rPr>
        <w:t>Kč</w:t>
      </w:r>
      <w:r w:rsidRPr="004D1438">
        <w:rPr>
          <w:rFonts w:asciiTheme="minorHAnsi" w:hAnsiTheme="minorHAnsi" w:cs="Calibri"/>
          <w:bCs/>
          <w:iCs/>
          <w:vertAlign w:val="superscript"/>
        </w:rPr>
        <w:footnoteReference w:id="17"/>
      </w:r>
      <w:r w:rsidRPr="00555A33">
        <w:rPr>
          <w:rFonts w:asciiTheme="minorHAnsi" w:hAnsiTheme="minorHAnsi" w:cs="Calibri"/>
          <w:bCs/>
          <w:iCs/>
        </w:rPr>
        <w:t>.</w:t>
      </w:r>
    </w:p>
    <w:p w14:paraId="69166C17" w14:textId="77777777" w:rsidR="00543FF7" w:rsidRDefault="00543FF7" w:rsidP="00555A33">
      <w:pPr>
        <w:spacing w:after="0"/>
        <w:jc w:val="both"/>
        <w:rPr>
          <w:rFonts w:asciiTheme="minorHAnsi" w:hAnsiTheme="minorHAnsi" w:cs="Calibri"/>
          <w:bCs/>
          <w:iCs/>
        </w:rPr>
      </w:pPr>
    </w:p>
    <w:p w14:paraId="795D80F7" w14:textId="0EB62DD2" w:rsidR="0033466E" w:rsidRDefault="0033466E" w:rsidP="00555A33">
      <w:pPr>
        <w:spacing w:after="0"/>
        <w:jc w:val="both"/>
        <w:rPr>
          <w:rFonts w:asciiTheme="minorHAnsi" w:hAnsiTheme="minorHAnsi" w:cs="Calibri"/>
          <w:bCs/>
          <w:iCs/>
        </w:rPr>
      </w:pPr>
      <w:r w:rsidRPr="006C29D8">
        <w:rPr>
          <w:rFonts w:asciiTheme="minorHAnsi" w:hAnsiTheme="minorHAnsi" w:cs="Calibri"/>
          <w:b/>
          <w:bCs/>
          <w:iCs/>
        </w:rPr>
        <w:t>MO nevykázalo krátkodobý podmíněný závazek z uzavřené rámcové smlouv</w:t>
      </w:r>
      <w:r w:rsidR="006B4DEB" w:rsidRPr="006C29D8">
        <w:rPr>
          <w:rFonts w:asciiTheme="minorHAnsi" w:hAnsiTheme="minorHAnsi" w:cs="Calibri"/>
          <w:b/>
          <w:bCs/>
          <w:iCs/>
        </w:rPr>
        <w:t>y na poskytnutí</w:t>
      </w:r>
      <w:r w:rsidR="00226527" w:rsidRPr="006C29D8">
        <w:rPr>
          <w:rFonts w:asciiTheme="minorHAnsi" w:hAnsiTheme="minorHAnsi" w:cs="Calibri"/>
          <w:b/>
          <w:bCs/>
          <w:iCs/>
        </w:rPr>
        <w:t xml:space="preserve"> služeb</w:t>
      </w:r>
      <w:r w:rsidRPr="006C29D8">
        <w:rPr>
          <w:rFonts w:asciiTheme="minorHAnsi" w:hAnsiTheme="minorHAnsi" w:cs="Calibri"/>
          <w:b/>
          <w:bCs/>
          <w:iCs/>
        </w:rPr>
        <w:t>, které jsou ze strany dodavatele fakturovány pravidelně.</w:t>
      </w:r>
      <w:r w:rsidR="006C29D8">
        <w:rPr>
          <w:rFonts w:asciiTheme="minorHAnsi" w:hAnsiTheme="minorHAnsi" w:cs="Calibri"/>
          <w:bCs/>
          <w:iCs/>
        </w:rPr>
        <w:t xml:space="preserve"> MO k 31. </w:t>
      </w:r>
      <w:r w:rsidRPr="006C29D8">
        <w:rPr>
          <w:rFonts w:asciiTheme="minorHAnsi" w:hAnsiTheme="minorHAnsi" w:cs="Calibri"/>
          <w:bCs/>
          <w:iCs/>
        </w:rPr>
        <w:t xml:space="preserve">prosinci 2017 vykázalo pouze dlouhodobý podmíněný závazek. Byla vyčíslena nesprávnost, která měla dopad na vykázané zůstatky účtů přílohy ÚZ, tj. došlo k podhodnocení zůstatku účtu 973 – </w:t>
      </w:r>
      <w:r w:rsidRPr="006C29D8">
        <w:rPr>
          <w:rFonts w:asciiTheme="minorHAnsi" w:hAnsiTheme="minorHAnsi" w:cs="Calibri"/>
          <w:bCs/>
          <w:i/>
          <w:iCs/>
        </w:rPr>
        <w:t>Krátkodobé podmíněné závazky z jiných smluv</w:t>
      </w:r>
      <w:r w:rsidRPr="006C29D8">
        <w:rPr>
          <w:rFonts w:asciiTheme="minorHAnsi" w:hAnsiTheme="minorHAnsi" w:cs="Calibri"/>
          <w:bCs/>
          <w:iCs/>
        </w:rPr>
        <w:t xml:space="preserve"> o</w:t>
      </w:r>
      <w:r w:rsidR="006C29D8">
        <w:rPr>
          <w:rFonts w:asciiTheme="minorHAnsi" w:hAnsiTheme="minorHAnsi" w:cs="Calibri"/>
          <w:bCs/>
          <w:iCs/>
        </w:rPr>
        <w:t> </w:t>
      </w:r>
      <w:r w:rsidRPr="006C29D8">
        <w:rPr>
          <w:rFonts w:asciiTheme="minorHAnsi" w:hAnsiTheme="minorHAnsi" w:cs="Calibri"/>
          <w:bCs/>
          <w:iCs/>
        </w:rPr>
        <w:t>50</w:t>
      </w:r>
      <w:r w:rsidR="00A020FE">
        <w:rPr>
          <w:rFonts w:asciiTheme="minorHAnsi" w:hAnsiTheme="minorHAnsi" w:cs="Calibri"/>
          <w:bCs/>
          <w:iCs/>
        </w:rPr>
        <w:t> </w:t>
      </w:r>
      <w:r w:rsidRPr="006C29D8">
        <w:rPr>
          <w:rFonts w:asciiTheme="minorHAnsi" w:hAnsiTheme="minorHAnsi" w:cs="Calibri"/>
          <w:bCs/>
          <w:iCs/>
        </w:rPr>
        <w:t xml:space="preserve">mil. Kč a nadhodnocení účtu 974 – </w:t>
      </w:r>
      <w:r w:rsidRPr="006C29D8">
        <w:rPr>
          <w:rFonts w:asciiTheme="minorHAnsi" w:hAnsiTheme="minorHAnsi" w:cs="Calibri"/>
          <w:bCs/>
          <w:i/>
          <w:iCs/>
        </w:rPr>
        <w:t>Dlouhodobé podmíněné závazky z jiných smluv</w:t>
      </w:r>
      <w:r w:rsidRPr="006C29D8">
        <w:rPr>
          <w:rFonts w:asciiTheme="minorHAnsi" w:hAnsiTheme="minorHAnsi" w:cs="Calibri"/>
          <w:bCs/>
          <w:iCs/>
        </w:rPr>
        <w:t xml:space="preserve"> o</w:t>
      </w:r>
      <w:r w:rsidR="00A020FE">
        <w:rPr>
          <w:rFonts w:asciiTheme="minorHAnsi" w:hAnsiTheme="minorHAnsi" w:cs="Calibri"/>
          <w:bCs/>
          <w:iCs/>
        </w:rPr>
        <w:t> </w:t>
      </w:r>
      <w:r w:rsidRPr="006C29D8">
        <w:rPr>
          <w:rFonts w:asciiTheme="minorHAnsi" w:hAnsiTheme="minorHAnsi" w:cs="Calibri"/>
          <w:bCs/>
          <w:iCs/>
        </w:rPr>
        <w:t>stejnou částku.</w:t>
      </w:r>
    </w:p>
    <w:p w14:paraId="6A5E8601" w14:textId="77777777" w:rsidR="00A020FE" w:rsidRPr="006C29D8" w:rsidRDefault="00A020FE" w:rsidP="00A020FE">
      <w:pPr>
        <w:spacing w:after="0"/>
        <w:jc w:val="both"/>
        <w:rPr>
          <w:rFonts w:asciiTheme="minorHAnsi" w:hAnsiTheme="minorHAnsi" w:cs="Calibri"/>
          <w:bCs/>
          <w:iCs/>
        </w:rPr>
      </w:pPr>
    </w:p>
    <w:p w14:paraId="2B70A56C" w14:textId="77777777" w:rsidR="0033466E" w:rsidRPr="0061735F" w:rsidRDefault="0033466E" w:rsidP="00A020FE">
      <w:pPr>
        <w:pStyle w:val="Nadpis3"/>
        <w:spacing w:before="0" w:line="240" w:lineRule="auto"/>
        <w:contextualSpacing w:val="0"/>
      </w:pPr>
      <w:r w:rsidRPr="0061735F">
        <w:t>Neúčtování o skutečnostech, které jsou předmětem účetnictví</w:t>
      </w:r>
    </w:p>
    <w:p w14:paraId="4327B7D3" w14:textId="77777777" w:rsidR="00A020FE" w:rsidRDefault="00A020F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1B86F548" w14:textId="7631AEDF" w:rsidR="0033466E" w:rsidRDefault="0033466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  <w:r w:rsidRPr="00581D6B">
        <w:rPr>
          <w:rFonts w:asciiTheme="minorHAnsi" w:hAnsiTheme="minorHAnsi" w:cstheme="minorHAnsi"/>
          <w:sz w:val="24"/>
        </w:rPr>
        <w:t xml:space="preserve">MO v roce 2017 vystavilo penalizační faktury, na </w:t>
      </w:r>
      <w:r w:rsidR="00543FF7">
        <w:rPr>
          <w:rFonts w:asciiTheme="minorHAnsi" w:hAnsiTheme="minorHAnsi" w:cstheme="minorHAnsi"/>
          <w:sz w:val="24"/>
        </w:rPr>
        <w:t xml:space="preserve">jejichž </w:t>
      </w:r>
      <w:r w:rsidRPr="00581D6B">
        <w:rPr>
          <w:rFonts w:asciiTheme="minorHAnsi" w:hAnsiTheme="minorHAnsi" w:cstheme="minorHAnsi"/>
          <w:sz w:val="24"/>
        </w:rPr>
        <w:t>základě nárokovalo smluvní pokuty z důvodu prodlení</w:t>
      </w:r>
      <w:r w:rsidR="00F721A1">
        <w:rPr>
          <w:rFonts w:asciiTheme="minorHAnsi" w:hAnsiTheme="minorHAnsi" w:cstheme="minorHAnsi"/>
          <w:sz w:val="24"/>
        </w:rPr>
        <w:t xml:space="preserve"> s plněním smluvních povinností</w:t>
      </w:r>
      <w:r w:rsidRPr="00581D6B">
        <w:rPr>
          <w:rFonts w:asciiTheme="minorHAnsi" w:hAnsiTheme="minorHAnsi" w:cstheme="minorHAnsi"/>
          <w:sz w:val="24"/>
        </w:rPr>
        <w:t xml:space="preserve">. </w:t>
      </w:r>
      <w:r w:rsidR="00226527">
        <w:rPr>
          <w:rFonts w:asciiTheme="minorHAnsi" w:hAnsiTheme="minorHAnsi" w:cstheme="minorHAnsi"/>
          <w:sz w:val="24"/>
        </w:rPr>
        <w:t>N</w:t>
      </w:r>
      <w:r w:rsidRPr="00581D6B">
        <w:rPr>
          <w:rFonts w:asciiTheme="minorHAnsi" w:hAnsiTheme="minorHAnsi" w:cstheme="minorHAnsi"/>
          <w:sz w:val="24"/>
        </w:rPr>
        <w:t xml:space="preserve">árok na penále </w:t>
      </w:r>
      <w:r w:rsidR="00226527">
        <w:rPr>
          <w:rFonts w:asciiTheme="minorHAnsi" w:hAnsiTheme="minorHAnsi" w:cstheme="minorHAnsi"/>
          <w:sz w:val="24"/>
        </w:rPr>
        <w:t xml:space="preserve">však vznikl </w:t>
      </w:r>
      <w:r w:rsidRPr="00581D6B">
        <w:rPr>
          <w:rFonts w:asciiTheme="minorHAnsi" w:hAnsiTheme="minorHAnsi" w:cstheme="minorHAnsi"/>
          <w:sz w:val="24"/>
        </w:rPr>
        <w:t xml:space="preserve">již v letech předchozích. </w:t>
      </w:r>
      <w:r w:rsidRPr="0061735F">
        <w:rPr>
          <w:rFonts w:asciiTheme="minorHAnsi" w:hAnsiTheme="minorHAnsi" w:cstheme="minorHAnsi"/>
          <w:b/>
          <w:sz w:val="24"/>
        </w:rPr>
        <w:t>MO netvořilo ke smluvním pokutám dohadné položky</w:t>
      </w:r>
      <w:r w:rsidRPr="00581D6B">
        <w:rPr>
          <w:rFonts w:asciiTheme="minorHAnsi" w:hAnsiTheme="minorHAnsi" w:cstheme="minorHAnsi"/>
          <w:sz w:val="24"/>
        </w:rPr>
        <w:t xml:space="preserve"> prostřednicím účtu 388</w:t>
      </w:r>
      <w:r w:rsidR="00A020FE">
        <w:rPr>
          <w:rFonts w:asciiTheme="minorHAnsi" w:hAnsiTheme="minorHAnsi" w:cstheme="minorHAnsi"/>
          <w:sz w:val="24"/>
        </w:rPr>
        <w:t> </w:t>
      </w:r>
      <w:r w:rsidRPr="00581D6B">
        <w:rPr>
          <w:rFonts w:asciiTheme="minorHAnsi" w:hAnsiTheme="minorHAnsi" w:cstheme="minorHAnsi"/>
          <w:sz w:val="24"/>
        </w:rPr>
        <w:t xml:space="preserve">– </w:t>
      </w:r>
      <w:r w:rsidRPr="0061735F">
        <w:rPr>
          <w:rFonts w:asciiTheme="minorHAnsi" w:hAnsiTheme="minorHAnsi" w:cstheme="minorHAnsi"/>
          <w:i/>
          <w:sz w:val="24"/>
        </w:rPr>
        <w:t>Dohadné účty aktivní</w:t>
      </w:r>
      <w:r w:rsidRPr="00581D6B">
        <w:rPr>
          <w:rFonts w:asciiTheme="minorHAnsi" w:hAnsiTheme="minorHAnsi" w:cstheme="minorHAnsi"/>
          <w:sz w:val="24"/>
        </w:rPr>
        <w:t xml:space="preserve">, </w:t>
      </w:r>
      <w:r w:rsidRPr="009C3A50">
        <w:rPr>
          <w:rFonts w:asciiTheme="minorHAnsi" w:hAnsiTheme="minorHAnsi" w:cstheme="minorHAnsi"/>
          <w:b/>
          <w:sz w:val="24"/>
        </w:rPr>
        <w:t>a</w:t>
      </w:r>
      <w:r w:rsidRPr="00581D6B">
        <w:rPr>
          <w:rFonts w:asciiTheme="minorHAnsi" w:hAnsiTheme="minorHAnsi" w:cstheme="minorHAnsi"/>
          <w:sz w:val="24"/>
        </w:rPr>
        <w:t xml:space="preserve"> </w:t>
      </w:r>
      <w:r w:rsidRPr="0061735F">
        <w:rPr>
          <w:rFonts w:asciiTheme="minorHAnsi" w:hAnsiTheme="minorHAnsi" w:cstheme="minorHAnsi"/>
          <w:b/>
          <w:sz w:val="24"/>
        </w:rPr>
        <w:t>nezachytilo tak v letech předchozích všechny skutečnosti, které byly</w:t>
      </w:r>
      <w:r w:rsidR="009C3A50">
        <w:rPr>
          <w:rFonts w:asciiTheme="minorHAnsi" w:hAnsiTheme="minorHAnsi" w:cstheme="minorHAnsi"/>
          <w:b/>
          <w:sz w:val="24"/>
        </w:rPr>
        <w:t xml:space="preserve"> předmětem účetnictví</w:t>
      </w:r>
      <w:r w:rsidR="00543FF7">
        <w:rPr>
          <w:rFonts w:asciiTheme="minorHAnsi" w:hAnsiTheme="minorHAnsi" w:cstheme="minorHAnsi"/>
          <w:b/>
          <w:sz w:val="24"/>
        </w:rPr>
        <w:t>,</w:t>
      </w:r>
      <w:r w:rsidR="009C3A50">
        <w:rPr>
          <w:rFonts w:asciiTheme="minorHAnsi" w:hAnsiTheme="minorHAnsi" w:cstheme="minorHAnsi"/>
          <w:b/>
          <w:sz w:val="24"/>
        </w:rPr>
        <w:t xml:space="preserve"> do období, </w:t>
      </w:r>
      <w:r w:rsidRPr="0061735F">
        <w:rPr>
          <w:rFonts w:asciiTheme="minorHAnsi" w:hAnsiTheme="minorHAnsi" w:cstheme="minorHAnsi"/>
          <w:b/>
          <w:sz w:val="24"/>
        </w:rPr>
        <w:t>se kterým věcně a časově souvisely</w:t>
      </w:r>
      <w:r w:rsidRPr="00581D6B">
        <w:rPr>
          <w:rFonts w:asciiTheme="minorHAnsi" w:hAnsiTheme="minorHAnsi" w:cstheme="minorHAnsi"/>
          <w:sz w:val="24"/>
        </w:rPr>
        <w:t xml:space="preserve">. </w:t>
      </w:r>
      <w:r w:rsidR="0061735F">
        <w:rPr>
          <w:rFonts w:asciiTheme="minorHAnsi" w:hAnsiTheme="minorHAnsi" w:cstheme="minorHAnsi"/>
          <w:sz w:val="24"/>
        </w:rPr>
        <w:t xml:space="preserve">V důsledku toho </w:t>
      </w:r>
      <w:r w:rsidRPr="00581D6B">
        <w:rPr>
          <w:rFonts w:asciiTheme="minorHAnsi" w:hAnsiTheme="minorHAnsi" w:cstheme="minorHAnsi"/>
          <w:sz w:val="24"/>
        </w:rPr>
        <w:t xml:space="preserve">došlo </w:t>
      </w:r>
      <w:r w:rsidR="00226527">
        <w:rPr>
          <w:rFonts w:asciiTheme="minorHAnsi" w:hAnsiTheme="minorHAnsi" w:cstheme="minorHAnsi"/>
          <w:sz w:val="24"/>
        </w:rPr>
        <w:t xml:space="preserve">v ÚZ </w:t>
      </w:r>
      <w:r w:rsidRPr="00581D6B">
        <w:rPr>
          <w:rFonts w:asciiTheme="minorHAnsi" w:hAnsiTheme="minorHAnsi" w:cstheme="minorHAnsi"/>
          <w:sz w:val="24"/>
        </w:rPr>
        <w:t xml:space="preserve">k nadhodnocení </w:t>
      </w:r>
      <w:r w:rsidR="001F0CAC">
        <w:rPr>
          <w:rFonts w:asciiTheme="minorHAnsi" w:hAnsiTheme="minorHAnsi" w:cstheme="minorHAnsi"/>
          <w:sz w:val="24"/>
        </w:rPr>
        <w:t xml:space="preserve">zůstatků </w:t>
      </w:r>
      <w:r w:rsidRPr="00581D6B">
        <w:rPr>
          <w:rFonts w:asciiTheme="minorHAnsi" w:hAnsiTheme="minorHAnsi" w:cstheme="minorHAnsi"/>
          <w:sz w:val="24"/>
        </w:rPr>
        <w:t xml:space="preserve">účtu 641 – </w:t>
      </w:r>
      <w:r w:rsidRPr="0061735F">
        <w:rPr>
          <w:rFonts w:asciiTheme="minorHAnsi" w:hAnsiTheme="minorHAnsi" w:cstheme="minorHAnsi"/>
          <w:i/>
          <w:sz w:val="24"/>
        </w:rPr>
        <w:t>Smluvní pokuty a úroky z prodlení</w:t>
      </w:r>
      <w:r w:rsidRPr="00581D6B">
        <w:rPr>
          <w:rFonts w:asciiTheme="minorHAnsi" w:hAnsiTheme="minorHAnsi" w:cstheme="minorHAnsi"/>
          <w:sz w:val="24"/>
        </w:rPr>
        <w:t xml:space="preserve"> o</w:t>
      </w:r>
      <w:r w:rsidR="00A020FE">
        <w:rPr>
          <w:rFonts w:asciiTheme="minorHAnsi" w:hAnsiTheme="minorHAnsi" w:cstheme="minorHAnsi"/>
          <w:sz w:val="24"/>
        </w:rPr>
        <w:t> </w:t>
      </w:r>
      <w:r w:rsidR="00343508">
        <w:rPr>
          <w:rFonts w:asciiTheme="minorHAnsi" w:hAnsiTheme="minorHAnsi" w:cstheme="minorHAnsi"/>
          <w:sz w:val="24"/>
        </w:rPr>
        <w:t>18</w:t>
      </w:r>
      <w:r w:rsidR="00A020FE">
        <w:rPr>
          <w:rFonts w:asciiTheme="minorHAnsi" w:hAnsiTheme="minorHAnsi" w:cstheme="minorHAnsi"/>
          <w:sz w:val="24"/>
        </w:rPr>
        <w:t> </w:t>
      </w:r>
      <w:r w:rsidR="00343508">
        <w:rPr>
          <w:rFonts w:asciiTheme="minorHAnsi" w:hAnsiTheme="minorHAnsi" w:cstheme="minorHAnsi"/>
          <w:sz w:val="24"/>
        </w:rPr>
        <w:t>mil.</w:t>
      </w:r>
      <w:r w:rsidRPr="00581D6B">
        <w:rPr>
          <w:rFonts w:asciiTheme="minorHAnsi" w:hAnsiTheme="minorHAnsi" w:cstheme="minorHAnsi"/>
          <w:sz w:val="24"/>
        </w:rPr>
        <w:t xml:space="preserve"> Kč</w:t>
      </w:r>
      <w:r w:rsidR="000D00AD">
        <w:rPr>
          <w:rFonts w:asciiTheme="minorHAnsi" w:hAnsiTheme="minorHAnsi" w:cstheme="minorHAnsi"/>
          <w:sz w:val="24"/>
        </w:rPr>
        <w:t xml:space="preserve"> a </w:t>
      </w:r>
      <w:r w:rsidRPr="00581D6B">
        <w:rPr>
          <w:rFonts w:asciiTheme="minorHAnsi" w:hAnsiTheme="minorHAnsi" w:cstheme="minorHAnsi"/>
          <w:sz w:val="24"/>
        </w:rPr>
        <w:t xml:space="preserve">účtu 493 – </w:t>
      </w:r>
      <w:r w:rsidRPr="0061735F">
        <w:rPr>
          <w:rFonts w:asciiTheme="minorHAnsi" w:hAnsiTheme="minorHAnsi" w:cstheme="minorHAnsi"/>
          <w:i/>
          <w:sz w:val="24"/>
        </w:rPr>
        <w:t xml:space="preserve">Výsledek hospodaření </w:t>
      </w:r>
      <w:r w:rsidR="00F721A1">
        <w:rPr>
          <w:rFonts w:asciiTheme="minorHAnsi" w:hAnsiTheme="minorHAnsi" w:cstheme="minorHAnsi"/>
          <w:i/>
          <w:sz w:val="24"/>
        </w:rPr>
        <w:t>běžného</w:t>
      </w:r>
      <w:r w:rsidR="00F721A1" w:rsidRPr="0061735F">
        <w:rPr>
          <w:rFonts w:asciiTheme="minorHAnsi" w:hAnsiTheme="minorHAnsi" w:cstheme="minorHAnsi"/>
          <w:i/>
          <w:sz w:val="24"/>
        </w:rPr>
        <w:t xml:space="preserve"> účetní</w:t>
      </w:r>
      <w:r w:rsidR="00F721A1">
        <w:rPr>
          <w:rFonts w:asciiTheme="minorHAnsi" w:hAnsiTheme="minorHAnsi" w:cstheme="minorHAnsi"/>
          <w:i/>
          <w:sz w:val="24"/>
        </w:rPr>
        <w:t>ho</w:t>
      </w:r>
      <w:r w:rsidR="00F721A1" w:rsidRPr="0061735F">
        <w:rPr>
          <w:rFonts w:asciiTheme="minorHAnsi" w:hAnsiTheme="minorHAnsi" w:cstheme="minorHAnsi"/>
          <w:i/>
          <w:sz w:val="24"/>
        </w:rPr>
        <w:t xml:space="preserve"> </w:t>
      </w:r>
      <w:r w:rsidRPr="0061735F">
        <w:rPr>
          <w:rFonts w:asciiTheme="minorHAnsi" w:hAnsiTheme="minorHAnsi" w:cstheme="minorHAnsi"/>
          <w:i/>
          <w:sz w:val="24"/>
        </w:rPr>
        <w:t>období</w:t>
      </w:r>
      <w:r w:rsidRPr="00581D6B">
        <w:rPr>
          <w:rFonts w:asciiTheme="minorHAnsi" w:hAnsiTheme="minorHAnsi" w:cstheme="minorHAnsi"/>
          <w:sz w:val="24"/>
        </w:rPr>
        <w:t xml:space="preserve"> o stejnou částku a</w:t>
      </w:r>
      <w:r w:rsidR="00A020FE">
        <w:rPr>
          <w:rFonts w:asciiTheme="minorHAnsi" w:hAnsiTheme="minorHAnsi" w:cstheme="minorHAnsi"/>
          <w:sz w:val="24"/>
        </w:rPr>
        <w:t> </w:t>
      </w:r>
      <w:r w:rsidRPr="00581D6B">
        <w:rPr>
          <w:rFonts w:asciiTheme="minorHAnsi" w:hAnsiTheme="minorHAnsi" w:cstheme="minorHAnsi"/>
          <w:sz w:val="24"/>
        </w:rPr>
        <w:t xml:space="preserve">podhodnocení </w:t>
      </w:r>
      <w:r w:rsidR="001F0CAC">
        <w:rPr>
          <w:rFonts w:asciiTheme="minorHAnsi" w:hAnsiTheme="minorHAnsi" w:cstheme="minorHAnsi"/>
          <w:sz w:val="24"/>
        </w:rPr>
        <w:t xml:space="preserve">zůstatku </w:t>
      </w:r>
      <w:r w:rsidRPr="00581D6B">
        <w:rPr>
          <w:rFonts w:asciiTheme="minorHAnsi" w:hAnsiTheme="minorHAnsi" w:cstheme="minorHAnsi"/>
          <w:sz w:val="24"/>
        </w:rPr>
        <w:t xml:space="preserve">účtu 432 – </w:t>
      </w:r>
      <w:r w:rsidRPr="0061735F">
        <w:rPr>
          <w:rFonts w:asciiTheme="minorHAnsi" w:hAnsiTheme="minorHAnsi" w:cstheme="minorHAnsi"/>
          <w:i/>
          <w:sz w:val="24"/>
        </w:rPr>
        <w:t>Výsledek hospodaření předcházejících účetních období</w:t>
      </w:r>
      <w:r w:rsidRPr="00581D6B">
        <w:rPr>
          <w:rFonts w:asciiTheme="minorHAnsi" w:hAnsiTheme="minorHAnsi" w:cstheme="minorHAnsi"/>
          <w:sz w:val="24"/>
        </w:rPr>
        <w:t xml:space="preserve"> o</w:t>
      </w:r>
      <w:r w:rsidR="00A020FE">
        <w:rPr>
          <w:rFonts w:asciiTheme="minorHAnsi" w:hAnsiTheme="minorHAnsi" w:cstheme="minorHAnsi"/>
          <w:sz w:val="24"/>
        </w:rPr>
        <w:t> </w:t>
      </w:r>
      <w:r w:rsidRPr="00581D6B">
        <w:rPr>
          <w:rFonts w:asciiTheme="minorHAnsi" w:hAnsiTheme="minorHAnsi" w:cstheme="minorHAnsi"/>
          <w:sz w:val="24"/>
        </w:rPr>
        <w:t xml:space="preserve">stejnou částku. </w:t>
      </w:r>
    </w:p>
    <w:p w14:paraId="25A8BD77" w14:textId="77777777" w:rsidR="00A020FE" w:rsidRPr="00581D6B" w:rsidRDefault="00A020F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237C84DA" w14:textId="4A5D7EDA" w:rsidR="0033466E" w:rsidRDefault="0033466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  <w:r w:rsidRPr="00581D6B">
        <w:rPr>
          <w:rFonts w:asciiTheme="minorHAnsi" w:hAnsiTheme="minorHAnsi" w:cstheme="minorHAnsi"/>
          <w:sz w:val="24"/>
        </w:rPr>
        <w:t xml:space="preserve">Při kontrole vybraných operací byla dále vyčíslena nesprávnost v důsledku nevytvoření dohadné položky k 31. </w:t>
      </w:r>
      <w:r w:rsidR="009C3A50">
        <w:rPr>
          <w:rFonts w:asciiTheme="minorHAnsi" w:hAnsiTheme="minorHAnsi" w:cstheme="minorHAnsi"/>
          <w:sz w:val="24"/>
        </w:rPr>
        <w:t>prosinci</w:t>
      </w:r>
      <w:r w:rsidRPr="00581D6B">
        <w:rPr>
          <w:rFonts w:asciiTheme="minorHAnsi" w:hAnsiTheme="minorHAnsi" w:cstheme="minorHAnsi"/>
          <w:sz w:val="24"/>
        </w:rPr>
        <w:t xml:space="preserve"> 2017 k opožděným dodávkám k uzavřeným smlouvám, ze kterých MO vzniká nárok na smluvní pokutu z důvodu prodlení s</w:t>
      </w:r>
      <w:r w:rsidR="00226527">
        <w:rPr>
          <w:rFonts w:asciiTheme="minorHAnsi" w:hAnsiTheme="minorHAnsi" w:cstheme="minorHAnsi"/>
          <w:sz w:val="24"/>
        </w:rPr>
        <w:t> </w:t>
      </w:r>
      <w:r w:rsidRPr="00581D6B">
        <w:rPr>
          <w:rFonts w:asciiTheme="minorHAnsi" w:hAnsiTheme="minorHAnsi" w:cstheme="minorHAnsi"/>
          <w:sz w:val="24"/>
        </w:rPr>
        <w:t>plněním</w:t>
      </w:r>
      <w:r w:rsidR="00226527">
        <w:rPr>
          <w:rFonts w:asciiTheme="minorHAnsi" w:hAnsiTheme="minorHAnsi" w:cstheme="minorHAnsi"/>
          <w:sz w:val="24"/>
        </w:rPr>
        <w:t>. V důsledku toho</w:t>
      </w:r>
      <w:r w:rsidRPr="00581D6B">
        <w:rPr>
          <w:rFonts w:asciiTheme="minorHAnsi" w:hAnsiTheme="minorHAnsi" w:cstheme="minorHAnsi"/>
          <w:sz w:val="24"/>
        </w:rPr>
        <w:t xml:space="preserve"> došlo</w:t>
      </w:r>
      <w:r w:rsidR="00226527">
        <w:rPr>
          <w:rFonts w:asciiTheme="minorHAnsi" w:hAnsiTheme="minorHAnsi" w:cstheme="minorHAnsi"/>
          <w:sz w:val="24"/>
        </w:rPr>
        <w:t xml:space="preserve"> v ÚZ</w:t>
      </w:r>
      <w:r w:rsidRPr="00581D6B">
        <w:rPr>
          <w:rFonts w:asciiTheme="minorHAnsi" w:hAnsiTheme="minorHAnsi" w:cstheme="minorHAnsi"/>
          <w:sz w:val="24"/>
        </w:rPr>
        <w:t xml:space="preserve"> k podhodnocení </w:t>
      </w:r>
      <w:r w:rsidR="00185710">
        <w:rPr>
          <w:rFonts w:asciiTheme="minorHAnsi" w:hAnsiTheme="minorHAnsi" w:cstheme="minorHAnsi"/>
          <w:sz w:val="24"/>
        </w:rPr>
        <w:t xml:space="preserve">zůstatků </w:t>
      </w:r>
      <w:r w:rsidRPr="00581D6B">
        <w:rPr>
          <w:rFonts w:asciiTheme="minorHAnsi" w:hAnsiTheme="minorHAnsi" w:cstheme="minorHAnsi"/>
          <w:sz w:val="24"/>
        </w:rPr>
        <w:t xml:space="preserve">účtu 388 </w:t>
      </w:r>
      <w:r w:rsidRPr="0061735F">
        <w:rPr>
          <w:rFonts w:asciiTheme="minorHAnsi" w:hAnsiTheme="minorHAnsi" w:cstheme="minorHAnsi"/>
          <w:i/>
          <w:sz w:val="24"/>
        </w:rPr>
        <w:t>– Dohadné účty aktivní</w:t>
      </w:r>
      <w:r w:rsidRPr="00581D6B">
        <w:rPr>
          <w:rFonts w:asciiTheme="minorHAnsi" w:hAnsiTheme="minorHAnsi" w:cstheme="minorHAnsi"/>
          <w:sz w:val="24"/>
        </w:rPr>
        <w:t xml:space="preserve">, účtu 641 – </w:t>
      </w:r>
      <w:r w:rsidRPr="0061735F">
        <w:rPr>
          <w:rFonts w:asciiTheme="minorHAnsi" w:hAnsiTheme="minorHAnsi" w:cstheme="minorHAnsi"/>
          <w:i/>
          <w:sz w:val="24"/>
        </w:rPr>
        <w:t>Smluvní pokuty a úroky z prodlení</w:t>
      </w:r>
      <w:r w:rsidRPr="00581D6B">
        <w:rPr>
          <w:rFonts w:asciiTheme="minorHAnsi" w:hAnsiTheme="minorHAnsi" w:cstheme="minorHAnsi"/>
          <w:sz w:val="24"/>
        </w:rPr>
        <w:t xml:space="preserve"> a účtu 493 – </w:t>
      </w:r>
      <w:r w:rsidRPr="0061735F">
        <w:rPr>
          <w:rFonts w:asciiTheme="minorHAnsi" w:hAnsiTheme="minorHAnsi" w:cstheme="minorHAnsi"/>
          <w:i/>
          <w:sz w:val="24"/>
        </w:rPr>
        <w:t xml:space="preserve">Výsledek hospodaření </w:t>
      </w:r>
      <w:r w:rsidR="00F721A1">
        <w:rPr>
          <w:rFonts w:asciiTheme="minorHAnsi" w:hAnsiTheme="minorHAnsi" w:cstheme="minorHAnsi"/>
          <w:i/>
          <w:sz w:val="24"/>
        </w:rPr>
        <w:t>běžného účetního</w:t>
      </w:r>
      <w:r w:rsidRPr="0061735F">
        <w:rPr>
          <w:rFonts w:asciiTheme="minorHAnsi" w:hAnsiTheme="minorHAnsi" w:cstheme="minorHAnsi"/>
          <w:i/>
          <w:sz w:val="24"/>
        </w:rPr>
        <w:t xml:space="preserve"> období </w:t>
      </w:r>
      <w:r w:rsidR="00733B3B">
        <w:rPr>
          <w:rFonts w:asciiTheme="minorHAnsi" w:hAnsiTheme="minorHAnsi" w:cstheme="minorHAnsi"/>
          <w:sz w:val="24"/>
        </w:rPr>
        <w:t>o </w:t>
      </w:r>
      <w:r w:rsidRPr="00134A61">
        <w:rPr>
          <w:rFonts w:asciiTheme="minorHAnsi" w:hAnsiTheme="minorHAnsi" w:cstheme="minorHAnsi"/>
          <w:sz w:val="24"/>
        </w:rPr>
        <w:t>stejnou částku</w:t>
      </w:r>
      <w:r w:rsidR="00226527">
        <w:rPr>
          <w:rFonts w:asciiTheme="minorHAnsi" w:hAnsiTheme="minorHAnsi" w:cstheme="minorHAnsi"/>
          <w:sz w:val="24"/>
        </w:rPr>
        <w:t xml:space="preserve"> </w:t>
      </w:r>
      <w:r w:rsidR="00226527" w:rsidRPr="00581D6B">
        <w:rPr>
          <w:rFonts w:asciiTheme="minorHAnsi" w:hAnsiTheme="minorHAnsi" w:cstheme="minorHAnsi"/>
          <w:sz w:val="24"/>
        </w:rPr>
        <w:t>2 507 </w:t>
      </w:r>
      <w:r w:rsidR="00226527">
        <w:rPr>
          <w:rFonts w:asciiTheme="minorHAnsi" w:hAnsiTheme="minorHAnsi" w:cstheme="minorHAnsi"/>
          <w:sz w:val="24"/>
        </w:rPr>
        <w:t>tis.</w:t>
      </w:r>
      <w:r w:rsidR="00226527" w:rsidRPr="00581D6B">
        <w:rPr>
          <w:rFonts w:asciiTheme="minorHAnsi" w:hAnsiTheme="minorHAnsi" w:cstheme="minorHAnsi"/>
          <w:sz w:val="24"/>
        </w:rPr>
        <w:t xml:space="preserve"> Kč</w:t>
      </w:r>
      <w:r w:rsidRPr="00134A61">
        <w:rPr>
          <w:rFonts w:asciiTheme="minorHAnsi" w:hAnsiTheme="minorHAnsi" w:cstheme="minorHAnsi"/>
          <w:sz w:val="24"/>
        </w:rPr>
        <w:t>.</w:t>
      </w:r>
      <w:r w:rsidR="005A6B78">
        <w:rPr>
          <w:rFonts w:asciiTheme="minorHAnsi" w:hAnsiTheme="minorHAnsi" w:cstheme="minorHAnsi"/>
          <w:sz w:val="24"/>
        </w:rPr>
        <w:t xml:space="preserve"> </w:t>
      </w:r>
    </w:p>
    <w:p w14:paraId="7FD85D8A" w14:textId="77777777" w:rsidR="00A020FE" w:rsidRPr="00134A61" w:rsidRDefault="00A020FE" w:rsidP="00A020FE">
      <w:pPr>
        <w:pStyle w:val="Textpoznpodarou"/>
        <w:jc w:val="both"/>
        <w:rPr>
          <w:rFonts w:asciiTheme="minorHAnsi" w:hAnsiTheme="minorHAnsi" w:cstheme="minorHAnsi"/>
          <w:sz w:val="24"/>
        </w:rPr>
      </w:pPr>
    </w:p>
    <w:p w14:paraId="01C3E900" w14:textId="77777777" w:rsidR="0033466E" w:rsidRPr="0061735F" w:rsidRDefault="0033466E" w:rsidP="00A020FE">
      <w:pPr>
        <w:pStyle w:val="Nadpis3"/>
        <w:keepLines/>
        <w:spacing w:before="0" w:line="240" w:lineRule="auto"/>
        <w:contextualSpacing w:val="0"/>
      </w:pPr>
      <w:r w:rsidRPr="0061735F">
        <w:lastRenderedPageBreak/>
        <w:t>Neúplné účetnictví</w:t>
      </w:r>
    </w:p>
    <w:p w14:paraId="2EE04FC8" w14:textId="77777777" w:rsidR="00A020FE" w:rsidRDefault="00A020FE" w:rsidP="00A020FE">
      <w:pPr>
        <w:keepNext/>
        <w:keepLines/>
        <w:spacing w:after="0"/>
        <w:jc w:val="both"/>
        <w:rPr>
          <w:rFonts w:asciiTheme="minorHAnsi" w:hAnsiTheme="minorHAnsi"/>
          <w:bCs/>
          <w:iCs/>
        </w:rPr>
      </w:pPr>
    </w:p>
    <w:p w14:paraId="53CE4598" w14:textId="6B0EA69B" w:rsidR="0033466E" w:rsidRPr="0061735F" w:rsidRDefault="0033466E" w:rsidP="00A020FE">
      <w:pPr>
        <w:keepNext/>
        <w:keepLines/>
        <w:spacing w:after="0"/>
        <w:jc w:val="both"/>
        <w:rPr>
          <w:rFonts w:asciiTheme="minorHAnsi" w:hAnsiTheme="minorHAnsi" w:cs="Calibri"/>
          <w:bCs/>
          <w:iCs/>
        </w:rPr>
      </w:pPr>
      <w:r w:rsidRPr="00E0671D">
        <w:rPr>
          <w:rFonts w:asciiTheme="minorHAnsi" w:hAnsiTheme="minorHAnsi" w:cs="Calibri"/>
          <w:b/>
          <w:bCs/>
          <w:iCs/>
        </w:rPr>
        <w:t xml:space="preserve">MO vykázalo v účetní závěrce sestavené k 31. prosinci 2017 na účtu 013 – </w:t>
      </w:r>
      <w:r w:rsidRPr="00E0671D">
        <w:rPr>
          <w:rFonts w:asciiTheme="minorHAnsi" w:hAnsiTheme="minorHAnsi" w:cs="Calibri"/>
          <w:b/>
          <w:bCs/>
          <w:i/>
          <w:iCs/>
        </w:rPr>
        <w:t>Software</w:t>
      </w:r>
      <w:r w:rsidR="00226527">
        <w:rPr>
          <w:rFonts w:asciiTheme="minorHAnsi" w:hAnsiTheme="minorHAnsi" w:cs="Calibri"/>
          <w:bCs/>
          <w:iCs/>
        </w:rPr>
        <w:t xml:space="preserve"> </w:t>
      </w:r>
      <w:r w:rsidRPr="00E0671D">
        <w:rPr>
          <w:rFonts w:asciiTheme="minorHAnsi" w:hAnsiTheme="minorHAnsi" w:cs="Calibri"/>
          <w:b/>
          <w:bCs/>
          <w:iCs/>
        </w:rPr>
        <w:t>některé majetkové položky způsobilé k užívání, které ale nebyly k tomuto datu zavedeny do evidence majetku a nebyly</w:t>
      </w:r>
      <w:r w:rsidRPr="0061735F">
        <w:rPr>
          <w:rFonts w:asciiTheme="minorHAnsi" w:hAnsiTheme="minorHAnsi" w:cs="Calibri"/>
          <w:bCs/>
          <w:iCs/>
        </w:rPr>
        <w:t xml:space="preserve"> </w:t>
      </w:r>
      <w:r w:rsidRPr="00E0671D">
        <w:rPr>
          <w:rFonts w:asciiTheme="minorHAnsi" w:hAnsiTheme="minorHAnsi" w:cs="Calibri"/>
          <w:b/>
          <w:bCs/>
          <w:iCs/>
        </w:rPr>
        <w:t>odpisovány po celou dobu jejich používání</w:t>
      </w:r>
      <w:r w:rsidRPr="00555A33">
        <w:rPr>
          <w:rFonts w:asciiTheme="minorHAnsi" w:hAnsiTheme="minorHAnsi" w:cs="Calibri"/>
          <w:b/>
          <w:bCs/>
          <w:iCs/>
        </w:rPr>
        <w:t>.</w:t>
      </w:r>
      <w:r w:rsidRPr="0061735F">
        <w:rPr>
          <w:rFonts w:asciiTheme="minorHAnsi" w:hAnsiTheme="minorHAnsi" w:cs="Calibri"/>
          <w:bCs/>
          <w:iCs/>
        </w:rPr>
        <w:t xml:space="preserve"> </w:t>
      </w:r>
    </w:p>
    <w:p w14:paraId="701B856E" w14:textId="77777777" w:rsidR="00A020FE" w:rsidRDefault="00A020FE" w:rsidP="00A020FE">
      <w:pPr>
        <w:spacing w:after="0"/>
        <w:jc w:val="both"/>
        <w:rPr>
          <w:rFonts w:asciiTheme="minorHAnsi" w:hAnsiTheme="minorHAnsi"/>
          <w:bCs/>
          <w:iCs/>
        </w:rPr>
      </w:pPr>
    </w:p>
    <w:p w14:paraId="2B50B296" w14:textId="1A66AD85" w:rsidR="0033466E" w:rsidRDefault="0033466E" w:rsidP="00A020FE">
      <w:pPr>
        <w:spacing w:after="0"/>
        <w:jc w:val="both"/>
        <w:rPr>
          <w:rFonts w:asciiTheme="minorHAnsi" w:hAnsiTheme="minorHAnsi"/>
          <w:bCs/>
          <w:iCs/>
        </w:rPr>
      </w:pPr>
      <w:r w:rsidRPr="0061735F">
        <w:rPr>
          <w:rFonts w:asciiTheme="minorHAnsi" w:hAnsiTheme="minorHAnsi"/>
          <w:bCs/>
          <w:iCs/>
        </w:rPr>
        <w:t xml:space="preserve">Výše uvedený nedostatek má vliv na výši vypočtených odpisů za roky 2014, 2015, 2016, 2017, tj. došlo k nadhodnocení zůstatku účtu 013 – </w:t>
      </w:r>
      <w:r w:rsidRPr="00E0671D">
        <w:rPr>
          <w:rFonts w:asciiTheme="minorHAnsi" w:hAnsiTheme="minorHAnsi"/>
          <w:bCs/>
          <w:i/>
          <w:iCs/>
        </w:rPr>
        <w:t>Software</w:t>
      </w:r>
      <w:r w:rsidRPr="0061735F">
        <w:rPr>
          <w:rFonts w:asciiTheme="minorHAnsi" w:hAnsiTheme="minorHAnsi"/>
          <w:bCs/>
          <w:iCs/>
        </w:rPr>
        <w:t xml:space="preserve"> ve sloupci NETTO, podhodnocení zůstatku účtu 551 – </w:t>
      </w:r>
      <w:r w:rsidRPr="00E0671D">
        <w:rPr>
          <w:rFonts w:asciiTheme="minorHAnsi" w:hAnsiTheme="minorHAnsi"/>
          <w:bCs/>
          <w:i/>
          <w:iCs/>
        </w:rPr>
        <w:t>Odpisy dlouhodobého majetku</w:t>
      </w:r>
      <w:r w:rsidRPr="0061735F">
        <w:rPr>
          <w:rStyle w:val="Znakapoznpodarou"/>
          <w:rFonts w:asciiTheme="minorHAnsi" w:hAnsiTheme="minorHAnsi"/>
          <w:bCs/>
          <w:iCs/>
        </w:rPr>
        <w:footnoteReference w:id="18"/>
      </w:r>
      <w:r w:rsidRPr="0061735F">
        <w:rPr>
          <w:rFonts w:asciiTheme="minorHAnsi" w:hAnsiTheme="minorHAnsi"/>
          <w:bCs/>
          <w:iCs/>
        </w:rPr>
        <w:t xml:space="preserve">, nadhodnocení účtu 493 – </w:t>
      </w:r>
      <w:r w:rsidRPr="00E0671D">
        <w:rPr>
          <w:rFonts w:asciiTheme="minorHAnsi" w:hAnsiTheme="minorHAnsi"/>
          <w:bCs/>
          <w:i/>
          <w:iCs/>
        </w:rPr>
        <w:t>Výsledek hospodaření běžného účetního období</w:t>
      </w:r>
      <w:r w:rsidRPr="0061735F">
        <w:rPr>
          <w:rFonts w:asciiTheme="minorHAnsi" w:hAnsiTheme="minorHAnsi"/>
          <w:bCs/>
          <w:iCs/>
        </w:rPr>
        <w:t xml:space="preserve"> a účtu 432 – </w:t>
      </w:r>
      <w:r w:rsidRPr="00E0671D">
        <w:rPr>
          <w:rFonts w:asciiTheme="minorHAnsi" w:hAnsiTheme="minorHAnsi"/>
          <w:bCs/>
          <w:i/>
          <w:iCs/>
        </w:rPr>
        <w:t>Výsledek hospodaření předcházejících účetních období</w:t>
      </w:r>
      <w:r w:rsidRPr="0061735F">
        <w:rPr>
          <w:rFonts w:asciiTheme="minorHAnsi" w:hAnsiTheme="minorHAnsi"/>
          <w:bCs/>
          <w:iCs/>
        </w:rPr>
        <w:t xml:space="preserve">. </w:t>
      </w:r>
    </w:p>
    <w:p w14:paraId="139DFDF4" w14:textId="77777777" w:rsidR="00A020FE" w:rsidRDefault="00A020FE" w:rsidP="00A020FE">
      <w:pPr>
        <w:spacing w:after="0"/>
        <w:jc w:val="both"/>
        <w:rPr>
          <w:rFonts w:asciiTheme="minorHAnsi" w:hAnsiTheme="minorHAnsi"/>
          <w:bCs/>
          <w:iCs/>
        </w:rPr>
      </w:pPr>
    </w:p>
    <w:p w14:paraId="54C0D039" w14:textId="77777777" w:rsidR="00C52E1A" w:rsidRPr="0061735F" w:rsidRDefault="00C52E1A" w:rsidP="00A020FE">
      <w:pPr>
        <w:pStyle w:val="Nadpis3"/>
        <w:spacing w:before="0" w:line="240" w:lineRule="auto"/>
        <w:contextualSpacing w:val="0"/>
      </w:pPr>
      <w:r w:rsidRPr="0061735F">
        <w:t>Ostatní zjištění</w:t>
      </w:r>
    </w:p>
    <w:p w14:paraId="08D5A2FA" w14:textId="77777777" w:rsidR="00A020FE" w:rsidRDefault="00A020FE" w:rsidP="00A020FE">
      <w:pPr>
        <w:spacing w:after="0"/>
        <w:jc w:val="both"/>
      </w:pPr>
    </w:p>
    <w:p w14:paraId="5D540B2C" w14:textId="747D5FEB" w:rsidR="008B08AD" w:rsidRPr="00404F7D" w:rsidRDefault="008B08AD" w:rsidP="00A020FE">
      <w:pPr>
        <w:spacing w:after="0"/>
        <w:jc w:val="both"/>
      </w:pPr>
      <w:r w:rsidRPr="00404F7D">
        <w:t>Ostatní zjištění se týkal</w:t>
      </w:r>
      <w:r>
        <w:t>o</w:t>
      </w:r>
      <w:r w:rsidRPr="00404F7D">
        <w:t xml:space="preserve"> porušení zákona o katastru nemovitostí, </w:t>
      </w:r>
      <w:r w:rsidR="00144B81">
        <w:t xml:space="preserve">kdy </w:t>
      </w:r>
      <w:r w:rsidRPr="000755CB">
        <w:t>MO neaktualizovalo údaje katastru nemovitostí k majetku, se kterým bylo příslušné hospodařit</w:t>
      </w:r>
      <w:r>
        <w:t>.</w:t>
      </w:r>
      <w:r w:rsidR="005A6B78">
        <w:t xml:space="preserve"> </w:t>
      </w:r>
      <w:r>
        <w:t xml:space="preserve">V průběhu kontroly </w:t>
      </w:r>
      <w:r w:rsidRPr="00404F7D">
        <w:t>byly zjištěny nemovitosti vykázané v účetní závěrce, ale neevidované v katastru nemovitostí.</w:t>
      </w:r>
    </w:p>
    <w:p w14:paraId="0EA519AE" w14:textId="77777777" w:rsidR="00657CF2" w:rsidRPr="00A020FE" w:rsidRDefault="00657CF2" w:rsidP="00A020FE">
      <w:pPr>
        <w:spacing w:after="0"/>
        <w:jc w:val="both"/>
        <w:rPr>
          <w:rFonts w:cstheme="minorHAnsi"/>
        </w:rPr>
      </w:pPr>
    </w:p>
    <w:p w14:paraId="05C09BC0" w14:textId="40E43E62" w:rsidR="0033466E" w:rsidRDefault="008A5B42" w:rsidP="008A5B42">
      <w:pPr>
        <w:pStyle w:val="Nadpis2"/>
        <w:numPr>
          <w:ilvl w:val="0"/>
          <w:numId w:val="0"/>
        </w:numPr>
        <w:spacing w:after="0" w:line="240" w:lineRule="auto"/>
        <w:contextualSpacing w:val="0"/>
        <w:rPr>
          <w:lang w:eastAsia="cs-CZ"/>
        </w:rPr>
      </w:pPr>
      <w:r>
        <w:rPr>
          <w:lang w:eastAsia="cs-CZ"/>
        </w:rPr>
        <w:t xml:space="preserve">3. </w:t>
      </w:r>
      <w:r w:rsidR="0033466E" w:rsidRPr="00203F77">
        <w:rPr>
          <w:lang w:eastAsia="cs-CZ"/>
        </w:rPr>
        <w:t>Nesprávnosti zjištěné v</w:t>
      </w:r>
      <w:r w:rsidR="0033466E">
        <w:rPr>
          <w:lang w:eastAsia="cs-CZ"/>
        </w:rPr>
        <w:t> </w:t>
      </w:r>
      <w:r w:rsidR="0033466E" w:rsidRPr="00203F77">
        <w:rPr>
          <w:lang w:eastAsia="cs-CZ"/>
        </w:rPr>
        <w:t>údajích</w:t>
      </w:r>
      <w:r w:rsidR="0033466E">
        <w:rPr>
          <w:lang w:eastAsia="cs-CZ"/>
        </w:rPr>
        <w:t xml:space="preserve"> předkládaných</w:t>
      </w:r>
      <w:r w:rsidR="0033466E" w:rsidRPr="00203F77">
        <w:rPr>
          <w:lang w:eastAsia="cs-CZ"/>
        </w:rPr>
        <w:t xml:space="preserve"> pro hodnocení plnění státního rozpočtu</w:t>
      </w:r>
      <w:r w:rsidR="008B08AD" w:rsidRPr="00FC18AF">
        <w:rPr>
          <w:rFonts w:eastAsiaTheme="minorHAnsi"/>
          <w:vertAlign w:val="superscript"/>
        </w:rPr>
        <w:footnoteReference w:id="19"/>
      </w:r>
    </w:p>
    <w:p w14:paraId="09EE45F3" w14:textId="77777777" w:rsidR="00A020FE" w:rsidRDefault="00A020FE" w:rsidP="00A020FE">
      <w:pPr>
        <w:spacing w:after="0"/>
        <w:jc w:val="both"/>
        <w:rPr>
          <w:rFonts w:asciiTheme="minorHAnsi" w:eastAsiaTheme="minorHAnsi" w:hAnsiTheme="minorHAnsi" w:cstheme="minorBidi"/>
        </w:rPr>
      </w:pPr>
    </w:p>
    <w:p w14:paraId="7531D3D2" w14:textId="3B63DF93" w:rsidR="00E0671D" w:rsidRDefault="00E0671D" w:rsidP="00A020FE">
      <w:pPr>
        <w:spacing w:after="0"/>
        <w:jc w:val="both"/>
        <w:rPr>
          <w:rFonts w:asciiTheme="minorHAnsi" w:eastAsiaTheme="minorHAnsi" w:hAnsiTheme="minorHAnsi" w:cstheme="minorBidi"/>
        </w:rPr>
      </w:pPr>
      <w:r w:rsidRPr="004E62D1">
        <w:rPr>
          <w:rFonts w:asciiTheme="minorHAnsi" w:eastAsiaTheme="minorHAnsi" w:hAnsiTheme="minorHAnsi" w:cstheme="minorBidi"/>
        </w:rPr>
        <w:t>Přehled základních údajů z výkazu pro hodnocení pl</w:t>
      </w:r>
      <w:r w:rsidR="00B17CFA">
        <w:rPr>
          <w:rFonts w:asciiTheme="minorHAnsi" w:eastAsiaTheme="minorHAnsi" w:hAnsiTheme="minorHAnsi" w:cstheme="minorBidi"/>
        </w:rPr>
        <w:t>nění rozpočtu správců kapitol a </w:t>
      </w:r>
      <w:r w:rsidRPr="004E62D1">
        <w:rPr>
          <w:rFonts w:asciiTheme="minorHAnsi" w:eastAsiaTheme="minorHAnsi" w:hAnsiTheme="minorHAnsi" w:cstheme="minorBidi"/>
        </w:rPr>
        <w:t>organizačních složek státu (dále také „výkaz FIN 1-12 OSS“) vygenerovaného z rozpočtového systému</w:t>
      </w:r>
      <w:r w:rsidRPr="002B7978">
        <w:rPr>
          <w:rFonts w:eastAsiaTheme="minorHAnsi"/>
          <w:vertAlign w:val="superscript"/>
        </w:rPr>
        <w:footnoteReference w:id="20"/>
      </w:r>
      <w:r w:rsidRPr="004E62D1">
        <w:rPr>
          <w:rFonts w:asciiTheme="minorHAnsi" w:eastAsiaTheme="minorHAnsi" w:hAnsiTheme="minorHAnsi" w:cstheme="minorBidi"/>
        </w:rPr>
        <w:t xml:space="preserve"> je uveden v</w:t>
      </w:r>
      <w:r>
        <w:rPr>
          <w:rFonts w:asciiTheme="minorHAnsi" w:eastAsiaTheme="minorHAnsi" w:hAnsiTheme="minorHAnsi" w:cstheme="minorBidi"/>
        </w:rPr>
        <w:t> </w:t>
      </w:r>
      <w:r w:rsidRPr="004E62D1">
        <w:rPr>
          <w:rFonts w:asciiTheme="minorHAnsi" w:eastAsiaTheme="minorHAnsi" w:hAnsiTheme="minorHAnsi" w:cstheme="minorBidi"/>
        </w:rPr>
        <w:t>následující</w:t>
      </w:r>
      <w:r>
        <w:rPr>
          <w:rFonts w:asciiTheme="minorHAnsi" w:eastAsiaTheme="minorHAnsi" w:hAnsiTheme="minorHAnsi" w:cstheme="minorBidi"/>
        </w:rPr>
        <w:t xml:space="preserve"> tabulce</w:t>
      </w:r>
      <w:r w:rsidRPr="004E62D1">
        <w:rPr>
          <w:rFonts w:asciiTheme="minorHAnsi" w:eastAsiaTheme="minorHAnsi" w:hAnsiTheme="minorHAnsi" w:cstheme="minorBidi"/>
        </w:rPr>
        <w:t>.</w:t>
      </w:r>
    </w:p>
    <w:p w14:paraId="0184E97E" w14:textId="77777777" w:rsidR="00A5523B" w:rsidRPr="004E62D1" w:rsidRDefault="00A5523B" w:rsidP="00A020FE">
      <w:pPr>
        <w:spacing w:after="0"/>
        <w:jc w:val="both"/>
        <w:rPr>
          <w:rFonts w:asciiTheme="minorHAnsi" w:eastAsiaTheme="minorHAnsi" w:hAnsiTheme="minorHAnsi" w:cstheme="minorBidi"/>
        </w:rPr>
      </w:pPr>
    </w:p>
    <w:p w14:paraId="74FB93D4" w14:textId="12E66BC2" w:rsidR="00E0671D" w:rsidRPr="005A3F1A" w:rsidRDefault="00E0671D" w:rsidP="00A5523B">
      <w:pPr>
        <w:spacing w:after="40"/>
        <w:rPr>
          <w:rFonts w:asciiTheme="minorHAnsi" w:eastAsiaTheme="minorHAnsi" w:hAnsiTheme="minorHAnsi" w:cs="Arial"/>
          <w:b/>
        </w:rPr>
      </w:pPr>
      <w:r w:rsidRPr="005A3F1A">
        <w:rPr>
          <w:rFonts w:asciiTheme="minorHAnsi" w:eastAsiaTheme="minorHAnsi" w:hAnsiTheme="minorHAnsi" w:cs="Arial"/>
          <w:b/>
        </w:rPr>
        <w:t xml:space="preserve">Tabulka č. </w:t>
      </w:r>
      <w:r w:rsidR="00012608">
        <w:rPr>
          <w:rFonts w:asciiTheme="minorHAnsi" w:eastAsiaTheme="minorHAnsi" w:hAnsiTheme="minorHAnsi" w:cs="Arial"/>
          <w:b/>
        </w:rPr>
        <w:t>5</w:t>
      </w:r>
      <w:r>
        <w:rPr>
          <w:rFonts w:asciiTheme="minorHAnsi" w:eastAsiaTheme="minorHAnsi" w:hAnsiTheme="minorHAnsi" w:cs="Arial"/>
          <w:b/>
        </w:rPr>
        <w:t>:</w:t>
      </w:r>
      <w:r w:rsidRPr="005A3F1A">
        <w:rPr>
          <w:rFonts w:asciiTheme="minorHAnsi" w:eastAsiaTheme="minorHAnsi" w:hAnsiTheme="minorHAnsi" w:cs="Arial"/>
        </w:rPr>
        <w:t xml:space="preserve"> </w:t>
      </w:r>
      <w:r w:rsidRPr="005A3F1A">
        <w:rPr>
          <w:rFonts w:asciiTheme="minorHAnsi" w:eastAsiaTheme="minorHAnsi" w:hAnsiTheme="minorHAnsi" w:cs="Arial"/>
          <w:b/>
        </w:rPr>
        <w:t>Údaje z výkazu pro hodnocení plnění rozpočtu M</w:t>
      </w:r>
      <w:r>
        <w:rPr>
          <w:rFonts w:asciiTheme="minorHAnsi" w:eastAsiaTheme="minorHAnsi" w:hAnsiTheme="minorHAnsi" w:cs="Arial"/>
          <w:b/>
        </w:rPr>
        <w:t>O</w:t>
      </w:r>
      <w:r w:rsidRPr="005A3F1A">
        <w:rPr>
          <w:rFonts w:asciiTheme="minorHAnsi" w:eastAsiaTheme="minorHAnsi" w:hAnsiTheme="minorHAnsi" w:cs="Arial"/>
          <w:b/>
        </w:rPr>
        <w:t xml:space="preserve"> za rok 201</w:t>
      </w:r>
      <w:r>
        <w:rPr>
          <w:rFonts w:asciiTheme="minorHAnsi" w:eastAsiaTheme="minorHAnsi" w:hAnsiTheme="minorHAnsi" w:cs="Arial"/>
          <w:b/>
        </w:rPr>
        <w:t>7</w:t>
      </w:r>
    </w:p>
    <w:tbl>
      <w:tblPr>
        <w:tblW w:w="90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E0671D" w:rsidRPr="005A3F1A" w14:paraId="18F90180" w14:textId="77777777" w:rsidTr="00A5523B">
        <w:trPr>
          <w:trHeight w:val="283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2631B48" w14:textId="77777777" w:rsidR="00E0671D" w:rsidRPr="005A3F1A" w:rsidRDefault="00E0671D" w:rsidP="00017CCE">
            <w:pPr>
              <w:spacing w:after="0" w:line="259" w:lineRule="auto"/>
              <w:ind w:left="67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1A8F51" w14:textId="77777777" w:rsidR="00E0671D" w:rsidRPr="005A3F1A" w:rsidRDefault="00E0671D" w:rsidP="00017CCE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  <w:t>Částka v Kč</w:t>
            </w:r>
          </w:p>
        </w:tc>
      </w:tr>
      <w:tr w:rsidR="00E0671D" w:rsidRPr="005A3F1A" w14:paraId="7D5B1B90" w14:textId="77777777" w:rsidTr="00A5523B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54A2" w14:textId="77777777" w:rsidR="00E0671D" w:rsidRPr="005A3F1A" w:rsidRDefault="00E0671D" w:rsidP="00017CCE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>Příjmy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891D" w14:textId="77777777" w:rsidR="00E0671D" w:rsidRPr="005A3F1A" w:rsidRDefault="00E0671D" w:rsidP="00A5523B">
            <w:pPr>
              <w:spacing w:after="0" w:line="259" w:lineRule="auto"/>
              <w:ind w:right="1570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 xml:space="preserve">5 087 984 868,49 </w:t>
            </w:r>
          </w:p>
        </w:tc>
      </w:tr>
      <w:tr w:rsidR="00E0671D" w:rsidRPr="005A3F1A" w14:paraId="77554247" w14:textId="77777777" w:rsidTr="00A5523B">
        <w:trPr>
          <w:trHeight w:val="283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116" w14:textId="77777777" w:rsidR="00E0671D" w:rsidRPr="005A3F1A" w:rsidRDefault="00E0671D" w:rsidP="00017CCE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>Výdaje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7083" w14:textId="77777777" w:rsidR="00E0671D" w:rsidRPr="005A3F1A" w:rsidRDefault="00E0671D" w:rsidP="00A5523B">
            <w:pPr>
              <w:spacing w:after="0" w:line="259" w:lineRule="auto"/>
              <w:ind w:right="1570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>52 908 766 765,46</w:t>
            </w:r>
          </w:p>
        </w:tc>
      </w:tr>
    </w:tbl>
    <w:p w14:paraId="1CDCA531" w14:textId="77777777" w:rsidR="00E0671D" w:rsidRPr="005A3F1A" w:rsidRDefault="00E0671D" w:rsidP="00A5523B">
      <w:pPr>
        <w:spacing w:before="40" w:after="0"/>
        <w:rPr>
          <w:rFonts w:asciiTheme="minorHAnsi" w:eastAsiaTheme="minorHAnsi" w:hAnsiTheme="minorHAnsi" w:cstheme="minorBidi"/>
          <w:sz w:val="20"/>
          <w:szCs w:val="22"/>
        </w:rPr>
      </w:pPr>
      <w:r w:rsidRPr="005A3F1A">
        <w:rPr>
          <w:rFonts w:asciiTheme="minorHAnsi" w:eastAsiaTheme="minorHAnsi" w:hAnsiTheme="minorHAnsi" w:cstheme="minorBidi"/>
          <w:b/>
          <w:sz w:val="20"/>
          <w:szCs w:val="22"/>
        </w:rPr>
        <w:t>Zdroj:</w:t>
      </w:r>
      <w:r w:rsidRPr="005A3F1A">
        <w:rPr>
          <w:rFonts w:asciiTheme="minorHAnsi" w:eastAsiaTheme="minorHAnsi" w:hAnsiTheme="minorHAnsi" w:cstheme="minorBidi"/>
          <w:sz w:val="20"/>
          <w:szCs w:val="22"/>
        </w:rPr>
        <w:t xml:space="preserve"> výkaz FIN 1-12 OSS za rok 201</w:t>
      </w:r>
      <w:r>
        <w:rPr>
          <w:rFonts w:asciiTheme="minorHAnsi" w:eastAsiaTheme="minorHAnsi" w:hAnsiTheme="minorHAnsi" w:cstheme="minorBidi"/>
          <w:sz w:val="20"/>
          <w:szCs w:val="22"/>
        </w:rPr>
        <w:t>7</w:t>
      </w:r>
      <w:r w:rsidRPr="005A3F1A">
        <w:rPr>
          <w:rFonts w:asciiTheme="minorHAnsi" w:eastAsiaTheme="minorHAnsi" w:hAnsiTheme="minorHAnsi" w:cstheme="minorBidi"/>
          <w:sz w:val="20"/>
          <w:szCs w:val="22"/>
        </w:rPr>
        <w:t>.</w:t>
      </w:r>
    </w:p>
    <w:p w14:paraId="2CB31F89" w14:textId="77777777" w:rsidR="00A5523B" w:rsidRDefault="00A5523B" w:rsidP="00A5523B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264F3A1C" w14:textId="2C1A836B" w:rsidR="00657CF2" w:rsidRDefault="009C3A50" w:rsidP="00A5523B">
      <w:pPr>
        <w:spacing w:after="0"/>
        <w:jc w:val="both"/>
        <w:rPr>
          <w:rFonts w:asciiTheme="minorHAnsi" w:eastAsia="Calibri" w:hAnsiTheme="minorHAnsi" w:cs="Calibri"/>
        </w:rPr>
      </w:pPr>
      <w:r w:rsidRPr="00F57B2D">
        <w:rPr>
          <w:rFonts w:asciiTheme="minorHAnsi" w:eastAsiaTheme="minorHAnsi" w:hAnsiTheme="minorHAnsi" w:cstheme="minorHAnsi"/>
        </w:rPr>
        <w:t>Kontrolou byly zjištěny tyto nejvýznamnější nesprávnosti</w:t>
      </w:r>
      <w:r>
        <w:rPr>
          <w:rFonts w:asciiTheme="minorHAnsi" w:eastAsiaTheme="minorHAnsi" w:hAnsiTheme="minorHAnsi" w:cstheme="minorHAnsi"/>
        </w:rPr>
        <w:t>,</w:t>
      </w:r>
      <w:r w:rsidR="00565512">
        <w:rPr>
          <w:rFonts w:asciiTheme="minorHAnsi" w:eastAsiaTheme="minorHAnsi" w:hAnsiTheme="minorHAnsi" w:cstheme="minorHAnsi"/>
        </w:rPr>
        <w:t xml:space="preserve"> kdy</w:t>
      </w:r>
      <w:r>
        <w:rPr>
          <w:rFonts w:asciiTheme="minorHAnsi" w:eastAsiaTheme="minorHAnsi" w:hAnsiTheme="minorHAnsi" w:cstheme="minorHAnsi"/>
        </w:rPr>
        <w:t xml:space="preserve"> MO v uvedených případech</w:t>
      </w:r>
      <w:r>
        <w:rPr>
          <w:rFonts w:asciiTheme="minorHAnsi" w:eastAsia="Calibri" w:hAnsiTheme="minorHAnsi" w:cs="Calibri"/>
        </w:rPr>
        <w:t xml:space="preserve"> </w:t>
      </w:r>
      <w:r w:rsidRPr="0069206B">
        <w:rPr>
          <w:rFonts w:asciiTheme="minorHAnsi" w:eastAsia="Calibri" w:hAnsiTheme="minorHAnsi" w:cs="Calibri"/>
        </w:rPr>
        <w:t>zatřídilo údaj podléhající třídění rozpočtovou skladbou v rozporu s vymezením uvedeným v příloze B k vyhlášce č. 323/2002 Sb.</w:t>
      </w:r>
      <w:r w:rsidR="00EE018D">
        <w:rPr>
          <w:rStyle w:val="Znakapoznpodarou"/>
          <w:rFonts w:asciiTheme="minorHAnsi" w:eastAsia="Calibri" w:hAnsiTheme="minorHAnsi" w:cs="Calibri"/>
        </w:rPr>
        <w:footnoteReference w:id="21"/>
      </w:r>
      <w:r w:rsidRPr="0069206B">
        <w:rPr>
          <w:rFonts w:asciiTheme="minorHAnsi" w:eastAsia="Calibri" w:hAnsiTheme="minorHAnsi" w:cs="Calibri"/>
        </w:rPr>
        <w:t xml:space="preserve"> a nevložilo správné údaje pro průběžné hodnocení plnění státního r</w:t>
      </w:r>
      <w:r w:rsidR="00EE018D">
        <w:rPr>
          <w:rFonts w:asciiTheme="minorHAnsi" w:eastAsia="Calibri" w:hAnsiTheme="minorHAnsi" w:cs="Calibri"/>
        </w:rPr>
        <w:t>ozpočtu do rozpočtového systému:</w:t>
      </w:r>
    </w:p>
    <w:p w14:paraId="67D3C326" w14:textId="7A508806" w:rsidR="0033466E" w:rsidRPr="006816D7" w:rsidRDefault="0033466E" w:rsidP="00A5523B">
      <w:pPr>
        <w:pStyle w:val="Odstavecseseznamem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Theme="minorHAnsi" w:eastAsia="Calibri" w:hAnsiTheme="minorHAnsi" w:cstheme="minorBidi"/>
        </w:rPr>
      </w:pPr>
      <w:r w:rsidRPr="006816D7">
        <w:rPr>
          <w:rFonts w:asciiTheme="minorHAnsi" w:eastAsia="Calibri" w:hAnsiTheme="minorHAnsi" w:cstheme="minorBidi"/>
        </w:rPr>
        <w:lastRenderedPageBreak/>
        <w:t xml:space="preserve">výdaje </w:t>
      </w:r>
      <w:r w:rsidR="006816D7" w:rsidRPr="006816D7">
        <w:rPr>
          <w:rFonts w:asciiTheme="minorHAnsi" w:eastAsia="Calibri" w:hAnsiTheme="minorHAnsi" w:cstheme="minorBidi"/>
        </w:rPr>
        <w:t xml:space="preserve">ve výši 74,21 mil. Kč </w:t>
      </w:r>
      <w:r w:rsidRPr="006816D7">
        <w:rPr>
          <w:rFonts w:asciiTheme="minorHAnsi" w:eastAsia="Calibri" w:hAnsiTheme="minorHAnsi" w:cstheme="minorBidi"/>
        </w:rPr>
        <w:t xml:space="preserve">související s údržbou a technickou podporou informačních systémů </w:t>
      </w:r>
      <w:r w:rsidR="008A5B42">
        <w:rPr>
          <w:rFonts w:asciiTheme="minorHAnsi" w:eastAsia="Calibri" w:hAnsiTheme="minorHAnsi" w:cstheme="minorBidi"/>
        </w:rPr>
        <w:t xml:space="preserve">MO </w:t>
      </w:r>
      <w:r w:rsidR="006816D7" w:rsidRPr="006816D7">
        <w:rPr>
          <w:rFonts w:asciiTheme="minorHAnsi" w:eastAsia="Calibri" w:hAnsiTheme="minorHAnsi" w:cstheme="minorBidi"/>
        </w:rPr>
        <w:t xml:space="preserve">nesprávně </w:t>
      </w:r>
      <w:r w:rsidRPr="006816D7">
        <w:rPr>
          <w:rFonts w:asciiTheme="minorHAnsi" w:eastAsia="Calibri" w:hAnsiTheme="minorHAnsi" w:cstheme="minorBidi"/>
        </w:rPr>
        <w:t>zatřídilo z hlediska druhového</w:t>
      </w:r>
      <w:r w:rsidRPr="006816D7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Pr="006816D7">
        <w:rPr>
          <w:rFonts w:asciiTheme="minorHAnsi" w:eastAsia="Calibri" w:hAnsiTheme="minorHAnsi" w:cstheme="minorBidi"/>
        </w:rPr>
        <w:t xml:space="preserve">členění dle rozpočtové skladby na položku 5169 – </w:t>
      </w:r>
      <w:r w:rsidRPr="006816D7">
        <w:rPr>
          <w:rFonts w:asciiTheme="minorHAnsi" w:eastAsia="Calibri" w:hAnsiTheme="minorHAnsi" w:cstheme="minorBidi"/>
          <w:i/>
        </w:rPr>
        <w:t>Nákup ostatních služeb</w:t>
      </w:r>
      <w:r w:rsidR="006816D7" w:rsidRPr="006816D7">
        <w:rPr>
          <w:rFonts w:asciiTheme="minorHAnsi" w:eastAsia="Calibri" w:hAnsiTheme="minorHAnsi" w:cstheme="minorBidi"/>
        </w:rPr>
        <w:t>;</w:t>
      </w:r>
    </w:p>
    <w:p w14:paraId="3E9C9988" w14:textId="289A6645" w:rsidR="006816D7" w:rsidRPr="006816D7" w:rsidRDefault="00A87CDA" w:rsidP="00A5523B">
      <w:pPr>
        <w:pStyle w:val="Odstavecseseznamem"/>
        <w:numPr>
          <w:ilvl w:val="0"/>
          <w:numId w:val="12"/>
        </w:numPr>
        <w:spacing w:after="0"/>
        <w:ind w:left="284" w:hanging="284"/>
        <w:contextualSpacing w:val="0"/>
        <w:jc w:val="both"/>
        <w:rPr>
          <w:rFonts w:asciiTheme="minorHAnsi" w:eastAsia="Calibri" w:hAnsiTheme="minorHAnsi" w:cstheme="minorBidi"/>
        </w:rPr>
      </w:pPr>
      <w:r w:rsidRPr="006816D7">
        <w:rPr>
          <w:rFonts w:asciiTheme="minorHAnsi" w:hAnsiTheme="minorHAnsi"/>
        </w:rPr>
        <w:t>příj</w:t>
      </w:r>
      <w:r w:rsidR="006816D7" w:rsidRPr="006816D7">
        <w:rPr>
          <w:rFonts w:asciiTheme="minorHAnsi" w:hAnsiTheme="minorHAnsi"/>
        </w:rPr>
        <w:t>my ve výši 33,28 mil. Kč</w:t>
      </w:r>
      <w:r w:rsidRPr="006816D7">
        <w:rPr>
          <w:rFonts w:asciiTheme="minorHAnsi" w:hAnsiTheme="minorHAnsi"/>
        </w:rPr>
        <w:t xml:space="preserve"> z titulu penále </w:t>
      </w:r>
      <w:r w:rsidR="008A5B42">
        <w:rPr>
          <w:rFonts w:asciiTheme="minorHAnsi" w:hAnsiTheme="minorHAnsi"/>
        </w:rPr>
        <w:t xml:space="preserve">MO </w:t>
      </w:r>
      <w:r w:rsidR="000D00AD" w:rsidRPr="006816D7">
        <w:rPr>
          <w:rFonts w:asciiTheme="minorHAnsi" w:hAnsiTheme="minorHAnsi"/>
        </w:rPr>
        <w:t xml:space="preserve">nesprávně zatřídilo </w:t>
      </w:r>
      <w:r w:rsidR="000D00AD" w:rsidRPr="00522D69">
        <w:rPr>
          <w:rFonts w:asciiTheme="minorHAnsi" w:eastAsia="Calibri" w:hAnsiTheme="minorHAnsi" w:cstheme="minorBidi"/>
        </w:rPr>
        <w:t>z hlediska druhového</w:t>
      </w:r>
      <w:r w:rsidR="000D00AD" w:rsidRPr="00522D69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0D00AD" w:rsidRPr="00522D69">
        <w:rPr>
          <w:rFonts w:asciiTheme="minorHAnsi" w:eastAsia="Calibri" w:hAnsiTheme="minorHAnsi" w:cstheme="minorBidi"/>
        </w:rPr>
        <w:t xml:space="preserve">členění dle rozpočtové skladby </w:t>
      </w:r>
      <w:r w:rsidR="000D00AD">
        <w:rPr>
          <w:rFonts w:asciiTheme="minorHAnsi" w:hAnsiTheme="minorHAnsi"/>
        </w:rPr>
        <w:t>na</w:t>
      </w:r>
      <w:r w:rsidRPr="006816D7">
        <w:rPr>
          <w:rFonts w:asciiTheme="minorHAnsi" w:hAnsiTheme="minorHAnsi"/>
        </w:rPr>
        <w:t xml:space="preserve"> položku 2329 – </w:t>
      </w:r>
      <w:r w:rsidRPr="006816D7">
        <w:rPr>
          <w:rFonts w:asciiTheme="minorHAnsi" w:hAnsiTheme="minorHAnsi"/>
          <w:i/>
        </w:rPr>
        <w:t xml:space="preserve">Ostatní nedaňové příjmy jinde nezařazené </w:t>
      </w:r>
      <w:r w:rsidRPr="006816D7">
        <w:rPr>
          <w:rFonts w:asciiTheme="minorHAnsi" w:hAnsiTheme="minorHAnsi"/>
        </w:rPr>
        <w:t>a 2324 –</w:t>
      </w:r>
      <w:r w:rsidRPr="006816D7">
        <w:rPr>
          <w:rFonts w:asciiTheme="minorHAnsi" w:hAnsiTheme="minorHAnsi"/>
          <w:i/>
        </w:rPr>
        <w:t xml:space="preserve"> Přijaté nekapitálové příspěvky a náhrady</w:t>
      </w:r>
      <w:r w:rsidR="006816D7" w:rsidRPr="006816D7">
        <w:rPr>
          <w:rFonts w:asciiTheme="minorHAnsi" w:hAnsiTheme="minorHAnsi"/>
          <w:i/>
        </w:rPr>
        <w:t>;</w:t>
      </w:r>
    </w:p>
    <w:p w14:paraId="2372D639" w14:textId="10306422" w:rsidR="00522D69" w:rsidRPr="00522D69" w:rsidRDefault="0033466E" w:rsidP="00A5523B">
      <w:pPr>
        <w:numPr>
          <w:ilvl w:val="0"/>
          <w:numId w:val="12"/>
        </w:numPr>
        <w:spacing w:after="0"/>
        <w:ind w:left="284" w:hanging="284"/>
        <w:jc w:val="both"/>
        <w:rPr>
          <w:rFonts w:asciiTheme="minorHAnsi" w:eastAsia="Calibri" w:hAnsiTheme="minorHAnsi" w:cstheme="minorBidi"/>
        </w:rPr>
      </w:pPr>
      <w:r w:rsidRPr="00522D69">
        <w:rPr>
          <w:rFonts w:asciiTheme="minorHAnsi" w:hAnsiTheme="minorHAnsi" w:cs="Calibri"/>
          <w:bCs/>
          <w:iCs/>
        </w:rPr>
        <w:t>MO poskytlo</w:t>
      </w:r>
      <w:r w:rsidR="006816D7">
        <w:rPr>
          <w:rFonts w:asciiTheme="minorHAnsi" w:hAnsiTheme="minorHAnsi" w:cs="Calibri"/>
          <w:bCs/>
          <w:iCs/>
        </w:rPr>
        <w:t xml:space="preserve"> v roce 2017</w:t>
      </w:r>
      <w:r w:rsidRPr="00522D69">
        <w:rPr>
          <w:rFonts w:asciiTheme="minorHAnsi" w:hAnsiTheme="minorHAnsi" w:cs="Calibri"/>
          <w:bCs/>
          <w:iCs/>
        </w:rPr>
        <w:t xml:space="preserve"> neinvestiční finanční prostředky formou dotace na program</w:t>
      </w:r>
      <w:r w:rsidR="008A5B42">
        <w:rPr>
          <w:rFonts w:asciiTheme="minorHAnsi" w:hAnsiTheme="minorHAnsi" w:cs="Calibri"/>
          <w:bCs/>
          <w:iCs/>
        </w:rPr>
        <w:t>y</w:t>
      </w:r>
      <w:r w:rsidRPr="00522D69">
        <w:rPr>
          <w:rFonts w:asciiTheme="minorHAnsi" w:hAnsiTheme="minorHAnsi" w:cs="Calibri"/>
          <w:bCs/>
          <w:iCs/>
        </w:rPr>
        <w:t xml:space="preserve"> </w:t>
      </w:r>
      <w:r w:rsidRPr="00555A33">
        <w:rPr>
          <w:rFonts w:asciiTheme="minorHAnsi" w:hAnsiTheme="minorHAnsi" w:cs="Calibri"/>
          <w:bCs/>
          <w:i/>
          <w:iCs/>
        </w:rPr>
        <w:t>Rezidenční místa</w:t>
      </w:r>
      <w:r w:rsidRPr="00522D69">
        <w:rPr>
          <w:rFonts w:asciiTheme="minorHAnsi" w:hAnsiTheme="minorHAnsi" w:cs="Calibri"/>
          <w:bCs/>
          <w:iCs/>
        </w:rPr>
        <w:t xml:space="preserve"> a </w:t>
      </w:r>
      <w:r w:rsidRPr="00555A33">
        <w:rPr>
          <w:rFonts w:asciiTheme="minorHAnsi" w:hAnsiTheme="minorHAnsi" w:cs="Calibri"/>
          <w:bCs/>
          <w:i/>
          <w:iCs/>
        </w:rPr>
        <w:t>Bezpečnost a kvalita zd</w:t>
      </w:r>
      <w:r w:rsidR="00E0671D" w:rsidRPr="00555A33">
        <w:rPr>
          <w:rFonts w:asciiTheme="minorHAnsi" w:hAnsiTheme="minorHAnsi" w:cs="Calibri"/>
          <w:bCs/>
          <w:i/>
          <w:iCs/>
        </w:rPr>
        <w:t>ravotní péče</w:t>
      </w:r>
      <w:r w:rsidRPr="00522D69">
        <w:rPr>
          <w:rFonts w:asciiTheme="minorHAnsi" w:hAnsiTheme="minorHAnsi" w:cs="Calibri"/>
          <w:bCs/>
          <w:iCs/>
        </w:rPr>
        <w:t xml:space="preserve"> své zřízené příspěvkové organizaci ve výši 1,6 mil. Kč.</w:t>
      </w:r>
      <w:r w:rsidR="009C3A50" w:rsidRPr="00522D69">
        <w:rPr>
          <w:rFonts w:asciiTheme="minorHAnsi" w:hAnsiTheme="minorHAnsi" w:cs="Calibri"/>
          <w:bCs/>
          <w:iCs/>
        </w:rPr>
        <w:t xml:space="preserve"> </w:t>
      </w:r>
      <w:r w:rsidRPr="00522D69">
        <w:rPr>
          <w:rFonts w:asciiTheme="minorHAnsi" w:hAnsiTheme="minorHAnsi" w:cs="Calibri"/>
          <w:bCs/>
          <w:iCs/>
        </w:rPr>
        <w:t xml:space="preserve">Poskytnuté dotace MO </w:t>
      </w:r>
      <w:r w:rsidR="00E0671D" w:rsidRPr="00522D69">
        <w:rPr>
          <w:rFonts w:asciiTheme="minorHAnsi" w:hAnsiTheme="minorHAnsi" w:cs="Calibri"/>
          <w:bCs/>
          <w:iCs/>
        </w:rPr>
        <w:t xml:space="preserve">nesprávně </w:t>
      </w:r>
      <w:r w:rsidRPr="00522D69">
        <w:rPr>
          <w:rFonts w:asciiTheme="minorHAnsi" w:hAnsiTheme="minorHAnsi" w:cs="Calibri"/>
          <w:bCs/>
          <w:iCs/>
        </w:rPr>
        <w:t>zatřídilo z hlediska druhového členění dle rozpočtové skladby na položku 5331 – </w:t>
      </w:r>
      <w:r w:rsidRPr="00134A61">
        <w:rPr>
          <w:rFonts w:asciiTheme="minorHAnsi" w:hAnsiTheme="minorHAnsi" w:cs="Calibri"/>
          <w:bCs/>
          <w:i/>
          <w:iCs/>
        </w:rPr>
        <w:t>Neinvestiční příspěvky zřízeným příspěvkovým organizacím</w:t>
      </w:r>
      <w:r w:rsidR="00134A61">
        <w:rPr>
          <w:rFonts w:asciiTheme="minorHAnsi" w:hAnsiTheme="minorHAnsi" w:cs="Calibri"/>
          <w:bCs/>
          <w:iCs/>
        </w:rPr>
        <w:t>;</w:t>
      </w:r>
    </w:p>
    <w:p w14:paraId="6FA74217" w14:textId="099A7E57" w:rsidR="00A87CDA" w:rsidRDefault="0033466E" w:rsidP="00A5523B">
      <w:pPr>
        <w:numPr>
          <w:ilvl w:val="0"/>
          <w:numId w:val="12"/>
        </w:numPr>
        <w:spacing w:after="0"/>
        <w:ind w:left="284" w:hanging="284"/>
        <w:jc w:val="both"/>
        <w:rPr>
          <w:rFonts w:asciiTheme="minorHAnsi" w:eastAsia="Calibri" w:hAnsiTheme="minorHAnsi" w:cstheme="minorBidi"/>
        </w:rPr>
      </w:pPr>
      <w:r w:rsidRPr="00522D69">
        <w:rPr>
          <w:rFonts w:asciiTheme="minorHAnsi" w:eastAsia="Calibri" w:hAnsiTheme="minorHAnsi" w:cstheme="minorBidi"/>
        </w:rPr>
        <w:t xml:space="preserve">výdaje </w:t>
      </w:r>
      <w:r w:rsidR="006816D7">
        <w:rPr>
          <w:rFonts w:asciiTheme="minorHAnsi" w:eastAsia="Calibri" w:hAnsiTheme="minorHAnsi" w:cstheme="minorBidi"/>
        </w:rPr>
        <w:t xml:space="preserve">ve výši 1,1 mil Kč </w:t>
      </w:r>
      <w:r w:rsidRPr="00522D69">
        <w:rPr>
          <w:rFonts w:asciiTheme="minorHAnsi" w:eastAsia="Calibri" w:hAnsiTheme="minorHAnsi" w:cstheme="minorBidi"/>
        </w:rPr>
        <w:t>související s úhradou výcvikového kurzu</w:t>
      </w:r>
      <w:r w:rsidR="00E0671D" w:rsidRPr="00522D69">
        <w:rPr>
          <w:rFonts w:asciiTheme="minorHAnsi" w:eastAsia="Calibri" w:hAnsiTheme="minorHAnsi" w:cstheme="minorBidi"/>
        </w:rPr>
        <w:t xml:space="preserve"> </w:t>
      </w:r>
      <w:r w:rsidR="008A5B42">
        <w:rPr>
          <w:rFonts w:asciiTheme="minorHAnsi" w:eastAsia="Calibri" w:hAnsiTheme="minorHAnsi" w:cstheme="minorBidi"/>
        </w:rPr>
        <w:t xml:space="preserve">MO </w:t>
      </w:r>
      <w:r w:rsidR="00E0671D" w:rsidRPr="00522D69">
        <w:rPr>
          <w:rFonts w:asciiTheme="minorHAnsi" w:eastAsia="Calibri" w:hAnsiTheme="minorHAnsi" w:cstheme="minorBidi"/>
        </w:rPr>
        <w:t>nesprávně</w:t>
      </w:r>
      <w:r w:rsidRPr="00522D69">
        <w:rPr>
          <w:rFonts w:asciiTheme="minorHAnsi" w:eastAsia="Calibri" w:hAnsiTheme="minorHAnsi" w:cstheme="minorBidi"/>
        </w:rPr>
        <w:t xml:space="preserve"> zatřídilo z hlediska druhového</w:t>
      </w:r>
      <w:r w:rsidRPr="00522D69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Pr="00522D69">
        <w:rPr>
          <w:rFonts w:asciiTheme="minorHAnsi" w:eastAsia="Calibri" w:hAnsiTheme="minorHAnsi" w:cstheme="minorBidi"/>
        </w:rPr>
        <w:t xml:space="preserve">členění dle rozpočtové skladby na položku 5173 – </w:t>
      </w:r>
      <w:r w:rsidRPr="00522D69">
        <w:rPr>
          <w:rFonts w:asciiTheme="minorHAnsi" w:eastAsia="Calibri" w:hAnsiTheme="minorHAnsi" w:cstheme="minorBidi"/>
          <w:i/>
        </w:rPr>
        <w:t>Cestovné</w:t>
      </w:r>
      <w:r w:rsidRPr="00522D69">
        <w:rPr>
          <w:rFonts w:asciiTheme="minorHAnsi" w:eastAsia="Calibri" w:hAnsiTheme="minorHAnsi" w:cstheme="minorBidi"/>
        </w:rPr>
        <w:t xml:space="preserve">. </w:t>
      </w:r>
    </w:p>
    <w:p w14:paraId="76AC5CA6" w14:textId="77777777" w:rsidR="00657CF2" w:rsidRPr="00E0671D" w:rsidRDefault="00657CF2" w:rsidP="00A5523B">
      <w:pPr>
        <w:spacing w:after="0"/>
        <w:jc w:val="both"/>
        <w:rPr>
          <w:rFonts w:asciiTheme="minorHAnsi" w:eastAsia="Calibri" w:hAnsiTheme="minorHAnsi" w:cstheme="minorBidi"/>
        </w:rPr>
      </w:pPr>
    </w:p>
    <w:p w14:paraId="047180B9" w14:textId="538E228D" w:rsidR="00112642" w:rsidRPr="003B1447" w:rsidRDefault="000E4F71" w:rsidP="000E4F71">
      <w:pPr>
        <w:pStyle w:val="Nadpis2"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lang w:eastAsia="cs-CZ"/>
        </w:rPr>
      </w:pPr>
      <w:r>
        <w:rPr>
          <w:lang w:eastAsia="cs-CZ"/>
        </w:rPr>
        <w:t xml:space="preserve">4. </w:t>
      </w:r>
      <w:r w:rsidR="00112642" w:rsidRPr="003B1447">
        <w:rPr>
          <w:lang w:eastAsia="cs-CZ"/>
        </w:rPr>
        <w:t>Vyhodnocení opatření k odstranění nedostatků zjištěných kontrolní akcí č. 13/29, 14/08 a 15/34</w:t>
      </w:r>
    </w:p>
    <w:p w14:paraId="22AA5D9C" w14:textId="77777777" w:rsidR="00A5523B" w:rsidRDefault="00A5523B" w:rsidP="00A5523B">
      <w:pPr>
        <w:pStyle w:val="textodstavce"/>
        <w:spacing w:after="0"/>
        <w:rPr>
          <w:lang w:eastAsia="cs-CZ"/>
        </w:rPr>
      </w:pPr>
    </w:p>
    <w:p w14:paraId="1163E724" w14:textId="6207D490" w:rsidR="00112642" w:rsidRDefault="00112642" w:rsidP="00A5523B">
      <w:pPr>
        <w:pStyle w:val="textodstavce"/>
        <w:spacing w:after="0"/>
        <w:rPr>
          <w:rFonts w:asciiTheme="minorHAnsi" w:hAnsiTheme="minorHAnsi"/>
          <w:i/>
        </w:rPr>
      </w:pPr>
      <w:r>
        <w:rPr>
          <w:lang w:eastAsia="cs-CZ"/>
        </w:rPr>
        <w:t xml:space="preserve">Jedním z cílů </w:t>
      </w:r>
      <w:r w:rsidRPr="00582484">
        <w:rPr>
          <w:lang w:eastAsia="cs-CZ"/>
        </w:rPr>
        <w:t>kontrolní akce č. 17/</w:t>
      </w:r>
      <w:r>
        <w:rPr>
          <w:lang w:eastAsia="cs-CZ"/>
        </w:rPr>
        <w:t>30</w:t>
      </w:r>
      <w:r w:rsidRPr="00582484">
        <w:rPr>
          <w:lang w:eastAsia="cs-CZ"/>
        </w:rPr>
        <w:t xml:space="preserve"> bylo </w:t>
      </w:r>
      <w:r w:rsidR="000E4F71">
        <w:rPr>
          <w:lang w:eastAsia="cs-CZ"/>
        </w:rPr>
        <w:t>rovněž</w:t>
      </w:r>
      <w:r w:rsidRPr="00582484">
        <w:rPr>
          <w:lang w:eastAsia="cs-CZ"/>
        </w:rPr>
        <w:t xml:space="preserve"> prověřit úplnost a správnost opatření realizovaných k odstranění nedostatků zjištěných v kontrolní</w:t>
      </w:r>
      <w:r w:rsidR="000E4F71">
        <w:rPr>
          <w:lang w:eastAsia="cs-CZ"/>
        </w:rPr>
        <w:t>ch</w:t>
      </w:r>
      <w:r w:rsidRPr="00582484">
        <w:rPr>
          <w:lang w:eastAsia="cs-CZ"/>
        </w:rPr>
        <w:t xml:space="preserve"> akc</w:t>
      </w:r>
      <w:r w:rsidR="000E4F71">
        <w:rPr>
          <w:lang w:eastAsia="cs-CZ"/>
        </w:rPr>
        <w:t xml:space="preserve">ích </w:t>
      </w:r>
      <w:r w:rsidRPr="00582484">
        <w:rPr>
          <w:lang w:eastAsia="cs-CZ"/>
        </w:rPr>
        <w:t xml:space="preserve">č. </w:t>
      </w:r>
      <w:r w:rsidRPr="00235C87">
        <w:rPr>
          <w:rFonts w:asciiTheme="minorHAnsi" w:hAnsiTheme="minorHAnsi"/>
        </w:rPr>
        <w:t xml:space="preserve">13/29 – </w:t>
      </w:r>
      <w:r w:rsidRPr="00235C87">
        <w:rPr>
          <w:rFonts w:asciiTheme="minorHAnsi" w:hAnsiTheme="minorHAnsi"/>
          <w:i/>
        </w:rPr>
        <w:t>Závěrečný účet kapitoly státního rozpočtu Ministerstvo obran</w:t>
      </w:r>
      <w:r>
        <w:rPr>
          <w:rFonts w:asciiTheme="minorHAnsi" w:hAnsiTheme="minorHAnsi"/>
          <w:i/>
        </w:rPr>
        <w:t>y za rok 2012, účetní závěrka a </w:t>
      </w:r>
      <w:r w:rsidRPr="00235C87">
        <w:rPr>
          <w:rFonts w:asciiTheme="minorHAnsi" w:hAnsiTheme="minorHAnsi"/>
          <w:i/>
        </w:rPr>
        <w:t xml:space="preserve">finanční výkazy </w:t>
      </w:r>
      <w:r>
        <w:rPr>
          <w:rFonts w:asciiTheme="minorHAnsi" w:hAnsiTheme="minorHAnsi"/>
          <w:i/>
        </w:rPr>
        <w:t>Ministerstva obrany za rok 2012</w:t>
      </w:r>
      <w:r w:rsidRPr="00555A33">
        <w:rPr>
          <w:rFonts w:asciiTheme="minorHAnsi" w:hAnsiTheme="minorHAnsi"/>
        </w:rPr>
        <w:t>,</w:t>
      </w:r>
      <w:r>
        <w:rPr>
          <w:rFonts w:asciiTheme="minorHAnsi" w:hAnsiTheme="minorHAnsi"/>
          <w:i/>
        </w:rPr>
        <w:t xml:space="preserve"> </w:t>
      </w:r>
      <w:r w:rsidRPr="007A4EB7">
        <w:rPr>
          <w:rFonts w:asciiTheme="minorHAnsi" w:hAnsiTheme="minorHAnsi"/>
        </w:rPr>
        <w:t xml:space="preserve">č. 14/08 – </w:t>
      </w:r>
      <w:r w:rsidRPr="007A4EB7">
        <w:rPr>
          <w:rFonts w:asciiTheme="minorHAnsi" w:hAnsiTheme="minorHAnsi"/>
          <w:i/>
        </w:rPr>
        <w:t>Prostředky státu v oblasti důchodového pojištění</w:t>
      </w:r>
      <w:r>
        <w:rPr>
          <w:rFonts w:asciiTheme="minorHAnsi" w:hAnsiTheme="minorHAnsi"/>
          <w:i/>
        </w:rPr>
        <w:t xml:space="preserve"> a </w:t>
      </w:r>
      <w:r w:rsidRPr="007A4EB7">
        <w:rPr>
          <w:rFonts w:asciiTheme="minorHAnsi" w:hAnsiTheme="minorHAnsi"/>
        </w:rPr>
        <w:t xml:space="preserve">č. 15/34 – </w:t>
      </w:r>
      <w:r w:rsidRPr="007A4EB7">
        <w:rPr>
          <w:rFonts w:asciiTheme="minorHAnsi" w:hAnsiTheme="minorHAnsi"/>
          <w:i/>
        </w:rPr>
        <w:t>Peněžní prostředky vynakládané na úhradu nákladů z činnosti u</w:t>
      </w:r>
      <w:r w:rsidR="00555A33">
        <w:rPr>
          <w:rFonts w:asciiTheme="minorHAnsi" w:hAnsiTheme="minorHAnsi"/>
          <w:i/>
        </w:rPr>
        <w:t> </w:t>
      </w:r>
      <w:r w:rsidRPr="007A4EB7">
        <w:rPr>
          <w:rFonts w:asciiTheme="minorHAnsi" w:hAnsiTheme="minorHAnsi"/>
          <w:i/>
        </w:rPr>
        <w:t>vybraných ministerstev</w:t>
      </w:r>
      <w:r w:rsidRPr="00555A33">
        <w:rPr>
          <w:rFonts w:asciiTheme="minorHAnsi" w:hAnsiTheme="minorHAnsi"/>
        </w:rPr>
        <w:t>.</w:t>
      </w:r>
      <w:r>
        <w:rPr>
          <w:rFonts w:asciiTheme="minorHAnsi" w:hAnsiTheme="minorHAnsi"/>
          <w:i/>
        </w:rPr>
        <w:t xml:space="preserve"> </w:t>
      </w:r>
    </w:p>
    <w:p w14:paraId="0523561E" w14:textId="77777777" w:rsidR="00A5523B" w:rsidRDefault="00A5523B" w:rsidP="00A5523B">
      <w:pPr>
        <w:pStyle w:val="textodstavce"/>
        <w:spacing w:after="0"/>
        <w:rPr>
          <w:rFonts w:asciiTheme="minorHAnsi" w:hAnsiTheme="minorHAnsi"/>
          <w:i/>
        </w:rPr>
      </w:pPr>
    </w:p>
    <w:p w14:paraId="7E00A2F5" w14:textId="04368423" w:rsidR="00A50B68" w:rsidRDefault="00167BB1" w:rsidP="00A5523B">
      <w:pPr>
        <w:pStyle w:val="textodstavce"/>
        <w:spacing w:after="0"/>
        <w:rPr>
          <w:lang w:eastAsia="cs-CZ"/>
        </w:rPr>
      </w:pPr>
      <w:r>
        <w:rPr>
          <w:lang w:eastAsia="cs-CZ"/>
        </w:rPr>
        <w:t xml:space="preserve">V případě uvedených kontrolních akcí </w:t>
      </w:r>
      <w:r w:rsidR="00112642" w:rsidRPr="00AB0B60">
        <w:rPr>
          <w:lang w:eastAsia="cs-CZ"/>
        </w:rPr>
        <w:t xml:space="preserve">MO </w:t>
      </w:r>
      <w:r>
        <w:rPr>
          <w:lang w:eastAsia="cs-CZ"/>
        </w:rPr>
        <w:t>realizovalo všechna opatření k</w:t>
      </w:r>
      <w:r w:rsidR="00E77E16">
        <w:rPr>
          <w:lang w:eastAsia="cs-CZ"/>
        </w:rPr>
        <w:t> </w:t>
      </w:r>
      <w:r>
        <w:rPr>
          <w:lang w:eastAsia="cs-CZ"/>
        </w:rPr>
        <w:t>nápravě</w:t>
      </w:r>
      <w:r w:rsidR="00E77E16">
        <w:rPr>
          <w:lang w:eastAsia="cs-CZ"/>
        </w:rPr>
        <w:t xml:space="preserve"> zjištěných nedostatků</w:t>
      </w:r>
      <w:r w:rsidR="000865F5">
        <w:rPr>
          <w:lang w:eastAsia="cs-CZ"/>
        </w:rPr>
        <w:t xml:space="preserve"> uvedených v kontrolních závěrech.</w:t>
      </w:r>
      <w:r w:rsidR="00E77E16">
        <w:rPr>
          <w:rStyle w:val="Znakapoznpodarou"/>
          <w:lang w:eastAsia="cs-CZ"/>
        </w:rPr>
        <w:footnoteReference w:id="22"/>
      </w:r>
      <w:r w:rsidR="00E77E16">
        <w:rPr>
          <w:lang w:eastAsia="cs-CZ"/>
        </w:rPr>
        <w:t xml:space="preserve"> </w:t>
      </w:r>
      <w:r w:rsidR="00112642">
        <w:rPr>
          <w:lang w:eastAsia="cs-CZ"/>
        </w:rPr>
        <w:t>Pouze v následujících případech nebyl</w:t>
      </w:r>
      <w:r w:rsidR="003808DA">
        <w:rPr>
          <w:lang w:eastAsia="cs-CZ"/>
        </w:rPr>
        <w:t>a</w:t>
      </w:r>
      <w:r w:rsidR="00112642">
        <w:rPr>
          <w:lang w:eastAsia="cs-CZ"/>
        </w:rPr>
        <w:t xml:space="preserve"> opatření k nápravě dostačující a v </w:t>
      </w:r>
      <w:r w:rsidR="00112642" w:rsidRPr="00AB0B60">
        <w:rPr>
          <w:lang w:eastAsia="cs-CZ"/>
        </w:rPr>
        <w:t xml:space="preserve">kontrolovaném období 2017 </w:t>
      </w:r>
      <w:r w:rsidR="000E4F71">
        <w:rPr>
          <w:lang w:eastAsia="cs-CZ"/>
        </w:rPr>
        <w:t xml:space="preserve">tyto případy </w:t>
      </w:r>
      <w:r w:rsidR="00112642">
        <w:rPr>
          <w:lang w:eastAsia="cs-CZ"/>
        </w:rPr>
        <w:t xml:space="preserve">ovlivnily výši celkových nesprávností: </w:t>
      </w:r>
    </w:p>
    <w:p w14:paraId="244BEA0B" w14:textId="3551CCAB" w:rsidR="00A50B68" w:rsidRDefault="00112642" w:rsidP="00A5523B">
      <w:pPr>
        <w:pStyle w:val="textodstavce"/>
        <w:numPr>
          <w:ilvl w:val="0"/>
          <w:numId w:val="13"/>
        </w:numPr>
        <w:spacing w:after="0"/>
        <w:ind w:left="284" w:hanging="284"/>
        <w:rPr>
          <w:lang w:eastAsia="cs-CZ"/>
        </w:rPr>
      </w:pPr>
      <w:r>
        <w:rPr>
          <w:lang w:eastAsia="cs-CZ"/>
        </w:rPr>
        <w:t>n</w:t>
      </w:r>
      <w:r w:rsidRPr="00AB0B60">
        <w:rPr>
          <w:lang w:eastAsia="cs-CZ"/>
        </w:rPr>
        <w:t>eodpisování majetku</w:t>
      </w:r>
      <w:r>
        <w:rPr>
          <w:lang w:eastAsia="cs-CZ"/>
        </w:rPr>
        <w:t xml:space="preserve"> po celou dobu jeho používání</w:t>
      </w:r>
      <w:r w:rsidR="00565512">
        <w:rPr>
          <w:lang w:eastAsia="cs-CZ"/>
        </w:rPr>
        <w:t xml:space="preserve"> (viz bod </w:t>
      </w:r>
      <w:proofErr w:type="gramStart"/>
      <w:r w:rsidR="00F721A1">
        <w:rPr>
          <w:lang w:eastAsia="cs-CZ"/>
        </w:rPr>
        <w:t>IV</w:t>
      </w:r>
      <w:r w:rsidR="00565512">
        <w:rPr>
          <w:lang w:eastAsia="cs-CZ"/>
        </w:rPr>
        <w:t>.</w:t>
      </w:r>
      <w:r w:rsidR="00185710">
        <w:rPr>
          <w:lang w:eastAsia="cs-CZ"/>
        </w:rPr>
        <w:t>2.8</w:t>
      </w:r>
      <w:proofErr w:type="gramEnd"/>
      <w:r w:rsidR="00565512">
        <w:rPr>
          <w:lang w:eastAsia="cs-CZ"/>
        </w:rPr>
        <w:t xml:space="preserve"> </w:t>
      </w:r>
      <w:r w:rsidR="003808DA">
        <w:rPr>
          <w:lang w:eastAsia="cs-CZ"/>
        </w:rPr>
        <w:t>tohoto kontrolního závěru)</w:t>
      </w:r>
      <w:r w:rsidR="00A50B68">
        <w:rPr>
          <w:lang w:eastAsia="cs-CZ"/>
        </w:rPr>
        <w:t>,</w:t>
      </w:r>
    </w:p>
    <w:p w14:paraId="643CF95D" w14:textId="1F3C7AFA" w:rsidR="00112642" w:rsidRDefault="00112642" w:rsidP="00A5523B">
      <w:pPr>
        <w:pStyle w:val="textodstavce"/>
        <w:numPr>
          <w:ilvl w:val="0"/>
          <w:numId w:val="13"/>
        </w:numPr>
        <w:spacing w:after="0"/>
        <w:ind w:left="284" w:hanging="284"/>
        <w:rPr>
          <w:lang w:eastAsia="cs-CZ"/>
        </w:rPr>
      </w:pPr>
      <w:r>
        <w:rPr>
          <w:lang w:eastAsia="cs-CZ"/>
        </w:rPr>
        <w:t>n</w:t>
      </w:r>
      <w:r w:rsidRPr="00AB0B60">
        <w:rPr>
          <w:lang w:eastAsia="cs-CZ"/>
        </w:rPr>
        <w:t>esprávné zatřídění příjmů ze sankčních plateb přijatých od jiných subjektů</w:t>
      </w:r>
      <w:r>
        <w:rPr>
          <w:lang w:eastAsia="cs-CZ"/>
        </w:rPr>
        <w:t>, které MO</w:t>
      </w:r>
      <w:r w:rsidRPr="00AB0B60">
        <w:rPr>
          <w:lang w:eastAsia="cs-CZ"/>
        </w:rPr>
        <w:t xml:space="preserve"> nesprávně zatřídilo na rozpočtovou položku 2329 – </w:t>
      </w:r>
      <w:r w:rsidRPr="003B1447">
        <w:rPr>
          <w:i/>
          <w:lang w:eastAsia="cs-CZ"/>
        </w:rPr>
        <w:t>Ostatní nedaňové příjmy jinde nezařazené</w:t>
      </w:r>
      <w:r w:rsidR="00565512">
        <w:rPr>
          <w:i/>
          <w:lang w:eastAsia="cs-CZ"/>
        </w:rPr>
        <w:t xml:space="preserve"> (</w:t>
      </w:r>
      <w:r w:rsidR="00565512" w:rsidRPr="00565512">
        <w:rPr>
          <w:lang w:eastAsia="cs-CZ"/>
        </w:rPr>
        <w:t xml:space="preserve">viz bod </w:t>
      </w:r>
      <w:proofErr w:type="gramStart"/>
      <w:r w:rsidR="00F721A1" w:rsidRPr="00565512">
        <w:rPr>
          <w:lang w:eastAsia="cs-CZ"/>
        </w:rPr>
        <w:t>I</w:t>
      </w:r>
      <w:r w:rsidR="00F721A1">
        <w:rPr>
          <w:lang w:eastAsia="cs-CZ"/>
        </w:rPr>
        <w:t>V</w:t>
      </w:r>
      <w:r w:rsidR="00565512" w:rsidRPr="00565512">
        <w:rPr>
          <w:lang w:eastAsia="cs-CZ"/>
        </w:rPr>
        <w:t>.</w:t>
      </w:r>
      <w:r w:rsidR="00185710">
        <w:rPr>
          <w:lang w:eastAsia="cs-CZ"/>
        </w:rPr>
        <w:t>3</w:t>
      </w:r>
      <w:r w:rsidR="00565512" w:rsidRPr="00565512">
        <w:rPr>
          <w:lang w:eastAsia="cs-CZ"/>
        </w:rPr>
        <w:t xml:space="preserve"> tohoto</w:t>
      </w:r>
      <w:proofErr w:type="gramEnd"/>
      <w:r w:rsidR="00565512" w:rsidRPr="00565512">
        <w:rPr>
          <w:lang w:eastAsia="cs-CZ"/>
        </w:rPr>
        <w:t xml:space="preserve"> kontrolního závěru</w:t>
      </w:r>
      <w:r w:rsidR="00565512">
        <w:rPr>
          <w:i/>
          <w:lang w:eastAsia="cs-CZ"/>
        </w:rPr>
        <w:t>)</w:t>
      </w:r>
      <w:r>
        <w:rPr>
          <w:lang w:eastAsia="cs-CZ"/>
        </w:rPr>
        <w:t>.</w:t>
      </w:r>
    </w:p>
    <w:p w14:paraId="47BF3C0C" w14:textId="77777777" w:rsidR="00A50B68" w:rsidRPr="00965C4E" w:rsidRDefault="00A50B68" w:rsidP="00A5523B">
      <w:pPr>
        <w:spacing w:after="0"/>
      </w:pPr>
    </w:p>
    <w:p w14:paraId="7A4CEB55" w14:textId="0BF9B55C" w:rsidR="00112642" w:rsidRPr="00203F77" w:rsidRDefault="000E4F71" w:rsidP="000E4F71">
      <w:pPr>
        <w:pStyle w:val="Nadpis2"/>
        <w:numPr>
          <w:ilvl w:val="0"/>
          <w:numId w:val="0"/>
        </w:numPr>
        <w:spacing w:after="0" w:line="240" w:lineRule="auto"/>
        <w:contextualSpacing w:val="0"/>
        <w:rPr>
          <w:lang w:eastAsia="cs-CZ"/>
        </w:rPr>
      </w:pPr>
      <w:r>
        <w:rPr>
          <w:lang w:eastAsia="cs-CZ"/>
        </w:rPr>
        <w:t xml:space="preserve">5. </w:t>
      </w:r>
      <w:r w:rsidR="00112642" w:rsidRPr="00203F77">
        <w:rPr>
          <w:lang w:eastAsia="cs-CZ"/>
        </w:rPr>
        <w:t xml:space="preserve">Nesprávnosti zjištěné v závěrečném účtu </w:t>
      </w:r>
      <w:r w:rsidR="00112642">
        <w:rPr>
          <w:lang w:eastAsia="cs-CZ"/>
        </w:rPr>
        <w:t>kapitoly 307 MO</w:t>
      </w:r>
    </w:p>
    <w:p w14:paraId="5037EE45" w14:textId="77777777" w:rsidR="00A5523B" w:rsidRDefault="00A5523B" w:rsidP="00A5523B">
      <w:pPr>
        <w:spacing w:after="0"/>
        <w:jc w:val="both"/>
        <w:rPr>
          <w:rFonts w:asciiTheme="minorHAnsi" w:hAnsiTheme="minorHAnsi" w:cs="Calibri"/>
        </w:rPr>
      </w:pPr>
    </w:p>
    <w:p w14:paraId="73ED2106" w14:textId="05AD9C04" w:rsidR="00112642" w:rsidRPr="006F3F69" w:rsidRDefault="00112642" w:rsidP="00A5523B">
      <w:pPr>
        <w:spacing w:after="0"/>
        <w:jc w:val="both"/>
        <w:rPr>
          <w:rFonts w:asciiTheme="minorHAnsi" w:hAnsiTheme="minorHAnsi" w:cs="Calibri"/>
        </w:rPr>
      </w:pPr>
      <w:r w:rsidRPr="006F3F69">
        <w:rPr>
          <w:rFonts w:asciiTheme="minorHAnsi" w:hAnsiTheme="minorHAnsi" w:cs="Calibri"/>
        </w:rPr>
        <w:t>Závěrečný účet kapitoly 307 MO byl zpracován v rozsahu stanoveném vyhláškou č. 419/2001 Sb.</w:t>
      </w:r>
      <w:r w:rsidR="00565512">
        <w:rPr>
          <w:rFonts w:asciiTheme="minorHAnsi" w:hAnsiTheme="minorHAnsi" w:cs="Calibri"/>
        </w:rPr>
        <w:t xml:space="preserve"> </w:t>
      </w:r>
      <w:r w:rsidRPr="006F3F69">
        <w:rPr>
          <w:rFonts w:asciiTheme="minorHAnsi" w:hAnsiTheme="minorHAnsi" w:cs="Calibri"/>
        </w:rPr>
        <w:t xml:space="preserve">a obsahoval </w:t>
      </w:r>
      <w:r w:rsidR="00565512">
        <w:rPr>
          <w:rFonts w:asciiTheme="minorHAnsi" w:hAnsiTheme="minorHAnsi" w:cs="Calibri"/>
        </w:rPr>
        <w:t xml:space="preserve">všechny </w:t>
      </w:r>
      <w:r w:rsidRPr="006F3F69">
        <w:rPr>
          <w:rFonts w:asciiTheme="minorHAnsi" w:hAnsiTheme="minorHAnsi" w:cs="Calibri"/>
        </w:rPr>
        <w:t xml:space="preserve">náležitosti dle této vyhlášky </w:t>
      </w:r>
      <w:r w:rsidR="003965E0">
        <w:rPr>
          <w:rFonts w:asciiTheme="minorHAnsi" w:hAnsiTheme="minorHAnsi" w:cs="Calibri"/>
        </w:rPr>
        <w:t>–</w:t>
      </w:r>
      <w:r w:rsidRPr="006F3F69">
        <w:rPr>
          <w:rFonts w:asciiTheme="minorHAnsi" w:hAnsiTheme="minorHAnsi" w:cs="Calibri"/>
        </w:rPr>
        <w:t xml:space="preserve"> průvodní zprávu, povinné číselné sestavy a tabulkové přílohy. </w:t>
      </w:r>
      <w:r w:rsidRPr="00931D82">
        <w:t xml:space="preserve">Při kontrole závěrečného účtu kapitoly 307 MO </w:t>
      </w:r>
      <w:r w:rsidRPr="00A50B68">
        <w:rPr>
          <w:b/>
        </w:rPr>
        <w:t>nebyly zjištěny nedostatky</w:t>
      </w:r>
      <w:r w:rsidRPr="00555A33">
        <w:rPr>
          <w:b/>
        </w:rPr>
        <w:t>.</w:t>
      </w:r>
    </w:p>
    <w:p w14:paraId="39DD4675" w14:textId="5B0EC2E2" w:rsidR="00A5523B" w:rsidRDefault="00A5523B" w:rsidP="00A5523B">
      <w:pPr>
        <w:spacing w:after="0"/>
        <w:jc w:val="both"/>
        <w:rPr>
          <w:rFonts w:asciiTheme="minorHAnsi" w:hAnsiTheme="minorHAnsi" w:cs="Calibri"/>
        </w:rPr>
      </w:pPr>
    </w:p>
    <w:p w14:paraId="605731A4" w14:textId="77777777" w:rsidR="00A5523B" w:rsidRDefault="00A5523B" w:rsidP="00A5523B">
      <w:pPr>
        <w:spacing w:after="0"/>
        <w:jc w:val="both"/>
        <w:rPr>
          <w:rFonts w:asciiTheme="minorHAnsi" w:hAnsiTheme="minorHAnsi" w:cs="Calibri"/>
        </w:rPr>
      </w:pPr>
    </w:p>
    <w:p w14:paraId="12376404" w14:textId="0ABF2F80" w:rsidR="00112642" w:rsidRDefault="00112642" w:rsidP="00112642">
      <w:pPr>
        <w:spacing w:after="160" w:line="259" w:lineRule="auto"/>
        <w:rPr>
          <w:rFonts w:asciiTheme="minorHAnsi" w:eastAsiaTheme="minorHAnsi" w:hAnsiTheme="minorHAnsi" w:cstheme="minorHAnsi"/>
          <w:b/>
        </w:rPr>
      </w:pPr>
    </w:p>
    <w:p w14:paraId="39113FF1" w14:textId="70470570" w:rsidR="00112642" w:rsidRPr="00CF514D" w:rsidRDefault="003965E0" w:rsidP="00112642">
      <w:pPr>
        <w:spacing w:line="276" w:lineRule="auto"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lastRenderedPageBreak/>
        <w:t>Seznam zkratek</w:t>
      </w:r>
    </w:p>
    <w:p w14:paraId="65CEC9E7" w14:textId="3F45D8F4" w:rsidR="00112642" w:rsidRDefault="00112642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AČR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</w:r>
      <w:r w:rsidR="00017CCE">
        <w:rPr>
          <w:rFonts w:asciiTheme="minorHAnsi" w:eastAsiaTheme="minorHAnsi" w:hAnsiTheme="minorHAnsi" w:cstheme="minorHAnsi"/>
        </w:rPr>
        <w:t>Armáda</w:t>
      </w:r>
      <w:r w:rsidRPr="00115FC3">
        <w:rPr>
          <w:rFonts w:asciiTheme="minorHAnsi" w:eastAsiaTheme="minorHAnsi" w:hAnsiTheme="minorHAnsi" w:cstheme="minorHAnsi"/>
        </w:rPr>
        <w:t xml:space="preserve"> České republiky</w:t>
      </w:r>
    </w:p>
    <w:p w14:paraId="1C92D972" w14:textId="6FA89E88" w:rsidR="00112642" w:rsidRDefault="00112642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ČR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  <w:t>Česká republika</w:t>
      </w:r>
    </w:p>
    <w:p w14:paraId="6866DAE7" w14:textId="318CAD4C" w:rsidR="000E4F71" w:rsidRPr="009747B3" w:rsidRDefault="000E4F71" w:rsidP="009747B3">
      <w:pPr>
        <w:tabs>
          <w:tab w:val="left" w:pos="2127"/>
          <w:tab w:val="left" w:pos="2552"/>
        </w:tabs>
        <w:spacing w:after="80" w:line="276" w:lineRule="auto"/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ČÚS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</w:r>
      <w:r w:rsidR="009747B3">
        <w:rPr>
          <w:rFonts w:asciiTheme="minorHAnsi" w:eastAsiaTheme="minorHAnsi" w:hAnsiTheme="minorHAnsi" w:cstheme="minorHAnsi"/>
        </w:rPr>
        <w:t>č</w:t>
      </w:r>
      <w:r>
        <w:rPr>
          <w:rFonts w:asciiTheme="minorHAnsi" w:eastAsiaTheme="minorHAnsi" w:hAnsiTheme="minorHAnsi" w:cstheme="minorHAnsi"/>
        </w:rPr>
        <w:t>eský účetní standard</w:t>
      </w:r>
      <w:r w:rsidRPr="000E4F71">
        <w:t xml:space="preserve"> </w:t>
      </w:r>
      <w:r w:rsidR="009747B3">
        <w:t>pro některé vybrané účetní jednotky</w:t>
      </w:r>
    </w:p>
    <w:p w14:paraId="5D9AD569" w14:textId="530E5885" w:rsidR="000B169C" w:rsidRDefault="000B169C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KA</w:t>
      </w:r>
      <w:r>
        <w:rPr>
          <w:rFonts w:asciiTheme="minorHAnsi" w:eastAsiaTheme="minorHAnsi" w:hAnsiTheme="minorHAnsi" w:cstheme="minorHAnsi"/>
        </w:rPr>
        <w:tab/>
      </w:r>
      <w:r w:rsidRPr="00CF514D">
        <w:rPr>
          <w:rFonts w:asciiTheme="minorHAnsi" w:eastAsiaTheme="minorHAnsi" w:hAnsiTheme="minorHAnsi" w:cstheme="minorHAnsi"/>
        </w:rPr>
        <w:t>–</w:t>
      </w:r>
      <w:r>
        <w:rPr>
          <w:rFonts w:asciiTheme="minorHAnsi" w:eastAsiaTheme="minorHAnsi" w:hAnsiTheme="minorHAnsi" w:cstheme="minorHAnsi"/>
        </w:rPr>
        <w:tab/>
        <w:t>kontrolní akce</w:t>
      </w:r>
    </w:p>
    <w:p w14:paraId="27F5D3A9" w14:textId="77777777" w:rsidR="006F47CD" w:rsidRPr="0080455E" w:rsidRDefault="006F47CD" w:rsidP="006F47CD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  <w:i/>
        </w:rPr>
      </w:pPr>
      <w:r>
        <w:rPr>
          <w:rFonts w:asciiTheme="minorHAnsi" w:eastAsiaTheme="minorHAnsi" w:hAnsiTheme="minorHAnsi" w:cstheme="minorHAnsi"/>
        </w:rPr>
        <w:t>kapitola 307 MO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  <w:t xml:space="preserve">kapitola státního rozpočtu 307 – </w:t>
      </w:r>
      <w:r>
        <w:rPr>
          <w:rFonts w:asciiTheme="minorHAnsi" w:eastAsiaTheme="minorHAnsi" w:hAnsiTheme="minorHAnsi" w:cstheme="minorHAnsi"/>
          <w:i/>
        </w:rPr>
        <w:t>Ministerstvo obrany</w:t>
      </w:r>
    </w:p>
    <w:p w14:paraId="6582C17C" w14:textId="05290C7A" w:rsidR="000B169C" w:rsidRDefault="000B169C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KZ</w:t>
      </w:r>
      <w:r>
        <w:rPr>
          <w:rFonts w:asciiTheme="minorHAnsi" w:eastAsiaTheme="minorHAnsi" w:hAnsiTheme="minorHAnsi" w:cstheme="minorHAnsi"/>
        </w:rPr>
        <w:tab/>
      </w:r>
      <w:r w:rsidRPr="00CF514D">
        <w:rPr>
          <w:rFonts w:asciiTheme="minorHAnsi" w:eastAsiaTheme="minorHAnsi" w:hAnsiTheme="minorHAnsi" w:cstheme="minorHAnsi"/>
        </w:rPr>
        <w:t>–</w:t>
      </w:r>
      <w:r>
        <w:rPr>
          <w:rFonts w:asciiTheme="minorHAnsi" w:eastAsiaTheme="minorHAnsi" w:hAnsiTheme="minorHAnsi" w:cstheme="minorHAnsi"/>
        </w:rPr>
        <w:tab/>
        <w:t>kontrolní závěr</w:t>
      </w:r>
    </w:p>
    <w:p w14:paraId="060EAE02" w14:textId="32D6C98F" w:rsidR="00112642" w:rsidRDefault="00112642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M</w:t>
      </w:r>
      <w:r w:rsidR="00017CCE">
        <w:rPr>
          <w:rFonts w:asciiTheme="minorHAnsi" w:eastAsiaTheme="minorHAnsi" w:hAnsiTheme="minorHAnsi" w:cstheme="minorHAnsi"/>
        </w:rPr>
        <w:t>O</w:t>
      </w:r>
      <w:r w:rsidRPr="00CF514D">
        <w:rPr>
          <w:rFonts w:asciiTheme="minorHAnsi" w:eastAsiaTheme="minorHAnsi" w:hAnsiTheme="minorHAnsi" w:cstheme="minorHAnsi"/>
        </w:rPr>
        <w:tab/>
        <w:t>–</w:t>
      </w:r>
      <w:r w:rsidRPr="00CF514D">
        <w:rPr>
          <w:rFonts w:asciiTheme="minorHAnsi" w:eastAsiaTheme="minorHAnsi" w:hAnsiTheme="minorHAnsi" w:cstheme="minorHAnsi"/>
        </w:rPr>
        <w:tab/>
        <w:t xml:space="preserve">Ministerstvo </w:t>
      </w:r>
      <w:r w:rsidR="00017CCE">
        <w:rPr>
          <w:rFonts w:asciiTheme="minorHAnsi" w:eastAsiaTheme="minorHAnsi" w:hAnsiTheme="minorHAnsi" w:cstheme="minorHAnsi"/>
        </w:rPr>
        <w:t>obrany</w:t>
      </w:r>
    </w:p>
    <w:p w14:paraId="7C363E97" w14:textId="74FF3A0E" w:rsidR="00112642" w:rsidRPr="00CF514D" w:rsidRDefault="00112642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NKÚ</w:t>
      </w:r>
      <w:r w:rsidRPr="00CF514D">
        <w:rPr>
          <w:rFonts w:asciiTheme="minorHAnsi" w:eastAsiaTheme="minorHAnsi" w:hAnsiTheme="minorHAnsi" w:cstheme="minorHAnsi"/>
        </w:rPr>
        <w:tab/>
        <w:t>–</w:t>
      </w:r>
      <w:r w:rsidRPr="00CF514D">
        <w:rPr>
          <w:rFonts w:asciiTheme="minorHAnsi" w:eastAsiaTheme="minorHAnsi" w:hAnsiTheme="minorHAnsi" w:cstheme="minorHAnsi"/>
        </w:rPr>
        <w:tab/>
        <w:t>Nejvyšší kontrolní úřad</w:t>
      </w:r>
    </w:p>
    <w:p w14:paraId="480C2C14" w14:textId="34EBB31F" w:rsidR="00112642" w:rsidRDefault="00017CCE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NATO</w:t>
      </w:r>
      <w:r w:rsidR="00112642">
        <w:rPr>
          <w:rFonts w:asciiTheme="minorHAnsi" w:eastAsiaTheme="minorHAnsi" w:hAnsiTheme="minorHAnsi" w:cstheme="minorHAnsi"/>
        </w:rPr>
        <w:tab/>
        <w:t>–</w:t>
      </w:r>
      <w:r w:rsidR="00112642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>Severoatlantická aliance (</w:t>
      </w:r>
      <w:proofErr w:type="spellStart"/>
      <w:r>
        <w:rPr>
          <w:rFonts w:asciiTheme="minorHAnsi" w:eastAsiaTheme="minorHAnsi" w:hAnsiTheme="minorHAnsi" w:cstheme="minorHAnsi"/>
        </w:rPr>
        <w:t>North</w:t>
      </w:r>
      <w:proofErr w:type="spellEnd"/>
      <w:r>
        <w:rPr>
          <w:rFonts w:asciiTheme="minorHAnsi" w:eastAsiaTheme="minorHAnsi" w:hAnsiTheme="minorHAnsi" w:cstheme="minorHAnsi"/>
        </w:rPr>
        <w:t xml:space="preserve"> </w:t>
      </w:r>
      <w:proofErr w:type="spellStart"/>
      <w:r>
        <w:rPr>
          <w:rFonts w:asciiTheme="minorHAnsi" w:eastAsiaTheme="minorHAnsi" w:hAnsiTheme="minorHAnsi" w:cstheme="minorHAnsi"/>
        </w:rPr>
        <w:t>Atlantic</w:t>
      </w:r>
      <w:proofErr w:type="spellEnd"/>
      <w:r>
        <w:rPr>
          <w:rFonts w:asciiTheme="minorHAnsi" w:eastAsiaTheme="minorHAnsi" w:hAnsiTheme="minorHAnsi" w:cstheme="minorHAnsi"/>
        </w:rPr>
        <w:t xml:space="preserve"> </w:t>
      </w:r>
      <w:proofErr w:type="spellStart"/>
      <w:r>
        <w:rPr>
          <w:rFonts w:asciiTheme="minorHAnsi" w:eastAsiaTheme="minorHAnsi" w:hAnsiTheme="minorHAnsi" w:cstheme="minorHAnsi"/>
        </w:rPr>
        <w:t>Treaty</w:t>
      </w:r>
      <w:proofErr w:type="spellEnd"/>
      <w:r>
        <w:rPr>
          <w:rFonts w:asciiTheme="minorHAnsi" w:eastAsiaTheme="minorHAnsi" w:hAnsiTheme="minorHAnsi" w:cstheme="minorHAnsi"/>
        </w:rPr>
        <w:t xml:space="preserve"> </w:t>
      </w:r>
      <w:proofErr w:type="spellStart"/>
      <w:r>
        <w:rPr>
          <w:rFonts w:asciiTheme="minorHAnsi" w:eastAsiaTheme="minorHAnsi" w:hAnsiTheme="minorHAnsi" w:cstheme="minorHAnsi"/>
        </w:rPr>
        <w:t>Organization</w:t>
      </w:r>
      <w:proofErr w:type="spellEnd"/>
      <w:r>
        <w:rPr>
          <w:rFonts w:asciiTheme="minorHAnsi" w:eastAsiaTheme="minorHAnsi" w:hAnsiTheme="minorHAnsi" w:cstheme="minorHAnsi"/>
        </w:rPr>
        <w:t>)</w:t>
      </w:r>
    </w:p>
    <w:p w14:paraId="5BD08842" w14:textId="7E631362" w:rsidR="00112642" w:rsidRPr="00CF514D" w:rsidRDefault="00112642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OSS</w:t>
      </w:r>
      <w:r w:rsidRPr="00CF514D">
        <w:rPr>
          <w:rFonts w:asciiTheme="minorHAnsi" w:eastAsiaTheme="minorHAnsi" w:hAnsiTheme="minorHAnsi" w:cstheme="minorHAnsi"/>
        </w:rPr>
        <w:tab/>
        <w:t>–</w:t>
      </w:r>
      <w:r w:rsidRPr="00CF514D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>o</w:t>
      </w:r>
      <w:r w:rsidRPr="00CF514D">
        <w:rPr>
          <w:rFonts w:asciiTheme="minorHAnsi" w:eastAsiaTheme="minorHAnsi" w:hAnsiTheme="minorHAnsi" w:cstheme="minorHAnsi"/>
        </w:rPr>
        <w:t>rganizační složka/y státu</w:t>
      </w:r>
    </w:p>
    <w:p w14:paraId="66C27159" w14:textId="20087A8E" w:rsidR="00112642" w:rsidRPr="00CF514D" w:rsidRDefault="00112642" w:rsidP="00112642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ÚZ</w:t>
      </w:r>
      <w:r w:rsidRPr="00CF514D">
        <w:rPr>
          <w:rFonts w:asciiTheme="minorHAnsi" w:eastAsiaTheme="minorHAnsi" w:hAnsiTheme="minorHAnsi" w:cstheme="minorHAnsi"/>
        </w:rPr>
        <w:tab/>
        <w:t>–</w:t>
      </w:r>
      <w:r w:rsidRPr="00CF514D"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>ú</w:t>
      </w:r>
      <w:r w:rsidRPr="00CF514D">
        <w:rPr>
          <w:rFonts w:asciiTheme="minorHAnsi" w:eastAsiaTheme="minorHAnsi" w:hAnsiTheme="minorHAnsi" w:cstheme="minorHAnsi"/>
        </w:rPr>
        <w:t>četní závěrka</w:t>
      </w:r>
      <w:r w:rsidR="000B169C">
        <w:rPr>
          <w:rFonts w:asciiTheme="minorHAnsi" w:eastAsiaTheme="minorHAnsi" w:hAnsiTheme="minorHAnsi" w:cstheme="minorHAnsi"/>
        </w:rPr>
        <w:t xml:space="preserve"> MO</w:t>
      </w:r>
    </w:p>
    <w:p w14:paraId="3737BDDC" w14:textId="77777777" w:rsidR="0033466E" w:rsidRDefault="0033466E" w:rsidP="0033466E">
      <w:pPr>
        <w:spacing w:after="0" w:line="259" w:lineRule="auto"/>
        <w:jc w:val="both"/>
        <w:rPr>
          <w:rFonts w:asciiTheme="minorHAnsi" w:eastAsiaTheme="minorHAnsi" w:hAnsiTheme="minorHAnsi" w:cs="Calibri"/>
        </w:rPr>
      </w:pPr>
    </w:p>
    <w:sectPr w:rsidR="0033466E" w:rsidSect="009A5856">
      <w:footerReference w:type="default" r:id="rId15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42627" w14:textId="77777777" w:rsidR="00BA15A2" w:rsidRDefault="00BA15A2" w:rsidP="002B7978">
      <w:pPr>
        <w:spacing w:after="0"/>
      </w:pPr>
      <w:r>
        <w:separator/>
      </w:r>
    </w:p>
  </w:endnote>
  <w:endnote w:type="continuationSeparator" w:id="0">
    <w:p w14:paraId="0005FDA5" w14:textId="77777777" w:rsidR="00BA15A2" w:rsidRDefault="00BA15A2" w:rsidP="002B79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927037"/>
      <w:docPartObj>
        <w:docPartGallery w:val="Page Numbers (Bottom of Page)"/>
        <w:docPartUnique/>
      </w:docPartObj>
    </w:sdtPr>
    <w:sdtEndPr/>
    <w:sdtContent>
      <w:p w14:paraId="01E3329D" w14:textId="2F57CA32" w:rsidR="00BA15A2" w:rsidRDefault="00BA15A2" w:rsidP="00644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5F5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9B739" w14:textId="77777777" w:rsidR="00BA15A2" w:rsidRDefault="00BA15A2" w:rsidP="002B7978">
      <w:pPr>
        <w:spacing w:after="0"/>
      </w:pPr>
      <w:r>
        <w:separator/>
      </w:r>
    </w:p>
  </w:footnote>
  <w:footnote w:type="continuationSeparator" w:id="0">
    <w:p w14:paraId="79BC746D" w14:textId="77777777" w:rsidR="00BA15A2" w:rsidRDefault="00BA15A2" w:rsidP="002B7978">
      <w:pPr>
        <w:spacing w:after="0"/>
      </w:pPr>
      <w:r>
        <w:continuationSeparator/>
      </w:r>
    </w:p>
  </w:footnote>
  <w:footnote w:id="1">
    <w:p w14:paraId="020AA9DE" w14:textId="39EB90CF" w:rsidR="00BA15A2" w:rsidRDefault="00BA15A2" w:rsidP="00C05A8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05A88">
        <w:rPr>
          <w:rFonts w:asciiTheme="minorHAnsi" w:hAnsiTheme="minorHAnsi" w:cstheme="minorHAnsi"/>
        </w:rPr>
        <w:t xml:space="preserve">Kontrolní akce č. 13/29 – </w:t>
      </w:r>
      <w:r w:rsidRPr="00C05A88">
        <w:rPr>
          <w:rFonts w:asciiTheme="minorHAnsi" w:hAnsiTheme="minorHAnsi" w:cstheme="minorHAnsi"/>
          <w:i/>
        </w:rPr>
        <w:t>Závěrečný účet kapitoly státního rozpočtu Ministerstvo obrany za rok 2012, účetní závěrka a finanční výkazy Ministerstva obrany za rok 2012</w:t>
      </w:r>
      <w:r w:rsidRPr="00C05A88">
        <w:rPr>
          <w:rFonts w:asciiTheme="minorHAnsi" w:hAnsiTheme="minorHAnsi" w:cstheme="minorHAnsi"/>
        </w:rPr>
        <w:t xml:space="preserve">, kontrolní závěr byl zveřejněn v částce </w:t>
      </w:r>
      <w:r>
        <w:rPr>
          <w:rFonts w:asciiTheme="minorHAnsi" w:hAnsiTheme="minorHAnsi" w:cstheme="minorHAnsi"/>
        </w:rPr>
        <w:t>3/2014</w:t>
      </w:r>
      <w:r w:rsidRPr="00C05A88">
        <w:rPr>
          <w:rFonts w:asciiTheme="minorHAnsi" w:hAnsiTheme="minorHAnsi" w:cstheme="minorHAnsi"/>
        </w:rPr>
        <w:t xml:space="preserve"> </w:t>
      </w:r>
      <w:r w:rsidRPr="00555A33">
        <w:rPr>
          <w:rFonts w:asciiTheme="minorHAnsi" w:hAnsiTheme="minorHAnsi" w:cstheme="minorHAnsi"/>
          <w:i/>
        </w:rPr>
        <w:t>Věstníku NKÚ</w:t>
      </w:r>
      <w:r w:rsidRPr="00C05A88">
        <w:rPr>
          <w:rFonts w:asciiTheme="minorHAnsi" w:hAnsiTheme="minorHAnsi" w:cstheme="minorHAnsi"/>
        </w:rPr>
        <w:t>.</w:t>
      </w:r>
    </w:p>
  </w:footnote>
  <w:footnote w:id="2">
    <w:p w14:paraId="23FD767E" w14:textId="30D61B8D" w:rsidR="00BA15A2" w:rsidRPr="00C05A88" w:rsidRDefault="00BA15A2" w:rsidP="00480446">
      <w:pPr>
        <w:pStyle w:val="textodstavce"/>
        <w:spacing w:after="0"/>
        <w:ind w:left="284" w:hanging="284"/>
        <w:rPr>
          <w:lang w:eastAsia="cs-CZ"/>
        </w:rPr>
      </w:pPr>
      <w:r w:rsidRPr="00304A16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Kontrolní akce 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č. 14/08 – </w:t>
      </w:r>
      <w:r w:rsidRPr="00C05A88">
        <w:rPr>
          <w:rFonts w:asciiTheme="minorHAnsi" w:hAnsiTheme="minorHAnsi" w:cstheme="minorHAnsi"/>
          <w:i/>
          <w:sz w:val="20"/>
          <w:szCs w:val="20"/>
          <w:lang w:eastAsia="cs-CZ"/>
        </w:rPr>
        <w:t>Prostředky státu v oblasti důchodového pojištění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 (kromě MO byla kontrola prováděna i u M</w:t>
      </w:r>
      <w:r>
        <w:rPr>
          <w:rFonts w:asciiTheme="minorHAnsi" w:hAnsiTheme="minorHAnsi" w:cstheme="minorHAnsi"/>
          <w:sz w:val="20"/>
          <w:szCs w:val="20"/>
          <w:lang w:eastAsia="cs-CZ"/>
        </w:rPr>
        <w:t>inisterstva práce a sociálních věcí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Ministerstva financí 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>a M</w:t>
      </w:r>
      <w:r>
        <w:rPr>
          <w:rFonts w:asciiTheme="minorHAnsi" w:hAnsiTheme="minorHAnsi" w:cstheme="minorHAnsi"/>
          <w:sz w:val="20"/>
          <w:szCs w:val="20"/>
          <w:lang w:eastAsia="cs-CZ"/>
        </w:rPr>
        <w:t>inisterstva vnitra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), kontrolní závěr byl zveřejněn v částce </w:t>
      </w:r>
      <w:r>
        <w:rPr>
          <w:rFonts w:asciiTheme="minorHAnsi" w:hAnsiTheme="minorHAnsi" w:cstheme="minorHAnsi"/>
          <w:sz w:val="20"/>
          <w:szCs w:val="20"/>
          <w:lang w:eastAsia="cs-CZ"/>
        </w:rPr>
        <w:t>1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/2015 </w:t>
      </w:r>
      <w:r w:rsidRPr="00555A33">
        <w:rPr>
          <w:rFonts w:asciiTheme="minorHAnsi" w:hAnsiTheme="minorHAnsi" w:cstheme="minorHAnsi"/>
          <w:i/>
          <w:sz w:val="20"/>
          <w:szCs w:val="20"/>
          <w:lang w:eastAsia="cs-CZ"/>
        </w:rPr>
        <w:t>Věstníku NKÚ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>.</w:t>
      </w:r>
      <w:r w:rsidRPr="00304A1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>Přehled přijatých opatření MO ke KZ z KA č. 14/08 společně s</w:t>
      </w:r>
      <w:r w:rsidR="00555A33"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>výsledky ověření jejich účinnosti byl</w:t>
      </w:r>
      <w:r>
        <w:rPr>
          <w:rFonts w:asciiTheme="minorHAnsi" w:hAnsiTheme="minorHAnsi" w:cstheme="minorHAnsi"/>
          <w:sz w:val="20"/>
          <w:szCs w:val="20"/>
          <w:lang w:eastAsia="cs-CZ"/>
        </w:rPr>
        <w:t>y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 xml:space="preserve"> vyhodnocen</w:t>
      </w:r>
      <w:r>
        <w:rPr>
          <w:rFonts w:asciiTheme="minorHAnsi" w:hAnsiTheme="minorHAnsi" w:cstheme="minorHAnsi"/>
          <w:sz w:val="20"/>
          <w:szCs w:val="20"/>
          <w:lang w:eastAsia="cs-CZ"/>
        </w:rPr>
        <w:t>y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 xml:space="preserve"> ve vztahu k předmětu a cíli KA č. 17/30.</w:t>
      </w:r>
    </w:p>
  </w:footnote>
  <w:footnote w:id="3">
    <w:p w14:paraId="1750E6A8" w14:textId="51D7D33C" w:rsidR="00BA15A2" w:rsidRPr="00480446" w:rsidRDefault="00BA15A2" w:rsidP="00480446">
      <w:pPr>
        <w:pStyle w:val="textodstavce"/>
        <w:spacing w:after="0"/>
        <w:ind w:left="284" w:hanging="284"/>
        <w:rPr>
          <w:rFonts w:asciiTheme="minorHAnsi" w:hAnsiTheme="minorHAnsi" w:cstheme="minorHAnsi"/>
          <w:sz w:val="20"/>
          <w:szCs w:val="20"/>
          <w:lang w:eastAsia="cs-CZ"/>
        </w:rPr>
      </w:pPr>
      <w:r w:rsidRPr="00DB44A2">
        <w:rPr>
          <w:rStyle w:val="Znakapoznpodarou"/>
          <w:sz w:val="20"/>
          <w:szCs w:val="20"/>
        </w:rPr>
        <w:footnoteRef/>
      </w:r>
      <w:r>
        <w:t xml:space="preserve"> </w:t>
      </w:r>
      <w:r>
        <w:tab/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Kontrolní akce 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č. 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 xml:space="preserve">15/34 – </w:t>
      </w:r>
      <w:r w:rsidRPr="00480446">
        <w:rPr>
          <w:rFonts w:asciiTheme="minorHAnsi" w:hAnsiTheme="minorHAnsi" w:cstheme="minorHAnsi"/>
          <w:i/>
          <w:sz w:val="20"/>
          <w:szCs w:val="20"/>
          <w:lang w:eastAsia="cs-CZ"/>
        </w:rPr>
        <w:t xml:space="preserve">Peněžní prostředky vynakládané na úhradu nákladů z činnosti u vybraných ministerstev 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>(kromě MO byla kon</w:t>
      </w:r>
      <w:r>
        <w:rPr>
          <w:rFonts w:asciiTheme="minorHAnsi" w:hAnsiTheme="minorHAnsi" w:cstheme="minorHAnsi"/>
          <w:sz w:val="20"/>
          <w:szCs w:val="20"/>
          <w:lang w:eastAsia="cs-CZ"/>
        </w:rPr>
        <w:t>trola prováděna i u Ministerstva práce a sociálních věcí a Ministerstva zemědělství)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, kontrolní závěr byl zveřejněn v částce </w:t>
      </w:r>
      <w:r>
        <w:rPr>
          <w:rFonts w:asciiTheme="minorHAnsi" w:hAnsiTheme="minorHAnsi" w:cstheme="minorHAnsi"/>
          <w:sz w:val="20"/>
          <w:szCs w:val="20"/>
          <w:lang w:eastAsia="cs-CZ"/>
        </w:rPr>
        <w:t>4/2016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555A33">
        <w:rPr>
          <w:rFonts w:asciiTheme="minorHAnsi" w:hAnsiTheme="minorHAnsi" w:cstheme="minorHAnsi"/>
          <w:i/>
          <w:sz w:val="20"/>
          <w:szCs w:val="20"/>
          <w:lang w:eastAsia="cs-CZ"/>
        </w:rPr>
        <w:t>Věstníku NKÚ</w:t>
      </w:r>
      <w:r w:rsidRPr="00C05A88">
        <w:rPr>
          <w:rFonts w:asciiTheme="minorHAnsi" w:hAnsiTheme="minorHAnsi" w:cstheme="minorHAnsi"/>
          <w:sz w:val="20"/>
          <w:szCs w:val="20"/>
          <w:lang w:eastAsia="cs-CZ"/>
        </w:rPr>
        <w:t>.</w:t>
      </w:r>
      <w:r w:rsidRPr="00480446">
        <w:rPr>
          <w:rFonts w:asciiTheme="minorHAnsi" w:hAnsiTheme="minorHAnsi" w:cstheme="minorHAnsi"/>
          <w:sz w:val="20"/>
          <w:szCs w:val="20"/>
        </w:rPr>
        <w:t xml:space="preserve"> 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>Přehled přijatých opatření MO ke KZ z KA č. 14/08 společně s výsledky ověření jejich účinn</w:t>
      </w:r>
      <w:r>
        <w:rPr>
          <w:rFonts w:asciiTheme="minorHAnsi" w:hAnsiTheme="minorHAnsi" w:cstheme="minorHAnsi"/>
          <w:sz w:val="20"/>
          <w:szCs w:val="20"/>
          <w:lang w:eastAsia="cs-CZ"/>
        </w:rPr>
        <w:t>osti byly vyhodnoceny ve vztahu k </w:t>
      </w:r>
      <w:r w:rsidRPr="00480446">
        <w:rPr>
          <w:rFonts w:asciiTheme="minorHAnsi" w:hAnsiTheme="minorHAnsi" w:cstheme="minorHAnsi"/>
          <w:sz w:val="20"/>
          <w:szCs w:val="20"/>
          <w:lang w:eastAsia="cs-CZ"/>
        </w:rPr>
        <w:t>předmětu a cíli KA č. 17/30.</w:t>
      </w:r>
    </w:p>
  </w:footnote>
  <w:footnote w:id="4">
    <w:p w14:paraId="27AF661A" w14:textId="24DB5617" w:rsidR="00BA15A2" w:rsidRPr="00E500FD" w:rsidRDefault="00BA15A2" w:rsidP="0033466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500FD">
        <w:rPr>
          <w:rStyle w:val="Znakapoznpodarou"/>
          <w:rFonts w:asciiTheme="minorHAnsi" w:hAnsiTheme="minorHAnsi" w:cstheme="minorHAnsi"/>
        </w:rPr>
        <w:footnoteRef/>
      </w:r>
      <w:r w:rsidRPr="00E500FD">
        <w:rPr>
          <w:rFonts w:asciiTheme="minorHAnsi" w:hAnsiTheme="minorHAnsi" w:cstheme="minorHAnsi"/>
        </w:rPr>
        <w:t xml:space="preserve"> </w:t>
      </w:r>
      <w:r w:rsidRPr="00E500FD">
        <w:rPr>
          <w:rFonts w:asciiTheme="minorHAnsi" w:hAnsiTheme="minorHAnsi" w:cstheme="minorHAnsi"/>
        </w:rPr>
        <w:tab/>
        <w:t>Hladina významnosti</w:t>
      </w:r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materialita</w:t>
      </w:r>
      <w:proofErr w:type="spellEnd"/>
      <w:r>
        <w:rPr>
          <w:rFonts w:asciiTheme="minorHAnsi" w:hAnsiTheme="minorHAnsi" w:cstheme="minorHAnsi"/>
        </w:rPr>
        <w:t>)</w:t>
      </w:r>
      <w:r w:rsidRPr="00E500FD">
        <w:rPr>
          <w:rFonts w:asciiTheme="minorHAnsi" w:hAnsiTheme="minorHAnsi" w:cstheme="minorHAnsi"/>
        </w:rPr>
        <w:t xml:space="preserve"> reprezentuje hodnotu rozsahu nesprávností v účetní závěrce, jejichž překročení by</w:t>
      </w:r>
      <w:r>
        <w:rPr>
          <w:rFonts w:asciiTheme="minorHAnsi" w:hAnsiTheme="minorHAnsi" w:cstheme="minorHAnsi"/>
        </w:rPr>
        <w:t xml:space="preserve"> již</w:t>
      </w:r>
      <w:r w:rsidRPr="00E500FD">
        <w:rPr>
          <w:rFonts w:asciiTheme="minorHAnsi" w:hAnsiTheme="minorHAnsi" w:cstheme="minorHAnsi"/>
        </w:rPr>
        <w:t xml:space="preserve"> mohlo ovlivnit přiměřeně znalého uživatele. Při stanovení hladiny významnosti NKÚ postupuje v souladu se</w:t>
      </w:r>
      <w:r w:rsidRPr="00E500FD">
        <w:rPr>
          <w:rFonts w:asciiTheme="minorHAnsi" w:hAnsiTheme="minorHAnsi" w:cstheme="minorHAnsi"/>
          <w:i/>
        </w:rPr>
        <w:t xml:space="preserve"> </w:t>
      </w:r>
      <w:r w:rsidRPr="00E500FD">
        <w:rPr>
          <w:rFonts w:asciiTheme="minorHAnsi" w:hAnsiTheme="minorHAnsi" w:cstheme="minorHAnsi"/>
        </w:rPr>
        <w:t>standardy nejvyšších kontrolních institucí (ISSAI) pro finanční audit a kontrolními standardy NKÚ.</w:t>
      </w:r>
    </w:p>
  </w:footnote>
  <w:footnote w:id="5">
    <w:p w14:paraId="0EECB1DD" w14:textId="77777777" w:rsidR="00BA15A2" w:rsidRPr="0011741A" w:rsidRDefault="00BA15A2" w:rsidP="0033466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1741A">
        <w:rPr>
          <w:rStyle w:val="Znakapoznpodarou"/>
          <w:rFonts w:asciiTheme="minorHAnsi" w:hAnsiTheme="minorHAnsi" w:cstheme="minorHAnsi"/>
        </w:rPr>
        <w:footnoteRef/>
      </w:r>
      <w:r w:rsidRPr="0011741A">
        <w:rPr>
          <w:rFonts w:asciiTheme="minorHAnsi" w:hAnsiTheme="minorHAnsi" w:cstheme="minorHAnsi"/>
        </w:rPr>
        <w:t xml:space="preserve"> </w:t>
      </w:r>
      <w:r w:rsidRPr="0011741A">
        <w:rPr>
          <w:rFonts w:asciiTheme="minorHAnsi" w:hAnsiTheme="minorHAnsi" w:cstheme="minorHAnsi"/>
        </w:rPr>
        <w:tab/>
        <w:t>Tj. ve výši 2 % z</w:t>
      </w:r>
      <w:r>
        <w:rPr>
          <w:rFonts w:asciiTheme="minorHAnsi" w:hAnsiTheme="minorHAnsi" w:cstheme="minorHAnsi"/>
        </w:rPr>
        <w:t> aktiv celkem v netto hodnotě</w:t>
      </w:r>
      <w:r w:rsidRPr="0011741A">
        <w:rPr>
          <w:rFonts w:asciiTheme="minorHAnsi" w:hAnsiTheme="minorHAnsi" w:cstheme="minorHAnsi"/>
        </w:rPr>
        <w:t xml:space="preserve"> vykázaných v ÚZ k 31. prosinci 201</w:t>
      </w:r>
      <w:r>
        <w:rPr>
          <w:rFonts w:asciiTheme="minorHAnsi" w:hAnsiTheme="minorHAnsi" w:cstheme="minorHAnsi"/>
        </w:rPr>
        <w:t>7</w:t>
      </w:r>
      <w:r w:rsidRPr="0011741A">
        <w:rPr>
          <w:rFonts w:asciiTheme="minorHAnsi" w:hAnsiTheme="minorHAnsi" w:cstheme="minorHAnsi"/>
        </w:rPr>
        <w:t>.</w:t>
      </w:r>
    </w:p>
  </w:footnote>
  <w:footnote w:id="6">
    <w:p w14:paraId="6E1A3B18" w14:textId="6538AC85" w:rsidR="00BA15A2" w:rsidRPr="002B281A" w:rsidRDefault="00BA15A2" w:rsidP="002B281A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2B281A">
        <w:rPr>
          <w:rFonts w:asciiTheme="minorHAnsi" w:hAnsiTheme="minorHAnsi" w:cstheme="minorHAnsi"/>
          <w:vertAlign w:val="superscript"/>
        </w:rPr>
        <w:footnoteRef/>
      </w:r>
      <w:r w:rsidRPr="002B281A">
        <w:rPr>
          <w:rFonts w:asciiTheme="minorHAnsi" w:hAnsiTheme="minorHAnsi" w:cstheme="minorHAnsi"/>
        </w:rPr>
        <w:tab/>
      </w:r>
      <w:r w:rsidRPr="002B281A">
        <w:rPr>
          <w:rFonts w:ascii="Calibri" w:hAnsi="Calibri" w:cs="Calibri"/>
        </w:rPr>
        <w:t>Vyhláška č. 419/2001 Sb., o rozsahu, struktuře a termínech údajů předkládaných pro vypracování návrhu státního závěrečného účtu a o rozsahu a termínech sestavení návrhů závěrečných účtů kapitol státního rozpočtu.</w:t>
      </w:r>
    </w:p>
  </w:footnote>
  <w:footnote w:id="7">
    <w:p w14:paraId="4233B28E" w14:textId="356DCA79" w:rsidR="00BA15A2" w:rsidRPr="002B281A" w:rsidRDefault="00BA15A2" w:rsidP="002B281A">
      <w:pPr>
        <w:pStyle w:val="Textpoznpodarou"/>
        <w:ind w:left="284" w:hanging="284"/>
        <w:rPr>
          <w:rStyle w:val="Znakapoznpodarou"/>
          <w:rFonts w:ascii="Calibri" w:hAnsi="Calibri" w:cs="Calibri"/>
          <w:vertAlign w:val="baseline"/>
        </w:rPr>
      </w:pPr>
      <w:r w:rsidRPr="002B281A">
        <w:rPr>
          <w:rStyle w:val="Znakapoznpodarou"/>
          <w:rFonts w:ascii="Calibri" w:hAnsi="Calibri" w:cs="Calibri"/>
        </w:rPr>
        <w:footnoteRef/>
      </w:r>
      <w:r w:rsidRPr="002B281A">
        <w:rPr>
          <w:rFonts w:ascii="Calibri" w:hAnsi="Calibri" w:cs="Calibri"/>
        </w:rPr>
        <w:tab/>
        <w:t>Zákon č. 2/1969 Sb., o zřízení ministerstev a jiných ústředních orgánů státní správy České republiky.</w:t>
      </w:r>
    </w:p>
  </w:footnote>
  <w:footnote w:id="8">
    <w:p w14:paraId="5455BB3D" w14:textId="4CAD5427" w:rsidR="00BA15A2" w:rsidRPr="002B281A" w:rsidRDefault="00BA15A2" w:rsidP="002B281A">
      <w:pPr>
        <w:pStyle w:val="Textpoznpodarou"/>
        <w:ind w:left="284" w:hanging="284"/>
        <w:rPr>
          <w:rFonts w:ascii="Calibri" w:hAnsi="Calibri" w:cs="Calibri"/>
        </w:rPr>
      </w:pPr>
      <w:r w:rsidRPr="002B281A">
        <w:rPr>
          <w:rStyle w:val="Znakapoznpodarou"/>
          <w:rFonts w:ascii="Calibri" w:hAnsi="Calibri" w:cs="Calibri"/>
        </w:rPr>
        <w:footnoteRef/>
      </w:r>
      <w:r w:rsidRPr="002B281A">
        <w:rPr>
          <w:rFonts w:ascii="Calibri" w:hAnsi="Calibri" w:cs="Calibri"/>
        </w:rPr>
        <w:tab/>
        <w:t>Podle zákona č. 219/2000 Sb., o majetku České republiky a jejím vystupování v právních vztazích.</w:t>
      </w:r>
    </w:p>
  </w:footnote>
  <w:footnote w:id="9">
    <w:p w14:paraId="77FD0233" w14:textId="73670020" w:rsidR="00BA15A2" w:rsidRPr="002B281A" w:rsidRDefault="00BA15A2" w:rsidP="002B281A">
      <w:pPr>
        <w:pStyle w:val="Textpoznpodarou"/>
        <w:ind w:left="284" w:hanging="284"/>
        <w:rPr>
          <w:rFonts w:ascii="Calibri" w:hAnsi="Calibri" w:cs="Calibri"/>
        </w:rPr>
      </w:pPr>
      <w:r w:rsidRPr="002B281A">
        <w:rPr>
          <w:rStyle w:val="Znakapoznpodarou"/>
          <w:rFonts w:ascii="Calibri" w:hAnsi="Calibri" w:cs="Calibri"/>
        </w:rPr>
        <w:footnoteRef/>
      </w:r>
      <w:r w:rsidRPr="002B281A">
        <w:rPr>
          <w:rFonts w:ascii="Calibri" w:hAnsi="Calibri" w:cs="Calibri"/>
        </w:rPr>
        <w:tab/>
        <w:t>Podle ustanovení § 1 odst. 3 zákona č. 563/1991 Sb., o účetnictví.</w:t>
      </w:r>
    </w:p>
  </w:footnote>
  <w:footnote w:id="10">
    <w:p w14:paraId="404A6613" w14:textId="400AFB4E" w:rsidR="00BA15A2" w:rsidRPr="002B281A" w:rsidRDefault="00BA15A2" w:rsidP="002B281A">
      <w:pPr>
        <w:pStyle w:val="Textpoznpodarou"/>
        <w:ind w:left="284" w:hanging="284"/>
        <w:rPr>
          <w:rFonts w:ascii="Calibri" w:hAnsi="Calibri" w:cs="Calibri"/>
        </w:rPr>
      </w:pPr>
      <w:r w:rsidRPr="002B281A">
        <w:rPr>
          <w:rStyle w:val="Znakapoznpodarou"/>
          <w:rFonts w:ascii="Calibri" w:hAnsi="Calibri" w:cs="Calibri"/>
        </w:rPr>
        <w:footnoteRef/>
      </w:r>
      <w:r w:rsidRPr="002B281A">
        <w:rPr>
          <w:rFonts w:ascii="Calibri" w:hAnsi="Calibri" w:cs="Calibri"/>
        </w:rPr>
        <w:tab/>
        <w:t xml:space="preserve">Podle ustanovení § 10 odst. 1 zákona č. 218/2000 Sb., o rozpočtových pravidlech a o změně některých souvisejících zákonů (rozpočtová pravidla). </w:t>
      </w:r>
    </w:p>
  </w:footnote>
  <w:footnote w:id="11">
    <w:p w14:paraId="2E60BF18" w14:textId="77777777" w:rsidR="00BA15A2" w:rsidRPr="003965E0" w:rsidRDefault="00BA15A2" w:rsidP="008C156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04A16">
        <w:rPr>
          <w:rStyle w:val="Znakapoznpodarou"/>
          <w:rFonts w:asciiTheme="minorHAnsi" w:hAnsiTheme="minorHAnsi" w:cstheme="minorHAnsi"/>
        </w:rPr>
        <w:footnoteRef/>
      </w:r>
      <w:r w:rsidRPr="00304A16">
        <w:rPr>
          <w:rFonts w:asciiTheme="minorHAnsi" w:hAnsiTheme="minorHAnsi" w:cstheme="minorHAnsi"/>
        </w:rPr>
        <w:t xml:space="preserve"> </w:t>
      </w:r>
      <w:r w:rsidRPr="00304A16">
        <w:rPr>
          <w:rFonts w:asciiTheme="minorHAnsi" w:hAnsiTheme="minorHAnsi" w:cstheme="minorHAnsi"/>
        </w:rPr>
        <w:tab/>
      </w:r>
      <w:r w:rsidRPr="003965E0">
        <w:rPr>
          <w:rFonts w:ascii="Calibri" w:hAnsi="Calibri" w:cs="Calibri"/>
        </w:rPr>
        <w:t>V souladu s ustanovením § 21a odst. 5 zákona o účetnictví organizační složky státu zveřejňují účetní závěrku prostřednictvím Ministerstva financí způsobem umožňujícím dálkový přístup.</w:t>
      </w:r>
    </w:p>
  </w:footnote>
  <w:footnote w:id="12">
    <w:p w14:paraId="367174B6" w14:textId="77777777" w:rsidR="00BA15A2" w:rsidRPr="003965E0" w:rsidRDefault="00BA15A2" w:rsidP="008C156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965E0">
        <w:rPr>
          <w:rStyle w:val="Znakapoznpodarou"/>
          <w:rFonts w:ascii="Calibri" w:hAnsi="Calibri" w:cs="Calibri"/>
        </w:rPr>
        <w:footnoteRef/>
      </w:r>
      <w:r w:rsidRPr="003965E0">
        <w:rPr>
          <w:rFonts w:ascii="Calibri" w:hAnsi="Calibri" w:cs="Calibri"/>
        </w:rPr>
        <w:t> </w:t>
      </w:r>
      <w:r w:rsidRPr="003965E0">
        <w:rPr>
          <w:rFonts w:ascii="Calibri" w:hAnsi="Calibri" w:cs="Calibri"/>
        </w:rPr>
        <w:tab/>
        <w:t>V souladu s ustanovením § 30 rozpočtových pravidel sestavují správci kapitol o výsledcích rozpočtového hospodaření minulého roku návrh závěrečného účtu své kapitoly, projednávají je v příslušných výborech Poslanecké sněmovny a po tomto projednání jej uveřejní v elektronické podobě způsobem umožňujícím dálkový a nepřetržitý přístup.</w:t>
      </w:r>
    </w:p>
  </w:footnote>
  <w:footnote w:id="13">
    <w:p w14:paraId="3997345F" w14:textId="77777777" w:rsidR="00BA15A2" w:rsidRPr="003965E0" w:rsidRDefault="00BA15A2" w:rsidP="008C1562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965E0">
        <w:rPr>
          <w:rStyle w:val="Znakapoznpodarou"/>
          <w:rFonts w:ascii="Calibri" w:hAnsi="Calibri" w:cs="Calibri"/>
        </w:rPr>
        <w:footnoteRef/>
      </w:r>
      <w:r w:rsidRPr="003965E0">
        <w:rPr>
          <w:rFonts w:ascii="Calibri" w:hAnsi="Calibri" w:cs="Calibri"/>
        </w:rPr>
        <w:t> </w:t>
      </w:r>
      <w:r w:rsidRPr="003965E0">
        <w:rPr>
          <w:rFonts w:ascii="Calibri" w:hAnsi="Calibri" w:cs="Calibri"/>
        </w:rPr>
        <w:tab/>
        <w:t>Vyhláška č. 419/2001 Sb., o rozsahu, struktuře a termínech údajů předkládaných pro vypracování návrhu státního závěrečného účtu a o rozsahu a termínech sestavení návrhů závěrečných účtů kapitol státního rozpočtu.</w:t>
      </w:r>
    </w:p>
  </w:footnote>
  <w:footnote w:id="14">
    <w:p w14:paraId="4DFED27D" w14:textId="4EF3A0ED" w:rsidR="00BA15A2" w:rsidRPr="001906ED" w:rsidRDefault="00BA15A2" w:rsidP="00657CF2">
      <w:pPr>
        <w:pStyle w:val="Textpoznpodarou"/>
        <w:ind w:left="224" w:hanging="224"/>
        <w:jc w:val="both"/>
        <w:rPr>
          <w:rFonts w:asciiTheme="minorHAnsi" w:hAnsiTheme="minorHAnsi" w:cstheme="minorHAnsi"/>
        </w:rPr>
      </w:pPr>
      <w:r w:rsidRPr="001906ED">
        <w:rPr>
          <w:rStyle w:val="Znakapoznpodarou"/>
          <w:rFonts w:asciiTheme="minorHAnsi" w:hAnsiTheme="minorHAnsi" w:cstheme="minorHAnsi"/>
        </w:rPr>
        <w:footnoteRef/>
      </w:r>
      <w:r w:rsidRPr="001906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906ED">
        <w:rPr>
          <w:rFonts w:asciiTheme="minorHAnsi" w:hAnsiTheme="minorHAnsi" w:cstheme="minorHAnsi"/>
        </w:rPr>
        <w:t xml:space="preserve">Vlivem nadhodnocení syntetických účtu 518 – </w:t>
      </w:r>
      <w:r w:rsidRPr="00A25118">
        <w:rPr>
          <w:rFonts w:asciiTheme="minorHAnsi" w:hAnsiTheme="minorHAnsi" w:cstheme="minorHAnsi"/>
          <w:i/>
        </w:rPr>
        <w:t>Ostatní služby</w:t>
      </w:r>
      <w:r w:rsidRPr="001906ED">
        <w:rPr>
          <w:rFonts w:asciiTheme="minorHAnsi" w:hAnsiTheme="minorHAnsi" w:cstheme="minorHAnsi"/>
        </w:rPr>
        <w:t xml:space="preserve"> o 3,5 mil. Kč, 511 – </w:t>
      </w:r>
      <w:r w:rsidRPr="00A25118">
        <w:rPr>
          <w:rFonts w:asciiTheme="minorHAnsi" w:hAnsiTheme="minorHAnsi" w:cstheme="minorHAnsi"/>
          <w:i/>
        </w:rPr>
        <w:t>Opravy a udržování</w:t>
      </w:r>
      <w:r>
        <w:rPr>
          <w:rFonts w:asciiTheme="minorHAnsi" w:hAnsiTheme="minorHAnsi" w:cstheme="minorHAnsi"/>
        </w:rPr>
        <w:t xml:space="preserve"> o 93 </w:t>
      </w:r>
      <w:r w:rsidRPr="001906ED">
        <w:rPr>
          <w:rFonts w:asciiTheme="minorHAnsi" w:hAnsiTheme="minorHAnsi" w:cstheme="minorHAnsi"/>
        </w:rPr>
        <w:t>tis.</w:t>
      </w:r>
      <w:r>
        <w:rPr>
          <w:rFonts w:asciiTheme="minorHAnsi" w:hAnsiTheme="minorHAnsi" w:cstheme="minorHAnsi"/>
        </w:rPr>
        <w:t> </w:t>
      </w:r>
      <w:r w:rsidRPr="001906ED">
        <w:rPr>
          <w:rFonts w:asciiTheme="minorHAnsi" w:hAnsiTheme="minorHAnsi" w:cstheme="minorHAnsi"/>
        </w:rPr>
        <w:t xml:space="preserve">Kč, 501 – </w:t>
      </w:r>
      <w:r w:rsidRPr="00A25118">
        <w:rPr>
          <w:rFonts w:asciiTheme="minorHAnsi" w:hAnsiTheme="minorHAnsi" w:cstheme="minorHAnsi"/>
          <w:i/>
        </w:rPr>
        <w:t>Spotřeba materiálu</w:t>
      </w:r>
      <w:r w:rsidRPr="001906ED">
        <w:rPr>
          <w:rFonts w:asciiTheme="minorHAnsi" w:hAnsiTheme="minorHAnsi" w:cstheme="minorHAnsi"/>
        </w:rPr>
        <w:t xml:space="preserve"> o 0,5 mil. Kč, 527 – </w:t>
      </w:r>
      <w:r w:rsidRPr="00A25118">
        <w:rPr>
          <w:rFonts w:asciiTheme="minorHAnsi" w:hAnsiTheme="minorHAnsi" w:cstheme="minorHAnsi"/>
          <w:i/>
        </w:rPr>
        <w:t>Zákonné sociální náklady</w:t>
      </w:r>
      <w:r w:rsidRPr="001906ED">
        <w:rPr>
          <w:rFonts w:asciiTheme="minorHAnsi" w:hAnsiTheme="minorHAnsi" w:cstheme="minorHAnsi"/>
        </w:rPr>
        <w:t xml:space="preserve"> o 5,6 mil. Kč a účtu</w:t>
      </w:r>
      <w:r>
        <w:rPr>
          <w:rFonts w:asciiTheme="minorHAnsi" w:hAnsiTheme="minorHAnsi" w:cstheme="minorHAnsi"/>
        </w:rPr>
        <w:br/>
      </w:r>
      <w:r w:rsidRPr="001906ED">
        <w:rPr>
          <w:rFonts w:asciiTheme="minorHAnsi" w:hAnsiTheme="minorHAnsi" w:cstheme="minorHAnsi"/>
        </w:rPr>
        <w:t xml:space="preserve">571 – </w:t>
      </w:r>
      <w:r w:rsidRPr="00A25118">
        <w:rPr>
          <w:rFonts w:asciiTheme="minorHAnsi" w:hAnsiTheme="minorHAnsi" w:cstheme="minorHAnsi"/>
          <w:i/>
        </w:rPr>
        <w:t>Náklady vybraných ústředních vládních institucí na transfery</w:t>
      </w:r>
      <w:r w:rsidRPr="001906ED">
        <w:rPr>
          <w:rFonts w:asciiTheme="minorHAnsi" w:hAnsiTheme="minorHAnsi" w:cstheme="minorHAnsi"/>
        </w:rPr>
        <w:t xml:space="preserve"> o 16,5 mil. Kč. </w:t>
      </w:r>
    </w:p>
  </w:footnote>
  <w:footnote w:id="15">
    <w:p w14:paraId="40020C25" w14:textId="1244B3B9" w:rsidR="00BA15A2" w:rsidRPr="00657CF2" w:rsidRDefault="00BA15A2" w:rsidP="00657CF2">
      <w:pPr>
        <w:pStyle w:val="Textpoznpodarou"/>
        <w:ind w:left="238" w:hanging="238"/>
        <w:rPr>
          <w:rFonts w:asciiTheme="minorHAnsi" w:hAnsiTheme="minorHAnsi" w:cstheme="minorHAnsi"/>
        </w:rPr>
      </w:pPr>
      <w:r w:rsidRPr="00657CF2">
        <w:rPr>
          <w:rStyle w:val="Znakapoznpodarou"/>
          <w:rFonts w:asciiTheme="minorHAnsi" w:hAnsiTheme="minorHAnsi" w:cstheme="minorHAnsi"/>
        </w:rPr>
        <w:footnoteRef/>
      </w:r>
      <w:r w:rsidRPr="00657C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57CF2">
        <w:rPr>
          <w:rFonts w:asciiTheme="minorHAnsi" w:hAnsiTheme="minorHAnsi" w:cstheme="minorHAnsi"/>
        </w:rPr>
        <w:t>Zákon č. 634/2004 Sb., o správních poplatcích.</w:t>
      </w:r>
    </w:p>
  </w:footnote>
  <w:footnote w:id="16">
    <w:p w14:paraId="6300ABD7" w14:textId="35205190" w:rsidR="00BA15A2" w:rsidRPr="00657CF2" w:rsidRDefault="00BA15A2" w:rsidP="00B92EF5">
      <w:pPr>
        <w:autoSpaceDE w:val="0"/>
        <w:autoSpaceDN w:val="0"/>
        <w:adjustRightInd w:val="0"/>
        <w:spacing w:after="0"/>
        <w:ind w:left="238" w:hanging="238"/>
        <w:jc w:val="both"/>
        <w:rPr>
          <w:sz w:val="20"/>
          <w:szCs w:val="20"/>
        </w:rPr>
      </w:pPr>
      <w:r w:rsidRPr="00657CF2">
        <w:rPr>
          <w:rStyle w:val="Znakapoznpodarou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657CF2">
        <w:rPr>
          <w:rFonts w:asciiTheme="minorHAnsi" w:hAnsiTheme="minorHAnsi" w:cstheme="minorHAnsi"/>
          <w:sz w:val="20"/>
          <w:szCs w:val="20"/>
        </w:rPr>
        <w:t xml:space="preserve">MO nevykázalo podmíněné závazky plynoucí z uzavřené smlouvy. Účelem této smlouvy bylo provedení generálních oprav pro zajištění trvale vysoké spolehlivosti vrtulníků typu „Mi“ Vzdušných sil Armády ČR s cílem zabezpečit provozuschopnost a bojeschopnost k plnění úkolů v rámci AČR. U této smlouvy MO </w:t>
      </w:r>
      <w:r w:rsidR="00543FF7" w:rsidRPr="00657CF2">
        <w:rPr>
          <w:rFonts w:asciiTheme="minorHAnsi" w:hAnsiTheme="minorHAnsi" w:cstheme="minorHAnsi"/>
          <w:sz w:val="20"/>
          <w:szCs w:val="20"/>
        </w:rPr>
        <w:t xml:space="preserve">nevykázalo </w:t>
      </w:r>
      <w:r w:rsidRPr="00657CF2">
        <w:rPr>
          <w:rFonts w:asciiTheme="minorHAnsi" w:hAnsiTheme="minorHAnsi" w:cstheme="minorHAnsi"/>
          <w:sz w:val="20"/>
          <w:szCs w:val="20"/>
        </w:rPr>
        <w:t>k</w:t>
      </w:r>
      <w:r w:rsidR="00543FF7">
        <w:rPr>
          <w:rFonts w:asciiTheme="minorHAnsi" w:hAnsiTheme="minorHAnsi" w:cstheme="minorHAnsi"/>
          <w:sz w:val="20"/>
          <w:szCs w:val="20"/>
        </w:rPr>
        <w:t> </w:t>
      </w:r>
      <w:r w:rsidRPr="00657CF2">
        <w:rPr>
          <w:rFonts w:asciiTheme="minorHAnsi" w:hAnsiTheme="minorHAnsi" w:cstheme="minorHAnsi"/>
          <w:sz w:val="20"/>
          <w:szCs w:val="20"/>
        </w:rPr>
        <w:t>31. prosinci 2017 správné podmíněné závazky v předpokládané výši na podrozvahových účtech.</w:t>
      </w:r>
    </w:p>
  </w:footnote>
  <w:footnote w:id="17">
    <w:p w14:paraId="2BCD518A" w14:textId="33E5C892" w:rsidR="00BA15A2" w:rsidRPr="00657CF2" w:rsidRDefault="00BA15A2" w:rsidP="00B92EF5">
      <w:pPr>
        <w:autoSpaceDE w:val="0"/>
        <w:autoSpaceDN w:val="0"/>
        <w:adjustRightInd w:val="0"/>
        <w:spacing w:after="0"/>
        <w:ind w:left="238" w:hanging="238"/>
        <w:jc w:val="both"/>
        <w:rPr>
          <w:rFonts w:asciiTheme="minorHAnsi" w:hAnsiTheme="minorHAnsi" w:cstheme="minorHAnsi"/>
          <w:sz w:val="20"/>
          <w:szCs w:val="20"/>
        </w:rPr>
      </w:pPr>
      <w:r w:rsidRPr="00657CF2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57CF2">
        <w:rPr>
          <w:rFonts w:asciiTheme="minorHAnsi" w:hAnsiTheme="minorHAnsi" w:cstheme="minorHAnsi"/>
          <w:sz w:val="20"/>
          <w:szCs w:val="20"/>
        </w:rPr>
        <w:t xml:space="preserve"> </w:t>
      </w:r>
      <w:r w:rsidRPr="00657CF2">
        <w:rPr>
          <w:rFonts w:asciiTheme="minorHAnsi" w:hAnsiTheme="minorHAnsi" w:cstheme="minorHAnsi"/>
          <w:sz w:val="20"/>
          <w:szCs w:val="20"/>
        </w:rPr>
        <w:tab/>
        <w:t xml:space="preserve">MO nevykázalo podmíněné závazky plynoucí z uzavřené smlouvy. Účelem této smlouvy bylo zajištění letuschopnosti pěti kusů letounů L-159 T1. U této smlouvy MO </w:t>
      </w:r>
      <w:r w:rsidR="00543FF7" w:rsidRPr="00657CF2">
        <w:rPr>
          <w:rFonts w:asciiTheme="minorHAnsi" w:hAnsiTheme="minorHAnsi" w:cstheme="minorHAnsi"/>
          <w:sz w:val="20"/>
          <w:szCs w:val="20"/>
        </w:rPr>
        <w:t xml:space="preserve">nevykázalo </w:t>
      </w:r>
      <w:r w:rsidRPr="00657CF2">
        <w:rPr>
          <w:rFonts w:asciiTheme="minorHAnsi" w:hAnsiTheme="minorHAnsi" w:cstheme="minorHAnsi"/>
          <w:sz w:val="20"/>
          <w:szCs w:val="20"/>
        </w:rPr>
        <w:t>k 31. prosinci 2017 podmíněné závazky v předpokládané výši na podrozvahových účtech.</w:t>
      </w:r>
    </w:p>
  </w:footnote>
  <w:footnote w:id="18">
    <w:p w14:paraId="7EBDED53" w14:textId="30184914" w:rsidR="00BA15A2" w:rsidRPr="003965E0" w:rsidRDefault="00BA15A2" w:rsidP="00B92EF5">
      <w:pPr>
        <w:pStyle w:val="Textpoznpodarou"/>
        <w:ind w:left="238" w:hanging="238"/>
        <w:jc w:val="both"/>
        <w:rPr>
          <w:rFonts w:ascii="Calibri" w:hAnsi="Calibri" w:cs="Calibri"/>
        </w:rPr>
      </w:pPr>
      <w:r w:rsidRPr="00E0671D">
        <w:rPr>
          <w:rStyle w:val="Znakapoznpodarou"/>
          <w:rFonts w:asciiTheme="minorHAnsi" w:hAnsiTheme="minorHAnsi" w:cstheme="minorHAnsi"/>
        </w:rPr>
        <w:footnoteRef/>
      </w:r>
      <w:r w:rsidRPr="00E067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965E0">
        <w:rPr>
          <w:rFonts w:ascii="Calibri" w:hAnsi="Calibri" w:cs="Calibri"/>
        </w:rPr>
        <w:t>Vzhledem k </w:t>
      </w:r>
      <w:r w:rsidR="008A5B42">
        <w:rPr>
          <w:rFonts w:ascii="Calibri" w:hAnsi="Calibri" w:cs="Calibri"/>
        </w:rPr>
        <w:t xml:space="preserve">tomu, že </w:t>
      </w:r>
      <w:r w:rsidR="008A5B42" w:rsidRPr="003965E0">
        <w:rPr>
          <w:rFonts w:ascii="Calibri" w:hAnsi="Calibri" w:cs="Calibri"/>
        </w:rPr>
        <w:t>skupin</w:t>
      </w:r>
      <w:r w:rsidR="008A5B42">
        <w:rPr>
          <w:rFonts w:ascii="Calibri" w:hAnsi="Calibri" w:cs="Calibri"/>
        </w:rPr>
        <w:t>a</w:t>
      </w:r>
      <w:r w:rsidR="008A5B42" w:rsidRPr="003965E0">
        <w:rPr>
          <w:rFonts w:ascii="Calibri" w:hAnsi="Calibri" w:cs="Calibri"/>
        </w:rPr>
        <w:t xml:space="preserve"> kontrolujících </w:t>
      </w:r>
      <w:r w:rsidRPr="003965E0">
        <w:rPr>
          <w:rFonts w:ascii="Calibri" w:hAnsi="Calibri" w:cs="Calibri"/>
        </w:rPr>
        <w:t>nemo</w:t>
      </w:r>
      <w:r w:rsidR="008A5B42">
        <w:rPr>
          <w:rFonts w:ascii="Calibri" w:hAnsi="Calibri" w:cs="Calibri"/>
        </w:rPr>
        <w:t>hla</w:t>
      </w:r>
      <w:r w:rsidRPr="003965E0">
        <w:rPr>
          <w:rFonts w:ascii="Calibri" w:hAnsi="Calibri" w:cs="Calibri"/>
        </w:rPr>
        <w:t xml:space="preserve"> </w:t>
      </w:r>
      <w:r w:rsidR="008A5B42">
        <w:rPr>
          <w:rFonts w:ascii="Calibri" w:hAnsi="Calibri" w:cs="Calibri"/>
        </w:rPr>
        <w:t>zpětně určit dobu</w:t>
      </w:r>
      <w:r w:rsidRPr="003965E0">
        <w:rPr>
          <w:rFonts w:ascii="Calibri" w:hAnsi="Calibri" w:cs="Calibri"/>
        </w:rPr>
        <w:t xml:space="preserve"> používání, nebyla jednotlivá výše částek účtů oprávek a odpisů vyčíslena.</w:t>
      </w:r>
    </w:p>
  </w:footnote>
  <w:footnote w:id="19">
    <w:p w14:paraId="512DE42E" w14:textId="2983D03B" w:rsidR="00BA15A2" w:rsidRPr="003965E0" w:rsidRDefault="00BA15A2" w:rsidP="008B08AD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965E0">
        <w:rPr>
          <w:rStyle w:val="Znakapoznpodarou"/>
          <w:rFonts w:ascii="Calibri" w:hAnsi="Calibri" w:cs="Calibri"/>
        </w:rPr>
        <w:footnoteRef/>
      </w:r>
      <w:r w:rsidRPr="003965E0">
        <w:rPr>
          <w:rFonts w:ascii="Calibri" w:hAnsi="Calibri" w:cs="Calibri"/>
        </w:rPr>
        <w:t xml:space="preserve"> </w:t>
      </w:r>
      <w:r w:rsidRPr="003965E0">
        <w:rPr>
          <w:rFonts w:ascii="Calibri" w:hAnsi="Calibri" w:cs="Calibri"/>
        </w:rPr>
        <w:tab/>
        <w:t xml:space="preserve">Podle ustanovení § 20 rozpočtových pravidel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celků, rozpočtů dobrovolných svazků obcí a rozpočtů Regionálních rad regionů soudržnosti. Podle ustanovení § 5 odst. 1 i dle přílohy č. 1 této vyhlášky zpracovávají OSS údaje pro hodnocení plnění státního rozpočtu přímo v rozpočtovém systému, ve kterém je z nich následně sestavován výkaz pro hodnocení plnění rozpočtu. </w:t>
      </w:r>
    </w:p>
  </w:footnote>
  <w:footnote w:id="20">
    <w:p w14:paraId="13981D8C" w14:textId="570BCC4C" w:rsidR="00BA15A2" w:rsidRPr="003965E0" w:rsidRDefault="00BA15A2" w:rsidP="00E0671D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3965E0">
        <w:rPr>
          <w:rStyle w:val="Znakapoznpodarou"/>
          <w:rFonts w:ascii="Calibri" w:hAnsi="Calibri" w:cs="Calibri"/>
        </w:rPr>
        <w:footnoteRef/>
      </w:r>
      <w:r w:rsidRPr="003965E0">
        <w:rPr>
          <w:rFonts w:ascii="Calibri" w:hAnsi="Calibri" w:cs="Calibri"/>
        </w:rPr>
        <w:t xml:space="preserve"> </w:t>
      </w:r>
      <w:r w:rsidRPr="003965E0">
        <w:rPr>
          <w:rFonts w:ascii="Calibri" w:hAnsi="Calibri" w:cs="Calibri"/>
        </w:rPr>
        <w:tab/>
        <w:t>Podle ustanovení § 3 písm. o) rozpočtových pravidel je rozpočtový systém informačním systémem veřejné správy, v němž se mj. soustřeďují údaje pro hodnocení plnění státního rozpočtu.</w:t>
      </w:r>
    </w:p>
  </w:footnote>
  <w:footnote w:id="21">
    <w:p w14:paraId="6A3C6C0F" w14:textId="3340B8B7" w:rsidR="00BA15A2" w:rsidRPr="003965E0" w:rsidRDefault="00BA15A2" w:rsidP="00965C4E">
      <w:pPr>
        <w:pStyle w:val="Textpoznpodarou"/>
        <w:ind w:left="238" w:hanging="238"/>
        <w:jc w:val="both"/>
        <w:rPr>
          <w:rFonts w:ascii="Calibri" w:hAnsi="Calibri" w:cs="Calibri"/>
        </w:rPr>
      </w:pPr>
      <w:r w:rsidRPr="003965E0">
        <w:rPr>
          <w:rFonts w:ascii="Calibri" w:hAnsi="Calibri" w:cs="Calibri"/>
          <w:vertAlign w:val="superscript"/>
        </w:rPr>
        <w:footnoteRef/>
      </w:r>
      <w:r w:rsidRPr="003965E0">
        <w:rPr>
          <w:rFonts w:ascii="Calibri" w:hAnsi="Calibri" w:cs="Calibri"/>
        </w:rPr>
        <w:t xml:space="preserve"> </w:t>
      </w:r>
      <w:r w:rsidRPr="003965E0">
        <w:rPr>
          <w:rFonts w:ascii="Calibri" w:hAnsi="Calibri" w:cs="Calibri"/>
        </w:rPr>
        <w:tab/>
        <w:t>Vyhláška č. 323/2002 Sb., o rozpočtové skladbě.</w:t>
      </w:r>
    </w:p>
  </w:footnote>
  <w:footnote w:id="22">
    <w:p w14:paraId="55E4A364" w14:textId="20D6DBD5" w:rsidR="00BA15A2" w:rsidRPr="00B92EF5" w:rsidRDefault="00BA15A2" w:rsidP="00B92EF5">
      <w:pPr>
        <w:pStyle w:val="Textpoznpodarou"/>
        <w:ind w:left="284" w:hanging="284"/>
        <w:rPr>
          <w:rFonts w:asciiTheme="minorHAnsi" w:hAnsiTheme="minorHAnsi" w:cstheme="minorHAnsi"/>
        </w:rPr>
      </w:pPr>
      <w:r w:rsidRPr="00B92EF5">
        <w:rPr>
          <w:rStyle w:val="Znakapoznpodarou"/>
          <w:rFonts w:asciiTheme="minorHAnsi" w:hAnsiTheme="minorHAnsi" w:cstheme="minorHAnsi"/>
        </w:rPr>
        <w:footnoteRef/>
      </w:r>
      <w:r w:rsidRPr="00B92E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92EF5">
        <w:rPr>
          <w:rFonts w:asciiTheme="minorHAnsi" w:hAnsiTheme="minorHAnsi" w:cstheme="minorHAnsi"/>
        </w:rPr>
        <w:t xml:space="preserve">V případě KA č. 14/08 a č. 15/34 byla vyhodnocena správnost nápravných opatření zjištěných nedostatků pouze v oblasti účetnictví.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D37"/>
    <w:multiLevelType w:val="multilevel"/>
    <w:tmpl w:val="5C3AAC00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4772D2"/>
    <w:multiLevelType w:val="hybridMultilevel"/>
    <w:tmpl w:val="7BD03D2E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775B"/>
    <w:multiLevelType w:val="hybridMultilevel"/>
    <w:tmpl w:val="7EF64C2E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614F"/>
    <w:multiLevelType w:val="hybridMultilevel"/>
    <w:tmpl w:val="A4225442"/>
    <w:lvl w:ilvl="0" w:tplc="F3361A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94784"/>
    <w:multiLevelType w:val="hybridMultilevel"/>
    <w:tmpl w:val="0A8AC70C"/>
    <w:lvl w:ilvl="0" w:tplc="31C600D4">
      <w:start w:val="5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737EC"/>
    <w:multiLevelType w:val="multilevel"/>
    <w:tmpl w:val="65A836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3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35E4FA2"/>
    <w:multiLevelType w:val="hybridMultilevel"/>
    <w:tmpl w:val="78EEAAF4"/>
    <w:lvl w:ilvl="0" w:tplc="1AF819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22306"/>
    <w:multiLevelType w:val="hybridMultilevel"/>
    <w:tmpl w:val="96FCC8C8"/>
    <w:lvl w:ilvl="0" w:tplc="F3361A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0AAD"/>
    <w:multiLevelType w:val="hybridMultilevel"/>
    <w:tmpl w:val="8C924F7A"/>
    <w:lvl w:ilvl="0" w:tplc="7DAE0F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1324F36"/>
    <w:multiLevelType w:val="hybridMultilevel"/>
    <w:tmpl w:val="3320D22C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21B99"/>
    <w:multiLevelType w:val="hybridMultilevel"/>
    <w:tmpl w:val="C5B405AA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46ED9"/>
    <w:multiLevelType w:val="hybridMultilevel"/>
    <w:tmpl w:val="9FAE7A9A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D576C"/>
    <w:multiLevelType w:val="hybridMultilevel"/>
    <w:tmpl w:val="1C52F09C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6984"/>
    <w:rsid w:val="00010565"/>
    <w:rsid w:val="00012047"/>
    <w:rsid w:val="00012334"/>
    <w:rsid w:val="00012608"/>
    <w:rsid w:val="00013D01"/>
    <w:rsid w:val="00013F4A"/>
    <w:rsid w:val="00017CCE"/>
    <w:rsid w:val="000205FD"/>
    <w:rsid w:val="000209B1"/>
    <w:rsid w:val="00021226"/>
    <w:rsid w:val="00022153"/>
    <w:rsid w:val="000221DC"/>
    <w:rsid w:val="00026B84"/>
    <w:rsid w:val="00027C18"/>
    <w:rsid w:val="000305CE"/>
    <w:rsid w:val="000342EB"/>
    <w:rsid w:val="0003469E"/>
    <w:rsid w:val="0003552A"/>
    <w:rsid w:val="000365ED"/>
    <w:rsid w:val="00045D1D"/>
    <w:rsid w:val="00045D4B"/>
    <w:rsid w:val="00050275"/>
    <w:rsid w:val="000562E0"/>
    <w:rsid w:val="00056E58"/>
    <w:rsid w:val="00063109"/>
    <w:rsid w:val="00066AC4"/>
    <w:rsid w:val="00067A36"/>
    <w:rsid w:val="000728F2"/>
    <w:rsid w:val="00073218"/>
    <w:rsid w:val="00075A94"/>
    <w:rsid w:val="00080832"/>
    <w:rsid w:val="00080C55"/>
    <w:rsid w:val="00081853"/>
    <w:rsid w:val="000822BF"/>
    <w:rsid w:val="00082C74"/>
    <w:rsid w:val="000865F5"/>
    <w:rsid w:val="000867C9"/>
    <w:rsid w:val="00094908"/>
    <w:rsid w:val="0009689F"/>
    <w:rsid w:val="000A5267"/>
    <w:rsid w:val="000A5714"/>
    <w:rsid w:val="000A5A79"/>
    <w:rsid w:val="000A5BDF"/>
    <w:rsid w:val="000A5D44"/>
    <w:rsid w:val="000A5ECA"/>
    <w:rsid w:val="000A7032"/>
    <w:rsid w:val="000A75DF"/>
    <w:rsid w:val="000B0C14"/>
    <w:rsid w:val="000B169C"/>
    <w:rsid w:val="000B2255"/>
    <w:rsid w:val="000B4ABD"/>
    <w:rsid w:val="000B4B91"/>
    <w:rsid w:val="000B59DC"/>
    <w:rsid w:val="000B7ED0"/>
    <w:rsid w:val="000C04E6"/>
    <w:rsid w:val="000D00AD"/>
    <w:rsid w:val="000D1BFE"/>
    <w:rsid w:val="000D72DE"/>
    <w:rsid w:val="000D7EB0"/>
    <w:rsid w:val="000E04F4"/>
    <w:rsid w:val="000E2836"/>
    <w:rsid w:val="000E2C95"/>
    <w:rsid w:val="000E3621"/>
    <w:rsid w:val="000E4ED7"/>
    <w:rsid w:val="000E4F71"/>
    <w:rsid w:val="000E7694"/>
    <w:rsid w:val="000F209F"/>
    <w:rsid w:val="000F42EF"/>
    <w:rsid w:val="001055C3"/>
    <w:rsid w:val="00106409"/>
    <w:rsid w:val="00107771"/>
    <w:rsid w:val="001101E0"/>
    <w:rsid w:val="00112642"/>
    <w:rsid w:val="00116A85"/>
    <w:rsid w:val="0011741A"/>
    <w:rsid w:val="00120064"/>
    <w:rsid w:val="00122E3A"/>
    <w:rsid w:val="001231C4"/>
    <w:rsid w:val="00124CA1"/>
    <w:rsid w:val="00124FA7"/>
    <w:rsid w:val="00126597"/>
    <w:rsid w:val="001268C7"/>
    <w:rsid w:val="00131D19"/>
    <w:rsid w:val="00134A61"/>
    <w:rsid w:val="00137C89"/>
    <w:rsid w:val="00142E1F"/>
    <w:rsid w:val="001441BA"/>
    <w:rsid w:val="00144B81"/>
    <w:rsid w:val="00153444"/>
    <w:rsid w:val="0015589D"/>
    <w:rsid w:val="001558B6"/>
    <w:rsid w:val="001569F8"/>
    <w:rsid w:val="00157F5E"/>
    <w:rsid w:val="00160F7E"/>
    <w:rsid w:val="001645E7"/>
    <w:rsid w:val="00164D18"/>
    <w:rsid w:val="00167779"/>
    <w:rsid w:val="00167BB1"/>
    <w:rsid w:val="00171136"/>
    <w:rsid w:val="00174F1F"/>
    <w:rsid w:val="00175C4F"/>
    <w:rsid w:val="00180B90"/>
    <w:rsid w:val="00181402"/>
    <w:rsid w:val="0018212D"/>
    <w:rsid w:val="00185710"/>
    <w:rsid w:val="001906ED"/>
    <w:rsid w:val="001952CB"/>
    <w:rsid w:val="001A3920"/>
    <w:rsid w:val="001A482C"/>
    <w:rsid w:val="001A601C"/>
    <w:rsid w:val="001B1165"/>
    <w:rsid w:val="001B19A8"/>
    <w:rsid w:val="001B2E9E"/>
    <w:rsid w:val="001B5272"/>
    <w:rsid w:val="001B571E"/>
    <w:rsid w:val="001B6E46"/>
    <w:rsid w:val="001B76BE"/>
    <w:rsid w:val="001C1977"/>
    <w:rsid w:val="001C48EB"/>
    <w:rsid w:val="001D24A7"/>
    <w:rsid w:val="001D24FB"/>
    <w:rsid w:val="001D2A6F"/>
    <w:rsid w:val="001D383E"/>
    <w:rsid w:val="001D4C2D"/>
    <w:rsid w:val="001E0315"/>
    <w:rsid w:val="001E1607"/>
    <w:rsid w:val="001E416B"/>
    <w:rsid w:val="001E6D4C"/>
    <w:rsid w:val="001E79D0"/>
    <w:rsid w:val="001F0066"/>
    <w:rsid w:val="001F0CAC"/>
    <w:rsid w:val="001F24A6"/>
    <w:rsid w:val="001F2AF2"/>
    <w:rsid w:val="001F3DD9"/>
    <w:rsid w:val="001F68CD"/>
    <w:rsid w:val="001F740C"/>
    <w:rsid w:val="002008C3"/>
    <w:rsid w:val="00203F77"/>
    <w:rsid w:val="0020473E"/>
    <w:rsid w:val="0020520F"/>
    <w:rsid w:val="002065FA"/>
    <w:rsid w:val="00207AE7"/>
    <w:rsid w:val="0021095E"/>
    <w:rsid w:val="002112A1"/>
    <w:rsid w:val="00211E0B"/>
    <w:rsid w:val="0022055C"/>
    <w:rsid w:val="00221ED8"/>
    <w:rsid w:val="00224417"/>
    <w:rsid w:val="002256BA"/>
    <w:rsid w:val="00226527"/>
    <w:rsid w:val="002272FC"/>
    <w:rsid w:val="00227A36"/>
    <w:rsid w:val="00233035"/>
    <w:rsid w:val="0023597E"/>
    <w:rsid w:val="00243613"/>
    <w:rsid w:val="00245288"/>
    <w:rsid w:val="00247441"/>
    <w:rsid w:val="00252999"/>
    <w:rsid w:val="00261E6F"/>
    <w:rsid w:val="00263C17"/>
    <w:rsid w:val="00263E20"/>
    <w:rsid w:val="002668D3"/>
    <w:rsid w:val="0027012B"/>
    <w:rsid w:val="002705EA"/>
    <w:rsid w:val="00280CE6"/>
    <w:rsid w:val="0028239D"/>
    <w:rsid w:val="0028508F"/>
    <w:rsid w:val="00285731"/>
    <w:rsid w:val="00295B5D"/>
    <w:rsid w:val="002A2937"/>
    <w:rsid w:val="002A3A62"/>
    <w:rsid w:val="002A4B22"/>
    <w:rsid w:val="002A5276"/>
    <w:rsid w:val="002A7074"/>
    <w:rsid w:val="002B25DC"/>
    <w:rsid w:val="002B281A"/>
    <w:rsid w:val="002B2D52"/>
    <w:rsid w:val="002B520E"/>
    <w:rsid w:val="002B593E"/>
    <w:rsid w:val="002B5BE9"/>
    <w:rsid w:val="002B738A"/>
    <w:rsid w:val="002B7978"/>
    <w:rsid w:val="002B7E11"/>
    <w:rsid w:val="002C1566"/>
    <w:rsid w:val="002C1F2D"/>
    <w:rsid w:val="002C1FF8"/>
    <w:rsid w:val="002C42E0"/>
    <w:rsid w:val="002C616D"/>
    <w:rsid w:val="002C6339"/>
    <w:rsid w:val="002C66A8"/>
    <w:rsid w:val="002C7334"/>
    <w:rsid w:val="002D272B"/>
    <w:rsid w:val="002E1E39"/>
    <w:rsid w:val="002E2B4E"/>
    <w:rsid w:val="002E46CB"/>
    <w:rsid w:val="002E4D79"/>
    <w:rsid w:val="002E74EE"/>
    <w:rsid w:val="002F196C"/>
    <w:rsid w:val="00304A16"/>
    <w:rsid w:val="00307755"/>
    <w:rsid w:val="00310273"/>
    <w:rsid w:val="00310854"/>
    <w:rsid w:val="0031446D"/>
    <w:rsid w:val="00321595"/>
    <w:rsid w:val="00323475"/>
    <w:rsid w:val="003275F1"/>
    <w:rsid w:val="0033466E"/>
    <w:rsid w:val="00336C97"/>
    <w:rsid w:val="003411FB"/>
    <w:rsid w:val="00343508"/>
    <w:rsid w:val="00345CCF"/>
    <w:rsid w:val="00346ADF"/>
    <w:rsid w:val="00346E29"/>
    <w:rsid w:val="00350CE5"/>
    <w:rsid w:val="00352670"/>
    <w:rsid w:val="003530C5"/>
    <w:rsid w:val="00354510"/>
    <w:rsid w:val="00362548"/>
    <w:rsid w:val="003634E8"/>
    <w:rsid w:val="003637BB"/>
    <w:rsid w:val="0036604E"/>
    <w:rsid w:val="00366140"/>
    <w:rsid w:val="00367CD1"/>
    <w:rsid w:val="00367E2A"/>
    <w:rsid w:val="003715A0"/>
    <w:rsid w:val="00371D47"/>
    <w:rsid w:val="00373044"/>
    <w:rsid w:val="003735C6"/>
    <w:rsid w:val="003738A8"/>
    <w:rsid w:val="003808DA"/>
    <w:rsid w:val="00381C9F"/>
    <w:rsid w:val="0038314C"/>
    <w:rsid w:val="00383F1A"/>
    <w:rsid w:val="00384176"/>
    <w:rsid w:val="003862F0"/>
    <w:rsid w:val="00387654"/>
    <w:rsid w:val="00391B34"/>
    <w:rsid w:val="00393398"/>
    <w:rsid w:val="003964D2"/>
    <w:rsid w:val="003965E0"/>
    <w:rsid w:val="003A1E97"/>
    <w:rsid w:val="003A21C5"/>
    <w:rsid w:val="003A4602"/>
    <w:rsid w:val="003A4B77"/>
    <w:rsid w:val="003A5F72"/>
    <w:rsid w:val="003A6939"/>
    <w:rsid w:val="003A6E50"/>
    <w:rsid w:val="003B1447"/>
    <w:rsid w:val="003B4E0F"/>
    <w:rsid w:val="003B5B51"/>
    <w:rsid w:val="003C21D3"/>
    <w:rsid w:val="003C6B59"/>
    <w:rsid w:val="003C6E4B"/>
    <w:rsid w:val="003D2874"/>
    <w:rsid w:val="003D43EB"/>
    <w:rsid w:val="003D4CF9"/>
    <w:rsid w:val="003E298D"/>
    <w:rsid w:val="003E466F"/>
    <w:rsid w:val="003E4AEB"/>
    <w:rsid w:val="003E7636"/>
    <w:rsid w:val="003F0EB8"/>
    <w:rsid w:val="003F31C8"/>
    <w:rsid w:val="0040185B"/>
    <w:rsid w:val="00401DFC"/>
    <w:rsid w:val="00403262"/>
    <w:rsid w:val="00403FB0"/>
    <w:rsid w:val="00404F7D"/>
    <w:rsid w:val="00405F08"/>
    <w:rsid w:val="00406FE3"/>
    <w:rsid w:val="00410963"/>
    <w:rsid w:val="00411630"/>
    <w:rsid w:val="004123A2"/>
    <w:rsid w:val="004139C8"/>
    <w:rsid w:val="004145B5"/>
    <w:rsid w:val="00417569"/>
    <w:rsid w:val="00422CFF"/>
    <w:rsid w:val="0042309E"/>
    <w:rsid w:val="004240B5"/>
    <w:rsid w:val="00424DCB"/>
    <w:rsid w:val="00426C29"/>
    <w:rsid w:val="00426C9B"/>
    <w:rsid w:val="004270B8"/>
    <w:rsid w:val="00430D48"/>
    <w:rsid w:val="0043145D"/>
    <w:rsid w:val="004315DB"/>
    <w:rsid w:val="0043303A"/>
    <w:rsid w:val="00437574"/>
    <w:rsid w:val="004378C7"/>
    <w:rsid w:val="004412F2"/>
    <w:rsid w:val="00445900"/>
    <w:rsid w:val="00446B25"/>
    <w:rsid w:val="0044736D"/>
    <w:rsid w:val="00447728"/>
    <w:rsid w:val="00447BC2"/>
    <w:rsid w:val="004512E1"/>
    <w:rsid w:val="00452ACB"/>
    <w:rsid w:val="00454A54"/>
    <w:rsid w:val="004550FC"/>
    <w:rsid w:val="00456329"/>
    <w:rsid w:val="00456AEA"/>
    <w:rsid w:val="00462094"/>
    <w:rsid w:val="00462E1E"/>
    <w:rsid w:val="00464329"/>
    <w:rsid w:val="00467C0B"/>
    <w:rsid w:val="004751E9"/>
    <w:rsid w:val="00477F42"/>
    <w:rsid w:val="00480446"/>
    <w:rsid w:val="00480BF6"/>
    <w:rsid w:val="004830A7"/>
    <w:rsid w:val="00484687"/>
    <w:rsid w:val="00491140"/>
    <w:rsid w:val="00493351"/>
    <w:rsid w:val="00493A7D"/>
    <w:rsid w:val="00493FDA"/>
    <w:rsid w:val="004A2DFD"/>
    <w:rsid w:val="004A2E8F"/>
    <w:rsid w:val="004A4AEB"/>
    <w:rsid w:val="004A5A3E"/>
    <w:rsid w:val="004A7344"/>
    <w:rsid w:val="004B1946"/>
    <w:rsid w:val="004C15A4"/>
    <w:rsid w:val="004C287D"/>
    <w:rsid w:val="004C3BD3"/>
    <w:rsid w:val="004C76A5"/>
    <w:rsid w:val="004D05B3"/>
    <w:rsid w:val="004D1438"/>
    <w:rsid w:val="004D3BC8"/>
    <w:rsid w:val="004D652C"/>
    <w:rsid w:val="004D6D6E"/>
    <w:rsid w:val="004E0354"/>
    <w:rsid w:val="004E1DEA"/>
    <w:rsid w:val="004E2DFE"/>
    <w:rsid w:val="004E5CB5"/>
    <w:rsid w:val="004E62D1"/>
    <w:rsid w:val="004E681A"/>
    <w:rsid w:val="004F2707"/>
    <w:rsid w:val="004F6213"/>
    <w:rsid w:val="004F6901"/>
    <w:rsid w:val="004F6D05"/>
    <w:rsid w:val="00501308"/>
    <w:rsid w:val="0050225B"/>
    <w:rsid w:val="005022D7"/>
    <w:rsid w:val="00505E75"/>
    <w:rsid w:val="005074B6"/>
    <w:rsid w:val="0051353E"/>
    <w:rsid w:val="005138A0"/>
    <w:rsid w:val="00515564"/>
    <w:rsid w:val="005167CF"/>
    <w:rsid w:val="00521611"/>
    <w:rsid w:val="00522799"/>
    <w:rsid w:val="005229EA"/>
    <w:rsid w:val="00522D69"/>
    <w:rsid w:val="00524918"/>
    <w:rsid w:val="00531553"/>
    <w:rsid w:val="00535FCD"/>
    <w:rsid w:val="005422BD"/>
    <w:rsid w:val="00543FF7"/>
    <w:rsid w:val="0054571C"/>
    <w:rsid w:val="00547CC6"/>
    <w:rsid w:val="00550879"/>
    <w:rsid w:val="00550F2D"/>
    <w:rsid w:val="005517FD"/>
    <w:rsid w:val="00554E3B"/>
    <w:rsid w:val="00555A33"/>
    <w:rsid w:val="0055653C"/>
    <w:rsid w:val="00556D1E"/>
    <w:rsid w:val="00561D7A"/>
    <w:rsid w:val="00562690"/>
    <w:rsid w:val="00565512"/>
    <w:rsid w:val="005721CF"/>
    <w:rsid w:val="0058089B"/>
    <w:rsid w:val="00581CE8"/>
    <w:rsid w:val="00581D6B"/>
    <w:rsid w:val="00582484"/>
    <w:rsid w:val="00591B19"/>
    <w:rsid w:val="00593273"/>
    <w:rsid w:val="00596BDB"/>
    <w:rsid w:val="0059781D"/>
    <w:rsid w:val="005A194D"/>
    <w:rsid w:val="005A3F1A"/>
    <w:rsid w:val="005A4DBA"/>
    <w:rsid w:val="005A689C"/>
    <w:rsid w:val="005A6B78"/>
    <w:rsid w:val="005B2A02"/>
    <w:rsid w:val="005B379B"/>
    <w:rsid w:val="005B385D"/>
    <w:rsid w:val="005B4815"/>
    <w:rsid w:val="005B73E0"/>
    <w:rsid w:val="005C25B2"/>
    <w:rsid w:val="005C304C"/>
    <w:rsid w:val="005C3BF4"/>
    <w:rsid w:val="005C3C2B"/>
    <w:rsid w:val="005C4963"/>
    <w:rsid w:val="005C5B58"/>
    <w:rsid w:val="005C638F"/>
    <w:rsid w:val="005C66C2"/>
    <w:rsid w:val="005C70C8"/>
    <w:rsid w:val="005D3033"/>
    <w:rsid w:val="005D3D9A"/>
    <w:rsid w:val="005D6067"/>
    <w:rsid w:val="005E1998"/>
    <w:rsid w:val="005E231D"/>
    <w:rsid w:val="005E273E"/>
    <w:rsid w:val="005E36A3"/>
    <w:rsid w:val="005F0A0B"/>
    <w:rsid w:val="005F2754"/>
    <w:rsid w:val="005F3AA8"/>
    <w:rsid w:val="005F3BC0"/>
    <w:rsid w:val="005F59BC"/>
    <w:rsid w:val="005F7187"/>
    <w:rsid w:val="005F7727"/>
    <w:rsid w:val="006027A3"/>
    <w:rsid w:val="006043BA"/>
    <w:rsid w:val="00605746"/>
    <w:rsid w:val="006070FB"/>
    <w:rsid w:val="00615E4C"/>
    <w:rsid w:val="00615F42"/>
    <w:rsid w:val="00616144"/>
    <w:rsid w:val="00617271"/>
    <w:rsid w:val="0061735F"/>
    <w:rsid w:val="00624450"/>
    <w:rsid w:val="0062642D"/>
    <w:rsid w:val="0062674F"/>
    <w:rsid w:val="00627021"/>
    <w:rsid w:val="006325DF"/>
    <w:rsid w:val="00635CD5"/>
    <w:rsid w:val="0063732D"/>
    <w:rsid w:val="0064287A"/>
    <w:rsid w:val="0064474A"/>
    <w:rsid w:val="00650F12"/>
    <w:rsid w:val="00652E21"/>
    <w:rsid w:val="00656B7E"/>
    <w:rsid w:val="00657CF2"/>
    <w:rsid w:val="006621E5"/>
    <w:rsid w:val="00663442"/>
    <w:rsid w:val="00664DC0"/>
    <w:rsid w:val="00666FB3"/>
    <w:rsid w:val="006744B0"/>
    <w:rsid w:val="00674E96"/>
    <w:rsid w:val="00676B98"/>
    <w:rsid w:val="00676F7B"/>
    <w:rsid w:val="006816D7"/>
    <w:rsid w:val="00681D82"/>
    <w:rsid w:val="0068404C"/>
    <w:rsid w:val="006840FC"/>
    <w:rsid w:val="006855EE"/>
    <w:rsid w:val="00686898"/>
    <w:rsid w:val="00686A98"/>
    <w:rsid w:val="00687661"/>
    <w:rsid w:val="00687D48"/>
    <w:rsid w:val="00690CC4"/>
    <w:rsid w:val="0069206B"/>
    <w:rsid w:val="00692D27"/>
    <w:rsid w:val="006957FD"/>
    <w:rsid w:val="006976BB"/>
    <w:rsid w:val="006A7E85"/>
    <w:rsid w:val="006B1BCA"/>
    <w:rsid w:val="006B4171"/>
    <w:rsid w:val="006B4DEB"/>
    <w:rsid w:val="006B685D"/>
    <w:rsid w:val="006B6AD1"/>
    <w:rsid w:val="006C0537"/>
    <w:rsid w:val="006C0E9F"/>
    <w:rsid w:val="006C2664"/>
    <w:rsid w:val="006C29D8"/>
    <w:rsid w:val="006C4114"/>
    <w:rsid w:val="006C468D"/>
    <w:rsid w:val="006C60CB"/>
    <w:rsid w:val="006C6938"/>
    <w:rsid w:val="006C6A42"/>
    <w:rsid w:val="006C6B19"/>
    <w:rsid w:val="006C7725"/>
    <w:rsid w:val="006D1134"/>
    <w:rsid w:val="006D35D1"/>
    <w:rsid w:val="006D5259"/>
    <w:rsid w:val="006E0BA4"/>
    <w:rsid w:val="006E1090"/>
    <w:rsid w:val="006F151D"/>
    <w:rsid w:val="006F3417"/>
    <w:rsid w:val="006F3F69"/>
    <w:rsid w:val="006F47CD"/>
    <w:rsid w:val="006F5B9A"/>
    <w:rsid w:val="00702396"/>
    <w:rsid w:val="00702D4B"/>
    <w:rsid w:val="007050C7"/>
    <w:rsid w:val="00706A27"/>
    <w:rsid w:val="00706F07"/>
    <w:rsid w:val="00707E4A"/>
    <w:rsid w:val="007109D7"/>
    <w:rsid w:val="00711621"/>
    <w:rsid w:val="0071175E"/>
    <w:rsid w:val="00714F84"/>
    <w:rsid w:val="00715624"/>
    <w:rsid w:val="007161EF"/>
    <w:rsid w:val="007222F8"/>
    <w:rsid w:val="0072283D"/>
    <w:rsid w:val="007254E8"/>
    <w:rsid w:val="00725FF3"/>
    <w:rsid w:val="007266D1"/>
    <w:rsid w:val="00727173"/>
    <w:rsid w:val="00731036"/>
    <w:rsid w:val="00731D85"/>
    <w:rsid w:val="007320C8"/>
    <w:rsid w:val="00733B3B"/>
    <w:rsid w:val="007340FF"/>
    <w:rsid w:val="00737849"/>
    <w:rsid w:val="0074292C"/>
    <w:rsid w:val="00751A84"/>
    <w:rsid w:val="0076032B"/>
    <w:rsid w:val="00760ABF"/>
    <w:rsid w:val="007626B8"/>
    <w:rsid w:val="00763197"/>
    <w:rsid w:val="007640A8"/>
    <w:rsid w:val="00765366"/>
    <w:rsid w:val="00767827"/>
    <w:rsid w:val="00770322"/>
    <w:rsid w:val="00772A28"/>
    <w:rsid w:val="00773086"/>
    <w:rsid w:val="007745F6"/>
    <w:rsid w:val="0077709F"/>
    <w:rsid w:val="007771C2"/>
    <w:rsid w:val="007771FA"/>
    <w:rsid w:val="007777A7"/>
    <w:rsid w:val="00782503"/>
    <w:rsid w:val="00783154"/>
    <w:rsid w:val="00783548"/>
    <w:rsid w:val="00784650"/>
    <w:rsid w:val="00787F69"/>
    <w:rsid w:val="0079078A"/>
    <w:rsid w:val="007932B5"/>
    <w:rsid w:val="00794491"/>
    <w:rsid w:val="0079712A"/>
    <w:rsid w:val="0079722E"/>
    <w:rsid w:val="007A2400"/>
    <w:rsid w:val="007A3C4B"/>
    <w:rsid w:val="007A748F"/>
    <w:rsid w:val="007B3355"/>
    <w:rsid w:val="007B46B9"/>
    <w:rsid w:val="007B498C"/>
    <w:rsid w:val="007C2EE5"/>
    <w:rsid w:val="007C49AC"/>
    <w:rsid w:val="007D18DF"/>
    <w:rsid w:val="007D1BDA"/>
    <w:rsid w:val="007D5523"/>
    <w:rsid w:val="007D6829"/>
    <w:rsid w:val="007E3F8F"/>
    <w:rsid w:val="007E48AB"/>
    <w:rsid w:val="007E4F1C"/>
    <w:rsid w:val="007E5640"/>
    <w:rsid w:val="007E6F1A"/>
    <w:rsid w:val="007E7613"/>
    <w:rsid w:val="007F120A"/>
    <w:rsid w:val="007F2301"/>
    <w:rsid w:val="007F2E81"/>
    <w:rsid w:val="007F4B00"/>
    <w:rsid w:val="007F55F5"/>
    <w:rsid w:val="00801C63"/>
    <w:rsid w:val="00805B7A"/>
    <w:rsid w:val="008078B0"/>
    <w:rsid w:val="00811613"/>
    <w:rsid w:val="00811CF7"/>
    <w:rsid w:val="00812390"/>
    <w:rsid w:val="008126B8"/>
    <w:rsid w:val="00812CBE"/>
    <w:rsid w:val="0081324E"/>
    <w:rsid w:val="0081347E"/>
    <w:rsid w:val="00814CF6"/>
    <w:rsid w:val="00814E79"/>
    <w:rsid w:val="00820829"/>
    <w:rsid w:val="00820E5C"/>
    <w:rsid w:val="008222AC"/>
    <w:rsid w:val="0082603F"/>
    <w:rsid w:val="00832DBA"/>
    <w:rsid w:val="0083314C"/>
    <w:rsid w:val="00833A3E"/>
    <w:rsid w:val="008341ED"/>
    <w:rsid w:val="00834976"/>
    <w:rsid w:val="008379F2"/>
    <w:rsid w:val="00837EDF"/>
    <w:rsid w:val="0084031C"/>
    <w:rsid w:val="00841FBE"/>
    <w:rsid w:val="00843DF1"/>
    <w:rsid w:val="00847737"/>
    <w:rsid w:val="00853140"/>
    <w:rsid w:val="008551B0"/>
    <w:rsid w:val="00860BD0"/>
    <w:rsid w:val="00866402"/>
    <w:rsid w:val="00876B67"/>
    <w:rsid w:val="008770EC"/>
    <w:rsid w:val="0088201C"/>
    <w:rsid w:val="008832E1"/>
    <w:rsid w:val="00890040"/>
    <w:rsid w:val="00890925"/>
    <w:rsid w:val="00896409"/>
    <w:rsid w:val="00896E6E"/>
    <w:rsid w:val="008A160F"/>
    <w:rsid w:val="008A49C3"/>
    <w:rsid w:val="008A49CA"/>
    <w:rsid w:val="008A5B42"/>
    <w:rsid w:val="008A7641"/>
    <w:rsid w:val="008A7E7C"/>
    <w:rsid w:val="008B08AD"/>
    <w:rsid w:val="008B0C1B"/>
    <w:rsid w:val="008B4CE8"/>
    <w:rsid w:val="008B6763"/>
    <w:rsid w:val="008B7B0C"/>
    <w:rsid w:val="008C0614"/>
    <w:rsid w:val="008C1562"/>
    <w:rsid w:val="008C1CDF"/>
    <w:rsid w:val="008C3C42"/>
    <w:rsid w:val="008C520F"/>
    <w:rsid w:val="008C6C35"/>
    <w:rsid w:val="008D0A0E"/>
    <w:rsid w:val="008D381A"/>
    <w:rsid w:val="008D6124"/>
    <w:rsid w:val="008D655F"/>
    <w:rsid w:val="008D7339"/>
    <w:rsid w:val="008D7A23"/>
    <w:rsid w:val="008D7DCF"/>
    <w:rsid w:val="008D7FE9"/>
    <w:rsid w:val="008E18AD"/>
    <w:rsid w:val="008E4E1E"/>
    <w:rsid w:val="008E56BF"/>
    <w:rsid w:val="008E5DA3"/>
    <w:rsid w:val="008E6938"/>
    <w:rsid w:val="008F2934"/>
    <w:rsid w:val="008F44BC"/>
    <w:rsid w:val="008F7F32"/>
    <w:rsid w:val="0090153E"/>
    <w:rsid w:val="00902E90"/>
    <w:rsid w:val="00903359"/>
    <w:rsid w:val="00904871"/>
    <w:rsid w:val="00906808"/>
    <w:rsid w:val="009127B0"/>
    <w:rsid w:val="00913200"/>
    <w:rsid w:val="00915F3D"/>
    <w:rsid w:val="00920135"/>
    <w:rsid w:val="00920BDB"/>
    <w:rsid w:val="00923725"/>
    <w:rsid w:val="00924D4E"/>
    <w:rsid w:val="0092527D"/>
    <w:rsid w:val="00926363"/>
    <w:rsid w:val="0092707C"/>
    <w:rsid w:val="009276CE"/>
    <w:rsid w:val="009317ED"/>
    <w:rsid w:val="00931D82"/>
    <w:rsid w:val="009374F1"/>
    <w:rsid w:val="00941984"/>
    <w:rsid w:val="00942492"/>
    <w:rsid w:val="00953B6F"/>
    <w:rsid w:val="00955325"/>
    <w:rsid w:val="00957889"/>
    <w:rsid w:val="009603A1"/>
    <w:rsid w:val="0096488A"/>
    <w:rsid w:val="00965C4E"/>
    <w:rsid w:val="009674A3"/>
    <w:rsid w:val="009710D3"/>
    <w:rsid w:val="00972810"/>
    <w:rsid w:val="00972D1E"/>
    <w:rsid w:val="009747B3"/>
    <w:rsid w:val="0097756E"/>
    <w:rsid w:val="00981B3C"/>
    <w:rsid w:val="0098311D"/>
    <w:rsid w:val="009845A6"/>
    <w:rsid w:val="00985587"/>
    <w:rsid w:val="009870AA"/>
    <w:rsid w:val="00991368"/>
    <w:rsid w:val="00992A5D"/>
    <w:rsid w:val="00993907"/>
    <w:rsid w:val="009A4237"/>
    <w:rsid w:val="009A5856"/>
    <w:rsid w:val="009A6A9B"/>
    <w:rsid w:val="009A770D"/>
    <w:rsid w:val="009B57B3"/>
    <w:rsid w:val="009B6778"/>
    <w:rsid w:val="009B77E9"/>
    <w:rsid w:val="009C3736"/>
    <w:rsid w:val="009C3A50"/>
    <w:rsid w:val="009C4862"/>
    <w:rsid w:val="009C6098"/>
    <w:rsid w:val="009C6BE5"/>
    <w:rsid w:val="009D10CF"/>
    <w:rsid w:val="009D3CEA"/>
    <w:rsid w:val="009D7C97"/>
    <w:rsid w:val="009E712F"/>
    <w:rsid w:val="009F2E65"/>
    <w:rsid w:val="009F3BD4"/>
    <w:rsid w:val="009F53DB"/>
    <w:rsid w:val="009F57CC"/>
    <w:rsid w:val="00A020FE"/>
    <w:rsid w:val="00A02511"/>
    <w:rsid w:val="00A06EE9"/>
    <w:rsid w:val="00A10162"/>
    <w:rsid w:val="00A11FF6"/>
    <w:rsid w:val="00A12882"/>
    <w:rsid w:val="00A17978"/>
    <w:rsid w:val="00A204D4"/>
    <w:rsid w:val="00A21459"/>
    <w:rsid w:val="00A25118"/>
    <w:rsid w:val="00A25186"/>
    <w:rsid w:val="00A322CB"/>
    <w:rsid w:val="00A3736C"/>
    <w:rsid w:val="00A3756B"/>
    <w:rsid w:val="00A428DD"/>
    <w:rsid w:val="00A45819"/>
    <w:rsid w:val="00A46FBF"/>
    <w:rsid w:val="00A500B4"/>
    <w:rsid w:val="00A50B68"/>
    <w:rsid w:val="00A5208D"/>
    <w:rsid w:val="00A5506D"/>
    <w:rsid w:val="00A5523B"/>
    <w:rsid w:val="00A56AEA"/>
    <w:rsid w:val="00A637FA"/>
    <w:rsid w:val="00A647F4"/>
    <w:rsid w:val="00A70D4E"/>
    <w:rsid w:val="00A72717"/>
    <w:rsid w:val="00A7759D"/>
    <w:rsid w:val="00A80924"/>
    <w:rsid w:val="00A8590A"/>
    <w:rsid w:val="00A86622"/>
    <w:rsid w:val="00A877B4"/>
    <w:rsid w:val="00A87CDA"/>
    <w:rsid w:val="00AA197B"/>
    <w:rsid w:val="00AA30C0"/>
    <w:rsid w:val="00AA3707"/>
    <w:rsid w:val="00AA5CF8"/>
    <w:rsid w:val="00AB0B60"/>
    <w:rsid w:val="00AB10C6"/>
    <w:rsid w:val="00AB5A6D"/>
    <w:rsid w:val="00AB61E3"/>
    <w:rsid w:val="00AC0ACE"/>
    <w:rsid w:val="00AC112F"/>
    <w:rsid w:val="00AC2FBC"/>
    <w:rsid w:val="00AC7CAF"/>
    <w:rsid w:val="00AD2396"/>
    <w:rsid w:val="00AD3BF1"/>
    <w:rsid w:val="00AE224A"/>
    <w:rsid w:val="00AE26FF"/>
    <w:rsid w:val="00AE5B52"/>
    <w:rsid w:val="00AF0AB0"/>
    <w:rsid w:val="00AF0C4B"/>
    <w:rsid w:val="00AF379A"/>
    <w:rsid w:val="00AF4A6C"/>
    <w:rsid w:val="00AF5183"/>
    <w:rsid w:val="00B0051F"/>
    <w:rsid w:val="00B01E55"/>
    <w:rsid w:val="00B033EE"/>
    <w:rsid w:val="00B03FEA"/>
    <w:rsid w:val="00B143AD"/>
    <w:rsid w:val="00B15EA8"/>
    <w:rsid w:val="00B171F6"/>
    <w:rsid w:val="00B17CFA"/>
    <w:rsid w:val="00B209EE"/>
    <w:rsid w:val="00B3359E"/>
    <w:rsid w:val="00B339DE"/>
    <w:rsid w:val="00B33CC7"/>
    <w:rsid w:val="00B351C5"/>
    <w:rsid w:val="00B35C4A"/>
    <w:rsid w:val="00B370E8"/>
    <w:rsid w:val="00B406C8"/>
    <w:rsid w:val="00B40BB1"/>
    <w:rsid w:val="00B44033"/>
    <w:rsid w:val="00B62B3C"/>
    <w:rsid w:val="00B630BC"/>
    <w:rsid w:val="00B660AB"/>
    <w:rsid w:val="00B6741C"/>
    <w:rsid w:val="00B71402"/>
    <w:rsid w:val="00B7238F"/>
    <w:rsid w:val="00B73817"/>
    <w:rsid w:val="00B7495C"/>
    <w:rsid w:val="00B754DD"/>
    <w:rsid w:val="00B83057"/>
    <w:rsid w:val="00B85827"/>
    <w:rsid w:val="00B8607C"/>
    <w:rsid w:val="00B9236E"/>
    <w:rsid w:val="00B92EF5"/>
    <w:rsid w:val="00B936B2"/>
    <w:rsid w:val="00B94944"/>
    <w:rsid w:val="00B950BD"/>
    <w:rsid w:val="00B9754B"/>
    <w:rsid w:val="00BA001C"/>
    <w:rsid w:val="00BA1342"/>
    <w:rsid w:val="00BA15A2"/>
    <w:rsid w:val="00BA4A08"/>
    <w:rsid w:val="00BA4FF5"/>
    <w:rsid w:val="00BB2B8B"/>
    <w:rsid w:val="00BC60EA"/>
    <w:rsid w:val="00BC6C9B"/>
    <w:rsid w:val="00BD0976"/>
    <w:rsid w:val="00BD23A2"/>
    <w:rsid w:val="00BD4838"/>
    <w:rsid w:val="00BD489D"/>
    <w:rsid w:val="00BD5488"/>
    <w:rsid w:val="00BD6244"/>
    <w:rsid w:val="00BD6285"/>
    <w:rsid w:val="00BE08D3"/>
    <w:rsid w:val="00BE5F9D"/>
    <w:rsid w:val="00BE6F64"/>
    <w:rsid w:val="00BF5F53"/>
    <w:rsid w:val="00BF749F"/>
    <w:rsid w:val="00C0030F"/>
    <w:rsid w:val="00C00B71"/>
    <w:rsid w:val="00C04489"/>
    <w:rsid w:val="00C05A88"/>
    <w:rsid w:val="00C13CB8"/>
    <w:rsid w:val="00C14926"/>
    <w:rsid w:val="00C14D2E"/>
    <w:rsid w:val="00C16899"/>
    <w:rsid w:val="00C172CD"/>
    <w:rsid w:val="00C2018D"/>
    <w:rsid w:val="00C212D0"/>
    <w:rsid w:val="00C30899"/>
    <w:rsid w:val="00C317B0"/>
    <w:rsid w:val="00C341C2"/>
    <w:rsid w:val="00C40841"/>
    <w:rsid w:val="00C409E7"/>
    <w:rsid w:val="00C42990"/>
    <w:rsid w:val="00C45B56"/>
    <w:rsid w:val="00C47251"/>
    <w:rsid w:val="00C5131D"/>
    <w:rsid w:val="00C52A59"/>
    <w:rsid w:val="00C52E1A"/>
    <w:rsid w:val="00C617AE"/>
    <w:rsid w:val="00C76B39"/>
    <w:rsid w:val="00C80B0F"/>
    <w:rsid w:val="00C817FB"/>
    <w:rsid w:val="00C81AD9"/>
    <w:rsid w:val="00C83265"/>
    <w:rsid w:val="00C854EE"/>
    <w:rsid w:val="00C952E0"/>
    <w:rsid w:val="00C97ED8"/>
    <w:rsid w:val="00CA0D23"/>
    <w:rsid w:val="00CA221F"/>
    <w:rsid w:val="00CA2D2A"/>
    <w:rsid w:val="00CA3561"/>
    <w:rsid w:val="00CA50F5"/>
    <w:rsid w:val="00CA519E"/>
    <w:rsid w:val="00CA74AC"/>
    <w:rsid w:val="00CB100C"/>
    <w:rsid w:val="00CB787C"/>
    <w:rsid w:val="00CC07F8"/>
    <w:rsid w:val="00CC207A"/>
    <w:rsid w:val="00CC21FD"/>
    <w:rsid w:val="00CC272D"/>
    <w:rsid w:val="00CC2ADF"/>
    <w:rsid w:val="00CC77BD"/>
    <w:rsid w:val="00CD41AB"/>
    <w:rsid w:val="00CD4AE2"/>
    <w:rsid w:val="00CD75D0"/>
    <w:rsid w:val="00CE0DC1"/>
    <w:rsid w:val="00CE3276"/>
    <w:rsid w:val="00CE5E4F"/>
    <w:rsid w:val="00CF35ED"/>
    <w:rsid w:val="00CF3DC6"/>
    <w:rsid w:val="00CF4288"/>
    <w:rsid w:val="00CF622D"/>
    <w:rsid w:val="00CF7492"/>
    <w:rsid w:val="00D029FF"/>
    <w:rsid w:val="00D04F88"/>
    <w:rsid w:val="00D113F2"/>
    <w:rsid w:val="00D118FD"/>
    <w:rsid w:val="00D129A7"/>
    <w:rsid w:val="00D12A57"/>
    <w:rsid w:val="00D16D62"/>
    <w:rsid w:val="00D213E8"/>
    <w:rsid w:val="00D258F4"/>
    <w:rsid w:val="00D25BD9"/>
    <w:rsid w:val="00D2616D"/>
    <w:rsid w:val="00D26BAC"/>
    <w:rsid w:val="00D30EF2"/>
    <w:rsid w:val="00D31E6E"/>
    <w:rsid w:val="00D32BC9"/>
    <w:rsid w:val="00D32CA1"/>
    <w:rsid w:val="00D33C70"/>
    <w:rsid w:val="00D370D4"/>
    <w:rsid w:val="00D405F5"/>
    <w:rsid w:val="00D4297E"/>
    <w:rsid w:val="00D44055"/>
    <w:rsid w:val="00D44352"/>
    <w:rsid w:val="00D53232"/>
    <w:rsid w:val="00D5389A"/>
    <w:rsid w:val="00D61A7A"/>
    <w:rsid w:val="00D65274"/>
    <w:rsid w:val="00D6552A"/>
    <w:rsid w:val="00D73249"/>
    <w:rsid w:val="00D7331F"/>
    <w:rsid w:val="00D74282"/>
    <w:rsid w:val="00D75277"/>
    <w:rsid w:val="00D75415"/>
    <w:rsid w:val="00D75EAE"/>
    <w:rsid w:val="00D75F19"/>
    <w:rsid w:val="00D81912"/>
    <w:rsid w:val="00D8238F"/>
    <w:rsid w:val="00D85514"/>
    <w:rsid w:val="00D90A66"/>
    <w:rsid w:val="00D95C64"/>
    <w:rsid w:val="00D95F53"/>
    <w:rsid w:val="00DA24CE"/>
    <w:rsid w:val="00DB2AC1"/>
    <w:rsid w:val="00DB44A2"/>
    <w:rsid w:val="00DC0A33"/>
    <w:rsid w:val="00DC0F11"/>
    <w:rsid w:val="00DC2519"/>
    <w:rsid w:val="00DC4129"/>
    <w:rsid w:val="00DD5F2D"/>
    <w:rsid w:val="00DD6C78"/>
    <w:rsid w:val="00DE11C2"/>
    <w:rsid w:val="00DE3F53"/>
    <w:rsid w:val="00DE42E3"/>
    <w:rsid w:val="00DF2873"/>
    <w:rsid w:val="00DF373B"/>
    <w:rsid w:val="00DF37D3"/>
    <w:rsid w:val="00DF5EC8"/>
    <w:rsid w:val="00E02D50"/>
    <w:rsid w:val="00E0671D"/>
    <w:rsid w:val="00E06DA9"/>
    <w:rsid w:val="00E07284"/>
    <w:rsid w:val="00E112A5"/>
    <w:rsid w:val="00E11F44"/>
    <w:rsid w:val="00E1206A"/>
    <w:rsid w:val="00E1464B"/>
    <w:rsid w:val="00E15B38"/>
    <w:rsid w:val="00E1609A"/>
    <w:rsid w:val="00E20979"/>
    <w:rsid w:val="00E20D3B"/>
    <w:rsid w:val="00E21FE5"/>
    <w:rsid w:val="00E23194"/>
    <w:rsid w:val="00E235CA"/>
    <w:rsid w:val="00E2659A"/>
    <w:rsid w:val="00E301D2"/>
    <w:rsid w:val="00E32AFC"/>
    <w:rsid w:val="00E3337E"/>
    <w:rsid w:val="00E360E3"/>
    <w:rsid w:val="00E368D8"/>
    <w:rsid w:val="00E37232"/>
    <w:rsid w:val="00E4114E"/>
    <w:rsid w:val="00E418A4"/>
    <w:rsid w:val="00E43E22"/>
    <w:rsid w:val="00E500A1"/>
    <w:rsid w:val="00E500FD"/>
    <w:rsid w:val="00E51FDF"/>
    <w:rsid w:val="00E5459F"/>
    <w:rsid w:val="00E612A2"/>
    <w:rsid w:val="00E613A1"/>
    <w:rsid w:val="00E6291C"/>
    <w:rsid w:val="00E64EBD"/>
    <w:rsid w:val="00E706AA"/>
    <w:rsid w:val="00E74CF9"/>
    <w:rsid w:val="00E75224"/>
    <w:rsid w:val="00E7535E"/>
    <w:rsid w:val="00E75CF2"/>
    <w:rsid w:val="00E77BBF"/>
    <w:rsid w:val="00E77E16"/>
    <w:rsid w:val="00E84A53"/>
    <w:rsid w:val="00E84C9A"/>
    <w:rsid w:val="00E84EA4"/>
    <w:rsid w:val="00E851D5"/>
    <w:rsid w:val="00E86DD3"/>
    <w:rsid w:val="00E87CCE"/>
    <w:rsid w:val="00E917E1"/>
    <w:rsid w:val="00E919A1"/>
    <w:rsid w:val="00E9262F"/>
    <w:rsid w:val="00E9563C"/>
    <w:rsid w:val="00EA29CC"/>
    <w:rsid w:val="00EA44A3"/>
    <w:rsid w:val="00EA4CF3"/>
    <w:rsid w:val="00EA563D"/>
    <w:rsid w:val="00EA66CC"/>
    <w:rsid w:val="00EA736C"/>
    <w:rsid w:val="00EB50B6"/>
    <w:rsid w:val="00EB5838"/>
    <w:rsid w:val="00EC3A0D"/>
    <w:rsid w:val="00EC4E38"/>
    <w:rsid w:val="00EC6B2A"/>
    <w:rsid w:val="00ED347C"/>
    <w:rsid w:val="00ED5143"/>
    <w:rsid w:val="00ED6174"/>
    <w:rsid w:val="00EE018D"/>
    <w:rsid w:val="00EE1666"/>
    <w:rsid w:val="00EE492B"/>
    <w:rsid w:val="00EE6F0D"/>
    <w:rsid w:val="00EE7930"/>
    <w:rsid w:val="00EF5D04"/>
    <w:rsid w:val="00F00C1B"/>
    <w:rsid w:val="00F02134"/>
    <w:rsid w:val="00F0275F"/>
    <w:rsid w:val="00F028DC"/>
    <w:rsid w:val="00F03BD1"/>
    <w:rsid w:val="00F054EE"/>
    <w:rsid w:val="00F0746C"/>
    <w:rsid w:val="00F07D07"/>
    <w:rsid w:val="00F1196B"/>
    <w:rsid w:val="00F127DF"/>
    <w:rsid w:val="00F13889"/>
    <w:rsid w:val="00F142FA"/>
    <w:rsid w:val="00F15E93"/>
    <w:rsid w:val="00F15F28"/>
    <w:rsid w:val="00F169AF"/>
    <w:rsid w:val="00F16CC4"/>
    <w:rsid w:val="00F1719F"/>
    <w:rsid w:val="00F21C42"/>
    <w:rsid w:val="00F21E06"/>
    <w:rsid w:val="00F21FAB"/>
    <w:rsid w:val="00F2295D"/>
    <w:rsid w:val="00F2298B"/>
    <w:rsid w:val="00F230DA"/>
    <w:rsid w:val="00F30112"/>
    <w:rsid w:val="00F31657"/>
    <w:rsid w:val="00F32C40"/>
    <w:rsid w:val="00F3395E"/>
    <w:rsid w:val="00F37799"/>
    <w:rsid w:val="00F40713"/>
    <w:rsid w:val="00F40CE2"/>
    <w:rsid w:val="00F42496"/>
    <w:rsid w:val="00F52215"/>
    <w:rsid w:val="00F57B2D"/>
    <w:rsid w:val="00F6225B"/>
    <w:rsid w:val="00F647F8"/>
    <w:rsid w:val="00F65158"/>
    <w:rsid w:val="00F667EA"/>
    <w:rsid w:val="00F70932"/>
    <w:rsid w:val="00F721A1"/>
    <w:rsid w:val="00F73E57"/>
    <w:rsid w:val="00F74AD4"/>
    <w:rsid w:val="00F75523"/>
    <w:rsid w:val="00F762BF"/>
    <w:rsid w:val="00F84DF6"/>
    <w:rsid w:val="00F856EE"/>
    <w:rsid w:val="00F92B8C"/>
    <w:rsid w:val="00F96F26"/>
    <w:rsid w:val="00FA1FEB"/>
    <w:rsid w:val="00FA3A2E"/>
    <w:rsid w:val="00FB2152"/>
    <w:rsid w:val="00FB2260"/>
    <w:rsid w:val="00FB4E08"/>
    <w:rsid w:val="00FB7387"/>
    <w:rsid w:val="00FC0886"/>
    <w:rsid w:val="00FC18AF"/>
    <w:rsid w:val="00FC18FB"/>
    <w:rsid w:val="00FC289A"/>
    <w:rsid w:val="00FC42C0"/>
    <w:rsid w:val="00FC517B"/>
    <w:rsid w:val="00FD17E3"/>
    <w:rsid w:val="00FD2DE4"/>
    <w:rsid w:val="00FD713B"/>
    <w:rsid w:val="00FE2068"/>
    <w:rsid w:val="00FE2C6E"/>
    <w:rsid w:val="00FE3CA3"/>
    <w:rsid w:val="00FE78BA"/>
    <w:rsid w:val="00FF23C6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850627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DBA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stKZ"/>
    <w:next w:val="Normln"/>
    <w:link w:val="Nadpis1Char"/>
    <w:qFormat/>
    <w:rsid w:val="00657CF2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7CF2"/>
    <w:pPr>
      <w:numPr>
        <w:numId w:val="5"/>
      </w:numPr>
      <w:spacing w:after="60" w:line="259" w:lineRule="auto"/>
      <w:contextualSpacing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57CF2"/>
    <w:pPr>
      <w:keepNext/>
      <w:numPr>
        <w:ilvl w:val="1"/>
        <w:numId w:val="4"/>
      </w:numPr>
      <w:spacing w:before="240" w:after="0"/>
      <w:ind w:left="425" w:hanging="425"/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1C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1"/>
    <w:uiPriority w:val="9"/>
    <w:semiHidden/>
    <w:unhideWhenUsed/>
    <w:qFormat/>
    <w:rsid w:val="00381C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1C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1C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1C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pis pro KZ,Odstavec_muj,Nad,odrážky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pis pro KZ Char,Odstavec_muj Char,Nad Char,odrážky Char"/>
    <w:link w:val="Odstavecseseznamem"/>
    <w:uiPriority w:val="34"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57CF2"/>
    <w:rPr>
      <w:rFonts w:eastAsiaTheme="minorHAnsi" w:cstheme="minorHAnsi"/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57CF2"/>
    <w:rPr>
      <w:rFonts w:eastAsia="Calibri" w:cstheme="minorHAnsi"/>
      <w:b/>
      <w:sz w:val="24"/>
      <w:szCs w:val="24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2B7978"/>
    <w:rPr>
      <w:vertAlign w:val="superscript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22055C"/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semiHidden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semiHidden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uiPriority w:val="9"/>
    <w:rsid w:val="00657CF2"/>
    <w:rPr>
      <w:rFonts w:eastAsia="Calibri" w:cstheme="minorHAnsi"/>
      <w:b/>
      <w:sz w:val="24"/>
      <w:szCs w:val="24"/>
    </w:rPr>
  </w:style>
  <w:style w:type="character" w:customStyle="1" w:styleId="Nadpis5Char">
    <w:name w:val="Nadpis 5 Char"/>
    <w:basedOn w:val="Standardnpsmoodstavce"/>
    <w:uiPriority w:val="9"/>
    <w:rsid w:val="00C52E1A"/>
    <w:rPr>
      <w:rFonts w:ascii="Arial" w:eastAsia="Times New Roman" w:hAnsi="Arial" w:cs="Times New Roman"/>
      <w:b/>
      <w:bCs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AD3BF1"/>
    <w:pPr>
      <w:spacing w:before="100" w:beforeAutospacing="1" w:after="100" w:afterAutospacing="1"/>
    </w:pPr>
    <w:rPr>
      <w:rFonts w:ascii="Times New Roman" w:eastAsiaTheme="minorEastAsia" w:hAnsi="Times New Roman"/>
      <w:lang w:eastAsia="cs-CZ"/>
    </w:rPr>
  </w:style>
  <w:style w:type="paragraph" w:customStyle="1" w:styleId="stKZ">
    <w:name w:val="část KZ"/>
    <w:link w:val="stKZChar"/>
    <w:qFormat/>
    <w:rsid w:val="00381C9F"/>
    <w:pPr>
      <w:jc w:val="center"/>
    </w:pPr>
    <w:rPr>
      <w:rFonts w:eastAsiaTheme="minorHAnsi" w:cstheme="minorHAnsi"/>
      <w:b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1C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stKZChar">
    <w:name w:val="část KZ Char"/>
    <w:basedOn w:val="Nadpis1Char"/>
    <w:link w:val="stKZ"/>
    <w:rsid w:val="00381C9F"/>
    <w:rPr>
      <w:rFonts w:eastAsiaTheme="minorHAnsi" w:cstheme="minorHAnsi"/>
      <w:b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"/>
    <w:semiHidden/>
    <w:rsid w:val="00381C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1C9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1C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1C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O\grafy%20do%20prezentace_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O\grafy%20do%20prezentace_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MO\grafy%20do%20prezentace_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cs-CZ" sz="1100" b="1">
                <a:solidFill>
                  <a:schemeClr val="tx1"/>
                </a:solidFill>
              </a:rPr>
              <a:t>Aktiva (brutto)</a:t>
            </a:r>
          </a:p>
        </c:rich>
      </c:tx>
      <c:layout>
        <c:manualLayout>
          <c:xMode val="edge"/>
          <c:yMode val="edge"/>
          <c:x val="0.33568832246484653"/>
          <c:y val="0.102719320041469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7009172822469352"/>
          <c:y val="0.19909062276306372"/>
          <c:w val="0.31563600941634873"/>
          <c:h val="0.66800057265569079"/>
        </c:manualLayout>
      </c:layout>
      <c:doughnutChart>
        <c:varyColors val="1"/>
        <c:ser>
          <c:idx val="0"/>
          <c:order val="0"/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9525" cap="flat" cmpd="sng" algn="ctr">
                <a:solidFill>
                  <a:srgbClr val="004595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05C-47CF-A9CD-59F479225908}"/>
              </c:ext>
            </c:extLst>
          </c:dPt>
          <c:dPt>
            <c:idx val="1"/>
            <c:bubble3D val="0"/>
            <c:spPr>
              <a:solidFill>
                <a:srgbClr val="E5F1FF"/>
              </a:solidFill>
              <a:ln w="9525" cap="flat" cmpd="sng" algn="ctr">
                <a:solidFill>
                  <a:srgbClr val="E5F1FF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05C-47CF-A9CD-59F479225908}"/>
              </c:ext>
            </c:extLst>
          </c:dPt>
          <c:dLbls>
            <c:dLbl>
              <c:idx val="0"/>
              <c:layout>
                <c:manualLayout>
                  <c:x val="9.0967064600795872E-2"/>
                  <c:y val="-5.2416060449191254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FC999D8-1E5E-4FB7-A969-73B4D37707C3}" type="CATEGORYNAME">
                      <a:rPr lang="en-US">
                        <a:solidFill>
                          <a:schemeClr val="tx1"/>
                        </a:solidFill>
                      </a:rPr>
                      <a:pPr>
                        <a:defRPr sz="1000" b="1">
                          <a:solidFill>
                            <a:schemeClr val="tx1"/>
                          </a:solidFill>
                        </a:defRPr>
                      </a:pPr>
                      <a:t>[NÁZEV KATEGORIE]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460872C7-533F-48FC-B674-A43A52715325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1000" b="1">
                          <a:solidFill>
                            <a:schemeClr val="tx1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numFmt formatCode="0_I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5C-47CF-A9CD-59F479225908}"/>
                </c:ext>
              </c:extLst>
            </c:dLbl>
            <c:dLbl>
              <c:idx val="1"/>
              <c:layout>
                <c:manualLayout>
                  <c:x val="-0.17391319641745812"/>
                  <c:y val="4.96400858983536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B18BC32-5BAF-468E-9879-39FE921914A3}" type="CATEGORYNAME">
                      <a:rPr lang="en-US">
                        <a:solidFill>
                          <a:schemeClr val="tx1"/>
                        </a:solidFill>
                      </a:rPr>
                      <a:pPr>
                        <a:defRPr sz="1000">
                          <a:solidFill>
                            <a:schemeClr val="tx1"/>
                          </a:solidFill>
                        </a:defRPr>
                      </a:pPr>
                      <a:t>[NÁZEV KATEGORIE]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2F7FBA21-69A6-48CB-BE01-F2A50DCED5D0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1000">
                          <a:solidFill>
                            <a:schemeClr val="tx1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numFmt formatCode="0_I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69624338194839"/>
                      <c:h val="0.1002552135528513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5C-47CF-A9CD-59F47922590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List4!$A$14:$A$15</c:f>
              <c:strCache>
                <c:ptCount val="2"/>
                <c:pt idx="0">
                  <c:v>MO</c:v>
                </c:pt>
                <c:pt idx="1">
                  <c:v>Ostatní ministerstva</c:v>
                </c:pt>
              </c:strCache>
            </c:strRef>
          </c:cat>
          <c:val>
            <c:numRef>
              <c:f>List4!$B$14:$B$15</c:f>
              <c:numCache>
                <c:formatCode>#,##0.00</c:formatCode>
                <c:ptCount val="2"/>
                <c:pt idx="0">
                  <c:v>234925944825.64999</c:v>
                </c:pt>
                <c:pt idx="1">
                  <c:v>744862718124.21985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05C-47CF-A9CD-59F479225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chemeClr val="tx1"/>
                </a:solidFill>
              </a:rPr>
              <a:t>Dlou</a:t>
            </a:r>
            <a:r>
              <a:rPr lang="cs-CZ" sz="1100" b="1">
                <a:solidFill>
                  <a:schemeClr val="tx1"/>
                </a:solidFill>
              </a:rPr>
              <a:t>hodobý hmotný majetek</a:t>
            </a:r>
            <a:endParaRPr lang="en-US" sz="11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2805912418842381"/>
          <c:y val="2.8368794326241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cap="none" spc="2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32264198933896154"/>
          <c:y val="0.3156317312308573"/>
          <c:w val="0.43640230538193037"/>
          <c:h val="0.62109424942684255"/>
        </c:manualLayout>
      </c:layout>
      <c:doughnutChart>
        <c:varyColors val="1"/>
        <c:ser>
          <c:idx val="0"/>
          <c:order val="0"/>
          <c:spPr>
            <a:solidFill>
              <a:srgbClr val="E5F1FF"/>
            </a:solidFill>
            <a:ln>
              <a:solidFill>
                <a:srgbClr val="E5F1FF"/>
              </a:solidFill>
            </a:ln>
          </c:spPr>
          <c:dPt>
            <c:idx val="0"/>
            <c:bubble3D val="0"/>
            <c:spPr>
              <a:solidFill>
                <a:srgbClr val="004595"/>
              </a:solidFill>
              <a:ln w="9525" cap="flat" cmpd="sng" algn="ctr">
                <a:solidFill>
                  <a:srgbClr val="E5F1FF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1761-4E5D-8C86-12695BEE4251}"/>
              </c:ext>
            </c:extLst>
          </c:dPt>
          <c:dPt>
            <c:idx val="1"/>
            <c:bubble3D val="0"/>
            <c:spPr>
              <a:solidFill>
                <a:srgbClr val="E5F1FF"/>
              </a:solidFill>
              <a:ln w="9525" cap="flat" cmpd="sng" algn="ctr">
                <a:solidFill>
                  <a:srgbClr val="E5F1FF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761-4E5D-8C86-12695BEE4251}"/>
              </c:ext>
            </c:extLst>
          </c:dPt>
          <c:dLbls>
            <c:dLbl>
              <c:idx val="0"/>
              <c:layout>
                <c:manualLayout>
                  <c:x val="0.18585112427956807"/>
                  <c:y val="0.1021658036142938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872A347-4ECA-48A6-8A7E-1A1B7D67D515}" type="CATEGORYNAME">
                      <a:rPr lang="en-US">
                        <a:solidFill>
                          <a:schemeClr val="tx1"/>
                        </a:solidFill>
                      </a:rPr>
                      <a:pPr>
                        <a:defRPr sz="1000" b="1">
                          <a:solidFill>
                            <a:schemeClr val="tx1"/>
                          </a:solidFill>
                        </a:defRPr>
                      </a:pPr>
                      <a:t>[NÁZEV KATEGORIE]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F47767FF-A62F-41ED-8F09-002CC886D91E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1000" b="1">
                          <a:solidFill>
                            <a:schemeClr val="tx1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numFmt formatCode="0_I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284539517884493"/>
                      <c:h val="9.599821298933376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761-4E5D-8C86-12695BEE4251}"/>
                </c:ext>
              </c:extLst>
            </c:dLbl>
            <c:dLbl>
              <c:idx val="1"/>
              <c:layout>
                <c:manualLayout>
                  <c:x val="-0.12637317242561175"/>
                  <c:y val="-0.2105265860352392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49547C1-7748-40F4-B050-6CA210C619B0}" type="CATEGORYNAME">
                      <a:rPr lang="en-US">
                        <a:solidFill>
                          <a:schemeClr val="tx1"/>
                        </a:solidFill>
                      </a:rPr>
                      <a:pPr>
                        <a:defRPr sz="1000">
                          <a:solidFill>
                            <a:schemeClr val="tx1"/>
                          </a:solidFill>
                        </a:defRPr>
                      </a:pPr>
                      <a:t>[NÁZEV KATEGORIE]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718A4161-99D7-4ABF-83A7-8A17933D3FDA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1000">
                          <a:solidFill>
                            <a:schemeClr val="tx1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numFmt formatCode="0_I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51346447673422269"/>
                      <c:h val="0.101533982526719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761-4E5D-8C86-12695BEE425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'List4 (3)'!$A$14:$A$15</c:f>
              <c:strCache>
                <c:ptCount val="2"/>
                <c:pt idx="0">
                  <c:v>MO</c:v>
                </c:pt>
                <c:pt idx="1">
                  <c:v>Ostatní ministerstva</c:v>
                </c:pt>
              </c:strCache>
            </c:strRef>
          </c:cat>
          <c:val>
            <c:numRef>
              <c:f>'List4 (3)'!$B$14:$B$15</c:f>
              <c:numCache>
                <c:formatCode>#,##0.00</c:formatCode>
                <c:ptCount val="2"/>
                <c:pt idx="0">
                  <c:v>88602289393.619995</c:v>
                </c:pt>
                <c:pt idx="1">
                  <c:v>31221825514.319996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61-4E5D-8C86-12695BEE4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chemeClr val="tx1"/>
                </a:solidFill>
              </a:rPr>
              <a:t>Z</a:t>
            </a:r>
            <a:r>
              <a:rPr lang="cs-CZ" sz="1100" b="1">
                <a:solidFill>
                  <a:schemeClr val="tx1"/>
                </a:solidFill>
              </a:rPr>
              <a:t>ásoby</a:t>
            </a:r>
          </a:p>
        </c:rich>
      </c:tx>
      <c:layout>
        <c:manualLayout>
          <c:xMode val="edge"/>
          <c:yMode val="edge"/>
          <c:x val="0.43744752836128042"/>
          <c:y val="3.59988831183336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30507541532608357"/>
          <c:y val="0.31055448909115513"/>
          <c:w val="0.45979250829355578"/>
          <c:h val="0.62208082519284069"/>
        </c:manualLayout>
      </c:layout>
      <c:doughnutChart>
        <c:varyColors val="1"/>
        <c:ser>
          <c:idx val="0"/>
          <c:order val="0"/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E1-4787-B4C4-09039152BA0C}"/>
              </c:ext>
            </c:extLst>
          </c:dPt>
          <c:dPt>
            <c:idx val="1"/>
            <c:bubble3D val="0"/>
            <c:spPr>
              <a:solidFill>
                <a:srgbClr val="E5F1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E1-4787-B4C4-09039152BA0C}"/>
              </c:ext>
            </c:extLst>
          </c:dPt>
          <c:dLbls>
            <c:dLbl>
              <c:idx val="0"/>
              <c:layout>
                <c:manualLayout>
                  <c:x val="0.24232686334109435"/>
                  <c:y val="2.738438328563480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D6A1892-EFAF-4895-9135-4EE2218E6F1B}" type="CATEGORYNAME">
                      <a:rPr lang="en-US">
                        <a:solidFill>
                          <a:schemeClr val="tx1"/>
                        </a:solidFill>
                      </a:rPr>
                      <a:pPr>
                        <a:defRPr sz="1000" b="1">
                          <a:solidFill>
                            <a:schemeClr val="tx1"/>
                          </a:solidFill>
                        </a:defRPr>
                      </a:pPr>
                      <a:t>[NÁZEV KATEGORIE]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9C36B776-69B9-4BD1-A506-ACC3C3D46F25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1000" b="1">
                          <a:solidFill>
                            <a:schemeClr val="tx1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numFmt formatCode="0_I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101566149746245"/>
                      <c:h val="9.848022445470178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4E1-4787-B4C4-09039152BA0C}"/>
                </c:ext>
              </c:extLst>
            </c:dLbl>
            <c:dLbl>
              <c:idx val="1"/>
              <c:layout>
                <c:manualLayout>
                  <c:x val="-0.22787861768034323"/>
                  <c:y val="-0.1191963592074861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0FACBF3-C8C0-4225-A419-E512BE698D25}" type="CATEGORYNAME">
                      <a:rPr lang="en-US">
                        <a:solidFill>
                          <a:schemeClr val="tx1"/>
                        </a:solidFill>
                      </a:rPr>
                      <a:pPr>
                        <a:defRPr sz="1000">
                          <a:solidFill>
                            <a:schemeClr val="tx1"/>
                          </a:solidFill>
                        </a:defRPr>
                      </a:pPr>
                      <a:t>[NÁZEV KATEGORIE]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</a:t>
                    </a:r>
                    <a:fld id="{C07A12E2-1EFF-4514-9D30-4BA1E5728C94}" type="PERCENTAGE">
                      <a:rPr lang="en-US" baseline="0">
                        <a:solidFill>
                          <a:schemeClr val="tx1"/>
                        </a:solidFill>
                      </a:rPr>
                      <a:pPr>
                        <a:defRPr sz="1000">
                          <a:solidFill>
                            <a:schemeClr val="tx1"/>
                          </a:solidFill>
                        </a:defRPr>
                      </a:pPr>
                      <a:t>[PROCENTO]</a:t>
                    </a:fld>
                    <a:endParaRPr lang="en-US" baseline="0">
                      <a:solidFill>
                        <a:schemeClr val="tx1"/>
                      </a:solidFill>
                    </a:endParaRPr>
                  </a:p>
                </c:rich>
              </c:tx>
              <c:numFmt formatCode="0_I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50104783126526964"/>
                      <c:h val="9.2414681455715547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4E1-4787-B4C4-09039152BA0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'List4 (2)'!$A$14:$A$15</c:f>
              <c:strCache>
                <c:ptCount val="2"/>
                <c:pt idx="0">
                  <c:v>MO</c:v>
                </c:pt>
                <c:pt idx="1">
                  <c:v>Ostatní ministerstva</c:v>
                </c:pt>
              </c:strCache>
            </c:strRef>
          </c:cat>
          <c:val>
            <c:numRef>
              <c:f>'List4 (2)'!$B$14:$B$15</c:f>
              <c:numCache>
                <c:formatCode>#,##0.00</c:formatCode>
                <c:ptCount val="2"/>
                <c:pt idx="0">
                  <c:v>32547451827.240002</c:v>
                </c:pt>
                <c:pt idx="1">
                  <c:v>1375608379.7199998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E1-4787-B4C4-09039152B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0.33185</cdr:x>
      <cdr:y>0.49438</cdr:y>
    </cdr:from>
    <cdr:to>
      <cdr:x>0.52513</cdr:x>
      <cdr:y>0.58541</cdr:y>
    </cdr:to>
    <cdr:sp macro="" textlink="">
      <cdr:nvSpPr>
        <cdr:cNvPr id="2" name="TextovéPole 2"/>
        <cdr:cNvSpPr txBox="1"/>
      </cdr:nvSpPr>
      <cdr:spPr>
        <a:xfrm xmlns:a="http://schemas.openxmlformats.org/drawingml/2006/main">
          <a:off x="1839651" y="1442514"/>
          <a:ext cx="1071457" cy="265609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spcAft>
              <a:spcPts val="0"/>
            </a:spcAft>
          </a:pPr>
          <a:r>
            <a:rPr lang="cs-CZ" sz="1200" b="1">
              <a:solidFill>
                <a:srgbClr val="000000"/>
              </a:solidFill>
              <a:effectLst/>
              <a:ea typeface="Times New Roman" panose="02020603050405020304" pitchFamily="18" charset="0"/>
              <a:cs typeface="Times New Roman" panose="02020603050405020304" pitchFamily="18" charset="0"/>
            </a:rPr>
            <a:t>980 mld. Kč</a:t>
          </a:r>
          <a:endParaRPr lang="cs-CZ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8C06-1447-4BB3-B809-FF6C871E5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F923-7150-41FF-A829-D5640C567F8E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857CF5-1BE9-4819-9B34-4A482533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6BB41B14</Template>
  <TotalTime>1</TotalTime>
  <Pages>14</Pages>
  <Words>3798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17/18 - Závěrečný účet kapitoly státního rozpočtu Ministerstvo životního prostředí za rok 2016, účetní závěrka Ministerstva životního prostředí za rok 2016 a údaje předkládané Ministerstvem životního prostředí pro h</vt:lpstr>
    </vt:vector>
  </TitlesOfParts>
  <Company>NKU</Company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17/30 - Závěrečný účet kapitoly státního rozpočtu Ministerstvo obrany za rok 2017, účetní závěrka Ministerstva obrany za rok 2017 a údaje předkládané Ministerstvem obrany pro hodnocení plnění státního rozpočtu za rok 2017</dc:title>
  <dc:subject/>
  <dc:creator>Nejvyšší kontrolní úřad</dc:creator>
  <cp:keywords/>
  <dc:description/>
  <cp:lastModifiedBy>KOKRDA Daniel</cp:lastModifiedBy>
  <cp:revision>5</cp:revision>
  <cp:lastPrinted>2018-06-29T08:09:00Z</cp:lastPrinted>
  <dcterms:created xsi:type="dcterms:W3CDTF">2018-06-29T08:07:00Z</dcterms:created>
  <dcterms:modified xsi:type="dcterms:W3CDTF">2018-06-29T08:09:00Z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