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1EA84" w14:textId="77777777" w:rsidR="00B6100C" w:rsidRDefault="00B6100C" w:rsidP="00B44493">
      <w:pPr>
        <w:pStyle w:val="Nzev"/>
        <w:outlineLvl w:val="0"/>
        <w:rPr>
          <w:rFonts w:asciiTheme="minorHAnsi" w:hAnsiTheme="minorHAnsi" w:cstheme="minorHAnsi"/>
          <w:szCs w:val="22"/>
        </w:rPr>
      </w:pPr>
      <w:r w:rsidRPr="009E560F">
        <w:rPr>
          <w:noProof/>
        </w:rPr>
        <w:drawing>
          <wp:anchor distT="0" distB="0" distL="114300" distR="114300" simplePos="0" relativeHeight="251682816" behindDoc="0" locked="0" layoutInCell="1" allowOverlap="1" wp14:anchorId="1057E1AD" wp14:editId="16796352">
            <wp:simplePos x="0" y="0"/>
            <wp:positionH relativeFrom="margin">
              <wp:align>center</wp:align>
            </wp:positionH>
            <wp:positionV relativeFrom="paragraph">
              <wp:posOffset>13639</wp:posOffset>
            </wp:positionV>
            <wp:extent cx="764433" cy="54000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EB5EC" w14:textId="77777777" w:rsidR="00B6100C" w:rsidRDefault="00B6100C" w:rsidP="00B44493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14:paraId="3B66151F" w14:textId="77777777" w:rsidR="00B44493" w:rsidRDefault="00B44493" w:rsidP="00B44493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14:paraId="56451FCD" w14:textId="77777777" w:rsidR="0003387D" w:rsidRPr="00803B3E" w:rsidRDefault="0003387D" w:rsidP="00B44493">
      <w:pPr>
        <w:pStyle w:val="Nzev"/>
        <w:outlineLvl w:val="0"/>
        <w:rPr>
          <w:rFonts w:asciiTheme="minorHAnsi" w:hAnsiTheme="minorHAnsi" w:cstheme="minorHAnsi"/>
          <w:sz w:val="28"/>
          <w:szCs w:val="28"/>
        </w:rPr>
      </w:pPr>
      <w:r w:rsidRPr="00803B3E">
        <w:rPr>
          <w:rFonts w:asciiTheme="minorHAnsi" w:hAnsiTheme="minorHAnsi" w:cstheme="minorHAnsi"/>
          <w:sz w:val="28"/>
          <w:szCs w:val="28"/>
        </w:rPr>
        <w:t>Kontrolní závěr z kontrolní akce</w:t>
      </w:r>
    </w:p>
    <w:p w14:paraId="34E1D7A3" w14:textId="77777777" w:rsidR="00B44493" w:rsidRDefault="00B44493" w:rsidP="00B44493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14:paraId="571A4BB9" w14:textId="77777777" w:rsidR="0003387D" w:rsidRPr="00803B3E" w:rsidRDefault="0003387D" w:rsidP="00B444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03B3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FA63D7" w:rsidRPr="00803B3E">
        <w:rPr>
          <w:rFonts w:asciiTheme="minorHAnsi" w:hAnsiTheme="minorHAnsi" w:cstheme="minorHAnsi"/>
          <w:b/>
          <w:bCs/>
          <w:sz w:val="28"/>
          <w:szCs w:val="28"/>
        </w:rPr>
        <w:t>8/01</w:t>
      </w:r>
    </w:p>
    <w:p w14:paraId="26D7EB4C" w14:textId="77777777" w:rsidR="00B44493" w:rsidRDefault="00B44493" w:rsidP="00B44493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14:paraId="446A9C73" w14:textId="77777777" w:rsidR="00555C65" w:rsidRPr="006B08BA" w:rsidRDefault="00555C65" w:rsidP="00B4449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08BA">
        <w:rPr>
          <w:rFonts w:asciiTheme="minorHAnsi" w:hAnsiTheme="minorHAnsi" w:cstheme="minorHAnsi"/>
          <w:b/>
          <w:sz w:val="28"/>
          <w:szCs w:val="28"/>
        </w:rPr>
        <w:t xml:space="preserve">Podpora podnikatelských nemovitostí a podnikatelské infrastruktury </w:t>
      </w:r>
    </w:p>
    <w:p w14:paraId="4900B973" w14:textId="77777777" w:rsidR="0003387D" w:rsidRPr="00B44493" w:rsidRDefault="0003387D" w:rsidP="00B44493">
      <w:pPr>
        <w:rPr>
          <w:rFonts w:ascii="Calibri" w:hAnsi="Calibri" w:cs="Calibri"/>
          <w:sz w:val="24"/>
        </w:rPr>
      </w:pPr>
    </w:p>
    <w:p w14:paraId="3BD74A2B" w14:textId="77777777" w:rsidR="0003387D" w:rsidRPr="00B44493" w:rsidRDefault="0003387D" w:rsidP="00B44493">
      <w:pPr>
        <w:tabs>
          <w:tab w:val="left" w:pos="7988"/>
        </w:tabs>
        <w:rPr>
          <w:rFonts w:ascii="Calibri" w:hAnsi="Calibri" w:cs="Calibri"/>
          <w:sz w:val="24"/>
        </w:rPr>
      </w:pPr>
    </w:p>
    <w:p w14:paraId="4D4521D9" w14:textId="77777777" w:rsidR="0003387D" w:rsidRPr="00B44493" w:rsidRDefault="0003387D" w:rsidP="00B44493">
      <w:pPr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sz w:val="24"/>
        </w:rPr>
        <w:t>Kontrolní akce byla zařazena do plánu kontrolní činnosti Nejvyššího kontrolního úřadu (dále jen „NKÚ“) na rok 201</w:t>
      </w:r>
      <w:r w:rsidR="00890C5B" w:rsidRPr="00B44493">
        <w:rPr>
          <w:rFonts w:ascii="Calibri" w:hAnsi="Calibri" w:cs="Calibri"/>
          <w:sz w:val="24"/>
        </w:rPr>
        <w:t>8</w:t>
      </w:r>
      <w:r w:rsidRPr="00B44493">
        <w:rPr>
          <w:rFonts w:ascii="Calibri" w:hAnsi="Calibri" w:cs="Calibri"/>
          <w:sz w:val="24"/>
        </w:rPr>
        <w:t xml:space="preserve"> pod číslem 1</w:t>
      </w:r>
      <w:r w:rsidR="00555C65" w:rsidRPr="00B44493">
        <w:rPr>
          <w:rFonts w:ascii="Calibri" w:hAnsi="Calibri" w:cs="Calibri"/>
          <w:sz w:val="24"/>
        </w:rPr>
        <w:t>8</w:t>
      </w:r>
      <w:r w:rsidRPr="00B44493">
        <w:rPr>
          <w:rFonts w:ascii="Calibri" w:hAnsi="Calibri" w:cs="Calibri"/>
          <w:sz w:val="24"/>
        </w:rPr>
        <w:t>/</w:t>
      </w:r>
      <w:r w:rsidR="00555C65" w:rsidRPr="00B44493">
        <w:rPr>
          <w:rFonts w:ascii="Calibri" w:hAnsi="Calibri" w:cs="Calibri"/>
          <w:sz w:val="24"/>
        </w:rPr>
        <w:t>01</w:t>
      </w:r>
      <w:r w:rsidRPr="00B44493">
        <w:rPr>
          <w:rFonts w:ascii="Calibri" w:hAnsi="Calibri" w:cs="Calibri"/>
          <w:sz w:val="24"/>
        </w:rPr>
        <w:t>. Kontrolní akci řídil a kontrolní závěr vypracoval člen NKÚ Ing.</w:t>
      </w:r>
      <w:r w:rsidR="00342081" w:rsidRPr="00B44493">
        <w:rPr>
          <w:rFonts w:ascii="Calibri" w:hAnsi="Calibri" w:cs="Calibri"/>
          <w:sz w:val="24"/>
        </w:rPr>
        <w:t> </w:t>
      </w:r>
      <w:r w:rsidR="00555C65" w:rsidRPr="00B44493">
        <w:rPr>
          <w:rFonts w:ascii="Calibri" w:hAnsi="Calibri" w:cs="Calibri"/>
          <w:sz w:val="24"/>
        </w:rPr>
        <w:t>Pavel Hrnčíř.</w:t>
      </w:r>
    </w:p>
    <w:p w14:paraId="70304D95" w14:textId="77777777" w:rsidR="0003387D" w:rsidRPr="00B44493" w:rsidRDefault="0003387D" w:rsidP="00B44493">
      <w:pPr>
        <w:rPr>
          <w:rFonts w:ascii="Calibri" w:hAnsi="Calibri" w:cs="Calibri"/>
          <w:sz w:val="24"/>
        </w:rPr>
      </w:pPr>
    </w:p>
    <w:p w14:paraId="081D3F79" w14:textId="77777777" w:rsidR="00555C65" w:rsidRPr="00B44493" w:rsidRDefault="0003387D" w:rsidP="00B44493">
      <w:pPr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sz w:val="24"/>
        </w:rPr>
        <w:t>Cílem kontroly bylo</w:t>
      </w:r>
      <w:r w:rsidR="008C03D3" w:rsidRPr="00B44493">
        <w:rPr>
          <w:rFonts w:ascii="Calibri" w:hAnsi="Calibri" w:cs="Calibri"/>
          <w:sz w:val="24"/>
        </w:rPr>
        <w:t xml:space="preserve"> </w:t>
      </w:r>
      <w:bookmarkStart w:id="0" w:name="_Toc506383339"/>
      <w:bookmarkStart w:id="1" w:name="_Toc256000068"/>
      <w:bookmarkStart w:id="2" w:name="_Toc256000035"/>
      <w:bookmarkStart w:id="3" w:name="_Toc256000002"/>
      <w:r w:rsidR="00555C65" w:rsidRPr="00B44493">
        <w:rPr>
          <w:rFonts w:ascii="Calibri" w:hAnsi="Calibri" w:cs="Calibri"/>
          <w:sz w:val="24"/>
        </w:rPr>
        <w:t xml:space="preserve">prověřit systém poskytování a použití peněžních prostředků určených na podporu podnikatelských nemovitostí a infrastruktury, a to s ohledem na plnění deklarovaných </w:t>
      </w:r>
      <w:bookmarkEnd w:id="0"/>
      <w:r w:rsidR="00555C65" w:rsidRPr="00B44493">
        <w:rPr>
          <w:rFonts w:ascii="Calibri" w:hAnsi="Calibri" w:cs="Calibri"/>
          <w:sz w:val="24"/>
        </w:rPr>
        <w:t>přínosů</w:t>
      </w:r>
      <w:bookmarkEnd w:id="1"/>
      <w:bookmarkEnd w:id="2"/>
      <w:bookmarkEnd w:id="3"/>
      <w:r w:rsidR="00890C5B" w:rsidRPr="00B44493">
        <w:rPr>
          <w:rFonts w:ascii="Calibri" w:hAnsi="Calibri" w:cs="Calibri"/>
          <w:sz w:val="24"/>
        </w:rPr>
        <w:t>.</w:t>
      </w:r>
    </w:p>
    <w:p w14:paraId="6518BFA0" w14:textId="77777777" w:rsidR="008C03D3" w:rsidRPr="00B44493" w:rsidRDefault="008C03D3" w:rsidP="00B44493">
      <w:pPr>
        <w:rPr>
          <w:rFonts w:ascii="Calibri" w:hAnsi="Calibri" w:cs="Calibri"/>
          <w:sz w:val="24"/>
        </w:rPr>
      </w:pPr>
    </w:p>
    <w:p w14:paraId="017C3F96" w14:textId="77777777" w:rsidR="0003387D" w:rsidRPr="00B44493" w:rsidRDefault="0003387D" w:rsidP="00B44493">
      <w:pPr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sz w:val="24"/>
        </w:rPr>
        <w:t xml:space="preserve">Kontrola byla prováděna </w:t>
      </w:r>
      <w:r w:rsidR="00F06607" w:rsidRPr="00B44493">
        <w:rPr>
          <w:rFonts w:ascii="Calibri" w:hAnsi="Calibri" w:cs="Calibri"/>
          <w:sz w:val="24"/>
        </w:rPr>
        <w:t xml:space="preserve">u kontrolovaných osob </w:t>
      </w:r>
      <w:r w:rsidRPr="00B44493">
        <w:rPr>
          <w:rFonts w:ascii="Calibri" w:hAnsi="Calibri" w:cs="Calibri"/>
          <w:sz w:val="24"/>
        </w:rPr>
        <w:t xml:space="preserve">v období od </w:t>
      </w:r>
      <w:r w:rsidR="005F0A8E" w:rsidRPr="00B44493">
        <w:rPr>
          <w:rFonts w:ascii="Calibri" w:hAnsi="Calibri" w:cs="Calibri"/>
          <w:sz w:val="24"/>
        </w:rPr>
        <w:t>ledna 2018</w:t>
      </w:r>
      <w:r w:rsidRPr="00B44493">
        <w:rPr>
          <w:rFonts w:ascii="Calibri" w:hAnsi="Calibri" w:cs="Calibri"/>
          <w:sz w:val="24"/>
        </w:rPr>
        <w:t xml:space="preserve"> do </w:t>
      </w:r>
      <w:r w:rsidR="005F0A8E" w:rsidRPr="00B44493">
        <w:rPr>
          <w:rFonts w:ascii="Calibri" w:hAnsi="Calibri" w:cs="Calibri"/>
          <w:sz w:val="24"/>
        </w:rPr>
        <w:t>června 2018</w:t>
      </w:r>
      <w:r w:rsidRPr="00B44493">
        <w:rPr>
          <w:rFonts w:ascii="Calibri" w:hAnsi="Calibri" w:cs="Calibri"/>
          <w:sz w:val="24"/>
        </w:rPr>
        <w:t>. Kontrolovaným obdobím bylo období od roku 20</w:t>
      </w:r>
      <w:r w:rsidR="005F0A8E" w:rsidRPr="00B44493">
        <w:rPr>
          <w:rFonts w:ascii="Calibri" w:hAnsi="Calibri" w:cs="Calibri"/>
          <w:sz w:val="24"/>
        </w:rPr>
        <w:t>14 do 2017</w:t>
      </w:r>
      <w:r w:rsidRPr="00B44493">
        <w:rPr>
          <w:rFonts w:ascii="Calibri" w:hAnsi="Calibri" w:cs="Calibri"/>
          <w:sz w:val="24"/>
        </w:rPr>
        <w:t>, v případě věcných souvislostí i období předcházející</w:t>
      </w:r>
      <w:r w:rsidR="008C03D3" w:rsidRPr="00B44493">
        <w:rPr>
          <w:rFonts w:ascii="Calibri" w:hAnsi="Calibri" w:cs="Calibri"/>
          <w:sz w:val="24"/>
        </w:rPr>
        <w:t xml:space="preserve"> a období do ukončení kontroly</w:t>
      </w:r>
      <w:r w:rsidRPr="00B44493">
        <w:rPr>
          <w:rFonts w:ascii="Calibri" w:hAnsi="Calibri" w:cs="Calibri"/>
          <w:sz w:val="24"/>
        </w:rPr>
        <w:t xml:space="preserve">. </w:t>
      </w:r>
    </w:p>
    <w:p w14:paraId="16A00488" w14:textId="77777777" w:rsidR="0003387D" w:rsidRPr="00B44493" w:rsidRDefault="0003387D" w:rsidP="00B44493">
      <w:pPr>
        <w:rPr>
          <w:rFonts w:ascii="Calibri" w:hAnsi="Calibri" w:cs="Calibri"/>
          <w:sz w:val="24"/>
        </w:rPr>
      </w:pPr>
    </w:p>
    <w:p w14:paraId="13DAA13D" w14:textId="77777777" w:rsidR="0003387D" w:rsidRPr="00B44493" w:rsidRDefault="0003387D" w:rsidP="00B44493">
      <w:pPr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sz w:val="24"/>
        </w:rPr>
        <w:t>Kontrolované osoby:</w:t>
      </w:r>
    </w:p>
    <w:p w14:paraId="4568593E" w14:textId="77777777" w:rsidR="005F0A8E" w:rsidRPr="00B44493" w:rsidRDefault="005F0A8E" w:rsidP="00B44493">
      <w:pPr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sz w:val="24"/>
        </w:rPr>
        <w:t>Ministerstvo průmyslu a obchodu (dále také „MPO“);</w:t>
      </w:r>
    </w:p>
    <w:p w14:paraId="4F348AEF" w14:textId="77777777" w:rsidR="005F0A8E" w:rsidRPr="00B44493" w:rsidRDefault="005F0A8E" w:rsidP="00B44493">
      <w:pPr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sz w:val="24"/>
        </w:rPr>
        <w:t>Agentura pro podnikání a inovace</w:t>
      </w:r>
      <w:r w:rsidR="006F4381" w:rsidRPr="00B44493">
        <w:rPr>
          <w:rFonts w:ascii="Calibri" w:hAnsi="Calibri" w:cs="Calibri"/>
          <w:sz w:val="24"/>
        </w:rPr>
        <w:t>, Praha</w:t>
      </w:r>
      <w:r w:rsidRPr="00B44493">
        <w:rPr>
          <w:rFonts w:ascii="Calibri" w:hAnsi="Calibri" w:cs="Calibri"/>
          <w:sz w:val="24"/>
        </w:rPr>
        <w:t xml:space="preserve"> (dále také „API“)</w:t>
      </w:r>
      <w:r w:rsidR="003D6421" w:rsidRPr="00B44493">
        <w:rPr>
          <w:rFonts w:ascii="Calibri" w:hAnsi="Calibri" w:cs="Calibri"/>
          <w:sz w:val="24"/>
        </w:rPr>
        <w:t>;</w:t>
      </w:r>
    </w:p>
    <w:p w14:paraId="2DC2C818" w14:textId="77777777" w:rsidR="005F0A8E" w:rsidRPr="00B44493" w:rsidRDefault="005F0A8E" w:rsidP="00B44493">
      <w:pPr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sz w:val="24"/>
        </w:rPr>
        <w:t>Agentura pro podporu podnikání a investic CzechInvest</w:t>
      </w:r>
      <w:r w:rsidR="006F4381" w:rsidRPr="00B44493">
        <w:rPr>
          <w:rFonts w:ascii="Calibri" w:hAnsi="Calibri" w:cs="Calibri"/>
          <w:sz w:val="24"/>
        </w:rPr>
        <w:t>, Praha</w:t>
      </w:r>
      <w:r w:rsidRPr="00B44493">
        <w:rPr>
          <w:rFonts w:ascii="Calibri" w:hAnsi="Calibri" w:cs="Calibri"/>
          <w:sz w:val="24"/>
        </w:rPr>
        <w:t xml:space="preserve"> (dále také „CzechInvest“)</w:t>
      </w:r>
      <w:r w:rsidR="003D6421" w:rsidRPr="00B44493">
        <w:rPr>
          <w:rFonts w:ascii="Calibri" w:hAnsi="Calibri" w:cs="Calibri"/>
          <w:sz w:val="24"/>
        </w:rPr>
        <w:t>;</w:t>
      </w:r>
    </w:p>
    <w:p w14:paraId="24830F52" w14:textId="77777777" w:rsidR="005F0A8E" w:rsidRPr="00B44493" w:rsidRDefault="005F0A8E" w:rsidP="00B44493">
      <w:pPr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sz w:val="24"/>
        </w:rPr>
        <w:t>vybraní příjemci podpory:</w:t>
      </w:r>
    </w:p>
    <w:p w14:paraId="52EF8505" w14:textId="77777777" w:rsidR="003D6421" w:rsidRPr="00B44493" w:rsidRDefault="005F0A8E" w:rsidP="00B44493">
      <w:pPr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sz w:val="24"/>
        </w:rPr>
        <w:t>Královéhradecký kraj, Hradec Králové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Moravskoslezský kraj, Ostrava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Ústecký kraj, Ústí nad Labem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Zlínský kraj, Zlín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město Bystřice nad Pernštejnem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město S</w:t>
      </w:r>
      <w:r w:rsidR="006F4381" w:rsidRPr="00B44493">
        <w:rPr>
          <w:rFonts w:ascii="Calibri" w:hAnsi="Calibri" w:cs="Calibri"/>
          <w:sz w:val="24"/>
        </w:rPr>
        <w:t>olnice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město Vrchlabí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EGO Zlín, spol. s r.o., Zlín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fa HAKIM s.r.o., Bílina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Kovo Staněk, s.r.o., Brumovice, okres Břeclav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MONTEMA, spol. s r.o., Otrokovice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OBALIA, s.r.o., Prostějov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PLATINUM NATURAL s. r. o., Bystřany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RH-Tech s.r.o., Dubí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ROMEX s.r.o., Brno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Ševčík HYDRO s.r.o., Kotvrdovice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T M T spol. s r. o. Chrudim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>VODA CZ s.r.o., Hradec Králové</w:t>
      </w:r>
      <w:r w:rsidR="003D6421" w:rsidRPr="00B44493">
        <w:rPr>
          <w:rFonts w:ascii="Calibri" w:hAnsi="Calibri" w:cs="Calibri"/>
          <w:sz w:val="24"/>
        </w:rPr>
        <w:t xml:space="preserve">; </w:t>
      </w:r>
      <w:r w:rsidRPr="00B44493">
        <w:rPr>
          <w:rFonts w:ascii="Calibri" w:hAnsi="Calibri" w:cs="Calibri"/>
          <w:sz w:val="24"/>
        </w:rPr>
        <w:t xml:space="preserve">ZEBR </w:t>
      </w:r>
      <w:r w:rsidR="003D6421" w:rsidRPr="00B44493">
        <w:rPr>
          <w:rFonts w:ascii="Calibri" w:hAnsi="Calibri" w:cs="Calibri"/>
          <w:sz w:val="24"/>
        </w:rPr>
        <w:t>s.r.o., Milovice, okres Břeclav.</w:t>
      </w:r>
    </w:p>
    <w:p w14:paraId="49CEEE8D" w14:textId="77777777" w:rsidR="003D6421" w:rsidRPr="00B44493" w:rsidRDefault="003D6421" w:rsidP="00B44493">
      <w:pPr>
        <w:rPr>
          <w:rFonts w:ascii="Calibri" w:hAnsi="Calibri" w:cs="Calibri"/>
          <w:sz w:val="24"/>
        </w:rPr>
      </w:pPr>
    </w:p>
    <w:p w14:paraId="22A279FB" w14:textId="77777777" w:rsidR="0003387D" w:rsidRPr="00B44493" w:rsidRDefault="0003387D" w:rsidP="00B44493">
      <w:pPr>
        <w:spacing w:line="360" w:lineRule="auto"/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b/>
          <w:bCs/>
          <w:i/>
          <w:iCs/>
          <w:sz w:val="24"/>
        </w:rPr>
        <w:t xml:space="preserve">K o l e g i u m   N K Ú  </w:t>
      </w:r>
      <w:r w:rsidRPr="00B44493">
        <w:rPr>
          <w:rFonts w:ascii="Calibri" w:hAnsi="Calibri" w:cs="Calibri"/>
          <w:sz w:val="24"/>
        </w:rPr>
        <w:t xml:space="preserve"> na s</w:t>
      </w:r>
      <w:r w:rsidR="006B08BA" w:rsidRPr="00B44493">
        <w:rPr>
          <w:rFonts w:ascii="Calibri" w:hAnsi="Calibri" w:cs="Calibri"/>
          <w:sz w:val="24"/>
        </w:rPr>
        <w:t>vém XII.</w:t>
      </w:r>
      <w:r w:rsidR="00FD2B87" w:rsidRPr="00B44493">
        <w:rPr>
          <w:rFonts w:ascii="Calibri" w:hAnsi="Calibri" w:cs="Calibri"/>
          <w:sz w:val="24"/>
        </w:rPr>
        <w:t xml:space="preserve"> jednání, konaném dne </w:t>
      </w:r>
      <w:r w:rsidR="006B08BA" w:rsidRPr="00B44493">
        <w:rPr>
          <w:rFonts w:ascii="Calibri" w:hAnsi="Calibri" w:cs="Calibri"/>
          <w:sz w:val="24"/>
        </w:rPr>
        <w:t>17. září</w:t>
      </w:r>
      <w:r w:rsidRPr="00B44493">
        <w:rPr>
          <w:rFonts w:ascii="Calibri" w:hAnsi="Calibri" w:cs="Calibri"/>
          <w:sz w:val="24"/>
        </w:rPr>
        <w:t xml:space="preserve"> 201</w:t>
      </w:r>
      <w:r w:rsidR="00DA07C2" w:rsidRPr="00B44493">
        <w:rPr>
          <w:rFonts w:ascii="Calibri" w:hAnsi="Calibri" w:cs="Calibri"/>
          <w:sz w:val="24"/>
        </w:rPr>
        <w:t>8</w:t>
      </w:r>
      <w:r w:rsidRPr="00B44493">
        <w:rPr>
          <w:rFonts w:ascii="Calibri" w:hAnsi="Calibri" w:cs="Calibri"/>
          <w:sz w:val="24"/>
        </w:rPr>
        <w:t xml:space="preserve">, </w:t>
      </w:r>
    </w:p>
    <w:p w14:paraId="4E2E5518" w14:textId="77777777" w:rsidR="0003387D" w:rsidRPr="00B44493" w:rsidRDefault="0003387D" w:rsidP="00B44493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b/>
          <w:bCs/>
          <w:i/>
          <w:iCs/>
          <w:sz w:val="24"/>
        </w:rPr>
        <w:t xml:space="preserve">s c h v á l i l o  </w:t>
      </w:r>
      <w:r w:rsidRPr="00B44493">
        <w:rPr>
          <w:rFonts w:ascii="Calibri" w:hAnsi="Calibri" w:cs="Calibri"/>
          <w:sz w:val="24"/>
        </w:rPr>
        <w:t xml:space="preserve"> usnesením č. </w:t>
      </w:r>
      <w:r w:rsidR="00262F80" w:rsidRPr="00B44493">
        <w:rPr>
          <w:rFonts w:ascii="Calibri" w:hAnsi="Calibri" w:cs="Calibri"/>
          <w:sz w:val="24"/>
        </w:rPr>
        <w:t>9</w:t>
      </w:r>
      <w:r w:rsidRPr="00B44493">
        <w:rPr>
          <w:rFonts w:ascii="Calibri" w:hAnsi="Calibri" w:cs="Calibri"/>
          <w:sz w:val="24"/>
        </w:rPr>
        <w:t>/</w:t>
      </w:r>
      <w:r w:rsidR="006B08BA" w:rsidRPr="00B44493">
        <w:rPr>
          <w:rFonts w:ascii="Calibri" w:hAnsi="Calibri" w:cs="Calibri"/>
          <w:sz w:val="24"/>
        </w:rPr>
        <w:t>XII/</w:t>
      </w:r>
      <w:r w:rsidR="00DA07C2" w:rsidRPr="00B44493">
        <w:rPr>
          <w:rFonts w:ascii="Calibri" w:hAnsi="Calibri" w:cs="Calibri"/>
          <w:sz w:val="24"/>
        </w:rPr>
        <w:t>2018</w:t>
      </w:r>
    </w:p>
    <w:p w14:paraId="62835B6C" w14:textId="77777777" w:rsidR="0003387D" w:rsidRPr="00B44493" w:rsidRDefault="0003387D" w:rsidP="00B44493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b/>
          <w:bCs/>
          <w:i/>
          <w:iCs/>
          <w:sz w:val="24"/>
        </w:rPr>
        <w:t>k o n t r o l n í   z á v ě r</w:t>
      </w:r>
      <w:r w:rsidRPr="00B44493">
        <w:rPr>
          <w:rFonts w:ascii="Calibri" w:hAnsi="Calibri" w:cs="Calibri"/>
          <w:sz w:val="24"/>
        </w:rPr>
        <w:t xml:space="preserve">   v tomto znění:</w:t>
      </w:r>
    </w:p>
    <w:p w14:paraId="6457390A" w14:textId="77777777" w:rsidR="0003387D" w:rsidRPr="00B44493" w:rsidRDefault="0003387D" w:rsidP="00B44493">
      <w:pPr>
        <w:pStyle w:val="NormlnKZ"/>
        <w:spacing w:after="0"/>
        <w:ind w:firstLine="0"/>
        <w:rPr>
          <w:rFonts w:ascii="Calibri" w:hAnsi="Calibri" w:cs="Calibri"/>
          <w:sz w:val="24"/>
        </w:rPr>
      </w:pPr>
    </w:p>
    <w:p w14:paraId="013429AD" w14:textId="77777777" w:rsidR="00721256" w:rsidRPr="00B44493" w:rsidRDefault="0003387D" w:rsidP="00B44493">
      <w:pPr>
        <w:rPr>
          <w:rFonts w:ascii="Calibri" w:hAnsi="Calibri" w:cs="Calibri"/>
          <w:sz w:val="24"/>
        </w:rPr>
      </w:pPr>
      <w:r w:rsidRPr="00B44493">
        <w:rPr>
          <w:rFonts w:ascii="Calibri" w:hAnsi="Calibri" w:cs="Calibri"/>
          <w:sz w:val="24"/>
        </w:rPr>
        <w:br w:type="page"/>
      </w:r>
    </w:p>
    <w:p w14:paraId="492F7AAF" w14:textId="77777777" w:rsidR="0091046E" w:rsidRPr="00B44493" w:rsidRDefault="0091046E" w:rsidP="00B44493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B44493">
        <w:rPr>
          <w:rFonts w:asciiTheme="minorHAnsi" w:hAnsiTheme="minorHAnsi" w:cstheme="minorHAnsi"/>
          <w:b/>
          <w:sz w:val="28"/>
          <w:szCs w:val="22"/>
        </w:rPr>
        <w:lastRenderedPageBreak/>
        <w:t>Klíčová fakta</w:t>
      </w:r>
    </w:p>
    <w:p w14:paraId="3D826531" w14:textId="38F170EC" w:rsidR="0091046E" w:rsidRDefault="00DA2538" w:rsidP="0091046E">
      <w:pPr>
        <w:spacing w:after="200"/>
        <w:jc w:val="center"/>
        <w:rPr>
          <w:rFonts w:asciiTheme="minorHAnsi" w:hAnsiTheme="minorHAnsi" w:cstheme="minorHAnsi"/>
          <w:szCs w:val="22"/>
        </w:rPr>
      </w:pPr>
      <w:r w:rsidRPr="00DA2538">
        <w:rPr>
          <w:rFonts w:asciiTheme="minorHAnsi" w:hAnsiTheme="minorHAnsi" w:cstheme="minorHAnsi"/>
          <w:noProof/>
          <w:szCs w:val="22"/>
          <w:lang w:eastAsia="cs-CZ"/>
        </w:rPr>
        <w:drawing>
          <wp:inline distT="0" distB="0" distL="0" distR="0" wp14:anchorId="2F72F494" wp14:editId="5DFAE996">
            <wp:extent cx="5724000" cy="8100182"/>
            <wp:effectExtent l="0" t="0" r="0" b="0"/>
            <wp:docPr id="2" name="Obrázek 2" descr="C:\Users\ZUZANKOVA\AppData\Local\Microsoft\Windows\INetCache\Content.Outlook\JQ6KY0D3\KZ_1801_klicova-fakta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KOVA\AppData\Local\Microsoft\Windows\INetCache\Content.Outlook\JQ6KY0D3\KZ_1801_klicova-fakta (00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810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0D108" w14:textId="77777777" w:rsidR="004171CA" w:rsidRDefault="004171CA">
      <w:pPr>
        <w:spacing w:after="160" w:line="259" w:lineRule="auto"/>
        <w:jc w:val="left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590FFDA4" w14:textId="77777777" w:rsidR="00DA07C2" w:rsidRPr="00B44493" w:rsidRDefault="00B44493" w:rsidP="00B44493">
      <w:pPr>
        <w:jc w:val="center"/>
        <w:rPr>
          <w:rFonts w:asciiTheme="minorHAnsi" w:hAnsiTheme="minorHAnsi" w:cstheme="minorHAnsi"/>
          <w:b/>
          <w:sz w:val="28"/>
        </w:rPr>
      </w:pPr>
      <w:r w:rsidRPr="00B44493">
        <w:rPr>
          <w:rFonts w:asciiTheme="minorHAnsi" w:hAnsiTheme="minorHAnsi" w:cstheme="minorHAnsi"/>
          <w:b/>
          <w:sz w:val="28"/>
        </w:rPr>
        <w:lastRenderedPageBreak/>
        <w:t xml:space="preserve">I. </w:t>
      </w:r>
      <w:r w:rsidR="00DA07C2" w:rsidRPr="00B44493">
        <w:rPr>
          <w:rFonts w:asciiTheme="minorHAnsi" w:hAnsiTheme="minorHAnsi" w:cstheme="minorHAnsi"/>
          <w:b/>
          <w:sz w:val="28"/>
        </w:rPr>
        <w:t>Shrnutí a vyhodnocení</w:t>
      </w:r>
    </w:p>
    <w:p w14:paraId="55825F55" w14:textId="77777777" w:rsidR="00B44493" w:rsidRDefault="00B44493" w:rsidP="00AD7CC3">
      <w:pPr>
        <w:rPr>
          <w:rFonts w:asciiTheme="minorHAnsi" w:hAnsiTheme="minorHAnsi" w:cstheme="minorHAnsi"/>
          <w:sz w:val="24"/>
        </w:rPr>
      </w:pPr>
    </w:p>
    <w:p w14:paraId="05902928" w14:textId="006ED827" w:rsidR="00AD7CC3" w:rsidRPr="006471A5" w:rsidRDefault="00AD7CC3" w:rsidP="00AD7CC3">
      <w:pPr>
        <w:rPr>
          <w:rFonts w:asciiTheme="minorHAnsi" w:hAnsiTheme="minorHAnsi" w:cstheme="minorHAnsi"/>
          <w:sz w:val="24"/>
        </w:rPr>
      </w:pPr>
      <w:r w:rsidRPr="006471A5">
        <w:rPr>
          <w:rFonts w:asciiTheme="minorHAnsi" w:hAnsiTheme="minorHAnsi" w:cstheme="minorHAnsi"/>
          <w:sz w:val="24"/>
        </w:rPr>
        <w:t xml:space="preserve">NKÚ provedl kontrolu nastavení a fungování systému hodnocení přínosů státní podpory průmyslových zón a podpory podnikatelských nemovitostí a infrastruktury poskytované z prostředků Evropské unie. Kontrola se zaměřila zejména na to, zda </w:t>
      </w:r>
      <w:r w:rsidR="000B5EF6" w:rsidRPr="006471A5">
        <w:rPr>
          <w:rFonts w:asciiTheme="minorHAnsi" w:hAnsiTheme="minorHAnsi" w:cstheme="minorHAnsi"/>
          <w:sz w:val="24"/>
        </w:rPr>
        <w:t xml:space="preserve">podpora </w:t>
      </w:r>
      <w:r w:rsidRPr="006471A5">
        <w:rPr>
          <w:rFonts w:asciiTheme="minorHAnsi" w:hAnsiTheme="minorHAnsi" w:cstheme="minorHAnsi"/>
          <w:sz w:val="24"/>
        </w:rPr>
        <w:t>přináší očekávané přínosy a zda jsou tyto přínosy průkazně vyhodnoceny. NKÚ mimo jiné navázal na svá zjištění z kontrol podpory</w:t>
      </w:r>
      <w:r w:rsidR="00621554" w:rsidRPr="006471A5">
        <w:rPr>
          <w:rFonts w:asciiTheme="minorHAnsi" w:hAnsiTheme="minorHAnsi" w:cstheme="minorHAnsi"/>
          <w:sz w:val="24"/>
        </w:rPr>
        <w:t xml:space="preserve"> průmyslových zón z roku 2004, </w:t>
      </w:r>
      <w:r w:rsidRPr="006471A5">
        <w:rPr>
          <w:rFonts w:asciiTheme="minorHAnsi" w:hAnsiTheme="minorHAnsi" w:cstheme="minorHAnsi"/>
          <w:sz w:val="24"/>
        </w:rPr>
        <w:t>2009</w:t>
      </w:r>
      <w:r w:rsidR="00621554" w:rsidRPr="006471A5">
        <w:rPr>
          <w:rFonts w:asciiTheme="minorHAnsi" w:hAnsiTheme="minorHAnsi" w:cstheme="minorHAnsi"/>
          <w:sz w:val="24"/>
        </w:rPr>
        <w:t xml:space="preserve"> a </w:t>
      </w:r>
      <w:r w:rsidR="007949BD" w:rsidRPr="006471A5">
        <w:rPr>
          <w:rFonts w:asciiTheme="minorHAnsi" w:hAnsiTheme="minorHAnsi" w:cstheme="minorHAnsi"/>
          <w:sz w:val="24"/>
        </w:rPr>
        <w:t xml:space="preserve">podpory infrastruktury pro podnikání z roku </w:t>
      </w:r>
      <w:r w:rsidR="00621554" w:rsidRPr="006471A5">
        <w:rPr>
          <w:rFonts w:asciiTheme="minorHAnsi" w:hAnsiTheme="minorHAnsi" w:cstheme="minorHAnsi"/>
          <w:sz w:val="24"/>
        </w:rPr>
        <w:t>2016</w:t>
      </w:r>
      <w:r w:rsidRPr="006471A5">
        <w:rPr>
          <w:rStyle w:val="Znakapoznpodarou"/>
          <w:rFonts w:asciiTheme="minorHAnsi" w:hAnsiTheme="minorHAnsi" w:cstheme="minorHAnsi"/>
          <w:sz w:val="24"/>
        </w:rPr>
        <w:footnoteReference w:id="2"/>
      </w:r>
      <w:r w:rsidRPr="006471A5">
        <w:rPr>
          <w:rFonts w:asciiTheme="minorHAnsi" w:hAnsiTheme="minorHAnsi" w:cstheme="minorHAnsi"/>
          <w:sz w:val="24"/>
        </w:rPr>
        <w:t>.</w:t>
      </w:r>
    </w:p>
    <w:p w14:paraId="06879EE1" w14:textId="77777777" w:rsidR="00AD7CC3" w:rsidRPr="006471A5" w:rsidRDefault="00AD7CC3" w:rsidP="00AD7CC3">
      <w:pPr>
        <w:rPr>
          <w:rFonts w:asciiTheme="minorHAnsi" w:hAnsiTheme="minorHAnsi" w:cstheme="minorHAnsi"/>
          <w:b/>
          <w:sz w:val="24"/>
        </w:rPr>
      </w:pPr>
    </w:p>
    <w:p w14:paraId="1BE6CBD2" w14:textId="77777777" w:rsidR="00AD7CC3" w:rsidRPr="006471A5" w:rsidRDefault="00AD7CC3" w:rsidP="00AD7CC3">
      <w:pPr>
        <w:rPr>
          <w:rFonts w:asciiTheme="minorHAnsi" w:hAnsiTheme="minorHAnsi" w:cstheme="minorHAnsi"/>
          <w:b/>
          <w:sz w:val="24"/>
        </w:rPr>
      </w:pPr>
      <w:r w:rsidRPr="006471A5">
        <w:rPr>
          <w:rFonts w:asciiTheme="minorHAnsi" w:hAnsiTheme="minorHAnsi" w:cstheme="minorHAnsi"/>
          <w:b/>
          <w:sz w:val="24"/>
        </w:rPr>
        <w:t>Celkové vyhodnocení</w:t>
      </w:r>
    </w:p>
    <w:p w14:paraId="002605F8" w14:textId="77777777" w:rsidR="00AD7CC3" w:rsidRPr="006471A5" w:rsidRDefault="00AD7CC3" w:rsidP="00AD7CC3">
      <w:pPr>
        <w:rPr>
          <w:rFonts w:asciiTheme="minorHAnsi" w:hAnsiTheme="minorHAnsi" w:cstheme="minorHAnsi"/>
          <w:b/>
          <w:sz w:val="24"/>
        </w:rPr>
      </w:pPr>
    </w:p>
    <w:p w14:paraId="4DBFA3EE" w14:textId="420A1938" w:rsidR="00AD7CC3" w:rsidRPr="006471A5" w:rsidRDefault="00AD7CC3" w:rsidP="00AD7CC3">
      <w:pPr>
        <w:rPr>
          <w:rFonts w:asciiTheme="minorHAnsi" w:hAnsiTheme="minorHAnsi" w:cstheme="minorHAnsi"/>
          <w:b/>
          <w:sz w:val="24"/>
        </w:rPr>
      </w:pPr>
      <w:r w:rsidRPr="006471A5">
        <w:rPr>
          <w:rFonts w:asciiTheme="minorHAnsi" w:hAnsiTheme="minorHAnsi" w:cstheme="minorHAnsi"/>
          <w:b/>
          <w:sz w:val="24"/>
        </w:rPr>
        <w:t xml:space="preserve">Na podporu průmyslových zón bylo od roku 1998 </w:t>
      </w:r>
      <w:r w:rsidR="008C06F4">
        <w:rPr>
          <w:rFonts w:asciiTheme="minorHAnsi" w:hAnsiTheme="minorHAnsi" w:cstheme="minorHAnsi"/>
          <w:b/>
          <w:sz w:val="24"/>
        </w:rPr>
        <w:t xml:space="preserve">do roku 2017 </w:t>
      </w:r>
      <w:r w:rsidRPr="006471A5">
        <w:rPr>
          <w:rFonts w:asciiTheme="minorHAnsi" w:hAnsiTheme="minorHAnsi" w:cstheme="minorHAnsi"/>
          <w:b/>
          <w:sz w:val="24"/>
        </w:rPr>
        <w:t xml:space="preserve">vynaloženo 12 076 mil. Kč. MPO ani CzechInvest za celé toto období nevytvořily průkazný a ucelený systém pro vyhodnocení efektivnosti této podpory. </w:t>
      </w:r>
      <w:r w:rsidR="00606F07">
        <w:rPr>
          <w:rFonts w:asciiTheme="minorHAnsi" w:hAnsiTheme="minorHAnsi" w:cstheme="minorHAnsi"/>
          <w:b/>
          <w:sz w:val="24"/>
        </w:rPr>
        <w:t>Pro</w:t>
      </w:r>
      <w:r w:rsidR="00D019A4">
        <w:rPr>
          <w:rFonts w:asciiTheme="minorHAnsi" w:hAnsiTheme="minorHAnsi" w:cstheme="minorHAnsi"/>
          <w:b/>
          <w:sz w:val="24"/>
        </w:rPr>
        <w:t xml:space="preserve"> stanovení přínosů podpory používají</w:t>
      </w:r>
      <w:r w:rsidR="00606F07">
        <w:rPr>
          <w:rFonts w:asciiTheme="minorHAnsi" w:hAnsiTheme="minorHAnsi" w:cstheme="minorHAnsi"/>
          <w:b/>
          <w:sz w:val="24"/>
        </w:rPr>
        <w:t xml:space="preserve"> výpočet</w:t>
      </w:r>
      <w:r w:rsidR="00D019A4">
        <w:rPr>
          <w:rFonts w:asciiTheme="minorHAnsi" w:hAnsiTheme="minorHAnsi" w:cstheme="minorHAnsi"/>
          <w:b/>
          <w:sz w:val="24"/>
        </w:rPr>
        <w:t>, ve kterém neuvažují</w:t>
      </w:r>
      <w:r w:rsidR="00606F07">
        <w:rPr>
          <w:rFonts w:asciiTheme="minorHAnsi" w:hAnsiTheme="minorHAnsi" w:cstheme="minorHAnsi"/>
          <w:b/>
          <w:sz w:val="24"/>
        </w:rPr>
        <w:t xml:space="preserve"> s</w:t>
      </w:r>
      <w:r w:rsidR="00D019A4">
        <w:rPr>
          <w:rFonts w:asciiTheme="minorHAnsi" w:hAnsiTheme="minorHAnsi" w:cstheme="minorHAnsi"/>
          <w:b/>
          <w:sz w:val="24"/>
        </w:rPr>
        <w:t xml:space="preserve"> některými </w:t>
      </w:r>
      <w:r w:rsidR="00606F07">
        <w:rPr>
          <w:rFonts w:asciiTheme="minorHAnsi" w:hAnsiTheme="minorHAnsi" w:cstheme="minorHAnsi"/>
          <w:b/>
          <w:sz w:val="24"/>
        </w:rPr>
        <w:t>podstatnými příjmy a výdaji státu</w:t>
      </w:r>
      <w:r w:rsidR="0056116B">
        <w:rPr>
          <w:rFonts w:asciiTheme="minorHAnsi" w:hAnsiTheme="minorHAnsi" w:cstheme="minorHAnsi"/>
          <w:b/>
          <w:sz w:val="24"/>
        </w:rPr>
        <w:t>. Zároveň</w:t>
      </w:r>
      <w:r w:rsidR="00BE2924">
        <w:rPr>
          <w:rFonts w:asciiTheme="minorHAnsi" w:hAnsiTheme="minorHAnsi" w:cstheme="minorHAnsi"/>
          <w:b/>
          <w:sz w:val="24"/>
        </w:rPr>
        <w:t xml:space="preserve"> pracují s </w:t>
      </w:r>
      <w:r w:rsidR="00D019A4">
        <w:rPr>
          <w:rFonts w:asciiTheme="minorHAnsi" w:hAnsiTheme="minorHAnsi" w:cstheme="minorHAnsi"/>
          <w:b/>
          <w:sz w:val="24"/>
        </w:rPr>
        <w:t>neúplnými a neprůkaznými daty.</w:t>
      </w:r>
      <w:r w:rsidRPr="006471A5">
        <w:rPr>
          <w:rFonts w:asciiTheme="minorHAnsi" w:hAnsiTheme="minorHAnsi" w:cstheme="minorHAnsi"/>
          <w:b/>
          <w:sz w:val="24"/>
        </w:rPr>
        <w:t xml:space="preserve"> NKÚ přitom </w:t>
      </w:r>
      <w:r w:rsidR="00621554" w:rsidRPr="006471A5">
        <w:rPr>
          <w:rFonts w:asciiTheme="minorHAnsi" w:hAnsiTheme="minorHAnsi" w:cstheme="minorHAnsi"/>
          <w:b/>
          <w:sz w:val="24"/>
        </w:rPr>
        <w:t xml:space="preserve">již </w:t>
      </w:r>
      <w:r w:rsidRPr="006471A5">
        <w:rPr>
          <w:rFonts w:asciiTheme="minorHAnsi" w:hAnsiTheme="minorHAnsi" w:cstheme="minorHAnsi"/>
          <w:b/>
          <w:sz w:val="24"/>
        </w:rPr>
        <w:t>v</w:t>
      </w:r>
      <w:r w:rsidR="00621554" w:rsidRPr="006471A5">
        <w:rPr>
          <w:rFonts w:asciiTheme="minorHAnsi" w:hAnsiTheme="minorHAnsi" w:cstheme="minorHAnsi"/>
          <w:b/>
          <w:sz w:val="24"/>
        </w:rPr>
        <w:t> roce 2004 a 2009</w:t>
      </w:r>
      <w:r w:rsidRPr="006471A5">
        <w:rPr>
          <w:rFonts w:asciiTheme="minorHAnsi" w:hAnsiTheme="minorHAnsi" w:cstheme="minorHAnsi"/>
          <w:b/>
          <w:sz w:val="24"/>
        </w:rPr>
        <w:t xml:space="preserve"> upozornil,</w:t>
      </w:r>
      <w:r w:rsidR="00BE2924">
        <w:rPr>
          <w:rFonts w:asciiTheme="minorHAnsi" w:hAnsiTheme="minorHAnsi" w:cstheme="minorHAnsi"/>
          <w:b/>
          <w:sz w:val="24"/>
        </w:rPr>
        <w:t xml:space="preserve"> že úplné a </w:t>
      </w:r>
      <w:r w:rsidR="00206F11" w:rsidRPr="006471A5">
        <w:rPr>
          <w:rFonts w:asciiTheme="minorHAnsi" w:hAnsiTheme="minorHAnsi" w:cstheme="minorHAnsi"/>
          <w:b/>
          <w:sz w:val="24"/>
        </w:rPr>
        <w:t>průkazné</w:t>
      </w:r>
      <w:r w:rsidRPr="006471A5">
        <w:rPr>
          <w:rFonts w:asciiTheme="minorHAnsi" w:hAnsiTheme="minorHAnsi" w:cstheme="minorHAnsi"/>
          <w:b/>
          <w:sz w:val="24"/>
        </w:rPr>
        <w:t xml:space="preserve"> hodnocení chybí. Zóny jsou až na výjimky investory obsazovány, ale skutečné přínosy pro státní rozpočet a rozvoj regi</w:t>
      </w:r>
      <w:r w:rsidR="000B5EF6">
        <w:rPr>
          <w:rFonts w:asciiTheme="minorHAnsi" w:hAnsiTheme="minorHAnsi" w:cstheme="minorHAnsi"/>
          <w:b/>
          <w:sz w:val="24"/>
        </w:rPr>
        <w:t>o</w:t>
      </w:r>
      <w:r w:rsidRPr="006471A5">
        <w:rPr>
          <w:rFonts w:asciiTheme="minorHAnsi" w:hAnsiTheme="minorHAnsi" w:cstheme="minorHAnsi"/>
          <w:b/>
          <w:sz w:val="24"/>
        </w:rPr>
        <w:t xml:space="preserve">nů nejsou prakticky </w:t>
      </w:r>
      <w:r w:rsidR="008C06F4">
        <w:rPr>
          <w:rFonts w:asciiTheme="minorHAnsi" w:hAnsiTheme="minorHAnsi" w:cstheme="minorHAnsi"/>
          <w:b/>
          <w:sz w:val="24"/>
        </w:rPr>
        <w:t>ze strany MPO</w:t>
      </w:r>
      <w:r w:rsidR="00452828">
        <w:rPr>
          <w:rFonts w:asciiTheme="minorHAnsi" w:hAnsiTheme="minorHAnsi" w:cstheme="minorHAnsi"/>
          <w:b/>
          <w:sz w:val="24"/>
        </w:rPr>
        <w:t xml:space="preserve"> </w:t>
      </w:r>
      <w:r w:rsidRPr="006471A5">
        <w:rPr>
          <w:rFonts w:asciiTheme="minorHAnsi" w:hAnsiTheme="minorHAnsi" w:cstheme="minorHAnsi"/>
          <w:b/>
          <w:sz w:val="24"/>
        </w:rPr>
        <w:t>sledovány a investoři nema</w:t>
      </w:r>
      <w:r w:rsidR="001D62CE" w:rsidRPr="006471A5">
        <w:rPr>
          <w:rFonts w:asciiTheme="minorHAnsi" w:hAnsiTheme="minorHAnsi" w:cstheme="minorHAnsi"/>
          <w:b/>
          <w:sz w:val="24"/>
        </w:rPr>
        <w:t xml:space="preserve">jí uloženu povinnost </w:t>
      </w:r>
      <w:r w:rsidR="000B5EF6" w:rsidRPr="006471A5">
        <w:rPr>
          <w:rFonts w:asciiTheme="minorHAnsi" w:hAnsiTheme="minorHAnsi" w:cstheme="minorHAnsi"/>
          <w:b/>
          <w:sz w:val="24"/>
        </w:rPr>
        <w:t xml:space="preserve">poskytovat </w:t>
      </w:r>
      <w:r w:rsidR="001D62CE" w:rsidRPr="006471A5">
        <w:rPr>
          <w:rFonts w:asciiTheme="minorHAnsi" w:hAnsiTheme="minorHAnsi" w:cstheme="minorHAnsi"/>
          <w:b/>
          <w:sz w:val="24"/>
        </w:rPr>
        <w:t>údaje pro vyhodnocení přínosů</w:t>
      </w:r>
      <w:r w:rsidRPr="006471A5">
        <w:rPr>
          <w:rFonts w:asciiTheme="minorHAnsi" w:hAnsiTheme="minorHAnsi" w:cstheme="minorHAnsi"/>
          <w:b/>
          <w:sz w:val="24"/>
        </w:rPr>
        <w:t>. To platí jak pro ná</w:t>
      </w:r>
      <w:r w:rsidR="00F073B1" w:rsidRPr="006471A5">
        <w:rPr>
          <w:rFonts w:asciiTheme="minorHAnsi" w:hAnsiTheme="minorHAnsi" w:cstheme="minorHAnsi"/>
          <w:b/>
          <w:sz w:val="24"/>
        </w:rPr>
        <w:t>rodní programy, tak pro program spolufinancovaný</w:t>
      </w:r>
      <w:r w:rsidR="00FE2D2E">
        <w:rPr>
          <w:rFonts w:asciiTheme="minorHAnsi" w:hAnsiTheme="minorHAnsi" w:cstheme="minorHAnsi"/>
          <w:b/>
          <w:sz w:val="24"/>
        </w:rPr>
        <w:t xml:space="preserve"> z Evropské unie. P</w:t>
      </w:r>
      <w:r w:rsidRPr="006471A5">
        <w:rPr>
          <w:rFonts w:asciiTheme="minorHAnsi" w:hAnsiTheme="minorHAnsi" w:cstheme="minorHAnsi"/>
          <w:b/>
          <w:sz w:val="24"/>
        </w:rPr>
        <w:t xml:space="preserve">odle </w:t>
      </w:r>
      <w:r w:rsidR="00D019A4">
        <w:rPr>
          <w:rFonts w:asciiTheme="minorHAnsi" w:hAnsiTheme="minorHAnsi" w:cstheme="minorHAnsi"/>
          <w:b/>
          <w:sz w:val="24"/>
        </w:rPr>
        <w:t>nepřesných výpočtů</w:t>
      </w:r>
      <w:r w:rsidRPr="006471A5">
        <w:rPr>
          <w:rFonts w:asciiTheme="minorHAnsi" w:hAnsiTheme="minorHAnsi" w:cstheme="minorHAnsi"/>
          <w:b/>
          <w:sz w:val="24"/>
        </w:rPr>
        <w:t xml:space="preserve"> jsou dosavadní výdaje na podpo</w:t>
      </w:r>
      <w:r w:rsidR="002726D8">
        <w:rPr>
          <w:rFonts w:asciiTheme="minorHAnsi" w:hAnsiTheme="minorHAnsi" w:cstheme="minorHAnsi"/>
          <w:b/>
          <w:sz w:val="24"/>
        </w:rPr>
        <w:t>ru zón vyšší než celkové příjmy</w:t>
      </w:r>
      <w:r w:rsidR="006C3CE2" w:rsidRPr="006471A5">
        <w:rPr>
          <w:rFonts w:asciiTheme="minorHAnsi" w:hAnsiTheme="minorHAnsi" w:cstheme="minorHAnsi"/>
          <w:b/>
          <w:sz w:val="24"/>
        </w:rPr>
        <w:t>.</w:t>
      </w:r>
      <w:r w:rsidRPr="006471A5">
        <w:rPr>
          <w:rFonts w:asciiTheme="minorHAnsi" w:hAnsiTheme="minorHAnsi" w:cstheme="minorHAnsi"/>
          <w:b/>
          <w:sz w:val="24"/>
        </w:rPr>
        <w:t xml:space="preserve"> Podpor</w:t>
      </w:r>
      <w:r w:rsidR="00F073B1" w:rsidRPr="006471A5">
        <w:rPr>
          <w:rFonts w:asciiTheme="minorHAnsi" w:hAnsiTheme="minorHAnsi" w:cstheme="minorHAnsi"/>
          <w:b/>
          <w:sz w:val="24"/>
        </w:rPr>
        <w:t>a zón přinesla v některých regio</w:t>
      </w:r>
      <w:r w:rsidRPr="006471A5">
        <w:rPr>
          <w:rFonts w:asciiTheme="minorHAnsi" w:hAnsiTheme="minorHAnsi" w:cstheme="minorHAnsi"/>
          <w:b/>
          <w:sz w:val="24"/>
        </w:rPr>
        <w:t xml:space="preserve">nech i </w:t>
      </w:r>
      <w:r w:rsidRPr="00452828">
        <w:rPr>
          <w:rFonts w:asciiTheme="minorHAnsi" w:hAnsiTheme="minorHAnsi" w:cstheme="minorHAnsi"/>
          <w:b/>
          <w:sz w:val="24"/>
        </w:rPr>
        <w:t>problémy.</w:t>
      </w:r>
      <w:r w:rsidRPr="006471A5">
        <w:rPr>
          <w:rFonts w:asciiTheme="minorHAnsi" w:hAnsiTheme="minorHAnsi" w:cstheme="minorHAnsi"/>
          <w:b/>
          <w:sz w:val="24"/>
        </w:rPr>
        <w:t xml:space="preserve"> Není naplňován záměr podporovat přednostně </w:t>
      </w:r>
      <w:r w:rsidR="0056116B">
        <w:rPr>
          <w:rFonts w:asciiTheme="minorHAnsi" w:hAnsiTheme="minorHAnsi" w:cstheme="minorHAnsi"/>
          <w:b/>
          <w:sz w:val="24"/>
        </w:rPr>
        <w:t>regeneraci brownfieldů</w:t>
      </w:r>
      <w:r w:rsidRPr="006471A5">
        <w:rPr>
          <w:rFonts w:asciiTheme="minorHAnsi" w:hAnsiTheme="minorHAnsi" w:cstheme="minorHAnsi"/>
          <w:b/>
          <w:sz w:val="24"/>
        </w:rPr>
        <w:t xml:space="preserve"> </w:t>
      </w:r>
      <w:r w:rsidR="000B5EF6">
        <w:rPr>
          <w:rFonts w:asciiTheme="minorHAnsi" w:hAnsiTheme="minorHAnsi" w:cstheme="minorHAnsi"/>
          <w:b/>
          <w:sz w:val="24"/>
        </w:rPr>
        <w:t>na úkor výstavby</w:t>
      </w:r>
      <w:r w:rsidRPr="006471A5">
        <w:rPr>
          <w:rFonts w:asciiTheme="minorHAnsi" w:hAnsiTheme="minorHAnsi" w:cstheme="minorHAnsi"/>
          <w:b/>
          <w:sz w:val="24"/>
        </w:rPr>
        <w:t xml:space="preserve"> na zelené louce. </w:t>
      </w:r>
    </w:p>
    <w:p w14:paraId="4C00BB14" w14:textId="77777777" w:rsidR="00AD7CC3" w:rsidRDefault="00AD7CC3" w:rsidP="00AD7CC3">
      <w:pPr>
        <w:rPr>
          <w:rFonts w:asciiTheme="minorHAnsi" w:hAnsiTheme="minorHAnsi" w:cstheme="minorHAnsi"/>
          <w:szCs w:val="22"/>
        </w:rPr>
      </w:pPr>
    </w:p>
    <w:p w14:paraId="5315B96B" w14:textId="77777777" w:rsidR="00AD7CC3" w:rsidRPr="006471A5" w:rsidRDefault="00AD7CC3" w:rsidP="00AD7CC3">
      <w:pPr>
        <w:rPr>
          <w:rFonts w:asciiTheme="minorHAnsi" w:hAnsiTheme="minorHAnsi" w:cstheme="minorHAnsi"/>
          <w:sz w:val="24"/>
        </w:rPr>
      </w:pPr>
      <w:r w:rsidRPr="006471A5">
        <w:rPr>
          <w:rFonts w:asciiTheme="minorHAnsi" w:hAnsiTheme="minorHAnsi" w:cstheme="minorHAnsi"/>
          <w:sz w:val="24"/>
        </w:rPr>
        <w:t>Celkové vyhodnocení vyplývá z těchto zjištěných nedostatků:</w:t>
      </w:r>
    </w:p>
    <w:p w14:paraId="03771ED5" w14:textId="77777777" w:rsidR="00AD7CC3" w:rsidRPr="006471A5" w:rsidRDefault="00AD7CC3" w:rsidP="00AD7CC3">
      <w:pPr>
        <w:rPr>
          <w:rFonts w:asciiTheme="minorHAnsi" w:hAnsiTheme="minorHAnsi" w:cstheme="minorHAnsi"/>
          <w:sz w:val="24"/>
        </w:rPr>
      </w:pPr>
    </w:p>
    <w:p w14:paraId="0BE68682" w14:textId="032790F0" w:rsidR="00AD7CC3" w:rsidRPr="006471A5" w:rsidRDefault="00415F83" w:rsidP="00AD7CC3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MPO stanovilo</w:t>
      </w:r>
      <w:r w:rsidRPr="006471A5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c</w:t>
      </w:r>
      <w:r w:rsidR="00AD7CC3" w:rsidRPr="006471A5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íle programů podpory průmyslových zón obecně a</w:t>
      </w:r>
      <w:r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 </w:t>
      </w:r>
      <w:r w:rsidR="00AD7CC3" w:rsidRPr="006471A5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nejednoznačně. Nastavený systém poskytování a hodnocení podpory neumožňuje získání </w:t>
      </w:r>
      <w:r w:rsidR="00AD7CC3" w:rsidRPr="006471A5">
        <w:rPr>
          <w:rFonts w:asciiTheme="minorHAnsi" w:hAnsiTheme="minorHAnsi" w:cstheme="minorHAnsi"/>
          <w:sz w:val="24"/>
          <w:szCs w:val="24"/>
        </w:rPr>
        <w:t>úplných, aktuálních a ověřitelných</w:t>
      </w:r>
      <w:r w:rsidR="00AD7CC3" w:rsidRPr="005F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D7CC3" w:rsidRPr="006471A5">
        <w:rPr>
          <w:rFonts w:asciiTheme="minorHAnsi" w:hAnsiTheme="minorHAnsi" w:cstheme="minorHAnsi"/>
          <w:sz w:val="24"/>
          <w:szCs w:val="24"/>
        </w:rPr>
        <w:t>dat potřebných k hodnocení.</w:t>
      </w:r>
      <w:r w:rsidR="00AD7CC3" w:rsidRPr="006471A5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 MPO i CzechInvest prakticky rezignovaly na uložení povinnost</w:t>
      </w:r>
      <w:r w:rsidR="003600B6" w:rsidRPr="006471A5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i investorům podávat informace </w:t>
      </w:r>
      <w:r w:rsidR="00AD7CC3" w:rsidRPr="006471A5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o vytvořených pra</w:t>
      </w:r>
      <w:r w:rsidR="003600B6" w:rsidRPr="006471A5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covních místech a výši investic</w:t>
      </w:r>
      <w:r w:rsidR="00AD7CC3" w:rsidRPr="006471A5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. Plnění cílů již ukončeného programu MPO vyhodnotilo jen částečně. Vyhodnocení dosud neukončeného programu bude po 15 letech jeho realizace pro obecnost cílů </w:t>
      </w:r>
      <w:r w:rsidR="006C3CE2" w:rsidRPr="006471A5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a neprůkaznost dat nevěrohodné</w:t>
      </w:r>
      <w:r w:rsidR="00AD7CC3" w:rsidRPr="006471A5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. </w:t>
      </w:r>
    </w:p>
    <w:p w14:paraId="25C2D463" w14:textId="77777777" w:rsidR="00AD7CC3" w:rsidRPr="006471A5" w:rsidRDefault="00AD7CC3" w:rsidP="00AD7CC3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E5AA56B" w14:textId="55C90DE9" w:rsidR="00FD599D" w:rsidRPr="00FD599D" w:rsidRDefault="00AD7CC3" w:rsidP="00FD599D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471A5">
        <w:rPr>
          <w:rFonts w:asciiTheme="minorHAnsi" w:hAnsiTheme="minorHAnsi" w:cstheme="minorHAnsi"/>
          <w:sz w:val="24"/>
          <w:szCs w:val="24"/>
        </w:rPr>
        <w:t>MPO ve svých modelech deklarovalo vysoký přínos podpory pro státní rozpočet, ale ten postupně korigovalo a</w:t>
      </w:r>
      <w:r w:rsidR="00415F83" w:rsidRPr="00415F83">
        <w:rPr>
          <w:rFonts w:asciiTheme="minorHAnsi" w:hAnsiTheme="minorHAnsi" w:cstheme="minorHAnsi"/>
          <w:sz w:val="24"/>
          <w:szCs w:val="24"/>
        </w:rPr>
        <w:t xml:space="preserve"> </w:t>
      </w:r>
      <w:r w:rsidR="00415F83">
        <w:rPr>
          <w:rFonts w:asciiTheme="minorHAnsi" w:hAnsiTheme="minorHAnsi" w:cstheme="minorHAnsi"/>
          <w:sz w:val="24"/>
          <w:szCs w:val="24"/>
        </w:rPr>
        <w:t>postupně odsouvalo</w:t>
      </w:r>
      <w:r w:rsidRPr="006471A5">
        <w:rPr>
          <w:rFonts w:asciiTheme="minorHAnsi" w:hAnsiTheme="minorHAnsi" w:cstheme="minorHAnsi"/>
          <w:sz w:val="24"/>
          <w:szCs w:val="24"/>
        </w:rPr>
        <w:t xml:space="preserve"> </w:t>
      </w:r>
      <w:r w:rsidR="003D3E29">
        <w:rPr>
          <w:rFonts w:asciiTheme="minorHAnsi" w:hAnsiTheme="minorHAnsi" w:cstheme="minorHAnsi"/>
          <w:sz w:val="24"/>
          <w:szCs w:val="24"/>
        </w:rPr>
        <w:t>odhad roku, kdy očekávané příjmy začnou převyšovat vynaložené výdaje.</w:t>
      </w:r>
      <w:r w:rsidRPr="006471A5">
        <w:rPr>
          <w:rFonts w:asciiTheme="minorHAnsi" w:hAnsiTheme="minorHAnsi" w:cstheme="minorHAnsi"/>
          <w:sz w:val="24"/>
          <w:szCs w:val="24"/>
        </w:rPr>
        <w:t xml:space="preserve"> Původní předpoklad poskytovat podporu do konce roku 2009 s očekávaným přínosem pro stát v roce 2014 ve výši 24</w:t>
      </w:r>
      <w:r w:rsidR="00415F83">
        <w:rPr>
          <w:rFonts w:asciiTheme="minorHAnsi" w:hAnsiTheme="minorHAnsi" w:cstheme="minorHAnsi"/>
          <w:sz w:val="24"/>
          <w:szCs w:val="24"/>
        </w:rPr>
        <w:t> </w:t>
      </w:r>
      <w:r w:rsidRPr="006471A5">
        <w:rPr>
          <w:rFonts w:asciiTheme="minorHAnsi" w:hAnsiTheme="minorHAnsi" w:cstheme="minorHAnsi"/>
          <w:sz w:val="24"/>
          <w:szCs w:val="24"/>
        </w:rPr>
        <w:t>593</w:t>
      </w:r>
      <w:r w:rsidR="00415F83">
        <w:rPr>
          <w:rFonts w:asciiTheme="minorHAnsi" w:hAnsiTheme="minorHAnsi" w:cstheme="minorHAnsi"/>
          <w:sz w:val="24"/>
          <w:szCs w:val="24"/>
        </w:rPr>
        <w:t> </w:t>
      </w:r>
      <w:r w:rsidRPr="006471A5">
        <w:rPr>
          <w:rFonts w:asciiTheme="minorHAnsi" w:hAnsiTheme="minorHAnsi" w:cstheme="minorHAnsi"/>
          <w:sz w:val="24"/>
          <w:szCs w:val="24"/>
        </w:rPr>
        <w:t>mil.</w:t>
      </w:r>
      <w:r w:rsidR="00415F83">
        <w:rPr>
          <w:rFonts w:asciiTheme="minorHAnsi" w:hAnsiTheme="minorHAnsi" w:cstheme="minorHAnsi"/>
          <w:sz w:val="24"/>
          <w:szCs w:val="24"/>
        </w:rPr>
        <w:t> </w:t>
      </w:r>
      <w:r w:rsidRPr="006471A5">
        <w:rPr>
          <w:rFonts w:asciiTheme="minorHAnsi" w:hAnsiTheme="minorHAnsi" w:cstheme="minorHAnsi"/>
          <w:sz w:val="24"/>
          <w:szCs w:val="24"/>
        </w:rPr>
        <w:t xml:space="preserve">Kč se nenaplnil. Naopak do roku 2014 byly výdaje státu o 1 458 mil. Kč vyšší než přínos z podpory, kterou </w:t>
      </w:r>
      <w:r w:rsidRPr="006471A5">
        <w:rPr>
          <w:rFonts w:asciiTheme="minorHAnsi" w:hAnsiTheme="minorHAnsi" w:cstheme="minorHAnsi"/>
          <w:sz w:val="24"/>
          <w:szCs w:val="24"/>
        </w:rPr>
        <w:lastRenderedPageBreak/>
        <w:t xml:space="preserve">navíc MPO stále poskytuje. Vyšší přínosy pro státní rozpočet než dosavadní výdaje nyní </w:t>
      </w:r>
      <w:r w:rsidR="00EC6225" w:rsidRPr="006471A5">
        <w:rPr>
          <w:rFonts w:asciiTheme="minorHAnsi" w:hAnsiTheme="minorHAnsi" w:cstheme="minorHAnsi"/>
          <w:sz w:val="24"/>
          <w:szCs w:val="24"/>
        </w:rPr>
        <w:t xml:space="preserve">MPO </w:t>
      </w:r>
      <w:r w:rsidRPr="006471A5">
        <w:rPr>
          <w:rFonts w:asciiTheme="minorHAnsi" w:hAnsiTheme="minorHAnsi" w:cstheme="minorHAnsi"/>
          <w:sz w:val="24"/>
          <w:szCs w:val="24"/>
        </w:rPr>
        <w:t>předpokládá až od roku 2021. Metody výpočtu přínosů nejsou objektivní, protože nezahrnují některé příjmy a zejména vysoké výdaje státu, které mohou výpočet výrazně ovlivnit (investiční pobídky, přetíženost komunikací, dopravní obslužnost, s</w:t>
      </w:r>
      <w:r w:rsidR="00AC77CB">
        <w:rPr>
          <w:rFonts w:asciiTheme="minorHAnsi" w:hAnsiTheme="minorHAnsi" w:cstheme="minorHAnsi"/>
          <w:sz w:val="24"/>
          <w:szCs w:val="24"/>
        </w:rPr>
        <w:t>nížení bezpečnosti regionů</w:t>
      </w:r>
      <w:r w:rsidRPr="006471A5">
        <w:rPr>
          <w:rFonts w:asciiTheme="minorHAnsi" w:hAnsiTheme="minorHAnsi" w:cstheme="minorHAnsi"/>
          <w:sz w:val="24"/>
          <w:szCs w:val="24"/>
        </w:rPr>
        <w:t>)</w:t>
      </w:r>
      <w:r w:rsidR="006471A5">
        <w:rPr>
          <w:rFonts w:asciiTheme="minorHAnsi" w:hAnsiTheme="minorHAnsi" w:cstheme="minorHAnsi"/>
          <w:sz w:val="24"/>
          <w:szCs w:val="24"/>
        </w:rPr>
        <w:t>.</w:t>
      </w:r>
      <w:r w:rsidRPr="005F77C5">
        <w:rPr>
          <w:rFonts w:asciiTheme="minorHAnsi" w:hAnsiTheme="minorHAnsi" w:cstheme="minorHAnsi"/>
          <w:sz w:val="24"/>
          <w:szCs w:val="24"/>
        </w:rPr>
        <w:t xml:space="preserve"> </w:t>
      </w:r>
      <w:r w:rsidR="00FD599D">
        <w:rPr>
          <w:rFonts w:asciiTheme="minorHAnsi" w:hAnsiTheme="minorHAnsi" w:cstheme="minorHAnsi"/>
          <w:sz w:val="24"/>
        </w:rPr>
        <w:t xml:space="preserve">MPO </w:t>
      </w:r>
      <w:r w:rsidR="00FD599D" w:rsidRPr="00FD599D">
        <w:rPr>
          <w:rFonts w:asciiTheme="minorHAnsi" w:hAnsiTheme="minorHAnsi" w:cstheme="minorHAnsi"/>
          <w:sz w:val="24"/>
        </w:rPr>
        <w:t>nesledovalo, zda nedochází k zániku firem v okolí podpořených zón.</w:t>
      </w:r>
    </w:p>
    <w:p w14:paraId="3688D057" w14:textId="77777777" w:rsidR="00AD7CC3" w:rsidRPr="009F2252" w:rsidRDefault="00AD7CC3" w:rsidP="00AD7CC3">
      <w:pPr>
        <w:rPr>
          <w:rFonts w:asciiTheme="minorHAnsi" w:hAnsiTheme="minorHAnsi" w:cstheme="minorHAnsi"/>
          <w:szCs w:val="22"/>
        </w:rPr>
      </w:pPr>
    </w:p>
    <w:p w14:paraId="39AD649C" w14:textId="687221F3" w:rsidR="00AD7CC3" w:rsidRPr="006471A5" w:rsidRDefault="00AD7CC3" w:rsidP="00AD7CC3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471A5">
        <w:rPr>
          <w:rFonts w:asciiTheme="minorHAnsi" w:hAnsiTheme="minorHAnsi" w:cstheme="minorHAnsi"/>
          <w:sz w:val="24"/>
          <w:szCs w:val="24"/>
        </w:rPr>
        <w:t>Obsazenost území podpořených</w:t>
      </w:r>
      <w:r w:rsidR="00206F11" w:rsidRPr="006471A5">
        <w:rPr>
          <w:rFonts w:asciiTheme="minorHAnsi" w:hAnsiTheme="minorHAnsi" w:cstheme="minorHAnsi"/>
          <w:sz w:val="24"/>
          <w:szCs w:val="24"/>
        </w:rPr>
        <w:t xml:space="preserve"> průmyslových zón činí v průměru</w:t>
      </w:r>
      <w:r w:rsidRPr="006471A5">
        <w:rPr>
          <w:rFonts w:asciiTheme="minorHAnsi" w:hAnsiTheme="minorHAnsi" w:cstheme="minorHAnsi"/>
          <w:sz w:val="24"/>
          <w:szCs w:val="24"/>
        </w:rPr>
        <w:t xml:space="preserve"> cca 80 %. Nevyužitá je ale zóna Holešov s rozlohou 280 ha, na kterou stát vynaložil 1 093,87 mil. Kč a kde obsazenost činí jen 2</w:t>
      </w:r>
      <w:r w:rsidR="00F073B1" w:rsidRPr="006471A5">
        <w:rPr>
          <w:rFonts w:asciiTheme="minorHAnsi" w:hAnsiTheme="minorHAnsi" w:cstheme="minorHAnsi"/>
          <w:sz w:val="24"/>
          <w:szCs w:val="24"/>
        </w:rPr>
        <w:t> </w:t>
      </w:r>
      <w:r w:rsidRPr="006471A5">
        <w:rPr>
          <w:rFonts w:asciiTheme="minorHAnsi" w:hAnsiTheme="minorHAnsi" w:cstheme="minorHAnsi"/>
          <w:sz w:val="24"/>
          <w:szCs w:val="24"/>
        </w:rPr>
        <w:t>% území. Riziko neobsazení hrozí i v případě připravované zóny Přerov</w:t>
      </w:r>
      <w:r w:rsidR="000E19F4">
        <w:rPr>
          <w:rFonts w:asciiTheme="minorHAnsi" w:hAnsiTheme="minorHAnsi" w:cstheme="minorHAnsi"/>
          <w:sz w:val="24"/>
          <w:szCs w:val="24"/>
        </w:rPr>
        <w:t>-</w:t>
      </w:r>
      <w:r w:rsidRPr="006471A5">
        <w:rPr>
          <w:rFonts w:asciiTheme="minorHAnsi" w:hAnsiTheme="minorHAnsi" w:cstheme="minorHAnsi"/>
          <w:sz w:val="24"/>
          <w:szCs w:val="24"/>
        </w:rPr>
        <w:t>Bochoř nacházející se cca jen 20 km od Holešova.</w:t>
      </w:r>
    </w:p>
    <w:p w14:paraId="4BF987B1" w14:textId="77777777" w:rsidR="00B44493" w:rsidRPr="00B44493" w:rsidRDefault="00B44493" w:rsidP="00B44493">
      <w:pPr>
        <w:rPr>
          <w:rFonts w:asciiTheme="minorHAnsi" w:hAnsiTheme="minorHAnsi" w:cstheme="minorHAnsi"/>
        </w:rPr>
      </w:pPr>
    </w:p>
    <w:p w14:paraId="3ED77508" w14:textId="7010F522" w:rsidR="00AD7CC3" w:rsidRPr="006471A5" w:rsidRDefault="00AD7CC3" w:rsidP="00811B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471A5">
        <w:rPr>
          <w:rFonts w:asciiTheme="minorHAnsi" w:hAnsiTheme="minorHAnsi" w:cstheme="minorHAnsi"/>
          <w:sz w:val="24"/>
          <w:szCs w:val="24"/>
        </w:rPr>
        <w:t>Nen</w:t>
      </w:r>
      <w:r w:rsidR="00206F11" w:rsidRPr="006471A5">
        <w:rPr>
          <w:rFonts w:asciiTheme="minorHAnsi" w:hAnsiTheme="minorHAnsi" w:cstheme="minorHAnsi"/>
          <w:sz w:val="24"/>
          <w:szCs w:val="24"/>
        </w:rPr>
        <w:t>í naplňován</w:t>
      </w:r>
      <w:r w:rsidRPr="006471A5">
        <w:rPr>
          <w:rFonts w:asciiTheme="minorHAnsi" w:hAnsiTheme="minorHAnsi" w:cstheme="minorHAnsi"/>
          <w:sz w:val="24"/>
          <w:szCs w:val="24"/>
        </w:rPr>
        <w:t xml:space="preserve"> strategický záměr přednostní podpory </w:t>
      </w:r>
      <w:r w:rsidR="003222E0" w:rsidRPr="006471A5">
        <w:rPr>
          <w:rFonts w:asciiTheme="minorHAnsi" w:hAnsiTheme="minorHAnsi" w:cstheme="minorHAnsi"/>
          <w:sz w:val="24"/>
          <w:szCs w:val="24"/>
        </w:rPr>
        <w:t xml:space="preserve">regenerace </w:t>
      </w:r>
      <w:r w:rsidRPr="006471A5">
        <w:rPr>
          <w:rFonts w:asciiTheme="minorHAnsi" w:hAnsiTheme="minorHAnsi" w:cstheme="minorHAnsi"/>
          <w:sz w:val="24"/>
          <w:szCs w:val="24"/>
        </w:rPr>
        <w:t xml:space="preserve">brownfieldů, kde od roku 1998 vznikly jen čtyři státem podporované zóny. </w:t>
      </w:r>
      <w:r w:rsidR="00786247" w:rsidRPr="006471A5">
        <w:rPr>
          <w:rFonts w:asciiTheme="minorHAnsi" w:hAnsiTheme="minorHAnsi" w:cstheme="minorHAnsi"/>
          <w:sz w:val="24"/>
          <w:szCs w:val="24"/>
        </w:rPr>
        <w:t>Od roku 2010</w:t>
      </w:r>
      <w:r w:rsidR="003222E0" w:rsidRPr="006471A5">
        <w:rPr>
          <w:rFonts w:asciiTheme="minorHAnsi" w:hAnsiTheme="minorHAnsi" w:cstheme="minorHAnsi"/>
          <w:sz w:val="24"/>
          <w:szCs w:val="24"/>
        </w:rPr>
        <w:t xml:space="preserve"> MPO nepodpořilo </w:t>
      </w:r>
      <w:r w:rsidR="002D2EB4" w:rsidRPr="006471A5">
        <w:rPr>
          <w:rFonts w:asciiTheme="minorHAnsi" w:hAnsiTheme="minorHAnsi" w:cstheme="minorHAnsi"/>
          <w:sz w:val="24"/>
          <w:szCs w:val="24"/>
        </w:rPr>
        <w:t>vznik</w:t>
      </w:r>
      <w:r w:rsidR="003222E0" w:rsidRPr="006471A5">
        <w:rPr>
          <w:rFonts w:asciiTheme="minorHAnsi" w:hAnsiTheme="minorHAnsi" w:cstheme="minorHAnsi"/>
          <w:sz w:val="24"/>
          <w:szCs w:val="24"/>
        </w:rPr>
        <w:t xml:space="preserve"> </w:t>
      </w:r>
      <w:r w:rsidR="002D2EB4" w:rsidRPr="006471A5">
        <w:rPr>
          <w:rFonts w:asciiTheme="minorHAnsi" w:hAnsiTheme="minorHAnsi" w:cstheme="minorHAnsi"/>
          <w:sz w:val="24"/>
          <w:szCs w:val="24"/>
        </w:rPr>
        <w:t xml:space="preserve">žádné </w:t>
      </w:r>
      <w:r w:rsidR="003222E0" w:rsidRPr="006471A5">
        <w:rPr>
          <w:rFonts w:asciiTheme="minorHAnsi" w:hAnsiTheme="minorHAnsi" w:cstheme="minorHAnsi"/>
          <w:sz w:val="24"/>
          <w:szCs w:val="24"/>
        </w:rPr>
        <w:t>průmyslo</w:t>
      </w:r>
      <w:r w:rsidR="002D2EB4" w:rsidRPr="006471A5">
        <w:rPr>
          <w:rFonts w:asciiTheme="minorHAnsi" w:hAnsiTheme="minorHAnsi" w:cstheme="minorHAnsi"/>
          <w:sz w:val="24"/>
          <w:szCs w:val="24"/>
        </w:rPr>
        <w:t>vé</w:t>
      </w:r>
      <w:r w:rsidR="003222E0" w:rsidRPr="006471A5">
        <w:rPr>
          <w:rFonts w:asciiTheme="minorHAnsi" w:hAnsiTheme="minorHAnsi" w:cstheme="minorHAnsi"/>
          <w:sz w:val="24"/>
          <w:szCs w:val="24"/>
        </w:rPr>
        <w:t xml:space="preserve"> z</w:t>
      </w:r>
      <w:r w:rsidR="002D2EB4" w:rsidRPr="006471A5">
        <w:rPr>
          <w:rFonts w:asciiTheme="minorHAnsi" w:hAnsiTheme="minorHAnsi" w:cstheme="minorHAnsi"/>
          <w:sz w:val="24"/>
          <w:szCs w:val="24"/>
        </w:rPr>
        <w:t>óny na území</w:t>
      </w:r>
      <w:r w:rsidR="003222E0" w:rsidRPr="006471A5">
        <w:rPr>
          <w:rFonts w:asciiTheme="minorHAnsi" w:hAnsiTheme="minorHAnsi" w:cstheme="minorHAnsi"/>
          <w:sz w:val="24"/>
          <w:szCs w:val="24"/>
        </w:rPr>
        <w:t xml:space="preserve"> typu brownfield. </w:t>
      </w:r>
      <w:r w:rsidR="00206F11" w:rsidRPr="006471A5">
        <w:rPr>
          <w:rFonts w:asciiTheme="minorHAnsi" w:hAnsiTheme="minorHAnsi" w:cstheme="minorHAnsi"/>
          <w:sz w:val="24"/>
          <w:szCs w:val="24"/>
        </w:rPr>
        <w:t>Z celkového počtu 102</w:t>
      </w:r>
      <w:r w:rsidR="00F40EEA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  <w:r w:rsidR="00206F11" w:rsidRPr="006471A5">
        <w:rPr>
          <w:rFonts w:asciiTheme="minorHAnsi" w:hAnsiTheme="minorHAnsi" w:cstheme="minorHAnsi"/>
          <w:sz w:val="24"/>
          <w:szCs w:val="24"/>
        </w:rPr>
        <w:t xml:space="preserve"> podpořených zón v</w:t>
      </w:r>
      <w:r w:rsidRPr="006471A5">
        <w:rPr>
          <w:rFonts w:asciiTheme="minorHAnsi" w:hAnsiTheme="minorHAnsi" w:cstheme="minorHAnsi"/>
          <w:sz w:val="24"/>
          <w:szCs w:val="24"/>
        </w:rPr>
        <w:t>zniklo</w:t>
      </w:r>
      <w:r w:rsidR="00415F83">
        <w:rPr>
          <w:rFonts w:asciiTheme="minorHAnsi" w:hAnsiTheme="minorHAnsi" w:cstheme="minorHAnsi"/>
          <w:sz w:val="24"/>
          <w:szCs w:val="24"/>
        </w:rPr>
        <w:t xml:space="preserve"> </w:t>
      </w:r>
      <w:r w:rsidR="00415F83" w:rsidRPr="006471A5">
        <w:rPr>
          <w:rFonts w:asciiTheme="minorHAnsi" w:hAnsiTheme="minorHAnsi" w:cstheme="minorHAnsi"/>
          <w:sz w:val="24"/>
          <w:szCs w:val="24"/>
        </w:rPr>
        <w:t>96 %</w:t>
      </w:r>
      <w:r w:rsidRPr="006471A5">
        <w:rPr>
          <w:rFonts w:asciiTheme="minorHAnsi" w:hAnsiTheme="minorHAnsi" w:cstheme="minorHAnsi"/>
          <w:sz w:val="24"/>
          <w:szCs w:val="24"/>
        </w:rPr>
        <w:t xml:space="preserve"> na zelené louce a </w:t>
      </w:r>
      <w:r w:rsidR="00915938">
        <w:rPr>
          <w:rFonts w:asciiTheme="minorHAnsi" w:hAnsiTheme="minorHAnsi" w:cstheme="minorHAnsi"/>
          <w:sz w:val="24"/>
          <w:szCs w:val="24"/>
        </w:rPr>
        <w:t>o</w:t>
      </w:r>
      <w:r w:rsidRPr="006471A5">
        <w:rPr>
          <w:rFonts w:asciiTheme="minorHAnsi" w:hAnsiTheme="minorHAnsi" w:cstheme="minorHAnsi"/>
          <w:sz w:val="24"/>
          <w:szCs w:val="24"/>
        </w:rPr>
        <w:t> další</w:t>
      </w:r>
      <w:r w:rsidR="00915938">
        <w:rPr>
          <w:rFonts w:asciiTheme="minorHAnsi" w:hAnsiTheme="minorHAnsi" w:cstheme="minorHAnsi"/>
          <w:sz w:val="24"/>
          <w:szCs w:val="24"/>
        </w:rPr>
        <w:t>ch</w:t>
      </w:r>
      <w:r w:rsidRPr="006471A5">
        <w:rPr>
          <w:rFonts w:asciiTheme="minorHAnsi" w:hAnsiTheme="minorHAnsi" w:cstheme="minorHAnsi"/>
          <w:sz w:val="24"/>
          <w:szCs w:val="24"/>
        </w:rPr>
        <w:t xml:space="preserve"> čtyř</w:t>
      </w:r>
      <w:r w:rsidR="00915938">
        <w:rPr>
          <w:rFonts w:asciiTheme="minorHAnsi" w:hAnsiTheme="minorHAnsi" w:cstheme="minorHAnsi"/>
          <w:sz w:val="24"/>
          <w:szCs w:val="24"/>
        </w:rPr>
        <w:t>ech</w:t>
      </w:r>
      <w:r w:rsidRPr="006471A5">
        <w:rPr>
          <w:rFonts w:asciiTheme="minorHAnsi" w:hAnsiTheme="minorHAnsi" w:cstheme="minorHAnsi"/>
          <w:sz w:val="24"/>
          <w:szCs w:val="24"/>
        </w:rPr>
        <w:t xml:space="preserve"> nový</w:t>
      </w:r>
      <w:r w:rsidR="00915938">
        <w:rPr>
          <w:rFonts w:asciiTheme="minorHAnsi" w:hAnsiTheme="minorHAnsi" w:cstheme="minorHAnsi"/>
          <w:sz w:val="24"/>
          <w:szCs w:val="24"/>
        </w:rPr>
        <w:t>ch</w:t>
      </w:r>
      <w:r w:rsidRPr="006471A5">
        <w:rPr>
          <w:rFonts w:asciiTheme="minorHAnsi" w:hAnsiTheme="minorHAnsi" w:cstheme="minorHAnsi"/>
          <w:sz w:val="24"/>
          <w:szCs w:val="24"/>
        </w:rPr>
        <w:t xml:space="preserve"> se uvažuje</w:t>
      </w:r>
      <w:r w:rsidR="00F073B1" w:rsidRPr="006471A5">
        <w:rPr>
          <w:rFonts w:asciiTheme="minorHAnsi" w:hAnsiTheme="minorHAnsi" w:cstheme="minorHAnsi"/>
          <w:sz w:val="24"/>
          <w:szCs w:val="24"/>
        </w:rPr>
        <w:t xml:space="preserve"> včetně záboru zemědělské půdy.</w:t>
      </w:r>
      <w:r w:rsidRPr="006471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B184AD" w14:textId="77777777" w:rsidR="00F073B1" w:rsidRPr="006471A5" w:rsidRDefault="00F073B1" w:rsidP="00F073B1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373BD9B5" w14:textId="77777777" w:rsidR="00AD7CC3" w:rsidRPr="006471A5" w:rsidRDefault="00AD7CC3" w:rsidP="00AD7CC3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471A5">
        <w:rPr>
          <w:rFonts w:asciiTheme="minorHAnsi" w:hAnsiTheme="minorHAnsi" w:cstheme="minorHAnsi"/>
          <w:sz w:val="24"/>
          <w:szCs w:val="24"/>
        </w:rPr>
        <w:t xml:space="preserve">Zprávy o realizaci programů podpory průmyslových zón, které MPO </w:t>
      </w:r>
      <w:r w:rsidR="002A7769">
        <w:rPr>
          <w:rFonts w:asciiTheme="minorHAnsi" w:hAnsiTheme="minorHAnsi" w:cstheme="minorHAnsi"/>
          <w:sz w:val="24"/>
          <w:szCs w:val="24"/>
        </w:rPr>
        <w:t>zpracovalo a </w:t>
      </w:r>
      <w:r w:rsidRPr="006471A5">
        <w:rPr>
          <w:rFonts w:asciiTheme="minorHAnsi" w:hAnsiTheme="minorHAnsi" w:cstheme="minorHAnsi"/>
          <w:sz w:val="24"/>
          <w:szCs w:val="24"/>
        </w:rPr>
        <w:t xml:space="preserve">předložilo vládě ČR nebo Ministerstvu financí, obsahovaly neúplné, </w:t>
      </w:r>
      <w:r w:rsidR="002A7769">
        <w:rPr>
          <w:rFonts w:asciiTheme="minorHAnsi" w:hAnsiTheme="minorHAnsi" w:cstheme="minorHAnsi"/>
          <w:sz w:val="24"/>
          <w:szCs w:val="24"/>
        </w:rPr>
        <w:t>nesprávné a </w:t>
      </w:r>
      <w:r w:rsidRPr="006471A5">
        <w:rPr>
          <w:rFonts w:asciiTheme="minorHAnsi" w:hAnsiTheme="minorHAnsi" w:cstheme="minorHAnsi"/>
          <w:sz w:val="24"/>
          <w:szCs w:val="24"/>
        </w:rPr>
        <w:t>zavádějící informace.</w:t>
      </w:r>
    </w:p>
    <w:p w14:paraId="0E1BCE12" w14:textId="77777777" w:rsidR="00AD7CC3" w:rsidRPr="006471A5" w:rsidRDefault="00AD7CC3" w:rsidP="00AD7CC3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4"/>
        </w:rPr>
      </w:pPr>
    </w:p>
    <w:p w14:paraId="5BBD4FCB" w14:textId="55990CD1" w:rsidR="00AD7CC3" w:rsidRPr="006471A5" w:rsidRDefault="00AD7CC3" w:rsidP="00AD7C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471A5">
        <w:rPr>
          <w:rFonts w:asciiTheme="minorHAnsi" w:hAnsiTheme="minorHAnsi" w:cstheme="minorHAnsi"/>
          <w:sz w:val="24"/>
          <w:szCs w:val="24"/>
        </w:rPr>
        <w:t xml:space="preserve">Přínosem podpory podnikatelských nemovitostí a infrastruktury z programu </w:t>
      </w:r>
      <w:r w:rsidRPr="005F77C5">
        <w:rPr>
          <w:rFonts w:asciiTheme="minorHAnsi" w:hAnsiTheme="minorHAnsi" w:cstheme="minorHAnsi"/>
          <w:i/>
          <w:sz w:val="24"/>
          <w:szCs w:val="24"/>
        </w:rPr>
        <w:t xml:space="preserve">Nemovitosti </w:t>
      </w:r>
      <w:r w:rsidR="007949BD" w:rsidRPr="005F77C5">
        <w:rPr>
          <w:rFonts w:asciiTheme="minorHAnsi" w:hAnsiTheme="minorHAnsi" w:cstheme="minorHAnsi"/>
          <w:i/>
          <w:sz w:val="24"/>
          <w:szCs w:val="24"/>
        </w:rPr>
        <w:t>2014</w:t>
      </w:r>
      <w:r w:rsidR="008243D1" w:rsidRPr="005F77C5">
        <w:rPr>
          <w:rFonts w:asciiTheme="minorHAnsi" w:hAnsiTheme="minorHAnsi" w:cstheme="minorHAnsi"/>
          <w:i/>
          <w:sz w:val="24"/>
          <w:szCs w:val="24"/>
        </w:rPr>
        <w:t>–</w:t>
      </w:r>
      <w:r w:rsidR="007949BD" w:rsidRPr="005F77C5">
        <w:rPr>
          <w:rFonts w:asciiTheme="minorHAnsi" w:hAnsiTheme="minorHAnsi" w:cstheme="minorHAnsi"/>
          <w:i/>
          <w:sz w:val="24"/>
          <w:szCs w:val="24"/>
        </w:rPr>
        <w:t>2020</w:t>
      </w:r>
      <w:r w:rsidRPr="006471A5">
        <w:rPr>
          <w:rFonts w:asciiTheme="minorHAnsi" w:hAnsiTheme="minorHAnsi" w:cstheme="minorHAnsi"/>
          <w:sz w:val="24"/>
          <w:szCs w:val="24"/>
        </w:rPr>
        <w:t xml:space="preserve"> má být přechod malých a středních podnikatelů na výrobu zajišťující konkurenceschopnost, snížení provozních nákladů, vysokou přidanou hodnotu a lepší uplatnění na zahraničních tr</w:t>
      </w:r>
      <w:r w:rsidR="00A76E60" w:rsidRPr="006471A5">
        <w:rPr>
          <w:rFonts w:asciiTheme="minorHAnsi" w:hAnsiTheme="minorHAnsi" w:cstheme="minorHAnsi"/>
          <w:sz w:val="24"/>
          <w:szCs w:val="24"/>
        </w:rPr>
        <w:t>zích. P</w:t>
      </w:r>
      <w:r w:rsidRPr="006471A5">
        <w:rPr>
          <w:rFonts w:asciiTheme="minorHAnsi" w:hAnsiTheme="minorHAnsi" w:cstheme="minorHAnsi"/>
          <w:color w:val="000000"/>
          <w:sz w:val="24"/>
          <w:szCs w:val="24"/>
        </w:rPr>
        <w:t xml:space="preserve">o realizaci projektů </w:t>
      </w:r>
      <w:r w:rsidR="00A76E60" w:rsidRPr="006471A5">
        <w:rPr>
          <w:rFonts w:asciiTheme="minorHAnsi" w:hAnsiTheme="minorHAnsi" w:cstheme="minorHAnsi"/>
          <w:color w:val="000000"/>
          <w:sz w:val="24"/>
          <w:szCs w:val="24"/>
        </w:rPr>
        <w:t xml:space="preserve">MPO </w:t>
      </w:r>
      <w:r w:rsidRPr="006471A5">
        <w:rPr>
          <w:rFonts w:asciiTheme="minorHAnsi" w:hAnsiTheme="minorHAnsi" w:cstheme="minorHAnsi"/>
          <w:color w:val="000000"/>
          <w:sz w:val="24"/>
          <w:szCs w:val="24"/>
        </w:rPr>
        <w:t xml:space="preserve">nesledovalo, zda podniky </w:t>
      </w:r>
      <w:r w:rsidR="00915938" w:rsidRPr="006471A5">
        <w:rPr>
          <w:rFonts w:asciiTheme="minorHAnsi" w:hAnsiTheme="minorHAnsi" w:cstheme="minorHAnsi"/>
          <w:color w:val="000000"/>
          <w:sz w:val="24"/>
          <w:szCs w:val="24"/>
        </w:rPr>
        <w:t xml:space="preserve">vykazují </w:t>
      </w:r>
      <w:r w:rsidRPr="006471A5">
        <w:rPr>
          <w:rFonts w:asciiTheme="minorHAnsi" w:hAnsiTheme="minorHAnsi" w:cstheme="minorHAnsi"/>
          <w:color w:val="000000"/>
          <w:sz w:val="24"/>
          <w:szCs w:val="24"/>
        </w:rPr>
        <w:t xml:space="preserve">očekávané přínosy. U poloviny kontrolovaného vzorku 12 projektů se zatím nepotvrdilo, že by </w:t>
      </w:r>
      <w:r w:rsidRPr="006471A5">
        <w:rPr>
          <w:rFonts w:asciiTheme="minorHAnsi" w:hAnsiTheme="minorHAnsi" w:cstheme="minorHAnsi"/>
          <w:sz w:val="24"/>
          <w:szCs w:val="24"/>
        </w:rPr>
        <w:t xml:space="preserve">podnikatelé byli v důsledku podpory více konkurenceschopní, měli nižší náklady a lepší uplatnění na zahraničních trzích. </w:t>
      </w:r>
    </w:p>
    <w:p w14:paraId="08AB14FD" w14:textId="77777777" w:rsidR="00CA12C6" w:rsidRPr="009F2252" w:rsidRDefault="00CA12C6" w:rsidP="00CA12C6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Cs w:val="22"/>
        </w:rPr>
      </w:pPr>
    </w:p>
    <w:p w14:paraId="2650D327" w14:textId="77777777" w:rsidR="00DA07C2" w:rsidRPr="00023CCF" w:rsidRDefault="00DA07C2" w:rsidP="00DA07C2">
      <w:pPr>
        <w:rPr>
          <w:rFonts w:asciiTheme="minorHAnsi" w:hAnsiTheme="minorHAnsi" w:cstheme="minorHAnsi"/>
          <w:sz w:val="24"/>
        </w:rPr>
      </w:pPr>
    </w:p>
    <w:p w14:paraId="05C13D36" w14:textId="77777777" w:rsidR="00DA07C2" w:rsidRPr="00B44493" w:rsidRDefault="00B44493" w:rsidP="00C741D6">
      <w:pPr>
        <w:jc w:val="center"/>
        <w:rPr>
          <w:rFonts w:asciiTheme="minorHAnsi" w:hAnsiTheme="minorHAnsi" w:cstheme="minorHAnsi"/>
          <w:b/>
          <w:sz w:val="28"/>
        </w:rPr>
      </w:pPr>
      <w:r w:rsidRPr="00B44493">
        <w:rPr>
          <w:rFonts w:asciiTheme="minorHAnsi" w:hAnsiTheme="minorHAnsi" w:cstheme="minorHAnsi"/>
          <w:b/>
          <w:sz w:val="28"/>
        </w:rPr>
        <w:t xml:space="preserve">II. </w:t>
      </w:r>
      <w:r w:rsidR="00DA07C2" w:rsidRPr="00B44493">
        <w:rPr>
          <w:rFonts w:asciiTheme="minorHAnsi" w:hAnsiTheme="minorHAnsi" w:cstheme="minorHAnsi"/>
          <w:b/>
          <w:sz w:val="28"/>
        </w:rPr>
        <w:t>Informace o kontrolované oblasti</w:t>
      </w:r>
    </w:p>
    <w:p w14:paraId="61560360" w14:textId="77777777" w:rsidR="000B220C" w:rsidRPr="00023CCF" w:rsidRDefault="000B220C" w:rsidP="000B220C">
      <w:pPr>
        <w:pStyle w:val="Odstavecseseznamem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BCC7402" w14:textId="77777777" w:rsidR="00284D6B" w:rsidRDefault="000B220C" w:rsidP="000B220C">
      <w:pPr>
        <w:pStyle w:val="Odstavecseseznamem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243D1">
        <w:rPr>
          <w:rFonts w:asciiTheme="minorHAnsi" w:eastAsia="Times New Roman" w:hAnsiTheme="minorHAnsi" w:cstheme="minorHAnsi"/>
          <w:sz w:val="24"/>
          <w:szCs w:val="24"/>
        </w:rPr>
        <w:t xml:space="preserve">Podporu podnikatelských nemovitostí a infrastruktury </w:t>
      </w:r>
      <w:r w:rsidR="003A714E" w:rsidRPr="008243D1">
        <w:rPr>
          <w:rFonts w:asciiTheme="minorHAnsi" w:eastAsia="Times New Roman" w:hAnsiTheme="minorHAnsi" w:cstheme="minorHAnsi"/>
          <w:sz w:val="24"/>
          <w:szCs w:val="24"/>
        </w:rPr>
        <w:t>ve formě dotací či návratných finančních výpomocí poskytovalo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243D1">
        <w:rPr>
          <w:rFonts w:asciiTheme="minorHAnsi" w:hAnsiTheme="minorHAnsi" w:cstheme="minorHAnsi"/>
          <w:bCs/>
          <w:sz w:val="24"/>
          <w:szCs w:val="24"/>
          <w:lang w:eastAsia="cs-CZ"/>
        </w:rPr>
        <w:t xml:space="preserve">MPO </w:t>
      </w:r>
      <w:r w:rsidR="003A714E" w:rsidRPr="008243D1">
        <w:rPr>
          <w:rFonts w:asciiTheme="minorHAnsi" w:eastAsia="Times New Roman" w:hAnsiTheme="minorHAnsi" w:cstheme="minorHAnsi"/>
          <w:sz w:val="24"/>
          <w:szCs w:val="24"/>
        </w:rPr>
        <w:t>od roku 1998 ze státních prostředků</w:t>
      </w:r>
      <w:r w:rsidR="00284D6B">
        <w:rPr>
          <w:rFonts w:asciiTheme="minorHAnsi" w:eastAsia="Times New Roman" w:hAnsiTheme="minorHAnsi" w:cstheme="minorHAnsi"/>
          <w:sz w:val="24"/>
          <w:szCs w:val="24"/>
        </w:rPr>
        <w:t xml:space="preserve"> a od roku 2004 z prostředků Evropské unie</w:t>
      </w:r>
      <w:r w:rsidR="008029E8" w:rsidRPr="008243D1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2D8B4D6A" w14:textId="77777777" w:rsidR="00CA6892" w:rsidRDefault="00CA6892" w:rsidP="000B220C">
      <w:pPr>
        <w:pStyle w:val="Odstavecseseznamem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425A96F" w14:textId="267243CA" w:rsidR="002A7106" w:rsidRPr="008243D1" w:rsidRDefault="008029E8" w:rsidP="000B220C">
      <w:pPr>
        <w:pStyle w:val="Odstavecseseznamem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243D1">
        <w:rPr>
          <w:rFonts w:asciiTheme="minorHAnsi" w:eastAsia="Times New Roman" w:hAnsiTheme="minorHAnsi" w:cstheme="minorHAnsi"/>
          <w:sz w:val="24"/>
          <w:szCs w:val="24"/>
        </w:rPr>
        <w:t xml:space="preserve">Podporu </w:t>
      </w:r>
      <w:r w:rsidR="00284D6B">
        <w:rPr>
          <w:rFonts w:asciiTheme="minorHAnsi" w:eastAsia="Times New Roman" w:hAnsiTheme="minorHAnsi" w:cstheme="minorHAnsi"/>
          <w:sz w:val="24"/>
          <w:szCs w:val="24"/>
        </w:rPr>
        <w:t xml:space="preserve">ze státních prostředků 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>poskytlo</w:t>
      </w:r>
      <w:r w:rsidR="000B220C" w:rsidRPr="008243D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84D6B">
        <w:rPr>
          <w:rFonts w:asciiTheme="minorHAnsi" w:eastAsia="Times New Roman" w:hAnsiTheme="minorHAnsi" w:cstheme="minorHAnsi"/>
          <w:sz w:val="24"/>
          <w:szCs w:val="24"/>
        </w:rPr>
        <w:t xml:space="preserve">do roku 2017 v celkové výši 12 076 mil. Kč, a to </w:t>
      </w:r>
      <w:r w:rsidR="000B220C" w:rsidRPr="008243D1">
        <w:rPr>
          <w:rFonts w:asciiTheme="minorHAnsi" w:eastAsia="Times New Roman" w:hAnsiTheme="minorHAnsi" w:cstheme="minorHAnsi"/>
          <w:sz w:val="24"/>
          <w:szCs w:val="24"/>
        </w:rPr>
        <w:t>prostřednictvím:</w:t>
      </w:r>
    </w:p>
    <w:p w14:paraId="43E1DD91" w14:textId="77777777" w:rsidR="000B220C" w:rsidRPr="008243D1" w:rsidRDefault="000B220C" w:rsidP="00C6408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lang w:eastAsia="cs-CZ"/>
        </w:rPr>
      </w:pPr>
      <w:r w:rsidRPr="008243D1">
        <w:rPr>
          <w:rFonts w:asciiTheme="minorHAnsi" w:eastAsia="Times New Roman" w:hAnsiTheme="minorHAnsi" w:cstheme="minorHAnsi"/>
          <w:i/>
          <w:sz w:val="24"/>
          <w:szCs w:val="24"/>
        </w:rPr>
        <w:t xml:space="preserve">pilotních projektů 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>podpořených v roce 1998 (zóny Karvin</w:t>
      </w:r>
      <w:r w:rsidR="002A7106" w:rsidRPr="008243D1">
        <w:rPr>
          <w:rFonts w:asciiTheme="minorHAnsi" w:eastAsia="Times New Roman" w:hAnsiTheme="minorHAnsi" w:cstheme="minorHAnsi"/>
          <w:sz w:val="24"/>
          <w:szCs w:val="24"/>
        </w:rPr>
        <w:t>á a Bystřice nad Pernštejnem) a 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 xml:space="preserve">následně v období </w:t>
      </w:r>
      <w:r w:rsidRPr="005F77C5">
        <w:rPr>
          <w:rFonts w:asciiTheme="minorHAnsi" w:eastAsia="Times New Roman" w:hAnsiTheme="minorHAnsi" w:cstheme="minorHAnsi"/>
          <w:sz w:val="24"/>
          <w:szCs w:val="24"/>
        </w:rPr>
        <w:t>1999 až 2000 na základě pravidel schválených vládou ČR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 xml:space="preserve">; </w:t>
      </w:r>
    </w:p>
    <w:p w14:paraId="4AFDE023" w14:textId="089F728E" w:rsidR="000B220C" w:rsidRPr="008243D1" w:rsidRDefault="000B220C" w:rsidP="00C6408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lang w:eastAsia="cs-CZ"/>
        </w:rPr>
      </w:pPr>
      <w:r w:rsidRPr="005F77C5">
        <w:rPr>
          <w:rFonts w:asciiTheme="minorHAnsi" w:eastAsia="Times New Roman" w:hAnsiTheme="minorHAnsi" w:cstheme="minorHAnsi"/>
          <w:sz w:val="24"/>
          <w:szCs w:val="24"/>
        </w:rPr>
        <w:t>programu 322 050</w:t>
      </w:r>
      <w:r w:rsidRPr="00E37F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B2E8E">
        <w:rPr>
          <w:rFonts w:asciiTheme="minorHAnsi" w:eastAsia="Times New Roman" w:hAnsiTheme="minorHAnsi" w:cstheme="minorHAnsi"/>
          <w:sz w:val="24"/>
          <w:szCs w:val="24"/>
        </w:rPr>
        <w:t>–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F77C5">
        <w:rPr>
          <w:rFonts w:asciiTheme="minorHAnsi" w:eastAsia="Times New Roman" w:hAnsiTheme="minorHAnsi" w:cstheme="minorHAnsi"/>
          <w:i/>
          <w:sz w:val="24"/>
          <w:szCs w:val="24"/>
        </w:rPr>
        <w:t xml:space="preserve">Program podpory rozvoje průmyslových zón </w:t>
      </w:r>
      <w:r w:rsidRPr="00E37FB1">
        <w:rPr>
          <w:rFonts w:asciiTheme="minorHAnsi" w:eastAsia="Times New Roman" w:hAnsiTheme="minorHAnsi" w:cstheme="minorHAnsi"/>
          <w:sz w:val="24"/>
          <w:szCs w:val="24"/>
        </w:rPr>
        <w:t>od roku 2001 do roku 2009</w:t>
      </w:r>
      <w:r w:rsidR="00E774EB" w:rsidRPr="008243D1">
        <w:rPr>
          <w:rFonts w:asciiTheme="minorHAnsi" w:eastAsia="Times New Roman" w:hAnsiTheme="minorHAnsi" w:cstheme="minorHAnsi"/>
          <w:sz w:val="24"/>
          <w:szCs w:val="24"/>
        </w:rPr>
        <w:t xml:space="preserve"> (dále také „ukončený </w:t>
      </w:r>
      <w:r w:rsidR="008C40AD" w:rsidRPr="008243D1">
        <w:rPr>
          <w:rFonts w:asciiTheme="minorHAnsi" w:eastAsia="Times New Roman" w:hAnsiTheme="minorHAnsi" w:cstheme="minorHAnsi"/>
          <w:sz w:val="24"/>
          <w:szCs w:val="24"/>
        </w:rPr>
        <w:t>program</w:t>
      </w:r>
      <w:r w:rsidR="00E774EB" w:rsidRPr="008243D1">
        <w:rPr>
          <w:rFonts w:asciiTheme="minorHAnsi" w:eastAsia="Times New Roman" w:hAnsiTheme="minorHAnsi" w:cstheme="minorHAnsi"/>
          <w:sz w:val="24"/>
          <w:szCs w:val="24"/>
        </w:rPr>
        <w:t>“</w:t>
      </w:r>
      <w:r w:rsidR="008C40AD" w:rsidRPr="008243D1">
        <w:rPr>
          <w:rFonts w:asciiTheme="minorHAnsi" w:eastAsia="Times New Roman" w:hAnsiTheme="minorHAnsi" w:cstheme="minorHAnsi"/>
          <w:sz w:val="24"/>
          <w:szCs w:val="24"/>
        </w:rPr>
        <w:t xml:space="preserve"> nebo „program 322 050“</w:t>
      </w:r>
      <w:r w:rsidR="00E774EB" w:rsidRPr="008243D1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088C7E1A" w14:textId="52259B59" w:rsidR="000B220C" w:rsidRPr="00284D6B" w:rsidRDefault="000B220C" w:rsidP="00C6408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lang w:eastAsia="cs-CZ"/>
        </w:rPr>
      </w:pPr>
      <w:r w:rsidRPr="005F77C5">
        <w:rPr>
          <w:rFonts w:asciiTheme="minorHAnsi" w:eastAsia="Times New Roman" w:hAnsiTheme="minorHAnsi" w:cstheme="minorHAnsi"/>
          <w:sz w:val="24"/>
          <w:szCs w:val="24"/>
        </w:rPr>
        <w:lastRenderedPageBreak/>
        <w:t>programu 222 230</w:t>
      </w:r>
      <w:r w:rsidRPr="008243D1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E37FB1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Pr="005F77C5">
        <w:rPr>
          <w:rFonts w:asciiTheme="minorHAnsi" w:eastAsia="Times New Roman" w:hAnsiTheme="minorHAnsi" w:cstheme="minorHAnsi"/>
          <w:i/>
          <w:sz w:val="24"/>
          <w:szCs w:val="24"/>
        </w:rPr>
        <w:t>Podpora podnikatelských nemovitostí a infrastruktury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 xml:space="preserve"> od roku 2005, přičemž pr</w:t>
      </w:r>
      <w:r w:rsidR="005723A1" w:rsidRPr="008243D1">
        <w:rPr>
          <w:rFonts w:asciiTheme="minorHAnsi" w:eastAsia="Times New Roman" w:hAnsiTheme="minorHAnsi" w:cstheme="minorHAnsi"/>
          <w:sz w:val="24"/>
          <w:szCs w:val="24"/>
        </w:rPr>
        <w:t>ogram má být ukončen v roce 2020</w:t>
      </w:r>
      <w:r w:rsidR="00E774EB" w:rsidRPr="008243D1">
        <w:rPr>
          <w:rFonts w:asciiTheme="minorHAnsi" w:eastAsia="Times New Roman" w:hAnsiTheme="minorHAnsi" w:cstheme="minorHAnsi"/>
          <w:sz w:val="24"/>
          <w:szCs w:val="24"/>
        </w:rPr>
        <w:t xml:space="preserve"> (dále také „neukončený program</w:t>
      </w:r>
      <w:r w:rsidR="008C40AD" w:rsidRPr="008243D1">
        <w:rPr>
          <w:rFonts w:asciiTheme="minorHAnsi" w:eastAsia="Times New Roman" w:hAnsiTheme="minorHAnsi" w:cstheme="minorHAnsi"/>
          <w:sz w:val="24"/>
          <w:szCs w:val="24"/>
        </w:rPr>
        <w:t>“ nebo „program</w:t>
      </w:r>
      <w:r w:rsidR="00E774EB" w:rsidRPr="008243D1">
        <w:rPr>
          <w:rFonts w:asciiTheme="minorHAnsi" w:eastAsia="Times New Roman" w:hAnsiTheme="minorHAnsi" w:cstheme="minorHAnsi"/>
          <w:sz w:val="24"/>
          <w:szCs w:val="24"/>
        </w:rPr>
        <w:t xml:space="preserve"> 222 230“)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10CE67B1" w14:textId="77777777" w:rsidR="00CA6892" w:rsidRDefault="00CA6892" w:rsidP="00284D6B">
      <w:pPr>
        <w:rPr>
          <w:rFonts w:asciiTheme="minorHAnsi" w:hAnsiTheme="minorHAnsi" w:cstheme="minorHAnsi"/>
          <w:sz w:val="24"/>
        </w:rPr>
      </w:pPr>
    </w:p>
    <w:p w14:paraId="596CA646" w14:textId="07C58BFD" w:rsidR="00284D6B" w:rsidRPr="00284D6B" w:rsidRDefault="00284D6B" w:rsidP="00284D6B">
      <w:pPr>
        <w:rPr>
          <w:rFonts w:asciiTheme="minorHAnsi" w:hAnsiTheme="minorHAnsi" w:cstheme="minorHAnsi"/>
          <w:sz w:val="24"/>
        </w:rPr>
      </w:pPr>
      <w:r w:rsidRPr="00284D6B">
        <w:rPr>
          <w:rFonts w:asciiTheme="minorHAnsi" w:hAnsiTheme="minorHAnsi" w:cstheme="minorHAnsi"/>
          <w:sz w:val="24"/>
        </w:rPr>
        <w:t>Podporu z</w:t>
      </w:r>
      <w:r>
        <w:rPr>
          <w:rFonts w:asciiTheme="minorHAnsi" w:hAnsiTheme="minorHAnsi" w:cstheme="minorHAnsi"/>
          <w:sz w:val="24"/>
        </w:rPr>
        <w:t xml:space="preserve"> prostředků Evropské unie </w:t>
      </w:r>
      <w:r w:rsidRPr="00284D6B">
        <w:rPr>
          <w:rFonts w:asciiTheme="minorHAnsi" w:hAnsiTheme="minorHAnsi" w:cstheme="minorHAnsi"/>
          <w:sz w:val="24"/>
        </w:rPr>
        <w:t>poskytlo do</w:t>
      </w:r>
      <w:r>
        <w:rPr>
          <w:rFonts w:asciiTheme="minorHAnsi" w:hAnsiTheme="minorHAnsi" w:cstheme="minorHAnsi"/>
          <w:sz w:val="24"/>
        </w:rPr>
        <w:t xml:space="preserve"> června 2018</w:t>
      </w:r>
      <w:r w:rsidRPr="00284D6B">
        <w:rPr>
          <w:rFonts w:asciiTheme="minorHAnsi" w:hAnsiTheme="minorHAnsi" w:cstheme="minorHAnsi"/>
          <w:sz w:val="24"/>
        </w:rPr>
        <w:t xml:space="preserve"> v celkové výši </w:t>
      </w:r>
      <w:r w:rsidR="000A583B">
        <w:rPr>
          <w:rFonts w:asciiTheme="minorHAnsi" w:hAnsiTheme="minorHAnsi" w:cstheme="minorHAnsi"/>
          <w:sz w:val="24"/>
        </w:rPr>
        <w:t>14 788</w:t>
      </w:r>
      <w:r w:rsidR="002A7769">
        <w:rPr>
          <w:rFonts w:asciiTheme="minorHAnsi" w:hAnsiTheme="minorHAnsi" w:cstheme="minorHAnsi"/>
          <w:sz w:val="24"/>
        </w:rPr>
        <w:t xml:space="preserve"> mil. Kč, a </w:t>
      </w:r>
      <w:r w:rsidRPr="00284D6B">
        <w:rPr>
          <w:rFonts w:asciiTheme="minorHAnsi" w:hAnsiTheme="minorHAnsi" w:cstheme="minorHAnsi"/>
          <w:sz w:val="24"/>
        </w:rPr>
        <w:t>to prostřednictvím:</w:t>
      </w:r>
    </w:p>
    <w:p w14:paraId="3833B561" w14:textId="4CCFF949" w:rsidR="000B220C" w:rsidRPr="008243D1" w:rsidRDefault="003222E0" w:rsidP="00C6408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lang w:eastAsia="cs-CZ"/>
        </w:rPr>
      </w:pPr>
      <w:r w:rsidRPr="005F77C5">
        <w:rPr>
          <w:rFonts w:asciiTheme="minorHAnsi" w:eastAsia="Times New Roman" w:hAnsiTheme="minorHAnsi" w:cstheme="minorHAnsi"/>
          <w:sz w:val="24"/>
          <w:szCs w:val="24"/>
        </w:rPr>
        <w:t xml:space="preserve">programu </w:t>
      </w:r>
      <w:r w:rsidRPr="008243D1">
        <w:rPr>
          <w:rFonts w:asciiTheme="minorHAnsi" w:eastAsia="Times New Roman" w:hAnsiTheme="minorHAnsi" w:cstheme="minorHAnsi"/>
          <w:i/>
          <w:sz w:val="24"/>
          <w:szCs w:val="24"/>
        </w:rPr>
        <w:t>Reality 2004–2006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 xml:space="preserve"> z </w:t>
      </w:r>
      <w:r w:rsidR="00E37FB1">
        <w:rPr>
          <w:rFonts w:asciiTheme="minorHAnsi" w:eastAsia="Times New Roman" w:hAnsiTheme="minorHAnsi" w:cstheme="minorHAnsi"/>
          <w:sz w:val="24"/>
          <w:szCs w:val="24"/>
        </w:rPr>
        <w:t>o</w:t>
      </w:r>
      <w:r w:rsidR="000B220C" w:rsidRPr="008243D1">
        <w:rPr>
          <w:rFonts w:asciiTheme="minorHAnsi" w:eastAsia="Times New Roman" w:hAnsiTheme="minorHAnsi" w:cstheme="minorHAnsi"/>
          <w:sz w:val="24"/>
          <w:szCs w:val="24"/>
        </w:rPr>
        <w:t>perační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 xml:space="preserve">ho programu </w:t>
      </w:r>
      <w:r w:rsidR="00E37FB1" w:rsidRPr="005F77C5">
        <w:rPr>
          <w:rFonts w:asciiTheme="minorHAnsi" w:eastAsia="Times New Roman" w:hAnsiTheme="minorHAnsi" w:cstheme="minorHAnsi"/>
          <w:i/>
          <w:sz w:val="24"/>
          <w:szCs w:val="24"/>
        </w:rPr>
        <w:t>P</w:t>
      </w:r>
      <w:r w:rsidRPr="005F77C5">
        <w:rPr>
          <w:rFonts w:asciiTheme="minorHAnsi" w:eastAsia="Times New Roman" w:hAnsiTheme="minorHAnsi" w:cstheme="minorHAnsi"/>
          <w:i/>
          <w:sz w:val="24"/>
          <w:szCs w:val="24"/>
        </w:rPr>
        <w:t>růmysl a podnikání</w:t>
      </w:r>
      <w:r w:rsidR="00567E24" w:rsidRPr="008243D1">
        <w:rPr>
          <w:rFonts w:asciiTheme="minorHAnsi" w:eastAsia="Times New Roman" w:hAnsiTheme="minorHAnsi" w:cstheme="minorHAnsi"/>
          <w:sz w:val="24"/>
          <w:szCs w:val="24"/>
        </w:rPr>
        <w:t xml:space="preserve">, v rámci první priority – </w:t>
      </w:r>
      <w:r w:rsidR="00567E24" w:rsidRPr="005F77C5">
        <w:rPr>
          <w:rFonts w:asciiTheme="minorHAnsi" w:eastAsia="Times New Roman" w:hAnsiTheme="minorHAnsi" w:cstheme="minorHAnsi"/>
          <w:i/>
          <w:sz w:val="24"/>
          <w:szCs w:val="24"/>
        </w:rPr>
        <w:t>Rozvoj podnikatelského prostředí</w:t>
      </w:r>
      <w:r w:rsidR="00567E24" w:rsidRPr="008243D1">
        <w:rPr>
          <w:rFonts w:asciiTheme="minorHAnsi" w:eastAsia="Times New Roman" w:hAnsiTheme="minorHAnsi" w:cstheme="minorHAnsi"/>
          <w:sz w:val="24"/>
          <w:szCs w:val="24"/>
        </w:rPr>
        <w:t xml:space="preserve">, opatření 1.2 </w:t>
      </w:r>
      <w:r w:rsidR="00567E24" w:rsidRPr="005F77C5">
        <w:rPr>
          <w:rFonts w:asciiTheme="minorHAnsi" w:eastAsia="Times New Roman" w:hAnsiTheme="minorHAnsi" w:cstheme="minorHAnsi"/>
          <w:i/>
          <w:sz w:val="24"/>
          <w:szCs w:val="24"/>
        </w:rPr>
        <w:t>Rozv</w:t>
      </w:r>
      <w:r w:rsidRPr="005F77C5">
        <w:rPr>
          <w:rFonts w:asciiTheme="minorHAnsi" w:eastAsia="Times New Roman" w:hAnsiTheme="minorHAnsi" w:cstheme="minorHAnsi"/>
          <w:i/>
          <w:sz w:val="24"/>
          <w:szCs w:val="24"/>
        </w:rPr>
        <w:t>oj podnikatelské infrastruktury</w:t>
      </w:r>
      <w:r w:rsidR="000B220C" w:rsidRPr="008243D1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32C21DEF" w14:textId="332CC86B" w:rsidR="00567E24" w:rsidRPr="008243D1" w:rsidRDefault="003222E0" w:rsidP="00C6408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lang w:eastAsia="cs-CZ"/>
        </w:rPr>
      </w:pPr>
      <w:r w:rsidRPr="005F77C5">
        <w:rPr>
          <w:rFonts w:asciiTheme="minorHAnsi" w:eastAsia="Times New Roman" w:hAnsiTheme="minorHAnsi" w:cstheme="minorHAnsi"/>
          <w:sz w:val="24"/>
          <w:szCs w:val="24"/>
        </w:rPr>
        <w:t xml:space="preserve">programu </w:t>
      </w:r>
      <w:r w:rsidRPr="008243D1">
        <w:rPr>
          <w:rFonts w:asciiTheme="minorHAnsi" w:eastAsia="Times New Roman" w:hAnsiTheme="minorHAnsi" w:cstheme="minorHAnsi"/>
          <w:i/>
          <w:sz w:val="24"/>
          <w:szCs w:val="24"/>
        </w:rPr>
        <w:t>Nemovitosti 2007–2013</w:t>
      </w:r>
      <w:r w:rsidRPr="008243D1">
        <w:rPr>
          <w:rFonts w:asciiTheme="minorHAnsi" w:eastAsia="Times New Roman" w:hAnsiTheme="minorHAnsi" w:cstheme="minorHAnsi"/>
          <w:sz w:val="24"/>
          <w:szCs w:val="24"/>
        </w:rPr>
        <w:t xml:space="preserve"> z </w:t>
      </w:r>
      <w:r w:rsidR="00E37FB1">
        <w:rPr>
          <w:rFonts w:asciiTheme="minorHAnsi" w:eastAsia="Times New Roman" w:hAnsiTheme="minorHAnsi" w:cstheme="minorHAnsi"/>
          <w:sz w:val="24"/>
          <w:szCs w:val="24"/>
        </w:rPr>
        <w:t>o</w:t>
      </w:r>
      <w:r w:rsidR="000B220C" w:rsidRPr="008243D1">
        <w:rPr>
          <w:rFonts w:asciiTheme="minorHAnsi" w:eastAsia="Times New Roman" w:hAnsiTheme="minorHAnsi" w:cstheme="minorHAnsi"/>
          <w:sz w:val="24"/>
          <w:szCs w:val="24"/>
        </w:rPr>
        <w:t xml:space="preserve">peračního programu </w:t>
      </w:r>
      <w:r w:rsidR="00E37FB1" w:rsidRPr="005F77C5">
        <w:rPr>
          <w:rFonts w:asciiTheme="minorHAnsi" w:eastAsia="Times New Roman" w:hAnsiTheme="minorHAnsi" w:cstheme="minorHAnsi"/>
          <w:i/>
          <w:sz w:val="24"/>
          <w:szCs w:val="24"/>
        </w:rPr>
        <w:t>P</w:t>
      </w:r>
      <w:r w:rsidR="000B220C" w:rsidRPr="005F77C5">
        <w:rPr>
          <w:rFonts w:asciiTheme="minorHAnsi" w:eastAsia="Times New Roman" w:hAnsiTheme="minorHAnsi" w:cstheme="minorHAnsi"/>
          <w:i/>
          <w:sz w:val="24"/>
          <w:szCs w:val="24"/>
        </w:rPr>
        <w:t>odnikání a inovace</w:t>
      </w:r>
      <w:r w:rsidR="00567E24" w:rsidRPr="008243D1">
        <w:rPr>
          <w:rFonts w:asciiTheme="minorHAnsi" w:eastAsia="Times New Roman" w:hAnsiTheme="minorHAnsi" w:cstheme="minorHAnsi"/>
          <w:sz w:val="24"/>
          <w:szCs w:val="24"/>
        </w:rPr>
        <w:t xml:space="preserve">, v rámci páté prioritní osy </w:t>
      </w:r>
      <w:r w:rsidR="00567E24" w:rsidRPr="005F77C5">
        <w:rPr>
          <w:rFonts w:asciiTheme="minorHAnsi" w:eastAsia="Times New Roman" w:hAnsiTheme="minorHAnsi" w:cstheme="minorHAnsi"/>
          <w:i/>
          <w:sz w:val="24"/>
          <w:szCs w:val="24"/>
        </w:rPr>
        <w:t>Prostředí pro podnikání a inovace</w:t>
      </w:r>
      <w:r w:rsidR="00567E24" w:rsidRPr="008243D1">
        <w:rPr>
          <w:rFonts w:asciiTheme="minorHAnsi" w:eastAsia="Times New Roman" w:hAnsiTheme="minorHAnsi" w:cstheme="minorHAnsi"/>
          <w:sz w:val="24"/>
          <w:szCs w:val="24"/>
        </w:rPr>
        <w:t xml:space="preserve">, oblasti podpory 5.3 </w:t>
      </w:r>
      <w:r w:rsidR="00890C5B" w:rsidRPr="005F77C5">
        <w:rPr>
          <w:rFonts w:asciiTheme="minorHAnsi" w:eastAsia="Times New Roman" w:hAnsiTheme="minorHAnsi" w:cstheme="minorHAnsi"/>
          <w:i/>
          <w:sz w:val="24"/>
          <w:szCs w:val="24"/>
        </w:rPr>
        <w:t>Infrastruktura pro podnikání</w:t>
      </w:r>
      <w:r w:rsidR="00E774EB" w:rsidRPr="008243D1">
        <w:rPr>
          <w:rFonts w:asciiTheme="minorHAnsi" w:eastAsia="Times New Roman" w:hAnsiTheme="minorHAnsi" w:cstheme="minorHAnsi"/>
          <w:sz w:val="24"/>
          <w:szCs w:val="24"/>
        </w:rPr>
        <w:t xml:space="preserve"> (dále také „Nemovitosti 2007–2013“)</w:t>
      </w:r>
      <w:r w:rsidR="000B220C" w:rsidRPr="008243D1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5C032F8A" w14:textId="7CF122AD" w:rsidR="00567E24" w:rsidRPr="00B63C0F" w:rsidRDefault="00E774EB" w:rsidP="00C6408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lang w:eastAsia="cs-CZ"/>
        </w:rPr>
      </w:pPr>
      <w:r w:rsidRPr="005F77C5">
        <w:rPr>
          <w:rFonts w:asciiTheme="minorHAnsi" w:eastAsia="Times New Roman" w:hAnsiTheme="minorHAnsi" w:cstheme="minorHAnsi"/>
          <w:sz w:val="24"/>
          <w:szCs w:val="24"/>
        </w:rPr>
        <w:t xml:space="preserve">programu </w:t>
      </w:r>
      <w:r w:rsidRPr="00B63C0F">
        <w:rPr>
          <w:rFonts w:asciiTheme="minorHAnsi" w:eastAsia="Times New Roman" w:hAnsiTheme="minorHAnsi" w:cstheme="minorHAnsi"/>
          <w:i/>
          <w:sz w:val="24"/>
          <w:szCs w:val="24"/>
        </w:rPr>
        <w:t xml:space="preserve">Nemovitosti </w:t>
      </w:r>
      <w:r w:rsidRPr="00B63C0F">
        <w:rPr>
          <w:rFonts w:asciiTheme="minorHAnsi" w:hAnsiTheme="minorHAnsi" w:cstheme="minorHAnsi"/>
          <w:i/>
          <w:color w:val="000000"/>
          <w:sz w:val="24"/>
          <w:szCs w:val="24"/>
        </w:rPr>
        <w:t>2014–2020</w:t>
      </w:r>
      <w:r w:rsidRPr="00B63C0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3C0F">
        <w:rPr>
          <w:rFonts w:asciiTheme="minorHAnsi" w:eastAsia="Times New Roman" w:hAnsiTheme="minorHAnsi" w:cstheme="minorHAnsi"/>
          <w:sz w:val="24"/>
          <w:szCs w:val="24"/>
        </w:rPr>
        <w:t xml:space="preserve">z </w:t>
      </w:r>
      <w:r w:rsidR="00E37FB1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0B220C" w:rsidRPr="00B63C0F">
        <w:rPr>
          <w:rFonts w:asciiTheme="minorHAnsi" w:hAnsiTheme="minorHAnsi" w:cstheme="minorHAnsi"/>
          <w:color w:val="000000"/>
          <w:sz w:val="24"/>
          <w:szCs w:val="24"/>
        </w:rPr>
        <w:t xml:space="preserve">peračního programu </w:t>
      </w:r>
      <w:r w:rsidR="000B220C" w:rsidRPr="005F77C5">
        <w:rPr>
          <w:rFonts w:asciiTheme="minorHAnsi" w:hAnsiTheme="minorHAnsi" w:cstheme="minorHAnsi"/>
          <w:i/>
          <w:color w:val="000000"/>
          <w:sz w:val="24"/>
          <w:szCs w:val="24"/>
        </w:rPr>
        <w:t>Podnikání a inovace pro</w:t>
      </w:r>
      <w:r w:rsidR="007A7912" w:rsidRPr="005F77C5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konkurenceschopnost</w:t>
      </w:r>
      <w:r w:rsidR="00567E24" w:rsidRPr="00B63C0F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890C5B" w:rsidRPr="00B63C0F">
        <w:rPr>
          <w:rFonts w:asciiTheme="minorHAnsi" w:hAnsiTheme="minorHAnsi" w:cstheme="minorHAnsi"/>
          <w:color w:val="000000"/>
          <w:sz w:val="24"/>
          <w:szCs w:val="24"/>
        </w:rPr>
        <w:t>v rámci</w:t>
      </w:r>
      <w:r w:rsidR="00E37FB1">
        <w:rPr>
          <w:rFonts w:asciiTheme="minorHAnsi" w:hAnsiTheme="minorHAnsi" w:cstheme="minorHAnsi"/>
          <w:sz w:val="24"/>
          <w:szCs w:val="24"/>
        </w:rPr>
        <w:t xml:space="preserve"> </w:t>
      </w:r>
      <w:r w:rsidR="00567E24" w:rsidRPr="00B63C0F">
        <w:rPr>
          <w:rFonts w:asciiTheme="minorHAnsi" w:hAnsiTheme="minorHAnsi" w:cstheme="minorHAnsi"/>
          <w:sz w:val="24"/>
          <w:szCs w:val="24"/>
        </w:rPr>
        <w:t>druhé p</w:t>
      </w:r>
      <w:r w:rsidR="002A7106" w:rsidRPr="00B63C0F">
        <w:rPr>
          <w:rFonts w:asciiTheme="minorHAnsi" w:hAnsiTheme="minorHAnsi" w:cstheme="minorHAnsi"/>
          <w:sz w:val="24"/>
          <w:szCs w:val="24"/>
        </w:rPr>
        <w:t xml:space="preserve">rioritní osy </w:t>
      </w:r>
      <w:r w:rsidR="002A7106" w:rsidRPr="005F77C5">
        <w:rPr>
          <w:rFonts w:asciiTheme="minorHAnsi" w:hAnsiTheme="minorHAnsi" w:cstheme="minorHAnsi"/>
          <w:i/>
          <w:sz w:val="24"/>
          <w:szCs w:val="24"/>
        </w:rPr>
        <w:t>Rozvoj podnikání a </w:t>
      </w:r>
      <w:r w:rsidR="00567E24" w:rsidRPr="005F77C5">
        <w:rPr>
          <w:rFonts w:asciiTheme="minorHAnsi" w:hAnsiTheme="minorHAnsi" w:cstheme="minorHAnsi"/>
          <w:i/>
          <w:sz w:val="24"/>
          <w:szCs w:val="24"/>
        </w:rPr>
        <w:t>konkurenceschopnosti malých a středních podniků</w:t>
      </w:r>
      <w:r w:rsidR="00567E24" w:rsidRPr="00B63C0F">
        <w:rPr>
          <w:rFonts w:asciiTheme="minorHAnsi" w:hAnsiTheme="minorHAnsi" w:cstheme="minorHAnsi"/>
          <w:sz w:val="24"/>
          <w:szCs w:val="24"/>
        </w:rPr>
        <w:t>, investiční priority 3</w:t>
      </w:r>
      <w:r w:rsidR="00E37FB1">
        <w:rPr>
          <w:rFonts w:asciiTheme="minorHAnsi" w:hAnsiTheme="minorHAnsi" w:cstheme="minorHAnsi"/>
          <w:sz w:val="24"/>
          <w:szCs w:val="24"/>
        </w:rPr>
        <w:t>.</w:t>
      </w:r>
      <w:r w:rsidR="00567E24" w:rsidRPr="00B63C0F">
        <w:rPr>
          <w:rFonts w:asciiTheme="minorHAnsi" w:hAnsiTheme="minorHAnsi" w:cstheme="minorHAnsi"/>
          <w:sz w:val="24"/>
          <w:szCs w:val="24"/>
        </w:rPr>
        <w:t xml:space="preserve"> </w:t>
      </w:r>
      <w:r w:rsidR="00567E24" w:rsidRPr="005F77C5">
        <w:rPr>
          <w:rFonts w:asciiTheme="minorHAnsi" w:hAnsiTheme="minorHAnsi" w:cstheme="minorHAnsi"/>
          <w:i/>
          <w:sz w:val="24"/>
          <w:szCs w:val="24"/>
        </w:rPr>
        <w:t>Podpora vytváření vyspělých kapacit pro rozvoj produktů a služeb</w:t>
      </w:r>
      <w:r w:rsidR="00567E24" w:rsidRPr="00B63C0F">
        <w:rPr>
          <w:rFonts w:asciiTheme="minorHAnsi" w:hAnsiTheme="minorHAnsi" w:cstheme="minorHAnsi"/>
          <w:sz w:val="24"/>
          <w:szCs w:val="24"/>
        </w:rPr>
        <w:t xml:space="preserve">, specifického cíle 2.3 </w:t>
      </w:r>
      <w:r w:rsidR="00567E24" w:rsidRPr="005F77C5">
        <w:rPr>
          <w:rFonts w:asciiTheme="minorHAnsi" w:hAnsiTheme="minorHAnsi" w:cstheme="minorHAnsi"/>
          <w:i/>
          <w:sz w:val="24"/>
          <w:szCs w:val="24"/>
        </w:rPr>
        <w:t>Zvýšit využitelnost infrastruktury pro</w:t>
      </w:r>
      <w:r w:rsidRPr="005F77C5">
        <w:rPr>
          <w:rFonts w:asciiTheme="minorHAnsi" w:hAnsiTheme="minorHAnsi" w:cstheme="minorHAnsi"/>
          <w:i/>
          <w:sz w:val="24"/>
          <w:szCs w:val="24"/>
        </w:rPr>
        <w:t xml:space="preserve"> podnikání</w:t>
      </w:r>
      <w:r w:rsidRPr="00B63C0F">
        <w:rPr>
          <w:rFonts w:asciiTheme="minorHAnsi" w:hAnsiTheme="minorHAnsi" w:cstheme="minorHAnsi"/>
          <w:sz w:val="24"/>
          <w:szCs w:val="24"/>
        </w:rPr>
        <w:t xml:space="preserve"> </w:t>
      </w:r>
      <w:r w:rsidRPr="00B63C0F">
        <w:rPr>
          <w:rFonts w:asciiTheme="minorHAnsi" w:hAnsiTheme="minorHAnsi" w:cstheme="minorHAnsi"/>
          <w:color w:val="000000"/>
          <w:sz w:val="24"/>
          <w:szCs w:val="24"/>
        </w:rPr>
        <w:t>(dále také „</w:t>
      </w:r>
      <w:r w:rsidRPr="00B63C0F">
        <w:rPr>
          <w:rFonts w:asciiTheme="minorHAnsi" w:eastAsia="Times New Roman" w:hAnsiTheme="minorHAnsi" w:cstheme="minorHAnsi"/>
          <w:sz w:val="24"/>
          <w:szCs w:val="24"/>
        </w:rPr>
        <w:t>Nemovitosti 2014</w:t>
      </w:r>
      <w:r w:rsidR="0020555C">
        <w:rPr>
          <w:rFonts w:asciiTheme="minorHAnsi" w:eastAsia="Times New Roman" w:hAnsiTheme="minorHAnsi" w:cstheme="minorHAnsi"/>
          <w:sz w:val="24"/>
          <w:szCs w:val="24"/>
        </w:rPr>
        <w:t>–</w:t>
      </w:r>
      <w:r w:rsidRPr="00B63C0F">
        <w:rPr>
          <w:rFonts w:asciiTheme="minorHAnsi" w:eastAsia="Times New Roman" w:hAnsiTheme="minorHAnsi" w:cstheme="minorHAnsi"/>
          <w:sz w:val="24"/>
          <w:szCs w:val="24"/>
        </w:rPr>
        <w:t>2020</w:t>
      </w:r>
      <w:r w:rsidRPr="00B63C0F">
        <w:rPr>
          <w:rFonts w:asciiTheme="minorHAnsi" w:hAnsiTheme="minorHAnsi" w:cstheme="minorHAnsi"/>
          <w:color w:val="000000"/>
          <w:sz w:val="24"/>
          <w:szCs w:val="24"/>
        </w:rPr>
        <w:t>“)</w:t>
      </w:r>
      <w:r w:rsidR="00567E24" w:rsidRPr="00B63C0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143B98C" w14:textId="77777777" w:rsidR="002A7106" w:rsidRDefault="002A7106" w:rsidP="008C0549">
      <w:pPr>
        <w:rPr>
          <w:rFonts w:asciiTheme="minorHAnsi" w:hAnsiTheme="minorHAnsi" w:cstheme="minorHAnsi"/>
          <w:szCs w:val="22"/>
        </w:rPr>
      </w:pPr>
    </w:p>
    <w:p w14:paraId="1E31DF5E" w14:textId="49CC422E" w:rsidR="008C0549" w:rsidRPr="0020555C" w:rsidRDefault="008C0549" w:rsidP="008C0549">
      <w:pPr>
        <w:rPr>
          <w:rFonts w:asciiTheme="minorHAnsi" w:hAnsiTheme="minorHAnsi" w:cstheme="minorHAnsi"/>
          <w:bCs/>
          <w:sz w:val="24"/>
          <w:lang w:eastAsia="cs-CZ"/>
        </w:rPr>
      </w:pPr>
      <w:r w:rsidRPr="0020555C">
        <w:rPr>
          <w:rFonts w:asciiTheme="minorHAnsi" w:hAnsiTheme="minorHAnsi" w:cstheme="minorHAnsi"/>
          <w:sz w:val="24"/>
        </w:rPr>
        <w:t>Od roku 2017 MPO přijímá žádosti o podporu</w:t>
      </w:r>
      <w:r w:rsidR="0020555C">
        <w:rPr>
          <w:rFonts w:asciiTheme="minorHAnsi" w:hAnsiTheme="minorHAnsi" w:cstheme="minorHAnsi"/>
          <w:sz w:val="24"/>
        </w:rPr>
        <w:t xml:space="preserve"> z programu 122D21 </w:t>
      </w:r>
      <w:r w:rsidR="0020555C" w:rsidRPr="005F77C5">
        <w:rPr>
          <w:rFonts w:asciiTheme="minorHAnsi" w:hAnsiTheme="minorHAnsi" w:cstheme="minorHAnsi"/>
          <w:i/>
          <w:sz w:val="24"/>
        </w:rPr>
        <w:t>Regenerace a </w:t>
      </w:r>
      <w:r w:rsidRPr="005F77C5">
        <w:rPr>
          <w:rFonts w:asciiTheme="minorHAnsi" w:hAnsiTheme="minorHAnsi" w:cstheme="minorHAnsi"/>
          <w:i/>
          <w:sz w:val="24"/>
        </w:rPr>
        <w:t>podnikatelské využití brownfieldů</w:t>
      </w:r>
      <w:r w:rsidRPr="0020555C">
        <w:rPr>
          <w:rFonts w:asciiTheme="minorHAnsi" w:hAnsiTheme="minorHAnsi" w:cstheme="minorHAnsi"/>
          <w:sz w:val="24"/>
        </w:rPr>
        <w:t xml:space="preserve"> (dále také „program 122D21“), přičemž předpokládá jeho ukončení v roce 2024. Do doby ukončení kontroly MPO </w:t>
      </w:r>
      <w:r w:rsidR="00E37FB1" w:rsidRPr="0020555C">
        <w:rPr>
          <w:rFonts w:asciiTheme="minorHAnsi" w:hAnsiTheme="minorHAnsi" w:cstheme="minorHAnsi"/>
          <w:sz w:val="24"/>
        </w:rPr>
        <w:t xml:space="preserve">zatím </w:t>
      </w:r>
      <w:r w:rsidRPr="0020555C">
        <w:rPr>
          <w:rFonts w:asciiTheme="minorHAnsi" w:hAnsiTheme="minorHAnsi" w:cstheme="minorHAnsi"/>
          <w:sz w:val="24"/>
        </w:rPr>
        <w:t>žádnou akci z tohoto programu nepodpořilo.</w:t>
      </w:r>
    </w:p>
    <w:p w14:paraId="7A52D2C4" w14:textId="77777777" w:rsidR="000B220C" w:rsidRPr="0020555C" w:rsidRDefault="000B220C" w:rsidP="000B220C">
      <w:pPr>
        <w:rPr>
          <w:rFonts w:asciiTheme="minorHAnsi" w:hAnsiTheme="minorHAnsi" w:cstheme="minorHAnsi"/>
          <w:color w:val="000000"/>
          <w:sz w:val="24"/>
        </w:rPr>
      </w:pPr>
    </w:p>
    <w:p w14:paraId="566CA8B1" w14:textId="6AC2623F" w:rsidR="000B220C" w:rsidRPr="0020555C" w:rsidRDefault="008029E8" w:rsidP="000B220C">
      <w:pPr>
        <w:rPr>
          <w:rFonts w:asciiTheme="minorHAnsi" w:hAnsiTheme="minorHAnsi" w:cstheme="minorHAnsi"/>
          <w:sz w:val="24"/>
        </w:rPr>
      </w:pPr>
      <w:r w:rsidRPr="0020555C">
        <w:rPr>
          <w:rFonts w:asciiTheme="minorHAnsi" w:hAnsiTheme="minorHAnsi" w:cstheme="minorHAnsi"/>
          <w:color w:val="000000"/>
          <w:sz w:val="24"/>
        </w:rPr>
        <w:t>MPO bylo</w:t>
      </w:r>
      <w:r w:rsidR="000B220C" w:rsidRPr="0020555C">
        <w:rPr>
          <w:rFonts w:asciiTheme="minorHAnsi" w:hAnsiTheme="minorHAnsi" w:cstheme="minorHAnsi"/>
          <w:color w:val="000000"/>
          <w:sz w:val="24"/>
        </w:rPr>
        <w:t xml:space="preserve"> správcem výše uvedených národních </w:t>
      </w:r>
      <w:r w:rsidRPr="0020555C">
        <w:rPr>
          <w:rFonts w:asciiTheme="minorHAnsi" w:hAnsiTheme="minorHAnsi" w:cstheme="minorHAnsi"/>
          <w:color w:val="000000"/>
          <w:sz w:val="24"/>
        </w:rPr>
        <w:t>programů a říd</w:t>
      </w:r>
      <w:r w:rsidR="00E37FB1">
        <w:rPr>
          <w:rFonts w:asciiTheme="minorHAnsi" w:hAnsiTheme="minorHAnsi" w:cstheme="minorHAnsi"/>
          <w:color w:val="000000"/>
          <w:sz w:val="24"/>
        </w:rPr>
        <w:t>i</w:t>
      </w:r>
      <w:r w:rsidRPr="0020555C">
        <w:rPr>
          <w:rFonts w:asciiTheme="minorHAnsi" w:hAnsiTheme="minorHAnsi" w:cstheme="minorHAnsi"/>
          <w:color w:val="000000"/>
          <w:sz w:val="24"/>
        </w:rPr>
        <w:t xml:space="preserve">cím orgánem </w:t>
      </w:r>
      <w:r w:rsidR="000B220C" w:rsidRPr="0020555C">
        <w:rPr>
          <w:rFonts w:asciiTheme="minorHAnsi" w:hAnsiTheme="minorHAnsi" w:cstheme="minorHAnsi"/>
          <w:color w:val="000000"/>
          <w:sz w:val="24"/>
        </w:rPr>
        <w:t xml:space="preserve">uvedených operačních programů. </w:t>
      </w:r>
      <w:r w:rsidR="000B220C" w:rsidRPr="0020555C">
        <w:rPr>
          <w:rFonts w:asciiTheme="minorHAnsi" w:hAnsiTheme="minorHAnsi" w:cstheme="minorHAnsi"/>
          <w:sz w:val="24"/>
        </w:rPr>
        <w:t>Část svých pravomocí a povinností MPO převedlo na Agenturu pro podporu p</w:t>
      </w:r>
      <w:r w:rsidR="002A7106" w:rsidRPr="0020555C">
        <w:rPr>
          <w:rFonts w:asciiTheme="minorHAnsi" w:hAnsiTheme="minorHAnsi" w:cstheme="minorHAnsi"/>
          <w:sz w:val="24"/>
        </w:rPr>
        <w:t>odnikání a </w:t>
      </w:r>
      <w:r w:rsidR="00890C5B" w:rsidRPr="0020555C">
        <w:rPr>
          <w:rFonts w:asciiTheme="minorHAnsi" w:hAnsiTheme="minorHAnsi" w:cstheme="minorHAnsi"/>
          <w:sz w:val="24"/>
        </w:rPr>
        <w:t>investic CzechInvest</w:t>
      </w:r>
      <w:r w:rsidR="000B220C" w:rsidRPr="0020555C">
        <w:rPr>
          <w:rFonts w:asciiTheme="minorHAnsi" w:hAnsiTheme="minorHAnsi" w:cstheme="minorHAnsi"/>
          <w:sz w:val="24"/>
        </w:rPr>
        <w:t>, která plnila úlohu zprostředkujícího subjektu. Od června 2016 plní úlohu zpro</w:t>
      </w:r>
      <w:r w:rsidR="008C40AD" w:rsidRPr="0020555C">
        <w:rPr>
          <w:rFonts w:asciiTheme="minorHAnsi" w:hAnsiTheme="minorHAnsi" w:cstheme="minorHAnsi"/>
          <w:sz w:val="24"/>
        </w:rPr>
        <w:t xml:space="preserve">středkujícího subjektu pro </w:t>
      </w:r>
      <w:r w:rsidR="00036D59">
        <w:rPr>
          <w:rFonts w:asciiTheme="minorHAnsi" w:hAnsiTheme="minorHAnsi" w:cstheme="minorHAnsi"/>
          <w:color w:val="000000"/>
          <w:sz w:val="24"/>
        </w:rPr>
        <w:t>o</w:t>
      </w:r>
      <w:r w:rsidR="008C40AD" w:rsidRPr="0020555C">
        <w:rPr>
          <w:rFonts w:asciiTheme="minorHAnsi" w:hAnsiTheme="minorHAnsi" w:cstheme="minorHAnsi"/>
          <w:color w:val="000000"/>
          <w:sz w:val="24"/>
        </w:rPr>
        <w:t xml:space="preserve">perační program </w:t>
      </w:r>
      <w:r w:rsidR="008C40AD" w:rsidRPr="005F77C5">
        <w:rPr>
          <w:rFonts w:asciiTheme="minorHAnsi" w:hAnsiTheme="minorHAnsi" w:cstheme="minorHAnsi"/>
          <w:i/>
          <w:color w:val="000000"/>
          <w:sz w:val="24"/>
        </w:rPr>
        <w:t>Pod</w:t>
      </w:r>
      <w:r w:rsidR="0020555C" w:rsidRPr="005F77C5">
        <w:rPr>
          <w:rFonts w:asciiTheme="minorHAnsi" w:hAnsiTheme="minorHAnsi" w:cstheme="minorHAnsi"/>
          <w:i/>
          <w:color w:val="000000"/>
          <w:sz w:val="24"/>
        </w:rPr>
        <w:t>nikání a </w:t>
      </w:r>
      <w:r w:rsidR="0090446B" w:rsidRPr="005F77C5">
        <w:rPr>
          <w:rFonts w:asciiTheme="minorHAnsi" w:hAnsiTheme="minorHAnsi" w:cstheme="minorHAnsi"/>
          <w:i/>
          <w:color w:val="000000"/>
          <w:sz w:val="24"/>
        </w:rPr>
        <w:t>inovace pro konkurence</w:t>
      </w:r>
      <w:r w:rsidR="008C40AD" w:rsidRPr="005F77C5">
        <w:rPr>
          <w:rFonts w:asciiTheme="minorHAnsi" w:hAnsiTheme="minorHAnsi" w:cstheme="minorHAnsi"/>
          <w:i/>
          <w:color w:val="000000"/>
          <w:sz w:val="24"/>
        </w:rPr>
        <w:t>schopnost</w:t>
      </w:r>
      <w:r w:rsidR="000B220C" w:rsidRPr="0020555C">
        <w:rPr>
          <w:rFonts w:asciiTheme="minorHAnsi" w:hAnsiTheme="minorHAnsi" w:cstheme="minorHAnsi"/>
          <w:sz w:val="24"/>
        </w:rPr>
        <w:t xml:space="preserve"> Agentura pro podnikání a inovace</w:t>
      </w:r>
      <w:r w:rsidR="00036D59">
        <w:rPr>
          <w:rFonts w:asciiTheme="minorHAnsi" w:hAnsiTheme="minorHAnsi" w:cstheme="minorHAnsi"/>
          <w:sz w:val="24"/>
        </w:rPr>
        <w:t xml:space="preserve"> (API)</w:t>
      </w:r>
      <w:r w:rsidR="000B220C" w:rsidRPr="0020555C">
        <w:rPr>
          <w:rStyle w:val="Znakapoznpodarou"/>
          <w:rFonts w:asciiTheme="minorHAnsi" w:hAnsiTheme="minorHAnsi" w:cstheme="minorHAnsi"/>
          <w:sz w:val="24"/>
        </w:rPr>
        <w:footnoteReference w:id="4"/>
      </w:r>
      <w:r w:rsidR="000B220C" w:rsidRPr="0020555C">
        <w:rPr>
          <w:rFonts w:asciiTheme="minorHAnsi" w:hAnsiTheme="minorHAnsi" w:cstheme="minorHAnsi"/>
          <w:sz w:val="24"/>
        </w:rPr>
        <w:t>. CzechInvest a</w:t>
      </w:r>
      <w:r w:rsidR="00036D59">
        <w:rPr>
          <w:rFonts w:asciiTheme="minorHAnsi" w:hAnsiTheme="minorHAnsi" w:cstheme="minorHAnsi"/>
          <w:sz w:val="24"/>
        </w:rPr>
        <w:t> </w:t>
      </w:r>
      <w:r w:rsidR="000B220C" w:rsidRPr="0020555C">
        <w:rPr>
          <w:rFonts w:asciiTheme="minorHAnsi" w:hAnsiTheme="minorHAnsi" w:cstheme="minorHAnsi"/>
          <w:sz w:val="24"/>
        </w:rPr>
        <w:t>API jsou příspěvkovými organizacemi podřízenými Ministerstvu průmyslu a obchodu.</w:t>
      </w:r>
      <w:r w:rsidR="00AB4A4C" w:rsidRPr="0020555C">
        <w:rPr>
          <w:rFonts w:asciiTheme="minorHAnsi" w:hAnsiTheme="minorHAnsi" w:cstheme="minorHAnsi"/>
          <w:sz w:val="24"/>
        </w:rPr>
        <w:t xml:space="preserve"> Zdrojem financování národních programů byl </w:t>
      </w:r>
      <w:r w:rsidR="00E04BDA" w:rsidRPr="0020555C">
        <w:rPr>
          <w:rFonts w:asciiTheme="minorHAnsi" w:hAnsiTheme="minorHAnsi" w:cstheme="minorHAnsi"/>
          <w:sz w:val="24"/>
        </w:rPr>
        <w:t xml:space="preserve">v kontrolovaném období </w:t>
      </w:r>
      <w:r w:rsidR="00AB4A4C" w:rsidRPr="0020555C">
        <w:rPr>
          <w:rFonts w:asciiTheme="minorHAnsi" w:hAnsiTheme="minorHAnsi" w:cstheme="minorHAnsi"/>
          <w:sz w:val="24"/>
        </w:rPr>
        <w:t>převážně zvl</w:t>
      </w:r>
      <w:r w:rsidR="00E04BDA" w:rsidRPr="0020555C">
        <w:rPr>
          <w:rFonts w:asciiTheme="minorHAnsi" w:hAnsiTheme="minorHAnsi" w:cstheme="minorHAnsi"/>
          <w:sz w:val="24"/>
        </w:rPr>
        <w:t>áštní účet Ministerstva financí</w:t>
      </w:r>
      <w:r w:rsidR="00B46888" w:rsidRPr="0020555C">
        <w:rPr>
          <w:rStyle w:val="Znakapoznpodarou"/>
          <w:rFonts w:asciiTheme="minorHAnsi" w:hAnsiTheme="minorHAnsi" w:cstheme="minorHAnsi"/>
          <w:sz w:val="24"/>
        </w:rPr>
        <w:footnoteReference w:id="5"/>
      </w:r>
      <w:r w:rsidR="00E04BDA" w:rsidRPr="0020555C">
        <w:rPr>
          <w:rFonts w:asciiTheme="minorHAnsi" w:hAnsiTheme="minorHAnsi" w:cstheme="minorHAnsi"/>
          <w:sz w:val="24"/>
        </w:rPr>
        <w:t>.</w:t>
      </w:r>
    </w:p>
    <w:p w14:paraId="21907DB9" w14:textId="77777777" w:rsidR="00DA07C2" w:rsidRPr="00E04BDA" w:rsidRDefault="00DA07C2" w:rsidP="00DA07C2">
      <w:pPr>
        <w:jc w:val="left"/>
        <w:rPr>
          <w:rFonts w:asciiTheme="minorHAnsi" w:hAnsiTheme="minorHAnsi" w:cstheme="minorHAnsi"/>
          <w:szCs w:val="22"/>
        </w:rPr>
      </w:pPr>
    </w:p>
    <w:p w14:paraId="3F33D981" w14:textId="77777777" w:rsidR="002A7106" w:rsidRPr="0020555C" w:rsidRDefault="00B07B00" w:rsidP="00DA07C2">
      <w:pPr>
        <w:jc w:val="left"/>
        <w:rPr>
          <w:rFonts w:asciiTheme="minorHAnsi" w:hAnsiTheme="minorHAnsi" w:cstheme="minorHAnsi"/>
          <w:sz w:val="24"/>
        </w:rPr>
      </w:pPr>
      <w:r w:rsidRPr="0020555C">
        <w:rPr>
          <w:rFonts w:asciiTheme="minorHAnsi" w:hAnsiTheme="minorHAnsi" w:cstheme="minorHAnsi"/>
          <w:b/>
          <w:sz w:val="24"/>
        </w:rPr>
        <w:t>Podporu ze státních prostředků</w:t>
      </w:r>
      <w:r w:rsidRPr="0020555C">
        <w:rPr>
          <w:rFonts w:asciiTheme="minorHAnsi" w:hAnsiTheme="minorHAnsi" w:cstheme="minorHAnsi"/>
          <w:sz w:val="24"/>
        </w:rPr>
        <w:t xml:space="preserve"> MPO zaměřilo na:</w:t>
      </w:r>
    </w:p>
    <w:p w14:paraId="432C05A7" w14:textId="77777777" w:rsidR="00D41E0F" w:rsidRPr="0020555C" w:rsidRDefault="00265819" w:rsidP="00C64085">
      <w:pPr>
        <w:pStyle w:val="Odstavecseseznamem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555C">
        <w:rPr>
          <w:rFonts w:asciiTheme="minorHAnsi" w:hAnsiTheme="minorHAnsi" w:cstheme="minorHAnsi"/>
          <w:sz w:val="24"/>
          <w:szCs w:val="24"/>
        </w:rPr>
        <w:t>p</w:t>
      </w:r>
      <w:r w:rsidR="00D41E0F" w:rsidRPr="0020555C">
        <w:rPr>
          <w:rFonts w:asciiTheme="minorHAnsi" w:hAnsiTheme="minorHAnsi" w:cstheme="minorHAnsi"/>
          <w:sz w:val="24"/>
          <w:szCs w:val="24"/>
        </w:rPr>
        <w:t xml:space="preserve">řípravu průmyslových zón se záměrem realizovat na nich projekty z oblasti zpracovatelského průmyslu, strategických služeb a technologických center za účelem vytvoření nových pracovních příležitostí </w:t>
      </w:r>
      <w:r w:rsidRPr="0020555C">
        <w:rPr>
          <w:rFonts w:asciiTheme="minorHAnsi" w:hAnsiTheme="minorHAnsi" w:cstheme="minorHAnsi"/>
          <w:sz w:val="24"/>
          <w:szCs w:val="24"/>
        </w:rPr>
        <w:t>v moderních výrobních provozech;</w:t>
      </w:r>
    </w:p>
    <w:p w14:paraId="0AE19EB4" w14:textId="77777777" w:rsidR="00D41E0F" w:rsidRPr="0020555C" w:rsidRDefault="00265819" w:rsidP="00C64085">
      <w:pPr>
        <w:pStyle w:val="Odstavecseseznamem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555C">
        <w:rPr>
          <w:rFonts w:asciiTheme="minorHAnsi" w:hAnsiTheme="minorHAnsi" w:cstheme="minorHAnsi"/>
          <w:sz w:val="24"/>
          <w:szCs w:val="24"/>
        </w:rPr>
        <w:t>r</w:t>
      </w:r>
      <w:r w:rsidR="00D41E0F" w:rsidRPr="0020555C">
        <w:rPr>
          <w:rFonts w:asciiTheme="minorHAnsi" w:hAnsiTheme="minorHAnsi" w:cstheme="minorHAnsi"/>
          <w:sz w:val="24"/>
          <w:szCs w:val="24"/>
        </w:rPr>
        <w:t>egeneraci průmyslových zón, tj. na regeneraci stávajících průmyslových území, která nebyla s ohledem na jejich technický stav využívána. Takové projekty měly přispět</w:t>
      </w:r>
      <w:r w:rsidR="00036D59">
        <w:rPr>
          <w:rFonts w:asciiTheme="minorHAnsi" w:hAnsiTheme="minorHAnsi" w:cstheme="minorHAnsi"/>
          <w:sz w:val="24"/>
          <w:szCs w:val="24"/>
        </w:rPr>
        <w:t xml:space="preserve"> k</w:t>
      </w:r>
      <w:r w:rsidR="00D41E0F" w:rsidRPr="0020555C">
        <w:rPr>
          <w:rFonts w:asciiTheme="minorHAnsi" w:hAnsiTheme="minorHAnsi" w:cstheme="minorHAnsi"/>
          <w:sz w:val="24"/>
          <w:szCs w:val="24"/>
        </w:rPr>
        <w:t xml:space="preserve"> tvorbě nových pracovních míst a k restrukturalizaci průmyslu včetně </w:t>
      </w:r>
      <w:r w:rsidRPr="0020555C">
        <w:rPr>
          <w:rFonts w:asciiTheme="minorHAnsi" w:hAnsiTheme="minorHAnsi" w:cstheme="minorHAnsi"/>
          <w:sz w:val="24"/>
          <w:szCs w:val="24"/>
        </w:rPr>
        <w:t>rekultivace životního prostředí;</w:t>
      </w:r>
    </w:p>
    <w:p w14:paraId="0C921A5D" w14:textId="77777777" w:rsidR="00D41E0F" w:rsidRPr="0020555C" w:rsidRDefault="00265819" w:rsidP="00C64085">
      <w:pPr>
        <w:pStyle w:val="Odstavecseseznamem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555C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D41E0F" w:rsidRPr="0020555C">
        <w:rPr>
          <w:rFonts w:asciiTheme="minorHAnsi" w:hAnsiTheme="minorHAnsi" w:cstheme="minorHAnsi"/>
          <w:sz w:val="24"/>
          <w:szCs w:val="24"/>
        </w:rPr>
        <w:t>ýstavbu a rekonstrukci nájemních objektů umožňujících inve</w:t>
      </w:r>
      <w:r w:rsidR="002A7106" w:rsidRPr="0020555C">
        <w:rPr>
          <w:rFonts w:asciiTheme="minorHAnsi" w:hAnsiTheme="minorHAnsi" w:cstheme="minorHAnsi"/>
          <w:sz w:val="24"/>
          <w:szCs w:val="24"/>
        </w:rPr>
        <w:t>storům rychlé zahájení výroby a </w:t>
      </w:r>
      <w:r w:rsidR="00D41E0F" w:rsidRPr="0020555C">
        <w:rPr>
          <w:rFonts w:asciiTheme="minorHAnsi" w:hAnsiTheme="minorHAnsi" w:cstheme="minorHAnsi"/>
          <w:sz w:val="24"/>
          <w:szCs w:val="24"/>
        </w:rPr>
        <w:t>tím i vytvoření pracovních míst</w:t>
      </w:r>
      <w:r w:rsidRPr="0020555C">
        <w:rPr>
          <w:rFonts w:asciiTheme="minorHAnsi" w:hAnsiTheme="minorHAnsi" w:cstheme="minorHAnsi"/>
          <w:sz w:val="24"/>
          <w:szCs w:val="24"/>
        </w:rPr>
        <w:t>;</w:t>
      </w:r>
    </w:p>
    <w:p w14:paraId="5C0A1363" w14:textId="77777777" w:rsidR="003A714E" w:rsidRPr="0020555C" w:rsidRDefault="00265819" w:rsidP="00C64085">
      <w:pPr>
        <w:pStyle w:val="Odstavecseseznamem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555C">
        <w:rPr>
          <w:rFonts w:asciiTheme="minorHAnsi" w:hAnsiTheme="minorHAnsi" w:cstheme="minorHAnsi"/>
          <w:sz w:val="24"/>
          <w:szCs w:val="24"/>
        </w:rPr>
        <w:t>tzv. a</w:t>
      </w:r>
      <w:r w:rsidR="00D41E0F" w:rsidRPr="0020555C">
        <w:rPr>
          <w:rFonts w:asciiTheme="minorHAnsi" w:hAnsiTheme="minorHAnsi" w:cstheme="minorHAnsi"/>
          <w:sz w:val="24"/>
          <w:szCs w:val="24"/>
        </w:rPr>
        <w:t>kreditaci průmyslových zón, tj. na podporu škol</w:t>
      </w:r>
      <w:r w:rsidR="00CA23B2">
        <w:rPr>
          <w:rFonts w:asciiTheme="minorHAnsi" w:hAnsiTheme="minorHAnsi" w:cstheme="minorHAnsi"/>
          <w:sz w:val="24"/>
          <w:szCs w:val="24"/>
        </w:rPr>
        <w:t>ení manažerů průmyslových zón a </w:t>
      </w:r>
      <w:r w:rsidR="00D41E0F" w:rsidRPr="0020555C">
        <w:rPr>
          <w:rFonts w:asciiTheme="minorHAnsi" w:hAnsiTheme="minorHAnsi" w:cstheme="minorHAnsi"/>
          <w:sz w:val="24"/>
          <w:szCs w:val="24"/>
        </w:rPr>
        <w:t>jejich technického a programového vybavení s cílem zabezpečit profesionální správu průmyslových zón a tím přispět ke zvýšení jejich konkurenceschopnosti a k jejich vyšší obsazenosti. Podpora měla přispět k lepšímu zhodnocení prostředků státního rozpočtu vynaložených na ostatní podprogramy a k vytvoření předpokladů pro výběr nových lokalit.</w:t>
      </w:r>
    </w:p>
    <w:p w14:paraId="0996A040" w14:textId="77777777" w:rsidR="00F33E3D" w:rsidRPr="0020555C" w:rsidRDefault="00BD298C" w:rsidP="00F33E3D">
      <w:pPr>
        <w:rPr>
          <w:rFonts w:asciiTheme="minorHAnsi" w:hAnsiTheme="minorHAnsi" w:cstheme="minorHAnsi"/>
          <w:sz w:val="24"/>
          <w:lang w:eastAsia="cs-CZ"/>
        </w:rPr>
      </w:pPr>
      <w:r w:rsidRPr="0020555C">
        <w:rPr>
          <w:rFonts w:asciiTheme="minorHAnsi" w:hAnsiTheme="minorHAnsi" w:cstheme="minorHAnsi"/>
          <w:sz w:val="24"/>
        </w:rPr>
        <w:t>Podporu ze státních prostředků získaly převážně obce a kraje</w:t>
      </w:r>
      <w:r w:rsidR="00E80C7D" w:rsidRPr="0020555C">
        <w:rPr>
          <w:rFonts w:asciiTheme="minorHAnsi" w:hAnsiTheme="minorHAnsi" w:cstheme="minorHAnsi"/>
          <w:sz w:val="24"/>
        </w:rPr>
        <w:t xml:space="preserve"> za účelem připravit zónu pro investory</w:t>
      </w:r>
      <w:r w:rsidRPr="0020555C">
        <w:rPr>
          <w:rFonts w:asciiTheme="minorHAnsi" w:hAnsiTheme="minorHAnsi" w:cstheme="minorHAnsi"/>
          <w:sz w:val="24"/>
        </w:rPr>
        <w:t>. Příjemcem</w:t>
      </w:r>
      <w:r w:rsidR="00C31383" w:rsidRPr="0020555C">
        <w:rPr>
          <w:rFonts w:asciiTheme="minorHAnsi" w:hAnsiTheme="minorHAnsi" w:cstheme="minorHAnsi"/>
          <w:sz w:val="24"/>
        </w:rPr>
        <w:t xml:space="preserve"> podpory </w:t>
      </w:r>
      <w:r w:rsidRPr="0020555C">
        <w:rPr>
          <w:rFonts w:asciiTheme="minorHAnsi" w:hAnsiTheme="minorHAnsi" w:cstheme="minorHAnsi"/>
          <w:sz w:val="24"/>
        </w:rPr>
        <w:t>mohly být i specifikované podniky a společnosti</w:t>
      </w:r>
      <w:r w:rsidRPr="0020555C">
        <w:rPr>
          <w:rStyle w:val="Znakapoznpodarou"/>
          <w:rFonts w:asciiTheme="minorHAnsi" w:hAnsiTheme="minorHAnsi" w:cstheme="minorHAnsi"/>
          <w:sz w:val="24"/>
        </w:rPr>
        <w:footnoteReference w:id="6"/>
      </w:r>
      <w:r w:rsidRPr="0020555C">
        <w:rPr>
          <w:rFonts w:asciiTheme="minorHAnsi" w:hAnsiTheme="minorHAnsi" w:cstheme="minorHAnsi"/>
          <w:sz w:val="24"/>
        </w:rPr>
        <w:t>, státní podni</w:t>
      </w:r>
      <w:r w:rsidR="00D80ED0">
        <w:rPr>
          <w:rFonts w:asciiTheme="minorHAnsi" w:hAnsiTheme="minorHAnsi" w:cstheme="minorHAnsi"/>
          <w:sz w:val="24"/>
        </w:rPr>
        <w:t>ky, příspěvkové organizace</w:t>
      </w:r>
      <w:r w:rsidRPr="0020555C">
        <w:rPr>
          <w:rFonts w:asciiTheme="minorHAnsi" w:hAnsiTheme="minorHAnsi" w:cstheme="minorHAnsi"/>
          <w:sz w:val="24"/>
        </w:rPr>
        <w:t xml:space="preserve"> a organizační složky státu. </w:t>
      </w:r>
      <w:r w:rsidR="000C15F8" w:rsidRPr="0020555C">
        <w:rPr>
          <w:rFonts w:asciiTheme="minorHAnsi" w:hAnsiTheme="minorHAnsi" w:cstheme="minorHAnsi"/>
          <w:sz w:val="24"/>
        </w:rPr>
        <w:t>Způsobilými výdaji byly zejména výdaje na pořízení pozemků, projektovou dokumentaci a výstavbu infrastruktury. Pravidla programu umožňovala podpořit i další výdaje vyvolané realizací akce</w:t>
      </w:r>
      <w:r w:rsidR="007B578B" w:rsidRPr="0020555C">
        <w:rPr>
          <w:rFonts w:asciiTheme="minorHAnsi" w:hAnsiTheme="minorHAnsi" w:cstheme="minorHAnsi"/>
          <w:sz w:val="24"/>
        </w:rPr>
        <w:t xml:space="preserve">. </w:t>
      </w:r>
    </w:p>
    <w:p w14:paraId="728E5E36" w14:textId="77777777" w:rsidR="00B07B00" w:rsidRPr="0020555C" w:rsidRDefault="00B07B00" w:rsidP="00BD298C">
      <w:pPr>
        <w:rPr>
          <w:rFonts w:asciiTheme="minorHAnsi" w:hAnsiTheme="minorHAnsi" w:cstheme="minorHAnsi"/>
          <w:sz w:val="24"/>
        </w:rPr>
      </w:pPr>
    </w:p>
    <w:p w14:paraId="5AC128D7" w14:textId="77777777" w:rsidR="002A7106" w:rsidRPr="00E771FA" w:rsidRDefault="000C15F8" w:rsidP="00D114C4">
      <w:pPr>
        <w:rPr>
          <w:rFonts w:asciiTheme="minorHAnsi" w:hAnsiTheme="minorHAnsi" w:cstheme="minorHAnsi"/>
          <w:sz w:val="24"/>
        </w:rPr>
      </w:pPr>
      <w:r w:rsidRPr="00E771FA">
        <w:rPr>
          <w:rFonts w:asciiTheme="minorHAnsi" w:hAnsiTheme="minorHAnsi" w:cstheme="minorHAnsi"/>
          <w:b/>
          <w:sz w:val="24"/>
        </w:rPr>
        <w:t>Podpora z prostř</w:t>
      </w:r>
      <w:r w:rsidR="00862FF6" w:rsidRPr="00E771FA">
        <w:rPr>
          <w:rFonts w:asciiTheme="minorHAnsi" w:hAnsiTheme="minorHAnsi" w:cstheme="minorHAnsi"/>
          <w:b/>
          <w:sz w:val="24"/>
        </w:rPr>
        <w:t>edků Evropské unie</w:t>
      </w:r>
      <w:r w:rsidR="00862FF6" w:rsidRPr="00E771FA">
        <w:rPr>
          <w:rFonts w:asciiTheme="minorHAnsi" w:hAnsiTheme="minorHAnsi" w:cstheme="minorHAnsi"/>
          <w:sz w:val="24"/>
        </w:rPr>
        <w:t xml:space="preserve"> byla určena pro</w:t>
      </w:r>
      <w:r w:rsidRPr="00E771FA">
        <w:rPr>
          <w:rFonts w:asciiTheme="minorHAnsi" w:hAnsiTheme="minorHAnsi" w:cstheme="minorHAnsi"/>
          <w:sz w:val="24"/>
        </w:rPr>
        <w:t xml:space="preserve"> </w:t>
      </w:r>
      <w:r w:rsidR="00A601C6" w:rsidRPr="00E771FA">
        <w:rPr>
          <w:rFonts w:asciiTheme="minorHAnsi" w:hAnsiTheme="minorHAnsi" w:cstheme="minorHAnsi"/>
          <w:sz w:val="24"/>
        </w:rPr>
        <w:t xml:space="preserve">menší </w:t>
      </w:r>
      <w:r w:rsidR="002A7106" w:rsidRPr="00E771FA">
        <w:rPr>
          <w:rFonts w:asciiTheme="minorHAnsi" w:hAnsiTheme="minorHAnsi" w:cstheme="minorHAnsi"/>
          <w:sz w:val="24"/>
        </w:rPr>
        <w:t>projekty přípravy, výstavby a </w:t>
      </w:r>
      <w:r w:rsidR="00CD4F75" w:rsidRPr="00E771FA">
        <w:rPr>
          <w:rFonts w:asciiTheme="minorHAnsi" w:hAnsiTheme="minorHAnsi" w:cstheme="minorHAnsi"/>
          <w:sz w:val="24"/>
        </w:rPr>
        <w:t xml:space="preserve">rekonstrukce podnikatelských objektů, na výstavbu, rozvoj či regeneraci zóny a související infrastrukturu. </w:t>
      </w:r>
    </w:p>
    <w:p w14:paraId="3F48973F" w14:textId="77777777" w:rsidR="00862FF6" w:rsidRPr="00E771FA" w:rsidRDefault="00E80C7D" w:rsidP="00862FF6">
      <w:pPr>
        <w:pStyle w:val="Odstavecseseznamem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71FA">
        <w:rPr>
          <w:rFonts w:asciiTheme="minorHAnsi" w:hAnsiTheme="minorHAnsi" w:cstheme="minorHAnsi"/>
          <w:sz w:val="24"/>
          <w:szCs w:val="24"/>
        </w:rPr>
        <w:t xml:space="preserve">Od roku 2014 </w:t>
      </w:r>
      <w:r w:rsidR="005A0ED2" w:rsidRPr="00E771FA">
        <w:rPr>
          <w:rFonts w:asciiTheme="minorHAnsi" w:hAnsiTheme="minorHAnsi" w:cstheme="minorHAnsi"/>
          <w:sz w:val="24"/>
          <w:szCs w:val="24"/>
        </w:rPr>
        <w:t xml:space="preserve">je </w:t>
      </w:r>
      <w:r w:rsidR="004104D5" w:rsidRPr="00E771FA">
        <w:rPr>
          <w:rFonts w:asciiTheme="minorHAnsi" w:hAnsiTheme="minorHAnsi" w:cstheme="minorHAnsi"/>
          <w:sz w:val="24"/>
          <w:szCs w:val="24"/>
        </w:rPr>
        <w:t xml:space="preserve">podpora </w:t>
      </w:r>
      <w:r w:rsidR="00131B45" w:rsidRPr="00E771FA">
        <w:rPr>
          <w:rFonts w:asciiTheme="minorHAnsi" w:hAnsiTheme="minorHAnsi" w:cstheme="minorHAnsi"/>
          <w:sz w:val="24"/>
          <w:szCs w:val="24"/>
        </w:rPr>
        <w:t xml:space="preserve">z Evropské unie </w:t>
      </w:r>
      <w:r w:rsidRPr="00E771FA">
        <w:rPr>
          <w:rFonts w:asciiTheme="minorHAnsi" w:hAnsiTheme="minorHAnsi" w:cstheme="minorHAnsi"/>
          <w:sz w:val="24"/>
          <w:szCs w:val="24"/>
        </w:rPr>
        <w:t xml:space="preserve">zaměřena </w:t>
      </w:r>
      <w:r w:rsidR="000F2E42" w:rsidRPr="00E771FA">
        <w:rPr>
          <w:rFonts w:asciiTheme="minorHAnsi" w:hAnsiTheme="minorHAnsi" w:cstheme="minorHAnsi"/>
          <w:sz w:val="24"/>
          <w:szCs w:val="24"/>
        </w:rPr>
        <w:t xml:space="preserve">jen na brownfieldy, tj. </w:t>
      </w:r>
      <w:r w:rsidR="002A7106" w:rsidRPr="00E771FA">
        <w:rPr>
          <w:rFonts w:asciiTheme="minorHAnsi" w:hAnsiTheme="minorHAnsi" w:cstheme="minorHAnsi"/>
          <w:sz w:val="24"/>
          <w:szCs w:val="24"/>
        </w:rPr>
        <w:t>na rekonstrukce a </w:t>
      </w:r>
      <w:r w:rsidRPr="00E771FA">
        <w:rPr>
          <w:rFonts w:asciiTheme="minorHAnsi" w:hAnsiTheme="minorHAnsi" w:cstheme="minorHAnsi"/>
          <w:sz w:val="24"/>
          <w:szCs w:val="24"/>
        </w:rPr>
        <w:t xml:space="preserve">modernizace zastaralých, prostorově a technicky nevyhovujících objektů, budov a areálů </w:t>
      </w:r>
      <w:r w:rsidR="002A7106" w:rsidRPr="00E771FA">
        <w:rPr>
          <w:rFonts w:asciiTheme="minorHAnsi" w:hAnsiTheme="minorHAnsi" w:cstheme="minorHAnsi"/>
          <w:sz w:val="24"/>
          <w:szCs w:val="24"/>
        </w:rPr>
        <w:t>ve vlastnictví malých a </w:t>
      </w:r>
      <w:r w:rsidR="005A0ED2" w:rsidRPr="00E771FA">
        <w:rPr>
          <w:rFonts w:asciiTheme="minorHAnsi" w:hAnsiTheme="minorHAnsi" w:cstheme="minorHAnsi"/>
          <w:sz w:val="24"/>
          <w:szCs w:val="24"/>
        </w:rPr>
        <w:t>středních podnikatelů</w:t>
      </w:r>
      <w:r w:rsidR="00036D59">
        <w:rPr>
          <w:rFonts w:asciiTheme="minorHAnsi" w:hAnsiTheme="minorHAnsi" w:cstheme="minorHAnsi"/>
          <w:sz w:val="24"/>
          <w:szCs w:val="24"/>
        </w:rPr>
        <w:t>,</w:t>
      </w:r>
      <w:r w:rsidR="005A0ED2" w:rsidRPr="00E771FA">
        <w:rPr>
          <w:rFonts w:asciiTheme="minorHAnsi" w:hAnsiTheme="minorHAnsi" w:cstheme="minorHAnsi"/>
          <w:sz w:val="24"/>
          <w:szCs w:val="24"/>
        </w:rPr>
        <w:t xml:space="preserve"> </w:t>
      </w:r>
      <w:r w:rsidRPr="00E771FA">
        <w:rPr>
          <w:rFonts w:asciiTheme="minorHAnsi" w:hAnsiTheme="minorHAnsi" w:cstheme="minorHAnsi"/>
          <w:sz w:val="24"/>
          <w:szCs w:val="24"/>
        </w:rPr>
        <w:t xml:space="preserve">s cílem je znovu využít pro rozvoj výrobních činností a služeb </w:t>
      </w:r>
      <w:r w:rsidR="002A7106" w:rsidRPr="00E771FA">
        <w:rPr>
          <w:rFonts w:asciiTheme="minorHAnsi" w:hAnsiTheme="minorHAnsi" w:cstheme="minorHAnsi"/>
          <w:sz w:val="24"/>
          <w:szCs w:val="24"/>
        </w:rPr>
        <w:t>malého a </w:t>
      </w:r>
      <w:r w:rsidR="004104D5" w:rsidRPr="00E771FA">
        <w:rPr>
          <w:rFonts w:asciiTheme="minorHAnsi" w:hAnsiTheme="minorHAnsi" w:cstheme="minorHAnsi"/>
          <w:sz w:val="24"/>
          <w:szCs w:val="24"/>
        </w:rPr>
        <w:t>středního podnikání.</w:t>
      </w:r>
      <w:r w:rsidR="00D114C4" w:rsidRPr="00E771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DF2F3D" w14:textId="1B587E1E" w:rsidR="00862FF6" w:rsidRPr="00E771FA" w:rsidRDefault="00862FF6" w:rsidP="00CA6892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771FA">
        <w:rPr>
          <w:rFonts w:asciiTheme="minorHAnsi" w:hAnsiTheme="minorHAnsi" w:cstheme="minorHAnsi"/>
          <w:sz w:val="24"/>
          <w:szCs w:val="24"/>
        </w:rPr>
        <w:t>V květnu 2018 Evropská komise na žádost MPO schválila aktualiz</w:t>
      </w:r>
      <w:r w:rsidR="008C40AD" w:rsidRPr="00E771FA">
        <w:rPr>
          <w:rFonts w:asciiTheme="minorHAnsi" w:hAnsiTheme="minorHAnsi" w:cstheme="minorHAnsi"/>
          <w:sz w:val="24"/>
          <w:szCs w:val="24"/>
        </w:rPr>
        <w:t xml:space="preserve">aci programového dokumentu </w:t>
      </w:r>
      <w:r w:rsidR="00036D59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8C40AD" w:rsidRPr="00E771FA">
        <w:rPr>
          <w:rFonts w:asciiTheme="minorHAnsi" w:hAnsiTheme="minorHAnsi" w:cstheme="minorHAnsi"/>
          <w:color w:val="000000"/>
          <w:sz w:val="24"/>
          <w:szCs w:val="24"/>
        </w:rPr>
        <w:t xml:space="preserve">peračního programu </w:t>
      </w:r>
      <w:r w:rsidR="008C40AD" w:rsidRPr="005F77C5">
        <w:rPr>
          <w:rFonts w:asciiTheme="minorHAnsi" w:hAnsiTheme="minorHAnsi" w:cstheme="minorHAnsi"/>
          <w:i/>
          <w:color w:val="000000"/>
          <w:sz w:val="24"/>
          <w:szCs w:val="24"/>
        </w:rPr>
        <w:t>Pod</w:t>
      </w:r>
      <w:r w:rsidR="0090446B" w:rsidRPr="005F77C5">
        <w:rPr>
          <w:rFonts w:asciiTheme="minorHAnsi" w:hAnsiTheme="minorHAnsi" w:cstheme="minorHAnsi"/>
          <w:i/>
          <w:color w:val="000000"/>
          <w:sz w:val="24"/>
          <w:szCs w:val="24"/>
        </w:rPr>
        <w:t>nikání a inovace pro konkurence</w:t>
      </w:r>
      <w:r w:rsidR="008C40AD" w:rsidRPr="005F77C5">
        <w:rPr>
          <w:rFonts w:asciiTheme="minorHAnsi" w:hAnsiTheme="minorHAnsi" w:cstheme="minorHAnsi"/>
          <w:i/>
          <w:color w:val="000000"/>
          <w:sz w:val="24"/>
          <w:szCs w:val="24"/>
        </w:rPr>
        <w:t>schopnost</w:t>
      </w:r>
      <w:r w:rsidRPr="00E771FA">
        <w:rPr>
          <w:rFonts w:asciiTheme="minorHAnsi" w:hAnsiTheme="minorHAnsi" w:cstheme="minorHAnsi"/>
          <w:sz w:val="24"/>
          <w:szCs w:val="24"/>
        </w:rPr>
        <w:t>, podle které budou moci být podpořeny v rámci specifického cíle 2.3 i projekty v malých venkovských obcích</w:t>
      </w:r>
      <w:r w:rsidRPr="00E771FA">
        <w:rPr>
          <w:sz w:val="24"/>
          <w:szCs w:val="24"/>
          <w:vertAlign w:val="superscript"/>
        </w:rPr>
        <w:footnoteReference w:id="7"/>
      </w:r>
      <w:r w:rsidRPr="00E771FA">
        <w:rPr>
          <w:rFonts w:asciiTheme="minorHAnsi" w:hAnsiTheme="minorHAnsi" w:cstheme="minorHAnsi"/>
          <w:sz w:val="24"/>
          <w:szCs w:val="24"/>
        </w:rPr>
        <w:t xml:space="preserve"> zaměřené na modernizace zastaralých a prostorově a technicky nevyhovujících objektů, budov a areálů s cílem jejic</w:t>
      </w:r>
      <w:r w:rsidR="00E771FA">
        <w:rPr>
          <w:rFonts w:asciiTheme="minorHAnsi" w:hAnsiTheme="minorHAnsi" w:cstheme="minorHAnsi"/>
          <w:sz w:val="24"/>
          <w:szCs w:val="24"/>
        </w:rPr>
        <w:t>h následného využití pro malé a </w:t>
      </w:r>
      <w:r w:rsidRPr="00E771FA">
        <w:rPr>
          <w:rFonts w:asciiTheme="minorHAnsi" w:hAnsiTheme="minorHAnsi" w:cstheme="minorHAnsi"/>
          <w:sz w:val="24"/>
          <w:szCs w:val="24"/>
        </w:rPr>
        <w:t xml:space="preserve">střední podnikání v cestovním ruchu. Podporovány </w:t>
      </w:r>
      <w:r w:rsidR="00E771FA">
        <w:rPr>
          <w:rFonts w:asciiTheme="minorHAnsi" w:hAnsiTheme="minorHAnsi" w:cstheme="minorHAnsi"/>
          <w:sz w:val="24"/>
          <w:szCs w:val="24"/>
        </w:rPr>
        <w:t>ale nemají být golfová hřiště a </w:t>
      </w:r>
      <w:r w:rsidRPr="00E771FA">
        <w:rPr>
          <w:rFonts w:asciiTheme="minorHAnsi" w:hAnsiTheme="minorHAnsi" w:cstheme="minorHAnsi"/>
          <w:sz w:val="24"/>
          <w:szCs w:val="24"/>
        </w:rPr>
        <w:t>areály, aquaparky a</w:t>
      </w:r>
      <w:r w:rsidR="00036D59">
        <w:rPr>
          <w:rFonts w:asciiTheme="minorHAnsi" w:hAnsiTheme="minorHAnsi" w:cstheme="minorHAnsi"/>
          <w:sz w:val="24"/>
          <w:szCs w:val="24"/>
        </w:rPr>
        <w:t>ni</w:t>
      </w:r>
      <w:r w:rsidRPr="00E771FA">
        <w:rPr>
          <w:rFonts w:asciiTheme="minorHAnsi" w:hAnsiTheme="minorHAnsi" w:cstheme="minorHAnsi"/>
          <w:sz w:val="24"/>
          <w:szCs w:val="24"/>
        </w:rPr>
        <w:t xml:space="preserve"> koupaliště.</w:t>
      </w:r>
    </w:p>
    <w:p w14:paraId="332431D2" w14:textId="77777777" w:rsidR="00CA6892" w:rsidRDefault="00CA6892" w:rsidP="00CA6892">
      <w:pPr>
        <w:rPr>
          <w:rFonts w:asciiTheme="minorHAnsi" w:hAnsiTheme="minorHAnsi" w:cstheme="minorHAnsi"/>
          <w:sz w:val="24"/>
        </w:rPr>
      </w:pPr>
    </w:p>
    <w:p w14:paraId="0E980608" w14:textId="4CA373EB" w:rsidR="0072677A" w:rsidRDefault="005A0ED2" w:rsidP="00CA6892">
      <w:pPr>
        <w:rPr>
          <w:rFonts w:asciiTheme="minorHAnsi" w:hAnsiTheme="minorHAnsi" w:cstheme="minorHAnsi"/>
          <w:sz w:val="24"/>
        </w:rPr>
      </w:pPr>
      <w:r w:rsidRPr="00E771FA">
        <w:rPr>
          <w:rFonts w:asciiTheme="minorHAnsi" w:hAnsiTheme="minorHAnsi" w:cstheme="minorHAnsi"/>
          <w:sz w:val="24"/>
        </w:rPr>
        <w:t>Příjemcem podpory z Evropské unie byly</w:t>
      </w:r>
      <w:r w:rsidR="00036D59">
        <w:rPr>
          <w:rFonts w:asciiTheme="minorHAnsi" w:hAnsiTheme="minorHAnsi" w:cstheme="minorHAnsi"/>
          <w:sz w:val="24"/>
        </w:rPr>
        <w:t xml:space="preserve"> –</w:t>
      </w:r>
      <w:r w:rsidRPr="00E771FA">
        <w:rPr>
          <w:rFonts w:asciiTheme="minorHAnsi" w:hAnsiTheme="minorHAnsi" w:cstheme="minorHAnsi"/>
          <w:sz w:val="24"/>
        </w:rPr>
        <w:t xml:space="preserve"> n</w:t>
      </w:r>
      <w:r w:rsidR="004104D5" w:rsidRPr="00E771FA">
        <w:rPr>
          <w:rFonts w:asciiTheme="minorHAnsi" w:hAnsiTheme="minorHAnsi" w:cstheme="minorHAnsi"/>
          <w:sz w:val="24"/>
        </w:rPr>
        <w:t>a rozdíl od podpory ze státních prostředků</w:t>
      </w:r>
      <w:r w:rsidR="00036D59">
        <w:rPr>
          <w:rFonts w:asciiTheme="minorHAnsi" w:hAnsiTheme="minorHAnsi" w:cstheme="minorHAnsi"/>
          <w:sz w:val="24"/>
        </w:rPr>
        <w:t xml:space="preserve"> –</w:t>
      </w:r>
      <w:r w:rsidRPr="00E771FA">
        <w:rPr>
          <w:rFonts w:asciiTheme="minorHAnsi" w:hAnsiTheme="minorHAnsi" w:cstheme="minorHAnsi"/>
          <w:sz w:val="24"/>
        </w:rPr>
        <w:t xml:space="preserve"> </w:t>
      </w:r>
      <w:r w:rsidR="004104D5" w:rsidRPr="00E771FA">
        <w:rPr>
          <w:rFonts w:asciiTheme="minorHAnsi" w:hAnsiTheme="minorHAnsi" w:cstheme="minorHAnsi"/>
          <w:sz w:val="24"/>
        </w:rPr>
        <w:t xml:space="preserve">přímo malé a střední podniky </w:t>
      </w:r>
      <w:r w:rsidRPr="00E771FA">
        <w:rPr>
          <w:rFonts w:asciiTheme="minorHAnsi" w:hAnsiTheme="minorHAnsi" w:cstheme="minorHAnsi"/>
          <w:sz w:val="24"/>
        </w:rPr>
        <w:t xml:space="preserve">vlastnící a </w:t>
      </w:r>
      <w:r w:rsidR="004104D5" w:rsidRPr="00E771FA">
        <w:rPr>
          <w:rFonts w:asciiTheme="minorHAnsi" w:hAnsiTheme="minorHAnsi" w:cstheme="minorHAnsi"/>
          <w:sz w:val="24"/>
        </w:rPr>
        <w:t>užívající příslušnou nemovitost pro podnikání.</w:t>
      </w:r>
      <w:r w:rsidR="00023CCF" w:rsidRPr="00E771FA">
        <w:rPr>
          <w:rFonts w:asciiTheme="minorHAnsi" w:hAnsiTheme="minorHAnsi" w:cstheme="minorHAnsi"/>
          <w:sz w:val="24"/>
        </w:rPr>
        <w:t xml:space="preserve"> Podle stanovených pravidel mohou být příjemcem podpory i územní samosprávné celky.</w:t>
      </w:r>
      <w:r w:rsidR="004104D5" w:rsidRPr="00E771FA">
        <w:rPr>
          <w:rFonts w:asciiTheme="minorHAnsi" w:hAnsiTheme="minorHAnsi" w:cstheme="minorHAnsi"/>
          <w:sz w:val="24"/>
        </w:rPr>
        <w:t xml:space="preserve"> </w:t>
      </w:r>
    </w:p>
    <w:p w14:paraId="792C11FB" w14:textId="77777777" w:rsidR="00E771FA" w:rsidRDefault="00E771FA" w:rsidP="00862FF6">
      <w:pPr>
        <w:rPr>
          <w:rFonts w:asciiTheme="minorHAnsi" w:hAnsiTheme="minorHAnsi" w:cstheme="minorHAnsi"/>
          <w:sz w:val="24"/>
        </w:rPr>
      </w:pPr>
    </w:p>
    <w:p w14:paraId="2ABAC96A" w14:textId="77777777" w:rsidR="00E771FA" w:rsidRPr="00E771FA" w:rsidRDefault="00E771FA" w:rsidP="00862FF6">
      <w:pPr>
        <w:rPr>
          <w:rFonts w:asciiTheme="minorHAnsi" w:hAnsiTheme="minorHAnsi" w:cstheme="minorHAnsi"/>
          <w:sz w:val="24"/>
        </w:rPr>
      </w:pPr>
    </w:p>
    <w:p w14:paraId="5ACDAB77" w14:textId="77777777" w:rsidR="00DA07C2" w:rsidRPr="00CA6892" w:rsidRDefault="00CA6892" w:rsidP="00CA6892">
      <w:pPr>
        <w:jc w:val="center"/>
        <w:rPr>
          <w:rFonts w:asciiTheme="minorHAnsi" w:hAnsiTheme="minorHAnsi" w:cstheme="minorHAnsi"/>
          <w:b/>
          <w:sz w:val="28"/>
        </w:rPr>
      </w:pPr>
      <w:r w:rsidRPr="00CA6892">
        <w:rPr>
          <w:rFonts w:asciiTheme="minorHAnsi" w:hAnsiTheme="minorHAnsi" w:cstheme="minorHAnsi"/>
          <w:b/>
          <w:sz w:val="28"/>
        </w:rPr>
        <w:t xml:space="preserve">III. </w:t>
      </w:r>
      <w:r w:rsidR="00DA07C2" w:rsidRPr="00CA6892">
        <w:rPr>
          <w:rFonts w:asciiTheme="minorHAnsi" w:hAnsiTheme="minorHAnsi" w:cstheme="minorHAnsi"/>
          <w:b/>
          <w:sz w:val="28"/>
        </w:rPr>
        <w:t>Rozsah kontroly</w:t>
      </w:r>
    </w:p>
    <w:p w14:paraId="1F37EAC5" w14:textId="77777777" w:rsidR="00CA6892" w:rsidRDefault="00CA6892" w:rsidP="006B2B6E">
      <w:pPr>
        <w:rPr>
          <w:rFonts w:asciiTheme="minorHAnsi" w:hAnsiTheme="minorHAnsi" w:cstheme="minorHAnsi"/>
          <w:sz w:val="24"/>
        </w:rPr>
      </w:pPr>
    </w:p>
    <w:p w14:paraId="3F3648AE" w14:textId="77777777" w:rsidR="002A7106" w:rsidRPr="00E771FA" w:rsidRDefault="00862FF6" w:rsidP="006B2B6E">
      <w:pPr>
        <w:rPr>
          <w:rFonts w:asciiTheme="minorHAnsi" w:hAnsiTheme="minorHAnsi" w:cstheme="minorHAnsi"/>
          <w:sz w:val="24"/>
        </w:rPr>
      </w:pPr>
      <w:r w:rsidRPr="00E771FA">
        <w:rPr>
          <w:rFonts w:asciiTheme="minorHAnsi" w:hAnsiTheme="minorHAnsi" w:cstheme="minorHAnsi"/>
          <w:sz w:val="24"/>
        </w:rPr>
        <w:t>Ve vazbě na tři</w:t>
      </w:r>
      <w:r w:rsidR="006B75E1" w:rsidRPr="00E771FA">
        <w:rPr>
          <w:rFonts w:asciiTheme="minorHAnsi" w:hAnsiTheme="minorHAnsi" w:cstheme="minorHAnsi"/>
          <w:sz w:val="24"/>
        </w:rPr>
        <w:t xml:space="preserve"> předcho</w:t>
      </w:r>
      <w:r w:rsidR="00F91022" w:rsidRPr="00E771FA">
        <w:rPr>
          <w:rFonts w:asciiTheme="minorHAnsi" w:hAnsiTheme="minorHAnsi" w:cstheme="minorHAnsi"/>
          <w:sz w:val="24"/>
        </w:rPr>
        <w:t xml:space="preserve">zí kontrolní akce z roku 2004, </w:t>
      </w:r>
      <w:r w:rsidR="006B75E1" w:rsidRPr="00E771FA">
        <w:rPr>
          <w:rFonts w:asciiTheme="minorHAnsi" w:hAnsiTheme="minorHAnsi" w:cstheme="minorHAnsi"/>
          <w:sz w:val="24"/>
        </w:rPr>
        <w:t>2009</w:t>
      </w:r>
      <w:r w:rsidR="00F91022" w:rsidRPr="00E771FA">
        <w:rPr>
          <w:rFonts w:asciiTheme="minorHAnsi" w:hAnsiTheme="minorHAnsi" w:cstheme="minorHAnsi"/>
          <w:sz w:val="24"/>
        </w:rPr>
        <w:t xml:space="preserve"> a </w:t>
      </w:r>
      <w:r w:rsidR="00F91022" w:rsidRPr="00E771FA">
        <w:rPr>
          <w:rFonts w:asciiTheme="minorHAnsi" w:hAnsiTheme="minorHAnsi" w:cstheme="minorHAnsi"/>
          <w:color w:val="000000"/>
          <w:sz w:val="24"/>
        </w:rPr>
        <w:t>2016</w:t>
      </w:r>
      <w:r w:rsidR="006B75E1" w:rsidRPr="00E771FA">
        <w:rPr>
          <w:rFonts w:asciiTheme="minorHAnsi" w:hAnsiTheme="minorHAnsi" w:cstheme="minorHAnsi"/>
          <w:sz w:val="24"/>
        </w:rPr>
        <w:t xml:space="preserve"> se kontrola </w:t>
      </w:r>
      <w:r w:rsidR="004B4222" w:rsidRPr="00E771FA">
        <w:rPr>
          <w:rFonts w:asciiTheme="minorHAnsi" w:hAnsiTheme="minorHAnsi" w:cstheme="minorHAnsi"/>
          <w:sz w:val="24"/>
        </w:rPr>
        <w:t>zaměřila</w:t>
      </w:r>
      <w:r w:rsidR="002A7106" w:rsidRPr="00E771FA">
        <w:rPr>
          <w:rFonts w:asciiTheme="minorHAnsi" w:hAnsiTheme="minorHAnsi" w:cstheme="minorHAnsi"/>
          <w:sz w:val="24"/>
        </w:rPr>
        <w:t>:</w:t>
      </w:r>
    </w:p>
    <w:p w14:paraId="208F0F22" w14:textId="0045B104" w:rsidR="002A7106" w:rsidRPr="00E771FA" w:rsidRDefault="00036D59" w:rsidP="00C64085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4B4222" w:rsidRPr="00E771FA">
        <w:rPr>
          <w:rFonts w:asciiTheme="minorHAnsi" w:hAnsiTheme="minorHAnsi" w:cstheme="minorHAnsi"/>
          <w:sz w:val="24"/>
          <w:szCs w:val="24"/>
        </w:rPr>
        <w:t xml:space="preserve">a </w:t>
      </w:r>
      <w:r w:rsidR="00226691" w:rsidRPr="00E771FA">
        <w:rPr>
          <w:rFonts w:asciiTheme="minorHAnsi" w:hAnsiTheme="minorHAnsi" w:cstheme="minorHAnsi"/>
          <w:sz w:val="24"/>
          <w:szCs w:val="24"/>
        </w:rPr>
        <w:t>systém hodnocení přínosů podpory</w:t>
      </w:r>
      <w:r w:rsidR="004B4222" w:rsidRPr="00E771FA">
        <w:rPr>
          <w:rFonts w:asciiTheme="minorHAnsi" w:hAnsiTheme="minorHAnsi" w:cstheme="minorHAnsi"/>
          <w:sz w:val="24"/>
          <w:szCs w:val="24"/>
        </w:rPr>
        <w:t xml:space="preserve"> průmyslových zón, kterou </w:t>
      </w:r>
      <w:r w:rsidR="00082B84" w:rsidRPr="00E771FA">
        <w:rPr>
          <w:rFonts w:asciiTheme="minorHAnsi" w:hAnsiTheme="minorHAnsi" w:cstheme="minorHAnsi"/>
          <w:sz w:val="24"/>
          <w:szCs w:val="24"/>
        </w:rPr>
        <w:t xml:space="preserve">od roku 1998 </w:t>
      </w:r>
      <w:r w:rsidR="004B4222" w:rsidRPr="00E771FA">
        <w:rPr>
          <w:rFonts w:asciiTheme="minorHAnsi" w:hAnsiTheme="minorHAnsi" w:cstheme="minorHAnsi"/>
          <w:sz w:val="24"/>
          <w:szCs w:val="24"/>
        </w:rPr>
        <w:t>poskytuje MPO</w:t>
      </w:r>
      <w:r w:rsidR="006B75E1" w:rsidRPr="00E771FA">
        <w:rPr>
          <w:rFonts w:asciiTheme="minorHAnsi" w:hAnsiTheme="minorHAnsi" w:cstheme="minorHAnsi"/>
          <w:sz w:val="24"/>
          <w:szCs w:val="24"/>
        </w:rPr>
        <w:t xml:space="preserve"> a administruje CzechInvest</w:t>
      </w:r>
      <w:r w:rsidR="004B4222" w:rsidRPr="00E771FA">
        <w:rPr>
          <w:rFonts w:asciiTheme="minorHAnsi" w:hAnsiTheme="minorHAnsi" w:cstheme="minorHAnsi"/>
          <w:sz w:val="24"/>
          <w:szCs w:val="24"/>
        </w:rPr>
        <w:t xml:space="preserve">, zejména </w:t>
      </w:r>
      <w:r w:rsidR="007F1D0B" w:rsidRPr="00E771FA">
        <w:rPr>
          <w:rFonts w:asciiTheme="minorHAnsi" w:hAnsiTheme="minorHAnsi" w:cstheme="minorHAnsi"/>
          <w:sz w:val="24"/>
          <w:szCs w:val="24"/>
        </w:rPr>
        <w:t>na</w:t>
      </w:r>
      <w:r w:rsidR="004B4222" w:rsidRPr="00E771FA">
        <w:rPr>
          <w:rFonts w:asciiTheme="minorHAnsi" w:hAnsiTheme="minorHAnsi" w:cstheme="minorHAnsi"/>
          <w:sz w:val="24"/>
          <w:szCs w:val="24"/>
        </w:rPr>
        <w:t xml:space="preserve"> </w:t>
      </w:r>
      <w:r w:rsidR="007F1D0B" w:rsidRPr="00E771FA">
        <w:rPr>
          <w:rFonts w:asciiTheme="minorHAnsi" w:hAnsiTheme="minorHAnsi" w:cstheme="minorHAnsi"/>
          <w:sz w:val="24"/>
          <w:szCs w:val="24"/>
        </w:rPr>
        <w:t>program</w:t>
      </w:r>
      <w:r w:rsidR="004B4222" w:rsidRPr="00E771FA">
        <w:rPr>
          <w:rFonts w:asciiTheme="minorHAnsi" w:hAnsiTheme="minorHAnsi" w:cstheme="minorHAnsi"/>
          <w:sz w:val="24"/>
          <w:szCs w:val="24"/>
        </w:rPr>
        <w:t xml:space="preserve"> </w:t>
      </w:r>
      <w:r w:rsidR="004B4222" w:rsidRPr="005F77C5">
        <w:rPr>
          <w:rFonts w:asciiTheme="minorHAnsi" w:hAnsiTheme="minorHAnsi" w:cstheme="minorHAnsi"/>
          <w:sz w:val="24"/>
          <w:szCs w:val="24"/>
        </w:rPr>
        <w:t xml:space="preserve">322 050 </w:t>
      </w:r>
      <w:r w:rsidR="00E771FA" w:rsidRPr="005F77C5">
        <w:rPr>
          <w:rFonts w:asciiTheme="minorHAnsi" w:hAnsiTheme="minorHAnsi" w:cstheme="minorHAnsi"/>
          <w:sz w:val="24"/>
          <w:szCs w:val="24"/>
        </w:rPr>
        <w:t>–</w:t>
      </w:r>
      <w:r w:rsidR="004B4222" w:rsidRPr="005F77C5">
        <w:rPr>
          <w:rFonts w:asciiTheme="minorHAnsi" w:hAnsiTheme="minorHAnsi" w:cstheme="minorHAnsi"/>
          <w:sz w:val="24"/>
          <w:szCs w:val="24"/>
        </w:rPr>
        <w:t xml:space="preserve"> </w:t>
      </w:r>
      <w:r w:rsidR="004B4222" w:rsidRPr="00E771FA">
        <w:rPr>
          <w:rFonts w:asciiTheme="minorHAnsi" w:hAnsiTheme="minorHAnsi" w:cstheme="minorHAnsi"/>
          <w:i/>
          <w:sz w:val="24"/>
          <w:szCs w:val="24"/>
        </w:rPr>
        <w:t>Program podpory rozvoje průmyslových zón</w:t>
      </w:r>
      <w:r w:rsidR="004B4222" w:rsidRPr="00E771FA">
        <w:rPr>
          <w:rFonts w:asciiTheme="minorHAnsi" w:hAnsiTheme="minorHAnsi" w:cstheme="minorHAnsi"/>
          <w:sz w:val="24"/>
          <w:szCs w:val="24"/>
        </w:rPr>
        <w:t xml:space="preserve"> s realizací od roku 2001 do roku 2009 a program</w:t>
      </w:r>
      <w:r w:rsidR="0062345F">
        <w:rPr>
          <w:rFonts w:asciiTheme="minorHAnsi" w:hAnsiTheme="minorHAnsi" w:cstheme="minorHAnsi"/>
          <w:sz w:val="24"/>
          <w:szCs w:val="24"/>
        </w:rPr>
        <w:br/>
      </w:r>
      <w:r w:rsidR="004B4222" w:rsidRPr="005F77C5">
        <w:rPr>
          <w:rFonts w:asciiTheme="minorHAnsi" w:hAnsiTheme="minorHAnsi" w:cstheme="minorHAnsi"/>
          <w:sz w:val="24"/>
          <w:szCs w:val="24"/>
        </w:rPr>
        <w:lastRenderedPageBreak/>
        <w:t>222</w:t>
      </w:r>
      <w:r w:rsidR="006B4050" w:rsidRPr="005F77C5">
        <w:rPr>
          <w:rFonts w:asciiTheme="minorHAnsi" w:hAnsiTheme="minorHAnsi" w:cstheme="minorHAnsi"/>
          <w:sz w:val="24"/>
          <w:szCs w:val="24"/>
        </w:rPr>
        <w:t> </w:t>
      </w:r>
      <w:r w:rsidR="004B4222" w:rsidRPr="005F77C5">
        <w:rPr>
          <w:rFonts w:asciiTheme="minorHAnsi" w:hAnsiTheme="minorHAnsi" w:cstheme="minorHAnsi"/>
          <w:sz w:val="24"/>
          <w:szCs w:val="24"/>
        </w:rPr>
        <w:t>230</w:t>
      </w:r>
      <w:r w:rsidR="006B4050" w:rsidRPr="005F77C5">
        <w:rPr>
          <w:rFonts w:asciiTheme="minorHAnsi" w:hAnsiTheme="minorHAnsi" w:cstheme="minorHAnsi"/>
          <w:sz w:val="24"/>
          <w:szCs w:val="24"/>
        </w:rPr>
        <w:t xml:space="preserve"> </w:t>
      </w:r>
      <w:r w:rsidR="00E771FA" w:rsidRPr="005F77C5">
        <w:rPr>
          <w:rFonts w:asciiTheme="minorHAnsi" w:hAnsiTheme="minorHAnsi" w:cstheme="minorHAnsi"/>
          <w:sz w:val="24"/>
          <w:szCs w:val="24"/>
        </w:rPr>
        <w:t>–</w:t>
      </w:r>
      <w:r w:rsidR="004B4222" w:rsidRPr="00E771FA">
        <w:rPr>
          <w:rFonts w:asciiTheme="minorHAnsi" w:hAnsiTheme="minorHAnsi" w:cstheme="minorHAnsi"/>
          <w:i/>
          <w:sz w:val="24"/>
          <w:szCs w:val="24"/>
        </w:rPr>
        <w:t xml:space="preserve"> Podpora podnikatelských nemovitostí a infrastruktury</w:t>
      </w:r>
      <w:r w:rsidR="004B4222" w:rsidRPr="00E771FA">
        <w:rPr>
          <w:rFonts w:asciiTheme="minorHAnsi" w:hAnsiTheme="minorHAnsi" w:cstheme="minorHAnsi"/>
          <w:sz w:val="24"/>
          <w:szCs w:val="24"/>
        </w:rPr>
        <w:t xml:space="preserve"> realizovaný od roku 2005 s předpokladem jeho ukončení </w:t>
      </w:r>
      <w:r w:rsidR="005723A1" w:rsidRPr="00E771FA">
        <w:rPr>
          <w:rFonts w:asciiTheme="minorHAnsi" w:hAnsiTheme="minorHAnsi" w:cstheme="minorHAnsi"/>
          <w:sz w:val="24"/>
          <w:szCs w:val="24"/>
        </w:rPr>
        <w:t xml:space="preserve">v roce 2020 </w:t>
      </w:r>
      <w:r w:rsidR="004B4222" w:rsidRPr="00E771FA">
        <w:rPr>
          <w:rFonts w:asciiTheme="minorHAnsi" w:hAnsiTheme="minorHAnsi" w:cstheme="minorHAnsi"/>
          <w:sz w:val="24"/>
          <w:szCs w:val="24"/>
        </w:rPr>
        <w:t>a vyhodnocení v roce 2</w:t>
      </w:r>
      <w:r w:rsidR="002A7106" w:rsidRPr="00E771FA">
        <w:rPr>
          <w:rFonts w:asciiTheme="minorHAnsi" w:hAnsiTheme="minorHAnsi" w:cstheme="minorHAnsi"/>
          <w:sz w:val="24"/>
          <w:szCs w:val="24"/>
        </w:rPr>
        <w:t>023</w:t>
      </w:r>
      <w:r>
        <w:rPr>
          <w:rFonts w:asciiTheme="minorHAnsi" w:hAnsiTheme="minorHAnsi" w:cstheme="minorHAnsi"/>
          <w:sz w:val="24"/>
          <w:szCs w:val="24"/>
        </w:rPr>
        <w:t>;</w:t>
      </w:r>
      <w:r w:rsidR="002A7106" w:rsidRPr="00E771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44F9D" w14:textId="6336A67C" w:rsidR="002A7106" w:rsidRPr="00E771FA" w:rsidRDefault="00036D59" w:rsidP="00C64085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2A7106" w:rsidRPr="00E771FA">
        <w:rPr>
          <w:rFonts w:asciiTheme="minorHAnsi" w:hAnsiTheme="minorHAnsi" w:cstheme="minorHAnsi"/>
          <w:sz w:val="24"/>
          <w:szCs w:val="24"/>
        </w:rPr>
        <w:t xml:space="preserve">a </w:t>
      </w:r>
      <w:r w:rsidR="00226691" w:rsidRPr="00E771FA">
        <w:rPr>
          <w:rFonts w:asciiTheme="minorHAnsi" w:hAnsiTheme="minorHAnsi" w:cstheme="minorHAnsi"/>
          <w:sz w:val="24"/>
          <w:szCs w:val="24"/>
        </w:rPr>
        <w:t xml:space="preserve">systém hodnocení </w:t>
      </w:r>
      <w:r w:rsidR="004B4222" w:rsidRPr="00E771FA">
        <w:rPr>
          <w:rFonts w:asciiTheme="minorHAnsi" w:hAnsiTheme="minorHAnsi" w:cstheme="minorHAnsi"/>
          <w:sz w:val="24"/>
          <w:szCs w:val="24"/>
        </w:rPr>
        <w:t>program</w:t>
      </w:r>
      <w:r w:rsidR="00226691" w:rsidRPr="00E771FA">
        <w:rPr>
          <w:rFonts w:asciiTheme="minorHAnsi" w:hAnsiTheme="minorHAnsi" w:cstheme="minorHAnsi"/>
          <w:sz w:val="24"/>
          <w:szCs w:val="24"/>
        </w:rPr>
        <w:t>u</w:t>
      </w:r>
      <w:r w:rsidR="004B4222" w:rsidRPr="00E771FA">
        <w:rPr>
          <w:rFonts w:asciiTheme="minorHAnsi" w:hAnsiTheme="minorHAnsi" w:cstheme="minorHAnsi"/>
          <w:sz w:val="24"/>
          <w:szCs w:val="24"/>
        </w:rPr>
        <w:t xml:space="preserve"> Nemovitosti z </w:t>
      </w: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4B4222" w:rsidRPr="00E771FA">
        <w:rPr>
          <w:rFonts w:asciiTheme="minorHAnsi" w:hAnsiTheme="minorHAnsi" w:cstheme="minorHAnsi"/>
          <w:color w:val="000000"/>
          <w:sz w:val="24"/>
          <w:szCs w:val="24"/>
        </w:rPr>
        <w:t xml:space="preserve">peračního programu </w:t>
      </w:r>
      <w:r w:rsidR="004B4222" w:rsidRPr="005F77C5">
        <w:rPr>
          <w:rFonts w:asciiTheme="minorHAnsi" w:hAnsiTheme="minorHAnsi" w:cstheme="minorHAnsi"/>
          <w:i/>
          <w:color w:val="000000"/>
          <w:sz w:val="24"/>
          <w:szCs w:val="24"/>
        </w:rPr>
        <w:t>Pod</w:t>
      </w:r>
      <w:r w:rsidR="002378AE" w:rsidRPr="005F77C5">
        <w:rPr>
          <w:rFonts w:asciiTheme="minorHAnsi" w:hAnsiTheme="minorHAnsi" w:cstheme="minorHAnsi"/>
          <w:i/>
          <w:color w:val="000000"/>
          <w:sz w:val="24"/>
          <w:szCs w:val="24"/>
        </w:rPr>
        <w:t>nikání a</w:t>
      </w:r>
      <w:r w:rsidRPr="005F77C5">
        <w:rPr>
          <w:rFonts w:asciiTheme="minorHAnsi" w:hAnsiTheme="minorHAnsi" w:cstheme="minorHAnsi"/>
          <w:i/>
          <w:color w:val="000000"/>
          <w:sz w:val="24"/>
          <w:szCs w:val="24"/>
        </w:rPr>
        <w:t> </w:t>
      </w:r>
      <w:r w:rsidR="002378AE" w:rsidRPr="005F77C5">
        <w:rPr>
          <w:rFonts w:asciiTheme="minorHAnsi" w:hAnsiTheme="minorHAnsi" w:cstheme="minorHAnsi"/>
          <w:i/>
          <w:color w:val="000000"/>
          <w:sz w:val="24"/>
          <w:szCs w:val="24"/>
        </w:rPr>
        <w:t>inovace pro konkurence</w:t>
      </w:r>
      <w:r w:rsidR="002A7769" w:rsidRPr="005F77C5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schopnost </w:t>
      </w:r>
      <w:r w:rsidR="002A7769">
        <w:rPr>
          <w:rFonts w:asciiTheme="minorHAnsi" w:hAnsiTheme="minorHAnsi" w:cstheme="minorHAnsi"/>
          <w:color w:val="000000"/>
          <w:sz w:val="24"/>
          <w:szCs w:val="24"/>
        </w:rPr>
        <w:t>pro období 2014–</w:t>
      </w:r>
      <w:r w:rsidR="004B4222" w:rsidRPr="00E771FA">
        <w:rPr>
          <w:rFonts w:asciiTheme="minorHAnsi" w:hAnsiTheme="minorHAnsi" w:cstheme="minorHAnsi"/>
          <w:color w:val="000000"/>
          <w:sz w:val="24"/>
          <w:szCs w:val="24"/>
        </w:rPr>
        <w:t>2020</w:t>
      </w:r>
      <w:r w:rsidR="006B75E1" w:rsidRPr="00E771F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B4222" w:rsidRPr="00E771F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6AEFFB7" w14:textId="3661D4FD" w:rsidR="004B4222" w:rsidRPr="00E771FA" w:rsidRDefault="00723BA5" w:rsidP="004F58CB">
      <w:pPr>
        <w:rPr>
          <w:rFonts w:asciiTheme="minorHAnsi" w:hAnsiTheme="minorHAnsi" w:cstheme="minorHAnsi"/>
          <w:bCs/>
          <w:sz w:val="24"/>
          <w:lang w:eastAsia="cs-CZ"/>
        </w:rPr>
      </w:pPr>
      <w:r w:rsidRPr="00E771FA">
        <w:rPr>
          <w:rFonts w:asciiTheme="minorHAnsi" w:hAnsiTheme="minorHAnsi" w:cstheme="minorHAnsi"/>
          <w:color w:val="000000"/>
          <w:sz w:val="24"/>
        </w:rPr>
        <w:t>Do kontroly bylo</w:t>
      </w:r>
      <w:r w:rsidR="006B75E1" w:rsidRPr="00E771FA">
        <w:rPr>
          <w:rFonts w:asciiTheme="minorHAnsi" w:hAnsiTheme="minorHAnsi" w:cstheme="minorHAnsi"/>
          <w:color w:val="000000"/>
          <w:sz w:val="24"/>
        </w:rPr>
        <w:t xml:space="preserve"> zahrnuto také</w:t>
      </w:r>
      <w:r w:rsidR="00574DFD" w:rsidRPr="00E771FA">
        <w:rPr>
          <w:rFonts w:asciiTheme="minorHAnsi" w:hAnsiTheme="minorHAnsi" w:cstheme="minorHAnsi"/>
          <w:color w:val="000000"/>
          <w:sz w:val="24"/>
        </w:rPr>
        <w:t xml:space="preserve"> </w:t>
      </w:r>
      <w:r w:rsidRPr="00E771FA">
        <w:rPr>
          <w:rFonts w:asciiTheme="minorHAnsi" w:hAnsiTheme="minorHAnsi" w:cstheme="minorHAnsi"/>
          <w:color w:val="000000"/>
          <w:sz w:val="24"/>
        </w:rPr>
        <w:t xml:space="preserve">19 příjemců podpory </w:t>
      </w:r>
      <w:r w:rsidR="00FD4F32" w:rsidRPr="00E771FA">
        <w:rPr>
          <w:rFonts w:asciiTheme="minorHAnsi" w:hAnsiTheme="minorHAnsi" w:cstheme="minorHAnsi"/>
          <w:color w:val="000000"/>
          <w:sz w:val="24"/>
        </w:rPr>
        <w:t xml:space="preserve">poskytnuté v celkové výši </w:t>
      </w:r>
      <w:r w:rsidR="00C50690" w:rsidRPr="00E771FA">
        <w:rPr>
          <w:rFonts w:asciiTheme="minorHAnsi" w:hAnsiTheme="minorHAnsi" w:cstheme="minorHAnsi"/>
          <w:color w:val="000000"/>
          <w:sz w:val="24"/>
        </w:rPr>
        <w:t>4 100,6</w:t>
      </w:r>
      <w:r w:rsidR="00036D59">
        <w:rPr>
          <w:rFonts w:asciiTheme="minorHAnsi" w:hAnsiTheme="minorHAnsi" w:cstheme="minorHAnsi"/>
          <w:color w:val="000000"/>
          <w:sz w:val="24"/>
        </w:rPr>
        <w:t> </w:t>
      </w:r>
      <w:r w:rsidR="00C50690" w:rsidRPr="00E771FA">
        <w:rPr>
          <w:rFonts w:asciiTheme="minorHAnsi" w:hAnsiTheme="minorHAnsi" w:cstheme="minorHAnsi"/>
          <w:color w:val="000000"/>
          <w:sz w:val="24"/>
        </w:rPr>
        <w:t>mil.</w:t>
      </w:r>
      <w:r w:rsidR="00036D59">
        <w:rPr>
          <w:rFonts w:asciiTheme="minorHAnsi" w:hAnsiTheme="minorHAnsi" w:cstheme="minorHAnsi"/>
          <w:color w:val="000000"/>
          <w:sz w:val="24"/>
        </w:rPr>
        <w:t> </w:t>
      </w:r>
      <w:r w:rsidR="00C50690" w:rsidRPr="00E771FA">
        <w:rPr>
          <w:rFonts w:asciiTheme="minorHAnsi" w:hAnsiTheme="minorHAnsi" w:cstheme="minorHAnsi"/>
          <w:color w:val="000000"/>
          <w:sz w:val="24"/>
        </w:rPr>
        <w:t>Kč</w:t>
      </w:r>
      <w:r w:rsidR="00FD4F32" w:rsidRPr="00E771FA">
        <w:rPr>
          <w:rFonts w:asciiTheme="minorHAnsi" w:hAnsiTheme="minorHAnsi" w:cstheme="minorHAnsi"/>
          <w:color w:val="000000"/>
          <w:sz w:val="24"/>
        </w:rPr>
        <w:t xml:space="preserve"> </w:t>
      </w:r>
      <w:r w:rsidRPr="00E771FA">
        <w:rPr>
          <w:rFonts w:asciiTheme="minorHAnsi" w:hAnsiTheme="minorHAnsi" w:cstheme="minorHAnsi"/>
          <w:color w:val="000000"/>
          <w:sz w:val="24"/>
        </w:rPr>
        <w:t>na 20 projektů, z toho 8 projektů</w:t>
      </w:r>
      <w:r w:rsidR="008A0000" w:rsidRPr="00E771FA">
        <w:rPr>
          <w:rFonts w:asciiTheme="minorHAnsi" w:hAnsiTheme="minorHAnsi" w:cstheme="minorHAnsi"/>
          <w:color w:val="000000"/>
          <w:sz w:val="24"/>
        </w:rPr>
        <w:t xml:space="preserve"> (6 zón)</w:t>
      </w:r>
      <w:r w:rsidRPr="00E771FA">
        <w:rPr>
          <w:rFonts w:asciiTheme="minorHAnsi" w:hAnsiTheme="minorHAnsi" w:cstheme="minorHAnsi"/>
          <w:color w:val="000000"/>
          <w:sz w:val="24"/>
        </w:rPr>
        <w:t xml:space="preserve"> </w:t>
      </w:r>
      <w:r w:rsidR="00FD4F32" w:rsidRPr="00E771FA">
        <w:rPr>
          <w:rFonts w:asciiTheme="minorHAnsi" w:hAnsiTheme="minorHAnsi" w:cstheme="minorHAnsi"/>
          <w:color w:val="000000"/>
          <w:sz w:val="24"/>
        </w:rPr>
        <w:t xml:space="preserve">bylo </w:t>
      </w:r>
      <w:r w:rsidRPr="00E771FA">
        <w:rPr>
          <w:rFonts w:asciiTheme="minorHAnsi" w:hAnsiTheme="minorHAnsi" w:cstheme="minorHAnsi"/>
          <w:color w:val="000000"/>
          <w:sz w:val="24"/>
        </w:rPr>
        <w:t>z programu 222 230 a</w:t>
      </w:r>
      <w:r w:rsidR="00117C67">
        <w:rPr>
          <w:rFonts w:asciiTheme="minorHAnsi" w:hAnsiTheme="minorHAnsi" w:cstheme="minorHAnsi"/>
          <w:color w:val="000000"/>
          <w:sz w:val="24"/>
        </w:rPr>
        <w:t> </w:t>
      </w:r>
      <w:r w:rsidRPr="00E771FA">
        <w:rPr>
          <w:rFonts w:asciiTheme="minorHAnsi" w:hAnsiTheme="minorHAnsi" w:cstheme="minorHAnsi"/>
          <w:color w:val="000000"/>
          <w:sz w:val="24"/>
        </w:rPr>
        <w:t>12</w:t>
      </w:r>
      <w:r w:rsidR="00FC1D76">
        <w:rPr>
          <w:rFonts w:asciiTheme="minorHAnsi" w:hAnsiTheme="minorHAnsi" w:cstheme="minorHAnsi"/>
          <w:color w:val="000000"/>
          <w:sz w:val="24"/>
        </w:rPr>
        <w:t> </w:t>
      </w:r>
      <w:r w:rsidRPr="00E771FA">
        <w:rPr>
          <w:rFonts w:asciiTheme="minorHAnsi" w:hAnsiTheme="minorHAnsi" w:cstheme="minorHAnsi"/>
          <w:color w:val="000000"/>
          <w:sz w:val="24"/>
        </w:rPr>
        <w:t>projektů z programu Nemovitosti</w:t>
      </w:r>
      <w:r w:rsidR="00FD4F32" w:rsidRPr="00E771FA">
        <w:rPr>
          <w:rFonts w:asciiTheme="minorHAnsi" w:hAnsiTheme="minorHAnsi" w:cstheme="minorHAnsi"/>
          <w:color w:val="000000"/>
          <w:sz w:val="24"/>
        </w:rPr>
        <w:t xml:space="preserve"> </w:t>
      </w:r>
      <w:r w:rsidR="007A7912" w:rsidRPr="00E771FA">
        <w:rPr>
          <w:rFonts w:asciiTheme="minorHAnsi" w:hAnsiTheme="minorHAnsi" w:cstheme="minorHAnsi"/>
          <w:color w:val="000000"/>
          <w:sz w:val="24"/>
        </w:rPr>
        <w:t>2014</w:t>
      </w:r>
      <w:r w:rsidR="00E771FA">
        <w:rPr>
          <w:rFonts w:asciiTheme="minorHAnsi" w:hAnsiTheme="minorHAnsi" w:cstheme="minorHAnsi"/>
          <w:color w:val="000000"/>
          <w:sz w:val="24"/>
        </w:rPr>
        <w:t>–</w:t>
      </w:r>
      <w:r w:rsidR="007A7912" w:rsidRPr="00E771FA">
        <w:rPr>
          <w:rFonts w:asciiTheme="minorHAnsi" w:hAnsiTheme="minorHAnsi" w:cstheme="minorHAnsi"/>
          <w:color w:val="000000"/>
          <w:sz w:val="24"/>
        </w:rPr>
        <w:t>2020</w:t>
      </w:r>
      <w:r w:rsidR="00FD4F32" w:rsidRPr="00E771FA">
        <w:rPr>
          <w:rFonts w:asciiTheme="minorHAnsi" w:hAnsiTheme="minorHAnsi" w:cstheme="minorHAnsi"/>
          <w:color w:val="000000"/>
          <w:sz w:val="24"/>
        </w:rPr>
        <w:t>.</w:t>
      </w:r>
      <w:r w:rsidR="004F58CB" w:rsidRPr="00E771FA">
        <w:rPr>
          <w:rFonts w:asciiTheme="minorHAnsi" w:hAnsiTheme="minorHAnsi" w:cstheme="minorHAnsi"/>
          <w:color w:val="000000"/>
          <w:sz w:val="24"/>
        </w:rPr>
        <w:t xml:space="preserve"> Seznam kontrolovaných </w:t>
      </w:r>
      <w:r w:rsidR="00E771FA">
        <w:rPr>
          <w:rFonts w:asciiTheme="minorHAnsi" w:hAnsiTheme="minorHAnsi" w:cstheme="minorHAnsi"/>
          <w:color w:val="000000"/>
          <w:sz w:val="24"/>
        </w:rPr>
        <w:t>projektů je uveden v příloze č. </w:t>
      </w:r>
      <w:r w:rsidR="004F58CB" w:rsidRPr="00E771FA">
        <w:rPr>
          <w:rFonts w:asciiTheme="minorHAnsi" w:hAnsiTheme="minorHAnsi" w:cstheme="minorHAnsi"/>
          <w:color w:val="000000"/>
          <w:sz w:val="24"/>
        </w:rPr>
        <w:t>1.</w:t>
      </w:r>
    </w:p>
    <w:p w14:paraId="32950CD6" w14:textId="77777777" w:rsidR="006C2E60" w:rsidRPr="00E771FA" w:rsidRDefault="006C2E60" w:rsidP="00DA07C2">
      <w:pPr>
        <w:rPr>
          <w:rFonts w:asciiTheme="minorHAnsi" w:hAnsiTheme="minorHAnsi" w:cstheme="minorHAnsi"/>
          <w:sz w:val="24"/>
        </w:rPr>
      </w:pPr>
    </w:p>
    <w:p w14:paraId="1B1A433D" w14:textId="3A7B40E7" w:rsidR="00DA07C2" w:rsidRPr="00E771FA" w:rsidRDefault="00723BA5" w:rsidP="00DA07C2">
      <w:pPr>
        <w:rPr>
          <w:rFonts w:asciiTheme="minorHAnsi" w:hAnsiTheme="minorHAnsi" w:cstheme="minorHAnsi"/>
          <w:sz w:val="24"/>
        </w:rPr>
      </w:pPr>
      <w:r w:rsidRPr="00E771FA">
        <w:rPr>
          <w:rFonts w:asciiTheme="minorHAnsi" w:hAnsiTheme="minorHAnsi" w:cstheme="minorHAnsi"/>
          <w:sz w:val="24"/>
        </w:rPr>
        <w:t xml:space="preserve">Kontrolovaný objem na úrovni systému činil </w:t>
      </w:r>
      <w:r w:rsidR="00FD4F32" w:rsidRPr="00E771FA">
        <w:rPr>
          <w:rFonts w:asciiTheme="minorHAnsi" w:hAnsiTheme="minorHAnsi" w:cstheme="minorHAnsi"/>
          <w:sz w:val="24"/>
        </w:rPr>
        <w:t>26 864 mil. Kč, což byly prostředky</w:t>
      </w:r>
      <w:r w:rsidR="00DF55D8" w:rsidRPr="00E771FA">
        <w:rPr>
          <w:rFonts w:asciiTheme="minorHAnsi" w:hAnsiTheme="minorHAnsi" w:cstheme="minorHAnsi"/>
          <w:sz w:val="24"/>
        </w:rPr>
        <w:t>, které poskytlo MPO na průmyslové zóny od roku 1998</w:t>
      </w:r>
      <w:r w:rsidR="008C40AD" w:rsidRPr="00E771FA">
        <w:rPr>
          <w:rFonts w:asciiTheme="minorHAnsi" w:hAnsiTheme="minorHAnsi" w:cstheme="minorHAnsi"/>
          <w:sz w:val="24"/>
        </w:rPr>
        <w:t xml:space="preserve"> ve výši 12 076 mil. Kč</w:t>
      </w:r>
      <w:r w:rsidR="00DF55D8" w:rsidRPr="00E771FA">
        <w:rPr>
          <w:rFonts w:asciiTheme="minorHAnsi" w:hAnsiTheme="minorHAnsi" w:cstheme="minorHAnsi"/>
          <w:sz w:val="24"/>
        </w:rPr>
        <w:t xml:space="preserve"> a na podnikatelské nemovitosti a infrastrukturu ze</w:t>
      </w:r>
      <w:r w:rsidR="00263D61">
        <w:rPr>
          <w:rFonts w:asciiTheme="minorHAnsi" w:hAnsiTheme="minorHAnsi" w:cstheme="minorHAnsi"/>
          <w:sz w:val="24"/>
        </w:rPr>
        <w:t xml:space="preserve"> tří</w:t>
      </w:r>
      <w:r w:rsidR="00DF55D8" w:rsidRPr="00E771FA">
        <w:rPr>
          <w:rFonts w:asciiTheme="minorHAnsi" w:hAnsiTheme="minorHAnsi" w:cstheme="minorHAnsi"/>
          <w:sz w:val="24"/>
        </w:rPr>
        <w:t xml:space="preserve"> operačních programů od roku 2004</w:t>
      </w:r>
      <w:r w:rsidR="008C40AD" w:rsidRPr="00E771FA">
        <w:rPr>
          <w:rFonts w:asciiTheme="minorHAnsi" w:hAnsiTheme="minorHAnsi" w:cstheme="minorHAnsi"/>
          <w:sz w:val="24"/>
        </w:rPr>
        <w:t xml:space="preserve"> ve výši 14 788</w:t>
      </w:r>
      <w:r w:rsidR="00FC1D76">
        <w:rPr>
          <w:rFonts w:asciiTheme="minorHAnsi" w:hAnsiTheme="minorHAnsi" w:cstheme="minorHAnsi"/>
          <w:sz w:val="24"/>
        </w:rPr>
        <w:t> </w:t>
      </w:r>
      <w:r w:rsidR="008C40AD" w:rsidRPr="00E771FA">
        <w:rPr>
          <w:rFonts w:asciiTheme="minorHAnsi" w:hAnsiTheme="minorHAnsi" w:cstheme="minorHAnsi"/>
          <w:sz w:val="24"/>
        </w:rPr>
        <w:t>mil.</w:t>
      </w:r>
      <w:r w:rsidR="00FC1D76">
        <w:rPr>
          <w:rFonts w:asciiTheme="minorHAnsi" w:hAnsiTheme="minorHAnsi" w:cstheme="minorHAnsi"/>
          <w:sz w:val="24"/>
        </w:rPr>
        <w:t> </w:t>
      </w:r>
      <w:r w:rsidR="008C40AD" w:rsidRPr="00E771FA">
        <w:rPr>
          <w:rFonts w:asciiTheme="minorHAnsi" w:hAnsiTheme="minorHAnsi" w:cstheme="minorHAnsi"/>
          <w:sz w:val="24"/>
        </w:rPr>
        <w:t>Kč</w:t>
      </w:r>
      <w:r w:rsidR="00DF55D8" w:rsidRPr="00E771FA">
        <w:rPr>
          <w:rFonts w:asciiTheme="minorHAnsi" w:hAnsiTheme="minorHAnsi" w:cstheme="minorHAnsi"/>
          <w:sz w:val="24"/>
        </w:rPr>
        <w:t>.</w:t>
      </w:r>
      <w:r w:rsidR="008C40AD" w:rsidRPr="00E771FA">
        <w:rPr>
          <w:rStyle w:val="Znakapoznpodarou"/>
          <w:rFonts w:asciiTheme="minorHAnsi" w:hAnsiTheme="minorHAnsi" w:cstheme="minorHAnsi"/>
          <w:sz w:val="24"/>
        </w:rPr>
        <w:footnoteReference w:id="8"/>
      </w:r>
    </w:p>
    <w:p w14:paraId="5992384D" w14:textId="77777777" w:rsidR="007B578B" w:rsidRPr="007B578B" w:rsidRDefault="007B578B" w:rsidP="00DA07C2">
      <w:pPr>
        <w:rPr>
          <w:rFonts w:asciiTheme="minorHAnsi" w:hAnsiTheme="minorHAnsi" w:cstheme="minorHAnsi"/>
          <w:szCs w:val="22"/>
        </w:rPr>
      </w:pPr>
    </w:p>
    <w:p w14:paraId="5986C434" w14:textId="77777777" w:rsidR="00F229CF" w:rsidRDefault="00F229CF" w:rsidP="00DA07C2">
      <w:pPr>
        <w:rPr>
          <w:rFonts w:asciiTheme="minorHAnsi" w:hAnsiTheme="minorHAnsi" w:cstheme="minorHAnsi"/>
          <w:sz w:val="24"/>
        </w:rPr>
      </w:pPr>
    </w:p>
    <w:p w14:paraId="2221DDC1" w14:textId="77777777" w:rsidR="00DA07C2" w:rsidRPr="00CA6892" w:rsidRDefault="00CA6892" w:rsidP="00CA6892">
      <w:pPr>
        <w:jc w:val="center"/>
        <w:rPr>
          <w:rFonts w:asciiTheme="minorHAnsi" w:hAnsiTheme="minorHAnsi" w:cstheme="minorHAnsi"/>
          <w:b/>
          <w:sz w:val="28"/>
        </w:rPr>
      </w:pPr>
      <w:r w:rsidRPr="00CA6892">
        <w:rPr>
          <w:rFonts w:asciiTheme="minorHAnsi" w:hAnsiTheme="minorHAnsi" w:cstheme="minorHAnsi"/>
          <w:b/>
          <w:sz w:val="28"/>
        </w:rPr>
        <w:t>IV</w:t>
      </w:r>
      <w:r w:rsidR="00FC1D76">
        <w:rPr>
          <w:rFonts w:asciiTheme="minorHAnsi" w:hAnsiTheme="minorHAnsi" w:cstheme="minorHAnsi"/>
          <w:b/>
          <w:sz w:val="28"/>
        </w:rPr>
        <w:t>.</w:t>
      </w:r>
      <w:r w:rsidR="00596073" w:rsidRPr="00CA6892">
        <w:rPr>
          <w:rFonts w:asciiTheme="minorHAnsi" w:hAnsiTheme="minorHAnsi" w:cstheme="minorHAnsi"/>
          <w:b/>
          <w:sz w:val="28"/>
        </w:rPr>
        <w:t xml:space="preserve"> </w:t>
      </w:r>
      <w:r w:rsidR="00DA07C2" w:rsidRPr="00CA6892">
        <w:rPr>
          <w:rFonts w:asciiTheme="minorHAnsi" w:hAnsiTheme="minorHAnsi" w:cstheme="minorHAnsi"/>
          <w:b/>
          <w:sz w:val="28"/>
        </w:rPr>
        <w:t>Podrobné skutečnosti zjištěné kontrolou</w:t>
      </w:r>
    </w:p>
    <w:p w14:paraId="0844E6F2" w14:textId="77777777" w:rsidR="00CA6892" w:rsidRPr="007B578B" w:rsidRDefault="00CA6892" w:rsidP="00CA6892">
      <w:pPr>
        <w:rPr>
          <w:rFonts w:asciiTheme="minorHAnsi" w:hAnsiTheme="minorHAnsi" w:cstheme="minorHAnsi"/>
          <w:szCs w:val="22"/>
        </w:rPr>
      </w:pPr>
    </w:p>
    <w:p w14:paraId="565C7D5F" w14:textId="77777777" w:rsidR="003C3CE6" w:rsidRPr="00AB476F" w:rsidRDefault="00756355" w:rsidP="00756355">
      <w:pPr>
        <w:rPr>
          <w:rFonts w:asciiTheme="minorHAnsi" w:hAnsiTheme="minorHAnsi" w:cstheme="minorHAnsi"/>
          <w:b/>
          <w:bCs/>
          <w:sz w:val="24"/>
        </w:rPr>
      </w:pPr>
      <w:r w:rsidRPr="00AB476F">
        <w:rPr>
          <w:rFonts w:asciiTheme="minorHAnsi" w:hAnsiTheme="minorHAnsi" w:cstheme="minorHAnsi"/>
          <w:b/>
          <w:bCs/>
          <w:sz w:val="24"/>
        </w:rPr>
        <w:t xml:space="preserve">1. </w:t>
      </w:r>
      <w:r w:rsidR="005A2B5B">
        <w:rPr>
          <w:rFonts w:asciiTheme="minorHAnsi" w:hAnsiTheme="minorHAnsi" w:cstheme="minorHAnsi"/>
          <w:b/>
          <w:bCs/>
          <w:sz w:val="24"/>
        </w:rPr>
        <w:t>Obecné c</w:t>
      </w:r>
      <w:r w:rsidR="008078D8" w:rsidRPr="00AB476F">
        <w:rPr>
          <w:rFonts w:asciiTheme="minorHAnsi" w:hAnsiTheme="minorHAnsi" w:cstheme="minorHAnsi"/>
          <w:b/>
          <w:bCs/>
          <w:sz w:val="24"/>
        </w:rPr>
        <w:t xml:space="preserve">íle podpory průmyslových zón a </w:t>
      </w:r>
      <w:r w:rsidR="005A2B5B">
        <w:rPr>
          <w:rFonts w:asciiTheme="minorHAnsi" w:hAnsiTheme="minorHAnsi" w:cstheme="minorHAnsi"/>
          <w:b/>
          <w:bCs/>
          <w:sz w:val="24"/>
        </w:rPr>
        <w:t xml:space="preserve">nedostatečná data pro </w:t>
      </w:r>
      <w:r w:rsidR="008078D8" w:rsidRPr="00AB476F">
        <w:rPr>
          <w:rFonts w:asciiTheme="minorHAnsi" w:hAnsiTheme="minorHAnsi" w:cstheme="minorHAnsi"/>
          <w:b/>
          <w:bCs/>
          <w:sz w:val="24"/>
        </w:rPr>
        <w:t>jejich hodnocení</w:t>
      </w:r>
    </w:p>
    <w:p w14:paraId="35428CD7" w14:textId="77777777" w:rsidR="00756355" w:rsidRPr="00AB476F" w:rsidRDefault="00756355" w:rsidP="00132100">
      <w:pPr>
        <w:rPr>
          <w:rFonts w:asciiTheme="minorHAnsi" w:hAnsiTheme="minorHAnsi" w:cstheme="minorHAnsi"/>
          <w:b/>
          <w:bCs/>
          <w:sz w:val="24"/>
        </w:rPr>
      </w:pPr>
    </w:p>
    <w:p w14:paraId="5521DA16" w14:textId="77777777" w:rsidR="003C3CE6" w:rsidRPr="00AB476F" w:rsidRDefault="008078D8" w:rsidP="00132100">
      <w:pPr>
        <w:rPr>
          <w:rFonts w:asciiTheme="minorHAnsi" w:hAnsiTheme="minorHAnsi" w:cstheme="minorHAnsi"/>
          <w:b/>
          <w:bCs/>
          <w:sz w:val="24"/>
        </w:rPr>
      </w:pPr>
      <w:r w:rsidRPr="00AB476F">
        <w:rPr>
          <w:rFonts w:asciiTheme="minorHAnsi" w:hAnsiTheme="minorHAnsi" w:cstheme="minorHAnsi"/>
          <w:b/>
          <w:bCs/>
          <w:sz w:val="24"/>
        </w:rPr>
        <w:t xml:space="preserve">Cíl podpory </w:t>
      </w:r>
      <w:r w:rsidR="003C3CE6" w:rsidRPr="00AB476F">
        <w:rPr>
          <w:rFonts w:asciiTheme="minorHAnsi" w:hAnsiTheme="minorHAnsi" w:cstheme="minorHAnsi"/>
          <w:b/>
          <w:bCs/>
          <w:sz w:val="24"/>
        </w:rPr>
        <w:t>ukončeného programu</w:t>
      </w:r>
    </w:p>
    <w:p w14:paraId="0EB870DC" w14:textId="77777777" w:rsidR="00CA6892" w:rsidRDefault="00CA6892" w:rsidP="003C3CE6">
      <w:pPr>
        <w:rPr>
          <w:rFonts w:asciiTheme="minorHAnsi" w:eastAsia="Calibri" w:hAnsiTheme="minorHAnsi" w:cstheme="minorHAnsi"/>
          <w:bCs/>
          <w:sz w:val="24"/>
        </w:rPr>
      </w:pPr>
    </w:p>
    <w:p w14:paraId="54CE6CDB" w14:textId="023A3996" w:rsidR="003C3CE6" w:rsidRPr="00AB476F" w:rsidRDefault="00F84B64" w:rsidP="003C3CE6">
      <w:pPr>
        <w:rPr>
          <w:rFonts w:asciiTheme="minorHAnsi" w:hAnsiTheme="minorHAnsi" w:cstheme="minorHAnsi"/>
          <w:bCs/>
          <w:sz w:val="24"/>
        </w:rPr>
      </w:pPr>
      <w:r w:rsidRPr="00AB476F">
        <w:rPr>
          <w:rFonts w:asciiTheme="minorHAnsi" w:eastAsia="Calibri" w:hAnsiTheme="minorHAnsi" w:cstheme="minorHAnsi"/>
          <w:bCs/>
          <w:sz w:val="24"/>
        </w:rPr>
        <w:t>Cílem programu 322</w:t>
      </w:r>
      <w:r w:rsidR="004C0F0A" w:rsidRPr="00AB476F">
        <w:rPr>
          <w:rFonts w:asciiTheme="minorHAnsi" w:eastAsia="Calibri" w:hAnsiTheme="minorHAnsi" w:cstheme="minorHAnsi"/>
          <w:bCs/>
          <w:sz w:val="24"/>
        </w:rPr>
        <w:t> </w:t>
      </w:r>
      <w:r w:rsidRPr="00AB476F">
        <w:rPr>
          <w:rFonts w:asciiTheme="minorHAnsi" w:eastAsia="Calibri" w:hAnsiTheme="minorHAnsi" w:cstheme="minorHAnsi"/>
          <w:bCs/>
          <w:sz w:val="24"/>
        </w:rPr>
        <w:t xml:space="preserve">050 </w:t>
      </w:r>
      <w:r w:rsidR="004C0F0A" w:rsidRPr="00AB476F">
        <w:rPr>
          <w:rFonts w:asciiTheme="minorHAnsi" w:eastAsia="Calibri" w:hAnsiTheme="minorHAnsi" w:cstheme="minorHAnsi"/>
          <w:bCs/>
          <w:sz w:val="24"/>
        </w:rPr>
        <w:t xml:space="preserve">ukončeného v roce 2009 </w:t>
      </w:r>
      <w:r w:rsidRPr="00AB476F">
        <w:rPr>
          <w:rFonts w:asciiTheme="minorHAnsi" w:eastAsia="Calibri" w:hAnsiTheme="minorHAnsi" w:cstheme="minorHAnsi"/>
          <w:bCs/>
          <w:sz w:val="24"/>
        </w:rPr>
        <w:t>bylo připravit podmínky pro rozvoj investiční</w:t>
      </w:r>
      <w:r w:rsidRPr="00AB476F">
        <w:rPr>
          <w:rFonts w:asciiTheme="minorHAnsi" w:hAnsiTheme="minorHAnsi" w:cstheme="minorHAnsi"/>
          <w:bCs/>
          <w:sz w:val="24"/>
        </w:rPr>
        <w:t xml:space="preserve"> výstavby v sektorech zpracovatelského p</w:t>
      </w:r>
      <w:r w:rsidR="00AB476F">
        <w:rPr>
          <w:rFonts w:asciiTheme="minorHAnsi" w:hAnsiTheme="minorHAnsi" w:cstheme="minorHAnsi"/>
          <w:bCs/>
          <w:sz w:val="24"/>
        </w:rPr>
        <w:t>růmyslu, strategických služeb a </w:t>
      </w:r>
      <w:r w:rsidRPr="00AB476F">
        <w:rPr>
          <w:rFonts w:asciiTheme="minorHAnsi" w:hAnsiTheme="minorHAnsi" w:cstheme="minorHAnsi"/>
          <w:bCs/>
          <w:sz w:val="24"/>
        </w:rPr>
        <w:t>technologických center, umožnit růst malým a středním podnikům, zvýšit schopnost České republiky obstát v konkurenci mezinárodního trhu přímých zahraničních investic, přispět k procesu restrukturalizace průmyslu v České republice otevíráním moderních výrobních provozů s nízkou surovinovou a energetickou závislos</w:t>
      </w:r>
      <w:r w:rsidR="00AB476F">
        <w:rPr>
          <w:rFonts w:asciiTheme="minorHAnsi" w:hAnsiTheme="minorHAnsi" w:cstheme="minorHAnsi"/>
          <w:bCs/>
          <w:sz w:val="24"/>
        </w:rPr>
        <w:t>tí, vysokou přidanou hodnotou a </w:t>
      </w:r>
      <w:r w:rsidRPr="00AB476F">
        <w:rPr>
          <w:rFonts w:asciiTheme="minorHAnsi" w:hAnsiTheme="minorHAnsi" w:cstheme="minorHAnsi"/>
          <w:bCs/>
          <w:sz w:val="24"/>
        </w:rPr>
        <w:t>velkým exportním potenciálem</w:t>
      </w:r>
      <w:r w:rsidR="00811BF7">
        <w:rPr>
          <w:rFonts w:asciiTheme="minorHAnsi" w:hAnsiTheme="minorHAnsi" w:cstheme="minorHAnsi"/>
          <w:bCs/>
          <w:sz w:val="24"/>
        </w:rPr>
        <w:t>,</w:t>
      </w:r>
      <w:r w:rsidRPr="00AB476F">
        <w:rPr>
          <w:rFonts w:asciiTheme="minorHAnsi" w:hAnsiTheme="minorHAnsi" w:cstheme="minorHAnsi"/>
          <w:bCs/>
          <w:sz w:val="24"/>
        </w:rPr>
        <w:t xml:space="preserve"> a v důsledku toho vytvořit předpoklady pro vznik nových pracovních příležitostí.</w:t>
      </w:r>
      <w:r w:rsidR="00A255A1" w:rsidRPr="00AB476F">
        <w:rPr>
          <w:rFonts w:asciiTheme="minorHAnsi" w:hAnsiTheme="minorHAnsi" w:cstheme="minorHAnsi"/>
          <w:bCs/>
          <w:sz w:val="24"/>
        </w:rPr>
        <w:t xml:space="preserve"> </w:t>
      </w:r>
    </w:p>
    <w:p w14:paraId="0E32EB99" w14:textId="77777777" w:rsidR="003C3CE6" w:rsidRPr="00AB476F" w:rsidRDefault="003C3CE6" w:rsidP="003C3CE6">
      <w:pPr>
        <w:rPr>
          <w:rFonts w:asciiTheme="minorHAnsi" w:hAnsiTheme="minorHAnsi" w:cstheme="minorHAnsi"/>
          <w:bCs/>
          <w:sz w:val="24"/>
        </w:rPr>
      </w:pPr>
    </w:p>
    <w:p w14:paraId="5284FE7C" w14:textId="77777777" w:rsidR="003C3CE6" w:rsidRPr="00AB476F" w:rsidRDefault="003C3CE6" w:rsidP="00132100">
      <w:pPr>
        <w:rPr>
          <w:rFonts w:asciiTheme="minorHAnsi" w:hAnsiTheme="minorHAnsi" w:cstheme="minorHAnsi"/>
          <w:b/>
          <w:bCs/>
          <w:sz w:val="24"/>
        </w:rPr>
      </w:pPr>
      <w:r w:rsidRPr="00AB476F">
        <w:rPr>
          <w:rFonts w:asciiTheme="minorHAnsi" w:hAnsiTheme="minorHAnsi" w:cstheme="minorHAnsi"/>
          <w:b/>
          <w:bCs/>
          <w:sz w:val="24"/>
        </w:rPr>
        <w:t>Hodnocení cílů podpory ukončeného programu</w:t>
      </w:r>
    </w:p>
    <w:p w14:paraId="5323B3D6" w14:textId="77777777" w:rsidR="00CA6892" w:rsidRDefault="00CA6892" w:rsidP="003C3CE6">
      <w:pPr>
        <w:rPr>
          <w:rFonts w:asciiTheme="minorHAnsi" w:hAnsiTheme="minorHAnsi" w:cstheme="minorHAnsi"/>
          <w:bCs/>
          <w:sz w:val="24"/>
        </w:rPr>
      </w:pPr>
    </w:p>
    <w:p w14:paraId="1BB6FBF3" w14:textId="52FD9BB8" w:rsidR="00756355" w:rsidRDefault="007B0028" w:rsidP="003C3CE6">
      <w:pPr>
        <w:rPr>
          <w:rFonts w:asciiTheme="minorHAnsi" w:hAnsiTheme="minorHAnsi" w:cstheme="minorHAnsi"/>
          <w:sz w:val="24"/>
        </w:rPr>
      </w:pPr>
      <w:r w:rsidRPr="00AB476F">
        <w:rPr>
          <w:rFonts w:asciiTheme="minorHAnsi" w:hAnsiTheme="minorHAnsi" w:cstheme="minorHAnsi"/>
          <w:bCs/>
          <w:sz w:val="24"/>
        </w:rPr>
        <w:t xml:space="preserve">MPO vyhodnotilo plnění </w:t>
      </w:r>
      <w:r w:rsidR="002F4C96" w:rsidRPr="00AB476F">
        <w:rPr>
          <w:rFonts w:asciiTheme="minorHAnsi" w:hAnsiTheme="minorHAnsi" w:cstheme="minorHAnsi"/>
          <w:bCs/>
          <w:sz w:val="24"/>
        </w:rPr>
        <w:t xml:space="preserve">cílů </w:t>
      </w:r>
      <w:r w:rsidRPr="00AB476F">
        <w:rPr>
          <w:rFonts w:asciiTheme="minorHAnsi" w:hAnsiTheme="minorHAnsi" w:cstheme="minorHAnsi"/>
          <w:bCs/>
          <w:sz w:val="24"/>
        </w:rPr>
        <w:t xml:space="preserve">programu 322 050 </w:t>
      </w:r>
      <w:r w:rsidR="00AB476F">
        <w:rPr>
          <w:rFonts w:asciiTheme="minorHAnsi" w:hAnsiTheme="minorHAnsi" w:cstheme="minorHAnsi"/>
          <w:bCs/>
          <w:sz w:val="24"/>
        </w:rPr>
        <w:t xml:space="preserve">obecným konstatováním, že </w:t>
      </w:r>
      <w:r w:rsidR="002F4C96" w:rsidRPr="00AB476F">
        <w:rPr>
          <w:rFonts w:asciiTheme="minorHAnsi" w:hAnsiTheme="minorHAnsi" w:cstheme="minorHAnsi"/>
          <w:bCs/>
          <w:sz w:val="24"/>
        </w:rPr>
        <w:t>program k plnění cílů přispěl. K tomu spočítalo celkový počet vytvořených pracovních míst a</w:t>
      </w:r>
      <w:r w:rsidR="00811BF7">
        <w:rPr>
          <w:rFonts w:asciiTheme="minorHAnsi" w:hAnsiTheme="minorHAnsi" w:cstheme="minorHAnsi"/>
          <w:bCs/>
          <w:sz w:val="24"/>
        </w:rPr>
        <w:t> </w:t>
      </w:r>
      <w:r w:rsidR="002F4C96" w:rsidRPr="00AB476F">
        <w:rPr>
          <w:rFonts w:asciiTheme="minorHAnsi" w:hAnsiTheme="minorHAnsi" w:cstheme="minorHAnsi"/>
          <w:bCs/>
          <w:sz w:val="24"/>
        </w:rPr>
        <w:t>výši ohlášených investic, k čemuž ale použilo nevěrohodná a neprůkazná data. V</w:t>
      </w:r>
      <w:r w:rsidR="006043F6" w:rsidRPr="00AB476F">
        <w:rPr>
          <w:rFonts w:asciiTheme="minorHAnsi" w:hAnsiTheme="minorHAnsi" w:cstheme="minorHAnsi"/>
          <w:sz w:val="24"/>
        </w:rPr>
        <w:t xml:space="preserve"> roce 2010 </w:t>
      </w:r>
      <w:r w:rsidR="002F4C96" w:rsidRPr="00AB476F">
        <w:rPr>
          <w:rFonts w:asciiTheme="minorHAnsi" w:hAnsiTheme="minorHAnsi" w:cstheme="minorHAnsi"/>
          <w:sz w:val="24"/>
        </w:rPr>
        <w:t xml:space="preserve">nechalo </w:t>
      </w:r>
      <w:r w:rsidR="006043F6" w:rsidRPr="00AB476F">
        <w:rPr>
          <w:rFonts w:asciiTheme="minorHAnsi" w:hAnsiTheme="minorHAnsi" w:cstheme="minorHAnsi"/>
          <w:sz w:val="24"/>
        </w:rPr>
        <w:t>zpracovat vyhodnocení podpory průmyslových zón,</w:t>
      </w:r>
      <w:r w:rsidR="007A0252" w:rsidRPr="00AB476F">
        <w:rPr>
          <w:rFonts w:asciiTheme="minorHAnsi" w:hAnsiTheme="minorHAnsi" w:cstheme="minorHAnsi"/>
          <w:sz w:val="24"/>
        </w:rPr>
        <w:t xml:space="preserve"> </w:t>
      </w:r>
      <w:r w:rsidR="006043F6" w:rsidRPr="00AB476F">
        <w:rPr>
          <w:rFonts w:asciiTheme="minorHAnsi" w:hAnsiTheme="minorHAnsi" w:cstheme="minorHAnsi"/>
          <w:sz w:val="24"/>
        </w:rPr>
        <w:t xml:space="preserve">které zahrnovalo i </w:t>
      </w:r>
      <w:r w:rsidR="007A0252" w:rsidRPr="00AB476F">
        <w:rPr>
          <w:rFonts w:asciiTheme="minorHAnsi" w:hAnsiTheme="minorHAnsi" w:cstheme="minorHAnsi"/>
          <w:sz w:val="24"/>
        </w:rPr>
        <w:t xml:space="preserve">některé </w:t>
      </w:r>
      <w:r w:rsidR="006043F6" w:rsidRPr="00AB476F">
        <w:rPr>
          <w:rFonts w:asciiTheme="minorHAnsi" w:hAnsiTheme="minorHAnsi" w:cstheme="minorHAnsi"/>
          <w:sz w:val="24"/>
        </w:rPr>
        <w:t>zóny podpořené z programu 322</w:t>
      </w:r>
      <w:r w:rsidR="007A0252" w:rsidRPr="00AB476F">
        <w:rPr>
          <w:rFonts w:asciiTheme="minorHAnsi" w:hAnsiTheme="minorHAnsi" w:cstheme="minorHAnsi"/>
          <w:sz w:val="24"/>
        </w:rPr>
        <w:t> </w:t>
      </w:r>
      <w:r w:rsidR="006043F6" w:rsidRPr="00AB476F">
        <w:rPr>
          <w:rFonts w:asciiTheme="minorHAnsi" w:hAnsiTheme="minorHAnsi" w:cstheme="minorHAnsi"/>
          <w:sz w:val="24"/>
        </w:rPr>
        <w:t>050</w:t>
      </w:r>
      <w:r w:rsidR="007A0252" w:rsidRPr="00AB476F">
        <w:rPr>
          <w:rFonts w:asciiTheme="minorHAnsi" w:hAnsiTheme="minorHAnsi" w:cstheme="minorHAnsi"/>
          <w:sz w:val="24"/>
        </w:rPr>
        <w:t>. Počet zón podpořených z programu 322 050 ani firem v nich podnikajících a zahrnutých do hodnocení nebyl specifikován</w:t>
      </w:r>
      <w:r w:rsidR="0059138E" w:rsidRPr="00AB476F">
        <w:rPr>
          <w:rFonts w:asciiTheme="minorHAnsi" w:hAnsiTheme="minorHAnsi" w:cstheme="minorHAnsi"/>
          <w:sz w:val="24"/>
        </w:rPr>
        <w:t xml:space="preserve"> a MPO ho neznalo</w:t>
      </w:r>
      <w:r w:rsidR="002F4C96" w:rsidRPr="00AB476F">
        <w:rPr>
          <w:rFonts w:asciiTheme="minorHAnsi" w:hAnsiTheme="minorHAnsi" w:cstheme="minorHAnsi"/>
          <w:sz w:val="24"/>
        </w:rPr>
        <w:t xml:space="preserve">. </w:t>
      </w:r>
    </w:p>
    <w:p w14:paraId="55EC5FA2" w14:textId="77777777" w:rsidR="005A2B5B" w:rsidRDefault="005A2B5B" w:rsidP="003C3CE6">
      <w:pPr>
        <w:rPr>
          <w:rFonts w:asciiTheme="minorHAnsi" w:hAnsiTheme="minorHAnsi" w:cstheme="minorHAnsi"/>
        </w:rPr>
      </w:pPr>
    </w:p>
    <w:p w14:paraId="681DB931" w14:textId="77777777" w:rsidR="00756355" w:rsidRPr="00AB476F" w:rsidRDefault="006043F6" w:rsidP="003C3CE6">
      <w:pPr>
        <w:rPr>
          <w:rFonts w:asciiTheme="minorHAnsi" w:hAnsiTheme="minorHAnsi" w:cstheme="minorHAnsi"/>
          <w:sz w:val="24"/>
        </w:rPr>
      </w:pPr>
      <w:r w:rsidRPr="00AB476F">
        <w:rPr>
          <w:rFonts w:asciiTheme="minorHAnsi" w:hAnsiTheme="minorHAnsi" w:cstheme="minorHAnsi"/>
          <w:sz w:val="24"/>
        </w:rPr>
        <w:t xml:space="preserve">Vzhledem k nevěrohodnosti a neprůkaznosti dat, </w:t>
      </w:r>
      <w:r w:rsidR="006E3A41" w:rsidRPr="00AB476F">
        <w:rPr>
          <w:rFonts w:asciiTheme="minorHAnsi" w:hAnsiTheme="minorHAnsi" w:cstheme="minorHAnsi"/>
          <w:sz w:val="24"/>
        </w:rPr>
        <w:t xml:space="preserve">které mělo MPO, resp. CzechInvest, </w:t>
      </w:r>
      <w:r w:rsidR="007A0252" w:rsidRPr="00AB476F">
        <w:rPr>
          <w:rFonts w:asciiTheme="minorHAnsi" w:hAnsiTheme="minorHAnsi" w:cstheme="minorHAnsi"/>
          <w:sz w:val="24"/>
        </w:rPr>
        <w:t>provedl hodnotitel</w:t>
      </w:r>
      <w:r w:rsidRPr="00AB476F">
        <w:rPr>
          <w:rFonts w:asciiTheme="minorHAnsi" w:hAnsiTheme="minorHAnsi" w:cstheme="minorHAnsi"/>
          <w:sz w:val="24"/>
        </w:rPr>
        <w:t xml:space="preserve"> vlastní empirické šetření v devíti zónách</w:t>
      </w:r>
      <w:r w:rsidRPr="00AB476F">
        <w:rPr>
          <w:rStyle w:val="Znakapoznpodarou"/>
          <w:rFonts w:asciiTheme="minorHAnsi" w:hAnsiTheme="minorHAnsi" w:cstheme="minorHAnsi"/>
          <w:sz w:val="24"/>
        </w:rPr>
        <w:footnoteReference w:id="9"/>
      </w:r>
      <w:r w:rsidR="00446FC5" w:rsidRPr="00AB476F">
        <w:rPr>
          <w:rFonts w:asciiTheme="minorHAnsi" w:hAnsiTheme="minorHAnsi" w:cstheme="minorHAnsi"/>
          <w:sz w:val="24"/>
        </w:rPr>
        <w:t xml:space="preserve"> u</w:t>
      </w:r>
      <w:r w:rsidRPr="00AB476F">
        <w:rPr>
          <w:rFonts w:asciiTheme="minorHAnsi" w:hAnsiTheme="minorHAnsi" w:cstheme="minorHAnsi"/>
          <w:sz w:val="24"/>
        </w:rPr>
        <w:t xml:space="preserve"> vzorku </w:t>
      </w:r>
      <w:r w:rsidR="002A7769">
        <w:rPr>
          <w:rFonts w:asciiTheme="minorHAnsi" w:hAnsiTheme="minorHAnsi" w:cstheme="minorHAnsi"/>
          <w:sz w:val="24"/>
        </w:rPr>
        <w:t>127 z 602 firem, tj. </w:t>
      </w:r>
      <w:r w:rsidR="00AB476F">
        <w:rPr>
          <w:rFonts w:asciiTheme="minorHAnsi" w:hAnsiTheme="minorHAnsi" w:cstheme="minorHAnsi"/>
          <w:sz w:val="24"/>
        </w:rPr>
        <w:t>u </w:t>
      </w:r>
      <w:r w:rsidR="00862FF6" w:rsidRPr="00AB476F">
        <w:rPr>
          <w:rFonts w:asciiTheme="minorHAnsi" w:hAnsiTheme="minorHAnsi" w:cstheme="minorHAnsi"/>
          <w:sz w:val="24"/>
        </w:rPr>
        <w:t>21 % firem</w:t>
      </w:r>
      <w:r w:rsidRPr="00AB476F">
        <w:rPr>
          <w:rFonts w:asciiTheme="minorHAnsi" w:hAnsiTheme="minorHAnsi" w:cstheme="minorHAnsi"/>
          <w:sz w:val="24"/>
        </w:rPr>
        <w:t xml:space="preserve"> v nich </w:t>
      </w:r>
      <w:r w:rsidR="007A0252" w:rsidRPr="00AB476F">
        <w:rPr>
          <w:rFonts w:asciiTheme="minorHAnsi" w:hAnsiTheme="minorHAnsi" w:cstheme="minorHAnsi"/>
          <w:sz w:val="24"/>
        </w:rPr>
        <w:t xml:space="preserve">podnikajících. </w:t>
      </w:r>
      <w:r w:rsidR="00446FC5" w:rsidRPr="00AB476F">
        <w:rPr>
          <w:rFonts w:asciiTheme="minorHAnsi" w:hAnsiTheme="minorHAnsi" w:cstheme="minorHAnsi"/>
          <w:sz w:val="24"/>
        </w:rPr>
        <w:t>Z</w:t>
      </w:r>
      <w:r w:rsidRPr="00AB476F">
        <w:rPr>
          <w:rFonts w:asciiTheme="minorHAnsi" w:hAnsiTheme="minorHAnsi" w:cstheme="minorHAnsi"/>
          <w:sz w:val="24"/>
        </w:rPr>
        <w:t> šetření zejména vyplynulo:</w:t>
      </w:r>
    </w:p>
    <w:p w14:paraId="575689DB" w14:textId="00F08B52" w:rsidR="006043F6" w:rsidRPr="00AB476F" w:rsidRDefault="00811BF7" w:rsidP="00D62F5D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6043F6" w:rsidRPr="00AB476F">
        <w:rPr>
          <w:rFonts w:asciiTheme="minorHAnsi" w:hAnsiTheme="minorHAnsi" w:cstheme="minorHAnsi"/>
          <w:sz w:val="24"/>
          <w:szCs w:val="24"/>
        </w:rPr>
        <w:t xml:space="preserve">avádění nových technologií, vlastní výzkum a vývoj </w:t>
      </w:r>
      <w:r w:rsidR="00064835" w:rsidRPr="00AB476F">
        <w:rPr>
          <w:rFonts w:asciiTheme="minorHAnsi" w:hAnsiTheme="minorHAnsi" w:cstheme="minorHAnsi"/>
          <w:sz w:val="24"/>
          <w:szCs w:val="24"/>
        </w:rPr>
        <w:t xml:space="preserve">nových produktů </w:t>
      </w:r>
      <w:r w:rsidR="006043F6" w:rsidRPr="00AB476F">
        <w:rPr>
          <w:rFonts w:asciiTheme="minorHAnsi" w:hAnsiTheme="minorHAnsi" w:cstheme="minorHAnsi"/>
          <w:sz w:val="24"/>
          <w:szCs w:val="24"/>
        </w:rPr>
        <w:t>splnilo 30 % firem</w:t>
      </w:r>
      <w:r>
        <w:rPr>
          <w:rFonts w:asciiTheme="minorHAnsi" w:hAnsiTheme="minorHAnsi" w:cstheme="minorHAnsi"/>
          <w:sz w:val="24"/>
          <w:szCs w:val="24"/>
        </w:rPr>
        <w:t>.</w:t>
      </w:r>
      <w:r w:rsidR="006043F6" w:rsidRPr="00AB47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F37678" w14:textId="4A6AFD04" w:rsidR="006043F6" w:rsidRPr="00AB476F" w:rsidRDefault="00811BF7" w:rsidP="00D62F5D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</w:t>
      </w:r>
      <w:r w:rsidR="006043F6" w:rsidRPr="00AB476F">
        <w:rPr>
          <w:rFonts w:asciiTheme="minorHAnsi" w:hAnsiTheme="minorHAnsi" w:cstheme="minorHAnsi"/>
          <w:sz w:val="24"/>
          <w:szCs w:val="24"/>
        </w:rPr>
        <w:t>irmy v zónách byly charakteristické růstem expo</w:t>
      </w:r>
      <w:r w:rsidR="00AB476F">
        <w:rPr>
          <w:rFonts w:asciiTheme="minorHAnsi" w:hAnsiTheme="minorHAnsi" w:cstheme="minorHAnsi"/>
          <w:sz w:val="24"/>
          <w:szCs w:val="24"/>
        </w:rPr>
        <w:t>rtu, subdodavatelskými vztahy a </w:t>
      </w:r>
      <w:r w:rsidR="006043F6" w:rsidRPr="00AB476F">
        <w:rPr>
          <w:rFonts w:asciiTheme="minorHAnsi" w:hAnsiTheme="minorHAnsi" w:cstheme="minorHAnsi"/>
          <w:sz w:val="24"/>
          <w:szCs w:val="24"/>
        </w:rPr>
        <w:t>přispívaly k vyšší tvorbě přidané hodnoty. Nejvyšší podíl mezi firmami činil automobilový průmysl.</w:t>
      </w:r>
    </w:p>
    <w:p w14:paraId="7014A040" w14:textId="0579545B" w:rsidR="006043F6" w:rsidRPr="00AB476F" w:rsidRDefault="00811BF7" w:rsidP="00D62F5D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6043F6" w:rsidRPr="00AB476F">
        <w:rPr>
          <w:rFonts w:asciiTheme="minorHAnsi" w:hAnsiTheme="minorHAnsi" w:cstheme="minorHAnsi"/>
          <w:sz w:val="24"/>
          <w:szCs w:val="24"/>
        </w:rPr>
        <w:t>irmy měly pozitivní vliv na regionální trh práce</w:t>
      </w:r>
      <w:r w:rsidR="00064835" w:rsidRPr="00AB476F">
        <w:rPr>
          <w:rFonts w:asciiTheme="minorHAnsi" w:hAnsiTheme="minorHAnsi" w:cstheme="minorHAnsi"/>
          <w:sz w:val="24"/>
          <w:szCs w:val="24"/>
        </w:rPr>
        <w:t>, jejich</w:t>
      </w:r>
      <w:r w:rsidR="006043F6" w:rsidRPr="00AB476F">
        <w:rPr>
          <w:rFonts w:asciiTheme="minorHAnsi" w:hAnsiTheme="minorHAnsi" w:cstheme="minorHAnsi"/>
          <w:sz w:val="24"/>
          <w:szCs w:val="24"/>
        </w:rPr>
        <w:t xml:space="preserve"> ohodnocení zaměstnanců bylo nadprůměrné. </w:t>
      </w:r>
    </w:p>
    <w:p w14:paraId="62549C1A" w14:textId="1AA5C8A1" w:rsidR="006043F6" w:rsidRPr="00AB476F" w:rsidRDefault="00811BF7" w:rsidP="00D62F5D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6043F6" w:rsidRPr="00AB476F">
        <w:rPr>
          <w:rFonts w:asciiTheme="minorHAnsi" w:hAnsiTheme="minorHAnsi" w:cstheme="minorHAnsi"/>
          <w:sz w:val="24"/>
          <w:szCs w:val="24"/>
        </w:rPr>
        <w:t>řevažovaly montážní aktivit</w:t>
      </w:r>
      <w:r w:rsidR="003600B6" w:rsidRPr="00AB476F">
        <w:rPr>
          <w:rFonts w:asciiTheme="minorHAnsi" w:hAnsiTheme="minorHAnsi" w:cstheme="minorHAnsi"/>
          <w:sz w:val="24"/>
          <w:szCs w:val="24"/>
        </w:rPr>
        <w:t>y a dělnické profese a pracovali</w:t>
      </w:r>
      <w:r w:rsidR="006043F6" w:rsidRPr="00AB476F">
        <w:rPr>
          <w:rFonts w:asciiTheme="minorHAnsi" w:hAnsiTheme="minorHAnsi" w:cstheme="minorHAnsi"/>
          <w:sz w:val="24"/>
          <w:szCs w:val="24"/>
        </w:rPr>
        <w:t xml:space="preserve"> v nich i zahraniční dělníci.</w:t>
      </w:r>
    </w:p>
    <w:p w14:paraId="62F57E2A" w14:textId="371DB26F" w:rsidR="006043F6" w:rsidRPr="00AB476F" w:rsidRDefault="00811BF7" w:rsidP="00CA6892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6043F6" w:rsidRPr="00AB476F">
        <w:rPr>
          <w:rFonts w:asciiTheme="minorHAnsi" w:hAnsiTheme="minorHAnsi" w:cstheme="minorHAnsi"/>
          <w:sz w:val="24"/>
          <w:szCs w:val="24"/>
        </w:rPr>
        <w:t>inimálně u dvou firem šetření zjistilo, že firma je klíčovým zaměstnavatelem v regionu, ale že je součástí mezinárodní korporace vyhledávající lokality s minimálními výrobními náklady nebo se dlouhodobě pohybuje těsně nad hranicí nulového zisku, kdy využívá korporátní strategii s možností v</w:t>
      </w:r>
      <w:r w:rsidR="00E0619E">
        <w:rPr>
          <w:rFonts w:asciiTheme="minorHAnsi" w:hAnsiTheme="minorHAnsi" w:cstheme="minorHAnsi"/>
          <w:sz w:val="24"/>
          <w:szCs w:val="24"/>
        </w:rPr>
        <w:t>yužít vnitropodnikový „transfer</w:t>
      </w:r>
      <w:r w:rsidR="00117C67">
        <w:rPr>
          <w:rFonts w:asciiTheme="minorHAnsi" w:hAnsiTheme="minorHAnsi" w:cstheme="minorHAnsi"/>
          <w:sz w:val="24"/>
          <w:szCs w:val="24"/>
        </w:rPr>
        <w:t>-</w:t>
      </w:r>
      <w:r w:rsidR="006043F6" w:rsidRPr="00AB476F">
        <w:rPr>
          <w:rFonts w:asciiTheme="minorHAnsi" w:hAnsiTheme="minorHAnsi" w:cstheme="minorHAnsi"/>
          <w:sz w:val="24"/>
          <w:szCs w:val="24"/>
        </w:rPr>
        <w:t>pricing“</w:t>
      </w:r>
      <w:r w:rsidR="006043F6" w:rsidRPr="00AB476F">
        <w:rPr>
          <w:sz w:val="24"/>
          <w:szCs w:val="24"/>
          <w:vertAlign w:val="superscript"/>
        </w:rPr>
        <w:footnoteReference w:id="10"/>
      </w:r>
      <w:r w:rsidR="006043F6" w:rsidRPr="00AB476F">
        <w:rPr>
          <w:rFonts w:asciiTheme="minorHAnsi" w:hAnsiTheme="minorHAnsi" w:cstheme="minorHAnsi"/>
          <w:sz w:val="24"/>
          <w:szCs w:val="24"/>
        </w:rPr>
        <w:t xml:space="preserve"> pro optimalizaci daňové zátěže.</w:t>
      </w:r>
    </w:p>
    <w:p w14:paraId="7EF60099" w14:textId="77777777" w:rsidR="00E0619E" w:rsidRDefault="00E0619E" w:rsidP="00CA6892">
      <w:pPr>
        <w:jc w:val="left"/>
        <w:rPr>
          <w:rFonts w:asciiTheme="minorHAnsi" w:hAnsiTheme="minorHAnsi" w:cstheme="minorHAnsi"/>
          <w:b/>
          <w:bCs/>
          <w:sz w:val="24"/>
        </w:rPr>
      </w:pPr>
    </w:p>
    <w:p w14:paraId="3E81EAA3" w14:textId="77777777" w:rsidR="008078D8" w:rsidRPr="000D05C2" w:rsidRDefault="008078D8" w:rsidP="00CA6892">
      <w:pPr>
        <w:rPr>
          <w:rFonts w:asciiTheme="minorHAnsi" w:hAnsiTheme="minorHAnsi" w:cstheme="minorHAnsi"/>
          <w:b/>
          <w:bCs/>
          <w:sz w:val="24"/>
        </w:rPr>
      </w:pPr>
      <w:r w:rsidRPr="000D05C2">
        <w:rPr>
          <w:rFonts w:asciiTheme="minorHAnsi" w:hAnsiTheme="minorHAnsi" w:cstheme="minorHAnsi"/>
          <w:b/>
          <w:bCs/>
          <w:sz w:val="24"/>
        </w:rPr>
        <w:t>Cíl podpory dosud neukončeného programu</w:t>
      </w:r>
    </w:p>
    <w:p w14:paraId="19134F33" w14:textId="77777777" w:rsidR="00CA6892" w:rsidRDefault="00CA6892" w:rsidP="00CA6892">
      <w:pPr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14D22528" w14:textId="77777777" w:rsidR="008078D8" w:rsidRPr="000D05C2" w:rsidRDefault="00030F72" w:rsidP="00CA6892">
      <w:pPr>
        <w:rPr>
          <w:rFonts w:asciiTheme="minorHAnsi" w:hAnsiTheme="minorHAnsi" w:cstheme="minorHAnsi"/>
          <w:color w:val="000000"/>
          <w:sz w:val="24"/>
          <w:lang w:eastAsia="cs-CZ"/>
        </w:rPr>
      </w:pPr>
      <w:r w:rsidRPr="000D05C2">
        <w:rPr>
          <w:rFonts w:asciiTheme="minorHAnsi" w:hAnsiTheme="minorHAnsi" w:cstheme="minorHAnsi"/>
          <w:color w:val="000000"/>
          <w:sz w:val="24"/>
          <w:lang w:eastAsia="cs-CZ"/>
        </w:rPr>
        <w:t xml:space="preserve">Cílem </w:t>
      </w:r>
      <w:r w:rsidR="004C0F0A" w:rsidRPr="000D05C2">
        <w:rPr>
          <w:rFonts w:asciiTheme="minorHAnsi" w:hAnsiTheme="minorHAnsi" w:cstheme="minorHAnsi"/>
          <w:color w:val="000000"/>
          <w:sz w:val="24"/>
          <w:lang w:eastAsia="cs-CZ"/>
        </w:rPr>
        <w:t xml:space="preserve">dosud neukončeného </w:t>
      </w:r>
      <w:r w:rsidRPr="000D05C2">
        <w:rPr>
          <w:rFonts w:asciiTheme="minorHAnsi" w:hAnsiTheme="minorHAnsi" w:cstheme="minorHAnsi"/>
          <w:color w:val="000000"/>
          <w:sz w:val="24"/>
          <w:lang w:eastAsia="cs-CZ"/>
        </w:rPr>
        <w:t xml:space="preserve">programu </w:t>
      </w:r>
      <w:r w:rsidR="00F33E3D" w:rsidRPr="000D05C2">
        <w:rPr>
          <w:rFonts w:asciiTheme="minorHAnsi" w:hAnsiTheme="minorHAnsi" w:cstheme="minorHAnsi"/>
          <w:color w:val="000000"/>
          <w:sz w:val="24"/>
          <w:lang w:eastAsia="cs-CZ"/>
        </w:rPr>
        <w:t xml:space="preserve">222 230 </w:t>
      </w:r>
      <w:r w:rsidRPr="000D05C2">
        <w:rPr>
          <w:rFonts w:asciiTheme="minorHAnsi" w:hAnsiTheme="minorHAnsi" w:cstheme="minorHAnsi"/>
          <w:color w:val="000000"/>
          <w:sz w:val="24"/>
          <w:lang w:eastAsia="cs-CZ"/>
        </w:rPr>
        <w:t xml:space="preserve">je zajistit dlouhodobý </w:t>
      </w:r>
      <w:r w:rsidR="00EE4048">
        <w:rPr>
          <w:rFonts w:asciiTheme="minorHAnsi" w:hAnsiTheme="minorHAnsi" w:cstheme="minorHAnsi"/>
          <w:color w:val="000000"/>
          <w:sz w:val="24"/>
          <w:lang w:eastAsia="cs-CZ"/>
        </w:rPr>
        <w:t>udržitelný rozvoj ČR a </w:t>
      </w:r>
      <w:r w:rsidRPr="000D05C2">
        <w:rPr>
          <w:rFonts w:asciiTheme="minorHAnsi" w:hAnsiTheme="minorHAnsi" w:cstheme="minorHAnsi"/>
          <w:color w:val="000000"/>
          <w:sz w:val="24"/>
          <w:lang w:eastAsia="cs-CZ"/>
        </w:rPr>
        <w:t>nutné předpoklady a podmínky pro realizaci projektů v oblasti zpracovatelského průmyslu, strategických služeb a technologických center a takto přispět k posílení hospodářského růstu a regionálního rozvoje prostřednictvím zvyšování konkurenceschopnosti investičního prostředí zejména v hospodářsky slabých či strukturálně postižených regionech</w:t>
      </w:r>
      <w:r w:rsidRPr="000D05C2">
        <w:rPr>
          <w:rStyle w:val="Znakapoznpodarou"/>
          <w:rFonts w:asciiTheme="minorHAnsi" w:hAnsiTheme="minorHAnsi" w:cstheme="minorHAnsi"/>
          <w:color w:val="000000"/>
          <w:sz w:val="24"/>
        </w:rPr>
        <w:footnoteReference w:id="11"/>
      </w:r>
      <w:r w:rsidRPr="000D05C2">
        <w:rPr>
          <w:rFonts w:asciiTheme="minorHAnsi" w:hAnsiTheme="minorHAnsi" w:cstheme="minorHAnsi"/>
          <w:color w:val="000000"/>
          <w:sz w:val="24"/>
          <w:lang w:eastAsia="cs-CZ"/>
        </w:rPr>
        <w:t>, tím vytvořit předpoklady p</w:t>
      </w:r>
      <w:r w:rsidR="007B578B" w:rsidRPr="000D05C2">
        <w:rPr>
          <w:rFonts w:asciiTheme="minorHAnsi" w:hAnsiTheme="minorHAnsi" w:cstheme="minorHAnsi"/>
          <w:color w:val="000000"/>
          <w:sz w:val="24"/>
          <w:lang w:eastAsia="cs-CZ"/>
        </w:rPr>
        <w:t>ro vznik nových pracovních míst</w:t>
      </w:r>
      <w:r w:rsidRPr="000D05C2">
        <w:rPr>
          <w:rFonts w:asciiTheme="minorHAnsi" w:hAnsiTheme="minorHAnsi" w:cstheme="minorHAnsi"/>
          <w:color w:val="000000"/>
          <w:sz w:val="24"/>
          <w:lang w:eastAsia="cs-CZ"/>
        </w:rPr>
        <w:t xml:space="preserve">. </w:t>
      </w:r>
      <w:r w:rsidR="00F33FE3" w:rsidRPr="000D05C2">
        <w:rPr>
          <w:rFonts w:asciiTheme="minorHAnsi" w:hAnsiTheme="minorHAnsi" w:cstheme="minorHAnsi"/>
          <w:color w:val="000000"/>
          <w:sz w:val="24"/>
          <w:lang w:eastAsia="cs-CZ"/>
        </w:rPr>
        <w:t>Realizace programu 222 230 probíhá od roku 2</w:t>
      </w:r>
      <w:r w:rsidR="00845392" w:rsidRPr="000D05C2">
        <w:rPr>
          <w:rFonts w:asciiTheme="minorHAnsi" w:hAnsiTheme="minorHAnsi" w:cstheme="minorHAnsi"/>
          <w:color w:val="000000"/>
          <w:sz w:val="24"/>
          <w:lang w:eastAsia="cs-CZ"/>
        </w:rPr>
        <w:t>005</w:t>
      </w:r>
      <w:r w:rsidR="0047319C" w:rsidRPr="000D05C2">
        <w:rPr>
          <w:rFonts w:asciiTheme="minorHAnsi" w:hAnsiTheme="minorHAnsi" w:cstheme="minorHAnsi"/>
          <w:color w:val="000000"/>
          <w:sz w:val="24"/>
          <w:lang w:eastAsia="cs-CZ"/>
        </w:rPr>
        <w:t xml:space="preserve"> a má být ukončena v roce 2020</w:t>
      </w:r>
      <w:r w:rsidR="00B75245" w:rsidRPr="000D05C2">
        <w:rPr>
          <w:rFonts w:asciiTheme="minorHAnsi" w:hAnsiTheme="minorHAnsi" w:cstheme="minorHAnsi"/>
          <w:color w:val="000000"/>
          <w:sz w:val="24"/>
          <w:lang w:eastAsia="cs-CZ"/>
        </w:rPr>
        <w:t xml:space="preserve"> s předpokladem jeho vyhodnocení v roce 2023. </w:t>
      </w:r>
    </w:p>
    <w:p w14:paraId="5CE829E6" w14:textId="77777777" w:rsidR="008078D8" w:rsidRPr="000D05C2" w:rsidRDefault="008078D8" w:rsidP="00CA6892">
      <w:pPr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519C4980" w14:textId="77777777" w:rsidR="008078D8" w:rsidRPr="000D05C2" w:rsidRDefault="008078D8" w:rsidP="00132100">
      <w:pPr>
        <w:rPr>
          <w:rFonts w:asciiTheme="minorHAnsi" w:hAnsiTheme="minorHAnsi" w:cstheme="minorHAnsi"/>
          <w:b/>
          <w:bCs/>
          <w:sz w:val="24"/>
        </w:rPr>
      </w:pPr>
      <w:r w:rsidRPr="000D05C2">
        <w:rPr>
          <w:rFonts w:asciiTheme="minorHAnsi" w:hAnsiTheme="minorHAnsi" w:cstheme="minorHAnsi"/>
          <w:b/>
          <w:bCs/>
          <w:sz w:val="24"/>
        </w:rPr>
        <w:t xml:space="preserve">Hodnocení podpory </w:t>
      </w:r>
      <w:r w:rsidR="00CF357D" w:rsidRPr="000D05C2">
        <w:rPr>
          <w:rFonts w:asciiTheme="minorHAnsi" w:hAnsiTheme="minorHAnsi" w:cstheme="minorHAnsi"/>
          <w:b/>
          <w:bCs/>
          <w:sz w:val="24"/>
        </w:rPr>
        <w:t xml:space="preserve">dosud </w:t>
      </w:r>
      <w:r w:rsidRPr="000D05C2">
        <w:rPr>
          <w:rFonts w:asciiTheme="minorHAnsi" w:hAnsiTheme="minorHAnsi" w:cstheme="minorHAnsi"/>
          <w:b/>
          <w:bCs/>
          <w:sz w:val="24"/>
        </w:rPr>
        <w:t>neukončeného programu</w:t>
      </w:r>
    </w:p>
    <w:p w14:paraId="73BC9162" w14:textId="77777777" w:rsidR="00CA6892" w:rsidRDefault="00CA6892" w:rsidP="00176D39">
      <w:pPr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24224D4C" w14:textId="560EECBE" w:rsidR="008078D8" w:rsidRPr="000D05C2" w:rsidRDefault="00B75245" w:rsidP="00176D39">
      <w:pPr>
        <w:rPr>
          <w:rFonts w:asciiTheme="minorHAnsi" w:hAnsiTheme="minorHAnsi" w:cstheme="minorHAnsi"/>
          <w:sz w:val="24"/>
        </w:rPr>
      </w:pPr>
      <w:r w:rsidRPr="000D05C2">
        <w:rPr>
          <w:rFonts w:asciiTheme="minorHAnsi" w:hAnsiTheme="minorHAnsi" w:cstheme="minorHAnsi"/>
          <w:color w:val="000000"/>
          <w:sz w:val="24"/>
          <w:lang w:eastAsia="cs-CZ"/>
        </w:rPr>
        <w:t>S</w:t>
      </w:r>
      <w:r w:rsidR="007B0028" w:rsidRPr="000D05C2">
        <w:rPr>
          <w:rFonts w:asciiTheme="minorHAnsi" w:hAnsiTheme="minorHAnsi" w:cstheme="minorHAnsi"/>
          <w:sz w:val="24"/>
          <w:lang w:eastAsia="cs-CZ"/>
        </w:rPr>
        <w:t xml:space="preserve">plnění </w:t>
      </w:r>
      <w:r w:rsidRPr="000D05C2">
        <w:rPr>
          <w:rFonts w:asciiTheme="minorHAnsi" w:hAnsiTheme="minorHAnsi" w:cstheme="minorHAnsi"/>
          <w:sz w:val="24"/>
          <w:lang w:eastAsia="cs-CZ"/>
        </w:rPr>
        <w:t>cílů může být ohroženo skutečností, že dosud</w:t>
      </w:r>
      <w:r w:rsidR="007B0028" w:rsidRPr="000D05C2">
        <w:rPr>
          <w:rFonts w:asciiTheme="minorHAnsi" w:hAnsiTheme="minorHAnsi" w:cstheme="minorHAnsi"/>
          <w:sz w:val="24"/>
          <w:lang w:eastAsia="cs-CZ"/>
        </w:rPr>
        <w:t xml:space="preserve"> </w:t>
      </w:r>
      <w:r w:rsidR="0064159B" w:rsidRPr="000D05C2">
        <w:rPr>
          <w:rFonts w:asciiTheme="minorHAnsi" w:hAnsiTheme="minorHAnsi" w:cstheme="minorHAnsi"/>
          <w:sz w:val="24"/>
          <w:lang w:eastAsia="cs-CZ"/>
        </w:rPr>
        <w:t xml:space="preserve">nebyla </w:t>
      </w:r>
      <w:r w:rsidR="007B0028" w:rsidRPr="000D05C2">
        <w:rPr>
          <w:rFonts w:asciiTheme="minorHAnsi" w:hAnsiTheme="minorHAnsi" w:cstheme="minorHAnsi"/>
          <w:sz w:val="24"/>
          <w:lang w:eastAsia="cs-CZ"/>
        </w:rPr>
        <w:t>z programu</w:t>
      </w:r>
      <w:r w:rsidRPr="000D05C2">
        <w:rPr>
          <w:rFonts w:asciiTheme="minorHAnsi" w:hAnsiTheme="minorHAnsi" w:cstheme="minorHAnsi"/>
          <w:sz w:val="24"/>
          <w:lang w:eastAsia="cs-CZ"/>
        </w:rPr>
        <w:t xml:space="preserve"> podpořena žádná akce, která by byla samostatně zaměřen</w:t>
      </w:r>
      <w:r w:rsidR="0064159B">
        <w:rPr>
          <w:rFonts w:asciiTheme="minorHAnsi" w:hAnsiTheme="minorHAnsi" w:cstheme="minorHAnsi"/>
          <w:sz w:val="24"/>
          <w:lang w:eastAsia="cs-CZ"/>
        </w:rPr>
        <w:t>a</w:t>
      </w:r>
      <w:r w:rsidRPr="000D05C2">
        <w:rPr>
          <w:rFonts w:asciiTheme="minorHAnsi" w:hAnsiTheme="minorHAnsi" w:cstheme="minorHAnsi"/>
          <w:sz w:val="24"/>
          <w:lang w:eastAsia="cs-CZ"/>
        </w:rPr>
        <w:t xml:space="preserve"> na </w:t>
      </w:r>
      <w:r w:rsidR="004C0F0A" w:rsidRPr="000D05C2">
        <w:rPr>
          <w:rFonts w:asciiTheme="minorHAnsi" w:hAnsiTheme="minorHAnsi" w:cstheme="minorHAnsi"/>
          <w:sz w:val="24"/>
          <w:lang w:eastAsia="cs-CZ"/>
        </w:rPr>
        <w:t>strategické</w:t>
      </w:r>
      <w:r w:rsidRPr="000D05C2">
        <w:rPr>
          <w:rFonts w:asciiTheme="minorHAnsi" w:hAnsiTheme="minorHAnsi" w:cstheme="minorHAnsi"/>
          <w:sz w:val="24"/>
          <w:lang w:eastAsia="cs-CZ"/>
        </w:rPr>
        <w:t xml:space="preserve"> služb</w:t>
      </w:r>
      <w:r w:rsidR="004C0F0A" w:rsidRPr="000D05C2">
        <w:rPr>
          <w:rFonts w:asciiTheme="minorHAnsi" w:hAnsiTheme="minorHAnsi" w:cstheme="minorHAnsi"/>
          <w:sz w:val="24"/>
          <w:lang w:eastAsia="cs-CZ"/>
        </w:rPr>
        <w:t>y a technologická</w:t>
      </w:r>
      <w:r w:rsidRPr="000D05C2">
        <w:rPr>
          <w:rFonts w:asciiTheme="minorHAnsi" w:hAnsiTheme="minorHAnsi" w:cstheme="minorHAnsi"/>
          <w:sz w:val="24"/>
          <w:lang w:eastAsia="cs-CZ"/>
        </w:rPr>
        <w:t xml:space="preserve"> centr</w:t>
      </w:r>
      <w:r w:rsidR="004C0F0A" w:rsidRPr="000D05C2">
        <w:rPr>
          <w:rFonts w:asciiTheme="minorHAnsi" w:hAnsiTheme="minorHAnsi" w:cstheme="minorHAnsi"/>
          <w:sz w:val="24"/>
          <w:lang w:eastAsia="cs-CZ"/>
        </w:rPr>
        <w:t>a</w:t>
      </w:r>
      <w:r w:rsidRPr="000D05C2">
        <w:rPr>
          <w:rFonts w:asciiTheme="minorHAnsi" w:hAnsiTheme="minorHAnsi" w:cstheme="minorHAnsi"/>
          <w:sz w:val="24"/>
          <w:lang w:eastAsia="cs-CZ"/>
        </w:rPr>
        <w:t>.</w:t>
      </w:r>
      <w:r w:rsidR="004C0F0A" w:rsidRPr="000D05C2">
        <w:rPr>
          <w:rFonts w:asciiTheme="minorHAnsi" w:hAnsiTheme="minorHAnsi" w:cstheme="minorHAnsi"/>
          <w:sz w:val="24"/>
        </w:rPr>
        <w:t xml:space="preserve"> </w:t>
      </w:r>
      <w:r w:rsidRPr="000D05C2">
        <w:rPr>
          <w:rFonts w:asciiTheme="minorHAnsi" w:hAnsiTheme="minorHAnsi" w:cstheme="minorHAnsi"/>
          <w:sz w:val="24"/>
        </w:rPr>
        <w:t xml:space="preserve">MPO </w:t>
      </w:r>
      <w:r w:rsidR="00DD191F" w:rsidRPr="000D05C2">
        <w:rPr>
          <w:rFonts w:asciiTheme="minorHAnsi" w:hAnsiTheme="minorHAnsi" w:cstheme="minorHAnsi"/>
          <w:sz w:val="24"/>
        </w:rPr>
        <w:t>průběžně hodnotilo program pomocí velikosti podpořeného, zainvestovaného či zregenerovaného území, výší ohlášených investic, počtem nově vytvořených pracovních míst a obsazeností zón. P</w:t>
      </w:r>
      <w:r w:rsidRPr="000D05C2">
        <w:rPr>
          <w:rFonts w:asciiTheme="minorHAnsi" w:hAnsiTheme="minorHAnsi" w:cstheme="minorHAnsi"/>
          <w:sz w:val="24"/>
        </w:rPr>
        <w:t>říjemcům podpory</w:t>
      </w:r>
      <w:r w:rsidR="00446FC5" w:rsidRPr="000D05C2">
        <w:rPr>
          <w:rFonts w:asciiTheme="minorHAnsi" w:hAnsiTheme="minorHAnsi" w:cstheme="minorHAnsi"/>
          <w:sz w:val="24"/>
        </w:rPr>
        <w:t xml:space="preserve"> (vyjma pěti zón)</w:t>
      </w:r>
      <w:r w:rsidRPr="000D05C2">
        <w:rPr>
          <w:rFonts w:asciiTheme="minorHAnsi" w:hAnsiTheme="minorHAnsi" w:cstheme="minorHAnsi"/>
          <w:sz w:val="24"/>
        </w:rPr>
        <w:t xml:space="preserve"> </w:t>
      </w:r>
      <w:r w:rsidR="00DD191F" w:rsidRPr="000D05C2">
        <w:rPr>
          <w:rFonts w:asciiTheme="minorHAnsi" w:hAnsiTheme="minorHAnsi" w:cstheme="minorHAnsi"/>
          <w:sz w:val="24"/>
        </w:rPr>
        <w:t xml:space="preserve">uložilo </w:t>
      </w:r>
      <w:r w:rsidRPr="000D05C2">
        <w:rPr>
          <w:rFonts w:asciiTheme="minorHAnsi" w:hAnsiTheme="minorHAnsi" w:cstheme="minorHAnsi"/>
          <w:sz w:val="24"/>
        </w:rPr>
        <w:t xml:space="preserve">povinnost </w:t>
      </w:r>
      <w:r w:rsidR="00446FC5" w:rsidRPr="000D05C2">
        <w:rPr>
          <w:rFonts w:asciiTheme="minorHAnsi" w:hAnsiTheme="minorHAnsi" w:cstheme="minorHAnsi"/>
          <w:sz w:val="24"/>
        </w:rPr>
        <w:t xml:space="preserve">po dobu pěti nebo deseti let od dokončení akce </w:t>
      </w:r>
      <w:r w:rsidRPr="000D05C2">
        <w:rPr>
          <w:rFonts w:asciiTheme="minorHAnsi" w:hAnsiTheme="minorHAnsi" w:cstheme="minorHAnsi"/>
          <w:sz w:val="24"/>
        </w:rPr>
        <w:t xml:space="preserve">zasílat </w:t>
      </w:r>
      <w:r w:rsidR="00DD191F" w:rsidRPr="000D05C2">
        <w:rPr>
          <w:rFonts w:asciiTheme="minorHAnsi" w:hAnsiTheme="minorHAnsi" w:cstheme="minorHAnsi"/>
          <w:sz w:val="24"/>
        </w:rPr>
        <w:t xml:space="preserve">tyto údaje </w:t>
      </w:r>
      <w:r w:rsidR="007E2C25">
        <w:rPr>
          <w:rFonts w:asciiTheme="minorHAnsi" w:hAnsiTheme="minorHAnsi" w:cstheme="minorHAnsi"/>
          <w:sz w:val="24"/>
        </w:rPr>
        <w:t xml:space="preserve">agentuře </w:t>
      </w:r>
      <w:r w:rsidRPr="000D05C2">
        <w:rPr>
          <w:rFonts w:asciiTheme="minorHAnsi" w:hAnsiTheme="minorHAnsi" w:cstheme="minorHAnsi"/>
          <w:sz w:val="24"/>
        </w:rPr>
        <w:t>CzechInvest</w:t>
      </w:r>
      <w:r w:rsidR="00446FC5" w:rsidRPr="000D05C2">
        <w:rPr>
          <w:rFonts w:asciiTheme="minorHAnsi" w:hAnsiTheme="minorHAnsi" w:cstheme="minorHAnsi"/>
          <w:sz w:val="24"/>
        </w:rPr>
        <w:t xml:space="preserve">. </w:t>
      </w:r>
      <w:r w:rsidR="00DD191F" w:rsidRPr="000D05C2">
        <w:rPr>
          <w:rFonts w:asciiTheme="minorHAnsi" w:hAnsiTheme="minorHAnsi" w:cstheme="minorHAnsi"/>
          <w:sz w:val="24"/>
        </w:rPr>
        <w:t xml:space="preserve">Po uplynutí této doby MPO </w:t>
      </w:r>
      <w:r w:rsidR="007F17AF" w:rsidRPr="000D05C2">
        <w:rPr>
          <w:rFonts w:asciiTheme="minorHAnsi" w:hAnsiTheme="minorHAnsi" w:cstheme="minorHAnsi"/>
          <w:sz w:val="24"/>
        </w:rPr>
        <w:t>ani C</w:t>
      </w:r>
      <w:r w:rsidR="00B7353D" w:rsidRPr="000D05C2">
        <w:rPr>
          <w:rFonts w:asciiTheme="minorHAnsi" w:hAnsiTheme="minorHAnsi" w:cstheme="minorHAnsi"/>
          <w:sz w:val="24"/>
        </w:rPr>
        <w:t>zechInvest ale údaje nesledovaly</w:t>
      </w:r>
      <w:r w:rsidR="006E3A41" w:rsidRPr="000D05C2">
        <w:rPr>
          <w:rFonts w:asciiTheme="minorHAnsi" w:hAnsiTheme="minorHAnsi" w:cstheme="minorHAnsi"/>
          <w:sz w:val="24"/>
        </w:rPr>
        <w:t>, přestože program pokračoval dál.</w:t>
      </w:r>
      <w:r w:rsidR="00DD191F" w:rsidRPr="000D05C2">
        <w:rPr>
          <w:rFonts w:asciiTheme="minorHAnsi" w:hAnsiTheme="minorHAnsi" w:cstheme="minorHAnsi"/>
          <w:sz w:val="24"/>
        </w:rPr>
        <w:t xml:space="preserve"> </w:t>
      </w:r>
    </w:p>
    <w:p w14:paraId="52FC1747" w14:textId="77777777" w:rsidR="008078D8" w:rsidRPr="000D05C2" w:rsidRDefault="008078D8" w:rsidP="00CA6892">
      <w:pPr>
        <w:rPr>
          <w:rFonts w:asciiTheme="minorHAnsi" w:hAnsiTheme="minorHAnsi" w:cstheme="minorHAnsi"/>
          <w:sz w:val="24"/>
        </w:rPr>
      </w:pPr>
    </w:p>
    <w:p w14:paraId="2C15E140" w14:textId="77777777" w:rsidR="008078D8" w:rsidRPr="000D05C2" w:rsidRDefault="00132100" w:rsidP="00132100">
      <w:pPr>
        <w:rPr>
          <w:rFonts w:asciiTheme="minorHAnsi" w:hAnsiTheme="minorHAnsi" w:cstheme="minorHAnsi"/>
          <w:b/>
          <w:bCs/>
          <w:sz w:val="24"/>
        </w:rPr>
      </w:pPr>
      <w:r w:rsidRPr="000D05C2">
        <w:rPr>
          <w:rFonts w:asciiTheme="minorHAnsi" w:hAnsiTheme="minorHAnsi" w:cstheme="minorHAnsi"/>
          <w:b/>
          <w:bCs/>
          <w:sz w:val="24"/>
        </w:rPr>
        <w:t>Neprůkazná data</w:t>
      </w:r>
      <w:r w:rsidR="008078D8" w:rsidRPr="000D05C2">
        <w:rPr>
          <w:rFonts w:asciiTheme="minorHAnsi" w:hAnsiTheme="minorHAnsi" w:cstheme="minorHAnsi"/>
          <w:b/>
          <w:bCs/>
          <w:sz w:val="24"/>
        </w:rPr>
        <w:t xml:space="preserve"> pro hodnocení</w:t>
      </w:r>
    </w:p>
    <w:p w14:paraId="5E6F21A6" w14:textId="77777777" w:rsidR="00CA6892" w:rsidRDefault="00CA6892" w:rsidP="00176D39">
      <w:pPr>
        <w:rPr>
          <w:rFonts w:asciiTheme="minorHAnsi" w:hAnsiTheme="minorHAnsi" w:cstheme="minorHAnsi"/>
          <w:sz w:val="24"/>
        </w:rPr>
      </w:pPr>
    </w:p>
    <w:p w14:paraId="686ACF7E" w14:textId="1E714F1E" w:rsidR="008078D8" w:rsidRPr="000D05C2" w:rsidRDefault="007B0028" w:rsidP="00176D39">
      <w:pPr>
        <w:rPr>
          <w:rFonts w:asciiTheme="minorHAnsi" w:hAnsiTheme="minorHAnsi" w:cstheme="minorHAnsi"/>
          <w:sz w:val="24"/>
        </w:rPr>
      </w:pPr>
      <w:r w:rsidRPr="000D05C2">
        <w:rPr>
          <w:rFonts w:asciiTheme="minorHAnsi" w:hAnsiTheme="minorHAnsi" w:cstheme="minorHAnsi"/>
          <w:sz w:val="24"/>
        </w:rPr>
        <w:t>P</w:t>
      </w:r>
      <w:r w:rsidR="00B75245" w:rsidRPr="000D05C2">
        <w:rPr>
          <w:rFonts w:asciiTheme="minorHAnsi" w:hAnsiTheme="minorHAnsi" w:cstheme="minorHAnsi"/>
          <w:sz w:val="24"/>
        </w:rPr>
        <w:t>řetrvávala</w:t>
      </w:r>
      <w:r w:rsidR="00EE5F75" w:rsidRPr="000D05C2">
        <w:rPr>
          <w:rFonts w:asciiTheme="minorHAnsi" w:hAnsiTheme="minorHAnsi" w:cstheme="minorHAnsi"/>
          <w:sz w:val="24"/>
        </w:rPr>
        <w:t xml:space="preserve"> skutečnost, kterou NKÚ zjistil </w:t>
      </w:r>
      <w:r w:rsidR="00E62588" w:rsidRPr="000D05C2">
        <w:rPr>
          <w:rFonts w:asciiTheme="minorHAnsi" w:hAnsiTheme="minorHAnsi" w:cstheme="minorHAnsi"/>
          <w:sz w:val="24"/>
        </w:rPr>
        <w:t xml:space="preserve">již </w:t>
      </w:r>
      <w:r w:rsidR="00EE5F75" w:rsidRPr="000D05C2">
        <w:rPr>
          <w:rFonts w:asciiTheme="minorHAnsi" w:hAnsiTheme="minorHAnsi" w:cstheme="minorHAnsi"/>
          <w:sz w:val="24"/>
        </w:rPr>
        <w:t xml:space="preserve">v roce 2009, </w:t>
      </w:r>
      <w:r w:rsidR="0064159B">
        <w:rPr>
          <w:rFonts w:asciiTheme="minorHAnsi" w:hAnsiTheme="minorHAnsi" w:cstheme="minorHAnsi"/>
          <w:sz w:val="24"/>
        </w:rPr>
        <w:t xml:space="preserve">a to </w:t>
      </w:r>
      <w:r w:rsidR="00EE5F75" w:rsidRPr="000D05C2">
        <w:rPr>
          <w:rFonts w:asciiTheme="minorHAnsi" w:hAnsiTheme="minorHAnsi" w:cstheme="minorHAnsi"/>
          <w:sz w:val="24"/>
        </w:rPr>
        <w:t xml:space="preserve">že </w:t>
      </w:r>
      <w:r w:rsidR="00E62588" w:rsidRPr="000D05C2">
        <w:rPr>
          <w:rFonts w:asciiTheme="minorHAnsi" w:hAnsiTheme="minorHAnsi" w:cstheme="minorHAnsi"/>
          <w:sz w:val="24"/>
        </w:rPr>
        <w:t xml:space="preserve">MPO </w:t>
      </w:r>
      <w:r w:rsidR="00EE5F75" w:rsidRPr="000D05C2">
        <w:rPr>
          <w:rFonts w:asciiTheme="minorHAnsi" w:hAnsiTheme="minorHAnsi" w:cstheme="minorHAnsi"/>
          <w:sz w:val="24"/>
        </w:rPr>
        <w:t>ne</w:t>
      </w:r>
      <w:r w:rsidR="00E62588" w:rsidRPr="000D05C2">
        <w:rPr>
          <w:rFonts w:asciiTheme="minorHAnsi" w:hAnsiTheme="minorHAnsi" w:cstheme="minorHAnsi"/>
          <w:sz w:val="24"/>
        </w:rPr>
        <w:t>uložilo příjemcům</w:t>
      </w:r>
      <w:r w:rsidR="00EE5F75" w:rsidRPr="000D05C2">
        <w:rPr>
          <w:rFonts w:asciiTheme="minorHAnsi" w:hAnsiTheme="minorHAnsi" w:cstheme="minorHAnsi"/>
          <w:sz w:val="24"/>
        </w:rPr>
        <w:t xml:space="preserve"> po</w:t>
      </w:r>
      <w:r w:rsidR="00E62588" w:rsidRPr="000D05C2">
        <w:rPr>
          <w:rFonts w:asciiTheme="minorHAnsi" w:hAnsiTheme="minorHAnsi" w:cstheme="minorHAnsi"/>
          <w:sz w:val="24"/>
        </w:rPr>
        <w:t>dpory</w:t>
      </w:r>
      <w:r w:rsidR="006E3A41" w:rsidRPr="000D05C2">
        <w:rPr>
          <w:rFonts w:asciiTheme="minorHAnsi" w:hAnsiTheme="minorHAnsi" w:cstheme="minorHAnsi"/>
          <w:sz w:val="24"/>
        </w:rPr>
        <w:t>, aby údaje od investorů byly</w:t>
      </w:r>
      <w:r w:rsidR="007F17AF" w:rsidRPr="000D05C2">
        <w:rPr>
          <w:rFonts w:asciiTheme="minorHAnsi" w:hAnsiTheme="minorHAnsi" w:cstheme="minorHAnsi"/>
          <w:sz w:val="24"/>
        </w:rPr>
        <w:t xml:space="preserve"> </w:t>
      </w:r>
      <w:r w:rsidR="005A2B5B">
        <w:rPr>
          <w:rFonts w:asciiTheme="minorHAnsi" w:hAnsiTheme="minorHAnsi" w:cstheme="minorHAnsi"/>
          <w:sz w:val="24"/>
        </w:rPr>
        <w:t>průkazné</w:t>
      </w:r>
      <w:r w:rsidR="00E62588" w:rsidRPr="000D05C2">
        <w:rPr>
          <w:rFonts w:asciiTheme="minorHAnsi" w:hAnsiTheme="minorHAnsi" w:cstheme="minorHAnsi"/>
          <w:sz w:val="24"/>
        </w:rPr>
        <w:t xml:space="preserve">. </w:t>
      </w:r>
      <w:r w:rsidR="007F17AF" w:rsidRPr="000D05C2">
        <w:rPr>
          <w:rFonts w:asciiTheme="minorHAnsi" w:hAnsiTheme="minorHAnsi" w:cstheme="minorHAnsi"/>
          <w:sz w:val="24"/>
        </w:rPr>
        <w:t>Stále</w:t>
      </w:r>
      <w:r w:rsidR="00EE5F75" w:rsidRPr="000D05C2">
        <w:rPr>
          <w:rFonts w:asciiTheme="minorHAnsi" w:hAnsiTheme="minorHAnsi" w:cstheme="minorHAnsi"/>
          <w:sz w:val="24"/>
        </w:rPr>
        <w:t xml:space="preserve"> </w:t>
      </w:r>
      <w:r w:rsidR="000D5BDF" w:rsidRPr="000D05C2">
        <w:rPr>
          <w:rFonts w:asciiTheme="minorHAnsi" w:hAnsiTheme="minorHAnsi" w:cstheme="minorHAnsi"/>
          <w:sz w:val="24"/>
        </w:rPr>
        <w:t>závisí</w:t>
      </w:r>
      <w:r w:rsidR="006E3A41" w:rsidRPr="000D05C2">
        <w:rPr>
          <w:rFonts w:asciiTheme="minorHAnsi" w:hAnsiTheme="minorHAnsi" w:cstheme="minorHAnsi"/>
          <w:sz w:val="24"/>
        </w:rPr>
        <w:t xml:space="preserve"> jen</w:t>
      </w:r>
      <w:r w:rsidR="007F17AF" w:rsidRPr="000D05C2">
        <w:rPr>
          <w:rFonts w:asciiTheme="minorHAnsi" w:hAnsiTheme="minorHAnsi" w:cstheme="minorHAnsi"/>
          <w:sz w:val="24"/>
        </w:rPr>
        <w:t xml:space="preserve"> na </w:t>
      </w:r>
      <w:r w:rsidR="00EE5F75" w:rsidRPr="000D05C2">
        <w:rPr>
          <w:rFonts w:asciiTheme="minorHAnsi" w:hAnsiTheme="minorHAnsi" w:cstheme="minorHAnsi"/>
          <w:sz w:val="24"/>
        </w:rPr>
        <w:t>ochotě</w:t>
      </w:r>
      <w:r w:rsidR="007F17AF" w:rsidRPr="000D05C2">
        <w:rPr>
          <w:rFonts w:asciiTheme="minorHAnsi" w:hAnsiTheme="minorHAnsi" w:cstheme="minorHAnsi"/>
          <w:sz w:val="24"/>
        </w:rPr>
        <w:t xml:space="preserve"> investorů</w:t>
      </w:r>
      <w:r w:rsidR="00EE5F75" w:rsidRPr="000D05C2">
        <w:rPr>
          <w:rFonts w:asciiTheme="minorHAnsi" w:hAnsiTheme="minorHAnsi" w:cstheme="minorHAnsi"/>
          <w:sz w:val="24"/>
        </w:rPr>
        <w:t>, zda poskytnou správná a úplná data a zda umožní jejich ověření.</w:t>
      </w:r>
      <w:r w:rsidR="00B75245" w:rsidRPr="000D05C2">
        <w:rPr>
          <w:rFonts w:asciiTheme="minorHAnsi" w:hAnsiTheme="minorHAnsi" w:cstheme="minorHAnsi"/>
          <w:sz w:val="24"/>
        </w:rPr>
        <w:t xml:space="preserve"> </w:t>
      </w:r>
      <w:r w:rsidR="00326428" w:rsidRPr="000D05C2">
        <w:rPr>
          <w:rFonts w:asciiTheme="minorHAnsi" w:hAnsiTheme="minorHAnsi" w:cstheme="minorHAnsi"/>
          <w:sz w:val="24"/>
        </w:rPr>
        <w:t xml:space="preserve">U šesti kontrolovaných zón </w:t>
      </w:r>
      <w:r w:rsidR="0064159B" w:rsidRPr="000D05C2">
        <w:rPr>
          <w:rFonts w:asciiTheme="minorHAnsi" w:hAnsiTheme="minorHAnsi" w:cstheme="minorHAnsi"/>
          <w:sz w:val="24"/>
        </w:rPr>
        <w:t xml:space="preserve">si </w:t>
      </w:r>
      <w:r w:rsidR="00E02962" w:rsidRPr="000D05C2">
        <w:rPr>
          <w:rFonts w:asciiTheme="minorHAnsi" w:hAnsiTheme="minorHAnsi" w:cstheme="minorHAnsi"/>
          <w:sz w:val="24"/>
        </w:rPr>
        <w:t>pouze</w:t>
      </w:r>
      <w:r w:rsidR="00326428" w:rsidRPr="000D05C2">
        <w:rPr>
          <w:rFonts w:asciiTheme="minorHAnsi" w:hAnsiTheme="minorHAnsi" w:cstheme="minorHAnsi"/>
          <w:sz w:val="24"/>
        </w:rPr>
        <w:t xml:space="preserve"> </w:t>
      </w:r>
      <w:r w:rsidR="00CE32C4" w:rsidRPr="000D05C2">
        <w:rPr>
          <w:rFonts w:asciiTheme="minorHAnsi" w:hAnsiTheme="minorHAnsi" w:cstheme="minorHAnsi"/>
          <w:sz w:val="24"/>
        </w:rPr>
        <w:t xml:space="preserve">jeden příjemce </w:t>
      </w:r>
      <w:r w:rsidR="00D02A76" w:rsidRPr="000D05C2">
        <w:rPr>
          <w:rFonts w:asciiTheme="minorHAnsi" w:hAnsiTheme="minorHAnsi" w:cstheme="minorHAnsi"/>
          <w:sz w:val="24"/>
        </w:rPr>
        <w:t xml:space="preserve">smluvně s investorem </w:t>
      </w:r>
      <w:r w:rsidR="00CE32C4" w:rsidRPr="000D05C2">
        <w:rPr>
          <w:rFonts w:asciiTheme="minorHAnsi" w:hAnsiTheme="minorHAnsi" w:cstheme="minorHAnsi"/>
          <w:sz w:val="24"/>
        </w:rPr>
        <w:t>zajistil poskyto</w:t>
      </w:r>
      <w:r w:rsidR="00D02A76" w:rsidRPr="000D05C2">
        <w:rPr>
          <w:rFonts w:asciiTheme="minorHAnsi" w:hAnsiTheme="minorHAnsi" w:cstheme="minorHAnsi"/>
          <w:sz w:val="24"/>
        </w:rPr>
        <w:t xml:space="preserve">vání </w:t>
      </w:r>
      <w:r w:rsidR="00EE4C31" w:rsidRPr="000D05C2">
        <w:rPr>
          <w:rFonts w:asciiTheme="minorHAnsi" w:hAnsiTheme="minorHAnsi" w:cstheme="minorHAnsi"/>
          <w:sz w:val="24"/>
        </w:rPr>
        <w:t xml:space="preserve">i </w:t>
      </w:r>
      <w:r w:rsidR="00D02A76" w:rsidRPr="000D05C2">
        <w:rPr>
          <w:rFonts w:asciiTheme="minorHAnsi" w:hAnsiTheme="minorHAnsi" w:cstheme="minorHAnsi"/>
          <w:sz w:val="24"/>
        </w:rPr>
        <w:t>ověřování dat</w:t>
      </w:r>
      <w:r w:rsidR="00CE32C4" w:rsidRPr="000D05C2">
        <w:rPr>
          <w:rFonts w:asciiTheme="minorHAnsi" w:hAnsiTheme="minorHAnsi" w:cstheme="minorHAnsi"/>
          <w:sz w:val="24"/>
        </w:rPr>
        <w:t xml:space="preserve">. Z ostatních kontrolovaných příjemců </w:t>
      </w:r>
      <w:r w:rsidR="0064159B" w:rsidRPr="000D05C2">
        <w:rPr>
          <w:rFonts w:asciiTheme="minorHAnsi" w:hAnsiTheme="minorHAnsi" w:cstheme="minorHAnsi"/>
          <w:sz w:val="24"/>
        </w:rPr>
        <w:t xml:space="preserve">měli </w:t>
      </w:r>
      <w:r w:rsidR="00CE32C4" w:rsidRPr="000D05C2">
        <w:rPr>
          <w:rFonts w:asciiTheme="minorHAnsi" w:hAnsiTheme="minorHAnsi" w:cstheme="minorHAnsi"/>
          <w:sz w:val="24"/>
        </w:rPr>
        <w:t>dva smluvně zajištěno poskytování dat</w:t>
      </w:r>
      <w:r w:rsidR="00D02A76" w:rsidRPr="000D05C2">
        <w:rPr>
          <w:rFonts w:asciiTheme="minorHAnsi" w:hAnsiTheme="minorHAnsi" w:cstheme="minorHAnsi"/>
          <w:sz w:val="24"/>
        </w:rPr>
        <w:t>, ale ani jeden je nemohl ověř</w:t>
      </w:r>
      <w:r w:rsidR="00490F5A" w:rsidRPr="000D05C2">
        <w:rPr>
          <w:rFonts w:asciiTheme="minorHAnsi" w:hAnsiTheme="minorHAnsi" w:cstheme="minorHAnsi"/>
          <w:sz w:val="24"/>
        </w:rPr>
        <w:t>it</w:t>
      </w:r>
      <w:r w:rsidR="00D02A76" w:rsidRPr="000D05C2">
        <w:rPr>
          <w:rFonts w:asciiTheme="minorHAnsi" w:hAnsiTheme="minorHAnsi" w:cstheme="minorHAnsi"/>
          <w:sz w:val="24"/>
        </w:rPr>
        <w:t>.</w:t>
      </w:r>
      <w:r w:rsidR="00326428" w:rsidRPr="000D05C2">
        <w:rPr>
          <w:rFonts w:asciiTheme="minorHAnsi" w:hAnsiTheme="minorHAnsi" w:cstheme="minorHAnsi"/>
          <w:sz w:val="24"/>
        </w:rPr>
        <w:t xml:space="preserve"> </w:t>
      </w:r>
    </w:p>
    <w:p w14:paraId="64A70E15" w14:textId="77777777" w:rsidR="008078D8" w:rsidRPr="000D05C2" w:rsidRDefault="008078D8" w:rsidP="00CA6892">
      <w:pPr>
        <w:rPr>
          <w:rFonts w:asciiTheme="minorHAnsi" w:hAnsiTheme="minorHAnsi" w:cstheme="minorHAnsi"/>
          <w:sz w:val="24"/>
        </w:rPr>
      </w:pPr>
    </w:p>
    <w:p w14:paraId="77D41863" w14:textId="77777777" w:rsidR="008078D8" w:rsidRPr="000D05C2" w:rsidRDefault="008078D8" w:rsidP="00CA6892">
      <w:pPr>
        <w:keepNext/>
        <w:rPr>
          <w:rFonts w:asciiTheme="minorHAnsi" w:hAnsiTheme="minorHAnsi" w:cstheme="minorHAnsi"/>
          <w:b/>
          <w:bCs/>
          <w:sz w:val="24"/>
        </w:rPr>
      </w:pPr>
      <w:r w:rsidRPr="000D05C2">
        <w:rPr>
          <w:rFonts w:asciiTheme="minorHAnsi" w:hAnsiTheme="minorHAnsi" w:cstheme="minorHAnsi"/>
          <w:b/>
          <w:bCs/>
          <w:sz w:val="24"/>
        </w:rPr>
        <w:lastRenderedPageBreak/>
        <w:t>Výše ohlášených investic</w:t>
      </w:r>
    </w:p>
    <w:p w14:paraId="1EB88939" w14:textId="77777777" w:rsidR="00CA6892" w:rsidRDefault="00CA6892" w:rsidP="00CA6892">
      <w:pPr>
        <w:keepNext/>
        <w:rPr>
          <w:rFonts w:asciiTheme="minorHAnsi" w:hAnsiTheme="minorHAnsi" w:cstheme="minorHAnsi"/>
          <w:sz w:val="24"/>
        </w:rPr>
      </w:pPr>
    </w:p>
    <w:p w14:paraId="287521E8" w14:textId="1E1B51E1" w:rsidR="008078D8" w:rsidRPr="000D05C2" w:rsidRDefault="007B0028" w:rsidP="00176D39">
      <w:pPr>
        <w:rPr>
          <w:rFonts w:asciiTheme="minorHAnsi" w:hAnsiTheme="minorHAnsi" w:cstheme="minorHAnsi"/>
          <w:sz w:val="24"/>
        </w:rPr>
      </w:pPr>
      <w:r w:rsidRPr="000D05C2">
        <w:rPr>
          <w:rFonts w:asciiTheme="minorHAnsi" w:hAnsiTheme="minorHAnsi" w:cstheme="minorHAnsi"/>
          <w:sz w:val="24"/>
        </w:rPr>
        <w:t xml:space="preserve">MPO </w:t>
      </w:r>
      <w:r w:rsidR="00B75245" w:rsidRPr="000D05C2">
        <w:rPr>
          <w:rFonts w:asciiTheme="minorHAnsi" w:hAnsiTheme="minorHAnsi" w:cstheme="minorHAnsi"/>
          <w:sz w:val="24"/>
        </w:rPr>
        <w:t xml:space="preserve">nespecifikovalo, jaké výdaje mají příjemci podpory zahrnout do ukazatele „výše </w:t>
      </w:r>
      <w:r w:rsidR="000219AA" w:rsidRPr="000D05C2">
        <w:rPr>
          <w:rFonts w:asciiTheme="minorHAnsi" w:hAnsiTheme="minorHAnsi" w:cstheme="minorHAnsi"/>
          <w:sz w:val="24"/>
        </w:rPr>
        <w:t>ohlášených</w:t>
      </w:r>
      <w:r w:rsidR="007F17AF" w:rsidRPr="000D05C2">
        <w:rPr>
          <w:rFonts w:asciiTheme="minorHAnsi" w:hAnsiTheme="minorHAnsi" w:cstheme="minorHAnsi"/>
          <w:sz w:val="24"/>
        </w:rPr>
        <w:t xml:space="preserve"> investic“. </w:t>
      </w:r>
      <w:r w:rsidR="00B47524" w:rsidRPr="000D05C2">
        <w:rPr>
          <w:rFonts w:asciiTheme="minorHAnsi" w:hAnsiTheme="minorHAnsi" w:cstheme="minorHAnsi"/>
          <w:sz w:val="24"/>
        </w:rPr>
        <w:t>U šesti kontrolovaných zón příjemci podpory údaj převzali od investora</w:t>
      </w:r>
      <w:r w:rsidR="0064159B">
        <w:rPr>
          <w:rFonts w:asciiTheme="minorHAnsi" w:hAnsiTheme="minorHAnsi" w:cstheme="minorHAnsi"/>
          <w:sz w:val="24"/>
        </w:rPr>
        <w:t>,</w:t>
      </w:r>
      <w:r w:rsidR="00B47524" w:rsidRPr="000D05C2">
        <w:rPr>
          <w:rFonts w:asciiTheme="minorHAnsi" w:hAnsiTheme="minorHAnsi" w:cstheme="minorHAnsi"/>
          <w:sz w:val="24"/>
        </w:rPr>
        <w:t xml:space="preserve"> a</w:t>
      </w:r>
      <w:r w:rsidR="0064159B">
        <w:rPr>
          <w:rFonts w:asciiTheme="minorHAnsi" w:hAnsiTheme="minorHAnsi" w:cstheme="minorHAnsi"/>
          <w:sz w:val="24"/>
        </w:rPr>
        <w:t>však</w:t>
      </w:r>
      <w:r w:rsidR="00B47524" w:rsidRPr="000D05C2">
        <w:rPr>
          <w:rFonts w:asciiTheme="minorHAnsi" w:hAnsiTheme="minorHAnsi" w:cstheme="minorHAnsi"/>
          <w:sz w:val="24"/>
        </w:rPr>
        <w:t xml:space="preserve"> nevěděli, co je v ukazateli zahrnuto. </w:t>
      </w:r>
      <w:r w:rsidR="009A0453" w:rsidRPr="000D05C2">
        <w:rPr>
          <w:rFonts w:asciiTheme="minorHAnsi" w:hAnsiTheme="minorHAnsi" w:cstheme="minorHAnsi"/>
          <w:sz w:val="24"/>
        </w:rPr>
        <w:t xml:space="preserve">Vzhledem k tomu, že </w:t>
      </w:r>
      <w:r w:rsidR="00B47524" w:rsidRPr="000D05C2">
        <w:rPr>
          <w:rFonts w:asciiTheme="minorHAnsi" w:hAnsiTheme="minorHAnsi" w:cstheme="minorHAnsi"/>
          <w:sz w:val="24"/>
        </w:rPr>
        <w:t xml:space="preserve">závisí na příjemci, </w:t>
      </w:r>
      <w:r w:rsidR="006E3A41" w:rsidRPr="000D05C2">
        <w:rPr>
          <w:rFonts w:asciiTheme="minorHAnsi" w:hAnsiTheme="minorHAnsi" w:cstheme="minorHAnsi"/>
          <w:sz w:val="24"/>
        </w:rPr>
        <w:t xml:space="preserve">resp. </w:t>
      </w:r>
      <w:r w:rsidR="00B47524" w:rsidRPr="000D05C2">
        <w:rPr>
          <w:rFonts w:asciiTheme="minorHAnsi" w:hAnsiTheme="minorHAnsi" w:cstheme="minorHAnsi"/>
          <w:sz w:val="24"/>
        </w:rPr>
        <w:t xml:space="preserve">na </w:t>
      </w:r>
      <w:r w:rsidR="00B75245" w:rsidRPr="000D05C2">
        <w:rPr>
          <w:rFonts w:asciiTheme="minorHAnsi" w:hAnsiTheme="minorHAnsi" w:cstheme="minorHAnsi"/>
          <w:sz w:val="24"/>
        </w:rPr>
        <w:t>inves</w:t>
      </w:r>
      <w:r w:rsidR="00B47524" w:rsidRPr="000D05C2">
        <w:rPr>
          <w:rFonts w:asciiTheme="minorHAnsi" w:hAnsiTheme="minorHAnsi" w:cstheme="minorHAnsi"/>
          <w:sz w:val="24"/>
        </w:rPr>
        <w:t>torovi</w:t>
      </w:r>
      <w:r w:rsidR="009A0453" w:rsidRPr="000D05C2">
        <w:rPr>
          <w:rFonts w:asciiTheme="minorHAnsi" w:hAnsiTheme="minorHAnsi" w:cstheme="minorHAnsi"/>
          <w:sz w:val="24"/>
        </w:rPr>
        <w:t xml:space="preserve">, jaké údaje </w:t>
      </w:r>
      <w:r w:rsidR="005B00DA" w:rsidRPr="000D05C2">
        <w:rPr>
          <w:rFonts w:asciiTheme="minorHAnsi" w:hAnsiTheme="minorHAnsi" w:cstheme="minorHAnsi"/>
          <w:sz w:val="24"/>
        </w:rPr>
        <w:t xml:space="preserve">do </w:t>
      </w:r>
      <w:r w:rsidR="0064159B">
        <w:rPr>
          <w:rFonts w:asciiTheme="minorHAnsi" w:hAnsiTheme="minorHAnsi" w:cstheme="minorHAnsi"/>
          <w:sz w:val="24"/>
        </w:rPr>
        <w:t>ukazatele</w:t>
      </w:r>
      <w:r w:rsidR="009A0453" w:rsidRPr="000D05C2">
        <w:rPr>
          <w:rFonts w:asciiTheme="minorHAnsi" w:hAnsiTheme="minorHAnsi" w:cstheme="minorHAnsi"/>
          <w:sz w:val="24"/>
        </w:rPr>
        <w:t xml:space="preserve"> zahrne, nemá t</w:t>
      </w:r>
      <w:r w:rsidR="004E4DC0" w:rsidRPr="000D05C2">
        <w:rPr>
          <w:rFonts w:asciiTheme="minorHAnsi" w:hAnsiTheme="minorHAnsi" w:cstheme="minorHAnsi"/>
          <w:sz w:val="24"/>
        </w:rPr>
        <w:t>akový ukazatel dostatečnou vypovídací schopnost pro hodnocení přínosu zón.</w:t>
      </w:r>
      <w:r w:rsidR="00054A0F" w:rsidRPr="000D05C2">
        <w:rPr>
          <w:rFonts w:asciiTheme="minorHAnsi" w:hAnsiTheme="minorHAnsi" w:cstheme="minorHAnsi"/>
          <w:sz w:val="24"/>
        </w:rPr>
        <w:t xml:space="preserve"> </w:t>
      </w:r>
    </w:p>
    <w:p w14:paraId="30A27EB9" w14:textId="77777777" w:rsidR="008078D8" w:rsidRPr="000D05C2" w:rsidRDefault="008078D8" w:rsidP="00CA6892">
      <w:pPr>
        <w:rPr>
          <w:rFonts w:asciiTheme="minorHAnsi" w:hAnsiTheme="minorHAnsi" w:cstheme="minorHAnsi"/>
          <w:sz w:val="24"/>
        </w:rPr>
      </w:pPr>
    </w:p>
    <w:p w14:paraId="64E456F2" w14:textId="77777777" w:rsidR="008078D8" w:rsidRPr="00EE4048" w:rsidRDefault="008078D8" w:rsidP="00132100">
      <w:pPr>
        <w:rPr>
          <w:rFonts w:asciiTheme="minorHAnsi" w:hAnsiTheme="minorHAnsi" w:cstheme="minorHAnsi"/>
          <w:b/>
          <w:bCs/>
          <w:sz w:val="24"/>
        </w:rPr>
      </w:pPr>
      <w:r w:rsidRPr="00EE4048">
        <w:rPr>
          <w:rFonts w:asciiTheme="minorHAnsi" w:hAnsiTheme="minorHAnsi" w:cstheme="minorHAnsi"/>
          <w:b/>
          <w:bCs/>
          <w:sz w:val="24"/>
        </w:rPr>
        <w:t xml:space="preserve">Neúplná a neaktuální data pro hodnocení </w:t>
      </w:r>
    </w:p>
    <w:p w14:paraId="26E876A7" w14:textId="77777777" w:rsidR="00CA6892" w:rsidRDefault="00CA6892" w:rsidP="00176D39">
      <w:pPr>
        <w:rPr>
          <w:rFonts w:asciiTheme="minorHAnsi" w:hAnsiTheme="minorHAnsi" w:cstheme="minorHAnsi"/>
          <w:sz w:val="24"/>
        </w:rPr>
      </w:pPr>
    </w:p>
    <w:p w14:paraId="3F1CBE5C" w14:textId="60EAA9C1" w:rsidR="00623458" w:rsidRPr="00EE4048" w:rsidRDefault="00D82175" w:rsidP="00176D39">
      <w:pPr>
        <w:rPr>
          <w:rFonts w:asciiTheme="minorHAnsi" w:hAnsiTheme="minorHAnsi" w:cstheme="minorHAnsi"/>
          <w:sz w:val="24"/>
        </w:rPr>
      </w:pPr>
      <w:r w:rsidRPr="00EE4048">
        <w:rPr>
          <w:rFonts w:asciiTheme="minorHAnsi" w:hAnsiTheme="minorHAnsi" w:cstheme="minorHAnsi"/>
          <w:sz w:val="24"/>
        </w:rPr>
        <w:t xml:space="preserve">Program 222 230 má být vyhodnocen v roce 2023, ale </w:t>
      </w:r>
      <w:r w:rsidR="00A624FC">
        <w:rPr>
          <w:rFonts w:asciiTheme="minorHAnsi" w:hAnsiTheme="minorHAnsi" w:cstheme="minorHAnsi"/>
          <w:sz w:val="24"/>
        </w:rPr>
        <w:t xml:space="preserve">MPO předpokládá </w:t>
      </w:r>
      <w:r w:rsidRPr="00EE4048">
        <w:rPr>
          <w:rFonts w:asciiTheme="minorHAnsi" w:hAnsiTheme="minorHAnsi" w:cstheme="minorHAnsi"/>
          <w:sz w:val="24"/>
        </w:rPr>
        <w:t>dosažení</w:t>
      </w:r>
      <w:r w:rsidR="0091552D">
        <w:rPr>
          <w:rFonts w:asciiTheme="minorHAnsi" w:hAnsiTheme="minorHAnsi" w:cstheme="minorHAnsi"/>
          <w:sz w:val="24"/>
        </w:rPr>
        <w:t xml:space="preserve"> </w:t>
      </w:r>
      <w:r w:rsidRPr="00EE4048">
        <w:rPr>
          <w:rFonts w:asciiTheme="minorHAnsi" w:hAnsiTheme="minorHAnsi" w:cstheme="minorHAnsi"/>
          <w:sz w:val="24"/>
        </w:rPr>
        <w:t>očekávaného počtu nově vytvořených pracovních míst a výš</w:t>
      </w:r>
      <w:r w:rsidR="00A624FC">
        <w:rPr>
          <w:rFonts w:asciiTheme="minorHAnsi" w:hAnsiTheme="minorHAnsi" w:cstheme="minorHAnsi"/>
          <w:sz w:val="24"/>
        </w:rPr>
        <w:t>e</w:t>
      </w:r>
      <w:r w:rsidRPr="00EE4048">
        <w:rPr>
          <w:rFonts w:asciiTheme="minorHAnsi" w:hAnsiTheme="minorHAnsi" w:cstheme="minorHAnsi"/>
          <w:sz w:val="24"/>
        </w:rPr>
        <w:t xml:space="preserve"> přímých investic </w:t>
      </w:r>
      <w:r w:rsidR="00845392" w:rsidRPr="00EE4048">
        <w:rPr>
          <w:rFonts w:asciiTheme="minorHAnsi" w:hAnsiTheme="minorHAnsi" w:cstheme="minorHAnsi"/>
          <w:sz w:val="24"/>
        </w:rPr>
        <w:t xml:space="preserve">celkem za program </w:t>
      </w:r>
      <w:r w:rsidRPr="00EE4048">
        <w:rPr>
          <w:rFonts w:asciiTheme="minorHAnsi" w:hAnsiTheme="minorHAnsi" w:cstheme="minorHAnsi"/>
          <w:sz w:val="24"/>
        </w:rPr>
        <w:t xml:space="preserve">nejdříve v roce 2030. </w:t>
      </w:r>
      <w:r w:rsidR="00E04150" w:rsidRPr="00EE4048">
        <w:rPr>
          <w:rFonts w:asciiTheme="minorHAnsi" w:hAnsiTheme="minorHAnsi" w:cstheme="minorHAnsi"/>
          <w:sz w:val="24"/>
        </w:rPr>
        <w:t xml:space="preserve">MPO nezajistilo průkaznost údajů pro hodnocení, </w:t>
      </w:r>
      <w:r w:rsidR="0064159B">
        <w:rPr>
          <w:rFonts w:asciiTheme="minorHAnsi" w:hAnsiTheme="minorHAnsi" w:cstheme="minorHAnsi"/>
          <w:sz w:val="24"/>
        </w:rPr>
        <w:t>navíc</w:t>
      </w:r>
      <w:r w:rsidR="00E04150" w:rsidRPr="00EE4048">
        <w:rPr>
          <w:rFonts w:asciiTheme="minorHAnsi" w:hAnsiTheme="minorHAnsi" w:cstheme="minorHAnsi"/>
          <w:sz w:val="24"/>
        </w:rPr>
        <w:t xml:space="preserve"> údaje nebudou v roce 2023 ani aktuální a úplné</w:t>
      </w:r>
      <w:r w:rsidR="00F91022" w:rsidRPr="00EE4048">
        <w:rPr>
          <w:rFonts w:asciiTheme="minorHAnsi" w:hAnsiTheme="minorHAnsi" w:cstheme="minorHAnsi"/>
          <w:sz w:val="24"/>
        </w:rPr>
        <w:t>,</w:t>
      </w:r>
      <w:r w:rsidR="00E04150" w:rsidRPr="00EE4048">
        <w:rPr>
          <w:rFonts w:asciiTheme="minorHAnsi" w:hAnsiTheme="minorHAnsi" w:cstheme="minorHAnsi"/>
          <w:sz w:val="24"/>
        </w:rPr>
        <w:t xml:space="preserve"> protože</w:t>
      </w:r>
      <w:r w:rsidR="00F30FAA" w:rsidRPr="00EE4048">
        <w:rPr>
          <w:rFonts w:asciiTheme="minorHAnsi" w:hAnsiTheme="minorHAnsi" w:cstheme="minorHAnsi"/>
          <w:sz w:val="24"/>
        </w:rPr>
        <w:t xml:space="preserve"> z celkových 33 akcí</w:t>
      </w:r>
      <w:r w:rsidR="00E04150" w:rsidRPr="00EE4048">
        <w:rPr>
          <w:rFonts w:asciiTheme="minorHAnsi" w:hAnsiTheme="minorHAnsi" w:cstheme="minorHAnsi"/>
          <w:sz w:val="24"/>
        </w:rPr>
        <w:t>:</w:t>
      </w:r>
      <w:r w:rsidR="00623458" w:rsidRPr="00EE4048">
        <w:rPr>
          <w:rFonts w:asciiTheme="minorHAnsi" w:hAnsiTheme="minorHAnsi" w:cstheme="minorHAnsi"/>
          <w:sz w:val="24"/>
        </w:rPr>
        <w:t xml:space="preserve"> </w:t>
      </w:r>
    </w:p>
    <w:p w14:paraId="4CBF9328" w14:textId="24D4FA09" w:rsidR="00623458" w:rsidRPr="00EE4048" w:rsidRDefault="00623458" w:rsidP="00C64085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E4048">
        <w:rPr>
          <w:rFonts w:asciiTheme="minorHAnsi" w:hAnsiTheme="minorHAnsi" w:cstheme="minorHAnsi"/>
          <w:sz w:val="24"/>
          <w:szCs w:val="24"/>
        </w:rPr>
        <w:t xml:space="preserve">u šesti akcí MPO stanovilo </w:t>
      </w:r>
      <w:r w:rsidR="00D82175" w:rsidRPr="00EE4048">
        <w:rPr>
          <w:rFonts w:asciiTheme="minorHAnsi" w:hAnsiTheme="minorHAnsi" w:cstheme="minorHAnsi"/>
          <w:sz w:val="24"/>
          <w:szCs w:val="24"/>
        </w:rPr>
        <w:t xml:space="preserve">termín stanovený </w:t>
      </w:r>
      <w:r w:rsidR="00845392" w:rsidRPr="00EE4048">
        <w:rPr>
          <w:rFonts w:asciiTheme="minorHAnsi" w:hAnsiTheme="minorHAnsi" w:cstheme="minorHAnsi"/>
          <w:sz w:val="24"/>
          <w:szCs w:val="24"/>
        </w:rPr>
        <w:t>pro dosažení cílových</w:t>
      </w:r>
      <w:r w:rsidR="00D82175" w:rsidRPr="00EE4048">
        <w:rPr>
          <w:rFonts w:asciiTheme="minorHAnsi" w:hAnsiTheme="minorHAnsi" w:cstheme="minorHAnsi"/>
          <w:sz w:val="24"/>
          <w:szCs w:val="24"/>
        </w:rPr>
        <w:t xml:space="preserve"> hodnot</w:t>
      </w:r>
      <w:r w:rsidR="00845392" w:rsidRPr="00EE4048">
        <w:rPr>
          <w:rFonts w:asciiTheme="minorHAnsi" w:hAnsiTheme="minorHAnsi" w:cstheme="minorHAnsi"/>
          <w:sz w:val="24"/>
          <w:szCs w:val="24"/>
        </w:rPr>
        <w:t xml:space="preserve"> </w:t>
      </w:r>
      <w:r w:rsidR="00DD191F" w:rsidRPr="00EE4048">
        <w:rPr>
          <w:rFonts w:asciiTheme="minorHAnsi" w:hAnsiTheme="minorHAnsi" w:cstheme="minorHAnsi"/>
          <w:sz w:val="24"/>
          <w:szCs w:val="24"/>
        </w:rPr>
        <w:t>výš</w:t>
      </w:r>
      <w:r w:rsidR="0064159B">
        <w:rPr>
          <w:rFonts w:asciiTheme="minorHAnsi" w:hAnsiTheme="minorHAnsi" w:cstheme="minorHAnsi"/>
          <w:sz w:val="24"/>
          <w:szCs w:val="24"/>
        </w:rPr>
        <w:t>e</w:t>
      </w:r>
      <w:r w:rsidR="00DD191F" w:rsidRPr="00EE4048">
        <w:rPr>
          <w:rFonts w:asciiTheme="minorHAnsi" w:hAnsiTheme="minorHAnsi" w:cstheme="minorHAnsi"/>
          <w:sz w:val="24"/>
          <w:szCs w:val="24"/>
        </w:rPr>
        <w:t xml:space="preserve"> investice a</w:t>
      </w:r>
      <w:r w:rsidR="008448F4">
        <w:rPr>
          <w:rFonts w:asciiTheme="minorHAnsi" w:hAnsiTheme="minorHAnsi" w:cstheme="minorHAnsi"/>
          <w:sz w:val="24"/>
          <w:szCs w:val="24"/>
        </w:rPr>
        <w:t> </w:t>
      </w:r>
      <w:r w:rsidR="00DD191F" w:rsidRPr="00EE4048">
        <w:rPr>
          <w:rFonts w:asciiTheme="minorHAnsi" w:hAnsiTheme="minorHAnsi" w:cstheme="minorHAnsi"/>
          <w:sz w:val="24"/>
          <w:szCs w:val="24"/>
        </w:rPr>
        <w:t>počtu pracovních míst</w:t>
      </w:r>
      <w:r w:rsidRPr="00EE4048">
        <w:rPr>
          <w:rFonts w:asciiTheme="minorHAnsi" w:hAnsiTheme="minorHAnsi" w:cstheme="minorHAnsi"/>
          <w:sz w:val="24"/>
          <w:szCs w:val="24"/>
        </w:rPr>
        <w:t xml:space="preserve"> až</w:t>
      </w:r>
      <w:r w:rsidR="00D82175" w:rsidRPr="00EE4048">
        <w:rPr>
          <w:rFonts w:asciiTheme="minorHAnsi" w:hAnsiTheme="minorHAnsi" w:cstheme="minorHAnsi"/>
          <w:sz w:val="24"/>
          <w:szCs w:val="24"/>
        </w:rPr>
        <w:t xml:space="preserve"> po roce 2023</w:t>
      </w:r>
      <w:r w:rsidR="00F30FAA" w:rsidRPr="00EE4048">
        <w:rPr>
          <w:rFonts w:asciiTheme="minorHAnsi" w:hAnsiTheme="minorHAnsi" w:cstheme="minorHAnsi"/>
          <w:sz w:val="24"/>
          <w:szCs w:val="24"/>
        </w:rPr>
        <w:t>;</w:t>
      </w:r>
    </w:p>
    <w:p w14:paraId="6C7D4729" w14:textId="77777777" w:rsidR="00623458" w:rsidRPr="00EE4048" w:rsidRDefault="00F30FAA" w:rsidP="00C64085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E4048">
        <w:rPr>
          <w:rFonts w:asciiTheme="minorHAnsi" w:hAnsiTheme="minorHAnsi" w:cstheme="minorHAnsi"/>
          <w:sz w:val="24"/>
          <w:szCs w:val="24"/>
        </w:rPr>
        <w:t>u</w:t>
      </w:r>
      <w:r w:rsidR="00845392" w:rsidRPr="00EE4048">
        <w:rPr>
          <w:rFonts w:asciiTheme="minorHAnsi" w:hAnsiTheme="minorHAnsi" w:cstheme="minorHAnsi"/>
          <w:sz w:val="24"/>
          <w:szCs w:val="24"/>
        </w:rPr>
        <w:t xml:space="preserve"> tří </w:t>
      </w:r>
      <w:r w:rsidR="00054A0F" w:rsidRPr="00EE4048">
        <w:rPr>
          <w:rFonts w:asciiTheme="minorHAnsi" w:hAnsiTheme="minorHAnsi" w:cstheme="minorHAnsi"/>
          <w:sz w:val="24"/>
          <w:szCs w:val="24"/>
        </w:rPr>
        <w:t xml:space="preserve">dalších </w:t>
      </w:r>
      <w:r w:rsidR="00845392" w:rsidRPr="00EE4048">
        <w:rPr>
          <w:rFonts w:asciiTheme="minorHAnsi" w:hAnsiTheme="minorHAnsi" w:cstheme="minorHAnsi"/>
          <w:sz w:val="24"/>
          <w:szCs w:val="24"/>
        </w:rPr>
        <w:t>akcí MPO nastavilo ukazatele tak, že umožnilo případné posunutí termínu pro splnění jejich cí</w:t>
      </w:r>
      <w:r w:rsidRPr="00EE4048">
        <w:rPr>
          <w:rFonts w:asciiTheme="minorHAnsi" w:hAnsiTheme="minorHAnsi" w:cstheme="minorHAnsi"/>
          <w:sz w:val="24"/>
          <w:szCs w:val="24"/>
        </w:rPr>
        <w:t>lových hodnot až po roce 2030;</w:t>
      </w:r>
      <w:r w:rsidR="00131606" w:rsidRPr="00EE40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FE3BC" w14:textId="630985E4" w:rsidR="00623458" w:rsidRPr="00EE4048" w:rsidRDefault="00054A0F" w:rsidP="00C64085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E4048">
        <w:rPr>
          <w:rFonts w:asciiTheme="minorHAnsi" w:hAnsiTheme="minorHAnsi" w:cstheme="minorHAnsi"/>
          <w:sz w:val="24"/>
          <w:szCs w:val="24"/>
        </w:rPr>
        <w:t>v</w:t>
      </w:r>
      <w:r w:rsidR="0004742E" w:rsidRPr="00EE4048">
        <w:rPr>
          <w:rFonts w:asciiTheme="minorHAnsi" w:hAnsiTheme="minorHAnsi" w:cstheme="minorHAnsi"/>
          <w:sz w:val="24"/>
          <w:szCs w:val="24"/>
        </w:rPr>
        <w:t> době kontroly u sedmi podpořených akcí, resp. sedmi průmyslových zón</w:t>
      </w:r>
      <w:r w:rsidR="00A624FC">
        <w:rPr>
          <w:rFonts w:asciiTheme="minorHAnsi" w:hAnsiTheme="minorHAnsi" w:cstheme="minorHAnsi"/>
          <w:sz w:val="24"/>
          <w:szCs w:val="24"/>
        </w:rPr>
        <w:t>,</w:t>
      </w:r>
      <w:r w:rsidR="0004742E" w:rsidRPr="00EE4048">
        <w:rPr>
          <w:rFonts w:asciiTheme="minorHAnsi" w:hAnsiTheme="minorHAnsi" w:cstheme="minorHAnsi"/>
          <w:sz w:val="24"/>
          <w:szCs w:val="24"/>
        </w:rPr>
        <w:t xml:space="preserve"> již uplynula doba, po kterou jsou </w:t>
      </w:r>
      <w:r w:rsidR="00623458" w:rsidRPr="00EE4048">
        <w:rPr>
          <w:rFonts w:asciiTheme="minorHAnsi" w:hAnsiTheme="minorHAnsi" w:cstheme="minorHAnsi"/>
          <w:sz w:val="24"/>
          <w:szCs w:val="24"/>
        </w:rPr>
        <w:t>příjemci povinni předkládat výše uvedené údaje</w:t>
      </w:r>
      <w:r w:rsidR="00B57854" w:rsidRPr="00EE4048">
        <w:rPr>
          <w:rFonts w:asciiTheme="minorHAnsi" w:hAnsiTheme="minorHAnsi" w:cstheme="minorHAnsi"/>
          <w:sz w:val="24"/>
          <w:szCs w:val="24"/>
        </w:rPr>
        <w:t>. V</w:t>
      </w:r>
      <w:r w:rsidR="0004742E" w:rsidRPr="00EE4048">
        <w:rPr>
          <w:rFonts w:asciiTheme="minorHAnsi" w:hAnsiTheme="minorHAnsi" w:cstheme="minorHAnsi"/>
          <w:sz w:val="24"/>
          <w:szCs w:val="24"/>
        </w:rPr>
        <w:t> roce 2030 se bude</w:t>
      </w:r>
      <w:r w:rsidR="00F30FAA" w:rsidRPr="00EE4048">
        <w:rPr>
          <w:rFonts w:asciiTheme="minorHAnsi" w:hAnsiTheme="minorHAnsi" w:cstheme="minorHAnsi"/>
          <w:sz w:val="24"/>
          <w:szCs w:val="24"/>
        </w:rPr>
        <w:t xml:space="preserve"> jednat o další tři takové zóny;</w:t>
      </w:r>
      <w:r w:rsidR="0004742E" w:rsidRPr="00EE40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70763D" w14:textId="7F6277D5" w:rsidR="00623458" w:rsidRPr="00EC6ECB" w:rsidRDefault="00F30FAA" w:rsidP="00CA6892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C6ECB">
        <w:rPr>
          <w:rFonts w:asciiTheme="minorHAnsi" w:hAnsiTheme="minorHAnsi" w:cstheme="minorHAnsi"/>
          <w:sz w:val="24"/>
          <w:szCs w:val="24"/>
        </w:rPr>
        <w:t>u</w:t>
      </w:r>
      <w:r w:rsidR="00F368AF" w:rsidRPr="00EC6ECB">
        <w:rPr>
          <w:rFonts w:asciiTheme="minorHAnsi" w:hAnsiTheme="minorHAnsi" w:cstheme="minorHAnsi"/>
          <w:sz w:val="24"/>
          <w:szCs w:val="24"/>
        </w:rPr>
        <w:t xml:space="preserve"> tří akcí </w:t>
      </w:r>
      <w:r w:rsidR="00623458" w:rsidRPr="00EC6ECB">
        <w:rPr>
          <w:rFonts w:asciiTheme="minorHAnsi" w:hAnsiTheme="minorHAnsi" w:cstheme="minorHAnsi"/>
          <w:sz w:val="24"/>
          <w:szCs w:val="24"/>
        </w:rPr>
        <w:t xml:space="preserve">MPO </w:t>
      </w:r>
      <w:r w:rsidR="00F368AF" w:rsidRPr="00EC6ECB">
        <w:rPr>
          <w:rFonts w:asciiTheme="minorHAnsi" w:hAnsiTheme="minorHAnsi" w:cstheme="minorHAnsi"/>
          <w:sz w:val="24"/>
          <w:szCs w:val="24"/>
        </w:rPr>
        <w:t>stanovilo v </w:t>
      </w:r>
      <w:r w:rsidR="00A624FC">
        <w:rPr>
          <w:rFonts w:asciiTheme="minorHAnsi" w:hAnsiTheme="minorHAnsi" w:cstheme="minorHAnsi"/>
          <w:sz w:val="24"/>
          <w:szCs w:val="24"/>
        </w:rPr>
        <w:t>r</w:t>
      </w:r>
      <w:r w:rsidR="00F368AF" w:rsidRPr="00EC6ECB">
        <w:rPr>
          <w:rFonts w:asciiTheme="minorHAnsi" w:hAnsiTheme="minorHAnsi" w:cstheme="minorHAnsi"/>
          <w:sz w:val="24"/>
          <w:szCs w:val="24"/>
        </w:rPr>
        <w:t>ozhodnutích o poskytnutí dotace závazné cílové hodnoty počtu nově vytvořených pracovních míst a výše nově příchozích investic, ale nestanovilo</w:t>
      </w:r>
      <w:r w:rsidRPr="00EC6ECB">
        <w:rPr>
          <w:rFonts w:asciiTheme="minorHAnsi" w:hAnsiTheme="minorHAnsi" w:cstheme="minorHAnsi"/>
          <w:sz w:val="24"/>
          <w:szCs w:val="24"/>
        </w:rPr>
        <w:t xml:space="preserve"> cílový rok pro jejich splnění;</w:t>
      </w:r>
    </w:p>
    <w:p w14:paraId="54750549" w14:textId="224AAD6E" w:rsidR="00623458" w:rsidRDefault="00F30FAA" w:rsidP="00CA6892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C6ECB">
        <w:rPr>
          <w:rFonts w:asciiTheme="minorHAnsi" w:hAnsiTheme="minorHAnsi" w:cstheme="minorHAnsi"/>
          <w:sz w:val="24"/>
          <w:szCs w:val="24"/>
        </w:rPr>
        <w:t>u</w:t>
      </w:r>
      <w:r w:rsidR="00F368AF" w:rsidRPr="00EC6ECB">
        <w:rPr>
          <w:rFonts w:asciiTheme="minorHAnsi" w:hAnsiTheme="minorHAnsi" w:cstheme="minorHAnsi"/>
          <w:sz w:val="24"/>
          <w:szCs w:val="24"/>
        </w:rPr>
        <w:t xml:space="preserve"> dvou akcí </w:t>
      </w:r>
      <w:r w:rsidR="00A624FC" w:rsidRPr="00EC6ECB">
        <w:rPr>
          <w:rFonts w:asciiTheme="minorHAnsi" w:hAnsiTheme="minorHAnsi" w:cstheme="minorHAnsi"/>
          <w:sz w:val="24"/>
          <w:szCs w:val="24"/>
        </w:rPr>
        <w:t xml:space="preserve">vůbec </w:t>
      </w:r>
      <w:r w:rsidR="00F368AF" w:rsidRPr="00EC6ECB">
        <w:rPr>
          <w:rFonts w:asciiTheme="minorHAnsi" w:hAnsiTheme="minorHAnsi" w:cstheme="minorHAnsi"/>
          <w:sz w:val="24"/>
          <w:szCs w:val="24"/>
        </w:rPr>
        <w:t>nestanovilo ukazatele pro</w:t>
      </w:r>
      <w:r w:rsidR="002A7106" w:rsidRPr="00EC6ECB">
        <w:rPr>
          <w:rFonts w:asciiTheme="minorHAnsi" w:hAnsiTheme="minorHAnsi" w:cstheme="minorHAnsi"/>
          <w:sz w:val="24"/>
          <w:szCs w:val="24"/>
        </w:rPr>
        <w:t xml:space="preserve"> hodnocení jejich přínosů</w:t>
      </w:r>
      <w:r w:rsidR="00346962">
        <w:rPr>
          <w:rFonts w:asciiTheme="minorHAnsi" w:hAnsiTheme="minorHAnsi" w:cstheme="minorHAnsi"/>
          <w:sz w:val="24"/>
          <w:szCs w:val="24"/>
        </w:rPr>
        <w:t>.</w:t>
      </w:r>
    </w:p>
    <w:p w14:paraId="679A430D" w14:textId="77777777" w:rsidR="00346962" w:rsidRPr="001D1FED" w:rsidRDefault="00346962" w:rsidP="001D1FED">
      <w:pPr>
        <w:rPr>
          <w:rFonts w:asciiTheme="minorHAnsi" w:hAnsiTheme="minorHAnsi" w:cstheme="minorHAnsi"/>
          <w:sz w:val="24"/>
        </w:rPr>
      </w:pPr>
    </w:p>
    <w:p w14:paraId="28589691" w14:textId="128F0FF3" w:rsidR="00F368AF" w:rsidRPr="001D1FED" w:rsidRDefault="00623458" w:rsidP="001D1FED">
      <w:pPr>
        <w:rPr>
          <w:rFonts w:asciiTheme="minorHAnsi" w:hAnsiTheme="minorHAnsi" w:cstheme="minorHAnsi"/>
          <w:sz w:val="24"/>
        </w:rPr>
      </w:pPr>
      <w:r w:rsidRPr="001D1FED">
        <w:rPr>
          <w:rFonts w:asciiTheme="minorHAnsi" w:hAnsiTheme="minorHAnsi" w:cstheme="minorHAnsi"/>
          <w:sz w:val="24"/>
        </w:rPr>
        <w:t>Příjemci podpory nejsou povinni</w:t>
      </w:r>
      <w:r w:rsidR="00F368AF" w:rsidRPr="001D1FED">
        <w:rPr>
          <w:rFonts w:asciiTheme="minorHAnsi" w:hAnsiTheme="minorHAnsi" w:cstheme="minorHAnsi"/>
          <w:sz w:val="24"/>
        </w:rPr>
        <w:t xml:space="preserve"> ve výroční zprávě o stavu obsazenosti průmyslové zóny uvádět informace o tom, kolik z vykázaných vytvořených pracovních míst bylo obsazeno nezaměstnanými, cizinci a agenturními zaměstnanci tak, aby MPO mohlo přesněji vyhodnotit dopad podpory na zaměstnanost v regionu a </w:t>
      </w:r>
      <w:r w:rsidR="00A82EDE" w:rsidRPr="001D1FED">
        <w:rPr>
          <w:rFonts w:asciiTheme="minorHAnsi" w:hAnsiTheme="minorHAnsi" w:cstheme="minorHAnsi"/>
          <w:sz w:val="24"/>
        </w:rPr>
        <w:t xml:space="preserve">na </w:t>
      </w:r>
      <w:r w:rsidR="00F368AF" w:rsidRPr="001D1FED">
        <w:rPr>
          <w:rFonts w:asciiTheme="minorHAnsi" w:hAnsiTheme="minorHAnsi" w:cstheme="minorHAnsi"/>
          <w:sz w:val="24"/>
        </w:rPr>
        <w:t xml:space="preserve">státní rozpočet. </w:t>
      </w:r>
    </w:p>
    <w:p w14:paraId="6994F25E" w14:textId="77777777" w:rsidR="0004742E" w:rsidRPr="009F2252" w:rsidRDefault="0004742E" w:rsidP="00CA6892">
      <w:pPr>
        <w:rPr>
          <w:rFonts w:asciiTheme="minorHAnsi" w:hAnsiTheme="minorHAnsi" w:cstheme="minorHAnsi"/>
          <w:szCs w:val="22"/>
        </w:rPr>
      </w:pPr>
    </w:p>
    <w:p w14:paraId="1222FB1C" w14:textId="77777777" w:rsidR="00132100" w:rsidRPr="005A2B5B" w:rsidRDefault="006B2B6E" w:rsidP="00CA6892">
      <w:pPr>
        <w:rPr>
          <w:rFonts w:asciiTheme="minorHAnsi" w:hAnsiTheme="minorHAnsi" w:cstheme="minorHAnsi"/>
          <w:b/>
          <w:bCs/>
          <w:sz w:val="24"/>
        </w:rPr>
      </w:pPr>
      <w:r w:rsidRPr="005A2B5B">
        <w:rPr>
          <w:rFonts w:asciiTheme="minorHAnsi" w:hAnsiTheme="minorHAnsi" w:cstheme="minorHAnsi"/>
          <w:b/>
          <w:bCs/>
          <w:sz w:val="24"/>
        </w:rPr>
        <w:t xml:space="preserve">2. </w:t>
      </w:r>
      <w:r w:rsidR="005A2B5B">
        <w:rPr>
          <w:rFonts w:asciiTheme="minorHAnsi" w:hAnsiTheme="minorHAnsi" w:cstheme="minorHAnsi"/>
          <w:b/>
          <w:bCs/>
          <w:sz w:val="24"/>
        </w:rPr>
        <w:t>Ne</w:t>
      </w:r>
      <w:r w:rsidR="0056116B">
        <w:rPr>
          <w:rFonts w:asciiTheme="minorHAnsi" w:hAnsiTheme="minorHAnsi" w:cstheme="minorHAnsi"/>
          <w:b/>
          <w:bCs/>
          <w:sz w:val="24"/>
        </w:rPr>
        <w:t>průkazná</w:t>
      </w:r>
      <w:r w:rsidR="005A2B5B" w:rsidRPr="005A2B5B">
        <w:rPr>
          <w:rFonts w:asciiTheme="minorHAnsi" w:hAnsiTheme="minorHAnsi" w:cstheme="minorHAnsi"/>
          <w:b/>
          <w:bCs/>
          <w:sz w:val="24"/>
        </w:rPr>
        <w:t xml:space="preserve"> m</w:t>
      </w:r>
      <w:r w:rsidR="00132100" w:rsidRPr="005A2B5B">
        <w:rPr>
          <w:rFonts w:asciiTheme="minorHAnsi" w:hAnsiTheme="minorHAnsi" w:cstheme="minorHAnsi"/>
          <w:b/>
          <w:bCs/>
          <w:sz w:val="24"/>
        </w:rPr>
        <w:t>etoda hodnocení efektivnosti podpory průmyslových zón</w:t>
      </w:r>
    </w:p>
    <w:p w14:paraId="6308176B" w14:textId="77777777" w:rsidR="006B2B6E" w:rsidRPr="00CA6892" w:rsidRDefault="006B2B6E" w:rsidP="00CA6892">
      <w:pPr>
        <w:rPr>
          <w:rFonts w:asciiTheme="minorHAnsi" w:hAnsiTheme="minorHAnsi" w:cstheme="minorHAnsi"/>
          <w:sz w:val="24"/>
        </w:rPr>
      </w:pPr>
    </w:p>
    <w:p w14:paraId="48775131" w14:textId="77777777" w:rsidR="00132100" w:rsidRPr="00EC6ECB" w:rsidRDefault="0056116B" w:rsidP="00CA6892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Neúplný m</w:t>
      </w:r>
      <w:r w:rsidR="00132100" w:rsidRPr="00EC6ECB">
        <w:rPr>
          <w:rFonts w:asciiTheme="minorHAnsi" w:hAnsiTheme="minorHAnsi" w:cstheme="minorHAnsi"/>
          <w:b/>
          <w:sz w:val="24"/>
        </w:rPr>
        <w:t>odel efektivity</w:t>
      </w:r>
    </w:p>
    <w:p w14:paraId="24729F2B" w14:textId="77777777" w:rsidR="00CA6892" w:rsidRDefault="00CA6892" w:rsidP="00CA6892">
      <w:pPr>
        <w:rPr>
          <w:rFonts w:asciiTheme="minorHAnsi" w:hAnsiTheme="minorHAnsi" w:cstheme="minorHAnsi"/>
          <w:sz w:val="24"/>
        </w:rPr>
      </w:pPr>
    </w:p>
    <w:p w14:paraId="5C50EA58" w14:textId="2762144A" w:rsidR="002A7106" w:rsidRPr="00EC6ECB" w:rsidRDefault="005E3C97" w:rsidP="00CA6892">
      <w:pPr>
        <w:rPr>
          <w:rFonts w:asciiTheme="minorHAnsi" w:hAnsiTheme="minorHAnsi" w:cstheme="minorHAnsi"/>
          <w:sz w:val="24"/>
        </w:rPr>
      </w:pPr>
      <w:r w:rsidRPr="00EC6ECB">
        <w:rPr>
          <w:rFonts w:asciiTheme="minorHAnsi" w:hAnsiTheme="minorHAnsi" w:cstheme="minorHAnsi"/>
          <w:sz w:val="24"/>
        </w:rPr>
        <w:t>Pro účely vyhodnocení ekono</w:t>
      </w:r>
      <w:r w:rsidR="00E7727A" w:rsidRPr="00EC6ECB">
        <w:rPr>
          <w:rFonts w:asciiTheme="minorHAnsi" w:hAnsiTheme="minorHAnsi" w:cstheme="minorHAnsi"/>
          <w:sz w:val="24"/>
        </w:rPr>
        <w:t>mické účinnosti podpory průmyslových zón</w:t>
      </w:r>
      <w:r w:rsidRPr="00EC6ECB">
        <w:rPr>
          <w:rFonts w:asciiTheme="minorHAnsi" w:hAnsiTheme="minorHAnsi" w:cstheme="minorHAnsi"/>
          <w:sz w:val="24"/>
        </w:rPr>
        <w:t xml:space="preserve"> vyp</w:t>
      </w:r>
      <w:r w:rsidR="00623458" w:rsidRPr="00EC6ECB">
        <w:rPr>
          <w:rFonts w:asciiTheme="minorHAnsi" w:hAnsiTheme="minorHAnsi" w:cstheme="minorHAnsi"/>
          <w:sz w:val="24"/>
        </w:rPr>
        <w:t>racoval</w:t>
      </w:r>
      <w:r w:rsidR="007E2C25">
        <w:rPr>
          <w:rFonts w:asciiTheme="minorHAnsi" w:hAnsiTheme="minorHAnsi" w:cstheme="minorHAnsi"/>
          <w:sz w:val="24"/>
        </w:rPr>
        <w:t>a agentura</w:t>
      </w:r>
      <w:r w:rsidR="00623458" w:rsidRPr="00EC6ECB">
        <w:rPr>
          <w:rFonts w:asciiTheme="minorHAnsi" w:hAnsiTheme="minorHAnsi" w:cstheme="minorHAnsi"/>
          <w:sz w:val="24"/>
        </w:rPr>
        <w:t xml:space="preserve"> CzechInvest metodiku </w:t>
      </w:r>
      <w:r w:rsidR="00EC6ECB">
        <w:rPr>
          <w:rFonts w:asciiTheme="minorHAnsi" w:hAnsiTheme="minorHAnsi" w:cstheme="minorHAnsi"/>
          <w:sz w:val="24"/>
        </w:rPr>
        <w:t>–</w:t>
      </w:r>
      <w:r w:rsidR="00623458" w:rsidRPr="00EC6ECB">
        <w:rPr>
          <w:rFonts w:asciiTheme="minorHAnsi" w:hAnsiTheme="minorHAnsi" w:cstheme="minorHAnsi"/>
          <w:sz w:val="24"/>
        </w:rPr>
        <w:t xml:space="preserve"> </w:t>
      </w:r>
      <w:r w:rsidR="00E7727A" w:rsidRPr="00EC6ECB">
        <w:rPr>
          <w:rFonts w:asciiTheme="minorHAnsi" w:hAnsiTheme="minorHAnsi" w:cstheme="minorHAnsi"/>
          <w:sz w:val="24"/>
        </w:rPr>
        <w:t xml:space="preserve">model efektivity, </w:t>
      </w:r>
      <w:r w:rsidR="00346962">
        <w:rPr>
          <w:rFonts w:asciiTheme="minorHAnsi" w:hAnsiTheme="minorHAnsi" w:cstheme="minorHAnsi"/>
          <w:sz w:val="24"/>
        </w:rPr>
        <w:t xml:space="preserve">jehož </w:t>
      </w:r>
      <w:r w:rsidR="00E7727A" w:rsidRPr="00EC6ECB">
        <w:rPr>
          <w:rFonts w:asciiTheme="minorHAnsi" w:hAnsiTheme="minorHAnsi" w:cstheme="minorHAnsi"/>
          <w:sz w:val="24"/>
        </w:rPr>
        <w:t>p</w:t>
      </w:r>
      <w:r w:rsidRPr="00EC6ECB">
        <w:rPr>
          <w:rFonts w:asciiTheme="minorHAnsi" w:hAnsiTheme="minorHAnsi" w:cstheme="minorHAnsi"/>
          <w:sz w:val="24"/>
        </w:rPr>
        <w:t>omocí</w:t>
      </w:r>
      <w:r w:rsidR="006E7F57" w:rsidRPr="00EC6ECB">
        <w:rPr>
          <w:rFonts w:asciiTheme="minorHAnsi" w:hAnsiTheme="minorHAnsi" w:cstheme="minorHAnsi"/>
          <w:sz w:val="24"/>
        </w:rPr>
        <w:t xml:space="preserve"> v roce 2005 vypočítal očekávaný</w:t>
      </w:r>
      <w:r w:rsidRPr="00EC6ECB">
        <w:rPr>
          <w:rFonts w:asciiTheme="minorHAnsi" w:hAnsiTheme="minorHAnsi" w:cstheme="minorHAnsi"/>
          <w:sz w:val="24"/>
        </w:rPr>
        <w:t xml:space="preserve"> </w:t>
      </w:r>
      <w:r w:rsidR="006E7F57" w:rsidRPr="00EC6ECB">
        <w:rPr>
          <w:rFonts w:asciiTheme="minorHAnsi" w:hAnsiTheme="minorHAnsi" w:cstheme="minorHAnsi"/>
          <w:sz w:val="24"/>
        </w:rPr>
        <w:t xml:space="preserve">kladný </w:t>
      </w:r>
      <w:r w:rsidRPr="00EC6ECB">
        <w:rPr>
          <w:rFonts w:asciiTheme="minorHAnsi" w:hAnsiTheme="minorHAnsi" w:cstheme="minorHAnsi"/>
          <w:sz w:val="24"/>
        </w:rPr>
        <w:t>dopa</w:t>
      </w:r>
      <w:r w:rsidR="00E7727A" w:rsidRPr="00EC6ECB">
        <w:rPr>
          <w:rFonts w:asciiTheme="minorHAnsi" w:hAnsiTheme="minorHAnsi" w:cstheme="minorHAnsi"/>
          <w:sz w:val="24"/>
        </w:rPr>
        <w:t>d podpory</w:t>
      </w:r>
      <w:r w:rsidRPr="00EC6ECB">
        <w:rPr>
          <w:rFonts w:asciiTheme="minorHAnsi" w:hAnsiTheme="minorHAnsi" w:cstheme="minorHAnsi"/>
          <w:sz w:val="24"/>
        </w:rPr>
        <w:t xml:space="preserve"> na státní rozpočet</w:t>
      </w:r>
      <w:r w:rsidR="00846AED" w:rsidRPr="00EC6ECB">
        <w:rPr>
          <w:rFonts w:asciiTheme="minorHAnsi" w:hAnsiTheme="minorHAnsi" w:cstheme="minorHAnsi"/>
          <w:sz w:val="24"/>
        </w:rPr>
        <w:t xml:space="preserve"> do roku 2014</w:t>
      </w:r>
      <w:r w:rsidR="006E7F57" w:rsidRPr="00EC6ECB">
        <w:rPr>
          <w:rFonts w:asciiTheme="minorHAnsi" w:hAnsiTheme="minorHAnsi" w:cstheme="minorHAnsi"/>
          <w:sz w:val="24"/>
        </w:rPr>
        <w:t xml:space="preserve"> ve výši 24 593 mil. Kč</w:t>
      </w:r>
      <w:r w:rsidRPr="00EC6ECB">
        <w:rPr>
          <w:rFonts w:asciiTheme="minorHAnsi" w:hAnsiTheme="minorHAnsi" w:cstheme="minorHAnsi"/>
          <w:sz w:val="24"/>
        </w:rPr>
        <w:t xml:space="preserve">. </w:t>
      </w:r>
      <w:r w:rsidR="00EC6ECB">
        <w:rPr>
          <w:rFonts w:asciiTheme="minorHAnsi" w:hAnsiTheme="minorHAnsi" w:cstheme="minorHAnsi"/>
          <w:sz w:val="24"/>
        </w:rPr>
        <w:t>NKÚ v roce </w:t>
      </w:r>
      <w:r w:rsidR="003926C4" w:rsidRPr="00EC6ECB">
        <w:rPr>
          <w:rFonts w:asciiTheme="minorHAnsi" w:hAnsiTheme="minorHAnsi" w:cstheme="minorHAnsi"/>
          <w:sz w:val="24"/>
        </w:rPr>
        <w:t xml:space="preserve">2004 a opakovaně v roce </w:t>
      </w:r>
      <w:r w:rsidR="00E7727A" w:rsidRPr="00EC6ECB">
        <w:rPr>
          <w:rFonts w:asciiTheme="minorHAnsi" w:hAnsiTheme="minorHAnsi" w:cstheme="minorHAnsi"/>
          <w:sz w:val="24"/>
        </w:rPr>
        <w:t xml:space="preserve">2009 zjistil, že </w:t>
      </w:r>
      <w:r w:rsidRPr="00EC6ECB">
        <w:rPr>
          <w:rFonts w:asciiTheme="minorHAnsi" w:hAnsiTheme="minorHAnsi" w:cstheme="minorHAnsi"/>
          <w:sz w:val="24"/>
        </w:rPr>
        <w:t xml:space="preserve">vyhodnocení dopadu mělo nízkou vypovídací schopnost, bylo neúplné a nevěrohodné. </w:t>
      </w:r>
    </w:p>
    <w:p w14:paraId="273B14E0" w14:textId="77777777" w:rsidR="002A7106" w:rsidRPr="00EC6ECB" w:rsidRDefault="002A7106" w:rsidP="00132100">
      <w:pPr>
        <w:rPr>
          <w:rFonts w:asciiTheme="minorHAnsi" w:hAnsiTheme="minorHAnsi" w:cstheme="minorHAnsi"/>
          <w:sz w:val="24"/>
        </w:rPr>
      </w:pPr>
    </w:p>
    <w:p w14:paraId="209CA63A" w14:textId="525C55BC" w:rsidR="002A7106" w:rsidRPr="00EC6ECB" w:rsidRDefault="00E7727A" w:rsidP="00132100">
      <w:pPr>
        <w:rPr>
          <w:rFonts w:asciiTheme="minorHAnsi" w:hAnsiTheme="minorHAnsi" w:cstheme="minorHAnsi"/>
          <w:sz w:val="24"/>
        </w:rPr>
      </w:pPr>
      <w:r w:rsidRPr="00EC6ECB">
        <w:rPr>
          <w:rFonts w:asciiTheme="minorHAnsi" w:hAnsiTheme="minorHAnsi" w:cstheme="minorHAnsi"/>
          <w:sz w:val="24"/>
        </w:rPr>
        <w:t>V</w:t>
      </w:r>
      <w:r w:rsidR="005E3C97" w:rsidRPr="00EC6ECB">
        <w:rPr>
          <w:rFonts w:asciiTheme="minorHAnsi" w:hAnsiTheme="minorHAnsi" w:cstheme="minorHAnsi"/>
          <w:sz w:val="24"/>
        </w:rPr>
        <w:t> červnu 2015 MPO</w:t>
      </w:r>
      <w:r w:rsidR="00346962" w:rsidRPr="00346962">
        <w:rPr>
          <w:rFonts w:asciiTheme="minorHAnsi" w:hAnsiTheme="minorHAnsi" w:cstheme="minorHAnsi"/>
          <w:sz w:val="24"/>
        </w:rPr>
        <w:t xml:space="preserve"> </w:t>
      </w:r>
      <w:r w:rsidR="00346962" w:rsidRPr="00EC6ECB">
        <w:rPr>
          <w:rFonts w:asciiTheme="minorHAnsi" w:hAnsiTheme="minorHAnsi" w:cstheme="minorHAnsi"/>
          <w:sz w:val="24"/>
        </w:rPr>
        <w:t>upravilo</w:t>
      </w:r>
      <w:r w:rsidR="005E3C97" w:rsidRPr="00EC6ECB">
        <w:rPr>
          <w:rFonts w:asciiTheme="minorHAnsi" w:hAnsiTheme="minorHAnsi" w:cstheme="minorHAnsi"/>
          <w:sz w:val="24"/>
        </w:rPr>
        <w:t xml:space="preserve"> model efektivity </w:t>
      </w:r>
      <w:r w:rsidRPr="00EC6ECB">
        <w:rPr>
          <w:rFonts w:asciiTheme="minorHAnsi" w:hAnsiTheme="minorHAnsi" w:cstheme="minorHAnsi"/>
          <w:sz w:val="24"/>
        </w:rPr>
        <w:t xml:space="preserve">a přiložilo </w:t>
      </w:r>
      <w:r w:rsidR="00346962">
        <w:rPr>
          <w:rFonts w:asciiTheme="minorHAnsi" w:hAnsiTheme="minorHAnsi" w:cstheme="minorHAnsi"/>
          <w:sz w:val="24"/>
        </w:rPr>
        <w:t>jej k </w:t>
      </w:r>
      <w:r w:rsidR="005E3C97" w:rsidRPr="00EC6ECB">
        <w:rPr>
          <w:rFonts w:asciiTheme="minorHAnsi" w:hAnsiTheme="minorHAnsi" w:cstheme="minorHAnsi"/>
          <w:sz w:val="24"/>
        </w:rPr>
        <w:t>aktualizované dokumentac</w:t>
      </w:r>
      <w:r w:rsidR="00346962">
        <w:rPr>
          <w:rFonts w:asciiTheme="minorHAnsi" w:hAnsiTheme="minorHAnsi" w:cstheme="minorHAnsi"/>
          <w:sz w:val="24"/>
        </w:rPr>
        <w:t>i</w:t>
      </w:r>
      <w:r w:rsidR="005E3C97" w:rsidRPr="00EC6ECB">
        <w:rPr>
          <w:rFonts w:asciiTheme="minorHAnsi" w:hAnsiTheme="minorHAnsi" w:cstheme="minorHAnsi"/>
          <w:sz w:val="24"/>
        </w:rPr>
        <w:t xml:space="preserve"> programu 222 230, </w:t>
      </w:r>
      <w:r w:rsidR="00A82EDE" w:rsidRPr="00EC6ECB">
        <w:rPr>
          <w:rFonts w:asciiTheme="minorHAnsi" w:hAnsiTheme="minorHAnsi" w:cstheme="minorHAnsi"/>
          <w:sz w:val="24"/>
        </w:rPr>
        <w:t>schválené vládou ČR</w:t>
      </w:r>
      <w:r w:rsidR="00C52DE6" w:rsidRPr="00EC6ECB">
        <w:rPr>
          <w:rFonts w:asciiTheme="minorHAnsi" w:hAnsiTheme="minorHAnsi" w:cstheme="minorHAnsi"/>
          <w:sz w:val="24"/>
        </w:rPr>
        <w:t>. U</w:t>
      </w:r>
      <w:r w:rsidR="005E3C97" w:rsidRPr="00EC6ECB">
        <w:rPr>
          <w:rFonts w:asciiTheme="minorHAnsi" w:hAnsiTheme="minorHAnsi" w:cstheme="minorHAnsi"/>
          <w:sz w:val="24"/>
        </w:rPr>
        <w:t xml:space="preserve">pravený </w:t>
      </w:r>
      <w:r w:rsidR="00C52DE6" w:rsidRPr="00EC6ECB">
        <w:rPr>
          <w:rFonts w:asciiTheme="minorHAnsi" w:hAnsiTheme="minorHAnsi" w:cstheme="minorHAnsi"/>
          <w:sz w:val="24"/>
        </w:rPr>
        <w:t xml:space="preserve">model </w:t>
      </w:r>
      <w:r w:rsidR="00846AED" w:rsidRPr="00EC6ECB">
        <w:rPr>
          <w:rFonts w:asciiTheme="minorHAnsi" w:hAnsiTheme="minorHAnsi" w:cstheme="minorHAnsi"/>
          <w:sz w:val="24"/>
        </w:rPr>
        <w:t>byl</w:t>
      </w:r>
      <w:r w:rsidR="005E3C97" w:rsidRPr="00EC6ECB">
        <w:rPr>
          <w:rFonts w:asciiTheme="minorHAnsi" w:hAnsiTheme="minorHAnsi" w:cstheme="minorHAnsi"/>
          <w:sz w:val="24"/>
        </w:rPr>
        <w:t xml:space="preserve"> zpracován na období 2005 až 2030</w:t>
      </w:r>
      <w:r w:rsidR="00846AED" w:rsidRPr="00EC6ECB">
        <w:rPr>
          <w:rFonts w:asciiTheme="minorHAnsi" w:hAnsiTheme="minorHAnsi" w:cstheme="minorHAnsi"/>
          <w:sz w:val="24"/>
        </w:rPr>
        <w:t xml:space="preserve">. </w:t>
      </w:r>
      <w:r w:rsidR="005E3C97" w:rsidRPr="00EC6ECB">
        <w:rPr>
          <w:rFonts w:asciiTheme="minorHAnsi" w:hAnsiTheme="minorHAnsi" w:cstheme="minorHAnsi"/>
          <w:sz w:val="24"/>
        </w:rPr>
        <w:t>Z porovnání původního modelu a upraveného modelu</w:t>
      </w:r>
      <w:r w:rsidR="005A2B5B">
        <w:rPr>
          <w:rFonts w:asciiTheme="minorHAnsi" w:hAnsiTheme="minorHAnsi" w:cstheme="minorHAnsi"/>
          <w:sz w:val="24"/>
        </w:rPr>
        <w:t>, které provedl NKÚ</w:t>
      </w:r>
      <w:r w:rsidR="005E3C97" w:rsidRPr="00EC6ECB">
        <w:rPr>
          <w:rFonts w:asciiTheme="minorHAnsi" w:hAnsiTheme="minorHAnsi" w:cstheme="minorHAnsi"/>
          <w:sz w:val="24"/>
        </w:rPr>
        <w:t xml:space="preserve"> </w:t>
      </w:r>
      <w:r w:rsidR="006E7F57" w:rsidRPr="00EC6ECB">
        <w:rPr>
          <w:rFonts w:asciiTheme="minorHAnsi" w:hAnsiTheme="minorHAnsi" w:cstheme="minorHAnsi"/>
          <w:sz w:val="24"/>
        </w:rPr>
        <w:t>za</w:t>
      </w:r>
      <w:r w:rsidR="00346962">
        <w:rPr>
          <w:rFonts w:asciiTheme="minorHAnsi" w:hAnsiTheme="minorHAnsi" w:cstheme="minorHAnsi"/>
          <w:sz w:val="24"/>
        </w:rPr>
        <w:t xml:space="preserve"> </w:t>
      </w:r>
      <w:r w:rsidR="006E7F57" w:rsidRPr="00EC6ECB">
        <w:rPr>
          <w:rFonts w:asciiTheme="minorHAnsi" w:hAnsiTheme="minorHAnsi" w:cstheme="minorHAnsi"/>
          <w:sz w:val="24"/>
        </w:rPr>
        <w:t>použití skutečných hodnot</w:t>
      </w:r>
      <w:r w:rsidR="005C0227">
        <w:rPr>
          <w:rFonts w:asciiTheme="minorHAnsi" w:hAnsiTheme="minorHAnsi" w:cstheme="minorHAnsi"/>
          <w:sz w:val="24"/>
        </w:rPr>
        <w:t>,</w:t>
      </w:r>
      <w:r w:rsidR="006E7F57" w:rsidRPr="00EC6ECB">
        <w:rPr>
          <w:rFonts w:asciiTheme="minorHAnsi" w:hAnsiTheme="minorHAnsi" w:cstheme="minorHAnsi"/>
          <w:sz w:val="24"/>
        </w:rPr>
        <w:t xml:space="preserve"> </w:t>
      </w:r>
      <w:r w:rsidR="005E3C97" w:rsidRPr="00EC6ECB">
        <w:rPr>
          <w:rFonts w:asciiTheme="minorHAnsi" w:hAnsiTheme="minorHAnsi" w:cstheme="minorHAnsi"/>
          <w:sz w:val="24"/>
        </w:rPr>
        <w:t xml:space="preserve">vyplynulo, že </w:t>
      </w:r>
      <w:r w:rsidR="006E7F57" w:rsidRPr="00EC6ECB">
        <w:rPr>
          <w:rFonts w:asciiTheme="minorHAnsi" w:hAnsiTheme="minorHAnsi" w:cstheme="minorHAnsi"/>
          <w:sz w:val="24"/>
        </w:rPr>
        <w:t xml:space="preserve">dopad podpory </w:t>
      </w:r>
      <w:r w:rsidR="00102725">
        <w:rPr>
          <w:rFonts w:asciiTheme="minorHAnsi" w:hAnsiTheme="minorHAnsi" w:cstheme="minorHAnsi"/>
          <w:sz w:val="24"/>
        </w:rPr>
        <w:t xml:space="preserve">pro státní rozpočet </w:t>
      </w:r>
      <w:r w:rsidR="009F7E67">
        <w:rPr>
          <w:rFonts w:asciiTheme="minorHAnsi" w:hAnsiTheme="minorHAnsi" w:cstheme="minorHAnsi"/>
          <w:sz w:val="24"/>
        </w:rPr>
        <w:t>v roce </w:t>
      </w:r>
      <w:r w:rsidR="006E7F57" w:rsidRPr="00EC6ECB">
        <w:rPr>
          <w:rFonts w:asciiTheme="minorHAnsi" w:hAnsiTheme="minorHAnsi" w:cstheme="minorHAnsi"/>
          <w:sz w:val="24"/>
        </w:rPr>
        <w:t>2014 byl ve skutečno</w:t>
      </w:r>
      <w:r w:rsidR="00A82EDE" w:rsidRPr="00EC6ECB">
        <w:rPr>
          <w:rFonts w:asciiTheme="minorHAnsi" w:hAnsiTheme="minorHAnsi" w:cstheme="minorHAnsi"/>
          <w:sz w:val="24"/>
        </w:rPr>
        <w:t>sti záporný, tzn.</w:t>
      </w:r>
      <w:r w:rsidR="00B46888" w:rsidRPr="00EC6ECB">
        <w:rPr>
          <w:rFonts w:asciiTheme="minorHAnsi" w:hAnsiTheme="minorHAnsi" w:cstheme="minorHAnsi"/>
          <w:sz w:val="24"/>
        </w:rPr>
        <w:t>,</w:t>
      </w:r>
      <w:r w:rsidR="00A82EDE" w:rsidRPr="00EC6ECB">
        <w:rPr>
          <w:rFonts w:asciiTheme="minorHAnsi" w:hAnsiTheme="minorHAnsi" w:cstheme="minorHAnsi"/>
          <w:sz w:val="24"/>
        </w:rPr>
        <w:t xml:space="preserve"> </w:t>
      </w:r>
      <w:r w:rsidR="00346962">
        <w:rPr>
          <w:rFonts w:asciiTheme="minorHAnsi" w:hAnsiTheme="minorHAnsi" w:cstheme="minorHAnsi"/>
          <w:sz w:val="24"/>
        </w:rPr>
        <w:t xml:space="preserve">že </w:t>
      </w:r>
      <w:r w:rsidR="00A82EDE" w:rsidRPr="00EC6ECB">
        <w:rPr>
          <w:rFonts w:asciiTheme="minorHAnsi" w:hAnsiTheme="minorHAnsi" w:cstheme="minorHAnsi"/>
          <w:sz w:val="24"/>
        </w:rPr>
        <w:t xml:space="preserve">výdaje státu </w:t>
      </w:r>
      <w:r w:rsidR="00EE4C31" w:rsidRPr="00EC6ECB">
        <w:rPr>
          <w:rFonts w:asciiTheme="minorHAnsi" w:hAnsiTheme="minorHAnsi" w:cstheme="minorHAnsi"/>
          <w:sz w:val="24"/>
        </w:rPr>
        <w:t xml:space="preserve">byly </w:t>
      </w:r>
      <w:r w:rsidR="006E7F57" w:rsidRPr="00EC6ECB">
        <w:rPr>
          <w:rFonts w:asciiTheme="minorHAnsi" w:hAnsiTheme="minorHAnsi" w:cstheme="minorHAnsi"/>
          <w:sz w:val="24"/>
        </w:rPr>
        <w:t xml:space="preserve">do roku 2014 </w:t>
      </w:r>
      <w:r w:rsidR="005414EF" w:rsidRPr="00EC6ECB">
        <w:rPr>
          <w:rFonts w:asciiTheme="minorHAnsi" w:hAnsiTheme="minorHAnsi" w:cstheme="minorHAnsi"/>
          <w:sz w:val="24"/>
        </w:rPr>
        <w:t>o 1 458 mil. Kč</w:t>
      </w:r>
      <w:r w:rsidR="00773B29" w:rsidRPr="00EC6ECB">
        <w:rPr>
          <w:rFonts w:asciiTheme="minorHAnsi" w:hAnsiTheme="minorHAnsi" w:cstheme="minorHAnsi"/>
          <w:sz w:val="24"/>
        </w:rPr>
        <w:t xml:space="preserve"> vyšší</w:t>
      </w:r>
      <w:r w:rsidR="006E7F57" w:rsidRPr="00EC6ECB">
        <w:rPr>
          <w:rFonts w:asciiTheme="minorHAnsi" w:hAnsiTheme="minorHAnsi" w:cstheme="minorHAnsi"/>
          <w:sz w:val="24"/>
        </w:rPr>
        <w:t xml:space="preserve"> než přínos z</w:t>
      </w:r>
      <w:r w:rsidR="001158EE" w:rsidRPr="00EC6ECB">
        <w:rPr>
          <w:rFonts w:asciiTheme="minorHAnsi" w:hAnsiTheme="minorHAnsi" w:cstheme="minorHAnsi"/>
          <w:sz w:val="24"/>
        </w:rPr>
        <w:t> </w:t>
      </w:r>
      <w:r w:rsidR="006E7F57" w:rsidRPr="00EC6ECB">
        <w:rPr>
          <w:rFonts w:asciiTheme="minorHAnsi" w:hAnsiTheme="minorHAnsi" w:cstheme="minorHAnsi"/>
          <w:sz w:val="24"/>
        </w:rPr>
        <w:t>podpory</w:t>
      </w:r>
      <w:r w:rsidR="001158EE" w:rsidRPr="00EC6ECB">
        <w:rPr>
          <w:rFonts w:asciiTheme="minorHAnsi" w:hAnsiTheme="minorHAnsi" w:cstheme="minorHAnsi"/>
          <w:sz w:val="24"/>
        </w:rPr>
        <w:t>.</w:t>
      </w:r>
      <w:r w:rsidR="005D5D0B" w:rsidRPr="00EC6ECB">
        <w:rPr>
          <w:rFonts w:asciiTheme="minorHAnsi" w:hAnsiTheme="minorHAnsi" w:cstheme="minorHAnsi"/>
          <w:sz w:val="24"/>
        </w:rPr>
        <w:t xml:space="preserve"> U</w:t>
      </w:r>
      <w:r w:rsidR="001158EE" w:rsidRPr="00EC6ECB">
        <w:rPr>
          <w:rFonts w:asciiTheme="minorHAnsi" w:hAnsiTheme="minorHAnsi" w:cstheme="minorHAnsi"/>
          <w:sz w:val="24"/>
        </w:rPr>
        <w:t xml:space="preserve">pravený model </w:t>
      </w:r>
      <w:r w:rsidR="0047741B" w:rsidRPr="00EC6ECB">
        <w:rPr>
          <w:rFonts w:asciiTheme="minorHAnsi" w:hAnsiTheme="minorHAnsi" w:cstheme="minorHAnsi"/>
          <w:sz w:val="24"/>
        </w:rPr>
        <w:t xml:space="preserve">také nově </w:t>
      </w:r>
      <w:r w:rsidR="001158EE" w:rsidRPr="00EC6ECB">
        <w:rPr>
          <w:rFonts w:asciiTheme="minorHAnsi" w:hAnsiTheme="minorHAnsi" w:cstheme="minorHAnsi"/>
          <w:sz w:val="24"/>
        </w:rPr>
        <w:t xml:space="preserve">předpokládá, že </w:t>
      </w:r>
      <w:r w:rsidR="00C52DE6" w:rsidRPr="00EC6ECB">
        <w:rPr>
          <w:rFonts w:asciiTheme="minorHAnsi" w:hAnsiTheme="minorHAnsi" w:cstheme="minorHAnsi"/>
          <w:sz w:val="24"/>
        </w:rPr>
        <w:t xml:space="preserve">kumulativní </w:t>
      </w:r>
      <w:r w:rsidR="005E3C97" w:rsidRPr="00EC6ECB">
        <w:rPr>
          <w:rFonts w:asciiTheme="minorHAnsi" w:hAnsiTheme="minorHAnsi" w:cstheme="minorHAnsi"/>
          <w:sz w:val="24"/>
        </w:rPr>
        <w:t xml:space="preserve">dopad podpory na státní </w:t>
      </w:r>
      <w:r w:rsidR="005E3C97" w:rsidRPr="00EC6ECB">
        <w:rPr>
          <w:rFonts w:asciiTheme="minorHAnsi" w:hAnsiTheme="minorHAnsi" w:cstheme="minorHAnsi"/>
          <w:sz w:val="24"/>
        </w:rPr>
        <w:lastRenderedPageBreak/>
        <w:t xml:space="preserve">rozpočet </w:t>
      </w:r>
      <w:r w:rsidR="001158EE" w:rsidRPr="00EC6ECB">
        <w:rPr>
          <w:rFonts w:asciiTheme="minorHAnsi" w:hAnsiTheme="minorHAnsi" w:cstheme="minorHAnsi"/>
          <w:sz w:val="24"/>
        </w:rPr>
        <w:t xml:space="preserve">bude záporný až do </w:t>
      </w:r>
      <w:r w:rsidR="00C52DE6" w:rsidRPr="00EC6ECB">
        <w:rPr>
          <w:rFonts w:asciiTheme="minorHAnsi" w:hAnsiTheme="minorHAnsi" w:cstheme="minorHAnsi"/>
          <w:sz w:val="24"/>
        </w:rPr>
        <w:t>rok</w:t>
      </w:r>
      <w:r w:rsidR="001158EE" w:rsidRPr="00EC6ECB">
        <w:rPr>
          <w:rFonts w:asciiTheme="minorHAnsi" w:hAnsiTheme="minorHAnsi" w:cstheme="minorHAnsi"/>
          <w:sz w:val="24"/>
        </w:rPr>
        <w:t>u 2020. Původně očekávaný přínos ve výši 24</w:t>
      </w:r>
      <w:r w:rsidR="00F91022" w:rsidRPr="00EC6ECB">
        <w:rPr>
          <w:rFonts w:asciiTheme="minorHAnsi" w:hAnsiTheme="minorHAnsi" w:cstheme="minorHAnsi"/>
          <w:sz w:val="24"/>
        </w:rPr>
        <w:t> </w:t>
      </w:r>
      <w:r w:rsidR="001158EE" w:rsidRPr="00EC6ECB">
        <w:rPr>
          <w:rFonts w:asciiTheme="minorHAnsi" w:hAnsiTheme="minorHAnsi" w:cstheme="minorHAnsi"/>
          <w:sz w:val="24"/>
        </w:rPr>
        <w:t>593</w:t>
      </w:r>
      <w:r w:rsidR="00F91022" w:rsidRPr="00EC6ECB">
        <w:rPr>
          <w:rFonts w:asciiTheme="minorHAnsi" w:hAnsiTheme="minorHAnsi" w:cstheme="minorHAnsi"/>
          <w:sz w:val="24"/>
        </w:rPr>
        <w:t xml:space="preserve"> mil. Kč</w:t>
      </w:r>
      <w:r w:rsidR="001158EE" w:rsidRPr="00EC6ECB">
        <w:rPr>
          <w:rFonts w:asciiTheme="minorHAnsi" w:hAnsiTheme="minorHAnsi" w:cstheme="minorHAnsi"/>
          <w:sz w:val="24"/>
        </w:rPr>
        <w:t xml:space="preserve"> ale nebude dosažen ani v roce 2030, </w:t>
      </w:r>
      <w:r w:rsidR="00102725">
        <w:rPr>
          <w:rFonts w:asciiTheme="minorHAnsi" w:hAnsiTheme="minorHAnsi" w:cstheme="minorHAnsi"/>
          <w:sz w:val="24"/>
        </w:rPr>
        <w:t>kdy</w:t>
      </w:r>
      <w:r w:rsidR="001158EE" w:rsidRPr="00EC6ECB">
        <w:rPr>
          <w:rFonts w:asciiTheme="minorHAnsi" w:hAnsiTheme="minorHAnsi" w:cstheme="minorHAnsi"/>
          <w:sz w:val="24"/>
        </w:rPr>
        <w:t xml:space="preserve"> má činit </w:t>
      </w:r>
      <w:r w:rsidR="00102725">
        <w:rPr>
          <w:rFonts w:asciiTheme="minorHAnsi" w:hAnsiTheme="minorHAnsi" w:cstheme="minorHAnsi"/>
          <w:sz w:val="24"/>
        </w:rPr>
        <w:t xml:space="preserve">pouze </w:t>
      </w:r>
      <w:r w:rsidR="001158EE" w:rsidRPr="00EC6ECB">
        <w:rPr>
          <w:rFonts w:asciiTheme="minorHAnsi" w:hAnsiTheme="minorHAnsi" w:cstheme="minorHAnsi"/>
          <w:sz w:val="24"/>
        </w:rPr>
        <w:t xml:space="preserve">11 677 mil. Kč. </w:t>
      </w:r>
    </w:p>
    <w:p w14:paraId="34A1B22C" w14:textId="77777777" w:rsidR="002A7106" w:rsidRPr="00EC6ECB" w:rsidRDefault="002A7106" w:rsidP="00132100">
      <w:pPr>
        <w:rPr>
          <w:rFonts w:asciiTheme="minorHAnsi" w:hAnsiTheme="minorHAnsi" w:cstheme="minorHAnsi"/>
          <w:sz w:val="24"/>
        </w:rPr>
      </w:pPr>
    </w:p>
    <w:p w14:paraId="3A3D172E" w14:textId="7B197FD6" w:rsidR="001E275A" w:rsidRPr="00EC6ECB" w:rsidRDefault="005414EF" w:rsidP="00132100">
      <w:pPr>
        <w:rPr>
          <w:rFonts w:asciiTheme="minorHAnsi" w:hAnsiTheme="minorHAnsi" w:cstheme="minorHAnsi"/>
          <w:sz w:val="24"/>
        </w:rPr>
      </w:pPr>
      <w:r w:rsidRPr="00EC6ECB">
        <w:rPr>
          <w:rFonts w:asciiTheme="minorHAnsi" w:hAnsiTheme="minorHAnsi" w:cstheme="minorHAnsi"/>
          <w:sz w:val="24"/>
        </w:rPr>
        <w:t>Zhoršení dopadu na státní rozpočet v upraveném modelu bylo</w:t>
      </w:r>
      <w:r w:rsidR="001158EE" w:rsidRPr="00EC6ECB">
        <w:rPr>
          <w:rFonts w:asciiTheme="minorHAnsi" w:hAnsiTheme="minorHAnsi" w:cstheme="minorHAnsi"/>
          <w:sz w:val="24"/>
        </w:rPr>
        <w:t xml:space="preserve"> </w:t>
      </w:r>
      <w:r w:rsidR="005E3C97" w:rsidRPr="00EC6ECB">
        <w:rPr>
          <w:rFonts w:asciiTheme="minorHAnsi" w:hAnsiTheme="minorHAnsi" w:cstheme="minorHAnsi"/>
          <w:sz w:val="24"/>
        </w:rPr>
        <w:t>ovlivněn</w:t>
      </w:r>
      <w:r w:rsidRPr="00EC6ECB">
        <w:rPr>
          <w:rFonts w:asciiTheme="minorHAnsi" w:hAnsiTheme="minorHAnsi" w:cstheme="minorHAnsi"/>
          <w:sz w:val="24"/>
        </w:rPr>
        <w:t>o</w:t>
      </w:r>
      <w:r w:rsidR="005E3C97" w:rsidRPr="00EC6ECB">
        <w:rPr>
          <w:rFonts w:asciiTheme="minorHAnsi" w:hAnsiTheme="minorHAnsi" w:cstheme="minorHAnsi"/>
          <w:sz w:val="24"/>
        </w:rPr>
        <w:t xml:space="preserve"> </w:t>
      </w:r>
      <w:r w:rsidR="005D5D0B" w:rsidRPr="00EC6ECB">
        <w:rPr>
          <w:rFonts w:asciiTheme="minorHAnsi" w:hAnsiTheme="minorHAnsi" w:cstheme="minorHAnsi"/>
          <w:sz w:val="24"/>
        </w:rPr>
        <w:t>změnou metodiky výpočtu, kdy v</w:t>
      </w:r>
      <w:r w:rsidR="00A82EDE" w:rsidRPr="00EC6ECB">
        <w:rPr>
          <w:rFonts w:asciiTheme="minorHAnsi" w:hAnsiTheme="minorHAnsi" w:cstheme="minorHAnsi"/>
          <w:sz w:val="24"/>
        </w:rPr>
        <w:t> </w:t>
      </w:r>
      <w:r w:rsidR="005D5D0B" w:rsidRPr="00EC6ECB">
        <w:rPr>
          <w:rFonts w:asciiTheme="minorHAnsi" w:hAnsiTheme="minorHAnsi" w:cstheme="minorHAnsi"/>
          <w:sz w:val="24"/>
        </w:rPr>
        <w:t xml:space="preserve">upraveném modelu MPO </w:t>
      </w:r>
      <w:r w:rsidR="00A91BEF">
        <w:rPr>
          <w:rFonts w:asciiTheme="minorHAnsi" w:hAnsiTheme="minorHAnsi" w:cstheme="minorHAnsi"/>
          <w:sz w:val="24"/>
        </w:rPr>
        <w:t>počítalo</w:t>
      </w:r>
      <w:r w:rsidR="005D5D0B" w:rsidRPr="00EC6ECB">
        <w:rPr>
          <w:rFonts w:asciiTheme="minorHAnsi" w:hAnsiTheme="minorHAnsi" w:cstheme="minorHAnsi"/>
          <w:sz w:val="24"/>
        </w:rPr>
        <w:t xml:space="preserve"> jen s 15% vlivem podpory na zaměstnanost </w:t>
      </w:r>
      <w:r w:rsidR="0047741B" w:rsidRPr="00EC6ECB">
        <w:rPr>
          <w:rFonts w:asciiTheme="minorHAnsi" w:hAnsiTheme="minorHAnsi" w:cstheme="minorHAnsi"/>
          <w:sz w:val="24"/>
        </w:rPr>
        <w:t>(</w:t>
      </w:r>
      <w:r w:rsidR="005D5D0B" w:rsidRPr="00EC6ECB">
        <w:rPr>
          <w:rFonts w:asciiTheme="minorHAnsi" w:hAnsiTheme="minorHAnsi" w:cstheme="minorHAnsi"/>
          <w:sz w:val="24"/>
        </w:rPr>
        <w:t>oproti původnímu 50%</w:t>
      </w:r>
      <w:r w:rsidR="0047741B" w:rsidRPr="00EC6ECB">
        <w:rPr>
          <w:rFonts w:asciiTheme="minorHAnsi" w:hAnsiTheme="minorHAnsi" w:cstheme="minorHAnsi"/>
          <w:sz w:val="24"/>
        </w:rPr>
        <w:t xml:space="preserve"> vlivu) a </w:t>
      </w:r>
      <w:r w:rsidR="00A82EDE" w:rsidRPr="00EC6ECB">
        <w:rPr>
          <w:rFonts w:asciiTheme="minorHAnsi" w:hAnsiTheme="minorHAnsi" w:cstheme="minorHAnsi"/>
          <w:sz w:val="24"/>
        </w:rPr>
        <w:t xml:space="preserve">již </w:t>
      </w:r>
      <w:r w:rsidR="0047741B" w:rsidRPr="00EC6ECB">
        <w:rPr>
          <w:rFonts w:asciiTheme="minorHAnsi" w:hAnsiTheme="minorHAnsi" w:cstheme="minorHAnsi"/>
          <w:sz w:val="24"/>
        </w:rPr>
        <w:t>ne</w:t>
      </w:r>
      <w:r w:rsidR="00A91BEF">
        <w:rPr>
          <w:rFonts w:asciiTheme="minorHAnsi" w:hAnsiTheme="minorHAnsi" w:cstheme="minorHAnsi"/>
          <w:sz w:val="24"/>
        </w:rPr>
        <w:t>kalkulovalo</w:t>
      </w:r>
      <w:r w:rsidR="005D5D0B" w:rsidRPr="00EC6ECB">
        <w:rPr>
          <w:rFonts w:asciiTheme="minorHAnsi" w:hAnsiTheme="minorHAnsi" w:cstheme="minorHAnsi"/>
          <w:sz w:val="24"/>
        </w:rPr>
        <w:t xml:space="preserve"> s nepřímými pracovními místy</w:t>
      </w:r>
      <w:r w:rsidR="0047741B" w:rsidRPr="00EC6ECB">
        <w:rPr>
          <w:rFonts w:asciiTheme="minorHAnsi" w:hAnsiTheme="minorHAnsi" w:cstheme="minorHAnsi"/>
          <w:sz w:val="24"/>
        </w:rPr>
        <w:t xml:space="preserve">. </w:t>
      </w:r>
      <w:r w:rsidR="00B72DDA" w:rsidRPr="00EC6ECB">
        <w:rPr>
          <w:rFonts w:asciiTheme="minorHAnsi" w:hAnsiTheme="minorHAnsi" w:cstheme="minorHAnsi"/>
          <w:sz w:val="24"/>
        </w:rPr>
        <w:t xml:space="preserve">Vzhledem k aktuální situaci na trhu práce </w:t>
      </w:r>
      <w:r w:rsidR="00A82EDE" w:rsidRPr="00EC6ECB">
        <w:rPr>
          <w:rFonts w:asciiTheme="minorHAnsi" w:hAnsiTheme="minorHAnsi" w:cstheme="minorHAnsi"/>
          <w:sz w:val="24"/>
        </w:rPr>
        <w:t>mohou mít některé zóny</w:t>
      </w:r>
      <w:r w:rsidR="00A91BEF">
        <w:rPr>
          <w:rFonts w:asciiTheme="minorHAnsi" w:hAnsiTheme="minorHAnsi" w:cstheme="minorHAnsi"/>
          <w:sz w:val="24"/>
        </w:rPr>
        <w:t xml:space="preserve"> </w:t>
      </w:r>
      <w:r w:rsidR="00A82EDE" w:rsidRPr="00EC6ECB">
        <w:rPr>
          <w:rFonts w:asciiTheme="minorHAnsi" w:hAnsiTheme="minorHAnsi" w:cstheme="minorHAnsi"/>
          <w:sz w:val="24"/>
        </w:rPr>
        <w:t>ještě menší efekt</w:t>
      </w:r>
      <w:r w:rsidR="00B72DDA" w:rsidRPr="00EC6ECB">
        <w:rPr>
          <w:rFonts w:asciiTheme="minorHAnsi" w:hAnsiTheme="minorHAnsi" w:cstheme="minorHAnsi"/>
          <w:sz w:val="24"/>
        </w:rPr>
        <w:t xml:space="preserve"> na zaměstnanost, protože disponibilní pracovní síla</w:t>
      </w:r>
      <w:r w:rsidR="00A82EDE" w:rsidRPr="00EC6ECB">
        <w:rPr>
          <w:rFonts w:asciiTheme="minorHAnsi" w:hAnsiTheme="minorHAnsi" w:cstheme="minorHAnsi"/>
          <w:sz w:val="24"/>
        </w:rPr>
        <w:t xml:space="preserve"> je</w:t>
      </w:r>
      <w:r w:rsidR="00B72DDA" w:rsidRPr="00EC6ECB">
        <w:rPr>
          <w:rFonts w:asciiTheme="minorHAnsi" w:hAnsiTheme="minorHAnsi" w:cstheme="minorHAnsi"/>
          <w:sz w:val="24"/>
        </w:rPr>
        <w:t xml:space="preserve"> výrazně nízká a</w:t>
      </w:r>
      <w:r w:rsidR="00A91BEF">
        <w:rPr>
          <w:rFonts w:asciiTheme="minorHAnsi" w:hAnsiTheme="minorHAnsi" w:cstheme="minorHAnsi"/>
          <w:sz w:val="24"/>
        </w:rPr>
        <w:t> </w:t>
      </w:r>
      <w:r w:rsidR="00B72DDA" w:rsidRPr="00EC6ECB">
        <w:rPr>
          <w:rFonts w:asciiTheme="minorHAnsi" w:hAnsiTheme="minorHAnsi" w:cstheme="minorHAnsi"/>
          <w:sz w:val="24"/>
        </w:rPr>
        <w:t>pracují v nich cizinci</w:t>
      </w:r>
      <w:r w:rsidR="009F7E67">
        <w:rPr>
          <w:rFonts w:asciiTheme="minorHAnsi" w:hAnsiTheme="minorHAnsi" w:cstheme="minorHAnsi"/>
          <w:sz w:val="24"/>
        </w:rPr>
        <w:t xml:space="preserve"> a </w:t>
      </w:r>
      <w:r w:rsidR="008D03CE" w:rsidRPr="00EC6ECB">
        <w:rPr>
          <w:rFonts w:asciiTheme="minorHAnsi" w:hAnsiTheme="minorHAnsi" w:cstheme="minorHAnsi"/>
          <w:sz w:val="24"/>
        </w:rPr>
        <w:t>agenturní zaměstnanci</w:t>
      </w:r>
      <w:r w:rsidR="00B72DDA" w:rsidRPr="00EC6ECB">
        <w:rPr>
          <w:rFonts w:asciiTheme="minorHAnsi" w:hAnsiTheme="minorHAnsi" w:cstheme="minorHAnsi"/>
          <w:sz w:val="24"/>
        </w:rPr>
        <w:t xml:space="preserve">. </w:t>
      </w:r>
      <w:r w:rsidR="00E90A63" w:rsidRPr="00EC6ECB">
        <w:rPr>
          <w:rFonts w:asciiTheme="minorHAnsi" w:hAnsiTheme="minorHAnsi" w:cstheme="minorHAnsi"/>
          <w:sz w:val="24"/>
        </w:rPr>
        <w:t>MPO také nesledovalo, zda nedochází k zániku firem v okolí podpořených zón.</w:t>
      </w:r>
    </w:p>
    <w:p w14:paraId="54AF0757" w14:textId="77777777" w:rsidR="001E275A" w:rsidRPr="00EC6ECB" w:rsidRDefault="001E275A" w:rsidP="00132100">
      <w:pPr>
        <w:rPr>
          <w:rFonts w:asciiTheme="minorHAnsi" w:hAnsiTheme="minorHAnsi" w:cstheme="minorHAnsi"/>
          <w:sz w:val="24"/>
        </w:rPr>
      </w:pPr>
    </w:p>
    <w:p w14:paraId="59B98752" w14:textId="77777777" w:rsidR="005E3C97" w:rsidRPr="00EC6ECB" w:rsidRDefault="005414EF" w:rsidP="00132100">
      <w:pPr>
        <w:rPr>
          <w:rFonts w:asciiTheme="minorHAnsi" w:hAnsiTheme="minorHAnsi" w:cstheme="minorHAnsi"/>
          <w:sz w:val="24"/>
        </w:rPr>
      </w:pPr>
      <w:r w:rsidRPr="00EC6ECB">
        <w:rPr>
          <w:rFonts w:asciiTheme="minorHAnsi" w:hAnsiTheme="minorHAnsi" w:cstheme="minorHAnsi"/>
          <w:sz w:val="24"/>
        </w:rPr>
        <w:t xml:space="preserve">Zhoršení dopadu </w:t>
      </w:r>
      <w:r w:rsidR="0047741B" w:rsidRPr="00EC6ECB">
        <w:rPr>
          <w:rFonts w:asciiTheme="minorHAnsi" w:hAnsiTheme="minorHAnsi" w:cstheme="minorHAnsi"/>
          <w:sz w:val="24"/>
        </w:rPr>
        <w:t xml:space="preserve">také ovlivnil fakt, že </w:t>
      </w:r>
      <w:r w:rsidR="005E3C97" w:rsidRPr="00EC6ECB">
        <w:rPr>
          <w:rFonts w:asciiTheme="minorHAnsi" w:hAnsiTheme="minorHAnsi" w:cstheme="minorHAnsi"/>
          <w:sz w:val="24"/>
        </w:rPr>
        <w:t xml:space="preserve">skutečné výdaje </w:t>
      </w:r>
      <w:r w:rsidR="0047741B" w:rsidRPr="00EC6ECB">
        <w:rPr>
          <w:rFonts w:asciiTheme="minorHAnsi" w:hAnsiTheme="minorHAnsi" w:cstheme="minorHAnsi"/>
          <w:sz w:val="24"/>
        </w:rPr>
        <w:t xml:space="preserve">státu </w:t>
      </w:r>
      <w:r w:rsidR="00102725">
        <w:rPr>
          <w:rFonts w:asciiTheme="minorHAnsi" w:hAnsiTheme="minorHAnsi" w:cstheme="minorHAnsi"/>
          <w:sz w:val="24"/>
        </w:rPr>
        <w:t xml:space="preserve">na podporu průmyslových zón </w:t>
      </w:r>
      <w:r w:rsidR="005E3C97" w:rsidRPr="00EC6ECB">
        <w:rPr>
          <w:rFonts w:asciiTheme="minorHAnsi" w:hAnsiTheme="minorHAnsi" w:cstheme="minorHAnsi"/>
          <w:sz w:val="24"/>
        </w:rPr>
        <w:t>byly výrazně vyšší</w:t>
      </w:r>
      <w:r w:rsidR="0047741B" w:rsidRPr="00EC6ECB">
        <w:rPr>
          <w:rFonts w:asciiTheme="minorHAnsi" w:hAnsiTheme="minorHAnsi" w:cstheme="minorHAnsi"/>
          <w:sz w:val="24"/>
        </w:rPr>
        <w:t xml:space="preserve"> a </w:t>
      </w:r>
      <w:r w:rsidR="005E3C97" w:rsidRPr="00EC6ECB">
        <w:rPr>
          <w:rFonts w:asciiTheme="minorHAnsi" w:hAnsiTheme="minorHAnsi" w:cstheme="minorHAnsi"/>
          <w:sz w:val="24"/>
        </w:rPr>
        <w:t xml:space="preserve">skutečný počet vzniklých pracovních míst byl výrazně nižší, než </w:t>
      </w:r>
      <w:r w:rsidR="0047741B" w:rsidRPr="00EC6ECB">
        <w:rPr>
          <w:rFonts w:asciiTheme="minorHAnsi" w:hAnsiTheme="minorHAnsi" w:cstheme="minorHAnsi"/>
          <w:sz w:val="24"/>
        </w:rPr>
        <w:t>bylo plánováno.</w:t>
      </w:r>
      <w:r w:rsidR="005E3C97" w:rsidRPr="00EC6ECB">
        <w:rPr>
          <w:rFonts w:asciiTheme="minorHAnsi" w:hAnsiTheme="minorHAnsi" w:cstheme="minorHAnsi"/>
          <w:sz w:val="24"/>
        </w:rPr>
        <w:t xml:space="preserve"> </w:t>
      </w:r>
    </w:p>
    <w:p w14:paraId="3D893226" w14:textId="60DDA4CE" w:rsidR="001E275A" w:rsidRDefault="001E275A" w:rsidP="00132100">
      <w:pPr>
        <w:rPr>
          <w:rFonts w:asciiTheme="minorHAnsi" w:hAnsiTheme="minorHAnsi" w:cstheme="minorHAnsi"/>
        </w:rPr>
      </w:pPr>
    </w:p>
    <w:p w14:paraId="3B2BF5F2" w14:textId="618D33EF" w:rsidR="00A91BEF" w:rsidRPr="00A91BEF" w:rsidRDefault="00A91BEF" w:rsidP="00A91BEF">
      <w:pPr>
        <w:tabs>
          <w:tab w:val="right" w:pos="9070"/>
        </w:tabs>
        <w:ind w:left="993" w:hanging="993"/>
        <w:rPr>
          <w:rFonts w:asciiTheme="minorHAnsi" w:hAnsiTheme="minorHAnsi" w:cstheme="minorHAnsi"/>
          <w:b/>
          <w:sz w:val="24"/>
        </w:rPr>
      </w:pPr>
      <w:r w:rsidRPr="00A91BEF">
        <w:rPr>
          <w:rFonts w:asciiTheme="minorHAnsi" w:hAnsiTheme="minorHAnsi" w:cstheme="minorHAnsi"/>
          <w:b/>
          <w:sz w:val="24"/>
        </w:rPr>
        <w:t xml:space="preserve">Graf č. 1: </w:t>
      </w:r>
      <w:r w:rsidRPr="00A91BEF">
        <w:rPr>
          <w:rFonts w:asciiTheme="minorHAnsi" w:hAnsiTheme="minorHAnsi" w:cstheme="minorHAnsi"/>
          <w:b/>
          <w:bCs/>
          <w:sz w:val="24"/>
        </w:rPr>
        <w:t xml:space="preserve">Předpokládaný kumulativní dopad podpory průmyslových zón od roku 2005 do roku 2030 na státní rozpočet </w:t>
      </w:r>
      <w:r>
        <w:rPr>
          <w:rFonts w:asciiTheme="minorHAnsi" w:hAnsiTheme="minorHAnsi" w:cstheme="minorHAnsi"/>
          <w:b/>
          <w:bCs/>
          <w:sz w:val="24"/>
        </w:rPr>
        <w:tab/>
      </w:r>
      <w:r w:rsidRPr="00A91BEF">
        <w:rPr>
          <w:rFonts w:asciiTheme="minorHAnsi" w:hAnsiTheme="minorHAnsi" w:cstheme="minorHAnsi"/>
          <w:b/>
          <w:bCs/>
          <w:sz w:val="24"/>
        </w:rPr>
        <w:t>(v mil. Kč)</w:t>
      </w:r>
    </w:p>
    <w:p w14:paraId="3208610E" w14:textId="1DA68F07" w:rsidR="00A91BEF" w:rsidRPr="00F24BA4" w:rsidRDefault="00A91BEF" w:rsidP="00132100">
      <w:pPr>
        <w:rPr>
          <w:rFonts w:asciiTheme="minorHAnsi" w:hAnsiTheme="minorHAnsi" w:cstheme="minorHAnsi"/>
          <w:b/>
        </w:rPr>
      </w:pPr>
    </w:p>
    <w:p w14:paraId="5355C215" w14:textId="77777777" w:rsidR="005E3C97" w:rsidRDefault="00DE0A10" w:rsidP="005E3C97">
      <w:pPr>
        <w:rPr>
          <w:rFonts w:cs="Arial"/>
          <w:szCs w:val="22"/>
        </w:rPr>
      </w:pPr>
      <w:r>
        <w:rPr>
          <w:noProof/>
          <w:lang w:eastAsia="cs-CZ"/>
        </w:rPr>
        <w:drawing>
          <wp:inline distT="0" distB="0" distL="0" distR="0" wp14:anchorId="6EB6F671" wp14:editId="019FD601">
            <wp:extent cx="5789220" cy="2743200"/>
            <wp:effectExtent l="0" t="0" r="254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037726" w14:textId="77777777" w:rsidR="0059138E" w:rsidRPr="00EC6ECB" w:rsidRDefault="00C40B35" w:rsidP="005E3C97">
      <w:pPr>
        <w:rPr>
          <w:rFonts w:asciiTheme="minorHAnsi" w:hAnsiTheme="minorHAnsi" w:cstheme="minorHAnsi"/>
          <w:sz w:val="20"/>
          <w:szCs w:val="20"/>
        </w:rPr>
      </w:pPr>
      <w:r w:rsidRPr="00EC6ECB">
        <w:rPr>
          <w:rFonts w:asciiTheme="minorHAnsi" w:hAnsiTheme="minorHAnsi" w:cstheme="minorHAnsi"/>
          <w:b/>
          <w:sz w:val="20"/>
          <w:szCs w:val="20"/>
        </w:rPr>
        <w:t>Zdroj:</w:t>
      </w:r>
      <w:r w:rsidRPr="00EC6ECB">
        <w:rPr>
          <w:rFonts w:asciiTheme="minorHAnsi" w:hAnsiTheme="minorHAnsi" w:cstheme="minorHAnsi"/>
          <w:sz w:val="20"/>
          <w:szCs w:val="20"/>
        </w:rPr>
        <w:t xml:space="preserve"> MPO, graficky zpracoval NKÚ</w:t>
      </w:r>
      <w:r w:rsidR="00EC6ECB" w:rsidRPr="00EC6ECB">
        <w:rPr>
          <w:rFonts w:asciiTheme="minorHAnsi" w:hAnsiTheme="minorHAnsi" w:cstheme="minorHAnsi"/>
          <w:sz w:val="20"/>
          <w:szCs w:val="20"/>
        </w:rPr>
        <w:t>.</w:t>
      </w:r>
    </w:p>
    <w:p w14:paraId="4BFEA646" w14:textId="77777777" w:rsidR="00C40B35" w:rsidRPr="00CA6892" w:rsidRDefault="00C40B35" w:rsidP="00CA6892">
      <w:pPr>
        <w:rPr>
          <w:rFonts w:ascii="Calibri" w:hAnsi="Calibri" w:cs="Calibri"/>
          <w:sz w:val="24"/>
        </w:rPr>
      </w:pPr>
    </w:p>
    <w:p w14:paraId="033DB17C" w14:textId="77777777" w:rsidR="002A7BEC" w:rsidRPr="00CA6892" w:rsidRDefault="002A7106" w:rsidP="00CA6892">
      <w:pPr>
        <w:rPr>
          <w:rFonts w:ascii="Calibri" w:hAnsi="Calibri" w:cs="Calibri"/>
          <w:sz w:val="24"/>
        </w:rPr>
      </w:pPr>
      <w:r w:rsidRPr="00CA6892">
        <w:rPr>
          <w:rFonts w:ascii="Calibri" w:hAnsi="Calibri" w:cs="Calibri"/>
          <w:sz w:val="24"/>
        </w:rPr>
        <w:t>MPO sice upravilo model efektivity podpory průmyslových zón, ale nezahrnulo do výpočtu efektivity některé příjmy a podstatné výdaje státu.</w:t>
      </w:r>
    </w:p>
    <w:p w14:paraId="70CEA4A8" w14:textId="77777777" w:rsidR="002A7106" w:rsidRPr="00CA6892" w:rsidRDefault="002A7106" w:rsidP="00CA6892">
      <w:pPr>
        <w:rPr>
          <w:rFonts w:ascii="Calibri" w:hAnsi="Calibri" w:cs="Calibri"/>
          <w:sz w:val="24"/>
        </w:rPr>
      </w:pPr>
    </w:p>
    <w:p w14:paraId="428FAD3B" w14:textId="77777777" w:rsidR="00132100" w:rsidRPr="00CA6892" w:rsidRDefault="00132100" w:rsidP="00CA6892">
      <w:pPr>
        <w:rPr>
          <w:rFonts w:ascii="Calibri" w:hAnsi="Calibri" w:cs="Calibri"/>
          <w:b/>
          <w:sz w:val="24"/>
          <w14:props3d w14:extrusionH="0" w14:contourW="12700" w14:prstMaterial="none">
            <w14:contourClr>
              <w14:schemeClr w14:val="tx1"/>
            </w14:contourClr>
          </w14:props3d>
        </w:rPr>
      </w:pPr>
      <w:r w:rsidRPr="00CA6892">
        <w:rPr>
          <w:rFonts w:ascii="Calibri" w:hAnsi="Calibri" w:cs="Calibri"/>
          <w:b/>
          <w:sz w:val="24"/>
        </w:rPr>
        <w:t xml:space="preserve">Nezapočítané příjmy státu </w:t>
      </w:r>
    </w:p>
    <w:p w14:paraId="69B1C7A1" w14:textId="77777777" w:rsidR="00A91BEF" w:rsidRDefault="00A91BEF" w:rsidP="00CA6892">
      <w:pPr>
        <w:rPr>
          <w:rFonts w:ascii="Calibri" w:hAnsi="Calibri" w:cs="Calibri"/>
          <w:sz w:val="24"/>
        </w:rPr>
      </w:pPr>
    </w:p>
    <w:p w14:paraId="1CF58614" w14:textId="74936ADA" w:rsidR="00132100" w:rsidRPr="00CA6892" w:rsidRDefault="003A66F2" w:rsidP="00CA6892">
      <w:pPr>
        <w:rPr>
          <w:rFonts w:ascii="Calibri" w:hAnsi="Calibri" w:cs="Calibri"/>
          <w:sz w:val="24"/>
        </w:rPr>
      </w:pPr>
      <w:r w:rsidRPr="00CA6892">
        <w:rPr>
          <w:rFonts w:ascii="Calibri" w:hAnsi="Calibri" w:cs="Calibri"/>
          <w:sz w:val="24"/>
        </w:rPr>
        <w:t>V</w:t>
      </w:r>
      <w:r w:rsidR="00A70A41" w:rsidRPr="00CA6892">
        <w:rPr>
          <w:rFonts w:ascii="Calibri" w:hAnsi="Calibri" w:cs="Calibri"/>
          <w:sz w:val="24"/>
        </w:rPr>
        <w:t xml:space="preserve"> oblasti příjmů státu </w:t>
      </w:r>
      <w:r w:rsidRPr="00CA6892">
        <w:rPr>
          <w:rFonts w:ascii="Calibri" w:hAnsi="Calibri" w:cs="Calibri"/>
          <w:sz w:val="24"/>
        </w:rPr>
        <w:t xml:space="preserve">např. </w:t>
      </w:r>
      <w:r w:rsidR="00173A57" w:rsidRPr="00CA6892">
        <w:rPr>
          <w:rFonts w:ascii="Calibri" w:hAnsi="Calibri" w:cs="Calibri"/>
          <w:sz w:val="24"/>
        </w:rPr>
        <w:t xml:space="preserve">MPO </w:t>
      </w:r>
      <w:r w:rsidR="00A70A41" w:rsidRPr="00CA6892">
        <w:rPr>
          <w:rFonts w:ascii="Calibri" w:hAnsi="Calibri" w:cs="Calibri"/>
          <w:sz w:val="24"/>
        </w:rPr>
        <w:t>ne</w:t>
      </w:r>
      <w:r w:rsidR="00A91BEF">
        <w:rPr>
          <w:rFonts w:ascii="Calibri" w:hAnsi="Calibri" w:cs="Calibri"/>
          <w:sz w:val="24"/>
        </w:rPr>
        <w:t xml:space="preserve">kalkulovalo </w:t>
      </w:r>
      <w:r w:rsidR="00A70A41" w:rsidRPr="00CA6892">
        <w:rPr>
          <w:rFonts w:ascii="Calibri" w:hAnsi="Calibri" w:cs="Calibri"/>
          <w:sz w:val="24"/>
        </w:rPr>
        <w:t xml:space="preserve">s </w:t>
      </w:r>
      <w:r w:rsidR="005E3C97" w:rsidRPr="00CA6892">
        <w:rPr>
          <w:rFonts w:ascii="Calibri" w:hAnsi="Calibri" w:cs="Calibri"/>
          <w:sz w:val="24"/>
        </w:rPr>
        <w:t>příjmy z daní firem podílejících se na přípravě zón</w:t>
      </w:r>
      <w:r w:rsidR="00A70A41" w:rsidRPr="00CA6892">
        <w:rPr>
          <w:rFonts w:ascii="Calibri" w:hAnsi="Calibri" w:cs="Calibri"/>
          <w:sz w:val="24"/>
        </w:rPr>
        <w:t>,</w:t>
      </w:r>
      <w:r w:rsidR="005E3C97" w:rsidRPr="00CA6892">
        <w:rPr>
          <w:rFonts w:ascii="Calibri" w:hAnsi="Calibri" w:cs="Calibri"/>
          <w:sz w:val="24"/>
        </w:rPr>
        <w:t xml:space="preserve"> firem umístěných v</w:t>
      </w:r>
      <w:r w:rsidR="00A70A41" w:rsidRPr="00CA6892">
        <w:rPr>
          <w:rFonts w:ascii="Calibri" w:hAnsi="Calibri" w:cs="Calibri"/>
          <w:sz w:val="24"/>
        </w:rPr>
        <w:t> </w:t>
      </w:r>
      <w:r w:rsidR="005E3C97" w:rsidRPr="00CA6892">
        <w:rPr>
          <w:rFonts w:ascii="Calibri" w:hAnsi="Calibri" w:cs="Calibri"/>
          <w:sz w:val="24"/>
        </w:rPr>
        <w:t>zónách</w:t>
      </w:r>
      <w:r w:rsidR="00A70A41" w:rsidRPr="00CA6892">
        <w:rPr>
          <w:rFonts w:ascii="Calibri" w:hAnsi="Calibri" w:cs="Calibri"/>
          <w:sz w:val="24"/>
        </w:rPr>
        <w:t xml:space="preserve"> a subdodavatelských firem</w:t>
      </w:r>
      <w:r w:rsidR="005E3C97" w:rsidRPr="00CA6892">
        <w:rPr>
          <w:rFonts w:ascii="Calibri" w:hAnsi="Calibri" w:cs="Calibri"/>
          <w:sz w:val="24"/>
        </w:rPr>
        <w:t xml:space="preserve">. </w:t>
      </w:r>
      <w:r w:rsidR="00500B39" w:rsidRPr="00CA6892">
        <w:rPr>
          <w:rFonts w:ascii="Calibri" w:hAnsi="Calibri" w:cs="Calibri"/>
          <w:sz w:val="24"/>
        </w:rPr>
        <w:t xml:space="preserve">MPO ani CzechInvest </w:t>
      </w:r>
      <w:r w:rsidR="00C521F0" w:rsidRPr="00CA6892">
        <w:rPr>
          <w:rFonts w:ascii="Calibri" w:hAnsi="Calibri" w:cs="Calibri"/>
          <w:sz w:val="24"/>
        </w:rPr>
        <w:t>vůbec nesledovaly</w:t>
      </w:r>
      <w:r w:rsidR="00E715BD" w:rsidRPr="00CA6892">
        <w:rPr>
          <w:rFonts w:ascii="Calibri" w:hAnsi="Calibri" w:cs="Calibri"/>
          <w:sz w:val="24"/>
        </w:rPr>
        <w:t xml:space="preserve"> podíl firem se subdodavatelským efektem ani podíl firem, kde se v zónách montují dovezené komponenty.</w:t>
      </w:r>
      <w:r w:rsidR="00500B39" w:rsidRPr="00CA6892">
        <w:rPr>
          <w:rFonts w:ascii="Calibri" w:hAnsi="Calibri" w:cs="Calibri"/>
          <w:sz w:val="24"/>
        </w:rPr>
        <w:t xml:space="preserve"> </w:t>
      </w:r>
      <w:r w:rsidR="005E3C97" w:rsidRPr="00CA6892">
        <w:rPr>
          <w:rFonts w:ascii="Calibri" w:hAnsi="Calibri" w:cs="Calibri"/>
          <w:sz w:val="24"/>
        </w:rPr>
        <w:t>V</w:t>
      </w:r>
      <w:r w:rsidRPr="00CA6892">
        <w:rPr>
          <w:rFonts w:ascii="Calibri" w:hAnsi="Calibri" w:cs="Calibri"/>
          <w:sz w:val="24"/>
        </w:rPr>
        <w:t xml:space="preserve"> upraveném</w:t>
      </w:r>
      <w:r w:rsidR="00A91BEF">
        <w:rPr>
          <w:rFonts w:ascii="Calibri" w:hAnsi="Calibri" w:cs="Calibri"/>
          <w:sz w:val="24"/>
        </w:rPr>
        <w:t xml:space="preserve"> </w:t>
      </w:r>
      <w:r w:rsidR="005E3C97" w:rsidRPr="00CA6892">
        <w:rPr>
          <w:rFonts w:ascii="Calibri" w:hAnsi="Calibri" w:cs="Calibri"/>
          <w:sz w:val="24"/>
        </w:rPr>
        <w:t xml:space="preserve">modelu bylo </w:t>
      </w:r>
      <w:r w:rsidRPr="00CA6892">
        <w:rPr>
          <w:rFonts w:ascii="Calibri" w:hAnsi="Calibri" w:cs="Calibri"/>
          <w:sz w:val="24"/>
        </w:rPr>
        <w:t xml:space="preserve">ale také </w:t>
      </w:r>
      <w:r w:rsidR="005E3C97" w:rsidRPr="00CA6892">
        <w:rPr>
          <w:rFonts w:ascii="Calibri" w:hAnsi="Calibri" w:cs="Calibri"/>
          <w:sz w:val="24"/>
        </w:rPr>
        <w:t>jako příjem státního rozpočtu chybně dvakrát započítáno zdanění mezd zaměstnanců, kteří by bez vzniku zóny byli nezaměstnanými.</w:t>
      </w:r>
      <w:r w:rsidRPr="00CA6892">
        <w:rPr>
          <w:rFonts w:ascii="Calibri" w:hAnsi="Calibri" w:cs="Calibri"/>
          <w:sz w:val="24"/>
        </w:rPr>
        <w:t xml:space="preserve"> </w:t>
      </w:r>
    </w:p>
    <w:p w14:paraId="12257859" w14:textId="77777777" w:rsidR="00132100" w:rsidRPr="00CA6892" w:rsidRDefault="00132100" w:rsidP="00CA6892">
      <w:pPr>
        <w:rPr>
          <w:rFonts w:ascii="Calibri" w:hAnsi="Calibri" w:cs="Calibri"/>
          <w:sz w:val="24"/>
        </w:rPr>
      </w:pPr>
    </w:p>
    <w:p w14:paraId="4286A1F5" w14:textId="77777777" w:rsidR="00132100" w:rsidRPr="00CA6892" w:rsidRDefault="00132100" w:rsidP="00CA6892">
      <w:pPr>
        <w:keepNext/>
        <w:rPr>
          <w:rFonts w:ascii="Calibri" w:hAnsi="Calibri" w:cs="Calibri"/>
          <w:b/>
          <w:sz w:val="24"/>
        </w:rPr>
      </w:pPr>
      <w:r w:rsidRPr="00CA6892">
        <w:rPr>
          <w:rFonts w:ascii="Calibri" w:hAnsi="Calibri" w:cs="Calibri"/>
          <w:b/>
          <w:sz w:val="24"/>
        </w:rPr>
        <w:lastRenderedPageBreak/>
        <w:t>Nezapočítané výdaje státu</w:t>
      </w:r>
    </w:p>
    <w:p w14:paraId="4200139D" w14:textId="77777777" w:rsidR="00CA6892" w:rsidRDefault="00CA6892" w:rsidP="00CA6892">
      <w:pPr>
        <w:keepNext/>
        <w:rPr>
          <w:rFonts w:ascii="Calibri" w:hAnsi="Calibri" w:cs="Calibri"/>
          <w:sz w:val="24"/>
        </w:rPr>
      </w:pPr>
    </w:p>
    <w:p w14:paraId="17FD3F2F" w14:textId="77777777" w:rsidR="002A7106" w:rsidRPr="00CA6892" w:rsidRDefault="003A66F2" w:rsidP="00CA6892">
      <w:pPr>
        <w:keepNext/>
        <w:rPr>
          <w:rFonts w:ascii="Calibri" w:hAnsi="Calibri" w:cs="Calibri"/>
          <w:sz w:val="24"/>
        </w:rPr>
      </w:pPr>
      <w:r w:rsidRPr="00CA6892">
        <w:rPr>
          <w:rFonts w:ascii="Calibri" w:hAnsi="Calibri" w:cs="Calibri"/>
          <w:sz w:val="24"/>
        </w:rPr>
        <w:t xml:space="preserve">V oblasti výdajů státu MPO </w:t>
      </w:r>
      <w:r w:rsidR="00361780" w:rsidRPr="00CA6892">
        <w:rPr>
          <w:rFonts w:ascii="Calibri" w:hAnsi="Calibri" w:cs="Calibri"/>
          <w:sz w:val="24"/>
        </w:rPr>
        <w:t xml:space="preserve">naopak </w:t>
      </w:r>
      <w:r w:rsidR="00DB42DD" w:rsidRPr="00CA6892">
        <w:rPr>
          <w:rFonts w:ascii="Calibri" w:hAnsi="Calibri" w:cs="Calibri"/>
          <w:sz w:val="24"/>
        </w:rPr>
        <w:t xml:space="preserve">např. </w:t>
      </w:r>
      <w:r w:rsidRPr="00CA6892">
        <w:rPr>
          <w:rFonts w:ascii="Calibri" w:hAnsi="Calibri" w:cs="Calibri"/>
          <w:sz w:val="24"/>
        </w:rPr>
        <w:t>nezapočítalo</w:t>
      </w:r>
      <w:r w:rsidR="002A7106" w:rsidRPr="00CA6892">
        <w:rPr>
          <w:rFonts w:ascii="Calibri" w:hAnsi="Calibri" w:cs="Calibri"/>
          <w:sz w:val="24"/>
        </w:rPr>
        <w:t>:</w:t>
      </w:r>
    </w:p>
    <w:p w14:paraId="696DBD0C" w14:textId="77777777" w:rsidR="006B2B6E" w:rsidRPr="00CA6892" w:rsidRDefault="003A66F2" w:rsidP="00CA6892">
      <w:pPr>
        <w:pStyle w:val="Odstavecseseznamem"/>
        <w:numPr>
          <w:ilvl w:val="0"/>
          <w:numId w:val="10"/>
        </w:numPr>
        <w:spacing w:after="0" w:line="240" w:lineRule="auto"/>
        <w:ind w:left="284" w:hanging="218"/>
        <w:contextualSpacing w:val="0"/>
        <w:jc w:val="both"/>
        <w:rPr>
          <w:rFonts w:cs="Calibri"/>
          <w:sz w:val="24"/>
          <w:szCs w:val="24"/>
        </w:rPr>
      </w:pPr>
      <w:r w:rsidRPr="00CA6892">
        <w:rPr>
          <w:rFonts w:cs="Calibri"/>
          <w:sz w:val="24"/>
          <w:szCs w:val="24"/>
        </w:rPr>
        <w:t>výdaj</w:t>
      </w:r>
      <w:r w:rsidR="002D2EB4" w:rsidRPr="00CA6892">
        <w:rPr>
          <w:rFonts w:cs="Calibri"/>
          <w:sz w:val="24"/>
          <w:szCs w:val="24"/>
        </w:rPr>
        <w:t>e státu na administraci programů</w:t>
      </w:r>
      <w:r w:rsidR="008D31BC" w:rsidRPr="00CA6892">
        <w:rPr>
          <w:rFonts w:cs="Calibri"/>
          <w:sz w:val="24"/>
          <w:szCs w:val="24"/>
        </w:rPr>
        <w:t xml:space="preserve"> průmyslových zón</w:t>
      </w:r>
      <w:r w:rsidRPr="00CA6892">
        <w:rPr>
          <w:rFonts w:cs="Calibri"/>
          <w:sz w:val="24"/>
          <w:szCs w:val="24"/>
        </w:rPr>
        <w:t xml:space="preserve"> (např. </w:t>
      </w:r>
      <w:r w:rsidR="00152D7B" w:rsidRPr="00CA6892">
        <w:rPr>
          <w:rFonts w:cs="Calibri"/>
          <w:sz w:val="24"/>
          <w:szCs w:val="24"/>
        </w:rPr>
        <w:t xml:space="preserve">od roku 2005 </w:t>
      </w:r>
      <w:r w:rsidR="008D31BC" w:rsidRPr="00CA6892">
        <w:rPr>
          <w:rFonts w:cs="Calibri"/>
          <w:sz w:val="24"/>
          <w:szCs w:val="24"/>
        </w:rPr>
        <w:t>část příspěv</w:t>
      </w:r>
      <w:r w:rsidR="00152D7B" w:rsidRPr="00CA6892">
        <w:rPr>
          <w:rFonts w:cs="Calibri"/>
          <w:sz w:val="24"/>
          <w:szCs w:val="24"/>
        </w:rPr>
        <w:t>k</w:t>
      </w:r>
      <w:r w:rsidR="008D31BC" w:rsidRPr="00CA6892">
        <w:rPr>
          <w:rFonts w:cs="Calibri"/>
          <w:sz w:val="24"/>
          <w:szCs w:val="24"/>
        </w:rPr>
        <w:t>u</w:t>
      </w:r>
      <w:r w:rsidR="00152D7B" w:rsidRPr="00CA6892">
        <w:rPr>
          <w:rFonts w:cs="Calibri"/>
          <w:sz w:val="24"/>
          <w:szCs w:val="24"/>
        </w:rPr>
        <w:t xml:space="preserve"> na provoz a dotace pro CzechInvest</w:t>
      </w:r>
      <w:r w:rsidR="008D31BC" w:rsidRPr="00CA6892">
        <w:rPr>
          <w:rFonts w:cs="Calibri"/>
          <w:sz w:val="24"/>
          <w:szCs w:val="24"/>
        </w:rPr>
        <w:t xml:space="preserve"> určené na administraci programu</w:t>
      </w:r>
      <w:r w:rsidR="00786247" w:rsidRPr="00CA6892">
        <w:rPr>
          <w:rFonts w:cs="Calibri"/>
          <w:sz w:val="24"/>
          <w:szCs w:val="24"/>
        </w:rPr>
        <w:t xml:space="preserve"> 222 230</w:t>
      </w:r>
      <w:r w:rsidR="00152D7B" w:rsidRPr="00CA6892">
        <w:rPr>
          <w:rFonts w:cs="Calibri"/>
          <w:sz w:val="24"/>
          <w:szCs w:val="24"/>
        </w:rPr>
        <w:t xml:space="preserve"> ve výši </w:t>
      </w:r>
      <w:r w:rsidRPr="00CA6892">
        <w:rPr>
          <w:rFonts w:cs="Calibri"/>
          <w:sz w:val="24"/>
          <w:szCs w:val="24"/>
        </w:rPr>
        <w:t>69 mil. Kč</w:t>
      </w:r>
      <w:r w:rsidR="00152D7B" w:rsidRPr="00CA6892">
        <w:rPr>
          <w:rFonts w:cs="Calibri"/>
          <w:sz w:val="24"/>
          <w:szCs w:val="24"/>
        </w:rPr>
        <w:t>);</w:t>
      </w:r>
      <w:r w:rsidRPr="00CA6892">
        <w:rPr>
          <w:rFonts w:cs="Calibri"/>
          <w:sz w:val="24"/>
          <w:szCs w:val="24"/>
        </w:rPr>
        <w:t xml:space="preserve"> </w:t>
      </w:r>
    </w:p>
    <w:p w14:paraId="31FA606F" w14:textId="2772E512" w:rsidR="002A7106" w:rsidRPr="00EC6ECB" w:rsidRDefault="003A66F2" w:rsidP="00C64085">
      <w:pPr>
        <w:pStyle w:val="Odstavecseseznamem"/>
        <w:numPr>
          <w:ilvl w:val="0"/>
          <w:numId w:val="10"/>
        </w:numPr>
        <w:spacing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C6ECB">
        <w:rPr>
          <w:rFonts w:asciiTheme="minorHAnsi" w:hAnsiTheme="minorHAnsi" w:cstheme="minorHAnsi"/>
          <w:sz w:val="24"/>
          <w:szCs w:val="24"/>
        </w:rPr>
        <w:t>výdaje</w:t>
      </w:r>
      <w:r w:rsidR="005E3C97" w:rsidRPr="00EC6ECB">
        <w:rPr>
          <w:rFonts w:asciiTheme="minorHAnsi" w:hAnsiTheme="minorHAnsi" w:cstheme="minorHAnsi"/>
          <w:sz w:val="24"/>
          <w:szCs w:val="24"/>
        </w:rPr>
        <w:t xml:space="preserve"> státu na př</w:t>
      </w:r>
      <w:r w:rsidR="00C521F0" w:rsidRPr="00EC6ECB">
        <w:rPr>
          <w:rFonts w:asciiTheme="minorHAnsi" w:hAnsiTheme="minorHAnsi" w:cstheme="minorHAnsi"/>
          <w:sz w:val="24"/>
          <w:szCs w:val="24"/>
        </w:rPr>
        <w:t>ímou podporu podnikání investorů</w:t>
      </w:r>
      <w:r w:rsidRPr="00EC6ECB">
        <w:rPr>
          <w:rFonts w:asciiTheme="minorHAnsi" w:hAnsiTheme="minorHAnsi" w:cstheme="minorHAnsi"/>
          <w:sz w:val="24"/>
          <w:szCs w:val="24"/>
        </w:rPr>
        <w:t xml:space="preserve"> (</w:t>
      </w:r>
      <w:r w:rsidR="005E3C97" w:rsidRPr="00EC6ECB">
        <w:rPr>
          <w:rFonts w:asciiTheme="minorHAnsi" w:hAnsiTheme="minorHAnsi" w:cstheme="minorHAnsi"/>
          <w:sz w:val="24"/>
          <w:szCs w:val="24"/>
        </w:rPr>
        <w:t>např. ve výši 1 450 mil. Kč společnosti Hyundai Motor Company na pořízení majetku v rámci zavedení výroby motorových vozidel a jejich součástí v oblasti Frýdek</w:t>
      </w:r>
      <w:r w:rsidR="001F2FD8">
        <w:rPr>
          <w:rFonts w:asciiTheme="minorHAnsi" w:hAnsiTheme="minorHAnsi" w:cstheme="minorHAnsi"/>
          <w:sz w:val="24"/>
          <w:szCs w:val="24"/>
        </w:rPr>
        <w:t>-</w:t>
      </w:r>
      <w:r w:rsidR="005E3C97" w:rsidRPr="00EC6ECB">
        <w:rPr>
          <w:rFonts w:asciiTheme="minorHAnsi" w:hAnsiTheme="minorHAnsi" w:cstheme="minorHAnsi"/>
          <w:sz w:val="24"/>
          <w:szCs w:val="24"/>
        </w:rPr>
        <w:t>Místek</w:t>
      </w:r>
      <w:r w:rsidR="002A7106" w:rsidRPr="00EC6ECB">
        <w:rPr>
          <w:rFonts w:asciiTheme="minorHAnsi" w:hAnsiTheme="minorHAnsi" w:cstheme="minorHAnsi"/>
          <w:sz w:val="24"/>
          <w:szCs w:val="24"/>
        </w:rPr>
        <w:t>);</w:t>
      </w:r>
    </w:p>
    <w:p w14:paraId="6D524B74" w14:textId="77777777" w:rsidR="002A7106" w:rsidRPr="00EC6ECB" w:rsidRDefault="00756355" w:rsidP="00C64085">
      <w:pPr>
        <w:pStyle w:val="Odstavecseseznamem"/>
        <w:numPr>
          <w:ilvl w:val="0"/>
          <w:numId w:val="10"/>
        </w:numPr>
        <w:spacing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C6ECB">
        <w:rPr>
          <w:rFonts w:asciiTheme="minorHAnsi" w:hAnsiTheme="minorHAnsi" w:cstheme="minorHAnsi"/>
          <w:sz w:val="24"/>
          <w:szCs w:val="24"/>
        </w:rPr>
        <w:t>výdaje či snížení</w:t>
      </w:r>
      <w:r w:rsidR="003A66F2" w:rsidRPr="00EC6ECB">
        <w:rPr>
          <w:rFonts w:asciiTheme="minorHAnsi" w:hAnsiTheme="minorHAnsi" w:cstheme="minorHAnsi"/>
          <w:sz w:val="24"/>
          <w:szCs w:val="24"/>
        </w:rPr>
        <w:t xml:space="preserve"> příjmů státu z důvodu investičních pobídek </w:t>
      </w:r>
      <w:r w:rsidR="00E542E9" w:rsidRPr="00EC6ECB">
        <w:rPr>
          <w:rFonts w:asciiTheme="minorHAnsi" w:hAnsiTheme="minorHAnsi" w:cstheme="minorHAnsi"/>
          <w:sz w:val="24"/>
          <w:szCs w:val="24"/>
        </w:rPr>
        <w:t>poskytnutých firmám v</w:t>
      </w:r>
      <w:r w:rsidR="002A7106" w:rsidRPr="00EC6ECB">
        <w:rPr>
          <w:rFonts w:asciiTheme="minorHAnsi" w:hAnsiTheme="minorHAnsi" w:cstheme="minorHAnsi"/>
          <w:sz w:val="24"/>
          <w:szCs w:val="24"/>
        </w:rPr>
        <w:t> </w:t>
      </w:r>
      <w:r w:rsidR="00E542E9" w:rsidRPr="00EC6ECB">
        <w:rPr>
          <w:rFonts w:asciiTheme="minorHAnsi" w:hAnsiTheme="minorHAnsi" w:cstheme="minorHAnsi"/>
          <w:sz w:val="24"/>
          <w:szCs w:val="24"/>
        </w:rPr>
        <w:t>zónách</w:t>
      </w:r>
      <w:r w:rsidR="002A7106" w:rsidRPr="00EC6ECB">
        <w:rPr>
          <w:rFonts w:asciiTheme="minorHAnsi" w:hAnsiTheme="minorHAnsi" w:cstheme="minorHAnsi"/>
          <w:sz w:val="24"/>
          <w:szCs w:val="24"/>
        </w:rPr>
        <w:t>;</w:t>
      </w:r>
    </w:p>
    <w:p w14:paraId="092585C6" w14:textId="36A2CEF2" w:rsidR="00421C5E" w:rsidRPr="00CA6892" w:rsidRDefault="00756355" w:rsidP="00CA6892">
      <w:pPr>
        <w:pStyle w:val="Odstavecseseznamem"/>
        <w:numPr>
          <w:ilvl w:val="0"/>
          <w:numId w:val="10"/>
        </w:numPr>
        <w:spacing w:after="0" w:line="240" w:lineRule="auto"/>
        <w:ind w:left="284" w:hanging="218"/>
        <w:contextualSpacing w:val="0"/>
        <w:jc w:val="both"/>
        <w:rPr>
          <w:rFonts w:cs="Calibri"/>
          <w:sz w:val="24"/>
          <w:szCs w:val="24"/>
        </w:rPr>
      </w:pPr>
      <w:r w:rsidRPr="00EC6ECB">
        <w:rPr>
          <w:rFonts w:asciiTheme="minorHAnsi" w:hAnsiTheme="minorHAnsi" w:cstheme="minorHAnsi"/>
          <w:sz w:val="24"/>
          <w:szCs w:val="24"/>
        </w:rPr>
        <w:t>výdaje</w:t>
      </w:r>
      <w:r w:rsidR="005E3C97" w:rsidRPr="00CA6892">
        <w:rPr>
          <w:rFonts w:cs="Calibri"/>
          <w:sz w:val="24"/>
          <w:szCs w:val="24"/>
        </w:rPr>
        <w:t xml:space="preserve"> státu na řešení </w:t>
      </w:r>
      <w:r w:rsidR="00102725" w:rsidRPr="00CA6892">
        <w:rPr>
          <w:rFonts w:cs="Calibri"/>
          <w:sz w:val="24"/>
          <w:szCs w:val="24"/>
        </w:rPr>
        <w:t xml:space="preserve">problematických </w:t>
      </w:r>
      <w:r w:rsidR="005E3C97" w:rsidRPr="00CA6892">
        <w:rPr>
          <w:rFonts w:cs="Calibri"/>
          <w:sz w:val="24"/>
          <w:szCs w:val="24"/>
        </w:rPr>
        <w:t>důsledků příchod</w:t>
      </w:r>
      <w:r w:rsidR="00E542E9" w:rsidRPr="00CA6892">
        <w:rPr>
          <w:rFonts w:cs="Calibri"/>
          <w:sz w:val="24"/>
          <w:szCs w:val="24"/>
        </w:rPr>
        <w:t xml:space="preserve">u či rozšiřování výroby </w:t>
      </w:r>
      <w:r w:rsidR="005E3C97" w:rsidRPr="00CA6892">
        <w:rPr>
          <w:rFonts w:cs="Calibri"/>
          <w:sz w:val="24"/>
          <w:szCs w:val="24"/>
        </w:rPr>
        <w:t>investorů</w:t>
      </w:r>
      <w:r w:rsidR="003A66F2" w:rsidRPr="00CA6892">
        <w:rPr>
          <w:rFonts w:cs="Calibri"/>
          <w:sz w:val="24"/>
          <w:szCs w:val="24"/>
        </w:rPr>
        <w:t xml:space="preserve"> </w:t>
      </w:r>
      <w:r w:rsidR="00E542E9" w:rsidRPr="00CA6892">
        <w:rPr>
          <w:rFonts w:cs="Calibri"/>
          <w:sz w:val="24"/>
          <w:szCs w:val="24"/>
        </w:rPr>
        <w:t>ve velkých zónách</w:t>
      </w:r>
      <w:r w:rsidR="001B6714" w:rsidRPr="00CA6892">
        <w:rPr>
          <w:rFonts w:cs="Calibri"/>
          <w:sz w:val="24"/>
          <w:szCs w:val="24"/>
        </w:rPr>
        <w:t>, kterými jsou přetíženost a poškozování komunikací, zatížení dopravní obslužnosti regionu, zhoršení ekologických podmínek, nárůst kriminality a snížení bezpečnosti regionu</w:t>
      </w:r>
      <w:r w:rsidR="00173A57" w:rsidRPr="00CA6892">
        <w:rPr>
          <w:rFonts w:cs="Calibri"/>
          <w:sz w:val="24"/>
          <w:szCs w:val="24"/>
        </w:rPr>
        <w:t xml:space="preserve">, </w:t>
      </w:r>
      <w:r w:rsidR="001B6714" w:rsidRPr="00CA6892">
        <w:rPr>
          <w:rFonts w:cs="Calibri"/>
          <w:sz w:val="24"/>
          <w:szCs w:val="24"/>
        </w:rPr>
        <w:t>nedořešení infrastruktury v bydlení, ve školství a volnočasových aktivitách</w:t>
      </w:r>
      <w:r w:rsidR="005E3C97" w:rsidRPr="00CA6892">
        <w:rPr>
          <w:rFonts w:cs="Calibri"/>
          <w:sz w:val="24"/>
          <w:szCs w:val="24"/>
        </w:rPr>
        <w:t xml:space="preserve">. </w:t>
      </w:r>
      <w:r w:rsidR="001B6714" w:rsidRPr="00F24BA4">
        <w:rPr>
          <w:rFonts w:cs="Calibri"/>
          <w:sz w:val="24"/>
          <w:szCs w:val="24"/>
        </w:rPr>
        <w:t>Zjevným příkladem takových výdajů je průmyslová zóna Solnice</w:t>
      </w:r>
      <w:r w:rsidR="001D0E96">
        <w:rPr>
          <w:rFonts w:cs="Calibri"/>
          <w:sz w:val="24"/>
          <w:szCs w:val="24"/>
        </w:rPr>
        <w:t>-</w:t>
      </w:r>
      <w:r w:rsidR="00173A57" w:rsidRPr="00F24BA4">
        <w:rPr>
          <w:rFonts w:cs="Calibri"/>
          <w:sz w:val="24"/>
          <w:szCs w:val="24"/>
        </w:rPr>
        <w:t xml:space="preserve">Kvasiny, </w:t>
      </w:r>
      <w:r w:rsidR="000D3782" w:rsidRPr="00F24BA4">
        <w:rPr>
          <w:rFonts w:cs="Calibri"/>
          <w:sz w:val="24"/>
          <w:szCs w:val="24"/>
        </w:rPr>
        <w:t xml:space="preserve">kde </w:t>
      </w:r>
      <w:r w:rsidR="00B7353D" w:rsidRPr="00F24BA4">
        <w:rPr>
          <w:rFonts w:cs="Calibri"/>
          <w:sz w:val="24"/>
          <w:szCs w:val="24"/>
        </w:rPr>
        <w:t>k březnu 2018 pracovalo 11 859</w:t>
      </w:r>
      <w:r w:rsidR="00361780" w:rsidRPr="00F24BA4">
        <w:rPr>
          <w:rFonts w:cs="Calibri"/>
          <w:sz w:val="24"/>
          <w:szCs w:val="24"/>
        </w:rPr>
        <w:t xml:space="preserve"> lidí, z toho 33 % cizinců</w:t>
      </w:r>
      <w:r w:rsidR="001F2FD8">
        <w:rPr>
          <w:rFonts w:cs="Calibri"/>
          <w:sz w:val="24"/>
          <w:szCs w:val="24"/>
        </w:rPr>
        <w:t>,</w:t>
      </w:r>
      <w:r w:rsidR="000D3782" w:rsidRPr="00F24BA4">
        <w:rPr>
          <w:rFonts w:cs="Calibri"/>
          <w:sz w:val="24"/>
          <w:szCs w:val="24"/>
        </w:rPr>
        <w:t xml:space="preserve"> a </w:t>
      </w:r>
      <w:r w:rsidR="00173A57" w:rsidRPr="00F24BA4">
        <w:rPr>
          <w:rFonts w:cs="Calibri"/>
          <w:sz w:val="24"/>
          <w:szCs w:val="24"/>
        </w:rPr>
        <w:t xml:space="preserve">pro kterou </w:t>
      </w:r>
      <w:r w:rsidR="005E3C97" w:rsidRPr="00F24BA4">
        <w:rPr>
          <w:rFonts w:cs="Calibri"/>
          <w:sz w:val="24"/>
          <w:szCs w:val="24"/>
        </w:rPr>
        <w:t xml:space="preserve">vláda ČR souhlasila </w:t>
      </w:r>
      <w:r w:rsidR="000D3782" w:rsidRPr="00F24BA4">
        <w:rPr>
          <w:rFonts w:cs="Calibri"/>
          <w:sz w:val="24"/>
          <w:szCs w:val="24"/>
        </w:rPr>
        <w:t xml:space="preserve">v roce 2015 </w:t>
      </w:r>
      <w:r w:rsidR="00C521F0" w:rsidRPr="00F24BA4">
        <w:rPr>
          <w:rFonts w:cs="Calibri"/>
          <w:sz w:val="24"/>
          <w:szCs w:val="24"/>
        </w:rPr>
        <w:t xml:space="preserve">k řešení problémů </w:t>
      </w:r>
      <w:r w:rsidR="000D3782" w:rsidRPr="00F24BA4">
        <w:rPr>
          <w:rFonts w:cs="Calibri"/>
          <w:sz w:val="24"/>
          <w:szCs w:val="24"/>
        </w:rPr>
        <w:t>vyčlenit</w:t>
      </w:r>
      <w:r w:rsidR="00173A57" w:rsidRPr="00F24BA4">
        <w:rPr>
          <w:rFonts w:cs="Calibri"/>
          <w:sz w:val="24"/>
          <w:szCs w:val="24"/>
        </w:rPr>
        <w:t xml:space="preserve"> </w:t>
      </w:r>
      <w:r w:rsidR="00C521F0" w:rsidRPr="00F24BA4">
        <w:rPr>
          <w:rFonts w:cs="Calibri"/>
          <w:sz w:val="24"/>
          <w:szCs w:val="24"/>
        </w:rPr>
        <w:t>ze státních prostředků 4 955 mil. Kč</w:t>
      </w:r>
      <w:r w:rsidR="00173A57" w:rsidRPr="00F24BA4">
        <w:rPr>
          <w:rFonts w:cs="Calibri"/>
          <w:sz w:val="24"/>
          <w:szCs w:val="24"/>
        </w:rPr>
        <w:t xml:space="preserve">, v tom </w:t>
      </w:r>
      <w:r w:rsidR="000D3782" w:rsidRPr="00F24BA4">
        <w:rPr>
          <w:rFonts w:cs="Calibri"/>
          <w:sz w:val="24"/>
          <w:szCs w:val="24"/>
        </w:rPr>
        <w:t>82</w:t>
      </w:r>
      <w:r w:rsidR="001F2FD8">
        <w:rPr>
          <w:rFonts w:cs="Calibri"/>
          <w:sz w:val="24"/>
          <w:szCs w:val="24"/>
        </w:rPr>
        <w:t> </w:t>
      </w:r>
      <w:r w:rsidR="000D3782" w:rsidRPr="00F24BA4">
        <w:rPr>
          <w:rFonts w:cs="Calibri"/>
          <w:sz w:val="24"/>
          <w:szCs w:val="24"/>
        </w:rPr>
        <w:t>mil.</w:t>
      </w:r>
      <w:r w:rsidR="001F2FD8">
        <w:rPr>
          <w:rFonts w:cs="Calibri"/>
          <w:sz w:val="24"/>
          <w:szCs w:val="24"/>
        </w:rPr>
        <w:t> </w:t>
      </w:r>
      <w:r w:rsidR="000D3782" w:rsidRPr="00F24BA4">
        <w:rPr>
          <w:rFonts w:cs="Calibri"/>
          <w:sz w:val="24"/>
          <w:szCs w:val="24"/>
        </w:rPr>
        <w:t>Kč jsou předpokládané</w:t>
      </w:r>
      <w:r w:rsidR="008D03CE" w:rsidRPr="00F24BA4">
        <w:rPr>
          <w:rFonts w:cs="Calibri"/>
          <w:sz w:val="24"/>
          <w:szCs w:val="24"/>
        </w:rPr>
        <w:t xml:space="preserve"> výdaje na bezpečnost.</w:t>
      </w:r>
      <w:r w:rsidR="008D03CE" w:rsidRPr="00CA6892">
        <w:rPr>
          <w:rFonts w:cs="Calibri"/>
          <w:i/>
          <w:sz w:val="24"/>
          <w:szCs w:val="24"/>
        </w:rPr>
        <w:t xml:space="preserve"> </w:t>
      </w:r>
    </w:p>
    <w:p w14:paraId="7F89AE4E" w14:textId="77777777" w:rsidR="008D03CE" w:rsidRPr="00CA6892" w:rsidRDefault="008D03CE" w:rsidP="00CA6892">
      <w:pPr>
        <w:rPr>
          <w:rFonts w:ascii="Calibri" w:hAnsi="Calibri" w:cs="Calibri"/>
          <w:sz w:val="24"/>
        </w:rPr>
      </w:pPr>
    </w:p>
    <w:p w14:paraId="5FF0DB13" w14:textId="77777777" w:rsidR="00132100" w:rsidRPr="00CA6892" w:rsidRDefault="006B2B6E" w:rsidP="00CA6892">
      <w:pPr>
        <w:rPr>
          <w:rFonts w:ascii="Calibri" w:hAnsi="Calibri" w:cs="Calibri"/>
          <w:b/>
          <w:sz w:val="24"/>
        </w:rPr>
      </w:pPr>
      <w:r w:rsidRPr="00CA6892">
        <w:rPr>
          <w:rFonts w:ascii="Calibri" w:hAnsi="Calibri" w:cs="Calibri"/>
          <w:b/>
          <w:sz w:val="24"/>
        </w:rPr>
        <w:t xml:space="preserve">3. </w:t>
      </w:r>
      <w:r w:rsidR="00132100" w:rsidRPr="00CA6892">
        <w:rPr>
          <w:rFonts w:ascii="Calibri" w:hAnsi="Calibri" w:cs="Calibri"/>
          <w:b/>
          <w:sz w:val="24"/>
        </w:rPr>
        <w:t>Počet průmyslových zón a jejich obsazenost</w:t>
      </w:r>
    </w:p>
    <w:p w14:paraId="361141BE" w14:textId="77777777" w:rsidR="006B2B6E" w:rsidRPr="00CA6892" w:rsidRDefault="006B2B6E" w:rsidP="00CA6892">
      <w:pPr>
        <w:rPr>
          <w:rFonts w:ascii="Calibri" w:hAnsi="Calibri" w:cs="Calibri"/>
          <w:sz w:val="24"/>
        </w:rPr>
      </w:pPr>
    </w:p>
    <w:p w14:paraId="4F13E7B2" w14:textId="77777777" w:rsidR="00132100" w:rsidRPr="00CA6892" w:rsidRDefault="00CF357D" w:rsidP="00CA6892">
      <w:pPr>
        <w:rPr>
          <w:rFonts w:ascii="Calibri" w:hAnsi="Calibri" w:cs="Calibri"/>
          <w:b/>
          <w:sz w:val="24"/>
        </w:rPr>
      </w:pPr>
      <w:r w:rsidRPr="00CA6892">
        <w:rPr>
          <w:rFonts w:ascii="Calibri" w:hAnsi="Calibri" w:cs="Calibri"/>
          <w:b/>
          <w:sz w:val="24"/>
        </w:rPr>
        <w:t>Regionální</w:t>
      </w:r>
      <w:r w:rsidR="00D92D99" w:rsidRPr="00CA6892">
        <w:rPr>
          <w:rFonts w:ascii="Calibri" w:hAnsi="Calibri" w:cs="Calibri"/>
          <w:b/>
          <w:sz w:val="24"/>
        </w:rPr>
        <w:t xml:space="preserve"> rozložení</w:t>
      </w:r>
      <w:r w:rsidRPr="00CA6892">
        <w:rPr>
          <w:rFonts w:ascii="Calibri" w:hAnsi="Calibri" w:cs="Calibri"/>
          <w:b/>
          <w:sz w:val="24"/>
        </w:rPr>
        <w:t xml:space="preserve"> zón</w:t>
      </w:r>
    </w:p>
    <w:p w14:paraId="49AC710E" w14:textId="77777777" w:rsidR="00CA6892" w:rsidRDefault="00CA6892" w:rsidP="00CA6892">
      <w:pPr>
        <w:rPr>
          <w:rFonts w:ascii="Calibri" w:hAnsi="Calibri" w:cs="Calibri"/>
          <w:sz w:val="24"/>
        </w:rPr>
      </w:pPr>
    </w:p>
    <w:p w14:paraId="7779F44F" w14:textId="7250E1AD" w:rsidR="002A7106" w:rsidRPr="00EC6ECB" w:rsidRDefault="000655EC" w:rsidP="00CA6892">
      <w:pPr>
        <w:rPr>
          <w:rFonts w:asciiTheme="minorHAnsi" w:hAnsiTheme="minorHAnsi" w:cstheme="minorHAnsi"/>
          <w:sz w:val="24"/>
        </w:rPr>
      </w:pPr>
      <w:r w:rsidRPr="00CA6892">
        <w:rPr>
          <w:rFonts w:ascii="Calibri" w:hAnsi="Calibri" w:cs="Calibri"/>
          <w:sz w:val="24"/>
        </w:rPr>
        <w:t>Od roku 1998 do 31. prosince 2017 podpořilo</w:t>
      </w:r>
      <w:r w:rsidR="001F2FD8" w:rsidRPr="001F2FD8">
        <w:rPr>
          <w:rFonts w:ascii="Calibri" w:hAnsi="Calibri" w:cs="Calibri"/>
          <w:sz w:val="24"/>
        </w:rPr>
        <w:t xml:space="preserve"> </w:t>
      </w:r>
      <w:r w:rsidR="001F2FD8" w:rsidRPr="00CA6892">
        <w:rPr>
          <w:rFonts w:ascii="Calibri" w:hAnsi="Calibri" w:cs="Calibri"/>
          <w:sz w:val="24"/>
        </w:rPr>
        <w:t>MPO</w:t>
      </w:r>
      <w:r w:rsidRPr="00CA6892">
        <w:rPr>
          <w:rFonts w:ascii="Calibri" w:hAnsi="Calibri" w:cs="Calibri"/>
          <w:sz w:val="24"/>
        </w:rPr>
        <w:t xml:space="preserve"> celkem 102 průmyslových zón ve výši 12 076 mil. Kč,</w:t>
      </w:r>
      <w:r w:rsidR="00ED01C6" w:rsidRPr="00CA6892">
        <w:rPr>
          <w:rFonts w:ascii="Calibri" w:hAnsi="Calibri" w:cs="Calibri"/>
          <w:sz w:val="24"/>
        </w:rPr>
        <w:t xml:space="preserve"> a to včetně 19 zón, které byly podpořeny jen bezúplatným nebo zvýhodněným převodem pozemku ze správy Pozemkového fondu </w:t>
      </w:r>
      <w:r w:rsidR="00F91022" w:rsidRPr="00CA6892">
        <w:rPr>
          <w:rFonts w:ascii="Calibri" w:hAnsi="Calibri" w:cs="Calibri"/>
          <w:sz w:val="24"/>
        </w:rPr>
        <w:t xml:space="preserve">České republiky </w:t>
      </w:r>
      <w:r w:rsidR="00ED01C6" w:rsidRPr="00CA6892">
        <w:rPr>
          <w:rFonts w:ascii="Calibri" w:hAnsi="Calibri" w:cs="Calibri"/>
          <w:sz w:val="24"/>
        </w:rPr>
        <w:t>(Státního pozemkového úřadu</w:t>
      </w:r>
      <w:r w:rsidR="00ED01C6" w:rsidRPr="00EC6ECB">
        <w:rPr>
          <w:rFonts w:asciiTheme="minorHAnsi" w:hAnsiTheme="minorHAnsi" w:cstheme="minorHAnsi"/>
          <w:sz w:val="24"/>
        </w:rPr>
        <w:t>)</w:t>
      </w:r>
      <w:r w:rsidR="00ED01C6" w:rsidRPr="00EC6ECB">
        <w:rPr>
          <w:rFonts w:asciiTheme="minorHAnsi" w:hAnsiTheme="minorHAnsi" w:cstheme="minorHAnsi"/>
          <w:sz w:val="24"/>
          <w:vertAlign w:val="superscript"/>
        </w:rPr>
        <w:footnoteReference w:id="12"/>
      </w:r>
      <w:r w:rsidR="00ED01C6" w:rsidRPr="00EC6ECB">
        <w:rPr>
          <w:rFonts w:asciiTheme="minorHAnsi" w:hAnsiTheme="minorHAnsi" w:cstheme="minorHAnsi"/>
          <w:sz w:val="24"/>
        </w:rPr>
        <w:t xml:space="preserve">. </w:t>
      </w:r>
      <w:r w:rsidR="004F58CB" w:rsidRPr="00EC6ECB">
        <w:rPr>
          <w:rFonts w:asciiTheme="minorHAnsi" w:hAnsiTheme="minorHAnsi" w:cstheme="minorHAnsi"/>
          <w:sz w:val="24"/>
        </w:rPr>
        <w:t>Státem podpořen</w:t>
      </w:r>
      <w:r w:rsidR="00EC6ECB">
        <w:rPr>
          <w:rFonts w:asciiTheme="minorHAnsi" w:hAnsiTheme="minorHAnsi" w:cstheme="minorHAnsi"/>
          <w:sz w:val="24"/>
        </w:rPr>
        <w:t>é průmyslové zóny v období 1998</w:t>
      </w:r>
      <w:r w:rsidR="004F58CB" w:rsidRPr="00EC6ECB">
        <w:rPr>
          <w:rFonts w:asciiTheme="minorHAnsi" w:hAnsiTheme="minorHAnsi" w:cstheme="minorHAnsi"/>
          <w:sz w:val="24"/>
        </w:rPr>
        <w:t>–2018 jsou graficky zpracovány v příloze č. 2.</w:t>
      </w:r>
      <w:r w:rsidR="004F58CB" w:rsidRPr="00EC6ECB">
        <w:rPr>
          <w:rFonts w:asciiTheme="minorHAnsi" w:hAnsiTheme="minorHAnsi" w:cstheme="minorHAnsi"/>
          <w:color w:val="1F497D"/>
          <w:sz w:val="24"/>
        </w:rPr>
        <w:t xml:space="preserve"> </w:t>
      </w:r>
      <w:r w:rsidR="00ED01C6" w:rsidRPr="00EC6ECB">
        <w:rPr>
          <w:rFonts w:asciiTheme="minorHAnsi" w:hAnsiTheme="minorHAnsi" w:cstheme="minorHAnsi"/>
          <w:sz w:val="24"/>
        </w:rPr>
        <w:t xml:space="preserve">V době kontroly </w:t>
      </w:r>
      <w:r w:rsidRPr="00EC6ECB">
        <w:rPr>
          <w:rFonts w:asciiTheme="minorHAnsi" w:hAnsiTheme="minorHAnsi" w:cstheme="minorHAnsi"/>
          <w:sz w:val="24"/>
        </w:rPr>
        <w:t xml:space="preserve">probíhala příprava </w:t>
      </w:r>
      <w:r w:rsidR="001F2FD8">
        <w:rPr>
          <w:rFonts w:asciiTheme="minorHAnsi" w:hAnsiTheme="minorHAnsi" w:cstheme="minorHAnsi"/>
          <w:sz w:val="24"/>
        </w:rPr>
        <w:t>tří</w:t>
      </w:r>
      <w:r w:rsidR="00ED01C6" w:rsidRPr="00EC6ECB">
        <w:rPr>
          <w:rFonts w:asciiTheme="minorHAnsi" w:hAnsiTheme="minorHAnsi" w:cstheme="minorHAnsi"/>
          <w:sz w:val="24"/>
        </w:rPr>
        <w:t xml:space="preserve"> dalších akcí </w:t>
      </w:r>
      <w:r w:rsidRPr="00EC6ECB">
        <w:rPr>
          <w:rFonts w:asciiTheme="minorHAnsi" w:hAnsiTheme="minorHAnsi" w:cstheme="minorHAnsi"/>
          <w:sz w:val="24"/>
        </w:rPr>
        <w:t xml:space="preserve">(Kladno, Nad Barborou, Veselí nad Moravou) a tři </w:t>
      </w:r>
      <w:r w:rsidR="00ED01C6" w:rsidRPr="00EC6ECB">
        <w:rPr>
          <w:rFonts w:asciiTheme="minorHAnsi" w:hAnsiTheme="minorHAnsi" w:cstheme="minorHAnsi"/>
          <w:sz w:val="24"/>
        </w:rPr>
        <w:t xml:space="preserve">akce </w:t>
      </w:r>
      <w:r w:rsidRPr="00EC6ECB">
        <w:rPr>
          <w:rFonts w:asciiTheme="minorHAnsi" w:hAnsiTheme="minorHAnsi" w:cstheme="minorHAnsi"/>
          <w:sz w:val="24"/>
        </w:rPr>
        <w:t>byly zaregistrovány (Triangle vnitřní infrastruktura II</w:t>
      </w:r>
      <w:r w:rsidR="008D03CE" w:rsidRPr="00EC6ECB">
        <w:rPr>
          <w:rFonts w:asciiTheme="minorHAnsi" w:hAnsiTheme="minorHAnsi" w:cstheme="minorHAnsi"/>
          <w:sz w:val="24"/>
        </w:rPr>
        <w:t>,</w:t>
      </w:r>
      <w:r w:rsidRPr="00EC6ECB">
        <w:rPr>
          <w:rFonts w:asciiTheme="minorHAnsi" w:hAnsiTheme="minorHAnsi" w:cstheme="minorHAnsi"/>
          <w:sz w:val="24"/>
        </w:rPr>
        <w:t xml:space="preserve"> Solnice</w:t>
      </w:r>
      <w:r w:rsidR="001F2FD8">
        <w:rPr>
          <w:rFonts w:asciiTheme="minorHAnsi" w:hAnsiTheme="minorHAnsi" w:cstheme="minorHAnsi"/>
          <w:sz w:val="24"/>
        </w:rPr>
        <w:t>-</w:t>
      </w:r>
      <w:r w:rsidRPr="00EC6ECB">
        <w:rPr>
          <w:rFonts w:asciiTheme="minorHAnsi" w:hAnsiTheme="minorHAnsi" w:cstheme="minorHAnsi"/>
          <w:sz w:val="24"/>
        </w:rPr>
        <w:t xml:space="preserve">Kvasiny </w:t>
      </w:r>
      <w:r w:rsidR="001F2FD8">
        <w:rPr>
          <w:rFonts w:asciiTheme="minorHAnsi" w:hAnsiTheme="minorHAnsi" w:cstheme="minorHAnsi"/>
          <w:sz w:val="24"/>
        </w:rPr>
        <w:t xml:space="preserve">– </w:t>
      </w:r>
      <w:r w:rsidRPr="00EC6ECB">
        <w:rPr>
          <w:rFonts w:asciiTheme="minorHAnsi" w:hAnsiTheme="minorHAnsi" w:cstheme="minorHAnsi"/>
          <w:sz w:val="24"/>
        </w:rPr>
        <w:t>výkupy pozemků, Solnice</w:t>
      </w:r>
      <w:r w:rsidR="001F2FD8">
        <w:rPr>
          <w:rFonts w:asciiTheme="minorHAnsi" w:hAnsiTheme="minorHAnsi" w:cstheme="minorHAnsi"/>
          <w:sz w:val="24"/>
        </w:rPr>
        <w:t>-</w:t>
      </w:r>
      <w:r w:rsidRPr="00EC6ECB">
        <w:rPr>
          <w:rFonts w:asciiTheme="minorHAnsi" w:hAnsiTheme="minorHAnsi" w:cstheme="minorHAnsi"/>
          <w:sz w:val="24"/>
        </w:rPr>
        <w:t xml:space="preserve">Kvasiny </w:t>
      </w:r>
      <w:r w:rsidR="001F2FD8">
        <w:rPr>
          <w:rFonts w:asciiTheme="minorHAnsi" w:hAnsiTheme="minorHAnsi" w:cstheme="minorHAnsi"/>
          <w:sz w:val="24"/>
        </w:rPr>
        <w:t xml:space="preserve">– </w:t>
      </w:r>
      <w:r w:rsidRPr="00EC6ECB">
        <w:rPr>
          <w:rFonts w:asciiTheme="minorHAnsi" w:hAnsiTheme="minorHAnsi" w:cstheme="minorHAnsi"/>
          <w:sz w:val="24"/>
        </w:rPr>
        <w:t xml:space="preserve">doprava). </w:t>
      </w:r>
    </w:p>
    <w:p w14:paraId="1C9E6CD1" w14:textId="77777777" w:rsidR="002A7106" w:rsidRPr="00EC6ECB" w:rsidRDefault="002A7106" w:rsidP="00132100">
      <w:pPr>
        <w:rPr>
          <w:rFonts w:asciiTheme="minorHAnsi" w:hAnsiTheme="minorHAnsi" w:cstheme="minorHAnsi"/>
          <w:sz w:val="24"/>
        </w:rPr>
      </w:pPr>
    </w:p>
    <w:p w14:paraId="04C159FB" w14:textId="1A4787DB" w:rsidR="002A7106" w:rsidRPr="00EC6ECB" w:rsidRDefault="00F30FAA" w:rsidP="00132100">
      <w:pPr>
        <w:rPr>
          <w:rFonts w:asciiTheme="minorHAnsi" w:hAnsiTheme="minorHAnsi" w:cstheme="minorHAnsi"/>
          <w:sz w:val="24"/>
        </w:rPr>
      </w:pPr>
      <w:r w:rsidRPr="00EC6ECB">
        <w:rPr>
          <w:rFonts w:asciiTheme="minorHAnsi" w:hAnsiTheme="minorHAnsi" w:cstheme="minorHAnsi"/>
          <w:sz w:val="24"/>
        </w:rPr>
        <w:t xml:space="preserve">Největší počet </w:t>
      </w:r>
      <w:r w:rsidR="00397702" w:rsidRPr="00EC6ECB">
        <w:rPr>
          <w:rFonts w:asciiTheme="minorHAnsi" w:hAnsiTheme="minorHAnsi" w:cstheme="minorHAnsi"/>
          <w:sz w:val="24"/>
        </w:rPr>
        <w:t xml:space="preserve">podpořených </w:t>
      </w:r>
      <w:r w:rsidRPr="00EC6ECB">
        <w:rPr>
          <w:rFonts w:asciiTheme="minorHAnsi" w:hAnsiTheme="minorHAnsi" w:cstheme="minorHAnsi"/>
          <w:sz w:val="24"/>
        </w:rPr>
        <w:t>akcí vztažený k jednomu investorovi se týkal rozšíření výroby společnosti ŠKODA AUTO a.s. v České republice v průmyslové zóně Solnice</w:t>
      </w:r>
      <w:r w:rsidR="001F2FD8">
        <w:rPr>
          <w:rFonts w:asciiTheme="minorHAnsi" w:hAnsiTheme="minorHAnsi" w:cstheme="minorHAnsi"/>
          <w:sz w:val="24"/>
        </w:rPr>
        <w:t>-</w:t>
      </w:r>
      <w:r w:rsidRPr="00EC6ECB">
        <w:rPr>
          <w:rFonts w:asciiTheme="minorHAnsi" w:hAnsiTheme="minorHAnsi" w:cstheme="minorHAnsi"/>
          <w:sz w:val="24"/>
        </w:rPr>
        <w:t xml:space="preserve">Kvasiny a zóně Vrchlabí. MPO za tímto účelem podpořilo celkem 7 akcí ve výši 1 501 mil. Kč. </w:t>
      </w:r>
    </w:p>
    <w:p w14:paraId="08A5B3AD" w14:textId="77777777" w:rsidR="002A7106" w:rsidRPr="00EC6ECB" w:rsidRDefault="002A7106" w:rsidP="00132100">
      <w:pPr>
        <w:rPr>
          <w:rFonts w:asciiTheme="minorHAnsi" w:hAnsiTheme="minorHAnsi" w:cstheme="minorHAnsi"/>
          <w:sz w:val="24"/>
        </w:rPr>
      </w:pPr>
    </w:p>
    <w:p w14:paraId="57EA9DE2" w14:textId="74F25786" w:rsidR="000655EC" w:rsidRPr="00EC6ECB" w:rsidRDefault="00ED01C6" w:rsidP="00132100">
      <w:pPr>
        <w:rPr>
          <w:rFonts w:asciiTheme="minorHAnsi" w:hAnsiTheme="minorHAnsi" w:cstheme="minorHAnsi"/>
          <w:sz w:val="24"/>
        </w:rPr>
      </w:pPr>
      <w:r w:rsidRPr="00EC6ECB">
        <w:rPr>
          <w:rFonts w:asciiTheme="minorHAnsi" w:hAnsiTheme="minorHAnsi" w:cstheme="minorHAnsi"/>
          <w:sz w:val="24"/>
        </w:rPr>
        <w:t xml:space="preserve">Téměř polovina dotovaných zón byla soustředěna </w:t>
      </w:r>
      <w:r w:rsidR="000655EC" w:rsidRPr="00EC6ECB">
        <w:rPr>
          <w:rFonts w:asciiTheme="minorHAnsi" w:hAnsiTheme="minorHAnsi" w:cstheme="minorHAnsi"/>
          <w:sz w:val="24"/>
        </w:rPr>
        <w:t>ve čtyřech kr</w:t>
      </w:r>
      <w:r w:rsidR="00DD615F" w:rsidRPr="00EC6ECB">
        <w:rPr>
          <w:rFonts w:asciiTheme="minorHAnsi" w:hAnsiTheme="minorHAnsi" w:cstheme="minorHAnsi"/>
          <w:sz w:val="24"/>
        </w:rPr>
        <w:t xml:space="preserve">ajích, tj. v Ústeckém kraji, Moravskoslezském kraji, </w:t>
      </w:r>
      <w:r w:rsidR="00262B9B">
        <w:rPr>
          <w:rFonts w:asciiTheme="minorHAnsi" w:hAnsiTheme="minorHAnsi" w:cstheme="minorHAnsi"/>
          <w:sz w:val="24"/>
        </w:rPr>
        <w:t>K</w:t>
      </w:r>
      <w:r w:rsidR="00DD615F" w:rsidRPr="00EC6ECB">
        <w:rPr>
          <w:rFonts w:asciiTheme="minorHAnsi" w:hAnsiTheme="minorHAnsi" w:cstheme="minorHAnsi"/>
          <w:sz w:val="24"/>
        </w:rPr>
        <w:t>raji Vysočina a Středočeském kraji</w:t>
      </w:r>
      <w:r w:rsidR="000655EC" w:rsidRPr="00EC6ECB">
        <w:rPr>
          <w:rFonts w:asciiTheme="minorHAnsi" w:hAnsiTheme="minorHAnsi" w:cstheme="minorHAnsi"/>
          <w:sz w:val="24"/>
        </w:rPr>
        <w:t>. Od roku 1998 nebyla podpořena dotací nebo návratnou finanční výpomocí žádná zóna v Karlov</w:t>
      </w:r>
      <w:r w:rsidR="00EC6ECB">
        <w:rPr>
          <w:rFonts w:asciiTheme="minorHAnsi" w:hAnsiTheme="minorHAnsi" w:cstheme="minorHAnsi"/>
          <w:sz w:val="24"/>
        </w:rPr>
        <w:t>arském a </w:t>
      </w:r>
      <w:r w:rsidR="000655EC" w:rsidRPr="00EC6ECB">
        <w:rPr>
          <w:rFonts w:asciiTheme="minorHAnsi" w:hAnsiTheme="minorHAnsi" w:cstheme="minorHAnsi"/>
          <w:sz w:val="24"/>
        </w:rPr>
        <w:t>Libereckém kraji</w:t>
      </w:r>
      <w:r w:rsidR="00DD615F" w:rsidRPr="00EC6ECB">
        <w:rPr>
          <w:rFonts w:asciiTheme="minorHAnsi" w:hAnsiTheme="minorHAnsi" w:cstheme="minorHAnsi"/>
          <w:sz w:val="24"/>
          <w:vertAlign w:val="superscript"/>
        </w:rPr>
        <w:footnoteReference w:id="13"/>
      </w:r>
      <w:r w:rsidR="000655EC" w:rsidRPr="00EC6ECB">
        <w:rPr>
          <w:rFonts w:asciiTheme="minorHAnsi" w:hAnsiTheme="minorHAnsi" w:cstheme="minorHAnsi"/>
          <w:sz w:val="24"/>
        </w:rPr>
        <w:t xml:space="preserve">. </w:t>
      </w:r>
      <w:r w:rsidR="008247A2" w:rsidRPr="00EC6ECB">
        <w:rPr>
          <w:rFonts w:asciiTheme="minorHAnsi" w:hAnsiTheme="minorHAnsi" w:cstheme="minorHAnsi"/>
          <w:sz w:val="24"/>
        </w:rPr>
        <w:t>P</w:t>
      </w:r>
      <w:r w:rsidR="000655EC" w:rsidRPr="00EC6ECB">
        <w:rPr>
          <w:rFonts w:asciiTheme="minorHAnsi" w:hAnsiTheme="minorHAnsi" w:cstheme="minorHAnsi"/>
          <w:sz w:val="24"/>
        </w:rPr>
        <w:t xml:space="preserve">řitom </w:t>
      </w:r>
      <w:r w:rsidR="008247A2" w:rsidRPr="00EC6ECB">
        <w:rPr>
          <w:rFonts w:asciiTheme="minorHAnsi" w:hAnsiTheme="minorHAnsi" w:cstheme="minorHAnsi"/>
          <w:sz w:val="24"/>
        </w:rPr>
        <w:t xml:space="preserve">např. </w:t>
      </w:r>
      <w:r w:rsidR="000655EC" w:rsidRPr="00EC6ECB">
        <w:rPr>
          <w:rFonts w:asciiTheme="minorHAnsi" w:hAnsiTheme="minorHAnsi" w:cstheme="minorHAnsi"/>
          <w:sz w:val="24"/>
        </w:rPr>
        <w:t xml:space="preserve">Sokolov je označován jako hospodářsky problémový </w:t>
      </w:r>
      <w:r w:rsidR="00F91022" w:rsidRPr="00EC6ECB">
        <w:rPr>
          <w:rFonts w:asciiTheme="minorHAnsi" w:hAnsiTheme="minorHAnsi" w:cstheme="minorHAnsi"/>
          <w:sz w:val="24"/>
        </w:rPr>
        <w:t xml:space="preserve">region </w:t>
      </w:r>
      <w:r w:rsidR="000655EC" w:rsidRPr="00EC6ECB">
        <w:rPr>
          <w:rFonts w:asciiTheme="minorHAnsi" w:hAnsiTheme="minorHAnsi" w:cstheme="minorHAnsi"/>
          <w:sz w:val="24"/>
        </w:rPr>
        <w:t xml:space="preserve">od roku 2004. </w:t>
      </w:r>
      <w:r w:rsidR="008247A2" w:rsidRPr="00EC6ECB">
        <w:rPr>
          <w:rFonts w:asciiTheme="minorHAnsi" w:hAnsiTheme="minorHAnsi" w:cstheme="minorHAnsi"/>
          <w:sz w:val="24"/>
        </w:rPr>
        <w:t>Vláda</w:t>
      </w:r>
      <w:r w:rsidR="000655EC" w:rsidRPr="00EC6ECB">
        <w:rPr>
          <w:rFonts w:asciiTheme="minorHAnsi" w:hAnsiTheme="minorHAnsi" w:cstheme="minorHAnsi"/>
          <w:sz w:val="24"/>
        </w:rPr>
        <w:t xml:space="preserve"> ČR </w:t>
      </w:r>
      <w:r w:rsidR="008247A2" w:rsidRPr="00EC6ECB">
        <w:rPr>
          <w:rFonts w:asciiTheme="minorHAnsi" w:hAnsiTheme="minorHAnsi" w:cstheme="minorHAnsi"/>
          <w:sz w:val="24"/>
        </w:rPr>
        <w:t xml:space="preserve">v roce 2017 schválila </w:t>
      </w:r>
      <w:r w:rsidR="00DE08AB" w:rsidRPr="00EC6ECB">
        <w:rPr>
          <w:rFonts w:asciiTheme="minorHAnsi" w:hAnsiTheme="minorHAnsi" w:cstheme="minorHAnsi"/>
          <w:sz w:val="24"/>
        </w:rPr>
        <w:t xml:space="preserve">zatím </w:t>
      </w:r>
      <w:r w:rsidR="008247A2" w:rsidRPr="00EC6ECB">
        <w:rPr>
          <w:rFonts w:asciiTheme="minorHAnsi" w:hAnsiTheme="minorHAnsi" w:cstheme="minorHAnsi"/>
          <w:sz w:val="24"/>
        </w:rPr>
        <w:t>přípravu</w:t>
      </w:r>
      <w:r w:rsidR="000655EC" w:rsidRPr="00EC6ECB">
        <w:rPr>
          <w:rFonts w:asciiTheme="minorHAnsi" w:hAnsiTheme="minorHAnsi" w:cstheme="minorHAnsi"/>
          <w:sz w:val="24"/>
        </w:rPr>
        <w:t xml:space="preserve"> zón Cheb II</w:t>
      </w:r>
      <w:r w:rsidR="00C741D6">
        <w:rPr>
          <w:rFonts w:asciiTheme="minorHAnsi" w:hAnsiTheme="minorHAnsi" w:cstheme="minorHAnsi"/>
          <w:sz w:val="24"/>
        </w:rPr>
        <w:t xml:space="preserve"> </w:t>
      </w:r>
      <w:r w:rsidR="00C741D6">
        <w:rPr>
          <w:rFonts w:asciiTheme="minorHAnsi" w:hAnsiTheme="minorHAnsi" w:cstheme="minorHAnsi"/>
          <w:sz w:val="24"/>
        </w:rPr>
        <w:br/>
      </w:r>
      <w:r w:rsidR="000655EC" w:rsidRPr="00EC6ECB">
        <w:rPr>
          <w:rFonts w:asciiTheme="minorHAnsi" w:hAnsiTheme="minorHAnsi" w:cstheme="minorHAnsi"/>
          <w:sz w:val="24"/>
        </w:rPr>
        <w:t xml:space="preserve">a Sokolov </w:t>
      </w:r>
      <w:r w:rsidR="001631B1">
        <w:rPr>
          <w:rFonts w:asciiTheme="minorHAnsi" w:hAnsiTheme="minorHAnsi" w:cstheme="minorHAnsi"/>
          <w:sz w:val="24"/>
        </w:rPr>
        <w:t>–</w:t>
      </w:r>
      <w:r w:rsidR="000655EC" w:rsidRPr="00EC6ECB">
        <w:rPr>
          <w:rFonts w:asciiTheme="minorHAnsi" w:hAnsiTheme="minorHAnsi" w:cstheme="minorHAnsi"/>
          <w:sz w:val="24"/>
        </w:rPr>
        <w:t xml:space="preserve"> Staré Sedlo. </w:t>
      </w:r>
    </w:p>
    <w:p w14:paraId="4DA3D87D" w14:textId="77777777" w:rsidR="001D0E96" w:rsidRPr="001D0E96" w:rsidRDefault="001D0E96" w:rsidP="00CA4915">
      <w:pPr>
        <w:ind w:left="993" w:hanging="993"/>
        <w:rPr>
          <w:rFonts w:asciiTheme="minorHAnsi" w:hAnsiTheme="minorHAnsi" w:cstheme="minorHAnsi"/>
          <w:b/>
          <w:sz w:val="24"/>
        </w:rPr>
      </w:pPr>
      <w:r w:rsidRPr="00CA4915">
        <w:rPr>
          <w:rFonts w:asciiTheme="minorHAnsi" w:hAnsiTheme="minorHAnsi" w:cstheme="minorHAnsi"/>
          <w:b/>
          <w:sz w:val="24"/>
        </w:rPr>
        <w:lastRenderedPageBreak/>
        <w:t>Graf č. 2:</w:t>
      </w:r>
      <w:r w:rsidRPr="00CA4915">
        <w:rPr>
          <w:rFonts w:asciiTheme="minorHAnsi" w:hAnsiTheme="minorHAnsi" w:cstheme="minorHAnsi"/>
          <w:b/>
          <w:sz w:val="24"/>
        </w:rPr>
        <w:tab/>
      </w:r>
      <w:r w:rsidRPr="001D0E96">
        <w:rPr>
          <w:rFonts w:asciiTheme="minorHAnsi" w:hAnsiTheme="minorHAnsi" w:cstheme="minorHAnsi"/>
          <w:b/>
          <w:bCs/>
          <w:sz w:val="24"/>
        </w:rPr>
        <w:t>Průmyslové zóny podle krajů podpořené dotací nebo návratnou finanční výpomocí ze státních prostředků v letech 1998 až 2017</w:t>
      </w:r>
    </w:p>
    <w:p w14:paraId="72BAA8E3" w14:textId="42CB36C7" w:rsidR="001D0E96" w:rsidRPr="00D92D99" w:rsidRDefault="001D0E96" w:rsidP="001D0E96">
      <w:pPr>
        <w:ind w:left="993" w:hanging="993"/>
        <w:rPr>
          <w:rFonts w:asciiTheme="minorHAnsi" w:hAnsiTheme="minorHAnsi" w:cstheme="minorHAnsi"/>
          <w:szCs w:val="22"/>
        </w:rPr>
      </w:pPr>
    </w:p>
    <w:p w14:paraId="49DF15D1" w14:textId="77777777" w:rsidR="000655EC" w:rsidRPr="00E309CC" w:rsidRDefault="00352C1F" w:rsidP="000655EC">
      <w:pPr>
        <w:rPr>
          <w:rFonts w:cs="Arial"/>
        </w:rPr>
      </w:pPr>
      <w:r>
        <w:rPr>
          <w:noProof/>
          <w:lang w:eastAsia="cs-CZ"/>
        </w:rPr>
        <w:drawing>
          <wp:inline distT="0" distB="0" distL="0" distR="0" wp14:anchorId="6D9F376F" wp14:editId="1448320D">
            <wp:extent cx="5812790" cy="2960483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54DEAD" w14:textId="77777777" w:rsidR="00352C1F" w:rsidRPr="0040197A" w:rsidRDefault="00786247" w:rsidP="000655EC">
      <w:pPr>
        <w:rPr>
          <w:rFonts w:asciiTheme="minorHAnsi" w:hAnsiTheme="minorHAnsi" w:cstheme="minorHAnsi"/>
          <w:sz w:val="20"/>
          <w:szCs w:val="20"/>
        </w:rPr>
      </w:pPr>
      <w:r w:rsidRPr="0040197A">
        <w:rPr>
          <w:rFonts w:asciiTheme="minorHAnsi" w:hAnsiTheme="minorHAnsi" w:cstheme="minorHAnsi"/>
          <w:b/>
          <w:sz w:val="20"/>
          <w:szCs w:val="20"/>
        </w:rPr>
        <w:t>Zdroj:</w:t>
      </w:r>
      <w:r w:rsidRPr="0040197A">
        <w:rPr>
          <w:rFonts w:asciiTheme="minorHAnsi" w:hAnsiTheme="minorHAnsi" w:cstheme="minorHAnsi"/>
          <w:sz w:val="20"/>
          <w:szCs w:val="20"/>
        </w:rPr>
        <w:t xml:space="preserve"> MPO, graficky zpracoval NKÚ</w:t>
      </w:r>
      <w:r w:rsidR="0040197A">
        <w:rPr>
          <w:rFonts w:asciiTheme="minorHAnsi" w:hAnsiTheme="minorHAnsi" w:cstheme="minorHAnsi"/>
          <w:sz w:val="20"/>
          <w:szCs w:val="20"/>
        </w:rPr>
        <w:t>.</w:t>
      </w:r>
    </w:p>
    <w:p w14:paraId="68EF4DF7" w14:textId="77777777" w:rsidR="00756355" w:rsidRPr="00C741D6" w:rsidRDefault="00756355" w:rsidP="00C741D6">
      <w:pPr>
        <w:rPr>
          <w:rFonts w:ascii="Calibri" w:hAnsi="Calibri" w:cs="Calibri"/>
          <w:sz w:val="24"/>
        </w:rPr>
      </w:pPr>
    </w:p>
    <w:p w14:paraId="3F8EE2A2" w14:textId="77777777" w:rsidR="00D92D99" w:rsidRPr="00C741D6" w:rsidRDefault="00D92D99" w:rsidP="00C741D6">
      <w:pPr>
        <w:rPr>
          <w:rFonts w:ascii="Calibri" w:hAnsi="Calibri" w:cs="Calibri"/>
          <w:b/>
          <w:sz w:val="24"/>
        </w:rPr>
      </w:pPr>
      <w:r w:rsidRPr="00C741D6">
        <w:rPr>
          <w:rFonts w:ascii="Calibri" w:hAnsi="Calibri" w:cs="Calibri"/>
          <w:b/>
          <w:sz w:val="24"/>
        </w:rPr>
        <w:t>Obsazenost zón</w:t>
      </w:r>
    </w:p>
    <w:p w14:paraId="67993BE3" w14:textId="77777777" w:rsidR="00C741D6" w:rsidRPr="00C741D6" w:rsidRDefault="00C741D6" w:rsidP="00C741D6">
      <w:pPr>
        <w:rPr>
          <w:rFonts w:ascii="Calibri" w:hAnsi="Calibri" w:cs="Calibri"/>
          <w:sz w:val="24"/>
        </w:rPr>
      </w:pPr>
    </w:p>
    <w:p w14:paraId="7C9B67E6" w14:textId="5BB926BF" w:rsidR="00D92D99" w:rsidRPr="00C741D6" w:rsidRDefault="00242CAE" w:rsidP="00C741D6">
      <w:pPr>
        <w:rPr>
          <w:rFonts w:ascii="Calibri" w:hAnsi="Calibri" w:cs="Calibri"/>
          <w:sz w:val="24"/>
        </w:rPr>
      </w:pPr>
      <w:r w:rsidRPr="00C741D6">
        <w:rPr>
          <w:rFonts w:ascii="Calibri" w:hAnsi="Calibri" w:cs="Calibri"/>
          <w:sz w:val="24"/>
        </w:rPr>
        <w:t xml:space="preserve">Celková obsazenost </w:t>
      </w:r>
      <w:r w:rsidR="006E1AF0" w:rsidRPr="00C741D6">
        <w:rPr>
          <w:rFonts w:ascii="Calibri" w:hAnsi="Calibri" w:cs="Calibri"/>
          <w:sz w:val="24"/>
        </w:rPr>
        <w:t xml:space="preserve">podpořených </w:t>
      </w:r>
      <w:r w:rsidRPr="00C741D6">
        <w:rPr>
          <w:rFonts w:ascii="Calibri" w:hAnsi="Calibri" w:cs="Calibri"/>
          <w:sz w:val="24"/>
        </w:rPr>
        <w:t xml:space="preserve">zón </w:t>
      </w:r>
      <w:r w:rsidR="00F91022" w:rsidRPr="00C741D6">
        <w:rPr>
          <w:rFonts w:ascii="Calibri" w:hAnsi="Calibri" w:cs="Calibri"/>
          <w:sz w:val="24"/>
        </w:rPr>
        <w:t xml:space="preserve">v době kontroly </w:t>
      </w:r>
      <w:r w:rsidRPr="00C741D6">
        <w:rPr>
          <w:rFonts w:ascii="Calibri" w:hAnsi="Calibri" w:cs="Calibri"/>
          <w:sz w:val="24"/>
        </w:rPr>
        <w:t>činila 80 % území včetně cca 2 % tzv.</w:t>
      </w:r>
      <w:r w:rsidR="00C741D6">
        <w:rPr>
          <w:rFonts w:ascii="Calibri" w:hAnsi="Calibri" w:cs="Calibri"/>
          <w:sz w:val="24"/>
        </w:rPr>
        <w:t> </w:t>
      </w:r>
      <w:r w:rsidRPr="00C741D6">
        <w:rPr>
          <w:rFonts w:ascii="Calibri" w:hAnsi="Calibri" w:cs="Calibri"/>
          <w:sz w:val="24"/>
        </w:rPr>
        <w:t xml:space="preserve">rezervací, kdy investor jen projevil zájem, ale v zóně svou výrobu nemusí umístit. Zcela neobsazená byla zóna Světlá nad Sázavou podpořená dotací </w:t>
      </w:r>
      <w:r w:rsidR="006E1AF0" w:rsidRPr="00C741D6">
        <w:rPr>
          <w:rFonts w:ascii="Calibri" w:hAnsi="Calibri" w:cs="Calibri"/>
          <w:sz w:val="24"/>
        </w:rPr>
        <w:t>20 mil. Kč a jen z</w:t>
      </w:r>
      <w:r w:rsidR="00FF77A3" w:rsidRPr="00C741D6">
        <w:rPr>
          <w:rFonts w:ascii="Calibri" w:hAnsi="Calibri" w:cs="Calibri"/>
          <w:sz w:val="24"/>
        </w:rPr>
        <w:t>e</w:t>
      </w:r>
      <w:r w:rsidR="00793342" w:rsidRPr="00C741D6">
        <w:rPr>
          <w:rFonts w:ascii="Calibri" w:hAnsi="Calibri" w:cs="Calibri"/>
          <w:sz w:val="24"/>
        </w:rPr>
        <w:t xml:space="preserve"> 2 % byla obsazena z</w:t>
      </w:r>
      <w:r w:rsidRPr="00C741D6">
        <w:rPr>
          <w:rFonts w:ascii="Calibri" w:hAnsi="Calibri" w:cs="Calibri"/>
          <w:sz w:val="24"/>
        </w:rPr>
        <w:t>óna Holešov</w:t>
      </w:r>
      <w:r w:rsidR="00793342" w:rsidRPr="00C741D6">
        <w:rPr>
          <w:rFonts w:ascii="Calibri" w:hAnsi="Calibri" w:cs="Calibri"/>
          <w:sz w:val="24"/>
        </w:rPr>
        <w:t xml:space="preserve"> s investičně připravenou plochou 280 ha,</w:t>
      </w:r>
      <w:r w:rsidR="00990A1C" w:rsidRPr="00C741D6">
        <w:rPr>
          <w:rFonts w:ascii="Calibri" w:hAnsi="Calibri" w:cs="Calibri"/>
          <w:sz w:val="24"/>
        </w:rPr>
        <w:t xml:space="preserve"> na kterou MPO</w:t>
      </w:r>
      <w:r w:rsidR="00793342" w:rsidRPr="00C741D6">
        <w:rPr>
          <w:rFonts w:ascii="Calibri" w:hAnsi="Calibri" w:cs="Calibri"/>
          <w:sz w:val="24"/>
        </w:rPr>
        <w:t xml:space="preserve"> poskytl</w:t>
      </w:r>
      <w:r w:rsidR="00990A1C" w:rsidRPr="00C741D6">
        <w:rPr>
          <w:rFonts w:ascii="Calibri" w:hAnsi="Calibri" w:cs="Calibri"/>
          <w:sz w:val="24"/>
        </w:rPr>
        <w:t>o</w:t>
      </w:r>
      <w:r w:rsidR="00793342" w:rsidRPr="00C741D6">
        <w:rPr>
          <w:rFonts w:ascii="Calibri" w:hAnsi="Calibri" w:cs="Calibri"/>
          <w:sz w:val="24"/>
        </w:rPr>
        <w:t xml:space="preserve"> </w:t>
      </w:r>
      <w:r w:rsidRPr="00C741D6">
        <w:rPr>
          <w:rFonts w:ascii="Calibri" w:hAnsi="Calibri" w:cs="Calibri"/>
          <w:sz w:val="24"/>
        </w:rPr>
        <w:t>1 093,87 mil. Kč</w:t>
      </w:r>
      <w:r w:rsidR="00793342" w:rsidRPr="00C741D6">
        <w:rPr>
          <w:rFonts w:ascii="Calibri" w:hAnsi="Calibri" w:cs="Calibri"/>
          <w:sz w:val="24"/>
        </w:rPr>
        <w:t>.</w:t>
      </w:r>
      <w:r w:rsidRPr="00C741D6">
        <w:rPr>
          <w:rFonts w:ascii="Calibri" w:hAnsi="Calibri" w:cs="Calibri"/>
          <w:sz w:val="24"/>
        </w:rPr>
        <w:t xml:space="preserve"> </w:t>
      </w:r>
    </w:p>
    <w:p w14:paraId="70EDED18" w14:textId="77777777" w:rsidR="00D92D99" w:rsidRPr="00C741D6" w:rsidRDefault="00D92D99" w:rsidP="00C741D6">
      <w:pPr>
        <w:rPr>
          <w:rFonts w:ascii="Calibri" w:hAnsi="Calibri" w:cs="Calibri"/>
          <w:sz w:val="24"/>
        </w:rPr>
      </w:pPr>
    </w:p>
    <w:p w14:paraId="72ADAC60" w14:textId="77777777" w:rsidR="00D92D99" w:rsidRPr="00C741D6" w:rsidRDefault="00D92D99" w:rsidP="00C741D6">
      <w:pPr>
        <w:rPr>
          <w:rFonts w:ascii="Calibri" w:hAnsi="Calibri" w:cs="Calibri"/>
          <w:b/>
          <w:sz w:val="24"/>
        </w:rPr>
      </w:pPr>
      <w:r w:rsidRPr="00C741D6">
        <w:rPr>
          <w:rFonts w:ascii="Calibri" w:hAnsi="Calibri" w:cs="Calibri"/>
          <w:b/>
          <w:sz w:val="24"/>
        </w:rPr>
        <w:t>Z</w:t>
      </w:r>
      <w:r w:rsidR="001D41C8" w:rsidRPr="00C741D6">
        <w:rPr>
          <w:rFonts w:ascii="Calibri" w:hAnsi="Calibri" w:cs="Calibri"/>
          <w:b/>
          <w:sz w:val="24"/>
        </w:rPr>
        <w:t>óna</w:t>
      </w:r>
      <w:r w:rsidRPr="00C741D6">
        <w:rPr>
          <w:rFonts w:ascii="Calibri" w:hAnsi="Calibri" w:cs="Calibri"/>
          <w:b/>
          <w:sz w:val="24"/>
        </w:rPr>
        <w:t xml:space="preserve"> Holešov </w:t>
      </w:r>
    </w:p>
    <w:p w14:paraId="0BBAC60E" w14:textId="77777777" w:rsidR="00C741D6" w:rsidRPr="00C741D6" w:rsidRDefault="00C741D6" w:rsidP="00C741D6">
      <w:pPr>
        <w:rPr>
          <w:rFonts w:ascii="Calibri" w:hAnsi="Calibri" w:cs="Calibri"/>
          <w:sz w:val="24"/>
        </w:rPr>
      </w:pPr>
    </w:p>
    <w:p w14:paraId="174CBF36" w14:textId="615EB766" w:rsidR="00756355" w:rsidRPr="00C741D6" w:rsidRDefault="006E1AF0" w:rsidP="00C741D6">
      <w:pPr>
        <w:rPr>
          <w:rFonts w:ascii="Calibri" w:hAnsi="Calibri" w:cs="Calibri"/>
          <w:sz w:val="24"/>
        </w:rPr>
      </w:pPr>
      <w:r w:rsidRPr="00C741D6">
        <w:rPr>
          <w:rFonts w:ascii="Calibri" w:hAnsi="Calibri" w:cs="Calibri"/>
          <w:sz w:val="24"/>
        </w:rPr>
        <w:t>Z</w:t>
      </w:r>
      <w:r w:rsidR="000655EC" w:rsidRPr="00C741D6">
        <w:rPr>
          <w:rFonts w:ascii="Calibri" w:hAnsi="Calibri" w:cs="Calibri"/>
          <w:sz w:val="24"/>
        </w:rPr>
        <w:t>óna Holešov byla původně připravována se souhlasem vlády ČR pro strategického investora, který se ale rozhodl v zóně investic</w:t>
      </w:r>
      <w:r w:rsidR="00CF55B7" w:rsidRPr="00C741D6">
        <w:rPr>
          <w:rFonts w:ascii="Calibri" w:hAnsi="Calibri" w:cs="Calibri"/>
          <w:sz w:val="24"/>
        </w:rPr>
        <w:t xml:space="preserve">i neumístit. Z důvodu uzpůsobení zóny i pro více investorů MPO </w:t>
      </w:r>
      <w:r w:rsidR="00BD500C" w:rsidRPr="00C741D6">
        <w:rPr>
          <w:rFonts w:ascii="Calibri" w:hAnsi="Calibri" w:cs="Calibri"/>
          <w:sz w:val="24"/>
        </w:rPr>
        <w:t xml:space="preserve">následně </w:t>
      </w:r>
      <w:r w:rsidR="00CF55B7" w:rsidRPr="00C741D6">
        <w:rPr>
          <w:rFonts w:ascii="Calibri" w:hAnsi="Calibri" w:cs="Calibri"/>
          <w:sz w:val="24"/>
        </w:rPr>
        <w:t>podpořilo akci na dobudování vnitřní infrastruktury zóny návratno</w:t>
      </w:r>
      <w:r w:rsidR="00756355" w:rsidRPr="00C741D6">
        <w:rPr>
          <w:rFonts w:ascii="Calibri" w:hAnsi="Calibri" w:cs="Calibri"/>
          <w:sz w:val="24"/>
        </w:rPr>
        <w:t>u finanční výpomocí ve výši 150 </w:t>
      </w:r>
      <w:r w:rsidR="00CF55B7" w:rsidRPr="00C741D6">
        <w:rPr>
          <w:rFonts w:ascii="Calibri" w:hAnsi="Calibri" w:cs="Calibri"/>
          <w:sz w:val="24"/>
        </w:rPr>
        <w:t>mil. Kč</w:t>
      </w:r>
      <w:r w:rsidR="00A00702" w:rsidRPr="00C741D6">
        <w:rPr>
          <w:rFonts w:ascii="Calibri" w:hAnsi="Calibri" w:cs="Calibri"/>
          <w:sz w:val="24"/>
        </w:rPr>
        <w:t>. Tato akce</w:t>
      </w:r>
      <w:r w:rsidR="00BD500C" w:rsidRPr="00C741D6">
        <w:rPr>
          <w:rFonts w:ascii="Calibri" w:hAnsi="Calibri" w:cs="Calibri"/>
          <w:sz w:val="24"/>
        </w:rPr>
        <w:t xml:space="preserve"> </w:t>
      </w:r>
      <w:r w:rsidR="00F90577" w:rsidRPr="00C741D6">
        <w:rPr>
          <w:rFonts w:ascii="Calibri" w:hAnsi="Calibri" w:cs="Calibri"/>
          <w:sz w:val="24"/>
        </w:rPr>
        <w:t>má být dokončena</w:t>
      </w:r>
      <w:r w:rsidR="00BD500C" w:rsidRPr="00C741D6">
        <w:rPr>
          <w:rFonts w:ascii="Calibri" w:hAnsi="Calibri" w:cs="Calibri"/>
          <w:sz w:val="24"/>
        </w:rPr>
        <w:t xml:space="preserve"> v roce 2020</w:t>
      </w:r>
      <w:r w:rsidR="00CF55B7" w:rsidRPr="00C741D6">
        <w:rPr>
          <w:rFonts w:ascii="Calibri" w:hAnsi="Calibri" w:cs="Calibri"/>
          <w:sz w:val="24"/>
        </w:rPr>
        <w:t xml:space="preserve">. Zóna byla také </w:t>
      </w:r>
      <w:r w:rsidR="000655EC" w:rsidRPr="00C741D6">
        <w:rPr>
          <w:rFonts w:ascii="Calibri" w:hAnsi="Calibri" w:cs="Calibri"/>
          <w:sz w:val="24"/>
        </w:rPr>
        <w:t>vládou ČR schválena jako zvýhodněná</w:t>
      </w:r>
      <w:r w:rsidR="00CF55B7" w:rsidRPr="00C741D6">
        <w:rPr>
          <w:rFonts w:ascii="Calibri" w:hAnsi="Calibri" w:cs="Calibri"/>
          <w:sz w:val="24"/>
        </w:rPr>
        <w:t xml:space="preserve">, tj. případní investoři mohou získat lepší podmínky v rámci investiční pobídky. </w:t>
      </w:r>
      <w:r w:rsidR="001E275A" w:rsidRPr="00C741D6">
        <w:rPr>
          <w:rFonts w:ascii="Calibri" w:hAnsi="Calibri" w:cs="Calibri"/>
          <w:sz w:val="24"/>
        </w:rPr>
        <w:t>Zlínský kraj a </w:t>
      </w:r>
      <w:r w:rsidR="006C0448" w:rsidRPr="00C741D6">
        <w:rPr>
          <w:rFonts w:ascii="Calibri" w:hAnsi="Calibri" w:cs="Calibri"/>
          <w:sz w:val="24"/>
        </w:rPr>
        <w:t>CzechInvest zónu prezentují v tisku, na webových stránkách a prostře</w:t>
      </w:r>
      <w:r w:rsidR="001E275A" w:rsidRPr="00C741D6">
        <w:rPr>
          <w:rFonts w:ascii="Calibri" w:hAnsi="Calibri" w:cs="Calibri"/>
          <w:sz w:val="24"/>
        </w:rPr>
        <w:t>dnictvím veřejných a </w:t>
      </w:r>
      <w:r w:rsidR="006C0448" w:rsidRPr="00C741D6">
        <w:rPr>
          <w:rFonts w:ascii="Calibri" w:hAnsi="Calibri" w:cs="Calibri"/>
          <w:sz w:val="24"/>
        </w:rPr>
        <w:t xml:space="preserve">odborných subjektů. </w:t>
      </w:r>
    </w:p>
    <w:p w14:paraId="76502FF7" w14:textId="77777777" w:rsidR="00756355" w:rsidRPr="00C741D6" w:rsidRDefault="00756355" w:rsidP="00C741D6">
      <w:pPr>
        <w:rPr>
          <w:rFonts w:ascii="Calibri" w:hAnsi="Calibri" w:cs="Calibri"/>
          <w:sz w:val="24"/>
        </w:rPr>
      </w:pPr>
    </w:p>
    <w:p w14:paraId="7D4CFD27" w14:textId="77777777" w:rsidR="001D41C8" w:rsidRPr="00C741D6" w:rsidRDefault="00CF55B7" w:rsidP="00C741D6">
      <w:pPr>
        <w:rPr>
          <w:rFonts w:ascii="Calibri" w:hAnsi="Calibri" w:cs="Calibri"/>
          <w:sz w:val="24"/>
        </w:rPr>
      </w:pPr>
      <w:r w:rsidRPr="00C741D6">
        <w:rPr>
          <w:rFonts w:ascii="Calibri" w:hAnsi="Calibri" w:cs="Calibri"/>
          <w:sz w:val="24"/>
        </w:rPr>
        <w:t xml:space="preserve">Do doby ukončení kontroly nebyla opatření učiněná k vyšší obsazenosti zóny Holešov účinná. </w:t>
      </w:r>
      <w:r w:rsidR="000655EC" w:rsidRPr="00C741D6">
        <w:rPr>
          <w:rFonts w:ascii="Calibri" w:hAnsi="Calibri" w:cs="Calibri"/>
          <w:sz w:val="24"/>
        </w:rPr>
        <w:t xml:space="preserve">Zvýšení obsazenosti zóny je omezeno </w:t>
      </w:r>
      <w:r w:rsidR="00206B95" w:rsidRPr="00C741D6">
        <w:rPr>
          <w:rFonts w:ascii="Calibri" w:hAnsi="Calibri" w:cs="Calibri"/>
          <w:sz w:val="24"/>
        </w:rPr>
        <w:t xml:space="preserve">jejím umístěním v ochranném pásmu podzemních vod a </w:t>
      </w:r>
      <w:r w:rsidR="000655EC" w:rsidRPr="00C741D6">
        <w:rPr>
          <w:rFonts w:ascii="Calibri" w:hAnsi="Calibri" w:cs="Calibri"/>
          <w:sz w:val="24"/>
        </w:rPr>
        <w:t>aktivitami ekologických spolků a sdružení</w:t>
      </w:r>
      <w:r w:rsidR="00786247" w:rsidRPr="00C741D6">
        <w:rPr>
          <w:rFonts w:ascii="Calibri" w:hAnsi="Calibri" w:cs="Calibri"/>
          <w:sz w:val="24"/>
        </w:rPr>
        <w:t>.</w:t>
      </w:r>
      <w:r w:rsidR="000655EC" w:rsidRPr="00C741D6">
        <w:rPr>
          <w:rFonts w:ascii="Calibri" w:hAnsi="Calibri" w:cs="Calibri"/>
          <w:sz w:val="24"/>
        </w:rPr>
        <w:t xml:space="preserve"> </w:t>
      </w:r>
    </w:p>
    <w:p w14:paraId="0D98CD10" w14:textId="77777777" w:rsidR="001D41C8" w:rsidRPr="00C741D6" w:rsidRDefault="001D41C8" w:rsidP="00C741D6">
      <w:pPr>
        <w:rPr>
          <w:rFonts w:ascii="Calibri" w:hAnsi="Calibri" w:cs="Calibri"/>
          <w:sz w:val="24"/>
        </w:rPr>
      </w:pPr>
    </w:p>
    <w:p w14:paraId="39FF9716" w14:textId="621848FE" w:rsidR="001D41C8" w:rsidRPr="00C741D6" w:rsidRDefault="001D41C8" w:rsidP="00C741D6">
      <w:pPr>
        <w:rPr>
          <w:rFonts w:ascii="Calibri" w:hAnsi="Calibri" w:cs="Calibri"/>
          <w:b/>
          <w:sz w:val="24"/>
        </w:rPr>
      </w:pPr>
      <w:r w:rsidRPr="00C741D6">
        <w:rPr>
          <w:rFonts w:ascii="Calibri" w:hAnsi="Calibri" w:cs="Calibri"/>
          <w:b/>
          <w:sz w:val="24"/>
        </w:rPr>
        <w:t>Zóna Přerov</w:t>
      </w:r>
      <w:r w:rsidR="00117C67">
        <w:rPr>
          <w:rFonts w:ascii="Calibri" w:hAnsi="Calibri" w:cs="Calibri"/>
          <w:b/>
          <w:sz w:val="24"/>
        </w:rPr>
        <w:t>-</w:t>
      </w:r>
      <w:r w:rsidRPr="00C741D6">
        <w:rPr>
          <w:rFonts w:ascii="Calibri" w:hAnsi="Calibri" w:cs="Calibri"/>
          <w:b/>
          <w:sz w:val="24"/>
        </w:rPr>
        <w:t>Bochoř</w:t>
      </w:r>
    </w:p>
    <w:p w14:paraId="1D53EA48" w14:textId="77777777" w:rsidR="00C741D6" w:rsidRPr="00C741D6" w:rsidRDefault="00C741D6" w:rsidP="00C741D6">
      <w:pPr>
        <w:rPr>
          <w:rFonts w:ascii="Calibri" w:hAnsi="Calibri" w:cs="Calibri"/>
          <w:sz w:val="24"/>
        </w:rPr>
      </w:pPr>
    </w:p>
    <w:p w14:paraId="374F83FB" w14:textId="4CDA95A4" w:rsidR="000655EC" w:rsidRPr="00C741D6" w:rsidRDefault="00BC1FC0" w:rsidP="00C741D6">
      <w:pPr>
        <w:rPr>
          <w:rFonts w:ascii="Calibri" w:hAnsi="Calibri" w:cs="Calibri"/>
          <w:b/>
          <w:sz w:val="24"/>
        </w:rPr>
      </w:pPr>
      <w:r w:rsidRPr="00C741D6">
        <w:rPr>
          <w:rFonts w:ascii="Calibri" w:hAnsi="Calibri" w:cs="Calibri"/>
          <w:sz w:val="24"/>
        </w:rPr>
        <w:t>Ri</w:t>
      </w:r>
      <w:r w:rsidR="007B578B" w:rsidRPr="00C741D6">
        <w:rPr>
          <w:rFonts w:ascii="Calibri" w:hAnsi="Calibri" w:cs="Calibri"/>
          <w:sz w:val="24"/>
        </w:rPr>
        <w:t>ziko neobsazení je i u plánované</w:t>
      </w:r>
      <w:r w:rsidRPr="00C741D6">
        <w:rPr>
          <w:rFonts w:ascii="Calibri" w:hAnsi="Calibri" w:cs="Calibri"/>
          <w:sz w:val="24"/>
        </w:rPr>
        <w:t xml:space="preserve"> zóny Přerov</w:t>
      </w:r>
      <w:r w:rsidR="00114DB0">
        <w:rPr>
          <w:rFonts w:ascii="Calibri" w:hAnsi="Calibri" w:cs="Calibri"/>
          <w:sz w:val="24"/>
        </w:rPr>
        <w:t>-</w:t>
      </w:r>
      <w:r w:rsidRPr="00C741D6">
        <w:rPr>
          <w:rFonts w:ascii="Calibri" w:hAnsi="Calibri" w:cs="Calibri"/>
          <w:sz w:val="24"/>
        </w:rPr>
        <w:t>Bochoř</w:t>
      </w:r>
      <w:r w:rsidR="00B46A2D" w:rsidRPr="00C741D6">
        <w:rPr>
          <w:rFonts w:ascii="Calibri" w:hAnsi="Calibri" w:cs="Calibri"/>
          <w:sz w:val="24"/>
        </w:rPr>
        <w:t xml:space="preserve">. Tato lokalita, která se nachází </w:t>
      </w:r>
      <w:r w:rsidR="00472718" w:rsidRPr="00C741D6">
        <w:rPr>
          <w:rFonts w:ascii="Calibri" w:hAnsi="Calibri" w:cs="Calibri"/>
          <w:sz w:val="24"/>
        </w:rPr>
        <w:t>cca</w:t>
      </w:r>
      <w:r w:rsidR="00C741D6">
        <w:rPr>
          <w:rFonts w:ascii="Calibri" w:hAnsi="Calibri" w:cs="Calibri"/>
          <w:sz w:val="24"/>
        </w:rPr>
        <w:t> </w:t>
      </w:r>
      <w:r w:rsidR="00B46A2D" w:rsidRPr="00C741D6">
        <w:rPr>
          <w:rFonts w:ascii="Calibri" w:hAnsi="Calibri" w:cs="Calibri"/>
          <w:sz w:val="24"/>
        </w:rPr>
        <w:t>20</w:t>
      </w:r>
      <w:r w:rsidR="00117C67">
        <w:rPr>
          <w:rFonts w:ascii="Calibri" w:hAnsi="Calibri" w:cs="Calibri"/>
          <w:sz w:val="24"/>
        </w:rPr>
        <w:t> </w:t>
      </w:r>
      <w:r w:rsidR="00B46A2D" w:rsidRPr="00C741D6">
        <w:rPr>
          <w:rFonts w:ascii="Calibri" w:hAnsi="Calibri" w:cs="Calibri"/>
          <w:sz w:val="24"/>
        </w:rPr>
        <w:t>km od zóny Holešov</w:t>
      </w:r>
      <w:r w:rsidR="005441EB" w:rsidRPr="00C741D6">
        <w:rPr>
          <w:rFonts w:ascii="Calibri" w:hAnsi="Calibri" w:cs="Calibri"/>
          <w:sz w:val="24"/>
        </w:rPr>
        <w:t xml:space="preserve"> rovněž v ochranném pásmu podzemních vod</w:t>
      </w:r>
      <w:r w:rsidR="00B46A2D" w:rsidRPr="00C741D6">
        <w:rPr>
          <w:rFonts w:ascii="Calibri" w:hAnsi="Calibri" w:cs="Calibri"/>
          <w:sz w:val="24"/>
        </w:rPr>
        <w:t xml:space="preserve">, byla vybrána </w:t>
      </w:r>
      <w:r w:rsidR="00397702" w:rsidRPr="00C741D6">
        <w:rPr>
          <w:rFonts w:ascii="Calibri" w:hAnsi="Calibri" w:cs="Calibri"/>
          <w:sz w:val="24"/>
        </w:rPr>
        <w:t>také</w:t>
      </w:r>
      <w:r w:rsidRPr="00C741D6">
        <w:rPr>
          <w:rFonts w:ascii="Calibri" w:hAnsi="Calibri" w:cs="Calibri"/>
          <w:sz w:val="24"/>
        </w:rPr>
        <w:t xml:space="preserve"> na základě jednán</w:t>
      </w:r>
      <w:r w:rsidR="00B46A2D" w:rsidRPr="00C741D6">
        <w:rPr>
          <w:rFonts w:ascii="Calibri" w:hAnsi="Calibri" w:cs="Calibri"/>
          <w:sz w:val="24"/>
        </w:rPr>
        <w:t xml:space="preserve">í s potenciálním </w:t>
      </w:r>
      <w:r w:rsidRPr="00C741D6">
        <w:rPr>
          <w:rFonts w:ascii="Calibri" w:hAnsi="Calibri" w:cs="Calibri"/>
          <w:sz w:val="24"/>
        </w:rPr>
        <w:t>investorem</w:t>
      </w:r>
      <w:r w:rsidR="00472718" w:rsidRPr="00C741D6">
        <w:rPr>
          <w:rFonts w:ascii="Calibri" w:hAnsi="Calibri" w:cs="Calibri"/>
          <w:sz w:val="24"/>
        </w:rPr>
        <w:t>, jež</w:t>
      </w:r>
      <w:r w:rsidR="00B46A2D" w:rsidRPr="00C741D6">
        <w:rPr>
          <w:rFonts w:ascii="Calibri" w:hAnsi="Calibri" w:cs="Calibri"/>
          <w:sz w:val="24"/>
        </w:rPr>
        <w:t xml:space="preserve"> umístil investici jinde.</w:t>
      </w:r>
      <w:r w:rsidRPr="00C741D6">
        <w:rPr>
          <w:rFonts w:ascii="Calibri" w:hAnsi="Calibri" w:cs="Calibri"/>
          <w:sz w:val="24"/>
        </w:rPr>
        <w:t xml:space="preserve"> Vláda ČR </w:t>
      </w:r>
      <w:r w:rsidR="007E59F2" w:rsidRPr="00C741D6">
        <w:rPr>
          <w:rFonts w:ascii="Calibri" w:hAnsi="Calibri" w:cs="Calibri"/>
          <w:sz w:val="24"/>
        </w:rPr>
        <w:t xml:space="preserve">následně </w:t>
      </w:r>
      <w:r w:rsidRPr="00C741D6">
        <w:rPr>
          <w:rFonts w:ascii="Calibri" w:hAnsi="Calibri" w:cs="Calibri"/>
          <w:sz w:val="24"/>
        </w:rPr>
        <w:lastRenderedPageBreak/>
        <w:t xml:space="preserve">přesto v roce 2016 souhlasila </w:t>
      </w:r>
      <w:r w:rsidR="001E58ED" w:rsidRPr="00C741D6">
        <w:rPr>
          <w:rFonts w:ascii="Calibri" w:hAnsi="Calibri" w:cs="Calibri"/>
          <w:sz w:val="24"/>
        </w:rPr>
        <w:t xml:space="preserve">s přípravou a výstavbou zóny s </w:t>
      </w:r>
      <w:r w:rsidRPr="00C741D6">
        <w:rPr>
          <w:rFonts w:ascii="Calibri" w:hAnsi="Calibri" w:cs="Calibri"/>
          <w:sz w:val="24"/>
        </w:rPr>
        <w:t>odhadovanými výdaji</w:t>
      </w:r>
      <w:r w:rsidR="00C27716" w:rsidRPr="00C741D6">
        <w:rPr>
          <w:rFonts w:ascii="Calibri" w:hAnsi="Calibri" w:cs="Calibri"/>
          <w:sz w:val="24"/>
        </w:rPr>
        <w:t xml:space="preserve"> ve výši 1 419,29 mil. Kč, z toho</w:t>
      </w:r>
      <w:r w:rsidRPr="00C741D6">
        <w:rPr>
          <w:rFonts w:ascii="Calibri" w:hAnsi="Calibri" w:cs="Calibri"/>
          <w:sz w:val="24"/>
        </w:rPr>
        <w:t xml:space="preserve"> 1 273 mil. Kč ze státního rozpočtu. </w:t>
      </w:r>
      <w:r w:rsidR="00B46A2D" w:rsidRPr="00C741D6">
        <w:rPr>
          <w:rFonts w:ascii="Calibri" w:hAnsi="Calibri" w:cs="Calibri"/>
          <w:sz w:val="24"/>
        </w:rPr>
        <w:t>Do června</w:t>
      </w:r>
      <w:r w:rsidRPr="00C741D6">
        <w:rPr>
          <w:rFonts w:ascii="Calibri" w:hAnsi="Calibri" w:cs="Calibri"/>
          <w:sz w:val="24"/>
        </w:rPr>
        <w:t xml:space="preserve"> 2018 vynaložil</w:t>
      </w:r>
      <w:r w:rsidR="007E2C25">
        <w:rPr>
          <w:rFonts w:ascii="Calibri" w:hAnsi="Calibri" w:cs="Calibri"/>
          <w:sz w:val="24"/>
        </w:rPr>
        <w:t>a agentura</w:t>
      </w:r>
      <w:r w:rsidRPr="00C741D6">
        <w:rPr>
          <w:rFonts w:ascii="Calibri" w:hAnsi="Calibri" w:cs="Calibri"/>
          <w:sz w:val="24"/>
        </w:rPr>
        <w:t xml:space="preserve"> CzechInvest v souvislosti s přípravou zóny Přerov</w:t>
      </w:r>
      <w:r w:rsidR="00114DB0">
        <w:rPr>
          <w:rFonts w:ascii="Calibri" w:hAnsi="Calibri" w:cs="Calibri"/>
          <w:sz w:val="24"/>
        </w:rPr>
        <w:t>-</w:t>
      </w:r>
      <w:r w:rsidRPr="00C741D6">
        <w:rPr>
          <w:rFonts w:ascii="Calibri" w:hAnsi="Calibri" w:cs="Calibri"/>
          <w:sz w:val="24"/>
        </w:rPr>
        <w:t>Bochoř 497 tis. Kč za studie a</w:t>
      </w:r>
      <w:r w:rsidR="007E2C25">
        <w:rPr>
          <w:rFonts w:ascii="Calibri" w:hAnsi="Calibri" w:cs="Calibri"/>
          <w:sz w:val="24"/>
        </w:rPr>
        <w:t> </w:t>
      </w:r>
      <w:r w:rsidRPr="00C741D6">
        <w:rPr>
          <w:rFonts w:ascii="Calibri" w:hAnsi="Calibri" w:cs="Calibri"/>
          <w:sz w:val="24"/>
        </w:rPr>
        <w:t>odhad investičních výdajů.</w:t>
      </w:r>
      <w:r w:rsidR="00B46A2D" w:rsidRPr="00C741D6">
        <w:rPr>
          <w:rFonts w:ascii="Calibri" w:hAnsi="Calibri" w:cs="Calibri"/>
          <w:sz w:val="24"/>
        </w:rPr>
        <w:t xml:space="preserve"> </w:t>
      </w:r>
    </w:p>
    <w:p w14:paraId="0086F407" w14:textId="77777777" w:rsidR="000655EC" w:rsidRPr="00C741D6" w:rsidRDefault="000655EC" w:rsidP="00C741D6">
      <w:pPr>
        <w:pStyle w:val="Default"/>
        <w:jc w:val="both"/>
        <w:rPr>
          <w:rFonts w:ascii="Calibri" w:hAnsi="Calibri" w:cs="Calibri"/>
          <w:color w:val="auto"/>
          <w:lang w:val="cs-CZ"/>
        </w:rPr>
      </w:pPr>
    </w:p>
    <w:p w14:paraId="544C5ABA" w14:textId="77777777" w:rsidR="00D92D99" w:rsidRPr="00C741D6" w:rsidRDefault="006B4050" w:rsidP="00C741D6">
      <w:pPr>
        <w:rPr>
          <w:rFonts w:ascii="Calibri" w:hAnsi="Calibri" w:cs="Calibri"/>
          <w:b/>
          <w:sz w:val="24"/>
        </w:rPr>
      </w:pPr>
      <w:r w:rsidRPr="00C741D6">
        <w:rPr>
          <w:rFonts w:ascii="Calibri" w:hAnsi="Calibri" w:cs="Calibri"/>
          <w:b/>
          <w:sz w:val="24"/>
        </w:rPr>
        <w:t xml:space="preserve">4. </w:t>
      </w:r>
      <w:r w:rsidR="00102725" w:rsidRPr="00C741D6">
        <w:rPr>
          <w:rFonts w:ascii="Calibri" w:hAnsi="Calibri" w:cs="Calibri"/>
          <w:b/>
          <w:sz w:val="24"/>
        </w:rPr>
        <w:t>Převažující z</w:t>
      </w:r>
      <w:r w:rsidR="00D92D99" w:rsidRPr="00C741D6">
        <w:rPr>
          <w:rFonts w:ascii="Calibri" w:hAnsi="Calibri" w:cs="Calibri"/>
          <w:b/>
          <w:sz w:val="24"/>
        </w:rPr>
        <w:t xml:space="preserve">óny na zelené louce a </w:t>
      </w:r>
      <w:r w:rsidR="00102725" w:rsidRPr="00C741D6">
        <w:rPr>
          <w:rFonts w:ascii="Calibri" w:hAnsi="Calibri" w:cs="Calibri"/>
          <w:b/>
          <w:sz w:val="24"/>
        </w:rPr>
        <w:t>oproti brownfieldům</w:t>
      </w:r>
    </w:p>
    <w:p w14:paraId="10417587" w14:textId="77777777" w:rsidR="006B4050" w:rsidRPr="00C741D6" w:rsidRDefault="006B4050" w:rsidP="00D92D99">
      <w:pPr>
        <w:rPr>
          <w:rFonts w:asciiTheme="minorHAnsi" w:hAnsiTheme="minorHAnsi" w:cstheme="minorHAnsi"/>
          <w:sz w:val="24"/>
        </w:rPr>
      </w:pPr>
    </w:p>
    <w:p w14:paraId="3A4686D2" w14:textId="77777777" w:rsidR="00D92D99" w:rsidRPr="00F94C00" w:rsidRDefault="00D92D99" w:rsidP="00D92D99">
      <w:pPr>
        <w:rPr>
          <w:rFonts w:asciiTheme="minorHAnsi" w:hAnsiTheme="minorHAnsi" w:cstheme="minorHAnsi"/>
          <w:b/>
          <w:sz w:val="24"/>
        </w:rPr>
      </w:pPr>
      <w:r w:rsidRPr="00F94C00">
        <w:rPr>
          <w:rFonts w:asciiTheme="minorHAnsi" w:hAnsiTheme="minorHAnsi" w:cstheme="minorHAnsi"/>
          <w:b/>
          <w:sz w:val="24"/>
        </w:rPr>
        <w:t>Národní strategie regenerace brownfieldů</w:t>
      </w:r>
    </w:p>
    <w:p w14:paraId="3EAF0AC5" w14:textId="77777777" w:rsidR="00C741D6" w:rsidRDefault="00C741D6" w:rsidP="00D92D99">
      <w:pPr>
        <w:rPr>
          <w:rFonts w:asciiTheme="minorHAnsi" w:hAnsiTheme="minorHAnsi" w:cstheme="minorHAnsi"/>
          <w:sz w:val="24"/>
        </w:rPr>
      </w:pPr>
    </w:p>
    <w:p w14:paraId="5C3CF14B" w14:textId="6D1EC86E" w:rsidR="00D92D99" w:rsidRPr="00F94C00" w:rsidRDefault="00686543" w:rsidP="00D92D99">
      <w:pPr>
        <w:rPr>
          <w:rFonts w:asciiTheme="minorHAnsi" w:hAnsiTheme="minorHAnsi" w:cstheme="minorHAnsi"/>
          <w:sz w:val="24"/>
        </w:rPr>
      </w:pPr>
      <w:r w:rsidRPr="00F94C00">
        <w:rPr>
          <w:rFonts w:asciiTheme="minorHAnsi" w:hAnsiTheme="minorHAnsi" w:cstheme="minorHAnsi"/>
          <w:sz w:val="24"/>
        </w:rPr>
        <w:t xml:space="preserve">MPO zpracovalo </w:t>
      </w:r>
      <w:r w:rsidRPr="006E7BFB">
        <w:rPr>
          <w:rFonts w:asciiTheme="minorHAnsi" w:hAnsiTheme="minorHAnsi" w:cstheme="minorHAnsi"/>
          <w:i/>
          <w:sz w:val="24"/>
        </w:rPr>
        <w:t>Národní strategii regenerace brownfieldů</w:t>
      </w:r>
      <w:r w:rsidRPr="00F94C00">
        <w:rPr>
          <w:rFonts w:asciiTheme="minorHAnsi" w:hAnsiTheme="minorHAnsi" w:cstheme="minorHAnsi"/>
          <w:sz w:val="24"/>
        </w:rPr>
        <w:t xml:space="preserve">, kterou vláda ČR vzala na vědomí v červenci 2008. </w:t>
      </w:r>
      <w:r w:rsidR="003B3051" w:rsidRPr="00F94C00">
        <w:rPr>
          <w:rFonts w:asciiTheme="minorHAnsi" w:hAnsiTheme="minorHAnsi" w:cstheme="minorHAnsi"/>
          <w:sz w:val="24"/>
        </w:rPr>
        <w:t>Z</w:t>
      </w:r>
      <w:r w:rsidRPr="00F94C00">
        <w:rPr>
          <w:rFonts w:asciiTheme="minorHAnsi" w:hAnsiTheme="minorHAnsi" w:cstheme="minorHAnsi"/>
          <w:sz w:val="24"/>
        </w:rPr>
        <w:t xml:space="preserve">ákladním cílem </w:t>
      </w:r>
      <w:r w:rsidR="003B3051" w:rsidRPr="00F94C00">
        <w:rPr>
          <w:rFonts w:asciiTheme="minorHAnsi" w:hAnsiTheme="minorHAnsi" w:cstheme="minorHAnsi"/>
          <w:sz w:val="24"/>
        </w:rPr>
        <w:t xml:space="preserve">strategie </w:t>
      </w:r>
      <w:r w:rsidRPr="00F94C00">
        <w:rPr>
          <w:rFonts w:asciiTheme="minorHAnsi" w:hAnsiTheme="minorHAnsi" w:cstheme="minorHAnsi"/>
          <w:sz w:val="24"/>
        </w:rPr>
        <w:t xml:space="preserve">je vytvořit prostředí pro rychlou a efektivní realizaci regeneračních projektů a prevenci vzniku nových brownfieldů. </w:t>
      </w:r>
      <w:r w:rsidR="003B3051" w:rsidRPr="00F94C00">
        <w:rPr>
          <w:rFonts w:asciiTheme="minorHAnsi" w:hAnsiTheme="minorHAnsi" w:cstheme="minorHAnsi"/>
          <w:sz w:val="24"/>
        </w:rPr>
        <w:t xml:space="preserve">Jedním z jejích přínosů má být snížení počtu brownfieldů a záborů zemědělské půdy pro stavby na „zelené louce“. </w:t>
      </w:r>
      <w:r w:rsidRPr="00F94C00">
        <w:rPr>
          <w:rFonts w:asciiTheme="minorHAnsi" w:hAnsiTheme="minorHAnsi" w:cstheme="minorHAnsi"/>
          <w:sz w:val="24"/>
        </w:rPr>
        <w:t>Podle údajů z května 2018 evidoval</w:t>
      </w:r>
      <w:r w:rsidR="007E2C25">
        <w:rPr>
          <w:rFonts w:asciiTheme="minorHAnsi" w:hAnsiTheme="minorHAnsi" w:cstheme="minorHAnsi"/>
          <w:sz w:val="24"/>
        </w:rPr>
        <w:t>a agentura</w:t>
      </w:r>
      <w:r w:rsidRPr="00F94C00">
        <w:rPr>
          <w:rFonts w:asciiTheme="minorHAnsi" w:hAnsiTheme="minorHAnsi" w:cstheme="minorHAnsi"/>
          <w:sz w:val="24"/>
        </w:rPr>
        <w:t xml:space="preserve"> CzechInvest</w:t>
      </w:r>
      <w:r w:rsidR="00510156" w:rsidRPr="00F94C00">
        <w:rPr>
          <w:rFonts w:asciiTheme="minorHAnsi" w:hAnsiTheme="minorHAnsi" w:cstheme="minorHAnsi"/>
          <w:sz w:val="24"/>
        </w:rPr>
        <w:t xml:space="preserve"> </w:t>
      </w:r>
      <w:r w:rsidR="00D97D5F" w:rsidRPr="00F94C00">
        <w:rPr>
          <w:rFonts w:asciiTheme="minorHAnsi" w:hAnsiTheme="minorHAnsi" w:cstheme="minorHAnsi"/>
          <w:sz w:val="24"/>
        </w:rPr>
        <w:t>ve ve</w:t>
      </w:r>
      <w:r w:rsidR="00F94C00">
        <w:rPr>
          <w:rFonts w:asciiTheme="minorHAnsi" w:hAnsiTheme="minorHAnsi" w:cstheme="minorHAnsi"/>
          <w:sz w:val="24"/>
        </w:rPr>
        <w:t>řejně dostupné databázi 485 </w:t>
      </w:r>
      <w:r w:rsidRPr="00F94C00">
        <w:rPr>
          <w:rFonts w:asciiTheme="minorHAnsi" w:hAnsiTheme="minorHAnsi" w:cstheme="minorHAnsi"/>
          <w:sz w:val="24"/>
        </w:rPr>
        <w:t>brownfieldů</w:t>
      </w:r>
      <w:r w:rsidR="00D97D5F" w:rsidRPr="00F94C00">
        <w:rPr>
          <w:rFonts w:asciiTheme="minorHAnsi" w:hAnsiTheme="minorHAnsi" w:cstheme="minorHAnsi"/>
          <w:sz w:val="24"/>
        </w:rPr>
        <w:t>, které považoval</w:t>
      </w:r>
      <w:r w:rsidR="007E2C25">
        <w:rPr>
          <w:rFonts w:asciiTheme="minorHAnsi" w:hAnsiTheme="minorHAnsi" w:cstheme="minorHAnsi"/>
          <w:sz w:val="24"/>
        </w:rPr>
        <w:t>a</w:t>
      </w:r>
      <w:r w:rsidR="00D97D5F" w:rsidRPr="00F94C00">
        <w:rPr>
          <w:rFonts w:asciiTheme="minorHAnsi" w:hAnsiTheme="minorHAnsi" w:cstheme="minorHAnsi"/>
          <w:sz w:val="24"/>
        </w:rPr>
        <w:t xml:space="preserve"> za prioritní k regeneraci</w:t>
      </w:r>
      <w:r w:rsidRPr="00F94C00">
        <w:rPr>
          <w:rFonts w:asciiTheme="minorHAnsi" w:hAnsiTheme="minorHAnsi" w:cstheme="minorHAnsi"/>
          <w:sz w:val="24"/>
        </w:rPr>
        <w:t xml:space="preserve">. </w:t>
      </w:r>
    </w:p>
    <w:p w14:paraId="2901C043" w14:textId="77777777" w:rsidR="00D92D99" w:rsidRPr="00F94C00" w:rsidRDefault="00D92D99" w:rsidP="00D92D99">
      <w:pPr>
        <w:rPr>
          <w:rFonts w:asciiTheme="minorHAnsi" w:hAnsiTheme="minorHAnsi" w:cstheme="minorHAnsi"/>
          <w:sz w:val="24"/>
        </w:rPr>
      </w:pPr>
    </w:p>
    <w:p w14:paraId="4339810A" w14:textId="77777777" w:rsidR="00D92D99" w:rsidRPr="00F94C00" w:rsidRDefault="00D92D99" w:rsidP="00D92D99">
      <w:pPr>
        <w:rPr>
          <w:rFonts w:asciiTheme="minorHAnsi" w:hAnsiTheme="minorHAnsi" w:cstheme="minorHAnsi"/>
          <w:b/>
          <w:sz w:val="24"/>
        </w:rPr>
      </w:pPr>
      <w:r w:rsidRPr="00F94C00">
        <w:rPr>
          <w:rFonts w:asciiTheme="minorHAnsi" w:hAnsiTheme="minorHAnsi" w:cstheme="minorHAnsi"/>
          <w:b/>
          <w:sz w:val="24"/>
        </w:rPr>
        <w:t>Programy regenerace brownfieldů</w:t>
      </w:r>
    </w:p>
    <w:p w14:paraId="1018270A" w14:textId="77777777" w:rsidR="00C741D6" w:rsidRDefault="00C741D6" w:rsidP="00D92D99">
      <w:pPr>
        <w:rPr>
          <w:rFonts w:asciiTheme="minorHAnsi" w:hAnsiTheme="minorHAnsi" w:cstheme="minorHAnsi"/>
          <w:sz w:val="24"/>
        </w:rPr>
      </w:pPr>
    </w:p>
    <w:p w14:paraId="099E6C46" w14:textId="4ED69A53" w:rsidR="001E275A" w:rsidRPr="00F94C00" w:rsidRDefault="002C7657" w:rsidP="00D92D99">
      <w:pPr>
        <w:rPr>
          <w:rFonts w:asciiTheme="minorHAnsi" w:hAnsiTheme="minorHAnsi" w:cstheme="minorHAnsi"/>
          <w:sz w:val="24"/>
        </w:rPr>
      </w:pPr>
      <w:r w:rsidRPr="00F94C00">
        <w:rPr>
          <w:rFonts w:asciiTheme="minorHAnsi" w:hAnsiTheme="minorHAnsi" w:cstheme="minorHAnsi"/>
          <w:sz w:val="24"/>
        </w:rPr>
        <w:t xml:space="preserve">V současnosti je </w:t>
      </w:r>
      <w:r w:rsidR="004E3430" w:rsidRPr="00F94C00">
        <w:rPr>
          <w:rFonts w:asciiTheme="minorHAnsi" w:hAnsiTheme="minorHAnsi" w:cstheme="minorHAnsi"/>
          <w:sz w:val="24"/>
        </w:rPr>
        <w:t>na podporu</w:t>
      </w:r>
      <w:r w:rsidRPr="00F94C00">
        <w:rPr>
          <w:rFonts w:asciiTheme="minorHAnsi" w:hAnsiTheme="minorHAnsi" w:cstheme="minorHAnsi"/>
          <w:sz w:val="24"/>
        </w:rPr>
        <w:t xml:space="preserve"> regenerace brownfieldů zaměřen</w:t>
      </w:r>
      <w:r w:rsidR="004E3430" w:rsidRPr="00F94C00">
        <w:rPr>
          <w:rFonts w:asciiTheme="minorHAnsi" w:hAnsiTheme="minorHAnsi" w:cstheme="minorHAnsi"/>
          <w:sz w:val="24"/>
        </w:rPr>
        <w:t xml:space="preserve"> program Nemovitosti</w:t>
      </w:r>
      <w:r w:rsidR="00F94C00">
        <w:rPr>
          <w:rFonts w:asciiTheme="minorHAnsi" w:hAnsiTheme="minorHAnsi" w:cstheme="minorHAnsi"/>
          <w:sz w:val="24"/>
        </w:rPr>
        <w:br/>
      </w:r>
      <w:r w:rsidR="005E357C" w:rsidRPr="00F94C00">
        <w:rPr>
          <w:rFonts w:asciiTheme="minorHAnsi" w:hAnsiTheme="minorHAnsi" w:cstheme="minorHAnsi"/>
          <w:sz w:val="24"/>
        </w:rPr>
        <w:t>2014</w:t>
      </w:r>
      <w:r w:rsidR="00117C67">
        <w:rPr>
          <w:rFonts w:asciiTheme="minorHAnsi" w:hAnsiTheme="minorHAnsi" w:cstheme="minorHAnsi"/>
          <w:sz w:val="24"/>
        </w:rPr>
        <w:t>–</w:t>
      </w:r>
      <w:r w:rsidR="005E357C" w:rsidRPr="00F94C00">
        <w:rPr>
          <w:rFonts w:asciiTheme="minorHAnsi" w:hAnsiTheme="minorHAnsi" w:cstheme="minorHAnsi"/>
          <w:sz w:val="24"/>
        </w:rPr>
        <w:t>2020</w:t>
      </w:r>
      <w:r w:rsidR="00114DB0">
        <w:rPr>
          <w:rFonts w:asciiTheme="minorHAnsi" w:hAnsiTheme="minorHAnsi" w:cstheme="minorHAnsi"/>
          <w:sz w:val="24"/>
        </w:rPr>
        <w:t>, který je</w:t>
      </w:r>
      <w:r w:rsidR="004E3430" w:rsidRPr="00F94C00">
        <w:rPr>
          <w:rFonts w:asciiTheme="minorHAnsi" w:hAnsiTheme="minorHAnsi" w:cstheme="minorHAnsi"/>
          <w:sz w:val="24"/>
        </w:rPr>
        <w:t xml:space="preserve"> </w:t>
      </w:r>
      <w:r w:rsidR="005E357C" w:rsidRPr="00F94C00">
        <w:rPr>
          <w:rFonts w:asciiTheme="minorHAnsi" w:hAnsiTheme="minorHAnsi" w:cstheme="minorHAnsi"/>
          <w:sz w:val="24"/>
        </w:rPr>
        <w:t>určen pro malé a střední podnikatele s alokací prostředků Evropské unie ve výši 5 124 mil. Kč</w:t>
      </w:r>
      <w:r w:rsidR="00114DB0">
        <w:rPr>
          <w:rFonts w:asciiTheme="minorHAnsi" w:hAnsiTheme="minorHAnsi" w:cstheme="minorHAnsi"/>
          <w:sz w:val="24"/>
        </w:rPr>
        <w:t>,</w:t>
      </w:r>
      <w:r w:rsidR="005E357C" w:rsidRPr="00F94C00">
        <w:rPr>
          <w:rFonts w:asciiTheme="minorHAnsi" w:hAnsiTheme="minorHAnsi" w:cstheme="minorHAnsi"/>
          <w:sz w:val="24"/>
        </w:rPr>
        <w:t xml:space="preserve"> a</w:t>
      </w:r>
      <w:r w:rsidR="00114DB0">
        <w:rPr>
          <w:rFonts w:asciiTheme="minorHAnsi" w:hAnsiTheme="minorHAnsi" w:cstheme="minorHAnsi"/>
          <w:sz w:val="24"/>
        </w:rPr>
        <w:t> dále</w:t>
      </w:r>
      <w:r w:rsidR="005E357C" w:rsidRPr="00F94C00">
        <w:rPr>
          <w:rFonts w:asciiTheme="minorHAnsi" w:hAnsiTheme="minorHAnsi" w:cstheme="minorHAnsi"/>
          <w:sz w:val="24"/>
        </w:rPr>
        <w:t xml:space="preserve"> </w:t>
      </w:r>
      <w:r w:rsidR="004E3430" w:rsidRPr="00F94C00">
        <w:rPr>
          <w:rFonts w:asciiTheme="minorHAnsi" w:hAnsiTheme="minorHAnsi" w:cstheme="minorHAnsi"/>
          <w:sz w:val="24"/>
        </w:rPr>
        <w:t xml:space="preserve">národní program </w:t>
      </w:r>
      <w:r w:rsidR="004E3430" w:rsidRPr="006E7BFB">
        <w:rPr>
          <w:rFonts w:asciiTheme="minorHAnsi" w:hAnsiTheme="minorHAnsi" w:cstheme="minorHAnsi"/>
          <w:i/>
          <w:sz w:val="24"/>
        </w:rPr>
        <w:t>Regenerace a podnikatelského využití brownfieldů</w:t>
      </w:r>
      <w:r w:rsidR="008C4D32" w:rsidRPr="00114DB0">
        <w:rPr>
          <w:rFonts w:asciiTheme="minorHAnsi" w:hAnsiTheme="minorHAnsi" w:cstheme="minorHAnsi"/>
          <w:sz w:val="24"/>
        </w:rPr>
        <w:t xml:space="preserve"> pro období 2017–</w:t>
      </w:r>
      <w:r w:rsidRPr="00114DB0">
        <w:rPr>
          <w:rFonts w:asciiTheme="minorHAnsi" w:hAnsiTheme="minorHAnsi" w:cstheme="minorHAnsi"/>
          <w:sz w:val="24"/>
        </w:rPr>
        <w:t>2023</w:t>
      </w:r>
      <w:r w:rsidRPr="00F94C00">
        <w:rPr>
          <w:rFonts w:asciiTheme="minorHAnsi" w:hAnsiTheme="minorHAnsi" w:cstheme="minorHAnsi"/>
          <w:sz w:val="24"/>
        </w:rPr>
        <w:t xml:space="preserve"> </w:t>
      </w:r>
      <w:r w:rsidR="005E357C" w:rsidRPr="00F94C00">
        <w:rPr>
          <w:rFonts w:asciiTheme="minorHAnsi" w:hAnsiTheme="minorHAnsi" w:cstheme="minorHAnsi"/>
          <w:sz w:val="24"/>
        </w:rPr>
        <w:t xml:space="preserve">s předpokládanou podporou státu ve výši </w:t>
      </w:r>
      <w:r w:rsidR="00DA5B7A" w:rsidRPr="00F94C00">
        <w:rPr>
          <w:rFonts w:asciiTheme="minorHAnsi" w:hAnsiTheme="minorHAnsi" w:cstheme="minorHAnsi"/>
          <w:sz w:val="24"/>
        </w:rPr>
        <w:t xml:space="preserve">celkem </w:t>
      </w:r>
      <w:r w:rsidR="00CE1DDF" w:rsidRPr="00F94C00">
        <w:rPr>
          <w:rFonts w:asciiTheme="minorHAnsi" w:hAnsiTheme="minorHAnsi" w:cstheme="minorHAnsi"/>
          <w:sz w:val="24"/>
        </w:rPr>
        <w:t>2 000</w:t>
      </w:r>
      <w:r w:rsidR="00114DB0">
        <w:rPr>
          <w:rFonts w:asciiTheme="minorHAnsi" w:hAnsiTheme="minorHAnsi" w:cstheme="minorHAnsi"/>
          <w:sz w:val="24"/>
        </w:rPr>
        <w:t> </w:t>
      </w:r>
      <w:r w:rsidR="00CE1DDF" w:rsidRPr="00F94C00">
        <w:rPr>
          <w:rFonts w:asciiTheme="minorHAnsi" w:hAnsiTheme="minorHAnsi" w:cstheme="minorHAnsi"/>
          <w:sz w:val="24"/>
        </w:rPr>
        <w:t>mil.</w:t>
      </w:r>
      <w:r w:rsidR="00114DB0">
        <w:rPr>
          <w:rFonts w:asciiTheme="minorHAnsi" w:hAnsiTheme="minorHAnsi" w:cstheme="minorHAnsi"/>
          <w:sz w:val="24"/>
        </w:rPr>
        <w:t> </w:t>
      </w:r>
      <w:r w:rsidR="00CE1DDF" w:rsidRPr="00F94C00">
        <w:rPr>
          <w:rFonts w:asciiTheme="minorHAnsi" w:hAnsiTheme="minorHAnsi" w:cstheme="minorHAnsi"/>
          <w:sz w:val="24"/>
        </w:rPr>
        <w:t>Kč</w:t>
      </w:r>
      <w:r w:rsidR="00DA5B7A" w:rsidRPr="00F94C00">
        <w:rPr>
          <w:rFonts w:asciiTheme="minorHAnsi" w:hAnsiTheme="minorHAnsi" w:cstheme="minorHAnsi"/>
          <w:sz w:val="24"/>
        </w:rPr>
        <w:t xml:space="preserve">. </w:t>
      </w:r>
    </w:p>
    <w:p w14:paraId="1DAC7167" w14:textId="77777777" w:rsidR="001E275A" w:rsidRPr="00F94C00" w:rsidRDefault="001E275A" w:rsidP="00D92D99">
      <w:pPr>
        <w:rPr>
          <w:rFonts w:asciiTheme="minorHAnsi" w:hAnsiTheme="minorHAnsi" w:cstheme="minorHAnsi"/>
          <w:sz w:val="24"/>
        </w:rPr>
      </w:pPr>
    </w:p>
    <w:p w14:paraId="7B874A31" w14:textId="142CBFB9" w:rsidR="00D92D99" w:rsidRPr="00F94C00" w:rsidRDefault="00DA5B7A" w:rsidP="00D92D99">
      <w:pPr>
        <w:rPr>
          <w:rFonts w:asciiTheme="minorHAnsi" w:hAnsiTheme="minorHAnsi" w:cstheme="minorHAnsi"/>
          <w:sz w:val="24"/>
        </w:rPr>
      </w:pPr>
      <w:r w:rsidRPr="00F94C00">
        <w:rPr>
          <w:rFonts w:asciiTheme="minorHAnsi" w:hAnsiTheme="minorHAnsi" w:cstheme="minorHAnsi"/>
          <w:sz w:val="24"/>
        </w:rPr>
        <w:t>U programu Nemovitosti</w:t>
      </w:r>
      <w:r w:rsidR="00114DB0">
        <w:rPr>
          <w:rFonts w:asciiTheme="minorHAnsi" w:hAnsiTheme="minorHAnsi" w:cstheme="minorHAnsi"/>
          <w:sz w:val="24"/>
        </w:rPr>
        <w:t xml:space="preserve"> 2014–2020</w:t>
      </w:r>
      <w:r w:rsidRPr="00F94C00">
        <w:rPr>
          <w:rFonts w:asciiTheme="minorHAnsi" w:hAnsiTheme="minorHAnsi" w:cstheme="minorHAnsi"/>
          <w:sz w:val="24"/>
        </w:rPr>
        <w:t xml:space="preserve"> byla v době kontroly víc než polovina alokace přidělena příjemcům prostřednictvím rozhodnutí o poskytnutí dotace. O národní program</w:t>
      </w:r>
      <w:r w:rsidR="00CE1DDF" w:rsidRPr="00F94C00">
        <w:rPr>
          <w:rFonts w:asciiTheme="minorHAnsi" w:hAnsiTheme="minorHAnsi" w:cstheme="minorHAnsi"/>
          <w:sz w:val="24"/>
        </w:rPr>
        <w:t xml:space="preserve"> </w:t>
      </w:r>
      <w:r w:rsidR="00107577" w:rsidRPr="006E7BFB">
        <w:rPr>
          <w:rFonts w:asciiTheme="minorHAnsi" w:hAnsiTheme="minorHAnsi" w:cstheme="minorHAnsi"/>
          <w:i/>
          <w:sz w:val="24"/>
        </w:rPr>
        <w:t>Regenerace a </w:t>
      </w:r>
      <w:r w:rsidRPr="006E7BFB">
        <w:rPr>
          <w:rFonts w:asciiTheme="minorHAnsi" w:hAnsiTheme="minorHAnsi" w:cstheme="minorHAnsi"/>
          <w:i/>
          <w:sz w:val="24"/>
        </w:rPr>
        <w:t>podnikatelského využití brownfieldů</w:t>
      </w:r>
      <w:r w:rsidRPr="00F94C00">
        <w:rPr>
          <w:rFonts w:asciiTheme="minorHAnsi" w:hAnsiTheme="minorHAnsi" w:cstheme="minorHAnsi"/>
          <w:sz w:val="24"/>
        </w:rPr>
        <w:t xml:space="preserve"> ale nebyl výrazný zájem a do doby ukončení kontroly MPO nevydalo žádné rozhodnutí o poskytnutí dotace.</w:t>
      </w:r>
      <w:r w:rsidR="00476B29" w:rsidRPr="00F94C00">
        <w:rPr>
          <w:rFonts w:asciiTheme="minorHAnsi" w:hAnsiTheme="minorHAnsi" w:cstheme="minorHAnsi"/>
          <w:sz w:val="24"/>
        </w:rPr>
        <w:t xml:space="preserve"> </w:t>
      </w:r>
      <w:r w:rsidRPr="00F94C00">
        <w:rPr>
          <w:rFonts w:asciiTheme="minorHAnsi" w:hAnsiTheme="minorHAnsi" w:cstheme="minorHAnsi"/>
          <w:sz w:val="24"/>
        </w:rPr>
        <w:t>Podp</w:t>
      </w:r>
      <w:r w:rsidR="00107577">
        <w:rPr>
          <w:rFonts w:asciiTheme="minorHAnsi" w:hAnsiTheme="minorHAnsi" w:cstheme="minorHAnsi"/>
          <w:sz w:val="24"/>
        </w:rPr>
        <w:t>ora brownfieldů byla zahrnuta i </w:t>
      </w:r>
      <w:r w:rsidRPr="00F94C00">
        <w:rPr>
          <w:rFonts w:asciiTheme="minorHAnsi" w:hAnsiTheme="minorHAnsi" w:cstheme="minorHAnsi"/>
          <w:sz w:val="24"/>
        </w:rPr>
        <w:t>v </w:t>
      </w:r>
      <w:r w:rsidR="00476B29" w:rsidRPr="00F94C00">
        <w:rPr>
          <w:rFonts w:asciiTheme="minorHAnsi" w:hAnsiTheme="minorHAnsi" w:cstheme="minorHAnsi"/>
          <w:sz w:val="24"/>
        </w:rPr>
        <w:t>národních</w:t>
      </w:r>
      <w:r w:rsidRPr="00F94C00">
        <w:rPr>
          <w:rFonts w:asciiTheme="minorHAnsi" w:hAnsiTheme="minorHAnsi" w:cstheme="minorHAnsi"/>
          <w:sz w:val="24"/>
        </w:rPr>
        <w:t xml:space="preserve"> </w:t>
      </w:r>
      <w:r w:rsidR="00476B29" w:rsidRPr="00F94C00">
        <w:rPr>
          <w:rFonts w:asciiTheme="minorHAnsi" w:hAnsiTheme="minorHAnsi" w:cstheme="minorHAnsi"/>
          <w:sz w:val="24"/>
        </w:rPr>
        <w:t xml:space="preserve">programech </w:t>
      </w:r>
      <w:r w:rsidRPr="00F94C00">
        <w:rPr>
          <w:rFonts w:asciiTheme="minorHAnsi" w:hAnsiTheme="minorHAnsi" w:cstheme="minorHAnsi"/>
          <w:sz w:val="24"/>
        </w:rPr>
        <w:t>podpory podnikatelských nemovitostí a infrastruktury</w:t>
      </w:r>
      <w:r w:rsidR="00107577">
        <w:rPr>
          <w:rFonts w:asciiTheme="minorHAnsi" w:hAnsiTheme="minorHAnsi" w:cstheme="minorHAnsi"/>
          <w:sz w:val="24"/>
        </w:rPr>
        <w:t xml:space="preserve"> (322 050 a </w:t>
      </w:r>
      <w:r w:rsidR="00476B29" w:rsidRPr="00F94C00">
        <w:rPr>
          <w:rFonts w:asciiTheme="minorHAnsi" w:hAnsiTheme="minorHAnsi" w:cstheme="minorHAnsi"/>
          <w:sz w:val="24"/>
        </w:rPr>
        <w:t>222 230)</w:t>
      </w:r>
      <w:r w:rsidRPr="00F94C00">
        <w:rPr>
          <w:rFonts w:asciiTheme="minorHAnsi" w:hAnsiTheme="minorHAnsi" w:cstheme="minorHAnsi"/>
          <w:sz w:val="24"/>
        </w:rPr>
        <w:t xml:space="preserve"> </w:t>
      </w:r>
      <w:r w:rsidR="00476B29" w:rsidRPr="00F94C00">
        <w:rPr>
          <w:rFonts w:asciiTheme="minorHAnsi" w:hAnsiTheme="minorHAnsi" w:cstheme="minorHAnsi"/>
          <w:sz w:val="24"/>
        </w:rPr>
        <w:t>realizovaných</w:t>
      </w:r>
      <w:r w:rsidRPr="00F94C00">
        <w:rPr>
          <w:rFonts w:asciiTheme="minorHAnsi" w:hAnsiTheme="minorHAnsi" w:cstheme="minorHAnsi"/>
          <w:sz w:val="24"/>
        </w:rPr>
        <w:t xml:space="preserve"> </w:t>
      </w:r>
      <w:r w:rsidR="00D42B4A" w:rsidRPr="00F94C00">
        <w:rPr>
          <w:rFonts w:asciiTheme="minorHAnsi" w:hAnsiTheme="minorHAnsi" w:cstheme="minorHAnsi"/>
          <w:sz w:val="24"/>
        </w:rPr>
        <w:t>pos</w:t>
      </w:r>
      <w:r w:rsidR="00476B29" w:rsidRPr="00F94C00">
        <w:rPr>
          <w:rFonts w:asciiTheme="minorHAnsi" w:hAnsiTheme="minorHAnsi" w:cstheme="minorHAnsi"/>
          <w:sz w:val="24"/>
        </w:rPr>
        <w:t xml:space="preserve">tupně </w:t>
      </w:r>
      <w:r w:rsidRPr="00F94C00">
        <w:rPr>
          <w:rFonts w:asciiTheme="minorHAnsi" w:hAnsiTheme="minorHAnsi" w:cstheme="minorHAnsi"/>
          <w:sz w:val="24"/>
        </w:rPr>
        <w:t>od roku 2</w:t>
      </w:r>
      <w:r w:rsidR="00476B29" w:rsidRPr="00F94C00">
        <w:rPr>
          <w:rFonts w:asciiTheme="minorHAnsi" w:hAnsiTheme="minorHAnsi" w:cstheme="minorHAnsi"/>
          <w:sz w:val="24"/>
        </w:rPr>
        <w:t>001</w:t>
      </w:r>
      <w:r w:rsidRPr="00F94C00">
        <w:rPr>
          <w:rFonts w:asciiTheme="minorHAnsi" w:hAnsiTheme="minorHAnsi" w:cstheme="minorHAnsi"/>
          <w:sz w:val="24"/>
        </w:rPr>
        <w:t xml:space="preserve">. </w:t>
      </w:r>
    </w:p>
    <w:p w14:paraId="10362879" w14:textId="77777777" w:rsidR="001E275A" w:rsidRDefault="001E275A" w:rsidP="00D92D99">
      <w:pPr>
        <w:rPr>
          <w:rFonts w:asciiTheme="minorHAnsi" w:hAnsiTheme="minorHAnsi" w:cstheme="minorHAnsi"/>
        </w:rPr>
      </w:pPr>
    </w:p>
    <w:p w14:paraId="08BB6860" w14:textId="77777777" w:rsidR="00D92D99" w:rsidRPr="005D3AB1" w:rsidRDefault="00D92D99" w:rsidP="00D92D99">
      <w:pPr>
        <w:rPr>
          <w:rFonts w:asciiTheme="minorHAnsi" w:hAnsiTheme="minorHAnsi" w:cstheme="minorHAnsi"/>
          <w:b/>
          <w:sz w:val="24"/>
        </w:rPr>
      </w:pPr>
      <w:r w:rsidRPr="005D3AB1">
        <w:rPr>
          <w:rFonts w:asciiTheme="minorHAnsi" w:hAnsiTheme="minorHAnsi" w:cstheme="minorHAnsi"/>
          <w:b/>
          <w:sz w:val="24"/>
        </w:rPr>
        <w:t>Podíl podpory na zelené louce</w:t>
      </w:r>
    </w:p>
    <w:p w14:paraId="189FEA1E" w14:textId="77777777" w:rsidR="00C741D6" w:rsidRDefault="00C741D6" w:rsidP="00D92D99">
      <w:pPr>
        <w:rPr>
          <w:rFonts w:asciiTheme="minorHAnsi" w:hAnsiTheme="minorHAnsi" w:cstheme="minorHAnsi"/>
          <w:sz w:val="24"/>
        </w:rPr>
      </w:pPr>
    </w:p>
    <w:p w14:paraId="49E54010" w14:textId="2EE7DFAA" w:rsidR="00756355" w:rsidRPr="00C741D6" w:rsidRDefault="002C7657" w:rsidP="00C741D6">
      <w:pPr>
        <w:rPr>
          <w:rFonts w:ascii="Calibri" w:hAnsi="Calibri" w:cs="Calibri"/>
          <w:sz w:val="24"/>
        </w:rPr>
      </w:pPr>
      <w:r w:rsidRPr="005D3AB1">
        <w:rPr>
          <w:rFonts w:asciiTheme="minorHAnsi" w:hAnsiTheme="minorHAnsi" w:cstheme="minorHAnsi"/>
          <w:sz w:val="24"/>
        </w:rPr>
        <w:t>MPO systematicky nesledovalo, které podpořené akce byly rea</w:t>
      </w:r>
      <w:r w:rsidR="005D3AB1">
        <w:rPr>
          <w:rFonts w:asciiTheme="minorHAnsi" w:hAnsiTheme="minorHAnsi" w:cstheme="minorHAnsi"/>
          <w:sz w:val="24"/>
        </w:rPr>
        <w:t>lizovány tzv. na zelené louce a </w:t>
      </w:r>
      <w:r w:rsidRPr="005D3AB1">
        <w:rPr>
          <w:rFonts w:asciiTheme="minorHAnsi" w:hAnsiTheme="minorHAnsi" w:cstheme="minorHAnsi"/>
          <w:sz w:val="24"/>
        </w:rPr>
        <w:t xml:space="preserve">které byly zaměřeny na brownfieldy. </w:t>
      </w:r>
      <w:r w:rsidR="00476B29" w:rsidRPr="005D3AB1">
        <w:rPr>
          <w:rFonts w:asciiTheme="minorHAnsi" w:hAnsiTheme="minorHAnsi" w:cstheme="minorHAnsi"/>
          <w:sz w:val="24"/>
        </w:rPr>
        <w:t xml:space="preserve">Podle údajů </w:t>
      </w:r>
      <w:r w:rsidR="007E2C25">
        <w:rPr>
          <w:rFonts w:asciiTheme="minorHAnsi" w:hAnsiTheme="minorHAnsi" w:cstheme="minorHAnsi"/>
          <w:sz w:val="24"/>
        </w:rPr>
        <w:t xml:space="preserve">agentury </w:t>
      </w:r>
      <w:r w:rsidR="00476B29" w:rsidRPr="005D3AB1">
        <w:rPr>
          <w:rFonts w:asciiTheme="minorHAnsi" w:hAnsiTheme="minorHAnsi" w:cstheme="minorHAnsi"/>
          <w:sz w:val="24"/>
        </w:rPr>
        <w:t>CzechInvest ze 102 státem podpořených zón od roku 1998 jen čtyři vznikly na území typu br</w:t>
      </w:r>
      <w:r w:rsidR="00C26D34" w:rsidRPr="005D3AB1">
        <w:rPr>
          <w:rFonts w:asciiTheme="minorHAnsi" w:hAnsiTheme="minorHAnsi" w:cstheme="minorHAnsi"/>
          <w:sz w:val="24"/>
        </w:rPr>
        <w:t>ownfield</w:t>
      </w:r>
      <w:r w:rsidR="00682B10" w:rsidRPr="005D3AB1">
        <w:rPr>
          <w:rFonts w:asciiTheme="minorHAnsi" w:hAnsiTheme="minorHAnsi" w:cstheme="minorHAnsi"/>
          <w:sz w:val="24"/>
        </w:rPr>
        <w:t xml:space="preserve">, a to </w:t>
      </w:r>
      <w:r w:rsidR="00476B29" w:rsidRPr="005D3AB1">
        <w:rPr>
          <w:rFonts w:asciiTheme="minorHAnsi" w:hAnsiTheme="minorHAnsi" w:cstheme="minorHAnsi"/>
          <w:sz w:val="24"/>
        </w:rPr>
        <w:t>př</w:t>
      </w:r>
      <w:r w:rsidR="00C26D34" w:rsidRPr="005D3AB1">
        <w:rPr>
          <w:rFonts w:asciiTheme="minorHAnsi" w:hAnsiTheme="minorHAnsi" w:cstheme="minorHAnsi"/>
          <w:sz w:val="24"/>
        </w:rPr>
        <w:t xml:space="preserve">ed rokem </w:t>
      </w:r>
      <w:r w:rsidR="00C26D34" w:rsidRPr="00C741D6">
        <w:rPr>
          <w:rFonts w:ascii="Calibri" w:hAnsi="Calibri" w:cs="Calibri"/>
          <w:sz w:val="24"/>
        </w:rPr>
        <w:t>2010</w:t>
      </w:r>
      <w:r w:rsidR="00476B29" w:rsidRPr="00C741D6">
        <w:rPr>
          <w:rFonts w:ascii="Calibri" w:hAnsi="Calibri" w:cs="Calibri"/>
          <w:sz w:val="24"/>
        </w:rPr>
        <w:t xml:space="preserve">, protože následně o podporu nebyl zájem.  </w:t>
      </w:r>
    </w:p>
    <w:p w14:paraId="7AD7845E" w14:textId="77777777" w:rsidR="00756355" w:rsidRPr="00C741D6" w:rsidRDefault="00756355" w:rsidP="00C741D6">
      <w:pPr>
        <w:rPr>
          <w:rFonts w:ascii="Calibri" w:hAnsi="Calibri" w:cs="Calibri"/>
          <w:sz w:val="24"/>
        </w:rPr>
      </w:pPr>
    </w:p>
    <w:p w14:paraId="38FE1331" w14:textId="70A00D69" w:rsidR="000655EC" w:rsidRPr="00C741D6" w:rsidRDefault="002C7657" w:rsidP="00C741D6">
      <w:pPr>
        <w:rPr>
          <w:rFonts w:ascii="Calibri" w:hAnsi="Calibri" w:cs="Calibri"/>
          <w:sz w:val="24"/>
        </w:rPr>
      </w:pPr>
      <w:r w:rsidRPr="00C741D6">
        <w:rPr>
          <w:rFonts w:ascii="Calibri" w:hAnsi="Calibri" w:cs="Calibri"/>
          <w:sz w:val="24"/>
        </w:rPr>
        <w:t xml:space="preserve">Na základě návrhu </w:t>
      </w:r>
      <w:r w:rsidR="00BB5093" w:rsidRPr="00C741D6">
        <w:rPr>
          <w:rFonts w:ascii="Calibri" w:hAnsi="Calibri" w:cs="Calibri"/>
          <w:sz w:val="24"/>
        </w:rPr>
        <w:t>MPO souhlasila vláda ČR v roce 2017 s přípravou</w:t>
      </w:r>
      <w:r w:rsidR="000655EC" w:rsidRPr="00C741D6">
        <w:rPr>
          <w:rFonts w:ascii="Calibri" w:hAnsi="Calibri" w:cs="Calibri"/>
          <w:sz w:val="24"/>
        </w:rPr>
        <w:t xml:space="preserve"> </w:t>
      </w:r>
      <w:r w:rsidR="00B24A5C">
        <w:rPr>
          <w:rFonts w:ascii="Calibri" w:hAnsi="Calibri" w:cs="Calibri"/>
          <w:sz w:val="24"/>
        </w:rPr>
        <w:t>tří</w:t>
      </w:r>
      <w:r w:rsidR="00BB5093" w:rsidRPr="00C741D6">
        <w:rPr>
          <w:rFonts w:ascii="Calibri" w:hAnsi="Calibri" w:cs="Calibri"/>
          <w:sz w:val="24"/>
        </w:rPr>
        <w:t xml:space="preserve"> </w:t>
      </w:r>
      <w:r w:rsidR="000655EC" w:rsidRPr="00C741D6">
        <w:rPr>
          <w:rFonts w:ascii="Calibri" w:hAnsi="Calibri" w:cs="Calibri"/>
          <w:sz w:val="24"/>
        </w:rPr>
        <w:t xml:space="preserve">nových lokalit </w:t>
      </w:r>
      <w:r w:rsidR="00D42B4A" w:rsidRPr="00C741D6">
        <w:rPr>
          <w:rFonts w:ascii="Calibri" w:hAnsi="Calibri" w:cs="Calibri"/>
          <w:sz w:val="24"/>
        </w:rPr>
        <w:t xml:space="preserve">průmyslových </w:t>
      </w:r>
      <w:r w:rsidR="001C7E16" w:rsidRPr="00C741D6">
        <w:rPr>
          <w:rFonts w:ascii="Calibri" w:hAnsi="Calibri" w:cs="Calibri"/>
          <w:sz w:val="24"/>
        </w:rPr>
        <w:t>zón</w:t>
      </w:r>
      <w:r w:rsidR="00BB5093" w:rsidRPr="00C741D6">
        <w:rPr>
          <w:rFonts w:ascii="Calibri" w:hAnsi="Calibri" w:cs="Calibri"/>
          <w:sz w:val="24"/>
        </w:rPr>
        <w:t xml:space="preserve"> (</w:t>
      </w:r>
      <w:r w:rsidR="000655EC" w:rsidRPr="00C741D6">
        <w:rPr>
          <w:rFonts w:ascii="Calibri" w:hAnsi="Calibri" w:cs="Calibri"/>
          <w:sz w:val="24"/>
        </w:rPr>
        <w:t>Cheb II, Veselí nad Moravou a Moravské Budějovice</w:t>
      </w:r>
      <w:r w:rsidR="00BB5093" w:rsidRPr="00C741D6">
        <w:rPr>
          <w:rFonts w:ascii="Calibri" w:hAnsi="Calibri" w:cs="Calibri"/>
          <w:sz w:val="24"/>
        </w:rPr>
        <w:t>)</w:t>
      </w:r>
      <w:r w:rsidR="000655EC" w:rsidRPr="00C741D6">
        <w:rPr>
          <w:rFonts w:ascii="Calibri" w:hAnsi="Calibri" w:cs="Calibri"/>
          <w:sz w:val="24"/>
        </w:rPr>
        <w:t xml:space="preserve"> s před</w:t>
      </w:r>
      <w:r w:rsidR="00D42B4A" w:rsidRPr="00C741D6">
        <w:rPr>
          <w:rFonts w:ascii="Calibri" w:hAnsi="Calibri" w:cs="Calibri"/>
          <w:sz w:val="24"/>
        </w:rPr>
        <w:t xml:space="preserve">pokládanou </w:t>
      </w:r>
      <w:r w:rsidR="001C7E16" w:rsidRPr="00C741D6">
        <w:rPr>
          <w:rFonts w:ascii="Calibri" w:hAnsi="Calibri" w:cs="Calibri"/>
          <w:sz w:val="24"/>
        </w:rPr>
        <w:t xml:space="preserve">státní </w:t>
      </w:r>
      <w:r w:rsidR="00D42B4A" w:rsidRPr="00C741D6">
        <w:rPr>
          <w:rFonts w:ascii="Calibri" w:hAnsi="Calibri" w:cs="Calibri"/>
          <w:sz w:val="24"/>
        </w:rPr>
        <w:t>dotací 573,8 mil. Kč, která by měla být hrazena z národního programu podpory podnikatelských nemovitostí a infrastruktury.</w:t>
      </w:r>
      <w:r w:rsidR="000655EC" w:rsidRPr="00C741D6">
        <w:rPr>
          <w:rFonts w:ascii="Calibri" w:hAnsi="Calibri" w:cs="Calibri"/>
          <w:sz w:val="24"/>
        </w:rPr>
        <w:t xml:space="preserve"> Vláda ČR </w:t>
      </w:r>
      <w:r w:rsidR="00BB5093" w:rsidRPr="00C741D6">
        <w:rPr>
          <w:rFonts w:ascii="Calibri" w:hAnsi="Calibri" w:cs="Calibri"/>
          <w:sz w:val="24"/>
        </w:rPr>
        <w:t>také odsouhlasila</w:t>
      </w:r>
      <w:r w:rsidR="00B24A5C">
        <w:rPr>
          <w:rFonts w:ascii="Calibri" w:hAnsi="Calibri" w:cs="Calibri"/>
          <w:sz w:val="24"/>
        </w:rPr>
        <w:t xml:space="preserve"> </w:t>
      </w:r>
      <w:r w:rsidR="00BB5093" w:rsidRPr="00C741D6">
        <w:rPr>
          <w:rFonts w:ascii="Calibri" w:hAnsi="Calibri" w:cs="Calibri"/>
          <w:sz w:val="24"/>
        </w:rPr>
        <w:t>příprav</w:t>
      </w:r>
      <w:r w:rsidR="000655EC" w:rsidRPr="00C741D6">
        <w:rPr>
          <w:rFonts w:ascii="Calibri" w:hAnsi="Calibri" w:cs="Calibri"/>
          <w:sz w:val="24"/>
        </w:rPr>
        <w:t xml:space="preserve">u zóny Sokolov </w:t>
      </w:r>
      <w:r w:rsidR="008C4D32" w:rsidRPr="00C741D6">
        <w:rPr>
          <w:rFonts w:ascii="Calibri" w:hAnsi="Calibri" w:cs="Calibri"/>
          <w:sz w:val="24"/>
        </w:rPr>
        <w:t>–</w:t>
      </w:r>
      <w:r w:rsidR="000655EC" w:rsidRPr="00C741D6">
        <w:rPr>
          <w:rFonts w:ascii="Calibri" w:hAnsi="Calibri" w:cs="Calibri"/>
          <w:sz w:val="24"/>
        </w:rPr>
        <w:t xml:space="preserve"> S</w:t>
      </w:r>
      <w:r w:rsidR="00BB5093" w:rsidRPr="00C741D6">
        <w:rPr>
          <w:rFonts w:ascii="Calibri" w:hAnsi="Calibri" w:cs="Calibri"/>
          <w:sz w:val="24"/>
        </w:rPr>
        <w:t xml:space="preserve">taré Sedlo </w:t>
      </w:r>
      <w:r w:rsidR="00756355" w:rsidRPr="00C741D6">
        <w:rPr>
          <w:rFonts w:ascii="Calibri" w:hAnsi="Calibri" w:cs="Calibri"/>
          <w:sz w:val="24"/>
        </w:rPr>
        <w:t>a </w:t>
      </w:r>
      <w:r w:rsidR="000655EC" w:rsidRPr="00C741D6">
        <w:rPr>
          <w:rFonts w:ascii="Calibri" w:hAnsi="Calibri" w:cs="Calibri"/>
          <w:sz w:val="24"/>
        </w:rPr>
        <w:t>Rokycany v případě, že u těchto lokalit budou splněny nezbytné podmínky pro realizaci zón dříve než u předchozích uvedených lokalit. V případě Veselí nad Moravou, Moravsk</w:t>
      </w:r>
      <w:r w:rsidR="00E33B40" w:rsidRPr="00C741D6">
        <w:rPr>
          <w:rFonts w:ascii="Calibri" w:hAnsi="Calibri" w:cs="Calibri"/>
          <w:sz w:val="24"/>
        </w:rPr>
        <w:t xml:space="preserve">ých Budějovic, Sokolov </w:t>
      </w:r>
      <w:r w:rsidR="00B24A5C">
        <w:rPr>
          <w:rFonts w:ascii="Calibri" w:hAnsi="Calibri" w:cs="Calibri"/>
          <w:sz w:val="24"/>
        </w:rPr>
        <w:t>–</w:t>
      </w:r>
      <w:r w:rsidR="00E33B40" w:rsidRPr="00C741D6">
        <w:rPr>
          <w:rFonts w:ascii="Calibri" w:hAnsi="Calibri" w:cs="Calibri"/>
          <w:sz w:val="24"/>
        </w:rPr>
        <w:t xml:space="preserve"> Staré S</w:t>
      </w:r>
      <w:r w:rsidR="000655EC" w:rsidRPr="00C741D6">
        <w:rPr>
          <w:rFonts w:ascii="Calibri" w:hAnsi="Calibri" w:cs="Calibri"/>
          <w:sz w:val="24"/>
        </w:rPr>
        <w:t xml:space="preserve">edlo a Rokycan se jedná o přípravu </w:t>
      </w:r>
      <w:r w:rsidR="008C4D32" w:rsidRPr="00C741D6">
        <w:rPr>
          <w:rFonts w:ascii="Calibri" w:hAnsi="Calibri" w:cs="Calibri"/>
          <w:sz w:val="24"/>
        </w:rPr>
        <w:t>velkých zón (31–</w:t>
      </w:r>
      <w:r w:rsidR="001C7E16" w:rsidRPr="00C741D6">
        <w:rPr>
          <w:rFonts w:ascii="Calibri" w:hAnsi="Calibri" w:cs="Calibri"/>
          <w:sz w:val="24"/>
        </w:rPr>
        <w:t>142 ha)</w:t>
      </w:r>
      <w:r w:rsidR="000655EC" w:rsidRPr="00C741D6">
        <w:rPr>
          <w:rFonts w:ascii="Calibri" w:hAnsi="Calibri" w:cs="Calibri"/>
          <w:sz w:val="24"/>
        </w:rPr>
        <w:t xml:space="preserve"> na „zelené louce“ včetně nutného záboru zemědělské půdy. </w:t>
      </w:r>
    </w:p>
    <w:p w14:paraId="0633212F" w14:textId="77777777" w:rsidR="00D62F5D" w:rsidRPr="00C741D6" w:rsidRDefault="00D62F5D" w:rsidP="00C741D6">
      <w:pPr>
        <w:rPr>
          <w:rFonts w:ascii="Calibri" w:hAnsi="Calibri" w:cs="Calibri"/>
          <w:sz w:val="24"/>
        </w:rPr>
      </w:pPr>
    </w:p>
    <w:p w14:paraId="728CCE81" w14:textId="77777777" w:rsidR="00D92D99" w:rsidRPr="00C741D6" w:rsidRDefault="006B4050" w:rsidP="00C741D6">
      <w:pPr>
        <w:keepNext/>
        <w:rPr>
          <w:rFonts w:ascii="Calibri" w:hAnsi="Calibri" w:cs="Calibri"/>
          <w:b/>
          <w:sz w:val="24"/>
        </w:rPr>
      </w:pPr>
      <w:r w:rsidRPr="00C741D6">
        <w:rPr>
          <w:rFonts w:ascii="Calibri" w:hAnsi="Calibri" w:cs="Calibri"/>
          <w:b/>
          <w:sz w:val="24"/>
        </w:rPr>
        <w:lastRenderedPageBreak/>
        <w:t xml:space="preserve">5. </w:t>
      </w:r>
      <w:r w:rsidR="00D92D99" w:rsidRPr="00C741D6">
        <w:rPr>
          <w:rFonts w:ascii="Calibri" w:hAnsi="Calibri" w:cs="Calibri"/>
          <w:b/>
          <w:sz w:val="24"/>
        </w:rPr>
        <w:t>Informace pro vládu ČR o podpoře průmyslových zón</w:t>
      </w:r>
    </w:p>
    <w:p w14:paraId="1EDB212D" w14:textId="77777777" w:rsidR="006B4050" w:rsidRPr="00C741D6" w:rsidRDefault="006B4050" w:rsidP="00C741D6">
      <w:pPr>
        <w:keepNext/>
        <w:rPr>
          <w:rFonts w:ascii="Calibri" w:hAnsi="Calibri" w:cs="Calibri"/>
          <w:sz w:val="24"/>
        </w:rPr>
      </w:pPr>
    </w:p>
    <w:p w14:paraId="57948DFE" w14:textId="77777777" w:rsidR="00D92D99" w:rsidRPr="00C741D6" w:rsidRDefault="00D92D99" w:rsidP="00C741D6">
      <w:pPr>
        <w:keepNext/>
        <w:rPr>
          <w:rFonts w:ascii="Calibri" w:hAnsi="Calibri" w:cs="Calibri"/>
          <w:b/>
          <w:sz w:val="24"/>
        </w:rPr>
      </w:pPr>
      <w:r w:rsidRPr="00C741D6">
        <w:rPr>
          <w:rFonts w:ascii="Calibri" w:hAnsi="Calibri" w:cs="Calibri"/>
          <w:b/>
          <w:sz w:val="24"/>
        </w:rPr>
        <w:t>Informace</w:t>
      </w:r>
      <w:r w:rsidR="00CF357D" w:rsidRPr="00C741D6">
        <w:rPr>
          <w:rFonts w:ascii="Calibri" w:hAnsi="Calibri" w:cs="Calibri"/>
          <w:b/>
          <w:sz w:val="24"/>
        </w:rPr>
        <w:t xml:space="preserve"> o</w:t>
      </w:r>
      <w:r w:rsidRPr="00C741D6">
        <w:rPr>
          <w:rFonts w:ascii="Calibri" w:hAnsi="Calibri" w:cs="Calibri"/>
          <w:b/>
          <w:sz w:val="24"/>
        </w:rPr>
        <w:t xml:space="preserve"> hodnocení</w:t>
      </w:r>
      <w:r w:rsidR="00CF357D" w:rsidRPr="00C741D6">
        <w:rPr>
          <w:rFonts w:ascii="Calibri" w:hAnsi="Calibri" w:cs="Calibri"/>
          <w:b/>
          <w:sz w:val="24"/>
        </w:rPr>
        <w:t xml:space="preserve"> podpory </w:t>
      </w:r>
      <w:r w:rsidR="007B0028" w:rsidRPr="00C741D6">
        <w:rPr>
          <w:rFonts w:ascii="Calibri" w:hAnsi="Calibri" w:cs="Calibri"/>
          <w:b/>
          <w:sz w:val="24"/>
        </w:rPr>
        <w:t xml:space="preserve">poskytované </w:t>
      </w:r>
      <w:r w:rsidR="00CF357D" w:rsidRPr="00C741D6">
        <w:rPr>
          <w:rFonts w:ascii="Calibri" w:hAnsi="Calibri" w:cs="Calibri"/>
          <w:b/>
          <w:sz w:val="24"/>
        </w:rPr>
        <w:t>do roku 2001</w:t>
      </w:r>
    </w:p>
    <w:p w14:paraId="79183085" w14:textId="77777777" w:rsidR="00C741D6" w:rsidRDefault="00C741D6" w:rsidP="00C741D6">
      <w:pPr>
        <w:keepNext/>
        <w:rPr>
          <w:rFonts w:asciiTheme="minorHAnsi" w:hAnsiTheme="minorHAnsi" w:cstheme="minorHAnsi"/>
          <w:sz w:val="24"/>
        </w:rPr>
      </w:pPr>
    </w:p>
    <w:p w14:paraId="300A6A0F" w14:textId="7257F385" w:rsidR="00CF357D" w:rsidRPr="005D3AB1" w:rsidRDefault="009240E7" w:rsidP="00D92D99">
      <w:pPr>
        <w:rPr>
          <w:rFonts w:asciiTheme="minorHAnsi" w:hAnsiTheme="minorHAnsi" w:cstheme="minorHAnsi"/>
          <w:sz w:val="24"/>
        </w:rPr>
      </w:pPr>
      <w:r w:rsidRPr="005D3AB1">
        <w:rPr>
          <w:rFonts w:asciiTheme="minorHAnsi" w:hAnsiTheme="minorHAnsi" w:cstheme="minorHAnsi"/>
          <w:sz w:val="24"/>
        </w:rPr>
        <w:t xml:space="preserve">V roce </w:t>
      </w:r>
      <w:r w:rsidR="004F06EC" w:rsidRPr="005D3AB1">
        <w:rPr>
          <w:rFonts w:asciiTheme="minorHAnsi" w:hAnsiTheme="minorHAnsi" w:cstheme="minorHAnsi"/>
          <w:sz w:val="24"/>
        </w:rPr>
        <w:t>2009 NK</w:t>
      </w:r>
      <w:r w:rsidR="00975EF7" w:rsidRPr="005D3AB1">
        <w:rPr>
          <w:rFonts w:asciiTheme="minorHAnsi" w:hAnsiTheme="minorHAnsi" w:cstheme="minorHAnsi"/>
          <w:sz w:val="24"/>
        </w:rPr>
        <w:t>Ú zjistil</w:t>
      </w:r>
      <w:r w:rsidR="004F06EC" w:rsidRPr="005D3AB1">
        <w:rPr>
          <w:rFonts w:asciiTheme="minorHAnsi" w:hAnsiTheme="minorHAnsi" w:cstheme="minorHAnsi"/>
          <w:sz w:val="24"/>
        </w:rPr>
        <w:t xml:space="preserve">, že </w:t>
      </w:r>
      <w:r w:rsidR="001D1AF9" w:rsidRPr="005D3AB1">
        <w:rPr>
          <w:rFonts w:asciiTheme="minorHAnsi" w:hAnsiTheme="minorHAnsi" w:cstheme="minorHAnsi"/>
          <w:sz w:val="24"/>
        </w:rPr>
        <w:t xml:space="preserve">MPO neznalo přesně počet akcí, které podpořilo od roku 1998 do </w:t>
      </w:r>
      <w:r w:rsidR="00975EF7" w:rsidRPr="005D3AB1">
        <w:rPr>
          <w:rFonts w:asciiTheme="minorHAnsi" w:hAnsiTheme="minorHAnsi" w:cstheme="minorHAnsi"/>
          <w:sz w:val="24"/>
        </w:rPr>
        <w:t>konce roku</w:t>
      </w:r>
      <w:r w:rsidR="001D1AF9" w:rsidRPr="005D3AB1">
        <w:rPr>
          <w:rFonts w:asciiTheme="minorHAnsi" w:hAnsiTheme="minorHAnsi" w:cstheme="minorHAnsi"/>
          <w:sz w:val="24"/>
        </w:rPr>
        <w:t xml:space="preserve"> 2008 v rámci podpory průmyslových zón</w:t>
      </w:r>
      <w:r w:rsidR="004F06EC" w:rsidRPr="005D3AB1">
        <w:rPr>
          <w:rFonts w:asciiTheme="minorHAnsi" w:hAnsiTheme="minorHAnsi" w:cstheme="minorHAnsi"/>
          <w:sz w:val="24"/>
        </w:rPr>
        <w:t xml:space="preserve">. Tato skutečnost přetrvávala i v době </w:t>
      </w:r>
      <w:r w:rsidR="00C45136">
        <w:rPr>
          <w:rFonts w:asciiTheme="minorHAnsi" w:hAnsiTheme="minorHAnsi" w:cstheme="minorHAnsi"/>
          <w:sz w:val="24"/>
        </w:rPr>
        <w:t>realizace kontrolní akce č.</w:t>
      </w:r>
      <w:r w:rsidR="004F06EC" w:rsidRPr="005D3AB1">
        <w:rPr>
          <w:rFonts w:asciiTheme="minorHAnsi" w:hAnsiTheme="minorHAnsi" w:cstheme="minorHAnsi"/>
          <w:sz w:val="24"/>
        </w:rPr>
        <w:t xml:space="preserve"> 18/01. </w:t>
      </w:r>
      <w:r w:rsidR="00975EF7" w:rsidRPr="005D3AB1">
        <w:rPr>
          <w:rFonts w:asciiTheme="minorHAnsi" w:hAnsiTheme="minorHAnsi" w:cstheme="minorHAnsi"/>
          <w:sz w:val="24"/>
        </w:rPr>
        <w:t xml:space="preserve">Ve stanovisku pro vládu ČR </w:t>
      </w:r>
      <w:r w:rsidR="00C45136">
        <w:rPr>
          <w:rFonts w:asciiTheme="minorHAnsi" w:hAnsiTheme="minorHAnsi" w:cstheme="minorHAnsi"/>
          <w:sz w:val="24"/>
        </w:rPr>
        <w:t xml:space="preserve">ke kontrolnímu závěru z kontrolní akce </w:t>
      </w:r>
      <w:r w:rsidR="00B327D5" w:rsidRPr="005D3AB1">
        <w:rPr>
          <w:rFonts w:asciiTheme="minorHAnsi" w:hAnsiTheme="minorHAnsi" w:cstheme="minorHAnsi"/>
          <w:sz w:val="24"/>
        </w:rPr>
        <w:t>NKÚ</w:t>
      </w:r>
      <w:r w:rsidR="00B327D5">
        <w:rPr>
          <w:rFonts w:asciiTheme="minorHAnsi" w:hAnsiTheme="minorHAnsi" w:cstheme="minorHAnsi"/>
          <w:sz w:val="24"/>
        </w:rPr>
        <w:t xml:space="preserve"> </w:t>
      </w:r>
      <w:r w:rsidR="00C45136">
        <w:rPr>
          <w:rFonts w:asciiTheme="minorHAnsi" w:hAnsiTheme="minorHAnsi" w:cstheme="minorHAnsi"/>
          <w:sz w:val="24"/>
        </w:rPr>
        <w:t>č. 08/29</w:t>
      </w:r>
      <w:r w:rsidR="00B24A5C">
        <w:rPr>
          <w:rFonts w:asciiTheme="minorHAnsi" w:hAnsiTheme="minorHAnsi" w:cstheme="minorHAnsi"/>
          <w:sz w:val="24"/>
          <w:vertAlign w:val="superscript"/>
        </w:rPr>
        <w:t>1</w:t>
      </w:r>
      <w:r w:rsidR="00B24A5C">
        <w:rPr>
          <w:rFonts w:asciiTheme="minorHAnsi" w:hAnsiTheme="minorHAnsi" w:cstheme="minorHAnsi"/>
          <w:sz w:val="24"/>
        </w:rPr>
        <w:t>,</w:t>
      </w:r>
      <w:r w:rsidR="00975EF7" w:rsidRPr="005D3AB1">
        <w:rPr>
          <w:rFonts w:asciiTheme="minorHAnsi" w:hAnsiTheme="minorHAnsi" w:cstheme="minorHAnsi"/>
          <w:sz w:val="24"/>
        </w:rPr>
        <w:t xml:space="preserve"> provedené v roce 2009, MPO mimo jiné uvedlo, že akce re</w:t>
      </w:r>
      <w:r w:rsidR="003D0E95" w:rsidRPr="005D3AB1">
        <w:rPr>
          <w:rFonts w:asciiTheme="minorHAnsi" w:hAnsiTheme="minorHAnsi" w:cstheme="minorHAnsi"/>
          <w:sz w:val="24"/>
        </w:rPr>
        <w:t>alizované od roku 1998 do 2001 b</w:t>
      </w:r>
      <w:r w:rsidR="001119B2" w:rsidRPr="005D3AB1">
        <w:rPr>
          <w:rFonts w:asciiTheme="minorHAnsi" w:hAnsiTheme="minorHAnsi" w:cstheme="minorHAnsi"/>
          <w:sz w:val="24"/>
        </w:rPr>
        <w:t>udou vyhodnoceny do konce</w:t>
      </w:r>
      <w:r w:rsidR="00975EF7" w:rsidRPr="005D3AB1">
        <w:rPr>
          <w:rFonts w:asciiTheme="minorHAnsi" w:hAnsiTheme="minorHAnsi" w:cstheme="minorHAnsi"/>
          <w:sz w:val="24"/>
        </w:rPr>
        <w:t xml:space="preserve"> října 2009. MPO takové hodnocení ale nedohledalo.</w:t>
      </w:r>
      <w:r w:rsidR="00D02F78" w:rsidRPr="005D3AB1">
        <w:rPr>
          <w:rFonts w:asciiTheme="minorHAnsi" w:hAnsiTheme="minorHAnsi" w:cstheme="minorHAnsi"/>
          <w:sz w:val="24"/>
        </w:rPr>
        <w:t xml:space="preserve"> </w:t>
      </w:r>
    </w:p>
    <w:p w14:paraId="1A939226" w14:textId="77777777" w:rsidR="00CF357D" w:rsidRPr="005D3AB1" w:rsidRDefault="00CF357D" w:rsidP="00D92D99">
      <w:pPr>
        <w:rPr>
          <w:rFonts w:asciiTheme="minorHAnsi" w:hAnsiTheme="minorHAnsi" w:cstheme="minorHAnsi"/>
          <w:sz w:val="24"/>
        </w:rPr>
      </w:pPr>
    </w:p>
    <w:p w14:paraId="2A5A8756" w14:textId="77777777" w:rsidR="00CF357D" w:rsidRPr="005D3AB1" w:rsidRDefault="00CF357D" w:rsidP="00CF357D">
      <w:pPr>
        <w:rPr>
          <w:rFonts w:asciiTheme="minorHAnsi" w:hAnsiTheme="minorHAnsi" w:cstheme="minorHAnsi"/>
          <w:b/>
          <w:sz w:val="24"/>
        </w:rPr>
      </w:pPr>
      <w:r w:rsidRPr="005D3AB1">
        <w:rPr>
          <w:rFonts w:asciiTheme="minorHAnsi" w:hAnsiTheme="minorHAnsi" w:cstheme="minorHAnsi"/>
          <w:b/>
          <w:sz w:val="24"/>
        </w:rPr>
        <w:t xml:space="preserve">Informace o hodnocení podpory </w:t>
      </w:r>
      <w:r w:rsidR="007B0028" w:rsidRPr="005D3AB1">
        <w:rPr>
          <w:rFonts w:asciiTheme="minorHAnsi" w:hAnsiTheme="minorHAnsi" w:cstheme="minorHAnsi"/>
          <w:b/>
          <w:sz w:val="24"/>
        </w:rPr>
        <w:t xml:space="preserve">poskytované </w:t>
      </w:r>
      <w:r w:rsidRPr="005D3AB1">
        <w:rPr>
          <w:rFonts w:asciiTheme="minorHAnsi" w:hAnsiTheme="minorHAnsi" w:cstheme="minorHAnsi"/>
          <w:b/>
          <w:sz w:val="24"/>
        </w:rPr>
        <w:t>do roku 2009</w:t>
      </w:r>
    </w:p>
    <w:p w14:paraId="6E06A550" w14:textId="77777777" w:rsidR="00C741D6" w:rsidRDefault="00C741D6" w:rsidP="00D92D99">
      <w:pPr>
        <w:rPr>
          <w:rFonts w:asciiTheme="minorHAnsi" w:hAnsiTheme="minorHAnsi" w:cstheme="minorHAnsi"/>
          <w:sz w:val="24"/>
        </w:rPr>
      </w:pPr>
    </w:p>
    <w:p w14:paraId="1000DB50" w14:textId="2756A9CD" w:rsidR="00B774EA" w:rsidRPr="005D3AB1" w:rsidRDefault="00225DC8" w:rsidP="00D92D99">
      <w:pPr>
        <w:rPr>
          <w:rFonts w:asciiTheme="minorHAnsi" w:hAnsiTheme="minorHAnsi" w:cstheme="minorHAnsi"/>
          <w:bCs/>
          <w:sz w:val="24"/>
        </w:rPr>
      </w:pPr>
      <w:r w:rsidRPr="005D3AB1">
        <w:rPr>
          <w:rFonts w:asciiTheme="minorHAnsi" w:hAnsiTheme="minorHAnsi" w:cstheme="minorHAnsi"/>
          <w:sz w:val="24"/>
        </w:rPr>
        <w:t xml:space="preserve">NKÚ </w:t>
      </w:r>
      <w:r w:rsidR="00FC2F7F" w:rsidRPr="005D3AB1">
        <w:rPr>
          <w:rFonts w:asciiTheme="minorHAnsi" w:hAnsiTheme="minorHAnsi" w:cstheme="minorHAnsi"/>
          <w:sz w:val="24"/>
        </w:rPr>
        <w:t xml:space="preserve">v roce 2009 také </w:t>
      </w:r>
      <w:r w:rsidR="00B20699" w:rsidRPr="005D3AB1">
        <w:rPr>
          <w:rFonts w:asciiTheme="minorHAnsi" w:hAnsiTheme="minorHAnsi" w:cstheme="minorHAnsi"/>
          <w:bCs/>
          <w:sz w:val="24"/>
        </w:rPr>
        <w:t xml:space="preserve">zjistil, že </w:t>
      </w:r>
      <w:r w:rsidR="00A404F3" w:rsidRPr="005D3AB1">
        <w:rPr>
          <w:rFonts w:asciiTheme="minorHAnsi" w:hAnsiTheme="minorHAnsi" w:cstheme="minorHAnsi"/>
          <w:bCs/>
          <w:sz w:val="24"/>
        </w:rPr>
        <w:t xml:space="preserve">závěrečné hodnocení programu 322 050 bylo opožděno a že </w:t>
      </w:r>
      <w:r w:rsidR="00B20699" w:rsidRPr="005D3AB1">
        <w:rPr>
          <w:rFonts w:asciiTheme="minorHAnsi" w:hAnsiTheme="minorHAnsi" w:cstheme="minorHAnsi"/>
          <w:bCs/>
          <w:sz w:val="24"/>
        </w:rPr>
        <w:t xml:space="preserve">v době, kdy měl být program ukončen, ještě u většiny akcí probíhalo posouzení </w:t>
      </w:r>
      <w:r w:rsidR="006E0A24" w:rsidRPr="005D3AB1">
        <w:rPr>
          <w:rFonts w:asciiTheme="minorHAnsi" w:hAnsiTheme="minorHAnsi" w:cstheme="minorHAnsi"/>
          <w:bCs/>
          <w:sz w:val="24"/>
        </w:rPr>
        <w:t xml:space="preserve">jejich </w:t>
      </w:r>
      <w:r w:rsidR="00B20699" w:rsidRPr="005D3AB1">
        <w:rPr>
          <w:rFonts w:asciiTheme="minorHAnsi" w:hAnsiTheme="minorHAnsi" w:cstheme="minorHAnsi"/>
          <w:bCs/>
          <w:sz w:val="24"/>
        </w:rPr>
        <w:t xml:space="preserve">závěrečného hodnocení nebo dokumentace hodnocení nebyla kompletní. NKÚ </w:t>
      </w:r>
      <w:r w:rsidR="0048118C">
        <w:rPr>
          <w:rFonts w:asciiTheme="minorHAnsi" w:hAnsiTheme="minorHAnsi" w:cstheme="minorHAnsi"/>
          <w:bCs/>
          <w:sz w:val="24"/>
        </w:rPr>
        <w:t xml:space="preserve">dále </w:t>
      </w:r>
      <w:r w:rsidR="00B20699" w:rsidRPr="005D3AB1">
        <w:rPr>
          <w:rFonts w:asciiTheme="minorHAnsi" w:hAnsiTheme="minorHAnsi" w:cstheme="minorHAnsi"/>
          <w:bCs/>
          <w:sz w:val="24"/>
        </w:rPr>
        <w:t xml:space="preserve">upozornil na riziko, že </w:t>
      </w:r>
      <w:r w:rsidR="00B20699" w:rsidRPr="005D3AB1">
        <w:rPr>
          <w:rFonts w:asciiTheme="minorHAnsi" w:hAnsiTheme="minorHAnsi" w:cstheme="minorHAnsi"/>
          <w:sz w:val="24"/>
        </w:rPr>
        <w:t xml:space="preserve">vzhledem ke stavu hodnocení jednotlivých akcí nebude mít MPO dostatek informací pro závěrečné vyhodnocení celého programu 322 050. </w:t>
      </w:r>
      <w:r w:rsidRPr="005D3AB1">
        <w:rPr>
          <w:rFonts w:asciiTheme="minorHAnsi" w:hAnsiTheme="minorHAnsi" w:cstheme="minorHAnsi"/>
          <w:sz w:val="24"/>
        </w:rPr>
        <w:t xml:space="preserve">Toto riziko se </w:t>
      </w:r>
      <w:r w:rsidR="0059138E" w:rsidRPr="005D3AB1">
        <w:rPr>
          <w:rFonts w:asciiTheme="minorHAnsi" w:hAnsiTheme="minorHAnsi" w:cstheme="minorHAnsi"/>
          <w:sz w:val="24"/>
        </w:rPr>
        <w:t>potvrdilo</w:t>
      </w:r>
      <w:r w:rsidR="00B10336" w:rsidRPr="005D3AB1">
        <w:rPr>
          <w:rFonts w:asciiTheme="minorHAnsi" w:hAnsiTheme="minorHAnsi" w:cstheme="minorHAnsi"/>
          <w:sz w:val="24"/>
        </w:rPr>
        <w:t>. M</w:t>
      </w:r>
      <w:r w:rsidR="0070031C" w:rsidRPr="005D3AB1">
        <w:rPr>
          <w:rFonts w:asciiTheme="minorHAnsi" w:hAnsiTheme="minorHAnsi" w:cstheme="minorHAnsi"/>
          <w:sz w:val="24"/>
        </w:rPr>
        <w:t xml:space="preserve">inimálně </w:t>
      </w:r>
      <w:r w:rsidRPr="005D3AB1">
        <w:rPr>
          <w:rFonts w:asciiTheme="minorHAnsi" w:hAnsiTheme="minorHAnsi" w:cstheme="minorHAnsi"/>
          <w:sz w:val="24"/>
        </w:rPr>
        <w:t xml:space="preserve">17 akcí </w:t>
      </w:r>
      <w:r w:rsidR="00B20699" w:rsidRPr="005D3AB1">
        <w:rPr>
          <w:rFonts w:asciiTheme="minorHAnsi" w:hAnsiTheme="minorHAnsi" w:cstheme="minorHAnsi"/>
          <w:sz w:val="24"/>
        </w:rPr>
        <w:t xml:space="preserve">podpořených z programu 322 050 </w:t>
      </w:r>
      <w:r w:rsidR="0070031C" w:rsidRPr="005D3AB1">
        <w:rPr>
          <w:rFonts w:asciiTheme="minorHAnsi" w:hAnsiTheme="minorHAnsi" w:cstheme="minorHAnsi"/>
          <w:sz w:val="24"/>
        </w:rPr>
        <w:t xml:space="preserve">MPO </w:t>
      </w:r>
      <w:r w:rsidRPr="005D3AB1">
        <w:rPr>
          <w:rFonts w:asciiTheme="minorHAnsi" w:hAnsiTheme="minorHAnsi" w:cstheme="minorHAnsi"/>
          <w:sz w:val="24"/>
        </w:rPr>
        <w:t xml:space="preserve">vůbec nevyhodnotilo, </w:t>
      </w:r>
      <w:r w:rsidR="00B10336" w:rsidRPr="005D3AB1">
        <w:rPr>
          <w:rFonts w:asciiTheme="minorHAnsi" w:hAnsiTheme="minorHAnsi" w:cstheme="minorHAnsi"/>
          <w:sz w:val="24"/>
        </w:rPr>
        <w:t>protože</w:t>
      </w:r>
      <w:r w:rsidR="00692965" w:rsidRPr="005D3AB1">
        <w:rPr>
          <w:rFonts w:asciiTheme="minorHAnsi" w:hAnsiTheme="minorHAnsi" w:cstheme="minorHAnsi"/>
          <w:sz w:val="24"/>
        </w:rPr>
        <w:t xml:space="preserve"> p</w:t>
      </w:r>
      <w:r w:rsidR="00692965" w:rsidRPr="005D3AB1">
        <w:rPr>
          <w:rFonts w:asciiTheme="minorHAnsi" w:hAnsiTheme="minorHAnsi" w:cstheme="minorHAnsi"/>
          <w:bCs/>
          <w:sz w:val="24"/>
        </w:rPr>
        <w:t>říjemci podpory</w:t>
      </w:r>
      <w:r w:rsidR="00B20699" w:rsidRPr="005D3AB1">
        <w:rPr>
          <w:rFonts w:asciiTheme="minorHAnsi" w:hAnsiTheme="minorHAnsi" w:cstheme="minorHAnsi"/>
          <w:bCs/>
          <w:sz w:val="24"/>
        </w:rPr>
        <w:t xml:space="preserve"> dokumentaci vyhodnocení nepředložili</w:t>
      </w:r>
      <w:r w:rsidR="00692965" w:rsidRPr="005D3AB1">
        <w:rPr>
          <w:rFonts w:asciiTheme="minorHAnsi" w:hAnsiTheme="minorHAnsi" w:cstheme="minorHAnsi"/>
          <w:bCs/>
          <w:sz w:val="24"/>
        </w:rPr>
        <w:t xml:space="preserve"> </w:t>
      </w:r>
      <w:r w:rsidR="00183197" w:rsidRPr="005D3AB1">
        <w:rPr>
          <w:rFonts w:asciiTheme="minorHAnsi" w:hAnsiTheme="minorHAnsi" w:cstheme="minorHAnsi"/>
          <w:bCs/>
          <w:sz w:val="24"/>
        </w:rPr>
        <w:t xml:space="preserve">a v </w:t>
      </w:r>
      <w:r w:rsidR="00E6770E" w:rsidRPr="005D3AB1">
        <w:rPr>
          <w:rFonts w:asciiTheme="minorHAnsi" w:hAnsiTheme="minorHAnsi" w:cstheme="minorHAnsi"/>
          <w:bCs/>
          <w:sz w:val="24"/>
        </w:rPr>
        <w:t> jednom případě dokumentaci</w:t>
      </w:r>
      <w:r w:rsidR="00B20699" w:rsidRPr="005D3AB1">
        <w:rPr>
          <w:rFonts w:asciiTheme="minorHAnsi" w:hAnsiTheme="minorHAnsi" w:cstheme="minorHAnsi"/>
          <w:bCs/>
          <w:sz w:val="24"/>
        </w:rPr>
        <w:t xml:space="preserve"> </w:t>
      </w:r>
      <w:r w:rsidR="00E03686">
        <w:rPr>
          <w:rFonts w:asciiTheme="minorHAnsi" w:hAnsiTheme="minorHAnsi" w:cstheme="minorHAnsi"/>
          <w:bCs/>
          <w:sz w:val="24"/>
        </w:rPr>
        <w:t xml:space="preserve">agentura </w:t>
      </w:r>
      <w:r w:rsidR="00B20699" w:rsidRPr="005D3AB1">
        <w:rPr>
          <w:rFonts w:asciiTheme="minorHAnsi" w:hAnsiTheme="minorHAnsi" w:cstheme="minorHAnsi"/>
          <w:bCs/>
          <w:sz w:val="24"/>
        </w:rPr>
        <w:t>CzechInvest nepředal</w:t>
      </w:r>
      <w:r w:rsidR="00E03686">
        <w:rPr>
          <w:rFonts w:asciiTheme="minorHAnsi" w:hAnsiTheme="minorHAnsi" w:cstheme="minorHAnsi"/>
          <w:bCs/>
          <w:sz w:val="24"/>
        </w:rPr>
        <w:t>a</w:t>
      </w:r>
      <w:r w:rsidR="00B20699" w:rsidRPr="005D3AB1">
        <w:rPr>
          <w:rFonts w:asciiTheme="minorHAnsi" w:hAnsiTheme="minorHAnsi" w:cstheme="minorHAnsi"/>
          <w:bCs/>
          <w:sz w:val="24"/>
        </w:rPr>
        <w:t xml:space="preserve"> na MPO.</w:t>
      </w:r>
      <w:r w:rsidR="00183197" w:rsidRPr="005D3AB1">
        <w:rPr>
          <w:rFonts w:asciiTheme="minorHAnsi" w:hAnsiTheme="minorHAnsi" w:cstheme="minorHAnsi"/>
          <w:bCs/>
          <w:sz w:val="24"/>
        </w:rPr>
        <w:t xml:space="preserve"> </w:t>
      </w:r>
    </w:p>
    <w:p w14:paraId="0BEA393F" w14:textId="77777777" w:rsidR="00B774EA" w:rsidRPr="005D3AB1" w:rsidRDefault="00B774EA" w:rsidP="00D92D99">
      <w:pPr>
        <w:rPr>
          <w:rFonts w:asciiTheme="minorHAnsi" w:hAnsiTheme="minorHAnsi" w:cstheme="minorHAnsi"/>
          <w:bCs/>
          <w:sz w:val="24"/>
        </w:rPr>
      </w:pPr>
    </w:p>
    <w:p w14:paraId="33A2EDAB" w14:textId="263F4634" w:rsidR="00786247" w:rsidRPr="005D3AB1" w:rsidRDefault="00E6770E" w:rsidP="00D92D99">
      <w:pPr>
        <w:rPr>
          <w:rFonts w:asciiTheme="minorHAnsi" w:hAnsiTheme="minorHAnsi" w:cstheme="minorHAnsi"/>
          <w:bCs/>
          <w:sz w:val="24"/>
        </w:rPr>
      </w:pPr>
      <w:r w:rsidRPr="005D3AB1">
        <w:rPr>
          <w:rFonts w:asciiTheme="minorHAnsi" w:hAnsiTheme="minorHAnsi" w:cstheme="minorHAnsi"/>
          <w:bCs/>
          <w:color w:val="000000"/>
          <w:sz w:val="24"/>
        </w:rPr>
        <w:t xml:space="preserve">V rozporu s výše popsanými skutečnostmi MPO </w:t>
      </w:r>
      <w:r w:rsidR="00975EF7" w:rsidRPr="005D3AB1">
        <w:rPr>
          <w:rFonts w:asciiTheme="minorHAnsi" w:hAnsiTheme="minorHAnsi" w:cstheme="minorHAnsi"/>
          <w:bCs/>
          <w:color w:val="000000"/>
          <w:sz w:val="24"/>
        </w:rPr>
        <w:t>v září 2009</w:t>
      </w:r>
      <w:r w:rsidRPr="005D3AB1">
        <w:rPr>
          <w:rFonts w:asciiTheme="minorHAnsi" w:hAnsiTheme="minorHAnsi" w:cstheme="minorHAnsi"/>
          <w:bCs/>
          <w:color w:val="000000"/>
          <w:sz w:val="24"/>
        </w:rPr>
        <w:t xml:space="preserve"> vládě ČR mimo jiné sdělilo, že </w:t>
      </w:r>
      <w:r w:rsidR="00975EF7" w:rsidRPr="005D3AB1">
        <w:rPr>
          <w:rFonts w:asciiTheme="minorHAnsi" w:hAnsiTheme="minorHAnsi" w:cstheme="minorHAnsi"/>
          <w:bCs/>
          <w:color w:val="000000"/>
          <w:sz w:val="24"/>
        </w:rPr>
        <w:t>v požadovaném termínu provedlo závěrečná vyhodnocení všech ak</w:t>
      </w:r>
      <w:r w:rsidR="001E275A" w:rsidRPr="005D3AB1">
        <w:rPr>
          <w:rFonts w:asciiTheme="minorHAnsi" w:hAnsiTheme="minorHAnsi" w:cstheme="minorHAnsi"/>
          <w:bCs/>
          <w:color w:val="000000"/>
          <w:sz w:val="24"/>
        </w:rPr>
        <w:t>cí realizovaných v programu 322 </w:t>
      </w:r>
      <w:r w:rsidR="00975EF7" w:rsidRPr="005D3AB1">
        <w:rPr>
          <w:rFonts w:asciiTheme="minorHAnsi" w:hAnsiTheme="minorHAnsi" w:cstheme="minorHAnsi"/>
          <w:bCs/>
          <w:color w:val="000000"/>
          <w:sz w:val="24"/>
        </w:rPr>
        <w:t xml:space="preserve">050 a že do </w:t>
      </w:r>
      <w:r w:rsidRPr="005D3AB1">
        <w:rPr>
          <w:rFonts w:asciiTheme="minorHAnsi" w:hAnsiTheme="minorHAnsi" w:cstheme="minorHAnsi"/>
          <w:bCs/>
          <w:color w:val="000000"/>
          <w:sz w:val="24"/>
        </w:rPr>
        <w:t xml:space="preserve">konce </w:t>
      </w:r>
      <w:r w:rsidR="00975EF7" w:rsidRPr="005D3AB1">
        <w:rPr>
          <w:rFonts w:asciiTheme="minorHAnsi" w:hAnsiTheme="minorHAnsi" w:cstheme="minorHAnsi"/>
          <w:bCs/>
          <w:color w:val="000000"/>
          <w:sz w:val="24"/>
        </w:rPr>
        <w:t>září 2009 bude ukončeno projednání návrhu zprávy o realizaci programu s Ministerstvem</w:t>
      </w:r>
      <w:r w:rsidR="00AD3F0A" w:rsidRPr="005D3AB1">
        <w:rPr>
          <w:rFonts w:asciiTheme="minorHAnsi" w:hAnsiTheme="minorHAnsi" w:cstheme="minorHAnsi"/>
          <w:bCs/>
          <w:color w:val="000000"/>
          <w:sz w:val="24"/>
        </w:rPr>
        <w:t xml:space="preserve"> financí a zpráva bude </w:t>
      </w:r>
      <w:r w:rsidR="00975EF7" w:rsidRPr="005D3AB1">
        <w:rPr>
          <w:rFonts w:asciiTheme="minorHAnsi" w:hAnsiTheme="minorHAnsi" w:cstheme="minorHAnsi"/>
          <w:bCs/>
          <w:color w:val="000000"/>
          <w:sz w:val="24"/>
        </w:rPr>
        <w:t>projednána ve vládě.</w:t>
      </w:r>
      <w:r w:rsidR="00975EF7" w:rsidRPr="00CA30C6">
        <w:rPr>
          <w:rFonts w:asciiTheme="minorHAnsi" w:hAnsiTheme="minorHAnsi" w:cstheme="minorHAnsi"/>
          <w:bCs/>
          <w:color w:val="000000" w:themeColor="text1"/>
          <w:sz w:val="24"/>
        </w:rPr>
        <w:t xml:space="preserve"> </w:t>
      </w:r>
      <w:r w:rsidR="00975EF7" w:rsidRPr="005D3AB1">
        <w:rPr>
          <w:rFonts w:asciiTheme="minorHAnsi" w:hAnsiTheme="minorHAnsi" w:cstheme="minorHAnsi"/>
          <w:bCs/>
          <w:sz w:val="24"/>
        </w:rPr>
        <w:t xml:space="preserve">Následně v červnu 2010 MPO </w:t>
      </w:r>
      <w:r w:rsidR="00C933B5" w:rsidRPr="005D3AB1">
        <w:rPr>
          <w:rFonts w:asciiTheme="minorHAnsi" w:hAnsiTheme="minorHAnsi" w:cstheme="minorHAnsi"/>
          <w:bCs/>
          <w:sz w:val="24"/>
        </w:rPr>
        <w:t>vládu ČR informovalo,</w:t>
      </w:r>
      <w:r w:rsidR="00975EF7" w:rsidRPr="005D3AB1">
        <w:rPr>
          <w:rFonts w:asciiTheme="minorHAnsi" w:hAnsiTheme="minorHAnsi" w:cstheme="minorHAnsi"/>
          <w:bCs/>
          <w:sz w:val="24"/>
        </w:rPr>
        <w:t xml:space="preserve"> že předložilo Ministerstvu financí závěrečné hodnocení programu 322 050, ve kterém byla hodnocen</w:t>
      </w:r>
      <w:r w:rsidR="00797860">
        <w:rPr>
          <w:rFonts w:asciiTheme="minorHAnsi" w:hAnsiTheme="minorHAnsi" w:cstheme="minorHAnsi"/>
          <w:bCs/>
          <w:sz w:val="24"/>
        </w:rPr>
        <w:t>a celková úspěšnost programu a </w:t>
      </w:r>
      <w:r w:rsidR="0048118C">
        <w:rPr>
          <w:rFonts w:asciiTheme="minorHAnsi" w:hAnsiTheme="minorHAnsi" w:cstheme="minorHAnsi"/>
          <w:bCs/>
          <w:sz w:val="24"/>
        </w:rPr>
        <w:t xml:space="preserve">v němž byly </w:t>
      </w:r>
      <w:r w:rsidR="00975EF7" w:rsidRPr="005D3AB1">
        <w:rPr>
          <w:rFonts w:asciiTheme="minorHAnsi" w:hAnsiTheme="minorHAnsi" w:cstheme="minorHAnsi"/>
          <w:bCs/>
          <w:sz w:val="24"/>
        </w:rPr>
        <w:t>rovněž identifikovány chyby, které byly převážně zapříčiněny chybějící dokumentací na straně příjemců dotace.</w:t>
      </w:r>
      <w:r w:rsidR="00692965" w:rsidRPr="005D3AB1">
        <w:rPr>
          <w:rFonts w:asciiTheme="minorHAnsi" w:hAnsiTheme="minorHAnsi" w:cstheme="minorHAnsi"/>
          <w:bCs/>
          <w:sz w:val="24"/>
        </w:rPr>
        <w:t xml:space="preserve"> </w:t>
      </w:r>
    </w:p>
    <w:p w14:paraId="0C84936A" w14:textId="77777777" w:rsidR="00786247" w:rsidRDefault="00786247" w:rsidP="00D92D99">
      <w:pPr>
        <w:rPr>
          <w:rFonts w:asciiTheme="minorHAnsi" w:hAnsiTheme="minorHAnsi" w:cstheme="minorHAnsi"/>
          <w:bCs/>
        </w:rPr>
      </w:pPr>
    </w:p>
    <w:p w14:paraId="5517F843" w14:textId="6474EE8A" w:rsidR="00975EF7" w:rsidRPr="00455892" w:rsidRDefault="00692965" w:rsidP="00D92D99">
      <w:pPr>
        <w:rPr>
          <w:rFonts w:asciiTheme="minorHAnsi" w:hAnsiTheme="minorHAnsi" w:cstheme="minorHAnsi"/>
          <w:bCs/>
          <w:sz w:val="24"/>
        </w:rPr>
      </w:pPr>
      <w:r w:rsidRPr="00455892">
        <w:rPr>
          <w:rFonts w:asciiTheme="minorHAnsi" w:hAnsiTheme="minorHAnsi" w:cstheme="minorHAnsi"/>
          <w:sz w:val="24"/>
        </w:rPr>
        <w:t>MPO sice zaslalo na Ministerstvo financí návrh závěrečné zprávy o realizaci programu 322 050, ale vzhledem k tomu, že údaje v návrhu nebyly správné a</w:t>
      </w:r>
      <w:r w:rsidR="0048118C">
        <w:rPr>
          <w:rFonts w:asciiTheme="minorHAnsi" w:hAnsiTheme="minorHAnsi" w:cstheme="minorHAnsi"/>
          <w:sz w:val="24"/>
        </w:rPr>
        <w:t>ni</w:t>
      </w:r>
      <w:r w:rsidRPr="00455892">
        <w:rPr>
          <w:rFonts w:asciiTheme="minorHAnsi" w:hAnsiTheme="minorHAnsi" w:cstheme="minorHAnsi"/>
          <w:sz w:val="24"/>
        </w:rPr>
        <w:t xml:space="preserve"> úplné</w:t>
      </w:r>
      <w:r w:rsidR="00786247" w:rsidRPr="00455892">
        <w:rPr>
          <w:rStyle w:val="Znakapoznpodarou"/>
          <w:rFonts w:asciiTheme="minorHAnsi" w:hAnsiTheme="minorHAnsi" w:cstheme="minorHAnsi"/>
          <w:sz w:val="24"/>
        </w:rPr>
        <w:footnoteReference w:id="14"/>
      </w:r>
      <w:r w:rsidRPr="00455892">
        <w:rPr>
          <w:rFonts w:asciiTheme="minorHAnsi" w:hAnsiTheme="minorHAnsi" w:cstheme="minorHAnsi"/>
          <w:sz w:val="24"/>
        </w:rPr>
        <w:t xml:space="preserve">, mělo MPO podle požadavku Ministerstva financí zprávu dopracovat. Avšak žádný dokument prokazující opravu, doplnění a schválení zprávy MPO nedohledalo. </w:t>
      </w:r>
    </w:p>
    <w:p w14:paraId="139C095F" w14:textId="77777777" w:rsidR="006C60D4" w:rsidRPr="00C741D6" w:rsidRDefault="006C60D4" w:rsidP="006C60D4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64202B9F" w14:textId="77777777" w:rsidR="00CF357D" w:rsidRPr="00455892" w:rsidRDefault="005F5FF8" w:rsidP="00C741D6">
      <w:pPr>
        <w:keepNext/>
        <w:rPr>
          <w:rFonts w:asciiTheme="minorHAnsi" w:hAnsiTheme="minorHAnsi" w:cstheme="minorHAnsi"/>
          <w:b/>
          <w:sz w:val="24"/>
        </w:rPr>
      </w:pPr>
      <w:r w:rsidRPr="00455892">
        <w:rPr>
          <w:rFonts w:asciiTheme="minorHAnsi" w:hAnsiTheme="minorHAnsi" w:cstheme="minorHAnsi"/>
          <w:b/>
          <w:sz w:val="24"/>
        </w:rPr>
        <w:lastRenderedPageBreak/>
        <w:t xml:space="preserve">6. </w:t>
      </w:r>
      <w:r w:rsidR="00CF357D" w:rsidRPr="00455892">
        <w:rPr>
          <w:rFonts w:asciiTheme="minorHAnsi" w:hAnsiTheme="minorHAnsi" w:cstheme="minorHAnsi"/>
          <w:b/>
          <w:sz w:val="24"/>
        </w:rPr>
        <w:t>Podpora podnikatelský</w:t>
      </w:r>
      <w:r w:rsidR="00102725">
        <w:rPr>
          <w:rFonts w:asciiTheme="minorHAnsi" w:hAnsiTheme="minorHAnsi" w:cstheme="minorHAnsi"/>
          <w:b/>
          <w:sz w:val="24"/>
        </w:rPr>
        <w:t>ch nemovitostí a infrastruktury</w:t>
      </w:r>
      <w:r w:rsidR="00CF357D" w:rsidRPr="00455892">
        <w:rPr>
          <w:rFonts w:asciiTheme="minorHAnsi" w:hAnsiTheme="minorHAnsi" w:cstheme="minorHAnsi"/>
          <w:b/>
          <w:sz w:val="24"/>
        </w:rPr>
        <w:t xml:space="preserve"> </w:t>
      </w:r>
      <w:r w:rsidR="00102725">
        <w:rPr>
          <w:rFonts w:asciiTheme="minorHAnsi" w:hAnsiTheme="minorHAnsi" w:cstheme="minorHAnsi"/>
          <w:b/>
          <w:sz w:val="24"/>
        </w:rPr>
        <w:t>z prostředků Evropské</w:t>
      </w:r>
      <w:r w:rsidR="00CF357D" w:rsidRPr="00455892">
        <w:rPr>
          <w:rFonts w:asciiTheme="minorHAnsi" w:hAnsiTheme="minorHAnsi" w:cstheme="minorHAnsi"/>
          <w:b/>
          <w:sz w:val="24"/>
        </w:rPr>
        <w:t xml:space="preserve"> unie</w:t>
      </w:r>
    </w:p>
    <w:p w14:paraId="41364FBF" w14:textId="77777777" w:rsidR="005F5FF8" w:rsidRPr="00C741D6" w:rsidRDefault="005F5FF8" w:rsidP="00C741D6">
      <w:pPr>
        <w:keepNext/>
        <w:rPr>
          <w:rFonts w:asciiTheme="minorHAnsi" w:hAnsiTheme="minorHAnsi" w:cstheme="minorHAnsi"/>
          <w:sz w:val="24"/>
        </w:rPr>
      </w:pPr>
    </w:p>
    <w:p w14:paraId="5B9E3C2F" w14:textId="0CDDC0C9" w:rsidR="00CF357D" w:rsidRPr="00455892" w:rsidRDefault="00CF357D" w:rsidP="00C741D6">
      <w:pPr>
        <w:keepNext/>
        <w:rPr>
          <w:rFonts w:asciiTheme="minorHAnsi" w:hAnsiTheme="minorHAnsi" w:cstheme="minorHAnsi"/>
          <w:b/>
          <w:sz w:val="24"/>
        </w:rPr>
      </w:pPr>
      <w:r w:rsidRPr="00455892">
        <w:rPr>
          <w:rFonts w:asciiTheme="minorHAnsi" w:hAnsiTheme="minorHAnsi" w:cstheme="minorHAnsi"/>
          <w:b/>
          <w:sz w:val="24"/>
        </w:rPr>
        <w:t>Program Nemovitosti 2007</w:t>
      </w:r>
      <w:r w:rsidR="00455892">
        <w:rPr>
          <w:rFonts w:asciiTheme="minorHAnsi" w:hAnsiTheme="minorHAnsi" w:cstheme="minorHAnsi"/>
          <w:b/>
          <w:sz w:val="24"/>
        </w:rPr>
        <w:t>–</w:t>
      </w:r>
      <w:r w:rsidRPr="00455892">
        <w:rPr>
          <w:rFonts w:asciiTheme="minorHAnsi" w:hAnsiTheme="minorHAnsi" w:cstheme="minorHAnsi"/>
          <w:b/>
          <w:sz w:val="24"/>
        </w:rPr>
        <w:t>2013</w:t>
      </w:r>
    </w:p>
    <w:p w14:paraId="6077C332" w14:textId="77777777" w:rsidR="00C741D6" w:rsidRDefault="00C741D6" w:rsidP="00C741D6">
      <w:pPr>
        <w:keepNext/>
        <w:rPr>
          <w:rFonts w:asciiTheme="minorHAnsi" w:hAnsiTheme="minorHAnsi" w:cstheme="minorHAnsi"/>
          <w:sz w:val="24"/>
        </w:rPr>
      </w:pPr>
    </w:p>
    <w:p w14:paraId="6D88331F" w14:textId="650C4B70" w:rsidR="00CF357D" w:rsidRPr="00455892" w:rsidRDefault="00A03720" w:rsidP="00CF357D">
      <w:pPr>
        <w:rPr>
          <w:rFonts w:asciiTheme="minorHAnsi" w:hAnsiTheme="minorHAnsi" w:cstheme="minorHAnsi"/>
          <w:sz w:val="24"/>
        </w:rPr>
      </w:pPr>
      <w:r w:rsidRPr="00455892">
        <w:rPr>
          <w:rFonts w:asciiTheme="minorHAnsi" w:hAnsiTheme="minorHAnsi" w:cstheme="minorHAnsi"/>
          <w:sz w:val="24"/>
        </w:rPr>
        <w:t>Podporu podnikatelských nemovitostí a inf</w:t>
      </w:r>
      <w:r w:rsidR="003560F3" w:rsidRPr="00455892">
        <w:rPr>
          <w:rFonts w:asciiTheme="minorHAnsi" w:hAnsiTheme="minorHAnsi" w:cstheme="minorHAnsi"/>
          <w:sz w:val="24"/>
        </w:rPr>
        <w:t>rastruktury</w:t>
      </w:r>
      <w:r w:rsidR="00102725">
        <w:rPr>
          <w:rFonts w:asciiTheme="minorHAnsi" w:hAnsiTheme="minorHAnsi" w:cstheme="minorHAnsi"/>
          <w:sz w:val="24"/>
        </w:rPr>
        <w:t xml:space="preserve"> z prostředků Evropské unie poskytuje MPO </w:t>
      </w:r>
      <w:r w:rsidRPr="00455892">
        <w:rPr>
          <w:rFonts w:asciiTheme="minorHAnsi" w:hAnsiTheme="minorHAnsi" w:cstheme="minorHAnsi"/>
          <w:sz w:val="24"/>
        </w:rPr>
        <w:t>od roku 2004. V roce 2016</w:t>
      </w:r>
      <w:r w:rsidR="003560F3" w:rsidRPr="00455892">
        <w:rPr>
          <w:rStyle w:val="Znakapoznpodarou"/>
          <w:rFonts w:asciiTheme="minorHAnsi" w:hAnsiTheme="minorHAnsi" w:cstheme="minorHAnsi"/>
          <w:sz w:val="24"/>
        </w:rPr>
        <w:footnoteReference w:id="15"/>
      </w:r>
      <w:r w:rsidRPr="00455892">
        <w:rPr>
          <w:rFonts w:asciiTheme="minorHAnsi" w:hAnsiTheme="minorHAnsi" w:cstheme="minorHAnsi"/>
          <w:sz w:val="24"/>
        </w:rPr>
        <w:t xml:space="preserve"> NKÚ upozornil na nedostatečné nastavení cílů programu Nemovitosti 2007–2013 ve vztahu k jejich hodnocení. </w:t>
      </w:r>
      <w:r w:rsidR="003560F3" w:rsidRPr="00455892">
        <w:rPr>
          <w:rFonts w:asciiTheme="minorHAnsi" w:hAnsiTheme="minorHAnsi" w:cstheme="minorHAnsi"/>
          <w:sz w:val="24"/>
        </w:rPr>
        <w:t>Do doby ukončení kontroly nebylo h</w:t>
      </w:r>
      <w:r w:rsidRPr="00455892">
        <w:rPr>
          <w:rFonts w:asciiTheme="minorHAnsi" w:hAnsiTheme="minorHAnsi" w:cstheme="minorHAnsi"/>
          <w:sz w:val="24"/>
        </w:rPr>
        <w:t xml:space="preserve">odnocení tohoto programu </w:t>
      </w:r>
      <w:r w:rsidR="003560F3" w:rsidRPr="00455892">
        <w:rPr>
          <w:rFonts w:asciiTheme="minorHAnsi" w:hAnsiTheme="minorHAnsi" w:cstheme="minorHAnsi"/>
          <w:sz w:val="24"/>
        </w:rPr>
        <w:t xml:space="preserve">uzavřeno. </w:t>
      </w:r>
      <w:r w:rsidRPr="00455892">
        <w:rPr>
          <w:rFonts w:asciiTheme="minorHAnsi" w:hAnsiTheme="minorHAnsi" w:cstheme="minorHAnsi"/>
          <w:sz w:val="24"/>
        </w:rPr>
        <w:t xml:space="preserve">MPO </w:t>
      </w:r>
      <w:r w:rsidR="003560F3" w:rsidRPr="00455892">
        <w:rPr>
          <w:rFonts w:asciiTheme="minorHAnsi" w:hAnsiTheme="minorHAnsi" w:cstheme="minorHAnsi"/>
          <w:sz w:val="24"/>
        </w:rPr>
        <w:t xml:space="preserve">jej </w:t>
      </w:r>
      <w:r w:rsidRPr="00455892">
        <w:rPr>
          <w:rFonts w:asciiTheme="minorHAnsi" w:hAnsiTheme="minorHAnsi" w:cstheme="minorHAnsi"/>
          <w:sz w:val="24"/>
        </w:rPr>
        <w:t>zadalo exte</w:t>
      </w:r>
      <w:r w:rsidR="003560F3" w:rsidRPr="00455892">
        <w:rPr>
          <w:rFonts w:asciiTheme="minorHAnsi" w:hAnsiTheme="minorHAnsi" w:cstheme="minorHAnsi"/>
          <w:sz w:val="24"/>
        </w:rPr>
        <w:t>rnímu hodnotiteli s termínem vypracování do září</w:t>
      </w:r>
      <w:r w:rsidRPr="00455892">
        <w:rPr>
          <w:rFonts w:asciiTheme="minorHAnsi" w:hAnsiTheme="minorHAnsi" w:cstheme="minorHAnsi"/>
          <w:sz w:val="24"/>
        </w:rPr>
        <w:t xml:space="preserve"> 2018. </w:t>
      </w:r>
    </w:p>
    <w:p w14:paraId="1D1E23ED" w14:textId="77777777" w:rsidR="00CF357D" w:rsidRPr="00455892" w:rsidRDefault="00CF357D" w:rsidP="00CF357D">
      <w:pPr>
        <w:rPr>
          <w:rFonts w:asciiTheme="minorHAnsi" w:hAnsiTheme="minorHAnsi" w:cstheme="minorHAnsi"/>
          <w:sz w:val="24"/>
        </w:rPr>
      </w:pPr>
    </w:p>
    <w:p w14:paraId="2854F1B9" w14:textId="3BD6D41E" w:rsidR="00CF357D" w:rsidRPr="00455892" w:rsidRDefault="00CF357D" w:rsidP="00CF357D">
      <w:pPr>
        <w:rPr>
          <w:rFonts w:asciiTheme="minorHAnsi" w:hAnsiTheme="minorHAnsi" w:cstheme="minorHAnsi"/>
          <w:b/>
          <w:sz w:val="24"/>
        </w:rPr>
      </w:pPr>
      <w:r w:rsidRPr="00455892">
        <w:rPr>
          <w:rFonts w:asciiTheme="minorHAnsi" w:hAnsiTheme="minorHAnsi" w:cstheme="minorHAnsi"/>
          <w:b/>
          <w:sz w:val="24"/>
        </w:rPr>
        <w:t>Cíle programu Nemovitosti 2014</w:t>
      </w:r>
      <w:r w:rsidR="00455892">
        <w:rPr>
          <w:rFonts w:asciiTheme="minorHAnsi" w:hAnsiTheme="minorHAnsi" w:cstheme="minorHAnsi"/>
          <w:b/>
          <w:sz w:val="24"/>
        </w:rPr>
        <w:t>–</w:t>
      </w:r>
      <w:r w:rsidRPr="00455892">
        <w:rPr>
          <w:rFonts w:asciiTheme="minorHAnsi" w:hAnsiTheme="minorHAnsi" w:cstheme="minorHAnsi"/>
          <w:b/>
          <w:sz w:val="24"/>
        </w:rPr>
        <w:t>2020</w:t>
      </w:r>
    </w:p>
    <w:p w14:paraId="5DCA09A4" w14:textId="77777777" w:rsidR="00C741D6" w:rsidRDefault="00C741D6" w:rsidP="00CF357D">
      <w:pPr>
        <w:rPr>
          <w:rFonts w:asciiTheme="minorHAnsi" w:hAnsiTheme="minorHAnsi" w:cstheme="minorHAnsi"/>
          <w:sz w:val="24"/>
        </w:rPr>
      </w:pPr>
    </w:p>
    <w:p w14:paraId="2AE0C4B4" w14:textId="02F30658" w:rsidR="00CF357D" w:rsidRPr="00455892" w:rsidRDefault="003560F3" w:rsidP="00CF357D">
      <w:pPr>
        <w:rPr>
          <w:rFonts w:asciiTheme="minorHAnsi" w:hAnsiTheme="minorHAnsi" w:cstheme="minorHAnsi"/>
          <w:sz w:val="24"/>
        </w:rPr>
      </w:pPr>
      <w:r w:rsidRPr="00455892">
        <w:rPr>
          <w:rFonts w:asciiTheme="minorHAnsi" w:hAnsiTheme="minorHAnsi" w:cstheme="minorHAnsi"/>
          <w:sz w:val="24"/>
        </w:rPr>
        <w:t xml:space="preserve">Realizací v současnosti probíhajícího programu Nemovitosti </w:t>
      </w:r>
      <w:r w:rsidR="00A03720" w:rsidRPr="00455892">
        <w:rPr>
          <w:rFonts w:asciiTheme="minorHAnsi" w:hAnsiTheme="minorHAnsi" w:cstheme="minorHAnsi"/>
          <w:sz w:val="24"/>
        </w:rPr>
        <w:t>2014</w:t>
      </w:r>
      <w:r w:rsidR="00455892">
        <w:rPr>
          <w:rFonts w:asciiTheme="minorHAnsi" w:hAnsiTheme="minorHAnsi" w:cstheme="minorHAnsi"/>
          <w:sz w:val="24"/>
        </w:rPr>
        <w:t>–</w:t>
      </w:r>
      <w:r w:rsidR="00A03720" w:rsidRPr="00455892">
        <w:rPr>
          <w:rFonts w:asciiTheme="minorHAnsi" w:hAnsiTheme="minorHAnsi" w:cstheme="minorHAnsi"/>
          <w:sz w:val="24"/>
        </w:rPr>
        <w:t xml:space="preserve">2020 </w:t>
      </w:r>
      <w:r w:rsidR="0081221B" w:rsidRPr="00455892">
        <w:rPr>
          <w:rFonts w:asciiTheme="minorHAnsi" w:hAnsiTheme="minorHAnsi" w:cstheme="minorHAnsi"/>
          <w:sz w:val="24"/>
        </w:rPr>
        <w:t>má být dosaženo prostorově a ekonomicky vyhovující podnikatelské infrastruktury umožňující malým a</w:t>
      </w:r>
      <w:r w:rsidR="00BB24E8">
        <w:rPr>
          <w:rFonts w:asciiTheme="minorHAnsi" w:hAnsiTheme="minorHAnsi" w:cstheme="minorHAnsi"/>
          <w:sz w:val="24"/>
        </w:rPr>
        <w:t> </w:t>
      </w:r>
      <w:r w:rsidR="0081221B" w:rsidRPr="00455892">
        <w:rPr>
          <w:rFonts w:asciiTheme="minorHAnsi" w:hAnsiTheme="minorHAnsi" w:cstheme="minorHAnsi"/>
          <w:sz w:val="24"/>
        </w:rPr>
        <w:t>středním podnikatelům přechod od běžné výroby a služeb na výrobu či služby s vyšší technickou a technologickou úrovní zajišťující konkurenceschopn</w:t>
      </w:r>
      <w:r w:rsidR="00F745D7" w:rsidRPr="00455892">
        <w:rPr>
          <w:rFonts w:asciiTheme="minorHAnsi" w:hAnsiTheme="minorHAnsi" w:cstheme="minorHAnsi"/>
          <w:sz w:val="24"/>
        </w:rPr>
        <w:t>ost, snížení provozních nákladů a</w:t>
      </w:r>
      <w:r w:rsidR="0081221B" w:rsidRPr="00455892">
        <w:rPr>
          <w:rFonts w:asciiTheme="minorHAnsi" w:hAnsiTheme="minorHAnsi" w:cstheme="minorHAnsi"/>
          <w:sz w:val="24"/>
        </w:rPr>
        <w:t xml:space="preserve"> vysokou přidanou hodnotu s potenciálem lepšího uplatnění na zahraničních trzích.</w:t>
      </w:r>
      <w:r w:rsidR="00A05997" w:rsidRPr="00455892">
        <w:rPr>
          <w:rFonts w:asciiTheme="minorHAnsi" w:hAnsiTheme="minorHAnsi" w:cstheme="minorHAnsi"/>
          <w:sz w:val="24"/>
        </w:rPr>
        <w:t xml:space="preserve"> </w:t>
      </w:r>
      <w:r w:rsidR="00F43787" w:rsidRPr="006471A5">
        <w:rPr>
          <w:rFonts w:asciiTheme="minorHAnsi" w:hAnsiTheme="minorHAnsi" w:cstheme="minorHAnsi"/>
          <w:sz w:val="24"/>
        </w:rPr>
        <w:t>P</w:t>
      </w:r>
      <w:r w:rsidR="00F43787" w:rsidRPr="006471A5">
        <w:rPr>
          <w:rFonts w:asciiTheme="minorHAnsi" w:hAnsiTheme="minorHAnsi" w:cstheme="minorHAnsi"/>
          <w:color w:val="000000"/>
          <w:sz w:val="24"/>
        </w:rPr>
        <w:t xml:space="preserve">o realizaci projektů </w:t>
      </w:r>
      <w:r w:rsidR="00F43787">
        <w:rPr>
          <w:rFonts w:asciiTheme="minorHAnsi" w:hAnsiTheme="minorHAnsi" w:cstheme="minorHAnsi"/>
          <w:color w:val="000000"/>
          <w:sz w:val="24"/>
        </w:rPr>
        <w:t xml:space="preserve">ale </w:t>
      </w:r>
      <w:r w:rsidR="00F43787" w:rsidRPr="006471A5">
        <w:rPr>
          <w:rFonts w:asciiTheme="minorHAnsi" w:hAnsiTheme="minorHAnsi" w:cstheme="minorHAnsi"/>
          <w:color w:val="000000"/>
          <w:sz w:val="24"/>
        </w:rPr>
        <w:t>MPO nesledovalo, zda podniky očekávané přínosy vykazují.</w:t>
      </w:r>
    </w:p>
    <w:p w14:paraId="0BE6E4FE" w14:textId="77777777" w:rsidR="00CF357D" w:rsidRDefault="00CF357D" w:rsidP="00CF357D">
      <w:pPr>
        <w:rPr>
          <w:rFonts w:asciiTheme="minorHAnsi" w:hAnsiTheme="minorHAnsi" w:cstheme="minorHAnsi"/>
        </w:rPr>
      </w:pPr>
    </w:p>
    <w:p w14:paraId="33EB8F35" w14:textId="57E16A90" w:rsidR="00CF357D" w:rsidRPr="00455892" w:rsidRDefault="00CF357D" w:rsidP="00CF357D">
      <w:pPr>
        <w:rPr>
          <w:rFonts w:asciiTheme="minorHAnsi" w:hAnsiTheme="minorHAnsi" w:cstheme="minorHAnsi"/>
          <w:b/>
          <w:sz w:val="24"/>
        </w:rPr>
      </w:pPr>
      <w:r w:rsidRPr="00455892">
        <w:rPr>
          <w:rFonts w:asciiTheme="minorHAnsi" w:hAnsiTheme="minorHAnsi" w:cstheme="minorHAnsi"/>
          <w:b/>
          <w:sz w:val="24"/>
        </w:rPr>
        <w:t>První výzva programu Nemovitosti 2014</w:t>
      </w:r>
      <w:r w:rsidR="00701A7F">
        <w:rPr>
          <w:rFonts w:asciiTheme="minorHAnsi" w:hAnsiTheme="minorHAnsi" w:cstheme="minorHAnsi"/>
          <w:b/>
          <w:sz w:val="24"/>
        </w:rPr>
        <w:t>–</w:t>
      </w:r>
      <w:r w:rsidRPr="00455892">
        <w:rPr>
          <w:rFonts w:asciiTheme="minorHAnsi" w:hAnsiTheme="minorHAnsi" w:cstheme="minorHAnsi"/>
          <w:b/>
          <w:sz w:val="24"/>
        </w:rPr>
        <w:t>2020</w:t>
      </w:r>
    </w:p>
    <w:p w14:paraId="6EE1C12A" w14:textId="77777777" w:rsidR="00C741D6" w:rsidRDefault="00C741D6" w:rsidP="00CF357D">
      <w:pPr>
        <w:rPr>
          <w:rFonts w:asciiTheme="minorHAnsi" w:hAnsiTheme="minorHAnsi" w:cstheme="minorHAnsi"/>
          <w:sz w:val="24"/>
        </w:rPr>
      </w:pPr>
    </w:p>
    <w:p w14:paraId="65BC4B16" w14:textId="3BAA4E3F" w:rsidR="00CF357D" w:rsidRPr="00455892" w:rsidRDefault="00A05997" w:rsidP="00CF357D">
      <w:pPr>
        <w:rPr>
          <w:rFonts w:asciiTheme="minorHAnsi" w:hAnsiTheme="minorHAnsi" w:cstheme="minorHAnsi"/>
          <w:sz w:val="24"/>
        </w:rPr>
      </w:pPr>
      <w:r w:rsidRPr="00455892">
        <w:rPr>
          <w:rFonts w:asciiTheme="minorHAnsi" w:hAnsiTheme="minorHAnsi" w:cstheme="minorHAnsi"/>
          <w:sz w:val="24"/>
        </w:rPr>
        <w:t xml:space="preserve">V rámci první výzvy MPO hodnotilo žádosti o podporu podle </w:t>
      </w:r>
      <w:r w:rsidR="00455892">
        <w:rPr>
          <w:rFonts w:asciiTheme="minorHAnsi" w:hAnsiTheme="minorHAnsi" w:cstheme="minorHAnsi"/>
          <w:sz w:val="24"/>
        </w:rPr>
        <w:t>příjemcem popsaných a </w:t>
      </w:r>
      <w:r w:rsidR="007309D3" w:rsidRPr="00455892">
        <w:rPr>
          <w:rFonts w:asciiTheme="minorHAnsi" w:hAnsiTheme="minorHAnsi" w:cstheme="minorHAnsi"/>
          <w:sz w:val="24"/>
        </w:rPr>
        <w:t xml:space="preserve">zdůvodněných </w:t>
      </w:r>
      <w:r w:rsidRPr="00455892">
        <w:rPr>
          <w:rFonts w:asciiTheme="minorHAnsi" w:hAnsiTheme="minorHAnsi" w:cstheme="minorHAnsi"/>
          <w:sz w:val="24"/>
        </w:rPr>
        <w:t>očekávaných ekonomických přínosů</w:t>
      </w:r>
      <w:r w:rsidR="0048118C">
        <w:rPr>
          <w:rFonts w:asciiTheme="minorHAnsi" w:hAnsiTheme="minorHAnsi" w:cstheme="minorHAnsi"/>
          <w:sz w:val="24"/>
        </w:rPr>
        <w:t>,</w:t>
      </w:r>
      <w:r w:rsidRPr="00455892">
        <w:rPr>
          <w:rFonts w:asciiTheme="minorHAnsi" w:hAnsiTheme="minorHAnsi" w:cstheme="minorHAnsi"/>
          <w:sz w:val="24"/>
        </w:rPr>
        <w:t xml:space="preserve"> </w:t>
      </w:r>
      <w:r w:rsidR="00701A7F">
        <w:rPr>
          <w:rFonts w:asciiTheme="minorHAnsi" w:hAnsiTheme="minorHAnsi" w:cstheme="minorHAnsi"/>
          <w:sz w:val="24"/>
        </w:rPr>
        <w:t>jako j</w:t>
      </w:r>
      <w:r w:rsidR="0048118C">
        <w:rPr>
          <w:rFonts w:asciiTheme="minorHAnsi" w:hAnsiTheme="minorHAnsi" w:cstheme="minorHAnsi"/>
          <w:sz w:val="24"/>
        </w:rPr>
        <w:t>sou</w:t>
      </w:r>
      <w:r w:rsidR="00701A7F">
        <w:rPr>
          <w:rFonts w:asciiTheme="minorHAnsi" w:hAnsiTheme="minorHAnsi" w:cstheme="minorHAnsi"/>
          <w:sz w:val="24"/>
        </w:rPr>
        <w:t xml:space="preserve"> zvýšení objemu výroby a </w:t>
      </w:r>
      <w:r w:rsidRPr="00455892">
        <w:rPr>
          <w:rFonts w:asciiTheme="minorHAnsi" w:hAnsiTheme="minorHAnsi" w:cstheme="minorHAnsi"/>
          <w:sz w:val="24"/>
        </w:rPr>
        <w:t>odbytu, rozvoj exportních možností, tvorba nových pracovních míst</w:t>
      </w:r>
      <w:r w:rsidR="00B92E11" w:rsidRPr="00455892">
        <w:rPr>
          <w:rFonts w:asciiTheme="minorHAnsi" w:hAnsiTheme="minorHAnsi" w:cstheme="minorHAnsi"/>
          <w:sz w:val="24"/>
        </w:rPr>
        <w:t xml:space="preserve"> a</w:t>
      </w:r>
      <w:r w:rsidRPr="00455892">
        <w:rPr>
          <w:rFonts w:asciiTheme="minorHAnsi" w:hAnsiTheme="minorHAnsi" w:cstheme="minorHAnsi"/>
          <w:sz w:val="24"/>
        </w:rPr>
        <w:t xml:space="preserve"> zlepšení efektivnosti výroby</w:t>
      </w:r>
      <w:r w:rsidR="007309D3" w:rsidRPr="00455892">
        <w:rPr>
          <w:rFonts w:asciiTheme="minorHAnsi" w:hAnsiTheme="minorHAnsi" w:cstheme="minorHAnsi"/>
          <w:sz w:val="24"/>
        </w:rPr>
        <w:t>.</w:t>
      </w:r>
      <w:r w:rsidRPr="00455892">
        <w:rPr>
          <w:rFonts w:asciiTheme="minorHAnsi" w:hAnsiTheme="minorHAnsi" w:cstheme="minorHAnsi"/>
          <w:sz w:val="24"/>
        </w:rPr>
        <w:t xml:space="preserve"> MPO sice žádosti o podporu hodnotilo podle výše uvedených kritérií, ale </w:t>
      </w:r>
      <w:r w:rsidR="007309D3" w:rsidRPr="00455892">
        <w:rPr>
          <w:rFonts w:asciiTheme="minorHAnsi" w:hAnsiTheme="minorHAnsi" w:cstheme="minorHAnsi"/>
          <w:sz w:val="24"/>
        </w:rPr>
        <w:t>plněním těchto očekávaných přínosů příjemce</w:t>
      </w:r>
      <w:r w:rsidRPr="00455892">
        <w:rPr>
          <w:rFonts w:asciiTheme="minorHAnsi" w:hAnsiTheme="minorHAnsi" w:cstheme="minorHAnsi"/>
          <w:sz w:val="24"/>
        </w:rPr>
        <w:t xml:space="preserve"> nezavázalo. Příjemcům rovněž neuložilo poskytovat informace o tom</w:t>
      </w:r>
      <w:r w:rsidR="007E59F2" w:rsidRPr="00455892">
        <w:rPr>
          <w:rFonts w:asciiTheme="minorHAnsi" w:hAnsiTheme="minorHAnsi" w:cstheme="minorHAnsi"/>
          <w:sz w:val="24"/>
        </w:rPr>
        <w:t>,</w:t>
      </w:r>
      <w:r w:rsidRPr="00455892">
        <w:rPr>
          <w:rFonts w:asciiTheme="minorHAnsi" w:hAnsiTheme="minorHAnsi" w:cstheme="minorHAnsi"/>
          <w:sz w:val="24"/>
        </w:rPr>
        <w:t xml:space="preserve"> zda, případně jak</w:t>
      </w:r>
      <w:r w:rsidR="007E59F2" w:rsidRPr="00455892">
        <w:rPr>
          <w:rFonts w:asciiTheme="minorHAnsi" w:hAnsiTheme="minorHAnsi" w:cstheme="minorHAnsi"/>
          <w:sz w:val="24"/>
        </w:rPr>
        <w:t>,</w:t>
      </w:r>
      <w:r w:rsidRPr="00455892">
        <w:rPr>
          <w:rFonts w:asciiTheme="minorHAnsi" w:hAnsiTheme="minorHAnsi" w:cstheme="minorHAnsi"/>
          <w:sz w:val="24"/>
        </w:rPr>
        <w:t xml:space="preserve"> se po realizaci projektu </w:t>
      </w:r>
      <w:r w:rsidR="00F745D7" w:rsidRPr="00455892">
        <w:rPr>
          <w:rFonts w:asciiTheme="minorHAnsi" w:hAnsiTheme="minorHAnsi" w:cstheme="minorHAnsi"/>
          <w:sz w:val="24"/>
        </w:rPr>
        <w:t xml:space="preserve">uvedené ekonomické ukazatele zlepšily. </w:t>
      </w:r>
    </w:p>
    <w:p w14:paraId="03997B50" w14:textId="77777777" w:rsidR="00CF357D" w:rsidRPr="00455892" w:rsidRDefault="00CF357D" w:rsidP="00CF357D">
      <w:pPr>
        <w:rPr>
          <w:rFonts w:asciiTheme="minorHAnsi" w:hAnsiTheme="minorHAnsi" w:cstheme="minorHAnsi"/>
          <w:sz w:val="24"/>
        </w:rPr>
      </w:pPr>
    </w:p>
    <w:p w14:paraId="321C6A41" w14:textId="044656E1" w:rsidR="00CF357D" w:rsidRPr="00455892" w:rsidRDefault="00CF357D" w:rsidP="00CF357D">
      <w:pPr>
        <w:rPr>
          <w:rFonts w:asciiTheme="minorHAnsi" w:hAnsiTheme="minorHAnsi" w:cstheme="minorHAnsi"/>
          <w:b/>
          <w:sz w:val="24"/>
        </w:rPr>
      </w:pPr>
      <w:r w:rsidRPr="00455892">
        <w:rPr>
          <w:rFonts w:asciiTheme="minorHAnsi" w:hAnsiTheme="minorHAnsi" w:cstheme="minorHAnsi"/>
          <w:b/>
          <w:sz w:val="24"/>
        </w:rPr>
        <w:t>Druhá výzva programu Nemovitosti 2014</w:t>
      </w:r>
      <w:r w:rsidR="00701A7F">
        <w:rPr>
          <w:rFonts w:asciiTheme="minorHAnsi" w:hAnsiTheme="minorHAnsi" w:cstheme="minorHAnsi"/>
          <w:b/>
          <w:sz w:val="24"/>
        </w:rPr>
        <w:t>–</w:t>
      </w:r>
      <w:r w:rsidRPr="00455892">
        <w:rPr>
          <w:rFonts w:asciiTheme="minorHAnsi" w:hAnsiTheme="minorHAnsi" w:cstheme="minorHAnsi"/>
          <w:b/>
          <w:sz w:val="24"/>
        </w:rPr>
        <w:t>2020</w:t>
      </w:r>
    </w:p>
    <w:p w14:paraId="07251051" w14:textId="77777777" w:rsidR="00C741D6" w:rsidRDefault="00C741D6" w:rsidP="00CF357D">
      <w:pPr>
        <w:rPr>
          <w:rFonts w:asciiTheme="minorHAnsi" w:hAnsiTheme="minorHAnsi" w:cstheme="minorHAnsi"/>
          <w:sz w:val="24"/>
        </w:rPr>
      </w:pPr>
    </w:p>
    <w:p w14:paraId="33EF9897" w14:textId="52F8843A" w:rsidR="00CF357D" w:rsidRPr="00455892" w:rsidRDefault="00F745D7" w:rsidP="00CF357D">
      <w:pPr>
        <w:rPr>
          <w:rFonts w:asciiTheme="minorHAnsi" w:hAnsiTheme="minorHAnsi" w:cstheme="minorHAnsi"/>
          <w:sz w:val="24"/>
        </w:rPr>
      </w:pPr>
      <w:r w:rsidRPr="00455892">
        <w:rPr>
          <w:rFonts w:asciiTheme="minorHAnsi" w:hAnsiTheme="minorHAnsi" w:cstheme="minorHAnsi"/>
          <w:sz w:val="24"/>
        </w:rPr>
        <w:t>V</w:t>
      </w:r>
      <w:r w:rsidR="007309D3" w:rsidRPr="00455892">
        <w:rPr>
          <w:rFonts w:asciiTheme="minorHAnsi" w:hAnsiTheme="minorHAnsi" w:cstheme="minorHAnsi"/>
          <w:sz w:val="24"/>
        </w:rPr>
        <w:t xml:space="preserve"> rámci druhé výzvy </w:t>
      </w:r>
      <w:r w:rsidR="00A05997" w:rsidRPr="00455892">
        <w:rPr>
          <w:rFonts w:asciiTheme="minorHAnsi" w:hAnsiTheme="minorHAnsi" w:cstheme="minorHAnsi"/>
          <w:sz w:val="24"/>
        </w:rPr>
        <w:t xml:space="preserve">MPO </w:t>
      </w:r>
      <w:r w:rsidR="007309D3" w:rsidRPr="00455892">
        <w:rPr>
          <w:rFonts w:asciiTheme="minorHAnsi" w:hAnsiTheme="minorHAnsi" w:cstheme="minorHAnsi"/>
          <w:sz w:val="24"/>
        </w:rPr>
        <w:t xml:space="preserve">žádosti </w:t>
      </w:r>
      <w:r w:rsidRPr="00455892">
        <w:rPr>
          <w:rFonts w:asciiTheme="minorHAnsi" w:hAnsiTheme="minorHAnsi" w:cstheme="minorHAnsi"/>
          <w:sz w:val="24"/>
        </w:rPr>
        <w:t xml:space="preserve">už vůbec </w:t>
      </w:r>
      <w:r w:rsidR="007309D3" w:rsidRPr="00455892">
        <w:rPr>
          <w:rFonts w:asciiTheme="minorHAnsi" w:hAnsiTheme="minorHAnsi" w:cstheme="minorHAnsi"/>
          <w:sz w:val="24"/>
        </w:rPr>
        <w:t xml:space="preserve">nehodnotilo podle očekávaného </w:t>
      </w:r>
      <w:r w:rsidR="00A05997" w:rsidRPr="00455892">
        <w:rPr>
          <w:rFonts w:asciiTheme="minorHAnsi" w:hAnsiTheme="minorHAnsi" w:cstheme="minorHAnsi"/>
          <w:sz w:val="24"/>
        </w:rPr>
        <w:t>zvýšení objemu výroby, exportu, vytvoření pracovních míst a</w:t>
      </w:r>
      <w:r w:rsidR="0048118C">
        <w:rPr>
          <w:rFonts w:asciiTheme="minorHAnsi" w:hAnsiTheme="minorHAnsi" w:cstheme="minorHAnsi"/>
          <w:sz w:val="24"/>
        </w:rPr>
        <w:t>ni</w:t>
      </w:r>
      <w:r w:rsidR="00A05997" w:rsidRPr="00455892">
        <w:rPr>
          <w:rFonts w:asciiTheme="minorHAnsi" w:hAnsiTheme="minorHAnsi" w:cstheme="minorHAnsi"/>
          <w:sz w:val="24"/>
        </w:rPr>
        <w:t xml:space="preserve"> zlepšení efektivnosti výroby</w:t>
      </w:r>
      <w:r w:rsidR="007309D3" w:rsidRPr="00455892">
        <w:rPr>
          <w:rFonts w:asciiTheme="minorHAnsi" w:hAnsiTheme="minorHAnsi" w:cstheme="minorHAnsi"/>
          <w:sz w:val="24"/>
        </w:rPr>
        <w:t>.</w:t>
      </w:r>
      <w:r w:rsidR="00A05997" w:rsidRPr="00455892">
        <w:rPr>
          <w:rFonts w:asciiTheme="minorHAnsi" w:hAnsiTheme="minorHAnsi" w:cstheme="minorHAnsi"/>
          <w:sz w:val="24"/>
        </w:rPr>
        <w:t xml:space="preserve"> </w:t>
      </w:r>
      <w:r w:rsidR="00B92E11" w:rsidRPr="00455892">
        <w:rPr>
          <w:rFonts w:asciiTheme="minorHAnsi" w:hAnsiTheme="minorHAnsi" w:cstheme="minorHAnsi"/>
          <w:sz w:val="24"/>
        </w:rPr>
        <w:t xml:space="preserve">V rámci obou výzev pro příjemce podpory byl závazný k naplnění hodnot jen ukazatel </w:t>
      </w:r>
      <w:r w:rsidR="0048118C" w:rsidRPr="00291D6C">
        <w:rPr>
          <w:rFonts w:asciiTheme="minorHAnsi" w:hAnsiTheme="minorHAnsi" w:cstheme="minorHAnsi"/>
          <w:sz w:val="24"/>
        </w:rPr>
        <w:t>„</w:t>
      </w:r>
      <w:r w:rsidR="0048118C">
        <w:rPr>
          <w:rFonts w:asciiTheme="minorHAnsi" w:hAnsiTheme="minorHAnsi" w:cstheme="minorHAnsi"/>
          <w:i/>
          <w:sz w:val="24"/>
        </w:rPr>
        <w:t>r</w:t>
      </w:r>
      <w:r w:rsidR="00B92E11" w:rsidRPr="00455892">
        <w:rPr>
          <w:rFonts w:asciiTheme="minorHAnsi" w:hAnsiTheme="minorHAnsi" w:cstheme="minorHAnsi"/>
          <w:i/>
          <w:sz w:val="24"/>
        </w:rPr>
        <w:t>ozšířené, zrekonstruované nebo nově vybudované kapacity bez záboru zemědělského půdního fondu</w:t>
      </w:r>
      <w:r w:rsidR="0048118C">
        <w:rPr>
          <w:rFonts w:asciiTheme="minorHAnsi" w:hAnsiTheme="minorHAnsi" w:cstheme="minorHAnsi"/>
          <w:sz w:val="24"/>
        </w:rPr>
        <w:t>“</w:t>
      </w:r>
      <w:r w:rsidR="00821924" w:rsidRPr="00455892">
        <w:rPr>
          <w:rFonts w:asciiTheme="minorHAnsi" w:hAnsiTheme="minorHAnsi" w:cstheme="minorHAnsi"/>
          <w:sz w:val="24"/>
        </w:rPr>
        <w:t xml:space="preserve">. K tomu povinný pro sledování </w:t>
      </w:r>
      <w:r w:rsidR="00B92E11" w:rsidRPr="00455892">
        <w:rPr>
          <w:rFonts w:asciiTheme="minorHAnsi" w:hAnsiTheme="minorHAnsi" w:cstheme="minorHAnsi"/>
          <w:sz w:val="24"/>
        </w:rPr>
        <w:t xml:space="preserve">byl ukazatel </w:t>
      </w:r>
      <w:r w:rsidR="0048118C">
        <w:rPr>
          <w:rFonts w:asciiTheme="minorHAnsi" w:hAnsiTheme="minorHAnsi" w:cstheme="minorHAnsi"/>
          <w:sz w:val="24"/>
        </w:rPr>
        <w:t>„</w:t>
      </w:r>
      <w:r w:rsidR="0048118C">
        <w:rPr>
          <w:rFonts w:asciiTheme="minorHAnsi" w:hAnsiTheme="minorHAnsi" w:cstheme="minorHAnsi"/>
          <w:i/>
          <w:sz w:val="24"/>
        </w:rPr>
        <w:t>p</w:t>
      </w:r>
      <w:r w:rsidR="00B92E11" w:rsidRPr="00455892">
        <w:rPr>
          <w:rFonts w:asciiTheme="minorHAnsi" w:hAnsiTheme="minorHAnsi" w:cstheme="minorHAnsi"/>
          <w:i/>
          <w:sz w:val="24"/>
        </w:rPr>
        <w:t>očet firem využívajících novou, nebo modernizovanou infrastrukturu pro podnikání</w:t>
      </w:r>
      <w:r w:rsidR="0048118C">
        <w:rPr>
          <w:rFonts w:asciiTheme="minorHAnsi" w:hAnsiTheme="minorHAnsi" w:cstheme="minorHAnsi"/>
          <w:sz w:val="24"/>
        </w:rPr>
        <w:t>“</w:t>
      </w:r>
      <w:r w:rsidR="00B92E11" w:rsidRPr="00455892">
        <w:rPr>
          <w:rFonts w:asciiTheme="minorHAnsi" w:hAnsiTheme="minorHAnsi" w:cstheme="minorHAnsi"/>
          <w:sz w:val="24"/>
        </w:rPr>
        <w:t>.</w:t>
      </w:r>
      <w:r w:rsidR="009728B1" w:rsidRPr="00455892">
        <w:rPr>
          <w:rFonts w:asciiTheme="minorHAnsi" w:hAnsiTheme="minorHAnsi" w:cstheme="minorHAnsi"/>
          <w:sz w:val="24"/>
        </w:rPr>
        <w:t xml:space="preserve"> </w:t>
      </w:r>
    </w:p>
    <w:p w14:paraId="09BDB64B" w14:textId="77777777" w:rsidR="00E33B40" w:rsidRPr="00C741D6" w:rsidRDefault="00E33B40" w:rsidP="00CF357D">
      <w:pPr>
        <w:rPr>
          <w:rFonts w:asciiTheme="minorHAnsi" w:hAnsiTheme="minorHAnsi" w:cstheme="minorHAnsi"/>
          <w:sz w:val="24"/>
        </w:rPr>
      </w:pPr>
    </w:p>
    <w:p w14:paraId="4E072221" w14:textId="774F9A95" w:rsidR="00CF357D" w:rsidRPr="00A80807" w:rsidRDefault="000A583B" w:rsidP="00CF357D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Nepotvrzené p</w:t>
      </w:r>
      <w:r w:rsidR="00CF357D" w:rsidRPr="00A80807">
        <w:rPr>
          <w:rFonts w:asciiTheme="minorHAnsi" w:hAnsiTheme="minorHAnsi" w:cstheme="minorHAnsi"/>
          <w:b/>
          <w:sz w:val="24"/>
        </w:rPr>
        <w:t>řínosy kontrolovaných projektů</w:t>
      </w:r>
      <w:r w:rsidR="007B0028" w:rsidRPr="00A80807">
        <w:rPr>
          <w:rFonts w:asciiTheme="minorHAnsi" w:hAnsiTheme="minorHAnsi" w:cstheme="minorHAnsi"/>
          <w:b/>
          <w:sz w:val="24"/>
        </w:rPr>
        <w:t xml:space="preserve"> z programu Nemovitosti 2014</w:t>
      </w:r>
      <w:r w:rsidR="00572A4F" w:rsidRPr="00A80807">
        <w:rPr>
          <w:rFonts w:asciiTheme="minorHAnsi" w:hAnsiTheme="minorHAnsi" w:cstheme="minorHAnsi"/>
          <w:b/>
          <w:sz w:val="24"/>
        </w:rPr>
        <w:t>–</w:t>
      </w:r>
      <w:r w:rsidR="007B0028" w:rsidRPr="00A80807">
        <w:rPr>
          <w:rFonts w:asciiTheme="minorHAnsi" w:hAnsiTheme="minorHAnsi" w:cstheme="minorHAnsi"/>
          <w:b/>
          <w:sz w:val="24"/>
        </w:rPr>
        <w:t>2020</w:t>
      </w:r>
    </w:p>
    <w:p w14:paraId="02B51F63" w14:textId="77777777" w:rsidR="00C741D6" w:rsidRDefault="00C741D6" w:rsidP="00CF357D">
      <w:pPr>
        <w:rPr>
          <w:rFonts w:asciiTheme="minorHAnsi" w:hAnsiTheme="minorHAnsi" w:cstheme="minorHAnsi"/>
          <w:sz w:val="24"/>
        </w:rPr>
      </w:pPr>
    </w:p>
    <w:p w14:paraId="7981D2CE" w14:textId="77777777" w:rsidR="00B774EA" w:rsidRPr="00A80807" w:rsidRDefault="00F745D7" w:rsidP="00CF357D">
      <w:pPr>
        <w:rPr>
          <w:rFonts w:asciiTheme="minorHAnsi" w:hAnsiTheme="minorHAnsi" w:cstheme="minorHAnsi"/>
          <w:sz w:val="24"/>
        </w:rPr>
      </w:pPr>
      <w:r w:rsidRPr="00A80807">
        <w:rPr>
          <w:rFonts w:asciiTheme="minorHAnsi" w:hAnsiTheme="minorHAnsi" w:cstheme="minorHAnsi"/>
          <w:sz w:val="24"/>
        </w:rPr>
        <w:t>NKÚ ověřil n</w:t>
      </w:r>
      <w:r w:rsidR="009728B1" w:rsidRPr="00A80807">
        <w:rPr>
          <w:rFonts w:asciiTheme="minorHAnsi" w:hAnsiTheme="minorHAnsi" w:cstheme="minorHAnsi"/>
          <w:sz w:val="24"/>
        </w:rPr>
        <w:t xml:space="preserve">a vzorku </w:t>
      </w:r>
      <w:r w:rsidR="00AB1011" w:rsidRPr="00A80807">
        <w:rPr>
          <w:rFonts w:asciiTheme="minorHAnsi" w:hAnsiTheme="minorHAnsi" w:cstheme="minorHAnsi"/>
          <w:sz w:val="24"/>
        </w:rPr>
        <w:t>12</w:t>
      </w:r>
      <w:r w:rsidRPr="00A80807">
        <w:rPr>
          <w:rFonts w:asciiTheme="minorHAnsi" w:hAnsiTheme="minorHAnsi" w:cstheme="minorHAnsi"/>
          <w:sz w:val="24"/>
        </w:rPr>
        <w:t xml:space="preserve"> </w:t>
      </w:r>
      <w:r w:rsidR="009728B1" w:rsidRPr="00A80807">
        <w:rPr>
          <w:rFonts w:asciiTheme="minorHAnsi" w:hAnsiTheme="minorHAnsi" w:cstheme="minorHAnsi"/>
          <w:sz w:val="24"/>
        </w:rPr>
        <w:t xml:space="preserve">projektů </w:t>
      </w:r>
      <w:r w:rsidR="00287DB8" w:rsidRPr="00A80807">
        <w:rPr>
          <w:rFonts w:asciiTheme="minorHAnsi" w:hAnsiTheme="minorHAnsi" w:cstheme="minorHAnsi"/>
          <w:sz w:val="24"/>
        </w:rPr>
        <w:t xml:space="preserve">podpořených dotací </w:t>
      </w:r>
      <w:r w:rsidR="00AB1011" w:rsidRPr="00A80807">
        <w:rPr>
          <w:rFonts w:asciiTheme="minorHAnsi" w:hAnsiTheme="minorHAnsi" w:cstheme="minorHAnsi"/>
          <w:sz w:val="24"/>
        </w:rPr>
        <w:t xml:space="preserve">ve výši </w:t>
      </w:r>
      <w:r w:rsidR="00287DB8" w:rsidRPr="00A80807">
        <w:rPr>
          <w:rFonts w:asciiTheme="minorHAnsi" w:hAnsiTheme="minorHAnsi" w:cstheme="minorHAnsi"/>
          <w:sz w:val="24"/>
        </w:rPr>
        <w:t xml:space="preserve">celkem </w:t>
      </w:r>
      <w:r w:rsidR="00A15311" w:rsidRPr="00A80807">
        <w:rPr>
          <w:rFonts w:asciiTheme="minorHAnsi" w:hAnsiTheme="minorHAnsi" w:cstheme="minorHAnsi"/>
          <w:sz w:val="24"/>
        </w:rPr>
        <w:t>117,37 mil. Kč</w:t>
      </w:r>
      <w:r w:rsidR="009728B1" w:rsidRPr="00A80807">
        <w:rPr>
          <w:rFonts w:asciiTheme="minorHAnsi" w:hAnsiTheme="minorHAnsi" w:cstheme="minorHAnsi"/>
          <w:sz w:val="24"/>
        </w:rPr>
        <w:t xml:space="preserve">, že </w:t>
      </w:r>
      <w:r w:rsidR="00C65225" w:rsidRPr="00A80807">
        <w:rPr>
          <w:rFonts w:asciiTheme="minorHAnsi" w:hAnsiTheme="minorHAnsi" w:cstheme="minorHAnsi"/>
          <w:sz w:val="24"/>
        </w:rPr>
        <w:t xml:space="preserve">podnikatelé </w:t>
      </w:r>
      <w:r w:rsidRPr="00A80807">
        <w:rPr>
          <w:rFonts w:asciiTheme="minorHAnsi" w:hAnsiTheme="minorHAnsi" w:cstheme="minorHAnsi"/>
          <w:sz w:val="24"/>
        </w:rPr>
        <w:t xml:space="preserve">nakládali s </w:t>
      </w:r>
      <w:r w:rsidR="009728B1" w:rsidRPr="00A80807">
        <w:rPr>
          <w:rFonts w:asciiTheme="minorHAnsi" w:hAnsiTheme="minorHAnsi" w:cstheme="minorHAnsi"/>
          <w:sz w:val="24"/>
        </w:rPr>
        <w:t>pořízeným majetkem</w:t>
      </w:r>
      <w:r w:rsidR="00287DB8" w:rsidRPr="00A80807">
        <w:rPr>
          <w:rFonts w:asciiTheme="minorHAnsi" w:hAnsiTheme="minorHAnsi" w:cstheme="minorHAnsi"/>
          <w:sz w:val="24"/>
        </w:rPr>
        <w:t xml:space="preserve"> </w:t>
      </w:r>
      <w:r w:rsidRPr="00A80807">
        <w:rPr>
          <w:rFonts w:asciiTheme="minorHAnsi" w:hAnsiTheme="minorHAnsi" w:cstheme="minorHAnsi"/>
          <w:sz w:val="24"/>
        </w:rPr>
        <w:t xml:space="preserve">a využívali jej v souladu se stanovenými podmínkami. </w:t>
      </w:r>
      <w:r w:rsidR="00821924" w:rsidRPr="00A80807">
        <w:rPr>
          <w:rFonts w:asciiTheme="minorHAnsi" w:hAnsiTheme="minorHAnsi" w:cstheme="minorHAnsi"/>
          <w:sz w:val="24"/>
        </w:rPr>
        <w:t xml:space="preserve">Do doby ukončení kontroly, tj. cca </w:t>
      </w:r>
      <w:r w:rsidR="0032359A" w:rsidRPr="00A80807">
        <w:rPr>
          <w:rFonts w:asciiTheme="minorHAnsi" w:hAnsiTheme="minorHAnsi" w:cstheme="minorHAnsi"/>
          <w:sz w:val="24"/>
        </w:rPr>
        <w:t>v rozmezí od půl roku do necelých dvou let</w:t>
      </w:r>
      <w:r w:rsidR="00821924" w:rsidRPr="00A80807">
        <w:rPr>
          <w:rFonts w:asciiTheme="minorHAnsi" w:hAnsiTheme="minorHAnsi" w:cstheme="minorHAnsi"/>
          <w:sz w:val="24"/>
        </w:rPr>
        <w:t xml:space="preserve"> </w:t>
      </w:r>
      <w:r w:rsidR="00821924" w:rsidRPr="00A80807">
        <w:rPr>
          <w:rFonts w:asciiTheme="minorHAnsi" w:hAnsiTheme="minorHAnsi" w:cstheme="minorHAnsi"/>
          <w:sz w:val="24"/>
        </w:rPr>
        <w:lastRenderedPageBreak/>
        <w:t xml:space="preserve">po ukončení </w:t>
      </w:r>
      <w:r w:rsidRPr="00A80807">
        <w:rPr>
          <w:rFonts w:asciiTheme="minorHAnsi" w:hAnsiTheme="minorHAnsi" w:cstheme="minorHAnsi"/>
          <w:sz w:val="24"/>
        </w:rPr>
        <w:t>kontrolovaných projektů</w:t>
      </w:r>
      <w:r w:rsidR="00D7507D" w:rsidRPr="00A80807">
        <w:rPr>
          <w:rFonts w:asciiTheme="minorHAnsi" w:hAnsiTheme="minorHAnsi" w:cstheme="minorHAnsi"/>
          <w:sz w:val="24"/>
        </w:rPr>
        <w:t>, bylo</w:t>
      </w:r>
      <w:r w:rsidR="00821924" w:rsidRPr="00A80807">
        <w:rPr>
          <w:rFonts w:asciiTheme="minorHAnsi" w:hAnsiTheme="minorHAnsi" w:cstheme="minorHAnsi"/>
          <w:sz w:val="24"/>
        </w:rPr>
        <w:t xml:space="preserve"> z</w:t>
      </w:r>
      <w:r w:rsidR="00287DB8" w:rsidRPr="00A80807">
        <w:rPr>
          <w:rFonts w:asciiTheme="minorHAnsi" w:hAnsiTheme="minorHAnsi" w:cstheme="minorHAnsi"/>
          <w:sz w:val="24"/>
        </w:rPr>
        <w:t xml:space="preserve"> celkových 103 pracovních míst, jejichž vytvoření </w:t>
      </w:r>
      <w:r w:rsidR="00C82BF7" w:rsidRPr="00A80807">
        <w:rPr>
          <w:rFonts w:asciiTheme="minorHAnsi" w:hAnsiTheme="minorHAnsi" w:cstheme="minorHAnsi"/>
          <w:sz w:val="24"/>
        </w:rPr>
        <w:t xml:space="preserve">kontrolovaní </w:t>
      </w:r>
      <w:r w:rsidR="00287DB8" w:rsidRPr="00A80807">
        <w:rPr>
          <w:rFonts w:asciiTheme="minorHAnsi" w:hAnsiTheme="minorHAnsi" w:cstheme="minorHAnsi"/>
          <w:sz w:val="24"/>
        </w:rPr>
        <w:t>příjemci deklarovali v žádostech o podporu, vytvořeno 69</w:t>
      </w:r>
      <w:r w:rsidR="00821924" w:rsidRPr="00A80807">
        <w:rPr>
          <w:rFonts w:asciiTheme="minorHAnsi" w:hAnsiTheme="minorHAnsi" w:cstheme="minorHAnsi"/>
          <w:sz w:val="24"/>
        </w:rPr>
        <w:t xml:space="preserve"> míst</w:t>
      </w:r>
      <w:r w:rsidR="00287DB8" w:rsidRPr="00A80807">
        <w:rPr>
          <w:rFonts w:asciiTheme="minorHAnsi" w:hAnsiTheme="minorHAnsi" w:cstheme="minorHAnsi"/>
          <w:sz w:val="24"/>
        </w:rPr>
        <w:t xml:space="preserve">. </w:t>
      </w:r>
    </w:p>
    <w:p w14:paraId="048131BC" w14:textId="77777777" w:rsidR="00B774EA" w:rsidRPr="00A80807" w:rsidRDefault="00B774EA" w:rsidP="00CF357D">
      <w:pPr>
        <w:rPr>
          <w:rFonts w:asciiTheme="minorHAnsi" w:hAnsiTheme="minorHAnsi" w:cstheme="minorHAnsi"/>
          <w:sz w:val="24"/>
        </w:rPr>
      </w:pPr>
    </w:p>
    <w:p w14:paraId="6B5DBE4E" w14:textId="77777777" w:rsidR="00B774EA" w:rsidRPr="00A80807" w:rsidRDefault="00287DB8" w:rsidP="00CF357D">
      <w:pPr>
        <w:rPr>
          <w:rFonts w:asciiTheme="minorHAnsi" w:hAnsiTheme="minorHAnsi" w:cstheme="minorHAnsi"/>
          <w:sz w:val="24"/>
        </w:rPr>
      </w:pPr>
      <w:r w:rsidRPr="00A80807">
        <w:rPr>
          <w:rFonts w:asciiTheme="minorHAnsi" w:hAnsiTheme="minorHAnsi" w:cstheme="minorHAnsi"/>
          <w:sz w:val="24"/>
        </w:rPr>
        <w:t xml:space="preserve">Dva příjemci podpory měli problémy se získáváním kvalifikovaných pracovníků z důvodu jejich nedostatku na trhu práce a jeden z nich za příčinu označil </w:t>
      </w:r>
      <w:r w:rsidR="00AB1011" w:rsidRPr="00A80807">
        <w:rPr>
          <w:rFonts w:asciiTheme="minorHAnsi" w:hAnsiTheme="minorHAnsi" w:cstheme="minorHAnsi"/>
          <w:sz w:val="24"/>
        </w:rPr>
        <w:t xml:space="preserve">také </w:t>
      </w:r>
      <w:r w:rsidRPr="00A80807">
        <w:rPr>
          <w:rFonts w:asciiTheme="minorHAnsi" w:hAnsiTheme="minorHAnsi" w:cstheme="minorHAnsi"/>
          <w:sz w:val="24"/>
        </w:rPr>
        <w:t xml:space="preserve">existenci </w:t>
      </w:r>
      <w:r w:rsidR="007B578B" w:rsidRPr="00A80807">
        <w:rPr>
          <w:rFonts w:asciiTheme="minorHAnsi" w:hAnsiTheme="minorHAnsi" w:cstheme="minorHAnsi"/>
          <w:sz w:val="24"/>
        </w:rPr>
        <w:t xml:space="preserve">nedaleké </w:t>
      </w:r>
      <w:r w:rsidRPr="00A80807">
        <w:rPr>
          <w:rFonts w:asciiTheme="minorHAnsi" w:hAnsiTheme="minorHAnsi" w:cstheme="minorHAnsi"/>
          <w:sz w:val="24"/>
        </w:rPr>
        <w:t>velké průmyslové zóny.</w:t>
      </w:r>
      <w:r w:rsidR="00AB1011" w:rsidRPr="00A80807">
        <w:rPr>
          <w:rFonts w:asciiTheme="minorHAnsi" w:hAnsiTheme="minorHAnsi" w:cstheme="minorHAnsi"/>
          <w:sz w:val="24"/>
        </w:rPr>
        <w:t xml:space="preserve"> </w:t>
      </w:r>
    </w:p>
    <w:p w14:paraId="065A9B58" w14:textId="77777777" w:rsidR="00B774EA" w:rsidRPr="00A80807" w:rsidRDefault="00B774EA" w:rsidP="00CF357D">
      <w:pPr>
        <w:rPr>
          <w:rFonts w:asciiTheme="minorHAnsi" w:hAnsiTheme="minorHAnsi" w:cstheme="minorHAnsi"/>
          <w:sz w:val="24"/>
        </w:rPr>
      </w:pPr>
    </w:p>
    <w:p w14:paraId="5D062CC0" w14:textId="72F4F167" w:rsidR="00A05997" w:rsidRDefault="0001083F" w:rsidP="00CF35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U </w:t>
      </w:r>
      <w:r w:rsidRPr="00A80807">
        <w:rPr>
          <w:rFonts w:asciiTheme="minorHAnsi" w:hAnsiTheme="minorHAnsi" w:cstheme="minorHAnsi"/>
          <w:sz w:val="24"/>
        </w:rPr>
        <w:t xml:space="preserve">poloviny </w:t>
      </w:r>
      <w:r>
        <w:rPr>
          <w:rFonts w:asciiTheme="minorHAnsi" w:hAnsiTheme="minorHAnsi" w:cstheme="minorHAnsi"/>
          <w:sz w:val="24"/>
        </w:rPr>
        <w:t>z</w:t>
      </w:r>
      <w:r w:rsidR="00311D6F" w:rsidRPr="00A80807">
        <w:rPr>
          <w:rFonts w:asciiTheme="minorHAnsi" w:hAnsiTheme="minorHAnsi" w:cstheme="minorHAnsi"/>
          <w:sz w:val="24"/>
        </w:rPr>
        <w:t> celkových 12 příjemců podpory vzrostly o</w:t>
      </w:r>
      <w:r w:rsidR="00AB1011" w:rsidRPr="00A80807">
        <w:rPr>
          <w:rFonts w:asciiTheme="minorHAnsi" w:hAnsiTheme="minorHAnsi" w:cstheme="minorHAnsi"/>
          <w:sz w:val="24"/>
        </w:rPr>
        <w:t xml:space="preserve">bjem výroby </w:t>
      </w:r>
      <w:r w:rsidR="00024331" w:rsidRPr="00A80807">
        <w:rPr>
          <w:rFonts w:asciiTheme="minorHAnsi" w:hAnsiTheme="minorHAnsi" w:cstheme="minorHAnsi"/>
          <w:sz w:val="24"/>
        </w:rPr>
        <w:t>i</w:t>
      </w:r>
      <w:r w:rsidR="00311D6F" w:rsidRPr="00A80807">
        <w:rPr>
          <w:rFonts w:asciiTheme="minorHAnsi" w:hAnsiTheme="minorHAnsi" w:cstheme="minorHAnsi"/>
          <w:sz w:val="24"/>
        </w:rPr>
        <w:t xml:space="preserve"> tržby</w:t>
      </w:r>
      <w:r w:rsidR="00FF03DC" w:rsidRPr="00A80807">
        <w:rPr>
          <w:rFonts w:asciiTheme="minorHAnsi" w:hAnsiTheme="minorHAnsi" w:cstheme="minorHAnsi"/>
          <w:sz w:val="24"/>
        </w:rPr>
        <w:t>,</w:t>
      </w:r>
      <w:r w:rsidR="00311D6F" w:rsidRPr="00A80807">
        <w:rPr>
          <w:rFonts w:asciiTheme="minorHAnsi" w:hAnsiTheme="minorHAnsi" w:cstheme="minorHAnsi"/>
          <w:sz w:val="24"/>
        </w:rPr>
        <w:t xml:space="preserve"> </w:t>
      </w:r>
      <w:r w:rsidR="00B774EA" w:rsidRPr="00A80807">
        <w:rPr>
          <w:rFonts w:asciiTheme="minorHAnsi" w:hAnsiTheme="minorHAnsi" w:cstheme="minorHAnsi"/>
          <w:sz w:val="24"/>
        </w:rPr>
        <w:t>snížily se náklady a </w:t>
      </w:r>
      <w:r w:rsidR="00FF03DC" w:rsidRPr="00A80807">
        <w:rPr>
          <w:rFonts w:asciiTheme="minorHAnsi" w:hAnsiTheme="minorHAnsi" w:cstheme="minorHAnsi"/>
          <w:sz w:val="24"/>
        </w:rPr>
        <w:t>zefektivnila výroba. Export vzrostl jen v jednom případě.</w:t>
      </w:r>
      <w:r w:rsidR="00311D6F" w:rsidRPr="00A80807">
        <w:rPr>
          <w:rFonts w:asciiTheme="minorHAnsi" w:hAnsiTheme="minorHAnsi" w:cstheme="minorHAnsi"/>
          <w:sz w:val="24"/>
        </w:rPr>
        <w:t xml:space="preserve"> Naopak ke snížení obra</w:t>
      </w:r>
      <w:r w:rsidR="007F1DFB" w:rsidRPr="00A80807">
        <w:rPr>
          <w:rFonts w:asciiTheme="minorHAnsi" w:hAnsiTheme="minorHAnsi" w:cstheme="minorHAnsi"/>
          <w:sz w:val="24"/>
        </w:rPr>
        <w:t>tu, tržeb či exportu došlo u čtyř</w:t>
      </w:r>
      <w:r w:rsidR="00311D6F" w:rsidRPr="00A80807">
        <w:rPr>
          <w:rFonts w:asciiTheme="minorHAnsi" w:hAnsiTheme="minorHAnsi" w:cstheme="minorHAnsi"/>
          <w:sz w:val="24"/>
        </w:rPr>
        <w:t xml:space="preserve"> příjemců</w:t>
      </w:r>
      <w:r w:rsidR="00024331" w:rsidRPr="00A80807">
        <w:rPr>
          <w:rFonts w:asciiTheme="minorHAnsi" w:hAnsiTheme="minorHAnsi" w:cstheme="minorHAnsi"/>
          <w:sz w:val="24"/>
        </w:rPr>
        <w:t>, což vysvětlili</w:t>
      </w:r>
      <w:r w:rsidR="00311D6F" w:rsidRPr="00A80807">
        <w:rPr>
          <w:rFonts w:asciiTheme="minorHAnsi" w:hAnsiTheme="minorHAnsi" w:cstheme="minorHAnsi"/>
          <w:sz w:val="24"/>
        </w:rPr>
        <w:t xml:space="preserve"> </w:t>
      </w:r>
      <w:r w:rsidR="0032359A" w:rsidRPr="00A80807">
        <w:rPr>
          <w:rFonts w:asciiTheme="minorHAnsi" w:hAnsiTheme="minorHAnsi" w:cstheme="minorHAnsi"/>
          <w:sz w:val="24"/>
        </w:rPr>
        <w:t>odkladem realizace zakázek do dalšího roku z důvodu záplav, vad dodávek na vstupu do výroby, výpadku odběratelů, neočekávanými komplikacemi při plnění za</w:t>
      </w:r>
      <w:r w:rsidR="00F43787">
        <w:rPr>
          <w:rFonts w:asciiTheme="minorHAnsi" w:hAnsiTheme="minorHAnsi" w:cstheme="minorHAnsi"/>
          <w:sz w:val="24"/>
        </w:rPr>
        <w:t>kázky</w:t>
      </w:r>
      <w:r w:rsidR="0032359A" w:rsidRPr="00A80807">
        <w:rPr>
          <w:rFonts w:asciiTheme="minorHAnsi" w:hAnsiTheme="minorHAnsi" w:cstheme="minorHAnsi"/>
          <w:sz w:val="24"/>
        </w:rPr>
        <w:t>.</w:t>
      </w:r>
    </w:p>
    <w:p w14:paraId="50EF9AEA" w14:textId="77777777" w:rsidR="00C741D6" w:rsidRDefault="00C741D6" w:rsidP="00CF357D">
      <w:pPr>
        <w:rPr>
          <w:rFonts w:asciiTheme="minorHAnsi" w:hAnsiTheme="minorHAnsi" w:cstheme="minorHAnsi"/>
          <w:sz w:val="24"/>
        </w:rPr>
      </w:pPr>
    </w:p>
    <w:p w14:paraId="1316E2B2" w14:textId="77777777" w:rsidR="00C741D6" w:rsidRDefault="00C741D6" w:rsidP="00CF357D">
      <w:pPr>
        <w:rPr>
          <w:rFonts w:asciiTheme="minorHAnsi" w:hAnsiTheme="minorHAnsi" w:cstheme="minorHAnsi"/>
          <w:sz w:val="24"/>
        </w:rPr>
      </w:pPr>
    </w:p>
    <w:p w14:paraId="7003786A" w14:textId="77777777" w:rsidR="00570972" w:rsidRPr="00A80807" w:rsidRDefault="00570972" w:rsidP="00CF357D">
      <w:pPr>
        <w:rPr>
          <w:rFonts w:asciiTheme="minorHAnsi" w:hAnsiTheme="minorHAnsi" w:cstheme="minorHAnsi"/>
          <w:sz w:val="24"/>
        </w:rPr>
      </w:pPr>
    </w:p>
    <w:p w14:paraId="502F6BB9" w14:textId="56145C5A" w:rsidR="00430FA5" w:rsidRPr="00A80807" w:rsidRDefault="00430FA5" w:rsidP="00C741D6">
      <w:pPr>
        <w:keepNext/>
        <w:tabs>
          <w:tab w:val="left" w:pos="1260"/>
          <w:tab w:val="left" w:pos="1701"/>
          <w:tab w:val="left" w:pos="2552"/>
          <w:tab w:val="left" w:pos="3240"/>
        </w:tabs>
        <w:rPr>
          <w:rFonts w:asciiTheme="minorHAnsi" w:hAnsiTheme="minorHAnsi" w:cstheme="minorHAnsi"/>
          <w:b/>
          <w:sz w:val="24"/>
        </w:rPr>
      </w:pPr>
      <w:r w:rsidRPr="00A80807">
        <w:rPr>
          <w:rFonts w:asciiTheme="minorHAnsi" w:hAnsiTheme="minorHAnsi" w:cstheme="minorHAnsi"/>
          <w:b/>
          <w:sz w:val="24"/>
        </w:rPr>
        <w:t>Seznam zkratek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212F38" w:rsidRPr="00A80807" w14:paraId="05A2927F" w14:textId="77777777" w:rsidTr="00053180">
        <w:tc>
          <w:tcPr>
            <w:tcW w:w="2943" w:type="dxa"/>
          </w:tcPr>
          <w:p w14:paraId="464483BB" w14:textId="77777777" w:rsidR="002D7113" w:rsidRPr="00A80807" w:rsidRDefault="00212F38" w:rsidP="00C741D6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API</w:t>
            </w:r>
          </w:p>
        </w:tc>
        <w:tc>
          <w:tcPr>
            <w:tcW w:w="6267" w:type="dxa"/>
          </w:tcPr>
          <w:p w14:paraId="4D7E6983" w14:textId="77777777" w:rsidR="00212F38" w:rsidRPr="00A80807" w:rsidRDefault="00212F38" w:rsidP="00570972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Agentura pro podnikání a inovace</w:t>
            </w:r>
          </w:p>
        </w:tc>
      </w:tr>
      <w:tr w:rsidR="00053180" w:rsidRPr="00A80807" w14:paraId="7CE80808" w14:textId="77777777" w:rsidTr="00053180">
        <w:tc>
          <w:tcPr>
            <w:tcW w:w="2943" w:type="dxa"/>
          </w:tcPr>
          <w:p w14:paraId="48DAC5B0" w14:textId="77777777" w:rsidR="00053180" w:rsidRPr="00A80807" w:rsidRDefault="00053180" w:rsidP="00C741D6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EU</w:t>
            </w:r>
          </w:p>
        </w:tc>
        <w:tc>
          <w:tcPr>
            <w:tcW w:w="6267" w:type="dxa"/>
          </w:tcPr>
          <w:p w14:paraId="0BDEC995" w14:textId="77777777" w:rsidR="00053180" w:rsidRPr="00A80807" w:rsidRDefault="00053180" w:rsidP="00570972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Evropská unie</w:t>
            </w:r>
          </w:p>
        </w:tc>
      </w:tr>
      <w:tr w:rsidR="00212F38" w:rsidRPr="00A80807" w14:paraId="6F235634" w14:textId="77777777" w:rsidTr="00053180">
        <w:tc>
          <w:tcPr>
            <w:tcW w:w="2943" w:type="dxa"/>
          </w:tcPr>
          <w:p w14:paraId="6C890FDE" w14:textId="77777777" w:rsidR="00212F38" w:rsidRPr="00A80807" w:rsidRDefault="00212F38" w:rsidP="00C741D6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MPO</w:t>
            </w:r>
          </w:p>
        </w:tc>
        <w:tc>
          <w:tcPr>
            <w:tcW w:w="6267" w:type="dxa"/>
          </w:tcPr>
          <w:p w14:paraId="6132A651" w14:textId="77777777" w:rsidR="00212F38" w:rsidRPr="00A80807" w:rsidRDefault="00212F38" w:rsidP="00570972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Ministerstvo průmyslu a obchodu</w:t>
            </w:r>
          </w:p>
        </w:tc>
      </w:tr>
      <w:tr w:rsidR="00212F38" w:rsidRPr="00A80807" w14:paraId="2F3C9189" w14:textId="77777777" w:rsidTr="00053180">
        <w:tc>
          <w:tcPr>
            <w:tcW w:w="2943" w:type="dxa"/>
          </w:tcPr>
          <w:p w14:paraId="39AEEE7E" w14:textId="77777777" w:rsidR="00212F38" w:rsidRPr="00A80807" w:rsidRDefault="00212F38" w:rsidP="00C741D6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CzechInvest</w:t>
            </w:r>
          </w:p>
        </w:tc>
        <w:tc>
          <w:tcPr>
            <w:tcW w:w="6267" w:type="dxa"/>
          </w:tcPr>
          <w:p w14:paraId="07003D4E" w14:textId="77777777" w:rsidR="00212F38" w:rsidRPr="00A80807" w:rsidRDefault="00212F38" w:rsidP="00570972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Agentura pro podporu podnikání a investic CzechInvest</w:t>
            </w:r>
          </w:p>
        </w:tc>
      </w:tr>
      <w:tr w:rsidR="00E8000D" w:rsidRPr="00A80807" w14:paraId="2F963870" w14:textId="77777777" w:rsidTr="00053180">
        <w:tc>
          <w:tcPr>
            <w:tcW w:w="2943" w:type="dxa"/>
          </w:tcPr>
          <w:p w14:paraId="41A7F116" w14:textId="77777777" w:rsidR="00E8000D" w:rsidRPr="00A80807" w:rsidRDefault="00E8000D" w:rsidP="00C741D6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ČR</w:t>
            </w:r>
          </w:p>
        </w:tc>
        <w:tc>
          <w:tcPr>
            <w:tcW w:w="6267" w:type="dxa"/>
          </w:tcPr>
          <w:p w14:paraId="62D8BB4C" w14:textId="77777777" w:rsidR="00E8000D" w:rsidRPr="00A80807" w:rsidRDefault="00E8000D" w:rsidP="00570972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Česká republika</w:t>
            </w:r>
          </w:p>
        </w:tc>
      </w:tr>
      <w:tr w:rsidR="00E8000D" w:rsidRPr="00A80807" w14:paraId="2D51124A" w14:textId="77777777" w:rsidTr="00053180">
        <w:tc>
          <w:tcPr>
            <w:tcW w:w="2943" w:type="dxa"/>
          </w:tcPr>
          <w:p w14:paraId="30FFF4C2" w14:textId="20615C4B" w:rsidR="00E8000D" w:rsidRPr="00A80807" w:rsidRDefault="00E8000D" w:rsidP="0001083F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Nemovitosti 2007–2013</w:t>
            </w:r>
          </w:p>
        </w:tc>
        <w:tc>
          <w:tcPr>
            <w:tcW w:w="6267" w:type="dxa"/>
          </w:tcPr>
          <w:p w14:paraId="665D88AC" w14:textId="44A6723D" w:rsidR="00E8000D" w:rsidRPr="00A80807" w:rsidRDefault="00A80807" w:rsidP="0001083F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program </w:t>
            </w:r>
            <w:r w:rsidRPr="00291D6C">
              <w:rPr>
                <w:rFonts w:asciiTheme="minorHAnsi" w:hAnsiTheme="minorHAnsi" w:cstheme="minorHAnsi"/>
                <w:i/>
                <w:sz w:val="24"/>
              </w:rPr>
              <w:t>Nemovitosti 2007–</w:t>
            </w:r>
            <w:r w:rsidR="00E8000D" w:rsidRPr="00291D6C">
              <w:rPr>
                <w:rFonts w:asciiTheme="minorHAnsi" w:hAnsiTheme="minorHAnsi" w:cstheme="minorHAnsi"/>
                <w:i/>
                <w:sz w:val="24"/>
              </w:rPr>
              <w:t>2013</w:t>
            </w:r>
            <w:r w:rsidR="00E8000D" w:rsidRPr="00A80807">
              <w:rPr>
                <w:rFonts w:asciiTheme="minorHAnsi" w:hAnsiTheme="minorHAnsi" w:cstheme="minorHAnsi"/>
                <w:sz w:val="24"/>
              </w:rPr>
              <w:t xml:space="preserve"> z </w:t>
            </w:r>
            <w:r w:rsidR="0001083F">
              <w:rPr>
                <w:rFonts w:asciiTheme="minorHAnsi" w:hAnsiTheme="minorHAnsi" w:cstheme="minorHAnsi"/>
                <w:sz w:val="24"/>
              </w:rPr>
              <w:t>o</w:t>
            </w:r>
            <w:r w:rsidR="00E8000D" w:rsidRPr="00A80807">
              <w:rPr>
                <w:rFonts w:asciiTheme="minorHAnsi" w:hAnsiTheme="minorHAnsi" w:cstheme="minorHAnsi"/>
                <w:sz w:val="24"/>
              </w:rPr>
              <w:t xml:space="preserve">peračního programu </w:t>
            </w:r>
            <w:r w:rsidR="0001083F" w:rsidRPr="00291D6C">
              <w:rPr>
                <w:rFonts w:asciiTheme="minorHAnsi" w:hAnsiTheme="minorHAnsi" w:cstheme="minorHAnsi"/>
                <w:i/>
                <w:sz w:val="24"/>
              </w:rPr>
              <w:t>P</w:t>
            </w:r>
            <w:r w:rsidR="00E8000D" w:rsidRPr="00291D6C">
              <w:rPr>
                <w:rFonts w:asciiTheme="minorHAnsi" w:hAnsiTheme="minorHAnsi" w:cstheme="minorHAnsi"/>
                <w:i/>
                <w:sz w:val="24"/>
              </w:rPr>
              <w:t>odnikání a inovace</w:t>
            </w:r>
          </w:p>
        </w:tc>
      </w:tr>
      <w:tr w:rsidR="00E8000D" w:rsidRPr="00A80807" w14:paraId="7E51E830" w14:textId="77777777" w:rsidTr="00053180">
        <w:tc>
          <w:tcPr>
            <w:tcW w:w="2943" w:type="dxa"/>
          </w:tcPr>
          <w:p w14:paraId="1A3778A0" w14:textId="0E3E26AA" w:rsidR="00E8000D" w:rsidRPr="00A80807" w:rsidRDefault="00E8000D" w:rsidP="0001083F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Nemovitosti 2014–2020</w:t>
            </w:r>
          </w:p>
        </w:tc>
        <w:tc>
          <w:tcPr>
            <w:tcW w:w="6267" w:type="dxa"/>
          </w:tcPr>
          <w:p w14:paraId="5D1B6080" w14:textId="6AA5E1F0" w:rsidR="00E8000D" w:rsidRPr="00A80807" w:rsidRDefault="00E8000D" w:rsidP="0001083F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 xml:space="preserve">program </w:t>
            </w:r>
            <w:r w:rsidRPr="00291D6C">
              <w:rPr>
                <w:rFonts w:asciiTheme="minorHAnsi" w:hAnsiTheme="minorHAnsi" w:cstheme="minorHAnsi"/>
                <w:i/>
                <w:sz w:val="24"/>
              </w:rPr>
              <w:t xml:space="preserve">Nemovitosti </w:t>
            </w:r>
            <w:r w:rsidRPr="00291D6C">
              <w:rPr>
                <w:rFonts w:asciiTheme="minorHAnsi" w:hAnsiTheme="minorHAnsi" w:cstheme="minorHAnsi"/>
                <w:i/>
                <w:color w:val="000000"/>
                <w:sz w:val="24"/>
              </w:rPr>
              <w:t>2014–2020</w:t>
            </w:r>
            <w:r w:rsidRPr="00A80807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A80807">
              <w:rPr>
                <w:rFonts w:asciiTheme="minorHAnsi" w:hAnsiTheme="minorHAnsi" w:cstheme="minorHAnsi"/>
                <w:sz w:val="24"/>
              </w:rPr>
              <w:t xml:space="preserve">z </w:t>
            </w:r>
            <w:r w:rsidR="0001083F">
              <w:rPr>
                <w:rFonts w:asciiTheme="minorHAnsi" w:hAnsiTheme="minorHAnsi" w:cstheme="minorHAnsi"/>
                <w:color w:val="000000"/>
                <w:sz w:val="24"/>
              </w:rPr>
              <w:t>o</w:t>
            </w:r>
            <w:r w:rsidRPr="00A80807">
              <w:rPr>
                <w:rFonts w:asciiTheme="minorHAnsi" w:hAnsiTheme="minorHAnsi" w:cstheme="minorHAnsi"/>
                <w:color w:val="000000"/>
                <w:sz w:val="24"/>
              </w:rPr>
              <w:t>peračního programu Podnikání a inovace pro</w:t>
            </w:r>
            <w:r w:rsidR="0090446B" w:rsidRPr="00A80807">
              <w:rPr>
                <w:rFonts w:asciiTheme="minorHAnsi" w:hAnsiTheme="minorHAnsi" w:cstheme="minorHAnsi"/>
                <w:color w:val="000000"/>
                <w:sz w:val="24"/>
              </w:rPr>
              <w:t xml:space="preserve"> konkurence</w:t>
            </w:r>
            <w:r w:rsidRPr="00A80807">
              <w:rPr>
                <w:rFonts w:asciiTheme="minorHAnsi" w:hAnsiTheme="minorHAnsi" w:cstheme="minorHAnsi"/>
                <w:color w:val="000000"/>
                <w:sz w:val="24"/>
              </w:rPr>
              <w:t>schopnost</w:t>
            </w:r>
          </w:p>
        </w:tc>
      </w:tr>
      <w:tr w:rsidR="00E8000D" w:rsidRPr="00A80807" w14:paraId="58671CE5" w14:textId="77777777" w:rsidTr="00053180">
        <w:tc>
          <w:tcPr>
            <w:tcW w:w="2943" w:type="dxa"/>
          </w:tcPr>
          <w:p w14:paraId="2745638A" w14:textId="77777777" w:rsidR="00E8000D" w:rsidRPr="00A80807" w:rsidRDefault="00E8000D" w:rsidP="00C741D6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NKÚ</w:t>
            </w:r>
          </w:p>
        </w:tc>
        <w:tc>
          <w:tcPr>
            <w:tcW w:w="6267" w:type="dxa"/>
          </w:tcPr>
          <w:p w14:paraId="2C086067" w14:textId="77777777" w:rsidR="00E8000D" w:rsidRPr="00A80807" w:rsidRDefault="00E8000D" w:rsidP="00570972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Nejvyšší kontrolní úřad</w:t>
            </w:r>
          </w:p>
        </w:tc>
      </w:tr>
      <w:tr w:rsidR="00E8000D" w:rsidRPr="00A80807" w14:paraId="21A2E86F" w14:textId="77777777" w:rsidTr="00053180">
        <w:tc>
          <w:tcPr>
            <w:tcW w:w="2943" w:type="dxa"/>
          </w:tcPr>
          <w:p w14:paraId="06CC4FFE" w14:textId="77777777" w:rsidR="00E8000D" w:rsidRPr="00A80807" w:rsidRDefault="00E8000D" w:rsidP="00C741D6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program 122D21</w:t>
            </w:r>
          </w:p>
        </w:tc>
        <w:tc>
          <w:tcPr>
            <w:tcW w:w="6267" w:type="dxa"/>
          </w:tcPr>
          <w:p w14:paraId="67256BBC" w14:textId="77777777" w:rsidR="00E8000D" w:rsidRPr="00A80807" w:rsidRDefault="00E8000D" w:rsidP="00570972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 xml:space="preserve">program </w:t>
            </w:r>
            <w:r w:rsidRPr="00291D6C">
              <w:rPr>
                <w:rFonts w:asciiTheme="minorHAnsi" w:hAnsiTheme="minorHAnsi" w:cstheme="minorHAnsi"/>
                <w:i/>
                <w:sz w:val="24"/>
              </w:rPr>
              <w:t>Regenerace a podnikatelské využití brownfieldů</w:t>
            </w:r>
          </w:p>
        </w:tc>
      </w:tr>
      <w:tr w:rsidR="00E8000D" w:rsidRPr="00A80807" w14:paraId="5255D635" w14:textId="77777777" w:rsidTr="00053180">
        <w:tc>
          <w:tcPr>
            <w:tcW w:w="2943" w:type="dxa"/>
          </w:tcPr>
          <w:p w14:paraId="01BBBBB3" w14:textId="77777777" w:rsidR="00E8000D" w:rsidRPr="00A80807" w:rsidRDefault="00E8000D" w:rsidP="00C741D6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program 222 230</w:t>
            </w:r>
          </w:p>
        </w:tc>
        <w:tc>
          <w:tcPr>
            <w:tcW w:w="6267" w:type="dxa"/>
          </w:tcPr>
          <w:p w14:paraId="1A1C7F8C" w14:textId="78D9B3C0" w:rsidR="00E8000D" w:rsidRPr="00A80807" w:rsidRDefault="00E8000D" w:rsidP="0001083F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 xml:space="preserve">program </w:t>
            </w:r>
            <w:r w:rsidRPr="00291D6C">
              <w:rPr>
                <w:rFonts w:asciiTheme="minorHAnsi" w:hAnsiTheme="minorHAnsi" w:cstheme="minorHAnsi"/>
                <w:i/>
                <w:sz w:val="24"/>
              </w:rPr>
              <w:t>Podpora podnikatelských nemovitostí a</w:t>
            </w:r>
            <w:r w:rsidR="0001083F" w:rsidRPr="00291D6C">
              <w:rPr>
                <w:rFonts w:asciiTheme="minorHAnsi" w:hAnsiTheme="minorHAnsi" w:cstheme="minorHAnsi"/>
                <w:i/>
                <w:sz w:val="24"/>
              </w:rPr>
              <w:t> </w:t>
            </w:r>
            <w:r w:rsidRPr="00291D6C">
              <w:rPr>
                <w:rFonts w:asciiTheme="minorHAnsi" w:hAnsiTheme="minorHAnsi" w:cstheme="minorHAnsi"/>
                <w:i/>
                <w:sz w:val="24"/>
              </w:rPr>
              <w:t>infrastruktury</w:t>
            </w:r>
          </w:p>
        </w:tc>
      </w:tr>
      <w:tr w:rsidR="00E8000D" w:rsidRPr="00A80807" w14:paraId="2418DBE5" w14:textId="77777777" w:rsidTr="00053180">
        <w:tc>
          <w:tcPr>
            <w:tcW w:w="2943" w:type="dxa"/>
          </w:tcPr>
          <w:p w14:paraId="42079083" w14:textId="77777777" w:rsidR="00E8000D" w:rsidRPr="00A80807" w:rsidRDefault="00E8000D" w:rsidP="00C741D6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program 322 050</w:t>
            </w:r>
          </w:p>
        </w:tc>
        <w:tc>
          <w:tcPr>
            <w:tcW w:w="6267" w:type="dxa"/>
          </w:tcPr>
          <w:p w14:paraId="373FC297" w14:textId="77777777" w:rsidR="00E8000D" w:rsidRPr="00291D6C" w:rsidRDefault="00E8000D" w:rsidP="00570972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291D6C">
              <w:rPr>
                <w:rFonts w:asciiTheme="minorHAnsi" w:hAnsiTheme="minorHAnsi" w:cstheme="minorHAnsi"/>
                <w:i/>
                <w:sz w:val="24"/>
              </w:rPr>
              <w:t>Program podpory rozvoje průmyslových zón</w:t>
            </w:r>
          </w:p>
        </w:tc>
      </w:tr>
      <w:tr w:rsidR="00053180" w:rsidRPr="00A80807" w14:paraId="4CDF5FF6" w14:textId="77777777" w:rsidTr="00053180">
        <w:tc>
          <w:tcPr>
            <w:tcW w:w="2943" w:type="dxa"/>
          </w:tcPr>
          <w:p w14:paraId="68B8AD24" w14:textId="77777777" w:rsidR="00053180" w:rsidRPr="00A80807" w:rsidRDefault="00053180" w:rsidP="00C741D6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ukončený program</w:t>
            </w:r>
          </w:p>
        </w:tc>
        <w:tc>
          <w:tcPr>
            <w:tcW w:w="6267" w:type="dxa"/>
          </w:tcPr>
          <w:p w14:paraId="0FD72CD3" w14:textId="77777777" w:rsidR="00053180" w:rsidRPr="00291D6C" w:rsidRDefault="00053180" w:rsidP="00570972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291D6C">
              <w:rPr>
                <w:rFonts w:asciiTheme="minorHAnsi" w:hAnsiTheme="minorHAnsi" w:cstheme="minorHAnsi"/>
                <w:i/>
                <w:sz w:val="24"/>
              </w:rPr>
              <w:t>Program podpory rozvoje průmyslových zón</w:t>
            </w:r>
          </w:p>
        </w:tc>
      </w:tr>
      <w:tr w:rsidR="00053180" w:rsidRPr="00A80807" w14:paraId="4DB91A81" w14:textId="77777777" w:rsidTr="00053180">
        <w:tc>
          <w:tcPr>
            <w:tcW w:w="2943" w:type="dxa"/>
          </w:tcPr>
          <w:p w14:paraId="30713AE2" w14:textId="77777777" w:rsidR="00053180" w:rsidRPr="00A80807" w:rsidRDefault="00053180" w:rsidP="00C741D6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>neukončený program</w:t>
            </w:r>
          </w:p>
        </w:tc>
        <w:tc>
          <w:tcPr>
            <w:tcW w:w="6267" w:type="dxa"/>
          </w:tcPr>
          <w:p w14:paraId="02ECB3C4" w14:textId="52D1C323" w:rsidR="00053180" w:rsidRPr="00A80807" w:rsidRDefault="00053180" w:rsidP="0001083F">
            <w:pPr>
              <w:keepNext/>
              <w:tabs>
                <w:tab w:val="left" w:pos="1260"/>
                <w:tab w:val="left" w:pos="1701"/>
                <w:tab w:val="left" w:pos="2552"/>
                <w:tab w:val="left" w:pos="3240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A80807">
              <w:rPr>
                <w:rFonts w:asciiTheme="minorHAnsi" w:hAnsiTheme="minorHAnsi" w:cstheme="minorHAnsi"/>
                <w:sz w:val="24"/>
              </w:rPr>
              <w:t xml:space="preserve">program </w:t>
            </w:r>
            <w:r w:rsidRPr="00291D6C">
              <w:rPr>
                <w:rFonts w:asciiTheme="minorHAnsi" w:hAnsiTheme="minorHAnsi" w:cstheme="minorHAnsi"/>
                <w:i/>
                <w:sz w:val="24"/>
              </w:rPr>
              <w:t>Podpora podnikatelských nemovitostí a</w:t>
            </w:r>
            <w:r w:rsidR="0001083F" w:rsidRPr="00291D6C">
              <w:rPr>
                <w:rFonts w:asciiTheme="minorHAnsi" w:hAnsiTheme="minorHAnsi" w:cstheme="minorHAnsi"/>
                <w:i/>
                <w:sz w:val="24"/>
              </w:rPr>
              <w:t> </w:t>
            </w:r>
            <w:r w:rsidRPr="00291D6C">
              <w:rPr>
                <w:rFonts w:asciiTheme="minorHAnsi" w:hAnsiTheme="minorHAnsi" w:cstheme="minorHAnsi"/>
                <w:i/>
                <w:sz w:val="24"/>
              </w:rPr>
              <w:t>infrastruktury</w:t>
            </w:r>
          </w:p>
        </w:tc>
      </w:tr>
    </w:tbl>
    <w:p w14:paraId="513A9876" w14:textId="77777777" w:rsidR="00C741D6" w:rsidRDefault="00C741D6" w:rsidP="00430FA5">
      <w:pPr>
        <w:tabs>
          <w:tab w:val="left" w:pos="1260"/>
          <w:tab w:val="left" w:pos="1701"/>
          <w:tab w:val="left" w:pos="2552"/>
          <w:tab w:val="left" w:pos="3240"/>
        </w:tabs>
        <w:rPr>
          <w:rFonts w:asciiTheme="minorHAnsi" w:hAnsiTheme="minorHAnsi" w:cstheme="minorHAnsi"/>
          <w:sz w:val="24"/>
        </w:rPr>
      </w:pPr>
    </w:p>
    <w:p w14:paraId="4FF7D04A" w14:textId="77777777" w:rsidR="00C741D6" w:rsidRDefault="00C741D6">
      <w:pPr>
        <w:spacing w:after="160" w:line="259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70FE9686" w14:textId="77777777" w:rsidR="00430FA5" w:rsidRPr="00C741D6" w:rsidRDefault="00C741D6" w:rsidP="00C741D6">
      <w:pPr>
        <w:jc w:val="right"/>
        <w:rPr>
          <w:rFonts w:asciiTheme="minorHAnsi" w:hAnsiTheme="minorHAnsi" w:cstheme="minorHAnsi"/>
          <w:b/>
          <w:sz w:val="24"/>
        </w:rPr>
      </w:pPr>
      <w:r w:rsidRPr="00C741D6">
        <w:rPr>
          <w:rFonts w:asciiTheme="minorHAnsi" w:hAnsiTheme="minorHAnsi" w:cstheme="minorHAnsi"/>
          <w:b/>
          <w:sz w:val="24"/>
        </w:rPr>
        <w:lastRenderedPageBreak/>
        <w:t>Příloha č. 1</w:t>
      </w:r>
    </w:p>
    <w:p w14:paraId="71E1853E" w14:textId="77777777" w:rsidR="00F80CF1" w:rsidRPr="0034029F" w:rsidRDefault="00F80CF1" w:rsidP="00F80CF1">
      <w:pPr>
        <w:jc w:val="center"/>
        <w:rPr>
          <w:rFonts w:ascii="Calibri" w:hAnsi="Calibri" w:cs="Calibri"/>
          <w:b/>
          <w:sz w:val="24"/>
        </w:rPr>
      </w:pPr>
      <w:r w:rsidRPr="0034029F">
        <w:rPr>
          <w:rFonts w:ascii="Calibri" w:hAnsi="Calibri" w:cs="Calibri"/>
          <w:b/>
          <w:sz w:val="24"/>
        </w:rPr>
        <w:t>KONTROLOVANÉ PROJEKTY</w:t>
      </w:r>
    </w:p>
    <w:p w14:paraId="73C19162" w14:textId="77777777" w:rsidR="00F80CF1" w:rsidRPr="0034029F" w:rsidRDefault="00F80CF1" w:rsidP="00F80CF1">
      <w:pPr>
        <w:rPr>
          <w:rFonts w:ascii="Calibri" w:hAnsi="Calibri" w:cs="Calibri"/>
          <w:sz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835"/>
        <w:gridCol w:w="1936"/>
      </w:tblGrid>
      <w:tr w:rsidR="00F80CF1" w:rsidRPr="00705086" w14:paraId="08A3EEF3" w14:textId="77777777" w:rsidTr="00C223AD">
        <w:trPr>
          <w:trHeight w:val="454"/>
          <w:jc w:val="center"/>
        </w:trPr>
        <w:tc>
          <w:tcPr>
            <w:tcW w:w="8848" w:type="dxa"/>
            <w:gridSpan w:val="3"/>
            <w:vAlign w:val="center"/>
          </w:tcPr>
          <w:p w14:paraId="63F3522A" w14:textId="37600E75" w:rsidR="00F80CF1" w:rsidRPr="00705086" w:rsidRDefault="0001083F" w:rsidP="005225EB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F80CF1" w:rsidRPr="00705086">
              <w:rPr>
                <w:rFonts w:ascii="Calibri" w:hAnsi="Calibri" w:cs="Calibri"/>
                <w:b/>
                <w:sz w:val="20"/>
                <w:szCs w:val="20"/>
              </w:rPr>
              <w:t>růmyslové zóny</w:t>
            </w:r>
          </w:p>
        </w:tc>
      </w:tr>
      <w:tr w:rsidR="00F80CF1" w:rsidRPr="00705086" w14:paraId="5DBBE25E" w14:textId="77777777" w:rsidTr="00C223AD">
        <w:trPr>
          <w:trHeight w:val="283"/>
          <w:jc w:val="center"/>
        </w:trPr>
        <w:tc>
          <w:tcPr>
            <w:tcW w:w="4077" w:type="dxa"/>
            <w:shd w:val="clear" w:color="auto" w:fill="E7E6E6" w:themeFill="background2"/>
            <w:vAlign w:val="center"/>
          </w:tcPr>
          <w:p w14:paraId="1412A404" w14:textId="7B176815" w:rsidR="00F80CF1" w:rsidRPr="00705086" w:rsidRDefault="0001083F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Č</w:t>
            </w:r>
            <w:r w:rsidR="00F80CF1" w:rsidRPr="00705086">
              <w:rPr>
                <w:rFonts w:ascii="Calibri" w:hAnsi="Calibri" w:cs="Calibri"/>
                <w:sz w:val="20"/>
                <w:szCs w:val="20"/>
              </w:rPr>
              <w:t xml:space="preserve">íslo projektu </w:t>
            </w:r>
            <w:r w:rsidR="00F80CF1" w:rsidRPr="00705086">
              <w:rPr>
                <w:rFonts w:ascii="Calibri" w:hAnsi="Calibri" w:cs="Calibri"/>
                <w:i/>
                <w:sz w:val="20"/>
                <w:szCs w:val="20"/>
              </w:rPr>
              <w:t>(název zóny)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A2AE8B9" w14:textId="4C00D5B4" w:rsidR="00F80CF1" w:rsidRPr="00705086" w:rsidRDefault="0001083F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F80CF1" w:rsidRPr="00705086">
              <w:rPr>
                <w:rFonts w:ascii="Calibri" w:hAnsi="Calibri" w:cs="Calibri"/>
                <w:sz w:val="20"/>
                <w:szCs w:val="20"/>
              </w:rPr>
              <w:t>říjemce podpory</w:t>
            </w:r>
          </w:p>
        </w:tc>
        <w:tc>
          <w:tcPr>
            <w:tcW w:w="1936" w:type="dxa"/>
            <w:shd w:val="clear" w:color="auto" w:fill="E7E6E6" w:themeFill="background2"/>
            <w:vAlign w:val="center"/>
          </w:tcPr>
          <w:p w14:paraId="4B2ECEAF" w14:textId="57133FC4" w:rsidR="00F80CF1" w:rsidRPr="00705086" w:rsidRDefault="0001083F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F80CF1" w:rsidRPr="00705086">
              <w:rPr>
                <w:rFonts w:ascii="Calibri" w:hAnsi="Calibri" w:cs="Calibri"/>
                <w:sz w:val="20"/>
                <w:szCs w:val="20"/>
              </w:rPr>
              <w:t>otace</w:t>
            </w:r>
          </w:p>
        </w:tc>
      </w:tr>
      <w:tr w:rsidR="00F80CF1" w:rsidRPr="00705086" w14:paraId="24D86F8E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0BE82557" w14:textId="56D8D15C" w:rsidR="00F80CF1" w:rsidRPr="00705086" w:rsidRDefault="00F80CF1" w:rsidP="0043682D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 xml:space="preserve">222D323000034 </w:t>
            </w:r>
            <w:r w:rsidRPr="00705086">
              <w:rPr>
                <w:rFonts w:ascii="Calibri" w:hAnsi="Calibri" w:cs="Calibri"/>
                <w:i/>
                <w:sz w:val="20"/>
                <w:szCs w:val="20"/>
              </w:rPr>
              <w:t>(zóna Vrchlabí-jih)</w:t>
            </w:r>
          </w:p>
        </w:tc>
        <w:tc>
          <w:tcPr>
            <w:tcW w:w="2835" w:type="dxa"/>
            <w:vAlign w:val="center"/>
          </w:tcPr>
          <w:p w14:paraId="63ED3160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Město Vrchlabí</w:t>
            </w:r>
          </w:p>
        </w:tc>
        <w:tc>
          <w:tcPr>
            <w:tcW w:w="1936" w:type="dxa"/>
            <w:vAlign w:val="center"/>
          </w:tcPr>
          <w:p w14:paraId="1D8C279D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122,288 mil. Kč</w:t>
            </w:r>
          </w:p>
        </w:tc>
      </w:tr>
      <w:tr w:rsidR="00F80CF1" w:rsidRPr="00705086" w14:paraId="77E79F17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1E3C52EF" w14:textId="1AA73EB2" w:rsidR="00F80CF1" w:rsidRPr="00705086" w:rsidRDefault="00F80CF1" w:rsidP="0043682D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222D232000001</w:t>
            </w:r>
            <w:r w:rsidRPr="00705086">
              <w:rPr>
                <w:rFonts w:ascii="Calibri" w:hAnsi="Calibri" w:cs="Calibri"/>
                <w:i/>
                <w:sz w:val="20"/>
                <w:szCs w:val="20"/>
              </w:rPr>
              <w:t>(zóna Solnice-Kvasiny)</w:t>
            </w:r>
          </w:p>
        </w:tc>
        <w:tc>
          <w:tcPr>
            <w:tcW w:w="2835" w:type="dxa"/>
            <w:vAlign w:val="center"/>
          </w:tcPr>
          <w:p w14:paraId="0B466515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Město Solnice</w:t>
            </w:r>
          </w:p>
        </w:tc>
        <w:tc>
          <w:tcPr>
            <w:tcW w:w="1936" w:type="dxa"/>
            <w:vAlign w:val="center"/>
          </w:tcPr>
          <w:p w14:paraId="26A08A55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370,058 mil. Kč</w:t>
            </w:r>
          </w:p>
        </w:tc>
      </w:tr>
      <w:tr w:rsidR="00F80CF1" w:rsidRPr="00705086" w14:paraId="17F46CB9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0BCF28C0" w14:textId="7845A9CA" w:rsidR="00F80CF1" w:rsidRPr="00705086" w:rsidRDefault="00F80CF1" w:rsidP="0043682D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 xml:space="preserve">222D232000021 </w:t>
            </w:r>
            <w:r w:rsidRPr="00705086">
              <w:rPr>
                <w:rFonts w:ascii="Calibri" w:hAnsi="Calibri" w:cs="Calibri"/>
                <w:i/>
                <w:sz w:val="20"/>
                <w:szCs w:val="20"/>
              </w:rPr>
              <w:t>(zóna Solnice-Kvasiny, infrastruktura)</w:t>
            </w:r>
          </w:p>
        </w:tc>
        <w:tc>
          <w:tcPr>
            <w:tcW w:w="2835" w:type="dxa"/>
            <w:vAlign w:val="center"/>
          </w:tcPr>
          <w:p w14:paraId="255AF6BD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Královéhradecký kraj</w:t>
            </w:r>
          </w:p>
        </w:tc>
        <w:tc>
          <w:tcPr>
            <w:tcW w:w="1936" w:type="dxa"/>
            <w:vAlign w:val="center"/>
          </w:tcPr>
          <w:p w14:paraId="2DB871D9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560,477 mil. Kč</w:t>
            </w:r>
          </w:p>
        </w:tc>
      </w:tr>
      <w:tr w:rsidR="00F80CF1" w:rsidRPr="00705086" w14:paraId="4E7E3149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16FBB559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 xml:space="preserve">222D232000014 </w:t>
            </w:r>
            <w:r w:rsidRPr="00705086">
              <w:rPr>
                <w:rFonts w:ascii="Calibri" w:hAnsi="Calibri" w:cs="Calibri"/>
                <w:i/>
                <w:sz w:val="20"/>
                <w:szCs w:val="20"/>
              </w:rPr>
              <w:t>(zóna Triangle, II. etapa)</w:t>
            </w:r>
          </w:p>
        </w:tc>
        <w:tc>
          <w:tcPr>
            <w:tcW w:w="2835" w:type="dxa"/>
            <w:vAlign w:val="center"/>
          </w:tcPr>
          <w:p w14:paraId="5168DD64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Ústecký kraj</w:t>
            </w:r>
          </w:p>
        </w:tc>
        <w:tc>
          <w:tcPr>
            <w:tcW w:w="1936" w:type="dxa"/>
            <w:vAlign w:val="center"/>
          </w:tcPr>
          <w:p w14:paraId="3F0218CC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1 272,539 mil. Kč</w:t>
            </w:r>
          </w:p>
        </w:tc>
      </w:tr>
      <w:tr w:rsidR="00F80CF1" w:rsidRPr="00705086" w14:paraId="517C2CC4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5A359BEE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 xml:space="preserve">222D232000044 </w:t>
            </w:r>
            <w:r w:rsidRPr="00705086">
              <w:rPr>
                <w:rFonts w:ascii="Calibri" w:hAnsi="Calibri" w:cs="Calibri"/>
                <w:i/>
                <w:sz w:val="20"/>
                <w:szCs w:val="20"/>
              </w:rPr>
              <w:t>(zóna Triangle, infrastruktura)</w:t>
            </w:r>
          </w:p>
        </w:tc>
        <w:tc>
          <w:tcPr>
            <w:tcW w:w="2835" w:type="dxa"/>
            <w:vAlign w:val="center"/>
          </w:tcPr>
          <w:p w14:paraId="55ABCE34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Ústecký kraj</w:t>
            </w:r>
          </w:p>
        </w:tc>
        <w:tc>
          <w:tcPr>
            <w:tcW w:w="1936" w:type="dxa"/>
            <w:vAlign w:val="center"/>
          </w:tcPr>
          <w:p w14:paraId="3B128B70" w14:textId="238FB168" w:rsidR="00F80CF1" w:rsidRPr="00705086" w:rsidRDefault="00F80CF1" w:rsidP="0043682D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24,561 mil. Kč</w:t>
            </w:r>
          </w:p>
        </w:tc>
      </w:tr>
      <w:tr w:rsidR="00F80CF1" w:rsidRPr="00705086" w14:paraId="16C73044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23CE3651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 xml:space="preserve">222D232000045 </w:t>
            </w:r>
            <w:r w:rsidRPr="00705086">
              <w:rPr>
                <w:rFonts w:ascii="Calibri" w:hAnsi="Calibri" w:cs="Calibri"/>
                <w:i/>
                <w:sz w:val="20"/>
                <w:szCs w:val="20"/>
              </w:rPr>
              <w:t>(zóna Bystřice nad Pernštejnem)</w:t>
            </w:r>
          </w:p>
        </w:tc>
        <w:tc>
          <w:tcPr>
            <w:tcW w:w="2835" w:type="dxa"/>
            <w:vAlign w:val="center"/>
          </w:tcPr>
          <w:p w14:paraId="39069678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Město Bystřice nad Pernštejnem</w:t>
            </w:r>
          </w:p>
        </w:tc>
        <w:tc>
          <w:tcPr>
            <w:tcW w:w="1936" w:type="dxa"/>
            <w:vAlign w:val="center"/>
          </w:tcPr>
          <w:p w14:paraId="4CC759A7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15,953 mil. Kč</w:t>
            </w:r>
          </w:p>
        </w:tc>
      </w:tr>
      <w:tr w:rsidR="00F80CF1" w:rsidRPr="00705086" w14:paraId="30C647DF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729356F3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 xml:space="preserve">222D232000013 </w:t>
            </w:r>
            <w:r w:rsidRPr="00705086">
              <w:rPr>
                <w:rFonts w:ascii="Calibri" w:hAnsi="Calibri" w:cs="Calibri"/>
                <w:i/>
                <w:sz w:val="20"/>
                <w:szCs w:val="20"/>
              </w:rPr>
              <w:t>(zóna Nošovice)</w:t>
            </w:r>
          </w:p>
        </w:tc>
        <w:tc>
          <w:tcPr>
            <w:tcW w:w="2835" w:type="dxa"/>
            <w:vAlign w:val="center"/>
          </w:tcPr>
          <w:p w14:paraId="197B959A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Moravskoslezský kraj</w:t>
            </w:r>
          </w:p>
        </w:tc>
        <w:tc>
          <w:tcPr>
            <w:tcW w:w="1936" w:type="dxa"/>
            <w:vAlign w:val="center"/>
          </w:tcPr>
          <w:p w14:paraId="3526E905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1 084,974 mil. Kč</w:t>
            </w:r>
          </w:p>
        </w:tc>
      </w:tr>
      <w:tr w:rsidR="00F80CF1" w:rsidRPr="00705086" w14:paraId="4DAA883E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41C014CC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 xml:space="preserve">222D232000019 </w:t>
            </w:r>
            <w:r w:rsidRPr="00705086">
              <w:rPr>
                <w:rFonts w:ascii="Calibri" w:hAnsi="Calibri" w:cs="Calibri"/>
                <w:i/>
                <w:sz w:val="20"/>
                <w:szCs w:val="20"/>
              </w:rPr>
              <w:t>(zóna Holešov)</w:t>
            </w:r>
          </w:p>
        </w:tc>
        <w:tc>
          <w:tcPr>
            <w:tcW w:w="2835" w:type="dxa"/>
            <w:vAlign w:val="center"/>
          </w:tcPr>
          <w:p w14:paraId="00EAA756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Zlínský kraj</w:t>
            </w:r>
          </w:p>
        </w:tc>
        <w:tc>
          <w:tcPr>
            <w:tcW w:w="1936" w:type="dxa"/>
            <w:vAlign w:val="center"/>
          </w:tcPr>
          <w:p w14:paraId="45223DD2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532,376 mil. Kč</w:t>
            </w:r>
          </w:p>
        </w:tc>
      </w:tr>
      <w:tr w:rsidR="00F80CF1" w:rsidRPr="00705086" w14:paraId="3C268800" w14:textId="77777777" w:rsidTr="00291D6C">
        <w:trPr>
          <w:trHeight w:val="283"/>
          <w:jc w:val="center"/>
        </w:trPr>
        <w:tc>
          <w:tcPr>
            <w:tcW w:w="6912" w:type="dxa"/>
            <w:gridSpan w:val="2"/>
            <w:vAlign w:val="center"/>
          </w:tcPr>
          <w:p w14:paraId="2239877F" w14:textId="5A95A28B" w:rsidR="00F80CF1" w:rsidRPr="00291D6C" w:rsidRDefault="0043682D" w:rsidP="00291D6C">
            <w:pPr>
              <w:spacing w:before="20" w:after="2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91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</w:t>
            </w:r>
            <w:r w:rsidR="00F80CF1" w:rsidRPr="00291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elkem</w:t>
            </w:r>
          </w:p>
        </w:tc>
        <w:tc>
          <w:tcPr>
            <w:tcW w:w="1936" w:type="dxa"/>
            <w:vAlign w:val="center"/>
          </w:tcPr>
          <w:p w14:paraId="140FC5DE" w14:textId="77777777" w:rsidR="00F80CF1" w:rsidRPr="00291D6C" w:rsidRDefault="00F80CF1" w:rsidP="005225EB">
            <w:pPr>
              <w:spacing w:before="20" w:after="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291D6C">
              <w:rPr>
                <w:rFonts w:ascii="Calibri" w:hAnsi="Calibri" w:cs="Calibri"/>
                <w:b/>
                <w:sz w:val="20"/>
                <w:szCs w:val="20"/>
              </w:rPr>
              <w:t>3 983,226 mil. Kč</w:t>
            </w:r>
          </w:p>
        </w:tc>
      </w:tr>
      <w:tr w:rsidR="00F80CF1" w:rsidRPr="00705086" w14:paraId="7C12A2A3" w14:textId="77777777" w:rsidTr="00C223AD">
        <w:trPr>
          <w:trHeight w:val="454"/>
          <w:jc w:val="center"/>
        </w:trPr>
        <w:tc>
          <w:tcPr>
            <w:tcW w:w="8848" w:type="dxa"/>
            <w:gridSpan w:val="3"/>
            <w:vAlign w:val="center"/>
          </w:tcPr>
          <w:p w14:paraId="2D3C443D" w14:textId="39899E71" w:rsidR="00F80CF1" w:rsidRPr="00705086" w:rsidRDefault="0043682D" w:rsidP="005225EB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F80CF1" w:rsidRPr="00705086">
              <w:rPr>
                <w:rFonts w:ascii="Calibri" w:hAnsi="Calibri" w:cs="Calibri"/>
                <w:b/>
                <w:sz w:val="20"/>
                <w:szCs w:val="20"/>
              </w:rPr>
              <w:t>odpora malých a středních podniků</w:t>
            </w:r>
          </w:p>
        </w:tc>
      </w:tr>
      <w:tr w:rsidR="00F80CF1" w:rsidRPr="00705086" w14:paraId="50B273D0" w14:textId="77777777" w:rsidTr="00C223AD">
        <w:trPr>
          <w:trHeight w:val="283"/>
          <w:jc w:val="center"/>
        </w:trPr>
        <w:tc>
          <w:tcPr>
            <w:tcW w:w="4077" w:type="dxa"/>
            <w:shd w:val="clear" w:color="auto" w:fill="E7E6E6" w:themeFill="background2"/>
            <w:vAlign w:val="center"/>
          </w:tcPr>
          <w:p w14:paraId="71F6362E" w14:textId="6F9016C3" w:rsidR="00F80CF1" w:rsidRPr="00705086" w:rsidRDefault="0043682D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Č</w:t>
            </w:r>
            <w:r w:rsidR="00F80CF1" w:rsidRPr="00705086">
              <w:rPr>
                <w:rFonts w:ascii="Calibri" w:hAnsi="Calibri" w:cs="Calibri"/>
                <w:sz w:val="20"/>
                <w:szCs w:val="20"/>
              </w:rPr>
              <w:t>íslo projektu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D89835E" w14:textId="05C61C26" w:rsidR="00F80CF1" w:rsidRPr="00705086" w:rsidRDefault="0043682D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F80CF1" w:rsidRPr="00705086">
              <w:rPr>
                <w:rFonts w:ascii="Calibri" w:hAnsi="Calibri" w:cs="Calibri"/>
                <w:sz w:val="20"/>
                <w:szCs w:val="20"/>
              </w:rPr>
              <w:t>říjemce podpory</w:t>
            </w:r>
          </w:p>
        </w:tc>
        <w:tc>
          <w:tcPr>
            <w:tcW w:w="1936" w:type="dxa"/>
            <w:shd w:val="clear" w:color="auto" w:fill="E7E6E6" w:themeFill="background2"/>
            <w:vAlign w:val="center"/>
          </w:tcPr>
          <w:p w14:paraId="6F815BFA" w14:textId="1C328119" w:rsidR="00F80CF1" w:rsidRPr="00705086" w:rsidRDefault="0043682D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F80CF1" w:rsidRPr="00705086">
              <w:rPr>
                <w:rFonts w:ascii="Calibri" w:hAnsi="Calibri" w:cs="Calibri"/>
                <w:sz w:val="20"/>
                <w:szCs w:val="20"/>
              </w:rPr>
              <w:t>otace</w:t>
            </w:r>
          </w:p>
        </w:tc>
      </w:tr>
      <w:tr w:rsidR="00F80CF1" w:rsidRPr="00705086" w14:paraId="5F13B501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6911E547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CZ.01.2.07/0.0/0.0/15_004/0000315</w:t>
            </w:r>
          </w:p>
        </w:tc>
        <w:tc>
          <w:tcPr>
            <w:tcW w:w="2835" w:type="dxa"/>
            <w:vAlign w:val="center"/>
          </w:tcPr>
          <w:p w14:paraId="6E95B227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Ševčík HYDRO s.r.o.</w:t>
            </w:r>
          </w:p>
        </w:tc>
        <w:tc>
          <w:tcPr>
            <w:tcW w:w="1936" w:type="dxa"/>
            <w:vAlign w:val="center"/>
          </w:tcPr>
          <w:p w14:paraId="7FE06871" w14:textId="588F64C3" w:rsidR="00F80CF1" w:rsidRPr="00705086" w:rsidRDefault="00F80CF1" w:rsidP="0043682D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12,555 mil. Kč</w:t>
            </w:r>
          </w:p>
        </w:tc>
      </w:tr>
      <w:tr w:rsidR="00F80CF1" w:rsidRPr="00705086" w14:paraId="0B3B24E7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1213CE3E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CZ.01.2.07/0.0/0.0/15_004/0000509</w:t>
            </w:r>
          </w:p>
        </w:tc>
        <w:tc>
          <w:tcPr>
            <w:tcW w:w="2835" w:type="dxa"/>
            <w:vAlign w:val="center"/>
          </w:tcPr>
          <w:p w14:paraId="1CDBE310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ZEBR s.r.o.</w:t>
            </w:r>
          </w:p>
        </w:tc>
        <w:tc>
          <w:tcPr>
            <w:tcW w:w="1936" w:type="dxa"/>
            <w:vAlign w:val="center"/>
          </w:tcPr>
          <w:p w14:paraId="3AA29BAE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6,975 mil. Kč</w:t>
            </w:r>
          </w:p>
        </w:tc>
      </w:tr>
      <w:tr w:rsidR="00F80CF1" w:rsidRPr="00705086" w14:paraId="60D59B4A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7703585A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CZ.01.2.07/0.0/0.0/15_004/0000712</w:t>
            </w:r>
          </w:p>
        </w:tc>
        <w:tc>
          <w:tcPr>
            <w:tcW w:w="2835" w:type="dxa"/>
            <w:vAlign w:val="center"/>
          </w:tcPr>
          <w:p w14:paraId="56617BDD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EGO Zlín, spol. s r.o.</w:t>
            </w:r>
          </w:p>
        </w:tc>
        <w:tc>
          <w:tcPr>
            <w:tcW w:w="1936" w:type="dxa"/>
            <w:vAlign w:val="center"/>
          </w:tcPr>
          <w:p w14:paraId="74D9C132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6,781 mil. Kč</w:t>
            </w:r>
          </w:p>
        </w:tc>
      </w:tr>
      <w:tr w:rsidR="00F80CF1" w:rsidRPr="00705086" w14:paraId="0AF88139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7DB35719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CZ.01.2.07/0.0/0.0/15_004/0000758</w:t>
            </w:r>
          </w:p>
        </w:tc>
        <w:tc>
          <w:tcPr>
            <w:tcW w:w="2835" w:type="dxa"/>
            <w:vAlign w:val="center"/>
          </w:tcPr>
          <w:p w14:paraId="64214587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Kovo Staněk, s.r.o.</w:t>
            </w:r>
          </w:p>
        </w:tc>
        <w:tc>
          <w:tcPr>
            <w:tcW w:w="1936" w:type="dxa"/>
            <w:vAlign w:val="center"/>
          </w:tcPr>
          <w:p w14:paraId="6B75382A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12,752 mil. Kč</w:t>
            </w:r>
          </w:p>
        </w:tc>
      </w:tr>
      <w:tr w:rsidR="00F80CF1" w:rsidRPr="00705086" w14:paraId="0A5424A1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7A8212CA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CZ.01.2.07/0.0/0.0/15_004/0000790</w:t>
            </w:r>
          </w:p>
        </w:tc>
        <w:tc>
          <w:tcPr>
            <w:tcW w:w="2835" w:type="dxa"/>
            <w:vAlign w:val="center"/>
          </w:tcPr>
          <w:p w14:paraId="6B17BA3A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MONTEMA, spol. s r.o.</w:t>
            </w:r>
          </w:p>
        </w:tc>
        <w:tc>
          <w:tcPr>
            <w:tcW w:w="1936" w:type="dxa"/>
            <w:vAlign w:val="center"/>
          </w:tcPr>
          <w:p w14:paraId="0850442D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15,374 mil. Kč</w:t>
            </w:r>
          </w:p>
        </w:tc>
      </w:tr>
      <w:tr w:rsidR="00F80CF1" w:rsidRPr="00705086" w14:paraId="6C119F0E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590DE364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CZ.01.2.07/0.0/0.0/15_004/0000837</w:t>
            </w:r>
          </w:p>
        </w:tc>
        <w:tc>
          <w:tcPr>
            <w:tcW w:w="2835" w:type="dxa"/>
            <w:vAlign w:val="center"/>
          </w:tcPr>
          <w:p w14:paraId="04D9684C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T M T spol. s r.o. Chrudim</w:t>
            </w:r>
          </w:p>
        </w:tc>
        <w:tc>
          <w:tcPr>
            <w:tcW w:w="1936" w:type="dxa"/>
            <w:vAlign w:val="center"/>
          </w:tcPr>
          <w:p w14:paraId="2382CD7B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7,905 mil. Kč</w:t>
            </w:r>
          </w:p>
        </w:tc>
      </w:tr>
      <w:tr w:rsidR="00F80CF1" w:rsidRPr="00705086" w14:paraId="76FCED02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7B0FBED7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CZ.01.2.07/0.0/0.0/15_004/0000916</w:t>
            </w:r>
          </w:p>
        </w:tc>
        <w:tc>
          <w:tcPr>
            <w:tcW w:w="2835" w:type="dxa"/>
            <w:vAlign w:val="center"/>
          </w:tcPr>
          <w:p w14:paraId="26192788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ROMEX s.r.o.</w:t>
            </w:r>
          </w:p>
        </w:tc>
        <w:tc>
          <w:tcPr>
            <w:tcW w:w="1936" w:type="dxa"/>
            <w:vAlign w:val="center"/>
          </w:tcPr>
          <w:p w14:paraId="2E0E55C3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17,177 mil. Kč</w:t>
            </w:r>
          </w:p>
        </w:tc>
      </w:tr>
      <w:tr w:rsidR="00F80CF1" w:rsidRPr="00705086" w14:paraId="47FDCBCD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601D5764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CZ.01.2.07/0.0/0.0/15_004/0001276</w:t>
            </w:r>
          </w:p>
        </w:tc>
        <w:tc>
          <w:tcPr>
            <w:tcW w:w="2835" w:type="dxa"/>
            <w:vAlign w:val="center"/>
          </w:tcPr>
          <w:p w14:paraId="60AE864C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VODA CZ s.r.o.</w:t>
            </w:r>
          </w:p>
        </w:tc>
        <w:tc>
          <w:tcPr>
            <w:tcW w:w="1936" w:type="dxa"/>
            <w:vAlign w:val="center"/>
          </w:tcPr>
          <w:p w14:paraId="2262EBD3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12,186 mil. Kč</w:t>
            </w:r>
          </w:p>
        </w:tc>
      </w:tr>
      <w:tr w:rsidR="00F80CF1" w:rsidRPr="00705086" w14:paraId="7D0490DE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6E80629E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CZ.01.2.07/0.0/0.0/15_004/0001933</w:t>
            </w:r>
          </w:p>
        </w:tc>
        <w:tc>
          <w:tcPr>
            <w:tcW w:w="2835" w:type="dxa"/>
            <w:vAlign w:val="center"/>
          </w:tcPr>
          <w:p w14:paraId="4E543DDC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OBALIA, s.r.o.</w:t>
            </w:r>
          </w:p>
        </w:tc>
        <w:tc>
          <w:tcPr>
            <w:tcW w:w="1936" w:type="dxa"/>
            <w:vAlign w:val="center"/>
          </w:tcPr>
          <w:p w14:paraId="10D60182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6,819 mil. Kč</w:t>
            </w:r>
          </w:p>
        </w:tc>
      </w:tr>
      <w:tr w:rsidR="00F80CF1" w:rsidRPr="00705086" w14:paraId="6D603F00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3336A124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CZ.01.2.07/0.0/0.0/15_004/0003034</w:t>
            </w:r>
          </w:p>
        </w:tc>
        <w:tc>
          <w:tcPr>
            <w:tcW w:w="2835" w:type="dxa"/>
            <w:vAlign w:val="center"/>
          </w:tcPr>
          <w:p w14:paraId="51D0ABBB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PLATINUM NATURAL s. r. o.</w:t>
            </w:r>
          </w:p>
        </w:tc>
        <w:tc>
          <w:tcPr>
            <w:tcW w:w="1936" w:type="dxa"/>
            <w:vAlign w:val="center"/>
          </w:tcPr>
          <w:p w14:paraId="4D5913FA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11,269 mil. Kč</w:t>
            </w:r>
          </w:p>
        </w:tc>
      </w:tr>
      <w:tr w:rsidR="00F80CF1" w:rsidRPr="00705086" w14:paraId="4D7930D5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205DD365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CZ.01.2.07/0.0/0.0/15_004/0003857</w:t>
            </w:r>
          </w:p>
        </w:tc>
        <w:tc>
          <w:tcPr>
            <w:tcW w:w="2835" w:type="dxa"/>
            <w:vAlign w:val="center"/>
          </w:tcPr>
          <w:p w14:paraId="4A838EDA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fa HAKIM s.r.o.</w:t>
            </w:r>
          </w:p>
        </w:tc>
        <w:tc>
          <w:tcPr>
            <w:tcW w:w="1936" w:type="dxa"/>
            <w:vAlign w:val="center"/>
          </w:tcPr>
          <w:p w14:paraId="340C0DC6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3,658 mil. Kč</w:t>
            </w:r>
          </w:p>
        </w:tc>
      </w:tr>
      <w:tr w:rsidR="00F80CF1" w:rsidRPr="00705086" w14:paraId="0AD555E6" w14:textId="77777777" w:rsidTr="00C223AD">
        <w:trPr>
          <w:trHeight w:val="283"/>
          <w:jc w:val="center"/>
        </w:trPr>
        <w:tc>
          <w:tcPr>
            <w:tcW w:w="4077" w:type="dxa"/>
            <w:vAlign w:val="center"/>
          </w:tcPr>
          <w:p w14:paraId="3D53354B" w14:textId="77777777" w:rsidR="00F80CF1" w:rsidRPr="00705086" w:rsidRDefault="00F80CF1" w:rsidP="005225EB">
            <w:pPr>
              <w:spacing w:before="20" w:after="2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5086">
              <w:rPr>
                <w:rFonts w:ascii="Calibri" w:hAnsi="Calibri" w:cs="Calibri"/>
                <w:color w:val="000000"/>
                <w:sz w:val="20"/>
                <w:szCs w:val="20"/>
              </w:rPr>
              <w:t>CZ.01.2.07/0.0/0.0/16_058/0007867</w:t>
            </w:r>
          </w:p>
        </w:tc>
        <w:tc>
          <w:tcPr>
            <w:tcW w:w="2835" w:type="dxa"/>
            <w:vAlign w:val="center"/>
          </w:tcPr>
          <w:p w14:paraId="3C3056E3" w14:textId="77777777" w:rsidR="00F80CF1" w:rsidRPr="00705086" w:rsidRDefault="00F80CF1" w:rsidP="005225EB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RH-Tech s.r.o.</w:t>
            </w:r>
          </w:p>
        </w:tc>
        <w:tc>
          <w:tcPr>
            <w:tcW w:w="1936" w:type="dxa"/>
            <w:vAlign w:val="center"/>
          </w:tcPr>
          <w:p w14:paraId="258217BC" w14:textId="77777777" w:rsidR="00F80CF1" w:rsidRPr="00705086" w:rsidRDefault="00F80CF1" w:rsidP="005225EB">
            <w:pPr>
              <w:spacing w:before="20" w:after="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5086">
              <w:rPr>
                <w:rFonts w:ascii="Calibri" w:hAnsi="Calibri" w:cs="Calibri"/>
                <w:sz w:val="20"/>
                <w:szCs w:val="20"/>
              </w:rPr>
              <w:t>3,919 mil. Kč</w:t>
            </w:r>
          </w:p>
        </w:tc>
      </w:tr>
      <w:tr w:rsidR="00F80CF1" w:rsidRPr="00705086" w14:paraId="055D7ADF" w14:textId="77777777" w:rsidTr="00291D6C">
        <w:trPr>
          <w:trHeight w:val="283"/>
          <w:jc w:val="center"/>
        </w:trPr>
        <w:tc>
          <w:tcPr>
            <w:tcW w:w="6912" w:type="dxa"/>
            <w:gridSpan w:val="2"/>
            <w:vAlign w:val="center"/>
          </w:tcPr>
          <w:p w14:paraId="354D20C9" w14:textId="10196E06" w:rsidR="00F80CF1" w:rsidRPr="00291D6C" w:rsidRDefault="0043682D" w:rsidP="00291D6C">
            <w:pPr>
              <w:spacing w:before="20" w:after="2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91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</w:t>
            </w:r>
            <w:r w:rsidR="00F80CF1" w:rsidRPr="00291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elkem</w:t>
            </w:r>
          </w:p>
        </w:tc>
        <w:tc>
          <w:tcPr>
            <w:tcW w:w="1936" w:type="dxa"/>
            <w:vAlign w:val="center"/>
          </w:tcPr>
          <w:p w14:paraId="6AEF9CC1" w14:textId="77777777" w:rsidR="00F80CF1" w:rsidRPr="00291D6C" w:rsidRDefault="00F80CF1" w:rsidP="005225EB">
            <w:pPr>
              <w:spacing w:before="20" w:after="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291D6C">
              <w:rPr>
                <w:rFonts w:ascii="Calibri" w:hAnsi="Calibri" w:cs="Calibri"/>
                <w:b/>
                <w:sz w:val="20"/>
                <w:szCs w:val="20"/>
              </w:rPr>
              <w:t>117,370 mil. Kč</w:t>
            </w:r>
          </w:p>
        </w:tc>
      </w:tr>
    </w:tbl>
    <w:p w14:paraId="6E3F8012" w14:textId="77777777" w:rsidR="00F80CF1" w:rsidRPr="0034029F" w:rsidRDefault="00F80CF1" w:rsidP="00F80CF1">
      <w:pPr>
        <w:rPr>
          <w:rFonts w:ascii="Calibri" w:hAnsi="Calibri" w:cs="Calibri"/>
          <w:sz w:val="24"/>
        </w:rPr>
      </w:pPr>
    </w:p>
    <w:p w14:paraId="1521222F" w14:textId="77777777" w:rsidR="00F80CF1" w:rsidRDefault="00F80CF1" w:rsidP="00F80CF1">
      <w:pPr>
        <w:spacing w:after="160" w:line="259" w:lineRule="auto"/>
        <w:jc w:val="left"/>
        <w:rPr>
          <w:rFonts w:ascii="Calibri" w:hAnsi="Calibri" w:cs="Calibri"/>
          <w:sz w:val="24"/>
        </w:rPr>
      </w:pPr>
    </w:p>
    <w:p w14:paraId="3329316D" w14:textId="77777777" w:rsidR="00F80CF1" w:rsidRDefault="00F80CF1" w:rsidP="00430FA5">
      <w:pPr>
        <w:tabs>
          <w:tab w:val="left" w:pos="1260"/>
          <w:tab w:val="left" w:pos="1701"/>
          <w:tab w:val="left" w:pos="2552"/>
          <w:tab w:val="left" w:pos="3240"/>
        </w:tabs>
        <w:rPr>
          <w:rFonts w:asciiTheme="minorHAnsi" w:hAnsiTheme="minorHAnsi" w:cstheme="minorHAnsi"/>
          <w:sz w:val="24"/>
        </w:rPr>
        <w:sectPr w:rsidR="00F80CF1" w:rsidSect="00212F3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E59FFF5" w14:textId="77777777" w:rsidR="00C741D6" w:rsidRDefault="00F80CF1" w:rsidP="00F80CF1">
      <w:pPr>
        <w:jc w:val="righ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Příloha č. 2</w:t>
      </w:r>
    </w:p>
    <w:p w14:paraId="6DBD4047" w14:textId="77777777" w:rsidR="00F80CF1" w:rsidRPr="00F80CF1" w:rsidRDefault="002F3A8A" w:rsidP="003C486E">
      <w:pPr>
        <w:tabs>
          <w:tab w:val="left" w:pos="1260"/>
          <w:tab w:val="left" w:pos="1701"/>
          <w:tab w:val="left" w:pos="2552"/>
          <w:tab w:val="left" w:pos="3240"/>
        </w:tabs>
        <w:jc w:val="center"/>
        <w:rPr>
          <w:rFonts w:asciiTheme="minorHAnsi" w:hAnsiTheme="minorHAnsi" w:cstheme="minorHAnsi"/>
          <w:sz w:val="24"/>
        </w:rPr>
      </w:pPr>
      <w:r w:rsidRPr="002F3A8A">
        <w:rPr>
          <w:rFonts w:asciiTheme="minorHAnsi" w:hAnsiTheme="minorHAnsi" w:cstheme="minorHAnsi"/>
          <w:noProof/>
          <w:sz w:val="24"/>
          <w:lang w:eastAsia="cs-CZ"/>
        </w:rPr>
        <w:drawing>
          <wp:inline distT="0" distB="0" distL="0" distR="0" wp14:anchorId="7D60C5E5" wp14:editId="0494E76B">
            <wp:extent cx="7884239" cy="5400000"/>
            <wp:effectExtent l="0" t="0" r="2540" b="0"/>
            <wp:docPr id="7" name="Obrázek 7" descr="C:\Users\ZUZANKOVA\AppData\Local\Microsoft\Windows\INetCache\Content.Outlook\KIJJUZG8\20180927_2 příloha č.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ZANKOVA\AppData\Local\Microsoft\Windows\INetCache\Content.Outlook\KIJJUZG8\20180927_2 příloha č. 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23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F80CF1" w:rsidRPr="00F80CF1" w:rsidSect="00F80CF1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DFB1" w14:textId="77777777" w:rsidR="00A255E9" w:rsidRDefault="00A255E9" w:rsidP="004F5D7D">
      <w:r>
        <w:separator/>
      </w:r>
    </w:p>
  </w:endnote>
  <w:endnote w:type="continuationSeparator" w:id="0">
    <w:p w14:paraId="3CF8E355" w14:textId="77777777" w:rsidR="00A255E9" w:rsidRDefault="00A255E9" w:rsidP="004F5D7D">
      <w:r>
        <w:continuationSeparator/>
      </w:r>
    </w:p>
  </w:endnote>
  <w:endnote w:type="continuationNotice" w:id="1">
    <w:p w14:paraId="234B9E7B" w14:textId="77777777" w:rsidR="004A1A91" w:rsidRDefault="004A1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FCHLL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B6662" w14:textId="77777777" w:rsidR="006F6405" w:rsidRDefault="006F64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3166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</w:rPr>
    </w:sdtEndPr>
    <w:sdtContent>
      <w:p w14:paraId="3D6B29FD" w14:textId="7F7FBD9B" w:rsidR="00A255E9" w:rsidRPr="00B44493" w:rsidRDefault="00A255E9" w:rsidP="00B44493">
        <w:pPr>
          <w:pStyle w:val="Zpat"/>
          <w:jc w:val="center"/>
          <w:rPr>
            <w:rFonts w:ascii="Calibri" w:hAnsi="Calibri" w:cs="Calibri"/>
            <w:sz w:val="24"/>
          </w:rPr>
        </w:pPr>
        <w:r w:rsidRPr="00B44493">
          <w:rPr>
            <w:rFonts w:ascii="Calibri" w:hAnsi="Calibri" w:cs="Calibri"/>
            <w:sz w:val="24"/>
          </w:rPr>
          <w:fldChar w:fldCharType="begin"/>
        </w:r>
        <w:r w:rsidRPr="00B44493">
          <w:rPr>
            <w:rFonts w:ascii="Calibri" w:hAnsi="Calibri" w:cs="Calibri"/>
            <w:sz w:val="24"/>
          </w:rPr>
          <w:instrText>PAGE   \* MERGEFORMAT</w:instrText>
        </w:r>
        <w:r w:rsidRPr="00B44493">
          <w:rPr>
            <w:rFonts w:ascii="Calibri" w:hAnsi="Calibri" w:cs="Calibri"/>
            <w:sz w:val="24"/>
          </w:rPr>
          <w:fldChar w:fldCharType="separate"/>
        </w:r>
        <w:r w:rsidR="008B79BE">
          <w:rPr>
            <w:rFonts w:ascii="Calibri" w:hAnsi="Calibri" w:cs="Calibri"/>
            <w:noProof/>
            <w:sz w:val="24"/>
          </w:rPr>
          <w:t>17</w:t>
        </w:r>
        <w:r w:rsidRPr="00B44493">
          <w:rPr>
            <w:rFonts w:ascii="Calibri" w:hAnsi="Calibri" w:cs="Calibri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289B" w14:textId="77777777" w:rsidR="006F6405" w:rsidRDefault="006F64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8CCC" w14:textId="77777777" w:rsidR="00A255E9" w:rsidRDefault="00A255E9" w:rsidP="004F5D7D">
      <w:r>
        <w:separator/>
      </w:r>
    </w:p>
  </w:footnote>
  <w:footnote w:type="continuationSeparator" w:id="0">
    <w:p w14:paraId="5929C167" w14:textId="77777777" w:rsidR="00A255E9" w:rsidRDefault="00A255E9" w:rsidP="004F5D7D">
      <w:r>
        <w:continuationSeparator/>
      </w:r>
    </w:p>
  </w:footnote>
  <w:footnote w:type="continuationNotice" w:id="1">
    <w:p w14:paraId="63666B6A" w14:textId="77777777" w:rsidR="004A1A91" w:rsidRDefault="004A1A91"/>
  </w:footnote>
  <w:footnote w:id="2">
    <w:p w14:paraId="6AD992A2" w14:textId="350F71B6" w:rsidR="00A255E9" w:rsidRPr="007E1F58" w:rsidRDefault="00A255E9" w:rsidP="00B44493">
      <w:pPr>
        <w:pStyle w:val="Defaul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F0499D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F049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F0499D">
        <w:rPr>
          <w:rFonts w:asciiTheme="minorHAnsi" w:hAnsiTheme="minorHAnsi" w:cstheme="minorHAnsi"/>
          <w:sz w:val="20"/>
          <w:szCs w:val="20"/>
          <w:lang w:val="cs-CZ"/>
        </w:rPr>
        <w:t>Kontrolní akce č. 03/31</w:t>
      </w:r>
      <w:r>
        <w:rPr>
          <w:rFonts w:asciiTheme="minorHAnsi" w:hAnsiTheme="minorHAnsi" w:cstheme="minorHAnsi"/>
          <w:sz w:val="20"/>
          <w:szCs w:val="20"/>
          <w:lang w:val="cs-CZ"/>
        </w:rPr>
        <w:t> –</w:t>
      </w:r>
      <w:r w:rsidRPr="00F0499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5F77C5">
        <w:rPr>
          <w:rFonts w:asciiTheme="minorHAnsi" w:hAnsiTheme="minorHAnsi" w:cstheme="minorHAnsi"/>
          <w:i/>
          <w:sz w:val="20"/>
          <w:szCs w:val="20"/>
          <w:lang w:val="cs-CZ"/>
        </w:rPr>
        <w:t>Prostředky státního rozpočtu poskytované na zainvestování průmyslových zón</w:t>
      </w:r>
      <w:r w:rsidRPr="00F0499D"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F0499D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kterou NKÚ provedl v období od listopadu 2003 do března 2004, kontrolní závěr</w:t>
      </w:r>
      <w:r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byl </w:t>
      </w:r>
      <w:r w:rsidRPr="00F0499D">
        <w:rPr>
          <w:rFonts w:asciiTheme="minorHAnsi" w:hAnsiTheme="minorHAnsi" w:cstheme="minorHAnsi"/>
          <w:bCs/>
          <w:sz w:val="20"/>
          <w:szCs w:val="20"/>
          <w:lang w:val="cs-CZ"/>
        </w:rPr>
        <w:t>zveřejněn v</w:t>
      </w:r>
      <w:r>
        <w:rPr>
          <w:rFonts w:asciiTheme="minorHAnsi" w:hAnsiTheme="minorHAnsi" w:cstheme="minorHAnsi"/>
          <w:bCs/>
          <w:sz w:val="20"/>
          <w:szCs w:val="20"/>
          <w:lang w:val="cs-CZ"/>
        </w:rPr>
        <w:t> částce</w:t>
      </w:r>
      <w:r w:rsidRPr="00F0499D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2/2004</w:t>
      </w:r>
      <w:r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  <w:r w:rsidRPr="005F77C5">
        <w:rPr>
          <w:rFonts w:asciiTheme="minorHAnsi" w:hAnsiTheme="minorHAnsi" w:cstheme="minorHAnsi"/>
          <w:bCs/>
          <w:i/>
          <w:sz w:val="20"/>
          <w:szCs w:val="20"/>
          <w:lang w:val="cs-CZ"/>
        </w:rPr>
        <w:t>Věstníku NKÚ</w:t>
      </w:r>
      <w:r w:rsidRPr="00F0499D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cs-CZ"/>
        </w:rPr>
        <w:t>k</w:t>
      </w:r>
      <w:r w:rsidRPr="00F0499D">
        <w:rPr>
          <w:rFonts w:asciiTheme="minorHAnsi" w:hAnsiTheme="minorHAnsi" w:cstheme="minorHAnsi"/>
          <w:sz w:val="20"/>
          <w:szCs w:val="20"/>
          <w:lang w:val="cs-CZ"/>
        </w:rPr>
        <w:t xml:space="preserve">ontrolní akce </w:t>
      </w:r>
      <w:r w:rsidRPr="00F0499D">
        <w:rPr>
          <w:rStyle w:val="Znakapoznpodarou"/>
          <w:rFonts w:asciiTheme="minorHAnsi" w:hAnsiTheme="minorHAnsi" w:cstheme="minorHAnsi"/>
          <w:sz w:val="20"/>
          <w:szCs w:val="20"/>
          <w:vertAlign w:val="baseline"/>
          <w:lang w:val="cs-CZ"/>
        </w:rPr>
        <w:t>č. 08/29</w:t>
      </w:r>
      <w:r>
        <w:rPr>
          <w:rFonts w:asciiTheme="minorHAnsi" w:hAnsiTheme="minorHAnsi" w:cstheme="minorHAnsi"/>
          <w:sz w:val="20"/>
          <w:szCs w:val="20"/>
          <w:lang w:val="cs-CZ"/>
        </w:rPr>
        <w:t> –</w:t>
      </w:r>
      <w:r w:rsidRPr="00F0499D">
        <w:rPr>
          <w:rStyle w:val="Znakapoznpodarou"/>
          <w:rFonts w:asciiTheme="minorHAnsi" w:hAnsiTheme="minorHAnsi" w:cstheme="minorHAnsi"/>
          <w:sz w:val="20"/>
          <w:szCs w:val="20"/>
          <w:vertAlign w:val="baseline"/>
          <w:lang w:val="cs-CZ"/>
        </w:rPr>
        <w:t xml:space="preserve"> </w:t>
      </w:r>
      <w:r w:rsidRPr="005F77C5">
        <w:rPr>
          <w:rStyle w:val="Znakapoznpodarou"/>
          <w:rFonts w:asciiTheme="minorHAnsi" w:hAnsiTheme="minorHAnsi" w:cstheme="minorHAnsi"/>
          <w:i/>
          <w:sz w:val="20"/>
          <w:szCs w:val="20"/>
          <w:vertAlign w:val="baseline"/>
          <w:lang w:val="cs-CZ"/>
        </w:rPr>
        <w:t>Finanční prostředky na programy podpory rozvoje průmyslových zón a regeneraci území a objektů pro následné průmyslové a podnikatelské využití</w:t>
      </w:r>
      <w:r w:rsidRPr="00F0499D">
        <w:rPr>
          <w:rFonts w:asciiTheme="minorHAnsi" w:hAnsiTheme="minorHAnsi" w:cstheme="minorHAnsi"/>
          <w:sz w:val="20"/>
          <w:szCs w:val="20"/>
          <w:lang w:val="cs-CZ"/>
        </w:rPr>
        <w:t>, kterou NKÚ provedl v období od září 2008 do března 2009, kontrolní závěr byl zveřejněn v</w:t>
      </w:r>
      <w:r>
        <w:rPr>
          <w:rFonts w:asciiTheme="minorHAnsi" w:hAnsiTheme="minorHAnsi" w:cstheme="minorHAnsi"/>
          <w:sz w:val="20"/>
          <w:szCs w:val="20"/>
          <w:lang w:val="cs-CZ"/>
        </w:rPr>
        <w:t> částce</w:t>
      </w:r>
      <w:r w:rsidRPr="00F0499D">
        <w:rPr>
          <w:rFonts w:asciiTheme="minorHAnsi" w:hAnsiTheme="minorHAnsi" w:cstheme="minorHAnsi"/>
          <w:sz w:val="20"/>
          <w:szCs w:val="20"/>
          <w:lang w:val="cs-CZ"/>
        </w:rPr>
        <w:t xml:space="preserve"> 2/2009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5F77C5">
        <w:rPr>
          <w:rFonts w:asciiTheme="minorHAnsi" w:hAnsiTheme="minorHAnsi" w:cstheme="minorHAnsi"/>
          <w:i/>
          <w:sz w:val="20"/>
          <w:szCs w:val="20"/>
          <w:lang w:val="cs-CZ"/>
        </w:rPr>
        <w:t>Věstníku NKÚ</w:t>
      </w:r>
      <w:r w:rsidRPr="00F0499D">
        <w:rPr>
          <w:rFonts w:asciiTheme="minorHAnsi" w:hAnsiTheme="minorHAnsi" w:cstheme="minorHAnsi"/>
          <w:sz w:val="20"/>
          <w:szCs w:val="20"/>
          <w:lang w:val="cs-CZ"/>
        </w:rPr>
        <w:t xml:space="preserve">; </w:t>
      </w:r>
      <w:r>
        <w:rPr>
          <w:rFonts w:asciiTheme="minorHAnsi" w:hAnsiTheme="minorHAnsi" w:cstheme="minorHAnsi"/>
          <w:bCs/>
          <w:sz w:val="20"/>
          <w:szCs w:val="20"/>
          <w:lang w:val="cs-CZ"/>
        </w:rPr>
        <w:t>k</w:t>
      </w:r>
      <w:r w:rsidRPr="00F0499D">
        <w:rPr>
          <w:rFonts w:asciiTheme="minorHAnsi" w:hAnsiTheme="minorHAnsi" w:cstheme="minorHAnsi"/>
          <w:bCs/>
          <w:sz w:val="20"/>
          <w:szCs w:val="20"/>
          <w:lang w:val="cs-CZ"/>
        </w:rPr>
        <w:t>ontrolní akce č.</w:t>
      </w:r>
      <w:r>
        <w:rPr>
          <w:rFonts w:asciiTheme="minorHAnsi" w:hAnsiTheme="minorHAnsi" w:cstheme="minorHAnsi"/>
          <w:bCs/>
          <w:sz w:val="20"/>
          <w:szCs w:val="20"/>
          <w:lang w:val="cs-CZ"/>
        </w:rPr>
        <w:t> </w:t>
      </w:r>
      <w:r w:rsidRPr="00F0499D">
        <w:rPr>
          <w:rFonts w:asciiTheme="minorHAnsi" w:hAnsiTheme="minorHAnsi" w:cstheme="minorHAnsi"/>
          <w:bCs/>
          <w:sz w:val="20"/>
          <w:szCs w:val="20"/>
          <w:lang w:val="cs-CZ"/>
        </w:rPr>
        <w:t>16/01</w:t>
      </w:r>
      <w:r>
        <w:rPr>
          <w:rFonts w:asciiTheme="minorHAnsi" w:hAnsiTheme="minorHAnsi" w:cstheme="minorHAnsi"/>
          <w:bCs/>
          <w:sz w:val="20"/>
          <w:szCs w:val="20"/>
          <w:lang w:val="cs-CZ"/>
        </w:rPr>
        <w:t> –</w:t>
      </w:r>
      <w:r w:rsidRPr="00F0499D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  <w:r w:rsidRPr="005F77C5">
        <w:rPr>
          <w:rFonts w:asciiTheme="minorHAnsi" w:hAnsiTheme="minorHAnsi" w:cstheme="minorHAnsi"/>
          <w:bCs/>
          <w:i/>
          <w:sz w:val="20"/>
          <w:szCs w:val="20"/>
          <w:lang w:val="cs-CZ"/>
        </w:rPr>
        <w:t xml:space="preserve">Peněžní prostředky Evropské unie a státního rozpočtu určené na financování opatření v rámci operačního programu </w:t>
      </w:r>
      <w:r w:rsidRPr="00F0499D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Podnikání a inovace </w:t>
      </w:r>
      <w:r w:rsidRPr="005F77C5">
        <w:rPr>
          <w:rFonts w:asciiTheme="minorHAnsi" w:hAnsiTheme="minorHAnsi" w:cstheme="minorHAnsi"/>
          <w:bCs/>
          <w:i/>
          <w:sz w:val="20"/>
          <w:szCs w:val="20"/>
          <w:lang w:val="cs-CZ"/>
        </w:rPr>
        <w:t>z hlediska dosažení cílů</w:t>
      </w:r>
      <w:r w:rsidRPr="00F0499D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, kontrolní závěr byl </w:t>
      </w:r>
      <w:r w:rsidRPr="00F0499D">
        <w:rPr>
          <w:rFonts w:asciiTheme="minorHAnsi" w:hAnsiTheme="minorHAnsi" w:cstheme="minorHAnsi"/>
          <w:sz w:val="20"/>
          <w:szCs w:val="20"/>
          <w:lang w:val="cs-CZ"/>
        </w:rPr>
        <w:t>zveřejněn v</w:t>
      </w:r>
      <w:r>
        <w:rPr>
          <w:rFonts w:asciiTheme="minorHAnsi" w:hAnsiTheme="minorHAnsi" w:cstheme="minorHAnsi"/>
          <w:sz w:val="20"/>
          <w:szCs w:val="20"/>
          <w:lang w:val="cs-CZ"/>
        </w:rPr>
        <w:t> částce</w:t>
      </w:r>
      <w:r w:rsidRPr="00F0499D">
        <w:rPr>
          <w:rFonts w:asciiTheme="minorHAnsi" w:hAnsiTheme="minorHAnsi" w:cstheme="minorHAnsi"/>
          <w:sz w:val="20"/>
          <w:szCs w:val="20"/>
          <w:lang w:val="cs-CZ"/>
        </w:rPr>
        <w:t xml:space="preserve"> 1/2017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5F77C5">
        <w:rPr>
          <w:rFonts w:asciiTheme="minorHAnsi" w:hAnsiTheme="minorHAnsi" w:cstheme="minorHAnsi"/>
          <w:i/>
          <w:sz w:val="20"/>
          <w:szCs w:val="20"/>
          <w:lang w:val="cs-CZ"/>
        </w:rPr>
        <w:t>Věstníku NKÚ</w:t>
      </w:r>
      <w:r>
        <w:rPr>
          <w:rFonts w:asciiTheme="minorHAnsi" w:hAnsiTheme="minorHAnsi" w:cstheme="minorHAnsi"/>
          <w:sz w:val="20"/>
          <w:szCs w:val="20"/>
          <w:lang w:val="cs-CZ"/>
        </w:rPr>
        <w:t>.</w:t>
      </w:r>
    </w:p>
  </w:footnote>
  <w:footnote w:id="3">
    <w:p w14:paraId="37DB3F5F" w14:textId="77777777" w:rsidR="00A255E9" w:rsidRPr="00B44493" w:rsidRDefault="00A255E9" w:rsidP="00B44493">
      <w:pPr>
        <w:ind w:left="284" w:hanging="284"/>
        <w:rPr>
          <w:rFonts w:ascii="Calibri" w:hAnsi="Calibri" w:cs="Calibri"/>
          <w:sz w:val="20"/>
          <w:szCs w:val="20"/>
        </w:rPr>
      </w:pPr>
      <w:r w:rsidRPr="00B44493">
        <w:rPr>
          <w:rStyle w:val="Znakapoznpodarou"/>
          <w:rFonts w:ascii="Calibri" w:hAnsi="Calibri" w:cs="Calibri"/>
          <w:sz w:val="20"/>
          <w:szCs w:val="20"/>
        </w:rPr>
        <w:footnoteRef/>
      </w:r>
      <w:r>
        <w:rPr>
          <w:rFonts w:ascii="Calibri" w:hAnsi="Calibri" w:cs="Calibri"/>
          <w:sz w:val="20"/>
          <w:szCs w:val="20"/>
        </w:rPr>
        <w:tab/>
      </w:r>
      <w:r w:rsidRPr="00B44493">
        <w:rPr>
          <w:rFonts w:ascii="Calibri" w:hAnsi="Calibri" w:cs="Calibri"/>
          <w:sz w:val="20"/>
          <w:szCs w:val="20"/>
        </w:rPr>
        <w:t>V údaji je zahrnuto i 19 zón, které byly podpořeny jen převodem pozemku ze správy Pozemkového fondu</w:t>
      </w:r>
      <w:r>
        <w:rPr>
          <w:rFonts w:ascii="Calibri" w:hAnsi="Calibri" w:cs="Calibri"/>
          <w:sz w:val="20"/>
          <w:szCs w:val="20"/>
        </w:rPr>
        <w:t> ČR</w:t>
      </w:r>
      <w:r w:rsidRPr="00B44493">
        <w:rPr>
          <w:rFonts w:ascii="Calibri" w:hAnsi="Calibri" w:cs="Calibri"/>
          <w:sz w:val="20"/>
          <w:szCs w:val="20"/>
        </w:rPr>
        <w:t xml:space="preserve"> (Státního pozemkového úřadu), a to bezúplatně či za zvýhodněnou cenu, tj. nebyly podpořeny dotací ani návratnou finanční výpomocí.</w:t>
      </w:r>
    </w:p>
  </w:footnote>
  <w:footnote w:id="4">
    <w:p w14:paraId="711AF65A" w14:textId="278F95BD" w:rsidR="00A255E9" w:rsidRPr="00CA23B2" w:rsidRDefault="00A255E9" w:rsidP="00CA6892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A23B2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CA23B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CA23B2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Agentura pro podnikání a inovace byla zřízena zákonem č. 149/2016 Sb., kterým se mění zákon č.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A23B2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47/2002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A23B2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Sb., o podpoře malého a středního podnikání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A23B2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 a o změně zákona č. 2/1969 Sb., o zřízení ministerstev a jiných ústředních orgánů státní správy České republiky, ve znění pozdějších předpisů s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A23B2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účinnost</w:t>
      </w:r>
      <w:r w:rsidRPr="00CA23B2">
        <w:rPr>
          <w:rFonts w:asciiTheme="minorHAnsi" w:hAnsiTheme="minorHAnsi" w:cstheme="minorHAnsi"/>
          <w:sz w:val="20"/>
          <w:szCs w:val="20"/>
        </w:rPr>
        <w:t>í</w:t>
      </w:r>
      <w:r w:rsidRPr="00CA23B2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 od 1. června 2016</w:t>
      </w:r>
      <w:r>
        <w:rPr>
          <w:rFonts w:asciiTheme="minorHAnsi" w:hAnsiTheme="minorHAnsi" w:cstheme="minorHAnsi"/>
          <w:sz w:val="20"/>
          <w:szCs w:val="20"/>
        </w:rPr>
        <w:t>.</w:t>
      </w:r>
    </w:p>
  </w:footnote>
  <w:footnote w:id="5">
    <w:p w14:paraId="3269C88B" w14:textId="77777777" w:rsidR="00A255E9" w:rsidRPr="00CA23B2" w:rsidRDefault="00A255E9" w:rsidP="00CA689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A23B2">
        <w:rPr>
          <w:rStyle w:val="Znakapoznpodarou"/>
          <w:rFonts w:asciiTheme="minorHAnsi" w:hAnsiTheme="minorHAnsi" w:cstheme="minorHAnsi"/>
        </w:rPr>
        <w:footnoteRef/>
      </w:r>
      <w:r w:rsidRPr="00CA23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A23B2">
        <w:rPr>
          <w:rFonts w:asciiTheme="minorHAnsi" w:hAnsiTheme="minorHAnsi" w:cstheme="minorHAnsi"/>
        </w:rPr>
        <w:t>Zvláštní účet prostředků z výnosu prodeje privatizovaného majetku a ze zisku z účasti státu v obchodních společnostech, který spravuje Ministerstvo financí</w:t>
      </w:r>
      <w:r>
        <w:rPr>
          <w:rFonts w:asciiTheme="minorHAnsi" w:hAnsiTheme="minorHAnsi" w:cstheme="minorHAnsi"/>
        </w:rPr>
        <w:t>.</w:t>
      </w:r>
    </w:p>
  </w:footnote>
  <w:footnote w:id="6">
    <w:p w14:paraId="1F3F3B10" w14:textId="77777777" w:rsidR="00A255E9" w:rsidRPr="00CA23B2" w:rsidRDefault="00A255E9" w:rsidP="00CA689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A23B2">
        <w:rPr>
          <w:rStyle w:val="Znakapoznpodarou"/>
          <w:rFonts w:asciiTheme="minorHAnsi" w:hAnsiTheme="minorHAnsi" w:cstheme="minorHAnsi"/>
        </w:rPr>
        <w:footnoteRef/>
      </w:r>
      <w:r w:rsidRPr="00CA23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A23B2">
        <w:rPr>
          <w:rFonts w:asciiTheme="minorHAnsi" w:hAnsiTheme="minorHAnsi" w:cstheme="minorHAnsi"/>
        </w:rPr>
        <w:t xml:space="preserve">Podnik působící převážně ve zpracovatelském průmyslu, v oblasti strategických služeb a technologických center, v oblasti výzkumu a vývoje, v energetických odvětvích. Rozvojová společnost </w:t>
      </w:r>
      <w:r>
        <w:rPr>
          <w:rFonts w:asciiTheme="minorHAnsi" w:hAnsiTheme="minorHAnsi" w:cstheme="minorHAnsi"/>
        </w:rPr>
        <w:t>–</w:t>
      </w:r>
      <w:r w:rsidRPr="00CA23B2">
        <w:rPr>
          <w:rFonts w:asciiTheme="minorHAnsi" w:hAnsiTheme="minorHAnsi" w:cstheme="minorHAnsi"/>
        </w:rPr>
        <w:t xml:space="preserve"> právnická osoba zabývající se prodejem či pronájmem nemovitostí nebo instituce s majoritní účastí státu, obce, kraje. </w:t>
      </w:r>
    </w:p>
  </w:footnote>
  <w:footnote w:id="7">
    <w:p w14:paraId="57C9A1FD" w14:textId="77777777" w:rsidR="00A255E9" w:rsidRPr="000A17CB" w:rsidRDefault="00A255E9" w:rsidP="00CA689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A17CB">
        <w:rPr>
          <w:rStyle w:val="Znakapoznpodarou"/>
          <w:rFonts w:asciiTheme="minorHAnsi" w:hAnsiTheme="minorHAnsi" w:cstheme="minorHAnsi"/>
        </w:rPr>
        <w:footnoteRef/>
      </w:r>
      <w:r w:rsidRPr="000A17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A17CB">
        <w:rPr>
          <w:rFonts w:asciiTheme="minorHAnsi" w:hAnsiTheme="minorHAnsi" w:cstheme="minorHAnsi"/>
        </w:rPr>
        <w:t>Malé venkovské obce do 3 tis. obyvatel s výjimečným potenciálem přírodního subsystému cestovního ruchu. Seznam těchto obcí stanovilo MPO na základě studie zpracované Ústavem územního rozvoje.</w:t>
      </w:r>
    </w:p>
  </w:footnote>
  <w:footnote w:id="8">
    <w:p w14:paraId="6D584432" w14:textId="77777777" w:rsidR="00A255E9" w:rsidRPr="000A17CB" w:rsidRDefault="00A255E9" w:rsidP="00CA6892">
      <w:pPr>
        <w:pStyle w:val="Textpoznpodarou"/>
        <w:ind w:left="284" w:hanging="284"/>
        <w:rPr>
          <w:rFonts w:asciiTheme="minorHAnsi" w:hAnsiTheme="minorHAnsi" w:cstheme="minorHAnsi"/>
        </w:rPr>
      </w:pPr>
      <w:r w:rsidRPr="000A17CB">
        <w:rPr>
          <w:rStyle w:val="Znakapoznpodarou"/>
          <w:rFonts w:asciiTheme="minorHAnsi" w:hAnsiTheme="minorHAnsi" w:cstheme="minorHAnsi"/>
        </w:rPr>
        <w:footnoteRef/>
      </w:r>
      <w:r w:rsidRPr="000A17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A17CB">
        <w:rPr>
          <w:rFonts w:asciiTheme="minorHAnsi" w:hAnsiTheme="minorHAnsi" w:cstheme="minorHAnsi"/>
        </w:rPr>
        <w:t>Údaj zahrnuje i prostředky spolufinancování ze státního rozpočtu</w:t>
      </w:r>
      <w:r>
        <w:rPr>
          <w:rFonts w:asciiTheme="minorHAnsi" w:hAnsiTheme="minorHAnsi" w:cstheme="minorHAnsi"/>
        </w:rPr>
        <w:t>.</w:t>
      </w:r>
    </w:p>
  </w:footnote>
  <w:footnote w:id="9">
    <w:p w14:paraId="6E3D1178" w14:textId="0711ED84" w:rsidR="00A255E9" w:rsidRPr="00E0619E" w:rsidRDefault="00A255E9" w:rsidP="00CA689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0619E">
        <w:rPr>
          <w:rStyle w:val="Znakapoznpodarou"/>
          <w:rFonts w:asciiTheme="minorHAnsi" w:hAnsiTheme="minorHAnsi" w:cstheme="minorHAnsi"/>
        </w:rPr>
        <w:footnoteRef/>
      </w:r>
      <w:r w:rsidRPr="00E061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0619E">
        <w:rPr>
          <w:rFonts w:asciiTheme="minorHAnsi" w:hAnsiTheme="minorHAnsi" w:cstheme="minorHAnsi"/>
        </w:rPr>
        <w:t>Kolín</w:t>
      </w:r>
      <w:r w:rsidR="00117C67">
        <w:rPr>
          <w:rFonts w:asciiTheme="minorHAnsi" w:hAnsiTheme="minorHAnsi" w:cstheme="minorHAnsi"/>
        </w:rPr>
        <w:t>-</w:t>
      </w:r>
      <w:r w:rsidRPr="00E0619E">
        <w:rPr>
          <w:rFonts w:asciiTheme="minorHAnsi" w:hAnsiTheme="minorHAnsi" w:cstheme="minorHAnsi"/>
        </w:rPr>
        <w:t>Ovčáry, Nošovice, Most</w:t>
      </w:r>
      <w:r w:rsidR="00117C67">
        <w:rPr>
          <w:rFonts w:asciiTheme="minorHAnsi" w:hAnsiTheme="minorHAnsi" w:cstheme="minorHAnsi"/>
        </w:rPr>
        <w:t>-</w:t>
      </w:r>
      <w:r w:rsidRPr="00E0619E">
        <w:rPr>
          <w:rFonts w:asciiTheme="minorHAnsi" w:hAnsiTheme="minorHAnsi" w:cstheme="minorHAnsi"/>
        </w:rPr>
        <w:t>Joseph, Liberec</w:t>
      </w:r>
      <w:r w:rsidR="00117C67">
        <w:rPr>
          <w:rFonts w:asciiTheme="minorHAnsi" w:hAnsiTheme="minorHAnsi" w:cstheme="minorHAnsi"/>
        </w:rPr>
        <w:t>-</w:t>
      </w:r>
      <w:r w:rsidRPr="00E0619E">
        <w:rPr>
          <w:rFonts w:asciiTheme="minorHAnsi" w:hAnsiTheme="minorHAnsi" w:cstheme="minorHAnsi"/>
        </w:rPr>
        <w:t>Jih, Plzeň</w:t>
      </w:r>
      <w:r>
        <w:rPr>
          <w:rFonts w:asciiTheme="minorHAnsi" w:hAnsiTheme="minorHAnsi" w:cstheme="minorHAnsi"/>
        </w:rPr>
        <w:t> –</w:t>
      </w:r>
      <w:r w:rsidR="00610CA6">
        <w:rPr>
          <w:rFonts w:asciiTheme="minorHAnsi" w:hAnsiTheme="minorHAnsi" w:cstheme="minorHAnsi"/>
        </w:rPr>
        <w:t> </w:t>
      </w:r>
      <w:r w:rsidRPr="00E0619E">
        <w:rPr>
          <w:rFonts w:asciiTheme="minorHAnsi" w:hAnsiTheme="minorHAnsi" w:cstheme="minorHAnsi"/>
        </w:rPr>
        <w:t>Borská pole, Písek</w:t>
      </w:r>
      <w:r w:rsidR="00117C67">
        <w:rPr>
          <w:rFonts w:asciiTheme="minorHAnsi" w:hAnsiTheme="minorHAnsi" w:cstheme="minorHAnsi"/>
        </w:rPr>
        <w:t>-</w:t>
      </w:r>
      <w:r w:rsidRPr="00E0619E">
        <w:rPr>
          <w:rFonts w:asciiTheme="minorHAnsi" w:hAnsiTheme="minorHAnsi" w:cstheme="minorHAnsi"/>
        </w:rPr>
        <w:t>Čížovská, Zlín</w:t>
      </w:r>
      <w:r w:rsidR="00117C67">
        <w:rPr>
          <w:rFonts w:asciiTheme="minorHAnsi" w:hAnsiTheme="minorHAnsi" w:cstheme="minorHAnsi"/>
        </w:rPr>
        <w:t>-</w:t>
      </w:r>
      <w:r w:rsidRPr="00E0619E">
        <w:rPr>
          <w:rFonts w:asciiTheme="minorHAnsi" w:hAnsiTheme="minorHAnsi" w:cstheme="minorHAnsi"/>
        </w:rPr>
        <w:t>Východ, Šumperk, Hodonín</w:t>
      </w:r>
      <w:r w:rsidR="00117C67">
        <w:rPr>
          <w:rFonts w:asciiTheme="minorHAnsi" w:hAnsiTheme="minorHAnsi" w:cstheme="minorHAnsi"/>
        </w:rPr>
        <w:t>-</w:t>
      </w:r>
      <w:r w:rsidRPr="00E0619E">
        <w:rPr>
          <w:rFonts w:asciiTheme="minorHAnsi" w:hAnsiTheme="minorHAnsi" w:cstheme="minorHAnsi"/>
        </w:rPr>
        <w:t>Kapřiska</w:t>
      </w:r>
      <w:r>
        <w:rPr>
          <w:rFonts w:asciiTheme="minorHAnsi" w:hAnsiTheme="minorHAnsi" w:cstheme="minorHAnsi"/>
        </w:rPr>
        <w:t>.</w:t>
      </w:r>
    </w:p>
  </w:footnote>
  <w:footnote w:id="10">
    <w:p w14:paraId="37D42A98" w14:textId="37A97EC8" w:rsidR="00A255E9" w:rsidRPr="00CA6892" w:rsidRDefault="00A255E9" w:rsidP="00CA6892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A6892">
        <w:rPr>
          <w:rStyle w:val="Znakapoznpodarou"/>
          <w:rFonts w:asciiTheme="minorHAnsi" w:hAnsiTheme="minorHAnsi" w:cstheme="minorHAnsi"/>
          <w:color w:val="000000" w:themeColor="text1"/>
          <w:sz w:val="20"/>
          <w:szCs w:val="20"/>
        </w:rPr>
        <w:footnoteRef/>
      </w:r>
      <w:r w:rsidRPr="00CA6892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A6892">
        <w:rPr>
          <w:rFonts w:asciiTheme="minorHAnsi" w:hAnsiTheme="minorHAnsi" w:cstheme="minorHAnsi"/>
          <w:color w:val="000000" w:themeColor="text1"/>
          <w:sz w:val="20"/>
          <w:szCs w:val="20"/>
        </w:rPr>
        <w:t>Transfer</w:t>
      </w:r>
      <w:r w:rsidR="00117C67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CA6892">
        <w:rPr>
          <w:rFonts w:asciiTheme="minorHAnsi" w:hAnsiTheme="minorHAnsi" w:cstheme="minorHAnsi"/>
          <w:color w:val="000000" w:themeColor="text1"/>
          <w:sz w:val="20"/>
          <w:szCs w:val="20"/>
        </w:rPr>
        <w:t>pricing je oceňování transakcí (např. prodeje zboží nebo poskytnutí služby) mezi dvěma daňovými subjekty ekonomicky nebo personálně spojenými. Spojené subjekty sledují obvykle společný cíl a</w:t>
      </w:r>
      <w:r w:rsidR="0091552D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CA6892">
        <w:rPr>
          <w:rFonts w:asciiTheme="minorHAnsi" w:hAnsiTheme="minorHAnsi" w:cstheme="minorHAnsi"/>
          <w:color w:val="000000" w:themeColor="text1"/>
          <w:sz w:val="20"/>
          <w:szCs w:val="20"/>
        </w:rPr>
        <w:t>snaží se 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CA6892">
        <w:rPr>
          <w:rFonts w:asciiTheme="minorHAnsi" w:hAnsiTheme="minorHAnsi" w:cstheme="minorHAnsi"/>
          <w:color w:val="000000" w:themeColor="text1"/>
          <w:sz w:val="20"/>
          <w:szCs w:val="20"/>
        </w:rPr>
        <w:t>co nejvyšší zisk pro skupinu, což může vést k nesprávnému rozdělení zisku a přesouvání větší části zisku do země s výhodnějším daňovým zatížením.</w:t>
      </w:r>
    </w:p>
  </w:footnote>
  <w:footnote w:id="11">
    <w:p w14:paraId="6172E8C0" w14:textId="77777777" w:rsidR="00A255E9" w:rsidRPr="00CA6892" w:rsidRDefault="00A255E9" w:rsidP="00CA6892">
      <w:pPr>
        <w:pStyle w:val="Textpoznpodarou"/>
        <w:ind w:left="284" w:hanging="284"/>
        <w:rPr>
          <w:rFonts w:asciiTheme="minorHAnsi" w:hAnsiTheme="minorHAnsi" w:cstheme="minorHAnsi"/>
          <w:color w:val="000000" w:themeColor="text1"/>
        </w:rPr>
      </w:pPr>
      <w:r w:rsidRPr="00CA6892">
        <w:rPr>
          <w:rStyle w:val="Znakapoznpodarou"/>
          <w:rFonts w:asciiTheme="minorHAnsi" w:hAnsiTheme="minorHAnsi" w:cstheme="minorHAnsi"/>
          <w:color w:val="000000" w:themeColor="text1"/>
        </w:rPr>
        <w:footnoteRef/>
      </w:r>
      <w:r w:rsidRPr="00CA6892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ab/>
      </w:r>
      <w:r w:rsidRPr="00CA6892">
        <w:rPr>
          <w:rFonts w:asciiTheme="minorHAnsi" w:hAnsiTheme="minorHAnsi" w:cstheme="minorHAnsi"/>
          <w:color w:val="000000" w:themeColor="text1"/>
        </w:rPr>
        <w:t>Ustanovení § 4 zákona č. 248/2000 Sb., o podpoře regionálního rozvoje.</w:t>
      </w:r>
    </w:p>
  </w:footnote>
  <w:footnote w:id="12">
    <w:p w14:paraId="1057FE4C" w14:textId="07CA263A" w:rsidR="00A255E9" w:rsidRPr="007874CD" w:rsidRDefault="00A255E9" w:rsidP="00C741D6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7874CD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7874C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7874CD">
        <w:rPr>
          <w:rFonts w:asciiTheme="minorHAnsi" w:hAnsiTheme="minorHAnsi" w:cstheme="minorHAnsi"/>
          <w:sz w:val="20"/>
          <w:szCs w:val="20"/>
        </w:rPr>
        <w:t>Státní pozemkový úřad byl zřízen ke dni 1. ledna 2013 zákonem č. 503/2012 Sb., o Státním pozemkovém úřadu a o změně některých souvisejících zákonů. Tímto zákonem byl zrušen Pozemkový fond České republiky, jehož agenda byla spojena s činností pozemkových úřadů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874CD">
        <w:rPr>
          <w:rFonts w:asciiTheme="minorHAnsi" w:hAnsiTheme="minorHAnsi" w:cstheme="minorHAnsi"/>
          <w:sz w:val="20"/>
          <w:szCs w:val="20"/>
        </w:rPr>
        <w:t xml:space="preserve"> a vznikl Státní pozemkový úřad.</w:t>
      </w:r>
    </w:p>
  </w:footnote>
  <w:footnote w:id="13">
    <w:p w14:paraId="1AC35658" w14:textId="77777777" w:rsidR="00A255E9" w:rsidRPr="007874CD" w:rsidRDefault="00A255E9" w:rsidP="00C741D6">
      <w:pPr>
        <w:pStyle w:val="Textpoznpodarou"/>
        <w:ind w:left="284" w:hanging="284"/>
        <w:rPr>
          <w:rFonts w:asciiTheme="minorHAnsi" w:hAnsiTheme="minorHAnsi" w:cstheme="minorHAnsi"/>
        </w:rPr>
      </w:pPr>
      <w:r w:rsidRPr="007874CD">
        <w:rPr>
          <w:rStyle w:val="Znakapoznpodarou"/>
          <w:rFonts w:asciiTheme="minorHAnsi" w:hAnsiTheme="minorHAnsi" w:cstheme="minorHAnsi"/>
        </w:rPr>
        <w:footnoteRef/>
      </w:r>
      <w:r w:rsidRPr="00787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874CD">
        <w:rPr>
          <w:rFonts w:asciiTheme="minorHAnsi" w:hAnsiTheme="minorHAnsi" w:cstheme="minorHAnsi"/>
        </w:rPr>
        <w:t>Tři zóny byly podpořeny v těchto krajích zvýhodněným převodem pozemků</w:t>
      </w:r>
      <w:r>
        <w:rPr>
          <w:rFonts w:asciiTheme="minorHAnsi" w:hAnsiTheme="minorHAnsi" w:cstheme="minorHAnsi"/>
        </w:rPr>
        <w:t>.</w:t>
      </w:r>
    </w:p>
  </w:footnote>
  <w:footnote w:id="14">
    <w:p w14:paraId="52D4324D" w14:textId="4F04A3AD" w:rsidR="00A255E9" w:rsidRPr="00572A4F" w:rsidRDefault="00A255E9" w:rsidP="00C741D6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72A4F">
        <w:rPr>
          <w:rStyle w:val="Znakapoznpodarou"/>
          <w:rFonts w:asciiTheme="minorHAnsi" w:hAnsiTheme="minorHAnsi" w:cstheme="minorHAnsi"/>
        </w:rPr>
        <w:footnoteRef/>
      </w:r>
      <w:r w:rsidRPr="00572A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72A4F">
        <w:rPr>
          <w:rFonts w:asciiTheme="minorHAnsi" w:hAnsiTheme="minorHAnsi" w:cstheme="minorHAnsi"/>
        </w:rPr>
        <w:t>Např. podle</w:t>
      </w:r>
      <w:r>
        <w:rPr>
          <w:rFonts w:asciiTheme="minorHAnsi" w:hAnsiTheme="minorHAnsi" w:cstheme="minorHAnsi"/>
        </w:rPr>
        <w:t xml:space="preserve"> </w:t>
      </w:r>
      <w:r w:rsidRPr="00572A4F">
        <w:rPr>
          <w:rFonts w:asciiTheme="minorHAnsi" w:hAnsiTheme="minorHAnsi" w:cstheme="minorHAnsi"/>
        </w:rPr>
        <w:t xml:space="preserve">textu návrhu zprávy mělo být ze státních prostředků vyčerpáno na program 322 050 celkem </w:t>
      </w:r>
      <w:r w:rsidRPr="00572A4F">
        <w:rPr>
          <w:rFonts w:asciiTheme="minorHAnsi" w:hAnsiTheme="minorHAnsi" w:cstheme="minorHAnsi"/>
          <w:color w:val="000000" w:themeColor="text1"/>
        </w:rPr>
        <w:t>4 916,234 mil Kč, ale podle</w:t>
      </w:r>
      <w:r w:rsidRPr="00572A4F">
        <w:rPr>
          <w:rFonts w:asciiTheme="minorHAnsi" w:hAnsiTheme="minorHAnsi" w:cstheme="minorHAnsi"/>
        </w:rPr>
        <w:t xml:space="preserve"> přiloženého seznamu akcí činily dotace celkem 5 227, 399 mil. Kč (při kontrole v roce 2009 NKÚ zjistil, že podpora z programu 322 050 jen do roku 2006 činila 5 114,772 mil. Kč). MPO uvedlo, že nedohledalo příslušná data</w:t>
      </w:r>
      <w:r>
        <w:rPr>
          <w:rFonts w:asciiTheme="minorHAnsi" w:hAnsiTheme="minorHAnsi" w:cstheme="minorHAnsi"/>
        </w:rPr>
        <w:t>,</w:t>
      </w:r>
      <w:r w:rsidRPr="00572A4F">
        <w:rPr>
          <w:rFonts w:asciiTheme="minorHAnsi" w:hAnsiTheme="minorHAnsi" w:cstheme="minorHAnsi"/>
        </w:rPr>
        <w:t xml:space="preserve"> a rozdíl mezi údaji nedokázalo vysvětlit. MPO rovněž nebylo schopno vysvětlit rozdíl mezi údajem o 115 podpořených akcích uvedených v návrhu zprávy a údajem o 167 akcích vykázaných </w:t>
      </w:r>
      <w:r w:rsidR="00E03686">
        <w:rPr>
          <w:rFonts w:asciiTheme="minorHAnsi" w:hAnsiTheme="minorHAnsi" w:cstheme="minorHAnsi"/>
        </w:rPr>
        <w:t xml:space="preserve">agenturou </w:t>
      </w:r>
      <w:r w:rsidRPr="00572A4F">
        <w:rPr>
          <w:rFonts w:asciiTheme="minorHAnsi" w:hAnsiTheme="minorHAnsi" w:cstheme="minorHAnsi"/>
        </w:rPr>
        <w:t xml:space="preserve">CzechInvest. </w:t>
      </w:r>
    </w:p>
  </w:footnote>
  <w:footnote w:id="15">
    <w:p w14:paraId="319AA6FD" w14:textId="3D8A8DF7" w:rsidR="00A255E9" w:rsidRPr="00726D7F" w:rsidRDefault="00A255E9" w:rsidP="00C741D6">
      <w:pPr>
        <w:pStyle w:val="Default"/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C741D6">
        <w:rPr>
          <w:rStyle w:val="Znakapoznpodarou"/>
          <w:rFonts w:ascii="Calibri" w:hAnsi="Calibri" w:cs="Calibri"/>
          <w:sz w:val="20"/>
          <w:szCs w:val="20"/>
        </w:rPr>
        <w:footnoteRef/>
      </w:r>
      <w:r w:rsidRPr="00C741D6">
        <w:rPr>
          <w:rFonts w:ascii="Calibri" w:hAnsi="Calibri" w:cs="Calibri"/>
          <w:bCs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Cs/>
          <w:sz w:val="20"/>
          <w:szCs w:val="20"/>
          <w:lang w:val="cs-CZ"/>
        </w:rPr>
        <w:tab/>
      </w:r>
      <w:r w:rsidRPr="00C741D6">
        <w:rPr>
          <w:rFonts w:ascii="Calibri" w:hAnsi="Calibri" w:cs="Calibri"/>
          <w:bCs/>
          <w:sz w:val="20"/>
          <w:szCs w:val="20"/>
          <w:lang w:val="cs-CZ"/>
        </w:rPr>
        <w:t>Kontrolní závěr z kontrolní akce č. 16/01</w:t>
      </w:r>
      <w:r>
        <w:rPr>
          <w:rFonts w:ascii="Calibri" w:hAnsi="Calibri" w:cs="Calibri"/>
          <w:bCs/>
          <w:sz w:val="20"/>
          <w:szCs w:val="20"/>
          <w:lang w:val="cs-CZ"/>
        </w:rPr>
        <w:t xml:space="preserve"> –</w:t>
      </w:r>
      <w:r w:rsidRPr="00C741D6">
        <w:rPr>
          <w:rFonts w:ascii="Calibri" w:hAnsi="Calibri" w:cs="Calibri"/>
          <w:bCs/>
          <w:sz w:val="20"/>
          <w:szCs w:val="20"/>
          <w:lang w:val="cs-CZ"/>
        </w:rPr>
        <w:t xml:space="preserve"> </w:t>
      </w:r>
      <w:r w:rsidRPr="00291D6C">
        <w:rPr>
          <w:rFonts w:ascii="Calibri" w:hAnsi="Calibri" w:cs="Calibri"/>
          <w:bCs/>
          <w:i/>
          <w:sz w:val="20"/>
          <w:szCs w:val="20"/>
          <w:lang w:val="cs-CZ"/>
        </w:rPr>
        <w:t xml:space="preserve">Peněžní prostředky Evropské unie a státního rozpočtu určené na financování opatření v rámci operačního programu </w:t>
      </w:r>
      <w:r w:rsidRPr="0048118C">
        <w:rPr>
          <w:rFonts w:ascii="Calibri" w:hAnsi="Calibri" w:cs="Calibri"/>
          <w:bCs/>
          <w:i/>
          <w:iCs/>
          <w:sz w:val="20"/>
          <w:szCs w:val="20"/>
          <w:lang w:val="cs-CZ"/>
        </w:rPr>
        <w:t xml:space="preserve">Podnikání a inovace </w:t>
      </w:r>
      <w:r w:rsidRPr="00291D6C">
        <w:rPr>
          <w:rFonts w:ascii="Calibri" w:hAnsi="Calibri" w:cs="Calibri"/>
          <w:bCs/>
          <w:i/>
          <w:sz w:val="20"/>
          <w:szCs w:val="20"/>
          <w:lang w:val="cs-CZ"/>
        </w:rPr>
        <w:t>z hlediska dosažení cílů</w:t>
      </w:r>
      <w:r w:rsidRPr="00C741D6">
        <w:rPr>
          <w:rFonts w:ascii="Calibri" w:hAnsi="Calibri" w:cs="Calibri"/>
          <w:bCs/>
          <w:sz w:val="20"/>
          <w:szCs w:val="20"/>
          <w:lang w:val="cs-CZ"/>
        </w:rPr>
        <w:t xml:space="preserve"> </w:t>
      </w:r>
      <w:r w:rsidRPr="00C741D6">
        <w:rPr>
          <w:rFonts w:ascii="Calibri" w:hAnsi="Calibri" w:cs="Calibri"/>
          <w:sz w:val="20"/>
          <w:szCs w:val="20"/>
          <w:lang w:val="cs-CZ"/>
        </w:rPr>
        <w:t xml:space="preserve">schválený dne 28. listopadu 2016 a zveřejněný v částce 1/2017 </w:t>
      </w:r>
      <w:r w:rsidRPr="00291D6C">
        <w:rPr>
          <w:rFonts w:ascii="Calibri" w:hAnsi="Calibri" w:cs="Calibri"/>
          <w:i/>
          <w:sz w:val="20"/>
          <w:szCs w:val="20"/>
          <w:lang w:val="cs-CZ"/>
        </w:rPr>
        <w:t>Věstníku NKÚ</w:t>
      </w:r>
      <w:r w:rsidRPr="00C741D6">
        <w:rPr>
          <w:rFonts w:ascii="Calibri" w:hAnsi="Calibri" w:cs="Calibri"/>
          <w:sz w:val="20"/>
          <w:szCs w:val="20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DDB3" w14:textId="77777777" w:rsidR="006F6405" w:rsidRDefault="006F64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CD9E" w14:textId="77777777" w:rsidR="004A1A91" w:rsidRDefault="004A1A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2BBDB" w14:textId="77777777" w:rsidR="006F6405" w:rsidRDefault="006F64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BB4"/>
    <w:multiLevelType w:val="hybridMultilevel"/>
    <w:tmpl w:val="00202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49A"/>
    <w:multiLevelType w:val="multilevel"/>
    <w:tmpl w:val="13840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F1307F"/>
    <w:multiLevelType w:val="hybridMultilevel"/>
    <w:tmpl w:val="5D389162"/>
    <w:lvl w:ilvl="0" w:tplc="5154670E">
      <w:start w:val="1"/>
      <w:numFmt w:val="upperRoman"/>
      <w:pStyle w:val="Kapitoly"/>
      <w:lvlText w:val="%1."/>
      <w:lvlJc w:val="left"/>
      <w:pPr>
        <w:ind w:left="4973" w:hanging="720"/>
      </w:pPr>
      <w:rPr>
        <w:rFonts w:cs="Times New Roman" w:hint="default"/>
      </w:rPr>
    </w:lvl>
    <w:lvl w:ilvl="1" w:tplc="DA962E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6266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9AA7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22E7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9061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79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F65B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DE84D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9B45F2"/>
    <w:multiLevelType w:val="hybridMultilevel"/>
    <w:tmpl w:val="4E7C6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77B0"/>
    <w:multiLevelType w:val="hybridMultilevel"/>
    <w:tmpl w:val="F8CAE89C"/>
    <w:lvl w:ilvl="0" w:tplc="EC4A7F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3F01"/>
    <w:multiLevelType w:val="hybridMultilevel"/>
    <w:tmpl w:val="99CE0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724E"/>
    <w:multiLevelType w:val="hybridMultilevel"/>
    <w:tmpl w:val="43963DA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52D82"/>
    <w:multiLevelType w:val="hybridMultilevel"/>
    <w:tmpl w:val="2A8C9714"/>
    <w:lvl w:ilvl="0" w:tplc="2FFA0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C16FA"/>
    <w:multiLevelType w:val="hybridMultilevel"/>
    <w:tmpl w:val="73D64C2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86C1B"/>
    <w:multiLevelType w:val="hybridMultilevel"/>
    <w:tmpl w:val="11DEBA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47925"/>
    <w:multiLevelType w:val="hybridMultilevel"/>
    <w:tmpl w:val="916450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A210D9"/>
    <w:multiLevelType w:val="hybridMultilevel"/>
    <w:tmpl w:val="FE28D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auto"/>
      </w:rPr>
    </w:lvl>
    <w:lvl w:ilvl="1" w:tplc="7E867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ED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06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8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EA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EA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8F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62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031E0"/>
    <w:multiLevelType w:val="hybridMultilevel"/>
    <w:tmpl w:val="41863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85431"/>
    <w:multiLevelType w:val="hybridMultilevel"/>
    <w:tmpl w:val="39D29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83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5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6A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ED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A2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1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E4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CB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1B4D"/>
    <w:multiLevelType w:val="hybridMultilevel"/>
    <w:tmpl w:val="40F8C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14"/>
  </w:num>
  <w:num w:numId="8">
    <w:abstractNumId w:val="13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D"/>
    <w:rsid w:val="00002626"/>
    <w:rsid w:val="00002C7F"/>
    <w:rsid w:val="00002DA7"/>
    <w:rsid w:val="00003211"/>
    <w:rsid w:val="00003698"/>
    <w:rsid w:val="0001083F"/>
    <w:rsid w:val="00013A2C"/>
    <w:rsid w:val="000219AA"/>
    <w:rsid w:val="00022595"/>
    <w:rsid w:val="00023CCF"/>
    <w:rsid w:val="00024331"/>
    <w:rsid w:val="00030F72"/>
    <w:rsid w:val="0003387D"/>
    <w:rsid w:val="00034C63"/>
    <w:rsid w:val="00036718"/>
    <w:rsid w:val="00036D59"/>
    <w:rsid w:val="000419CA"/>
    <w:rsid w:val="00042163"/>
    <w:rsid w:val="0004659F"/>
    <w:rsid w:val="0004742E"/>
    <w:rsid w:val="00051593"/>
    <w:rsid w:val="000523D1"/>
    <w:rsid w:val="00053180"/>
    <w:rsid w:val="000532AC"/>
    <w:rsid w:val="0005395E"/>
    <w:rsid w:val="00054A0F"/>
    <w:rsid w:val="000571F5"/>
    <w:rsid w:val="00060950"/>
    <w:rsid w:val="000622CD"/>
    <w:rsid w:val="00062AAC"/>
    <w:rsid w:val="00064835"/>
    <w:rsid w:val="000655EC"/>
    <w:rsid w:val="000659D4"/>
    <w:rsid w:val="00065CC4"/>
    <w:rsid w:val="00065FE8"/>
    <w:rsid w:val="000672EF"/>
    <w:rsid w:val="000677F4"/>
    <w:rsid w:val="00071917"/>
    <w:rsid w:val="0007432B"/>
    <w:rsid w:val="00074713"/>
    <w:rsid w:val="00080426"/>
    <w:rsid w:val="00082B84"/>
    <w:rsid w:val="00082C71"/>
    <w:rsid w:val="00082E5F"/>
    <w:rsid w:val="0008656F"/>
    <w:rsid w:val="00092768"/>
    <w:rsid w:val="00093BF0"/>
    <w:rsid w:val="00093CF9"/>
    <w:rsid w:val="00095787"/>
    <w:rsid w:val="000958BF"/>
    <w:rsid w:val="00095C8E"/>
    <w:rsid w:val="000A17CB"/>
    <w:rsid w:val="000A1AD3"/>
    <w:rsid w:val="000A370C"/>
    <w:rsid w:val="000A583B"/>
    <w:rsid w:val="000A5CCC"/>
    <w:rsid w:val="000B220C"/>
    <w:rsid w:val="000B5A4F"/>
    <w:rsid w:val="000B5A66"/>
    <w:rsid w:val="000B5DE1"/>
    <w:rsid w:val="000B5EF6"/>
    <w:rsid w:val="000B75CB"/>
    <w:rsid w:val="000C15F8"/>
    <w:rsid w:val="000C2129"/>
    <w:rsid w:val="000C2C5E"/>
    <w:rsid w:val="000C5CC5"/>
    <w:rsid w:val="000C6505"/>
    <w:rsid w:val="000C6CAE"/>
    <w:rsid w:val="000D05C2"/>
    <w:rsid w:val="000D1526"/>
    <w:rsid w:val="000D2245"/>
    <w:rsid w:val="000D3782"/>
    <w:rsid w:val="000D51C4"/>
    <w:rsid w:val="000D5BDF"/>
    <w:rsid w:val="000E19F4"/>
    <w:rsid w:val="000E4A28"/>
    <w:rsid w:val="000E4BDF"/>
    <w:rsid w:val="000E5C84"/>
    <w:rsid w:val="000E6487"/>
    <w:rsid w:val="000E7014"/>
    <w:rsid w:val="000F08CE"/>
    <w:rsid w:val="000F2E42"/>
    <w:rsid w:val="000F3282"/>
    <w:rsid w:val="00100B38"/>
    <w:rsid w:val="00102725"/>
    <w:rsid w:val="00103992"/>
    <w:rsid w:val="0010568C"/>
    <w:rsid w:val="00105995"/>
    <w:rsid w:val="0010694E"/>
    <w:rsid w:val="00106A7F"/>
    <w:rsid w:val="00107577"/>
    <w:rsid w:val="00107C34"/>
    <w:rsid w:val="001106D3"/>
    <w:rsid w:val="00110939"/>
    <w:rsid w:val="001119B2"/>
    <w:rsid w:val="001121D9"/>
    <w:rsid w:val="00114A5C"/>
    <w:rsid w:val="00114DB0"/>
    <w:rsid w:val="00115170"/>
    <w:rsid w:val="001158EE"/>
    <w:rsid w:val="001160F1"/>
    <w:rsid w:val="00117C67"/>
    <w:rsid w:val="00120BCB"/>
    <w:rsid w:val="00120CDD"/>
    <w:rsid w:val="00123D60"/>
    <w:rsid w:val="00126D44"/>
    <w:rsid w:val="0012732B"/>
    <w:rsid w:val="00131085"/>
    <w:rsid w:val="00131606"/>
    <w:rsid w:val="00131B45"/>
    <w:rsid w:val="00132100"/>
    <w:rsid w:val="001334C4"/>
    <w:rsid w:val="00142DF7"/>
    <w:rsid w:val="0014416A"/>
    <w:rsid w:val="00152417"/>
    <w:rsid w:val="00152C03"/>
    <w:rsid w:val="00152D7B"/>
    <w:rsid w:val="00155027"/>
    <w:rsid w:val="00155E41"/>
    <w:rsid w:val="001609E0"/>
    <w:rsid w:val="00160F76"/>
    <w:rsid w:val="001623A7"/>
    <w:rsid w:val="00162465"/>
    <w:rsid w:val="001631B1"/>
    <w:rsid w:val="0016326A"/>
    <w:rsid w:val="001637F9"/>
    <w:rsid w:val="00164802"/>
    <w:rsid w:val="00166910"/>
    <w:rsid w:val="001676E0"/>
    <w:rsid w:val="00167C2D"/>
    <w:rsid w:val="0017102D"/>
    <w:rsid w:val="001731A3"/>
    <w:rsid w:val="00173792"/>
    <w:rsid w:val="00173A57"/>
    <w:rsid w:val="00174A94"/>
    <w:rsid w:val="00174BEF"/>
    <w:rsid w:val="00176570"/>
    <w:rsid w:val="0017662C"/>
    <w:rsid w:val="00176D39"/>
    <w:rsid w:val="00177117"/>
    <w:rsid w:val="0017730C"/>
    <w:rsid w:val="00177BE0"/>
    <w:rsid w:val="00181144"/>
    <w:rsid w:val="00183170"/>
    <w:rsid w:val="00183197"/>
    <w:rsid w:val="00183CBB"/>
    <w:rsid w:val="00192E4B"/>
    <w:rsid w:val="00193824"/>
    <w:rsid w:val="00195844"/>
    <w:rsid w:val="001968C6"/>
    <w:rsid w:val="001A0D71"/>
    <w:rsid w:val="001A13E4"/>
    <w:rsid w:val="001A2783"/>
    <w:rsid w:val="001A2F19"/>
    <w:rsid w:val="001A36E2"/>
    <w:rsid w:val="001A42D5"/>
    <w:rsid w:val="001A4D8F"/>
    <w:rsid w:val="001A7775"/>
    <w:rsid w:val="001B2129"/>
    <w:rsid w:val="001B2F7E"/>
    <w:rsid w:val="001B3E8A"/>
    <w:rsid w:val="001B4993"/>
    <w:rsid w:val="001B6714"/>
    <w:rsid w:val="001B6A8B"/>
    <w:rsid w:val="001C074C"/>
    <w:rsid w:val="001C175F"/>
    <w:rsid w:val="001C20CA"/>
    <w:rsid w:val="001C37E5"/>
    <w:rsid w:val="001C6BFA"/>
    <w:rsid w:val="001C7080"/>
    <w:rsid w:val="001C7C65"/>
    <w:rsid w:val="001C7E16"/>
    <w:rsid w:val="001D0E96"/>
    <w:rsid w:val="001D1502"/>
    <w:rsid w:val="001D1AF9"/>
    <w:rsid w:val="001D1FED"/>
    <w:rsid w:val="001D2832"/>
    <w:rsid w:val="001D340A"/>
    <w:rsid w:val="001D3CBC"/>
    <w:rsid w:val="001D41C8"/>
    <w:rsid w:val="001D51D1"/>
    <w:rsid w:val="001D5333"/>
    <w:rsid w:val="001D62CE"/>
    <w:rsid w:val="001D72DD"/>
    <w:rsid w:val="001E066B"/>
    <w:rsid w:val="001E1289"/>
    <w:rsid w:val="001E2138"/>
    <w:rsid w:val="001E275A"/>
    <w:rsid w:val="001E2DA6"/>
    <w:rsid w:val="001E58ED"/>
    <w:rsid w:val="001E72CB"/>
    <w:rsid w:val="001F1B2F"/>
    <w:rsid w:val="001F1EFE"/>
    <w:rsid w:val="001F2B75"/>
    <w:rsid w:val="001F2FD8"/>
    <w:rsid w:val="001F35A9"/>
    <w:rsid w:val="001F4635"/>
    <w:rsid w:val="002033A4"/>
    <w:rsid w:val="00203A94"/>
    <w:rsid w:val="0020555C"/>
    <w:rsid w:val="00206B95"/>
    <w:rsid w:val="00206F11"/>
    <w:rsid w:val="002078A9"/>
    <w:rsid w:val="00207BC5"/>
    <w:rsid w:val="00210CBE"/>
    <w:rsid w:val="00212F38"/>
    <w:rsid w:val="002255E4"/>
    <w:rsid w:val="002256FE"/>
    <w:rsid w:val="00225DC8"/>
    <w:rsid w:val="00226691"/>
    <w:rsid w:val="00230074"/>
    <w:rsid w:val="0023344E"/>
    <w:rsid w:val="00233586"/>
    <w:rsid w:val="002340C9"/>
    <w:rsid w:val="002348EA"/>
    <w:rsid w:val="00236E29"/>
    <w:rsid w:val="002378AE"/>
    <w:rsid w:val="002406C2"/>
    <w:rsid w:val="00242CAE"/>
    <w:rsid w:val="002435FE"/>
    <w:rsid w:val="00245847"/>
    <w:rsid w:val="00252B45"/>
    <w:rsid w:val="00253D00"/>
    <w:rsid w:val="00257D23"/>
    <w:rsid w:val="00262B9B"/>
    <w:rsid w:val="00262F80"/>
    <w:rsid w:val="00263D61"/>
    <w:rsid w:val="002648B3"/>
    <w:rsid w:val="00265819"/>
    <w:rsid w:val="002711BC"/>
    <w:rsid w:val="002726D8"/>
    <w:rsid w:val="00273F6F"/>
    <w:rsid w:val="00274708"/>
    <w:rsid w:val="002811E2"/>
    <w:rsid w:val="00283E43"/>
    <w:rsid w:val="002844BD"/>
    <w:rsid w:val="002845C2"/>
    <w:rsid w:val="00284D6B"/>
    <w:rsid w:val="002867C3"/>
    <w:rsid w:val="0028714F"/>
    <w:rsid w:val="00287DB8"/>
    <w:rsid w:val="00290FB4"/>
    <w:rsid w:val="00291D6C"/>
    <w:rsid w:val="00292D0F"/>
    <w:rsid w:val="00294348"/>
    <w:rsid w:val="00296182"/>
    <w:rsid w:val="00297D4C"/>
    <w:rsid w:val="002A1676"/>
    <w:rsid w:val="002A1E59"/>
    <w:rsid w:val="002A3BDE"/>
    <w:rsid w:val="002A4DE7"/>
    <w:rsid w:val="002A7106"/>
    <w:rsid w:val="002A7769"/>
    <w:rsid w:val="002A7BEC"/>
    <w:rsid w:val="002B1632"/>
    <w:rsid w:val="002B1EB2"/>
    <w:rsid w:val="002B34ED"/>
    <w:rsid w:val="002B365C"/>
    <w:rsid w:val="002B3FA1"/>
    <w:rsid w:val="002B552E"/>
    <w:rsid w:val="002B678C"/>
    <w:rsid w:val="002B7527"/>
    <w:rsid w:val="002C1505"/>
    <w:rsid w:val="002C1C21"/>
    <w:rsid w:val="002C2156"/>
    <w:rsid w:val="002C2653"/>
    <w:rsid w:val="002C5098"/>
    <w:rsid w:val="002C5133"/>
    <w:rsid w:val="002C5156"/>
    <w:rsid w:val="002C603E"/>
    <w:rsid w:val="002C7657"/>
    <w:rsid w:val="002D1642"/>
    <w:rsid w:val="002D2EB4"/>
    <w:rsid w:val="002D38B2"/>
    <w:rsid w:val="002D4C00"/>
    <w:rsid w:val="002D7113"/>
    <w:rsid w:val="002E00DB"/>
    <w:rsid w:val="002E0332"/>
    <w:rsid w:val="002E08CD"/>
    <w:rsid w:val="002E1326"/>
    <w:rsid w:val="002E1632"/>
    <w:rsid w:val="002E21F4"/>
    <w:rsid w:val="002E3547"/>
    <w:rsid w:val="002E4DAF"/>
    <w:rsid w:val="002E607E"/>
    <w:rsid w:val="002E6B90"/>
    <w:rsid w:val="002E7CBA"/>
    <w:rsid w:val="002F1435"/>
    <w:rsid w:val="002F38FD"/>
    <w:rsid w:val="002F3A8A"/>
    <w:rsid w:val="002F3DB8"/>
    <w:rsid w:val="002F4C96"/>
    <w:rsid w:val="002F55DB"/>
    <w:rsid w:val="003025F1"/>
    <w:rsid w:val="00302641"/>
    <w:rsid w:val="00303C1E"/>
    <w:rsid w:val="00305564"/>
    <w:rsid w:val="0030736E"/>
    <w:rsid w:val="00310754"/>
    <w:rsid w:val="00311D6F"/>
    <w:rsid w:val="00313BF9"/>
    <w:rsid w:val="00315270"/>
    <w:rsid w:val="00315C9C"/>
    <w:rsid w:val="00315F15"/>
    <w:rsid w:val="003222E0"/>
    <w:rsid w:val="0032359A"/>
    <w:rsid w:val="00323CFB"/>
    <w:rsid w:val="00324123"/>
    <w:rsid w:val="00324279"/>
    <w:rsid w:val="00326428"/>
    <w:rsid w:val="00331111"/>
    <w:rsid w:val="00337D05"/>
    <w:rsid w:val="00342081"/>
    <w:rsid w:val="00342DAC"/>
    <w:rsid w:val="00343173"/>
    <w:rsid w:val="00345F4D"/>
    <w:rsid w:val="0034642F"/>
    <w:rsid w:val="00346962"/>
    <w:rsid w:val="003508AF"/>
    <w:rsid w:val="00351F89"/>
    <w:rsid w:val="00352935"/>
    <w:rsid w:val="00352C1F"/>
    <w:rsid w:val="0035382D"/>
    <w:rsid w:val="0035412F"/>
    <w:rsid w:val="00354258"/>
    <w:rsid w:val="003560F3"/>
    <w:rsid w:val="00357428"/>
    <w:rsid w:val="00357796"/>
    <w:rsid w:val="003600B6"/>
    <w:rsid w:val="0036074D"/>
    <w:rsid w:val="00361780"/>
    <w:rsid w:val="0036390B"/>
    <w:rsid w:val="00364E91"/>
    <w:rsid w:val="0036595F"/>
    <w:rsid w:val="003678D9"/>
    <w:rsid w:val="00370359"/>
    <w:rsid w:val="003731E9"/>
    <w:rsid w:val="00373FCC"/>
    <w:rsid w:val="00377175"/>
    <w:rsid w:val="003847F2"/>
    <w:rsid w:val="00385892"/>
    <w:rsid w:val="00386383"/>
    <w:rsid w:val="003912AD"/>
    <w:rsid w:val="00392400"/>
    <w:rsid w:val="003926C4"/>
    <w:rsid w:val="00397702"/>
    <w:rsid w:val="00397FC7"/>
    <w:rsid w:val="003A234F"/>
    <w:rsid w:val="003A3056"/>
    <w:rsid w:val="003A39BA"/>
    <w:rsid w:val="003A66F2"/>
    <w:rsid w:val="003A714E"/>
    <w:rsid w:val="003B3051"/>
    <w:rsid w:val="003C08FF"/>
    <w:rsid w:val="003C3CE6"/>
    <w:rsid w:val="003C486E"/>
    <w:rsid w:val="003D0E95"/>
    <w:rsid w:val="003D3E29"/>
    <w:rsid w:val="003D58F0"/>
    <w:rsid w:val="003D6421"/>
    <w:rsid w:val="003E02C6"/>
    <w:rsid w:val="003E2364"/>
    <w:rsid w:val="003E4E34"/>
    <w:rsid w:val="003E77C6"/>
    <w:rsid w:val="003F30B7"/>
    <w:rsid w:val="003F7D59"/>
    <w:rsid w:val="0040197A"/>
    <w:rsid w:val="0040314F"/>
    <w:rsid w:val="0040528E"/>
    <w:rsid w:val="00405EBE"/>
    <w:rsid w:val="00407E50"/>
    <w:rsid w:val="004104D5"/>
    <w:rsid w:val="00412774"/>
    <w:rsid w:val="004129A7"/>
    <w:rsid w:val="00412DED"/>
    <w:rsid w:val="00415F83"/>
    <w:rsid w:val="004171CA"/>
    <w:rsid w:val="00420EE8"/>
    <w:rsid w:val="00421C5E"/>
    <w:rsid w:val="0043072C"/>
    <w:rsid w:val="00430FA5"/>
    <w:rsid w:val="0043193E"/>
    <w:rsid w:val="00435D46"/>
    <w:rsid w:val="0043682D"/>
    <w:rsid w:val="00436E9B"/>
    <w:rsid w:val="0044500E"/>
    <w:rsid w:val="00446E2E"/>
    <w:rsid w:val="00446FC5"/>
    <w:rsid w:val="00450005"/>
    <w:rsid w:val="0045138D"/>
    <w:rsid w:val="00451F8B"/>
    <w:rsid w:val="00452828"/>
    <w:rsid w:val="00453CC9"/>
    <w:rsid w:val="00455892"/>
    <w:rsid w:val="00460A37"/>
    <w:rsid w:val="00463A9B"/>
    <w:rsid w:val="0046528A"/>
    <w:rsid w:val="004656E8"/>
    <w:rsid w:val="0046571C"/>
    <w:rsid w:val="00465BC0"/>
    <w:rsid w:val="00472718"/>
    <w:rsid w:val="0047319C"/>
    <w:rsid w:val="00475A08"/>
    <w:rsid w:val="00476B29"/>
    <w:rsid w:val="0047741B"/>
    <w:rsid w:val="0048118C"/>
    <w:rsid w:val="00482511"/>
    <w:rsid w:val="00482ACE"/>
    <w:rsid w:val="00483E51"/>
    <w:rsid w:val="00484A95"/>
    <w:rsid w:val="00486920"/>
    <w:rsid w:val="00490F5A"/>
    <w:rsid w:val="00491D5F"/>
    <w:rsid w:val="00493A8B"/>
    <w:rsid w:val="004941D2"/>
    <w:rsid w:val="0049507E"/>
    <w:rsid w:val="00496B6F"/>
    <w:rsid w:val="00497B0E"/>
    <w:rsid w:val="004A1A91"/>
    <w:rsid w:val="004A44FC"/>
    <w:rsid w:val="004B0249"/>
    <w:rsid w:val="004B128F"/>
    <w:rsid w:val="004B158E"/>
    <w:rsid w:val="004B4222"/>
    <w:rsid w:val="004B44B9"/>
    <w:rsid w:val="004B4CC5"/>
    <w:rsid w:val="004C0F0A"/>
    <w:rsid w:val="004C3598"/>
    <w:rsid w:val="004C48E6"/>
    <w:rsid w:val="004C4B0A"/>
    <w:rsid w:val="004C728D"/>
    <w:rsid w:val="004D6577"/>
    <w:rsid w:val="004E142A"/>
    <w:rsid w:val="004E3430"/>
    <w:rsid w:val="004E4DC0"/>
    <w:rsid w:val="004E7162"/>
    <w:rsid w:val="004F06EC"/>
    <w:rsid w:val="004F0CD5"/>
    <w:rsid w:val="004F1A1F"/>
    <w:rsid w:val="004F1AC1"/>
    <w:rsid w:val="004F58CB"/>
    <w:rsid w:val="004F5D7D"/>
    <w:rsid w:val="004F6227"/>
    <w:rsid w:val="004F6945"/>
    <w:rsid w:val="004F7BD8"/>
    <w:rsid w:val="00500459"/>
    <w:rsid w:val="00500B39"/>
    <w:rsid w:val="00504109"/>
    <w:rsid w:val="00507219"/>
    <w:rsid w:val="00510156"/>
    <w:rsid w:val="00513819"/>
    <w:rsid w:val="00514A8A"/>
    <w:rsid w:val="005166E2"/>
    <w:rsid w:val="00516E33"/>
    <w:rsid w:val="0051722F"/>
    <w:rsid w:val="00521184"/>
    <w:rsid w:val="00521382"/>
    <w:rsid w:val="005225EB"/>
    <w:rsid w:val="00523547"/>
    <w:rsid w:val="005242CA"/>
    <w:rsid w:val="005246DD"/>
    <w:rsid w:val="00525424"/>
    <w:rsid w:val="00526F6F"/>
    <w:rsid w:val="00527897"/>
    <w:rsid w:val="00530468"/>
    <w:rsid w:val="00532245"/>
    <w:rsid w:val="00533485"/>
    <w:rsid w:val="0053452B"/>
    <w:rsid w:val="0053585F"/>
    <w:rsid w:val="005366AB"/>
    <w:rsid w:val="00537F28"/>
    <w:rsid w:val="005414EF"/>
    <w:rsid w:val="00541BC8"/>
    <w:rsid w:val="0054249D"/>
    <w:rsid w:val="005441EB"/>
    <w:rsid w:val="00547FA7"/>
    <w:rsid w:val="00552342"/>
    <w:rsid w:val="00554677"/>
    <w:rsid w:val="00554E6F"/>
    <w:rsid w:val="00555C65"/>
    <w:rsid w:val="0055698D"/>
    <w:rsid w:val="00556A73"/>
    <w:rsid w:val="00560E21"/>
    <w:rsid w:val="0056116B"/>
    <w:rsid w:val="00567047"/>
    <w:rsid w:val="00567E24"/>
    <w:rsid w:val="00570972"/>
    <w:rsid w:val="005723A1"/>
    <w:rsid w:val="0057271B"/>
    <w:rsid w:val="00572A4F"/>
    <w:rsid w:val="00574668"/>
    <w:rsid w:val="00574DFD"/>
    <w:rsid w:val="0057772E"/>
    <w:rsid w:val="005809CF"/>
    <w:rsid w:val="00580C1B"/>
    <w:rsid w:val="00582D9F"/>
    <w:rsid w:val="00583D18"/>
    <w:rsid w:val="00584C60"/>
    <w:rsid w:val="005857BB"/>
    <w:rsid w:val="00585EF6"/>
    <w:rsid w:val="00586D86"/>
    <w:rsid w:val="00587B85"/>
    <w:rsid w:val="005910D8"/>
    <w:rsid w:val="0059138E"/>
    <w:rsid w:val="005923A9"/>
    <w:rsid w:val="00592D16"/>
    <w:rsid w:val="0059336C"/>
    <w:rsid w:val="0059540A"/>
    <w:rsid w:val="00596073"/>
    <w:rsid w:val="00597DFE"/>
    <w:rsid w:val="005A0ED2"/>
    <w:rsid w:val="005A0FC0"/>
    <w:rsid w:val="005A13A0"/>
    <w:rsid w:val="005A2B5B"/>
    <w:rsid w:val="005A46E1"/>
    <w:rsid w:val="005A79BA"/>
    <w:rsid w:val="005B00DA"/>
    <w:rsid w:val="005B02FD"/>
    <w:rsid w:val="005B12D5"/>
    <w:rsid w:val="005B305D"/>
    <w:rsid w:val="005B3092"/>
    <w:rsid w:val="005B36A0"/>
    <w:rsid w:val="005B4CA2"/>
    <w:rsid w:val="005C0227"/>
    <w:rsid w:val="005C028F"/>
    <w:rsid w:val="005C102C"/>
    <w:rsid w:val="005C1EDC"/>
    <w:rsid w:val="005C4056"/>
    <w:rsid w:val="005C634F"/>
    <w:rsid w:val="005C6862"/>
    <w:rsid w:val="005D0348"/>
    <w:rsid w:val="005D3AB1"/>
    <w:rsid w:val="005D5D0B"/>
    <w:rsid w:val="005E0015"/>
    <w:rsid w:val="005E1A03"/>
    <w:rsid w:val="005E1F5D"/>
    <w:rsid w:val="005E357C"/>
    <w:rsid w:val="005E35F0"/>
    <w:rsid w:val="005E3C97"/>
    <w:rsid w:val="005E7480"/>
    <w:rsid w:val="005F0A8E"/>
    <w:rsid w:val="005F5FF8"/>
    <w:rsid w:val="005F77C5"/>
    <w:rsid w:val="006006D8"/>
    <w:rsid w:val="00600D23"/>
    <w:rsid w:val="006028C1"/>
    <w:rsid w:val="006043F6"/>
    <w:rsid w:val="0060564A"/>
    <w:rsid w:val="00606F07"/>
    <w:rsid w:val="00610CA6"/>
    <w:rsid w:val="00621554"/>
    <w:rsid w:val="00621EB3"/>
    <w:rsid w:val="00623458"/>
    <w:rsid w:val="0062345F"/>
    <w:rsid w:val="0062430C"/>
    <w:rsid w:val="006266C9"/>
    <w:rsid w:val="006276DE"/>
    <w:rsid w:val="00627778"/>
    <w:rsid w:val="00630BEB"/>
    <w:rsid w:val="006318EE"/>
    <w:rsid w:val="00633A17"/>
    <w:rsid w:val="00633AE7"/>
    <w:rsid w:val="00635B83"/>
    <w:rsid w:val="00636339"/>
    <w:rsid w:val="00636C6C"/>
    <w:rsid w:val="0064159B"/>
    <w:rsid w:val="00642828"/>
    <w:rsid w:val="0064359F"/>
    <w:rsid w:val="00643729"/>
    <w:rsid w:val="006471A5"/>
    <w:rsid w:val="006508FF"/>
    <w:rsid w:val="0065487A"/>
    <w:rsid w:val="006576C1"/>
    <w:rsid w:val="00660A35"/>
    <w:rsid w:val="006610EE"/>
    <w:rsid w:val="00661B0A"/>
    <w:rsid w:val="00666517"/>
    <w:rsid w:val="006665D4"/>
    <w:rsid w:val="006666BC"/>
    <w:rsid w:val="00671937"/>
    <w:rsid w:val="00672C43"/>
    <w:rsid w:val="0067547E"/>
    <w:rsid w:val="00681E0B"/>
    <w:rsid w:val="00682B10"/>
    <w:rsid w:val="006831EB"/>
    <w:rsid w:val="00683C64"/>
    <w:rsid w:val="006855AD"/>
    <w:rsid w:val="00685B2E"/>
    <w:rsid w:val="006864FA"/>
    <w:rsid w:val="00686543"/>
    <w:rsid w:val="006907ED"/>
    <w:rsid w:val="00692965"/>
    <w:rsid w:val="00694756"/>
    <w:rsid w:val="00694B3A"/>
    <w:rsid w:val="006958F3"/>
    <w:rsid w:val="00697666"/>
    <w:rsid w:val="00697EA4"/>
    <w:rsid w:val="006A196A"/>
    <w:rsid w:val="006A1E27"/>
    <w:rsid w:val="006A29BA"/>
    <w:rsid w:val="006A315C"/>
    <w:rsid w:val="006A3E5C"/>
    <w:rsid w:val="006A4FE6"/>
    <w:rsid w:val="006A6EA8"/>
    <w:rsid w:val="006B08BA"/>
    <w:rsid w:val="006B2B6E"/>
    <w:rsid w:val="006B2CD8"/>
    <w:rsid w:val="006B3797"/>
    <w:rsid w:val="006B4050"/>
    <w:rsid w:val="006B5A9B"/>
    <w:rsid w:val="006B5DFE"/>
    <w:rsid w:val="006B6FCA"/>
    <w:rsid w:val="006B75E1"/>
    <w:rsid w:val="006B7F0F"/>
    <w:rsid w:val="006C0448"/>
    <w:rsid w:val="006C2E60"/>
    <w:rsid w:val="006C3CE2"/>
    <w:rsid w:val="006C458C"/>
    <w:rsid w:val="006C60D4"/>
    <w:rsid w:val="006D1218"/>
    <w:rsid w:val="006D1B7E"/>
    <w:rsid w:val="006D5461"/>
    <w:rsid w:val="006D6F28"/>
    <w:rsid w:val="006E0A24"/>
    <w:rsid w:val="006E10CC"/>
    <w:rsid w:val="006E116A"/>
    <w:rsid w:val="006E169D"/>
    <w:rsid w:val="006E1AF0"/>
    <w:rsid w:val="006E2F36"/>
    <w:rsid w:val="006E3060"/>
    <w:rsid w:val="006E3783"/>
    <w:rsid w:val="006E3A41"/>
    <w:rsid w:val="006E4E11"/>
    <w:rsid w:val="006E7471"/>
    <w:rsid w:val="006E7BFB"/>
    <w:rsid w:val="006E7F57"/>
    <w:rsid w:val="006F18F1"/>
    <w:rsid w:val="006F2916"/>
    <w:rsid w:val="006F3B9A"/>
    <w:rsid w:val="006F4381"/>
    <w:rsid w:val="006F6405"/>
    <w:rsid w:val="006F6D3C"/>
    <w:rsid w:val="006F7082"/>
    <w:rsid w:val="0070031C"/>
    <w:rsid w:val="00701A7F"/>
    <w:rsid w:val="00705086"/>
    <w:rsid w:val="00711D02"/>
    <w:rsid w:val="00713409"/>
    <w:rsid w:val="00714A00"/>
    <w:rsid w:val="00715A9D"/>
    <w:rsid w:val="00715E6D"/>
    <w:rsid w:val="0071641C"/>
    <w:rsid w:val="0072012B"/>
    <w:rsid w:val="00721256"/>
    <w:rsid w:val="00721327"/>
    <w:rsid w:val="00721B0D"/>
    <w:rsid w:val="00722316"/>
    <w:rsid w:val="00722664"/>
    <w:rsid w:val="007229B3"/>
    <w:rsid w:val="00723BA5"/>
    <w:rsid w:val="00724861"/>
    <w:rsid w:val="00726129"/>
    <w:rsid w:val="0072677A"/>
    <w:rsid w:val="00726D7F"/>
    <w:rsid w:val="00726F35"/>
    <w:rsid w:val="0073004E"/>
    <w:rsid w:val="007309D3"/>
    <w:rsid w:val="0073266B"/>
    <w:rsid w:val="00737F6D"/>
    <w:rsid w:val="00741633"/>
    <w:rsid w:val="00742928"/>
    <w:rsid w:val="00745B87"/>
    <w:rsid w:val="0074621A"/>
    <w:rsid w:val="00746BC4"/>
    <w:rsid w:val="007472CE"/>
    <w:rsid w:val="007500A9"/>
    <w:rsid w:val="00750995"/>
    <w:rsid w:val="007545FE"/>
    <w:rsid w:val="00755CF1"/>
    <w:rsid w:val="00756355"/>
    <w:rsid w:val="00763BFA"/>
    <w:rsid w:val="00763FAD"/>
    <w:rsid w:val="007654CE"/>
    <w:rsid w:val="0076583D"/>
    <w:rsid w:val="00767C95"/>
    <w:rsid w:val="00770741"/>
    <w:rsid w:val="00771A5F"/>
    <w:rsid w:val="00773AED"/>
    <w:rsid w:val="00773B29"/>
    <w:rsid w:val="007755D0"/>
    <w:rsid w:val="0077617E"/>
    <w:rsid w:val="007769C6"/>
    <w:rsid w:val="00776CF3"/>
    <w:rsid w:val="00777F06"/>
    <w:rsid w:val="00780C0E"/>
    <w:rsid w:val="00781392"/>
    <w:rsid w:val="0078467E"/>
    <w:rsid w:val="00786247"/>
    <w:rsid w:val="00786A5B"/>
    <w:rsid w:val="007874CD"/>
    <w:rsid w:val="00793342"/>
    <w:rsid w:val="007949BD"/>
    <w:rsid w:val="00795807"/>
    <w:rsid w:val="00796F4C"/>
    <w:rsid w:val="00797837"/>
    <w:rsid w:val="00797860"/>
    <w:rsid w:val="007A0252"/>
    <w:rsid w:val="007A03A5"/>
    <w:rsid w:val="007A17CA"/>
    <w:rsid w:val="007A1F9B"/>
    <w:rsid w:val="007A4306"/>
    <w:rsid w:val="007A44F1"/>
    <w:rsid w:val="007A5711"/>
    <w:rsid w:val="007A745B"/>
    <w:rsid w:val="007A7912"/>
    <w:rsid w:val="007B0028"/>
    <w:rsid w:val="007B578B"/>
    <w:rsid w:val="007C3931"/>
    <w:rsid w:val="007C3949"/>
    <w:rsid w:val="007C5A64"/>
    <w:rsid w:val="007C77AB"/>
    <w:rsid w:val="007D016B"/>
    <w:rsid w:val="007D4027"/>
    <w:rsid w:val="007D40B3"/>
    <w:rsid w:val="007D4569"/>
    <w:rsid w:val="007D4FD2"/>
    <w:rsid w:val="007D539D"/>
    <w:rsid w:val="007D5497"/>
    <w:rsid w:val="007E1F58"/>
    <w:rsid w:val="007E2C25"/>
    <w:rsid w:val="007E400D"/>
    <w:rsid w:val="007E59F2"/>
    <w:rsid w:val="007E7409"/>
    <w:rsid w:val="007E74F8"/>
    <w:rsid w:val="007F17AF"/>
    <w:rsid w:val="007F1D0B"/>
    <w:rsid w:val="007F1DFB"/>
    <w:rsid w:val="007F210A"/>
    <w:rsid w:val="007F2DB5"/>
    <w:rsid w:val="007F6037"/>
    <w:rsid w:val="007F78C2"/>
    <w:rsid w:val="008029E8"/>
    <w:rsid w:val="0080349C"/>
    <w:rsid w:val="00803B3E"/>
    <w:rsid w:val="00804CCC"/>
    <w:rsid w:val="00805173"/>
    <w:rsid w:val="00805AA7"/>
    <w:rsid w:val="008078D8"/>
    <w:rsid w:val="00811BF7"/>
    <w:rsid w:val="00811DF0"/>
    <w:rsid w:val="0081221B"/>
    <w:rsid w:val="00812DC2"/>
    <w:rsid w:val="0081580F"/>
    <w:rsid w:val="00820552"/>
    <w:rsid w:val="00821924"/>
    <w:rsid w:val="00823C4B"/>
    <w:rsid w:val="008243D1"/>
    <w:rsid w:val="008247A2"/>
    <w:rsid w:val="0082589E"/>
    <w:rsid w:val="00830B38"/>
    <w:rsid w:val="008347E1"/>
    <w:rsid w:val="00835D78"/>
    <w:rsid w:val="00836337"/>
    <w:rsid w:val="0084062D"/>
    <w:rsid w:val="008448F4"/>
    <w:rsid w:val="00845392"/>
    <w:rsid w:val="00846AED"/>
    <w:rsid w:val="00847D8F"/>
    <w:rsid w:val="00851B00"/>
    <w:rsid w:val="00851C01"/>
    <w:rsid w:val="00852E5C"/>
    <w:rsid w:val="008534E5"/>
    <w:rsid w:val="00853A42"/>
    <w:rsid w:val="00854F4A"/>
    <w:rsid w:val="00855E52"/>
    <w:rsid w:val="00857A40"/>
    <w:rsid w:val="00862FF6"/>
    <w:rsid w:val="008651BE"/>
    <w:rsid w:val="00865D8C"/>
    <w:rsid w:val="00866858"/>
    <w:rsid w:val="00866A3A"/>
    <w:rsid w:val="00866D9F"/>
    <w:rsid w:val="0087044E"/>
    <w:rsid w:val="00872CCC"/>
    <w:rsid w:val="0087587D"/>
    <w:rsid w:val="00875935"/>
    <w:rsid w:val="00875C7B"/>
    <w:rsid w:val="00882FC1"/>
    <w:rsid w:val="00883E29"/>
    <w:rsid w:val="00884F93"/>
    <w:rsid w:val="00885A65"/>
    <w:rsid w:val="0089092B"/>
    <w:rsid w:val="00890C5B"/>
    <w:rsid w:val="00890EB7"/>
    <w:rsid w:val="0089334E"/>
    <w:rsid w:val="008963BE"/>
    <w:rsid w:val="00896877"/>
    <w:rsid w:val="00897211"/>
    <w:rsid w:val="008A0000"/>
    <w:rsid w:val="008A0294"/>
    <w:rsid w:val="008A313A"/>
    <w:rsid w:val="008A66D7"/>
    <w:rsid w:val="008A7A84"/>
    <w:rsid w:val="008B140A"/>
    <w:rsid w:val="008B79BE"/>
    <w:rsid w:val="008C03D3"/>
    <w:rsid w:val="008C0549"/>
    <w:rsid w:val="008C06F4"/>
    <w:rsid w:val="008C1371"/>
    <w:rsid w:val="008C34DC"/>
    <w:rsid w:val="008C40AD"/>
    <w:rsid w:val="008C4D32"/>
    <w:rsid w:val="008D03CE"/>
    <w:rsid w:val="008D29C8"/>
    <w:rsid w:val="008D2CF5"/>
    <w:rsid w:val="008D31BC"/>
    <w:rsid w:val="008D34E8"/>
    <w:rsid w:val="008D378C"/>
    <w:rsid w:val="008D49F0"/>
    <w:rsid w:val="008D60A6"/>
    <w:rsid w:val="008D7C65"/>
    <w:rsid w:val="008D7F6A"/>
    <w:rsid w:val="008E0FB8"/>
    <w:rsid w:val="008E3FCD"/>
    <w:rsid w:val="008E4FBD"/>
    <w:rsid w:val="008E5DD4"/>
    <w:rsid w:val="008E6311"/>
    <w:rsid w:val="008F13DE"/>
    <w:rsid w:val="008F1E7C"/>
    <w:rsid w:val="008F21E8"/>
    <w:rsid w:val="008F4D6F"/>
    <w:rsid w:val="00901754"/>
    <w:rsid w:val="0090446B"/>
    <w:rsid w:val="0090666A"/>
    <w:rsid w:val="00906869"/>
    <w:rsid w:val="0091046E"/>
    <w:rsid w:val="00911D36"/>
    <w:rsid w:val="00912E9D"/>
    <w:rsid w:val="00913B59"/>
    <w:rsid w:val="00913DA4"/>
    <w:rsid w:val="0091552D"/>
    <w:rsid w:val="00915938"/>
    <w:rsid w:val="00915DA2"/>
    <w:rsid w:val="00916877"/>
    <w:rsid w:val="009176AA"/>
    <w:rsid w:val="00921348"/>
    <w:rsid w:val="0092260C"/>
    <w:rsid w:val="0092261C"/>
    <w:rsid w:val="009240E7"/>
    <w:rsid w:val="00925B29"/>
    <w:rsid w:val="009311D4"/>
    <w:rsid w:val="00931EB0"/>
    <w:rsid w:val="0093206F"/>
    <w:rsid w:val="009348CE"/>
    <w:rsid w:val="00940553"/>
    <w:rsid w:val="00941AA6"/>
    <w:rsid w:val="00942C70"/>
    <w:rsid w:val="0094362E"/>
    <w:rsid w:val="00944183"/>
    <w:rsid w:val="00946B46"/>
    <w:rsid w:val="00947F0A"/>
    <w:rsid w:val="009557DD"/>
    <w:rsid w:val="00955BF7"/>
    <w:rsid w:val="00956E54"/>
    <w:rsid w:val="0096147E"/>
    <w:rsid w:val="00962E8D"/>
    <w:rsid w:val="009634AE"/>
    <w:rsid w:val="0096446E"/>
    <w:rsid w:val="00964FA7"/>
    <w:rsid w:val="00964FBC"/>
    <w:rsid w:val="009728B1"/>
    <w:rsid w:val="00973EE2"/>
    <w:rsid w:val="009742B8"/>
    <w:rsid w:val="00974388"/>
    <w:rsid w:val="0097568D"/>
    <w:rsid w:val="00975A7B"/>
    <w:rsid w:val="00975EF7"/>
    <w:rsid w:val="009768CD"/>
    <w:rsid w:val="00976B08"/>
    <w:rsid w:val="009802E4"/>
    <w:rsid w:val="009805E4"/>
    <w:rsid w:val="00980F11"/>
    <w:rsid w:val="00981DDC"/>
    <w:rsid w:val="00986E88"/>
    <w:rsid w:val="009902D1"/>
    <w:rsid w:val="00990A1C"/>
    <w:rsid w:val="00994880"/>
    <w:rsid w:val="009951C1"/>
    <w:rsid w:val="0099565B"/>
    <w:rsid w:val="009969CD"/>
    <w:rsid w:val="00997EC3"/>
    <w:rsid w:val="009A0453"/>
    <w:rsid w:val="009A3AC3"/>
    <w:rsid w:val="009A463C"/>
    <w:rsid w:val="009A680D"/>
    <w:rsid w:val="009A7519"/>
    <w:rsid w:val="009B1781"/>
    <w:rsid w:val="009B3D33"/>
    <w:rsid w:val="009B440F"/>
    <w:rsid w:val="009B4C8B"/>
    <w:rsid w:val="009B76B1"/>
    <w:rsid w:val="009B7D7B"/>
    <w:rsid w:val="009C6E11"/>
    <w:rsid w:val="009D3641"/>
    <w:rsid w:val="009D4F1A"/>
    <w:rsid w:val="009D5AE7"/>
    <w:rsid w:val="009E0356"/>
    <w:rsid w:val="009E5D61"/>
    <w:rsid w:val="009E5E73"/>
    <w:rsid w:val="009E5F36"/>
    <w:rsid w:val="009E73CF"/>
    <w:rsid w:val="009F0771"/>
    <w:rsid w:val="009F2252"/>
    <w:rsid w:val="009F596D"/>
    <w:rsid w:val="009F7E67"/>
    <w:rsid w:val="00A00702"/>
    <w:rsid w:val="00A024DD"/>
    <w:rsid w:val="00A03720"/>
    <w:rsid w:val="00A03A9E"/>
    <w:rsid w:val="00A0406A"/>
    <w:rsid w:val="00A050B8"/>
    <w:rsid w:val="00A05997"/>
    <w:rsid w:val="00A14E45"/>
    <w:rsid w:val="00A15311"/>
    <w:rsid w:val="00A15CD8"/>
    <w:rsid w:val="00A17015"/>
    <w:rsid w:val="00A22FC3"/>
    <w:rsid w:val="00A24836"/>
    <w:rsid w:val="00A255A1"/>
    <w:rsid w:val="00A255E9"/>
    <w:rsid w:val="00A26914"/>
    <w:rsid w:val="00A3247A"/>
    <w:rsid w:val="00A32CBD"/>
    <w:rsid w:val="00A34570"/>
    <w:rsid w:val="00A34671"/>
    <w:rsid w:val="00A34D3E"/>
    <w:rsid w:val="00A35D20"/>
    <w:rsid w:val="00A363A6"/>
    <w:rsid w:val="00A404F3"/>
    <w:rsid w:val="00A43602"/>
    <w:rsid w:val="00A5004F"/>
    <w:rsid w:val="00A502CC"/>
    <w:rsid w:val="00A50E25"/>
    <w:rsid w:val="00A525FD"/>
    <w:rsid w:val="00A535B2"/>
    <w:rsid w:val="00A5631B"/>
    <w:rsid w:val="00A567A6"/>
    <w:rsid w:val="00A56F6E"/>
    <w:rsid w:val="00A601C6"/>
    <w:rsid w:val="00A61CB2"/>
    <w:rsid w:val="00A624FC"/>
    <w:rsid w:val="00A709AA"/>
    <w:rsid w:val="00A70A41"/>
    <w:rsid w:val="00A71ADC"/>
    <w:rsid w:val="00A72FEA"/>
    <w:rsid w:val="00A73410"/>
    <w:rsid w:val="00A759E9"/>
    <w:rsid w:val="00A76E60"/>
    <w:rsid w:val="00A77C0C"/>
    <w:rsid w:val="00A80103"/>
    <w:rsid w:val="00A80807"/>
    <w:rsid w:val="00A814B3"/>
    <w:rsid w:val="00A81BF6"/>
    <w:rsid w:val="00A82308"/>
    <w:rsid w:val="00A82EDE"/>
    <w:rsid w:val="00A83FC1"/>
    <w:rsid w:val="00A84855"/>
    <w:rsid w:val="00A86502"/>
    <w:rsid w:val="00A867D0"/>
    <w:rsid w:val="00A869A3"/>
    <w:rsid w:val="00A87895"/>
    <w:rsid w:val="00A91BEF"/>
    <w:rsid w:val="00A92FE7"/>
    <w:rsid w:val="00A95C3D"/>
    <w:rsid w:val="00A971F8"/>
    <w:rsid w:val="00AA1AA8"/>
    <w:rsid w:val="00AA3EFB"/>
    <w:rsid w:val="00AA4D1D"/>
    <w:rsid w:val="00AA515F"/>
    <w:rsid w:val="00AA51ED"/>
    <w:rsid w:val="00AA605F"/>
    <w:rsid w:val="00AB0473"/>
    <w:rsid w:val="00AB1011"/>
    <w:rsid w:val="00AB1D7C"/>
    <w:rsid w:val="00AB2676"/>
    <w:rsid w:val="00AB2E8E"/>
    <w:rsid w:val="00AB4501"/>
    <w:rsid w:val="00AB476F"/>
    <w:rsid w:val="00AB4A4C"/>
    <w:rsid w:val="00AB7872"/>
    <w:rsid w:val="00AC068F"/>
    <w:rsid w:val="00AC5C7D"/>
    <w:rsid w:val="00AC6A01"/>
    <w:rsid w:val="00AC7084"/>
    <w:rsid w:val="00AC72E4"/>
    <w:rsid w:val="00AC77CB"/>
    <w:rsid w:val="00AD0DAE"/>
    <w:rsid w:val="00AD3F0A"/>
    <w:rsid w:val="00AD4B30"/>
    <w:rsid w:val="00AD731D"/>
    <w:rsid w:val="00AD7464"/>
    <w:rsid w:val="00AD7CC3"/>
    <w:rsid w:val="00AE2FFC"/>
    <w:rsid w:val="00AE4325"/>
    <w:rsid w:val="00AE5B44"/>
    <w:rsid w:val="00AE651A"/>
    <w:rsid w:val="00AE753A"/>
    <w:rsid w:val="00AF0997"/>
    <w:rsid w:val="00AF3E6E"/>
    <w:rsid w:val="00B02938"/>
    <w:rsid w:val="00B03450"/>
    <w:rsid w:val="00B03696"/>
    <w:rsid w:val="00B0435D"/>
    <w:rsid w:val="00B04752"/>
    <w:rsid w:val="00B05788"/>
    <w:rsid w:val="00B07B00"/>
    <w:rsid w:val="00B10336"/>
    <w:rsid w:val="00B11B13"/>
    <w:rsid w:val="00B16344"/>
    <w:rsid w:val="00B20205"/>
    <w:rsid w:val="00B20699"/>
    <w:rsid w:val="00B20806"/>
    <w:rsid w:val="00B20FD0"/>
    <w:rsid w:val="00B21820"/>
    <w:rsid w:val="00B226B6"/>
    <w:rsid w:val="00B2392E"/>
    <w:rsid w:val="00B24A5C"/>
    <w:rsid w:val="00B25C25"/>
    <w:rsid w:val="00B30144"/>
    <w:rsid w:val="00B30D70"/>
    <w:rsid w:val="00B32420"/>
    <w:rsid w:val="00B327D5"/>
    <w:rsid w:val="00B36478"/>
    <w:rsid w:val="00B41CA0"/>
    <w:rsid w:val="00B43F61"/>
    <w:rsid w:val="00B4403D"/>
    <w:rsid w:val="00B44493"/>
    <w:rsid w:val="00B46888"/>
    <w:rsid w:val="00B46A2D"/>
    <w:rsid w:val="00B47524"/>
    <w:rsid w:val="00B47FD6"/>
    <w:rsid w:val="00B50EC8"/>
    <w:rsid w:val="00B55061"/>
    <w:rsid w:val="00B56D9F"/>
    <w:rsid w:val="00B57854"/>
    <w:rsid w:val="00B57882"/>
    <w:rsid w:val="00B6100C"/>
    <w:rsid w:val="00B61D5B"/>
    <w:rsid w:val="00B63C0F"/>
    <w:rsid w:val="00B6690A"/>
    <w:rsid w:val="00B7144D"/>
    <w:rsid w:val="00B71F3E"/>
    <w:rsid w:val="00B72DDA"/>
    <w:rsid w:val="00B72ED0"/>
    <w:rsid w:val="00B7353D"/>
    <w:rsid w:val="00B75245"/>
    <w:rsid w:val="00B752FB"/>
    <w:rsid w:val="00B75E95"/>
    <w:rsid w:val="00B774EA"/>
    <w:rsid w:val="00B8158D"/>
    <w:rsid w:val="00B81790"/>
    <w:rsid w:val="00B81BBA"/>
    <w:rsid w:val="00B83D72"/>
    <w:rsid w:val="00B86B33"/>
    <w:rsid w:val="00B872CE"/>
    <w:rsid w:val="00B8795D"/>
    <w:rsid w:val="00B905BC"/>
    <w:rsid w:val="00B91BA9"/>
    <w:rsid w:val="00B92E11"/>
    <w:rsid w:val="00B9397D"/>
    <w:rsid w:val="00BA42F2"/>
    <w:rsid w:val="00BA6925"/>
    <w:rsid w:val="00BA76CC"/>
    <w:rsid w:val="00BA7B2E"/>
    <w:rsid w:val="00BB24E8"/>
    <w:rsid w:val="00BB5093"/>
    <w:rsid w:val="00BB5FC7"/>
    <w:rsid w:val="00BC1FC0"/>
    <w:rsid w:val="00BC2A94"/>
    <w:rsid w:val="00BC2BC1"/>
    <w:rsid w:val="00BC3B43"/>
    <w:rsid w:val="00BC3EEB"/>
    <w:rsid w:val="00BC4555"/>
    <w:rsid w:val="00BC4A34"/>
    <w:rsid w:val="00BC5325"/>
    <w:rsid w:val="00BC68DE"/>
    <w:rsid w:val="00BC7DC0"/>
    <w:rsid w:val="00BD01E3"/>
    <w:rsid w:val="00BD298C"/>
    <w:rsid w:val="00BD47F5"/>
    <w:rsid w:val="00BD500C"/>
    <w:rsid w:val="00BE05E0"/>
    <w:rsid w:val="00BE0BDA"/>
    <w:rsid w:val="00BE2095"/>
    <w:rsid w:val="00BE22D1"/>
    <w:rsid w:val="00BE2924"/>
    <w:rsid w:val="00BE2FBE"/>
    <w:rsid w:val="00BE553C"/>
    <w:rsid w:val="00BE5DE4"/>
    <w:rsid w:val="00BF0005"/>
    <w:rsid w:val="00BF0F67"/>
    <w:rsid w:val="00C00F73"/>
    <w:rsid w:val="00C02863"/>
    <w:rsid w:val="00C04CF1"/>
    <w:rsid w:val="00C0795F"/>
    <w:rsid w:val="00C11B79"/>
    <w:rsid w:val="00C124F8"/>
    <w:rsid w:val="00C12CA1"/>
    <w:rsid w:val="00C12EF6"/>
    <w:rsid w:val="00C16448"/>
    <w:rsid w:val="00C21258"/>
    <w:rsid w:val="00C2202D"/>
    <w:rsid w:val="00C223AD"/>
    <w:rsid w:val="00C22F6B"/>
    <w:rsid w:val="00C23A54"/>
    <w:rsid w:val="00C248C7"/>
    <w:rsid w:val="00C26D34"/>
    <w:rsid w:val="00C27716"/>
    <w:rsid w:val="00C27E46"/>
    <w:rsid w:val="00C31383"/>
    <w:rsid w:val="00C33975"/>
    <w:rsid w:val="00C33D1B"/>
    <w:rsid w:val="00C3570E"/>
    <w:rsid w:val="00C3583B"/>
    <w:rsid w:val="00C35C5D"/>
    <w:rsid w:val="00C40AE6"/>
    <w:rsid w:val="00C40B35"/>
    <w:rsid w:val="00C40B40"/>
    <w:rsid w:val="00C4222F"/>
    <w:rsid w:val="00C4470F"/>
    <w:rsid w:val="00C447C2"/>
    <w:rsid w:val="00C45136"/>
    <w:rsid w:val="00C45638"/>
    <w:rsid w:val="00C45B98"/>
    <w:rsid w:val="00C50690"/>
    <w:rsid w:val="00C51D15"/>
    <w:rsid w:val="00C521F0"/>
    <w:rsid w:val="00C52DE6"/>
    <w:rsid w:val="00C54163"/>
    <w:rsid w:val="00C54748"/>
    <w:rsid w:val="00C55EF0"/>
    <w:rsid w:val="00C6201B"/>
    <w:rsid w:val="00C62C16"/>
    <w:rsid w:val="00C64085"/>
    <w:rsid w:val="00C649A0"/>
    <w:rsid w:val="00C65225"/>
    <w:rsid w:val="00C667A4"/>
    <w:rsid w:val="00C67A83"/>
    <w:rsid w:val="00C67ADD"/>
    <w:rsid w:val="00C704A2"/>
    <w:rsid w:val="00C71B38"/>
    <w:rsid w:val="00C73800"/>
    <w:rsid w:val="00C741D6"/>
    <w:rsid w:val="00C74ED5"/>
    <w:rsid w:val="00C771BF"/>
    <w:rsid w:val="00C81120"/>
    <w:rsid w:val="00C813AA"/>
    <w:rsid w:val="00C82BF7"/>
    <w:rsid w:val="00C8721F"/>
    <w:rsid w:val="00C91133"/>
    <w:rsid w:val="00C91C24"/>
    <w:rsid w:val="00C933B5"/>
    <w:rsid w:val="00C94335"/>
    <w:rsid w:val="00CA05CA"/>
    <w:rsid w:val="00CA0E1F"/>
    <w:rsid w:val="00CA12C6"/>
    <w:rsid w:val="00CA221B"/>
    <w:rsid w:val="00CA23B2"/>
    <w:rsid w:val="00CA30C6"/>
    <w:rsid w:val="00CA3741"/>
    <w:rsid w:val="00CA4915"/>
    <w:rsid w:val="00CA5BA0"/>
    <w:rsid w:val="00CA6892"/>
    <w:rsid w:val="00CA7DE6"/>
    <w:rsid w:val="00CB329E"/>
    <w:rsid w:val="00CB7611"/>
    <w:rsid w:val="00CC1F8F"/>
    <w:rsid w:val="00CC5769"/>
    <w:rsid w:val="00CD0FC1"/>
    <w:rsid w:val="00CD35A8"/>
    <w:rsid w:val="00CD3660"/>
    <w:rsid w:val="00CD3A87"/>
    <w:rsid w:val="00CD3ED6"/>
    <w:rsid w:val="00CD4F75"/>
    <w:rsid w:val="00CD6C1A"/>
    <w:rsid w:val="00CE0C94"/>
    <w:rsid w:val="00CE1DDF"/>
    <w:rsid w:val="00CE32C4"/>
    <w:rsid w:val="00CE525B"/>
    <w:rsid w:val="00CF0E1E"/>
    <w:rsid w:val="00CF13A4"/>
    <w:rsid w:val="00CF21CA"/>
    <w:rsid w:val="00CF357D"/>
    <w:rsid w:val="00CF4AAD"/>
    <w:rsid w:val="00CF55B7"/>
    <w:rsid w:val="00CF7055"/>
    <w:rsid w:val="00D019A4"/>
    <w:rsid w:val="00D02A76"/>
    <w:rsid w:val="00D02EF4"/>
    <w:rsid w:val="00D02F78"/>
    <w:rsid w:val="00D04342"/>
    <w:rsid w:val="00D114C4"/>
    <w:rsid w:val="00D124D0"/>
    <w:rsid w:val="00D13A96"/>
    <w:rsid w:val="00D15D8D"/>
    <w:rsid w:val="00D20F83"/>
    <w:rsid w:val="00D21AE4"/>
    <w:rsid w:val="00D222C3"/>
    <w:rsid w:val="00D2245F"/>
    <w:rsid w:val="00D22550"/>
    <w:rsid w:val="00D22752"/>
    <w:rsid w:val="00D271F9"/>
    <w:rsid w:val="00D27394"/>
    <w:rsid w:val="00D318FD"/>
    <w:rsid w:val="00D34FD4"/>
    <w:rsid w:val="00D409DA"/>
    <w:rsid w:val="00D41E0F"/>
    <w:rsid w:val="00D42B0A"/>
    <w:rsid w:val="00D42B4A"/>
    <w:rsid w:val="00D51225"/>
    <w:rsid w:val="00D5140C"/>
    <w:rsid w:val="00D530EF"/>
    <w:rsid w:val="00D54C34"/>
    <w:rsid w:val="00D61E61"/>
    <w:rsid w:val="00D62B74"/>
    <w:rsid w:val="00D62F5D"/>
    <w:rsid w:val="00D64204"/>
    <w:rsid w:val="00D66051"/>
    <w:rsid w:val="00D70910"/>
    <w:rsid w:val="00D71AC1"/>
    <w:rsid w:val="00D7507D"/>
    <w:rsid w:val="00D80ED0"/>
    <w:rsid w:val="00D81274"/>
    <w:rsid w:val="00D82175"/>
    <w:rsid w:val="00D83534"/>
    <w:rsid w:val="00D8446B"/>
    <w:rsid w:val="00D8469F"/>
    <w:rsid w:val="00D85429"/>
    <w:rsid w:val="00D92D99"/>
    <w:rsid w:val="00D92EF9"/>
    <w:rsid w:val="00D940D4"/>
    <w:rsid w:val="00D94E7A"/>
    <w:rsid w:val="00D95291"/>
    <w:rsid w:val="00D97D5F"/>
    <w:rsid w:val="00DA013C"/>
    <w:rsid w:val="00DA07C2"/>
    <w:rsid w:val="00DA2538"/>
    <w:rsid w:val="00DA5736"/>
    <w:rsid w:val="00DA5B7A"/>
    <w:rsid w:val="00DA74AC"/>
    <w:rsid w:val="00DB40D6"/>
    <w:rsid w:val="00DB42DD"/>
    <w:rsid w:val="00DB72C9"/>
    <w:rsid w:val="00DC16BC"/>
    <w:rsid w:val="00DC449E"/>
    <w:rsid w:val="00DC483B"/>
    <w:rsid w:val="00DC5058"/>
    <w:rsid w:val="00DD161A"/>
    <w:rsid w:val="00DD191F"/>
    <w:rsid w:val="00DD2853"/>
    <w:rsid w:val="00DD36C0"/>
    <w:rsid w:val="00DD615F"/>
    <w:rsid w:val="00DD6AFB"/>
    <w:rsid w:val="00DE08AB"/>
    <w:rsid w:val="00DE0A10"/>
    <w:rsid w:val="00DE2AF3"/>
    <w:rsid w:val="00DE4899"/>
    <w:rsid w:val="00DE4953"/>
    <w:rsid w:val="00DF0D87"/>
    <w:rsid w:val="00DF2361"/>
    <w:rsid w:val="00DF55D8"/>
    <w:rsid w:val="00DF71D1"/>
    <w:rsid w:val="00DF79AE"/>
    <w:rsid w:val="00E02346"/>
    <w:rsid w:val="00E02962"/>
    <w:rsid w:val="00E03686"/>
    <w:rsid w:val="00E04150"/>
    <w:rsid w:val="00E04A73"/>
    <w:rsid w:val="00E04BDA"/>
    <w:rsid w:val="00E0619E"/>
    <w:rsid w:val="00E06CC4"/>
    <w:rsid w:val="00E07D6B"/>
    <w:rsid w:val="00E110A8"/>
    <w:rsid w:val="00E11BAC"/>
    <w:rsid w:val="00E16253"/>
    <w:rsid w:val="00E16727"/>
    <w:rsid w:val="00E1725D"/>
    <w:rsid w:val="00E20023"/>
    <w:rsid w:val="00E21200"/>
    <w:rsid w:val="00E24283"/>
    <w:rsid w:val="00E25933"/>
    <w:rsid w:val="00E30249"/>
    <w:rsid w:val="00E30F43"/>
    <w:rsid w:val="00E3207E"/>
    <w:rsid w:val="00E33B2B"/>
    <w:rsid w:val="00E33B40"/>
    <w:rsid w:val="00E37FB1"/>
    <w:rsid w:val="00E41916"/>
    <w:rsid w:val="00E42A4A"/>
    <w:rsid w:val="00E433D2"/>
    <w:rsid w:val="00E439A6"/>
    <w:rsid w:val="00E43D00"/>
    <w:rsid w:val="00E46A79"/>
    <w:rsid w:val="00E5106A"/>
    <w:rsid w:val="00E532BB"/>
    <w:rsid w:val="00E53488"/>
    <w:rsid w:val="00E542E9"/>
    <w:rsid w:val="00E55BC6"/>
    <w:rsid w:val="00E57458"/>
    <w:rsid w:val="00E574ED"/>
    <w:rsid w:val="00E57E3F"/>
    <w:rsid w:val="00E61864"/>
    <w:rsid w:val="00E62588"/>
    <w:rsid w:val="00E625AF"/>
    <w:rsid w:val="00E62F5B"/>
    <w:rsid w:val="00E64BA9"/>
    <w:rsid w:val="00E65D1C"/>
    <w:rsid w:val="00E665F5"/>
    <w:rsid w:val="00E6770E"/>
    <w:rsid w:val="00E70622"/>
    <w:rsid w:val="00E715BD"/>
    <w:rsid w:val="00E7282C"/>
    <w:rsid w:val="00E729C3"/>
    <w:rsid w:val="00E731F9"/>
    <w:rsid w:val="00E768AA"/>
    <w:rsid w:val="00E771FA"/>
    <w:rsid w:val="00E7727A"/>
    <w:rsid w:val="00E774EB"/>
    <w:rsid w:val="00E8000D"/>
    <w:rsid w:val="00E80C7D"/>
    <w:rsid w:val="00E80DE4"/>
    <w:rsid w:val="00E811E6"/>
    <w:rsid w:val="00E821AB"/>
    <w:rsid w:val="00E85286"/>
    <w:rsid w:val="00E86DE3"/>
    <w:rsid w:val="00E909DA"/>
    <w:rsid w:val="00E90A63"/>
    <w:rsid w:val="00E929AE"/>
    <w:rsid w:val="00E933BB"/>
    <w:rsid w:val="00E9377E"/>
    <w:rsid w:val="00E93AB8"/>
    <w:rsid w:val="00E973CB"/>
    <w:rsid w:val="00EA1507"/>
    <w:rsid w:val="00EA40FE"/>
    <w:rsid w:val="00EA5BB7"/>
    <w:rsid w:val="00EA6F3C"/>
    <w:rsid w:val="00EB18D1"/>
    <w:rsid w:val="00EB23A7"/>
    <w:rsid w:val="00EB36EE"/>
    <w:rsid w:val="00EB394C"/>
    <w:rsid w:val="00EB44B8"/>
    <w:rsid w:val="00EB70B1"/>
    <w:rsid w:val="00EC0E5D"/>
    <w:rsid w:val="00EC2429"/>
    <w:rsid w:val="00EC3289"/>
    <w:rsid w:val="00EC6225"/>
    <w:rsid w:val="00EC6ECB"/>
    <w:rsid w:val="00ED01C6"/>
    <w:rsid w:val="00EE10EA"/>
    <w:rsid w:val="00EE1E62"/>
    <w:rsid w:val="00EE33C9"/>
    <w:rsid w:val="00EE3752"/>
    <w:rsid w:val="00EE4048"/>
    <w:rsid w:val="00EE4C31"/>
    <w:rsid w:val="00EE5F75"/>
    <w:rsid w:val="00EF08AC"/>
    <w:rsid w:val="00EF0FD5"/>
    <w:rsid w:val="00EF1546"/>
    <w:rsid w:val="00EF2C4A"/>
    <w:rsid w:val="00EF2DC8"/>
    <w:rsid w:val="00EF461E"/>
    <w:rsid w:val="00EF6E00"/>
    <w:rsid w:val="00EF7D68"/>
    <w:rsid w:val="00F01459"/>
    <w:rsid w:val="00F02F24"/>
    <w:rsid w:val="00F0499D"/>
    <w:rsid w:val="00F06607"/>
    <w:rsid w:val="00F073B1"/>
    <w:rsid w:val="00F11947"/>
    <w:rsid w:val="00F1314F"/>
    <w:rsid w:val="00F146C8"/>
    <w:rsid w:val="00F14EB6"/>
    <w:rsid w:val="00F1727E"/>
    <w:rsid w:val="00F229CF"/>
    <w:rsid w:val="00F24BA4"/>
    <w:rsid w:val="00F30553"/>
    <w:rsid w:val="00F30B5F"/>
    <w:rsid w:val="00F30FAA"/>
    <w:rsid w:val="00F3120B"/>
    <w:rsid w:val="00F32A83"/>
    <w:rsid w:val="00F33B6F"/>
    <w:rsid w:val="00F33E3D"/>
    <w:rsid w:val="00F33FE3"/>
    <w:rsid w:val="00F3404C"/>
    <w:rsid w:val="00F35C7A"/>
    <w:rsid w:val="00F36899"/>
    <w:rsid w:val="00F368AF"/>
    <w:rsid w:val="00F3709C"/>
    <w:rsid w:val="00F37EA2"/>
    <w:rsid w:val="00F40EEA"/>
    <w:rsid w:val="00F4372D"/>
    <w:rsid w:val="00F43787"/>
    <w:rsid w:val="00F44968"/>
    <w:rsid w:val="00F44B2E"/>
    <w:rsid w:val="00F517E5"/>
    <w:rsid w:val="00F519CB"/>
    <w:rsid w:val="00F554F2"/>
    <w:rsid w:val="00F5746A"/>
    <w:rsid w:val="00F618BF"/>
    <w:rsid w:val="00F63E68"/>
    <w:rsid w:val="00F657A3"/>
    <w:rsid w:val="00F67B4F"/>
    <w:rsid w:val="00F71AC1"/>
    <w:rsid w:val="00F745D7"/>
    <w:rsid w:val="00F75E79"/>
    <w:rsid w:val="00F767F9"/>
    <w:rsid w:val="00F80CF1"/>
    <w:rsid w:val="00F8489E"/>
    <w:rsid w:val="00F84B64"/>
    <w:rsid w:val="00F862D8"/>
    <w:rsid w:val="00F90577"/>
    <w:rsid w:val="00F91022"/>
    <w:rsid w:val="00F94C00"/>
    <w:rsid w:val="00FA1AAA"/>
    <w:rsid w:val="00FA1C1D"/>
    <w:rsid w:val="00FA380B"/>
    <w:rsid w:val="00FA63D7"/>
    <w:rsid w:val="00FA7F87"/>
    <w:rsid w:val="00FB3AC2"/>
    <w:rsid w:val="00FB5222"/>
    <w:rsid w:val="00FB682A"/>
    <w:rsid w:val="00FC109B"/>
    <w:rsid w:val="00FC1D76"/>
    <w:rsid w:val="00FC1F54"/>
    <w:rsid w:val="00FC2F7F"/>
    <w:rsid w:val="00FC332A"/>
    <w:rsid w:val="00FD1C2F"/>
    <w:rsid w:val="00FD1DC5"/>
    <w:rsid w:val="00FD2B87"/>
    <w:rsid w:val="00FD47FD"/>
    <w:rsid w:val="00FD49C1"/>
    <w:rsid w:val="00FD4F32"/>
    <w:rsid w:val="00FD5465"/>
    <w:rsid w:val="00FD599D"/>
    <w:rsid w:val="00FD64F2"/>
    <w:rsid w:val="00FD6F06"/>
    <w:rsid w:val="00FE1805"/>
    <w:rsid w:val="00FE2254"/>
    <w:rsid w:val="00FE2D2E"/>
    <w:rsid w:val="00FE4EF6"/>
    <w:rsid w:val="00FE58C7"/>
    <w:rsid w:val="00FE5C23"/>
    <w:rsid w:val="00FF03DC"/>
    <w:rsid w:val="00FF1698"/>
    <w:rsid w:val="00FF6287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5FA98"/>
  <w15:docId w15:val="{3DD76929-7E76-4E07-928A-FBF1961C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99D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55C65"/>
    <w:pPr>
      <w:keepNext/>
      <w:spacing w:before="120" w:line="200" w:lineRule="atLeast"/>
      <w:jc w:val="center"/>
      <w:outlineLvl w:val="0"/>
    </w:pPr>
    <w:rPr>
      <w:rFonts w:eastAsiaTheme="minorHAnsi" w:cs="Arial"/>
      <w:b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3387D"/>
    <w:pPr>
      <w:jc w:val="center"/>
    </w:pPr>
    <w:rPr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3387D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KZ">
    <w:name w:val="Normální KZ"/>
    <w:basedOn w:val="Normln"/>
    <w:rsid w:val="0003387D"/>
    <w:pPr>
      <w:spacing w:after="120"/>
      <w:ind w:firstLine="425"/>
    </w:pPr>
    <w:rPr>
      <w:lang w:eastAsia="cs-CZ"/>
    </w:rPr>
  </w:style>
  <w:style w:type="character" w:styleId="Znakapoznpodarou">
    <w:name w:val="footnote reference"/>
    <w:aliases w:val="PGI Fußnote Ziffer + Times New Roman,12 b.,Zúžené o ...,PGI Fußnote Ziffer,Footnote"/>
    <w:basedOn w:val="Standardnpsmoodstavce"/>
    <w:uiPriority w:val="99"/>
    <w:rsid w:val="004F5D7D"/>
    <w:rPr>
      <w:vertAlign w:val="superscript"/>
    </w:rPr>
  </w:style>
  <w:style w:type="paragraph" w:styleId="Textpoznpodarou">
    <w:name w:val="footnote text"/>
    <w:aliases w:val="Schriftart: 9 pt,Schriftart: 10 pt,Schriftart: 8 pt,Boston 10,Font: Geneva 9,Fußnotentextf,Geneva 9,Podrozdzia3,Podrozdział,Text poznámky pod čiarou 007,f,pozn. pod čarou"/>
    <w:basedOn w:val="Normln"/>
    <w:link w:val="TextpoznpodarouChar"/>
    <w:uiPriority w:val="99"/>
    <w:rsid w:val="004F5D7D"/>
    <w:pPr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Boston 10 Char,Font: Geneva 9 Char,Fußnotentextf Char,Geneva 9 Char,Podrozdzia3 Char,Podrozdział Char,Text poznámky pod čiarou 007 Char,f Char"/>
    <w:basedOn w:val="Standardnpsmoodstavce"/>
    <w:link w:val="Textpoznpodarou"/>
    <w:uiPriority w:val="99"/>
    <w:rsid w:val="004F5D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rážky,List Paragraph1,List Paragraph2,Nad,Nad1,Nad2,Odstavec_muj,Odstavec_muj1,Odstavec_muj10,Odstavec_muj2,Odstavec_muj3,Odstavec_muj4,Odstavec_muj5,Odstavec_muj6,Odstavec_muj7,Odstavec_muj8,Odstavec_muj9"/>
    <w:basedOn w:val="Normln"/>
    <w:link w:val="OdstavecseseznamemChar"/>
    <w:uiPriority w:val="34"/>
    <w:qFormat/>
    <w:rsid w:val="00AE5B44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table" w:styleId="Mkatabulky">
    <w:name w:val="Table Grid"/>
    <w:basedOn w:val="Normlntabulka"/>
    <w:uiPriority w:val="39"/>
    <w:rsid w:val="00AC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Char,List Paragraph1 Char,List Paragraph2 Char,Nad Char,Nad1 Char,Nad2 Char,Odstavec_muj Char,Odstavec_muj1 Char,Odstavec_muj10 Char,Odstavec_muj2 Char,Odstavec_muj3 Char,Odstavec_muj4 Char,Odstavec_muj5 Char"/>
    <w:link w:val="Odstavecseseznamem"/>
    <w:uiPriority w:val="34"/>
    <w:locked/>
    <w:rsid w:val="004656E8"/>
    <w:rPr>
      <w:rFonts w:ascii="Calibri" w:eastAsia="Calibri" w:hAnsi="Calibri" w:cs="Times New Roman"/>
    </w:rPr>
  </w:style>
  <w:style w:type="paragraph" w:customStyle="1" w:styleId="Default">
    <w:name w:val="Default"/>
    <w:rsid w:val="000659D4"/>
    <w:pPr>
      <w:autoSpaceDE w:val="0"/>
      <w:autoSpaceDN w:val="0"/>
      <w:adjustRightInd w:val="0"/>
      <w:spacing w:after="0" w:line="240" w:lineRule="auto"/>
    </w:pPr>
    <w:rPr>
      <w:rFonts w:ascii="KFCHLL+Verdana" w:eastAsia="Times New Roman" w:hAnsi="KFCHLL+Verdana" w:cs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C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CF5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324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420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B324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420"/>
    <w:rPr>
      <w:rFonts w:ascii="Arial" w:eastAsia="Times New Roman" w:hAnsi="Arial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37E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E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7EA2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E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EA2"/>
    <w:rPr>
      <w:rFonts w:ascii="Arial" w:eastAsia="Times New Roman" w:hAnsi="Arial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52138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4249D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42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apitoly">
    <w:name w:val="Kapitoly"/>
    <w:basedOn w:val="Normln"/>
    <w:qFormat/>
    <w:rsid w:val="002C603E"/>
    <w:pPr>
      <w:numPr>
        <w:numId w:val="1"/>
      </w:numPr>
      <w:jc w:val="center"/>
    </w:pPr>
    <w:rPr>
      <w:rFonts w:eastAsiaTheme="minorHAnsi" w:cs="Arial"/>
      <w:b/>
      <w:sz w:val="28"/>
      <w:szCs w:val="28"/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1B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1B38"/>
    <w:rPr>
      <w:rFonts w:ascii="Arial" w:eastAsia="Times New Roman" w:hAnsi="Arial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55C65"/>
    <w:rPr>
      <w:rFonts w:ascii="Arial" w:hAnsi="Arial" w:cs="Arial"/>
      <w:b/>
      <w:sz w:val="28"/>
    </w:rPr>
  </w:style>
  <w:style w:type="paragraph" w:customStyle="1" w:styleId="Standardntext">
    <w:name w:val="Standardní text"/>
    <w:basedOn w:val="Normln"/>
    <w:link w:val="StandardntextChar"/>
    <w:qFormat/>
    <w:rsid w:val="000C15F8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lang w:eastAsia="cs-CZ"/>
    </w:rPr>
  </w:style>
  <w:style w:type="character" w:customStyle="1" w:styleId="StandardntextChar">
    <w:name w:val="Standardní text Char"/>
    <w:link w:val="Standardntext"/>
    <w:rsid w:val="000C1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0655EC"/>
    <w:pPr>
      <w:spacing w:before="240" w:after="240" w:line="360" w:lineRule="auto"/>
      <w:ind w:firstLine="708"/>
    </w:pPr>
    <w:rPr>
      <w:rFonts w:cs="Arial"/>
      <w:sz w:val="24"/>
      <w:szCs w:val="22"/>
      <w:lang w:eastAsia="cs-CZ"/>
    </w:rPr>
  </w:style>
  <w:style w:type="character" w:customStyle="1" w:styleId="textChar">
    <w:name w:val="text Char"/>
    <w:basedOn w:val="Standardnpsmoodstavce"/>
    <w:link w:val="text"/>
    <w:rsid w:val="000655EC"/>
    <w:rPr>
      <w:rFonts w:ascii="Arial" w:eastAsia="Times New Roman" w:hAnsi="Arial" w:cs="Arial"/>
      <w:sz w:val="24"/>
      <w:lang w:eastAsia="cs-CZ"/>
    </w:rPr>
  </w:style>
  <w:style w:type="paragraph" w:customStyle="1" w:styleId="NadpisKZ">
    <w:name w:val="Nadpis KZ"/>
    <w:basedOn w:val="Zkladntext2"/>
    <w:rsid w:val="00854F4A"/>
    <w:pPr>
      <w:spacing w:before="120" w:after="360" w:line="240" w:lineRule="auto"/>
      <w:jc w:val="left"/>
    </w:pPr>
    <w:rPr>
      <w:rFonts w:ascii="Times New Roman" w:hAnsi="Times New Roman"/>
      <w:b/>
      <w:bCs/>
      <w:sz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F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F4A"/>
    <w:rPr>
      <w:rFonts w:ascii="Arial" w:eastAsia="Times New Roman" w:hAnsi="Arial" w:cs="Times New Roman"/>
      <w:szCs w:val="24"/>
    </w:rPr>
  </w:style>
  <w:style w:type="paragraph" w:styleId="Normlnweb">
    <w:name w:val="Normal (Web)"/>
    <w:basedOn w:val="Normln"/>
    <w:uiPriority w:val="99"/>
    <w:semiHidden/>
    <w:unhideWhenUsed/>
    <w:rsid w:val="00A91BEF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0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0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1\BOLERAZK\DATA\Agendy\18-01%20%20zony\KZ\graf%20dopad%20podpory%20zon%202005-20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BOLERAZK\DATA\Agendy\18-01%20%20zony\KZ\graf%20zony%20podle%20kraju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List1!$A$4</c:f>
              <c:strCache>
                <c:ptCount val="1"/>
                <c:pt idx="0">
                  <c:v>Dopad na státní rozpočet kumulativně v mil. Kč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/>
              </a:solidFill>
            </a:ln>
            <a:effectLst/>
          </c:spPr>
          <c:cat>
            <c:numRef>
              <c:f>List1!$B$3:$AA$3</c:f>
              <c:numCache>
                <c:formatCode>General</c:formatCode>
                <c:ptCount val="2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  <c:pt idx="19">
                  <c:v>2024</c:v>
                </c:pt>
                <c:pt idx="20">
                  <c:v>2025</c:v>
                </c:pt>
                <c:pt idx="21">
                  <c:v>2026</c:v>
                </c:pt>
                <c:pt idx="22">
                  <c:v>2027</c:v>
                </c:pt>
                <c:pt idx="23">
                  <c:v>2028</c:v>
                </c:pt>
                <c:pt idx="24">
                  <c:v>2029</c:v>
                </c:pt>
                <c:pt idx="25">
                  <c:v>2030</c:v>
                </c:pt>
              </c:numCache>
            </c:numRef>
          </c:cat>
          <c:val>
            <c:numRef>
              <c:f>List1!$B$4:$AA$4</c:f>
              <c:numCache>
                <c:formatCode>General</c:formatCode>
                <c:ptCount val="26"/>
                <c:pt idx="0">
                  <c:v>-284</c:v>
                </c:pt>
                <c:pt idx="1">
                  <c:v>-1388</c:v>
                </c:pt>
                <c:pt idx="2">
                  <c:v>-2720</c:v>
                </c:pt>
                <c:pt idx="3">
                  <c:v>-2584</c:v>
                </c:pt>
                <c:pt idx="4">
                  <c:v>-3524</c:v>
                </c:pt>
                <c:pt idx="5">
                  <c:v>-3573</c:v>
                </c:pt>
                <c:pt idx="6">
                  <c:v>-3202</c:v>
                </c:pt>
                <c:pt idx="7">
                  <c:v>-2621</c:v>
                </c:pt>
                <c:pt idx="8">
                  <c:v>-2026</c:v>
                </c:pt>
                <c:pt idx="9">
                  <c:v>-1470</c:v>
                </c:pt>
                <c:pt idx="10">
                  <c:v>-1616</c:v>
                </c:pt>
                <c:pt idx="11">
                  <c:v>-2421</c:v>
                </c:pt>
                <c:pt idx="12">
                  <c:v>-2272</c:v>
                </c:pt>
                <c:pt idx="13">
                  <c:v>-1810</c:v>
                </c:pt>
                <c:pt idx="14">
                  <c:v>-1045</c:v>
                </c:pt>
                <c:pt idx="15">
                  <c:v>-98</c:v>
                </c:pt>
                <c:pt idx="16">
                  <c:v>935</c:v>
                </c:pt>
                <c:pt idx="17">
                  <c:v>2012</c:v>
                </c:pt>
                <c:pt idx="18">
                  <c:v>3128</c:v>
                </c:pt>
                <c:pt idx="19">
                  <c:v>4279</c:v>
                </c:pt>
                <c:pt idx="20">
                  <c:v>5460</c:v>
                </c:pt>
                <c:pt idx="21">
                  <c:v>6668</c:v>
                </c:pt>
                <c:pt idx="22">
                  <c:v>7897</c:v>
                </c:pt>
                <c:pt idx="23">
                  <c:v>9147</c:v>
                </c:pt>
                <c:pt idx="24">
                  <c:v>10409</c:v>
                </c:pt>
                <c:pt idx="25">
                  <c:v>11677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2F-463A-B799-C406ACCBB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3470159"/>
        <c:axId val="1933465167"/>
      </c:areaChart>
      <c:catAx>
        <c:axId val="193347015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Rok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33465167"/>
        <c:crosses val="autoZero"/>
        <c:auto val="1"/>
        <c:lblAlgn val="ctr"/>
        <c:lblOffset val="100"/>
        <c:tickLblSkip val="4"/>
        <c:noMultiLvlLbl val="0"/>
      </c:catAx>
      <c:valAx>
        <c:axId val="1933465167"/>
        <c:scaling>
          <c:orientation val="minMax"/>
          <c:max val="12000"/>
          <c:min val="-4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Dopad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3347015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List1!$A$4</c:f>
              <c:strCache>
                <c:ptCount val="1"/>
                <c:pt idx="0">
                  <c:v>Počet zón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List1!$B$3:$N$3</c:f>
              <c:strCache>
                <c:ptCount val="13"/>
                <c:pt idx="0">
                  <c:v>Jihočeský.</c:v>
                </c:pt>
                <c:pt idx="1">
                  <c:v>Jihomoravský.</c:v>
                </c:pt>
                <c:pt idx="2">
                  <c:v>Královéhradecký.</c:v>
                </c:pt>
                <c:pt idx="3">
                  <c:v>Moravskoslezský.</c:v>
                </c:pt>
                <c:pt idx="4">
                  <c:v>Olomoucký</c:v>
                </c:pt>
                <c:pt idx="5">
                  <c:v>Pardubický</c:v>
                </c:pt>
                <c:pt idx="6">
                  <c:v>Plzeňský</c:v>
                </c:pt>
                <c:pt idx="7">
                  <c:v>Středočeský</c:v>
                </c:pt>
                <c:pt idx="8">
                  <c:v>Ústecký</c:v>
                </c:pt>
                <c:pt idx="9">
                  <c:v>Vysočina</c:v>
                </c:pt>
                <c:pt idx="10">
                  <c:v>Zlínský</c:v>
                </c:pt>
                <c:pt idx="11">
                  <c:v>Karlovarský</c:v>
                </c:pt>
                <c:pt idx="12">
                  <c:v>Liberecký</c:v>
                </c:pt>
              </c:strCache>
            </c:strRef>
          </c:cat>
          <c:val>
            <c:numRef>
              <c:f>List1!$B$4:$N$4</c:f>
              <c:numCache>
                <c:formatCode>General</c:formatCode>
                <c:ptCount val="13"/>
                <c:pt idx="0">
                  <c:v>4</c:v>
                </c:pt>
                <c:pt idx="1">
                  <c:v>9</c:v>
                </c:pt>
                <c:pt idx="2">
                  <c:v>5</c:v>
                </c:pt>
                <c:pt idx="3">
                  <c:v>12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10</c:v>
                </c:pt>
                <c:pt idx="8">
                  <c:v>15</c:v>
                </c:pt>
                <c:pt idx="9">
                  <c:v>11</c:v>
                </c:pt>
                <c:pt idx="10">
                  <c:v>5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E8-4052-AE39-91C9A59E3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1929920"/>
        <c:axId val="1341931168"/>
      </c:barChart>
      <c:lineChart>
        <c:grouping val="standard"/>
        <c:varyColors val="0"/>
        <c:ser>
          <c:idx val="1"/>
          <c:order val="1"/>
          <c:tx>
            <c:strRef>
              <c:f>List1!$A$5</c:f>
              <c:strCache>
                <c:ptCount val="1"/>
                <c:pt idx="0">
                  <c:v>Výše podpory v mil. Kč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List1!$B$3:$N$3</c:f>
              <c:strCache>
                <c:ptCount val="13"/>
                <c:pt idx="0">
                  <c:v>Jihočeský.</c:v>
                </c:pt>
                <c:pt idx="1">
                  <c:v>Jihomoravský.</c:v>
                </c:pt>
                <c:pt idx="2">
                  <c:v>Královéhradecký.</c:v>
                </c:pt>
                <c:pt idx="3">
                  <c:v>Moravskoslezský.</c:v>
                </c:pt>
                <c:pt idx="4">
                  <c:v>Olomoucký</c:v>
                </c:pt>
                <c:pt idx="5">
                  <c:v>Pardubický</c:v>
                </c:pt>
                <c:pt idx="6">
                  <c:v>Plzeňský</c:v>
                </c:pt>
                <c:pt idx="7">
                  <c:v>Středočeský</c:v>
                </c:pt>
                <c:pt idx="8">
                  <c:v>Ústecký</c:v>
                </c:pt>
                <c:pt idx="9">
                  <c:v>Vysočina</c:v>
                </c:pt>
                <c:pt idx="10">
                  <c:v>Zlínský</c:v>
                </c:pt>
                <c:pt idx="11">
                  <c:v>Karlovarský</c:v>
                </c:pt>
                <c:pt idx="12">
                  <c:v>Liberecký</c:v>
                </c:pt>
              </c:strCache>
            </c:strRef>
          </c:cat>
          <c:val>
            <c:numRef>
              <c:f>List1!$B$5:$N$5</c:f>
              <c:numCache>
                <c:formatCode>General</c:formatCode>
                <c:ptCount val="13"/>
                <c:pt idx="0">
                  <c:v>64</c:v>
                </c:pt>
                <c:pt idx="1">
                  <c:v>385</c:v>
                </c:pt>
                <c:pt idx="2">
                  <c:v>1523</c:v>
                </c:pt>
                <c:pt idx="3">
                  <c:v>2941</c:v>
                </c:pt>
                <c:pt idx="4">
                  <c:v>183</c:v>
                </c:pt>
                <c:pt idx="5">
                  <c:v>91</c:v>
                </c:pt>
                <c:pt idx="6">
                  <c:v>1132</c:v>
                </c:pt>
                <c:pt idx="7">
                  <c:v>2191</c:v>
                </c:pt>
                <c:pt idx="8">
                  <c:v>2153</c:v>
                </c:pt>
                <c:pt idx="9">
                  <c:v>270</c:v>
                </c:pt>
                <c:pt idx="10">
                  <c:v>1143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E8-4052-AE39-91C9A59E3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1904128"/>
        <c:axId val="1341913280"/>
      </c:lineChart>
      <c:catAx>
        <c:axId val="134192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41931168"/>
        <c:crosses val="autoZero"/>
        <c:auto val="1"/>
        <c:lblAlgn val="ctr"/>
        <c:lblOffset val="100"/>
        <c:noMultiLvlLbl val="0"/>
      </c:catAx>
      <c:valAx>
        <c:axId val="134193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zón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41929920"/>
        <c:crosses val="autoZero"/>
        <c:crossBetween val="between"/>
      </c:valAx>
      <c:valAx>
        <c:axId val="1341913280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Podpora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cs-CZ"/>
          </a:p>
        </c:txPr>
        <c:crossAx val="1341904128"/>
        <c:crosses val="max"/>
        <c:crossBetween val="between"/>
      </c:valAx>
      <c:catAx>
        <c:axId val="13419041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419132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40E7-C4C1-4200-B2E0-3327CFCA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D005C6CF.dotm</Template>
  <TotalTime>99</TotalTime>
  <Pages>18</Pages>
  <Words>5280</Words>
  <Characters>31154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18/01 - Podpora podnikatelských nemovitostí a podnikatelské infrastruktury</vt:lpstr>
    </vt:vector>
  </TitlesOfParts>
  <Company>NKU</Company>
  <LinksUpToDate>false</LinksUpToDate>
  <CharactersWithSpaces>36362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18/01 - Podpora podnikatelských nemovitostí a podnikatelské infrastruktury</dc:title>
  <dc:subject>Kontrolní závěr z kontrolní akce NKÚ č. 18/01 - Podpora podnikatelských nemovitostí a podnikatelské infrastruktury</dc:subject>
  <dc:creator>Nejvyšší kontrolní úřad</dc:creator>
  <cp:keywords>kontrolní závěr; podnikatelské nemovitosti</cp:keywords>
  <dc:description/>
  <cp:lastModifiedBy>KOKRDA Daniel</cp:lastModifiedBy>
  <cp:revision>4</cp:revision>
  <cp:lastPrinted>2018-10-15T08:28:00Z</cp:lastPrinted>
  <dcterms:created xsi:type="dcterms:W3CDTF">2018-10-15T08:26:00Z</dcterms:created>
  <dcterms:modified xsi:type="dcterms:W3CDTF">2018-10-15T10:04:00Z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15/18-NKU30/65/16</vt:lpwstr>
  </property>
  <property fmtid="{D5CDD505-2E9C-101B-9397-08002B2CF9AE}" pid="3" name="Contact_PostaOdes_All">
    <vt:lpwstr>ROZDĚLOVNÍK...</vt:lpwstr>
  </property>
  <property fmtid="{D5CDD505-2E9C-101B-9397-08002B2CF9AE}" pid="4" name="SZ_Spis_Pisemnost">
    <vt:lpwstr>15/18</vt:lpwstr>
  </property>
  <property fmtid="{D5CDD505-2E9C-101B-9397-08002B2CF9AE}" pid="5" name="DisplayName_SpisovyUzel_PoziceZodpo_Pisemnost">
    <vt:lpwstr>30</vt:lpwstr>
  </property>
  <property fmtid="{D5CDD505-2E9C-101B-9397-08002B2CF9AE}" pid="6" name="Zkratka_SpisovyUzel_PoziceZodpo_Pisemnost">
    <vt:lpwstr>30</vt:lpwstr>
  </property>
  <property fmtid="{D5CDD505-2E9C-101B-9397-08002B2CF9AE}" pid="7" name="Key_BarCode_Pisemnost">
    <vt:lpwstr>*B000256607*</vt:lpwstr>
  </property>
  <property fmtid="{D5CDD505-2E9C-101B-9397-08002B2CF9AE}" pid="8" name="EC_Pisemnost">
    <vt:lpwstr>16-633/NKU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>1</vt:lpwstr>
  </property>
  <property fmtid="{D5CDD505-2E9C-101B-9397-08002B2CF9AE}" pid="17" name="Vec_Pisemnost">
    <vt:lpwstr>Návrh kontrolního závěru 15/18 do připomínek</vt:lpwstr>
  </property>
  <property fmtid="{D5CDD505-2E9C-101B-9397-08002B2CF9AE}" pid="18" name="DatumPoriz_Pisemnost">
    <vt:lpwstr>12.1.2016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1</vt:lpwstr>
  </property>
  <property fmtid="{D5CDD505-2E9C-101B-9397-08002B2CF9AE}" pid="21" name="PocetPriloh_Pisemnost">
    <vt:lpwstr>0</vt:lpwstr>
  </property>
  <property fmtid="{D5CDD505-2E9C-101B-9397-08002B2CF9AE}" pid="22" name="TypPrilohy_Pisemnost">
    <vt:lpwstr>TYP PŘÍLOHY</vt:lpwstr>
  </property>
  <property fmtid="{D5CDD505-2E9C-101B-9397-08002B2CF9AE}" pid="23" name="DisplayName_UserPoriz_Pisemnost">
    <vt:lpwstr>Bc. Jana Pokorná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</Properties>
</file>