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699B3" w14:textId="77777777" w:rsidR="0094413C" w:rsidRDefault="0051469A" w:rsidP="00632E37">
      <w:pPr>
        <w:spacing w:after="0"/>
        <w:jc w:val="center"/>
      </w:pPr>
      <w:r w:rsidRPr="001B1945">
        <w:rPr>
          <w:rFonts w:asciiTheme="minorHAnsi" w:hAnsiTheme="minorHAnsi" w:cstheme="minorHAnsi"/>
          <w:noProof/>
          <w:lang w:eastAsia="cs-CZ"/>
        </w:rPr>
        <w:drawing>
          <wp:anchor distT="0" distB="0" distL="114300" distR="114300" simplePos="0" relativeHeight="251658240" behindDoc="1" locked="0" layoutInCell="1" allowOverlap="1" wp14:anchorId="5D1C862B" wp14:editId="2A54047A">
            <wp:simplePos x="0" y="0"/>
            <wp:positionH relativeFrom="margin">
              <wp:posOffset>2627630</wp:posOffset>
            </wp:positionH>
            <wp:positionV relativeFrom="page">
              <wp:posOffset>767715</wp:posOffset>
            </wp:positionV>
            <wp:extent cx="763270" cy="539750"/>
            <wp:effectExtent l="0" t="0" r="0" b="0"/>
            <wp:wrapTopAndBottom/>
            <wp:docPr id="1" name="Obrázek 1"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8668" name="Picture 2"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5603405E" w14:textId="77777777" w:rsidR="0094413C" w:rsidRDefault="0094413C" w:rsidP="00632E37">
      <w:pPr>
        <w:spacing w:after="0"/>
        <w:jc w:val="center"/>
      </w:pPr>
    </w:p>
    <w:p w14:paraId="55C935E8" w14:textId="77777777" w:rsidR="0094413C" w:rsidRDefault="0094413C" w:rsidP="00632E37">
      <w:pPr>
        <w:spacing w:after="0"/>
        <w:jc w:val="center"/>
      </w:pPr>
    </w:p>
    <w:p w14:paraId="2325E45E" w14:textId="77777777" w:rsidR="0094413C" w:rsidRPr="00C6140F" w:rsidRDefault="0051469A" w:rsidP="00632E37">
      <w:pPr>
        <w:spacing w:after="0"/>
        <w:jc w:val="center"/>
        <w:rPr>
          <w:b/>
          <w:sz w:val="28"/>
          <w:szCs w:val="28"/>
        </w:rPr>
      </w:pPr>
      <w:bookmarkStart w:id="0" w:name="_GoBack"/>
      <w:r w:rsidRPr="00C6140F">
        <w:rPr>
          <w:b/>
          <w:sz w:val="28"/>
          <w:szCs w:val="28"/>
        </w:rPr>
        <w:t>Kontrolní závěr z kontrolní akce</w:t>
      </w:r>
    </w:p>
    <w:p w14:paraId="7FB6B0E1" w14:textId="77777777" w:rsidR="00632E37" w:rsidRDefault="00632E37" w:rsidP="00632E37">
      <w:pPr>
        <w:spacing w:after="0"/>
        <w:jc w:val="center"/>
      </w:pPr>
    </w:p>
    <w:p w14:paraId="1EAC9390" w14:textId="77777777" w:rsidR="0094413C" w:rsidRPr="00C6140F" w:rsidRDefault="0051469A" w:rsidP="00632E37">
      <w:pPr>
        <w:spacing w:after="0"/>
        <w:jc w:val="center"/>
        <w:rPr>
          <w:b/>
          <w:sz w:val="28"/>
          <w:szCs w:val="28"/>
        </w:rPr>
      </w:pPr>
      <w:r w:rsidRPr="00C6140F">
        <w:rPr>
          <w:b/>
          <w:sz w:val="28"/>
          <w:szCs w:val="28"/>
        </w:rPr>
        <w:t>18/22</w:t>
      </w:r>
    </w:p>
    <w:p w14:paraId="5DA5BD79" w14:textId="77777777" w:rsidR="00632E37" w:rsidRDefault="00632E37" w:rsidP="00632E37">
      <w:pPr>
        <w:spacing w:after="0"/>
        <w:jc w:val="center"/>
      </w:pPr>
    </w:p>
    <w:p w14:paraId="3A62B3B5" w14:textId="77777777" w:rsidR="0094413C" w:rsidRPr="00C6140F" w:rsidRDefault="0051469A" w:rsidP="00632E37">
      <w:pPr>
        <w:spacing w:after="0"/>
        <w:jc w:val="center"/>
        <w:rPr>
          <w:b/>
          <w:sz w:val="28"/>
          <w:szCs w:val="28"/>
        </w:rPr>
      </w:pPr>
      <w:r w:rsidRPr="00C6140F">
        <w:rPr>
          <w:b/>
          <w:sz w:val="28"/>
          <w:szCs w:val="28"/>
        </w:rPr>
        <w:t>Podpora environmentální politiky v oblasti příjmů veřejných rozpočtů</w:t>
      </w:r>
      <w:bookmarkEnd w:id="0"/>
    </w:p>
    <w:p w14:paraId="7794FE0B" w14:textId="77777777" w:rsidR="00632E37" w:rsidRDefault="00632E37" w:rsidP="00632E37">
      <w:pPr>
        <w:spacing w:after="0"/>
      </w:pPr>
    </w:p>
    <w:p w14:paraId="29E2DD4A" w14:textId="77777777" w:rsidR="00632E37" w:rsidRDefault="00632E37" w:rsidP="00632E37">
      <w:pPr>
        <w:spacing w:after="0"/>
      </w:pPr>
    </w:p>
    <w:p w14:paraId="7F502BEE" w14:textId="77777777" w:rsidR="0094413C" w:rsidRDefault="0051469A" w:rsidP="00C51DFE">
      <w:pPr>
        <w:spacing w:after="240"/>
      </w:pPr>
      <w:r>
        <w:t>Kontrolní akce byla zařazena do plánu kontrolní činnosti Nejvyššího kontrolního úřadu (dále také „NKÚ“) na rok 2018 pod číslem 18/22. Kontrolní akci řídil a kontrolní závěr (dále také „KZ“) vypracoval člen NKÚ JUDr. Ing. Jiří Kalivoda.</w:t>
      </w:r>
    </w:p>
    <w:p w14:paraId="41B257AD" w14:textId="77777777" w:rsidR="0094413C" w:rsidRDefault="0051469A" w:rsidP="00C51DFE">
      <w:pPr>
        <w:spacing w:after="240"/>
      </w:pPr>
      <w:r w:rsidRPr="00C6140F">
        <w:rPr>
          <w:b/>
        </w:rPr>
        <w:t>Cílem kontroly NKÚ</w:t>
      </w:r>
      <w:r>
        <w:t xml:space="preserve"> bylo prověřit, zda je podpora v oblasti</w:t>
      </w:r>
      <w:r w:rsidR="007336F5">
        <w:t xml:space="preserve"> daní, poplatků, mýtného, cel a </w:t>
      </w:r>
      <w:r>
        <w:t>dalších příjmů veřejných rozpočtů nastavena tak, aby účinně přispívala zejména k naplnění cílů klimaticko-energetické politiky při zachování dlouhodobé udržitelnosti veřejných příjmů.</w:t>
      </w:r>
    </w:p>
    <w:p w14:paraId="71DA5865" w14:textId="77777777" w:rsidR="0094413C" w:rsidRPr="00C6140F" w:rsidRDefault="0051469A" w:rsidP="00632E37">
      <w:pPr>
        <w:spacing w:after="0"/>
        <w:rPr>
          <w:b/>
        </w:rPr>
      </w:pPr>
      <w:r w:rsidRPr="00C6140F">
        <w:rPr>
          <w:b/>
        </w:rPr>
        <w:t>Kontrolované osoby:</w:t>
      </w:r>
    </w:p>
    <w:p w14:paraId="607DFEA5" w14:textId="77777777" w:rsidR="00C6140F" w:rsidRPr="00632E37" w:rsidRDefault="0051469A" w:rsidP="00632E37">
      <w:pPr>
        <w:spacing w:after="0"/>
        <w:rPr>
          <w:rFonts w:asciiTheme="minorHAnsi" w:hAnsiTheme="minorHAnsi" w:cstheme="minorHAnsi"/>
          <w:noProof/>
          <w:lang w:eastAsia="cs-CZ"/>
        </w:rPr>
      </w:pPr>
      <w:r w:rsidRPr="00632E37">
        <w:rPr>
          <w:rFonts w:asciiTheme="minorHAnsi" w:hAnsiTheme="minorHAnsi" w:cstheme="minorHAnsi"/>
          <w:noProof/>
          <w:lang w:eastAsia="cs-CZ"/>
        </w:rPr>
        <w:t>Ministerstvo financí, Praha (dále také „MF“);</w:t>
      </w:r>
    </w:p>
    <w:p w14:paraId="5C9EE5C4" w14:textId="77777777" w:rsidR="00C6140F" w:rsidRPr="001B1945" w:rsidRDefault="0051469A" w:rsidP="00632E37">
      <w:pPr>
        <w:spacing w:after="0"/>
        <w:rPr>
          <w:rFonts w:asciiTheme="minorHAnsi" w:hAnsiTheme="minorHAnsi" w:cstheme="minorHAnsi"/>
          <w:color w:val="000000"/>
        </w:rPr>
      </w:pPr>
      <w:r w:rsidRPr="001B1945">
        <w:rPr>
          <w:rFonts w:asciiTheme="minorHAnsi" w:hAnsiTheme="minorHAnsi" w:cstheme="minorHAnsi"/>
          <w:color w:val="000000"/>
        </w:rPr>
        <w:t>Ministerstvo dopravy, Praha (dále také „MD“);</w:t>
      </w:r>
    </w:p>
    <w:p w14:paraId="56E18AA3" w14:textId="77777777" w:rsidR="00C6140F" w:rsidRDefault="0051469A" w:rsidP="00632E37">
      <w:pPr>
        <w:spacing w:after="0"/>
        <w:rPr>
          <w:rFonts w:asciiTheme="minorHAnsi" w:hAnsiTheme="minorHAnsi" w:cstheme="minorHAnsi"/>
          <w:color w:val="000000"/>
        </w:rPr>
      </w:pPr>
      <w:r w:rsidRPr="001B1945">
        <w:rPr>
          <w:rFonts w:asciiTheme="minorHAnsi" w:hAnsiTheme="minorHAnsi" w:cstheme="minorHAnsi"/>
          <w:color w:val="000000"/>
        </w:rPr>
        <w:t>Ministerstvo životn</w:t>
      </w:r>
      <w:r w:rsidR="008976C2">
        <w:rPr>
          <w:rFonts w:asciiTheme="minorHAnsi" w:hAnsiTheme="minorHAnsi" w:cstheme="minorHAnsi"/>
          <w:color w:val="000000"/>
        </w:rPr>
        <w:t>ího p</w:t>
      </w:r>
      <w:r w:rsidR="00C97EB4">
        <w:rPr>
          <w:rFonts w:asciiTheme="minorHAnsi" w:hAnsiTheme="minorHAnsi" w:cstheme="minorHAnsi"/>
          <w:color w:val="000000"/>
        </w:rPr>
        <w:t>rostředí (dále také „MŽP“).</w:t>
      </w:r>
    </w:p>
    <w:p w14:paraId="2590616A" w14:textId="77777777" w:rsidR="0094413C" w:rsidRDefault="0051469A" w:rsidP="00C51DFE">
      <w:pPr>
        <w:spacing w:before="240" w:after="240"/>
      </w:pPr>
      <w:r>
        <w:t>Kontrola byla u kontrolovaných osob prováděna v období od 4. 10. 2018 do 20. 6. 2019.</w:t>
      </w:r>
    </w:p>
    <w:p w14:paraId="2EF5DCF3" w14:textId="77777777" w:rsidR="0094413C" w:rsidRDefault="0051469A" w:rsidP="00632E37">
      <w:pPr>
        <w:spacing w:after="0"/>
      </w:pPr>
      <w:r>
        <w:t>Ko</w:t>
      </w:r>
      <w:r w:rsidR="00202397">
        <w:t>ntrolováno bylo období let 2015–</w:t>
      </w:r>
      <w:r>
        <w:t>2018 a v případě věcných souvislostí i období předcházející a navazující.</w:t>
      </w:r>
    </w:p>
    <w:p w14:paraId="292A2E05" w14:textId="77777777" w:rsidR="00632E37" w:rsidRDefault="00632E37" w:rsidP="00632E37">
      <w:pPr>
        <w:spacing w:after="0"/>
      </w:pPr>
    </w:p>
    <w:p w14:paraId="52344431" w14:textId="77777777" w:rsidR="00632E37" w:rsidRDefault="00632E37" w:rsidP="00632E37">
      <w:pPr>
        <w:spacing w:after="0"/>
      </w:pPr>
    </w:p>
    <w:p w14:paraId="3A28E57E" w14:textId="77777777" w:rsidR="0094413C" w:rsidRPr="00B10C15" w:rsidRDefault="0051469A" w:rsidP="00632E37">
      <w:pPr>
        <w:spacing w:after="0"/>
        <w:rPr>
          <w:b/>
        </w:rPr>
      </w:pPr>
      <w:r w:rsidRPr="00B10C15">
        <w:rPr>
          <w:b/>
        </w:rPr>
        <w:t>Kontrola byla prováděna jako kontrola koordinovaná dle smlouvy o spolupráci mezi Nejvyšším kontrolním úřadem České republiky a Nejvyšším kontrolním úřadem Slovenské republiky. Výsledky budou zapracovány do společné zprávy.</w:t>
      </w:r>
    </w:p>
    <w:p w14:paraId="4DF8D682" w14:textId="77777777" w:rsidR="00632E37" w:rsidRDefault="00632E37" w:rsidP="00632E37">
      <w:pPr>
        <w:spacing w:after="0"/>
      </w:pPr>
    </w:p>
    <w:p w14:paraId="5E4A1ADB" w14:textId="77777777" w:rsidR="00632E37" w:rsidRDefault="00632E37" w:rsidP="00632E37">
      <w:pPr>
        <w:spacing w:after="0"/>
      </w:pPr>
    </w:p>
    <w:p w14:paraId="5BF53765" w14:textId="77777777" w:rsidR="00C6140F" w:rsidRPr="00251318" w:rsidRDefault="0051469A" w:rsidP="00632E37">
      <w:pPr>
        <w:rPr>
          <w:rFonts w:asciiTheme="minorHAnsi" w:hAnsiTheme="minorHAnsi" w:cstheme="minorHAnsi"/>
          <w:color w:val="000000"/>
        </w:rPr>
      </w:pPr>
      <w:r w:rsidRPr="00251318">
        <w:rPr>
          <w:rFonts w:asciiTheme="minorHAnsi" w:hAnsiTheme="minorHAnsi" w:cstheme="minorHAnsi"/>
          <w:b/>
          <w:i/>
          <w:color w:val="000000"/>
          <w:spacing w:val="40"/>
        </w:rPr>
        <w:t xml:space="preserve">Kolegium  </w:t>
      </w:r>
      <w:r w:rsidRPr="00251318">
        <w:rPr>
          <w:rFonts w:asciiTheme="minorHAnsi" w:hAnsiTheme="minorHAnsi" w:cstheme="minorHAnsi"/>
          <w:b/>
          <w:i/>
          <w:color w:val="000000"/>
        </w:rPr>
        <w:t xml:space="preserve"> </w:t>
      </w:r>
      <w:r w:rsidRPr="00251318">
        <w:rPr>
          <w:rFonts w:asciiTheme="minorHAnsi" w:hAnsiTheme="minorHAnsi" w:cstheme="minorHAnsi"/>
          <w:b/>
          <w:i/>
          <w:color w:val="000000"/>
          <w:spacing w:val="40"/>
        </w:rPr>
        <w:t>NKÚ</w:t>
      </w:r>
      <w:r w:rsidRPr="00251318">
        <w:rPr>
          <w:rFonts w:asciiTheme="minorHAnsi" w:hAnsiTheme="minorHAnsi" w:cstheme="minorHAnsi"/>
          <w:b/>
          <w:i/>
          <w:color w:val="000000"/>
        </w:rPr>
        <w:t xml:space="preserve">   </w:t>
      </w:r>
      <w:r w:rsidRPr="00251318">
        <w:rPr>
          <w:rFonts w:asciiTheme="minorHAnsi" w:hAnsiTheme="minorHAnsi" w:cstheme="minorHAnsi"/>
          <w:color w:val="000000"/>
        </w:rPr>
        <w:t xml:space="preserve">na svém </w:t>
      </w:r>
      <w:r w:rsidR="00C97EB4">
        <w:rPr>
          <w:rFonts w:asciiTheme="minorHAnsi" w:hAnsiTheme="minorHAnsi" w:cstheme="minorHAnsi"/>
          <w:color w:val="000000"/>
        </w:rPr>
        <w:t>XV.</w:t>
      </w:r>
      <w:r w:rsidRPr="00251318">
        <w:rPr>
          <w:rFonts w:asciiTheme="minorHAnsi" w:hAnsiTheme="minorHAnsi" w:cstheme="minorHAnsi"/>
          <w:color w:val="000000"/>
        </w:rPr>
        <w:t xml:space="preserve"> </w:t>
      </w:r>
      <w:r w:rsidR="00C97EB4">
        <w:rPr>
          <w:rFonts w:asciiTheme="minorHAnsi" w:hAnsiTheme="minorHAnsi" w:cstheme="minorHAnsi"/>
          <w:color w:val="000000"/>
        </w:rPr>
        <w:t>jednání, které se konalo dne 14. října 2019</w:t>
      </w:r>
      <w:r w:rsidRPr="00251318">
        <w:rPr>
          <w:rFonts w:asciiTheme="minorHAnsi" w:hAnsiTheme="minorHAnsi" w:cstheme="minorHAnsi"/>
          <w:color w:val="000000"/>
        </w:rPr>
        <w:t>,</w:t>
      </w:r>
    </w:p>
    <w:p w14:paraId="695B16D9" w14:textId="77777777" w:rsidR="00C6140F" w:rsidRPr="001B1945" w:rsidRDefault="0051469A" w:rsidP="00632E37">
      <w:pPr>
        <w:rPr>
          <w:rFonts w:asciiTheme="minorHAnsi" w:hAnsiTheme="minorHAnsi" w:cstheme="minorHAnsi"/>
          <w:color w:val="000000"/>
        </w:rPr>
      </w:pPr>
      <w:r w:rsidRPr="00251318">
        <w:rPr>
          <w:rFonts w:asciiTheme="minorHAnsi" w:hAnsiTheme="minorHAnsi" w:cstheme="minorHAnsi"/>
          <w:b/>
          <w:i/>
          <w:color w:val="000000"/>
          <w:spacing w:val="40"/>
        </w:rPr>
        <w:t>schválilo</w:t>
      </w:r>
      <w:r w:rsidRPr="00251318">
        <w:rPr>
          <w:rFonts w:asciiTheme="minorHAnsi" w:hAnsiTheme="minorHAnsi" w:cstheme="minorHAnsi"/>
          <w:b/>
          <w:i/>
          <w:color w:val="000000"/>
        </w:rPr>
        <w:t xml:space="preserve">   </w:t>
      </w:r>
      <w:r w:rsidR="0036026D">
        <w:rPr>
          <w:rFonts w:asciiTheme="minorHAnsi" w:hAnsiTheme="minorHAnsi" w:cstheme="minorHAnsi"/>
          <w:color w:val="000000"/>
        </w:rPr>
        <w:t xml:space="preserve">usnesením č. </w:t>
      </w:r>
      <w:r w:rsidR="000A1102">
        <w:rPr>
          <w:rFonts w:asciiTheme="minorHAnsi" w:hAnsiTheme="minorHAnsi" w:cstheme="minorHAnsi"/>
          <w:color w:val="000000"/>
        </w:rPr>
        <w:t>11</w:t>
      </w:r>
      <w:r w:rsidR="0036026D">
        <w:rPr>
          <w:rFonts w:asciiTheme="minorHAnsi" w:hAnsiTheme="minorHAnsi" w:cstheme="minorHAnsi"/>
          <w:color w:val="000000"/>
        </w:rPr>
        <w:t>/</w:t>
      </w:r>
      <w:r w:rsidR="00C97EB4">
        <w:rPr>
          <w:rFonts w:asciiTheme="minorHAnsi" w:hAnsiTheme="minorHAnsi" w:cstheme="minorHAnsi"/>
          <w:color w:val="000000"/>
        </w:rPr>
        <w:t>XV</w:t>
      </w:r>
      <w:r w:rsidR="0036026D">
        <w:rPr>
          <w:rFonts w:asciiTheme="minorHAnsi" w:hAnsiTheme="minorHAnsi" w:cstheme="minorHAnsi"/>
          <w:color w:val="000000"/>
        </w:rPr>
        <w:t>/2019</w:t>
      </w:r>
    </w:p>
    <w:p w14:paraId="66887805" w14:textId="77777777" w:rsidR="00C6140F" w:rsidRDefault="0051469A" w:rsidP="00632E37">
      <w:pPr>
        <w:rPr>
          <w:rFonts w:asciiTheme="minorHAnsi" w:hAnsiTheme="minorHAnsi" w:cstheme="minorHAnsi"/>
          <w:color w:val="000000"/>
        </w:rPr>
      </w:pPr>
      <w:r w:rsidRPr="001B1945">
        <w:rPr>
          <w:rFonts w:asciiTheme="minorHAnsi" w:hAnsiTheme="minorHAnsi" w:cstheme="minorHAnsi"/>
          <w:b/>
          <w:i/>
          <w:color w:val="000000"/>
          <w:spacing w:val="40"/>
        </w:rPr>
        <w:t>kontrolní</w:t>
      </w:r>
      <w:r w:rsidRPr="001B1945">
        <w:rPr>
          <w:rFonts w:asciiTheme="minorHAnsi" w:hAnsiTheme="minorHAnsi" w:cstheme="minorHAnsi"/>
          <w:b/>
          <w:i/>
          <w:color w:val="000000"/>
        </w:rPr>
        <w:t xml:space="preserve">   </w:t>
      </w:r>
      <w:r w:rsidRPr="001B1945">
        <w:rPr>
          <w:rFonts w:asciiTheme="minorHAnsi" w:hAnsiTheme="minorHAnsi" w:cstheme="minorHAnsi"/>
          <w:b/>
          <w:i/>
          <w:color w:val="000000"/>
          <w:spacing w:val="40"/>
        </w:rPr>
        <w:t>závěr</w:t>
      </w:r>
      <w:r w:rsidRPr="001B1945">
        <w:rPr>
          <w:rFonts w:asciiTheme="minorHAnsi" w:hAnsiTheme="minorHAnsi" w:cstheme="minorHAnsi"/>
          <w:b/>
          <w:i/>
          <w:color w:val="000000"/>
        </w:rPr>
        <w:t xml:space="preserve">   </w:t>
      </w:r>
      <w:r w:rsidRPr="001B1945">
        <w:rPr>
          <w:rFonts w:asciiTheme="minorHAnsi" w:hAnsiTheme="minorHAnsi" w:cstheme="minorHAnsi"/>
          <w:color w:val="000000"/>
        </w:rPr>
        <w:t>v tomto znění:</w:t>
      </w:r>
    </w:p>
    <w:p w14:paraId="1C7134F4" w14:textId="77777777" w:rsidR="00886610" w:rsidRDefault="00886610" w:rsidP="00C6140F">
      <w:pPr>
        <w:rPr>
          <w:rFonts w:asciiTheme="minorHAnsi" w:hAnsiTheme="minorHAnsi" w:cstheme="minorHAnsi"/>
          <w:color w:val="000000"/>
        </w:rPr>
        <w:sectPr w:rsidR="00886610" w:rsidSect="00C153D7">
          <w:headerReference w:type="default" r:id="rId9"/>
          <w:footerReference w:type="even" r:id="rId10"/>
          <w:footerReference w:type="default" r:id="rId11"/>
          <w:pgSz w:w="11906" w:h="16838" w:code="9"/>
          <w:pgMar w:top="1418" w:right="1418" w:bottom="1418" w:left="1418" w:header="709" w:footer="709" w:gutter="0"/>
          <w:cols w:space="708"/>
          <w:titlePg/>
          <w:docGrid w:linePitch="360"/>
        </w:sectPr>
      </w:pPr>
    </w:p>
    <w:p w14:paraId="3E094603" w14:textId="77777777" w:rsidR="003105FA" w:rsidRDefault="004E4B6D" w:rsidP="003105FA">
      <w:pPr>
        <w:jc w:val="center"/>
        <w:rPr>
          <w:rFonts w:eastAsiaTheme="majorEastAsia" w:cstheme="majorBidi"/>
          <w:b/>
          <w:sz w:val="28"/>
          <w:szCs w:val="32"/>
        </w:rPr>
      </w:pPr>
      <w:bookmarkStart w:id="1" w:name="_Toc16594983"/>
      <w:bookmarkStart w:id="2" w:name="_Toc16594984"/>
      <w:r w:rsidRPr="004E4B6D">
        <w:rPr>
          <w:b/>
          <w:sz w:val="32"/>
          <w:szCs w:val="32"/>
        </w:rPr>
        <w:lastRenderedPageBreak/>
        <w:t>Klíčová fakta</w:t>
      </w:r>
    </w:p>
    <w:p w14:paraId="04CFC4F9" w14:textId="77777777" w:rsidR="003105FA" w:rsidRPr="00DA1ECF" w:rsidRDefault="003105FA" w:rsidP="00DA1ECF">
      <w:pPr>
        <w:spacing w:after="0"/>
        <w:rPr>
          <w:szCs w:val="24"/>
        </w:rPr>
      </w:pPr>
    </w:p>
    <w:tbl>
      <w:tblPr>
        <w:tblStyle w:val="Mkatabulky"/>
        <w:tblW w:w="5000" w:type="pct"/>
        <w:tblBorders>
          <w:top w:val="none" w:sz="0" w:space="0" w:color="auto"/>
          <w:left w:val="none" w:sz="0" w:space="0" w:color="auto"/>
          <w:bottom w:val="none" w:sz="0" w:space="0" w:color="auto"/>
          <w:right w:val="none" w:sz="0" w:space="0" w:color="auto"/>
          <w:insideH w:val="single" w:sz="8" w:space="0" w:color="auto"/>
          <w:insideV w:val="single" w:sz="18" w:space="0" w:color="004595"/>
        </w:tblBorders>
        <w:shd w:val="clear" w:color="auto" w:fill="E5F1FF"/>
        <w:tblLook w:val="04A0" w:firstRow="1" w:lastRow="0" w:firstColumn="1" w:lastColumn="0" w:noHBand="0" w:noVBand="1"/>
      </w:tblPr>
      <w:tblGrid>
        <w:gridCol w:w="3022"/>
        <w:gridCol w:w="3024"/>
        <w:gridCol w:w="3024"/>
      </w:tblGrid>
      <w:tr w:rsidR="003105FA" w14:paraId="3F126873" w14:textId="77777777" w:rsidTr="005B481C">
        <w:tc>
          <w:tcPr>
            <w:tcW w:w="1666" w:type="pct"/>
            <w:tcBorders>
              <w:top w:val="nil"/>
              <w:bottom w:val="single" w:sz="8" w:space="0" w:color="004595"/>
              <w:right w:val="single" w:sz="8" w:space="0" w:color="004595"/>
            </w:tcBorders>
            <w:shd w:val="clear" w:color="auto" w:fill="E5F1FF"/>
            <w:vAlign w:val="center"/>
          </w:tcPr>
          <w:p w14:paraId="31C43CCE" w14:textId="77777777" w:rsidR="003105FA" w:rsidRPr="0052482D" w:rsidRDefault="003105FA" w:rsidP="005B481C">
            <w:pPr>
              <w:spacing w:after="0"/>
              <w:jc w:val="center"/>
              <w:rPr>
                <w:b/>
                <w:sz w:val="32"/>
                <w:szCs w:val="32"/>
              </w:rPr>
            </w:pPr>
            <w:r w:rsidRPr="00E31AD4">
              <w:rPr>
                <w:b/>
                <w:sz w:val="40"/>
                <w:szCs w:val="40"/>
              </w:rPr>
              <w:t>3 832</w:t>
            </w:r>
            <w:r>
              <w:rPr>
                <w:b/>
                <w:sz w:val="32"/>
                <w:szCs w:val="32"/>
              </w:rPr>
              <w:t xml:space="preserve"> mil. Kč</w:t>
            </w:r>
          </w:p>
        </w:tc>
        <w:tc>
          <w:tcPr>
            <w:tcW w:w="1667" w:type="pct"/>
            <w:tcBorders>
              <w:top w:val="nil"/>
              <w:left w:val="single" w:sz="8" w:space="0" w:color="004595"/>
              <w:bottom w:val="single" w:sz="8" w:space="0" w:color="004595"/>
              <w:right w:val="single" w:sz="8" w:space="0" w:color="004595"/>
            </w:tcBorders>
            <w:shd w:val="clear" w:color="auto" w:fill="E5F1FF"/>
            <w:vAlign w:val="center"/>
          </w:tcPr>
          <w:p w14:paraId="505D7517" w14:textId="77777777" w:rsidR="003105FA" w:rsidRPr="0052482D" w:rsidRDefault="003105FA" w:rsidP="005B481C">
            <w:pPr>
              <w:spacing w:after="0"/>
              <w:jc w:val="center"/>
              <w:rPr>
                <w:b/>
                <w:sz w:val="40"/>
                <w:szCs w:val="40"/>
              </w:rPr>
            </w:pPr>
            <w:r>
              <w:rPr>
                <w:b/>
                <w:sz w:val="40"/>
                <w:szCs w:val="40"/>
              </w:rPr>
              <w:t xml:space="preserve">95 </w:t>
            </w:r>
            <w:r w:rsidRPr="00724468">
              <w:rPr>
                <w:b/>
                <w:sz w:val="32"/>
                <w:szCs w:val="32"/>
              </w:rPr>
              <w:t>g CO</w:t>
            </w:r>
            <w:r w:rsidRPr="00724468">
              <w:rPr>
                <w:b/>
                <w:sz w:val="32"/>
                <w:szCs w:val="32"/>
                <w:vertAlign w:val="subscript"/>
              </w:rPr>
              <w:t>2</w:t>
            </w:r>
            <w:r w:rsidRPr="00724468">
              <w:rPr>
                <w:b/>
                <w:sz w:val="32"/>
                <w:szCs w:val="32"/>
              </w:rPr>
              <w:t>/km</w:t>
            </w:r>
          </w:p>
        </w:tc>
        <w:tc>
          <w:tcPr>
            <w:tcW w:w="1667" w:type="pct"/>
            <w:tcBorders>
              <w:top w:val="nil"/>
              <w:left w:val="single" w:sz="8" w:space="0" w:color="004595"/>
              <w:bottom w:val="single" w:sz="8" w:space="0" w:color="004595"/>
            </w:tcBorders>
            <w:shd w:val="clear" w:color="auto" w:fill="E5F1FF"/>
          </w:tcPr>
          <w:p w14:paraId="2C61CD6C" w14:textId="77777777" w:rsidR="003105FA" w:rsidRDefault="003105FA" w:rsidP="005B481C">
            <w:pPr>
              <w:spacing w:after="0"/>
              <w:jc w:val="center"/>
              <w:rPr>
                <w:b/>
                <w:sz w:val="40"/>
                <w:szCs w:val="40"/>
              </w:rPr>
            </w:pPr>
            <w:r w:rsidRPr="00D4139C">
              <w:rPr>
                <w:b/>
                <w:sz w:val="40"/>
                <w:szCs w:val="40"/>
              </w:rPr>
              <w:t>10</w:t>
            </w:r>
            <w:r>
              <w:rPr>
                <w:b/>
                <w:sz w:val="32"/>
                <w:szCs w:val="32"/>
              </w:rPr>
              <w:t xml:space="preserve"> %</w:t>
            </w:r>
          </w:p>
        </w:tc>
      </w:tr>
      <w:tr w:rsidR="003105FA" w14:paraId="49C66D03" w14:textId="77777777" w:rsidTr="005B481C">
        <w:tc>
          <w:tcPr>
            <w:tcW w:w="1666" w:type="pct"/>
            <w:tcBorders>
              <w:top w:val="single" w:sz="8" w:space="0" w:color="004595"/>
              <w:bottom w:val="nil"/>
              <w:right w:val="single" w:sz="8" w:space="0" w:color="004595"/>
            </w:tcBorders>
            <w:shd w:val="clear" w:color="auto" w:fill="E5F1FF"/>
            <w:vAlign w:val="center"/>
          </w:tcPr>
          <w:p w14:paraId="403DD0CE" w14:textId="77777777" w:rsidR="003105FA" w:rsidRDefault="003105FA" w:rsidP="005B481C">
            <w:pPr>
              <w:jc w:val="center"/>
            </w:pPr>
            <w:r>
              <w:t>nekompenzované náklady na životní prostředí z dopravy v</w:t>
            </w:r>
            <w:r w:rsidR="00A0294E">
              <w:t> </w:t>
            </w:r>
            <w:r>
              <w:t>mýtném</w:t>
            </w:r>
            <w:r w:rsidR="00A0294E">
              <w:t xml:space="preserve"> v letech 2015–2018</w:t>
            </w:r>
          </w:p>
        </w:tc>
        <w:tc>
          <w:tcPr>
            <w:tcW w:w="1667" w:type="pct"/>
            <w:tcBorders>
              <w:top w:val="single" w:sz="8" w:space="0" w:color="004595"/>
              <w:left w:val="single" w:sz="8" w:space="0" w:color="004595"/>
              <w:bottom w:val="nil"/>
              <w:right w:val="single" w:sz="8" w:space="0" w:color="004595"/>
            </w:tcBorders>
            <w:shd w:val="clear" w:color="auto" w:fill="E5F1FF"/>
            <w:vAlign w:val="center"/>
          </w:tcPr>
          <w:p w14:paraId="1E803E30" w14:textId="77777777" w:rsidR="003105FA" w:rsidRDefault="003105FA" w:rsidP="005B481C">
            <w:pPr>
              <w:jc w:val="center"/>
            </w:pPr>
            <w:r>
              <w:t>cíl EU od roku 2020 pro průměrné emise CO</w:t>
            </w:r>
            <w:r w:rsidRPr="00D820B7">
              <w:rPr>
                <w:vertAlign w:val="subscript"/>
              </w:rPr>
              <w:t>2</w:t>
            </w:r>
            <w:r>
              <w:t xml:space="preserve"> nového vozového park</w:t>
            </w:r>
            <w:r w:rsidR="00A0294E">
              <w:t>u</w:t>
            </w:r>
          </w:p>
        </w:tc>
        <w:tc>
          <w:tcPr>
            <w:tcW w:w="1667" w:type="pct"/>
            <w:tcBorders>
              <w:top w:val="single" w:sz="8" w:space="0" w:color="004595"/>
              <w:left w:val="single" w:sz="8" w:space="0" w:color="004595"/>
              <w:bottom w:val="nil"/>
            </w:tcBorders>
            <w:shd w:val="clear" w:color="auto" w:fill="E5F1FF"/>
            <w:vAlign w:val="center"/>
          </w:tcPr>
          <w:p w14:paraId="38DE78A0" w14:textId="77777777" w:rsidR="003105FA" w:rsidRDefault="003105FA" w:rsidP="005B481C">
            <w:pPr>
              <w:jc w:val="center"/>
            </w:pPr>
            <w:r>
              <w:t>cíl EU do roku 2020 pro tržní podíl pohonných hmot z obnovitelných zdrojů</w:t>
            </w:r>
          </w:p>
        </w:tc>
      </w:tr>
    </w:tbl>
    <w:p w14:paraId="5C50F297" w14:textId="77777777" w:rsidR="003105FA" w:rsidRDefault="003105FA" w:rsidP="00DA1ECF">
      <w:pPr>
        <w:spacing w:after="0"/>
      </w:pPr>
    </w:p>
    <w:p w14:paraId="28777747" w14:textId="77777777" w:rsidR="00DA1ECF" w:rsidRDefault="00DA1ECF" w:rsidP="00DA1ECF">
      <w:pPr>
        <w:spacing w:after="0"/>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3"/>
      </w:tblGrid>
      <w:tr w:rsidR="003105FA" w14:paraId="6FD0F55C" w14:textId="77777777" w:rsidTr="00632E37">
        <w:trPr>
          <w:trHeight w:val="1020"/>
        </w:trPr>
        <w:tc>
          <w:tcPr>
            <w:tcW w:w="1641" w:type="pct"/>
            <w:shd w:val="clear" w:color="auto" w:fill="BD2A33"/>
            <w:vAlign w:val="center"/>
          </w:tcPr>
          <w:p w14:paraId="0A27B244" w14:textId="77777777" w:rsidR="003105FA" w:rsidRPr="009019BD" w:rsidRDefault="003105FA" w:rsidP="00DA1ECF">
            <w:pPr>
              <w:spacing w:after="0"/>
              <w:jc w:val="center"/>
              <w:rPr>
                <w:b/>
                <w:color w:val="FFFFFF" w:themeColor="background1"/>
                <w:sz w:val="32"/>
                <w:szCs w:val="32"/>
              </w:rPr>
            </w:pPr>
            <w:r w:rsidRPr="003438BE">
              <w:rPr>
                <w:b/>
                <w:color w:val="FFFFFF" w:themeColor="background1"/>
                <w:sz w:val="40"/>
                <w:szCs w:val="40"/>
              </w:rPr>
              <w:t>70</w:t>
            </w:r>
            <w:r>
              <w:rPr>
                <w:b/>
                <w:color w:val="FFFFFF" w:themeColor="background1"/>
                <w:sz w:val="32"/>
                <w:szCs w:val="32"/>
              </w:rPr>
              <w:t xml:space="preserve"> %</w:t>
            </w:r>
          </w:p>
        </w:tc>
        <w:tc>
          <w:tcPr>
            <w:tcW w:w="3359" w:type="pct"/>
            <w:vAlign w:val="center"/>
          </w:tcPr>
          <w:p w14:paraId="2FEE9B84" w14:textId="77777777" w:rsidR="003105FA" w:rsidRDefault="003105FA" w:rsidP="00DA1ECF">
            <w:pPr>
              <w:spacing w:after="0"/>
            </w:pPr>
            <w:r>
              <w:t xml:space="preserve">Nejhůře hodnocenou oblastí ČR v rámci posouzení plnění Cílů udržitelného rozvoje (SDGs) </w:t>
            </w:r>
            <w:r w:rsidR="007336F5">
              <w:t>jsou klimatická opatření. Dle </w:t>
            </w:r>
            <w:r>
              <w:t>OECD je v ČR uhlíková cenová mezera</w:t>
            </w:r>
            <w:r>
              <w:rPr>
                <w:rStyle w:val="Znakapoznpodarou"/>
              </w:rPr>
              <w:footnoteReference w:id="2"/>
            </w:r>
            <w:r>
              <w:t xml:space="preserve"> ve výši 70 %.</w:t>
            </w:r>
          </w:p>
        </w:tc>
      </w:tr>
    </w:tbl>
    <w:p w14:paraId="3E61C588" w14:textId="77777777" w:rsidR="003105FA" w:rsidRDefault="003105FA" w:rsidP="00DA1ECF">
      <w:pPr>
        <w:spacing w:after="0"/>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3"/>
      </w:tblGrid>
      <w:tr w:rsidR="003105FA" w14:paraId="04444CD5" w14:textId="77777777" w:rsidTr="00DA1ECF">
        <w:trPr>
          <w:trHeight w:val="1020"/>
        </w:trPr>
        <w:tc>
          <w:tcPr>
            <w:tcW w:w="1641" w:type="pct"/>
            <w:shd w:val="clear" w:color="auto" w:fill="BD2A33"/>
            <w:vAlign w:val="center"/>
          </w:tcPr>
          <w:p w14:paraId="47E3B6AA" w14:textId="77777777" w:rsidR="003105FA" w:rsidRPr="00576836" w:rsidRDefault="00A0294E" w:rsidP="00DA1ECF">
            <w:pPr>
              <w:spacing w:after="0"/>
              <w:jc w:val="center"/>
              <w:rPr>
                <w:b/>
                <w:sz w:val="40"/>
                <w:szCs w:val="40"/>
              </w:rPr>
            </w:pPr>
            <w:r>
              <w:rPr>
                <w:b/>
                <w:color w:val="FFFFFF" w:themeColor="background1"/>
                <w:sz w:val="40"/>
                <w:szCs w:val="40"/>
              </w:rPr>
              <w:t xml:space="preserve">+ </w:t>
            </w:r>
            <w:r w:rsidR="003105FA" w:rsidRPr="00576836">
              <w:rPr>
                <w:b/>
                <w:color w:val="FFFFFF" w:themeColor="background1"/>
                <w:sz w:val="40"/>
                <w:szCs w:val="40"/>
              </w:rPr>
              <w:t xml:space="preserve">26 </w:t>
            </w:r>
            <w:r w:rsidR="003105FA" w:rsidRPr="00745DD1">
              <w:rPr>
                <w:b/>
                <w:color w:val="FFFFFF" w:themeColor="background1"/>
                <w:sz w:val="32"/>
                <w:szCs w:val="32"/>
              </w:rPr>
              <w:t>%</w:t>
            </w:r>
          </w:p>
        </w:tc>
        <w:tc>
          <w:tcPr>
            <w:tcW w:w="3359" w:type="pct"/>
            <w:shd w:val="clear" w:color="auto" w:fill="auto"/>
            <w:vAlign w:val="center"/>
          </w:tcPr>
          <w:p w14:paraId="05E383CF" w14:textId="77777777" w:rsidR="003105FA" w:rsidRPr="00CC31EF" w:rsidRDefault="003105FA" w:rsidP="00DA1ECF">
            <w:pPr>
              <w:spacing w:after="0"/>
            </w:pPr>
            <w:r>
              <w:t>V ČR mezi roky 2011 a 2018 vzrostl počet vozidel individuální automobilové dopravy o více než 25 % a emise CO</w:t>
            </w:r>
            <w:r w:rsidRPr="00576836">
              <w:rPr>
                <w:vertAlign w:val="subscript"/>
              </w:rPr>
              <w:t>2</w:t>
            </w:r>
            <w:r>
              <w:t xml:space="preserve"> vzrostly o více než 26 %.</w:t>
            </w:r>
          </w:p>
        </w:tc>
      </w:tr>
    </w:tbl>
    <w:p w14:paraId="4B44366F" w14:textId="77777777" w:rsidR="003105FA" w:rsidRDefault="003105FA" w:rsidP="00DA1ECF">
      <w:pPr>
        <w:spacing w:after="0"/>
      </w:pPr>
    </w:p>
    <w:tbl>
      <w:tblPr>
        <w:tblStyle w:val="Mkatabulky"/>
        <w:tblW w:w="5000" w:type="pct"/>
        <w:tblLook w:val="04A0" w:firstRow="1" w:lastRow="0" w:firstColumn="1" w:lastColumn="0" w:noHBand="0" w:noVBand="1"/>
      </w:tblPr>
      <w:tblGrid>
        <w:gridCol w:w="2977"/>
        <w:gridCol w:w="6093"/>
      </w:tblGrid>
      <w:tr w:rsidR="003105FA" w14:paraId="2067FDEB" w14:textId="77777777" w:rsidTr="005B481C">
        <w:trPr>
          <w:trHeight w:val="1164"/>
        </w:trPr>
        <w:tc>
          <w:tcPr>
            <w:tcW w:w="1641" w:type="pct"/>
            <w:tcBorders>
              <w:top w:val="nil"/>
              <w:left w:val="nil"/>
              <w:bottom w:val="nil"/>
              <w:right w:val="nil"/>
            </w:tcBorders>
            <w:shd w:val="clear" w:color="auto" w:fill="BD2A33"/>
            <w:vAlign w:val="center"/>
          </w:tcPr>
          <w:p w14:paraId="12E91CDD" w14:textId="77777777" w:rsidR="003105FA" w:rsidRPr="00CA13EF" w:rsidRDefault="003105FA" w:rsidP="00DA1ECF">
            <w:pPr>
              <w:spacing w:after="0"/>
              <w:jc w:val="center"/>
              <w:rPr>
                <w:b/>
              </w:rPr>
            </w:pPr>
            <w:r w:rsidRPr="00365650">
              <w:rPr>
                <w:b/>
                <w:color w:val="FFFFFF" w:themeColor="background1"/>
                <w:sz w:val="40"/>
                <w:szCs w:val="40"/>
              </w:rPr>
              <w:t>12</w:t>
            </w:r>
            <w:r>
              <w:rPr>
                <w:b/>
                <w:color w:val="FFFFFF" w:themeColor="background1"/>
                <w:sz w:val="40"/>
                <w:szCs w:val="40"/>
              </w:rPr>
              <w:t>7</w:t>
            </w:r>
            <w:r>
              <w:rPr>
                <w:b/>
                <w:color w:val="FFFFFF" w:themeColor="background1"/>
              </w:rPr>
              <w:t xml:space="preserve"> </w:t>
            </w:r>
            <w:r w:rsidRPr="005A40BE">
              <w:rPr>
                <w:b/>
                <w:color w:val="FFFFFF" w:themeColor="background1"/>
                <w:sz w:val="32"/>
                <w:szCs w:val="32"/>
              </w:rPr>
              <w:t>g CO</w:t>
            </w:r>
            <w:r w:rsidRPr="005A40BE">
              <w:rPr>
                <w:b/>
                <w:color w:val="FFFFFF" w:themeColor="background1"/>
                <w:sz w:val="32"/>
                <w:szCs w:val="32"/>
                <w:vertAlign w:val="subscript"/>
              </w:rPr>
              <w:t>2</w:t>
            </w:r>
            <w:r w:rsidRPr="005A40BE">
              <w:rPr>
                <w:b/>
                <w:color w:val="FFFFFF" w:themeColor="background1"/>
                <w:sz w:val="32"/>
                <w:szCs w:val="32"/>
              </w:rPr>
              <w:t>/km</w:t>
            </w:r>
          </w:p>
        </w:tc>
        <w:tc>
          <w:tcPr>
            <w:tcW w:w="3359" w:type="pct"/>
            <w:tcBorders>
              <w:top w:val="nil"/>
              <w:left w:val="nil"/>
              <w:bottom w:val="nil"/>
              <w:right w:val="nil"/>
            </w:tcBorders>
            <w:shd w:val="clear" w:color="auto" w:fill="auto"/>
            <w:vAlign w:val="center"/>
          </w:tcPr>
          <w:p w14:paraId="14050A47" w14:textId="77777777" w:rsidR="003105FA" w:rsidRPr="00CC31EF" w:rsidRDefault="003105FA" w:rsidP="00DA1ECF">
            <w:pPr>
              <w:spacing w:after="0"/>
            </w:pPr>
            <w:r>
              <w:t>Průměrné emise CO</w:t>
            </w:r>
            <w:r w:rsidRPr="00365650">
              <w:rPr>
                <w:vertAlign w:val="subscript"/>
              </w:rPr>
              <w:t>2</w:t>
            </w:r>
            <w:r>
              <w:t xml:space="preserve"> nových registrovaných osobních automobilů mají od roku 2016 stoupající tendenci</w:t>
            </w:r>
            <w:r w:rsidR="007336F5">
              <w:t xml:space="preserve"> a ve </w:t>
            </w:r>
            <w:r w:rsidR="00270CE5">
              <w:t>významné míře nesplňují cíle EU pro rok 2020. V</w:t>
            </w:r>
            <w:r>
              <w:t> roce 2018 dosáhly výše 127 g CO</w:t>
            </w:r>
            <w:r w:rsidRPr="00365650">
              <w:rPr>
                <w:vertAlign w:val="subscript"/>
              </w:rPr>
              <w:t>2</w:t>
            </w:r>
            <w:r>
              <w:t>/km</w:t>
            </w:r>
            <w:r w:rsidR="00270CE5">
              <w:t>.</w:t>
            </w:r>
            <w:r>
              <w:t xml:space="preserve"> </w:t>
            </w:r>
          </w:p>
        </w:tc>
      </w:tr>
    </w:tbl>
    <w:p w14:paraId="5084D5B8" w14:textId="77777777" w:rsidR="003105FA" w:rsidRDefault="003105FA" w:rsidP="00DA1ECF">
      <w:pPr>
        <w:spacing w:after="0"/>
      </w:pPr>
    </w:p>
    <w:p w14:paraId="1307DA46" w14:textId="77777777" w:rsidR="003105FA" w:rsidRDefault="003105FA" w:rsidP="00DA1ECF">
      <w:pPr>
        <w:spacing w:after="0"/>
      </w:pPr>
    </w:p>
    <w:p w14:paraId="2F4D6E85" w14:textId="77777777" w:rsidR="003105FA" w:rsidRDefault="003105FA" w:rsidP="003105FA">
      <w:pPr>
        <w:spacing w:after="0"/>
        <w:jc w:val="center"/>
        <w:rPr>
          <w:b/>
          <w:sz w:val="28"/>
          <w:szCs w:val="28"/>
        </w:rPr>
      </w:pPr>
      <w:r>
        <w:rPr>
          <w:b/>
          <w:sz w:val="28"/>
          <w:szCs w:val="28"/>
        </w:rPr>
        <w:t>Nárůst</w:t>
      </w:r>
      <w:r w:rsidRPr="00965E56">
        <w:rPr>
          <w:b/>
          <w:sz w:val="28"/>
          <w:szCs w:val="28"/>
        </w:rPr>
        <w:t xml:space="preserve"> emisí a intenzity dopravy </w:t>
      </w:r>
      <w:r w:rsidR="001227EC">
        <w:rPr>
          <w:b/>
          <w:sz w:val="28"/>
          <w:szCs w:val="28"/>
        </w:rPr>
        <w:t xml:space="preserve">ČR </w:t>
      </w:r>
      <w:r w:rsidRPr="00965E56">
        <w:rPr>
          <w:b/>
          <w:sz w:val="28"/>
          <w:szCs w:val="28"/>
        </w:rPr>
        <w:t>mezi roky 2010 a 2016</w:t>
      </w:r>
      <w:r>
        <w:rPr>
          <w:rStyle w:val="Znakapoznpodarou"/>
          <w:szCs w:val="28"/>
        </w:rPr>
        <w:footnoteReference w:id="3"/>
      </w:r>
    </w:p>
    <w:p w14:paraId="4895BBE8" w14:textId="77777777" w:rsidR="003105FA" w:rsidRPr="00DA1ECF" w:rsidRDefault="003105FA" w:rsidP="003105FA">
      <w:pPr>
        <w:spacing w:after="0"/>
        <w:rPr>
          <w:color w:val="FFFFFF" w:themeColor="background1"/>
        </w:rPr>
      </w:pPr>
      <w:r w:rsidRPr="00DA1ECF">
        <w:rPr>
          <w:b/>
          <w:noProof/>
          <w:color w:val="FFFFFF" w:themeColor="background1"/>
          <w:sz w:val="28"/>
          <w:szCs w:val="28"/>
          <w:lang w:eastAsia="cs-CZ"/>
        </w:rPr>
        <mc:AlternateContent>
          <mc:Choice Requires="wpg">
            <w:drawing>
              <wp:anchor distT="0" distB="0" distL="114300" distR="114300" simplePos="0" relativeHeight="251661312" behindDoc="0" locked="0" layoutInCell="1" allowOverlap="1" wp14:anchorId="79AC0E3B" wp14:editId="58AAF6DA">
                <wp:simplePos x="0" y="0"/>
                <wp:positionH relativeFrom="margin">
                  <wp:posOffset>828675</wp:posOffset>
                </wp:positionH>
                <wp:positionV relativeFrom="paragraph">
                  <wp:posOffset>134298</wp:posOffset>
                </wp:positionV>
                <wp:extent cx="4103828" cy="2421331"/>
                <wp:effectExtent l="0" t="0" r="0" b="0"/>
                <wp:wrapNone/>
                <wp:docPr id="62" name="Skupina 62"/>
                <wp:cNvGraphicFramePr/>
                <a:graphic xmlns:a="http://schemas.openxmlformats.org/drawingml/2006/main">
                  <a:graphicData uri="http://schemas.microsoft.com/office/word/2010/wordprocessingGroup">
                    <wpg:wgp>
                      <wpg:cNvGrpSpPr/>
                      <wpg:grpSpPr>
                        <a:xfrm>
                          <a:off x="0" y="0"/>
                          <a:ext cx="4103828" cy="2421331"/>
                          <a:chOff x="0" y="0"/>
                          <a:chExt cx="4220845" cy="2562860"/>
                        </a:xfrm>
                      </wpg:grpSpPr>
                      <pic:pic xmlns:pic="http://schemas.openxmlformats.org/drawingml/2006/picture">
                        <pic:nvPicPr>
                          <pic:cNvPr id="63" name="Obrázek 63" descr="C:\Users\GURAJOVA\AppData\Local\Microsoft\Windows\INetCache\Content.Outlook\53LKHG81\dalnice.png"/>
                          <pic:cNvPicPr>
                            <a:picLocks noChangeAspect="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10937" b="3253"/>
                          <a:stretch/>
                        </pic:blipFill>
                        <pic:spPr bwMode="auto">
                          <a:xfrm>
                            <a:off x="0" y="0"/>
                            <a:ext cx="4220845" cy="2562860"/>
                          </a:xfrm>
                          <a:prstGeom prst="rect">
                            <a:avLst/>
                          </a:prstGeom>
                          <a:noFill/>
                          <a:ln>
                            <a:noFill/>
                          </a:ln>
                          <a:extLst>
                            <a:ext uri="{53640926-AAD7-44D8-BBD7-CCE9431645EC}">
                              <a14:shadowObscured xmlns:a14="http://schemas.microsoft.com/office/drawing/2010/main"/>
                            </a:ext>
                          </a:extLst>
                        </pic:spPr>
                      </pic:pic>
                      <wpg:grpSp>
                        <wpg:cNvPr id="192" name="Skupina 192"/>
                        <wpg:cNvGrpSpPr/>
                        <wpg:grpSpPr>
                          <a:xfrm>
                            <a:off x="1895475" y="171450"/>
                            <a:ext cx="1264446" cy="866775"/>
                            <a:chOff x="6824" y="0"/>
                            <a:chExt cx="1264446" cy="866775"/>
                          </a:xfrm>
                        </wpg:grpSpPr>
                        <wpg:grpSp>
                          <wpg:cNvPr id="193" name="Skupina 193"/>
                          <wpg:cNvGrpSpPr/>
                          <wpg:grpSpPr>
                            <a:xfrm>
                              <a:off x="76200" y="0"/>
                              <a:ext cx="1195070" cy="866775"/>
                              <a:chOff x="0" y="0"/>
                              <a:chExt cx="1195070" cy="866775"/>
                            </a:xfrm>
                          </wpg:grpSpPr>
                          <wps:wsp>
                            <wps:cNvPr id="194" name="Oválný bublinový popisek 194"/>
                            <wps:cNvSpPr/>
                            <wps:spPr>
                              <a:xfrm>
                                <a:off x="85725" y="0"/>
                                <a:ext cx="895350" cy="866775"/>
                              </a:xfrm>
                              <a:prstGeom prst="wedgeEllipseCallout">
                                <a:avLst>
                                  <a:gd name="adj1" fmla="val -90778"/>
                                  <a:gd name="adj2" fmla="val 40399"/>
                                </a:avLst>
                              </a:prstGeom>
                              <a:solidFill>
                                <a:srgbClr val="80808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55D5C" w14:textId="77777777" w:rsidR="008034B0" w:rsidRDefault="008034B0" w:rsidP="00310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195" name="Graf 195"/>
                            <wpg:cNvFrPr/>
                            <wpg:xfrm>
                              <a:off x="0" y="0"/>
                              <a:ext cx="1195070" cy="802640"/>
                            </wpg:xfrm>
                            <a:graphic>
                              <a:graphicData uri="http://schemas.openxmlformats.org/drawingml/2006/chart">
                                <c:chart xmlns:c="http://schemas.openxmlformats.org/drawingml/2006/chart" xmlns:r="http://schemas.openxmlformats.org/officeDocument/2006/relationships" r:id="rId13"/>
                              </a:graphicData>
                            </a:graphic>
                          </wpg:graphicFrame>
                        </wpg:grpSp>
                        <wps:wsp>
                          <wps:cNvPr id="196" name="Textové pole 196"/>
                          <wps:cNvSpPr txBox="1"/>
                          <wps:spPr>
                            <a:xfrm>
                              <a:off x="6824" y="499137"/>
                              <a:ext cx="400050" cy="285750"/>
                            </a:xfrm>
                            <a:prstGeom prst="rect">
                              <a:avLst/>
                            </a:prstGeom>
                            <a:noFill/>
                            <a:ln w="6350">
                              <a:noFill/>
                            </a:ln>
                          </wps:spPr>
                          <wps:txbx>
                            <w:txbxContent>
                              <w:p w14:paraId="78A652FB" w14:textId="77777777" w:rsidR="008034B0" w:rsidRPr="00CF3BB5" w:rsidRDefault="008034B0" w:rsidP="003105FA">
                                <w:pPr>
                                  <w:rPr>
                                    <w:b/>
                                    <w:sz w:val="20"/>
                                    <w:szCs w:val="20"/>
                                  </w:rPr>
                                </w:pPr>
                                <w:r w:rsidRPr="00CF3BB5">
                                  <w:rPr>
                                    <w:b/>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7" name="Skupina 197"/>
                        <wpg:cNvGrpSpPr/>
                        <wpg:grpSpPr>
                          <a:xfrm>
                            <a:off x="828675" y="1276350"/>
                            <a:ext cx="1266190" cy="876994"/>
                            <a:chOff x="0" y="-10219"/>
                            <a:chExt cx="1266190" cy="876994"/>
                          </a:xfrm>
                        </wpg:grpSpPr>
                        <wpg:grpSp>
                          <wpg:cNvPr id="198" name="Skupina 198"/>
                          <wpg:cNvGrpSpPr/>
                          <wpg:grpSpPr>
                            <a:xfrm>
                              <a:off x="0" y="0"/>
                              <a:ext cx="1266190" cy="866775"/>
                              <a:chOff x="0" y="0"/>
                              <a:chExt cx="1266190" cy="866775"/>
                            </a:xfrm>
                          </wpg:grpSpPr>
                          <wps:wsp>
                            <wps:cNvPr id="199" name="Oválný bublinový popisek 199"/>
                            <wps:cNvSpPr/>
                            <wps:spPr>
                              <a:xfrm>
                                <a:off x="123825" y="0"/>
                                <a:ext cx="895350" cy="866775"/>
                              </a:xfrm>
                              <a:prstGeom prst="wedgeEllipseCallout">
                                <a:avLst>
                                  <a:gd name="adj1" fmla="val -68873"/>
                                  <a:gd name="adj2" fmla="val -56106"/>
                                </a:avLst>
                              </a:prstGeom>
                              <a:solidFill>
                                <a:srgbClr val="80808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4D486" w14:textId="77777777" w:rsidR="008034B0" w:rsidRDefault="008034B0" w:rsidP="00310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00" name="Graf 200"/>
                            <wpg:cNvFrPr/>
                            <wpg:xfrm>
                              <a:off x="0" y="9525"/>
                              <a:ext cx="1266190" cy="824230"/>
                            </wpg:xfrm>
                            <a:graphic>
                              <a:graphicData uri="http://schemas.openxmlformats.org/drawingml/2006/chart">
                                <c:chart xmlns:c="http://schemas.openxmlformats.org/drawingml/2006/chart" xmlns:r="http://schemas.openxmlformats.org/officeDocument/2006/relationships" r:id="rId14"/>
                              </a:graphicData>
                            </a:graphic>
                          </wpg:graphicFrame>
                        </wpg:grpSp>
                        <wps:wsp>
                          <wps:cNvPr id="201" name="Textové pole 201"/>
                          <wps:cNvSpPr txBox="1"/>
                          <wps:spPr>
                            <a:xfrm>
                              <a:off x="52383" y="-10219"/>
                              <a:ext cx="408940" cy="266700"/>
                            </a:xfrm>
                            <a:prstGeom prst="rect">
                              <a:avLst/>
                            </a:prstGeom>
                            <a:noFill/>
                            <a:ln w="6350">
                              <a:noFill/>
                            </a:ln>
                          </wps:spPr>
                          <wps:txbx>
                            <w:txbxContent>
                              <w:p w14:paraId="30999F96" w14:textId="77777777" w:rsidR="008034B0" w:rsidRPr="00CF3BB5" w:rsidRDefault="008034B0" w:rsidP="003105FA">
                                <w:pPr>
                                  <w:rPr>
                                    <w:b/>
                                    <w:sz w:val="20"/>
                                    <w:szCs w:val="20"/>
                                  </w:rPr>
                                </w:pPr>
                                <w:r w:rsidRPr="00CF3BB5">
                                  <w:rPr>
                                    <w:b/>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2" name="Skupina 202"/>
                        <wpg:cNvGrpSpPr/>
                        <wpg:grpSpPr>
                          <a:xfrm>
                            <a:off x="2609850" y="981075"/>
                            <a:ext cx="1266190" cy="1103621"/>
                            <a:chOff x="0" y="0"/>
                            <a:chExt cx="1266190" cy="1103621"/>
                          </a:xfrm>
                        </wpg:grpSpPr>
                        <wpg:grpSp>
                          <wpg:cNvPr id="203" name="Skupina 203"/>
                          <wpg:cNvGrpSpPr/>
                          <wpg:grpSpPr>
                            <a:xfrm>
                              <a:off x="0" y="0"/>
                              <a:ext cx="1266190" cy="971550"/>
                              <a:chOff x="0" y="0"/>
                              <a:chExt cx="1266190" cy="971550"/>
                            </a:xfrm>
                          </wpg:grpSpPr>
                          <wps:wsp>
                            <wps:cNvPr id="204" name="Oválný bublinový popisek 204"/>
                            <wps:cNvSpPr/>
                            <wps:spPr>
                              <a:xfrm>
                                <a:off x="114300" y="104775"/>
                                <a:ext cx="895350" cy="866775"/>
                              </a:xfrm>
                              <a:prstGeom prst="wedgeEllipseCallout">
                                <a:avLst>
                                  <a:gd name="adj1" fmla="val -41810"/>
                                  <a:gd name="adj2" fmla="val 77499"/>
                                </a:avLst>
                              </a:prstGeom>
                              <a:solidFill>
                                <a:srgbClr val="80808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D8E55" w14:textId="77777777" w:rsidR="008034B0" w:rsidRDefault="008034B0" w:rsidP="003105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05" name="Graf 205"/>
                            <wpg:cNvFrPr/>
                            <wpg:xfrm>
                              <a:off x="0" y="0"/>
                              <a:ext cx="1266190" cy="824230"/>
                            </wpg:xfrm>
                            <a:graphic>
                              <a:graphicData uri="http://schemas.openxmlformats.org/drawingml/2006/chart">
                                <c:chart xmlns:c="http://schemas.openxmlformats.org/drawingml/2006/chart" xmlns:r="http://schemas.openxmlformats.org/officeDocument/2006/relationships" r:id="rId15"/>
                              </a:graphicData>
                            </a:graphic>
                          </wpg:graphicFrame>
                        </wpg:grpSp>
                        <wps:wsp>
                          <wps:cNvPr id="206" name="Textové pole 206"/>
                          <wps:cNvSpPr txBox="1"/>
                          <wps:spPr>
                            <a:xfrm>
                              <a:off x="195760" y="836921"/>
                              <a:ext cx="438150" cy="266700"/>
                            </a:xfrm>
                            <a:prstGeom prst="rect">
                              <a:avLst/>
                            </a:prstGeom>
                            <a:noFill/>
                            <a:ln w="6350">
                              <a:noFill/>
                            </a:ln>
                          </wps:spPr>
                          <wps:txbx>
                            <w:txbxContent>
                              <w:p w14:paraId="582B80C2" w14:textId="77777777" w:rsidR="008034B0" w:rsidRPr="00CF3BB5" w:rsidRDefault="008034B0" w:rsidP="003105FA">
                                <w:pPr>
                                  <w:rPr>
                                    <w:b/>
                                    <w:sz w:val="20"/>
                                    <w:szCs w:val="20"/>
                                  </w:rPr>
                                </w:pPr>
                                <w:r>
                                  <w:rPr>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AC0E3B" id="Skupina 62" o:spid="_x0000_s1026" style="position:absolute;left:0;text-align:left;margin-left:65.25pt;margin-top:10.55pt;width:323.15pt;height:190.65pt;z-index:251661312;mso-position-horizontal-relative:margin;mso-width-relative:margin;mso-height-relative:margin" coordsize="42208,25628" o:gfxdata="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">
                <v:shape id="Obrázek 63" o:spid="_x0000_s1027" type="#_x0000_t75" style="position:absolute;width:42208;height:25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">
                  <v:imagedata r:id="rId16" o:title="dalnice" croptop="7168f" cropbottom="2132f" recolortarget="#1c3259 [1448]"/>
                  <v:path arrowok="t"/>
                </v:shape>
                <v:group id="Skupina 192" o:spid="_x0000_s1028" style="position:absolute;left:18954;top:1714;width:12645;height:8668" coordorigin="68" coordsize="12644,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Skupina 193" o:spid="_x0000_s1029" style="position:absolute;left:762;width:11950;height:8667" coordsize="11950,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álný bublinový popisek 194" o:spid="_x0000_s1030" type="#_x0000_t63" style="position:absolute;left:857;width:895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" adj="-8808,19526" fillcolor="gray" stroked="f" strokeweight="1pt">
                      <v:fill opacity="13107f"/>
                      <v:textbox>
                        <w:txbxContent>
                          <w:p w14:paraId="29755D5C" w14:textId="77777777" w:rsidR="008034B0" w:rsidRDefault="008034B0" w:rsidP="003105FA">
                            <w:pPr>
                              <w:jc w:val="center"/>
                            </w:pPr>
                          </w:p>
                        </w:txbxContent>
                      </v:textbox>
                    </v:shape>
                    <v:shape id="Graf 195" o:spid="_x0000_s1031" type="#_x0000_t75" style="position:absolute;left:1418;top:2350;width:7711;height:4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">
                      <v:imagedata r:id="rId17" o:title=""/>
                      <o:lock v:ext="edit" aspectratio="f"/>
                    </v:shape>
                  </v:group>
                  <v:shapetype id="_x0000_t202" coordsize="21600,21600" o:spt="202" path="m,l,21600r21600,l21600,xe">
                    <v:stroke joinstyle="miter"/>
                    <v:path gradientshapeok="t" o:connecttype="rect"/>
                  </v:shapetype>
                  <v:shape id="Textové pole 196" o:spid="_x0000_s1032" type="#_x0000_t202" style="position:absolute;left:68;top:4991;width:400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78A652FB" w14:textId="77777777" w:rsidR="008034B0" w:rsidRPr="00CF3BB5" w:rsidRDefault="008034B0" w:rsidP="003105FA">
                          <w:pPr>
                            <w:rPr>
                              <w:b/>
                              <w:sz w:val="20"/>
                              <w:szCs w:val="20"/>
                            </w:rPr>
                          </w:pPr>
                          <w:r w:rsidRPr="00CF3BB5">
                            <w:rPr>
                              <w:b/>
                              <w:sz w:val="20"/>
                              <w:szCs w:val="20"/>
                            </w:rPr>
                            <w:t>2</w:t>
                          </w:r>
                        </w:p>
                      </w:txbxContent>
                    </v:textbox>
                  </v:shape>
                </v:group>
                <v:group id="Skupina 197" o:spid="_x0000_s1033" style="position:absolute;left:8286;top:12763;width:12662;height:8770" coordorigin=",-102" coordsize="12661,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Skupina 198" o:spid="_x0000_s1034" style="position:absolute;width:12661;height:8667" coordsize="12661,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Oválný bublinový popisek 199" o:spid="_x0000_s1035" type="#_x0000_t63" style="position:absolute;left:1238;width:8953;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" adj="-4077,-1319" fillcolor="gray" stroked="f" strokeweight="1pt">
                      <v:fill opacity="13107f"/>
                      <v:textbox>
                        <w:txbxContent>
                          <w:p w14:paraId="32C4D486" w14:textId="77777777" w:rsidR="008034B0" w:rsidRDefault="008034B0" w:rsidP="003105FA">
                            <w:pPr>
                              <w:jc w:val="center"/>
                            </w:pPr>
                          </w:p>
                        </w:txbxContent>
                      </v:textbox>
                    </v:shape>
                    <v:shape id="Graf 200" o:spid="_x0000_s1036" type="#_x0000_t75" style="position:absolute;left:1556;top:1006;width:7587;height:6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">
                      <v:imagedata r:id="rId18" o:title=""/>
                      <o:lock v:ext="edit" aspectratio="f"/>
                    </v:shape>
                  </v:group>
                  <v:shape id="Textové pole 201" o:spid="_x0000_s1037" type="#_x0000_t202" style="position:absolute;left:523;top:-102;width:4090;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30999F96" w14:textId="77777777" w:rsidR="008034B0" w:rsidRPr="00CF3BB5" w:rsidRDefault="008034B0" w:rsidP="003105FA">
                          <w:pPr>
                            <w:rPr>
                              <w:b/>
                              <w:sz w:val="20"/>
                              <w:szCs w:val="20"/>
                            </w:rPr>
                          </w:pPr>
                          <w:r w:rsidRPr="00CF3BB5">
                            <w:rPr>
                              <w:b/>
                              <w:sz w:val="20"/>
                              <w:szCs w:val="20"/>
                            </w:rPr>
                            <w:t>1</w:t>
                          </w:r>
                        </w:p>
                      </w:txbxContent>
                    </v:textbox>
                  </v:shape>
                </v:group>
                <v:group id="Skupina 202" o:spid="_x0000_s1038" style="position:absolute;left:26098;top:9810;width:12662;height:11036" coordsize="12661,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Skupina 203" o:spid="_x0000_s1039" style="position:absolute;width:12661;height:9715" coordsize="12661,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Oválný bublinový popisek 204" o:spid="_x0000_s1040" type="#_x0000_t63" style="position:absolute;left:1143;top:1047;width:8953;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" adj="1769,27540" fillcolor="gray" stroked="f" strokeweight="1pt">
                      <v:fill opacity="13107f"/>
                      <v:textbox>
                        <w:txbxContent>
                          <w:p w14:paraId="68FD8E55" w14:textId="77777777" w:rsidR="008034B0" w:rsidRDefault="008034B0" w:rsidP="003105FA">
                            <w:pPr>
                              <w:jc w:val="center"/>
                            </w:pPr>
                          </w:p>
                        </w:txbxContent>
                      </v:textbox>
                    </v:shape>
                    <v:shape id="Graf 205" o:spid="_x0000_s1041" type="#_x0000_t75" style="position:absolute;left:1426;top:2384;width:7523;height:4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">
                      <v:imagedata r:id="rId19" o:title=""/>
                      <o:lock v:ext="edit" aspectratio="f"/>
                    </v:shape>
                  </v:group>
                  <v:shape id="Textové pole 206" o:spid="_x0000_s1042" type="#_x0000_t202" style="position:absolute;left:1957;top:8369;width:43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582B80C2" w14:textId="77777777" w:rsidR="008034B0" w:rsidRPr="00CF3BB5" w:rsidRDefault="008034B0" w:rsidP="003105FA">
                          <w:pPr>
                            <w:rPr>
                              <w:b/>
                              <w:sz w:val="20"/>
                              <w:szCs w:val="20"/>
                            </w:rPr>
                          </w:pPr>
                          <w:r>
                            <w:rPr>
                              <w:b/>
                              <w:sz w:val="20"/>
                              <w:szCs w:val="20"/>
                            </w:rPr>
                            <w:t>3</w:t>
                          </w:r>
                        </w:p>
                      </w:txbxContent>
                    </v:textbox>
                  </v:shape>
                </v:group>
                <w10:wrap anchorx="margin"/>
              </v:group>
            </w:pict>
          </mc:Fallback>
        </mc:AlternateContent>
      </w:r>
      <w:r w:rsidRPr="00DA1ECF">
        <w:rPr>
          <w:noProof/>
          <w:color w:val="FFFFFF" w:themeColor="background1"/>
          <w:lang w:eastAsia="cs-CZ"/>
        </w:rPr>
        <mc:AlternateContent>
          <mc:Choice Requires="wps">
            <w:drawing>
              <wp:anchor distT="45720" distB="45720" distL="114300" distR="114300" simplePos="0" relativeHeight="251663360" behindDoc="0" locked="0" layoutInCell="1" allowOverlap="1" wp14:anchorId="31CCE821" wp14:editId="1CF21926">
                <wp:simplePos x="0" y="0"/>
                <wp:positionH relativeFrom="margin">
                  <wp:align>right</wp:align>
                </wp:positionH>
                <wp:positionV relativeFrom="paragraph">
                  <wp:posOffset>161952</wp:posOffset>
                </wp:positionV>
                <wp:extent cx="1685925" cy="1404620"/>
                <wp:effectExtent l="0" t="0" r="0" b="0"/>
                <wp:wrapNone/>
                <wp:docPr id="20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noFill/>
                        <a:ln w="9525">
                          <a:noFill/>
                          <a:miter lim="800000"/>
                          <a:headEnd/>
                          <a:tailEnd/>
                        </a:ln>
                      </wps:spPr>
                      <wps:txbx>
                        <w:txbxContent>
                          <w:p w14:paraId="0A2E4F29" w14:textId="77777777" w:rsidR="008034B0" w:rsidRPr="00554505" w:rsidRDefault="008034B0" w:rsidP="003105FA">
                            <w:pPr>
                              <w:spacing w:after="0"/>
                              <w:rPr>
                                <w:sz w:val="18"/>
                                <w:szCs w:val="18"/>
                              </w:rPr>
                            </w:pPr>
                            <w:r w:rsidRPr="00CF3BB5">
                              <w:rPr>
                                <w:b/>
                                <w:sz w:val="18"/>
                                <w:szCs w:val="18"/>
                              </w:rPr>
                              <w:t>1</w:t>
                            </w:r>
                            <w:r w:rsidRPr="00554505">
                              <w:rPr>
                                <w:sz w:val="18"/>
                                <w:szCs w:val="18"/>
                              </w:rPr>
                              <w:t xml:space="preserve"> D5 Nýřany – Heřmanova Huť</w:t>
                            </w:r>
                          </w:p>
                          <w:p w14:paraId="2D9F99D5" w14:textId="77777777" w:rsidR="008034B0" w:rsidRPr="00554505" w:rsidRDefault="008034B0" w:rsidP="003105FA">
                            <w:pPr>
                              <w:spacing w:after="0"/>
                              <w:rPr>
                                <w:sz w:val="18"/>
                                <w:szCs w:val="18"/>
                              </w:rPr>
                            </w:pPr>
                            <w:r w:rsidRPr="00CF3BB5">
                              <w:rPr>
                                <w:b/>
                                <w:sz w:val="18"/>
                                <w:szCs w:val="18"/>
                              </w:rPr>
                              <w:t>2</w:t>
                            </w:r>
                            <w:r w:rsidRPr="00554505">
                              <w:rPr>
                                <w:sz w:val="18"/>
                                <w:szCs w:val="18"/>
                              </w:rPr>
                              <w:t xml:space="preserve"> D1 Spořilov – Chodov</w:t>
                            </w:r>
                          </w:p>
                          <w:p w14:paraId="5EDD5439" w14:textId="77777777" w:rsidR="008034B0" w:rsidRPr="00554505" w:rsidRDefault="008034B0" w:rsidP="003105FA">
                            <w:pPr>
                              <w:spacing w:after="0"/>
                              <w:rPr>
                                <w:sz w:val="18"/>
                                <w:szCs w:val="18"/>
                              </w:rPr>
                            </w:pPr>
                            <w:r w:rsidRPr="00B74A1B">
                              <w:rPr>
                                <w:b/>
                                <w:sz w:val="18"/>
                                <w:szCs w:val="18"/>
                              </w:rPr>
                              <w:t>3</w:t>
                            </w:r>
                            <w:r w:rsidRPr="00554505">
                              <w:rPr>
                                <w:sz w:val="18"/>
                                <w:szCs w:val="18"/>
                              </w:rPr>
                              <w:t xml:space="preserve"> D2 Brno Chrlice – Blučina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CE821" id="Textové pole 2" o:spid="_x0000_s1043" type="#_x0000_t202" style="position:absolute;left:0;text-align:left;margin-left:81.55pt;margin-top:12.75pt;width:132.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" filled="f" stroked="f">
                <v:textbox style="mso-fit-shape-to-text:t">
                  <w:txbxContent>
                    <w:p w14:paraId="0A2E4F29" w14:textId="77777777" w:rsidR="008034B0" w:rsidRPr="00554505" w:rsidRDefault="008034B0" w:rsidP="003105FA">
                      <w:pPr>
                        <w:spacing w:after="0"/>
                        <w:rPr>
                          <w:sz w:val="18"/>
                          <w:szCs w:val="18"/>
                        </w:rPr>
                      </w:pPr>
                      <w:r w:rsidRPr="00CF3BB5">
                        <w:rPr>
                          <w:b/>
                          <w:sz w:val="18"/>
                          <w:szCs w:val="18"/>
                        </w:rPr>
                        <w:t>1</w:t>
                      </w:r>
                      <w:r w:rsidRPr="00554505">
                        <w:rPr>
                          <w:sz w:val="18"/>
                          <w:szCs w:val="18"/>
                        </w:rPr>
                        <w:t xml:space="preserve"> D5 Nýřany – Heřmanova Huť</w:t>
                      </w:r>
                    </w:p>
                    <w:p w14:paraId="2D9F99D5" w14:textId="77777777" w:rsidR="008034B0" w:rsidRPr="00554505" w:rsidRDefault="008034B0" w:rsidP="003105FA">
                      <w:pPr>
                        <w:spacing w:after="0"/>
                        <w:rPr>
                          <w:sz w:val="18"/>
                          <w:szCs w:val="18"/>
                        </w:rPr>
                      </w:pPr>
                      <w:r w:rsidRPr="00CF3BB5">
                        <w:rPr>
                          <w:b/>
                          <w:sz w:val="18"/>
                          <w:szCs w:val="18"/>
                        </w:rPr>
                        <w:t>2</w:t>
                      </w:r>
                      <w:r w:rsidRPr="00554505">
                        <w:rPr>
                          <w:sz w:val="18"/>
                          <w:szCs w:val="18"/>
                        </w:rPr>
                        <w:t xml:space="preserve"> D1 Spořilov – Chodov</w:t>
                      </w:r>
                    </w:p>
                    <w:p w14:paraId="5EDD5439" w14:textId="77777777" w:rsidR="008034B0" w:rsidRPr="00554505" w:rsidRDefault="008034B0" w:rsidP="003105FA">
                      <w:pPr>
                        <w:spacing w:after="0"/>
                        <w:rPr>
                          <w:sz w:val="18"/>
                          <w:szCs w:val="18"/>
                        </w:rPr>
                      </w:pPr>
                      <w:r w:rsidRPr="00B74A1B">
                        <w:rPr>
                          <w:b/>
                          <w:sz w:val="18"/>
                          <w:szCs w:val="18"/>
                        </w:rPr>
                        <w:t>3</w:t>
                      </w:r>
                      <w:r w:rsidRPr="00554505">
                        <w:rPr>
                          <w:sz w:val="18"/>
                          <w:szCs w:val="18"/>
                        </w:rPr>
                        <w:t xml:space="preserve"> D2 Brno Chrlice – Blučina</w:t>
                      </w:r>
                    </w:p>
                  </w:txbxContent>
                </v:textbox>
                <w10:wrap anchorx="margin"/>
              </v:shape>
            </w:pict>
          </mc:Fallback>
        </mc:AlternateContent>
      </w:r>
    </w:p>
    <w:p w14:paraId="33569A15" w14:textId="77777777" w:rsidR="003105FA" w:rsidRPr="00DA1ECF" w:rsidRDefault="003105FA" w:rsidP="003105FA">
      <w:pPr>
        <w:spacing w:after="0"/>
        <w:rPr>
          <w:color w:val="FFFFFF" w:themeColor="background1"/>
        </w:rPr>
      </w:pPr>
    </w:p>
    <w:p w14:paraId="1C61F990" w14:textId="77777777" w:rsidR="003105FA" w:rsidRPr="00DA1ECF" w:rsidRDefault="003105FA" w:rsidP="003105FA">
      <w:pPr>
        <w:spacing w:after="0"/>
        <w:rPr>
          <w:color w:val="FFFFFF" w:themeColor="background1"/>
        </w:rPr>
      </w:pPr>
    </w:p>
    <w:p w14:paraId="75AFCC4C" w14:textId="77777777" w:rsidR="003105FA" w:rsidRPr="00DA1ECF" w:rsidRDefault="003105FA" w:rsidP="003105FA">
      <w:pPr>
        <w:spacing w:after="0"/>
        <w:rPr>
          <w:color w:val="FFFFFF" w:themeColor="background1"/>
        </w:rPr>
      </w:pPr>
    </w:p>
    <w:p w14:paraId="743D6848" w14:textId="77777777" w:rsidR="003105FA" w:rsidRPr="00DA1ECF" w:rsidRDefault="003105FA" w:rsidP="003105FA">
      <w:pPr>
        <w:spacing w:after="0"/>
        <w:rPr>
          <w:color w:val="FFFFFF" w:themeColor="background1"/>
        </w:rPr>
      </w:pPr>
    </w:p>
    <w:p w14:paraId="72D688EA" w14:textId="77777777" w:rsidR="003105FA" w:rsidRPr="00DA1ECF" w:rsidRDefault="003105FA" w:rsidP="003105FA">
      <w:pPr>
        <w:spacing w:after="0"/>
        <w:rPr>
          <w:color w:val="FFFFFF" w:themeColor="background1"/>
        </w:rPr>
      </w:pPr>
    </w:p>
    <w:p w14:paraId="2B4F7577" w14:textId="77777777" w:rsidR="003105FA" w:rsidRPr="00DA1ECF" w:rsidRDefault="003105FA" w:rsidP="003105FA">
      <w:pPr>
        <w:spacing w:after="0"/>
        <w:rPr>
          <w:color w:val="FFFFFF" w:themeColor="background1"/>
        </w:rPr>
      </w:pPr>
    </w:p>
    <w:p w14:paraId="225A24D5" w14:textId="77777777" w:rsidR="003105FA" w:rsidRPr="00DA1ECF" w:rsidRDefault="003105FA" w:rsidP="003105FA">
      <w:pPr>
        <w:spacing w:after="0"/>
        <w:rPr>
          <w:color w:val="FFFFFF" w:themeColor="background1"/>
        </w:rPr>
      </w:pPr>
    </w:p>
    <w:p w14:paraId="7743C79B" w14:textId="77777777" w:rsidR="003105FA" w:rsidRPr="00DA1ECF" w:rsidRDefault="003105FA" w:rsidP="003105FA">
      <w:pPr>
        <w:spacing w:after="0"/>
        <w:rPr>
          <w:color w:val="FFFFFF" w:themeColor="background1"/>
        </w:rPr>
      </w:pPr>
      <w:r w:rsidRPr="00DA1ECF">
        <w:rPr>
          <w:rFonts w:eastAsiaTheme="majorEastAsia" w:cstheme="majorBidi"/>
          <w:b/>
          <w:noProof/>
          <w:color w:val="FFFFFF" w:themeColor="background1"/>
          <w:sz w:val="28"/>
          <w:szCs w:val="32"/>
          <w:lang w:eastAsia="cs-CZ"/>
        </w:rPr>
        <w:drawing>
          <wp:anchor distT="0" distB="0" distL="114300" distR="114300" simplePos="0" relativeHeight="251662336" behindDoc="0" locked="0" layoutInCell="1" allowOverlap="1" wp14:anchorId="0EBB9482" wp14:editId="4D3D0090">
            <wp:simplePos x="0" y="0"/>
            <wp:positionH relativeFrom="margin">
              <wp:posOffset>171450</wp:posOffset>
            </wp:positionH>
            <wp:positionV relativeFrom="paragraph">
              <wp:posOffset>152400</wp:posOffset>
            </wp:positionV>
            <wp:extent cx="1266190" cy="824230"/>
            <wp:effectExtent l="0" t="0" r="0" b="0"/>
            <wp:wrapNone/>
            <wp:docPr id="207" name="Graf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7E4D8967" w14:textId="77777777" w:rsidR="003105FA" w:rsidRPr="00DA1ECF" w:rsidRDefault="003105FA" w:rsidP="003105FA">
      <w:pPr>
        <w:spacing w:after="160" w:line="259" w:lineRule="auto"/>
        <w:jc w:val="left"/>
        <w:rPr>
          <w:rFonts w:cstheme="minorHAnsi"/>
          <w:b/>
          <w:color w:val="FFFFFF" w:themeColor="background1"/>
          <w:szCs w:val="24"/>
        </w:rPr>
      </w:pPr>
    </w:p>
    <w:p w14:paraId="7F9D3D9C" w14:textId="77777777" w:rsidR="004E4B6D" w:rsidRPr="00DA1ECF" w:rsidRDefault="004E4B6D" w:rsidP="004E4B6D">
      <w:pPr>
        <w:rPr>
          <w:color w:val="FFFFFF" w:themeColor="background1"/>
        </w:rPr>
      </w:pPr>
    </w:p>
    <w:p w14:paraId="4E5179FD" w14:textId="77777777" w:rsidR="00DA1ECF" w:rsidRPr="00DA1ECF" w:rsidRDefault="00DA1ECF" w:rsidP="004E4B6D">
      <w:pPr>
        <w:rPr>
          <w:color w:val="FFFFFF" w:themeColor="background1"/>
        </w:rPr>
      </w:pPr>
    </w:p>
    <w:p w14:paraId="26C1C38A" w14:textId="77777777" w:rsidR="00DA1ECF" w:rsidRDefault="00DA1ECF">
      <w:pPr>
        <w:spacing w:after="160" w:line="259" w:lineRule="auto"/>
        <w:jc w:val="left"/>
      </w:pPr>
      <w:r>
        <w:br w:type="page"/>
      </w:r>
    </w:p>
    <w:p w14:paraId="72775CCC" w14:textId="77777777" w:rsidR="00E3678C" w:rsidRPr="00C51DFE" w:rsidRDefault="00887AF1" w:rsidP="00471A19">
      <w:pPr>
        <w:pStyle w:val="Nadpis1"/>
      </w:pPr>
      <w:r w:rsidRPr="00471A19">
        <w:lastRenderedPageBreak/>
        <w:t xml:space="preserve">I. </w:t>
      </w:r>
      <w:r w:rsidR="0051469A" w:rsidRPr="00471A19">
        <w:t>Shrnutí a vyhodnocení</w:t>
      </w:r>
      <w:bookmarkEnd w:id="1"/>
    </w:p>
    <w:p w14:paraId="682FEBE1" w14:textId="4B99E34C" w:rsidR="00E3678C" w:rsidRDefault="0051469A" w:rsidP="00E3678C">
      <w:r>
        <w:t>Státy OSN a EU, které se zavázaly k ochraně klimatu, mohou v</w:t>
      </w:r>
      <w:r w:rsidR="00A2222A">
        <w:t>olit různé způsoby a nástroje k </w:t>
      </w:r>
      <w:r>
        <w:t>prosazování cílů, mimo jiné i opatření v oblasti daní a další finanční nástroje. Zásadním prostředkem je snižování emisí skleníkových plynů. ČR je zemí s vysokými emisemi skleníkových plynů, což se negativně promítá do celkového hodnocení rozvoje ČR a nákladů na životní prostředí a zdraví (dále také „externí náklady“). Jen z dopravy se odhadují externí náklady pro rok 2011 na výši cca 5,5 mld. Kč</w:t>
      </w:r>
      <w:r>
        <w:rPr>
          <w:rStyle w:val="Znakapoznpodarou"/>
        </w:rPr>
        <w:footnoteReference w:id="4"/>
      </w:r>
      <w:r>
        <w:t>. Závazné cíle pro jednotlivé státy EU jsou definovány právními předpisy EU. Vláda ČR přijala řadu strategických materiálů a opatření, které měly přispět k plnění cílů v oblasti klimatu. Mezi da</w:t>
      </w:r>
      <w:r w:rsidR="0042332C">
        <w:t>ňová opatření se zahrnují např. </w:t>
      </w:r>
      <w:r>
        <w:t>úpravy sazeb daní v závislosti na emisích</w:t>
      </w:r>
      <w:r w:rsidR="00F2381E">
        <w:t xml:space="preserve"> či</w:t>
      </w:r>
      <w:r>
        <w:t xml:space="preserve"> spotřebě</w:t>
      </w:r>
      <w:r w:rsidR="00F2381E">
        <w:t xml:space="preserve"> </w:t>
      </w:r>
      <w:r w:rsidR="00D370FD">
        <w:t>pohonných hmot (dále také „</w:t>
      </w:r>
      <w:r w:rsidR="00F2381E">
        <w:t>PHM</w:t>
      </w:r>
      <w:r w:rsidR="00D370FD">
        <w:t>“)</w:t>
      </w:r>
      <w:r>
        <w:t>, osvobození od daně, zavádění bonusů a malus</w:t>
      </w:r>
      <w:r w:rsidR="0042332C">
        <w:t>ů. Smyslem daňových opatření je</w:t>
      </w:r>
      <w:r w:rsidR="00C633FB">
        <w:t xml:space="preserve"> </w:t>
      </w:r>
      <w:r>
        <w:t>vytvoření motivace široké veřejnosti ke snižování</w:t>
      </w:r>
      <w:r w:rsidR="0042332C">
        <w:t xml:space="preserve"> spotřeby energie a přechodu na</w:t>
      </w:r>
      <w:r w:rsidR="00C633FB">
        <w:t xml:space="preserve"> </w:t>
      </w:r>
      <w:r>
        <w:t xml:space="preserve">ekologicky čistší zdroje energie.  </w:t>
      </w:r>
    </w:p>
    <w:p w14:paraId="1178F4A0" w14:textId="69B1CB00" w:rsidR="00E3678C" w:rsidRPr="0044605D" w:rsidRDefault="00AF4B1B" w:rsidP="00E3678C">
      <w:r>
        <w:t>Cílem kontroly bylo prověřit</w:t>
      </w:r>
      <w:r w:rsidR="00E617AE" w:rsidRPr="00E617AE">
        <w:t xml:space="preserve">, zda </w:t>
      </w:r>
      <w:r w:rsidR="00E617AE" w:rsidRPr="00B10C15">
        <w:t>j</w:t>
      </w:r>
      <w:r w:rsidR="0051469A" w:rsidRPr="00B10C15">
        <w:t>e podpora</w:t>
      </w:r>
      <w:r w:rsidR="0051469A" w:rsidRPr="00B10C15">
        <w:rPr>
          <w:rStyle w:val="Znakapoznpodarou"/>
        </w:rPr>
        <w:footnoteReference w:id="5"/>
      </w:r>
      <w:r w:rsidR="0051469A" w:rsidRPr="00B10C15">
        <w:t xml:space="preserve"> v ČR nastavena tak, aby účinně přispívala k naplnění cílů ve vybraných oblastech klimaticko-energetické politiky (dále také „KEP“) při zachování dlouhodobé udržitelnosti veřejných příjmů</w:t>
      </w:r>
      <w:r w:rsidR="001F2837">
        <w:t>.</w:t>
      </w:r>
      <w:r w:rsidR="0051469A" w:rsidRPr="00E617AE">
        <w:t xml:space="preserve"> </w:t>
      </w:r>
      <w:r w:rsidR="0051469A" w:rsidRPr="0044605D">
        <w:t xml:space="preserve">Vybranými </w:t>
      </w:r>
      <w:r w:rsidR="00360484">
        <w:t>oblastmi bylo snižování emisí a </w:t>
      </w:r>
      <w:r w:rsidR="0051469A" w:rsidRPr="0044605D">
        <w:t>zvyšování podílu obnovitelných zdrojů energie (dále také „OZE“) v se</w:t>
      </w:r>
      <w:r w:rsidR="00A2222A">
        <w:t>ktoru dopravy a </w:t>
      </w:r>
      <w:r w:rsidR="0051469A">
        <w:t>v domácnostech.</w:t>
      </w:r>
    </w:p>
    <w:p w14:paraId="684D6874" w14:textId="77777777" w:rsidR="00C841B0" w:rsidRPr="00433ABB" w:rsidRDefault="0051469A" w:rsidP="00C841B0">
      <w:pPr>
        <w:rPr>
          <w:b/>
        </w:rPr>
      </w:pPr>
      <w:r w:rsidRPr="002748C4">
        <w:rPr>
          <w:b/>
        </w:rPr>
        <w:t xml:space="preserve">NKÚ na základě analýzy právních předpisů, analýzy vývoje vybraných ukazatelů a jejich porovnáním </w:t>
      </w:r>
      <w:r w:rsidRPr="00433ABB">
        <w:rPr>
          <w:b/>
        </w:rPr>
        <w:t>s</w:t>
      </w:r>
      <w:r w:rsidR="00516577">
        <w:rPr>
          <w:b/>
        </w:rPr>
        <w:t> v</w:t>
      </w:r>
      <w:r w:rsidR="00D741FA">
        <w:rPr>
          <w:b/>
        </w:rPr>
        <w:t>ě</w:t>
      </w:r>
      <w:r w:rsidR="00516577">
        <w:rPr>
          <w:b/>
        </w:rPr>
        <w:t xml:space="preserve">tšinou </w:t>
      </w:r>
      <w:r w:rsidRPr="00433ABB">
        <w:rPr>
          <w:b/>
        </w:rPr>
        <w:t>stát</w:t>
      </w:r>
      <w:r w:rsidR="00516577">
        <w:rPr>
          <w:b/>
        </w:rPr>
        <w:t>ů</w:t>
      </w:r>
      <w:r w:rsidRPr="00433ABB">
        <w:rPr>
          <w:b/>
        </w:rPr>
        <w:t xml:space="preserve"> EU vyhodnotil, že </w:t>
      </w:r>
      <w:r w:rsidR="00852166" w:rsidRPr="00B66B4D">
        <w:rPr>
          <w:b/>
        </w:rPr>
        <w:t>kontrolovan</w:t>
      </w:r>
      <w:r w:rsidR="00042062" w:rsidRPr="00B66B4D">
        <w:rPr>
          <w:b/>
        </w:rPr>
        <w:t xml:space="preserve">á ministerstva </w:t>
      </w:r>
      <w:r w:rsidR="00042062" w:rsidRPr="00433ABB">
        <w:rPr>
          <w:b/>
        </w:rPr>
        <w:t>ne</w:t>
      </w:r>
      <w:r w:rsidR="00852166" w:rsidRPr="00433ABB">
        <w:rPr>
          <w:b/>
        </w:rPr>
        <w:t>připrav</w:t>
      </w:r>
      <w:r w:rsidR="00042062" w:rsidRPr="00433ABB">
        <w:rPr>
          <w:b/>
        </w:rPr>
        <w:t>ila</w:t>
      </w:r>
      <w:r w:rsidR="00852166" w:rsidRPr="00433ABB">
        <w:rPr>
          <w:b/>
        </w:rPr>
        <w:t xml:space="preserve"> účinná a </w:t>
      </w:r>
      <w:r w:rsidR="002F3959" w:rsidRPr="00433ABB">
        <w:rPr>
          <w:b/>
        </w:rPr>
        <w:t>účelná</w:t>
      </w:r>
      <w:r w:rsidR="00852166" w:rsidRPr="00433ABB">
        <w:rPr>
          <w:b/>
        </w:rPr>
        <w:t xml:space="preserve"> </w:t>
      </w:r>
      <w:r w:rsidR="00AB3016" w:rsidRPr="00433ABB">
        <w:rPr>
          <w:b/>
        </w:rPr>
        <w:t>daňová</w:t>
      </w:r>
      <w:r w:rsidRPr="00433ABB">
        <w:rPr>
          <w:b/>
        </w:rPr>
        <w:t xml:space="preserve"> </w:t>
      </w:r>
      <w:r w:rsidRPr="005D1930">
        <w:rPr>
          <w:b/>
        </w:rPr>
        <w:t>opatření</w:t>
      </w:r>
      <w:r w:rsidRPr="007B0847">
        <w:rPr>
          <w:b/>
        </w:rPr>
        <w:t xml:space="preserve"> </w:t>
      </w:r>
      <w:r w:rsidR="002F3959" w:rsidRPr="00433ABB">
        <w:rPr>
          <w:b/>
        </w:rPr>
        <w:t xml:space="preserve">významně </w:t>
      </w:r>
      <w:r w:rsidRPr="00433ABB">
        <w:rPr>
          <w:b/>
        </w:rPr>
        <w:t>podporující naplňování cílů KEP</w:t>
      </w:r>
      <w:r w:rsidR="009A5E3B">
        <w:rPr>
          <w:b/>
        </w:rPr>
        <w:t>.</w:t>
      </w:r>
    </w:p>
    <w:p w14:paraId="7CAD0B2B" w14:textId="298E7397" w:rsidR="002748C4" w:rsidRPr="002748C4" w:rsidRDefault="002748C4" w:rsidP="00BB56B1">
      <w:pPr>
        <w:rPr>
          <w:b/>
        </w:rPr>
      </w:pPr>
      <w:r w:rsidRPr="005D1930">
        <w:rPr>
          <w:b/>
        </w:rPr>
        <w:t>NK</w:t>
      </w:r>
      <w:r w:rsidRPr="007B0847">
        <w:rPr>
          <w:b/>
        </w:rPr>
        <w:t>Ú zjistil, že m</w:t>
      </w:r>
      <w:r w:rsidR="0051469A" w:rsidRPr="007B0847">
        <w:rPr>
          <w:b/>
        </w:rPr>
        <w:t>otivace široké veřejnosti ke snižování</w:t>
      </w:r>
      <w:r w:rsidR="0042332C">
        <w:rPr>
          <w:b/>
        </w:rPr>
        <w:t xml:space="preserve"> spotřeby energie a přechodu na </w:t>
      </w:r>
      <w:r w:rsidR="0051469A" w:rsidRPr="007B0847">
        <w:rPr>
          <w:b/>
        </w:rPr>
        <w:t xml:space="preserve">ekologicky čistší zdroje energie </w:t>
      </w:r>
      <w:r w:rsidR="00022ABB" w:rsidRPr="00F00394">
        <w:rPr>
          <w:b/>
        </w:rPr>
        <w:t xml:space="preserve">v oblasti daní je </w:t>
      </w:r>
      <w:r w:rsidR="00DE67DA" w:rsidRPr="00F00394">
        <w:rPr>
          <w:b/>
        </w:rPr>
        <w:t>nízká</w:t>
      </w:r>
      <w:r w:rsidR="0051469A" w:rsidRPr="00F00394">
        <w:rPr>
          <w:b/>
        </w:rPr>
        <w:t>.</w:t>
      </w:r>
      <w:r w:rsidR="0051469A" w:rsidRPr="00F00394">
        <w:t xml:space="preserve"> </w:t>
      </w:r>
      <w:r w:rsidR="00E617AE">
        <w:rPr>
          <w:b/>
        </w:rPr>
        <w:t>Dopadem je zaostávání sektoru automobilové dopravy v jeho ekologizaci za většinou států EU a závislost plnění cílů EU na biopalivech první generace</w:t>
      </w:r>
      <w:r w:rsidR="00E617AE">
        <w:rPr>
          <w:rStyle w:val="Znakapoznpodarou"/>
          <w:b/>
        </w:rPr>
        <w:footnoteReference w:id="6"/>
      </w:r>
      <w:r w:rsidR="001F2837">
        <w:rPr>
          <w:b/>
        </w:rPr>
        <w:t xml:space="preserve"> se všemi svými negativy, např. nárůstem zemědělské plochy určen</w:t>
      </w:r>
      <w:r w:rsidR="00A6110D">
        <w:rPr>
          <w:b/>
        </w:rPr>
        <w:t>é</w:t>
      </w:r>
      <w:r w:rsidR="001F2837">
        <w:rPr>
          <w:b/>
        </w:rPr>
        <w:t xml:space="preserve"> k pěstování plodin pro výrobu biopaliv na úkor plodin určených pro výrobu potravin.</w:t>
      </w:r>
      <w:r w:rsidR="00DA1ECF">
        <w:rPr>
          <w:b/>
        </w:rPr>
        <w:t xml:space="preserve"> </w:t>
      </w:r>
      <w:r w:rsidR="005E7124" w:rsidRPr="00B66B4D">
        <w:rPr>
          <w:b/>
        </w:rPr>
        <w:t>S růstem spotřeby konvenčních paliv poroste i</w:t>
      </w:r>
      <w:r w:rsidR="005E7124" w:rsidRPr="002748C4">
        <w:rPr>
          <w:b/>
        </w:rPr>
        <w:t xml:space="preserve"> </w:t>
      </w:r>
      <w:r w:rsidR="005E7124" w:rsidRPr="00B66B4D">
        <w:rPr>
          <w:b/>
        </w:rPr>
        <w:t>poptávka po biopalivech</w:t>
      </w:r>
      <w:r w:rsidR="005E7124" w:rsidRPr="002748C4">
        <w:rPr>
          <w:b/>
        </w:rPr>
        <w:t>.</w:t>
      </w:r>
    </w:p>
    <w:p w14:paraId="15927971" w14:textId="6126B7D9" w:rsidR="00360484" w:rsidRDefault="002748C4" w:rsidP="00AC017B">
      <w:pPr>
        <w:rPr>
          <w:b/>
        </w:rPr>
      </w:pPr>
      <w:r w:rsidRPr="00433ABB">
        <w:rPr>
          <w:b/>
        </w:rPr>
        <w:t>NKÚ zjistil, že z</w:t>
      </w:r>
      <w:r w:rsidR="005E7124" w:rsidRPr="00433ABB">
        <w:rPr>
          <w:b/>
        </w:rPr>
        <w:t xml:space="preserve">atímco ve </w:t>
      </w:r>
      <w:r w:rsidR="00516577">
        <w:rPr>
          <w:b/>
        </w:rPr>
        <w:t xml:space="preserve">většině </w:t>
      </w:r>
      <w:r w:rsidR="005E7124" w:rsidRPr="00433ABB">
        <w:rPr>
          <w:b/>
        </w:rPr>
        <w:t>stát</w:t>
      </w:r>
      <w:r w:rsidR="00516577">
        <w:rPr>
          <w:b/>
        </w:rPr>
        <w:t>ů</w:t>
      </w:r>
      <w:r w:rsidR="005E7124" w:rsidRPr="00433ABB">
        <w:rPr>
          <w:b/>
        </w:rPr>
        <w:t xml:space="preserve"> EU jsou finanční opatření v podstatné výši aktivně prosazována, </w:t>
      </w:r>
      <w:r w:rsidR="00D5385B">
        <w:rPr>
          <w:b/>
        </w:rPr>
        <w:t xml:space="preserve">v ČR </w:t>
      </w:r>
      <w:r w:rsidR="00D5385B" w:rsidRPr="00433ABB">
        <w:rPr>
          <w:b/>
        </w:rPr>
        <w:t xml:space="preserve">je </w:t>
      </w:r>
      <w:r w:rsidR="00B0459F" w:rsidRPr="00433ABB">
        <w:rPr>
          <w:b/>
        </w:rPr>
        <w:t xml:space="preserve">kontrolovaná ministerstva </w:t>
      </w:r>
      <w:r w:rsidR="005E7124" w:rsidRPr="00433ABB">
        <w:rPr>
          <w:b/>
        </w:rPr>
        <w:t>v sektoru dopravy teprve zkoum</w:t>
      </w:r>
      <w:r w:rsidR="00B0459F" w:rsidRPr="00433ABB">
        <w:rPr>
          <w:b/>
        </w:rPr>
        <w:t>ají</w:t>
      </w:r>
      <w:r w:rsidR="00433ABB">
        <w:rPr>
          <w:b/>
        </w:rPr>
        <w:t>. NKÚ konstatuje</w:t>
      </w:r>
      <w:r w:rsidR="004569B7" w:rsidRPr="00433ABB">
        <w:rPr>
          <w:b/>
        </w:rPr>
        <w:t xml:space="preserve">, že </w:t>
      </w:r>
      <w:r w:rsidR="00076817" w:rsidRPr="00433ABB">
        <w:rPr>
          <w:b/>
        </w:rPr>
        <w:t xml:space="preserve">v sektoru dopravy </w:t>
      </w:r>
      <w:r w:rsidR="00433ABB">
        <w:rPr>
          <w:b/>
        </w:rPr>
        <w:t xml:space="preserve">MD, MŽP a MF </w:t>
      </w:r>
      <w:r w:rsidR="004569B7" w:rsidRPr="00433ABB">
        <w:rPr>
          <w:b/>
        </w:rPr>
        <w:t>nenaplnil</w:t>
      </w:r>
      <w:r w:rsidR="00A6110D">
        <w:rPr>
          <w:b/>
        </w:rPr>
        <w:t>y</w:t>
      </w:r>
      <w:r w:rsidR="004569B7" w:rsidRPr="00433ABB">
        <w:rPr>
          <w:b/>
        </w:rPr>
        <w:t xml:space="preserve"> svou funkci </w:t>
      </w:r>
      <w:r w:rsidR="003E0E93">
        <w:rPr>
          <w:b/>
        </w:rPr>
        <w:t>spočívající v péči o </w:t>
      </w:r>
      <w:r w:rsidR="00076817" w:rsidRPr="00433ABB">
        <w:rPr>
          <w:b/>
        </w:rPr>
        <w:t>náležitou</w:t>
      </w:r>
      <w:r w:rsidR="00360484">
        <w:rPr>
          <w:b/>
        </w:rPr>
        <w:t xml:space="preserve"> právní úpravu v oblasti daní a </w:t>
      </w:r>
      <w:r w:rsidR="00076817" w:rsidRPr="00433ABB">
        <w:rPr>
          <w:b/>
        </w:rPr>
        <w:t>poplatků</w:t>
      </w:r>
      <w:r w:rsidR="00433ABB">
        <w:rPr>
          <w:b/>
        </w:rPr>
        <w:t xml:space="preserve">, neboť </w:t>
      </w:r>
      <w:r w:rsidR="00420E64">
        <w:rPr>
          <w:b/>
        </w:rPr>
        <w:t>nenavrhl</w:t>
      </w:r>
      <w:r w:rsidR="00A6110D">
        <w:rPr>
          <w:b/>
        </w:rPr>
        <w:t>y</w:t>
      </w:r>
      <w:r w:rsidR="00420E64">
        <w:rPr>
          <w:b/>
        </w:rPr>
        <w:t xml:space="preserve"> </w:t>
      </w:r>
      <w:r w:rsidR="0026023B">
        <w:rPr>
          <w:b/>
        </w:rPr>
        <w:t>noveliz</w:t>
      </w:r>
      <w:r w:rsidR="00420E64">
        <w:rPr>
          <w:b/>
        </w:rPr>
        <w:t>aci platných právních předpisů,</w:t>
      </w:r>
      <w:r w:rsidR="0026023B">
        <w:rPr>
          <w:b/>
        </w:rPr>
        <w:t xml:space="preserve"> přestože proto nastaly důvody</w:t>
      </w:r>
      <w:r w:rsidR="00076817" w:rsidRPr="00433ABB">
        <w:rPr>
          <w:b/>
        </w:rPr>
        <w:t>.</w:t>
      </w:r>
      <w:r w:rsidR="00076817">
        <w:rPr>
          <w:b/>
        </w:rPr>
        <w:t xml:space="preserve"> </w:t>
      </w:r>
    </w:p>
    <w:p w14:paraId="2F49B19A" w14:textId="77777777" w:rsidR="00E3678C" w:rsidRPr="004C3BE5" w:rsidRDefault="004C3BE5" w:rsidP="004C3BE5">
      <w:pPr>
        <w:pStyle w:val="Nadpiskapitoly2"/>
        <w:numPr>
          <w:ilvl w:val="0"/>
          <w:numId w:val="0"/>
        </w:numPr>
        <w:ind w:left="284" w:hanging="284"/>
        <w:rPr>
          <w:sz w:val="24"/>
        </w:rPr>
      </w:pPr>
      <w:r>
        <w:rPr>
          <w:sz w:val="24"/>
        </w:rPr>
        <w:lastRenderedPageBreak/>
        <w:t xml:space="preserve">A. </w:t>
      </w:r>
      <w:r w:rsidR="0051469A" w:rsidRPr="004C3BE5">
        <w:rPr>
          <w:sz w:val="24"/>
        </w:rPr>
        <w:t xml:space="preserve">Opatření v sektoru dopravy nepřispívají k její ekologizaci </w:t>
      </w:r>
      <w:r w:rsidR="00A12C2A" w:rsidRPr="004C3BE5">
        <w:rPr>
          <w:sz w:val="24"/>
        </w:rPr>
        <w:t>ve významné míře</w:t>
      </w:r>
    </w:p>
    <w:p w14:paraId="392F3AB6" w14:textId="77777777" w:rsidR="007E3226" w:rsidRDefault="004C3BE5" w:rsidP="004C3BE5">
      <w:pPr>
        <w:pStyle w:val="1rove2"/>
        <w:numPr>
          <w:ilvl w:val="0"/>
          <w:numId w:val="0"/>
        </w:numPr>
      </w:pPr>
      <w:r>
        <w:t xml:space="preserve">1. </w:t>
      </w:r>
      <w:r w:rsidR="0051469A">
        <w:t xml:space="preserve">Strategická </w:t>
      </w:r>
      <w:r w:rsidR="00916AF6">
        <w:t xml:space="preserve">daňová </w:t>
      </w:r>
      <w:r w:rsidR="0051469A">
        <w:t xml:space="preserve">opatření </w:t>
      </w:r>
      <w:r w:rsidR="00916AF6">
        <w:t xml:space="preserve">v ČR oproti státům EU nevedou k ekologizaci dopravy </w:t>
      </w:r>
    </w:p>
    <w:p w14:paraId="63EC22D2" w14:textId="4874ACE0" w:rsidR="00E3678C" w:rsidRPr="00CC370F" w:rsidRDefault="0051469A" w:rsidP="00986786">
      <w:r w:rsidRPr="007E3226">
        <w:t>Kontrolovaná ministerstva jsou odpovědná za nasta</w:t>
      </w:r>
      <w:r w:rsidR="00A2222A">
        <w:t>vení systému zdanění pořízení a </w:t>
      </w:r>
      <w:r w:rsidRPr="007E3226">
        <w:t xml:space="preserve">provozování vozidel, zdanění </w:t>
      </w:r>
      <w:r w:rsidR="00D370FD">
        <w:t>PHM</w:t>
      </w:r>
      <w:r w:rsidRPr="007E3226">
        <w:t xml:space="preserve"> a zdanění užívání pozemních komunikací</w:t>
      </w:r>
      <w:r w:rsidRPr="00420E64">
        <w:t xml:space="preserve">. </w:t>
      </w:r>
      <w:r w:rsidR="00420E64" w:rsidRPr="007E3226">
        <w:t xml:space="preserve">NKÚ </w:t>
      </w:r>
      <w:r w:rsidR="00420E64" w:rsidRPr="007E3226">
        <w:rPr>
          <w:color w:val="000000" w:themeColor="text1"/>
        </w:rPr>
        <w:t>zjistil</w:t>
      </w:r>
      <w:r w:rsidR="00420E64">
        <w:t>, že v</w:t>
      </w:r>
      <w:r w:rsidR="00420E64" w:rsidRPr="00B66B4D">
        <w:t xml:space="preserve">e státech EU, kde byla zavedena silná daňová a fiskální opatření, je podíl nově registrovaných vozidel s podporovaným pohonem významně vyšší než v ČR, např. </w:t>
      </w:r>
      <w:r w:rsidR="00516577">
        <w:t>v</w:t>
      </w:r>
      <w:r w:rsidR="00D5385B">
        <w:t>e</w:t>
      </w:r>
      <w:r w:rsidR="00516577">
        <w:t xml:space="preserve"> </w:t>
      </w:r>
      <w:r w:rsidR="00420E64" w:rsidRPr="00B66B4D">
        <w:t>Slovenské republice</w:t>
      </w:r>
      <w:r w:rsidR="001A1F7A">
        <w:t xml:space="preserve"> a </w:t>
      </w:r>
      <w:r w:rsidR="00516577">
        <w:t>v</w:t>
      </w:r>
      <w:r w:rsidR="001A1F7A">
        <w:t> </w:t>
      </w:r>
      <w:r w:rsidR="00420E64" w:rsidRPr="00B66B4D">
        <w:t>Rakousku</w:t>
      </w:r>
      <w:r w:rsidR="00420E64">
        <w:t xml:space="preserve">. </w:t>
      </w:r>
      <w:r w:rsidR="00AB347C">
        <w:t xml:space="preserve">Právní předpisy ČR </w:t>
      </w:r>
      <w:r w:rsidRPr="007E3226">
        <w:t>promít</w:t>
      </w:r>
      <w:r w:rsidR="00AB347C">
        <w:t xml:space="preserve">ají </w:t>
      </w:r>
      <w:r w:rsidRPr="007E3226">
        <w:t>ekologi</w:t>
      </w:r>
      <w:r w:rsidR="00E92F46" w:rsidRPr="007E3226">
        <w:t>cká hlediska</w:t>
      </w:r>
      <w:r w:rsidRPr="007E3226">
        <w:t xml:space="preserve"> vozidel do sazeb </w:t>
      </w:r>
      <w:r w:rsidR="00D370FD">
        <w:t xml:space="preserve">daní </w:t>
      </w:r>
      <w:r w:rsidR="004E1D12">
        <w:t xml:space="preserve">významně méně. </w:t>
      </w:r>
      <w:r w:rsidRPr="007E3226">
        <w:t xml:space="preserve">V důsledku toho ČR nezískává </w:t>
      </w:r>
      <w:r w:rsidR="002D2EC5">
        <w:t>prostředky</w:t>
      </w:r>
      <w:r w:rsidRPr="007E3226">
        <w:t xml:space="preserve"> na financování podporovaných ekologicky šetrných vozidel a musí je získávat z jiných zdrojů</w:t>
      </w:r>
      <w:r w:rsidR="00497EDC">
        <w:t xml:space="preserve">, např. </w:t>
      </w:r>
      <w:r w:rsidR="00916AF6">
        <w:t xml:space="preserve">z </w:t>
      </w:r>
      <w:r w:rsidR="00497EDC">
        <w:t>emisních povolenek</w:t>
      </w:r>
      <w:r w:rsidRPr="007E3226">
        <w:t xml:space="preserve">. Dosud jsou v ČR podporováni </w:t>
      </w:r>
      <w:r w:rsidR="00D370FD" w:rsidRPr="007E3226">
        <w:t xml:space="preserve">k nákupu elektrovozidel </w:t>
      </w:r>
      <w:r w:rsidRPr="007E3226">
        <w:t>podnikatel</w:t>
      </w:r>
      <w:r w:rsidR="00FC7184" w:rsidRPr="007E3226">
        <w:t>é</w:t>
      </w:r>
      <w:r>
        <w:rPr>
          <w:rStyle w:val="Znakapoznpodarou"/>
        </w:rPr>
        <w:footnoteReference w:id="7"/>
      </w:r>
      <w:r w:rsidRPr="007E3226">
        <w:t xml:space="preserve"> a veřejný sektor</w:t>
      </w:r>
      <w:r>
        <w:rPr>
          <w:rStyle w:val="Znakapoznpodarou"/>
        </w:rPr>
        <w:footnoteReference w:id="8"/>
      </w:r>
      <w:r w:rsidR="00916AF6">
        <w:t>.</w:t>
      </w:r>
      <w:r w:rsidRPr="007E3226">
        <w:t xml:space="preserve"> </w:t>
      </w:r>
      <w:r w:rsidR="00916AF6">
        <w:t>V</w:t>
      </w:r>
      <w:r w:rsidRPr="007E3226">
        <w:t xml:space="preserve"> některých státech </w:t>
      </w:r>
      <w:r w:rsidR="002D2EC5">
        <w:t xml:space="preserve">EU </w:t>
      </w:r>
      <w:r w:rsidR="00364372" w:rsidRPr="00CC370F">
        <w:t xml:space="preserve">je vedle elektromobilů </w:t>
      </w:r>
      <w:r w:rsidRPr="00CC370F">
        <w:t xml:space="preserve">podporován </w:t>
      </w:r>
      <w:r w:rsidR="00364372" w:rsidRPr="00CC370F">
        <w:t xml:space="preserve">také </w:t>
      </w:r>
      <w:r w:rsidRPr="00CC370F">
        <w:t xml:space="preserve">nákup vozidel </w:t>
      </w:r>
      <w:r w:rsidR="00364372" w:rsidRPr="00CC370F">
        <w:t xml:space="preserve">s konvenčním pohonem </w:t>
      </w:r>
      <w:r w:rsidRPr="00CC370F">
        <w:t>s</w:t>
      </w:r>
      <w:r w:rsidR="00CF597D" w:rsidRPr="00CC370F">
        <w:t> požadovanými nízkými emisemi i u </w:t>
      </w:r>
      <w:r w:rsidRPr="00CC370F">
        <w:t>nepodnikatel</w:t>
      </w:r>
      <w:r w:rsidR="00AA4945" w:rsidRPr="00CC370F">
        <w:t>ů</w:t>
      </w:r>
      <w:r w:rsidRPr="00D5385B">
        <w:rPr>
          <w:rStyle w:val="Znakapoznpodarou"/>
          <w:b/>
        </w:rPr>
        <w:footnoteReference w:id="9"/>
      </w:r>
      <w:r w:rsidRPr="00D5385B">
        <w:rPr>
          <w:b/>
        </w:rPr>
        <w:t xml:space="preserve">. </w:t>
      </w:r>
      <w:r w:rsidR="00AE5D99" w:rsidRPr="00D5385B">
        <w:rPr>
          <w:b/>
        </w:rPr>
        <w:t xml:space="preserve">Ve státech EU </w:t>
      </w:r>
      <w:r w:rsidR="00916AF6" w:rsidRPr="00D5385B">
        <w:rPr>
          <w:b/>
        </w:rPr>
        <w:t>jsou</w:t>
      </w:r>
      <w:r w:rsidR="00AE5D99" w:rsidRPr="00D5385B">
        <w:rPr>
          <w:b/>
        </w:rPr>
        <w:t xml:space="preserve"> silniční daň</w:t>
      </w:r>
      <w:r w:rsidR="002D2EC5" w:rsidRPr="00D5385B">
        <w:rPr>
          <w:b/>
        </w:rPr>
        <w:t>,</w:t>
      </w:r>
      <w:r w:rsidR="00AE5D99" w:rsidRPr="00D5385B">
        <w:rPr>
          <w:b/>
        </w:rPr>
        <w:t xml:space="preserve"> </w:t>
      </w:r>
      <w:r w:rsidR="00916AF6" w:rsidRPr="00D5385B">
        <w:rPr>
          <w:b/>
        </w:rPr>
        <w:t xml:space="preserve">resp. </w:t>
      </w:r>
      <w:r w:rsidR="00AE5D99" w:rsidRPr="00D5385B">
        <w:rPr>
          <w:b/>
        </w:rPr>
        <w:t>její obdoba</w:t>
      </w:r>
      <w:r w:rsidR="009E5A78">
        <w:rPr>
          <w:b/>
        </w:rPr>
        <w:t>,</w:t>
      </w:r>
      <w:r w:rsidR="00AE5D99" w:rsidRPr="00D5385B">
        <w:rPr>
          <w:b/>
        </w:rPr>
        <w:t xml:space="preserve"> </w:t>
      </w:r>
      <w:r w:rsidR="00916AF6" w:rsidRPr="00D5385B">
        <w:rPr>
          <w:b/>
        </w:rPr>
        <w:t>nebo</w:t>
      </w:r>
      <w:r w:rsidR="00AE5D99" w:rsidRPr="00D5385B">
        <w:rPr>
          <w:b/>
        </w:rPr>
        <w:t xml:space="preserve"> jednorázov</w:t>
      </w:r>
      <w:r w:rsidR="00916AF6" w:rsidRPr="00D5385B">
        <w:rPr>
          <w:b/>
        </w:rPr>
        <w:t>ě</w:t>
      </w:r>
      <w:r w:rsidR="00AE5D99" w:rsidRPr="00D5385B">
        <w:rPr>
          <w:b/>
        </w:rPr>
        <w:t xml:space="preserve"> pl</w:t>
      </w:r>
      <w:r w:rsidR="008A61AD" w:rsidRPr="00D5385B">
        <w:rPr>
          <w:b/>
        </w:rPr>
        <w:t>acen</w:t>
      </w:r>
      <w:r w:rsidR="00916AF6" w:rsidRPr="00D5385B">
        <w:rPr>
          <w:b/>
        </w:rPr>
        <w:t>ý</w:t>
      </w:r>
      <w:r w:rsidR="008A61AD" w:rsidRPr="00D5385B">
        <w:rPr>
          <w:b/>
        </w:rPr>
        <w:t xml:space="preserve"> registrační poplat</w:t>
      </w:r>
      <w:r w:rsidR="00916AF6" w:rsidRPr="00D5385B">
        <w:rPr>
          <w:b/>
        </w:rPr>
        <w:t>e</w:t>
      </w:r>
      <w:r w:rsidR="008A61AD" w:rsidRPr="00D5385B">
        <w:rPr>
          <w:b/>
        </w:rPr>
        <w:t>k (</w:t>
      </w:r>
      <w:r w:rsidR="00916AF6" w:rsidRPr="00D5385B">
        <w:rPr>
          <w:b/>
        </w:rPr>
        <w:t>daň</w:t>
      </w:r>
      <w:r w:rsidR="00AE5D99" w:rsidRPr="00D5385B">
        <w:rPr>
          <w:b/>
        </w:rPr>
        <w:t>) nejvýznamnějším</w:t>
      </w:r>
      <w:r w:rsidR="00916AF6" w:rsidRPr="00D5385B">
        <w:rPr>
          <w:b/>
        </w:rPr>
        <w:t>i</w:t>
      </w:r>
      <w:r w:rsidR="00AE5D99" w:rsidRPr="00D5385B">
        <w:rPr>
          <w:b/>
        </w:rPr>
        <w:t xml:space="preserve"> nástroj</w:t>
      </w:r>
      <w:r w:rsidR="00916AF6" w:rsidRPr="00D5385B">
        <w:rPr>
          <w:b/>
        </w:rPr>
        <w:t>i</w:t>
      </w:r>
      <w:r w:rsidR="00AE5D99" w:rsidRPr="00D5385B">
        <w:rPr>
          <w:b/>
        </w:rPr>
        <w:t xml:space="preserve"> pro prosazování ekologizace dopravy</w:t>
      </w:r>
      <w:r w:rsidR="002D2EC5" w:rsidRPr="00D5385B">
        <w:rPr>
          <w:b/>
        </w:rPr>
        <w:t>;</w:t>
      </w:r>
      <w:r w:rsidR="006B0901" w:rsidRPr="00D5385B">
        <w:rPr>
          <w:b/>
        </w:rPr>
        <w:t xml:space="preserve"> </w:t>
      </w:r>
      <w:r w:rsidR="004E1D12" w:rsidRPr="00D5385B">
        <w:rPr>
          <w:b/>
        </w:rPr>
        <w:t>v</w:t>
      </w:r>
      <w:r w:rsidR="00916AF6" w:rsidRPr="00D5385B">
        <w:rPr>
          <w:b/>
        </w:rPr>
        <w:t> </w:t>
      </w:r>
      <w:r w:rsidR="004E1D12" w:rsidRPr="00D5385B">
        <w:rPr>
          <w:b/>
        </w:rPr>
        <w:t>ČR</w:t>
      </w:r>
      <w:r w:rsidR="00916AF6" w:rsidRPr="00D5385B">
        <w:rPr>
          <w:b/>
        </w:rPr>
        <w:t xml:space="preserve"> však</w:t>
      </w:r>
      <w:r w:rsidR="004E1D12" w:rsidRPr="00D5385B">
        <w:rPr>
          <w:b/>
        </w:rPr>
        <w:t xml:space="preserve"> mají úlohu zanedbatelnou</w:t>
      </w:r>
      <w:r w:rsidR="006B0901" w:rsidRPr="00CC370F">
        <w:t xml:space="preserve"> (blíže bod IV.A.1</w:t>
      </w:r>
      <w:r w:rsidR="00905849" w:rsidRPr="00CC370F">
        <w:t xml:space="preserve"> tohoto KZ</w:t>
      </w:r>
      <w:r w:rsidR="006B0901" w:rsidRPr="00CC370F">
        <w:t>)</w:t>
      </w:r>
      <w:r w:rsidR="004E1D12" w:rsidRPr="00CC370F">
        <w:t xml:space="preserve">. </w:t>
      </w:r>
    </w:p>
    <w:p w14:paraId="7500AFCC" w14:textId="77777777" w:rsidR="00E3678C" w:rsidRPr="00CC370F" w:rsidRDefault="004C3BE5" w:rsidP="004C3BE5">
      <w:pPr>
        <w:pStyle w:val="1rove2"/>
        <w:numPr>
          <w:ilvl w:val="0"/>
          <w:numId w:val="0"/>
        </w:numPr>
      </w:pPr>
      <w:r>
        <w:t xml:space="preserve">2. </w:t>
      </w:r>
      <w:r w:rsidR="0051469A" w:rsidRPr="00CC370F">
        <w:t>Ministerstv</w:t>
      </w:r>
      <w:r w:rsidR="000518EA" w:rsidRPr="00CC370F">
        <w:t xml:space="preserve">em </w:t>
      </w:r>
      <w:r w:rsidR="0051469A" w:rsidRPr="00CC370F">
        <w:t>financí</w:t>
      </w:r>
      <w:r w:rsidR="00916AF6" w:rsidRPr="00CC370F">
        <w:t xml:space="preserve"> </w:t>
      </w:r>
      <w:r w:rsidR="000518EA" w:rsidRPr="00CC370F">
        <w:t>nastav</w:t>
      </w:r>
      <w:r w:rsidR="005F6EE8" w:rsidRPr="00CC370F">
        <w:t xml:space="preserve">ená opatření nejsou </w:t>
      </w:r>
      <w:r w:rsidR="000518EA" w:rsidRPr="00CC370F">
        <w:t>účinná</w:t>
      </w:r>
    </w:p>
    <w:p w14:paraId="36651953" w14:textId="3973BF08" w:rsidR="002D2EC5" w:rsidRPr="00CC370F" w:rsidRDefault="0051469A" w:rsidP="00986786">
      <w:pPr>
        <w:rPr>
          <w:b/>
        </w:rPr>
      </w:pPr>
      <w:r w:rsidRPr="00CC370F">
        <w:t>Alternativní paliva</w:t>
      </w:r>
      <w:r w:rsidR="00A74731" w:rsidRPr="00CC370F">
        <w:rPr>
          <w:rStyle w:val="Znakapoznpodarou"/>
        </w:rPr>
        <w:footnoteReference w:id="10"/>
      </w:r>
      <w:r w:rsidRPr="00CC370F">
        <w:t xml:space="preserve"> jsou </w:t>
      </w:r>
      <w:r w:rsidR="00516577" w:rsidRPr="00CC370F">
        <w:t xml:space="preserve">v ČR </w:t>
      </w:r>
      <w:r w:rsidRPr="00CC370F">
        <w:t xml:space="preserve">zvýhodněna nižší sazbou spotřební daně </w:t>
      </w:r>
      <w:r w:rsidR="00905849" w:rsidRPr="00CC370F">
        <w:t>(dále také „SPD“)</w:t>
      </w:r>
      <w:r w:rsidR="000518EA" w:rsidRPr="00CC370F">
        <w:t xml:space="preserve"> o</w:t>
      </w:r>
      <w:r w:rsidRPr="00CC370F">
        <w:t xml:space="preserve">proti konvenčním </w:t>
      </w:r>
      <w:r w:rsidR="00023E99" w:rsidRPr="00CC370F">
        <w:t xml:space="preserve">palivům </w:t>
      </w:r>
      <w:r w:rsidR="00022330" w:rsidRPr="00CC370F">
        <w:t>(tj. benzín a nafta)</w:t>
      </w:r>
      <w:r w:rsidRPr="00CC370F">
        <w:t xml:space="preserve">. </w:t>
      </w:r>
      <w:r w:rsidR="00646A55" w:rsidRPr="00CC370F">
        <w:t xml:space="preserve">Nejvyšší </w:t>
      </w:r>
      <w:r w:rsidRPr="00CC370F">
        <w:t>podpor</w:t>
      </w:r>
      <w:r w:rsidR="00646A55" w:rsidRPr="00CC370F">
        <w:t>u</w:t>
      </w:r>
      <w:r w:rsidR="00D85753" w:rsidRPr="00CC370F">
        <w:t xml:space="preserve"> na SPD</w:t>
      </w:r>
      <w:r w:rsidRPr="00CC370F">
        <w:t xml:space="preserve"> </w:t>
      </w:r>
      <w:r w:rsidR="00646A55" w:rsidRPr="00CC370F">
        <w:t>měly</w:t>
      </w:r>
      <w:r w:rsidR="00916447" w:rsidRPr="00CC370F">
        <w:t xml:space="preserve"> zkapalněný ropný plyn </w:t>
      </w:r>
      <w:r w:rsidR="004E4B6D" w:rsidRPr="00CC370F">
        <w:t>(</w:t>
      </w:r>
      <w:r w:rsidR="00916447" w:rsidRPr="00CC370F">
        <w:t>dále také „LPG“) a stlačený zemní plyn (dále také „</w:t>
      </w:r>
      <w:r w:rsidR="00646A55" w:rsidRPr="00CC370F">
        <w:t>CNG</w:t>
      </w:r>
      <w:r w:rsidR="00916447" w:rsidRPr="00CC370F">
        <w:t>“)</w:t>
      </w:r>
      <w:r w:rsidR="00646A55" w:rsidRPr="00CC370F">
        <w:t xml:space="preserve"> ve výši </w:t>
      </w:r>
      <w:r w:rsidRPr="00CC370F">
        <w:t xml:space="preserve">cca </w:t>
      </w:r>
      <w:r w:rsidR="009B1A83" w:rsidRPr="00CC370F">
        <w:t>2,</w:t>
      </w:r>
      <w:r w:rsidR="00646A55" w:rsidRPr="00CC370F">
        <w:t>8</w:t>
      </w:r>
      <w:r w:rsidR="009B1A83" w:rsidRPr="00CC370F">
        <w:t xml:space="preserve"> mld.</w:t>
      </w:r>
      <w:r w:rsidRPr="00CC370F">
        <w:t xml:space="preserve"> Kč</w:t>
      </w:r>
      <w:r w:rsidR="00646A55" w:rsidRPr="00CC370F">
        <w:t xml:space="preserve"> v roce 2018</w:t>
      </w:r>
      <w:r w:rsidRPr="00CC370F">
        <w:t xml:space="preserve">, avšak </w:t>
      </w:r>
      <w:r w:rsidR="00646A55" w:rsidRPr="00CC370F">
        <w:t xml:space="preserve">tato </w:t>
      </w:r>
      <w:r w:rsidRPr="00CC370F">
        <w:t xml:space="preserve">alternativní paliva </w:t>
      </w:r>
      <w:r w:rsidR="00646A55" w:rsidRPr="00CC370F">
        <w:t>měl</w:t>
      </w:r>
      <w:r w:rsidR="00916447" w:rsidRPr="00CC370F">
        <w:t>a</w:t>
      </w:r>
      <w:r w:rsidR="00646A55" w:rsidRPr="00CC370F">
        <w:t xml:space="preserve"> </w:t>
      </w:r>
      <w:r w:rsidRPr="00CC370F">
        <w:t xml:space="preserve">i nadále jen malé zastoupení na celkové spotřebě </w:t>
      </w:r>
      <w:r w:rsidR="004C6071" w:rsidRPr="00CC370F">
        <w:t xml:space="preserve">paliv </w:t>
      </w:r>
      <w:r w:rsidR="001A1F7A">
        <w:t>(3,15 </w:t>
      </w:r>
      <w:r w:rsidR="00646A55" w:rsidRPr="00CC370F">
        <w:t xml:space="preserve">%) </w:t>
      </w:r>
      <w:r w:rsidRPr="00CC370F">
        <w:t>a jejich spotřeba roste pomalu</w:t>
      </w:r>
      <w:r w:rsidR="00AB3016" w:rsidRPr="00CC370F">
        <w:t xml:space="preserve">. </w:t>
      </w:r>
      <w:r w:rsidR="00916447" w:rsidRPr="00CC370F">
        <w:t xml:space="preserve">Celkovou spotřebu elektřiny spotřebované v elektromobilech a její daňovou podporu nelze vyčíslit. </w:t>
      </w:r>
      <w:r w:rsidR="00AB3016" w:rsidRPr="00CC370F">
        <w:rPr>
          <w:b/>
        </w:rPr>
        <w:t>P</w:t>
      </w:r>
      <w:r w:rsidRPr="00CC370F">
        <w:rPr>
          <w:b/>
        </w:rPr>
        <w:t>očet vozidel na</w:t>
      </w:r>
      <w:r w:rsidR="00916447" w:rsidRPr="00CC370F">
        <w:rPr>
          <w:b/>
        </w:rPr>
        <w:t xml:space="preserve"> pohony</w:t>
      </w:r>
      <w:r w:rsidRPr="00CC370F">
        <w:rPr>
          <w:b/>
        </w:rPr>
        <w:t xml:space="preserve"> </w:t>
      </w:r>
      <w:r w:rsidR="001A1F7A">
        <w:rPr>
          <w:b/>
        </w:rPr>
        <w:t>CNG, LPG a </w:t>
      </w:r>
      <w:r w:rsidR="00916447" w:rsidRPr="00CC370F">
        <w:rPr>
          <w:b/>
        </w:rPr>
        <w:t xml:space="preserve">elektřinu </w:t>
      </w:r>
      <w:r w:rsidRPr="00CC370F">
        <w:rPr>
          <w:b/>
        </w:rPr>
        <w:t>roste pomaleji</w:t>
      </w:r>
      <w:r w:rsidR="00867E09">
        <w:rPr>
          <w:b/>
        </w:rPr>
        <w:t>,</w:t>
      </w:r>
      <w:r w:rsidRPr="00CC370F">
        <w:rPr>
          <w:b/>
        </w:rPr>
        <w:t xml:space="preserve"> než je dynamika nákupu nových i ojetých vozidel na konvenční pohony</w:t>
      </w:r>
      <w:r w:rsidR="00023E99" w:rsidRPr="00CC370F">
        <w:rPr>
          <w:b/>
        </w:rPr>
        <w:t>.</w:t>
      </w:r>
      <w:r w:rsidRPr="00CC370F">
        <w:rPr>
          <w:b/>
        </w:rPr>
        <w:t xml:space="preserve"> </w:t>
      </w:r>
    </w:p>
    <w:p w14:paraId="5F895480" w14:textId="5C331564" w:rsidR="00F359E0" w:rsidRPr="00CC370F" w:rsidRDefault="0051469A" w:rsidP="00986786">
      <w:pPr>
        <w:rPr>
          <w:color w:val="000000" w:themeColor="text1"/>
        </w:rPr>
      </w:pPr>
      <w:r w:rsidRPr="00CC370F">
        <w:rPr>
          <w:color w:val="000000" w:themeColor="text1"/>
          <w:szCs w:val="24"/>
        </w:rPr>
        <w:t>Na základě zjištěných skutečností NKÚ konstatuje, že slevy n</w:t>
      </w:r>
      <w:r w:rsidR="0043150F">
        <w:rPr>
          <w:color w:val="000000" w:themeColor="text1"/>
          <w:szCs w:val="24"/>
        </w:rPr>
        <w:t>a SPD mají jen omezený efekt ve</w:t>
      </w:r>
      <w:r w:rsidR="00C1072E">
        <w:rPr>
          <w:color w:val="000000" w:themeColor="text1"/>
          <w:szCs w:val="24"/>
        </w:rPr>
        <w:t xml:space="preserve"> </w:t>
      </w:r>
      <w:r w:rsidRPr="00CC370F">
        <w:rPr>
          <w:color w:val="000000" w:themeColor="text1"/>
          <w:szCs w:val="24"/>
        </w:rPr>
        <w:t xml:space="preserve">smyslu plnění cílů KEP. Při současném nastavení daňového systému a platných podmínek nelze očekávat významný nárůst spotřeby alternativních paliv v takové míře, aby mohla ovlivnit celkové emise v dopravě </w:t>
      </w:r>
      <w:r w:rsidRPr="00CC370F">
        <w:rPr>
          <w:color w:val="000000" w:themeColor="text1"/>
        </w:rPr>
        <w:t>(blíže bod IV.A</w:t>
      </w:r>
      <w:r w:rsidR="00E140DB">
        <w:rPr>
          <w:color w:val="000000" w:themeColor="text1"/>
        </w:rPr>
        <w:t xml:space="preserve"> </w:t>
      </w:r>
      <w:r w:rsidRPr="00CC370F">
        <w:rPr>
          <w:color w:val="000000" w:themeColor="text1"/>
        </w:rPr>
        <w:t>2.</w:t>
      </w:r>
      <w:r w:rsidR="00237396">
        <w:rPr>
          <w:color w:val="000000" w:themeColor="text1"/>
        </w:rPr>
        <w:t>1</w:t>
      </w:r>
      <w:r w:rsidR="00905849" w:rsidRPr="00CC370F">
        <w:rPr>
          <w:color w:val="000000" w:themeColor="text1"/>
        </w:rPr>
        <w:t xml:space="preserve"> tohoto KZ</w:t>
      </w:r>
      <w:r w:rsidRPr="00CC370F">
        <w:rPr>
          <w:color w:val="000000" w:themeColor="text1"/>
        </w:rPr>
        <w:t>)</w:t>
      </w:r>
      <w:r w:rsidR="005D46CD" w:rsidRPr="00CC370F">
        <w:rPr>
          <w:color w:val="000000" w:themeColor="text1"/>
        </w:rPr>
        <w:t>.</w:t>
      </w:r>
    </w:p>
    <w:p w14:paraId="327B9A0D" w14:textId="293B10A2" w:rsidR="002D2EC5" w:rsidRDefault="0051469A" w:rsidP="00986786">
      <w:pPr>
        <w:rPr>
          <w:rFonts w:cstheme="minorHAnsi"/>
          <w:lang w:eastAsia="cs-CZ"/>
        </w:rPr>
      </w:pPr>
      <w:r w:rsidRPr="00CC370F">
        <w:t>Do</w:t>
      </w:r>
      <w:r w:rsidR="00C1072E">
        <w:t xml:space="preserve"> </w:t>
      </w:r>
      <w:r w:rsidR="00E3678C" w:rsidRPr="00CC370F">
        <w:t>zákon</w:t>
      </w:r>
      <w:r w:rsidRPr="00CC370F">
        <w:t>a</w:t>
      </w:r>
      <w:r w:rsidR="00E3678C" w:rsidRPr="00CC370F">
        <w:t xml:space="preserve"> o dani silniční</w:t>
      </w:r>
      <w:r w:rsidRPr="00CC370F">
        <w:rPr>
          <w:rStyle w:val="Znakapoznpodarou"/>
        </w:rPr>
        <w:footnoteReference w:id="11"/>
      </w:r>
      <w:r w:rsidR="00E3678C" w:rsidRPr="00CC370F">
        <w:t xml:space="preserve">, který se vztahuje zejména na podnikatele, MF </w:t>
      </w:r>
      <w:r w:rsidR="00E3678C" w:rsidRPr="00CC370F">
        <w:rPr>
          <w:rFonts w:cstheme="minorHAnsi"/>
          <w:lang w:eastAsia="cs-CZ"/>
        </w:rPr>
        <w:t>promítlo ekologické</w:t>
      </w:r>
      <w:r w:rsidR="00E3678C" w:rsidRPr="00550DFE">
        <w:rPr>
          <w:rFonts w:cstheme="minorHAnsi"/>
          <w:lang w:eastAsia="cs-CZ"/>
        </w:rPr>
        <w:t xml:space="preserve"> parametry vozidel v podobě osvobození od daně pro vozidla s alternativními </w:t>
      </w:r>
      <w:r w:rsidR="00E3678C">
        <w:rPr>
          <w:rFonts w:cstheme="minorHAnsi"/>
          <w:lang w:eastAsia="cs-CZ"/>
        </w:rPr>
        <w:t>pohony</w:t>
      </w:r>
      <w:r w:rsidR="00916447">
        <w:rPr>
          <w:rStyle w:val="Znakapoznpodarou"/>
          <w:rFonts w:cstheme="minorHAnsi"/>
          <w:lang w:eastAsia="cs-CZ"/>
        </w:rPr>
        <w:footnoteReference w:id="12"/>
      </w:r>
      <w:r w:rsidR="00E3678C" w:rsidRPr="00550DFE">
        <w:rPr>
          <w:rFonts w:cstheme="minorHAnsi"/>
          <w:lang w:eastAsia="cs-CZ"/>
        </w:rPr>
        <w:t xml:space="preserve">. Nepřímý vztah ke snižování emisí má snížení nebo zvýšení sazby silniční daně na základě stáří vozidla. Toto snížení se až do roku 2008 poskytovalo na základě splnění dosažení příslušné </w:t>
      </w:r>
      <w:r w:rsidR="00E3678C" w:rsidRPr="00550DFE">
        <w:rPr>
          <w:rFonts w:cstheme="minorHAnsi"/>
          <w:lang w:eastAsia="cs-CZ"/>
        </w:rPr>
        <w:lastRenderedPageBreak/>
        <w:t>emisní normy, to znamená, že více promítalo emise do sazeb daně</w:t>
      </w:r>
      <w:r w:rsidR="00E3678C">
        <w:rPr>
          <w:rFonts w:cstheme="minorHAnsi"/>
          <w:lang w:eastAsia="cs-CZ"/>
        </w:rPr>
        <w:t xml:space="preserve"> než v současnosti</w:t>
      </w:r>
      <w:r w:rsidR="00E3678C" w:rsidRPr="00550DFE">
        <w:rPr>
          <w:rFonts w:cstheme="minorHAnsi"/>
          <w:lang w:eastAsia="cs-CZ"/>
        </w:rPr>
        <w:t>.</w:t>
      </w:r>
      <w:r w:rsidR="00A07E28">
        <w:rPr>
          <w:rFonts w:cstheme="minorHAnsi"/>
          <w:lang w:eastAsia="cs-CZ"/>
        </w:rPr>
        <w:t xml:space="preserve"> Ve</w:t>
      </w:r>
      <w:r w:rsidR="004D76EE">
        <w:rPr>
          <w:rFonts w:cstheme="minorHAnsi"/>
          <w:lang w:eastAsia="cs-CZ"/>
        </w:rPr>
        <w:t xml:space="preserve"> </w:t>
      </w:r>
      <w:r w:rsidR="00E3678C">
        <w:rPr>
          <w:rFonts w:cstheme="minorHAnsi"/>
          <w:lang w:eastAsia="cs-CZ"/>
        </w:rPr>
        <w:t xml:space="preserve">státech EU je tato daň založena obvykle na emisích nebo emisních třídách. </w:t>
      </w:r>
    </w:p>
    <w:p w14:paraId="4AD1BF9C" w14:textId="653FC595" w:rsidR="00E3678C" w:rsidRPr="00CC370F" w:rsidRDefault="0051469A" w:rsidP="00986786">
      <w:pPr>
        <w:rPr>
          <w:rFonts w:cstheme="minorHAnsi"/>
          <w:lang w:eastAsia="cs-CZ"/>
        </w:rPr>
      </w:pPr>
      <w:r w:rsidRPr="00550DFE">
        <w:rPr>
          <w:rFonts w:cstheme="minorHAnsi"/>
          <w:lang w:eastAsia="cs-CZ"/>
        </w:rPr>
        <w:t xml:space="preserve">NKÚ zjistil, že </w:t>
      </w:r>
      <w:r w:rsidRPr="00DA266E">
        <w:rPr>
          <w:rFonts w:cstheme="minorHAnsi"/>
          <w:b/>
          <w:lang w:eastAsia="cs-CZ"/>
        </w:rPr>
        <w:t xml:space="preserve">efektivnost </w:t>
      </w:r>
      <w:r w:rsidRPr="00DA266E">
        <w:rPr>
          <w:rFonts w:cstheme="minorHAnsi"/>
          <w:lang w:eastAsia="cs-CZ"/>
        </w:rPr>
        <w:t>těchto</w:t>
      </w:r>
      <w:r w:rsidRPr="00DA266E">
        <w:rPr>
          <w:rFonts w:cstheme="minorHAnsi"/>
          <w:b/>
          <w:lang w:eastAsia="cs-CZ"/>
        </w:rPr>
        <w:t xml:space="preserve"> daňových opatření </w:t>
      </w:r>
      <w:r w:rsidR="009C4A77">
        <w:rPr>
          <w:rFonts w:cstheme="minorHAnsi"/>
          <w:b/>
          <w:lang w:eastAsia="cs-CZ"/>
        </w:rPr>
        <w:t>v objemu</w:t>
      </w:r>
      <w:r w:rsidRPr="00DA266E">
        <w:rPr>
          <w:rFonts w:cstheme="minorHAnsi"/>
          <w:b/>
          <w:lang w:eastAsia="cs-CZ"/>
        </w:rPr>
        <w:t xml:space="preserve"> cca 2 mld. Kč ročně je diskutabilní, protože nelze kvantifikovat jejich skutečný přínos na obnovu vozového parku a na snižování emisí.</w:t>
      </w:r>
      <w:r w:rsidRPr="00550DFE">
        <w:rPr>
          <w:rFonts w:cstheme="minorHAnsi"/>
          <w:lang w:eastAsia="cs-CZ"/>
        </w:rPr>
        <w:t xml:space="preserve"> Zvýšen</w:t>
      </w:r>
      <w:r w:rsidR="005D46CD">
        <w:rPr>
          <w:rFonts w:cstheme="minorHAnsi"/>
          <w:lang w:eastAsia="cs-CZ"/>
        </w:rPr>
        <w:t>á daň</w:t>
      </w:r>
      <w:r w:rsidRPr="00550DFE">
        <w:rPr>
          <w:rFonts w:cstheme="minorHAnsi"/>
          <w:lang w:eastAsia="cs-CZ"/>
        </w:rPr>
        <w:t xml:space="preserve"> pro vozidla</w:t>
      </w:r>
      <w:r w:rsidR="00EE0BB8">
        <w:rPr>
          <w:rFonts w:cstheme="minorHAnsi"/>
          <w:lang w:eastAsia="cs-CZ"/>
        </w:rPr>
        <w:t xml:space="preserve"> registrovaná do 31. prosince 1989</w:t>
      </w:r>
      <w:r w:rsidRPr="00550DFE">
        <w:rPr>
          <w:rFonts w:cstheme="minorHAnsi"/>
          <w:lang w:eastAsia="cs-CZ"/>
        </w:rPr>
        <w:t xml:space="preserve"> je již zcela neúčinn</w:t>
      </w:r>
      <w:r w:rsidR="005D46CD">
        <w:rPr>
          <w:rFonts w:cstheme="minorHAnsi"/>
          <w:lang w:eastAsia="cs-CZ"/>
        </w:rPr>
        <w:t>á</w:t>
      </w:r>
      <w:r w:rsidRPr="00550DFE">
        <w:rPr>
          <w:rFonts w:cstheme="minorHAnsi"/>
          <w:lang w:eastAsia="cs-CZ"/>
        </w:rPr>
        <w:t xml:space="preserve">, protože se vztahuje na vozidla </w:t>
      </w:r>
      <w:r w:rsidR="00EE0BB8" w:rsidRPr="00550DFE">
        <w:rPr>
          <w:rFonts w:cstheme="minorHAnsi"/>
          <w:lang w:eastAsia="cs-CZ"/>
        </w:rPr>
        <w:t>star</w:t>
      </w:r>
      <w:r w:rsidR="00EE0BB8">
        <w:rPr>
          <w:rFonts w:cstheme="minorHAnsi"/>
          <w:lang w:eastAsia="cs-CZ"/>
        </w:rPr>
        <w:t>ší</w:t>
      </w:r>
      <w:r w:rsidR="00EE0BB8" w:rsidRPr="00550DFE">
        <w:rPr>
          <w:rFonts w:cstheme="minorHAnsi"/>
          <w:lang w:eastAsia="cs-CZ"/>
        </w:rPr>
        <w:t xml:space="preserve"> </w:t>
      </w:r>
      <w:r w:rsidRPr="00550DFE">
        <w:rPr>
          <w:rFonts w:cstheme="minorHAnsi"/>
          <w:lang w:eastAsia="cs-CZ"/>
        </w:rPr>
        <w:t>30 let, při</w:t>
      </w:r>
      <w:r w:rsidR="005D46CD">
        <w:rPr>
          <w:rFonts w:cstheme="minorHAnsi"/>
          <w:lang w:eastAsia="cs-CZ"/>
        </w:rPr>
        <w:t>čemž</w:t>
      </w:r>
      <w:r w:rsidRPr="00550DFE">
        <w:rPr>
          <w:rFonts w:cstheme="minorHAnsi"/>
          <w:lang w:eastAsia="cs-CZ"/>
        </w:rPr>
        <w:t xml:space="preserve"> původní záměr byl</w:t>
      </w:r>
      <w:r w:rsidR="00516577">
        <w:rPr>
          <w:rFonts w:cstheme="minorHAnsi"/>
          <w:lang w:eastAsia="cs-CZ"/>
        </w:rPr>
        <w:t>, aby se vztahovala na vozidla starší</w:t>
      </w:r>
      <w:r w:rsidR="005D46CD">
        <w:rPr>
          <w:rFonts w:cstheme="minorHAnsi"/>
          <w:lang w:eastAsia="cs-CZ"/>
        </w:rPr>
        <w:t xml:space="preserve"> </w:t>
      </w:r>
      <w:r w:rsidRPr="00550DFE">
        <w:rPr>
          <w:rFonts w:cstheme="minorHAnsi"/>
          <w:lang w:eastAsia="cs-CZ"/>
        </w:rPr>
        <w:t>1</w:t>
      </w:r>
      <w:r w:rsidR="00E92F46">
        <w:rPr>
          <w:rFonts w:cstheme="minorHAnsi"/>
          <w:lang w:eastAsia="cs-CZ"/>
        </w:rPr>
        <w:t>1</w:t>
      </w:r>
      <w:r w:rsidRPr="00550DFE">
        <w:rPr>
          <w:rFonts w:cstheme="minorHAnsi"/>
          <w:lang w:eastAsia="cs-CZ"/>
        </w:rPr>
        <w:t xml:space="preserve"> let. Účinnost opatření zejména u osobních automobilů je snižována nízkou výší sazeb </w:t>
      </w:r>
      <w:r w:rsidRPr="00CC370F">
        <w:rPr>
          <w:rFonts w:cstheme="minorHAnsi"/>
          <w:lang w:eastAsia="cs-CZ"/>
        </w:rPr>
        <w:t xml:space="preserve">daně silniční, které nezohlednily </w:t>
      </w:r>
      <w:r w:rsidR="00A07E28">
        <w:rPr>
          <w:rFonts w:cstheme="minorHAnsi"/>
          <w:lang w:eastAsia="cs-CZ"/>
        </w:rPr>
        <w:t>celkový hospodářský vývoj ČR za </w:t>
      </w:r>
      <w:r w:rsidR="005D46CD" w:rsidRPr="00CC370F">
        <w:rPr>
          <w:rFonts w:cstheme="minorHAnsi"/>
          <w:lang w:eastAsia="cs-CZ"/>
        </w:rPr>
        <w:t>období od roku 1993 do roku</w:t>
      </w:r>
      <w:r w:rsidR="00364372" w:rsidRPr="00CC370F">
        <w:rPr>
          <w:rFonts w:cstheme="minorHAnsi"/>
          <w:lang w:eastAsia="cs-CZ"/>
        </w:rPr>
        <w:t xml:space="preserve"> 2019</w:t>
      </w:r>
      <w:r w:rsidRPr="00CC370F">
        <w:rPr>
          <w:rFonts w:cstheme="minorHAnsi"/>
          <w:lang w:eastAsia="cs-CZ"/>
        </w:rPr>
        <w:t xml:space="preserve"> </w:t>
      </w:r>
      <w:r w:rsidRPr="00CC370F">
        <w:t xml:space="preserve">(blíže bod </w:t>
      </w:r>
      <w:r w:rsidR="00F359E0" w:rsidRPr="00CC370F">
        <w:t>IV.A.2.</w:t>
      </w:r>
      <w:r w:rsidR="00237396">
        <w:t>2</w:t>
      </w:r>
      <w:r w:rsidR="00905849" w:rsidRPr="00CC370F">
        <w:t xml:space="preserve"> tohoto KZ</w:t>
      </w:r>
      <w:r w:rsidRPr="00CC370F">
        <w:t>)</w:t>
      </w:r>
      <w:r w:rsidR="005D46CD" w:rsidRPr="00CC370F">
        <w:t>.</w:t>
      </w:r>
    </w:p>
    <w:p w14:paraId="6BB0AA2C" w14:textId="0346B9B1" w:rsidR="00E3678C" w:rsidRPr="00CC370F" w:rsidRDefault="0051469A" w:rsidP="00986786">
      <w:r w:rsidRPr="00CC370F">
        <w:t xml:space="preserve">NKÚ zjistil, že na rozdíl od ČR řada států EU </w:t>
      </w:r>
      <w:r w:rsidR="009C1E6A" w:rsidRPr="00CC370F">
        <w:t xml:space="preserve">podporuje ekologizaci sektoru dopravy </w:t>
      </w:r>
      <w:r w:rsidR="00CF597D" w:rsidRPr="00CC370F">
        <w:t>i </w:t>
      </w:r>
      <w:r w:rsidRPr="00CC370F">
        <w:t xml:space="preserve">prostřednictvím dalších daní, zejména daně z příjmů právnických i fyzických osob. Zejména zvýhodňují odčitatelnost nákladů na pořízení </w:t>
      </w:r>
      <w:r w:rsidR="00364372" w:rsidRPr="00CC370F">
        <w:t>elektromobilu</w:t>
      </w:r>
      <w:r w:rsidR="00CF597D" w:rsidRPr="00CC370F">
        <w:t xml:space="preserve"> od základu daně z příjmu a </w:t>
      </w:r>
      <w:r w:rsidRPr="00CC370F">
        <w:t xml:space="preserve">zvýhodňují poskytování </w:t>
      </w:r>
      <w:r w:rsidR="00364372" w:rsidRPr="00CC370F">
        <w:t xml:space="preserve">těchto </w:t>
      </w:r>
      <w:r w:rsidRPr="00CC370F">
        <w:t>vozidel</w:t>
      </w:r>
      <w:r w:rsidR="00557C8B" w:rsidRPr="00CC370F">
        <w:t xml:space="preserve"> pro soukromé účely </w:t>
      </w:r>
      <w:r w:rsidRPr="00CC370F">
        <w:t xml:space="preserve">jako benefitu </w:t>
      </w:r>
      <w:r w:rsidR="00D370FD" w:rsidRPr="00CC370F">
        <w:t xml:space="preserve">zaměstnavatele </w:t>
      </w:r>
      <w:r w:rsidRPr="00CC370F">
        <w:t xml:space="preserve">svým zaměstnancům (blíže body </w:t>
      </w:r>
      <w:r w:rsidR="00F359E0" w:rsidRPr="00CC370F">
        <w:t>IV.A.2.</w:t>
      </w:r>
      <w:r w:rsidR="00237396">
        <w:t>3</w:t>
      </w:r>
      <w:r w:rsidRPr="00CC370F">
        <w:t xml:space="preserve"> a </w:t>
      </w:r>
      <w:r w:rsidR="00F359E0" w:rsidRPr="00CC370F">
        <w:t>2.4</w:t>
      </w:r>
      <w:r w:rsidR="00905849" w:rsidRPr="00CC370F">
        <w:t xml:space="preserve"> tohoto KZ</w:t>
      </w:r>
      <w:r w:rsidRPr="00CC370F">
        <w:t>)</w:t>
      </w:r>
      <w:r w:rsidR="005D46CD" w:rsidRPr="00CC370F">
        <w:t>.</w:t>
      </w:r>
      <w:r w:rsidRPr="00CC370F">
        <w:t xml:space="preserve"> </w:t>
      </w:r>
    </w:p>
    <w:p w14:paraId="737D4667" w14:textId="4EF55E56" w:rsidR="004E4B6D" w:rsidRPr="00CC370F" w:rsidRDefault="0051469A" w:rsidP="00986786">
      <w:r w:rsidRPr="00CC370F">
        <w:t>MF</w:t>
      </w:r>
      <w:r w:rsidR="00EF4C72" w:rsidRPr="00CC370F">
        <w:t xml:space="preserve"> v souladu s právními předpisy </w:t>
      </w:r>
      <w:r w:rsidRPr="00CC370F">
        <w:t>do rozpočtové strategie cíle KEP nepromítlo</w:t>
      </w:r>
      <w:r w:rsidR="00C841B0" w:rsidRPr="00CC370F">
        <w:t xml:space="preserve"> </w:t>
      </w:r>
      <w:r w:rsidR="00516577" w:rsidRPr="00CC370F">
        <w:t>se zdůvodnění</w:t>
      </w:r>
      <w:r w:rsidR="00C82F6C" w:rsidRPr="00CC370F">
        <w:t>m</w:t>
      </w:r>
      <w:r w:rsidR="00516577" w:rsidRPr="00CC370F">
        <w:t xml:space="preserve">, že </w:t>
      </w:r>
      <w:r w:rsidRPr="00CC370F">
        <w:t xml:space="preserve">dosavadní výsledky ekologizace dopravy v ČR a přijatá opatření významně udržitelnost </w:t>
      </w:r>
      <w:r w:rsidR="00557C8B" w:rsidRPr="00CC370F">
        <w:t xml:space="preserve">příjmů </w:t>
      </w:r>
      <w:r w:rsidRPr="00CC370F">
        <w:t>neohrožují</w:t>
      </w:r>
      <w:r w:rsidR="00C82F6C" w:rsidRPr="00CC370F">
        <w:t>, přičemž</w:t>
      </w:r>
      <w:r w:rsidR="00516577" w:rsidRPr="00CC370F">
        <w:t xml:space="preserve"> NKÚ </w:t>
      </w:r>
      <w:r w:rsidR="00C82F6C" w:rsidRPr="00CC370F">
        <w:t xml:space="preserve">s tímto </w:t>
      </w:r>
      <w:r w:rsidR="00D741FA" w:rsidRPr="00CC370F">
        <w:t>p</w:t>
      </w:r>
      <w:r w:rsidR="00344B39">
        <w:t>řístupem</w:t>
      </w:r>
      <w:r w:rsidR="00D741FA" w:rsidRPr="00CC370F">
        <w:t xml:space="preserve"> MF</w:t>
      </w:r>
      <w:r w:rsidR="00C82F6C" w:rsidRPr="00CC370F">
        <w:t xml:space="preserve"> souhlasí. </w:t>
      </w:r>
      <w:r w:rsidRPr="00CC370F">
        <w:t xml:space="preserve"> </w:t>
      </w:r>
    </w:p>
    <w:p w14:paraId="2802D754" w14:textId="77777777" w:rsidR="00E3678C" w:rsidRPr="00CC370F" w:rsidRDefault="004C3BE5" w:rsidP="004C3BE5">
      <w:pPr>
        <w:pStyle w:val="1rove2"/>
        <w:numPr>
          <w:ilvl w:val="0"/>
          <w:numId w:val="0"/>
        </w:numPr>
      </w:pPr>
      <w:r>
        <w:t xml:space="preserve">3. </w:t>
      </w:r>
      <w:r w:rsidR="0051469A" w:rsidRPr="00CC370F">
        <w:t xml:space="preserve">Ministerstvo dopravy </w:t>
      </w:r>
      <w:r w:rsidR="00BD7B39" w:rsidRPr="00CC370F">
        <w:t xml:space="preserve">vhodně </w:t>
      </w:r>
      <w:r w:rsidR="009C1E6A" w:rsidRPr="00CC370F">
        <w:t xml:space="preserve">neuplatnilo principy EU směřující k ekologizaci dopravy </w:t>
      </w:r>
    </w:p>
    <w:p w14:paraId="100B7960" w14:textId="0D1FA22B" w:rsidR="00E3678C" w:rsidRPr="00CC370F" w:rsidRDefault="00865438" w:rsidP="00986786">
      <w:r w:rsidRPr="00CC370F">
        <w:t xml:space="preserve">Ceny elektromobilů jsou vyšší v řádu stovek tisíc </w:t>
      </w:r>
      <w:r w:rsidR="009C4A77">
        <w:t>korun</w:t>
      </w:r>
      <w:r w:rsidRPr="00CC370F">
        <w:t xml:space="preserve"> oproti cenám vozidel s konvenčním pohonem. MD pro elektromobily zavedlo </w:t>
      </w:r>
      <w:r w:rsidR="00643C08" w:rsidRPr="00CC370F">
        <w:t>jednorázov</w:t>
      </w:r>
      <w:r w:rsidRPr="00CC370F">
        <w:t>ou</w:t>
      </w:r>
      <w:r w:rsidR="00643C08" w:rsidRPr="00CC370F">
        <w:t xml:space="preserve"> </w:t>
      </w:r>
      <w:r w:rsidR="0051469A" w:rsidRPr="00CC370F">
        <w:t>slev</w:t>
      </w:r>
      <w:r w:rsidRPr="00CC370F">
        <w:t>u</w:t>
      </w:r>
      <w:r w:rsidR="0051469A" w:rsidRPr="00CC370F">
        <w:t xml:space="preserve"> z registračního poplatku</w:t>
      </w:r>
      <w:r w:rsidRPr="00CC370F">
        <w:t xml:space="preserve"> ve výši </w:t>
      </w:r>
      <w:r w:rsidR="00643C08" w:rsidRPr="00CC370F">
        <w:t>800 Kč</w:t>
      </w:r>
      <w:r w:rsidR="0051469A" w:rsidRPr="00CC370F">
        <w:rPr>
          <w:rStyle w:val="Znakapoznpodarou"/>
        </w:rPr>
        <w:footnoteReference w:id="13"/>
      </w:r>
      <w:r w:rsidR="00A07E28">
        <w:t>,</w:t>
      </w:r>
      <w:r w:rsidR="0051469A" w:rsidRPr="00CC370F">
        <w:t xml:space="preserve"> a</w:t>
      </w:r>
      <w:r w:rsidRPr="00CC370F">
        <w:t xml:space="preserve"> dále </w:t>
      </w:r>
      <w:r w:rsidR="0051469A" w:rsidRPr="00CC370F">
        <w:t>navr</w:t>
      </w:r>
      <w:r w:rsidRPr="00CC370F">
        <w:t xml:space="preserve">hlo </w:t>
      </w:r>
      <w:r w:rsidR="00643C08" w:rsidRPr="00CC370F">
        <w:t xml:space="preserve">každoroční </w:t>
      </w:r>
      <w:r w:rsidR="0051469A" w:rsidRPr="00CC370F">
        <w:t>slev</w:t>
      </w:r>
      <w:r w:rsidR="00557C8B" w:rsidRPr="00CC370F">
        <w:t>u</w:t>
      </w:r>
      <w:r w:rsidR="0051469A" w:rsidRPr="00CC370F">
        <w:t xml:space="preserve"> z časového poplatku </w:t>
      </w:r>
      <w:r w:rsidR="00643C08" w:rsidRPr="00CC370F">
        <w:t xml:space="preserve">až 1 500 Kč za </w:t>
      </w:r>
      <w:r w:rsidR="0051469A" w:rsidRPr="00CC370F">
        <w:t>užívání pozemních komunikací</w:t>
      </w:r>
      <w:r w:rsidR="0051469A" w:rsidRPr="00CC370F">
        <w:rPr>
          <w:rStyle w:val="Znakapoznpodarou"/>
        </w:rPr>
        <w:footnoteReference w:id="14"/>
      </w:r>
      <w:r w:rsidRPr="00CC370F">
        <w:t>.</w:t>
      </w:r>
      <w:r w:rsidR="004E4B6D" w:rsidRPr="00CC370F">
        <w:t xml:space="preserve"> </w:t>
      </w:r>
      <w:r w:rsidR="00557C8B" w:rsidRPr="00CC370F">
        <w:t xml:space="preserve">NKÚ </w:t>
      </w:r>
      <w:r w:rsidRPr="00CC370F">
        <w:t>tato opatření k podpoře elektromobilů nepovažuj</w:t>
      </w:r>
      <w:r w:rsidR="00C82F6C" w:rsidRPr="00CC370F">
        <w:t>e</w:t>
      </w:r>
      <w:r w:rsidRPr="00CC370F">
        <w:t xml:space="preserve"> </w:t>
      </w:r>
      <w:r w:rsidR="00557C8B" w:rsidRPr="00CC370F">
        <w:t>za efektivní</w:t>
      </w:r>
      <w:r w:rsidR="0051469A" w:rsidRPr="00CC370F">
        <w:t xml:space="preserve">, protože nemohou významně </w:t>
      </w:r>
      <w:r w:rsidR="009C4A77">
        <w:t xml:space="preserve">zvýšit </w:t>
      </w:r>
      <w:r w:rsidR="0051469A" w:rsidRPr="00CC370F">
        <w:t xml:space="preserve">motivaci </w:t>
      </w:r>
      <w:r w:rsidR="009C4A77">
        <w:t>k </w:t>
      </w:r>
      <w:r w:rsidR="0051469A" w:rsidRPr="00CC370F">
        <w:t>pořízení těchto vozidel.</w:t>
      </w:r>
      <w:r w:rsidR="0051469A" w:rsidRPr="00BB0CE7">
        <w:t xml:space="preserve"> </w:t>
      </w:r>
      <w:r w:rsidRPr="00CC370F">
        <w:t xml:space="preserve">NKÚ zjistil, že </w:t>
      </w:r>
      <w:r w:rsidR="00253EDA" w:rsidRPr="00CC370F">
        <w:t xml:space="preserve">na rozdíl od ČR </w:t>
      </w:r>
      <w:r w:rsidR="00C82F6C" w:rsidRPr="00CC370F">
        <w:t>řada</w:t>
      </w:r>
      <w:r w:rsidRPr="00CC370F">
        <w:t xml:space="preserve"> stát</w:t>
      </w:r>
      <w:r w:rsidR="00C82F6C" w:rsidRPr="00CC370F">
        <w:t>ů</w:t>
      </w:r>
      <w:r w:rsidRPr="00CC370F">
        <w:t xml:space="preserve"> EU uplatň</w:t>
      </w:r>
      <w:r w:rsidR="00C82F6C" w:rsidRPr="00CC370F">
        <w:t>uje</w:t>
      </w:r>
      <w:r w:rsidRPr="00CC370F">
        <w:t xml:space="preserve"> registrační poplatek nebo daň zohledňující emise vozidel, objem motoru, nebo výkon vozidla</w:t>
      </w:r>
      <w:r w:rsidR="00253EDA" w:rsidRPr="00CC370F">
        <w:t>.</w:t>
      </w:r>
      <w:r w:rsidRPr="00CC370F">
        <w:t xml:space="preserve"> </w:t>
      </w:r>
      <w:r w:rsidR="00461E57" w:rsidRPr="00CC370F">
        <w:t xml:space="preserve">Např. Slovenská republika </w:t>
      </w:r>
      <w:r w:rsidR="002C2C33" w:rsidRPr="00CC370F">
        <w:t>uplatňuje v závislosti na výkon</w:t>
      </w:r>
      <w:r w:rsidR="00BD7B39" w:rsidRPr="00CC370F">
        <w:t>u</w:t>
      </w:r>
      <w:r w:rsidR="002C2C33" w:rsidRPr="00CC370F">
        <w:t xml:space="preserve"> motoru </w:t>
      </w:r>
      <w:r w:rsidR="00364372" w:rsidRPr="00CC370F">
        <w:t xml:space="preserve">registrační </w:t>
      </w:r>
      <w:r w:rsidR="00461E57" w:rsidRPr="00CC370F">
        <w:t>poplatek až 3</w:t>
      </w:r>
      <w:r w:rsidR="00560544" w:rsidRPr="00CC370F">
        <w:t xml:space="preserve"> </w:t>
      </w:r>
      <w:r w:rsidR="00461E57" w:rsidRPr="00CC370F">
        <w:t xml:space="preserve">900 </w:t>
      </w:r>
      <w:r w:rsidR="009C4A77">
        <w:t>€</w:t>
      </w:r>
      <w:r w:rsidR="002C2C33" w:rsidRPr="00CC370F">
        <w:t xml:space="preserve"> </w:t>
      </w:r>
      <w:r w:rsidR="0051469A" w:rsidRPr="00CC370F">
        <w:t xml:space="preserve">(blíže bod </w:t>
      </w:r>
      <w:r w:rsidR="00F359E0" w:rsidRPr="00CC370F">
        <w:t>IV.A.3.</w:t>
      </w:r>
      <w:r w:rsidR="00237396">
        <w:t>1</w:t>
      </w:r>
      <w:r w:rsidR="00905849" w:rsidRPr="00CC370F">
        <w:t xml:space="preserve"> tohoto KZ</w:t>
      </w:r>
      <w:r w:rsidR="0051469A" w:rsidRPr="00CC370F">
        <w:t>)</w:t>
      </w:r>
      <w:r w:rsidR="00D604B5" w:rsidRPr="00CC370F">
        <w:t>.</w:t>
      </w:r>
      <w:r w:rsidR="00643C08" w:rsidRPr="00CC370F">
        <w:t xml:space="preserve">   </w:t>
      </w:r>
    </w:p>
    <w:p w14:paraId="233C12C5" w14:textId="119D0146" w:rsidR="00E3678C" w:rsidRPr="00CC370F" w:rsidRDefault="0051469A" w:rsidP="00986786">
      <w:pPr>
        <w:keepLines/>
        <w:spacing w:after="0"/>
        <w:rPr>
          <w:rFonts w:cstheme="minorHAnsi"/>
          <w:lang w:eastAsia="cs-CZ"/>
        </w:rPr>
      </w:pPr>
      <w:r w:rsidRPr="00CC370F">
        <w:rPr>
          <w:rFonts w:cstheme="minorHAnsi"/>
          <w:lang w:eastAsia="cs-CZ"/>
        </w:rPr>
        <w:t>Za užívání pozemních komunikací vozidly nad 3,5 tuny se v ČR platí mýtné. Od roku 2006 právní úprava EU</w:t>
      </w:r>
      <w:r w:rsidRPr="00CC370F">
        <w:rPr>
          <w:rStyle w:val="Znakapoznpodarou"/>
          <w:rFonts w:cstheme="minorHAnsi"/>
          <w:lang w:eastAsia="cs-CZ"/>
        </w:rPr>
        <w:footnoteReference w:id="15"/>
      </w:r>
      <w:r w:rsidRPr="00CC370F">
        <w:rPr>
          <w:rFonts w:cstheme="minorHAnsi"/>
          <w:lang w:eastAsia="cs-CZ"/>
        </w:rPr>
        <w:t xml:space="preserve"> uplatňuje princip </w:t>
      </w:r>
      <w:r w:rsidR="007F0080" w:rsidRPr="00CC370F">
        <w:rPr>
          <w:rFonts w:cstheme="minorHAnsi"/>
          <w:lang w:eastAsia="cs-CZ"/>
        </w:rPr>
        <w:t>„uživatel</w:t>
      </w:r>
      <w:r w:rsidR="00C12C1D" w:rsidRPr="00CC370F">
        <w:rPr>
          <w:rFonts w:cstheme="minorHAnsi"/>
          <w:lang w:eastAsia="cs-CZ"/>
        </w:rPr>
        <w:t xml:space="preserve"> platí“ a princip </w:t>
      </w:r>
      <w:r w:rsidRPr="00CC370F">
        <w:rPr>
          <w:rFonts w:cstheme="minorHAnsi"/>
          <w:lang w:eastAsia="cs-CZ"/>
        </w:rPr>
        <w:t xml:space="preserve">„znečišťovatel platí“ a jako samostatnou složku mýtných sazeb umožňuje zohlednit náklady v důsledku znečištění ovzduší a hluku z provozu </w:t>
      </w:r>
      <w:r w:rsidR="003E20E2" w:rsidRPr="00CC370F">
        <w:rPr>
          <w:rFonts w:cstheme="minorHAnsi"/>
          <w:lang w:eastAsia="cs-CZ"/>
        </w:rPr>
        <w:t>(</w:t>
      </w:r>
      <w:r w:rsidRPr="00CC370F">
        <w:rPr>
          <w:rFonts w:cstheme="minorHAnsi"/>
          <w:lang w:eastAsia="cs-CZ"/>
        </w:rPr>
        <w:t>tzv. externí náklady</w:t>
      </w:r>
      <w:r w:rsidR="003E20E2" w:rsidRPr="00CC370F">
        <w:rPr>
          <w:rFonts w:cstheme="minorHAnsi"/>
          <w:lang w:eastAsia="cs-CZ"/>
        </w:rPr>
        <w:t>)</w:t>
      </w:r>
      <w:r w:rsidRPr="00CC370F">
        <w:rPr>
          <w:rFonts w:cstheme="minorHAnsi"/>
          <w:lang w:eastAsia="cs-CZ"/>
        </w:rPr>
        <w:t xml:space="preserve"> do sazeb mýtného. NKÚ zjistil, že </w:t>
      </w:r>
      <w:r w:rsidR="00D5385B" w:rsidRPr="00D5385B">
        <w:rPr>
          <w:rFonts w:cstheme="minorHAnsi"/>
          <w:b/>
          <w:lang w:eastAsia="cs-CZ"/>
        </w:rPr>
        <w:t xml:space="preserve">v ČR je </w:t>
      </w:r>
      <w:r w:rsidR="000C24A9" w:rsidRPr="00D5385B">
        <w:rPr>
          <w:rFonts w:cstheme="minorHAnsi"/>
          <w:b/>
          <w:lang w:eastAsia="cs-CZ"/>
        </w:rPr>
        <w:t>o</w:t>
      </w:r>
      <w:r w:rsidRPr="00D5385B">
        <w:rPr>
          <w:rFonts w:cstheme="minorHAnsi"/>
          <w:b/>
          <w:lang w:eastAsia="cs-CZ"/>
        </w:rPr>
        <w:t xml:space="preserve">proti okolním státům EU </w:t>
      </w:r>
      <w:r w:rsidR="009C1E6A" w:rsidRPr="00D5385B">
        <w:rPr>
          <w:rFonts w:cstheme="minorHAnsi"/>
          <w:b/>
          <w:lang w:eastAsia="cs-CZ"/>
        </w:rPr>
        <w:t xml:space="preserve">průměrná výše </w:t>
      </w:r>
      <w:r w:rsidRPr="00D5385B">
        <w:rPr>
          <w:rFonts w:cstheme="minorHAnsi"/>
          <w:b/>
          <w:lang w:eastAsia="cs-CZ"/>
        </w:rPr>
        <w:t>zaplacené</w:t>
      </w:r>
      <w:r w:rsidR="009C1E6A" w:rsidRPr="00D5385B">
        <w:rPr>
          <w:rFonts w:cstheme="minorHAnsi"/>
          <w:b/>
          <w:lang w:eastAsia="cs-CZ"/>
        </w:rPr>
        <w:t>ho</w:t>
      </w:r>
      <w:r w:rsidRPr="00D5385B">
        <w:rPr>
          <w:rFonts w:cstheme="minorHAnsi"/>
          <w:b/>
          <w:lang w:eastAsia="cs-CZ"/>
        </w:rPr>
        <w:t xml:space="preserve"> mýtné</w:t>
      </w:r>
      <w:r w:rsidR="009C1E6A" w:rsidRPr="00D5385B">
        <w:rPr>
          <w:rFonts w:cstheme="minorHAnsi"/>
          <w:b/>
          <w:lang w:eastAsia="cs-CZ"/>
        </w:rPr>
        <w:t>ho</w:t>
      </w:r>
      <w:r w:rsidRPr="00D5385B">
        <w:rPr>
          <w:rFonts w:cstheme="minorHAnsi"/>
          <w:b/>
          <w:lang w:eastAsia="cs-CZ"/>
        </w:rPr>
        <w:t xml:space="preserve"> nízk</w:t>
      </w:r>
      <w:r w:rsidR="009C1E6A" w:rsidRPr="00D5385B">
        <w:rPr>
          <w:rFonts w:cstheme="minorHAnsi"/>
          <w:b/>
          <w:lang w:eastAsia="cs-CZ"/>
        </w:rPr>
        <w:t>á</w:t>
      </w:r>
      <w:r w:rsidR="003E20E2" w:rsidRPr="003A0C3A">
        <w:rPr>
          <w:rFonts w:cstheme="minorHAnsi"/>
          <w:b/>
          <w:lang w:eastAsia="cs-CZ"/>
        </w:rPr>
        <w:t>.</w:t>
      </w:r>
      <w:r w:rsidR="003E20E2" w:rsidRPr="00CC370F">
        <w:rPr>
          <w:rFonts w:cstheme="minorHAnsi"/>
          <w:lang w:eastAsia="cs-CZ"/>
        </w:rPr>
        <w:t xml:space="preserve"> N</w:t>
      </w:r>
      <w:r w:rsidRPr="00CC370F">
        <w:rPr>
          <w:rFonts w:cstheme="minorHAnsi"/>
          <w:lang w:eastAsia="cs-CZ"/>
        </w:rPr>
        <w:t>apř. Slovensk</w:t>
      </w:r>
      <w:r w:rsidR="00E07429" w:rsidRPr="00CC370F">
        <w:rPr>
          <w:rFonts w:cstheme="minorHAnsi"/>
          <w:lang w:eastAsia="cs-CZ"/>
        </w:rPr>
        <w:t xml:space="preserve">á republika </w:t>
      </w:r>
      <w:r w:rsidR="003F4ACB" w:rsidRPr="00CC370F">
        <w:rPr>
          <w:rFonts w:cstheme="minorHAnsi"/>
          <w:lang w:eastAsia="cs-CZ"/>
        </w:rPr>
        <w:t>inkasuje o </w:t>
      </w:r>
      <w:r w:rsidRPr="00CC370F">
        <w:rPr>
          <w:rFonts w:cstheme="minorHAnsi"/>
          <w:lang w:eastAsia="cs-CZ"/>
        </w:rPr>
        <w:t xml:space="preserve">cca 33 % vyšší mýtné na jeden zpoplatněný </w:t>
      </w:r>
      <w:r w:rsidR="003A0C3A">
        <w:rPr>
          <w:rFonts w:cstheme="minorHAnsi"/>
          <w:lang w:eastAsia="cs-CZ"/>
        </w:rPr>
        <w:t>kilometr</w:t>
      </w:r>
      <w:r w:rsidRPr="00CC370F">
        <w:rPr>
          <w:rFonts w:cstheme="minorHAnsi"/>
          <w:lang w:eastAsia="cs-CZ"/>
        </w:rPr>
        <w:t xml:space="preserve"> než ČR. Příčinou je: </w:t>
      </w:r>
    </w:p>
    <w:p w14:paraId="52A8E090" w14:textId="77777777" w:rsidR="00E3678C" w:rsidRPr="00CC370F" w:rsidRDefault="0051469A" w:rsidP="00986786">
      <w:pPr>
        <w:pStyle w:val="Odstavecseseznamem"/>
        <w:keepLines/>
        <w:numPr>
          <w:ilvl w:val="0"/>
          <w:numId w:val="16"/>
        </w:numPr>
        <w:ind w:left="284" w:hanging="284"/>
        <w:contextualSpacing w:val="0"/>
        <w:rPr>
          <w:rFonts w:cstheme="minorHAnsi"/>
          <w:lang w:eastAsia="cs-CZ"/>
        </w:rPr>
      </w:pPr>
      <w:r w:rsidRPr="00CC370F">
        <w:rPr>
          <w:rFonts w:cstheme="minorHAnsi"/>
          <w:lang w:eastAsia="cs-CZ"/>
        </w:rPr>
        <w:t>nepromítnutí tzv. externích nákladů do právní</w:t>
      </w:r>
      <w:r w:rsidR="003E20E2" w:rsidRPr="00CC370F">
        <w:rPr>
          <w:rFonts w:cstheme="minorHAnsi"/>
          <w:lang w:eastAsia="cs-CZ"/>
        </w:rPr>
        <w:t>c</w:t>
      </w:r>
      <w:r w:rsidRPr="00CC370F">
        <w:rPr>
          <w:rFonts w:cstheme="minorHAnsi"/>
          <w:lang w:eastAsia="cs-CZ"/>
        </w:rPr>
        <w:t xml:space="preserve">h </w:t>
      </w:r>
      <w:r w:rsidR="003E20E2" w:rsidRPr="00CC370F">
        <w:rPr>
          <w:rFonts w:cstheme="minorHAnsi"/>
          <w:lang w:eastAsia="cs-CZ"/>
        </w:rPr>
        <w:t>předpisů</w:t>
      </w:r>
      <w:r w:rsidRPr="00CC370F">
        <w:rPr>
          <w:rFonts w:cstheme="minorHAnsi"/>
          <w:lang w:eastAsia="cs-CZ"/>
        </w:rPr>
        <w:t xml:space="preserve"> ČR. NKÚ kvantifikoval </w:t>
      </w:r>
      <w:r w:rsidR="006A2B54" w:rsidRPr="00CC370F">
        <w:rPr>
          <w:rFonts w:cstheme="minorHAnsi"/>
          <w:lang w:eastAsia="cs-CZ"/>
        </w:rPr>
        <w:t>potenciální ztrátu na mýtném v ČR</w:t>
      </w:r>
      <w:r w:rsidR="00FE0F24" w:rsidRPr="00CC370F">
        <w:rPr>
          <w:rFonts w:cstheme="minorHAnsi"/>
          <w:lang w:eastAsia="cs-CZ"/>
        </w:rPr>
        <w:t xml:space="preserve"> v letech 2015–</w:t>
      </w:r>
      <w:r w:rsidRPr="00CC370F">
        <w:rPr>
          <w:rFonts w:cstheme="minorHAnsi"/>
          <w:lang w:eastAsia="cs-CZ"/>
        </w:rPr>
        <w:t xml:space="preserve">2018 </w:t>
      </w:r>
      <w:r w:rsidR="00E07429" w:rsidRPr="00CC370F">
        <w:rPr>
          <w:rFonts w:cstheme="minorHAnsi"/>
          <w:lang w:eastAsia="cs-CZ"/>
        </w:rPr>
        <w:t xml:space="preserve">v celkové </w:t>
      </w:r>
      <w:r w:rsidRPr="00CC370F">
        <w:rPr>
          <w:rFonts w:cstheme="minorHAnsi"/>
          <w:lang w:eastAsia="cs-CZ"/>
        </w:rPr>
        <w:t>výši cca 3 83</w:t>
      </w:r>
      <w:r w:rsidR="002045D0" w:rsidRPr="00CC370F">
        <w:rPr>
          <w:rFonts w:cstheme="minorHAnsi"/>
          <w:lang w:eastAsia="cs-CZ"/>
        </w:rPr>
        <w:t>3</w:t>
      </w:r>
      <w:r w:rsidRPr="00CC370F">
        <w:rPr>
          <w:rFonts w:cstheme="minorHAnsi"/>
          <w:lang w:eastAsia="cs-CZ"/>
        </w:rPr>
        <w:t xml:space="preserve"> mil. Kč; </w:t>
      </w:r>
    </w:p>
    <w:p w14:paraId="33BBDBB7" w14:textId="4F469001" w:rsidR="006A2B54" w:rsidRPr="00CC370F" w:rsidRDefault="0051469A" w:rsidP="00986786">
      <w:pPr>
        <w:pStyle w:val="Odstavecseseznamem"/>
        <w:keepLines/>
        <w:numPr>
          <w:ilvl w:val="0"/>
          <w:numId w:val="16"/>
        </w:numPr>
        <w:spacing w:after="120"/>
        <w:ind w:left="284" w:hanging="284"/>
        <w:contextualSpacing w:val="0"/>
        <w:rPr>
          <w:rFonts w:cstheme="minorHAnsi"/>
          <w:lang w:eastAsia="cs-CZ"/>
        </w:rPr>
      </w:pPr>
      <w:r w:rsidRPr="00CC370F">
        <w:rPr>
          <w:rFonts w:cstheme="minorHAnsi"/>
          <w:color w:val="000000" w:themeColor="text1"/>
          <w:lang w:eastAsia="cs-CZ"/>
        </w:rPr>
        <w:t>stagnace nákladů na zpoplatněné pozemní komunikace</w:t>
      </w:r>
      <w:r w:rsidRPr="00CC370F">
        <w:rPr>
          <w:rFonts w:asciiTheme="minorHAnsi" w:hAnsiTheme="minorHAnsi" w:cstheme="minorHAnsi"/>
          <w:b/>
          <w:color w:val="000000" w:themeColor="text1"/>
        </w:rPr>
        <w:t xml:space="preserve"> </w:t>
      </w:r>
      <w:r w:rsidRPr="00CC370F">
        <w:rPr>
          <w:rFonts w:asciiTheme="minorHAnsi" w:hAnsiTheme="minorHAnsi" w:cstheme="minorHAnsi"/>
          <w:color w:val="000000" w:themeColor="text1"/>
        </w:rPr>
        <w:t>a zároveň rostoucí dopravní výkony</w:t>
      </w:r>
      <w:r w:rsidRPr="00CC370F">
        <w:rPr>
          <w:rFonts w:cstheme="minorHAnsi"/>
          <w:color w:val="000000" w:themeColor="text1"/>
          <w:lang w:eastAsia="cs-CZ"/>
        </w:rPr>
        <w:t xml:space="preserve">. Investiční výdaje jsou hlavní složkou ovlivňující přípustnou </w:t>
      </w:r>
      <w:r w:rsidRPr="00CC370F">
        <w:rPr>
          <w:rFonts w:cstheme="minorHAnsi"/>
          <w:lang w:eastAsia="cs-CZ"/>
        </w:rPr>
        <w:t xml:space="preserve">výši sazeb mýtného. </w:t>
      </w:r>
    </w:p>
    <w:p w14:paraId="48E8C86E" w14:textId="33FC06CF" w:rsidR="00560AA3" w:rsidRPr="006A2B54" w:rsidRDefault="0051469A" w:rsidP="00986786">
      <w:pPr>
        <w:rPr>
          <w:rFonts w:cstheme="minorHAnsi"/>
          <w:lang w:eastAsia="cs-CZ"/>
        </w:rPr>
      </w:pPr>
      <w:r w:rsidRPr="00CC370F">
        <w:rPr>
          <w:rFonts w:cstheme="minorHAnsi"/>
          <w:lang w:eastAsia="cs-CZ"/>
        </w:rPr>
        <w:lastRenderedPageBreak/>
        <w:t>Zvýhodnění vozidel v nejekologičtějších emisních třídách, které dopadá na 60 % mýtných transakcí</w:t>
      </w:r>
      <w:r w:rsidR="00D5385B">
        <w:rPr>
          <w:rFonts w:cstheme="minorHAnsi"/>
          <w:lang w:eastAsia="cs-CZ"/>
        </w:rPr>
        <w:t>,</w:t>
      </w:r>
      <w:r w:rsidRPr="00CC370F">
        <w:rPr>
          <w:rFonts w:cstheme="minorHAnsi"/>
          <w:lang w:eastAsia="cs-CZ"/>
        </w:rPr>
        <w:t xml:space="preserve"> je </w:t>
      </w:r>
      <w:r w:rsidR="00D5385B">
        <w:rPr>
          <w:rFonts w:cstheme="minorHAnsi"/>
          <w:lang w:eastAsia="cs-CZ"/>
        </w:rPr>
        <w:t xml:space="preserve">v ČR </w:t>
      </w:r>
      <w:r w:rsidR="000C24A9" w:rsidRPr="00CC370F">
        <w:rPr>
          <w:rFonts w:cstheme="minorHAnsi"/>
          <w:lang w:eastAsia="cs-CZ"/>
        </w:rPr>
        <w:t>o</w:t>
      </w:r>
      <w:r w:rsidRPr="00CC370F">
        <w:rPr>
          <w:rFonts w:cstheme="minorHAnsi"/>
          <w:lang w:eastAsia="cs-CZ"/>
        </w:rPr>
        <w:t xml:space="preserve">proti okolním státům vysoké a nenaplňuje princip </w:t>
      </w:r>
      <w:r w:rsidR="007F0080" w:rsidRPr="00CC370F">
        <w:rPr>
          <w:rFonts w:cstheme="minorHAnsi"/>
          <w:lang w:eastAsia="cs-CZ"/>
        </w:rPr>
        <w:t>„</w:t>
      </w:r>
      <w:r w:rsidRPr="00CC370F">
        <w:rPr>
          <w:rFonts w:cstheme="minorHAnsi"/>
          <w:lang w:eastAsia="cs-CZ"/>
        </w:rPr>
        <w:t>uživatel platí</w:t>
      </w:r>
      <w:r w:rsidR="007F0080" w:rsidRPr="00CC370F">
        <w:rPr>
          <w:rFonts w:cstheme="minorHAnsi"/>
          <w:lang w:eastAsia="cs-CZ"/>
        </w:rPr>
        <w:t>“</w:t>
      </w:r>
      <w:r w:rsidRPr="00CC370F">
        <w:t xml:space="preserve"> (blíže bod IV.A.3.2 tohoto KZ)</w:t>
      </w:r>
      <w:r w:rsidR="0004232A" w:rsidRPr="00CC370F">
        <w:t>.</w:t>
      </w:r>
    </w:p>
    <w:p w14:paraId="255E12B5" w14:textId="77777777" w:rsidR="00E3678C" w:rsidRPr="00B84110" w:rsidRDefault="004C3BE5" w:rsidP="004C3BE5">
      <w:pPr>
        <w:pStyle w:val="1rove2"/>
        <w:numPr>
          <w:ilvl w:val="0"/>
          <w:numId w:val="0"/>
        </w:numPr>
        <w:ind w:left="284" w:hanging="284"/>
        <w:jc w:val="left"/>
      </w:pPr>
      <w:r>
        <w:t>4.</w:t>
      </w:r>
      <w:r>
        <w:tab/>
      </w:r>
      <w:r w:rsidR="0051469A" w:rsidRPr="00B84110">
        <w:t>M</w:t>
      </w:r>
      <w:r w:rsidR="0051469A">
        <w:t>inisterstvo životního prostředí</w:t>
      </w:r>
      <w:r w:rsidR="00E07429">
        <w:t xml:space="preserve"> postupuje při podpoře ekologizace dopravy nekoncepčně </w:t>
      </w:r>
    </w:p>
    <w:p w14:paraId="25006F11" w14:textId="62741492" w:rsidR="00E3678C" w:rsidRPr="00CC370F" w:rsidRDefault="0051469A" w:rsidP="00986786">
      <w:r>
        <w:t xml:space="preserve">V roce 2009 byl s cílem </w:t>
      </w:r>
      <w:r w:rsidR="007643B4">
        <w:t>omezit</w:t>
      </w:r>
      <w:r>
        <w:t xml:space="preserve"> dovoz či přeprodej starých vozidel a s tím </w:t>
      </w:r>
      <w:r w:rsidR="007643B4">
        <w:t>zároveň omladit</w:t>
      </w:r>
      <w:r>
        <w:t xml:space="preserve"> vozov</w:t>
      </w:r>
      <w:r w:rsidR="007643B4">
        <w:t>ý</w:t>
      </w:r>
      <w:r>
        <w:t xml:space="preserve"> park v </w:t>
      </w:r>
      <w:r w:rsidR="00E07429">
        <w:t>ČR</w:t>
      </w:r>
      <w:r>
        <w:t xml:space="preserve"> </w:t>
      </w:r>
      <w:r w:rsidR="008D668B" w:rsidRPr="00B66B4D">
        <w:t>zaveden</w:t>
      </w:r>
      <w:r w:rsidR="008D668B">
        <w:t xml:space="preserve"> </w:t>
      </w:r>
      <w:r>
        <w:t>výběr poplatku na podpo</w:t>
      </w:r>
      <w:r w:rsidR="006F4C8E">
        <w:t>ru sběru, zpracování, využití a </w:t>
      </w:r>
      <w:r>
        <w:t>odstranění vybraných autovraků (dále také „recyklační poplatek)</w:t>
      </w:r>
      <w:r>
        <w:rPr>
          <w:rStyle w:val="Znakapoznpodarou"/>
        </w:rPr>
        <w:footnoteReference w:id="16"/>
      </w:r>
      <w:r>
        <w:t xml:space="preserve">, který se platí při první registraci nebo přeregistraci vozidla. NKÚ zjistil, </w:t>
      </w:r>
      <w:r w:rsidR="00C82F6C">
        <w:t>že v době zavedení a</w:t>
      </w:r>
      <w:r w:rsidR="007643B4">
        <w:t> </w:t>
      </w:r>
      <w:r w:rsidR="00C82F6C">
        <w:t xml:space="preserve">bezprostředně </w:t>
      </w:r>
      <w:r w:rsidR="00C82F6C" w:rsidRPr="00CC370F">
        <w:t>navazujícím roce (tj. v letech 2009 a 2010) byl recyklační popl</w:t>
      </w:r>
      <w:r w:rsidR="006F4C8E">
        <w:t>atek účelným nástrojem, avšak s </w:t>
      </w:r>
      <w:r w:rsidR="00C82F6C" w:rsidRPr="00CC370F">
        <w:t xml:space="preserve">ohledem na jeho nastavení došlo k jeho zastarávání a postupné ztrátě účelnosti. </w:t>
      </w:r>
      <w:r w:rsidR="006F4C8E">
        <w:rPr>
          <w:b/>
        </w:rPr>
        <w:t>V </w:t>
      </w:r>
      <w:r w:rsidR="00C82F6C" w:rsidRPr="00D5385B">
        <w:rPr>
          <w:b/>
        </w:rPr>
        <w:t>kontrolovaném období 2015–2018 byla účelnost</w:t>
      </w:r>
      <w:r w:rsidR="00D5385B" w:rsidRPr="00D5385B">
        <w:rPr>
          <w:b/>
        </w:rPr>
        <w:t xml:space="preserve"> recyklačního poplatku</w:t>
      </w:r>
      <w:r w:rsidR="00D5385B">
        <w:rPr>
          <w:b/>
        </w:rPr>
        <w:t xml:space="preserve"> již zanedbatelná</w:t>
      </w:r>
      <w:r w:rsidR="00C82F6C" w:rsidRPr="00CC370F">
        <w:t xml:space="preserve"> </w:t>
      </w:r>
      <w:r w:rsidRPr="00CC370F">
        <w:t xml:space="preserve">(blíže bod </w:t>
      </w:r>
      <w:r w:rsidR="00F359E0" w:rsidRPr="00CC370F">
        <w:t>IV.A.4.1</w:t>
      </w:r>
      <w:r w:rsidR="00905849" w:rsidRPr="00CC370F">
        <w:t xml:space="preserve"> tohoto KZ</w:t>
      </w:r>
      <w:r w:rsidRPr="00CC370F">
        <w:t>)</w:t>
      </w:r>
      <w:r w:rsidR="0004232A" w:rsidRPr="00CC370F">
        <w:t>.</w:t>
      </w:r>
    </w:p>
    <w:p w14:paraId="1CB19354" w14:textId="2B6A4E33" w:rsidR="00E3678C" w:rsidRPr="00CC370F" w:rsidRDefault="00282A88" w:rsidP="00986786">
      <w:r w:rsidRPr="00CC370F">
        <w:rPr>
          <w:color w:val="000000" w:themeColor="text1"/>
        </w:rPr>
        <w:t>Opatření S29</w:t>
      </w:r>
      <w:r w:rsidR="002045D0" w:rsidRPr="00CC370F">
        <w:rPr>
          <w:color w:val="000000" w:themeColor="text1"/>
        </w:rPr>
        <w:t xml:space="preserve"> </w:t>
      </w:r>
      <w:r w:rsidR="002045D0" w:rsidRPr="00BB0CE7">
        <w:rPr>
          <w:i/>
          <w:color w:val="000000" w:themeColor="text1"/>
        </w:rPr>
        <w:t>Národního akčního plánu čisté mobility</w:t>
      </w:r>
      <w:r w:rsidR="002045D0" w:rsidRPr="00CC370F">
        <w:rPr>
          <w:color w:val="000000" w:themeColor="text1"/>
        </w:rPr>
        <w:t xml:space="preserve"> </w:t>
      </w:r>
      <w:r w:rsidRPr="00CC370F">
        <w:rPr>
          <w:color w:val="000000" w:themeColor="text1"/>
        </w:rPr>
        <w:t>v gesci MŽP zahrnuje podporu ve formě státního příspěvku na obnovu vozového parku, který bude financován např. recyklačním poplatkem.</w:t>
      </w:r>
      <w:r w:rsidR="0051469A" w:rsidRPr="00CC370F">
        <w:t xml:space="preserve"> NKÚ zjistil, že podmínky pro vyplácení tohoto</w:t>
      </w:r>
      <w:r w:rsidR="006372DD">
        <w:t xml:space="preserve"> příspěvku významně zastaraly a </w:t>
      </w:r>
      <w:r w:rsidR="0051469A" w:rsidRPr="00CC370F">
        <w:t>vztahují se na vozidla s neaktuální emisní normou EURO 4. V několika státech EU je obdobný nástroj podpory využíván v kombinaci s daňovými opatřeními k podpoře nákupu ekologičtějších vozidel s nízkými a velmi nízkými emisemi. MŽP však navrhlo jeho zrušení, přestože systém podpory ekologizace dopravy je předmětem vládou uložené</w:t>
      </w:r>
      <w:r w:rsidR="006372DD">
        <w:t>ho opatření a </w:t>
      </w:r>
      <w:r w:rsidR="0051469A" w:rsidRPr="00CC370F">
        <w:t xml:space="preserve">probíhajících analýz. </w:t>
      </w:r>
      <w:r w:rsidR="00D5385B" w:rsidRPr="00D5385B">
        <w:rPr>
          <w:b/>
        </w:rPr>
        <w:t>V ČR dosud nebyly aplikovány n</w:t>
      </w:r>
      <w:r w:rsidR="00C12C1D" w:rsidRPr="00D5385B">
        <w:rPr>
          <w:b/>
        </w:rPr>
        <w:t>í</w:t>
      </w:r>
      <w:r w:rsidR="0051469A" w:rsidRPr="00D5385B">
        <w:rPr>
          <w:b/>
        </w:rPr>
        <w:t>zkoemisní zón</w:t>
      </w:r>
      <w:r w:rsidR="006A2B54" w:rsidRPr="00D5385B">
        <w:rPr>
          <w:b/>
        </w:rPr>
        <w:t>y</w:t>
      </w:r>
      <w:r w:rsidR="006A2B54" w:rsidRPr="00CC370F">
        <w:t xml:space="preserve"> </w:t>
      </w:r>
      <w:r w:rsidR="00B1390F" w:rsidRPr="00CC370F">
        <w:t>(</w:t>
      </w:r>
      <w:r w:rsidR="0004232A" w:rsidRPr="00CC370F">
        <w:t xml:space="preserve">blíže </w:t>
      </w:r>
      <w:r w:rsidR="0051469A" w:rsidRPr="00CC370F">
        <w:t xml:space="preserve">bod </w:t>
      </w:r>
      <w:r w:rsidR="00F359E0" w:rsidRPr="00CC370F">
        <w:t>IV</w:t>
      </w:r>
      <w:r w:rsidR="00E140DB">
        <w:t>.</w:t>
      </w:r>
      <w:r w:rsidR="00F359E0" w:rsidRPr="00CC370F">
        <w:t>A.4.</w:t>
      </w:r>
      <w:r w:rsidR="00237396">
        <w:t>2</w:t>
      </w:r>
      <w:r w:rsidR="006372DD">
        <w:t xml:space="preserve"> a </w:t>
      </w:r>
      <w:r w:rsidR="00F359E0" w:rsidRPr="00CC370F">
        <w:t>4.</w:t>
      </w:r>
      <w:r w:rsidR="00237396">
        <w:t>3</w:t>
      </w:r>
      <w:r w:rsidR="00905849" w:rsidRPr="00CC370F">
        <w:t xml:space="preserve"> tohoto KZ</w:t>
      </w:r>
      <w:r w:rsidR="0051469A" w:rsidRPr="00CC370F">
        <w:t>)</w:t>
      </w:r>
      <w:r w:rsidR="0004232A" w:rsidRPr="00CC370F">
        <w:t>.</w:t>
      </w:r>
    </w:p>
    <w:p w14:paraId="636DC12D" w14:textId="77777777" w:rsidR="00E3678C" w:rsidRPr="004C3BE5" w:rsidRDefault="004C3BE5" w:rsidP="004C3BE5">
      <w:pPr>
        <w:pStyle w:val="Nadpiskapitoly2"/>
        <w:numPr>
          <w:ilvl w:val="0"/>
          <w:numId w:val="0"/>
        </w:numPr>
        <w:ind w:left="284" w:hanging="284"/>
        <w:rPr>
          <w:sz w:val="24"/>
        </w:rPr>
      </w:pPr>
      <w:r>
        <w:rPr>
          <w:sz w:val="24"/>
        </w:rPr>
        <w:t xml:space="preserve">B. </w:t>
      </w:r>
      <w:r w:rsidR="0051469A" w:rsidRPr="004C3BE5">
        <w:rPr>
          <w:sz w:val="24"/>
        </w:rPr>
        <w:t>Opatření v sektoru domácností přispívají k</w:t>
      </w:r>
      <w:r w:rsidR="00DB0F92" w:rsidRPr="004C3BE5">
        <w:rPr>
          <w:sz w:val="24"/>
        </w:rPr>
        <w:t> </w:t>
      </w:r>
      <w:r w:rsidR="00C82F6C" w:rsidRPr="004C3BE5">
        <w:rPr>
          <w:sz w:val="24"/>
        </w:rPr>
        <w:t>podpoře ekologických paliv</w:t>
      </w:r>
      <w:r w:rsidR="00DB0F92" w:rsidRPr="004C3BE5">
        <w:rPr>
          <w:sz w:val="24"/>
        </w:rPr>
        <w:t xml:space="preserve"> </w:t>
      </w:r>
      <w:r w:rsidR="0004232A" w:rsidRPr="004C3BE5">
        <w:rPr>
          <w:sz w:val="24"/>
        </w:rPr>
        <w:t xml:space="preserve">pouze </w:t>
      </w:r>
      <w:r w:rsidR="00DB0F92" w:rsidRPr="004C3BE5">
        <w:rPr>
          <w:sz w:val="24"/>
        </w:rPr>
        <w:t xml:space="preserve">omezeně </w:t>
      </w:r>
    </w:p>
    <w:p w14:paraId="0498B604" w14:textId="7BAB8684" w:rsidR="006372DD" w:rsidRDefault="0051469A" w:rsidP="00986786">
      <w:r w:rsidRPr="00240186">
        <w:t xml:space="preserve">V sektoru domácností </w:t>
      </w:r>
      <w:r w:rsidR="003575DE">
        <w:t>MF</w:t>
      </w:r>
      <w:r w:rsidR="00D91C24">
        <w:t xml:space="preserve"> realizovalo</w:t>
      </w:r>
      <w:r w:rsidR="00E42FA3">
        <w:t xml:space="preserve"> </w:t>
      </w:r>
      <w:r w:rsidRPr="00240186">
        <w:t xml:space="preserve">některá daňová opatření na </w:t>
      </w:r>
      <w:r w:rsidR="00D8302A">
        <w:t>ekologizaci vytápění</w:t>
      </w:r>
      <w:r w:rsidRPr="00240186">
        <w:t xml:space="preserve">, avšak stále </w:t>
      </w:r>
      <w:r w:rsidR="0004232A">
        <w:t xml:space="preserve">existuje </w:t>
      </w:r>
      <w:r w:rsidRPr="00240186">
        <w:t xml:space="preserve">prostor pro větší </w:t>
      </w:r>
      <w:r w:rsidR="00DC30F8">
        <w:t>daňovou podporu ekologických paliv (elektřiny a plynu) a na</w:t>
      </w:r>
      <w:r w:rsidR="0004232A">
        <w:t xml:space="preserve"> druhé straně pro </w:t>
      </w:r>
      <w:r w:rsidRPr="00240186">
        <w:t xml:space="preserve">uplatnění principu </w:t>
      </w:r>
      <w:r w:rsidR="00D91C24">
        <w:t>„</w:t>
      </w:r>
      <w:r w:rsidRPr="00240186">
        <w:t>znečišťovatel platí</w:t>
      </w:r>
      <w:r w:rsidR="00D91C24">
        <w:t>“</w:t>
      </w:r>
      <w:r w:rsidR="00DC30F8">
        <w:t xml:space="preserve"> </w:t>
      </w:r>
      <w:r w:rsidR="006E6ED5">
        <w:t xml:space="preserve">při spalování </w:t>
      </w:r>
      <w:r w:rsidR="00DC30F8">
        <w:t>uhlí</w:t>
      </w:r>
      <w:r w:rsidR="001124A3">
        <w:t xml:space="preserve">. </w:t>
      </w:r>
      <w:r w:rsidR="003575DE">
        <w:t xml:space="preserve">Pro spotřebitele je stále nejekonomičtější variantou vytápění </w:t>
      </w:r>
      <w:r w:rsidR="004E1D12">
        <w:t>uhlí</w:t>
      </w:r>
      <w:r w:rsidR="00D91C24">
        <w:t>m</w:t>
      </w:r>
      <w:r w:rsidR="004E1D12">
        <w:t xml:space="preserve">. </w:t>
      </w:r>
      <w:r w:rsidR="00E424FF">
        <w:t>Dotace poskytované na pořízení ekologicky šetrné</w:t>
      </w:r>
      <w:r w:rsidR="005532FE">
        <w:t>ho</w:t>
      </w:r>
      <w:r w:rsidR="00D43F18">
        <w:t xml:space="preserve"> topidla</w:t>
      </w:r>
      <w:r w:rsidR="005F49AF">
        <w:t xml:space="preserve"> pouze sn</w:t>
      </w:r>
      <w:r w:rsidR="00C82F6C">
        <w:t>ižují</w:t>
      </w:r>
      <w:r w:rsidR="005F49AF">
        <w:t xml:space="preserve"> ekonomickou výhodnost uhlí. </w:t>
      </w:r>
      <w:r w:rsidR="004E1D12">
        <w:t xml:space="preserve">ČR se však </w:t>
      </w:r>
      <w:r w:rsidR="00D5385B">
        <w:t xml:space="preserve">v oblasti daňové podpory ekologických paliv </w:t>
      </w:r>
      <w:r w:rsidR="004E1D12">
        <w:t xml:space="preserve">od států EU </w:t>
      </w:r>
      <w:r w:rsidR="00D5385B">
        <w:t xml:space="preserve">zásadně </w:t>
      </w:r>
      <w:r w:rsidR="004E1D12">
        <w:t>neodlišuje</w:t>
      </w:r>
      <w:r w:rsidR="00905849">
        <w:t xml:space="preserve"> (</w:t>
      </w:r>
      <w:r w:rsidR="00905849" w:rsidRPr="00905849">
        <w:t>blíže b</w:t>
      </w:r>
      <w:r w:rsidR="00E42FA3" w:rsidRPr="00905849">
        <w:t xml:space="preserve">od </w:t>
      </w:r>
      <w:r w:rsidR="00905849" w:rsidRPr="00905849">
        <w:t>IV.B tohoto KZ</w:t>
      </w:r>
      <w:r w:rsidR="00E42FA3" w:rsidRPr="00905849">
        <w:t>)</w:t>
      </w:r>
      <w:r w:rsidR="00B65A05">
        <w:t xml:space="preserve"> a MF možnosti zdanění emisí dále zkoumá</w:t>
      </w:r>
      <w:r w:rsidR="002C2C33">
        <w:t>.</w:t>
      </w:r>
      <w:r w:rsidR="00B65A05">
        <w:t xml:space="preserve"> NKÚ </w:t>
      </w:r>
      <w:r w:rsidR="00C82F6C">
        <w:t>nezjistil</w:t>
      </w:r>
      <w:r w:rsidR="00B65A05">
        <w:t xml:space="preserve"> v činnosti MF</w:t>
      </w:r>
      <w:r w:rsidR="00C82F6C">
        <w:t xml:space="preserve"> v této oblasti </w:t>
      </w:r>
      <w:r w:rsidR="00B65A05">
        <w:t xml:space="preserve">nedostatky (blíže </w:t>
      </w:r>
      <w:r w:rsidR="00B65A05" w:rsidRPr="00E140DB">
        <w:t>bod IV.</w:t>
      </w:r>
      <w:r w:rsidR="00237396">
        <w:t>B</w:t>
      </w:r>
      <w:r w:rsidR="00B65A05" w:rsidRPr="00E140DB">
        <w:t xml:space="preserve"> tohoto KZ).</w:t>
      </w:r>
    </w:p>
    <w:tbl>
      <w:tblPr>
        <w:tblStyle w:val="Mkatabulky"/>
        <w:tblW w:w="9071" w:type="dxa"/>
        <w:jc w:val="center"/>
        <w:tblBorders>
          <w:insideH w:val="none" w:sz="0" w:space="0" w:color="auto"/>
          <w:insideV w:val="none" w:sz="0" w:space="0" w:color="auto"/>
        </w:tblBorders>
        <w:shd w:val="clear" w:color="auto" w:fill="F3C5C8"/>
        <w:tblLook w:val="04A0" w:firstRow="1" w:lastRow="0" w:firstColumn="1" w:lastColumn="0" w:noHBand="0" w:noVBand="1"/>
      </w:tblPr>
      <w:tblGrid>
        <w:gridCol w:w="9071"/>
      </w:tblGrid>
      <w:tr w:rsidR="00421253" w:rsidRPr="00421253" w14:paraId="0B55CC5D" w14:textId="77777777" w:rsidTr="007C0A9B">
        <w:trPr>
          <w:jc w:val="center"/>
        </w:trPr>
        <w:tc>
          <w:tcPr>
            <w:tcW w:w="9071" w:type="dxa"/>
            <w:shd w:val="clear" w:color="auto" w:fill="DEEAF6" w:themeFill="accent1" w:themeFillTint="33"/>
          </w:tcPr>
          <w:p w14:paraId="718B62AF" w14:textId="7E546644" w:rsidR="00421253" w:rsidRPr="00421253" w:rsidRDefault="00421253" w:rsidP="007643B4">
            <w:pPr>
              <w:rPr>
                <w:b/>
              </w:rPr>
            </w:pPr>
            <w:r w:rsidRPr="00421253">
              <w:rPr>
                <w:b/>
              </w:rPr>
              <w:t xml:space="preserve">NKÚ </w:t>
            </w:r>
            <w:r w:rsidR="0055380F" w:rsidRPr="00421253">
              <w:rPr>
                <w:b/>
              </w:rPr>
              <w:t xml:space="preserve">za účelem plnění cílů ekologizace dopravy a vytápění </w:t>
            </w:r>
            <w:r w:rsidRPr="00421253">
              <w:rPr>
                <w:b/>
              </w:rPr>
              <w:t>doporučuje</w:t>
            </w:r>
            <w:r w:rsidR="00DD38DB">
              <w:rPr>
                <w:b/>
              </w:rPr>
              <w:t xml:space="preserve"> více promítnout princip „znečišťovatel platí“ v systému daní a dalších poplatků, tzn. definovat podmínky pro uplatnění sazeb daní a poplatků v závislosti na plnění cílů KEP.</w:t>
            </w:r>
          </w:p>
        </w:tc>
      </w:tr>
    </w:tbl>
    <w:p w14:paraId="758DB7C4" w14:textId="77777777" w:rsidR="00284605" w:rsidRDefault="00284605" w:rsidP="00986786">
      <w:pPr>
        <w:jc w:val="left"/>
        <w:rPr>
          <w:rFonts w:eastAsiaTheme="majorEastAsia" w:cstheme="majorBidi"/>
          <w:b/>
          <w:sz w:val="28"/>
          <w:szCs w:val="32"/>
        </w:rPr>
      </w:pPr>
      <w:r>
        <w:br w:type="page"/>
      </w:r>
    </w:p>
    <w:p w14:paraId="58CFCBF1" w14:textId="77777777" w:rsidR="00B24EB6" w:rsidRPr="00C51DFE" w:rsidRDefault="00887AF1" w:rsidP="00471A19">
      <w:pPr>
        <w:pStyle w:val="Nadpis1"/>
      </w:pPr>
      <w:r>
        <w:lastRenderedPageBreak/>
        <w:t xml:space="preserve">II. </w:t>
      </w:r>
      <w:r w:rsidR="0051469A" w:rsidRPr="00C51DFE">
        <w:t>Informace o kontrolované oblasti</w:t>
      </w:r>
      <w:bookmarkEnd w:id="2"/>
    </w:p>
    <w:p w14:paraId="36CFD290" w14:textId="77777777" w:rsidR="00B24EB6" w:rsidRPr="00291298" w:rsidRDefault="00986786" w:rsidP="00986786">
      <w:pPr>
        <w:pStyle w:val="Nadpis2"/>
      </w:pPr>
      <w:bookmarkStart w:id="3" w:name="_Toc16594985"/>
      <w:r>
        <w:t xml:space="preserve">1. </w:t>
      </w:r>
      <w:r w:rsidR="0051469A" w:rsidRPr="00291298">
        <w:t>Cíle OSN</w:t>
      </w:r>
      <w:bookmarkEnd w:id="3"/>
      <w:r w:rsidR="006E6ED5">
        <w:t xml:space="preserve"> v oblasti udržitelného rozvoje</w:t>
      </w:r>
    </w:p>
    <w:p w14:paraId="5DCDBB5F" w14:textId="42B947B2" w:rsidR="00B24EB6" w:rsidRPr="002372B9" w:rsidRDefault="0051469A" w:rsidP="00986786">
      <w:pPr>
        <w:rPr>
          <w:b/>
        </w:rPr>
      </w:pPr>
      <w:r w:rsidRPr="008338C1">
        <w:rPr>
          <w:rFonts w:eastAsia="Times New Roman" w:cs="Times New Roman"/>
          <w:szCs w:val="24"/>
        </w:rPr>
        <w:t>V</w:t>
      </w:r>
      <w:r>
        <w:rPr>
          <w:rFonts w:eastAsia="Times New Roman" w:cs="Times New Roman"/>
          <w:szCs w:val="24"/>
        </w:rPr>
        <w:t> </w:t>
      </w:r>
      <w:r w:rsidRPr="008338C1">
        <w:rPr>
          <w:rFonts w:eastAsia="Times New Roman" w:cs="Times New Roman"/>
          <w:szCs w:val="24"/>
        </w:rPr>
        <w:t>rámci</w:t>
      </w:r>
      <w:r>
        <w:rPr>
          <w:rFonts w:eastAsia="Times New Roman" w:cs="Times New Roman"/>
          <w:szCs w:val="24"/>
        </w:rPr>
        <w:t xml:space="preserve"> summitu OSN dne 25. září 2015 byly dokumentem </w:t>
      </w:r>
      <w:r w:rsidRPr="00BB0CE7">
        <w:rPr>
          <w:rFonts w:eastAsia="Times New Roman" w:cs="Times New Roman"/>
          <w:i/>
          <w:szCs w:val="24"/>
        </w:rPr>
        <w:t>Přeměna našeho světa: Agenda pro udržitelný rozvoj 2030</w:t>
      </w:r>
      <w:r>
        <w:rPr>
          <w:rStyle w:val="Znakapoznpodarou"/>
          <w:rFonts w:eastAsia="Times New Roman" w:cs="Times New Roman"/>
          <w:szCs w:val="24"/>
        </w:rPr>
        <w:footnoteReference w:id="17"/>
      </w:r>
      <w:r w:rsidR="00854A48">
        <w:rPr>
          <w:rFonts w:eastAsia="Times New Roman" w:cs="Times New Roman"/>
          <w:szCs w:val="24"/>
        </w:rPr>
        <w:t xml:space="preserve"> schváleny mimo jiné i c</w:t>
      </w:r>
      <w:r>
        <w:rPr>
          <w:rFonts w:eastAsia="Times New Roman" w:cs="Times New Roman"/>
          <w:szCs w:val="24"/>
        </w:rPr>
        <w:t xml:space="preserve">íle udržitelného rozvoje. Jedním z cílů </w:t>
      </w:r>
      <w:r w:rsidRPr="002372B9">
        <w:rPr>
          <w:rFonts w:eastAsia="Times New Roman" w:cs="Times New Roman"/>
          <w:szCs w:val="24"/>
        </w:rPr>
        <w:t>je i</w:t>
      </w:r>
      <w:r w:rsidR="007643B4">
        <w:rPr>
          <w:rFonts w:eastAsia="Times New Roman" w:cs="Times New Roman"/>
          <w:szCs w:val="24"/>
        </w:rPr>
        <w:t> </w:t>
      </w:r>
      <w:r w:rsidRPr="002372B9">
        <w:rPr>
          <w:rFonts w:eastAsia="Times New Roman" w:cs="Times New Roman"/>
          <w:szCs w:val="24"/>
        </w:rPr>
        <w:t>boj se změnou klimatu a zvládání jejích dopadů.</w:t>
      </w:r>
    </w:p>
    <w:p w14:paraId="389A1C48" w14:textId="77777777" w:rsidR="00D04241" w:rsidRPr="002372B9" w:rsidRDefault="00986786" w:rsidP="00986786">
      <w:pPr>
        <w:pStyle w:val="Nadpis2"/>
      </w:pPr>
      <w:bookmarkStart w:id="4" w:name="_Toc16594987"/>
      <w:r>
        <w:t xml:space="preserve">2. </w:t>
      </w:r>
      <w:r w:rsidR="0051469A" w:rsidRPr="00E46750">
        <w:t xml:space="preserve">Cíle ČR v oblasti </w:t>
      </w:r>
      <w:bookmarkEnd w:id="4"/>
      <w:r w:rsidR="0051469A">
        <w:t>klimaticko</w:t>
      </w:r>
      <w:r w:rsidR="00573A75">
        <w:t>-</w:t>
      </w:r>
      <w:r w:rsidR="0051469A">
        <w:t>energetické politiky</w:t>
      </w:r>
    </w:p>
    <w:p w14:paraId="0B3BB7CC" w14:textId="7E09BF19" w:rsidR="003C2F26" w:rsidRPr="00C82F6C" w:rsidRDefault="0051469A" w:rsidP="00986786">
      <w:r w:rsidRPr="00C82F6C">
        <w:rPr>
          <w:rFonts w:asciiTheme="minorHAnsi" w:hAnsiTheme="minorHAnsi" w:cstheme="minorHAnsi"/>
          <w:lang w:eastAsia="cs-CZ"/>
        </w:rPr>
        <w:t>Vláda ČR svými usneseními</w:t>
      </w:r>
      <w:r w:rsidRPr="00C82F6C">
        <w:rPr>
          <w:rStyle w:val="Znakapoznpodarou"/>
          <w:rFonts w:asciiTheme="minorHAnsi" w:hAnsiTheme="minorHAnsi" w:cstheme="minorHAnsi"/>
          <w:lang w:eastAsia="cs-CZ"/>
        </w:rPr>
        <w:footnoteReference w:id="18"/>
      </w:r>
      <w:r w:rsidRPr="00C82F6C">
        <w:rPr>
          <w:rFonts w:asciiTheme="minorHAnsi" w:hAnsiTheme="minorHAnsi" w:cstheme="minorHAnsi"/>
          <w:lang w:eastAsia="cs-CZ"/>
        </w:rPr>
        <w:t xml:space="preserve"> uložila jednotlivým ministerstvům k realizaci nebo spolurealizaci opatření na podporu naplňování cílů vlády ČR a cílů EU (</w:t>
      </w:r>
      <w:r w:rsidRPr="00C82F6C">
        <w:t xml:space="preserve">strategie </w:t>
      </w:r>
      <w:r w:rsidRPr="00BB0CE7">
        <w:rPr>
          <w:i/>
        </w:rPr>
        <w:t>Evropa 2020</w:t>
      </w:r>
      <w:r w:rsidRPr="00C82F6C">
        <w:t xml:space="preserve">) </w:t>
      </w:r>
      <w:r w:rsidRPr="00C82F6C">
        <w:rPr>
          <w:rFonts w:asciiTheme="minorHAnsi" w:hAnsiTheme="minorHAnsi" w:cstheme="minorHAnsi"/>
          <w:lang w:eastAsia="cs-CZ"/>
        </w:rPr>
        <w:t xml:space="preserve">v oblasti KEP. </w:t>
      </w:r>
    </w:p>
    <w:p w14:paraId="0D06C516" w14:textId="56F522E2" w:rsidR="003C2F26" w:rsidRPr="00C82F6C" w:rsidRDefault="003C2F26" w:rsidP="00986786">
      <w:r w:rsidRPr="00C82F6C">
        <w:t xml:space="preserve">Základním právním předpisem pro naplňování společných cílů KEP </w:t>
      </w:r>
      <w:r w:rsidRPr="00C5293F">
        <w:t>do roku 2020</w:t>
      </w:r>
      <w:r w:rsidRPr="00C82F6C">
        <w:t xml:space="preserve"> v rámci EU je směrnice 2009/28/ES</w:t>
      </w:r>
      <w:r w:rsidRPr="00C82F6C">
        <w:rPr>
          <w:rStyle w:val="Znakapoznpodarou"/>
        </w:rPr>
        <w:footnoteReference w:id="19"/>
      </w:r>
      <w:r w:rsidRPr="00C82F6C">
        <w:t xml:space="preserve">, která stanovuje společný rámec pro podporu energie z obnovitelných zdrojů. </w:t>
      </w:r>
      <w:r w:rsidR="00C5293F">
        <w:t>Tato směrnice stanovuje v čl.</w:t>
      </w:r>
      <w:r w:rsidRPr="00C82F6C">
        <w:t xml:space="preserve"> 3 odst. 1 podíl energie z obnovitelných zdrojů na hrubé konečné spotřebě energie v EU ve výši </w:t>
      </w:r>
      <w:r w:rsidRPr="00C5293F">
        <w:t>20 %</w:t>
      </w:r>
      <w:r w:rsidRPr="00C82F6C">
        <w:t>. Vzhledem k odlišným možnostem skladby zdrojů energie se celkový cíl dále rozděluje jednotlivým státům, pro ČR v roce 2020 je stanoven národní cíl 13 %</w:t>
      </w:r>
      <w:r w:rsidRPr="00C5293F">
        <w:rPr>
          <w:rStyle w:val="Znakapoznpodarou"/>
        </w:rPr>
        <w:footnoteReference w:id="20"/>
      </w:r>
      <w:r w:rsidRPr="00C82F6C">
        <w:t xml:space="preserve">. Dále směrnice stanovuje v článku 3 odst. 4 podíl energie z obnovitelných zdrojů v dopravě ve výši </w:t>
      </w:r>
      <w:r w:rsidRPr="00C5293F">
        <w:t>10 %</w:t>
      </w:r>
      <w:r w:rsidRPr="00C82F6C">
        <w:t>, který se stanovuje všem státům na stejné úrovni. Aby se usnadnilo splnění cílů stanovených v tomto článku, každý členský stát prosazuje a podporuje energetickou účinnost a úspory energie.</w:t>
      </w:r>
    </w:p>
    <w:p w14:paraId="57C38467" w14:textId="3D33B673" w:rsidR="003C2F26" w:rsidRPr="00C82F6C" w:rsidRDefault="003C2F26" w:rsidP="00986786">
      <w:pPr>
        <w:rPr>
          <w:rFonts w:asciiTheme="minorHAnsi" w:hAnsiTheme="minorHAnsi" w:cstheme="minorHAnsi"/>
          <w:lang w:eastAsia="cs-CZ"/>
        </w:rPr>
      </w:pPr>
      <w:r w:rsidRPr="00C82F6C">
        <w:t xml:space="preserve">V roce 2018 stanovila EU navazující cíle KEP </w:t>
      </w:r>
      <w:r w:rsidRPr="00C5293F">
        <w:t>do roku 2030</w:t>
      </w:r>
      <w:r w:rsidRPr="00C82F6C">
        <w:t xml:space="preserve"> směrnicí </w:t>
      </w:r>
      <w:r w:rsidRPr="00C82F6C">
        <w:rPr>
          <w:rFonts w:asciiTheme="minorHAnsi" w:hAnsiTheme="minorHAnsi" w:cstheme="minorHAnsi"/>
        </w:rPr>
        <w:t>(EU) 2018/2001</w:t>
      </w:r>
      <w:r w:rsidRPr="00C82F6C">
        <w:rPr>
          <w:rStyle w:val="Znakapoznpodarou"/>
          <w:rFonts w:asciiTheme="minorHAnsi" w:hAnsiTheme="minorHAnsi" w:cstheme="minorHAnsi"/>
        </w:rPr>
        <w:footnoteReference w:id="21"/>
      </w:r>
      <w:r w:rsidRPr="00C82F6C">
        <w:rPr>
          <w:rFonts w:asciiTheme="minorHAnsi" w:hAnsiTheme="minorHAnsi" w:cstheme="minorHAnsi"/>
          <w:lang w:eastAsia="cs-CZ"/>
        </w:rPr>
        <w:t>, kde je</w:t>
      </w:r>
      <w:r w:rsidR="00C5293F">
        <w:rPr>
          <w:rFonts w:asciiTheme="minorHAnsi" w:hAnsiTheme="minorHAnsi" w:cstheme="minorHAnsi"/>
          <w:lang w:eastAsia="cs-CZ"/>
        </w:rPr>
        <w:t xml:space="preserve"> dle</w:t>
      </w:r>
      <w:r w:rsidRPr="00C82F6C">
        <w:rPr>
          <w:rFonts w:asciiTheme="minorHAnsi" w:hAnsiTheme="minorHAnsi" w:cstheme="minorHAnsi"/>
          <w:lang w:eastAsia="cs-CZ"/>
        </w:rPr>
        <w:t xml:space="preserve"> </w:t>
      </w:r>
      <w:r w:rsidR="00C5293F">
        <w:rPr>
          <w:rFonts w:asciiTheme="minorHAnsi" w:hAnsiTheme="minorHAnsi" w:cstheme="minorHAnsi"/>
          <w:lang w:eastAsia="cs-CZ"/>
        </w:rPr>
        <w:t>čl.</w:t>
      </w:r>
      <w:r w:rsidR="00C5293F" w:rsidRPr="00C82F6C">
        <w:rPr>
          <w:rFonts w:asciiTheme="minorHAnsi" w:hAnsiTheme="minorHAnsi" w:cstheme="minorHAnsi"/>
          <w:lang w:eastAsia="cs-CZ"/>
        </w:rPr>
        <w:t xml:space="preserve"> 3 a 25</w:t>
      </w:r>
      <w:r w:rsidR="00C5293F">
        <w:rPr>
          <w:rFonts w:asciiTheme="minorHAnsi" w:hAnsiTheme="minorHAnsi" w:cstheme="minorHAnsi"/>
          <w:lang w:eastAsia="cs-CZ"/>
        </w:rPr>
        <w:t xml:space="preserve"> </w:t>
      </w:r>
      <w:r w:rsidRPr="00C82F6C">
        <w:rPr>
          <w:rFonts w:asciiTheme="minorHAnsi" w:hAnsiTheme="minorHAnsi" w:cstheme="minorHAnsi"/>
          <w:lang w:eastAsia="cs-CZ"/>
        </w:rPr>
        <w:t>zvýšen společný cíl na úrovni EU pro podíl en</w:t>
      </w:r>
      <w:r w:rsidR="00864D62">
        <w:rPr>
          <w:rFonts w:asciiTheme="minorHAnsi" w:hAnsiTheme="minorHAnsi" w:cstheme="minorHAnsi"/>
          <w:lang w:eastAsia="cs-CZ"/>
        </w:rPr>
        <w:t>ergie z obnovitelných zdrojů na</w:t>
      </w:r>
      <w:r w:rsidR="007643B4">
        <w:rPr>
          <w:rFonts w:asciiTheme="minorHAnsi" w:hAnsiTheme="minorHAnsi" w:cstheme="minorHAnsi"/>
          <w:lang w:eastAsia="cs-CZ"/>
        </w:rPr>
        <w:t xml:space="preserve"> </w:t>
      </w:r>
      <w:r w:rsidRPr="00C82F6C">
        <w:rPr>
          <w:rFonts w:asciiTheme="minorHAnsi" w:hAnsiTheme="minorHAnsi" w:cstheme="minorHAnsi"/>
          <w:lang w:eastAsia="cs-CZ"/>
        </w:rPr>
        <w:t xml:space="preserve">hrubé konečné spotřebě energie </w:t>
      </w:r>
      <w:r w:rsidR="00AC625C">
        <w:rPr>
          <w:rFonts w:asciiTheme="minorHAnsi" w:hAnsiTheme="minorHAnsi" w:cstheme="minorHAnsi"/>
          <w:lang w:eastAsia="cs-CZ"/>
        </w:rPr>
        <w:t>na</w:t>
      </w:r>
      <w:r w:rsidRPr="00C82F6C">
        <w:rPr>
          <w:rFonts w:asciiTheme="minorHAnsi" w:hAnsiTheme="minorHAnsi" w:cstheme="minorHAnsi"/>
          <w:lang w:eastAsia="cs-CZ"/>
        </w:rPr>
        <w:t xml:space="preserve"> </w:t>
      </w:r>
      <w:r w:rsidRPr="00C5293F">
        <w:rPr>
          <w:rFonts w:asciiTheme="minorHAnsi" w:hAnsiTheme="minorHAnsi" w:cstheme="minorHAnsi"/>
          <w:bCs/>
          <w:lang w:eastAsia="cs-CZ"/>
        </w:rPr>
        <w:t xml:space="preserve">32 % </w:t>
      </w:r>
      <w:r w:rsidRPr="00C82F6C">
        <w:rPr>
          <w:rFonts w:asciiTheme="minorHAnsi" w:hAnsiTheme="minorHAnsi" w:cstheme="minorHAnsi"/>
          <w:lang w:eastAsia="cs-CZ"/>
        </w:rPr>
        <w:t xml:space="preserve">a podíl energie z obnovitelných zdrojů v dopravě </w:t>
      </w:r>
      <w:r w:rsidR="00AC625C">
        <w:rPr>
          <w:rFonts w:asciiTheme="minorHAnsi" w:hAnsiTheme="minorHAnsi" w:cstheme="minorHAnsi"/>
          <w:lang w:eastAsia="cs-CZ"/>
        </w:rPr>
        <w:t>na</w:t>
      </w:r>
      <w:r w:rsidRPr="00C82F6C">
        <w:rPr>
          <w:rFonts w:asciiTheme="minorHAnsi" w:hAnsiTheme="minorHAnsi" w:cstheme="minorHAnsi"/>
          <w:lang w:eastAsia="cs-CZ"/>
        </w:rPr>
        <w:t xml:space="preserve"> </w:t>
      </w:r>
      <w:r w:rsidRPr="00C5293F">
        <w:rPr>
          <w:rFonts w:asciiTheme="minorHAnsi" w:hAnsiTheme="minorHAnsi" w:cstheme="minorHAnsi"/>
          <w:bCs/>
          <w:lang w:eastAsia="cs-CZ"/>
        </w:rPr>
        <w:t>14 %</w:t>
      </w:r>
      <w:r w:rsidRPr="00C82F6C">
        <w:rPr>
          <w:rFonts w:asciiTheme="minorHAnsi" w:hAnsiTheme="minorHAnsi" w:cstheme="minorHAnsi"/>
          <w:lang w:eastAsia="cs-CZ"/>
        </w:rPr>
        <w:t xml:space="preserve">. Tato směrnice předpokládá průběžné přezkoumání těchto cílů s možností </w:t>
      </w:r>
      <w:r w:rsidR="007643B4">
        <w:rPr>
          <w:rFonts w:asciiTheme="minorHAnsi" w:hAnsiTheme="minorHAnsi" w:cstheme="minorHAnsi"/>
          <w:lang w:eastAsia="cs-CZ"/>
        </w:rPr>
        <w:t>zvýšit</w:t>
      </w:r>
      <w:r w:rsidRPr="00C82F6C">
        <w:rPr>
          <w:rFonts w:asciiTheme="minorHAnsi" w:hAnsiTheme="minorHAnsi" w:cstheme="minorHAnsi"/>
          <w:lang w:eastAsia="cs-CZ"/>
        </w:rPr>
        <w:t xml:space="preserve"> podíl obnovitelných zdrojů. </w:t>
      </w:r>
    </w:p>
    <w:p w14:paraId="02BB5217" w14:textId="77777777" w:rsidR="003C2F26" w:rsidRPr="00C82F6C" w:rsidRDefault="003C2F26" w:rsidP="00986786">
      <w:pPr>
        <w:rPr>
          <w:rFonts w:asciiTheme="minorHAnsi" w:hAnsiTheme="minorHAnsi" w:cstheme="minorHAnsi"/>
          <w:lang w:eastAsia="cs-CZ"/>
        </w:rPr>
      </w:pPr>
      <w:r w:rsidRPr="00C82F6C">
        <w:rPr>
          <w:rFonts w:asciiTheme="minorHAnsi" w:hAnsiTheme="minorHAnsi" w:cstheme="minorHAnsi"/>
          <w:lang w:eastAsia="cs-CZ"/>
        </w:rPr>
        <w:t xml:space="preserve">Na zasedání Evropské rady ve dnech 23. a 24. října 2014 byl stanoven závazný cíl ke snížení emisí skleníkových plynů na území EU alespoň o </w:t>
      </w:r>
      <w:r w:rsidRPr="00C5293F">
        <w:rPr>
          <w:rFonts w:asciiTheme="minorHAnsi" w:hAnsiTheme="minorHAnsi" w:cstheme="minorHAnsi"/>
          <w:lang w:eastAsia="cs-CZ"/>
        </w:rPr>
        <w:t>40 %</w:t>
      </w:r>
      <w:r w:rsidRPr="00C82F6C">
        <w:rPr>
          <w:rFonts w:asciiTheme="minorHAnsi" w:hAnsiTheme="minorHAnsi" w:cstheme="minorHAnsi"/>
          <w:lang w:eastAsia="cs-CZ"/>
        </w:rPr>
        <w:t xml:space="preserve"> do roku 2030 oproti roku 1990. </w:t>
      </w:r>
      <w:r w:rsidRPr="00C82F6C">
        <w:rPr>
          <w:rFonts w:asciiTheme="minorHAnsi" w:hAnsiTheme="minorHAnsi" w:cstheme="minorHAnsi"/>
          <w:lang w:eastAsia="cs-CZ"/>
        </w:rPr>
        <w:lastRenderedPageBreak/>
        <w:t xml:space="preserve">V odvětvích, na něž se nevztahuje systém EU pro obchodování s emisemi (dále také „EU ETS“), je cílem do roku 2030 snížení o </w:t>
      </w:r>
      <w:r w:rsidRPr="00C5293F">
        <w:rPr>
          <w:rFonts w:asciiTheme="minorHAnsi" w:hAnsiTheme="minorHAnsi" w:cstheme="minorHAnsi"/>
          <w:lang w:eastAsia="cs-CZ"/>
        </w:rPr>
        <w:t>30 %</w:t>
      </w:r>
      <w:r w:rsidRPr="00C82F6C">
        <w:rPr>
          <w:rFonts w:asciiTheme="minorHAnsi" w:hAnsiTheme="minorHAnsi" w:cstheme="minorHAnsi"/>
          <w:lang w:eastAsia="cs-CZ"/>
        </w:rPr>
        <w:t xml:space="preserve"> oproti roku 2005.</w:t>
      </w:r>
      <w:r w:rsidRPr="00C82F6C">
        <w:rPr>
          <w:rStyle w:val="Znakapoznpodarou"/>
          <w:rFonts w:asciiTheme="minorHAnsi" w:hAnsiTheme="minorHAnsi" w:cstheme="minorHAnsi"/>
          <w:lang w:eastAsia="cs-CZ"/>
        </w:rPr>
        <w:footnoteReference w:id="22"/>
      </w:r>
    </w:p>
    <w:p w14:paraId="6748FAB2" w14:textId="3C800DC8" w:rsidR="003C2F26" w:rsidRPr="00C82F6C" w:rsidRDefault="003C2F26" w:rsidP="00986786">
      <w:pPr>
        <w:rPr>
          <w:rFonts w:asciiTheme="minorHAnsi" w:hAnsiTheme="minorHAnsi" w:cstheme="minorHAnsi"/>
          <w:lang w:eastAsia="cs-CZ"/>
        </w:rPr>
      </w:pPr>
      <w:r w:rsidRPr="00C82F6C">
        <w:rPr>
          <w:rFonts w:asciiTheme="minorHAnsi" w:hAnsiTheme="minorHAnsi" w:cstheme="minorHAnsi"/>
          <w:lang w:eastAsia="cs-CZ"/>
        </w:rPr>
        <w:t>S účinností od roku 2020 je</w:t>
      </w:r>
      <w:r w:rsidR="00C82F6C">
        <w:rPr>
          <w:rFonts w:asciiTheme="minorHAnsi" w:hAnsiTheme="minorHAnsi" w:cstheme="minorHAnsi"/>
          <w:lang w:eastAsia="cs-CZ"/>
        </w:rPr>
        <w:t xml:space="preserve"> </w:t>
      </w:r>
      <w:r w:rsidRPr="00C82F6C">
        <w:rPr>
          <w:rFonts w:asciiTheme="minorHAnsi" w:hAnsiTheme="minorHAnsi" w:cstheme="minorHAnsi"/>
          <w:lang w:eastAsia="cs-CZ"/>
        </w:rPr>
        <w:t>nařízením</w:t>
      </w:r>
      <w:r w:rsidR="00F87C09">
        <w:rPr>
          <w:rFonts w:asciiTheme="minorHAnsi" w:hAnsiTheme="minorHAnsi" w:cstheme="minorHAnsi"/>
          <w:lang w:eastAsia="cs-CZ"/>
        </w:rPr>
        <w:t xml:space="preserve"> ES</w:t>
      </w:r>
      <w:r w:rsidRPr="00C82F6C">
        <w:rPr>
          <w:rFonts w:asciiTheme="minorHAnsi" w:hAnsiTheme="minorHAnsi" w:cstheme="minorHAnsi"/>
          <w:lang w:eastAsia="cs-CZ"/>
        </w:rPr>
        <w:t xml:space="preserve"> č.443/2009</w:t>
      </w:r>
      <w:r w:rsidRPr="00C82F6C">
        <w:rPr>
          <w:rStyle w:val="Znakapoznpodarou"/>
          <w:rFonts w:asciiTheme="minorHAnsi" w:hAnsiTheme="minorHAnsi" w:cstheme="minorHAnsi"/>
          <w:lang w:eastAsia="cs-CZ"/>
        </w:rPr>
        <w:footnoteReference w:id="23"/>
      </w:r>
      <w:r w:rsidR="00F87C09">
        <w:rPr>
          <w:rFonts w:asciiTheme="minorHAnsi" w:hAnsiTheme="minorHAnsi" w:cstheme="minorHAnsi"/>
          <w:lang w:eastAsia="cs-CZ"/>
        </w:rPr>
        <w:t xml:space="preserve"> v čl.</w:t>
      </w:r>
      <w:r w:rsidRPr="00C82F6C">
        <w:rPr>
          <w:rFonts w:asciiTheme="minorHAnsi" w:hAnsiTheme="minorHAnsi" w:cstheme="minorHAnsi"/>
          <w:lang w:eastAsia="cs-CZ"/>
        </w:rPr>
        <w:t xml:space="preserve"> 1 stanoven cíl pro průměrné emise nového vozového parku osobních vozidel, který činí 95 g CO</w:t>
      </w:r>
      <w:r w:rsidRPr="00C82F6C">
        <w:rPr>
          <w:rFonts w:asciiTheme="minorHAnsi" w:hAnsiTheme="minorHAnsi" w:cstheme="minorHAnsi"/>
          <w:vertAlign w:val="subscript"/>
          <w:lang w:eastAsia="cs-CZ"/>
        </w:rPr>
        <w:t>2</w:t>
      </w:r>
      <w:r w:rsidRPr="00C82F6C">
        <w:rPr>
          <w:rFonts w:asciiTheme="minorHAnsi" w:hAnsiTheme="minorHAnsi" w:cstheme="minorHAnsi"/>
          <w:lang w:eastAsia="cs-CZ"/>
        </w:rPr>
        <w:t>/km. Jak vyplývá z legislativního usnesení Evropského parlamentu ze dne 27. března 2019 o návrhu nařízení Evropského parlamentu a Rady, kterým se stanoví výkonnostní emisní normy pro nové osobní automobily a pro nová lehká užitková vozidla (COM(2017) 676 – C8-0395/2017 – 2017/0293(COD)</w:t>
      </w:r>
      <w:r w:rsidRPr="00C82F6C">
        <w:rPr>
          <w:rStyle w:val="Znakapoznpodarou"/>
          <w:rFonts w:asciiTheme="minorHAnsi" w:hAnsiTheme="minorHAnsi" w:cstheme="minorHAnsi"/>
          <w:lang w:eastAsia="cs-CZ"/>
        </w:rPr>
        <w:footnoteReference w:id="24"/>
      </w:r>
      <w:r w:rsidRPr="00C82F6C">
        <w:rPr>
          <w:rFonts w:asciiTheme="minorHAnsi" w:hAnsiTheme="minorHAnsi" w:cstheme="minorHAnsi"/>
          <w:lang w:eastAsia="cs-CZ"/>
        </w:rPr>
        <w:t>, průměrné emise CO</w:t>
      </w:r>
      <w:r w:rsidRPr="00C82F6C">
        <w:rPr>
          <w:rFonts w:asciiTheme="minorHAnsi" w:hAnsiTheme="minorHAnsi" w:cstheme="minorHAnsi"/>
          <w:vertAlign w:val="subscript"/>
          <w:lang w:eastAsia="cs-CZ"/>
        </w:rPr>
        <w:t>2</w:t>
      </w:r>
      <w:r w:rsidRPr="00C82F6C">
        <w:rPr>
          <w:rFonts w:asciiTheme="minorHAnsi" w:hAnsiTheme="minorHAnsi" w:cstheme="minorHAnsi"/>
          <w:lang w:eastAsia="cs-CZ"/>
        </w:rPr>
        <w:t xml:space="preserve"> z nových osobních automobilů registrovaných v EU budou muset být nižší, a to o 15 % v roce 2025 a o 37,5 % v roce 2030, oproti</w:t>
      </w:r>
      <w:r w:rsidR="00795C91">
        <w:rPr>
          <w:rFonts w:asciiTheme="minorHAnsi" w:hAnsiTheme="minorHAnsi" w:cstheme="minorHAnsi"/>
          <w:lang w:eastAsia="cs-CZ"/>
        </w:rPr>
        <w:t xml:space="preserve"> emisním limitům platným v roce </w:t>
      </w:r>
      <w:r w:rsidRPr="00C82F6C">
        <w:rPr>
          <w:rFonts w:asciiTheme="minorHAnsi" w:hAnsiTheme="minorHAnsi" w:cstheme="minorHAnsi"/>
          <w:lang w:eastAsia="cs-CZ"/>
        </w:rPr>
        <w:t>2021.</w:t>
      </w:r>
    </w:p>
    <w:p w14:paraId="75C65D4C" w14:textId="77777777" w:rsidR="003C2F26" w:rsidRPr="00EA2635" w:rsidRDefault="003C2F26" w:rsidP="00986786">
      <w:r w:rsidRPr="00E2134F">
        <w:rPr>
          <w:rFonts w:asciiTheme="minorHAnsi" w:hAnsiTheme="minorHAnsi" w:cstheme="minorHAnsi"/>
          <w:lang w:eastAsia="cs-CZ"/>
        </w:rPr>
        <w:t>Dle směrnice 2006/38/ES</w:t>
      </w:r>
      <w:r w:rsidRPr="00E2134F">
        <w:rPr>
          <w:rStyle w:val="Znakapoznpodarou"/>
          <w:rFonts w:asciiTheme="minorHAnsi" w:hAnsiTheme="minorHAnsi" w:cstheme="minorHAnsi"/>
          <w:lang w:eastAsia="cs-CZ"/>
        </w:rPr>
        <w:footnoteReference w:id="25"/>
      </w:r>
      <w:r w:rsidRPr="00E2134F">
        <w:rPr>
          <w:rFonts w:asciiTheme="minorHAnsi" w:hAnsiTheme="minorHAnsi" w:cstheme="minorHAnsi"/>
          <w:lang w:eastAsia="cs-CZ"/>
        </w:rPr>
        <w:t xml:space="preserve"> je významným nástrojem pro podporu udržitelné dopravy v EU </w:t>
      </w:r>
      <w:r>
        <w:rPr>
          <w:rFonts w:asciiTheme="minorHAnsi" w:hAnsiTheme="minorHAnsi" w:cstheme="minorHAnsi"/>
          <w:lang w:eastAsia="cs-CZ"/>
        </w:rPr>
        <w:t>spravedlivý systém vybírání poplatků za užívání pozemních komunikací fungující na zásadě „uživatel platí“ a zásadě „znečišťovatel platí“.</w:t>
      </w:r>
    </w:p>
    <w:p w14:paraId="55F62D43" w14:textId="77777777" w:rsidR="00B24EB6" w:rsidRPr="007C0A9B" w:rsidRDefault="003C2F26" w:rsidP="00986786">
      <w:pPr>
        <w:rPr>
          <w:rFonts w:asciiTheme="minorHAnsi" w:hAnsiTheme="minorHAnsi" w:cstheme="minorHAnsi"/>
          <w:color w:val="000000" w:themeColor="text1"/>
          <w:lang w:eastAsia="cs-CZ"/>
        </w:rPr>
      </w:pPr>
      <w:r>
        <w:rPr>
          <w:rFonts w:asciiTheme="minorHAnsi" w:hAnsiTheme="minorHAnsi" w:cstheme="minorHAnsi"/>
          <w:lang w:eastAsia="cs-CZ"/>
        </w:rPr>
        <w:t xml:space="preserve">Opatření lze rozdělit na opatření finanční, právní, podpůrná a ostatní. </w:t>
      </w:r>
      <w:r w:rsidR="0051469A">
        <w:rPr>
          <w:rFonts w:asciiTheme="minorHAnsi" w:hAnsiTheme="minorHAnsi" w:cstheme="minorHAnsi"/>
          <w:lang w:eastAsia="cs-CZ"/>
        </w:rPr>
        <w:t>Za finanční opatření, mezi něž patří daňová podpora a přímá dotační podpora, jsou zodpovědn</w:t>
      </w:r>
      <w:r w:rsidR="00D04241">
        <w:rPr>
          <w:rFonts w:asciiTheme="minorHAnsi" w:hAnsiTheme="minorHAnsi" w:cstheme="minorHAnsi"/>
          <w:lang w:eastAsia="cs-CZ"/>
        </w:rPr>
        <w:t xml:space="preserve">á </w:t>
      </w:r>
      <w:r w:rsidR="0004232A">
        <w:rPr>
          <w:rFonts w:asciiTheme="minorHAnsi" w:hAnsiTheme="minorHAnsi" w:cstheme="minorHAnsi"/>
          <w:lang w:eastAsia="cs-CZ"/>
        </w:rPr>
        <w:t xml:space="preserve">příslušná </w:t>
      </w:r>
      <w:r w:rsidR="00D04241">
        <w:rPr>
          <w:rFonts w:asciiTheme="minorHAnsi" w:hAnsiTheme="minorHAnsi" w:cstheme="minorHAnsi"/>
          <w:lang w:eastAsia="cs-CZ"/>
        </w:rPr>
        <w:t>ministerstva</w:t>
      </w:r>
      <w:r w:rsidR="000D3938">
        <w:rPr>
          <w:rFonts w:asciiTheme="minorHAnsi" w:hAnsiTheme="minorHAnsi" w:cstheme="minorHAnsi"/>
          <w:lang w:eastAsia="cs-CZ"/>
        </w:rPr>
        <w:t xml:space="preserve"> –</w:t>
      </w:r>
      <w:r w:rsidR="00A417E4">
        <w:rPr>
          <w:rFonts w:asciiTheme="minorHAnsi" w:hAnsiTheme="minorHAnsi" w:cstheme="minorHAnsi"/>
          <w:lang w:eastAsia="cs-CZ"/>
        </w:rPr>
        <w:t xml:space="preserve"> viz obr. č</w:t>
      </w:r>
      <w:r w:rsidR="00A417E4" w:rsidRPr="00E140DB">
        <w:rPr>
          <w:rFonts w:asciiTheme="minorHAnsi" w:hAnsiTheme="minorHAnsi" w:cstheme="minorHAnsi"/>
          <w:lang w:eastAsia="cs-CZ"/>
        </w:rPr>
        <w:t>. 1</w:t>
      </w:r>
      <w:r w:rsidR="00D04241" w:rsidRPr="007C0A9B">
        <w:rPr>
          <w:rFonts w:asciiTheme="minorHAnsi" w:hAnsiTheme="minorHAnsi" w:cstheme="minorHAnsi"/>
          <w:color w:val="000000" w:themeColor="text1"/>
          <w:lang w:eastAsia="cs-CZ"/>
        </w:rPr>
        <w:t>:</w:t>
      </w:r>
      <w:r w:rsidR="0051469A" w:rsidRPr="007C0A9B">
        <w:rPr>
          <w:rFonts w:asciiTheme="minorHAnsi" w:hAnsiTheme="minorHAnsi" w:cstheme="minorHAnsi"/>
          <w:color w:val="000000" w:themeColor="text1"/>
          <w:lang w:eastAsia="cs-CZ"/>
        </w:rPr>
        <w:t xml:space="preserve"> </w:t>
      </w:r>
    </w:p>
    <w:p w14:paraId="60333888" w14:textId="77777777" w:rsidR="0009644C" w:rsidRPr="002A51B8" w:rsidRDefault="0051469A" w:rsidP="0009644C">
      <w:pPr>
        <w:keepNext/>
        <w:rPr>
          <w:b/>
        </w:rPr>
      </w:pPr>
      <w:r>
        <w:rPr>
          <w:b/>
          <w:lang w:bidi="cs-CZ"/>
        </w:rPr>
        <w:t>O</w:t>
      </w:r>
      <w:r w:rsidRPr="002A51B8">
        <w:rPr>
          <w:b/>
          <w:lang w:bidi="cs-CZ"/>
        </w:rPr>
        <w:t xml:space="preserve">brázek č. 1 </w:t>
      </w:r>
      <w:r>
        <w:rPr>
          <w:b/>
          <w:lang w:bidi="cs-CZ"/>
        </w:rPr>
        <w:t>–</w:t>
      </w:r>
      <w:r w:rsidRPr="002A51B8">
        <w:rPr>
          <w:b/>
          <w:lang w:bidi="cs-CZ"/>
        </w:rPr>
        <w:t xml:space="preserve"> </w:t>
      </w:r>
      <w:r>
        <w:rPr>
          <w:b/>
          <w:lang w:bidi="cs-CZ"/>
        </w:rPr>
        <w:t>Finanční podpora KEP dle ministerstev</w:t>
      </w:r>
      <w:r w:rsidR="0069719D">
        <w:rPr>
          <w:b/>
          <w:lang w:bidi="cs-CZ"/>
        </w:rPr>
        <w:t xml:space="preserve"> ve vybraných sektorech</w:t>
      </w:r>
    </w:p>
    <w:p w14:paraId="280CA767" w14:textId="742EC307" w:rsidR="00795C91" w:rsidRPr="006D5DFC" w:rsidRDefault="0051469A" w:rsidP="00C6140F">
      <w:pPr>
        <w:rPr>
          <w:sz w:val="20"/>
          <w:szCs w:val="20"/>
        </w:rPr>
      </w:pPr>
      <w:r w:rsidRPr="00CA53A0">
        <w:rPr>
          <w:noProof/>
          <w:shd w:val="clear" w:color="auto" w:fill="E5F1FF"/>
          <w:lang w:eastAsia="cs-CZ"/>
        </w:rPr>
        <w:drawing>
          <wp:inline distT="0" distB="0" distL="0" distR="0" wp14:anchorId="384B7D23" wp14:editId="430C85FA">
            <wp:extent cx="5486400" cy="2709862"/>
            <wp:effectExtent l="19050" t="76200" r="19050" b="1670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6D5DFC">
        <w:rPr>
          <w:b/>
          <w:sz w:val="20"/>
          <w:szCs w:val="20"/>
        </w:rPr>
        <w:t>Zdroj:</w:t>
      </w:r>
      <w:r w:rsidRPr="006D5DFC">
        <w:rPr>
          <w:sz w:val="20"/>
          <w:szCs w:val="20"/>
        </w:rPr>
        <w:t xml:space="preserve"> </w:t>
      </w:r>
      <w:r w:rsidR="0099782B">
        <w:rPr>
          <w:sz w:val="20"/>
          <w:szCs w:val="20"/>
        </w:rPr>
        <w:t>vypracoval</w:t>
      </w:r>
      <w:r w:rsidR="00B54563" w:rsidRPr="006D5DFC">
        <w:rPr>
          <w:sz w:val="20"/>
          <w:szCs w:val="20"/>
        </w:rPr>
        <w:t xml:space="preserve"> NKÚ.</w:t>
      </w:r>
    </w:p>
    <w:p w14:paraId="087EE6C6" w14:textId="77777777" w:rsidR="00B24EB6" w:rsidRDefault="00795C91" w:rsidP="00795C91">
      <w:pPr>
        <w:spacing w:after="160" w:line="259" w:lineRule="auto"/>
        <w:jc w:val="left"/>
        <w:rPr>
          <w:i/>
          <w:sz w:val="20"/>
          <w:szCs w:val="20"/>
        </w:rPr>
      </w:pPr>
      <w:r>
        <w:rPr>
          <w:i/>
          <w:sz w:val="20"/>
          <w:szCs w:val="20"/>
        </w:rPr>
        <w:br w:type="page"/>
      </w:r>
    </w:p>
    <w:p w14:paraId="0767F0EE" w14:textId="77777777" w:rsidR="00B24EB6" w:rsidRPr="00C51DFE" w:rsidRDefault="00986786" w:rsidP="00471A19">
      <w:pPr>
        <w:pStyle w:val="Nadpis1"/>
      </w:pPr>
      <w:bookmarkStart w:id="5" w:name="_Toc16594989"/>
      <w:r>
        <w:lastRenderedPageBreak/>
        <w:t xml:space="preserve">III. </w:t>
      </w:r>
      <w:r w:rsidR="0051469A" w:rsidRPr="00C51DFE">
        <w:t>Rozsah kontroly</w:t>
      </w:r>
      <w:bookmarkEnd w:id="5"/>
    </w:p>
    <w:p w14:paraId="39929A60" w14:textId="77777777" w:rsidR="00B24EB6" w:rsidRPr="00324C36" w:rsidRDefault="0051469A" w:rsidP="001627A7">
      <w:pPr>
        <w:rPr>
          <w:b/>
        </w:rPr>
      </w:pPr>
      <w:r w:rsidRPr="00324C36">
        <w:rPr>
          <w:b/>
        </w:rPr>
        <w:t>Hlavní auditní otázka:</w:t>
      </w:r>
    </w:p>
    <w:p w14:paraId="48392C64" w14:textId="77777777" w:rsidR="00B24EB6" w:rsidRPr="001948A7" w:rsidRDefault="0051469A" w:rsidP="001627A7">
      <w:pPr>
        <w:rPr>
          <w:b/>
          <w:i/>
        </w:rPr>
      </w:pPr>
      <w:r w:rsidRPr="001948A7">
        <w:rPr>
          <w:b/>
          <w:i/>
        </w:rPr>
        <w:t>Je podpora v ČR nastavena tak, aby účinně přispívala k naplnění cílů ve vybraných oblastech klimaticko-energetické politiky při zachování dlouhodobé udržitelnosti veřejných příjmů?</w:t>
      </w:r>
    </w:p>
    <w:p w14:paraId="5468D829" w14:textId="77777777" w:rsidR="00B24EB6" w:rsidRPr="00324C36" w:rsidRDefault="0051469A" w:rsidP="001627A7">
      <w:pPr>
        <w:spacing w:after="0"/>
        <w:rPr>
          <w:b/>
        </w:rPr>
      </w:pPr>
      <w:r>
        <w:rPr>
          <w:b/>
        </w:rPr>
        <w:t>NKÚ kontrolou prověřoval, zda</w:t>
      </w:r>
      <w:r w:rsidRPr="00324C36">
        <w:rPr>
          <w:b/>
        </w:rPr>
        <w:t>:</w:t>
      </w:r>
    </w:p>
    <w:p w14:paraId="553982F2" w14:textId="6ED77836" w:rsidR="00B24EB6" w:rsidRDefault="0051469A" w:rsidP="001627A7">
      <w:pPr>
        <w:pStyle w:val="Odstavecseseznamem"/>
        <w:numPr>
          <w:ilvl w:val="0"/>
          <w:numId w:val="5"/>
        </w:numPr>
        <w:ind w:left="284" w:hanging="284"/>
        <w:contextualSpacing w:val="0"/>
      </w:pPr>
      <w:r>
        <w:t xml:space="preserve">MF, MŽP a MD </w:t>
      </w:r>
      <w:r w:rsidR="00EC0ECB">
        <w:t xml:space="preserve">připravily </w:t>
      </w:r>
      <w:r>
        <w:t xml:space="preserve">podporu </w:t>
      </w:r>
      <w:r w:rsidR="000C24A9">
        <w:t xml:space="preserve">v oblasti daní, poplatků, cel, mýtného aj. plateb </w:t>
      </w:r>
      <w:r>
        <w:t xml:space="preserve">tak, aby účinně </w:t>
      </w:r>
      <w:r w:rsidR="00C0743E">
        <w:t xml:space="preserve">podpora </w:t>
      </w:r>
      <w:r>
        <w:t xml:space="preserve">přispívala k naplnění cílů </w:t>
      </w:r>
      <w:r w:rsidR="0004232A">
        <w:t>KEP</w:t>
      </w:r>
      <w:r w:rsidR="00C0743E">
        <w:t>,</w:t>
      </w:r>
      <w:r w:rsidR="0004232A">
        <w:t xml:space="preserve"> </w:t>
      </w:r>
      <w:r>
        <w:t xml:space="preserve">a </w:t>
      </w:r>
      <w:r w:rsidR="00C0743E">
        <w:t xml:space="preserve">ministerstva tak </w:t>
      </w:r>
      <w:r>
        <w:t xml:space="preserve">naplnily své povinnosti </w:t>
      </w:r>
      <w:r w:rsidR="00A417E4">
        <w:t>věcně odpovědných orgánů</w:t>
      </w:r>
      <w:r>
        <w:rPr>
          <w:rStyle w:val="Znakapoznpodarou"/>
        </w:rPr>
        <w:footnoteReference w:id="26"/>
      </w:r>
      <w:r w:rsidR="0004232A">
        <w:t>;</w:t>
      </w:r>
    </w:p>
    <w:p w14:paraId="1A6166E4" w14:textId="5B2BA255" w:rsidR="00B24EB6" w:rsidRDefault="0051469A" w:rsidP="001627A7">
      <w:pPr>
        <w:pStyle w:val="Odstavecseseznamem"/>
        <w:numPr>
          <w:ilvl w:val="0"/>
          <w:numId w:val="5"/>
        </w:numPr>
        <w:spacing w:after="120"/>
        <w:ind w:left="284" w:hanging="284"/>
        <w:contextualSpacing w:val="0"/>
      </w:pPr>
      <w:r>
        <w:t xml:space="preserve">MF </w:t>
      </w:r>
      <w:r w:rsidR="00EC0ECB">
        <w:t xml:space="preserve">připravilo </w:t>
      </w:r>
      <w:r>
        <w:t>podporu KEP tak, aby byla zajištěna dlouhodobá udržitelnost veřejných příjmů</w:t>
      </w:r>
      <w:r w:rsidR="00C0743E">
        <w:t>,</w:t>
      </w:r>
      <w:r>
        <w:t xml:space="preserve"> a </w:t>
      </w:r>
      <w:r w:rsidR="00C0743E">
        <w:t xml:space="preserve">zda MF </w:t>
      </w:r>
      <w:r>
        <w:t>promítlo cíle a opatření v KEP do příslušných strategických materiálů v souladu se zá</w:t>
      </w:r>
      <w:r w:rsidR="0004232A">
        <w:t>konem o rozpočtové odpovědnosti</w:t>
      </w:r>
      <w:r>
        <w:rPr>
          <w:rStyle w:val="Znakapoznpodarou"/>
        </w:rPr>
        <w:footnoteReference w:id="27"/>
      </w:r>
      <w:r w:rsidR="0004232A">
        <w:t xml:space="preserve">. </w:t>
      </w:r>
    </w:p>
    <w:p w14:paraId="25B4FEAA" w14:textId="77777777" w:rsidR="00B24EB6" w:rsidRDefault="0051469A" w:rsidP="001627A7">
      <w:r>
        <w:rPr>
          <w:rFonts w:cs="Calibri"/>
          <w:b/>
        </w:rPr>
        <w:t>P</w:t>
      </w:r>
      <w:r w:rsidRPr="005B737D">
        <w:rPr>
          <w:rFonts w:cs="Calibri"/>
          <w:b/>
        </w:rPr>
        <w:t>odporou</w:t>
      </w:r>
      <w:r>
        <w:rPr>
          <w:rFonts w:cs="Calibri"/>
        </w:rPr>
        <w:t xml:space="preserve"> se rozumí finanční</w:t>
      </w:r>
      <w:r w:rsidR="00BB3077">
        <w:rPr>
          <w:rFonts w:cs="Calibri"/>
        </w:rPr>
        <w:t xml:space="preserve"> </w:t>
      </w:r>
      <w:r>
        <w:rPr>
          <w:rFonts w:cs="Calibri"/>
        </w:rPr>
        <w:t xml:space="preserve">úleva </w:t>
      </w:r>
      <w:r w:rsidR="0065006B">
        <w:rPr>
          <w:rFonts w:cs="Calibri"/>
        </w:rPr>
        <w:t xml:space="preserve">pro požadované jednání </w:t>
      </w:r>
      <w:r>
        <w:rPr>
          <w:rFonts w:cs="Calibri"/>
        </w:rPr>
        <w:t xml:space="preserve">nebo naopak </w:t>
      </w:r>
      <w:r w:rsidR="001675AB">
        <w:rPr>
          <w:rFonts w:cs="Calibri"/>
        </w:rPr>
        <w:t>finanční</w:t>
      </w:r>
      <w:r w:rsidR="00BB3077">
        <w:rPr>
          <w:rFonts w:cs="Calibri"/>
        </w:rPr>
        <w:t xml:space="preserve"> </w:t>
      </w:r>
      <w:r>
        <w:rPr>
          <w:rFonts w:cs="Calibri"/>
        </w:rPr>
        <w:t xml:space="preserve">znevýhodnění </w:t>
      </w:r>
      <w:r w:rsidR="0065006B">
        <w:rPr>
          <w:rFonts w:cs="Calibri"/>
        </w:rPr>
        <w:t>nežádoucího jednání</w:t>
      </w:r>
      <w:r>
        <w:rPr>
          <w:rFonts w:cs="Calibri"/>
        </w:rPr>
        <w:t>.</w:t>
      </w:r>
    </w:p>
    <w:p w14:paraId="2B9A7E53" w14:textId="77777777" w:rsidR="00B24EB6" w:rsidRDefault="0051469A" w:rsidP="001627A7">
      <w:r w:rsidRPr="0065006B">
        <w:rPr>
          <w:b/>
        </w:rPr>
        <w:t xml:space="preserve">Účinností podpory </w:t>
      </w:r>
      <w:r w:rsidRPr="0065006B">
        <w:t xml:space="preserve">se rozumí naplnění cílů </w:t>
      </w:r>
      <w:r w:rsidR="0065006B" w:rsidRPr="0065006B">
        <w:t xml:space="preserve">klimaticko-energetické politiky. </w:t>
      </w:r>
    </w:p>
    <w:p w14:paraId="60ED0354" w14:textId="33FF7451" w:rsidR="00B24EB6" w:rsidRDefault="0051469A" w:rsidP="001627A7">
      <w:r w:rsidRPr="00F430FB">
        <w:rPr>
          <w:b/>
        </w:rPr>
        <w:t xml:space="preserve">Udržitelností </w:t>
      </w:r>
      <w:r w:rsidR="007B0847">
        <w:rPr>
          <w:b/>
        </w:rPr>
        <w:t>příjmů</w:t>
      </w:r>
      <w:r w:rsidR="007B0847">
        <w:t xml:space="preserve"> </w:t>
      </w:r>
      <w:r>
        <w:t xml:space="preserve">se rozumí strategické plánování </w:t>
      </w:r>
      <w:r w:rsidR="00487BEC">
        <w:t xml:space="preserve">daňové politiky zajišťující </w:t>
      </w:r>
      <w:r w:rsidR="00380EF4">
        <w:t>ve</w:t>
      </w:r>
      <w:r w:rsidR="00C0743E">
        <w:t xml:space="preserve"> </w:t>
      </w:r>
      <w:r w:rsidR="003476CB">
        <w:t xml:space="preserve">střednědobém horizontu </w:t>
      </w:r>
      <w:r w:rsidR="00066C76">
        <w:t xml:space="preserve">adekvátní </w:t>
      </w:r>
      <w:r w:rsidR="00487BEC">
        <w:t>příjem z</w:t>
      </w:r>
      <w:r w:rsidR="00380EF4">
        <w:t> </w:t>
      </w:r>
      <w:r w:rsidR="00487BEC">
        <w:t>daní</w:t>
      </w:r>
      <w:r w:rsidR="00380EF4">
        <w:t>.</w:t>
      </w:r>
      <w:r w:rsidR="00487BEC">
        <w:t xml:space="preserve"> </w:t>
      </w:r>
    </w:p>
    <w:p w14:paraId="7FA58ACC" w14:textId="17586046" w:rsidR="00B24EB6" w:rsidRDefault="0051469A" w:rsidP="001627A7">
      <w:pPr>
        <w:spacing w:after="0"/>
        <w:rPr>
          <w:rFonts w:asciiTheme="minorHAnsi" w:hAnsiTheme="minorHAnsi" w:cstheme="minorHAnsi"/>
        </w:rPr>
      </w:pPr>
      <w:r>
        <w:t>NKÚ posuzoval připravenost ČR na dlouhodobé prosazování KEP, plnění opatření vycházejících z cílů KEP a s tím související nastavení jednotlivých daní a poplatků.</w:t>
      </w:r>
      <w:r w:rsidR="00324C36">
        <w:t xml:space="preserve"> </w:t>
      </w:r>
      <w:r>
        <w:t>Za tím</w:t>
      </w:r>
      <w:r w:rsidR="00324C36">
        <w:t>to</w:t>
      </w:r>
      <w:r>
        <w:t xml:space="preserve"> účelem NKÚ prověřil </w:t>
      </w:r>
      <w:r>
        <w:rPr>
          <w:rFonts w:asciiTheme="minorHAnsi" w:hAnsiTheme="minorHAnsi" w:cstheme="minorHAnsi"/>
        </w:rPr>
        <w:t xml:space="preserve">dílčí systémová opatření k prosazování KEP ve smyslu strategie </w:t>
      </w:r>
      <w:r w:rsidRPr="00796432">
        <w:rPr>
          <w:rFonts w:asciiTheme="minorHAnsi" w:hAnsiTheme="minorHAnsi" w:cstheme="minorHAnsi"/>
          <w:i/>
        </w:rPr>
        <w:t>Evropa 2020</w:t>
      </w:r>
      <w:r>
        <w:rPr>
          <w:rFonts w:asciiTheme="minorHAnsi" w:hAnsiTheme="minorHAnsi" w:cstheme="minorHAnsi"/>
        </w:rPr>
        <w:t xml:space="preserve"> a</w:t>
      </w:r>
      <w:r w:rsidR="00C0743E">
        <w:rPr>
          <w:rFonts w:asciiTheme="minorHAnsi" w:hAnsiTheme="minorHAnsi" w:cstheme="minorHAnsi"/>
        </w:rPr>
        <w:t> </w:t>
      </w:r>
      <w:r w:rsidRPr="00796432">
        <w:rPr>
          <w:rFonts w:asciiTheme="minorHAnsi" w:hAnsiTheme="minorHAnsi" w:cstheme="minorHAnsi"/>
          <w:i/>
        </w:rPr>
        <w:t>Evropa</w:t>
      </w:r>
      <w:r w:rsidR="00C0743E">
        <w:rPr>
          <w:rFonts w:asciiTheme="minorHAnsi" w:hAnsiTheme="minorHAnsi" w:cstheme="minorHAnsi"/>
          <w:i/>
        </w:rPr>
        <w:t> </w:t>
      </w:r>
      <w:r w:rsidRPr="00796432">
        <w:rPr>
          <w:rFonts w:asciiTheme="minorHAnsi" w:hAnsiTheme="minorHAnsi" w:cstheme="minorHAnsi"/>
          <w:i/>
        </w:rPr>
        <w:t>2030</w:t>
      </w:r>
      <w:r w:rsidR="007D408B">
        <w:rPr>
          <w:rFonts w:asciiTheme="minorHAnsi" w:hAnsiTheme="minorHAnsi" w:cstheme="minorHAnsi"/>
        </w:rPr>
        <w:t>,</w:t>
      </w:r>
      <w:r w:rsidR="00772D6A">
        <w:rPr>
          <w:rFonts w:asciiTheme="minorHAnsi" w:hAnsiTheme="minorHAnsi" w:cstheme="minorHAnsi"/>
        </w:rPr>
        <w:t xml:space="preserve"> a to</w:t>
      </w:r>
      <w:r>
        <w:rPr>
          <w:rFonts w:asciiTheme="minorHAnsi" w:hAnsiTheme="minorHAnsi" w:cstheme="minorHAnsi"/>
        </w:rPr>
        <w:t xml:space="preserve"> zejména opatření v oblastech: </w:t>
      </w:r>
    </w:p>
    <w:p w14:paraId="0CCAB9C9" w14:textId="77777777" w:rsidR="00B24EB6" w:rsidRDefault="0051469A" w:rsidP="001627A7">
      <w:pPr>
        <w:pStyle w:val="Odstavecseseznamem"/>
        <w:numPr>
          <w:ilvl w:val="0"/>
          <w:numId w:val="36"/>
        </w:numPr>
        <w:contextualSpacing w:val="0"/>
        <w:rPr>
          <w:rFonts w:cstheme="minorHAnsi"/>
        </w:rPr>
      </w:pPr>
      <w:r>
        <w:rPr>
          <w:rFonts w:cstheme="minorHAnsi"/>
        </w:rPr>
        <w:t xml:space="preserve">snižování emisí v </w:t>
      </w:r>
      <w:r w:rsidRPr="00A45DC4">
        <w:rPr>
          <w:rFonts w:cstheme="minorHAnsi"/>
        </w:rPr>
        <w:t>doprav</w:t>
      </w:r>
      <w:r>
        <w:rPr>
          <w:rFonts w:cstheme="minorHAnsi"/>
        </w:rPr>
        <w:t>ě</w:t>
      </w:r>
      <w:r w:rsidRPr="00A45DC4">
        <w:rPr>
          <w:rFonts w:cstheme="minorHAnsi"/>
        </w:rPr>
        <w:t xml:space="preserve"> a </w:t>
      </w:r>
      <w:r>
        <w:rPr>
          <w:rFonts w:cstheme="minorHAnsi"/>
        </w:rPr>
        <w:t>domácnostech,</w:t>
      </w:r>
    </w:p>
    <w:p w14:paraId="5846094B" w14:textId="77777777" w:rsidR="00B24EB6" w:rsidRDefault="0051469A" w:rsidP="001627A7">
      <w:pPr>
        <w:pStyle w:val="Odstavecseseznamem"/>
        <w:numPr>
          <w:ilvl w:val="0"/>
          <w:numId w:val="36"/>
        </w:numPr>
        <w:spacing w:after="120"/>
        <w:contextualSpacing w:val="0"/>
        <w:rPr>
          <w:rFonts w:cstheme="minorHAnsi"/>
        </w:rPr>
      </w:pPr>
      <w:r>
        <w:rPr>
          <w:rFonts w:cstheme="minorHAnsi"/>
        </w:rPr>
        <w:t xml:space="preserve">zvyšování podílu obnovitelných zdrojů energie. </w:t>
      </w:r>
    </w:p>
    <w:p w14:paraId="11DF61B5" w14:textId="77777777" w:rsidR="00B24EB6" w:rsidRDefault="0051469A" w:rsidP="001627A7">
      <w:r>
        <w:rPr>
          <w:rFonts w:cstheme="minorHAnsi"/>
        </w:rPr>
        <w:t xml:space="preserve">Kontrole nebyla podrobena celková klimaticko-energetická politika ČR.   </w:t>
      </w:r>
      <w:r w:rsidRPr="00571E1B">
        <w:rPr>
          <w:rFonts w:cstheme="minorHAnsi"/>
        </w:rPr>
        <w:t xml:space="preserve">  </w:t>
      </w:r>
    </w:p>
    <w:p w14:paraId="41B41FF7" w14:textId="14B1F60A" w:rsidR="00CA53A0" w:rsidRDefault="0051469A" w:rsidP="001627A7">
      <w:r>
        <w:t>NKÚ v rámci kontroly provedl dotazníkové šetření prostřednictvím nejvyšších kontrolních institucí</w:t>
      </w:r>
      <w:r w:rsidR="00C0743E">
        <w:t xml:space="preserve"> (dále také „SAI“)</w:t>
      </w:r>
      <w:r>
        <w:t xml:space="preserve"> jednotlivých států EU (</w:t>
      </w:r>
      <w:r w:rsidR="007D408B">
        <w:t xml:space="preserve">celkem </w:t>
      </w:r>
      <w:r>
        <w:t>27 států), přičemž odpovědělo 12</w:t>
      </w:r>
      <w:r w:rsidR="00C0743E">
        <w:t> </w:t>
      </w:r>
      <w:r w:rsidR="00A60820">
        <w:t>SAI</w:t>
      </w:r>
      <w:r w:rsidR="00C0743E">
        <w:t> </w:t>
      </w:r>
      <w:r w:rsidR="00A60820">
        <w:t>EU</w:t>
      </w:r>
      <w:r>
        <w:rPr>
          <w:rStyle w:val="Znakapoznpodarou"/>
        </w:rPr>
        <w:footnoteReference w:id="28"/>
      </w:r>
      <w:r>
        <w:t xml:space="preserve">. </w:t>
      </w:r>
      <w:r w:rsidR="00066C76">
        <w:t xml:space="preserve"> </w:t>
      </w:r>
    </w:p>
    <w:p w14:paraId="363B1DF3" w14:textId="6A1E0E4E" w:rsidR="00B24EB6" w:rsidRDefault="0051469A" w:rsidP="001627A7">
      <w:r w:rsidRPr="00E07B67">
        <w:t>NKÚ pro kontrolu využil dokladové analýzy, mezinárodní poro</w:t>
      </w:r>
      <w:r w:rsidR="00BA55FD">
        <w:t>vnání, analýzy právní úpravy či</w:t>
      </w:r>
      <w:r w:rsidR="00C0743E">
        <w:t xml:space="preserve"> </w:t>
      </w:r>
      <w:r w:rsidRPr="00E07B67">
        <w:t xml:space="preserve">ekonomické analýzy. </w:t>
      </w:r>
    </w:p>
    <w:p w14:paraId="14F8B73E" w14:textId="77777777" w:rsidR="00EF18AD" w:rsidRPr="001627A7" w:rsidRDefault="0051469A" w:rsidP="001627A7">
      <w:pPr>
        <w:rPr>
          <w:sz w:val="20"/>
          <w:szCs w:val="20"/>
        </w:rPr>
      </w:pPr>
      <w:r>
        <w:t xml:space="preserve">Kontrola byla zaměřena na ověření systémových opatření směřujících k podpoře plnění </w:t>
      </w:r>
      <w:r w:rsidR="0065006B">
        <w:t>KEP</w:t>
      </w:r>
      <w:r w:rsidR="00736BF0">
        <w:t xml:space="preserve"> v</w:t>
      </w:r>
      <w:r w:rsidR="000C2CEA">
        <w:t xml:space="preserve"> ČR </w:t>
      </w:r>
      <w:r>
        <w:t xml:space="preserve">oblasti daní, poplatků a mýtného, a proto nebyl celkový kontrolovaný </w:t>
      </w:r>
      <w:r w:rsidR="003B3DA5">
        <w:t xml:space="preserve">a kontrolovatelný </w:t>
      </w:r>
      <w:r>
        <w:t xml:space="preserve">objem kvantifikován. </w:t>
      </w:r>
      <w:r w:rsidRPr="00324C36">
        <w:t>V případě silniční daně byla kontrole pod</w:t>
      </w:r>
      <w:r w:rsidR="000C2CEA">
        <w:t>robena uplatněná snížení daně a </w:t>
      </w:r>
      <w:r w:rsidRPr="00324C36">
        <w:t>osvobození od d</w:t>
      </w:r>
      <w:r w:rsidR="00736BF0">
        <w:t>aně v kontrolovaném období 2015–</w:t>
      </w:r>
      <w:r w:rsidRPr="00324C36">
        <w:t>2018 v</w:t>
      </w:r>
      <w:r w:rsidR="007D408B">
        <w:t xml:space="preserve"> celkové</w:t>
      </w:r>
      <w:r w:rsidRPr="00324C36">
        <w:t xml:space="preserve"> výši cca 5,6 mld. Kč. V případě poplatku na podporu</w:t>
      </w:r>
      <w:r>
        <w:t xml:space="preserve"> sběru, zpracování, využití a odstranění autovraků bylo podrobeno kontrole </w:t>
      </w:r>
      <w:r w:rsidR="007D408B">
        <w:t xml:space="preserve">celkem </w:t>
      </w:r>
      <w:r w:rsidR="007D75B1">
        <w:t xml:space="preserve">cca </w:t>
      </w:r>
      <w:r>
        <w:t>99</w:t>
      </w:r>
      <w:r w:rsidR="007D75B1">
        <w:t>1 mil.</w:t>
      </w:r>
      <w:r>
        <w:t xml:space="preserve"> Kč za kontrolované období 2015</w:t>
      </w:r>
      <w:r w:rsidR="00736BF0">
        <w:t>–</w:t>
      </w:r>
      <w:r>
        <w:t>2018.</w:t>
      </w:r>
      <w:r w:rsidR="00EF18AD" w:rsidRPr="00EF18AD">
        <w:rPr>
          <w:b/>
          <w:sz w:val="20"/>
          <w:szCs w:val="20"/>
        </w:rPr>
        <w:t xml:space="preserve"> </w:t>
      </w:r>
    </w:p>
    <w:p w14:paraId="249A6F56" w14:textId="77777777" w:rsidR="001627A7" w:rsidRPr="001627A7" w:rsidRDefault="001627A7" w:rsidP="001627A7">
      <w:pPr>
        <w:rPr>
          <w:sz w:val="22"/>
          <w:szCs w:val="20"/>
        </w:rPr>
      </w:pPr>
    </w:p>
    <w:p w14:paraId="53ADF75B" w14:textId="77777777" w:rsidR="00EF18AD" w:rsidRDefault="00EF18AD" w:rsidP="00C0743E">
      <w:pPr>
        <w:ind w:left="567" w:hanging="567"/>
      </w:pPr>
      <w:r w:rsidRPr="00EF18AD">
        <w:rPr>
          <w:b/>
          <w:sz w:val="20"/>
          <w:szCs w:val="20"/>
        </w:rPr>
        <w:t>Pozn.:</w:t>
      </w:r>
      <w:r w:rsidRPr="00EF18AD">
        <w:rPr>
          <w:sz w:val="20"/>
          <w:szCs w:val="20"/>
        </w:rPr>
        <w:t xml:space="preserve"> Právní předpisy uvedené v tomto kontrolním závěru jsou aplikovány ve znění účinném pro kontrolované období.</w:t>
      </w:r>
    </w:p>
    <w:p w14:paraId="53F731FA" w14:textId="77777777" w:rsidR="00B24EB6" w:rsidRPr="001627A7" w:rsidRDefault="001627A7" w:rsidP="00471A19">
      <w:pPr>
        <w:pStyle w:val="Nadpis1"/>
      </w:pPr>
      <w:bookmarkStart w:id="6" w:name="_Toc16594990"/>
      <w:r w:rsidRPr="001627A7">
        <w:lastRenderedPageBreak/>
        <w:t xml:space="preserve">IV. </w:t>
      </w:r>
      <w:r w:rsidR="0051469A" w:rsidRPr="001627A7">
        <w:t>Podrobné skutečnosti zjištěné kontrolou</w:t>
      </w:r>
      <w:bookmarkEnd w:id="6"/>
    </w:p>
    <w:p w14:paraId="4D452E71" w14:textId="77777777" w:rsidR="00324C36" w:rsidRPr="001627A7" w:rsidRDefault="001627A7" w:rsidP="001627A7">
      <w:pPr>
        <w:pStyle w:val="Nadpiskapitoly2"/>
        <w:numPr>
          <w:ilvl w:val="0"/>
          <w:numId w:val="0"/>
        </w:numPr>
        <w:jc w:val="left"/>
        <w:rPr>
          <w:sz w:val="24"/>
        </w:rPr>
      </w:pPr>
      <w:bookmarkStart w:id="7" w:name="_Toc16594991"/>
      <w:r>
        <w:rPr>
          <w:sz w:val="24"/>
        </w:rPr>
        <w:t xml:space="preserve">A. </w:t>
      </w:r>
      <w:r w:rsidR="0051469A" w:rsidRPr="001627A7">
        <w:rPr>
          <w:sz w:val="24"/>
        </w:rPr>
        <w:t>Snižování emisí a zvyšování podílu obnovitelných zdrojů v dopravě</w:t>
      </w:r>
      <w:bookmarkEnd w:id="7"/>
    </w:p>
    <w:p w14:paraId="72139118" w14:textId="77777777" w:rsidR="005E2C38" w:rsidRPr="001627A7" w:rsidRDefault="001627A7" w:rsidP="001627A7">
      <w:pPr>
        <w:pStyle w:val="1rove2"/>
        <w:numPr>
          <w:ilvl w:val="0"/>
          <w:numId w:val="0"/>
        </w:numPr>
        <w:jc w:val="left"/>
        <w:rPr>
          <w:noProof/>
        </w:rPr>
      </w:pPr>
      <w:r>
        <w:rPr>
          <w:noProof/>
        </w:rPr>
        <w:t xml:space="preserve">1. </w:t>
      </w:r>
      <w:r w:rsidR="0051469A" w:rsidRPr="001627A7">
        <w:rPr>
          <w:noProof/>
        </w:rPr>
        <w:t>Strategická opatření a celková fiskální podpora</w:t>
      </w:r>
      <w:r w:rsidR="006E02A3" w:rsidRPr="001627A7">
        <w:rPr>
          <w:noProof/>
        </w:rPr>
        <w:t xml:space="preserve"> </w:t>
      </w:r>
      <w:r w:rsidR="007D408B" w:rsidRPr="001627A7">
        <w:rPr>
          <w:noProof/>
        </w:rPr>
        <w:t>klimaticko-energetické politiky</w:t>
      </w:r>
    </w:p>
    <w:p w14:paraId="73B24312" w14:textId="77777777" w:rsidR="00CD22D6" w:rsidRPr="001627A7" w:rsidRDefault="0051469A" w:rsidP="001627A7">
      <w:pPr>
        <w:spacing w:after="0"/>
        <w:rPr>
          <w:noProof/>
          <w:szCs w:val="24"/>
          <w:lang w:eastAsia="cs-CZ"/>
        </w:rPr>
      </w:pPr>
      <w:r w:rsidRPr="001627A7">
        <w:rPr>
          <w:noProof/>
          <w:szCs w:val="24"/>
          <w:lang w:eastAsia="cs-CZ"/>
        </w:rPr>
        <w:t xml:space="preserve">Kontrolovaná ministerstva jsou gesčními </w:t>
      </w:r>
      <w:r w:rsidR="00CA53A0" w:rsidRPr="001627A7">
        <w:rPr>
          <w:noProof/>
          <w:szCs w:val="24"/>
          <w:lang w:eastAsia="cs-CZ"/>
        </w:rPr>
        <w:t>orgány</w:t>
      </w:r>
      <w:r w:rsidRPr="001627A7">
        <w:rPr>
          <w:noProof/>
          <w:szCs w:val="24"/>
          <w:lang w:eastAsia="cs-CZ"/>
        </w:rPr>
        <w:t xml:space="preserve"> pro plnění vybraných úkolů</w:t>
      </w:r>
      <w:r w:rsidR="006E02A3" w:rsidRPr="001627A7">
        <w:rPr>
          <w:noProof/>
          <w:szCs w:val="24"/>
          <w:lang w:eastAsia="cs-CZ"/>
        </w:rPr>
        <w:t xml:space="preserve"> (opatření)</w:t>
      </w:r>
      <w:r w:rsidRPr="001627A7">
        <w:rPr>
          <w:noProof/>
          <w:szCs w:val="24"/>
          <w:lang w:eastAsia="cs-CZ"/>
        </w:rPr>
        <w:t xml:space="preserve"> v rámci strategických materiálů ČR. Nová opatření na podporu KEP jsou ministerstvům ukládána usneseními vlá</w:t>
      </w:r>
      <w:r w:rsidR="00324C36" w:rsidRPr="001627A7">
        <w:rPr>
          <w:noProof/>
          <w:szCs w:val="24"/>
          <w:lang w:eastAsia="cs-CZ"/>
        </w:rPr>
        <w:t>dy ČR</w:t>
      </w:r>
      <w:r w:rsidR="00F87C09" w:rsidRPr="001627A7">
        <w:rPr>
          <w:noProof/>
          <w:szCs w:val="24"/>
          <w:lang w:eastAsia="cs-CZ"/>
        </w:rPr>
        <w:t>.</w:t>
      </w:r>
      <w:r w:rsidRPr="001627A7">
        <w:rPr>
          <w:noProof/>
          <w:szCs w:val="24"/>
          <w:lang w:eastAsia="cs-CZ"/>
        </w:rPr>
        <w:t xml:space="preserve"> NKÚ zjistil</w:t>
      </w:r>
      <w:r w:rsidR="00587684" w:rsidRPr="001627A7">
        <w:rPr>
          <w:noProof/>
          <w:szCs w:val="24"/>
          <w:lang w:eastAsia="cs-CZ"/>
        </w:rPr>
        <w:t>,</w:t>
      </w:r>
      <w:r w:rsidRPr="001627A7">
        <w:rPr>
          <w:noProof/>
          <w:szCs w:val="24"/>
          <w:lang w:eastAsia="cs-CZ"/>
        </w:rPr>
        <w:t xml:space="preserve"> že </w:t>
      </w:r>
      <w:r w:rsidR="00CA53A0" w:rsidRPr="001627A7">
        <w:rPr>
          <w:noProof/>
          <w:szCs w:val="24"/>
          <w:lang w:eastAsia="cs-CZ"/>
        </w:rPr>
        <w:t xml:space="preserve">v době jeho kontroly </w:t>
      </w:r>
      <w:r w:rsidRPr="001627A7">
        <w:rPr>
          <w:noProof/>
          <w:szCs w:val="24"/>
          <w:lang w:eastAsia="cs-CZ"/>
        </w:rPr>
        <w:t xml:space="preserve">nejméně </w:t>
      </w:r>
      <w:r w:rsidR="009C15E0" w:rsidRPr="001627A7">
        <w:rPr>
          <w:noProof/>
          <w:szCs w:val="24"/>
          <w:lang w:eastAsia="cs-CZ"/>
        </w:rPr>
        <w:t>pět</w:t>
      </w:r>
      <w:r w:rsidR="007D75B1" w:rsidRPr="001627A7">
        <w:rPr>
          <w:noProof/>
          <w:szCs w:val="24"/>
          <w:lang w:eastAsia="cs-CZ"/>
        </w:rPr>
        <w:t xml:space="preserve"> finančních </w:t>
      </w:r>
      <w:r w:rsidRPr="001627A7">
        <w:rPr>
          <w:noProof/>
          <w:szCs w:val="24"/>
          <w:lang w:eastAsia="cs-CZ"/>
        </w:rPr>
        <w:t>opatření</w:t>
      </w:r>
      <w:r w:rsidR="006E02A3" w:rsidRPr="001627A7">
        <w:rPr>
          <w:noProof/>
          <w:szCs w:val="24"/>
          <w:lang w:eastAsia="cs-CZ"/>
        </w:rPr>
        <w:t xml:space="preserve"> nebylo splněno</w:t>
      </w:r>
      <w:r w:rsidR="000A2E5B" w:rsidRPr="001627A7">
        <w:rPr>
          <w:noProof/>
          <w:szCs w:val="24"/>
          <w:lang w:eastAsia="cs-CZ"/>
        </w:rPr>
        <w:t>, a to:</w:t>
      </w:r>
      <w:r w:rsidRPr="001627A7">
        <w:rPr>
          <w:noProof/>
          <w:szCs w:val="24"/>
          <w:lang w:eastAsia="cs-CZ"/>
        </w:rPr>
        <w:t xml:space="preserve"> </w:t>
      </w:r>
    </w:p>
    <w:p w14:paraId="18C40566" w14:textId="59E2588B" w:rsidR="008368F8" w:rsidRPr="001627A7" w:rsidRDefault="008368F8" w:rsidP="001627A7">
      <w:pPr>
        <w:pStyle w:val="Odstavecseseznamem"/>
        <w:numPr>
          <w:ilvl w:val="0"/>
          <w:numId w:val="40"/>
        </w:numPr>
        <w:ind w:left="284" w:hanging="284"/>
        <w:contextualSpacing w:val="0"/>
      </w:pPr>
      <w:r w:rsidRPr="001627A7">
        <w:t>opatření S14 (</w:t>
      </w:r>
      <w:r w:rsidR="003C7032">
        <w:t>ú</w:t>
      </w:r>
      <w:r w:rsidRPr="001627A7">
        <w:t>prava režimů a sazeb silniční daně pro vozidla na CNG/LNG a elektrický pohon nad 12 t a současně zavedení daňové úlevy pro vozidla LNG a vodík) a S28 (</w:t>
      </w:r>
      <w:r w:rsidR="003C7032">
        <w:t>a</w:t>
      </w:r>
      <w:r w:rsidRPr="001627A7">
        <w:t xml:space="preserve">nalýza zpoplatnění vozidel v České republice) </w:t>
      </w:r>
      <w:r w:rsidR="003C7032">
        <w:t xml:space="preserve">– </w:t>
      </w:r>
      <w:r w:rsidRPr="001627A7">
        <w:t>oboje z NAP CM,</w:t>
      </w:r>
    </w:p>
    <w:p w14:paraId="330FD746" w14:textId="4B9F8580" w:rsidR="008368F8" w:rsidRPr="001627A7" w:rsidRDefault="008368F8" w:rsidP="001627A7">
      <w:pPr>
        <w:pStyle w:val="Odstavecseseznamem"/>
        <w:numPr>
          <w:ilvl w:val="0"/>
          <w:numId w:val="40"/>
        </w:numPr>
        <w:ind w:left="284" w:hanging="284"/>
        <w:contextualSpacing w:val="0"/>
      </w:pPr>
      <w:r w:rsidRPr="001627A7">
        <w:t>opatření S17 (</w:t>
      </w:r>
      <w:r w:rsidR="003C7032">
        <w:t>p</w:t>
      </w:r>
      <w:r w:rsidRPr="001627A7">
        <w:t>odpora nákupu osobních vozidel šetrných k životnímu prostředí) z NAP CM a AA8 (</w:t>
      </w:r>
      <w:r w:rsidR="003C7032">
        <w:t>p</w:t>
      </w:r>
      <w:r w:rsidRPr="001627A7">
        <w:t>odpora nákupu osobních vozidel šetrných k životnímu prostředí) z </w:t>
      </w:r>
      <w:r w:rsidRPr="00796432">
        <w:rPr>
          <w:i/>
        </w:rPr>
        <w:t>Národního programu snižování emisí</w:t>
      </w:r>
      <w:r w:rsidR="003C7032">
        <w:t>,</w:t>
      </w:r>
      <w:r w:rsidRPr="001627A7">
        <w:t xml:space="preserve"> </w:t>
      </w:r>
      <w:r w:rsidR="003C7032">
        <w:t>tj. </w:t>
      </w:r>
      <w:r w:rsidRPr="001627A7">
        <w:t>podpora nákupu vozidel šetrných k životnímu prostředí – zavedení bonusu anebo malusu při registraci vozidla,</w:t>
      </w:r>
    </w:p>
    <w:p w14:paraId="01C25B45" w14:textId="41D15E96" w:rsidR="008368F8" w:rsidRPr="001627A7" w:rsidRDefault="008368F8" w:rsidP="001627A7">
      <w:pPr>
        <w:pStyle w:val="Odstavecseseznamem"/>
        <w:numPr>
          <w:ilvl w:val="0"/>
          <w:numId w:val="40"/>
        </w:numPr>
        <w:spacing w:after="120"/>
        <w:ind w:left="284" w:hanging="284"/>
        <w:contextualSpacing w:val="0"/>
      </w:pPr>
      <w:r w:rsidRPr="001627A7">
        <w:t>opatření AA3 (</w:t>
      </w:r>
      <w:r w:rsidR="003C7032">
        <w:t>p</w:t>
      </w:r>
      <w:r w:rsidRPr="001627A7">
        <w:t>odpora urychlení obměny voz</w:t>
      </w:r>
      <w:r w:rsidR="006356EB" w:rsidRPr="001627A7">
        <w:t>ového parku osobních vozidel) z </w:t>
      </w:r>
      <w:r w:rsidRPr="00796432">
        <w:rPr>
          <w:i/>
        </w:rPr>
        <w:t>Národního programu snižování emisí</w:t>
      </w:r>
      <w:r w:rsidR="003C7032">
        <w:t>,</w:t>
      </w:r>
      <w:r w:rsidRPr="001627A7">
        <w:t xml:space="preserve"> </w:t>
      </w:r>
      <w:r w:rsidR="003C7032">
        <w:t xml:space="preserve">tj. </w:t>
      </w:r>
      <w:r w:rsidRPr="001627A7">
        <w:t>podpora urychlení obměny vozidel prostředni</w:t>
      </w:r>
      <w:r w:rsidR="00066C76" w:rsidRPr="001627A7">
        <w:t>c</w:t>
      </w:r>
      <w:r w:rsidRPr="001627A7">
        <w:t>tvím poplatku za přeregistraci pro vozidla s emisní normou EURO 3.</w:t>
      </w:r>
    </w:p>
    <w:p w14:paraId="18341A72" w14:textId="4AA2E07E" w:rsidR="00487BEC" w:rsidRPr="001627A7" w:rsidRDefault="008368F8" w:rsidP="001627A7">
      <w:pPr>
        <w:rPr>
          <w:noProof/>
          <w:szCs w:val="24"/>
          <w:lang w:eastAsia="cs-CZ"/>
        </w:rPr>
      </w:pPr>
      <w:r w:rsidRPr="001627A7">
        <w:rPr>
          <w:szCs w:val="24"/>
          <w:lang w:eastAsia="cs-CZ"/>
        </w:rPr>
        <w:t>Opatření S15 (</w:t>
      </w:r>
      <w:r w:rsidR="003C7032">
        <w:rPr>
          <w:szCs w:val="24"/>
          <w:lang w:eastAsia="cs-CZ"/>
        </w:rPr>
        <w:t>z</w:t>
      </w:r>
      <w:r w:rsidRPr="001627A7">
        <w:rPr>
          <w:szCs w:val="24"/>
          <w:lang w:eastAsia="cs-CZ"/>
        </w:rPr>
        <w:t>výšení odpisu v 1. roce odpisování pro infrastrukturu dobíjecích/plnicích stanic CNG/LNG, NAP CM), S16 (</w:t>
      </w:r>
      <w:r w:rsidR="003C7032">
        <w:rPr>
          <w:szCs w:val="24"/>
          <w:lang w:eastAsia="cs-CZ"/>
        </w:rPr>
        <w:t>z</w:t>
      </w:r>
      <w:r w:rsidRPr="001627A7">
        <w:rPr>
          <w:szCs w:val="24"/>
          <w:lang w:eastAsia="cs-CZ"/>
        </w:rPr>
        <w:t>výšení odpisu v 1. roce odpisování u vozidla s elektrickým pohonem a vozidel na CNG/LNG, NAP CM)</w:t>
      </w:r>
      <w:r w:rsidR="00CB41C5" w:rsidRPr="001627A7">
        <w:rPr>
          <w:szCs w:val="24"/>
          <w:lang w:eastAsia="cs-CZ"/>
        </w:rPr>
        <w:t xml:space="preserve"> a</w:t>
      </w:r>
      <w:r w:rsidRPr="001627A7">
        <w:rPr>
          <w:szCs w:val="24"/>
          <w:lang w:eastAsia="cs-CZ"/>
        </w:rPr>
        <w:t xml:space="preserve"> E2 (</w:t>
      </w:r>
      <w:r w:rsidR="003C7032">
        <w:rPr>
          <w:szCs w:val="24"/>
          <w:lang w:eastAsia="cs-CZ"/>
        </w:rPr>
        <w:t>z</w:t>
      </w:r>
      <w:r w:rsidRPr="001627A7">
        <w:rPr>
          <w:szCs w:val="24"/>
          <w:lang w:eastAsia="cs-CZ"/>
        </w:rPr>
        <w:t>rychlené odpisy na elektromobily, AP</w:t>
      </w:r>
      <w:r w:rsidR="003C7032">
        <w:rPr>
          <w:szCs w:val="24"/>
          <w:lang w:eastAsia="cs-CZ"/>
        </w:rPr>
        <w:t> </w:t>
      </w:r>
      <w:r w:rsidRPr="001627A7">
        <w:rPr>
          <w:szCs w:val="24"/>
          <w:lang w:eastAsia="cs-CZ"/>
        </w:rPr>
        <w:t>o</w:t>
      </w:r>
      <w:r w:rsidR="003C7032">
        <w:rPr>
          <w:szCs w:val="24"/>
          <w:lang w:eastAsia="cs-CZ"/>
        </w:rPr>
        <w:t> </w:t>
      </w:r>
      <w:r w:rsidRPr="001627A7">
        <w:rPr>
          <w:szCs w:val="24"/>
          <w:lang w:eastAsia="cs-CZ"/>
        </w:rPr>
        <w:t xml:space="preserve">budoucnosti automobilového průmyslu v ČR) směřující ke zvýšení poptávky po vozidlech na alternativní pohony prostřednictvím odpisů v rámci daně z příjmů byla vládou </w:t>
      </w:r>
      <w:r w:rsidR="00CB41C5" w:rsidRPr="001627A7">
        <w:rPr>
          <w:szCs w:val="24"/>
          <w:lang w:eastAsia="cs-CZ"/>
        </w:rPr>
        <w:t>Č</w:t>
      </w:r>
      <w:r w:rsidR="00F87C09" w:rsidRPr="001627A7">
        <w:rPr>
          <w:szCs w:val="24"/>
          <w:lang w:eastAsia="cs-CZ"/>
        </w:rPr>
        <w:t xml:space="preserve">R </w:t>
      </w:r>
      <w:r w:rsidRPr="001627A7">
        <w:rPr>
          <w:szCs w:val="24"/>
          <w:lang w:eastAsia="cs-CZ"/>
        </w:rPr>
        <w:t>zrušena</w:t>
      </w:r>
      <w:r w:rsidR="0051469A" w:rsidRPr="001627A7">
        <w:rPr>
          <w:noProof/>
          <w:szCs w:val="24"/>
          <w:lang w:eastAsia="cs-CZ"/>
        </w:rPr>
        <w:t xml:space="preserve">, protože </w:t>
      </w:r>
      <w:r w:rsidR="00EC0ECB" w:rsidRPr="001627A7">
        <w:rPr>
          <w:noProof/>
          <w:szCs w:val="24"/>
          <w:lang w:eastAsia="cs-CZ"/>
        </w:rPr>
        <w:t>byla</w:t>
      </w:r>
      <w:r w:rsidR="00487BEC" w:rsidRPr="001627A7">
        <w:rPr>
          <w:noProof/>
          <w:szCs w:val="24"/>
          <w:lang w:eastAsia="cs-CZ"/>
        </w:rPr>
        <w:t xml:space="preserve"> v rámci hodnocení dopadů regulace shledána jako nevhodná. </w:t>
      </w:r>
      <w:r w:rsidR="0051469A" w:rsidRPr="001627A7">
        <w:rPr>
          <w:noProof/>
          <w:szCs w:val="24"/>
          <w:lang w:eastAsia="cs-CZ"/>
        </w:rPr>
        <w:t xml:space="preserve"> </w:t>
      </w:r>
    </w:p>
    <w:p w14:paraId="21E7399F" w14:textId="23798583" w:rsidR="0009644C" w:rsidRPr="001627A7" w:rsidRDefault="003C7032" w:rsidP="001627A7">
      <w:pPr>
        <w:rPr>
          <w:noProof/>
          <w:szCs w:val="24"/>
          <w:lang w:eastAsia="cs-CZ"/>
        </w:rPr>
      </w:pPr>
      <w:r>
        <w:rPr>
          <w:noProof/>
          <w:szCs w:val="24"/>
          <w:lang w:eastAsia="cs-CZ"/>
        </w:rPr>
        <w:t>MŽP</w:t>
      </w:r>
      <w:r w:rsidR="0066224F" w:rsidRPr="001627A7">
        <w:rPr>
          <w:noProof/>
          <w:szCs w:val="24"/>
          <w:lang w:eastAsia="cs-CZ"/>
        </w:rPr>
        <w:t xml:space="preserve"> a </w:t>
      </w:r>
      <w:r>
        <w:rPr>
          <w:noProof/>
          <w:szCs w:val="24"/>
          <w:lang w:eastAsia="cs-CZ"/>
        </w:rPr>
        <w:t>MD</w:t>
      </w:r>
      <w:r w:rsidR="005E2C38" w:rsidRPr="001627A7">
        <w:rPr>
          <w:noProof/>
          <w:szCs w:val="24"/>
          <w:lang w:eastAsia="cs-CZ"/>
        </w:rPr>
        <w:t xml:space="preserve"> na základě úkolu vlády</w:t>
      </w:r>
      <w:r w:rsidR="00E009EF" w:rsidRPr="001627A7">
        <w:rPr>
          <w:noProof/>
          <w:szCs w:val="24"/>
          <w:lang w:eastAsia="cs-CZ"/>
        </w:rPr>
        <w:t xml:space="preserve"> ČR</w:t>
      </w:r>
      <w:r w:rsidR="002D373A" w:rsidRPr="001627A7">
        <w:rPr>
          <w:noProof/>
          <w:szCs w:val="24"/>
          <w:lang w:eastAsia="cs-CZ"/>
        </w:rPr>
        <w:t xml:space="preserve"> a </w:t>
      </w:r>
      <w:r w:rsidR="005E2C38" w:rsidRPr="001627A7">
        <w:rPr>
          <w:noProof/>
          <w:szCs w:val="24"/>
          <w:lang w:eastAsia="cs-CZ"/>
        </w:rPr>
        <w:t xml:space="preserve">požadavku MF </w:t>
      </w:r>
      <w:r w:rsidR="00066C76" w:rsidRPr="001627A7">
        <w:rPr>
          <w:noProof/>
          <w:szCs w:val="24"/>
          <w:lang w:eastAsia="cs-CZ"/>
        </w:rPr>
        <w:t xml:space="preserve">přes </w:t>
      </w:r>
      <w:r w:rsidR="000A2E5B" w:rsidRPr="001627A7">
        <w:rPr>
          <w:noProof/>
          <w:szCs w:val="24"/>
          <w:lang w:eastAsia="cs-CZ"/>
        </w:rPr>
        <w:t>externí dodavatel</w:t>
      </w:r>
      <w:r w:rsidR="00066C76" w:rsidRPr="001627A7">
        <w:rPr>
          <w:noProof/>
          <w:szCs w:val="24"/>
          <w:lang w:eastAsia="cs-CZ"/>
        </w:rPr>
        <w:t>e</w:t>
      </w:r>
      <w:r w:rsidR="000A2E5B" w:rsidRPr="001627A7">
        <w:rPr>
          <w:noProof/>
          <w:szCs w:val="24"/>
          <w:lang w:eastAsia="cs-CZ"/>
        </w:rPr>
        <w:t xml:space="preserve"> </w:t>
      </w:r>
      <w:r>
        <w:rPr>
          <w:noProof/>
          <w:szCs w:val="24"/>
          <w:lang w:eastAsia="cs-CZ"/>
        </w:rPr>
        <w:t xml:space="preserve">v době kontroly NKÚ </w:t>
      </w:r>
      <w:r w:rsidR="000A2E5B" w:rsidRPr="001627A7">
        <w:rPr>
          <w:noProof/>
          <w:szCs w:val="24"/>
          <w:lang w:eastAsia="cs-CZ"/>
        </w:rPr>
        <w:t xml:space="preserve">teprve </w:t>
      </w:r>
      <w:r w:rsidR="005E2C38" w:rsidRPr="001627A7">
        <w:rPr>
          <w:noProof/>
          <w:szCs w:val="24"/>
          <w:lang w:eastAsia="cs-CZ"/>
        </w:rPr>
        <w:t>analyz</w:t>
      </w:r>
      <w:r w:rsidR="009C15E0" w:rsidRPr="001627A7">
        <w:rPr>
          <w:noProof/>
          <w:szCs w:val="24"/>
          <w:lang w:eastAsia="cs-CZ"/>
        </w:rPr>
        <w:t>ovaly</w:t>
      </w:r>
      <w:r w:rsidR="005E2C38" w:rsidRPr="001627A7">
        <w:rPr>
          <w:noProof/>
          <w:szCs w:val="24"/>
          <w:lang w:eastAsia="cs-CZ"/>
        </w:rPr>
        <w:t xml:space="preserve"> formy fiskální podpory ve státech EU. NKÚ zjistil, že tyto analýzy obsahují veřejně dostupné informace o daňové a dotační podpoře, </w:t>
      </w:r>
      <w:r w:rsidR="0066224F" w:rsidRPr="001627A7">
        <w:rPr>
          <w:noProof/>
          <w:szCs w:val="24"/>
          <w:lang w:eastAsia="cs-CZ"/>
        </w:rPr>
        <w:t>stavu vozového parku, emisích a </w:t>
      </w:r>
      <w:r w:rsidR="005E2C38" w:rsidRPr="001627A7">
        <w:rPr>
          <w:noProof/>
          <w:szCs w:val="24"/>
          <w:lang w:eastAsia="cs-CZ"/>
        </w:rPr>
        <w:t xml:space="preserve">další informace, které jsou </w:t>
      </w:r>
      <w:r w:rsidRPr="001627A7">
        <w:rPr>
          <w:noProof/>
          <w:szCs w:val="24"/>
          <w:lang w:eastAsia="cs-CZ"/>
        </w:rPr>
        <w:t xml:space="preserve">každoročně </w:t>
      </w:r>
      <w:r w:rsidR="005E2C38" w:rsidRPr="001627A7">
        <w:rPr>
          <w:noProof/>
          <w:szCs w:val="24"/>
          <w:lang w:eastAsia="cs-CZ"/>
        </w:rPr>
        <w:t>aktualizov</w:t>
      </w:r>
      <w:r>
        <w:rPr>
          <w:noProof/>
          <w:szCs w:val="24"/>
          <w:lang w:eastAsia="cs-CZ"/>
        </w:rPr>
        <w:t>ány</w:t>
      </w:r>
      <w:r w:rsidR="005E2C38" w:rsidRPr="001627A7">
        <w:rPr>
          <w:noProof/>
          <w:szCs w:val="24"/>
          <w:lang w:eastAsia="cs-CZ"/>
        </w:rPr>
        <w:t xml:space="preserve"> </w:t>
      </w:r>
      <w:r>
        <w:rPr>
          <w:noProof/>
          <w:szCs w:val="24"/>
          <w:lang w:eastAsia="cs-CZ"/>
        </w:rPr>
        <w:t xml:space="preserve">a všem </w:t>
      </w:r>
      <w:r w:rsidR="005E2C38" w:rsidRPr="001627A7">
        <w:rPr>
          <w:noProof/>
          <w:szCs w:val="24"/>
          <w:lang w:eastAsia="cs-CZ"/>
        </w:rPr>
        <w:t>k dispozici</w:t>
      </w:r>
      <w:r w:rsidR="0066224F" w:rsidRPr="001627A7">
        <w:rPr>
          <w:noProof/>
          <w:szCs w:val="24"/>
          <w:lang w:eastAsia="cs-CZ"/>
        </w:rPr>
        <w:t>–</w:t>
      </w:r>
      <w:r w:rsidR="005E2C38" w:rsidRPr="001627A7">
        <w:rPr>
          <w:noProof/>
          <w:szCs w:val="24"/>
          <w:lang w:eastAsia="cs-CZ"/>
        </w:rPr>
        <w:t xml:space="preserve"> např. </w:t>
      </w:r>
      <w:r w:rsidR="0051469A" w:rsidRPr="001627A7">
        <w:rPr>
          <w:noProof/>
          <w:szCs w:val="24"/>
          <w:lang w:eastAsia="cs-CZ"/>
        </w:rPr>
        <w:t>European Automobile Manufacturers' Association (</w:t>
      </w:r>
      <w:r w:rsidR="005E2C38" w:rsidRPr="001627A7">
        <w:rPr>
          <w:noProof/>
          <w:szCs w:val="24"/>
          <w:lang w:eastAsia="cs-CZ"/>
        </w:rPr>
        <w:t>ACEA – tax Gate</w:t>
      </w:r>
      <w:r w:rsidR="0051469A" w:rsidRPr="001627A7">
        <w:rPr>
          <w:noProof/>
          <w:szCs w:val="24"/>
          <w:lang w:eastAsia="cs-CZ"/>
        </w:rPr>
        <w:t>)</w:t>
      </w:r>
      <w:r w:rsidR="000A2E5B" w:rsidRPr="001627A7">
        <w:rPr>
          <w:noProof/>
          <w:szCs w:val="24"/>
          <w:lang w:eastAsia="cs-CZ"/>
        </w:rPr>
        <w:t>.</w:t>
      </w:r>
      <w:r w:rsidR="005E2C38" w:rsidRPr="001627A7">
        <w:rPr>
          <w:noProof/>
          <w:szCs w:val="24"/>
          <w:lang w:eastAsia="cs-CZ"/>
        </w:rPr>
        <w:t xml:space="preserve"> </w:t>
      </w:r>
      <w:r w:rsidR="00487BEC" w:rsidRPr="001627A7">
        <w:rPr>
          <w:noProof/>
          <w:szCs w:val="24"/>
          <w:lang w:eastAsia="cs-CZ"/>
        </w:rPr>
        <w:t xml:space="preserve">Informace </w:t>
      </w:r>
      <w:r w:rsidR="003476CB" w:rsidRPr="001627A7">
        <w:rPr>
          <w:noProof/>
          <w:szCs w:val="24"/>
          <w:lang w:eastAsia="cs-CZ"/>
        </w:rPr>
        <w:t>ta</w:t>
      </w:r>
      <w:r w:rsidR="00487BEC" w:rsidRPr="001627A7">
        <w:rPr>
          <w:noProof/>
          <w:szCs w:val="24"/>
          <w:lang w:eastAsia="cs-CZ"/>
        </w:rPr>
        <w:t>k byly k</w:t>
      </w:r>
      <w:r w:rsidR="005E2C38" w:rsidRPr="001627A7">
        <w:rPr>
          <w:noProof/>
          <w:szCs w:val="24"/>
          <w:lang w:eastAsia="cs-CZ"/>
        </w:rPr>
        <w:t>ontrolovan</w:t>
      </w:r>
      <w:r w:rsidR="00487BEC" w:rsidRPr="001627A7">
        <w:rPr>
          <w:noProof/>
          <w:szCs w:val="24"/>
          <w:lang w:eastAsia="cs-CZ"/>
        </w:rPr>
        <w:t>ým</w:t>
      </w:r>
      <w:r w:rsidR="005E2C38" w:rsidRPr="001627A7">
        <w:rPr>
          <w:noProof/>
          <w:szCs w:val="24"/>
          <w:lang w:eastAsia="cs-CZ"/>
        </w:rPr>
        <w:t xml:space="preserve"> ministerstv</w:t>
      </w:r>
      <w:r w:rsidR="00487BEC" w:rsidRPr="001627A7">
        <w:rPr>
          <w:noProof/>
          <w:szCs w:val="24"/>
          <w:lang w:eastAsia="cs-CZ"/>
        </w:rPr>
        <w:t>ům dostupné a mohly být využity</w:t>
      </w:r>
      <w:r w:rsidR="005E2C38" w:rsidRPr="001627A7">
        <w:rPr>
          <w:noProof/>
          <w:szCs w:val="24"/>
          <w:lang w:eastAsia="cs-CZ"/>
        </w:rPr>
        <w:t xml:space="preserve">. </w:t>
      </w:r>
    </w:p>
    <w:p w14:paraId="3E9A47B4" w14:textId="77777777" w:rsidR="005E2C38" w:rsidRPr="001627A7" w:rsidRDefault="0051469A" w:rsidP="001627A7">
      <w:pPr>
        <w:rPr>
          <w:noProof/>
          <w:szCs w:val="24"/>
          <w:lang w:eastAsia="cs-CZ"/>
        </w:rPr>
      </w:pPr>
      <w:r w:rsidRPr="001627A7">
        <w:rPr>
          <w:noProof/>
          <w:szCs w:val="24"/>
          <w:lang w:eastAsia="cs-CZ"/>
        </w:rPr>
        <w:t>V</w:t>
      </w:r>
      <w:r w:rsidR="004F7F91" w:rsidRPr="001627A7">
        <w:rPr>
          <w:noProof/>
          <w:szCs w:val="24"/>
          <w:lang w:eastAsia="cs-CZ"/>
        </w:rPr>
        <w:t> tabul</w:t>
      </w:r>
      <w:r w:rsidRPr="001627A7">
        <w:rPr>
          <w:noProof/>
          <w:szCs w:val="24"/>
          <w:lang w:eastAsia="cs-CZ"/>
        </w:rPr>
        <w:t>ce</w:t>
      </w:r>
      <w:r w:rsidR="004F7F91" w:rsidRPr="001627A7">
        <w:rPr>
          <w:noProof/>
          <w:szCs w:val="24"/>
          <w:lang w:eastAsia="cs-CZ"/>
        </w:rPr>
        <w:t xml:space="preserve"> č. </w:t>
      </w:r>
      <w:r w:rsidR="00324C36" w:rsidRPr="001627A7">
        <w:rPr>
          <w:noProof/>
          <w:szCs w:val="24"/>
          <w:lang w:eastAsia="cs-CZ"/>
        </w:rPr>
        <w:t>1</w:t>
      </w:r>
      <w:r w:rsidR="004F7F91" w:rsidRPr="001627A7">
        <w:rPr>
          <w:noProof/>
          <w:szCs w:val="24"/>
          <w:lang w:eastAsia="cs-CZ"/>
        </w:rPr>
        <w:t xml:space="preserve"> </w:t>
      </w:r>
      <w:r w:rsidRPr="001627A7">
        <w:rPr>
          <w:noProof/>
          <w:szCs w:val="24"/>
          <w:lang w:eastAsia="cs-CZ"/>
        </w:rPr>
        <w:t>je uvedena bilance environmentálních opatření v </w:t>
      </w:r>
      <w:r w:rsidR="00DF29B8" w:rsidRPr="001627A7">
        <w:rPr>
          <w:noProof/>
          <w:szCs w:val="24"/>
          <w:lang w:eastAsia="cs-CZ"/>
        </w:rPr>
        <w:t>ČR</w:t>
      </w:r>
      <w:r w:rsidRPr="001627A7">
        <w:rPr>
          <w:noProof/>
          <w:szCs w:val="24"/>
          <w:lang w:eastAsia="cs-CZ"/>
        </w:rPr>
        <w:t xml:space="preserve"> v dopravě. V</w:t>
      </w:r>
      <w:r w:rsidR="00DF29B8" w:rsidRPr="001627A7">
        <w:rPr>
          <w:noProof/>
          <w:szCs w:val="24"/>
          <w:lang w:eastAsia="cs-CZ"/>
        </w:rPr>
        <w:t xml:space="preserve">ýše vyplacených finančních prostředků přesahuje příjmy, které byly získány v souvislosti s prosazováním KEP. </w:t>
      </w:r>
    </w:p>
    <w:p w14:paraId="3FBD8E0C" w14:textId="77777777" w:rsidR="00A52361" w:rsidRPr="00A52361" w:rsidRDefault="001627A7" w:rsidP="001627A7">
      <w:pPr>
        <w:pStyle w:val="Tabulka"/>
        <w:keepLines/>
        <w:numPr>
          <w:ilvl w:val="0"/>
          <w:numId w:val="0"/>
        </w:numPr>
        <w:spacing w:after="40"/>
        <w:ind w:left="1361" w:hanging="1361"/>
      </w:pPr>
      <w:r>
        <w:t xml:space="preserve">Tabulka č. 1: </w:t>
      </w:r>
      <w:r>
        <w:tab/>
      </w:r>
      <w:r w:rsidR="0051469A" w:rsidRPr="00A52361">
        <w:t xml:space="preserve">Celková bilance opatření </w:t>
      </w:r>
      <w:r w:rsidR="004118CD">
        <w:t xml:space="preserve">v dopravě </w:t>
      </w:r>
      <w:r w:rsidR="0051469A" w:rsidRPr="00A52361">
        <w:t>na fiskální podporu KEP v ČR za rok 2018</w:t>
      </w:r>
      <w:r w:rsidR="008E7CFC">
        <w:t xml:space="preserve"> (v</w:t>
      </w:r>
      <w:r>
        <w:t> </w:t>
      </w:r>
      <w:r w:rsidR="008E7CFC">
        <w:t>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7"/>
        <w:gridCol w:w="3018"/>
        <w:gridCol w:w="3017"/>
      </w:tblGrid>
      <w:tr w:rsidR="00121435" w14:paraId="49F6822A" w14:textId="77777777" w:rsidTr="00915E43">
        <w:trPr>
          <w:trHeight w:val="227"/>
        </w:trPr>
        <w:tc>
          <w:tcPr>
            <w:tcW w:w="3017" w:type="dxa"/>
            <w:shd w:val="clear" w:color="auto" w:fill="E5F1FF"/>
            <w:tcMar>
              <w:top w:w="0" w:type="dxa"/>
              <w:left w:w="108" w:type="dxa"/>
              <w:bottom w:w="0" w:type="dxa"/>
              <w:right w:w="108" w:type="dxa"/>
            </w:tcMar>
            <w:hideMark/>
          </w:tcPr>
          <w:p w14:paraId="65FF2B0A" w14:textId="77777777" w:rsidR="00A52361" w:rsidRDefault="0051469A" w:rsidP="00A05A6F">
            <w:pPr>
              <w:keepNext/>
              <w:keepLines/>
              <w:spacing w:after="0"/>
              <w:jc w:val="center"/>
              <w:rPr>
                <w:b/>
                <w:bCs/>
                <w:sz w:val="20"/>
                <w:szCs w:val="20"/>
                <w:lang w:eastAsia="cs-CZ"/>
              </w:rPr>
            </w:pPr>
            <w:r>
              <w:rPr>
                <w:b/>
                <w:bCs/>
                <w:sz w:val="20"/>
                <w:szCs w:val="20"/>
                <w:lang w:eastAsia="cs-CZ"/>
              </w:rPr>
              <w:t>Druh</w:t>
            </w:r>
          </w:p>
        </w:tc>
        <w:tc>
          <w:tcPr>
            <w:tcW w:w="3018" w:type="dxa"/>
            <w:shd w:val="clear" w:color="auto" w:fill="E5F1FF"/>
            <w:tcMar>
              <w:top w:w="0" w:type="dxa"/>
              <w:left w:w="108" w:type="dxa"/>
              <w:bottom w:w="0" w:type="dxa"/>
              <w:right w:w="108" w:type="dxa"/>
            </w:tcMar>
            <w:hideMark/>
          </w:tcPr>
          <w:p w14:paraId="0922FFD2" w14:textId="77777777" w:rsidR="00A52361" w:rsidRDefault="0051469A" w:rsidP="00A05A6F">
            <w:pPr>
              <w:keepNext/>
              <w:keepLines/>
              <w:spacing w:after="0"/>
              <w:jc w:val="center"/>
              <w:rPr>
                <w:b/>
                <w:bCs/>
                <w:sz w:val="20"/>
                <w:szCs w:val="20"/>
                <w:lang w:eastAsia="cs-CZ"/>
              </w:rPr>
            </w:pPr>
            <w:r>
              <w:rPr>
                <w:b/>
                <w:bCs/>
                <w:sz w:val="20"/>
                <w:szCs w:val="20"/>
                <w:lang w:eastAsia="cs-CZ"/>
              </w:rPr>
              <w:t>Výdaj</w:t>
            </w:r>
          </w:p>
        </w:tc>
        <w:tc>
          <w:tcPr>
            <w:tcW w:w="3017" w:type="dxa"/>
            <w:shd w:val="clear" w:color="auto" w:fill="E5F1FF"/>
            <w:tcMar>
              <w:top w:w="0" w:type="dxa"/>
              <w:left w:w="108" w:type="dxa"/>
              <w:bottom w:w="0" w:type="dxa"/>
              <w:right w:w="108" w:type="dxa"/>
            </w:tcMar>
            <w:hideMark/>
          </w:tcPr>
          <w:p w14:paraId="1EBCBEF5" w14:textId="77777777" w:rsidR="00A52361" w:rsidRDefault="0051469A" w:rsidP="00A05A6F">
            <w:pPr>
              <w:keepNext/>
              <w:keepLines/>
              <w:spacing w:after="0"/>
              <w:jc w:val="center"/>
              <w:rPr>
                <w:b/>
                <w:bCs/>
                <w:sz w:val="20"/>
                <w:szCs w:val="20"/>
                <w:lang w:eastAsia="cs-CZ"/>
              </w:rPr>
            </w:pPr>
            <w:r>
              <w:rPr>
                <w:b/>
                <w:bCs/>
                <w:sz w:val="20"/>
                <w:szCs w:val="20"/>
                <w:lang w:eastAsia="cs-CZ"/>
              </w:rPr>
              <w:t>Příjem</w:t>
            </w:r>
          </w:p>
        </w:tc>
      </w:tr>
      <w:tr w:rsidR="00121435" w14:paraId="1AEE2B34" w14:textId="77777777" w:rsidTr="00915E43">
        <w:trPr>
          <w:trHeight w:val="227"/>
        </w:trPr>
        <w:tc>
          <w:tcPr>
            <w:tcW w:w="3017" w:type="dxa"/>
            <w:tcMar>
              <w:top w:w="0" w:type="dxa"/>
              <w:left w:w="108" w:type="dxa"/>
              <w:bottom w:w="0" w:type="dxa"/>
              <w:right w:w="108" w:type="dxa"/>
            </w:tcMar>
            <w:hideMark/>
          </w:tcPr>
          <w:p w14:paraId="10EC51D6" w14:textId="77777777" w:rsidR="00A52361" w:rsidRDefault="0051469A" w:rsidP="00A05A6F">
            <w:pPr>
              <w:keepNext/>
              <w:keepLines/>
              <w:spacing w:after="0"/>
              <w:rPr>
                <w:sz w:val="20"/>
                <w:szCs w:val="20"/>
                <w:lang w:eastAsia="cs-CZ"/>
              </w:rPr>
            </w:pPr>
            <w:r>
              <w:rPr>
                <w:sz w:val="20"/>
                <w:szCs w:val="20"/>
                <w:lang w:eastAsia="cs-CZ"/>
              </w:rPr>
              <w:t>Spotřební daň</w:t>
            </w:r>
          </w:p>
        </w:tc>
        <w:tc>
          <w:tcPr>
            <w:tcW w:w="3018" w:type="dxa"/>
            <w:tcMar>
              <w:top w:w="0" w:type="dxa"/>
              <w:left w:w="108" w:type="dxa"/>
              <w:bottom w:w="0" w:type="dxa"/>
              <w:right w:w="108" w:type="dxa"/>
            </w:tcMar>
            <w:vAlign w:val="center"/>
            <w:hideMark/>
          </w:tcPr>
          <w:p w14:paraId="550C4AA5" w14:textId="77777777" w:rsidR="00A52361" w:rsidRDefault="0051469A" w:rsidP="001627A7">
            <w:pPr>
              <w:keepNext/>
              <w:keepLines/>
              <w:spacing w:after="0"/>
              <w:ind w:right="832"/>
              <w:jc w:val="right"/>
              <w:rPr>
                <w:sz w:val="20"/>
                <w:szCs w:val="20"/>
                <w:lang w:eastAsia="cs-CZ"/>
              </w:rPr>
            </w:pPr>
            <w:r>
              <w:rPr>
                <w:sz w:val="20"/>
                <w:szCs w:val="20"/>
                <w:lang w:eastAsia="cs-CZ"/>
              </w:rPr>
              <w:t>2 878 422 118</w:t>
            </w:r>
          </w:p>
        </w:tc>
        <w:tc>
          <w:tcPr>
            <w:tcW w:w="3017" w:type="dxa"/>
            <w:tcMar>
              <w:top w:w="0" w:type="dxa"/>
              <w:left w:w="108" w:type="dxa"/>
              <w:bottom w:w="0" w:type="dxa"/>
              <w:right w:w="108" w:type="dxa"/>
            </w:tcMar>
            <w:vAlign w:val="center"/>
          </w:tcPr>
          <w:p w14:paraId="539875DB" w14:textId="77777777" w:rsidR="00A52361" w:rsidRDefault="0051469A" w:rsidP="001627A7">
            <w:pPr>
              <w:keepNext/>
              <w:keepLines/>
              <w:spacing w:after="0"/>
              <w:ind w:right="22"/>
              <w:jc w:val="center"/>
              <w:rPr>
                <w:sz w:val="20"/>
                <w:szCs w:val="20"/>
                <w:lang w:eastAsia="cs-CZ"/>
              </w:rPr>
            </w:pPr>
            <w:r>
              <w:rPr>
                <w:sz w:val="20"/>
                <w:szCs w:val="20"/>
                <w:lang w:eastAsia="cs-CZ"/>
              </w:rPr>
              <w:t>-</w:t>
            </w:r>
          </w:p>
        </w:tc>
      </w:tr>
      <w:tr w:rsidR="00121435" w14:paraId="56562211" w14:textId="77777777" w:rsidTr="00915E43">
        <w:trPr>
          <w:trHeight w:val="227"/>
        </w:trPr>
        <w:tc>
          <w:tcPr>
            <w:tcW w:w="3017" w:type="dxa"/>
            <w:tcMar>
              <w:top w:w="0" w:type="dxa"/>
              <w:left w:w="108" w:type="dxa"/>
              <w:bottom w:w="0" w:type="dxa"/>
              <w:right w:w="108" w:type="dxa"/>
            </w:tcMar>
            <w:hideMark/>
          </w:tcPr>
          <w:p w14:paraId="3DFC18CC" w14:textId="77777777" w:rsidR="00A52361" w:rsidRDefault="0051469A" w:rsidP="00A05A6F">
            <w:pPr>
              <w:keepNext/>
              <w:keepLines/>
              <w:spacing w:after="0"/>
              <w:rPr>
                <w:sz w:val="20"/>
                <w:szCs w:val="20"/>
                <w:lang w:eastAsia="cs-CZ"/>
              </w:rPr>
            </w:pPr>
            <w:r>
              <w:rPr>
                <w:sz w:val="20"/>
                <w:szCs w:val="20"/>
                <w:lang w:eastAsia="cs-CZ"/>
              </w:rPr>
              <w:t>Silniční daň</w:t>
            </w:r>
          </w:p>
        </w:tc>
        <w:tc>
          <w:tcPr>
            <w:tcW w:w="3018" w:type="dxa"/>
            <w:tcMar>
              <w:top w:w="0" w:type="dxa"/>
              <w:left w:w="108" w:type="dxa"/>
              <w:bottom w:w="0" w:type="dxa"/>
              <w:right w:w="108" w:type="dxa"/>
            </w:tcMar>
            <w:vAlign w:val="center"/>
            <w:hideMark/>
          </w:tcPr>
          <w:p w14:paraId="0B5018B6" w14:textId="77777777" w:rsidR="00A52361" w:rsidRDefault="0051469A" w:rsidP="001627A7">
            <w:pPr>
              <w:keepNext/>
              <w:keepLines/>
              <w:spacing w:after="0"/>
              <w:ind w:right="832"/>
              <w:jc w:val="right"/>
              <w:rPr>
                <w:sz w:val="20"/>
                <w:szCs w:val="20"/>
                <w:lang w:eastAsia="cs-CZ"/>
              </w:rPr>
            </w:pPr>
            <w:r>
              <w:rPr>
                <w:sz w:val="20"/>
                <w:szCs w:val="20"/>
                <w:lang w:eastAsia="cs-CZ"/>
              </w:rPr>
              <w:t>1 989 322 000</w:t>
            </w:r>
          </w:p>
        </w:tc>
        <w:tc>
          <w:tcPr>
            <w:tcW w:w="3017" w:type="dxa"/>
            <w:tcMar>
              <w:top w:w="0" w:type="dxa"/>
              <w:left w:w="108" w:type="dxa"/>
              <w:bottom w:w="0" w:type="dxa"/>
              <w:right w:w="108" w:type="dxa"/>
            </w:tcMar>
            <w:vAlign w:val="center"/>
          </w:tcPr>
          <w:p w14:paraId="1AD0C65A" w14:textId="77777777" w:rsidR="00E33F50" w:rsidRDefault="0051469A" w:rsidP="001627A7">
            <w:pPr>
              <w:keepNext/>
              <w:keepLines/>
              <w:spacing w:after="0"/>
              <w:ind w:right="22"/>
              <w:jc w:val="center"/>
              <w:rPr>
                <w:sz w:val="20"/>
                <w:szCs w:val="20"/>
                <w:lang w:eastAsia="cs-CZ"/>
              </w:rPr>
            </w:pPr>
            <w:r>
              <w:rPr>
                <w:sz w:val="20"/>
                <w:szCs w:val="20"/>
                <w:lang w:eastAsia="cs-CZ"/>
              </w:rPr>
              <w:t>-</w:t>
            </w:r>
          </w:p>
        </w:tc>
      </w:tr>
      <w:tr w:rsidR="00121435" w14:paraId="16F263CF" w14:textId="77777777" w:rsidTr="00915E43">
        <w:trPr>
          <w:trHeight w:val="227"/>
        </w:trPr>
        <w:tc>
          <w:tcPr>
            <w:tcW w:w="3017" w:type="dxa"/>
            <w:tcMar>
              <w:top w:w="0" w:type="dxa"/>
              <w:left w:w="108" w:type="dxa"/>
              <w:bottom w:w="0" w:type="dxa"/>
              <w:right w:w="108" w:type="dxa"/>
            </w:tcMar>
            <w:hideMark/>
          </w:tcPr>
          <w:p w14:paraId="4165C8EE" w14:textId="77777777" w:rsidR="00A52361" w:rsidRDefault="0051469A" w:rsidP="00A05A6F">
            <w:pPr>
              <w:keepNext/>
              <w:keepLines/>
              <w:spacing w:after="0"/>
              <w:rPr>
                <w:sz w:val="20"/>
                <w:szCs w:val="20"/>
                <w:lang w:eastAsia="cs-CZ"/>
              </w:rPr>
            </w:pPr>
            <w:r>
              <w:rPr>
                <w:sz w:val="20"/>
                <w:szCs w:val="20"/>
                <w:lang w:eastAsia="cs-CZ"/>
              </w:rPr>
              <w:t>Recyklační poplatek</w:t>
            </w:r>
          </w:p>
        </w:tc>
        <w:tc>
          <w:tcPr>
            <w:tcW w:w="3018" w:type="dxa"/>
            <w:tcMar>
              <w:top w:w="0" w:type="dxa"/>
              <w:left w:w="108" w:type="dxa"/>
              <w:bottom w:w="0" w:type="dxa"/>
              <w:right w:w="108" w:type="dxa"/>
            </w:tcMar>
            <w:vAlign w:val="center"/>
          </w:tcPr>
          <w:p w14:paraId="78DA3BBB" w14:textId="77777777" w:rsidR="00A52361" w:rsidRDefault="0051469A" w:rsidP="001627A7">
            <w:pPr>
              <w:keepNext/>
              <w:keepLines/>
              <w:spacing w:after="0"/>
              <w:ind w:right="-19"/>
              <w:jc w:val="center"/>
              <w:rPr>
                <w:sz w:val="20"/>
                <w:szCs w:val="20"/>
                <w:lang w:eastAsia="cs-CZ"/>
              </w:rPr>
            </w:pPr>
            <w:r>
              <w:rPr>
                <w:sz w:val="20"/>
                <w:szCs w:val="20"/>
                <w:lang w:eastAsia="cs-CZ"/>
              </w:rPr>
              <w:t>-</w:t>
            </w:r>
          </w:p>
        </w:tc>
        <w:tc>
          <w:tcPr>
            <w:tcW w:w="3017" w:type="dxa"/>
            <w:tcMar>
              <w:top w:w="0" w:type="dxa"/>
              <w:left w:w="108" w:type="dxa"/>
              <w:bottom w:w="0" w:type="dxa"/>
              <w:right w:w="108" w:type="dxa"/>
            </w:tcMar>
            <w:vAlign w:val="center"/>
            <w:hideMark/>
          </w:tcPr>
          <w:p w14:paraId="67327D00" w14:textId="77777777" w:rsidR="00A52361" w:rsidRDefault="0051469A" w:rsidP="001627A7">
            <w:pPr>
              <w:keepNext/>
              <w:keepLines/>
              <w:spacing w:after="0"/>
              <w:ind w:right="832"/>
              <w:jc w:val="right"/>
              <w:rPr>
                <w:sz w:val="20"/>
                <w:szCs w:val="20"/>
                <w:lang w:eastAsia="cs-CZ"/>
              </w:rPr>
            </w:pPr>
            <w:r>
              <w:rPr>
                <w:sz w:val="20"/>
                <w:szCs w:val="20"/>
                <w:lang w:eastAsia="cs-CZ"/>
              </w:rPr>
              <w:t>170 772 000</w:t>
            </w:r>
          </w:p>
        </w:tc>
      </w:tr>
      <w:tr w:rsidR="00121435" w14:paraId="27D66B75" w14:textId="77777777" w:rsidTr="00915E43">
        <w:trPr>
          <w:trHeight w:val="227"/>
        </w:trPr>
        <w:tc>
          <w:tcPr>
            <w:tcW w:w="3017" w:type="dxa"/>
            <w:tcMar>
              <w:top w:w="0" w:type="dxa"/>
              <w:left w:w="108" w:type="dxa"/>
              <w:bottom w:w="0" w:type="dxa"/>
              <w:right w:w="108" w:type="dxa"/>
            </w:tcMar>
            <w:hideMark/>
          </w:tcPr>
          <w:p w14:paraId="6BEBCADF" w14:textId="77777777" w:rsidR="00A52361" w:rsidRDefault="0051469A" w:rsidP="00A05A6F">
            <w:pPr>
              <w:keepNext/>
              <w:keepLines/>
              <w:spacing w:after="0"/>
              <w:rPr>
                <w:b/>
                <w:bCs/>
                <w:sz w:val="20"/>
                <w:szCs w:val="20"/>
                <w:lang w:eastAsia="cs-CZ"/>
              </w:rPr>
            </w:pPr>
            <w:r>
              <w:rPr>
                <w:b/>
                <w:bCs/>
                <w:sz w:val="20"/>
                <w:szCs w:val="20"/>
                <w:lang w:eastAsia="cs-CZ"/>
              </w:rPr>
              <w:t>CELKEM</w:t>
            </w:r>
          </w:p>
        </w:tc>
        <w:tc>
          <w:tcPr>
            <w:tcW w:w="3018" w:type="dxa"/>
            <w:tcMar>
              <w:top w:w="0" w:type="dxa"/>
              <w:left w:w="108" w:type="dxa"/>
              <w:bottom w:w="0" w:type="dxa"/>
              <w:right w:w="108" w:type="dxa"/>
            </w:tcMar>
            <w:vAlign w:val="center"/>
            <w:hideMark/>
          </w:tcPr>
          <w:p w14:paraId="4FD2C293" w14:textId="77777777" w:rsidR="00A52361" w:rsidRDefault="0051469A" w:rsidP="001627A7">
            <w:pPr>
              <w:keepNext/>
              <w:keepLines/>
              <w:spacing w:after="0"/>
              <w:ind w:right="832"/>
              <w:jc w:val="right"/>
              <w:rPr>
                <w:b/>
                <w:bCs/>
                <w:sz w:val="20"/>
                <w:szCs w:val="20"/>
                <w:lang w:eastAsia="cs-CZ"/>
              </w:rPr>
            </w:pPr>
            <w:r>
              <w:rPr>
                <w:b/>
                <w:bCs/>
                <w:sz w:val="20"/>
                <w:szCs w:val="20"/>
                <w:lang w:eastAsia="cs-CZ"/>
              </w:rPr>
              <w:t>4 86</w:t>
            </w:r>
            <w:r w:rsidR="00BD4CD3">
              <w:rPr>
                <w:b/>
                <w:bCs/>
                <w:sz w:val="20"/>
                <w:szCs w:val="20"/>
                <w:lang w:eastAsia="cs-CZ"/>
              </w:rPr>
              <w:t>7</w:t>
            </w:r>
            <w:r>
              <w:rPr>
                <w:b/>
                <w:bCs/>
                <w:sz w:val="20"/>
                <w:szCs w:val="20"/>
                <w:lang w:eastAsia="cs-CZ"/>
              </w:rPr>
              <w:t> </w:t>
            </w:r>
            <w:r w:rsidR="00BD4CD3">
              <w:rPr>
                <w:b/>
                <w:bCs/>
                <w:sz w:val="20"/>
                <w:szCs w:val="20"/>
                <w:lang w:eastAsia="cs-CZ"/>
              </w:rPr>
              <w:t>744</w:t>
            </w:r>
            <w:r>
              <w:rPr>
                <w:b/>
                <w:bCs/>
                <w:sz w:val="20"/>
                <w:szCs w:val="20"/>
                <w:lang w:eastAsia="cs-CZ"/>
              </w:rPr>
              <w:t xml:space="preserve"> 118</w:t>
            </w:r>
          </w:p>
        </w:tc>
        <w:tc>
          <w:tcPr>
            <w:tcW w:w="3017" w:type="dxa"/>
            <w:tcMar>
              <w:top w:w="0" w:type="dxa"/>
              <w:left w:w="108" w:type="dxa"/>
              <w:bottom w:w="0" w:type="dxa"/>
              <w:right w:w="108" w:type="dxa"/>
            </w:tcMar>
            <w:vAlign w:val="center"/>
            <w:hideMark/>
          </w:tcPr>
          <w:p w14:paraId="637F5B17" w14:textId="77777777" w:rsidR="00A52361" w:rsidRDefault="0051469A" w:rsidP="001627A7">
            <w:pPr>
              <w:keepNext/>
              <w:keepLines/>
              <w:spacing w:after="0"/>
              <w:ind w:right="832"/>
              <w:jc w:val="right"/>
              <w:rPr>
                <w:b/>
                <w:bCs/>
                <w:sz w:val="20"/>
                <w:szCs w:val="20"/>
                <w:lang w:eastAsia="cs-CZ"/>
              </w:rPr>
            </w:pPr>
            <w:r>
              <w:rPr>
                <w:b/>
                <w:bCs/>
                <w:sz w:val="20"/>
                <w:szCs w:val="20"/>
                <w:lang w:eastAsia="cs-CZ"/>
              </w:rPr>
              <w:t>170 772 000</w:t>
            </w:r>
          </w:p>
        </w:tc>
      </w:tr>
    </w:tbl>
    <w:p w14:paraId="67E522C5" w14:textId="62121AE2" w:rsidR="00C11A9B" w:rsidRPr="001627A7" w:rsidRDefault="0051469A" w:rsidP="003745B2">
      <w:pPr>
        <w:keepNext/>
        <w:keepLines/>
        <w:spacing w:before="40" w:after="0"/>
        <w:ind w:left="567" w:hanging="567"/>
        <w:jc w:val="left"/>
        <w:rPr>
          <w:rFonts w:cs="Calibri"/>
          <w:iCs/>
          <w:sz w:val="20"/>
          <w:szCs w:val="20"/>
          <w:lang w:eastAsia="cs-CZ"/>
        </w:rPr>
      </w:pPr>
      <w:r w:rsidRPr="001627A7">
        <w:rPr>
          <w:b/>
          <w:iCs/>
          <w:sz w:val="20"/>
          <w:szCs w:val="20"/>
          <w:lang w:eastAsia="cs-CZ"/>
        </w:rPr>
        <w:t>Zdroj:</w:t>
      </w:r>
      <w:r w:rsidRPr="001627A7">
        <w:rPr>
          <w:iCs/>
          <w:sz w:val="20"/>
          <w:szCs w:val="20"/>
        </w:rPr>
        <w:t xml:space="preserve"> </w:t>
      </w:r>
      <w:r w:rsidR="003745B2">
        <w:rPr>
          <w:iCs/>
          <w:sz w:val="20"/>
          <w:szCs w:val="20"/>
        </w:rPr>
        <w:tab/>
      </w:r>
      <w:r w:rsidR="003C7032">
        <w:rPr>
          <w:iCs/>
          <w:sz w:val="20"/>
          <w:szCs w:val="20"/>
        </w:rPr>
        <w:t>s</w:t>
      </w:r>
      <w:r w:rsidRPr="001627A7">
        <w:rPr>
          <w:iCs/>
          <w:sz w:val="20"/>
          <w:szCs w:val="20"/>
        </w:rPr>
        <w:t xml:space="preserve">tatistické přehledy celní správy, dostupné z </w:t>
      </w:r>
      <w:hyperlink r:id="rId26" w:history="1">
        <w:r w:rsidR="00A05A6F" w:rsidRPr="001627A7">
          <w:rPr>
            <w:rStyle w:val="Hypertextovodkaz"/>
            <w:sz w:val="20"/>
            <w:szCs w:val="20"/>
            <w:u w:val="none"/>
          </w:rPr>
          <w:t>https://www.celnisprava.cz/cz/dane/statistiky/Stranky/mineraly.aspx</w:t>
        </w:r>
      </w:hyperlink>
      <w:r w:rsidRPr="001627A7">
        <w:rPr>
          <w:iCs/>
          <w:sz w:val="20"/>
          <w:szCs w:val="20"/>
        </w:rPr>
        <w:t>, biopaliva za jednotlivé roky; MF; MŽP;</w:t>
      </w:r>
      <w:r w:rsidRPr="001627A7">
        <w:rPr>
          <w:iCs/>
          <w:sz w:val="20"/>
          <w:szCs w:val="20"/>
          <w:lang w:eastAsia="cs-CZ"/>
        </w:rPr>
        <w:t xml:space="preserve"> vlastní zpracování NKÚ.</w:t>
      </w:r>
    </w:p>
    <w:p w14:paraId="5C73D367" w14:textId="77777777" w:rsidR="00C11A9B" w:rsidRPr="001627A7" w:rsidRDefault="0051469A" w:rsidP="003745B2">
      <w:pPr>
        <w:keepLines/>
        <w:ind w:left="567" w:hanging="567"/>
        <w:rPr>
          <w:iCs/>
          <w:sz w:val="20"/>
          <w:szCs w:val="20"/>
          <w:lang w:eastAsia="cs-CZ"/>
        </w:rPr>
      </w:pPr>
      <w:r w:rsidRPr="001627A7">
        <w:rPr>
          <w:b/>
          <w:iCs/>
          <w:sz w:val="20"/>
          <w:szCs w:val="20"/>
          <w:lang w:eastAsia="cs-CZ"/>
        </w:rPr>
        <w:t>Pozn.:</w:t>
      </w:r>
      <w:r w:rsidRPr="001627A7">
        <w:rPr>
          <w:iCs/>
          <w:sz w:val="20"/>
          <w:szCs w:val="20"/>
          <w:lang w:eastAsia="cs-CZ"/>
        </w:rPr>
        <w:t xml:space="preserve"> </w:t>
      </w:r>
      <w:r w:rsidR="003745B2">
        <w:rPr>
          <w:iCs/>
          <w:sz w:val="20"/>
          <w:szCs w:val="20"/>
          <w:lang w:eastAsia="cs-CZ"/>
        </w:rPr>
        <w:tab/>
      </w:r>
      <w:r w:rsidRPr="001627A7">
        <w:rPr>
          <w:iCs/>
          <w:sz w:val="20"/>
          <w:szCs w:val="20"/>
          <w:lang w:eastAsia="cs-CZ"/>
        </w:rPr>
        <w:t xml:space="preserve">Spotřební daň je kalkulována jako snížení inkasa spotřební daně za předpokladu, že by místo alternativního paliva bylo použito konvenční palivo. Data týkající se silniční daně jsou za rok 2017, lze předpokládat, že v roce 2018 budou vyšší. </w:t>
      </w:r>
    </w:p>
    <w:p w14:paraId="62820F93" w14:textId="4C42385A" w:rsidR="00B24EB6" w:rsidRDefault="0026023B" w:rsidP="00A5640D">
      <w:pPr>
        <w:rPr>
          <w:noProof/>
          <w:lang w:eastAsia="cs-CZ"/>
        </w:rPr>
      </w:pPr>
      <w:r>
        <w:rPr>
          <w:noProof/>
          <w:lang w:eastAsia="cs-CZ"/>
        </w:rPr>
        <w:lastRenderedPageBreak/>
        <w:t>NKÚ zjistil, že v</w:t>
      </w:r>
      <w:r w:rsidR="0051469A">
        <w:rPr>
          <w:noProof/>
          <w:lang w:eastAsia="cs-CZ"/>
        </w:rPr>
        <w:t> ČR je posk</w:t>
      </w:r>
      <w:r w:rsidR="00D07EBB">
        <w:rPr>
          <w:noProof/>
          <w:lang w:eastAsia="cs-CZ"/>
        </w:rPr>
        <w:t>y</w:t>
      </w:r>
      <w:r w:rsidR="0051469A">
        <w:rPr>
          <w:noProof/>
          <w:lang w:eastAsia="cs-CZ"/>
        </w:rPr>
        <w:t xml:space="preserve">tována výrazně rozdílná podpora pro podnikatele a nepodnikatele, </w:t>
      </w:r>
      <w:r w:rsidR="00DA752B">
        <w:rPr>
          <w:noProof/>
          <w:lang w:eastAsia="cs-CZ"/>
        </w:rPr>
        <w:t>což</w:t>
      </w:r>
      <w:r w:rsidR="0051469A">
        <w:rPr>
          <w:noProof/>
          <w:lang w:eastAsia="cs-CZ"/>
        </w:rPr>
        <w:t xml:space="preserve"> </w:t>
      </w:r>
      <w:r w:rsidR="00C11A9B">
        <w:rPr>
          <w:noProof/>
          <w:lang w:eastAsia="cs-CZ"/>
        </w:rPr>
        <w:t xml:space="preserve">může </w:t>
      </w:r>
      <w:r w:rsidR="0051469A">
        <w:rPr>
          <w:noProof/>
          <w:lang w:eastAsia="cs-CZ"/>
        </w:rPr>
        <w:t>zásadně ovlivňovat motivaci provozovatele vo</w:t>
      </w:r>
      <w:r w:rsidR="002D373A">
        <w:rPr>
          <w:noProof/>
          <w:lang w:eastAsia="cs-CZ"/>
        </w:rPr>
        <w:t>zidla k obměně vozového parku a </w:t>
      </w:r>
      <w:r w:rsidR="0051469A">
        <w:rPr>
          <w:noProof/>
          <w:lang w:eastAsia="cs-CZ"/>
        </w:rPr>
        <w:t>nákupu vozidla na alternativní pohony, zejména elektromobily, h</w:t>
      </w:r>
      <w:r w:rsidR="002A0C0E">
        <w:rPr>
          <w:noProof/>
          <w:lang w:eastAsia="cs-CZ"/>
        </w:rPr>
        <w:t>y</w:t>
      </w:r>
      <w:r w:rsidR="0051469A">
        <w:rPr>
          <w:noProof/>
          <w:lang w:eastAsia="cs-CZ"/>
        </w:rPr>
        <w:t>bridy a vozidla na CNG.</w:t>
      </w:r>
      <w:r w:rsidR="00CE7013">
        <w:rPr>
          <w:noProof/>
          <w:lang w:eastAsia="cs-CZ"/>
        </w:rPr>
        <w:t xml:space="preserve"> </w:t>
      </w:r>
      <w:r w:rsidR="00D07EBB">
        <w:rPr>
          <w:noProof/>
          <w:lang w:eastAsia="cs-CZ"/>
        </w:rPr>
        <w:t>Nákup</w:t>
      </w:r>
      <w:r w:rsidR="002E339E">
        <w:rPr>
          <w:noProof/>
          <w:lang w:eastAsia="cs-CZ"/>
        </w:rPr>
        <w:t xml:space="preserve"> vozidel s konvenčním pohonem s nízkými emisemi není v ČR </w:t>
      </w:r>
      <w:r w:rsidR="00D07EBB">
        <w:rPr>
          <w:noProof/>
          <w:lang w:eastAsia="cs-CZ"/>
        </w:rPr>
        <w:t>stimulován</w:t>
      </w:r>
      <w:r w:rsidR="007D75B1">
        <w:rPr>
          <w:noProof/>
          <w:lang w:eastAsia="cs-CZ"/>
        </w:rPr>
        <w:t xml:space="preserve">, přestože </w:t>
      </w:r>
      <w:r w:rsidR="00D07EBB">
        <w:rPr>
          <w:noProof/>
          <w:lang w:eastAsia="cs-CZ"/>
        </w:rPr>
        <w:t>dosavadní aplikovaná opatření pro vozidla na</w:t>
      </w:r>
      <w:r w:rsidR="007D75B1">
        <w:rPr>
          <w:noProof/>
          <w:lang w:eastAsia="cs-CZ"/>
        </w:rPr>
        <w:t xml:space="preserve"> alternativní </w:t>
      </w:r>
      <w:r w:rsidR="00D07EBB">
        <w:rPr>
          <w:noProof/>
          <w:lang w:eastAsia="cs-CZ"/>
        </w:rPr>
        <w:t>pohony nezajišťují splnění cílů v KEP</w:t>
      </w:r>
      <w:r w:rsidR="002E339E">
        <w:rPr>
          <w:noProof/>
          <w:lang w:eastAsia="cs-CZ"/>
        </w:rPr>
        <w:t xml:space="preserve">. </w:t>
      </w:r>
    </w:p>
    <w:p w14:paraId="329C6F97" w14:textId="77777777" w:rsidR="002A0C0E" w:rsidRPr="008A4717" w:rsidRDefault="003745B2" w:rsidP="003745B2">
      <w:pPr>
        <w:pStyle w:val="Tabulka"/>
        <w:numPr>
          <w:ilvl w:val="0"/>
          <w:numId w:val="0"/>
        </w:numPr>
        <w:spacing w:after="40"/>
        <w:ind w:left="1361" w:hanging="1361"/>
      </w:pPr>
      <w:r>
        <w:t xml:space="preserve">Tabulka č. 2: </w:t>
      </w:r>
      <w:r>
        <w:tab/>
      </w:r>
      <w:r w:rsidR="0051469A" w:rsidRPr="008A4717">
        <w:t xml:space="preserve">Fiskální podpora v ČR </w:t>
      </w:r>
      <w:r w:rsidR="00C11A9B">
        <w:t xml:space="preserve">pro </w:t>
      </w:r>
      <w:r w:rsidR="00B54F95" w:rsidRPr="008A4717">
        <w:t>podnikatel</w:t>
      </w:r>
      <w:r w:rsidR="00C11A9B">
        <w:t>e</w:t>
      </w:r>
      <w:r w:rsidR="00B54F95" w:rsidRPr="008A4717">
        <w:t xml:space="preserve"> a nepo</w:t>
      </w:r>
      <w:r w:rsidR="003037DB">
        <w:t>d</w:t>
      </w:r>
      <w:r w:rsidR="00B54F95" w:rsidRPr="008A4717">
        <w:t>nikatel</w:t>
      </w:r>
      <w:r w:rsidR="00C11A9B">
        <w:t>e</w:t>
      </w:r>
      <w:r w:rsidR="00B54F95" w:rsidRPr="008A4717">
        <w:t xml:space="preserve"> </w:t>
      </w:r>
      <w:r w:rsidR="0051469A" w:rsidRPr="008A4717">
        <w:t xml:space="preserve">při pořízení </w:t>
      </w:r>
      <w:r w:rsidR="003037DB">
        <w:t xml:space="preserve">nového </w:t>
      </w:r>
      <w:r w:rsidR="005E3265">
        <w:t>elektromobilu</w:t>
      </w:r>
      <w:r w:rsidR="0051469A" w:rsidRPr="008A4717">
        <w:t xml:space="preserve"> </w:t>
      </w:r>
      <w:r w:rsidR="006F30D4">
        <w:t>(v Kč, %)</w:t>
      </w:r>
    </w:p>
    <w:tbl>
      <w:tblPr>
        <w:tblStyle w:val="Mkatabulky"/>
        <w:tblW w:w="9062" w:type="dxa"/>
        <w:tblLayout w:type="fixed"/>
        <w:tblLook w:val="04A0" w:firstRow="1" w:lastRow="0" w:firstColumn="1" w:lastColumn="0" w:noHBand="0" w:noVBand="1"/>
      </w:tblPr>
      <w:tblGrid>
        <w:gridCol w:w="1980"/>
        <w:gridCol w:w="1134"/>
        <w:gridCol w:w="2977"/>
        <w:gridCol w:w="1559"/>
        <w:gridCol w:w="1412"/>
      </w:tblGrid>
      <w:tr w:rsidR="00121435" w14:paraId="41ED1900" w14:textId="77777777" w:rsidTr="00915E43">
        <w:trPr>
          <w:trHeight w:val="227"/>
        </w:trPr>
        <w:tc>
          <w:tcPr>
            <w:tcW w:w="1980" w:type="dxa"/>
            <w:vMerge w:val="restart"/>
            <w:shd w:val="clear" w:color="auto" w:fill="DEEAF6" w:themeFill="accent1" w:themeFillTint="33"/>
            <w:vAlign w:val="center"/>
          </w:tcPr>
          <w:p w14:paraId="3671D0FE" w14:textId="77777777" w:rsidR="00717134" w:rsidRPr="00193998" w:rsidRDefault="0051469A" w:rsidP="0056517E">
            <w:pPr>
              <w:pStyle w:val="Tabulka"/>
              <w:numPr>
                <w:ilvl w:val="0"/>
                <w:numId w:val="0"/>
              </w:numPr>
              <w:jc w:val="center"/>
              <w:rPr>
                <w:noProof/>
                <w:sz w:val="20"/>
                <w:szCs w:val="20"/>
                <w:lang w:eastAsia="cs-CZ"/>
              </w:rPr>
            </w:pPr>
            <w:r w:rsidRPr="00193998">
              <w:rPr>
                <w:noProof/>
                <w:sz w:val="20"/>
                <w:szCs w:val="20"/>
                <w:lang w:eastAsia="cs-CZ"/>
              </w:rPr>
              <w:t>Druh podpory</w:t>
            </w:r>
          </w:p>
        </w:tc>
        <w:tc>
          <w:tcPr>
            <w:tcW w:w="4111" w:type="dxa"/>
            <w:gridSpan w:val="2"/>
            <w:shd w:val="clear" w:color="auto" w:fill="DEEAF6" w:themeFill="accent1" w:themeFillTint="33"/>
            <w:vAlign w:val="center"/>
          </w:tcPr>
          <w:p w14:paraId="476B71A5" w14:textId="77777777" w:rsidR="00717134" w:rsidRPr="00193998" w:rsidRDefault="0051469A" w:rsidP="0056517E">
            <w:pPr>
              <w:pStyle w:val="Tabulka"/>
              <w:numPr>
                <w:ilvl w:val="0"/>
                <w:numId w:val="0"/>
              </w:numPr>
              <w:jc w:val="center"/>
              <w:rPr>
                <w:noProof/>
                <w:sz w:val="20"/>
                <w:szCs w:val="20"/>
                <w:lang w:eastAsia="cs-CZ"/>
              </w:rPr>
            </w:pPr>
            <w:r w:rsidRPr="00193998">
              <w:rPr>
                <w:noProof/>
                <w:sz w:val="20"/>
                <w:szCs w:val="20"/>
                <w:lang w:eastAsia="cs-CZ"/>
              </w:rPr>
              <w:t>Podnikatel</w:t>
            </w:r>
          </w:p>
        </w:tc>
        <w:tc>
          <w:tcPr>
            <w:tcW w:w="2971" w:type="dxa"/>
            <w:gridSpan w:val="2"/>
            <w:shd w:val="clear" w:color="auto" w:fill="DEEAF6" w:themeFill="accent1" w:themeFillTint="33"/>
            <w:vAlign w:val="center"/>
          </w:tcPr>
          <w:p w14:paraId="7FF3AAD1" w14:textId="77777777" w:rsidR="00717134" w:rsidRPr="00193998" w:rsidRDefault="0051469A" w:rsidP="0056517E">
            <w:pPr>
              <w:pStyle w:val="Tabulka"/>
              <w:numPr>
                <w:ilvl w:val="0"/>
                <w:numId w:val="0"/>
              </w:numPr>
              <w:jc w:val="center"/>
              <w:rPr>
                <w:noProof/>
                <w:sz w:val="20"/>
                <w:szCs w:val="20"/>
                <w:lang w:eastAsia="cs-CZ"/>
              </w:rPr>
            </w:pPr>
            <w:r w:rsidRPr="00193998">
              <w:rPr>
                <w:noProof/>
                <w:sz w:val="20"/>
                <w:szCs w:val="20"/>
                <w:lang w:eastAsia="cs-CZ"/>
              </w:rPr>
              <w:t>Nepodnikatel</w:t>
            </w:r>
          </w:p>
        </w:tc>
      </w:tr>
      <w:tr w:rsidR="00121435" w14:paraId="3DBE9982" w14:textId="77777777" w:rsidTr="00915E43">
        <w:trPr>
          <w:trHeight w:val="227"/>
        </w:trPr>
        <w:tc>
          <w:tcPr>
            <w:tcW w:w="1980" w:type="dxa"/>
            <w:vMerge/>
            <w:shd w:val="clear" w:color="auto" w:fill="DEEAF6" w:themeFill="accent1" w:themeFillTint="33"/>
            <w:vAlign w:val="center"/>
          </w:tcPr>
          <w:p w14:paraId="3FE4DF41" w14:textId="77777777" w:rsidR="00717134" w:rsidRPr="00193998" w:rsidRDefault="00717134" w:rsidP="0056517E">
            <w:pPr>
              <w:pStyle w:val="Tabulka"/>
              <w:numPr>
                <w:ilvl w:val="0"/>
                <w:numId w:val="0"/>
              </w:numPr>
              <w:jc w:val="center"/>
              <w:rPr>
                <w:noProof/>
                <w:sz w:val="20"/>
                <w:szCs w:val="20"/>
                <w:lang w:eastAsia="cs-CZ"/>
              </w:rPr>
            </w:pPr>
          </w:p>
        </w:tc>
        <w:tc>
          <w:tcPr>
            <w:tcW w:w="1134" w:type="dxa"/>
            <w:shd w:val="clear" w:color="auto" w:fill="DEEAF6" w:themeFill="accent1" w:themeFillTint="33"/>
            <w:vAlign w:val="center"/>
          </w:tcPr>
          <w:p w14:paraId="4A559AAD" w14:textId="77777777" w:rsidR="00717134" w:rsidRPr="00193998" w:rsidRDefault="0051469A" w:rsidP="003745B2">
            <w:pPr>
              <w:pStyle w:val="Tabulka"/>
              <w:numPr>
                <w:ilvl w:val="0"/>
                <w:numId w:val="0"/>
              </w:numPr>
              <w:jc w:val="center"/>
              <w:rPr>
                <w:noProof/>
                <w:sz w:val="20"/>
                <w:szCs w:val="20"/>
                <w:lang w:eastAsia="cs-CZ"/>
              </w:rPr>
            </w:pPr>
            <w:r w:rsidRPr="00193998">
              <w:rPr>
                <w:noProof/>
                <w:sz w:val="20"/>
                <w:szCs w:val="20"/>
                <w:lang w:eastAsia="cs-CZ"/>
              </w:rPr>
              <w:t>Podpora</w:t>
            </w:r>
          </w:p>
        </w:tc>
        <w:tc>
          <w:tcPr>
            <w:tcW w:w="2977" w:type="dxa"/>
            <w:shd w:val="clear" w:color="auto" w:fill="DEEAF6" w:themeFill="accent1" w:themeFillTint="33"/>
            <w:vAlign w:val="center"/>
          </w:tcPr>
          <w:p w14:paraId="511BC56C" w14:textId="77777777" w:rsidR="00717134" w:rsidRPr="00193998" w:rsidRDefault="0051469A" w:rsidP="003745B2">
            <w:pPr>
              <w:pStyle w:val="Tabulka"/>
              <w:numPr>
                <w:ilvl w:val="0"/>
                <w:numId w:val="0"/>
              </w:numPr>
              <w:jc w:val="center"/>
              <w:rPr>
                <w:noProof/>
                <w:sz w:val="20"/>
                <w:szCs w:val="20"/>
                <w:lang w:eastAsia="cs-CZ"/>
              </w:rPr>
            </w:pPr>
            <w:r w:rsidRPr="00193998">
              <w:rPr>
                <w:noProof/>
                <w:sz w:val="20"/>
                <w:szCs w:val="20"/>
                <w:lang w:eastAsia="cs-CZ"/>
              </w:rPr>
              <w:t>Výše</w:t>
            </w:r>
          </w:p>
        </w:tc>
        <w:tc>
          <w:tcPr>
            <w:tcW w:w="1559" w:type="dxa"/>
            <w:shd w:val="clear" w:color="auto" w:fill="DEEAF6" w:themeFill="accent1" w:themeFillTint="33"/>
            <w:vAlign w:val="center"/>
          </w:tcPr>
          <w:p w14:paraId="3171B3A0" w14:textId="77777777" w:rsidR="00717134" w:rsidRPr="00193998" w:rsidRDefault="0051469A" w:rsidP="003745B2">
            <w:pPr>
              <w:pStyle w:val="Tabulka"/>
              <w:numPr>
                <w:ilvl w:val="0"/>
                <w:numId w:val="0"/>
              </w:numPr>
              <w:jc w:val="center"/>
              <w:rPr>
                <w:noProof/>
                <w:sz w:val="20"/>
                <w:szCs w:val="20"/>
                <w:lang w:eastAsia="cs-CZ"/>
              </w:rPr>
            </w:pPr>
            <w:r w:rsidRPr="00193998">
              <w:rPr>
                <w:noProof/>
                <w:sz w:val="20"/>
                <w:szCs w:val="20"/>
                <w:lang w:eastAsia="cs-CZ"/>
              </w:rPr>
              <w:t>Podpora</w:t>
            </w:r>
          </w:p>
        </w:tc>
        <w:tc>
          <w:tcPr>
            <w:tcW w:w="1412" w:type="dxa"/>
            <w:shd w:val="clear" w:color="auto" w:fill="DEEAF6" w:themeFill="accent1" w:themeFillTint="33"/>
            <w:vAlign w:val="center"/>
          </w:tcPr>
          <w:p w14:paraId="7204D079" w14:textId="77777777" w:rsidR="00717134" w:rsidRPr="00193998" w:rsidRDefault="0051469A" w:rsidP="003745B2">
            <w:pPr>
              <w:pStyle w:val="Tabulka"/>
              <w:numPr>
                <w:ilvl w:val="0"/>
                <w:numId w:val="0"/>
              </w:numPr>
              <w:jc w:val="center"/>
              <w:rPr>
                <w:noProof/>
                <w:sz w:val="20"/>
                <w:szCs w:val="20"/>
                <w:lang w:eastAsia="cs-CZ"/>
              </w:rPr>
            </w:pPr>
            <w:r w:rsidRPr="00193998">
              <w:rPr>
                <w:noProof/>
                <w:sz w:val="20"/>
                <w:szCs w:val="20"/>
                <w:lang w:eastAsia="cs-CZ"/>
              </w:rPr>
              <w:t>Výše</w:t>
            </w:r>
          </w:p>
        </w:tc>
      </w:tr>
      <w:tr w:rsidR="00121435" w14:paraId="42A25152" w14:textId="77777777" w:rsidTr="00915E43">
        <w:trPr>
          <w:trHeight w:val="227"/>
        </w:trPr>
        <w:tc>
          <w:tcPr>
            <w:tcW w:w="1980" w:type="dxa"/>
          </w:tcPr>
          <w:p w14:paraId="5413EB43"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Silniční daň </w:t>
            </w:r>
          </w:p>
        </w:tc>
        <w:tc>
          <w:tcPr>
            <w:tcW w:w="1134" w:type="dxa"/>
            <w:vAlign w:val="center"/>
          </w:tcPr>
          <w:p w14:paraId="1B355DC8" w14:textId="723AA226" w:rsidR="00717134" w:rsidRPr="00193998" w:rsidRDefault="0051469A" w:rsidP="00DA752B">
            <w:pPr>
              <w:pStyle w:val="Tabulka"/>
              <w:numPr>
                <w:ilvl w:val="0"/>
                <w:numId w:val="0"/>
              </w:numPr>
              <w:ind w:firstLine="397"/>
              <w:jc w:val="left"/>
              <w:rPr>
                <w:b w:val="0"/>
                <w:noProof/>
                <w:sz w:val="20"/>
                <w:szCs w:val="20"/>
                <w:lang w:eastAsia="cs-CZ"/>
              </w:rPr>
            </w:pPr>
            <w:r w:rsidRPr="00193998">
              <w:rPr>
                <w:b w:val="0"/>
                <w:noProof/>
                <w:sz w:val="20"/>
                <w:szCs w:val="20"/>
                <w:lang w:eastAsia="cs-CZ"/>
              </w:rPr>
              <w:t>X</w:t>
            </w:r>
            <w:r w:rsidRPr="00193998">
              <w:rPr>
                <w:b w:val="0"/>
                <w:noProof/>
                <w:sz w:val="20"/>
                <w:szCs w:val="20"/>
                <w:vertAlign w:val="superscript"/>
                <w:lang w:eastAsia="cs-CZ"/>
              </w:rPr>
              <w:t>1</w:t>
            </w:r>
          </w:p>
        </w:tc>
        <w:tc>
          <w:tcPr>
            <w:tcW w:w="2977" w:type="dxa"/>
          </w:tcPr>
          <w:p w14:paraId="695B7F78" w14:textId="1B38CA25" w:rsidR="00717134" w:rsidRPr="00193998" w:rsidRDefault="0051469A" w:rsidP="003745B2">
            <w:pPr>
              <w:pStyle w:val="Tabulka"/>
              <w:numPr>
                <w:ilvl w:val="0"/>
                <w:numId w:val="0"/>
              </w:numPr>
              <w:jc w:val="center"/>
              <w:rPr>
                <w:b w:val="0"/>
                <w:noProof/>
                <w:sz w:val="20"/>
                <w:szCs w:val="20"/>
                <w:lang w:eastAsia="cs-CZ"/>
              </w:rPr>
            </w:pPr>
            <w:r w:rsidRPr="00193998">
              <w:rPr>
                <w:b w:val="0"/>
                <w:noProof/>
                <w:sz w:val="20"/>
                <w:szCs w:val="20"/>
                <w:lang w:eastAsia="cs-CZ"/>
              </w:rPr>
              <w:t>1</w:t>
            </w:r>
            <w:r w:rsidR="00DA752B">
              <w:rPr>
                <w:b w:val="0"/>
                <w:noProof/>
                <w:sz w:val="20"/>
                <w:szCs w:val="20"/>
                <w:lang w:eastAsia="cs-CZ"/>
              </w:rPr>
              <w:t> </w:t>
            </w:r>
            <w:r w:rsidRPr="00193998">
              <w:rPr>
                <w:b w:val="0"/>
                <w:noProof/>
                <w:sz w:val="20"/>
                <w:szCs w:val="20"/>
                <w:lang w:eastAsia="cs-CZ"/>
              </w:rPr>
              <w:t>200 – 4</w:t>
            </w:r>
            <w:r w:rsidR="00DA752B">
              <w:rPr>
                <w:b w:val="0"/>
                <w:noProof/>
                <w:sz w:val="20"/>
                <w:szCs w:val="20"/>
                <w:lang w:eastAsia="cs-CZ"/>
              </w:rPr>
              <w:t> </w:t>
            </w:r>
            <w:r w:rsidRPr="00193998">
              <w:rPr>
                <w:b w:val="0"/>
                <w:noProof/>
                <w:sz w:val="20"/>
                <w:szCs w:val="20"/>
                <w:lang w:eastAsia="cs-CZ"/>
              </w:rPr>
              <w:t>200 Kč za rok</w:t>
            </w:r>
          </w:p>
        </w:tc>
        <w:tc>
          <w:tcPr>
            <w:tcW w:w="1559" w:type="dxa"/>
            <w:vAlign w:val="center"/>
          </w:tcPr>
          <w:p w14:paraId="7636192C" w14:textId="77777777" w:rsidR="00717134" w:rsidRPr="00193998" w:rsidRDefault="0051469A" w:rsidP="003745B2">
            <w:pPr>
              <w:pStyle w:val="Tabulka"/>
              <w:numPr>
                <w:ilvl w:val="0"/>
                <w:numId w:val="0"/>
              </w:numPr>
              <w:ind w:firstLine="397"/>
              <w:jc w:val="left"/>
              <w:rPr>
                <w:noProof/>
                <w:sz w:val="20"/>
                <w:szCs w:val="20"/>
                <w:lang w:eastAsia="cs-CZ"/>
              </w:rPr>
            </w:pPr>
            <w:r w:rsidRPr="00193998">
              <w:rPr>
                <w:noProof/>
                <w:sz w:val="20"/>
                <w:szCs w:val="20"/>
                <w:lang w:eastAsia="cs-CZ"/>
              </w:rPr>
              <w:t>-</w:t>
            </w:r>
          </w:p>
        </w:tc>
        <w:tc>
          <w:tcPr>
            <w:tcW w:w="1412" w:type="dxa"/>
            <w:vAlign w:val="center"/>
          </w:tcPr>
          <w:p w14:paraId="1470B37C" w14:textId="77777777" w:rsidR="00717134" w:rsidRPr="00193998" w:rsidRDefault="0051469A" w:rsidP="003745B2">
            <w:pPr>
              <w:pStyle w:val="Tabulka"/>
              <w:numPr>
                <w:ilvl w:val="0"/>
                <w:numId w:val="0"/>
              </w:numPr>
              <w:ind w:right="23"/>
              <w:jc w:val="center"/>
              <w:rPr>
                <w:noProof/>
                <w:sz w:val="20"/>
                <w:szCs w:val="20"/>
                <w:lang w:eastAsia="cs-CZ"/>
              </w:rPr>
            </w:pPr>
            <w:r w:rsidRPr="00193998">
              <w:rPr>
                <w:noProof/>
                <w:sz w:val="20"/>
                <w:szCs w:val="20"/>
                <w:lang w:eastAsia="cs-CZ"/>
              </w:rPr>
              <w:t>-</w:t>
            </w:r>
          </w:p>
        </w:tc>
      </w:tr>
      <w:tr w:rsidR="00121435" w14:paraId="30D9B00A" w14:textId="77777777" w:rsidTr="00915E43">
        <w:trPr>
          <w:trHeight w:val="227"/>
        </w:trPr>
        <w:tc>
          <w:tcPr>
            <w:tcW w:w="1980" w:type="dxa"/>
          </w:tcPr>
          <w:p w14:paraId="6816963F"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Registrační poplatek </w:t>
            </w:r>
          </w:p>
        </w:tc>
        <w:tc>
          <w:tcPr>
            <w:tcW w:w="1134" w:type="dxa"/>
            <w:vAlign w:val="center"/>
          </w:tcPr>
          <w:p w14:paraId="458ED876" w14:textId="77777777" w:rsidR="00717134" w:rsidRPr="00193998" w:rsidRDefault="0051469A" w:rsidP="003745B2">
            <w:pPr>
              <w:pStyle w:val="Tabulka"/>
              <w:numPr>
                <w:ilvl w:val="0"/>
                <w:numId w:val="0"/>
              </w:numPr>
              <w:ind w:firstLine="397"/>
              <w:jc w:val="left"/>
              <w:rPr>
                <w:b w:val="0"/>
                <w:noProof/>
                <w:sz w:val="20"/>
                <w:szCs w:val="20"/>
                <w:lang w:eastAsia="cs-CZ"/>
              </w:rPr>
            </w:pPr>
            <w:r w:rsidRPr="00193998">
              <w:rPr>
                <w:b w:val="0"/>
                <w:noProof/>
                <w:sz w:val="20"/>
                <w:szCs w:val="20"/>
                <w:lang w:eastAsia="cs-CZ"/>
              </w:rPr>
              <w:t>X</w:t>
            </w:r>
          </w:p>
        </w:tc>
        <w:tc>
          <w:tcPr>
            <w:tcW w:w="2977" w:type="dxa"/>
          </w:tcPr>
          <w:p w14:paraId="1412FE16" w14:textId="77777777" w:rsidR="00717134" w:rsidRPr="00193998" w:rsidRDefault="0051469A" w:rsidP="003745B2">
            <w:pPr>
              <w:pStyle w:val="Tabulka"/>
              <w:numPr>
                <w:ilvl w:val="0"/>
                <w:numId w:val="0"/>
              </w:numPr>
              <w:ind w:left="720"/>
              <w:jc w:val="center"/>
              <w:rPr>
                <w:b w:val="0"/>
                <w:noProof/>
                <w:sz w:val="20"/>
                <w:szCs w:val="20"/>
                <w:lang w:eastAsia="cs-CZ"/>
              </w:rPr>
            </w:pPr>
            <w:r w:rsidRPr="00193998">
              <w:rPr>
                <w:b w:val="0"/>
                <w:noProof/>
                <w:sz w:val="20"/>
                <w:szCs w:val="20"/>
                <w:lang w:eastAsia="cs-CZ"/>
              </w:rPr>
              <w:t>800 Kč</w:t>
            </w:r>
            <w:r w:rsidR="000B189E">
              <w:rPr>
                <w:b w:val="0"/>
                <w:noProof/>
                <w:sz w:val="20"/>
                <w:szCs w:val="20"/>
                <w:lang w:eastAsia="cs-CZ"/>
              </w:rPr>
              <w:t xml:space="preserve"> jednorázově</w:t>
            </w:r>
          </w:p>
        </w:tc>
        <w:tc>
          <w:tcPr>
            <w:tcW w:w="1559" w:type="dxa"/>
            <w:vAlign w:val="center"/>
          </w:tcPr>
          <w:p w14:paraId="37AA55F4" w14:textId="77777777" w:rsidR="00717134" w:rsidRPr="00193998" w:rsidRDefault="0051469A" w:rsidP="003745B2">
            <w:pPr>
              <w:pStyle w:val="Tabulka"/>
              <w:numPr>
                <w:ilvl w:val="0"/>
                <w:numId w:val="0"/>
              </w:numPr>
              <w:ind w:firstLine="397"/>
              <w:jc w:val="left"/>
              <w:rPr>
                <w:b w:val="0"/>
                <w:noProof/>
                <w:sz w:val="20"/>
                <w:szCs w:val="20"/>
                <w:lang w:eastAsia="cs-CZ"/>
              </w:rPr>
            </w:pPr>
            <w:r w:rsidRPr="00193998">
              <w:rPr>
                <w:b w:val="0"/>
                <w:noProof/>
                <w:sz w:val="20"/>
                <w:szCs w:val="20"/>
                <w:lang w:eastAsia="cs-CZ"/>
              </w:rPr>
              <w:t>X</w:t>
            </w:r>
          </w:p>
        </w:tc>
        <w:tc>
          <w:tcPr>
            <w:tcW w:w="1412" w:type="dxa"/>
            <w:vAlign w:val="center"/>
          </w:tcPr>
          <w:p w14:paraId="1CB041D1" w14:textId="77777777" w:rsidR="00717134" w:rsidRPr="00193998" w:rsidRDefault="0051469A" w:rsidP="003745B2">
            <w:pPr>
              <w:pStyle w:val="Tabulka"/>
              <w:numPr>
                <w:ilvl w:val="0"/>
                <w:numId w:val="0"/>
              </w:numPr>
              <w:ind w:right="449"/>
              <w:jc w:val="right"/>
              <w:rPr>
                <w:b w:val="0"/>
                <w:noProof/>
                <w:sz w:val="20"/>
                <w:szCs w:val="20"/>
                <w:lang w:eastAsia="cs-CZ"/>
              </w:rPr>
            </w:pPr>
            <w:r w:rsidRPr="00193998">
              <w:rPr>
                <w:b w:val="0"/>
                <w:noProof/>
                <w:sz w:val="20"/>
                <w:szCs w:val="20"/>
                <w:lang w:eastAsia="cs-CZ"/>
              </w:rPr>
              <w:t>800</w:t>
            </w:r>
            <w:r>
              <w:rPr>
                <w:b w:val="0"/>
                <w:noProof/>
                <w:sz w:val="20"/>
                <w:szCs w:val="20"/>
                <w:lang w:eastAsia="cs-CZ"/>
              </w:rPr>
              <w:t xml:space="preserve"> Kč</w:t>
            </w:r>
          </w:p>
        </w:tc>
      </w:tr>
      <w:tr w:rsidR="00121435" w14:paraId="15D80459" w14:textId="77777777" w:rsidTr="00915E43">
        <w:trPr>
          <w:trHeight w:val="227"/>
        </w:trPr>
        <w:tc>
          <w:tcPr>
            <w:tcW w:w="1980" w:type="dxa"/>
          </w:tcPr>
          <w:p w14:paraId="2A43438E"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Dálniční známka </w:t>
            </w:r>
          </w:p>
        </w:tc>
        <w:tc>
          <w:tcPr>
            <w:tcW w:w="1134" w:type="dxa"/>
            <w:vAlign w:val="center"/>
          </w:tcPr>
          <w:p w14:paraId="718362D8" w14:textId="4E6B918D" w:rsidR="00717134" w:rsidRPr="009C15E0" w:rsidRDefault="0051469A" w:rsidP="00DA752B">
            <w:pPr>
              <w:pStyle w:val="Tabulka"/>
              <w:numPr>
                <w:ilvl w:val="0"/>
                <w:numId w:val="0"/>
              </w:numPr>
              <w:ind w:firstLine="397"/>
              <w:jc w:val="left"/>
              <w:rPr>
                <w:b w:val="0"/>
                <w:noProof/>
                <w:sz w:val="20"/>
                <w:szCs w:val="20"/>
                <w:vertAlign w:val="superscript"/>
                <w:lang w:eastAsia="cs-CZ"/>
              </w:rPr>
            </w:pPr>
            <w:r>
              <w:rPr>
                <w:b w:val="0"/>
                <w:noProof/>
                <w:sz w:val="20"/>
                <w:szCs w:val="20"/>
                <w:lang w:eastAsia="cs-CZ"/>
              </w:rPr>
              <w:t>X</w:t>
            </w:r>
            <w:r>
              <w:rPr>
                <w:b w:val="0"/>
                <w:noProof/>
                <w:sz w:val="20"/>
                <w:szCs w:val="20"/>
                <w:vertAlign w:val="superscript"/>
                <w:lang w:eastAsia="cs-CZ"/>
              </w:rPr>
              <w:t>2</w:t>
            </w:r>
          </w:p>
        </w:tc>
        <w:tc>
          <w:tcPr>
            <w:tcW w:w="2977" w:type="dxa"/>
          </w:tcPr>
          <w:p w14:paraId="5873E484" w14:textId="77777777" w:rsidR="00717134" w:rsidRPr="00193998" w:rsidRDefault="0051469A" w:rsidP="003745B2">
            <w:pPr>
              <w:pStyle w:val="Tabulka"/>
              <w:numPr>
                <w:ilvl w:val="0"/>
                <w:numId w:val="0"/>
              </w:numPr>
              <w:ind w:left="720"/>
              <w:jc w:val="center"/>
              <w:rPr>
                <w:b w:val="0"/>
                <w:noProof/>
                <w:sz w:val="20"/>
                <w:szCs w:val="20"/>
                <w:lang w:eastAsia="cs-CZ"/>
              </w:rPr>
            </w:pPr>
            <w:r>
              <w:rPr>
                <w:b w:val="0"/>
                <w:noProof/>
                <w:sz w:val="20"/>
                <w:szCs w:val="20"/>
                <w:lang w:eastAsia="cs-CZ"/>
              </w:rPr>
              <w:t xml:space="preserve">1 </w:t>
            </w:r>
            <w:r w:rsidRPr="00193998">
              <w:rPr>
                <w:b w:val="0"/>
                <w:noProof/>
                <w:sz w:val="20"/>
                <w:szCs w:val="20"/>
                <w:lang w:eastAsia="cs-CZ"/>
              </w:rPr>
              <w:t>500 Kč</w:t>
            </w:r>
            <w:r w:rsidR="000B64FB">
              <w:rPr>
                <w:b w:val="0"/>
                <w:noProof/>
                <w:sz w:val="20"/>
                <w:szCs w:val="20"/>
                <w:lang w:eastAsia="cs-CZ"/>
              </w:rPr>
              <w:t xml:space="preserve"> za rok</w:t>
            </w:r>
          </w:p>
        </w:tc>
        <w:tc>
          <w:tcPr>
            <w:tcW w:w="1559" w:type="dxa"/>
            <w:vAlign w:val="center"/>
          </w:tcPr>
          <w:p w14:paraId="71127318" w14:textId="0FBBB0E8" w:rsidR="00717134" w:rsidRPr="009C15E0" w:rsidRDefault="0051469A" w:rsidP="00DA752B">
            <w:pPr>
              <w:pStyle w:val="Tabulka"/>
              <w:numPr>
                <w:ilvl w:val="0"/>
                <w:numId w:val="0"/>
              </w:numPr>
              <w:ind w:firstLine="397"/>
              <w:jc w:val="left"/>
              <w:rPr>
                <w:b w:val="0"/>
                <w:noProof/>
                <w:sz w:val="20"/>
                <w:szCs w:val="20"/>
                <w:vertAlign w:val="superscript"/>
                <w:lang w:eastAsia="cs-CZ"/>
              </w:rPr>
            </w:pPr>
            <w:r w:rsidRPr="00193998">
              <w:rPr>
                <w:b w:val="0"/>
                <w:noProof/>
                <w:sz w:val="20"/>
                <w:szCs w:val="20"/>
                <w:lang w:eastAsia="cs-CZ"/>
              </w:rPr>
              <w:t>X</w:t>
            </w:r>
            <w:r>
              <w:rPr>
                <w:b w:val="0"/>
                <w:noProof/>
                <w:sz w:val="20"/>
                <w:szCs w:val="20"/>
                <w:vertAlign w:val="superscript"/>
                <w:lang w:eastAsia="cs-CZ"/>
              </w:rPr>
              <w:t>2</w:t>
            </w:r>
          </w:p>
        </w:tc>
        <w:tc>
          <w:tcPr>
            <w:tcW w:w="1412" w:type="dxa"/>
            <w:vAlign w:val="center"/>
          </w:tcPr>
          <w:p w14:paraId="6BD64312" w14:textId="77777777" w:rsidR="00717134" w:rsidRPr="00193998" w:rsidRDefault="0051469A" w:rsidP="003745B2">
            <w:pPr>
              <w:pStyle w:val="Tabulka"/>
              <w:numPr>
                <w:ilvl w:val="0"/>
                <w:numId w:val="0"/>
              </w:numPr>
              <w:ind w:right="449"/>
              <w:jc w:val="right"/>
              <w:rPr>
                <w:b w:val="0"/>
                <w:noProof/>
                <w:sz w:val="20"/>
                <w:szCs w:val="20"/>
                <w:lang w:eastAsia="cs-CZ"/>
              </w:rPr>
            </w:pPr>
            <w:r>
              <w:rPr>
                <w:b w:val="0"/>
                <w:noProof/>
                <w:sz w:val="20"/>
                <w:szCs w:val="20"/>
                <w:lang w:eastAsia="cs-CZ"/>
              </w:rPr>
              <w:t xml:space="preserve">1 </w:t>
            </w:r>
            <w:r w:rsidRPr="00193998">
              <w:rPr>
                <w:b w:val="0"/>
                <w:noProof/>
                <w:sz w:val="20"/>
                <w:szCs w:val="20"/>
                <w:lang w:eastAsia="cs-CZ"/>
              </w:rPr>
              <w:t>500</w:t>
            </w:r>
            <w:r>
              <w:rPr>
                <w:b w:val="0"/>
                <w:noProof/>
                <w:sz w:val="20"/>
                <w:szCs w:val="20"/>
                <w:lang w:eastAsia="cs-CZ"/>
              </w:rPr>
              <w:t xml:space="preserve"> Kč</w:t>
            </w:r>
          </w:p>
        </w:tc>
      </w:tr>
      <w:tr w:rsidR="00121435" w14:paraId="6665DD6C" w14:textId="77777777" w:rsidTr="00915E43">
        <w:trPr>
          <w:trHeight w:val="227"/>
        </w:trPr>
        <w:tc>
          <w:tcPr>
            <w:tcW w:w="1980" w:type="dxa"/>
          </w:tcPr>
          <w:p w14:paraId="1B2B9916"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DPH </w:t>
            </w:r>
          </w:p>
        </w:tc>
        <w:tc>
          <w:tcPr>
            <w:tcW w:w="1134" w:type="dxa"/>
            <w:vAlign w:val="center"/>
          </w:tcPr>
          <w:p w14:paraId="729C90CB" w14:textId="77777777" w:rsidR="00717134" w:rsidRPr="00193998" w:rsidRDefault="0051469A" w:rsidP="003745B2">
            <w:pPr>
              <w:pStyle w:val="Tabulka"/>
              <w:numPr>
                <w:ilvl w:val="0"/>
                <w:numId w:val="0"/>
              </w:numPr>
              <w:ind w:firstLine="397"/>
              <w:jc w:val="left"/>
              <w:rPr>
                <w:b w:val="0"/>
                <w:noProof/>
                <w:sz w:val="20"/>
                <w:szCs w:val="20"/>
                <w:lang w:eastAsia="cs-CZ"/>
              </w:rPr>
            </w:pPr>
            <w:r w:rsidRPr="00193998">
              <w:rPr>
                <w:b w:val="0"/>
                <w:noProof/>
                <w:sz w:val="20"/>
                <w:szCs w:val="20"/>
                <w:lang w:eastAsia="cs-CZ"/>
              </w:rPr>
              <w:t>X</w:t>
            </w:r>
          </w:p>
        </w:tc>
        <w:tc>
          <w:tcPr>
            <w:tcW w:w="2977" w:type="dxa"/>
          </w:tcPr>
          <w:p w14:paraId="7B6BB799" w14:textId="77777777" w:rsidR="00717134" w:rsidRPr="00193998" w:rsidRDefault="0051469A" w:rsidP="003745B2">
            <w:pPr>
              <w:pStyle w:val="Tabulka"/>
              <w:numPr>
                <w:ilvl w:val="0"/>
                <w:numId w:val="0"/>
              </w:numPr>
              <w:jc w:val="center"/>
              <w:rPr>
                <w:b w:val="0"/>
                <w:noProof/>
                <w:sz w:val="20"/>
                <w:szCs w:val="20"/>
                <w:lang w:eastAsia="cs-CZ"/>
              </w:rPr>
            </w:pPr>
            <w:r w:rsidRPr="00193998">
              <w:rPr>
                <w:b w:val="0"/>
                <w:noProof/>
                <w:sz w:val="20"/>
                <w:szCs w:val="20"/>
                <w:lang w:eastAsia="cs-CZ"/>
              </w:rPr>
              <w:t>21 % z</w:t>
            </w:r>
            <w:r>
              <w:rPr>
                <w:b w:val="0"/>
                <w:noProof/>
                <w:sz w:val="20"/>
                <w:szCs w:val="20"/>
                <w:lang w:eastAsia="cs-CZ"/>
              </w:rPr>
              <w:t xml:space="preserve"> pořizovací </w:t>
            </w:r>
            <w:r w:rsidRPr="00193998">
              <w:rPr>
                <w:b w:val="0"/>
                <w:noProof/>
                <w:sz w:val="20"/>
                <w:szCs w:val="20"/>
                <w:lang w:eastAsia="cs-CZ"/>
              </w:rPr>
              <w:t>ceny</w:t>
            </w:r>
          </w:p>
        </w:tc>
        <w:tc>
          <w:tcPr>
            <w:tcW w:w="1559" w:type="dxa"/>
            <w:vAlign w:val="center"/>
          </w:tcPr>
          <w:p w14:paraId="6E6F7286" w14:textId="77777777" w:rsidR="00717134" w:rsidRPr="00193998" w:rsidRDefault="0051469A" w:rsidP="003745B2">
            <w:pPr>
              <w:pStyle w:val="Tabulka"/>
              <w:numPr>
                <w:ilvl w:val="0"/>
                <w:numId w:val="0"/>
              </w:numPr>
              <w:ind w:firstLine="397"/>
              <w:jc w:val="left"/>
              <w:rPr>
                <w:noProof/>
                <w:sz w:val="20"/>
                <w:szCs w:val="20"/>
                <w:lang w:eastAsia="cs-CZ"/>
              </w:rPr>
            </w:pPr>
            <w:r w:rsidRPr="00193998">
              <w:rPr>
                <w:noProof/>
                <w:sz w:val="20"/>
                <w:szCs w:val="20"/>
                <w:lang w:eastAsia="cs-CZ"/>
              </w:rPr>
              <w:t>-</w:t>
            </w:r>
          </w:p>
        </w:tc>
        <w:tc>
          <w:tcPr>
            <w:tcW w:w="1412" w:type="dxa"/>
            <w:vAlign w:val="center"/>
          </w:tcPr>
          <w:p w14:paraId="448967F4" w14:textId="77777777" w:rsidR="00717134" w:rsidRPr="00193998" w:rsidRDefault="0051469A" w:rsidP="003745B2">
            <w:pPr>
              <w:pStyle w:val="Tabulka"/>
              <w:numPr>
                <w:ilvl w:val="0"/>
                <w:numId w:val="0"/>
              </w:numPr>
              <w:ind w:right="23"/>
              <w:jc w:val="center"/>
              <w:rPr>
                <w:noProof/>
                <w:sz w:val="20"/>
                <w:szCs w:val="20"/>
                <w:lang w:eastAsia="cs-CZ"/>
              </w:rPr>
            </w:pPr>
            <w:r w:rsidRPr="00193998">
              <w:rPr>
                <w:noProof/>
                <w:sz w:val="20"/>
                <w:szCs w:val="20"/>
                <w:lang w:eastAsia="cs-CZ"/>
              </w:rPr>
              <w:t>-</w:t>
            </w:r>
          </w:p>
        </w:tc>
      </w:tr>
      <w:tr w:rsidR="00121435" w14:paraId="50097193" w14:textId="77777777" w:rsidTr="00915E43">
        <w:trPr>
          <w:trHeight w:val="227"/>
        </w:trPr>
        <w:tc>
          <w:tcPr>
            <w:tcW w:w="1980" w:type="dxa"/>
          </w:tcPr>
          <w:p w14:paraId="6CEC53A5"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Daň z příjmu </w:t>
            </w:r>
          </w:p>
        </w:tc>
        <w:tc>
          <w:tcPr>
            <w:tcW w:w="1134" w:type="dxa"/>
            <w:vAlign w:val="center"/>
          </w:tcPr>
          <w:p w14:paraId="4151D1DC" w14:textId="2E7E703A" w:rsidR="00717134" w:rsidRPr="009C15E0" w:rsidRDefault="0051469A" w:rsidP="00DA752B">
            <w:pPr>
              <w:pStyle w:val="Tabulka"/>
              <w:numPr>
                <w:ilvl w:val="0"/>
                <w:numId w:val="0"/>
              </w:numPr>
              <w:ind w:firstLine="397"/>
              <w:jc w:val="left"/>
              <w:rPr>
                <w:b w:val="0"/>
                <w:noProof/>
                <w:sz w:val="20"/>
                <w:szCs w:val="20"/>
                <w:vertAlign w:val="superscript"/>
                <w:lang w:eastAsia="cs-CZ"/>
              </w:rPr>
            </w:pPr>
            <w:r w:rsidRPr="00193998">
              <w:rPr>
                <w:b w:val="0"/>
                <w:noProof/>
                <w:sz w:val="20"/>
                <w:szCs w:val="20"/>
                <w:lang w:eastAsia="cs-CZ"/>
              </w:rPr>
              <w:t>X</w:t>
            </w:r>
            <w:r>
              <w:rPr>
                <w:b w:val="0"/>
                <w:noProof/>
                <w:sz w:val="20"/>
                <w:szCs w:val="20"/>
                <w:vertAlign w:val="superscript"/>
                <w:lang w:eastAsia="cs-CZ"/>
              </w:rPr>
              <w:t>3</w:t>
            </w:r>
          </w:p>
        </w:tc>
        <w:tc>
          <w:tcPr>
            <w:tcW w:w="2977" w:type="dxa"/>
          </w:tcPr>
          <w:p w14:paraId="7AECB491" w14:textId="77777777" w:rsidR="00717134" w:rsidRPr="00193998" w:rsidRDefault="0051469A" w:rsidP="003745B2">
            <w:pPr>
              <w:pStyle w:val="Tabulka"/>
              <w:numPr>
                <w:ilvl w:val="0"/>
                <w:numId w:val="0"/>
              </w:numPr>
              <w:jc w:val="center"/>
              <w:rPr>
                <w:b w:val="0"/>
                <w:noProof/>
                <w:sz w:val="20"/>
                <w:szCs w:val="20"/>
                <w:lang w:eastAsia="cs-CZ"/>
              </w:rPr>
            </w:pPr>
            <w:r w:rsidRPr="00193998">
              <w:rPr>
                <w:b w:val="0"/>
                <w:noProof/>
                <w:sz w:val="20"/>
                <w:szCs w:val="20"/>
                <w:lang w:eastAsia="cs-CZ"/>
              </w:rPr>
              <w:t>19 % z</w:t>
            </w:r>
            <w:r>
              <w:rPr>
                <w:b w:val="0"/>
                <w:noProof/>
                <w:sz w:val="20"/>
                <w:szCs w:val="20"/>
                <w:lang w:eastAsia="cs-CZ"/>
              </w:rPr>
              <w:t xml:space="preserve"> pořizovací </w:t>
            </w:r>
            <w:r w:rsidRPr="00193998">
              <w:rPr>
                <w:b w:val="0"/>
                <w:noProof/>
                <w:sz w:val="20"/>
                <w:szCs w:val="20"/>
                <w:lang w:eastAsia="cs-CZ"/>
              </w:rPr>
              <w:t>ceny</w:t>
            </w:r>
          </w:p>
        </w:tc>
        <w:tc>
          <w:tcPr>
            <w:tcW w:w="1559" w:type="dxa"/>
            <w:vAlign w:val="center"/>
          </w:tcPr>
          <w:p w14:paraId="65D82219" w14:textId="77777777" w:rsidR="00717134" w:rsidRPr="00193998" w:rsidRDefault="0051469A" w:rsidP="003745B2">
            <w:pPr>
              <w:pStyle w:val="Tabulka"/>
              <w:numPr>
                <w:ilvl w:val="0"/>
                <w:numId w:val="0"/>
              </w:numPr>
              <w:ind w:firstLine="397"/>
              <w:jc w:val="left"/>
              <w:rPr>
                <w:noProof/>
                <w:sz w:val="20"/>
                <w:szCs w:val="20"/>
                <w:lang w:eastAsia="cs-CZ"/>
              </w:rPr>
            </w:pPr>
            <w:r w:rsidRPr="00193998">
              <w:rPr>
                <w:noProof/>
                <w:sz w:val="20"/>
                <w:szCs w:val="20"/>
                <w:lang w:eastAsia="cs-CZ"/>
              </w:rPr>
              <w:t>-</w:t>
            </w:r>
          </w:p>
        </w:tc>
        <w:tc>
          <w:tcPr>
            <w:tcW w:w="1412" w:type="dxa"/>
            <w:vAlign w:val="center"/>
          </w:tcPr>
          <w:p w14:paraId="2FA10A00" w14:textId="77777777" w:rsidR="00717134" w:rsidRPr="00193998" w:rsidRDefault="0051469A" w:rsidP="003745B2">
            <w:pPr>
              <w:pStyle w:val="Tabulka"/>
              <w:numPr>
                <w:ilvl w:val="0"/>
                <w:numId w:val="0"/>
              </w:numPr>
              <w:ind w:right="23"/>
              <w:jc w:val="center"/>
              <w:rPr>
                <w:noProof/>
                <w:sz w:val="20"/>
                <w:szCs w:val="20"/>
                <w:lang w:eastAsia="cs-CZ"/>
              </w:rPr>
            </w:pPr>
            <w:r w:rsidRPr="00193998">
              <w:rPr>
                <w:noProof/>
                <w:sz w:val="20"/>
                <w:szCs w:val="20"/>
                <w:lang w:eastAsia="cs-CZ"/>
              </w:rPr>
              <w:t>-</w:t>
            </w:r>
          </w:p>
        </w:tc>
      </w:tr>
      <w:tr w:rsidR="00121435" w14:paraId="7DF6FB14" w14:textId="77777777" w:rsidTr="00915E43">
        <w:trPr>
          <w:trHeight w:val="227"/>
        </w:trPr>
        <w:tc>
          <w:tcPr>
            <w:tcW w:w="1980" w:type="dxa"/>
          </w:tcPr>
          <w:p w14:paraId="1556EA7F" w14:textId="77777777" w:rsidR="00717134" w:rsidRPr="00193998" w:rsidRDefault="0051469A" w:rsidP="0056517E">
            <w:pPr>
              <w:pStyle w:val="Tabulka"/>
              <w:numPr>
                <w:ilvl w:val="0"/>
                <w:numId w:val="0"/>
              </w:numPr>
              <w:rPr>
                <w:b w:val="0"/>
                <w:noProof/>
                <w:sz w:val="20"/>
                <w:szCs w:val="20"/>
                <w:lang w:eastAsia="cs-CZ"/>
              </w:rPr>
            </w:pPr>
            <w:r w:rsidRPr="00193998">
              <w:rPr>
                <w:b w:val="0"/>
                <w:noProof/>
                <w:sz w:val="20"/>
                <w:szCs w:val="20"/>
                <w:lang w:eastAsia="cs-CZ"/>
              </w:rPr>
              <w:t xml:space="preserve">Dotace na nákup </w:t>
            </w:r>
          </w:p>
        </w:tc>
        <w:tc>
          <w:tcPr>
            <w:tcW w:w="1134" w:type="dxa"/>
            <w:vAlign w:val="center"/>
          </w:tcPr>
          <w:p w14:paraId="426ED8A9" w14:textId="43A42089" w:rsidR="00717134" w:rsidRPr="009C15E0" w:rsidRDefault="0051469A" w:rsidP="00DA752B">
            <w:pPr>
              <w:pStyle w:val="Tabulka"/>
              <w:numPr>
                <w:ilvl w:val="0"/>
                <w:numId w:val="0"/>
              </w:numPr>
              <w:ind w:firstLine="397"/>
              <w:jc w:val="left"/>
              <w:rPr>
                <w:b w:val="0"/>
                <w:noProof/>
                <w:sz w:val="20"/>
                <w:szCs w:val="20"/>
                <w:vertAlign w:val="superscript"/>
                <w:lang w:eastAsia="cs-CZ"/>
              </w:rPr>
            </w:pPr>
            <w:r w:rsidRPr="00193998">
              <w:rPr>
                <w:b w:val="0"/>
                <w:noProof/>
                <w:sz w:val="20"/>
                <w:szCs w:val="20"/>
                <w:lang w:eastAsia="cs-CZ"/>
              </w:rPr>
              <w:t>X</w:t>
            </w:r>
            <w:r>
              <w:rPr>
                <w:b w:val="0"/>
                <w:noProof/>
                <w:sz w:val="20"/>
                <w:szCs w:val="20"/>
                <w:vertAlign w:val="superscript"/>
                <w:lang w:eastAsia="cs-CZ"/>
              </w:rPr>
              <w:t>4</w:t>
            </w:r>
          </w:p>
        </w:tc>
        <w:tc>
          <w:tcPr>
            <w:tcW w:w="2977" w:type="dxa"/>
          </w:tcPr>
          <w:p w14:paraId="317AB306" w14:textId="0A80FBD8" w:rsidR="00717134" w:rsidRPr="00193998" w:rsidRDefault="0051469A" w:rsidP="00DA752B">
            <w:pPr>
              <w:pStyle w:val="Tabulka"/>
              <w:numPr>
                <w:ilvl w:val="0"/>
                <w:numId w:val="0"/>
              </w:numPr>
              <w:jc w:val="center"/>
              <w:rPr>
                <w:b w:val="0"/>
                <w:noProof/>
                <w:sz w:val="20"/>
                <w:szCs w:val="20"/>
                <w:lang w:eastAsia="cs-CZ"/>
              </w:rPr>
            </w:pPr>
            <w:r w:rsidRPr="00193998">
              <w:rPr>
                <w:b w:val="0"/>
                <w:noProof/>
                <w:sz w:val="20"/>
                <w:szCs w:val="20"/>
                <w:lang w:eastAsia="cs-CZ"/>
              </w:rPr>
              <w:t xml:space="preserve">55 % </w:t>
            </w:r>
            <w:r w:rsidR="00DA752B">
              <w:rPr>
                <w:b w:val="0"/>
                <w:noProof/>
                <w:sz w:val="20"/>
                <w:szCs w:val="20"/>
                <w:lang w:eastAsia="cs-CZ"/>
              </w:rPr>
              <w:t>–</w:t>
            </w:r>
            <w:r w:rsidRPr="00193998">
              <w:rPr>
                <w:b w:val="0"/>
                <w:noProof/>
                <w:sz w:val="20"/>
                <w:szCs w:val="20"/>
                <w:lang w:eastAsia="cs-CZ"/>
              </w:rPr>
              <w:t xml:space="preserve"> 75 % ze zvýšení ceny EV</w:t>
            </w:r>
          </w:p>
        </w:tc>
        <w:tc>
          <w:tcPr>
            <w:tcW w:w="1559" w:type="dxa"/>
            <w:vAlign w:val="center"/>
          </w:tcPr>
          <w:p w14:paraId="4B32A8AC" w14:textId="77777777" w:rsidR="00717134" w:rsidRPr="00193998" w:rsidRDefault="0051469A" w:rsidP="003745B2">
            <w:pPr>
              <w:pStyle w:val="Tabulka"/>
              <w:numPr>
                <w:ilvl w:val="0"/>
                <w:numId w:val="0"/>
              </w:numPr>
              <w:ind w:firstLine="397"/>
              <w:jc w:val="left"/>
              <w:rPr>
                <w:noProof/>
                <w:sz w:val="20"/>
                <w:szCs w:val="20"/>
                <w:lang w:eastAsia="cs-CZ"/>
              </w:rPr>
            </w:pPr>
            <w:r w:rsidRPr="00193998">
              <w:rPr>
                <w:noProof/>
                <w:sz w:val="20"/>
                <w:szCs w:val="20"/>
                <w:lang w:eastAsia="cs-CZ"/>
              </w:rPr>
              <w:t>-</w:t>
            </w:r>
          </w:p>
        </w:tc>
        <w:tc>
          <w:tcPr>
            <w:tcW w:w="1412" w:type="dxa"/>
            <w:vAlign w:val="center"/>
          </w:tcPr>
          <w:p w14:paraId="717DB0DD" w14:textId="77777777" w:rsidR="00717134" w:rsidRPr="00193998" w:rsidRDefault="0051469A" w:rsidP="003745B2">
            <w:pPr>
              <w:pStyle w:val="Tabulka"/>
              <w:numPr>
                <w:ilvl w:val="0"/>
                <w:numId w:val="0"/>
              </w:numPr>
              <w:ind w:right="23"/>
              <w:jc w:val="center"/>
              <w:rPr>
                <w:noProof/>
                <w:sz w:val="20"/>
                <w:szCs w:val="20"/>
                <w:lang w:eastAsia="cs-CZ"/>
              </w:rPr>
            </w:pPr>
            <w:r w:rsidRPr="00193998">
              <w:rPr>
                <w:noProof/>
                <w:sz w:val="20"/>
                <w:szCs w:val="20"/>
                <w:lang w:eastAsia="cs-CZ"/>
              </w:rPr>
              <w:t>-</w:t>
            </w:r>
          </w:p>
        </w:tc>
      </w:tr>
    </w:tbl>
    <w:p w14:paraId="070B2495" w14:textId="678522C6" w:rsidR="002A0C0E" w:rsidRPr="003745B2" w:rsidRDefault="0051469A" w:rsidP="003745B2">
      <w:pPr>
        <w:pStyle w:val="Tabulka"/>
        <w:numPr>
          <w:ilvl w:val="0"/>
          <w:numId w:val="0"/>
        </w:numPr>
        <w:spacing w:before="40"/>
        <w:rPr>
          <w:b w:val="0"/>
          <w:noProof/>
          <w:sz w:val="20"/>
          <w:szCs w:val="20"/>
          <w:lang w:eastAsia="cs-CZ"/>
        </w:rPr>
      </w:pPr>
      <w:r w:rsidRPr="003745B2">
        <w:rPr>
          <w:noProof/>
          <w:sz w:val="20"/>
          <w:szCs w:val="20"/>
          <w:lang w:eastAsia="cs-CZ"/>
        </w:rPr>
        <w:t>Zdroj:</w:t>
      </w:r>
      <w:r w:rsidRPr="003745B2">
        <w:rPr>
          <w:b w:val="0"/>
          <w:noProof/>
          <w:sz w:val="20"/>
          <w:szCs w:val="20"/>
          <w:lang w:eastAsia="cs-CZ"/>
        </w:rPr>
        <w:t xml:space="preserve"> </w:t>
      </w:r>
      <w:r w:rsidR="00DA752B">
        <w:rPr>
          <w:b w:val="0"/>
          <w:noProof/>
          <w:sz w:val="20"/>
          <w:szCs w:val="20"/>
          <w:lang w:eastAsia="cs-CZ"/>
        </w:rPr>
        <w:t>vypracoval</w:t>
      </w:r>
      <w:r w:rsidR="003037DB" w:rsidRPr="003745B2">
        <w:rPr>
          <w:b w:val="0"/>
          <w:noProof/>
          <w:sz w:val="20"/>
          <w:szCs w:val="20"/>
          <w:lang w:eastAsia="cs-CZ"/>
        </w:rPr>
        <w:t xml:space="preserve"> </w:t>
      </w:r>
      <w:r w:rsidR="006F30D4" w:rsidRPr="003745B2">
        <w:rPr>
          <w:b w:val="0"/>
          <w:noProof/>
          <w:sz w:val="20"/>
          <w:szCs w:val="20"/>
          <w:lang w:eastAsia="cs-CZ"/>
        </w:rPr>
        <w:t xml:space="preserve">NKÚ. </w:t>
      </w:r>
    </w:p>
    <w:p w14:paraId="51871469" w14:textId="79940408" w:rsidR="003952AE" w:rsidRPr="003745B2" w:rsidRDefault="00DA752B" w:rsidP="002A0C0E">
      <w:pPr>
        <w:pStyle w:val="Tabulka"/>
        <w:numPr>
          <w:ilvl w:val="0"/>
          <w:numId w:val="0"/>
        </w:numPr>
        <w:rPr>
          <w:noProof/>
          <w:sz w:val="20"/>
          <w:szCs w:val="20"/>
          <w:lang w:eastAsia="cs-CZ"/>
        </w:rPr>
      </w:pPr>
      <w:r>
        <w:rPr>
          <w:noProof/>
          <w:sz w:val="20"/>
          <w:szCs w:val="20"/>
          <w:lang w:eastAsia="cs-CZ"/>
        </w:rPr>
        <w:t>Vysvětlivky</w:t>
      </w:r>
      <w:r w:rsidR="0051469A" w:rsidRPr="003745B2">
        <w:rPr>
          <w:noProof/>
          <w:sz w:val="20"/>
          <w:szCs w:val="20"/>
          <w:lang w:eastAsia="cs-CZ"/>
        </w:rPr>
        <w:t xml:space="preserve">: </w:t>
      </w:r>
    </w:p>
    <w:p w14:paraId="4626E765" w14:textId="413EE2C8" w:rsid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vertAlign w:val="superscript"/>
          <w:lang w:eastAsia="cs-CZ"/>
        </w:rPr>
        <w:t>1</w:t>
      </w:r>
      <w:r w:rsidRPr="003745B2">
        <w:rPr>
          <w:b w:val="0"/>
          <w:noProof/>
          <w:sz w:val="20"/>
          <w:szCs w:val="20"/>
          <w:lang w:eastAsia="cs-CZ"/>
        </w:rPr>
        <w:t xml:space="preserve"> </w:t>
      </w:r>
      <w:r w:rsidR="00DA752B">
        <w:rPr>
          <w:b w:val="0"/>
          <w:noProof/>
          <w:sz w:val="20"/>
          <w:szCs w:val="20"/>
          <w:lang w:eastAsia="cs-CZ"/>
        </w:rPr>
        <w:t>M</w:t>
      </w:r>
      <w:r w:rsidRPr="003745B2">
        <w:rPr>
          <w:b w:val="0"/>
          <w:noProof/>
          <w:sz w:val="20"/>
          <w:szCs w:val="20"/>
          <w:lang w:eastAsia="cs-CZ"/>
        </w:rPr>
        <w:t>ax. 9 let</w:t>
      </w:r>
      <w:r w:rsidR="00DA752B">
        <w:rPr>
          <w:b w:val="0"/>
          <w:noProof/>
          <w:sz w:val="20"/>
          <w:szCs w:val="20"/>
          <w:lang w:eastAsia="cs-CZ"/>
        </w:rPr>
        <w:t>,</w:t>
      </w:r>
      <w:r w:rsidRPr="003745B2">
        <w:rPr>
          <w:b w:val="0"/>
          <w:noProof/>
          <w:sz w:val="20"/>
          <w:szCs w:val="20"/>
          <w:lang w:eastAsia="cs-CZ"/>
        </w:rPr>
        <w:t xml:space="preserve"> sleva se postupně snižuje</w:t>
      </w:r>
      <w:r w:rsidR="00DA752B">
        <w:rPr>
          <w:b w:val="0"/>
          <w:noProof/>
          <w:sz w:val="20"/>
          <w:szCs w:val="20"/>
          <w:lang w:eastAsia="cs-CZ"/>
        </w:rPr>
        <w:t>.</w:t>
      </w:r>
      <w:r w:rsidRPr="003745B2">
        <w:rPr>
          <w:b w:val="0"/>
          <w:noProof/>
          <w:sz w:val="20"/>
          <w:szCs w:val="20"/>
          <w:lang w:eastAsia="cs-CZ"/>
        </w:rPr>
        <w:t xml:space="preserve"> </w:t>
      </w:r>
    </w:p>
    <w:p w14:paraId="5D87F311" w14:textId="18DA43E8" w:rsidR="003745B2" w:rsidRP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vertAlign w:val="superscript"/>
          <w:lang w:eastAsia="cs-CZ"/>
        </w:rPr>
        <w:t xml:space="preserve">2 </w:t>
      </w:r>
      <w:r w:rsidR="00DA752B">
        <w:rPr>
          <w:b w:val="0"/>
          <w:noProof/>
          <w:sz w:val="20"/>
          <w:szCs w:val="20"/>
          <w:lang w:eastAsia="cs-CZ"/>
        </w:rPr>
        <w:t>P</w:t>
      </w:r>
      <w:r w:rsidRPr="003745B2">
        <w:rPr>
          <w:b w:val="0"/>
          <w:noProof/>
          <w:sz w:val="20"/>
          <w:szCs w:val="20"/>
          <w:lang w:eastAsia="cs-CZ"/>
        </w:rPr>
        <w:t>odpora je v legislativním procesu</w:t>
      </w:r>
      <w:r w:rsidR="00DA752B">
        <w:rPr>
          <w:b w:val="0"/>
          <w:noProof/>
          <w:sz w:val="20"/>
          <w:szCs w:val="20"/>
          <w:lang w:eastAsia="cs-CZ"/>
        </w:rPr>
        <w:t>.</w:t>
      </w:r>
    </w:p>
    <w:p w14:paraId="4384CA29" w14:textId="2EE9EBFB" w:rsid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vertAlign w:val="superscript"/>
          <w:lang w:eastAsia="cs-CZ"/>
        </w:rPr>
        <w:t>3</w:t>
      </w:r>
      <w:r w:rsidRPr="003745B2">
        <w:rPr>
          <w:b w:val="0"/>
          <w:noProof/>
          <w:sz w:val="20"/>
          <w:szCs w:val="20"/>
          <w:lang w:eastAsia="cs-CZ"/>
        </w:rPr>
        <w:t xml:space="preserve"> </w:t>
      </w:r>
      <w:r w:rsidR="00DA752B">
        <w:rPr>
          <w:b w:val="0"/>
          <w:noProof/>
          <w:sz w:val="20"/>
          <w:szCs w:val="20"/>
          <w:lang w:eastAsia="cs-CZ"/>
        </w:rPr>
        <w:t>S</w:t>
      </w:r>
      <w:r w:rsidRPr="003745B2">
        <w:rPr>
          <w:b w:val="0"/>
          <w:noProof/>
          <w:sz w:val="20"/>
          <w:szCs w:val="20"/>
          <w:lang w:eastAsia="cs-CZ"/>
        </w:rPr>
        <w:t>leva je uplatňována v čase dle odpisového plánu</w:t>
      </w:r>
      <w:r w:rsidR="00DA752B">
        <w:rPr>
          <w:b w:val="0"/>
          <w:noProof/>
          <w:sz w:val="20"/>
          <w:szCs w:val="20"/>
          <w:lang w:eastAsia="cs-CZ"/>
        </w:rPr>
        <w:t>.</w:t>
      </w:r>
    </w:p>
    <w:p w14:paraId="584C71D1" w14:textId="5521ADC7" w:rsidR="003745B2" w:rsidRP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vertAlign w:val="superscript"/>
          <w:lang w:eastAsia="cs-CZ"/>
        </w:rPr>
        <w:t>4</w:t>
      </w:r>
      <w:r w:rsidRPr="003745B2">
        <w:rPr>
          <w:b w:val="0"/>
          <w:noProof/>
          <w:sz w:val="20"/>
          <w:szCs w:val="20"/>
          <w:lang w:eastAsia="cs-CZ"/>
        </w:rPr>
        <w:t xml:space="preserve"> </w:t>
      </w:r>
      <w:r w:rsidR="00DA752B">
        <w:rPr>
          <w:b w:val="0"/>
          <w:noProof/>
          <w:sz w:val="20"/>
          <w:szCs w:val="20"/>
          <w:lang w:eastAsia="cs-CZ"/>
        </w:rPr>
        <w:t>U</w:t>
      </w:r>
      <w:r w:rsidRPr="003745B2">
        <w:rPr>
          <w:b w:val="0"/>
          <w:noProof/>
          <w:sz w:val="20"/>
          <w:szCs w:val="20"/>
          <w:lang w:eastAsia="cs-CZ"/>
        </w:rPr>
        <w:t>znatelné vícenáklady 45 % z ceny elektromobilu max. 1 mil. Kč</w:t>
      </w:r>
      <w:r w:rsidR="00DA752B">
        <w:rPr>
          <w:b w:val="0"/>
          <w:noProof/>
          <w:sz w:val="20"/>
          <w:szCs w:val="20"/>
          <w:lang w:eastAsia="cs-CZ"/>
        </w:rPr>
        <w:t>.</w:t>
      </w:r>
    </w:p>
    <w:p w14:paraId="07B7407C" w14:textId="08147FD1" w:rsid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lang w:eastAsia="cs-CZ"/>
        </w:rPr>
        <w:t xml:space="preserve">X </w:t>
      </w:r>
      <w:r w:rsidR="00DA752B">
        <w:rPr>
          <w:b w:val="0"/>
          <w:noProof/>
          <w:sz w:val="20"/>
          <w:szCs w:val="20"/>
          <w:lang w:eastAsia="cs-CZ"/>
        </w:rPr>
        <w:t>P</w:t>
      </w:r>
      <w:r w:rsidRPr="003745B2">
        <w:rPr>
          <w:b w:val="0"/>
          <w:noProof/>
          <w:sz w:val="20"/>
          <w:szCs w:val="20"/>
          <w:lang w:eastAsia="cs-CZ"/>
        </w:rPr>
        <w:t>odpora je poskytována</w:t>
      </w:r>
      <w:r w:rsidR="00DA752B">
        <w:rPr>
          <w:b w:val="0"/>
          <w:noProof/>
          <w:sz w:val="20"/>
          <w:szCs w:val="20"/>
          <w:lang w:eastAsia="cs-CZ"/>
        </w:rPr>
        <w:t>.</w:t>
      </w:r>
    </w:p>
    <w:p w14:paraId="1C319B8F" w14:textId="15782435" w:rsidR="003745B2" w:rsidRPr="003745B2" w:rsidRDefault="003745B2" w:rsidP="00BC4270">
      <w:pPr>
        <w:pStyle w:val="Tabulka"/>
        <w:numPr>
          <w:ilvl w:val="0"/>
          <w:numId w:val="0"/>
        </w:numPr>
        <w:tabs>
          <w:tab w:val="left" w:pos="4639"/>
        </w:tabs>
        <w:ind w:left="108"/>
        <w:jc w:val="left"/>
        <w:rPr>
          <w:b w:val="0"/>
          <w:noProof/>
          <w:sz w:val="20"/>
          <w:szCs w:val="20"/>
          <w:lang w:eastAsia="cs-CZ"/>
        </w:rPr>
      </w:pPr>
      <w:r w:rsidRPr="003745B2">
        <w:rPr>
          <w:b w:val="0"/>
          <w:noProof/>
          <w:sz w:val="20"/>
          <w:szCs w:val="20"/>
          <w:lang w:eastAsia="cs-CZ"/>
        </w:rPr>
        <w:t xml:space="preserve">- </w:t>
      </w:r>
      <w:r w:rsidR="00DA752B">
        <w:rPr>
          <w:b w:val="0"/>
          <w:noProof/>
          <w:sz w:val="20"/>
          <w:szCs w:val="20"/>
          <w:lang w:eastAsia="cs-CZ"/>
        </w:rPr>
        <w:t>P</w:t>
      </w:r>
      <w:r w:rsidRPr="003745B2">
        <w:rPr>
          <w:b w:val="0"/>
          <w:noProof/>
          <w:sz w:val="20"/>
          <w:szCs w:val="20"/>
          <w:lang w:eastAsia="cs-CZ"/>
        </w:rPr>
        <w:t>odpora není poskytována</w:t>
      </w:r>
      <w:r w:rsidR="00DA752B">
        <w:rPr>
          <w:b w:val="0"/>
          <w:noProof/>
          <w:sz w:val="20"/>
          <w:szCs w:val="20"/>
          <w:lang w:eastAsia="cs-CZ"/>
        </w:rPr>
        <w:t>.</w:t>
      </w:r>
      <w:r w:rsidRPr="003745B2">
        <w:rPr>
          <w:b w:val="0"/>
          <w:noProof/>
          <w:sz w:val="20"/>
          <w:szCs w:val="20"/>
          <w:lang w:eastAsia="cs-CZ"/>
        </w:rPr>
        <w:t xml:space="preserve"> </w:t>
      </w:r>
    </w:p>
    <w:p w14:paraId="36296D81" w14:textId="3D11D055" w:rsidR="002A0C0E" w:rsidRDefault="0051469A" w:rsidP="003745B2">
      <w:pPr>
        <w:spacing w:before="120"/>
        <w:rPr>
          <w:noProof/>
          <w:lang w:eastAsia="cs-CZ"/>
        </w:rPr>
      </w:pPr>
      <w:r>
        <w:rPr>
          <w:noProof/>
          <w:lang w:eastAsia="cs-CZ"/>
        </w:rPr>
        <w:t>Výše úspory na spotřební dani u obou skupin provozovatelů proti konvenčním pohonům je závislá zejména na počtu ujetých kilometrů a ceně komodit</w:t>
      </w:r>
      <w:r w:rsidR="00F62AEB">
        <w:rPr>
          <w:noProof/>
          <w:lang w:eastAsia="cs-CZ"/>
        </w:rPr>
        <w:t xml:space="preserve"> –</w:t>
      </w:r>
      <w:r w:rsidR="00F6753A">
        <w:rPr>
          <w:noProof/>
          <w:lang w:eastAsia="cs-CZ"/>
        </w:rPr>
        <w:t xml:space="preserve"> </w:t>
      </w:r>
      <w:r>
        <w:rPr>
          <w:noProof/>
          <w:lang w:eastAsia="cs-CZ"/>
        </w:rPr>
        <w:t xml:space="preserve">blíže viz </w:t>
      </w:r>
      <w:r w:rsidR="009C15E0">
        <w:rPr>
          <w:noProof/>
          <w:lang w:eastAsia="cs-CZ"/>
        </w:rPr>
        <w:t xml:space="preserve">následující </w:t>
      </w:r>
      <w:r>
        <w:rPr>
          <w:noProof/>
          <w:lang w:eastAsia="cs-CZ"/>
        </w:rPr>
        <w:t xml:space="preserve">bod </w:t>
      </w:r>
      <w:r w:rsidR="009C15E0">
        <w:rPr>
          <w:noProof/>
          <w:lang w:eastAsia="cs-CZ"/>
        </w:rPr>
        <w:t>IV.</w:t>
      </w:r>
      <w:r w:rsidR="00E2713D" w:rsidRPr="00E140DB">
        <w:rPr>
          <w:noProof/>
          <w:lang w:eastAsia="cs-CZ"/>
        </w:rPr>
        <w:t>2</w:t>
      </w:r>
      <w:r w:rsidRPr="00E140DB">
        <w:rPr>
          <w:noProof/>
          <w:lang w:eastAsia="cs-CZ"/>
        </w:rPr>
        <w:t>.</w:t>
      </w:r>
      <w:r w:rsidR="00E2713D" w:rsidRPr="00E140DB">
        <w:rPr>
          <w:noProof/>
          <w:lang w:eastAsia="cs-CZ"/>
        </w:rPr>
        <w:t>1</w:t>
      </w:r>
      <w:r w:rsidR="004E5B0A">
        <w:rPr>
          <w:noProof/>
          <w:lang w:eastAsia="cs-CZ"/>
        </w:rPr>
        <w:t xml:space="preserve"> tohoto KZ.</w:t>
      </w:r>
    </w:p>
    <w:p w14:paraId="6E5ABC50" w14:textId="77777777" w:rsidR="002A0C0E" w:rsidRDefault="0051469A" w:rsidP="00A5640D">
      <w:pPr>
        <w:rPr>
          <w:noProof/>
          <w:lang w:eastAsia="cs-CZ"/>
        </w:rPr>
      </w:pPr>
      <w:r>
        <w:rPr>
          <w:noProof/>
          <w:lang w:eastAsia="cs-CZ"/>
        </w:rPr>
        <w:t>Z</w:t>
      </w:r>
      <w:r w:rsidR="00F6753A">
        <w:rPr>
          <w:noProof/>
          <w:lang w:eastAsia="cs-CZ"/>
        </w:rPr>
        <w:t> </w:t>
      </w:r>
      <w:r w:rsidR="00F6753A" w:rsidRPr="00E140DB">
        <w:rPr>
          <w:noProof/>
          <w:lang w:eastAsia="cs-CZ"/>
        </w:rPr>
        <w:t xml:space="preserve">tabulky </w:t>
      </w:r>
      <w:r w:rsidR="009C15E0" w:rsidRPr="00E140DB">
        <w:rPr>
          <w:noProof/>
          <w:lang w:eastAsia="cs-CZ"/>
        </w:rPr>
        <w:t xml:space="preserve">č. </w:t>
      </w:r>
      <w:r w:rsidR="0009644C" w:rsidRPr="00E140DB">
        <w:rPr>
          <w:noProof/>
          <w:lang w:eastAsia="cs-CZ"/>
        </w:rPr>
        <w:t>2</w:t>
      </w:r>
      <w:r w:rsidRPr="00E140DB">
        <w:rPr>
          <w:noProof/>
          <w:lang w:eastAsia="cs-CZ"/>
        </w:rPr>
        <w:t xml:space="preserve"> vyplývá, že v ČR jsou podporováni k obměně </w:t>
      </w:r>
      <w:r w:rsidR="00100AF7" w:rsidRPr="00E140DB">
        <w:rPr>
          <w:noProof/>
          <w:lang w:eastAsia="cs-CZ"/>
        </w:rPr>
        <w:t>vozidla</w:t>
      </w:r>
      <w:r w:rsidRPr="00E140DB">
        <w:rPr>
          <w:noProof/>
          <w:lang w:eastAsia="cs-CZ"/>
        </w:rPr>
        <w:t xml:space="preserve"> ve větší míře podnikatelé, kteří v</w:t>
      </w:r>
      <w:r w:rsidR="00CE7013" w:rsidRPr="00E140DB">
        <w:rPr>
          <w:noProof/>
          <w:lang w:eastAsia="cs-CZ"/>
        </w:rPr>
        <w:t xml:space="preserve"> důsledku nastavení daňového systému obnovou vozového parku a zejména přechodem na elektromobily </w:t>
      </w:r>
      <w:r w:rsidR="00CE5DF7" w:rsidRPr="00E140DB">
        <w:rPr>
          <w:noProof/>
          <w:lang w:eastAsia="cs-CZ"/>
        </w:rPr>
        <w:t xml:space="preserve">mohou </w:t>
      </w:r>
      <w:r w:rsidR="00CE7013" w:rsidRPr="00E140DB">
        <w:rPr>
          <w:noProof/>
          <w:lang w:eastAsia="cs-CZ"/>
        </w:rPr>
        <w:t>významně sníž</w:t>
      </w:r>
      <w:r w:rsidR="00CE5DF7" w:rsidRPr="00E140DB">
        <w:rPr>
          <w:noProof/>
          <w:lang w:eastAsia="cs-CZ"/>
        </w:rPr>
        <w:t>it</w:t>
      </w:r>
      <w:r w:rsidR="00CE7013" w:rsidRPr="00E140DB">
        <w:rPr>
          <w:noProof/>
          <w:lang w:eastAsia="cs-CZ"/>
        </w:rPr>
        <w:t xml:space="preserve"> svou celkovou daňovou zátěž. </w:t>
      </w:r>
      <w:r w:rsidR="00100AF7" w:rsidRPr="00E140DB">
        <w:rPr>
          <w:noProof/>
          <w:lang w:eastAsia="cs-CZ"/>
        </w:rPr>
        <w:t xml:space="preserve">NKÚ na modelovém případu ověřil dopad fiskální podpory u podnikatele a nepodnikatele </w:t>
      </w:r>
      <w:r w:rsidR="00F6753A" w:rsidRPr="00E140DB">
        <w:rPr>
          <w:noProof/>
          <w:lang w:eastAsia="cs-CZ"/>
        </w:rPr>
        <w:t>(</w:t>
      </w:r>
      <w:r w:rsidR="00100AF7" w:rsidRPr="00E140DB">
        <w:rPr>
          <w:noProof/>
          <w:lang w:eastAsia="cs-CZ"/>
        </w:rPr>
        <w:t xml:space="preserve">viz </w:t>
      </w:r>
      <w:r w:rsidR="00E2713D" w:rsidRPr="00E140DB">
        <w:rPr>
          <w:noProof/>
          <w:lang w:eastAsia="cs-CZ"/>
        </w:rPr>
        <w:t xml:space="preserve">graf č. </w:t>
      </w:r>
      <w:r w:rsidR="002C1254" w:rsidRPr="00E140DB">
        <w:rPr>
          <w:noProof/>
          <w:lang w:eastAsia="cs-CZ"/>
        </w:rPr>
        <w:t>1</w:t>
      </w:r>
      <w:r w:rsidR="00F6753A" w:rsidRPr="00E140DB">
        <w:rPr>
          <w:noProof/>
          <w:lang w:eastAsia="cs-CZ"/>
        </w:rPr>
        <w:t>)</w:t>
      </w:r>
      <w:r w:rsidR="00100AF7" w:rsidRPr="00E140DB">
        <w:rPr>
          <w:noProof/>
          <w:lang w:eastAsia="cs-CZ"/>
        </w:rPr>
        <w:t xml:space="preserve"> a zjistil, že p</w:t>
      </w:r>
      <w:r w:rsidR="00CE7013" w:rsidRPr="00E140DB">
        <w:rPr>
          <w:noProof/>
          <w:lang w:eastAsia="cs-CZ"/>
        </w:rPr>
        <w:t>ro podnikatele je v důsledku da</w:t>
      </w:r>
      <w:r w:rsidR="008A4717" w:rsidRPr="00E140DB">
        <w:rPr>
          <w:noProof/>
          <w:lang w:eastAsia="cs-CZ"/>
        </w:rPr>
        <w:t>ňové podpory a poskytování do</w:t>
      </w:r>
      <w:r w:rsidR="00CE7013" w:rsidRPr="00E140DB">
        <w:rPr>
          <w:noProof/>
          <w:lang w:eastAsia="cs-CZ"/>
        </w:rPr>
        <w:t>t</w:t>
      </w:r>
      <w:r w:rsidR="008A4717" w:rsidRPr="00E140DB">
        <w:rPr>
          <w:noProof/>
          <w:lang w:eastAsia="cs-CZ"/>
        </w:rPr>
        <w:t>a</w:t>
      </w:r>
      <w:r w:rsidR="00CE7013" w:rsidRPr="00E140DB">
        <w:rPr>
          <w:noProof/>
          <w:lang w:eastAsia="cs-CZ"/>
        </w:rPr>
        <w:t>ce na pořízení ekonomicky nejvýhodnějším pohonem elektromobil a pohon na CNG</w:t>
      </w:r>
      <w:r w:rsidR="00100AF7" w:rsidRPr="00E140DB">
        <w:rPr>
          <w:noProof/>
          <w:lang w:eastAsia="cs-CZ"/>
        </w:rPr>
        <w:t xml:space="preserve">. </w:t>
      </w:r>
      <w:r w:rsidR="00CE7013" w:rsidRPr="00E140DB">
        <w:rPr>
          <w:noProof/>
          <w:lang w:eastAsia="cs-CZ"/>
        </w:rPr>
        <w:t xml:space="preserve">Naopak pro nepodnikatele </w:t>
      </w:r>
      <w:r w:rsidR="00377517">
        <w:rPr>
          <w:noProof/>
          <w:lang w:eastAsia="cs-CZ"/>
        </w:rPr>
        <w:t>je </w:t>
      </w:r>
      <w:r w:rsidR="00CE7013" w:rsidRPr="00E140DB">
        <w:rPr>
          <w:noProof/>
          <w:lang w:eastAsia="cs-CZ"/>
        </w:rPr>
        <w:t>ekonomick</w:t>
      </w:r>
      <w:r w:rsidR="00E72E1D" w:rsidRPr="00E140DB">
        <w:rPr>
          <w:noProof/>
          <w:lang w:eastAsia="cs-CZ"/>
        </w:rPr>
        <w:t>y</w:t>
      </w:r>
      <w:r w:rsidR="00CE7013" w:rsidRPr="00E140DB">
        <w:rPr>
          <w:noProof/>
          <w:lang w:eastAsia="cs-CZ"/>
        </w:rPr>
        <w:t xml:space="preserve"> </w:t>
      </w:r>
      <w:r w:rsidR="00253766" w:rsidRPr="00E140DB">
        <w:rPr>
          <w:noProof/>
          <w:lang w:eastAsia="cs-CZ"/>
        </w:rPr>
        <w:t>nejvýhodnější nákup</w:t>
      </w:r>
      <w:r w:rsidR="00CE7013" w:rsidRPr="00E140DB">
        <w:rPr>
          <w:noProof/>
          <w:lang w:eastAsia="cs-CZ"/>
        </w:rPr>
        <w:t xml:space="preserve"> vozidla na CNG</w:t>
      </w:r>
      <w:r w:rsidR="00977BB7" w:rsidRPr="00E140DB">
        <w:rPr>
          <w:noProof/>
          <w:lang w:eastAsia="cs-CZ"/>
        </w:rPr>
        <w:t xml:space="preserve">, </w:t>
      </w:r>
      <w:r w:rsidR="00CE7013" w:rsidRPr="00E140DB">
        <w:rPr>
          <w:noProof/>
          <w:lang w:eastAsia="cs-CZ"/>
        </w:rPr>
        <w:t>a to díky výhodné sazbě spotřební daně.</w:t>
      </w:r>
      <w:r w:rsidR="00376FB9">
        <w:rPr>
          <w:noProof/>
          <w:lang w:eastAsia="cs-CZ"/>
        </w:rPr>
        <w:t xml:space="preserve"> </w:t>
      </w:r>
    </w:p>
    <w:p w14:paraId="29F729B9" w14:textId="77777777" w:rsidR="002C1254" w:rsidRPr="002C1254" w:rsidRDefault="00AE474E" w:rsidP="00D25C25">
      <w:pPr>
        <w:pStyle w:val="Graf"/>
      </w:pPr>
      <w:r>
        <w:rPr>
          <w:rStyle w:val="GrafChar"/>
          <w:b/>
        </w:rPr>
        <w:lastRenderedPageBreak/>
        <w:t>Graf č. 1:</w:t>
      </w:r>
      <w:r>
        <w:rPr>
          <w:rStyle w:val="GrafChar"/>
          <w:b/>
        </w:rPr>
        <w:tab/>
      </w:r>
      <w:r w:rsidR="0051469A" w:rsidRPr="002C1254">
        <w:rPr>
          <w:rStyle w:val="GrafChar"/>
          <w:b/>
        </w:rPr>
        <w:t>Porovnání celkových nákladů na pořízení a provoz vozidel po dobu jejich životnosti při nájezdu 15 000 km/rok pro podnikatele a nepodnikatele (</w:t>
      </w:r>
      <w:r w:rsidR="0051469A" w:rsidRPr="002C1254">
        <w:t>v Kč)</w:t>
      </w:r>
    </w:p>
    <w:p w14:paraId="0A085DFA" w14:textId="77777777" w:rsidR="00E2713D" w:rsidRDefault="0051469A" w:rsidP="00AE474E">
      <w:pPr>
        <w:rPr>
          <w:noProof/>
          <w:lang w:eastAsia="cs-CZ"/>
        </w:rPr>
      </w:pPr>
      <w:r>
        <w:rPr>
          <w:noProof/>
          <w:lang w:eastAsia="cs-CZ"/>
        </w:rPr>
        <w:drawing>
          <wp:inline distT="0" distB="0" distL="0" distR="0" wp14:anchorId="527C8EA0" wp14:editId="0F7882EB">
            <wp:extent cx="5705475" cy="280681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09E308" w14:textId="705F440F" w:rsidR="002C1254" w:rsidRPr="00AE474E" w:rsidRDefault="0051469A" w:rsidP="002C1254">
      <w:pPr>
        <w:rPr>
          <w:sz w:val="20"/>
          <w:szCs w:val="20"/>
          <w:highlight w:val="yellow"/>
        </w:rPr>
      </w:pPr>
      <w:r w:rsidRPr="00AE474E">
        <w:rPr>
          <w:b/>
          <w:noProof/>
          <w:sz w:val="20"/>
          <w:szCs w:val="20"/>
          <w:lang w:eastAsia="cs-CZ"/>
        </w:rPr>
        <w:t>Zdroj</w:t>
      </w:r>
      <w:r w:rsidR="006F30D4" w:rsidRPr="00AE474E">
        <w:rPr>
          <w:b/>
          <w:noProof/>
          <w:sz w:val="20"/>
          <w:szCs w:val="20"/>
          <w:lang w:eastAsia="cs-CZ"/>
        </w:rPr>
        <w:t>:</w:t>
      </w:r>
      <w:r w:rsidR="006F30D4" w:rsidRPr="00AE474E">
        <w:rPr>
          <w:noProof/>
          <w:sz w:val="20"/>
          <w:szCs w:val="20"/>
          <w:lang w:eastAsia="cs-CZ"/>
        </w:rPr>
        <w:t xml:space="preserve"> </w:t>
      </w:r>
      <w:r w:rsidR="00DA752B">
        <w:rPr>
          <w:noProof/>
          <w:sz w:val="20"/>
          <w:szCs w:val="20"/>
          <w:lang w:eastAsia="cs-CZ"/>
        </w:rPr>
        <w:t>vypracoval</w:t>
      </w:r>
      <w:r w:rsidR="006F30D4" w:rsidRPr="00AE474E">
        <w:rPr>
          <w:noProof/>
          <w:sz w:val="20"/>
          <w:szCs w:val="20"/>
          <w:lang w:eastAsia="cs-CZ"/>
        </w:rPr>
        <w:t xml:space="preserve"> NKÚ (m</w:t>
      </w:r>
      <w:r w:rsidRPr="00AE474E">
        <w:rPr>
          <w:noProof/>
          <w:sz w:val="20"/>
          <w:szCs w:val="20"/>
          <w:lang w:eastAsia="cs-CZ"/>
        </w:rPr>
        <w:t xml:space="preserve">odelováno na VW </w:t>
      </w:r>
      <w:r w:rsidRPr="00AE474E">
        <w:rPr>
          <w:sz w:val="20"/>
          <w:szCs w:val="20"/>
        </w:rPr>
        <w:t>Golf</w:t>
      </w:r>
      <w:r w:rsidR="006F30D4" w:rsidRPr="00AE474E">
        <w:rPr>
          <w:sz w:val="20"/>
          <w:szCs w:val="20"/>
        </w:rPr>
        <w:t>).</w:t>
      </w:r>
      <w:r w:rsidRPr="00AE474E">
        <w:rPr>
          <w:sz w:val="20"/>
          <w:szCs w:val="20"/>
        </w:rPr>
        <w:t xml:space="preserve"> </w:t>
      </w:r>
    </w:p>
    <w:p w14:paraId="5C57B858" w14:textId="11C2D815" w:rsidR="006F1E12" w:rsidRDefault="006F1E12" w:rsidP="00AE474E">
      <w:pPr>
        <w:rPr>
          <w:noProof/>
          <w:lang w:eastAsia="cs-CZ"/>
        </w:rPr>
      </w:pPr>
      <w:r>
        <w:rPr>
          <w:noProof/>
          <w:lang w:eastAsia="cs-CZ"/>
        </w:rPr>
        <w:t>NKÚ zjistil, že celková vyšší podpora podnikatelů v ČR se projevuje v počtu registrovaných elektromobilů a vozidel na CNG, který je u podnikatelů 2krát vyšší než u nepodnikatelů, přestože celkově provozují nepodnikatelé cca 75 % vozidel.</w:t>
      </w:r>
    </w:p>
    <w:p w14:paraId="2C47ED59" w14:textId="2003F4C5" w:rsidR="00B54F95" w:rsidRDefault="0051469A" w:rsidP="00AE474E">
      <w:pPr>
        <w:rPr>
          <w:noProof/>
          <w:lang w:eastAsia="cs-CZ"/>
        </w:rPr>
      </w:pPr>
      <w:r>
        <w:rPr>
          <w:noProof/>
          <w:lang w:eastAsia="cs-CZ"/>
        </w:rPr>
        <w:t>NKÚ za účelem zjištění způsobu daňové podpory naplňování cílů KEP v ČR porovnal zjištěný stav se státy  EU a některými dalšími státy</w:t>
      </w:r>
      <w:r w:rsidR="000117C0">
        <w:rPr>
          <w:noProof/>
          <w:lang w:eastAsia="cs-CZ"/>
        </w:rPr>
        <w:t xml:space="preserve"> a zjistil, že d</w:t>
      </w:r>
      <w:r w:rsidR="000117C0" w:rsidRPr="009F492E">
        <w:t xml:space="preserve">aňová </w:t>
      </w:r>
      <w:r w:rsidR="000117C0">
        <w:t xml:space="preserve">podpora, </w:t>
      </w:r>
      <w:r w:rsidR="000117C0" w:rsidRPr="009F492E">
        <w:t xml:space="preserve">případně </w:t>
      </w:r>
      <w:r w:rsidR="0009644C">
        <w:t xml:space="preserve">daňová </w:t>
      </w:r>
      <w:r w:rsidR="000117C0" w:rsidRPr="009F492E">
        <w:t xml:space="preserve">podpora v kombinaci </w:t>
      </w:r>
      <w:r w:rsidR="000117C0">
        <w:t>s dotací</w:t>
      </w:r>
      <w:r w:rsidR="00DA752B">
        <w:t>,</w:t>
      </w:r>
      <w:r w:rsidR="000117C0">
        <w:t xml:space="preserve"> je jednotlivými státy aplikována v takové </w:t>
      </w:r>
      <w:r w:rsidR="000117C0" w:rsidRPr="0080432B">
        <w:t>výši (viz text</w:t>
      </w:r>
      <w:r w:rsidR="006F30D4">
        <w:t xml:space="preserve"> následujících </w:t>
      </w:r>
      <w:r w:rsidR="00E009EF">
        <w:t xml:space="preserve">částí </w:t>
      </w:r>
      <w:r w:rsidR="006F30D4">
        <w:t>tohoto KZ</w:t>
      </w:r>
      <w:r w:rsidR="000117C0" w:rsidRPr="0080432B">
        <w:t xml:space="preserve"> týkajících se jednotlivých daní), že významně podporuje nákup </w:t>
      </w:r>
      <w:r w:rsidR="000117C0" w:rsidRPr="000B189E">
        <w:t>energeticky úsporných a ekologicky šetrných vozidel i v nepodnikatelské sféře</w:t>
      </w:r>
      <w:r w:rsidR="0009644C" w:rsidRPr="000B189E">
        <w:t>,</w:t>
      </w:r>
      <w:r w:rsidR="00B775F7" w:rsidRPr="00516577">
        <w:t xml:space="preserve"> např. </w:t>
      </w:r>
      <w:r w:rsidR="00B775F7" w:rsidRPr="00F87C09">
        <w:t>studie ICCT</w:t>
      </w:r>
      <w:r w:rsidRPr="00F87C09">
        <w:rPr>
          <w:rStyle w:val="Znakapoznpodarou"/>
        </w:rPr>
        <w:footnoteReference w:id="29"/>
      </w:r>
      <w:r w:rsidR="000117C0" w:rsidRPr="000B189E">
        <w:t>. Dominantní podporou je registrační poplatek/daň a daň z vlastnictví vozidla. Ostatní</w:t>
      </w:r>
      <w:r w:rsidR="000117C0" w:rsidRPr="0080432B">
        <w:t xml:space="preserve"> daňové podpory dále doplňují komplex opatření v jednotlivých státech</w:t>
      </w:r>
      <w:r w:rsidR="006F30D4">
        <w:t>.</w:t>
      </w:r>
      <w:r w:rsidR="000117C0" w:rsidRPr="0080432B">
        <w:t xml:space="preserve"> </w:t>
      </w:r>
      <w:r w:rsidR="006F30D4">
        <w:t>Asi</w:t>
      </w:r>
      <w:r w:rsidR="00DF29B8">
        <w:t xml:space="preserve"> třetina států poskytuje </w:t>
      </w:r>
      <w:r w:rsidR="0009644C">
        <w:t>dotaci</w:t>
      </w:r>
      <w:r w:rsidR="000117C0">
        <w:t xml:space="preserve"> n</w:t>
      </w:r>
      <w:r w:rsidR="007D75B1">
        <w:t xml:space="preserve">a nákup nízkoemisního vozidla. </w:t>
      </w:r>
      <w:r w:rsidR="000117C0">
        <w:t xml:space="preserve">Tabulka č. </w:t>
      </w:r>
      <w:r w:rsidR="000117C0" w:rsidRPr="00E140DB">
        <w:t>3</w:t>
      </w:r>
      <w:r w:rsidR="000117C0">
        <w:t xml:space="preserve"> uvádí stručný přehled fi</w:t>
      </w:r>
      <w:r w:rsidR="0009644C">
        <w:t xml:space="preserve">nančních </w:t>
      </w:r>
      <w:r w:rsidR="000117C0">
        <w:t xml:space="preserve">podpor ve státech EU.  </w:t>
      </w:r>
    </w:p>
    <w:p w14:paraId="5E693FF4" w14:textId="77777777" w:rsidR="00B24EB6" w:rsidRPr="00CA0A9F" w:rsidRDefault="00AE474E" w:rsidP="00AA240F">
      <w:pPr>
        <w:pStyle w:val="Tabulka"/>
        <w:keepLines/>
        <w:numPr>
          <w:ilvl w:val="0"/>
          <w:numId w:val="0"/>
        </w:numPr>
        <w:spacing w:after="40"/>
      </w:pPr>
      <w:r>
        <w:lastRenderedPageBreak/>
        <w:t xml:space="preserve">Tabulka č. 3: </w:t>
      </w:r>
      <w:r w:rsidR="0051469A">
        <w:t>Aplikace</w:t>
      </w:r>
      <w:r w:rsidR="0051469A" w:rsidRPr="00CA0A9F">
        <w:t xml:space="preserve"> </w:t>
      </w:r>
      <w:r w:rsidR="0009644C">
        <w:t>finanční podpory vozidel KEP pro nepo</w:t>
      </w:r>
      <w:r w:rsidR="0051469A">
        <w:t>dnikatele</w:t>
      </w:r>
    </w:p>
    <w:tbl>
      <w:tblPr>
        <w:tblW w:w="9089" w:type="dxa"/>
        <w:jc w:val="center"/>
        <w:tblCellMar>
          <w:left w:w="70" w:type="dxa"/>
          <w:right w:w="70" w:type="dxa"/>
        </w:tblCellMar>
        <w:tblLook w:val="04A0" w:firstRow="1" w:lastRow="0" w:firstColumn="1" w:lastColumn="0" w:noHBand="0" w:noVBand="1"/>
      </w:tblPr>
      <w:tblGrid>
        <w:gridCol w:w="1520"/>
        <w:gridCol w:w="680"/>
        <w:gridCol w:w="1276"/>
        <w:gridCol w:w="1531"/>
        <w:gridCol w:w="964"/>
        <w:gridCol w:w="1304"/>
        <w:gridCol w:w="1814"/>
      </w:tblGrid>
      <w:tr w:rsidR="00AA240F" w:rsidRPr="00AE474E" w14:paraId="33A87FF7" w14:textId="77777777" w:rsidTr="00AA240F">
        <w:trPr>
          <w:trHeight w:val="227"/>
          <w:jc w:val="center"/>
        </w:trPr>
        <w:tc>
          <w:tcPr>
            <w:tcW w:w="1520"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06C75E91" w14:textId="77777777" w:rsidR="00B71256" w:rsidRPr="00AE474E" w:rsidRDefault="00B71256" w:rsidP="00AA240F">
            <w:pPr>
              <w:keepNext/>
              <w:keepLines/>
              <w:spacing w:after="0"/>
              <w:jc w:val="left"/>
              <w:rPr>
                <w:rFonts w:eastAsia="Times New Roman" w:cs="Calibri"/>
                <w:b/>
                <w:bCs/>
                <w:color w:val="000000"/>
                <w:sz w:val="20"/>
                <w:szCs w:val="20"/>
                <w:lang w:eastAsia="cs-CZ"/>
              </w:rPr>
            </w:pPr>
            <w:r w:rsidRPr="00AE474E">
              <w:rPr>
                <w:rFonts w:eastAsia="Times New Roman" w:cs="Calibri"/>
                <w:b/>
                <w:bCs/>
                <w:color w:val="000000"/>
                <w:sz w:val="20"/>
                <w:szCs w:val="20"/>
                <w:lang w:eastAsia="cs-CZ"/>
              </w:rPr>
              <w:t>Země</w:t>
            </w:r>
          </w:p>
        </w:tc>
        <w:tc>
          <w:tcPr>
            <w:tcW w:w="680" w:type="dxa"/>
            <w:tcBorders>
              <w:top w:val="single" w:sz="4" w:space="0" w:color="auto"/>
              <w:left w:val="nil"/>
              <w:bottom w:val="single" w:sz="4" w:space="0" w:color="auto"/>
              <w:right w:val="single" w:sz="4" w:space="0" w:color="auto"/>
            </w:tcBorders>
            <w:shd w:val="clear" w:color="000000" w:fill="E5F1FF"/>
            <w:vAlign w:val="center"/>
            <w:hideMark/>
          </w:tcPr>
          <w:p w14:paraId="29839BDF" w14:textId="77777777" w:rsidR="00B71256" w:rsidRPr="00AE474E" w:rsidRDefault="00B71256" w:rsidP="00AA240F">
            <w:pPr>
              <w:keepNext/>
              <w:keepLines/>
              <w:spacing w:after="0"/>
              <w:ind w:left="-3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DPH</w:t>
            </w:r>
          </w:p>
        </w:tc>
        <w:tc>
          <w:tcPr>
            <w:tcW w:w="1276" w:type="dxa"/>
            <w:tcBorders>
              <w:top w:val="single" w:sz="4" w:space="0" w:color="auto"/>
              <w:left w:val="nil"/>
              <w:bottom w:val="single" w:sz="4" w:space="0" w:color="auto"/>
              <w:right w:val="single" w:sz="4" w:space="0" w:color="auto"/>
            </w:tcBorders>
            <w:shd w:val="clear" w:color="000000" w:fill="E5F1FF"/>
            <w:vAlign w:val="center"/>
            <w:hideMark/>
          </w:tcPr>
          <w:p w14:paraId="38FF8085" w14:textId="77777777" w:rsidR="00B71256" w:rsidRPr="00AE474E" w:rsidRDefault="00B71256" w:rsidP="00AA240F">
            <w:pPr>
              <w:keepNext/>
              <w:keepLines/>
              <w:spacing w:after="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Registrační poplatek/daň</w:t>
            </w:r>
          </w:p>
        </w:tc>
        <w:tc>
          <w:tcPr>
            <w:tcW w:w="1531" w:type="dxa"/>
            <w:tcBorders>
              <w:top w:val="single" w:sz="4" w:space="0" w:color="auto"/>
              <w:left w:val="nil"/>
              <w:bottom w:val="single" w:sz="4" w:space="0" w:color="auto"/>
              <w:right w:val="single" w:sz="4" w:space="0" w:color="auto"/>
            </w:tcBorders>
            <w:shd w:val="clear" w:color="000000" w:fill="E5F1FF"/>
            <w:vAlign w:val="center"/>
            <w:hideMark/>
          </w:tcPr>
          <w:p w14:paraId="3CF2453C" w14:textId="77777777" w:rsidR="00B71256" w:rsidRPr="00AE474E" w:rsidRDefault="00B71256" w:rsidP="00AA240F">
            <w:pPr>
              <w:keepNext/>
              <w:keepLines/>
              <w:spacing w:after="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Daň z</w:t>
            </w:r>
            <w:r w:rsidR="00AE474E">
              <w:rPr>
                <w:rFonts w:eastAsia="Times New Roman" w:cs="Calibri"/>
                <w:b/>
                <w:bCs/>
                <w:color w:val="000000"/>
                <w:sz w:val="20"/>
                <w:szCs w:val="20"/>
                <w:lang w:eastAsia="cs-CZ"/>
              </w:rPr>
              <w:t> </w:t>
            </w:r>
            <w:r w:rsidRPr="00AE474E">
              <w:rPr>
                <w:rFonts w:eastAsia="Times New Roman" w:cs="Calibri"/>
                <w:b/>
                <w:bCs/>
                <w:color w:val="000000"/>
                <w:sz w:val="20"/>
                <w:szCs w:val="20"/>
                <w:lang w:eastAsia="cs-CZ"/>
              </w:rPr>
              <w:t>vlastnictví vozidla</w:t>
            </w:r>
          </w:p>
        </w:tc>
        <w:tc>
          <w:tcPr>
            <w:tcW w:w="964" w:type="dxa"/>
            <w:tcBorders>
              <w:top w:val="single" w:sz="4" w:space="0" w:color="auto"/>
              <w:left w:val="nil"/>
              <w:bottom w:val="single" w:sz="4" w:space="0" w:color="auto"/>
              <w:right w:val="single" w:sz="4" w:space="0" w:color="auto"/>
            </w:tcBorders>
            <w:shd w:val="clear" w:color="000000" w:fill="E5F1FF"/>
            <w:vAlign w:val="center"/>
            <w:hideMark/>
          </w:tcPr>
          <w:p w14:paraId="3556DD3F" w14:textId="77777777" w:rsidR="00B71256" w:rsidRPr="00AE474E" w:rsidRDefault="00B71256" w:rsidP="00AA240F">
            <w:pPr>
              <w:keepNext/>
              <w:keepLines/>
              <w:spacing w:after="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Silniční poplatky</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14:paraId="60729A8B" w14:textId="77777777" w:rsidR="00B71256" w:rsidRPr="00AE474E" w:rsidRDefault="00B71256" w:rsidP="00AA240F">
            <w:pPr>
              <w:keepNext/>
              <w:keepLines/>
              <w:spacing w:after="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Benefit na dani z</w:t>
            </w:r>
            <w:r w:rsidR="00AE474E">
              <w:rPr>
                <w:rFonts w:eastAsia="Times New Roman" w:cs="Calibri"/>
                <w:b/>
                <w:bCs/>
                <w:color w:val="000000"/>
                <w:sz w:val="20"/>
                <w:szCs w:val="20"/>
                <w:lang w:eastAsia="cs-CZ"/>
              </w:rPr>
              <w:t> </w:t>
            </w:r>
            <w:r w:rsidRPr="00AE474E">
              <w:rPr>
                <w:rFonts w:eastAsia="Times New Roman" w:cs="Calibri"/>
                <w:b/>
                <w:bCs/>
                <w:color w:val="000000"/>
                <w:sz w:val="20"/>
                <w:szCs w:val="20"/>
                <w:lang w:eastAsia="cs-CZ"/>
              </w:rPr>
              <w:t>příjmu</w:t>
            </w:r>
          </w:p>
        </w:tc>
        <w:tc>
          <w:tcPr>
            <w:tcW w:w="1814" w:type="dxa"/>
            <w:tcBorders>
              <w:top w:val="single" w:sz="4" w:space="0" w:color="auto"/>
              <w:left w:val="nil"/>
              <w:bottom w:val="single" w:sz="4" w:space="0" w:color="auto"/>
              <w:right w:val="single" w:sz="4" w:space="0" w:color="auto"/>
            </w:tcBorders>
            <w:shd w:val="clear" w:color="000000" w:fill="E5F1FF"/>
            <w:vAlign w:val="center"/>
            <w:hideMark/>
          </w:tcPr>
          <w:p w14:paraId="279FAC7A" w14:textId="77777777" w:rsidR="00B71256" w:rsidRPr="00AE474E" w:rsidRDefault="00B71256" w:rsidP="00AA240F">
            <w:pPr>
              <w:keepNext/>
              <w:keepLines/>
              <w:spacing w:after="0"/>
              <w:jc w:val="center"/>
              <w:rPr>
                <w:rFonts w:eastAsia="Times New Roman" w:cs="Calibri"/>
                <w:b/>
                <w:bCs/>
                <w:color w:val="000000"/>
                <w:sz w:val="20"/>
                <w:szCs w:val="20"/>
                <w:lang w:eastAsia="cs-CZ"/>
              </w:rPr>
            </w:pPr>
            <w:r w:rsidRPr="00AE474E">
              <w:rPr>
                <w:rFonts w:eastAsia="Times New Roman" w:cs="Calibri"/>
                <w:b/>
                <w:bCs/>
                <w:color w:val="000000"/>
                <w:sz w:val="20"/>
                <w:szCs w:val="20"/>
                <w:lang w:eastAsia="cs-CZ"/>
              </w:rPr>
              <w:t>Dotace pro nízkoemisní vozidla</w:t>
            </w:r>
          </w:p>
        </w:tc>
      </w:tr>
      <w:tr w:rsidR="00AA240F" w:rsidRPr="00AE474E" w14:paraId="4991D36D"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41F0AF"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Rakousko</w:t>
            </w:r>
          </w:p>
        </w:tc>
        <w:tc>
          <w:tcPr>
            <w:tcW w:w="680" w:type="dxa"/>
            <w:tcBorders>
              <w:top w:val="nil"/>
              <w:left w:val="nil"/>
              <w:bottom w:val="single" w:sz="4" w:space="0" w:color="auto"/>
              <w:right w:val="single" w:sz="4" w:space="0" w:color="auto"/>
            </w:tcBorders>
            <w:shd w:val="clear" w:color="auto" w:fill="auto"/>
            <w:noWrap/>
            <w:vAlign w:val="center"/>
            <w:hideMark/>
          </w:tcPr>
          <w:p w14:paraId="16BB4E21"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276" w:type="dxa"/>
            <w:tcBorders>
              <w:top w:val="nil"/>
              <w:left w:val="nil"/>
              <w:bottom w:val="single" w:sz="4" w:space="0" w:color="auto"/>
              <w:right w:val="single" w:sz="4" w:space="0" w:color="auto"/>
            </w:tcBorders>
            <w:shd w:val="clear" w:color="000000" w:fill="F2C6C9"/>
            <w:noWrap/>
            <w:vAlign w:val="center"/>
            <w:hideMark/>
          </w:tcPr>
          <w:p w14:paraId="2AB118B0"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auto" w:fill="auto"/>
            <w:noWrap/>
            <w:vAlign w:val="center"/>
            <w:hideMark/>
          </w:tcPr>
          <w:p w14:paraId="670CE377"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747F29AA"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4D6E4C0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1B6695E9"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29146222"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A68D6E2"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Belgie</w:t>
            </w:r>
          </w:p>
        </w:tc>
        <w:tc>
          <w:tcPr>
            <w:tcW w:w="680" w:type="dxa"/>
            <w:tcBorders>
              <w:top w:val="nil"/>
              <w:left w:val="nil"/>
              <w:bottom w:val="single" w:sz="4" w:space="0" w:color="auto"/>
              <w:right w:val="single" w:sz="4" w:space="0" w:color="auto"/>
            </w:tcBorders>
            <w:shd w:val="clear" w:color="auto" w:fill="auto"/>
            <w:noWrap/>
            <w:vAlign w:val="center"/>
            <w:hideMark/>
          </w:tcPr>
          <w:p w14:paraId="23089796"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1BAC1628"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33DACD01"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6BF77C59"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106A4C2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58F77A1C"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3B2CCB31"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0E0583A7"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Bulharsko</w:t>
            </w:r>
          </w:p>
        </w:tc>
        <w:tc>
          <w:tcPr>
            <w:tcW w:w="680" w:type="dxa"/>
            <w:tcBorders>
              <w:top w:val="nil"/>
              <w:left w:val="nil"/>
              <w:bottom w:val="single" w:sz="4" w:space="0" w:color="auto"/>
              <w:right w:val="single" w:sz="4" w:space="0" w:color="auto"/>
            </w:tcBorders>
            <w:shd w:val="clear" w:color="auto" w:fill="auto"/>
            <w:noWrap/>
            <w:vAlign w:val="center"/>
            <w:hideMark/>
          </w:tcPr>
          <w:p w14:paraId="04985438"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2E3A4CF"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52368971"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114391A4"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6836EF08"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1E7CF76D"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735A1A7B"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7BF24A"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Chorvatsko</w:t>
            </w:r>
          </w:p>
        </w:tc>
        <w:tc>
          <w:tcPr>
            <w:tcW w:w="680" w:type="dxa"/>
            <w:tcBorders>
              <w:top w:val="nil"/>
              <w:left w:val="nil"/>
              <w:bottom w:val="single" w:sz="4" w:space="0" w:color="auto"/>
              <w:right w:val="single" w:sz="4" w:space="0" w:color="auto"/>
            </w:tcBorders>
            <w:shd w:val="clear" w:color="auto" w:fill="auto"/>
            <w:noWrap/>
            <w:vAlign w:val="center"/>
            <w:hideMark/>
          </w:tcPr>
          <w:p w14:paraId="6E0AD267"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3036AB3C"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3C53F357"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7BAB2293"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6F5A56AA"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77BB9BEF"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3B7AB0BC"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B6C7DC"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Kypr</w:t>
            </w:r>
          </w:p>
        </w:tc>
        <w:tc>
          <w:tcPr>
            <w:tcW w:w="680" w:type="dxa"/>
            <w:tcBorders>
              <w:top w:val="nil"/>
              <w:left w:val="nil"/>
              <w:bottom w:val="single" w:sz="4" w:space="0" w:color="auto"/>
              <w:right w:val="single" w:sz="4" w:space="0" w:color="auto"/>
            </w:tcBorders>
            <w:shd w:val="clear" w:color="auto" w:fill="auto"/>
            <w:noWrap/>
            <w:vAlign w:val="center"/>
            <w:hideMark/>
          </w:tcPr>
          <w:p w14:paraId="191E2169"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33F46E7F"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433FBE33"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7F708FFA"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1C5067C7"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53A9FDCE"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16BCDE4C"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DB0186"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Česká republika</w:t>
            </w:r>
          </w:p>
        </w:tc>
        <w:tc>
          <w:tcPr>
            <w:tcW w:w="680" w:type="dxa"/>
            <w:tcBorders>
              <w:top w:val="nil"/>
              <w:left w:val="nil"/>
              <w:bottom w:val="single" w:sz="4" w:space="0" w:color="auto"/>
              <w:right w:val="single" w:sz="4" w:space="0" w:color="auto"/>
            </w:tcBorders>
            <w:shd w:val="clear" w:color="auto" w:fill="auto"/>
            <w:noWrap/>
            <w:vAlign w:val="center"/>
            <w:hideMark/>
          </w:tcPr>
          <w:p w14:paraId="28D65ABB"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26384E3"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auto" w:fill="auto"/>
            <w:noWrap/>
            <w:vAlign w:val="center"/>
            <w:hideMark/>
          </w:tcPr>
          <w:p w14:paraId="7EEDC0D8"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020C0A25"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22EDE1AB"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814" w:type="dxa"/>
            <w:tcBorders>
              <w:top w:val="nil"/>
              <w:left w:val="nil"/>
              <w:bottom w:val="single" w:sz="4" w:space="0" w:color="auto"/>
              <w:right w:val="single" w:sz="4" w:space="0" w:color="auto"/>
            </w:tcBorders>
            <w:shd w:val="clear" w:color="auto" w:fill="auto"/>
            <w:noWrap/>
            <w:vAlign w:val="center"/>
            <w:hideMark/>
          </w:tcPr>
          <w:p w14:paraId="1AF727C1" w14:textId="77777777" w:rsidR="00B71256" w:rsidRPr="00AE474E" w:rsidRDefault="00B71256" w:rsidP="00AA240F">
            <w:pPr>
              <w:keepNext/>
              <w:keepLines/>
              <w:spacing w:after="0"/>
              <w:jc w:val="center"/>
              <w:rPr>
                <w:rFonts w:eastAsia="Times New Roman" w:cs="Calibri"/>
                <w:color w:val="000000"/>
                <w:sz w:val="20"/>
                <w:szCs w:val="20"/>
                <w:lang w:eastAsia="cs-CZ"/>
              </w:rPr>
            </w:pPr>
          </w:p>
        </w:tc>
      </w:tr>
      <w:tr w:rsidR="00AA240F" w:rsidRPr="00AE474E" w14:paraId="4B486175"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6A8D283"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Dánsko</w:t>
            </w:r>
          </w:p>
        </w:tc>
        <w:tc>
          <w:tcPr>
            <w:tcW w:w="680" w:type="dxa"/>
            <w:tcBorders>
              <w:top w:val="nil"/>
              <w:left w:val="nil"/>
              <w:bottom w:val="single" w:sz="4" w:space="0" w:color="auto"/>
              <w:right w:val="single" w:sz="4" w:space="0" w:color="auto"/>
            </w:tcBorders>
            <w:shd w:val="clear" w:color="auto" w:fill="auto"/>
            <w:noWrap/>
            <w:vAlign w:val="center"/>
            <w:hideMark/>
          </w:tcPr>
          <w:p w14:paraId="75A0E1AD"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276" w:type="dxa"/>
            <w:tcBorders>
              <w:top w:val="nil"/>
              <w:left w:val="nil"/>
              <w:bottom w:val="single" w:sz="4" w:space="0" w:color="auto"/>
              <w:right w:val="single" w:sz="4" w:space="0" w:color="auto"/>
            </w:tcBorders>
            <w:shd w:val="clear" w:color="000000" w:fill="F2C6C9"/>
            <w:noWrap/>
            <w:vAlign w:val="center"/>
            <w:hideMark/>
          </w:tcPr>
          <w:p w14:paraId="37FE8DE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3B95B719"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799E030F"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3DE8538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14D85BD9"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54C68C8D"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2CFA63D"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Estonsko</w:t>
            </w:r>
          </w:p>
        </w:tc>
        <w:tc>
          <w:tcPr>
            <w:tcW w:w="680" w:type="dxa"/>
            <w:tcBorders>
              <w:top w:val="nil"/>
              <w:left w:val="nil"/>
              <w:bottom w:val="single" w:sz="4" w:space="0" w:color="auto"/>
              <w:right w:val="single" w:sz="4" w:space="0" w:color="auto"/>
            </w:tcBorders>
            <w:shd w:val="clear" w:color="auto" w:fill="auto"/>
            <w:noWrap/>
            <w:vAlign w:val="center"/>
            <w:hideMark/>
          </w:tcPr>
          <w:p w14:paraId="632938BE"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3F72AEE9"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2DACEAFA"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5DBF337D"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0B2724DF"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77BE260C"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334A48F4"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00AD02B"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Finsko</w:t>
            </w:r>
          </w:p>
        </w:tc>
        <w:tc>
          <w:tcPr>
            <w:tcW w:w="680" w:type="dxa"/>
            <w:tcBorders>
              <w:top w:val="nil"/>
              <w:left w:val="nil"/>
              <w:bottom w:val="single" w:sz="4" w:space="0" w:color="auto"/>
              <w:right w:val="single" w:sz="4" w:space="0" w:color="auto"/>
            </w:tcBorders>
            <w:shd w:val="clear" w:color="auto" w:fill="auto"/>
            <w:noWrap/>
            <w:vAlign w:val="center"/>
            <w:hideMark/>
          </w:tcPr>
          <w:p w14:paraId="19E0DE63"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62C02A7E"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012B1C43"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6DE7ECCF"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7574C36C"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1B7A0624"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20468D22"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DD831F"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Francie</w:t>
            </w:r>
          </w:p>
        </w:tc>
        <w:tc>
          <w:tcPr>
            <w:tcW w:w="680" w:type="dxa"/>
            <w:tcBorders>
              <w:top w:val="nil"/>
              <w:left w:val="nil"/>
              <w:bottom w:val="single" w:sz="4" w:space="0" w:color="auto"/>
              <w:right w:val="single" w:sz="4" w:space="0" w:color="auto"/>
            </w:tcBorders>
            <w:shd w:val="clear" w:color="auto" w:fill="auto"/>
            <w:noWrap/>
            <w:vAlign w:val="center"/>
            <w:hideMark/>
          </w:tcPr>
          <w:p w14:paraId="23FC04DF"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165392D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1F35F670"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743BEB78"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39C5510E"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61C366AB"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5CB38600"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DA1111D"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Německo</w:t>
            </w:r>
          </w:p>
        </w:tc>
        <w:tc>
          <w:tcPr>
            <w:tcW w:w="680" w:type="dxa"/>
            <w:tcBorders>
              <w:top w:val="nil"/>
              <w:left w:val="nil"/>
              <w:bottom w:val="single" w:sz="4" w:space="0" w:color="auto"/>
              <w:right w:val="single" w:sz="4" w:space="0" w:color="auto"/>
            </w:tcBorders>
            <w:shd w:val="clear" w:color="auto" w:fill="auto"/>
            <w:noWrap/>
            <w:vAlign w:val="center"/>
            <w:hideMark/>
          </w:tcPr>
          <w:p w14:paraId="371A757B"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0D19B166"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531" w:type="dxa"/>
            <w:tcBorders>
              <w:top w:val="nil"/>
              <w:left w:val="nil"/>
              <w:bottom w:val="single" w:sz="4" w:space="0" w:color="auto"/>
              <w:right w:val="single" w:sz="4" w:space="0" w:color="auto"/>
            </w:tcBorders>
            <w:shd w:val="clear" w:color="000000" w:fill="F2C6C9"/>
            <w:noWrap/>
            <w:vAlign w:val="center"/>
            <w:hideMark/>
          </w:tcPr>
          <w:p w14:paraId="2DB754FF"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6D44844A"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7893F9EC"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5FE7DA6E"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3E7DDC2F" w14:textId="77777777" w:rsidTr="00AA240F">
        <w:trPr>
          <w:trHeight w:val="227"/>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983F"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Řecko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6659875"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single" w:sz="4" w:space="0" w:color="auto"/>
              <w:left w:val="nil"/>
              <w:bottom w:val="single" w:sz="4" w:space="0" w:color="auto"/>
              <w:right w:val="single" w:sz="4" w:space="0" w:color="auto"/>
            </w:tcBorders>
            <w:shd w:val="clear" w:color="000000" w:fill="F2C6C9"/>
            <w:noWrap/>
            <w:vAlign w:val="center"/>
            <w:hideMark/>
          </w:tcPr>
          <w:p w14:paraId="229685D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single" w:sz="4" w:space="0" w:color="auto"/>
              <w:left w:val="nil"/>
              <w:bottom w:val="single" w:sz="4" w:space="0" w:color="auto"/>
              <w:right w:val="single" w:sz="4" w:space="0" w:color="auto"/>
            </w:tcBorders>
            <w:shd w:val="clear" w:color="000000" w:fill="F2C6C9"/>
            <w:noWrap/>
            <w:vAlign w:val="center"/>
            <w:hideMark/>
          </w:tcPr>
          <w:p w14:paraId="03985714"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06515DEE"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7A8D27C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143B3571"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7A2D1D53" w14:textId="77777777" w:rsidTr="00AA240F">
        <w:trPr>
          <w:trHeight w:val="227"/>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D063"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Maďarsko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056B5397"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single" w:sz="4" w:space="0" w:color="auto"/>
              <w:left w:val="nil"/>
              <w:bottom w:val="single" w:sz="4" w:space="0" w:color="auto"/>
              <w:right w:val="single" w:sz="4" w:space="0" w:color="auto"/>
            </w:tcBorders>
            <w:shd w:val="clear" w:color="000000" w:fill="F2C6C9"/>
            <w:noWrap/>
            <w:vAlign w:val="center"/>
            <w:hideMark/>
          </w:tcPr>
          <w:p w14:paraId="0172717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1E76CEA0"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4EE18A0C"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D79BCFF"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14:paraId="02546180"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500659C4"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FCAF157"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Island</w:t>
            </w:r>
          </w:p>
        </w:tc>
        <w:tc>
          <w:tcPr>
            <w:tcW w:w="680" w:type="dxa"/>
            <w:tcBorders>
              <w:top w:val="nil"/>
              <w:left w:val="nil"/>
              <w:bottom w:val="single" w:sz="4" w:space="0" w:color="auto"/>
              <w:right w:val="single" w:sz="4" w:space="0" w:color="auto"/>
            </w:tcBorders>
            <w:shd w:val="clear" w:color="auto" w:fill="auto"/>
            <w:noWrap/>
            <w:vAlign w:val="center"/>
            <w:hideMark/>
          </w:tcPr>
          <w:p w14:paraId="17996EA6"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276" w:type="dxa"/>
            <w:tcBorders>
              <w:top w:val="nil"/>
              <w:left w:val="nil"/>
              <w:bottom w:val="single" w:sz="4" w:space="0" w:color="auto"/>
              <w:right w:val="single" w:sz="4" w:space="0" w:color="auto"/>
            </w:tcBorders>
            <w:shd w:val="clear" w:color="000000" w:fill="F2C6C9"/>
            <w:noWrap/>
            <w:vAlign w:val="center"/>
            <w:hideMark/>
          </w:tcPr>
          <w:p w14:paraId="74369A30"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000000" w:fill="F2C6C9"/>
            <w:noWrap/>
            <w:vAlign w:val="center"/>
            <w:hideMark/>
          </w:tcPr>
          <w:p w14:paraId="6DC61301"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62D3F909"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7905A8DB"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692BCA8C"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3B2C2C41"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AE862D"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Irsko</w:t>
            </w:r>
          </w:p>
        </w:tc>
        <w:tc>
          <w:tcPr>
            <w:tcW w:w="680" w:type="dxa"/>
            <w:tcBorders>
              <w:top w:val="nil"/>
              <w:left w:val="nil"/>
              <w:bottom w:val="single" w:sz="4" w:space="0" w:color="auto"/>
              <w:right w:val="single" w:sz="4" w:space="0" w:color="auto"/>
            </w:tcBorders>
            <w:shd w:val="clear" w:color="auto" w:fill="auto"/>
            <w:noWrap/>
            <w:vAlign w:val="center"/>
            <w:hideMark/>
          </w:tcPr>
          <w:p w14:paraId="285E3B40"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4213C3FE"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0B52B487"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7EE45CEE"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304" w:type="dxa"/>
            <w:tcBorders>
              <w:top w:val="nil"/>
              <w:left w:val="nil"/>
              <w:bottom w:val="single" w:sz="4" w:space="0" w:color="auto"/>
              <w:right w:val="single" w:sz="4" w:space="0" w:color="auto"/>
            </w:tcBorders>
            <w:shd w:val="clear" w:color="auto" w:fill="auto"/>
            <w:noWrap/>
            <w:vAlign w:val="center"/>
            <w:hideMark/>
          </w:tcPr>
          <w:p w14:paraId="19CE1804"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127C072E"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72160325"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8AA8A76"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Itálie</w:t>
            </w:r>
          </w:p>
        </w:tc>
        <w:tc>
          <w:tcPr>
            <w:tcW w:w="680" w:type="dxa"/>
            <w:tcBorders>
              <w:top w:val="nil"/>
              <w:left w:val="nil"/>
              <w:bottom w:val="single" w:sz="4" w:space="0" w:color="auto"/>
              <w:right w:val="single" w:sz="4" w:space="0" w:color="auto"/>
            </w:tcBorders>
            <w:shd w:val="clear" w:color="auto" w:fill="auto"/>
            <w:noWrap/>
            <w:vAlign w:val="center"/>
            <w:hideMark/>
          </w:tcPr>
          <w:p w14:paraId="318EAA55"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929541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000000" w:fill="F2C6C9"/>
            <w:noWrap/>
            <w:vAlign w:val="center"/>
            <w:hideMark/>
          </w:tcPr>
          <w:p w14:paraId="518B2488"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6205681F"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04784AA0"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15D39C0B"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586839F1"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183A8A3"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Lotyšsko</w:t>
            </w:r>
          </w:p>
        </w:tc>
        <w:tc>
          <w:tcPr>
            <w:tcW w:w="680" w:type="dxa"/>
            <w:tcBorders>
              <w:top w:val="nil"/>
              <w:left w:val="nil"/>
              <w:bottom w:val="single" w:sz="4" w:space="0" w:color="auto"/>
              <w:right w:val="single" w:sz="4" w:space="0" w:color="auto"/>
            </w:tcBorders>
            <w:shd w:val="clear" w:color="auto" w:fill="auto"/>
            <w:noWrap/>
            <w:vAlign w:val="center"/>
            <w:hideMark/>
          </w:tcPr>
          <w:p w14:paraId="42E95B58"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0D62088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000000" w:fill="F2C6C9"/>
            <w:noWrap/>
            <w:vAlign w:val="center"/>
            <w:hideMark/>
          </w:tcPr>
          <w:p w14:paraId="04EECAF0"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57EC1820"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176673A5"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506F499F"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03615F56"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183C2F2"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Lichtenštejnsko</w:t>
            </w:r>
          </w:p>
        </w:tc>
        <w:tc>
          <w:tcPr>
            <w:tcW w:w="680" w:type="dxa"/>
            <w:tcBorders>
              <w:top w:val="nil"/>
              <w:left w:val="nil"/>
              <w:bottom w:val="single" w:sz="4" w:space="0" w:color="auto"/>
              <w:right w:val="single" w:sz="4" w:space="0" w:color="auto"/>
            </w:tcBorders>
            <w:shd w:val="clear" w:color="auto" w:fill="auto"/>
            <w:noWrap/>
            <w:vAlign w:val="center"/>
            <w:hideMark/>
          </w:tcPr>
          <w:p w14:paraId="26DA8313"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27E33C7B"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531" w:type="dxa"/>
            <w:tcBorders>
              <w:top w:val="nil"/>
              <w:left w:val="nil"/>
              <w:bottom w:val="single" w:sz="4" w:space="0" w:color="auto"/>
              <w:right w:val="single" w:sz="4" w:space="0" w:color="auto"/>
            </w:tcBorders>
            <w:shd w:val="clear" w:color="auto" w:fill="auto"/>
            <w:noWrap/>
            <w:vAlign w:val="center"/>
            <w:hideMark/>
          </w:tcPr>
          <w:p w14:paraId="53940696"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70CD8267"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1710A86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751A0C93"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49A86BC7"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9932A80"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Litva</w:t>
            </w:r>
          </w:p>
        </w:tc>
        <w:tc>
          <w:tcPr>
            <w:tcW w:w="680" w:type="dxa"/>
            <w:tcBorders>
              <w:top w:val="nil"/>
              <w:left w:val="nil"/>
              <w:bottom w:val="single" w:sz="4" w:space="0" w:color="auto"/>
              <w:right w:val="single" w:sz="4" w:space="0" w:color="auto"/>
            </w:tcBorders>
            <w:shd w:val="clear" w:color="auto" w:fill="auto"/>
            <w:noWrap/>
            <w:vAlign w:val="center"/>
            <w:hideMark/>
          </w:tcPr>
          <w:p w14:paraId="2DD25C8C"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A353DD9"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531" w:type="dxa"/>
            <w:tcBorders>
              <w:top w:val="nil"/>
              <w:left w:val="nil"/>
              <w:bottom w:val="single" w:sz="4" w:space="0" w:color="auto"/>
              <w:right w:val="single" w:sz="4" w:space="0" w:color="auto"/>
            </w:tcBorders>
            <w:shd w:val="clear" w:color="auto" w:fill="auto"/>
            <w:noWrap/>
            <w:vAlign w:val="center"/>
            <w:hideMark/>
          </w:tcPr>
          <w:p w14:paraId="6792A99D"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0081C893"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0DF86F65"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0ED62DD1"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4A93B07D"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D3B8001"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Lucembursko</w:t>
            </w:r>
          </w:p>
        </w:tc>
        <w:tc>
          <w:tcPr>
            <w:tcW w:w="680" w:type="dxa"/>
            <w:tcBorders>
              <w:top w:val="nil"/>
              <w:left w:val="nil"/>
              <w:bottom w:val="single" w:sz="4" w:space="0" w:color="auto"/>
              <w:right w:val="single" w:sz="4" w:space="0" w:color="auto"/>
            </w:tcBorders>
            <w:shd w:val="clear" w:color="auto" w:fill="auto"/>
            <w:noWrap/>
            <w:vAlign w:val="center"/>
            <w:hideMark/>
          </w:tcPr>
          <w:p w14:paraId="4EAA8C44"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FD3E7B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531" w:type="dxa"/>
            <w:tcBorders>
              <w:top w:val="nil"/>
              <w:left w:val="nil"/>
              <w:bottom w:val="single" w:sz="4" w:space="0" w:color="auto"/>
              <w:right w:val="single" w:sz="4" w:space="0" w:color="auto"/>
            </w:tcBorders>
            <w:shd w:val="clear" w:color="000000" w:fill="F2C6C9"/>
            <w:noWrap/>
            <w:vAlign w:val="center"/>
            <w:hideMark/>
          </w:tcPr>
          <w:p w14:paraId="7F6E3218"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4184CD69"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1EC9176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23929CBC"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066A94E3"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EE67D3C"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Malta</w:t>
            </w:r>
          </w:p>
        </w:tc>
        <w:tc>
          <w:tcPr>
            <w:tcW w:w="680" w:type="dxa"/>
            <w:tcBorders>
              <w:top w:val="nil"/>
              <w:left w:val="nil"/>
              <w:bottom w:val="single" w:sz="4" w:space="0" w:color="auto"/>
              <w:right w:val="single" w:sz="4" w:space="0" w:color="auto"/>
            </w:tcBorders>
            <w:shd w:val="clear" w:color="auto" w:fill="auto"/>
            <w:noWrap/>
            <w:vAlign w:val="center"/>
            <w:hideMark/>
          </w:tcPr>
          <w:p w14:paraId="0B5F27C3"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5C8529D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7BA25027"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1CE9D378"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1304" w:type="dxa"/>
            <w:tcBorders>
              <w:top w:val="nil"/>
              <w:left w:val="nil"/>
              <w:bottom w:val="single" w:sz="4" w:space="0" w:color="auto"/>
              <w:right w:val="single" w:sz="4" w:space="0" w:color="auto"/>
            </w:tcBorders>
            <w:shd w:val="clear" w:color="auto" w:fill="auto"/>
            <w:noWrap/>
            <w:vAlign w:val="center"/>
            <w:hideMark/>
          </w:tcPr>
          <w:p w14:paraId="51625A44"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452DBAF8"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23BF0DBC"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1DE854F"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Nizozemsko</w:t>
            </w:r>
          </w:p>
        </w:tc>
        <w:tc>
          <w:tcPr>
            <w:tcW w:w="680" w:type="dxa"/>
            <w:tcBorders>
              <w:top w:val="nil"/>
              <w:left w:val="nil"/>
              <w:bottom w:val="single" w:sz="4" w:space="0" w:color="auto"/>
              <w:right w:val="single" w:sz="4" w:space="0" w:color="auto"/>
            </w:tcBorders>
            <w:shd w:val="clear" w:color="auto" w:fill="auto"/>
            <w:noWrap/>
            <w:vAlign w:val="center"/>
            <w:hideMark/>
          </w:tcPr>
          <w:p w14:paraId="10ACEE0F"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55357E6E"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004018A8"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35FE9E94"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04165A6E"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6897D479"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1D1566EB"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37EAEB9"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Norsko</w:t>
            </w:r>
          </w:p>
        </w:tc>
        <w:tc>
          <w:tcPr>
            <w:tcW w:w="680" w:type="dxa"/>
            <w:tcBorders>
              <w:top w:val="nil"/>
              <w:left w:val="nil"/>
              <w:bottom w:val="single" w:sz="4" w:space="0" w:color="auto"/>
              <w:right w:val="single" w:sz="4" w:space="0" w:color="auto"/>
            </w:tcBorders>
            <w:shd w:val="clear" w:color="auto" w:fill="auto"/>
            <w:noWrap/>
            <w:vAlign w:val="center"/>
            <w:hideMark/>
          </w:tcPr>
          <w:p w14:paraId="5E01EFB5"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276" w:type="dxa"/>
            <w:tcBorders>
              <w:top w:val="nil"/>
              <w:left w:val="nil"/>
              <w:bottom w:val="single" w:sz="4" w:space="0" w:color="auto"/>
              <w:right w:val="single" w:sz="4" w:space="0" w:color="auto"/>
            </w:tcBorders>
            <w:shd w:val="clear" w:color="000000" w:fill="F2C6C9"/>
            <w:noWrap/>
            <w:vAlign w:val="center"/>
            <w:hideMark/>
          </w:tcPr>
          <w:p w14:paraId="0B55E06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auto" w:fill="auto"/>
            <w:noWrap/>
            <w:vAlign w:val="center"/>
            <w:hideMark/>
          </w:tcPr>
          <w:p w14:paraId="788D92BF"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6A439B5A"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304" w:type="dxa"/>
            <w:tcBorders>
              <w:top w:val="nil"/>
              <w:left w:val="nil"/>
              <w:bottom w:val="single" w:sz="4" w:space="0" w:color="auto"/>
              <w:right w:val="single" w:sz="4" w:space="0" w:color="auto"/>
            </w:tcBorders>
            <w:shd w:val="clear" w:color="auto" w:fill="auto"/>
            <w:noWrap/>
            <w:vAlign w:val="center"/>
            <w:hideMark/>
          </w:tcPr>
          <w:p w14:paraId="3EABB02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5B927813"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75FE99E6"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919FC11"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Polsko</w:t>
            </w:r>
          </w:p>
        </w:tc>
        <w:tc>
          <w:tcPr>
            <w:tcW w:w="680" w:type="dxa"/>
            <w:tcBorders>
              <w:top w:val="nil"/>
              <w:left w:val="nil"/>
              <w:bottom w:val="single" w:sz="4" w:space="0" w:color="auto"/>
              <w:right w:val="single" w:sz="4" w:space="0" w:color="auto"/>
            </w:tcBorders>
            <w:shd w:val="clear" w:color="auto" w:fill="auto"/>
            <w:noWrap/>
            <w:vAlign w:val="center"/>
            <w:hideMark/>
          </w:tcPr>
          <w:p w14:paraId="54E808F1"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64ABED8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32C5188F"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4E4BF3B9"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52D1EEE0"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5AC5EC14"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19BB45C7"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362F634"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Portugalsko</w:t>
            </w:r>
          </w:p>
        </w:tc>
        <w:tc>
          <w:tcPr>
            <w:tcW w:w="680" w:type="dxa"/>
            <w:tcBorders>
              <w:top w:val="nil"/>
              <w:left w:val="nil"/>
              <w:bottom w:val="single" w:sz="4" w:space="0" w:color="auto"/>
              <w:right w:val="single" w:sz="4" w:space="0" w:color="auto"/>
            </w:tcBorders>
            <w:shd w:val="clear" w:color="auto" w:fill="auto"/>
            <w:noWrap/>
            <w:vAlign w:val="center"/>
            <w:hideMark/>
          </w:tcPr>
          <w:p w14:paraId="468C073A"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04FE09DA"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20CC9224"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964" w:type="dxa"/>
            <w:tcBorders>
              <w:top w:val="nil"/>
              <w:left w:val="nil"/>
              <w:bottom w:val="single" w:sz="4" w:space="0" w:color="auto"/>
              <w:right w:val="single" w:sz="4" w:space="0" w:color="auto"/>
            </w:tcBorders>
            <w:shd w:val="clear" w:color="auto" w:fill="auto"/>
            <w:noWrap/>
            <w:vAlign w:val="center"/>
            <w:hideMark/>
          </w:tcPr>
          <w:p w14:paraId="630F2D6B"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584E408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4D0D7E83"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359A3216"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070A322"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Rumunsko</w:t>
            </w:r>
          </w:p>
        </w:tc>
        <w:tc>
          <w:tcPr>
            <w:tcW w:w="680" w:type="dxa"/>
            <w:tcBorders>
              <w:top w:val="nil"/>
              <w:left w:val="nil"/>
              <w:bottom w:val="single" w:sz="4" w:space="0" w:color="auto"/>
              <w:right w:val="single" w:sz="4" w:space="0" w:color="auto"/>
            </w:tcBorders>
            <w:shd w:val="clear" w:color="auto" w:fill="auto"/>
            <w:noWrap/>
            <w:vAlign w:val="center"/>
            <w:hideMark/>
          </w:tcPr>
          <w:p w14:paraId="3C2F1FE6"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76E79E8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2EB8C6E8"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01B3787E"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5D2234D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045114DE"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15AB8E8D"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7803AA0"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Slovensko</w:t>
            </w:r>
          </w:p>
        </w:tc>
        <w:tc>
          <w:tcPr>
            <w:tcW w:w="680" w:type="dxa"/>
            <w:tcBorders>
              <w:top w:val="nil"/>
              <w:left w:val="nil"/>
              <w:bottom w:val="single" w:sz="4" w:space="0" w:color="auto"/>
              <w:right w:val="single" w:sz="4" w:space="0" w:color="auto"/>
            </w:tcBorders>
            <w:shd w:val="clear" w:color="auto" w:fill="auto"/>
            <w:noWrap/>
            <w:vAlign w:val="center"/>
            <w:hideMark/>
          </w:tcPr>
          <w:p w14:paraId="0D55F4A7"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35976D2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auto" w:fill="auto"/>
            <w:noWrap/>
            <w:vAlign w:val="center"/>
            <w:hideMark/>
          </w:tcPr>
          <w:p w14:paraId="0D426940"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 </w:t>
            </w:r>
          </w:p>
        </w:tc>
        <w:tc>
          <w:tcPr>
            <w:tcW w:w="964" w:type="dxa"/>
            <w:tcBorders>
              <w:top w:val="nil"/>
              <w:left w:val="nil"/>
              <w:bottom w:val="single" w:sz="4" w:space="0" w:color="auto"/>
              <w:right w:val="single" w:sz="4" w:space="0" w:color="auto"/>
            </w:tcBorders>
            <w:shd w:val="clear" w:color="auto" w:fill="auto"/>
            <w:noWrap/>
            <w:vAlign w:val="center"/>
            <w:hideMark/>
          </w:tcPr>
          <w:p w14:paraId="47CC830F"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0BCCA2E1"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814" w:type="dxa"/>
            <w:tcBorders>
              <w:top w:val="nil"/>
              <w:left w:val="nil"/>
              <w:bottom w:val="single" w:sz="4" w:space="0" w:color="auto"/>
              <w:right w:val="single" w:sz="4" w:space="0" w:color="auto"/>
            </w:tcBorders>
            <w:shd w:val="clear" w:color="auto" w:fill="auto"/>
            <w:noWrap/>
            <w:vAlign w:val="center"/>
            <w:hideMark/>
          </w:tcPr>
          <w:p w14:paraId="44914FB4"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27F69B17"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8868BF"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Slovinsko</w:t>
            </w:r>
          </w:p>
        </w:tc>
        <w:tc>
          <w:tcPr>
            <w:tcW w:w="680" w:type="dxa"/>
            <w:tcBorders>
              <w:top w:val="nil"/>
              <w:left w:val="nil"/>
              <w:bottom w:val="single" w:sz="4" w:space="0" w:color="auto"/>
              <w:right w:val="single" w:sz="4" w:space="0" w:color="auto"/>
            </w:tcBorders>
            <w:shd w:val="clear" w:color="auto" w:fill="auto"/>
            <w:noWrap/>
            <w:vAlign w:val="center"/>
            <w:hideMark/>
          </w:tcPr>
          <w:p w14:paraId="19276A10"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181CB943"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20FC03D4"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7F2B903D"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45496527"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2BBA5FB6"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04598F1B"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AA89041"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Španělsko</w:t>
            </w:r>
          </w:p>
        </w:tc>
        <w:tc>
          <w:tcPr>
            <w:tcW w:w="680" w:type="dxa"/>
            <w:tcBorders>
              <w:top w:val="nil"/>
              <w:left w:val="nil"/>
              <w:bottom w:val="single" w:sz="4" w:space="0" w:color="auto"/>
              <w:right w:val="single" w:sz="4" w:space="0" w:color="auto"/>
            </w:tcBorders>
            <w:shd w:val="clear" w:color="auto" w:fill="auto"/>
            <w:noWrap/>
            <w:vAlign w:val="center"/>
            <w:hideMark/>
          </w:tcPr>
          <w:p w14:paraId="6FB2F1B7"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3EEFED18"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1567960D"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41F42C84"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4F5C9BD8"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2ED389C8"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6E1EECEB"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AD3C34A"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Švédsko</w:t>
            </w:r>
          </w:p>
        </w:tc>
        <w:tc>
          <w:tcPr>
            <w:tcW w:w="680" w:type="dxa"/>
            <w:tcBorders>
              <w:top w:val="nil"/>
              <w:left w:val="nil"/>
              <w:bottom w:val="single" w:sz="4" w:space="0" w:color="auto"/>
              <w:right w:val="single" w:sz="4" w:space="0" w:color="auto"/>
            </w:tcBorders>
            <w:shd w:val="clear" w:color="auto" w:fill="auto"/>
            <w:noWrap/>
            <w:vAlign w:val="center"/>
            <w:hideMark/>
          </w:tcPr>
          <w:p w14:paraId="28F7EED6"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4A925272"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000000" w:fill="F2C6C9"/>
            <w:noWrap/>
            <w:vAlign w:val="center"/>
            <w:hideMark/>
          </w:tcPr>
          <w:p w14:paraId="6A71BCEC"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28699DF3"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76DD428C"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214EFBCF"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r w:rsidR="00AA240F" w:rsidRPr="00AE474E" w14:paraId="77C1F4CF"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373E078"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Švýcarsko</w:t>
            </w:r>
          </w:p>
        </w:tc>
        <w:tc>
          <w:tcPr>
            <w:tcW w:w="680" w:type="dxa"/>
            <w:tcBorders>
              <w:top w:val="nil"/>
              <w:left w:val="nil"/>
              <w:bottom w:val="single" w:sz="4" w:space="0" w:color="auto"/>
              <w:right w:val="single" w:sz="4" w:space="0" w:color="auto"/>
            </w:tcBorders>
            <w:shd w:val="clear" w:color="auto" w:fill="auto"/>
            <w:noWrap/>
            <w:vAlign w:val="center"/>
            <w:hideMark/>
          </w:tcPr>
          <w:p w14:paraId="7F77210C"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183BD82D"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531" w:type="dxa"/>
            <w:tcBorders>
              <w:top w:val="nil"/>
              <w:left w:val="nil"/>
              <w:bottom w:val="single" w:sz="4" w:space="0" w:color="auto"/>
              <w:right w:val="single" w:sz="4" w:space="0" w:color="auto"/>
            </w:tcBorders>
            <w:shd w:val="clear" w:color="auto" w:fill="auto"/>
            <w:noWrap/>
            <w:vAlign w:val="center"/>
            <w:hideMark/>
          </w:tcPr>
          <w:p w14:paraId="4AE0F1EA"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32AD875C"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462E96BC"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w:t>
            </w:r>
          </w:p>
        </w:tc>
        <w:tc>
          <w:tcPr>
            <w:tcW w:w="1814" w:type="dxa"/>
            <w:tcBorders>
              <w:top w:val="nil"/>
              <w:left w:val="nil"/>
              <w:bottom w:val="single" w:sz="4" w:space="0" w:color="auto"/>
              <w:right w:val="single" w:sz="4" w:space="0" w:color="auto"/>
            </w:tcBorders>
            <w:shd w:val="clear" w:color="auto" w:fill="auto"/>
            <w:noWrap/>
            <w:vAlign w:val="center"/>
            <w:hideMark/>
          </w:tcPr>
          <w:p w14:paraId="04597AA0"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w:t>
            </w:r>
          </w:p>
        </w:tc>
      </w:tr>
      <w:tr w:rsidR="00AA240F" w:rsidRPr="00AE474E" w14:paraId="3328B1B3" w14:textId="77777777" w:rsidTr="00AA240F">
        <w:trPr>
          <w:trHeight w:val="22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6D99B3D" w14:textId="77777777" w:rsidR="00B71256" w:rsidRPr="00AE474E" w:rsidRDefault="00B71256" w:rsidP="00AA240F">
            <w:pPr>
              <w:keepNext/>
              <w:keepLines/>
              <w:spacing w:after="0"/>
              <w:jc w:val="left"/>
              <w:rPr>
                <w:rFonts w:eastAsia="Times New Roman" w:cs="Calibri"/>
                <w:color w:val="000000"/>
                <w:sz w:val="20"/>
                <w:szCs w:val="20"/>
                <w:lang w:eastAsia="cs-CZ"/>
              </w:rPr>
            </w:pPr>
            <w:r w:rsidRPr="00AE474E">
              <w:rPr>
                <w:rFonts w:eastAsia="Times New Roman" w:cs="Calibri"/>
                <w:color w:val="000000"/>
                <w:sz w:val="20"/>
                <w:szCs w:val="20"/>
                <w:lang w:eastAsia="cs-CZ"/>
              </w:rPr>
              <w:t>Velká Británie</w:t>
            </w:r>
          </w:p>
        </w:tc>
        <w:tc>
          <w:tcPr>
            <w:tcW w:w="680" w:type="dxa"/>
            <w:tcBorders>
              <w:top w:val="nil"/>
              <w:left w:val="nil"/>
              <w:bottom w:val="single" w:sz="4" w:space="0" w:color="auto"/>
              <w:right w:val="single" w:sz="4" w:space="0" w:color="auto"/>
            </w:tcBorders>
            <w:shd w:val="clear" w:color="auto" w:fill="auto"/>
            <w:noWrap/>
            <w:vAlign w:val="center"/>
            <w:hideMark/>
          </w:tcPr>
          <w:p w14:paraId="45255EAF" w14:textId="77777777" w:rsidR="00B71256" w:rsidRPr="00AE474E" w:rsidRDefault="00B71256" w:rsidP="00AA240F">
            <w:pPr>
              <w:keepNext/>
              <w:keepLines/>
              <w:spacing w:after="0"/>
              <w:ind w:left="170"/>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276" w:type="dxa"/>
            <w:tcBorders>
              <w:top w:val="nil"/>
              <w:left w:val="nil"/>
              <w:bottom w:val="single" w:sz="4" w:space="0" w:color="auto"/>
              <w:right w:val="single" w:sz="4" w:space="0" w:color="auto"/>
            </w:tcBorders>
            <w:shd w:val="clear" w:color="000000" w:fill="F2C6C9"/>
            <w:noWrap/>
            <w:vAlign w:val="center"/>
            <w:hideMark/>
          </w:tcPr>
          <w:p w14:paraId="45AE2C27"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531" w:type="dxa"/>
            <w:tcBorders>
              <w:top w:val="nil"/>
              <w:left w:val="nil"/>
              <w:bottom w:val="single" w:sz="4" w:space="0" w:color="auto"/>
              <w:right w:val="single" w:sz="4" w:space="0" w:color="auto"/>
            </w:tcBorders>
            <w:shd w:val="clear" w:color="000000" w:fill="F2C6C9"/>
            <w:noWrap/>
            <w:vAlign w:val="center"/>
            <w:hideMark/>
          </w:tcPr>
          <w:p w14:paraId="45E0A012" w14:textId="77777777" w:rsidR="00B71256" w:rsidRPr="00AE474E" w:rsidRDefault="00B71256" w:rsidP="00AA240F">
            <w:pPr>
              <w:keepNext/>
              <w:keepLines/>
              <w:spacing w:after="0"/>
              <w:ind w:firstLine="505"/>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964" w:type="dxa"/>
            <w:tcBorders>
              <w:top w:val="nil"/>
              <w:left w:val="nil"/>
              <w:bottom w:val="single" w:sz="4" w:space="0" w:color="auto"/>
              <w:right w:val="single" w:sz="4" w:space="0" w:color="auto"/>
            </w:tcBorders>
            <w:shd w:val="clear" w:color="auto" w:fill="auto"/>
            <w:noWrap/>
            <w:vAlign w:val="center"/>
            <w:hideMark/>
          </w:tcPr>
          <w:p w14:paraId="5569AC74" w14:textId="77777777" w:rsidR="00B71256" w:rsidRPr="00AE474E" w:rsidRDefault="00B71256" w:rsidP="00AA240F">
            <w:pPr>
              <w:keepNext/>
              <w:keepLines/>
              <w:spacing w:after="0"/>
              <w:ind w:firstLine="284"/>
              <w:jc w:val="left"/>
              <w:rPr>
                <w:rFonts w:eastAsia="Times New Roman" w:cs="Calibri"/>
                <w:color w:val="000000"/>
                <w:sz w:val="20"/>
                <w:szCs w:val="20"/>
                <w:lang w:eastAsia="cs-CZ"/>
              </w:rPr>
            </w:pPr>
            <w:r w:rsidRPr="00AE474E">
              <w:rPr>
                <w:rFonts w:eastAsia="Times New Roman" w:cs="Calibri"/>
                <w:color w:val="000000"/>
                <w:sz w:val="20"/>
                <w:szCs w:val="20"/>
                <w:lang w:eastAsia="cs-CZ"/>
              </w:rPr>
              <w:t>x</w:t>
            </w:r>
          </w:p>
        </w:tc>
        <w:tc>
          <w:tcPr>
            <w:tcW w:w="1304" w:type="dxa"/>
            <w:tcBorders>
              <w:top w:val="nil"/>
              <w:left w:val="nil"/>
              <w:bottom w:val="single" w:sz="4" w:space="0" w:color="auto"/>
              <w:right w:val="single" w:sz="4" w:space="0" w:color="auto"/>
            </w:tcBorders>
            <w:shd w:val="clear" w:color="auto" w:fill="auto"/>
            <w:noWrap/>
            <w:vAlign w:val="center"/>
            <w:hideMark/>
          </w:tcPr>
          <w:p w14:paraId="5209B6C8" w14:textId="77777777" w:rsidR="00B71256" w:rsidRPr="00AE474E" w:rsidRDefault="00B71256" w:rsidP="00AA240F">
            <w:pPr>
              <w:keepNext/>
              <w:keepLines/>
              <w:spacing w:after="0"/>
              <w:ind w:firstLine="454"/>
              <w:jc w:val="left"/>
              <w:rPr>
                <w:rFonts w:eastAsia="Times New Roman" w:cs="Calibri"/>
                <w:color w:val="000000"/>
                <w:sz w:val="20"/>
                <w:szCs w:val="20"/>
                <w:lang w:eastAsia="cs-CZ"/>
              </w:rPr>
            </w:pPr>
            <w:r w:rsidRPr="00AE474E">
              <w:rPr>
                <w:rFonts w:eastAsia="Times New Roman" w:cs="Calibri"/>
                <w:color w:val="000000"/>
                <w:sz w:val="20"/>
                <w:szCs w:val="20"/>
                <w:lang w:eastAsia="cs-CZ"/>
              </w:rPr>
              <w:t>x •</w:t>
            </w:r>
          </w:p>
        </w:tc>
        <w:tc>
          <w:tcPr>
            <w:tcW w:w="1814" w:type="dxa"/>
            <w:tcBorders>
              <w:top w:val="nil"/>
              <w:left w:val="nil"/>
              <w:bottom w:val="single" w:sz="4" w:space="0" w:color="auto"/>
              <w:right w:val="single" w:sz="4" w:space="0" w:color="auto"/>
            </w:tcBorders>
            <w:shd w:val="clear" w:color="auto" w:fill="auto"/>
            <w:noWrap/>
            <w:vAlign w:val="center"/>
            <w:hideMark/>
          </w:tcPr>
          <w:p w14:paraId="59B5EBEC" w14:textId="77777777" w:rsidR="00B71256" w:rsidRPr="00AE474E" w:rsidRDefault="00B71256" w:rsidP="00AA240F">
            <w:pPr>
              <w:keepNext/>
              <w:keepLines/>
              <w:spacing w:after="0"/>
              <w:jc w:val="center"/>
              <w:rPr>
                <w:rFonts w:eastAsia="Times New Roman" w:cs="Calibri"/>
                <w:color w:val="000000"/>
                <w:sz w:val="20"/>
                <w:szCs w:val="20"/>
                <w:lang w:eastAsia="cs-CZ"/>
              </w:rPr>
            </w:pPr>
            <w:r w:rsidRPr="00AE474E">
              <w:rPr>
                <w:rFonts w:eastAsia="Times New Roman" w:cs="Calibri"/>
                <w:color w:val="000000"/>
                <w:sz w:val="20"/>
                <w:szCs w:val="20"/>
                <w:lang w:eastAsia="cs-CZ"/>
              </w:rPr>
              <w:t>x</w:t>
            </w:r>
          </w:p>
        </w:tc>
      </w:tr>
    </w:tbl>
    <w:p w14:paraId="3B35E842" w14:textId="3FA72881" w:rsidR="00B24EB6" w:rsidRPr="00AE474E" w:rsidRDefault="0051469A" w:rsidP="00AA240F">
      <w:pPr>
        <w:keepNext/>
        <w:keepLines/>
        <w:spacing w:before="40" w:after="0"/>
        <w:ind w:left="567" w:hanging="567"/>
        <w:rPr>
          <w:sz w:val="20"/>
          <w:szCs w:val="20"/>
        </w:rPr>
      </w:pPr>
      <w:r w:rsidRPr="00AE474E">
        <w:rPr>
          <w:b/>
          <w:sz w:val="20"/>
          <w:szCs w:val="20"/>
        </w:rPr>
        <w:t>Zdroj:</w:t>
      </w:r>
      <w:r w:rsidRPr="00AE474E">
        <w:rPr>
          <w:sz w:val="20"/>
          <w:szCs w:val="20"/>
        </w:rPr>
        <w:t xml:space="preserve"> </w:t>
      </w:r>
      <w:r w:rsidR="00AE474E">
        <w:rPr>
          <w:sz w:val="20"/>
          <w:szCs w:val="20"/>
        </w:rPr>
        <w:tab/>
      </w:r>
      <w:r w:rsidRPr="00AE474E">
        <w:rPr>
          <w:sz w:val="20"/>
          <w:szCs w:val="20"/>
        </w:rPr>
        <w:t xml:space="preserve">Studie ICCT; studie </w:t>
      </w:r>
      <w:r w:rsidRPr="00E17896">
        <w:rPr>
          <w:i/>
          <w:sz w:val="20"/>
          <w:szCs w:val="20"/>
        </w:rPr>
        <w:t>Analýza zpoplatnění a zdanění vozidel</w:t>
      </w:r>
      <w:r w:rsidRPr="00AE474E">
        <w:rPr>
          <w:sz w:val="20"/>
          <w:szCs w:val="20"/>
        </w:rPr>
        <w:t xml:space="preserve">; studie </w:t>
      </w:r>
      <w:r w:rsidRPr="00E17896">
        <w:rPr>
          <w:i/>
          <w:sz w:val="20"/>
          <w:szCs w:val="20"/>
        </w:rPr>
        <w:t>Analýza zavedení opatření k podpoře nákupu osobních vozidel šetrných k životnímu prostředí (bonus/malus)</w:t>
      </w:r>
      <w:r w:rsidRPr="00AE474E">
        <w:rPr>
          <w:sz w:val="20"/>
          <w:szCs w:val="20"/>
        </w:rPr>
        <w:t xml:space="preserve">; </w:t>
      </w:r>
      <w:hyperlink r:id="rId28" w:history="1">
        <w:r w:rsidR="0065347E" w:rsidRPr="00DA752B">
          <w:rPr>
            <w:rStyle w:val="Hypertextovodkaz"/>
            <w:sz w:val="20"/>
            <w:szCs w:val="20"/>
            <w:u w:val="none"/>
          </w:rPr>
          <w:t>https://www.tolls.eu/cs/europe</w:t>
        </w:r>
      </w:hyperlink>
      <w:r w:rsidR="0065347E" w:rsidRPr="00AE474E">
        <w:rPr>
          <w:sz w:val="20"/>
          <w:szCs w:val="20"/>
        </w:rPr>
        <w:t>; dotazn</w:t>
      </w:r>
      <w:r w:rsidR="004E5B0A" w:rsidRPr="00AE474E">
        <w:rPr>
          <w:sz w:val="20"/>
          <w:szCs w:val="20"/>
        </w:rPr>
        <w:t>ík NKÚ.</w:t>
      </w:r>
    </w:p>
    <w:p w14:paraId="1E1C09B7" w14:textId="77777777" w:rsidR="00B24EB6" w:rsidRPr="00AE474E" w:rsidRDefault="0051469A" w:rsidP="00AA240F">
      <w:pPr>
        <w:keepNext/>
        <w:keepLines/>
        <w:spacing w:after="0"/>
        <w:ind w:left="567" w:hanging="567"/>
        <w:rPr>
          <w:sz w:val="20"/>
          <w:szCs w:val="20"/>
        </w:rPr>
      </w:pPr>
      <w:r w:rsidRPr="00AE474E">
        <w:rPr>
          <w:b/>
          <w:sz w:val="20"/>
          <w:szCs w:val="20"/>
        </w:rPr>
        <w:t>Pozn.:</w:t>
      </w:r>
      <w:r w:rsidRPr="00AE474E">
        <w:rPr>
          <w:sz w:val="20"/>
          <w:szCs w:val="20"/>
        </w:rPr>
        <w:t xml:space="preserve"> Silniční poplatky = platby za používání silnic, dálnic, tunelů, mostů, vč. mýtného či dálničních poplatků.</w:t>
      </w:r>
    </w:p>
    <w:p w14:paraId="34AD6DE0" w14:textId="316CDEFD" w:rsidR="00B24EB6" w:rsidRPr="00AE474E" w:rsidRDefault="0051469A" w:rsidP="00AA240F">
      <w:pPr>
        <w:keepNext/>
        <w:keepLines/>
        <w:spacing w:after="0"/>
        <w:ind w:left="567"/>
        <w:rPr>
          <w:sz w:val="20"/>
          <w:szCs w:val="20"/>
        </w:rPr>
      </w:pPr>
      <w:r w:rsidRPr="00AE474E">
        <w:rPr>
          <w:sz w:val="20"/>
          <w:szCs w:val="20"/>
        </w:rPr>
        <w:t>Řecko uplatňuje osvobození od daně z</w:t>
      </w:r>
      <w:r w:rsidR="004E5B0A" w:rsidRPr="00AE474E">
        <w:rPr>
          <w:sz w:val="20"/>
          <w:szCs w:val="20"/>
        </w:rPr>
        <w:t> </w:t>
      </w:r>
      <w:r w:rsidRPr="00AE474E">
        <w:rPr>
          <w:sz w:val="20"/>
          <w:szCs w:val="20"/>
        </w:rPr>
        <w:t>luxusu</w:t>
      </w:r>
      <w:r w:rsidR="00396D77">
        <w:rPr>
          <w:sz w:val="20"/>
          <w:szCs w:val="20"/>
        </w:rPr>
        <w:t>.</w:t>
      </w:r>
    </w:p>
    <w:p w14:paraId="7C5CED48" w14:textId="1AEFB994" w:rsidR="004E5B0A" w:rsidRPr="00E17896" w:rsidRDefault="0051469A" w:rsidP="00AA240F">
      <w:pPr>
        <w:keepNext/>
        <w:keepLines/>
        <w:spacing w:after="0"/>
        <w:rPr>
          <w:b/>
          <w:sz w:val="20"/>
          <w:szCs w:val="20"/>
        </w:rPr>
      </w:pPr>
      <w:r w:rsidRPr="00E17896">
        <w:rPr>
          <w:b/>
          <w:sz w:val="20"/>
          <w:szCs w:val="20"/>
        </w:rPr>
        <w:t>Vysvětlivky</w:t>
      </w:r>
      <w:r w:rsidR="00396D77">
        <w:rPr>
          <w:b/>
          <w:sz w:val="20"/>
          <w:szCs w:val="20"/>
        </w:rPr>
        <w:t>:</w:t>
      </w:r>
      <w:r w:rsidRPr="00E17896">
        <w:rPr>
          <w:b/>
          <w:sz w:val="20"/>
          <w:szCs w:val="20"/>
        </w:rPr>
        <w:t xml:space="preserve"> </w:t>
      </w:r>
    </w:p>
    <w:tbl>
      <w:tblPr>
        <w:tblW w:w="8154" w:type="dxa"/>
        <w:tblInd w:w="70" w:type="dxa"/>
        <w:tblCellMar>
          <w:left w:w="70" w:type="dxa"/>
          <w:right w:w="70" w:type="dxa"/>
        </w:tblCellMar>
        <w:tblLook w:val="04A0" w:firstRow="1" w:lastRow="0" w:firstColumn="1" w:lastColumn="0" w:noHBand="0" w:noVBand="1"/>
      </w:tblPr>
      <w:tblGrid>
        <w:gridCol w:w="567"/>
        <w:gridCol w:w="7587"/>
      </w:tblGrid>
      <w:tr w:rsidR="00121435" w14:paraId="0B666AA2" w14:textId="77777777" w:rsidTr="00532531">
        <w:trPr>
          <w:trHeight w:val="57"/>
        </w:trPr>
        <w:tc>
          <w:tcPr>
            <w:tcW w:w="567" w:type="dxa"/>
            <w:shd w:val="clear" w:color="auto" w:fill="auto"/>
            <w:noWrap/>
            <w:vAlign w:val="center"/>
            <w:hideMark/>
          </w:tcPr>
          <w:p w14:paraId="1407EB3B" w14:textId="77777777" w:rsidR="00B24EB6" w:rsidRPr="009324CA" w:rsidRDefault="0051469A" w:rsidP="00532531">
            <w:pPr>
              <w:spacing w:after="0"/>
              <w:jc w:val="left"/>
              <w:rPr>
                <w:rFonts w:cs="Calibri"/>
                <w:color w:val="000000"/>
                <w:sz w:val="20"/>
                <w:szCs w:val="20"/>
                <w:lang w:eastAsia="cs-CZ"/>
              </w:rPr>
            </w:pPr>
            <w:r w:rsidRPr="009324CA">
              <w:rPr>
                <w:rFonts w:cs="Calibri"/>
                <w:color w:val="000000"/>
                <w:sz w:val="20"/>
                <w:szCs w:val="20"/>
                <w:lang w:eastAsia="cs-CZ"/>
              </w:rPr>
              <w:t>x</w:t>
            </w:r>
          </w:p>
        </w:tc>
        <w:tc>
          <w:tcPr>
            <w:tcW w:w="7587" w:type="dxa"/>
            <w:shd w:val="clear" w:color="auto" w:fill="auto"/>
            <w:noWrap/>
            <w:vAlign w:val="center"/>
            <w:hideMark/>
          </w:tcPr>
          <w:p w14:paraId="0ED7E485" w14:textId="0AC9BFEC" w:rsidR="00B24EB6" w:rsidRPr="009324CA" w:rsidRDefault="00396D77" w:rsidP="009324CA">
            <w:pPr>
              <w:spacing w:after="0"/>
              <w:jc w:val="left"/>
              <w:rPr>
                <w:rFonts w:cs="Calibri"/>
                <w:color w:val="000000"/>
                <w:sz w:val="20"/>
                <w:szCs w:val="20"/>
                <w:lang w:eastAsia="cs-CZ"/>
              </w:rPr>
            </w:pPr>
            <w:r>
              <w:rPr>
                <w:rFonts w:cs="Calibri"/>
                <w:color w:val="000000"/>
                <w:sz w:val="20"/>
                <w:szCs w:val="20"/>
                <w:lang w:eastAsia="cs-CZ"/>
              </w:rPr>
              <w:t>D</w:t>
            </w:r>
            <w:r w:rsidR="0051469A" w:rsidRPr="009324CA">
              <w:rPr>
                <w:rFonts w:cs="Calibri"/>
                <w:color w:val="000000"/>
                <w:sz w:val="20"/>
                <w:szCs w:val="20"/>
                <w:lang w:eastAsia="cs-CZ"/>
              </w:rPr>
              <w:t>aně či poplatky jsou ve státě zavedeny</w:t>
            </w:r>
            <w:r>
              <w:rPr>
                <w:rFonts w:cs="Calibri"/>
                <w:color w:val="000000"/>
                <w:sz w:val="20"/>
                <w:szCs w:val="20"/>
                <w:lang w:eastAsia="cs-CZ"/>
              </w:rPr>
              <w:t>.</w:t>
            </w:r>
          </w:p>
        </w:tc>
      </w:tr>
      <w:tr w:rsidR="00121435" w14:paraId="4A1A725A" w14:textId="77777777" w:rsidTr="00532531">
        <w:trPr>
          <w:trHeight w:val="79"/>
        </w:trPr>
        <w:tc>
          <w:tcPr>
            <w:tcW w:w="567" w:type="dxa"/>
            <w:shd w:val="clear" w:color="auto" w:fill="auto"/>
            <w:noWrap/>
            <w:vAlign w:val="center"/>
            <w:hideMark/>
          </w:tcPr>
          <w:p w14:paraId="731571AF" w14:textId="77777777" w:rsidR="00B24EB6" w:rsidRPr="009324CA" w:rsidRDefault="0051469A" w:rsidP="00532531">
            <w:pPr>
              <w:spacing w:after="0"/>
              <w:jc w:val="left"/>
              <w:rPr>
                <w:rFonts w:cs="Calibri"/>
                <w:color w:val="000000"/>
                <w:sz w:val="20"/>
                <w:szCs w:val="20"/>
                <w:lang w:eastAsia="cs-CZ"/>
              </w:rPr>
            </w:pPr>
            <w:r w:rsidRPr="009324CA">
              <w:rPr>
                <w:rFonts w:cs="Calibri"/>
                <w:color w:val="000000"/>
                <w:sz w:val="20"/>
                <w:szCs w:val="20"/>
                <w:lang w:eastAsia="cs-CZ"/>
              </w:rPr>
              <w:t>•</w:t>
            </w:r>
          </w:p>
        </w:tc>
        <w:tc>
          <w:tcPr>
            <w:tcW w:w="7587" w:type="dxa"/>
            <w:shd w:val="clear" w:color="auto" w:fill="auto"/>
            <w:noWrap/>
            <w:vAlign w:val="center"/>
            <w:hideMark/>
          </w:tcPr>
          <w:p w14:paraId="18B7468E" w14:textId="78D47927" w:rsidR="00B24EB6" w:rsidRPr="009324CA" w:rsidRDefault="00396D77" w:rsidP="009324CA">
            <w:pPr>
              <w:spacing w:after="0"/>
              <w:jc w:val="left"/>
              <w:rPr>
                <w:rFonts w:cs="Calibri"/>
                <w:color w:val="000000"/>
                <w:sz w:val="20"/>
                <w:szCs w:val="20"/>
                <w:lang w:eastAsia="cs-CZ"/>
              </w:rPr>
            </w:pPr>
            <w:r>
              <w:rPr>
                <w:rFonts w:cs="Calibri"/>
                <w:color w:val="000000"/>
                <w:sz w:val="20"/>
                <w:szCs w:val="20"/>
                <w:lang w:eastAsia="cs-CZ"/>
              </w:rPr>
              <w:t>V</w:t>
            </w:r>
            <w:r w:rsidR="0051469A" w:rsidRPr="009324CA">
              <w:rPr>
                <w:rFonts w:cs="Calibri"/>
                <w:color w:val="000000"/>
                <w:sz w:val="20"/>
                <w:szCs w:val="20"/>
                <w:lang w:eastAsia="cs-CZ"/>
              </w:rPr>
              <w:t>ýhody pro nízkoemisní vozidla</w:t>
            </w:r>
            <w:r>
              <w:rPr>
                <w:rFonts w:cs="Calibri"/>
                <w:color w:val="000000"/>
                <w:sz w:val="20"/>
                <w:szCs w:val="20"/>
                <w:lang w:eastAsia="cs-CZ"/>
              </w:rPr>
              <w:t>.</w:t>
            </w:r>
          </w:p>
        </w:tc>
      </w:tr>
      <w:tr w:rsidR="00121435" w14:paraId="5BECA221" w14:textId="77777777" w:rsidTr="00532531">
        <w:trPr>
          <w:trHeight w:val="171"/>
        </w:trPr>
        <w:tc>
          <w:tcPr>
            <w:tcW w:w="567" w:type="dxa"/>
            <w:shd w:val="clear" w:color="000000" w:fill="F2C6C9"/>
            <w:noWrap/>
            <w:vAlign w:val="center"/>
            <w:hideMark/>
          </w:tcPr>
          <w:p w14:paraId="73A1CC72" w14:textId="77777777" w:rsidR="00B24EB6" w:rsidRPr="009324CA" w:rsidRDefault="00B24EB6" w:rsidP="00532531">
            <w:pPr>
              <w:spacing w:after="0"/>
              <w:jc w:val="left"/>
              <w:rPr>
                <w:rFonts w:cs="Calibri"/>
                <w:color w:val="000000"/>
                <w:sz w:val="20"/>
                <w:szCs w:val="20"/>
                <w:lang w:eastAsia="cs-CZ"/>
              </w:rPr>
            </w:pPr>
          </w:p>
        </w:tc>
        <w:tc>
          <w:tcPr>
            <w:tcW w:w="7587" w:type="dxa"/>
            <w:shd w:val="clear" w:color="auto" w:fill="auto"/>
            <w:noWrap/>
            <w:vAlign w:val="center"/>
            <w:hideMark/>
          </w:tcPr>
          <w:p w14:paraId="212D24E1" w14:textId="0A38C4C2" w:rsidR="00B24EB6" w:rsidRPr="009324CA" w:rsidRDefault="00396D77" w:rsidP="009324CA">
            <w:pPr>
              <w:spacing w:after="0"/>
              <w:jc w:val="left"/>
              <w:rPr>
                <w:rFonts w:cs="Calibri"/>
                <w:color w:val="000000"/>
                <w:sz w:val="20"/>
                <w:szCs w:val="20"/>
                <w:lang w:eastAsia="cs-CZ"/>
              </w:rPr>
            </w:pPr>
            <w:r>
              <w:rPr>
                <w:rFonts w:cs="Calibri"/>
                <w:color w:val="000000"/>
                <w:sz w:val="20"/>
                <w:szCs w:val="20"/>
                <w:lang w:eastAsia="cs-CZ"/>
              </w:rPr>
              <w:t>D</w:t>
            </w:r>
            <w:r w:rsidR="0051469A" w:rsidRPr="009324CA">
              <w:rPr>
                <w:rFonts w:cs="Calibri"/>
                <w:color w:val="000000"/>
                <w:sz w:val="20"/>
                <w:szCs w:val="20"/>
                <w:lang w:eastAsia="cs-CZ"/>
              </w:rPr>
              <w:t>aně či poplatky vybírány na základě emisí</w:t>
            </w:r>
            <w:r>
              <w:rPr>
                <w:rFonts w:cs="Calibri"/>
                <w:color w:val="000000"/>
                <w:sz w:val="20"/>
                <w:szCs w:val="20"/>
                <w:lang w:eastAsia="cs-CZ"/>
              </w:rPr>
              <w:t>.</w:t>
            </w:r>
          </w:p>
        </w:tc>
      </w:tr>
      <w:tr w:rsidR="00121435" w14:paraId="546DAE2A" w14:textId="77777777" w:rsidTr="00532531">
        <w:trPr>
          <w:trHeight w:val="85"/>
        </w:trPr>
        <w:tc>
          <w:tcPr>
            <w:tcW w:w="567" w:type="dxa"/>
            <w:shd w:val="clear" w:color="auto" w:fill="auto"/>
            <w:noWrap/>
            <w:vAlign w:val="center"/>
            <w:hideMark/>
          </w:tcPr>
          <w:p w14:paraId="2014B664" w14:textId="77777777" w:rsidR="00B24EB6" w:rsidRPr="009324CA" w:rsidRDefault="0051469A" w:rsidP="00532531">
            <w:pPr>
              <w:spacing w:after="0"/>
              <w:jc w:val="left"/>
              <w:rPr>
                <w:rFonts w:cs="Calibri"/>
                <w:color w:val="000000"/>
                <w:sz w:val="20"/>
                <w:szCs w:val="20"/>
                <w:lang w:eastAsia="cs-CZ"/>
              </w:rPr>
            </w:pPr>
            <w:r w:rsidRPr="009324CA">
              <w:rPr>
                <w:rFonts w:cs="Calibri"/>
                <w:color w:val="000000"/>
                <w:sz w:val="20"/>
                <w:szCs w:val="20"/>
                <w:lang w:eastAsia="cs-CZ"/>
              </w:rPr>
              <w:t>-</w:t>
            </w:r>
          </w:p>
        </w:tc>
        <w:tc>
          <w:tcPr>
            <w:tcW w:w="7587" w:type="dxa"/>
            <w:shd w:val="clear" w:color="auto" w:fill="auto"/>
            <w:noWrap/>
            <w:vAlign w:val="center"/>
            <w:hideMark/>
          </w:tcPr>
          <w:p w14:paraId="55A5CB1B" w14:textId="3EE0F60E" w:rsidR="00B24EB6" w:rsidRPr="009324CA" w:rsidRDefault="00396D77" w:rsidP="009324CA">
            <w:pPr>
              <w:spacing w:after="0"/>
              <w:jc w:val="left"/>
              <w:rPr>
                <w:rFonts w:cs="Calibri"/>
                <w:color w:val="000000"/>
                <w:sz w:val="20"/>
                <w:szCs w:val="20"/>
                <w:lang w:eastAsia="cs-CZ"/>
              </w:rPr>
            </w:pPr>
            <w:r>
              <w:rPr>
                <w:rFonts w:cs="Calibri"/>
                <w:color w:val="000000"/>
                <w:sz w:val="20"/>
                <w:szCs w:val="20"/>
                <w:lang w:eastAsia="cs-CZ"/>
              </w:rPr>
              <w:t>I</w:t>
            </w:r>
            <w:r w:rsidR="0051469A" w:rsidRPr="009324CA">
              <w:rPr>
                <w:rFonts w:cs="Calibri"/>
                <w:color w:val="000000"/>
                <w:sz w:val="20"/>
                <w:szCs w:val="20"/>
                <w:lang w:eastAsia="cs-CZ"/>
              </w:rPr>
              <w:t>nformace nebylo možné zjistit</w:t>
            </w:r>
            <w:r>
              <w:rPr>
                <w:rFonts w:cs="Calibri"/>
                <w:color w:val="000000"/>
                <w:sz w:val="20"/>
                <w:szCs w:val="20"/>
                <w:lang w:eastAsia="cs-CZ"/>
              </w:rPr>
              <w:t>.</w:t>
            </w:r>
          </w:p>
        </w:tc>
      </w:tr>
    </w:tbl>
    <w:p w14:paraId="0EBF558E" w14:textId="1C7472D3" w:rsidR="003B269C" w:rsidRDefault="0051469A" w:rsidP="00AA240F">
      <w:pPr>
        <w:pBdr>
          <w:between w:val="single" w:sz="4" w:space="1" w:color="auto"/>
        </w:pBdr>
        <w:spacing w:before="120"/>
      </w:pPr>
      <w:r>
        <w:t>NKÚ ověřil dopady daňových opatření na vybraných ukazatelích</w:t>
      </w:r>
      <w:r w:rsidR="002263CD">
        <w:t xml:space="preserve"> v sektoru dopravy</w:t>
      </w:r>
      <w:r w:rsidR="00C21053">
        <w:t xml:space="preserve"> (</w:t>
      </w:r>
      <w:r>
        <w:t xml:space="preserve">viz </w:t>
      </w:r>
      <w:r w:rsidRPr="00E140DB">
        <w:t>tab</w:t>
      </w:r>
      <w:r w:rsidR="0009644C" w:rsidRPr="00E140DB">
        <w:t xml:space="preserve">ulka </w:t>
      </w:r>
      <w:r w:rsidRPr="00E140DB">
        <w:t>č</w:t>
      </w:r>
      <w:r w:rsidR="0008159A" w:rsidRPr="00E140DB">
        <w:t>. </w:t>
      </w:r>
      <w:r w:rsidR="003B76D1" w:rsidRPr="00E140DB">
        <w:t>4</w:t>
      </w:r>
      <w:r w:rsidR="00C21053" w:rsidRPr="00E140DB">
        <w:t>)</w:t>
      </w:r>
      <w:r w:rsidRPr="00E140DB">
        <w:t xml:space="preserve">, přičemž zohlednil vývoj mezi roky </w:t>
      </w:r>
      <w:r w:rsidR="009C5727" w:rsidRPr="00E140DB">
        <w:t>2015–</w:t>
      </w:r>
      <w:r w:rsidR="0009644C" w:rsidRPr="00E140DB">
        <w:t>2018</w:t>
      </w:r>
      <w:r w:rsidR="00057DAC">
        <w:t>, resp. 2010–</w:t>
      </w:r>
      <w:r w:rsidR="009512F7" w:rsidRPr="00E140DB">
        <w:t>2018</w:t>
      </w:r>
      <w:r w:rsidR="00BE6380" w:rsidRPr="00E140DB">
        <w:t>.</w:t>
      </w:r>
      <w:r w:rsidR="00BE0747" w:rsidRPr="00E140DB">
        <w:t xml:space="preserve"> Tyto ukazatele NK</w:t>
      </w:r>
      <w:r w:rsidR="00BE0747" w:rsidRPr="0009644C">
        <w:t xml:space="preserve">Ú dále </w:t>
      </w:r>
      <w:r w:rsidR="009A6BAF" w:rsidRPr="0009644C">
        <w:t>aplikoval</w:t>
      </w:r>
      <w:r w:rsidR="00BE0747" w:rsidRPr="0009644C">
        <w:t xml:space="preserve"> při hodnocení zjištěného stavu nastavení</w:t>
      </w:r>
      <w:r w:rsidR="00BE0747">
        <w:t xml:space="preserve"> systému j</w:t>
      </w:r>
      <w:r w:rsidR="00FC3BCF">
        <w:t>ednotlivých daní a následně pro</w:t>
      </w:r>
      <w:r w:rsidR="00396D77">
        <w:t xml:space="preserve"> </w:t>
      </w:r>
      <w:r w:rsidR="00BE0747">
        <w:t xml:space="preserve">vyhodnocení nastavení celkového daňového systému dotýkajícího se sektoru </w:t>
      </w:r>
      <w:r w:rsidR="00FC3BCF">
        <w:t>dopravy se</w:t>
      </w:r>
      <w:r w:rsidR="00396D77">
        <w:t xml:space="preserve"> </w:t>
      </w:r>
      <w:r w:rsidR="00BE0747">
        <w:t>zaměřením na plnění cílů KEP</w:t>
      </w:r>
      <w:r w:rsidR="00BE0747" w:rsidRPr="00EC0ECB">
        <w:t>. Z</w:t>
      </w:r>
      <w:r w:rsidR="00F00394" w:rsidRPr="00EC0ECB">
        <w:t xml:space="preserve"> první části </w:t>
      </w:r>
      <w:r w:rsidR="00BE0747" w:rsidRPr="00EC0ECB">
        <w:t xml:space="preserve">tabulky </w:t>
      </w:r>
      <w:r w:rsidR="00121FA2" w:rsidRPr="00EC0ECB">
        <w:t xml:space="preserve">č. 4 </w:t>
      </w:r>
      <w:r w:rsidR="00BE0747" w:rsidRPr="00EC0ECB">
        <w:t>vyplývá, že</w:t>
      </w:r>
      <w:r w:rsidR="00E72E1D" w:rsidRPr="00EC0ECB">
        <w:t xml:space="preserve"> stavy</w:t>
      </w:r>
      <w:r w:rsidR="00BE0747" w:rsidRPr="00EC0ECB">
        <w:t xml:space="preserve"> sledovan</w:t>
      </w:r>
      <w:r w:rsidR="00E72E1D" w:rsidRPr="00EC0ECB">
        <w:t>ých ukazatelů</w:t>
      </w:r>
      <w:r w:rsidR="00121FA2" w:rsidRPr="00EC0ECB">
        <w:t xml:space="preserve"> v sektoru dopravy</w:t>
      </w:r>
      <w:r w:rsidR="00C21053" w:rsidRPr="00EC0ECB">
        <w:t xml:space="preserve"> ČR</w:t>
      </w:r>
      <w:r w:rsidR="00F00394" w:rsidRPr="00EC0ECB">
        <w:t xml:space="preserve"> se zhoršují a tempo p</w:t>
      </w:r>
      <w:r w:rsidR="006F2E60" w:rsidRPr="00EC0ECB">
        <w:t>řírů</w:t>
      </w:r>
      <w:r w:rsidR="00F00394" w:rsidRPr="00EC0ECB">
        <w:t>stku individuální automobilové dopr</w:t>
      </w:r>
      <w:r w:rsidR="006F2E60" w:rsidRPr="00EC0ECB">
        <w:t>a</w:t>
      </w:r>
      <w:r w:rsidR="00F00394" w:rsidRPr="00EC0ECB">
        <w:t xml:space="preserve">vy je </w:t>
      </w:r>
      <w:r w:rsidR="006F2E60" w:rsidRPr="00EC0ECB">
        <w:t xml:space="preserve">vyšší </w:t>
      </w:r>
      <w:r w:rsidR="00EC0ECB">
        <w:t>než u veřejné dopravy.</w:t>
      </w:r>
      <w:r w:rsidR="00B865C1">
        <w:t xml:space="preserve"> </w:t>
      </w:r>
      <w:r w:rsidR="00EC0ECB">
        <w:t>U veřejné dopravy se od roku 2019 uplatňuje druhá snížená sazba DPH</w:t>
      </w:r>
      <w:r w:rsidR="00E009EF">
        <w:t>.</w:t>
      </w:r>
      <w:r w:rsidR="00EC0ECB">
        <w:t xml:space="preserve"> </w:t>
      </w:r>
      <w:r w:rsidR="00EC0ECB">
        <w:lastRenderedPageBreak/>
        <w:t xml:space="preserve">NKÚ její dopady nemohl </w:t>
      </w:r>
      <w:r w:rsidR="00B865C1">
        <w:t xml:space="preserve">pro její krátkou účinnost </w:t>
      </w:r>
      <w:r w:rsidR="00EC0ECB">
        <w:t>ověřit</w:t>
      </w:r>
      <w:r w:rsidR="00B865C1">
        <w:t>.</w:t>
      </w:r>
      <w:r w:rsidR="00EC0ECB">
        <w:t xml:space="preserve"> </w:t>
      </w:r>
      <w:r w:rsidR="00DF7DA6" w:rsidRPr="00EC0ECB">
        <w:t>Z druhé části tabulky č. 4</w:t>
      </w:r>
      <w:r w:rsidR="00121FA2" w:rsidRPr="00EC0ECB">
        <w:t xml:space="preserve"> </w:t>
      </w:r>
      <w:r w:rsidR="008368F8" w:rsidRPr="00EC0ECB">
        <w:t xml:space="preserve">je zřejmé, že sledované ukazatele </w:t>
      </w:r>
      <w:r w:rsidR="00121FA2" w:rsidRPr="00EC0ECB">
        <w:t>nedosahují průměru v</w:t>
      </w:r>
      <w:r w:rsidR="008368F8" w:rsidRPr="00EC0ECB">
        <w:t> </w:t>
      </w:r>
      <w:r w:rsidR="00121FA2" w:rsidRPr="00EC0ECB">
        <w:t>EU</w:t>
      </w:r>
      <w:r w:rsidR="008368F8" w:rsidRPr="00EC0ECB">
        <w:t>.</w:t>
      </w:r>
    </w:p>
    <w:p w14:paraId="5D41E953" w14:textId="77777777" w:rsidR="00253766" w:rsidRDefault="00AA240F" w:rsidP="00AA240F">
      <w:pPr>
        <w:pStyle w:val="Tabulka"/>
        <w:numPr>
          <w:ilvl w:val="0"/>
          <w:numId w:val="0"/>
        </w:numPr>
        <w:spacing w:after="40"/>
      </w:pPr>
      <w:r>
        <w:t>Tabulka č. </w:t>
      </w:r>
      <w:r w:rsidR="00915E43">
        <w:t>4:</w:t>
      </w:r>
      <w:r>
        <w:t xml:space="preserve"> </w:t>
      </w:r>
      <w:r w:rsidR="0051469A">
        <w:t xml:space="preserve">Sledované ukazatele </w:t>
      </w:r>
    </w:p>
    <w:tbl>
      <w:tblPr>
        <w:tblW w:w="5022" w:type="pct"/>
        <w:tblInd w:w="-1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5817"/>
        <w:gridCol w:w="1133"/>
        <w:gridCol w:w="1133"/>
        <w:gridCol w:w="1011"/>
      </w:tblGrid>
      <w:tr w:rsidR="00354542" w:rsidRPr="004E6742" w14:paraId="42879221"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4F1FF"/>
            <w:noWrap/>
            <w:tcMar>
              <w:top w:w="0" w:type="dxa"/>
              <w:left w:w="70" w:type="dxa"/>
              <w:bottom w:w="0" w:type="dxa"/>
              <w:right w:w="70" w:type="dxa"/>
            </w:tcMar>
            <w:vAlign w:val="center"/>
            <w:hideMark/>
          </w:tcPr>
          <w:p w14:paraId="44A0EC98" w14:textId="77777777" w:rsidR="00F00394" w:rsidRPr="004E6742" w:rsidRDefault="004E6742" w:rsidP="004E6742">
            <w:pPr>
              <w:spacing w:after="0"/>
              <w:jc w:val="center"/>
              <w:rPr>
                <w:rFonts w:eastAsia="Calibri" w:cs="Calibri"/>
                <w:b/>
                <w:bCs/>
                <w:sz w:val="20"/>
                <w:szCs w:val="20"/>
                <w:lang w:eastAsia="cs-CZ"/>
              </w:rPr>
            </w:pPr>
            <w:r>
              <w:rPr>
                <w:rFonts w:eastAsia="Calibri" w:cs="Calibri"/>
                <w:b/>
                <w:bCs/>
                <w:sz w:val="20"/>
                <w:szCs w:val="20"/>
                <w:lang w:eastAsia="cs-CZ"/>
              </w:rPr>
              <w:t>Ukazatel</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4F1FF"/>
            <w:noWrap/>
            <w:tcMar>
              <w:top w:w="0" w:type="dxa"/>
              <w:left w:w="70" w:type="dxa"/>
              <w:bottom w:w="0" w:type="dxa"/>
              <w:right w:w="70" w:type="dxa"/>
            </w:tcMar>
            <w:vAlign w:val="center"/>
            <w:hideMark/>
          </w:tcPr>
          <w:p w14:paraId="6CA15C15" w14:textId="77777777" w:rsidR="00F00394" w:rsidRPr="004E6742" w:rsidRDefault="00F00394" w:rsidP="004E6742">
            <w:pPr>
              <w:spacing w:after="0"/>
              <w:jc w:val="center"/>
              <w:rPr>
                <w:rFonts w:eastAsia="Calibri" w:cs="Calibri"/>
                <w:b/>
                <w:bCs/>
                <w:sz w:val="20"/>
                <w:szCs w:val="20"/>
                <w:lang w:eastAsia="cs-CZ"/>
              </w:rPr>
            </w:pPr>
            <w:r w:rsidRPr="004E6742">
              <w:rPr>
                <w:rFonts w:eastAsia="Calibri" w:cs="Calibri"/>
                <w:b/>
                <w:bCs/>
                <w:sz w:val="20"/>
                <w:szCs w:val="20"/>
                <w:lang w:eastAsia="cs-CZ"/>
              </w:rPr>
              <w:t>2010</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4F1FF"/>
            <w:noWrap/>
            <w:tcMar>
              <w:top w:w="0" w:type="dxa"/>
              <w:left w:w="70" w:type="dxa"/>
              <w:bottom w:w="0" w:type="dxa"/>
              <w:right w:w="70" w:type="dxa"/>
            </w:tcMar>
            <w:vAlign w:val="center"/>
            <w:hideMark/>
          </w:tcPr>
          <w:p w14:paraId="05567BCE" w14:textId="77777777" w:rsidR="00F00394" w:rsidRPr="004E6742" w:rsidRDefault="00F00394" w:rsidP="004E6742">
            <w:pPr>
              <w:spacing w:after="0"/>
              <w:jc w:val="center"/>
              <w:rPr>
                <w:rFonts w:eastAsia="Calibri" w:cs="Calibri"/>
                <w:b/>
                <w:bCs/>
                <w:sz w:val="20"/>
                <w:szCs w:val="20"/>
                <w:lang w:eastAsia="cs-CZ"/>
              </w:rPr>
            </w:pPr>
            <w:r w:rsidRPr="004E6742">
              <w:rPr>
                <w:rFonts w:eastAsia="Calibri" w:cs="Calibri"/>
                <w:b/>
                <w:bCs/>
                <w:sz w:val="20"/>
                <w:szCs w:val="20"/>
                <w:lang w:eastAsia="cs-CZ"/>
              </w:rPr>
              <w:t>2015</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4F1FF"/>
            <w:noWrap/>
            <w:tcMar>
              <w:top w:w="0" w:type="dxa"/>
              <w:left w:w="70" w:type="dxa"/>
              <w:bottom w:w="0" w:type="dxa"/>
              <w:right w:w="70" w:type="dxa"/>
            </w:tcMar>
            <w:vAlign w:val="center"/>
            <w:hideMark/>
          </w:tcPr>
          <w:p w14:paraId="61D85025" w14:textId="77777777" w:rsidR="00F00394" w:rsidRPr="004E6742" w:rsidRDefault="00F00394" w:rsidP="004E6742">
            <w:pPr>
              <w:spacing w:after="0"/>
              <w:jc w:val="center"/>
              <w:rPr>
                <w:rFonts w:eastAsia="Calibri" w:cs="Calibri"/>
                <w:b/>
                <w:bCs/>
                <w:sz w:val="20"/>
                <w:szCs w:val="20"/>
                <w:lang w:eastAsia="cs-CZ"/>
              </w:rPr>
            </w:pPr>
            <w:r w:rsidRPr="004E6742">
              <w:rPr>
                <w:rFonts w:eastAsia="Calibri" w:cs="Calibri"/>
                <w:b/>
                <w:bCs/>
                <w:sz w:val="20"/>
                <w:szCs w:val="20"/>
                <w:lang w:eastAsia="cs-CZ"/>
              </w:rPr>
              <w:t>2018</w:t>
            </w:r>
          </w:p>
        </w:tc>
      </w:tr>
      <w:tr w:rsidR="00354542" w:rsidRPr="004E6742" w14:paraId="4F9F07A4"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hideMark/>
          </w:tcPr>
          <w:p w14:paraId="65FDCB09" w14:textId="77777777" w:rsidR="00F00394" w:rsidRPr="004E6742" w:rsidRDefault="00F00394" w:rsidP="004E6742">
            <w:pPr>
              <w:spacing w:after="0"/>
              <w:jc w:val="left"/>
              <w:rPr>
                <w:rFonts w:eastAsia="Calibri" w:cs="Calibri"/>
                <w:sz w:val="20"/>
                <w:szCs w:val="20"/>
                <w:lang w:eastAsia="cs-CZ"/>
              </w:rPr>
            </w:pPr>
            <w:r w:rsidRPr="004E6742">
              <w:rPr>
                <w:rFonts w:eastAsia="Calibri" w:cs="Calibri"/>
                <w:sz w:val="20"/>
                <w:szCs w:val="20"/>
                <w:lang w:eastAsia="cs-CZ"/>
              </w:rPr>
              <w:t xml:space="preserve">Podíl % registrovaných osobních vozidel s objemem </w:t>
            </w:r>
            <w:r w:rsidRPr="004E6742">
              <w:rPr>
                <w:rFonts w:eastAsia="Calibri" w:cs="Calibri"/>
                <w:color w:val="000000"/>
                <w:sz w:val="20"/>
                <w:szCs w:val="20"/>
                <w:lang w:eastAsia="cs-CZ"/>
              </w:rPr>
              <w:t>2 000 cm</w:t>
            </w:r>
            <w:r w:rsidRPr="004E6742">
              <w:rPr>
                <w:rFonts w:eastAsia="Calibri" w:cs="Calibri"/>
                <w:color w:val="000000"/>
                <w:sz w:val="20"/>
                <w:szCs w:val="20"/>
                <w:vertAlign w:val="superscript"/>
                <w:lang w:eastAsia="cs-CZ"/>
              </w:rPr>
              <w:t>3</w:t>
            </w:r>
            <w:r w:rsidRPr="004E6742">
              <w:rPr>
                <w:rFonts w:eastAsia="Calibri" w:cs="Calibri"/>
                <w:color w:val="000000"/>
                <w:sz w:val="20"/>
                <w:szCs w:val="20"/>
                <w:lang w:eastAsia="cs-CZ"/>
              </w:rPr>
              <w:t xml:space="preserve"> a více</w:t>
            </w:r>
            <w:r w:rsidRPr="004E6742">
              <w:rPr>
                <w:rFonts w:eastAsia="Calibri" w:cs="Calibri"/>
                <w:sz w:val="20"/>
                <w:szCs w:val="20"/>
                <w:lang w:eastAsia="cs-CZ"/>
              </w:rPr>
              <w:t xml:space="preserve"> </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hideMark/>
          </w:tcPr>
          <w:p w14:paraId="54630A4F" w14:textId="77777777" w:rsidR="00F00394" w:rsidRPr="004E6742" w:rsidRDefault="00F00394" w:rsidP="004E6742">
            <w:pPr>
              <w:spacing w:after="0"/>
              <w:ind w:right="171"/>
              <w:jc w:val="right"/>
              <w:rPr>
                <w:rFonts w:eastAsia="Calibri" w:cs="Calibri"/>
                <w:color w:val="000000"/>
                <w:sz w:val="20"/>
                <w:szCs w:val="20"/>
                <w:highlight w:val="yellow"/>
                <w:lang w:eastAsia="cs-CZ"/>
              </w:rPr>
            </w:pPr>
            <w:r w:rsidRPr="004E6742">
              <w:rPr>
                <w:rFonts w:eastAsia="Calibri" w:cs="Calibri"/>
                <w:color w:val="000000"/>
                <w:sz w:val="20"/>
                <w:szCs w:val="20"/>
                <w:lang w:eastAsia="cs-CZ"/>
              </w:rPr>
              <w:t>7,36</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hideMark/>
          </w:tcPr>
          <w:p w14:paraId="768F6412" w14:textId="77777777" w:rsidR="00F00394" w:rsidRPr="004E6742" w:rsidRDefault="00F00394" w:rsidP="004E6742">
            <w:pPr>
              <w:spacing w:after="0"/>
              <w:ind w:right="171"/>
              <w:jc w:val="right"/>
              <w:rPr>
                <w:rFonts w:eastAsia="Calibri" w:cs="Calibri"/>
                <w:color w:val="000000"/>
                <w:sz w:val="20"/>
                <w:szCs w:val="20"/>
                <w:highlight w:val="yellow"/>
                <w:lang w:eastAsia="cs-CZ"/>
              </w:rPr>
            </w:pPr>
            <w:r w:rsidRPr="004E6742">
              <w:rPr>
                <w:rFonts w:eastAsia="Calibri" w:cs="Calibri"/>
                <w:color w:val="000000"/>
                <w:sz w:val="20"/>
                <w:szCs w:val="20"/>
                <w:lang w:eastAsia="cs-CZ"/>
              </w:rPr>
              <w:t>8,67</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hideMark/>
          </w:tcPr>
          <w:p w14:paraId="75FEEB8A" w14:textId="77777777" w:rsidR="00F00394" w:rsidRPr="004E6742" w:rsidRDefault="00F00394" w:rsidP="004E6742">
            <w:pPr>
              <w:spacing w:after="0"/>
              <w:ind w:right="171"/>
              <w:jc w:val="right"/>
              <w:rPr>
                <w:rFonts w:eastAsia="Calibri" w:cs="Calibri"/>
                <w:color w:val="000000"/>
                <w:sz w:val="20"/>
                <w:szCs w:val="20"/>
                <w:highlight w:val="yellow"/>
                <w:lang w:eastAsia="cs-CZ"/>
              </w:rPr>
            </w:pPr>
            <w:r w:rsidRPr="004E6742">
              <w:rPr>
                <w:rFonts w:eastAsia="Calibri" w:cs="Calibri"/>
                <w:color w:val="000000"/>
                <w:sz w:val="20"/>
                <w:szCs w:val="20"/>
                <w:lang w:eastAsia="cs-CZ"/>
              </w:rPr>
              <w:t>9,18</w:t>
            </w:r>
          </w:p>
        </w:tc>
      </w:tr>
      <w:tr w:rsidR="00354542" w:rsidRPr="004E6742" w14:paraId="501F701A"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bottom"/>
          </w:tcPr>
          <w:p w14:paraId="22F4F7D2" w14:textId="77777777" w:rsidR="00F00394" w:rsidRPr="004E6742" w:rsidRDefault="00F00394" w:rsidP="004E6742">
            <w:pPr>
              <w:spacing w:after="0"/>
              <w:jc w:val="left"/>
              <w:rPr>
                <w:rFonts w:eastAsia="Calibri" w:cs="Calibri"/>
                <w:sz w:val="20"/>
                <w:szCs w:val="20"/>
                <w:lang w:eastAsia="cs-CZ"/>
              </w:rPr>
            </w:pPr>
            <w:r w:rsidRPr="004E6742">
              <w:rPr>
                <w:rFonts w:eastAsia="Calibri" w:cs="Calibri"/>
                <w:sz w:val="20"/>
                <w:szCs w:val="20"/>
              </w:rPr>
              <w:t xml:space="preserve">Podíl % celkově registrovaných osobních vozidel se stářím nad 10 let </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2AD3F394" w14:textId="77777777" w:rsidR="00F00394" w:rsidRPr="004E6742" w:rsidRDefault="00F00394" w:rsidP="004E6742">
            <w:pPr>
              <w:spacing w:after="0"/>
              <w:ind w:right="171"/>
              <w:jc w:val="right"/>
              <w:rPr>
                <w:rFonts w:eastAsia="Calibri" w:cs="Calibri"/>
                <w:color w:val="000000"/>
                <w:sz w:val="20"/>
                <w:szCs w:val="20"/>
                <w:lang w:eastAsia="cs-CZ"/>
              </w:rPr>
            </w:pPr>
            <w:r w:rsidRPr="004E6742">
              <w:rPr>
                <w:rFonts w:eastAsia="Calibri" w:cs="Calibri"/>
                <w:sz w:val="20"/>
                <w:szCs w:val="20"/>
              </w:rPr>
              <w:t xml:space="preserve">60,02 </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203448C3" w14:textId="77777777" w:rsidR="00F00394" w:rsidRPr="004E6742" w:rsidRDefault="00F00394" w:rsidP="004E6742">
            <w:pPr>
              <w:spacing w:after="0"/>
              <w:ind w:right="171"/>
              <w:jc w:val="right"/>
              <w:rPr>
                <w:rFonts w:eastAsia="Calibri" w:cs="Calibri"/>
                <w:color w:val="000000"/>
                <w:sz w:val="20"/>
                <w:szCs w:val="20"/>
                <w:lang w:eastAsia="cs-CZ"/>
              </w:rPr>
            </w:pPr>
            <w:r w:rsidRPr="004E6742">
              <w:rPr>
                <w:rFonts w:eastAsia="Calibri" w:cs="Calibri"/>
                <w:sz w:val="20"/>
                <w:szCs w:val="20"/>
              </w:rPr>
              <w:t>60,05</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10D82C12" w14:textId="77777777" w:rsidR="00F00394" w:rsidRPr="004E6742" w:rsidRDefault="00F00394" w:rsidP="004E6742">
            <w:pPr>
              <w:spacing w:after="0"/>
              <w:ind w:right="171"/>
              <w:jc w:val="right"/>
              <w:rPr>
                <w:rFonts w:eastAsia="Calibri" w:cs="Calibri"/>
                <w:color w:val="000000"/>
                <w:sz w:val="20"/>
                <w:szCs w:val="20"/>
                <w:lang w:eastAsia="cs-CZ"/>
              </w:rPr>
            </w:pPr>
            <w:r w:rsidRPr="004E6742">
              <w:rPr>
                <w:rFonts w:eastAsia="Calibri" w:cs="Calibri"/>
                <w:sz w:val="20"/>
                <w:szCs w:val="20"/>
              </w:rPr>
              <w:t>61,09</w:t>
            </w:r>
          </w:p>
        </w:tc>
      </w:tr>
      <w:tr w:rsidR="00354542" w:rsidRPr="004E6742" w14:paraId="6435C51E"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bottom"/>
          </w:tcPr>
          <w:p w14:paraId="611C6CCF" w14:textId="77777777" w:rsidR="00F00394" w:rsidRPr="004E6742" w:rsidRDefault="00F00394" w:rsidP="004E6742">
            <w:pPr>
              <w:spacing w:after="0"/>
              <w:jc w:val="left"/>
              <w:rPr>
                <w:rFonts w:eastAsia="Calibri" w:cs="Calibri"/>
                <w:sz w:val="20"/>
                <w:szCs w:val="20"/>
              </w:rPr>
            </w:pPr>
            <w:r w:rsidRPr="004E6742">
              <w:rPr>
                <w:rFonts w:eastAsia="Calibri" w:cs="Calibri"/>
                <w:color w:val="000000"/>
                <w:sz w:val="20"/>
                <w:szCs w:val="20"/>
                <w:lang w:eastAsia="cs-CZ"/>
              </w:rPr>
              <w:t xml:space="preserve">Podíl </w:t>
            </w:r>
            <w:r w:rsidRPr="004E6742">
              <w:rPr>
                <w:rFonts w:eastAsia="Calibri" w:cs="Calibri"/>
                <w:sz w:val="20"/>
                <w:szCs w:val="20"/>
                <w:lang w:eastAsia="cs-CZ"/>
              </w:rPr>
              <w:t>% nově registrovaných ojetých dovezených osobních vozidel nad 10 let</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1A873976"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lang w:eastAsia="cs-CZ"/>
              </w:rPr>
              <w:t>27,55</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50B42BCC"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lang w:eastAsia="cs-CZ"/>
              </w:rPr>
              <w:t>48,41</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2B011956"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lang w:eastAsia="cs-CZ"/>
              </w:rPr>
              <w:t>51,64</w:t>
            </w:r>
          </w:p>
        </w:tc>
      </w:tr>
      <w:tr w:rsidR="00354542" w:rsidRPr="004E6742" w14:paraId="5BA1A7A1"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bottom"/>
          </w:tcPr>
          <w:p w14:paraId="7DD7F7AC" w14:textId="77777777" w:rsidR="00F00394" w:rsidRPr="004E6742" w:rsidRDefault="00F00394" w:rsidP="004E6742">
            <w:pPr>
              <w:spacing w:after="0"/>
              <w:jc w:val="left"/>
              <w:rPr>
                <w:rFonts w:eastAsia="Calibri" w:cs="Calibri"/>
                <w:sz w:val="20"/>
                <w:szCs w:val="20"/>
                <w:highlight w:val="yellow"/>
              </w:rPr>
            </w:pPr>
            <w:r w:rsidRPr="004E6742">
              <w:rPr>
                <w:rFonts w:eastAsia="Calibri" w:cs="Calibri"/>
                <w:sz w:val="20"/>
                <w:szCs w:val="20"/>
              </w:rPr>
              <w:t>Emise CO</w:t>
            </w:r>
            <w:r w:rsidRPr="004E6742">
              <w:rPr>
                <w:rFonts w:eastAsia="Calibri" w:cs="Calibri"/>
                <w:sz w:val="20"/>
                <w:szCs w:val="20"/>
                <w:vertAlign w:val="subscript"/>
              </w:rPr>
              <w:t>2</w:t>
            </w:r>
            <w:r w:rsidRPr="004E6742">
              <w:rPr>
                <w:rFonts w:eastAsia="Calibri" w:cs="Calibri"/>
                <w:sz w:val="20"/>
                <w:szCs w:val="20"/>
              </w:rPr>
              <w:t xml:space="preserve"> z individuální automobilové dopravy v tis. tun</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61457147" w14:textId="77777777" w:rsidR="00F00394" w:rsidRPr="004E6742" w:rsidRDefault="00F00394" w:rsidP="004E6742">
            <w:pPr>
              <w:spacing w:after="0"/>
              <w:jc w:val="center"/>
              <w:rPr>
                <w:rFonts w:eastAsia="Calibri" w:cs="Calibri"/>
                <w:sz w:val="20"/>
                <w:szCs w:val="20"/>
              </w:rPr>
            </w:pPr>
            <w:r w:rsidRPr="004E6742">
              <w:rPr>
                <w:rFonts w:eastAsia="Calibri" w:cs="Calibri"/>
                <w:sz w:val="20"/>
                <w:szCs w:val="20"/>
              </w:rPr>
              <w:t>-</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40178AEF"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11 481</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6239BA01"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12 751</w:t>
            </w:r>
          </w:p>
        </w:tc>
      </w:tr>
      <w:tr w:rsidR="00354542" w:rsidRPr="004E6742" w14:paraId="4EE53E76"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bottom"/>
          </w:tcPr>
          <w:p w14:paraId="63A8C193" w14:textId="77777777" w:rsidR="00F00394" w:rsidRPr="004E6742" w:rsidRDefault="00F00394" w:rsidP="004E6742">
            <w:pPr>
              <w:spacing w:after="0"/>
              <w:jc w:val="left"/>
              <w:rPr>
                <w:rFonts w:eastAsia="Calibri" w:cs="Calibri"/>
                <w:sz w:val="20"/>
                <w:szCs w:val="20"/>
              </w:rPr>
            </w:pPr>
            <w:r w:rsidRPr="004E6742">
              <w:rPr>
                <w:rFonts w:eastAsia="Calibri" w:cs="Calibri"/>
                <w:sz w:val="20"/>
                <w:szCs w:val="20"/>
              </w:rPr>
              <w:t>Individuální automobilová doprava - přepravené osoby, v mil.</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5C17086E" w14:textId="77777777" w:rsidR="00F00394" w:rsidRPr="004E6742" w:rsidRDefault="00F00394" w:rsidP="004E6742">
            <w:pPr>
              <w:spacing w:after="0"/>
              <w:jc w:val="center"/>
              <w:rPr>
                <w:rFonts w:eastAsia="Calibri" w:cs="Calibri"/>
                <w:sz w:val="20"/>
                <w:szCs w:val="20"/>
              </w:rPr>
            </w:pPr>
            <w:r w:rsidRPr="004E6742">
              <w:rPr>
                <w:rFonts w:eastAsia="Calibri" w:cs="Calibri"/>
                <w:sz w:val="20"/>
                <w:szCs w:val="20"/>
              </w:rPr>
              <w:t>-</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7AAB509B"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2 175</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194032B0"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2 490</w:t>
            </w:r>
          </w:p>
        </w:tc>
      </w:tr>
      <w:tr w:rsidR="00354542" w:rsidRPr="004E6742" w14:paraId="5E591091" w14:textId="77777777" w:rsidTr="00CF51AA">
        <w:trPr>
          <w:trHeight w:val="20"/>
        </w:trPr>
        <w:tc>
          <w:tcPr>
            <w:tcW w:w="319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bottom"/>
          </w:tcPr>
          <w:p w14:paraId="4B9A1B5E" w14:textId="77777777" w:rsidR="00F00394" w:rsidRPr="004E6742" w:rsidRDefault="00F00394" w:rsidP="004E6742">
            <w:pPr>
              <w:spacing w:after="0"/>
              <w:jc w:val="left"/>
              <w:rPr>
                <w:rFonts w:eastAsia="Calibri" w:cs="Calibri"/>
                <w:sz w:val="20"/>
                <w:szCs w:val="20"/>
                <w:highlight w:val="yellow"/>
              </w:rPr>
            </w:pPr>
            <w:r w:rsidRPr="004E6742">
              <w:rPr>
                <w:rFonts w:eastAsia="Calibri" w:cs="Calibri"/>
                <w:sz w:val="20"/>
                <w:szCs w:val="20"/>
              </w:rPr>
              <w:t>Veřejná doprava  - přepravené osoby, v mil.</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7218D191" w14:textId="77777777" w:rsidR="00F00394" w:rsidRPr="004E6742" w:rsidRDefault="00F00394" w:rsidP="004E6742">
            <w:pPr>
              <w:spacing w:after="0"/>
              <w:jc w:val="center"/>
              <w:rPr>
                <w:rFonts w:eastAsia="Calibri" w:cs="Calibri"/>
                <w:sz w:val="20"/>
                <w:szCs w:val="20"/>
              </w:rPr>
            </w:pPr>
            <w:r w:rsidRPr="004E6742">
              <w:rPr>
                <w:rFonts w:eastAsia="Calibri" w:cs="Calibri"/>
                <w:sz w:val="20"/>
                <w:szCs w:val="20"/>
              </w:rPr>
              <w:t>-</w:t>
            </w:r>
          </w:p>
        </w:tc>
        <w:tc>
          <w:tcPr>
            <w:tcW w:w="62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3D2CA182"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2 680</w:t>
            </w:r>
          </w:p>
        </w:tc>
        <w:tc>
          <w:tcPr>
            <w:tcW w:w="5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noWrap/>
            <w:tcMar>
              <w:top w:w="0" w:type="dxa"/>
              <w:left w:w="70" w:type="dxa"/>
              <w:bottom w:w="0" w:type="dxa"/>
              <w:right w:w="70" w:type="dxa"/>
            </w:tcMar>
            <w:vAlign w:val="center"/>
          </w:tcPr>
          <w:p w14:paraId="743CDF8D" w14:textId="77777777" w:rsidR="00F00394" w:rsidRPr="004E6742" w:rsidRDefault="00F00394" w:rsidP="004E6742">
            <w:pPr>
              <w:spacing w:after="0"/>
              <w:ind w:right="171"/>
              <w:jc w:val="right"/>
              <w:rPr>
                <w:rFonts w:eastAsia="Calibri" w:cs="Calibri"/>
                <w:sz w:val="20"/>
                <w:szCs w:val="20"/>
              </w:rPr>
            </w:pPr>
            <w:r w:rsidRPr="004E6742">
              <w:rPr>
                <w:rFonts w:eastAsia="Calibri" w:cs="Calibri"/>
                <w:sz w:val="20"/>
                <w:szCs w:val="20"/>
              </w:rPr>
              <w:t>2 722</w:t>
            </w:r>
          </w:p>
        </w:tc>
      </w:tr>
      <w:tr w:rsidR="00354542" w:rsidRPr="004E6742" w14:paraId="2AFC964F" w14:textId="77777777" w:rsidTr="004E6742">
        <w:trPr>
          <w:trHeight w:val="20"/>
        </w:trPr>
        <w:tc>
          <w:tcPr>
            <w:tcW w:w="3197" w:type="pct"/>
            <w:tcBorders>
              <w:top w:val="single" w:sz="6" w:space="0" w:color="000000" w:themeColor="text1"/>
              <w:left w:val="single" w:sz="6" w:space="0" w:color="000000" w:themeColor="text1"/>
            </w:tcBorders>
            <w:shd w:val="clear" w:color="auto" w:fill="DEEAF6" w:themeFill="accent1" w:themeFillTint="33"/>
            <w:noWrap/>
            <w:tcMar>
              <w:top w:w="0" w:type="dxa"/>
              <w:left w:w="70" w:type="dxa"/>
              <w:bottom w:w="0" w:type="dxa"/>
              <w:right w:w="70" w:type="dxa"/>
            </w:tcMar>
            <w:vAlign w:val="center"/>
          </w:tcPr>
          <w:p w14:paraId="19DD7DB2" w14:textId="77777777" w:rsidR="00F00394" w:rsidRPr="004E6742" w:rsidRDefault="00F00394" w:rsidP="004E6742">
            <w:pPr>
              <w:spacing w:after="0"/>
              <w:jc w:val="left"/>
              <w:rPr>
                <w:rFonts w:eastAsia="Calibri" w:cs="Calibri"/>
                <w:sz w:val="20"/>
                <w:szCs w:val="20"/>
              </w:rPr>
            </w:pPr>
          </w:p>
        </w:tc>
        <w:tc>
          <w:tcPr>
            <w:tcW w:w="623" w:type="pct"/>
            <w:tcBorders>
              <w:top w:val="single" w:sz="6" w:space="0" w:color="000000" w:themeColor="text1"/>
            </w:tcBorders>
            <w:shd w:val="clear" w:color="auto" w:fill="DEEAF6" w:themeFill="accent1" w:themeFillTint="33"/>
            <w:noWrap/>
            <w:tcMar>
              <w:top w:w="0" w:type="dxa"/>
              <w:left w:w="70" w:type="dxa"/>
              <w:bottom w:w="0" w:type="dxa"/>
              <w:right w:w="70" w:type="dxa"/>
            </w:tcMar>
            <w:vAlign w:val="center"/>
          </w:tcPr>
          <w:p w14:paraId="612BC22B" w14:textId="77777777" w:rsidR="00F00394" w:rsidRPr="004E6742" w:rsidRDefault="00F00394" w:rsidP="004E6742">
            <w:pPr>
              <w:spacing w:after="0"/>
              <w:jc w:val="center"/>
              <w:rPr>
                <w:rFonts w:eastAsia="Calibri" w:cs="Calibri"/>
                <w:b/>
                <w:sz w:val="20"/>
                <w:szCs w:val="20"/>
                <w:lang w:eastAsia="cs-CZ"/>
              </w:rPr>
            </w:pPr>
            <w:r w:rsidRPr="004E6742">
              <w:rPr>
                <w:rFonts w:eastAsia="Calibri" w:cs="Calibri"/>
                <w:b/>
                <w:sz w:val="20"/>
                <w:szCs w:val="20"/>
                <w:lang w:eastAsia="cs-CZ"/>
              </w:rPr>
              <w:t>ČR</w:t>
            </w:r>
          </w:p>
        </w:tc>
        <w:tc>
          <w:tcPr>
            <w:tcW w:w="1179" w:type="pct"/>
            <w:gridSpan w:val="2"/>
            <w:tcBorders>
              <w:top w:val="single" w:sz="6" w:space="0" w:color="000000" w:themeColor="text1"/>
              <w:right w:val="single" w:sz="6" w:space="0" w:color="000000" w:themeColor="text1"/>
            </w:tcBorders>
            <w:shd w:val="clear" w:color="auto" w:fill="DEEAF6" w:themeFill="accent1" w:themeFillTint="33"/>
            <w:tcMar>
              <w:top w:w="0" w:type="dxa"/>
              <w:left w:w="70" w:type="dxa"/>
              <w:bottom w:w="0" w:type="dxa"/>
              <w:right w:w="70" w:type="dxa"/>
            </w:tcMar>
            <w:vAlign w:val="center"/>
          </w:tcPr>
          <w:p w14:paraId="66C4E7C6" w14:textId="77777777" w:rsidR="00F00394" w:rsidRPr="004E6742" w:rsidRDefault="00F00394" w:rsidP="004E6742">
            <w:pPr>
              <w:spacing w:after="0"/>
              <w:jc w:val="center"/>
              <w:rPr>
                <w:rFonts w:eastAsia="Calibri" w:cs="Calibri"/>
                <w:b/>
                <w:sz w:val="20"/>
                <w:szCs w:val="20"/>
                <w:lang w:eastAsia="cs-CZ"/>
              </w:rPr>
            </w:pPr>
            <w:r w:rsidRPr="004E6742">
              <w:rPr>
                <w:rFonts w:eastAsia="Calibri" w:cs="Calibri"/>
                <w:b/>
                <w:sz w:val="20"/>
                <w:szCs w:val="20"/>
                <w:lang w:eastAsia="cs-CZ"/>
              </w:rPr>
              <w:t>EU</w:t>
            </w:r>
          </w:p>
        </w:tc>
      </w:tr>
      <w:tr w:rsidR="00A05A6F" w:rsidRPr="004E6742" w14:paraId="35B11E66"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371F2672" w14:textId="77777777" w:rsidR="00F00394" w:rsidRPr="004E6742" w:rsidRDefault="00F00394" w:rsidP="004E6742">
            <w:pPr>
              <w:spacing w:after="0"/>
              <w:jc w:val="left"/>
              <w:rPr>
                <w:rFonts w:eastAsia="Calibri" w:cs="Calibri"/>
                <w:color w:val="000000" w:themeColor="text1"/>
                <w:sz w:val="20"/>
                <w:szCs w:val="20"/>
                <w:lang w:eastAsia="cs-CZ"/>
              </w:rPr>
            </w:pPr>
            <w:r w:rsidRPr="004E6742">
              <w:rPr>
                <w:rFonts w:eastAsia="Calibri" w:cs="Calibri"/>
                <w:color w:val="000000" w:themeColor="text1"/>
                <w:sz w:val="20"/>
                <w:szCs w:val="20"/>
              </w:rPr>
              <w:t>Podíl elektrických osobních vozidel a hybridů na registraci nových osobních vozidel –  změna v % mezi lety 2015 a 2018</w:t>
            </w:r>
          </w:p>
        </w:tc>
        <w:tc>
          <w:tcPr>
            <w:tcW w:w="623" w:type="pct"/>
            <w:noWrap/>
            <w:tcMar>
              <w:top w:w="0" w:type="dxa"/>
              <w:left w:w="70" w:type="dxa"/>
              <w:bottom w:w="0" w:type="dxa"/>
              <w:right w:w="70" w:type="dxa"/>
            </w:tcMar>
            <w:vAlign w:val="center"/>
            <w:hideMark/>
          </w:tcPr>
          <w:p w14:paraId="4112C3C6"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lang w:eastAsia="cs-CZ"/>
              </w:rPr>
              <w:t>+1,56 p. b.</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07ED4D0A"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lang w:eastAsia="cs-CZ"/>
              </w:rPr>
              <w:t>+3,76 p. b.</w:t>
            </w:r>
          </w:p>
        </w:tc>
      </w:tr>
      <w:tr w:rsidR="00A05A6F" w:rsidRPr="004E6742" w14:paraId="333EA11B"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tcPr>
          <w:p w14:paraId="66E7F782" w14:textId="77777777" w:rsidR="00F00394" w:rsidRPr="004E6742" w:rsidRDefault="00F00394" w:rsidP="004E6742">
            <w:pPr>
              <w:spacing w:after="0"/>
              <w:jc w:val="left"/>
              <w:rPr>
                <w:rFonts w:eastAsia="Calibri" w:cs="Calibri"/>
                <w:color w:val="000000" w:themeColor="text1"/>
                <w:sz w:val="20"/>
                <w:szCs w:val="20"/>
              </w:rPr>
            </w:pPr>
            <w:r w:rsidRPr="004E6742">
              <w:rPr>
                <w:rFonts w:eastAsia="Calibri" w:cs="Calibri"/>
                <w:color w:val="000000" w:themeColor="text1"/>
                <w:sz w:val="20"/>
                <w:szCs w:val="20"/>
              </w:rPr>
              <w:t>Podíl elektrických osobních vozidel, hybridů a plug-in hybridů na celkových registracích osobních vozidel v %, 2016</w:t>
            </w:r>
          </w:p>
        </w:tc>
        <w:tc>
          <w:tcPr>
            <w:tcW w:w="623" w:type="pct"/>
            <w:noWrap/>
            <w:tcMar>
              <w:top w:w="0" w:type="dxa"/>
              <w:left w:w="70" w:type="dxa"/>
              <w:bottom w:w="0" w:type="dxa"/>
              <w:right w:w="70" w:type="dxa"/>
            </w:tcMar>
            <w:vAlign w:val="center"/>
          </w:tcPr>
          <w:p w14:paraId="6C0F28DD"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0,1</w:t>
            </w:r>
            <w:r w:rsidRPr="004E6742">
              <w:rPr>
                <w:rFonts w:eastAsia="Calibri" w:cs="Calibri"/>
                <w:color w:val="000000" w:themeColor="text1"/>
                <w:sz w:val="20"/>
                <w:szCs w:val="20"/>
                <w:lang w:eastAsia="cs-CZ"/>
              </w:rPr>
              <w:t xml:space="preserve"> p. b.</w:t>
            </w:r>
          </w:p>
        </w:tc>
        <w:tc>
          <w:tcPr>
            <w:tcW w:w="1179" w:type="pct"/>
            <w:gridSpan w:val="2"/>
            <w:tcBorders>
              <w:right w:val="single" w:sz="6" w:space="0" w:color="000000" w:themeColor="text1"/>
            </w:tcBorders>
            <w:tcMar>
              <w:top w:w="0" w:type="dxa"/>
              <w:left w:w="70" w:type="dxa"/>
              <w:bottom w:w="0" w:type="dxa"/>
              <w:right w:w="70" w:type="dxa"/>
            </w:tcMar>
            <w:vAlign w:val="center"/>
          </w:tcPr>
          <w:p w14:paraId="1C9FA30B"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0,7</w:t>
            </w:r>
            <w:r w:rsidRPr="004E6742">
              <w:rPr>
                <w:rFonts w:eastAsia="Calibri" w:cs="Calibri"/>
                <w:color w:val="000000" w:themeColor="text1"/>
                <w:sz w:val="20"/>
                <w:szCs w:val="20"/>
                <w:lang w:eastAsia="cs-CZ"/>
              </w:rPr>
              <w:t xml:space="preserve"> p. b.</w:t>
            </w:r>
          </w:p>
        </w:tc>
      </w:tr>
      <w:tr w:rsidR="00A05A6F" w:rsidRPr="004E6742" w14:paraId="05A3B467"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04B766EC" w14:textId="77777777" w:rsidR="00F00394" w:rsidRPr="004E6742" w:rsidRDefault="00F00394" w:rsidP="004E6742">
            <w:pPr>
              <w:spacing w:after="0"/>
              <w:jc w:val="left"/>
              <w:rPr>
                <w:rFonts w:eastAsia="Calibri" w:cs="Calibri"/>
                <w:color w:val="000000" w:themeColor="text1"/>
                <w:sz w:val="20"/>
                <w:szCs w:val="20"/>
                <w:lang w:eastAsia="cs-CZ"/>
              </w:rPr>
            </w:pPr>
            <w:r w:rsidRPr="004E6742">
              <w:rPr>
                <w:rFonts w:eastAsia="Calibri" w:cs="Calibri"/>
                <w:color w:val="000000" w:themeColor="text1"/>
                <w:sz w:val="20"/>
                <w:szCs w:val="20"/>
              </w:rPr>
              <w:t xml:space="preserve">Podíl </w:t>
            </w:r>
            <w:r w:rsidRPr="004E6742">
              <w:rPr>
                <w:rFonts w:eastAsia="Calibri" w:cs="Calibri"/>
                <w:color w:val="000000" w:themeColor="text1"/>
                <w:sz w:val="20"/>
                <w:szCs w:val="20"/>
                <w:lang w:eastAsia="cs-CZ"/>
              </w:rPr>
              <w:t xml:space="preserve">osobních vozidel na LPG/zemní plyn </w:t>
            </w:r>
            <w:r w:rsidRPr="004E6742">
              <w:rPr>
                <w:rFonts w:eastAsia="Calibri" w:cs="Calibri"/>
                <w:color w:val="000000" w:themeColor="text1"/>
                <w:sz w:val="20"/>
                <w:szCs w:val="20"/>
              </w:rPr>
              <w:t>na registraci nových osobních vozidel –  změna v % mezi lety 2015 a 2018</w:t>
            </w:r>
            <w:r w:rsidRPr="004E6742">
              <w:rPr>
                <w:rFonts w:eastAsia="Calibri" w:cs="Calibri"/>
                <w:color w:val="000000" w:themeColor="text1"/>
                <w:sz w:val="20"/>
                <w:szCs w:val="20"/>
                <w:vertAlign w:val="superscript"/>
              </w:rPr>
              <w:footnoteReference w:id="30"/>
            </w:r>
          </w:p>
        </w:tc>
        <w:tc>
          <w:tcPr>
            <w:tcW w:w="623" w:type="pct"/>
            <w:noWrap/>
            <w:tcMar>
              <w:top w:w="0" w:type="dxa"/>
              <w:left w:w="70" w:type="dxa"/>
              <w:bottom w:w="0" w:type="dxa"/>
              <w:right w:w="70" w:type="dxa"/>
            </w:tcMar>
            <w:vAlign w:val="center"/>
            <w:hideMark/>
          </w:tcPr>
          <w:p w14:paraId="0AF4249C"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lang w:eastAsia="cs-CZ"/>
              </w:rPr>
              <w:t>-0,69 p. b.</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532D22FA"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lang w:eastAsia="cs-CZ"/>
              </w:rPr>
              <w:t>+0,01 p. b.</w:t>
            </w:r>
          </w:p>
        </w:tc>
      </w:tr>
      <w:tr w:rsidR="00A05A6F" w:rsidRPr="004E6742" w14:paraId="73ECDF82"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744C9640" w14:textId="77777777" w:rsidR="00F00394" w:rsidRPr="004E6742" w:rsidRDefault="00F00394" w:rsidP="004E6742">
            <w:pPr>
              <w:spacing w:after="0"/>
              <w:jc w:val="left"/>
              <w:rPr>
                <w:rFonts w:eastAsia="Calibri" w:cs="Calibri"/>
                <w:color w:val="000000" w:themeColor="text1"/>
                <w:sz w:val="20"/>
                <w:szCs w:val="20"/>
              </w:rPr>
            </w:pPr>
            <w:r w:rsidRPr="004E6742">
              <w:rPr>
                <w:rFonts w:eastAsia="Calibri" w:cs="Calibri"/>
                <w:color w:val="000000" w:themeColor="text1"/>
                <w:sz w:val="20"/>
                <w:szCs w:val="20"/>
              </w:rPr>
              <w:t>Podíl osobních vozidel na LPG/zemní plyn na celkových registracích osobních vozidel v %, 2016</w:t>
            </w:r>
          </w:p>
        </w:tc>
        <w:tc>
          <w:tcPr>
            <w:tcW w:w="623" w:type="pct"/>
            <w:noWrap/>
            <w:tcMar>
              <w:top w:w="0" w:type="dxa"/>
              <w:left w:w="70" w:type="dxa"/>
              <w:bottom w:w="0" w:type="dxa"/>
              <w:right w:w="70" w:type="dxa"/>
            </w:tcMar>
            <w:vAlign w:val="center"/>
            <w:hideMark/>
          </w:tcPr>
          <w:p w14:paraId="392D165A" w14:textId="77777777" w:rsidR="00F00394" w:rsidRPr="004E6742" w:rsidRDefault="00F00394" w:rsidP="004E6742">
            <w:pPr>
              <w:spacing w:after="0"/>
              <w:jc w:val="center"/>
              <w:rPr>
                <w:rFonts w:eastAsia="Calibri" w:cs="Calibri"/>
                <w:b/>
                <w:bCs/>
                <w:color w:val="000000" w:themeColor="text1"/>
                <w:sz w:val="20"/>
                <w:szCs w:val="20"/>
              </w:rPr>
            </w:pPr>
            <w:r w:rsidRPr="004E6742">
              <w:rPr>
                <w:rFonts w:eastAsia="Calibri" w:cs="Calibri"/>
                <w:color w:val="000000" w:themeColor="text1"/>
                <w:sz w:val="20"/>
                <w:szCs w:val="20"/>
              </w:rPr>
              <w:t>0,2</w:t>
            </w:r>
            <w:r w:rsidRPr="004E6742">
              <w:rPr>
                <w:rFonts w:eastAsia="Calibri" w:cs="Calibri"/>
                <w:color w:val="000000" w:themeColor="text1"/>
                <w:sz w:val="20"/>
                <w:szCs w:val="20"/>
                <w:lang w:eastAsia="cs-CZ"/>
              </w:rPr>
              <w:t xml:space="preserve"> p. b.</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11BF5357"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 xml:space="preserve">2,8 </w:t>
            </w:r>
            <w:r w:rsidRPr="004E6742">
              <w:rPr>
                <w:rFonts w:eastAsia="Calibri" w:cs="Calibri"/>
                <w:color w:val="000000" w:themeColor="text1"/>
                <w:sz w:val="20"/>
                <w:szCs w:val="20"/>
                <w:lang w:eastAsia="cs-CZ"/>
              </w:rPr>
              <w:t>p. b.</w:t>
            </w:r>
          </w:p>
        </w:tc>
      </w:tr>
      <w:tr w:rsidR="00A05A6F" w:rsidRPr="004E6742" w14:paraId="73920F39"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61477330" w14:textId="77777777" w:rsidR="00F00394" w:rsidRPr="004E6742" w:rsidRDefault="00F00394" w:rsidP="004E6742">
            <w:pPr>
              <w:spacing w:after="0"/>
              <w:jc w:val="left"/>
              <w:rPr>
                <w:rFonts w:eastAsia="Calibri" w:cs="Calibri"/>
                <w:color w:val="000000" w:themeColor="text1"/>
                <w:sz w:val="20"/>
                <w:szCs w:val="20"/>
              </w:rPr>
            </w:pPr>
            <w:r w:rsidRPr="004E6742">
              <w:rPr>
                <w:rFonts w:eastAsia="Calibri" w:cs="Calibri"/>
                <w:color w:val="000000" w:themeColor="text1"/>
                <w:sz w:val="20"/>
                <w:szCs w:val="20"/>
              </w:rPr>
              <w:t>Průměrný věk osobních vozidel dle roku první registrace v letech, 2016</w:t>
            </w:r>
          </w:p>
        </w:tc>
        <w:tc>
          <w:tcPr>
            <w:tcW w:w="623" w:type="pct"/>
            <w:noWrap/>
            <w:tcMar>
              <w:top w:w="0" w:type="dxa"/>
              <w:left w:w="70" w:type="dxa"/>
              <w:bottom w:w="0" w:type="dxa"/>
              <w:right w:w="70" w:type="dxa"/>
            </w:tcMar>
            <w:vAlign w:val="center"/>
            <w:hideMark/>
          </w:tcPr>
          <w:p w14:paraId="0D1AE71C" w14:textId="77777777" w:rsidR="00F00394" w:rsidRPr="004E6742" w:rsidRDefault="00F00394" w:rsidP="004E6742">
            <w:pPr>
              <w:spacing w:after="0"/>
              <w:jc w:val="center"/>
              <w:rPr>
                <w:rFonts w:eastAsia="Calibri" w:cs="Calibri"/>
                <w:b/>
                <w:bCs/>
                <w:color w:val="000000" w:themeColor="text1"/>
                <w:sz w:val="20"/>
                <w:szCs w:val="20"/>
              </w:rPr>
            </w:pPr>
            <w:r w:rsidRPr="004E6742">
              <w:rPr>
                <w:rFonts w:eastAsia="Calibri" w:cs="Calibri"/>
                <w:color w:val="000000" w:themeColor="text1"/>
                <w:sz w:val="20"/>
                <w:szCs w:val="20"/>
              </w:rPr>
              <w:t>14,5 let</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5C20DB83"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10,5 let</w:t>
            </w:r>
          </w:p>
        </w:tc>
      </w:tr>
      <w:tr w:rsidR="00A05A6F" w:rsidRPr="004E6742" w14:paraId="1643BFE7"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455EE75B" w14:textId="77777777" w:rsidR="00F00394" w:rsidRPr="004E6742" w:rsidRDefault="00F00394" w:rsidP="004E6742">
            <w:pPr>
              <w:spacing w:after="0"/>
              <w:jc w:val="left"/>
              <w:rPr>
                <w:rFonts w:eastAsia="Calibri" w:cs="Calibri"/>
                <w:color w:val="000000" w:themeColor="text1"/>
                <w:sz w:val="20"/>
                <w:szCs w:val="20"/>
              </w:rPr>
            </w:pPr>
            <w:r w:rsidRPr="004E6742">
              <w:rPr>
                <w:rFonts w:eastAsia="Calibri" w:cs="Calibri"/>
                <w:color w:val="000000" w:themeColor="text1"/>
                <w:sz w:val="20"/>
                <w:szCs w:val="20"/>
              </w:rPr>
              <w:t>Průměrná výše emisí CO</w:t>
            </w:r>
            <w:r w:rsidRPr="004E6742">
              <w:rPr>
                <w:rFonts w:eastAsia="Calibri" w:cs="Calibri"/>
                <w:color w:val="000000" w:themeColor="text1"/>
                <w:sz w:val="20"/>
                <w:szCs w:val="20"/>
                <w:vertAlign w:val="subscript"/>
              </w:rPr>
              <w:t>2</w:t>
            </w:r>
            <w:r w:rsidRPr="004E6742">
              <w:rPr>
                <w:rFonts w:eastAsia="Calibri" w:cs="Calibri"/>
                <w:color w:val="000000" w:themeColor="text1"/>
                <w:sz w:val="20"/>
                <w:szCs w:val="20"/>
              </w:rPr>
              <w:t xml:space="preserve"> u registrovaných nových osobních vozidel v</w:t>
            </w:r>
            <w:r w:rsidR="00CF51AA" w:rsidRPr="004E6742">
              <w:rPr>
                <w:rFonts w:eastAsia="Calibri" w:cs="Calibri"/>
                <w:color w:val="000000" w:themeColor="text1"/>
                <w:sz w:val="20"/>
                <w:szCs w:val="20"/>
              </w:rPr>
              <w:t> </w:t>
            </w:r>
            <w:r w:rsidRPr="004E6742">
              <w:rPr>
                <w:rFonts w:eastAsia="Calibri" w:cs="Calibri"/>
                <w:color w:val="000000" w:themeColor="text1"/>
                <w:sz w:val="20"/>
                <w:szCs w:val="20"/>
              </w:rPr>
              <w:t>g/km, 2018</w:t>
            </w:r>
          </w:p>
        </w:tc>
        <w:tc>
          <w:tcPr>
            <w:tcW w:w="623" w:type="pct"/>
            <w:noWrap/>
            <w:tcMar>
              <w:top w:w="0" w:type="dxa"/>
              <w:left w:w="70" w:type="dxa"/>
              <w:bottom w:w="0" w:type="dxa"/>
              <w:right w:w="70" w:type="dxa"/>
            </w:tcMar>
            <w:vAlign w:val="center"/>
            <w:hideMark/>
          </w:tcPr>
          <w:p w14:paraId="64DE6C64" w14:textId="77777777" w:rsidR="00F00394" w:rsidRPr="004E6742" w:rsidRDefault="00F00394" w:rsidP="004E6742">
            <w:pPr>
              <w:spacing w:after="0"/>
              <w:jc w:val="center"/>
              <w:rPr>
                <w:rFonts w:eastAsia="Calibri" w:cs="Calibri"/>
                <w:b/>
                <w:bCs/>
                <w:color w:val="000000" w:themeColor="text1"/>
                <w:sz w:val="20"/>
                <w:szCs w:val="20"/>
              </w:rPr>
            </w:pPr>
            <w:r w:rsidRPr="004E6742">
              <w:rPr>
                <w:rFonts w:eastAsia="Calibri" w:cs="Calibri"/>
                <w:color w:val="000000" w:themeColor="text1"/>
                <w:sz w:val="20"/>
                <w:szCs w:val="20"/>
                <w:lang w:eastAsia="cs-CZ"/>
              </w:rPr>
              <w:t>127 g/km</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43F12C78"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lang w:eastAsia="cs-CZ"/>
              </w:rPr>
              <w:t>120,4 g/km</w:t>
            </w:r>
          </w:p>
        </w:tc>
      </w:tr>
      <w:tr w:rsidR="00A05A6F" w:rsidRPr="004E6742" w14:paraId="555116FA" w14:textId="77777777" w:rsidTr="00CF51AA">
        <w:trPr>
          <w:trHeight w:val="20"/>
        </w:trPr>
        <w:tc>
          <w:tcPr>
            <w:tcW w:w="3197" w:type="pct"/>
            <w:tcBorders>
              <w:left w:val="single" w:sz="6" w:space="0" w:color="000000" w:themeColor="text1"/>
            </w:tcBorders>
            <w:noWrap/>
            <w:tcMar>
              <w:top w:w="0" w:type="dxa"/>
              <w:left w:w="70" w:type="dxa"/>
              <w:bottom w:w="0" w:type="dxa"/>
              <w:right w:w="70" w:type="dxa"/>
            </w:tcMar>
            <w:vAlign w:val="center"/>
            <w:hideMark/>
          </w:tcPr>
          <w:p w14:paraId="4025BF42" w14:textId="77777777" w:rsidR="00F00394" w:rsidRPr="004E6742" w:rsidRDefault="00F00394" w:rsidP="004E6742">
            <w:pPr>
              <w:spacing w:after="0"/>
              <w:jc w:val="left"/>
              <w:rPr>
                <w:rFonts w:eastAsia="Calibri" w:cs="Calibri"/>
                <w:color w:val="000000" w:themeColor="text1"/>
                <w:sz w:val="20"/>
                <w:szCs w:val="20"/>
                <w:lang w:eastAsia="cs-CZ"/>
              </w:rPr>
            </w:pPr>
            <w:r w:rsidRPr="004E6742">
              <w:rPr>
                <w:rFonts w:eastAsia="Calibri" w:cs="Calibri"/>
                <w:color w:val="000000" w:themeColor="text1"/>
                <w:sz w:val="20"/>
                <w:szCs w:val="20"/>
              </w:rPr>
              <w:t>Počet km</w:t>
            </w:r>
            <w:r w:rsidRPr="004E6742">
              <w:rPr>
                <w:rFonts w:eastAsia="Calibri" w:cs="Calibri"/>
                <w:color w:val="000000" w:themeColor="text1"/>
                <w:sz w:val="20"/>
                <w:szCs w:val="20"/>
                <w:vertAlign w:val="superscript"/>
              </w:rPr>
              <w:t>2</w:t>
            </w:r>
            <w:r w:rsidRPr="004E6742">
              <w:rPr>
                <w:rFonts w:eastAsia="Calibri" w:cs="Calibri"/>
                <w:color w:val="000000" w:themeColor="text1"/>
                <w:sz w:val="20"/>
                <w:szCs w:val="20"/>
              </w:rPr>
              <w:t>/nabíjecí bod pro elektricky se nabíjející vozidla, 2018</w:t>
            </w:r>
          </w:p>
        </w:tc>
        <w:tc>
          <w:tcPr>
            <w:tcW w:w="623" w:type="pct"/>
            <w:noWrap/>
            <w:tcMar>
              <w:top w:w="0" w:type="dxa"/>
              <w:left w:w="70" w:type="dxa"/>
              <w:bottom w:w="0" w:type="dxa"/>
              <w:right w:w="70" w:type="dxa"/>
            </w:tcMar>
            <w:vAlign w:val="center"/>
            <w:hideMark/>
          </w:tcPr>
          <w:p w14:paraId="0327259D"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115,30 km</w:t>
            </w:r>
            <w:r w:rsidRPr="004E6742">
              <w:rPr>
                <w:rFonts w:eastAsia="Calibri" w:cs="Calibri"/>
                <w:color w:val="000000" w:themeColor="text1"/>
                <w:sz w:val="20"/>
                <w:szCs w:val="20"/>
                <w:vertAlign w:val="superscript"/>
              </w:rPr>
              <w:t>2</w:t>
            </w:r>
          </w:p>
        </w:tc>
        <w:tc>
          <w:tcPr>
            <w:tcW w:w="1179" w:type="pct"/>
            <w:gridSpan w:val="2"/>
            <w:tcBorders>
              <w:right w:val="single" w:sz="6" w:space="0" w:color="000000" w:themeColor="text1"/>
            </w:tcBorders>
            <w:tcMar>
              <w:top w:w="0" w:type="dxa"/>
              <w:left w:w="70" w:type="dxa"/>
              <w:bottom w:w="0" w:type="dxa"/>
              <w:right w:w="70" w:type="dxa"/>
            </w:tcMar>
            <w:vAlign w:val="center"/>
            <w:hideMark/>
          </w:tcPr>
          <w:p w14:paraId="0FDABB53" w14:textId="77777777" w:rsidR="00F00394" w:rsidRPr="004E6742" w:rsidRDefault="00F00394" w:rsidP="004E6742">
            <w:pPr>
              <w:spacing w:after="0"/>
              <w:jc w:val="center"/>
              <w:rPr>
                <w:rFonts w:eastAsia="Calibri" w:cs="Calibri"/>
                <w:color w:val="000000" w:themeColor="text1"/>
                <w:sz w:val="20"/>
                <w:szCs w:val="20"/>
                <w:lang w:eastAsia="cs-CZ"/>
              </w:rPr>
            </w:pPr>
            <w:r w:rsidRPr="004E6742">
              <w:rPr>
                <w:rFonts w:eastAsia="Calibri" w:cs="Calibri"/>
                <w:color w:val="000000" w:themeColor="text1"/>
                <w:sz w:val="20"/>
                <w:szCs w:val="20"/>
              </w:rPr>
              <w:t>38,34 km</w:t>
            </w:r>
            <w:r w:rsidRPr="004E6742">
              <w:rPr>
                <w:rFonts w:eastAsia="Calibri" w:cs="Calibri"/>
                <w:color w:val="000000" w:themeColor="text1"/>
                <w:sz w:val="20"/>
                <w:szCs w:val="20"/>
                <w:vertAlign w:val="superscript"/>
              </w:rPr>
              <w:t>2</w:t>
            </w:r>
          </w:p>
        </w:tc>
      </w:tr>
      <w:tr w:rsidR="00A05A6F" w:rsidRPr="004E6742" w14:paraId="179844CB" w14:textId="77777777" w:rsidTr="00CF51AA">
        <w:trPr>
          <w:trHeight w:val="20"/>
        </w:trPr>
        <w:tc>
          <w:tcPr>
            <w:tcW w:w="3197" w:type="pct"/>
            <w:tcBorders>
              <w:left w:val="single" w:sz="6" w:space="0" w:color="000000" w:themeColor="text1"/>
              <w:bottom w:val="single" w:sz="6" w:space="0" w:color="000000" w:themeColor="text1"/>
            </w:tcBorders>
            <w:noWrap/>
            <w:tcMar>
              <w:top w:w="0" w:type="dxa"/>
              <w:left w:w="70" w:type="dxa"/>
              <w:bottom w:w="0" w:type="dxa"/>
              <w:right w:w="70" w:type="dxa"/>
            </w:tcMar>
            <w:vAlign w:val="center"/>
            <w:hideMark/>
          </w:tcPr>
          <w:p w14:paraId="22EB4BAA" w14:textId="77777777" w:rsidR="00F00394" w:rsidRPr="004E6742" w:rsidRDefault="00F00394" w:rsidP="004E6742">
            <w:pPr>
              <w:spacing w:after="0"/>
              <w:jc w:val="left"/>
              <w:rPr>
                <w:rFonts w:eastAsia="Calibri" w:cs="Calibri"/>
                <w:b/>
                <w:bCs/>
                <w:color w:val="000000" w:themeColor="text1"/>
                <w:sz w:val="20"/>
                <w:szCs w:val="20"/>
                <w:lang w:eastAsia="cs-CZ"/>
              </w:rPr>
            </w:pPr>
            <w:r w:rsidRPr="004E6742">
              <w:rPr>
                <w:rFonts w:eastAsia="Calibri" w:cs="Calibri"/>
                <w:color w:val="000000" w:themeColor="text1"/>
                <w:sz w:val="20"/>
                <w:szCs w:val="20"/>
              </w:rPr>
              <w:t>Podíl biopaliv v dopravních palivech v %, 2017</w:t>
            </w:r>
          </w:p>
        </w:tc>
        <w:tc>
          <w:tcPr>
            <w:tcW w:w="623" w:type="pct"/>
            <w:tcBorders>
              <w:bottom w:val="single" w:sz="6" w:space="0" w:color="000000" w:themeColor="text1"/>
            </w:tcBorders>
            <w:vAlign w:val="center"/>
          </w:tcPr>
          <w:p w14:paraId="37C2803D" w14:textId="77777777" w:rsidR="00F00394" w:rsidRPr="004E6742" w:rsidRDefault="00F00394" w:rsidP="004E6742">
            <w:pPr>
              <w:spacing w:after="0"/>
              <w:jc w:val="center"/>
              <w:rPr>
                <w:rFonts w:eastAsia="Calibri" w:cs="Calibri"/>
                <w:b/>
                <w:bCs/>
                <w:color w:val="000000" w:themeColor="text1"/>
                <w:sz w:val="20"/>
                <w:szCs w:val="20"/>
                <w:lang w:eastAsia="cs-CZ"/>
              </w:rPr>
            </w:pPr>
            <w:r w:rsidRPr="004E6742">
              <w:rPr>
                <w:rFonts w:eastAsia="Times New Roman" w:cs="Calibri"/>
                <w:bCs/>
                <w:color w:val="000000" w:themeColor="text1"/>
                <w:sz w:val="20"/>
                <w:szCs w:val="20"/>
                <w:lang w:eastAsia="cs-CZ"/>
              </w:rPr>
              <w:t xml:space="preserve">4,90 </w:t>
            </w:r>
            <w:r w:rsidRPr="004E6742">
              <w:rPr>
                <w:rFonts w:eastAsia="Calibri" w:cs="Calibri"/>
                <w:color w:val="000000" w:themeColor="text1"/>
                <w:sz w:val="20"/>
                <w:szCs w:val="20"/>
                <w:lang w:eastAsia="cs-CZ"/>
              </w:rPr>
              <w:t>p. b.</w:t>
            </w:r>
          </w:p>
        </w:tc>
        <w:tc>
          <w:tcPr>
            <w:tcW w:w="1179" w:type="pct"/>
            <w:gridSpan w:val="2"/>
            <w:tcBorders>
              <w:bottom w:val="single" w:sz="6" w:space="0" w:color="000000" w:themeColor="text1"/>
              <w:right w:val="single" w:sz="6" w:space="0" w:color="000000" w:themeColor="text1"/>
            </w:tcBorders>
            <w:vAlign w:val="center"/>
          </w:tcPr>
          <w:p w14:paraId="3BBE88F0" w14:textId="77777777" w:rsidR="00F00394" w:rsidRPr="004E6742" w:rsidRDefault="00F00394" w:rsidP="004E6742">
            <w:pPr>
              <w:spacing w:after="0"/>
              <w:jc w:val="center"/>
              <w:rPr>
                <w:rFonts w:eastAsia="Calibri" w:cs="Calibri"/>
                <w:b/>
                <w:bCs/>
                <w:color w:val="000000" w:themeColor="text1"/>
                <w:sz w:val="20"/>
                <w:szCs w:val="20"/>
                <w:lang w:eastAsia="cs-CZ"/>
              </w:rPr>
            </w:pPr>
            <w:r w:rsidRPr="004E6742">
              <w:rPr>
                <w:rFonts w:eastAsia="Times New Roman" w:cs="Calibri"/>
                <w:bCs/>
                <w:color w:val="000000" w:themeColor="text1"/>
                <w:sz w:val="20"/>
                <w:szCs w:val="20"/>
                <w:lang w:eastAsia="cs-CZ"/>
              </w:rPr>
              <w:t xml:space="preserve">4,45 </w:t>
            </w:r>
            <w:r w:rsidRPr="004E6742">
              <w:rPr>
                <w:rFonts w:eastAsia="Calibri" w:cs="Calibri"/>
                <w:color w:val="000000" w:themeColor="text1"/>
                <w:sz w:val="20"/>
                <w:szCs w:val="20"/>
                <w:lang w:eastAsia="cs-CZ"/>
              </w:rPr>
              <w:t>p. b.</w:t>
            </w:r>
          </w:p>
        </w:tc>
      </w:tr>
    </w:tbl>
    <w:p w14:paraId="4793DEE9" w14:textId="5108CB6F" w:rsidR="000117C0" w:rsidRPr="00915E43" w:rsidRDefault="0051469A" w:rsidP="00B7169A">
      <w:pPr>
        <w:spacing w:before="40"/>
        <w:rPr>
          <w:color w:val="000000" w:themeColor="text1"/>
          <w:sz w:val="20"/>
          <w:szCs w:val="20"/>
        </w:rPr>
      </w:pPr>
      <w:r w:rsidRPr="00915E43">
        <w:rPr>
          <w:b/>
          <w:color w:val="000000" w:themeColor="text1"/>
          <w:sz w:val="20"/>
          <w:szCs w:val="20"/>
        </w:rPr>
        <w:t>Zdroj:</w:t>
      </w:r>
      <w:r w:rsidRPr="00915E43">
        <w:rPr>
          <w:color w:val="000000" w:themeColor="text1"/>
          <w:sz w:val="20"/>
          <w:szCs w:val="20"/>
        </w:rPr>
        <w:t xml:space="preserve"> </w:t>
      </w:r>
      <w:r w:rsidR="00396D77">
        <w:rPr>
          <w:color w:val="000000" w:themeColor="text1"/>
          <w:sz w:val="20"/>
          <w:szCs w:val="20"/>
        </w:rPr>
        <w:t>vypracoval</w:t>
      </w:r>
      <w:r w:rsidRPr="00915E43">
        <w:rPr>
          <w:color w:val="000000" w:themeColor="text1"/>
          <w:sz w:val="20"/>
          <w:szCs w:val="20"/>
        </w:rPr>
        <w:t xml:space="preserve"> NKÚ</w:t>
      </w:r>
      <w:r w:rsidR="00396D77">
        <w:rPr>
          <w:color w:val="000000" w:themeColor="text1"/>
          <w:sz w:val="20"/>
          <w:szCs w:val="20"/>
        </w:rPr>
        <w:t xml:space="preserve"> na základě podkladů od</w:t>
      </w:r>
      <w:r w:rsidRPr="00915E43">
        <w:rPr>
          <w:color w:val="000000" w:themeColor="text1"/>
          <w:sz w:val="20"/>
          <w:szCs w:val="20"/>
        </w:rPr>
        <w:t xml:space="preserve"> ACEA </w:t>
      </w:r>
      <w:r w:rsidR="00396D77">
        <w:rPr>
          <w:color w:val="000000" w:themeColor="text1"/>
          <w:sz w:val="20"/>
          <w:szCs w:val="20"/>
        </w:rPr>
        <w:t xml:space="preserve">– </w:t>
      </w:r>
      <w:r w:rsidRPr="00915E43">
        <w:rPr>
          <w:color w:val="000000" w:themeColor="text1"/>
          <w:sz w:val="20"/>
          <w:szCs w:val="20"/>
        </w:rPr>
        <w:t>Svaz</w:t>
      </w:r>
      <w:r w:rsidR="00396D77">
        <w:rPr>
          <w:color w:val="000000" w:themeColor="text1"/>
          <w:sz w:val="20"/>
          <w:szCs w:val="20"/>
        </w:rPr>
        <w:t>u</w:t>
      </w:r>
      <w:r w:rsidRPr="00915E43">
        <w:rPr>
          <w:color w:val="000000" w:themeColor="text1"/>
          <w:sz w:val="20"/>
          <w:szCs w:val="20"/>
        </w:rPr>
        <w:t xml:space="preserve"> dovozců automobilů</w:t>
      </w:r>
      <w:r w:rsidR="00C21053" w:rsidRPr="00915E43">
        <w:rPr>
          <w:color w:val="000000" w:themeColor="text1"/>
          <w:sz w:val="20"/>
          <w:szCs w:val="20"/>
        </w:rPr>
        <w:t>.</w:t>
      </w:r>
    </w:p>
    <w:tbl>
      <w:tblPr>
        <w:tblStyle w:val="Mkatabulky"/>
        <w:tblW w:w="9067" w:type="dxa"/>
        <w:shd w:val="clear" w:color="auto" w:fill="F3C5C8"/>
        <w:tblLook w:val="04A0" w:firstRow="1" w:lastRow="0" w:firstColumn="1" w:lastColumn="0" w:noHBand="0" w:noVBand="1"/>
      </w:tblPr>
      <w:tblGrid>
        <w:gridCol w:w="9067"/>
      </w:tblGrid>
      <w:tr w:rsidR="003B3DA5" w:rsidRPr="00A05A6F" w14:paraId="13460093" w14:textId="77777777" w:rsidTr="00915E43">
        <w:tc>
          <w:tcPr>
            <w:tcW w:w="9067" w:type="dxa"/>
            <w:shd w:val="clear" w:color="auto" w:fill="F3C5C8"/>
          </w:tcPr>
          <w:p w14:paraId="0EDB6F35" w14:textId="5FBA1495" w:rsidR="003B3DA5" w:rsidRPr="00A05A6F" w:rsidRDefault="003B3DA5" w:rsidP="00396D77">
            <w:pPr>
              <w:spacing w:before="80"/>
              <w:rPr>
                <w:b/>
                <w:color w:val="000000" w:themeColor="text1"/>
              </w:rPr>
            </w:pPr>
            <w:r w:rsidRPr="00A05A6F">
              <w:rPr>
                <w:b/>
                <w:color w:val="000000" w:themeColor="text1"/>
              </w:rPr>
              <w:t xml:space="preserve">NKÚ vyhodnotil, že kontrolovaná ministerstva v sektoru dopravy nepřipravila taková fiskální opatření k podpoře KEP, která </w:t>
            </w:r>
            <w:r w:rsidR="00396D77">
              <w:rPr>
                <w:b/>
                <w:color w:val="000000" w:themeColor="text1"/>
              </w:rPr>
              <w:t xml:space="preserve">by </w:t>
            </w:r>
            <w:r w:rsidRPr="00A05A6F">
              <w:rPr>
                <w:b/>
                <w:color w:val="000000" w:themeColor="text1"/>
              </w:rPr>
              <w:t xml:space="preserve">mohla významně </w:t>
            </w:r>
            <w:r w:rsidR="003105FA" w:rsidRPr="00A05A6F">
              <w:rPr>
                <w:b/>
                <w:color w:val="000000" w:themeColor="text1"/>
              </w:rPr>
              <w:t>podpořit</w:t>
            </w:r>
            <w:r w:rsidRPr="00A05A6F">
              <w:rPr>
                <w:b/>
                <w:color w:val="000000" w:themeColor="text1"/>
              </w:rPr>
              <w:t xml:space="preserve"> </w:t>
            </w:r>
            <w:r w:rsidR="00F87C09" w:rsidRPr="00A05A6F">
              <w:rPr>
                <w:b/>
                <w:color w:val="000000" w:themeColor="text1"/>
              </w:rPr>
              <w:t xml:space="preserve">snížení </w:t>
            </w:r>
            <w:r w:rsidRPr="00A05A6F">
              <w:rPr>
                <w:b/>
                <w:color w:val="000000" w:themeColor="text1"/>
              </w:rPr>
              <w:t>emis</w:t>
            </w:r>
            <w:r w:rsidR="00F87C09" w:rsidRPr="00A05A6F">
              <w:rPr>
                <w:b/>
                <w:color w:val="000000" w:themeColor="text1"/>
              </w:rPr>
              <w:t>í</w:t>
            </w:r>
            <w:r w:rsidRPr="00A05A6F">
              <w:rPr>
                <w:b/>
                <w:color w:val="000000" w:themeColor="text1"/>
              </w:rPr>
              <w:t xml:space="preserve"> v dopravě. </w:t>
            </w:r>
          </w:p>
        </w:tc>
      </w:tr>
    </w:tbl>
    <w:p w14:paraId="7F90C357" w14:textId="77777777" w:rsidR="00B24EB6" w:rsidRPr="00A05A6F" w:rsidRDefault="004E6742" w:rsidP="004E6742">
      <w:pPr>
        <w:pStyle w:val="1rove2"/>
        <w:numPr>
          <w:ilvl w:val="0"/>
          <w:numId w:val="0"/>
        </w:numPr>
        <w:spacing w:before="120"/>
      </w:pPr>
      <w:bookmarkStart w:id="8" w:name="_Toc16594992"/>
      <w:r>
        <w:t xml:space="preserve">2. </w:t>
      </w:r>
      <w:r w:rsidR="0051469A" w:rsidRPr="00A05A6F">
        <w:t>M</w:t>
      </w:r>
      <w:r w:rsidR="00A84A84" w:rsidRPr="00A05A6F">
        <w:t>inisterstvo financí</w:t>
      </w:r>
      <w:bookmarkEnd w:id="8"/>
    </w:p>
    <w:p w14:paraId="6FA2ECCB" w14:textId="77777777" w:rsidR="00F359E0" w:rsidRPr="00A05A6F" w:rsidRDefault="0051469A" w:rsidP="004E6742">
      <w:pPr>
        <w:pStyle w:val="11rove"/>
        <w:numPr>
          <w:ilvl w:val="0"/>
          <w:numId w:val="0"/>
        </w:numPr>
        <w:spacing w:before="0" w:after="120"/>
        <w:rPr>
          <w:color w:val="000000" w:themeColor="text1"/>
        </w:rPr>
      </w:pPr>
      <w:bookmarkStart w:id="9" w:name="_Toc16594996"/>
      <w:bookmarkStart w:id="10" w:name="_Ref16678844"/>
      <w:bookmarkStart w:id="11" w:name="_Toc16594993"/>
      <w:bookmarkStart w:id="12" w:name="_Ref16678791"/>
      <w:r w:rsidRPr="00A05A6F">
        <w:rPr>
          <w:color w:val="000000" w:themeColor="text1"/>
        </w:rPr>
        <w:t>2.1 Spotřební daň</w:t>
      </w:r>
      <w:bookmarkEnd w:id="9"/>
      <w:bookmarkEnd w:id="10"/>
    </w:p>
    <w:p w14:paraId="58632241" w14:textId="003859D2" w:rsidR="00A66A41" w:rsidRDefault="0051469A" w:rsidP="00915E43">
      <w:pPr>
        <w:rPr>
          <w:rFonts w:cstheme="minorHAnsi"/>
        </w:rPr>
      </w:pPr>
      <w:r>
        <w:t xml:space="preserve">Cílem </w:t>
      </w:r>
      <w:r w:rsidR="00EE0BB8">
        <w:t xml:space="preserve">SPD </w:t>
      </w:r>
      <w:r>
        <w:t>je kromě naplňování</w:t>
      </w:r>
      <w:r w:rsidR="00E72E1D">
        <w:t xml:space="preserve"> státního rozpočtu</w:t>
      </w:r>
      <w:r w:rsidR="00F359E0" w:rsidRPr="00676A2C">
        <w:t xml:space="preserve"> </w:t>
      </w:r>
      <w:r w:rsidR="00662ADB">
        <w:t xml:space="preserve">prostřednictvím </w:t>
      </w:r>
      <w:r w:rsidR="00F359E0" w:rsidRPr="00676A2C">
        <w:t>vyšší cen</w:t>
      </w:r>
      <w:r w:rsidR="00662ADB">
        <w:t>y</w:t>
      </w:r>
      <w:r w:rsidR="00F359E0" w:rsidRPr="00676A2C">
        <w:t xml:space="preserve"> dané komodity či výrobku regulovat nežádoucí druh chování, s </w:t>
      </w:r>
      <w:r w:rsidR="00E009EF">
        <w:t>nímž</w:t>
      </w:r>
      <w:r w:rsidR="00E009EF" w:rsidRPr="00676A2C">
        <w:t xml:space="preserve"> </w:t>
      </w:r>
      <w:r w:rsidR="00F359E0" w:rsidRPr="00676A2C">
        <w:t>bývají spojeny externality (s vyšší cenou klesá poptávka po daném výrobku či komoditě</w:t>
      </w:r>
      <w:r w:rsidR="00F359E0">
        <w:t>)</w:t>
      </w:r>
      <w:r w:rsidR="00EE0BB8">
        <w:t>,</w:t>
      </w:r>
      <w:r w:rsidR="00F359E0">
        <w:t xml:space="preserve"> např</w:t>
      </w:r>
      <w:r w:rsidR="00AA041A">
        <w:t xml:space="preserve">. dopady na životní prostředí, </w:t>
      </w:r>
      <w:r w:rsidR="009E239A">
        <w:t>a </w:t>
      </w:r>
      <w:r w:rsidR="00F359E0">
        <w:t>naopak upřednostnit výrobek mající nižší nebo žádné externality</w:t>
      </w:r>
      <w:r w:rsidR="00F359E0" w:rsidRPr="00676A2C">
        <w:t>.</w:t>
      </w:r>
      <w:r w:rsidR="00F359E0">
        <w:t xml:space="preserve"> Stát tak může ovlivňovat celkovou cenu PHM pro spotřebitele a vzájemný vztah mezi jednotlivými druhy PHM a jejich spotřebu.</w:t>
      </w:r>
      <w:r w:rsidR="0009644C">
        <w:t xml:space="preserve"> </w:t>
      </w:r>
      <w:r w:rsidR="004E1D12">
        <w:rPr>
          <w:rFonts w:cstheme="minorHAnsi"/>
          <w:iCs/>
          <w:lang w:eastAsia="cs-CZ"/>
        </w:rPr>
        <w:t xml:space="preserve">Rizikem je </w:t>
      </w:r>
      <w:r w:rsidR="00292B6B" w:rsidRPr="00292B6B">
        <w:rPr>
          <w:rFonts w:cstheme="minorHAnsi"/>
          <w:iCs/>
          <w:lang w:eastAsia="cs-CZ"/>
        </w:rPr>
        <w:t>tzv. rebound efekt</w:t>
      </w:r>
      <w:r w:rsidR="004E1D12">
        <w:rPr>
          <w:rFonts w:cstheme="minorHAnsi"/>
          <w:iCs/>
          <w:lang w:eastAsia="cs-CZ"/>
        </w:rPr>
        <w:t xml:space="preserve">, tj. větší </w:t>
      </w:r>
      <w:r w:rsidR="004E1D12" w:rsidRPr="00B865C1">
        <w:rPr>
          <w:rFonts w:cstheme="minorHAnsi"/>
          <w:iCs/>
          <w:lang w:eastAsia="cs-CZ"/>
        </w:rPr>
        <w:t>spotřeba</w:t>
      </w:r>
      <w:r w:rsidR="00292B6B" w:rsidRPr="00B865C1">
        <w:rPr>
          <w:rFonts w:cstheme="minorHAnsi"/>
          <w:iCs/>
          <w:lang w:eastAsia="cs-CZ"/>
        </w:rPr>
        <w:t xml:space="preserve"> </w:t>
      </w:r>
      <w:r w:rsidR="00D51DDB" w:rsidRPr="00B865C1">
        <w:rPr>
          <w:rFonts w:cstheme="minorHAnsi"/>
          <w:iCs/>
          <w:lang w:eastAsia="cs-CZ"/>
        </w:rPr>
        <w:t>podporovaného</w:t>
      </w:r>
      <w:r w:rsidR="00292B6B" w:rsidRPr="00292B6B">
        <w:rPr>
          <w:rFonts w:cstheme="minorHAnsi"/>
          <w:iCs/>
          <w:lang w:eastAsia="cs-CZ"/>
        </w:rPr>
        <w:t xml:space="preserve"> paliva</w:t>
      </w:r>
      <w:r w:rsidR="004E5B0A">
        <w:rPr>
          <w:rFonts w:cstheme="minorHAnsi"/>
          <w:iCs/>
          <w:lang w:eastAsia="cs-CZ"/>
        </w:rPr>
        <w:t>,</w:t>
      </w:r>
      <w:r w:rsidR="00292B6B" w:rsidRPr="00292B6B">
        <w:rPr>
          <w:rFonts w:cstheme="minorHAnsi"/>
          <w:iCs/>
          <w:lang w:eastAsia="cs-CZ"/>
        </w:rPr>
        <w:t xml:space="preserve"> než by činila spotřeba nahrazovaného konvenčního paliva (</w:t>
      </w:r>
      <w:r w:rsidR="00292B6B" w:rsidRPr="00292B6B">
        <w:rPr>
          <w:rFonts w:cstheme="minorHAnsi"/>
        </w:rPr>
        <w:t>případně by spotřebitel za uspořené náklady spotřebovával jiné environmentálně škodlivé výrobky), přičemž negativní efekt zvýšené spotřeby by převážil pozitivní environmentální efekt.</w:t>
      </w:r>
      <w:r w:rsidR="004E5B0A">
        <w:rPr>
          <w:rFonts w:cstheme="minorHAnsi"/>
        </w:rPr>
        <w:t xml:space="preserve"> Z t</w:t>
      </w:r>
      <w:r>
        <w:rPr>
          <w:rFonts w:cstheme="minorHAnsi"/>
        </w:rPr>
        <w:t xml:space="preserve">abulky </w:t>
      </w:r>
      <w:r w:rsidRPr="009E239A">
        <w:rPr>
          <w:rFonts w:cstheme="minorHAnsi"/>
        </w:rPr>
        <w:t>č</w:t>
      </w:r>
      <w:r w:rsidRPr="00E140DB">
        <w:rPr>
          <w:rFonts w:cstheme="minorHAnsi"/>
        </w:rPr>
        <w:t>. 5</w:t>
      </w:r>
      <w:r>
        <w:rPr>
          <w:rFonts w:cstheme="minorHAnsi"/>
        </w:rPr>
        <w:t xml:space="preserve"> je zřejmé, že v ČR roste individuální doprava výrazně rychleji než veřejná doprava a</w:t>
      </w:r>
      <w:r w:rsidR="00AB3CB2">
        <w:rPr>
          <w:rFonts w:cstheme="minorHAnsi"/>
        </w:rPr>
        <w:t xml:space="preserve"> </w:t>
      </w:r>
      <w:r>
        <w:rPr>
          <w:rFonts w:cstheme="minorHAnsi"/>
        </w:rPr>
        <w:t>stejně tak rostou</w:t>
      </w:r>
      <w:r w:rsidR="00D162E9">
        <w:rPr>
          <w:rFonts w:cstheme="minorHAnsi"/>
        </w:rPr>
        <w:t xml:space="preserve"> nežádoucí</w:t>
      </w:r>
      <w:r>
        <w:rPr>
          <w:rFonts w:cstheme="minorHAnsi"/>
        </w:rPr>
        <w:t xml:space="preserve"> emise CO</w:t>
      </w:r>
      <w:r w:rsidRPr="00A66A41">
        <w:rPr>
          <w:rFonts w:cstheme="minorHAnsi"/>
          <w:vertAlign w:val="subscript"/>
        </w:rPr>
        <w:t>2</w:t>
      </w:r>
      <w:r w:rsidR="00AB3CB2">
        <w:rPr>
          <w:rFonts w:cstheme="minorHAnsi"/>
        </w:rPr>
        <w:t>.</w:t>
      </w:r>
    </w:p>
    <w:p w14:paraId="6E25F0DA" w14:textId="77777777" w:rsidR="00AB3CB2" w:rsidRPr="00F105AA" w:rsidRDefault="004E6742" w:rsidP="004E6742">
      <w:pPr>
        <w:pStyle w:val="Tabulka"/>
        <w:keepLines/>
        <w:numPr>
          <w:ilvl w:val="0"/>
          <w:numId w:val="0"/>
        </w:numPr>
        <w:spacing w:after="40"/>
      </w:pPr>
      <w:r>
        <w:lastRenderedPageBreak/>
        <w:t xml:space="preserve">Tabulka č. 5: </w:t>
      </w:r>
      <w:r w:rsidR="0051469A" w:rsidRPr="00F105AA">
        <w:t>Změna vybraných ukazatelů v oblast</w:t>
      </w:r>
      <w:r w:rsidR="00DA635A">
        <w:t>i dopravy mezi lety 2015 a 2018</w:t>
      </w:r>
      <w:r w:rsidR="0051469A" w:rsidRPr="00F105AA">
        <w:t xml:space="preserve"> </w:t>
      </w:r>
      <w:r w:rsidR="0051469A">
        <w:t>(</w:t>
      </w:r>
      <w:r w:rsidR="0051469A" w:rsidRPr="00F105AA">
        <w:t>v %</w:t>
      </w:r>
      <w:r w:rsidR="0051469A">
        <w:t>)</w:t>
      </w:r>
    </w:p>
    <w:tbl>
      <w:tblPr>
        <w:tblStyle w:val="Mkatabulky"/>
        <w:tblW w:w="0" w:type="auto"/>
        <w:tblLook w:val="04A0" w:firstRow="1" w:lastRow="0" w:firstColumn="1" w:lastColumn="0" w:noHBand="0" w:noVBand="1"/>
      </w:tblPr>
      <w:tblGrid>
        <w:gridCol w:w="3020"/>
        <w:gridCol w:w="3020"/>
        <w:gridCol w:w="3020"/>
      </w:tblGrid>
      <w:tr w:rsidR="00121435" w14:paraId="417A333B" w14:textId="77777777" w:rsidTr="004E6742">
        <w:trPr>
          <w:trHeight w:val="266"/>
        </w:trPr>
        <w:tc>
          <w:tcPr>
            <w:tcW w:w="3020" w:type="dxa"/>
            <w:shd w:val="clear" w:color="auto" w:fill="E5F1FF"/>
            <w:vAlign w:val="center"/>
          </w:tcPr>
          <w:p w14:paraId="4095C1D9" w14:textId="348DDAC9" w:rsidR="00AB3CB2" w:rsidRPr="00081343" w:rsidRDefault="0051469A" w:rsidP="00396D77">
            <w:pPr>
              <w:keepNext/>
              <w:keepLines/>
              <w:spacing w:after="0"/>
              <w:jc w:val="center"/>
              <w:rPr>
                <w:b/>
                <w:sz w:val="20"/>
                <w:szCs w:val="20"/>
              </w:rPr>
            </w:pPr>
            <w:r w:rsidRPr="00081343">
              <w:rPr>
                <w:b/>
                <w:sz w:val="20"/>
                <w:szCs w:val="20"/>
              </w:rPr>
              <w:t xml:space="preserve">Individuální automobilová doprava </w:t>
            </w:r>
            <w:r w:rsidR="00396D77">
              <w:rPr>
                <w:b/>
                <w:sz w:val="20"/>
                <w:szCs w:val="20"/>
              </w:rPr>
              <w:t>–</w:t>
            </w:r>
            <w:r w:rsidRPr="00081343">
              <w:rPr>
                <w:b/>
                <w:sz w:val="20"/>
                <w:szCs w:val="20"/>
              </w:rPr>
              <w:t xml:space="preserve"> přepravené osoby</w:t>
            </w:r>
          </w:p>
        </w:tc>
        <w:tc>
          <w:tcPr>
            <w:tcW w:w="3021" w:type="dxa"/>
            <w:shd w:val="clear" w:color="auto" w:fill="E5F1FF"/>
            <w:vAlign w:val="center"/>
          </w:tcPr>
          <w:p w14:paraId="4C3A75FA" w14:textId="410F1A13" w:rsidR="00AB3CB2" w:rsidRPr="00081343" w:rsidRDefault="0051469A" w:rsidP="00396D77">
            <w:pPr>
              <w:keepNext/>
              <w:keepLines/>
              <w:spacing w:after="0"/>
              <w:jc w:val="center"/>
              <w:rPr>
                <w:b/>
                <w:sz w:val="20"/>
                <w:szCs w:val="20"/>
              </w:rPr>
            </w:pPr>
            <w:r w:rsidRPr="00081343">
              <w:rPr>
                <w:b/>
                <w:sz w:val="20"/>
                <w:szCs w:val="20"/>
              </w:rPr>
              <w:t xml:space="preserve">Veřejná doprava </w:t>
            </w:r>
            <w:r w:rsidR="00396D77">
              <w:rPr>
                <w:b/>
                <w:sz w:val="20"/>
                <w:szCs w:val="20"/>
              </w:rPr>
              <w:t>–</w:t>
            </w:r>
            <w:r w:rsidRPr="00081343">
              <w:rPr>
                <w:b/>
                <w:sz w:val="20"/>
                <w:szCs w:val="20"/>
              </w:rPr>
              <w:t xml:space="preserve"> přepravené osoby</w:t>
            </w:r>
          </w:p>
        </w:tc>
        <w:tc>
          <w:tcPr>
            <w:tcW w:w="3021" w:type="dxa"/>
            <w:shd w:val="clear" w:color="auto" w:fill="E5F1FF"/>
            <w:vAlign w:val="center"/>
          </w:tcPr>
          <w:p w14:paraId="79CCD0FB" w14:textId="77777777" w:rsidR="00AB3CB2" w:rsidRPr="00081343" w:rsidRDefault="0051469A" w:rsidP="004E6742">
            <w:pPr>
              <w:keepNext/>
              <w:keepLines/>
              <w:spacing w:after="0"/>
              <w:jc w:val="center"/>
              <w:rPr>
                <w:b/>
                <w:sz w:val="20"/>
                <w:szCs w:val="20"/>
              </w:rPr>
            </w:pPr>
            <w:r w:rsidRPr="00081343">
              <w:rPr>
                <w:b/>
                <w:sz w:val="20"/>
                <w:szCs w:val="20"/>
              </w:rPr>
              <w:t>Emise CO</w:t>
            </w:r>
            <w:r w:rsidRPr="00AA041A">
              <w:rPr>
                <w:b/>
                <w:sz w:val="20"/>
                <w:szCs w:val="20"/>
                <w:vertAlign w:val="subscript"/>
              </w:rPr>
              <w:t>2</w:t>
            </w:r>
            <w:r w:rsidRPr="00081343">
              <w:rPr>
                <w:b/>
                <w:sz w:val="20"/>
                <w:szCs w:val="20"/>
              </w:rPr>
              <w:t xml:space="preserve"> z indivi</w:t>
            </w:r>
            <w:r>
              <w:rPr>
                <w:b/>
                <w:sz w:val="20"/>
                <w:szCs w:val="20"/>
              </w:rPr>
              <w:t>duální automobilové dopravy</w:t>
            </w:r>
          </w:p>
        </w:tc>
      </w:tr>
      <w:tr w:rsidR="00121435" w14:paraId="6B842081" w14:textId="77777777" w:rsidTr="004E6742">
        <w:trPr>
          <w:trHeight w:val="266"/>
        </w:trPr>
        <w:tc>
          <w:tcPr>
            <w:tcW w:w="3020" w:type="dxa"/>
            <w:vAlign w:val="center"/>
          </w:tcPr>
          <w:p w14:paraId="080C36A1" w14:textId="77777777" w:rsidR="00AB3CB2" w:rsidRDefault="0051469A" w:rsidP="004E6742">
            <w:pPr>
              <w:keepNext/>
              <w:keepLines/>
              <w:spacing w:after="0"/>
              <w:jc w:val="center"/>
            </w:pPr>
            <w:r w:rsidRPr="00081343">
              <w:rPr>
                <w:sz w:val="20"/>
                <w:szCs w:val="20"/>
              </w:rPr>
              <w:t>+ 14,44 p. b.</w:t>
            </w:r>
          </w:p>
        </w:tc>
        <w:tc>
          <w:tcPr>
            <w:tcW w:w="3021" w:type="dxa"/>
            <w:vAlign w:val="center"/>
          </w:tcPr>
          <w:p w14:paraId="579869F2" w14:textId="77777777" w:rsidR="00AB3CB2" w:rsidRDefault="0051469A" w:rsidP="004E6742">
            <w:pPr>
              <w:keepNext/>
              <w:keepLines/>
              <w:spacing w:after="0"/>
              <w:jc w:val="center"/>
            </w:pPr>
            <w:r w:rsidRPr="00081343">
              <w:rPr>
                <w:sz w:val="20"/>
                <w:szCs w:val="20"/>
              </w:rPr>
              <w:t>+ 1,56 p. b.</w:t>
            </w:r>
          </w:p>
        </w:tc>
        <w:tc>
          <w:tcPr>
            <w:tcW w:w="3021" w:type="dxa"/>
            <w:vAlign w:val="center"/>
          </w:tcPr>
          <w:p w14:paraId="0D25503E" w14:textId="77777777" w:rsidR="00AB3CB2" w:rsidRDefault="0051469A" w:rsidP="004E6742">
            <w:pPr>
              <w:keepNext/>
              <w:keepLines/>
              <w:spacing w:after="0"/>
              <w:jc w:val="center"/>
            </w:pPr>
            <w:r w:rsidRPr="00081343">
              <w:rPr>
                <w:sz w:val="20"/>
                <w:szCs w:val="20"/>
              </w:rPr>
              <w:t>+ 11,06 p. b.</w:t>
            </w:r>
          </w:p>
        </w:tc>
      </w:tr>
    </w:tbl>
    <w:p w14:paraId="46DFE7BA" w14:textId="149DF2DF" w:rsidR="00AB3CB2" w:rsidRPr="004E6742" w:rsidRDefault="0051469A" w:rsidP="004E6742">
      <w:pPr>
        <w:keepLines/>
        <w:spacing w:before="40"/>
        <w:rPr>
          <w:sz w:val="20"/>
          <w:szCs w:val="20"/>
        </w:rPr>
      </w:pPr>
      <w:r w:rsidRPr="004E6742">
        <w:rPr>
          <w:b/>
          <w:sz w:val="20"/>
          <w:szCs w:val="20"/>
        </w:rPr>
        <w:t>Zdroj:</w:t>
      </w:r>
      <w:r w:rsidRPr="004E6742">
        <w:rPr>
          <w:sz w:val="20"/>
          <w:szCs w:val="20"/>
        </w:rPr>
        <w:t xml:space="preserve"> </w:t>
      </w:r>
      <w:r w:rsidR="00396D77">
        <w:rPr>
          <w:sz w:val="20"/>
          <w:szCs w:val="20"/>
        </w:rPr>
        <w:t>vypracoval</w:t>
      </w:r>
      <w:r w:rsidRPr="004E6742">
        <w:rPr>
          <w:sz w:val="20"/>
          <w:szCs w:val="20"/>
        </w:rPr>
        <w:t xml:space="preserve"> NKÚ</w:t>
      </w:r>
      <w:r w:rsidR="00396D77">
        <w:rPr>
          <w:sz w:val="20"/>
          <w:szCs w:val="20"/>
        </w:rPr>
        <w:t xml:space="preserve"> podle</w:t>
      </w:r>
      <w:r w:rsidRPr="004E6742">
        <w:rPr>
          <w:sz w:val="20"/>
          <w:szCs w:val="20"/>
        </w:rPr>
        <w:t xml:space="preserve"> </w:t>
      </w:r>
      <w:r w:rsidR="00396D77">
        <w:rPr>
          <w:sz w:val="20"/>
          <w:szCs w:val="20"/>
        </w:rPr>
        <w:t>r</w:t>
      </w:r>
      <w:r w:rsidRPr="004E6742">
        <w:rPr>
          <w:sz w:val="20"/>
          <w:szCs w:val="20"/>
        </w:rPr>
        <w:t>očen</w:t>
      </w:r>
      <w:r w:rsidR="00396D77">
        <w:rPr>
          <w:sz w:val="20"/>
          <w:szCs w:val="20"/>
        </w:rPr>
        <w:t>e</w:t>
      </w:r>
      <w:r w:rsidRPr="004E6742">
        <w:rPr>
          <w:sz w:val="20"/>
          <w:szCs w:val="20"/>
        </w:rPr>
        <w:t xml:space="preserve">k dopravy ČR </w:t>
      </w:r>
      <w:r w:rsidR="00396D77">
        <w:rPr>
          <w:sz w:val="20"/>
          <w:szCs w:val="20"/>
        </w:rPr>
        <w:t xml:space="preserve">a dat </w:t>
      </w:r>
      <w:r w:rsidRPr="004E6742">
        <w:rPr>
          <w:sz w:val="20"/>
          <w:szCs w:val="20"/>
        </w:rPr>
        <w:t>Česk</w:t>
      </w:r>
      <w:r w:rsidR="00396D77">
        <w:rPr>
          <w:sz w:val="20"/>
          <w:szCs w:val="20"/>
        </w:rPr>
        <w:t>ého</w:t>
      </w:r>
      <w:r w:rsidRPr="004E6742">
        <w:rPr>
          <w:sz w:val="20"/>
          <w:szCs w:val="20"/>
        </w:rPr>
        <w:t xml:space="preserve"> statistick</w:t>
      </w:r>
      <w:r w:rsidR="00396D77">
        <w:rPr>
          <w:sz w:val="20"/>
          <w:szCs w:val="20"/>
        </w:rPr>
        <w:t>ého</w:t>
      </w:r>
      <w:r w:rsidRPr="004E6742">
        <w:rPr>
          <w:sz w:val="20"/>
          <w:szCs w:val="20"/>
        </w:rPr>
        <w:t xml:space="preserve"> úřad</w:t>
      </w:r>
      <w:r w:rsidR="00396D77">
        <w:rPr>
          <w:sz w:val="20"/>
          <w:szCs w:val="20"/>
        </w:rPr>
        <w:t>u</w:t>
      </w:r>
      <w:r w:rsidR="0088104C" w:rsidRPr="004E6742">
        <w:rPr>
          <w:sz w:val="20"/>
          <w:szCs w:val="20"/>
        </w:rPr>
        <w:t>.</w:t>
      </w:r>
    </w:p>
    <w:p w14:paraId="16C9B5F2" w14:textId="2FA2A70F" w:rsidR="0050723F" w:rsidRDefault="0051469A" w:rsidP="004E6742">
      <w:pPr>
        <w:spacing w:before="120"/>
      </w:pPr>
      <w:r>
        <w:t xml:space="preserve">Vliv </w:t>
      </w:r>
      <w:r w:rsidR="002A30A8">
        <w:t xml:space="preserve">SPD </w:t>
      </w:r>
      <w:r>
        <w:t>na celkovou výhodnost provozu vozidla na alternativní pohon je uveden v</w:t>
      </w:r>
      <w:r w:rsidR="009E239A">
        <w:t xml:space="preserve"> tabulce </w:t>
      </w:r>
      <w:r w:rsidR="009E239A" w:rsidRPr="009E239A">
        <w:t>č. </w:t>
      </w:r>
      <w:r w:rsidR="00AB3CB2" w:rsidRPr="00E140DB">
        <w:t>6</w:t>
      </w:r>
      <w:r w:rsidR="002A30A8" w:rsidRPr="00E140DB">
        <w:t>,</w:t>
      </w:r>
      <w:r w:rsidR="002A30A8">
        <w:t xml:space="preserve"> přičemž je zřejmé, že při uvažované době </w:t>
      </w:r>
      <w:r w:rsidR="00E72E1D">
        <w:t>osm</w:t>
      </w:r>
      <w:r w:rsidR="002A30A8">
        <w:t xml:space="preserve"> let užívání </w:t>
      </w:r>
      <w:r w:rsidR="00501D69">
        <w:t>je CNG ekonomicky efektivní i</w:t>
      </w:r>
      <w:r w:rsidR="00396D77">
        <w:t> </w:t>
      </w:r>
      <w:r w:rsidR="00501D69">
        <w:t xml:space="preserve">při průměrném nájezdu. </w:t>
      </w:r>
      <w:r w:rsidR="00075B36">
        <w:t>U elektromobilu však úspora na ceně PHM nepostačuje k ekonomické efektivnosti provozu takového vozidla.</w:t>
      </w:r>
      <w:r w:rsidR="006B0901">
        <w:t xml:space="preserve"> Výhodnost vozidla na CNG je závislá na počtu ujetých kilometrů a stejně jako u LPG výhodná cena </w:t>
      </w:r>
      <w:r w:rsidR="00C21053">
        <w:t xml:space="preserve">paliva </w:t>
      </w:r>
      <w:r w:rsidR="006B0901">
        <w:t xml:space="preserve">v důsledku minimální sazby daně nemotivuje ke snižování spotřeby PHM.   </w:t>
      </w:r>
    </w:p>
    <w:p w14:paraId="5355C38E" w14:textId="77777777" w:rsidR="002A30A8" w:rsidRDefault="007423AB" w:rsidP="004E6742">
      <w:pPr>
        <w:pStyle w:val="Tabulka"/>
        <w:numPr>
          <w:ilvl w:val="0"/>
          <w:numId w:val="0"/>
        </w:numPr>
        <w:spacing w:after="40"/>
      </w:pPr>
      <w:r>
        <w:t xml:space="preserve">Tabulka č. 6: </w:t>
      </w:r>
      <w:r w:rsidR="0051469A">
        <w:t>Náklady na palivo ve vztahu k celko</w:t>
      </w:r>
      <w:r w:rsidR="004E6742">
        <w:t>vé ceně vozidla – model</w:t>
      </w:r>
    </w:p>
    <w:tbl>
      <w:tblPr>
        <w:tblW w:w="0" w:type="auto"/>
        <w:tblLayout w:type="fixed"/>
        <w:tblCellMar>
          <w:left w:w="70" w:type="dxa"/>
          <w:right w:w="70" w:type="dxa"/>
        </w:tblCellMar>
        <w:tblLook w:val="04A0" w:firstRow="1" w:lastRow="0" w:firstColumn="1" w:lastColumn="0" w:noHBand="0" w:noVBand="1"/>
      </w:tblPr>
      <w:tblGrid>
        <w:gridCol w:w="850"/>
        <w:gridCol w:w="2845"/>
        <w:gridCol w:w="988"/>
        <w:gridCol w:w="964"/>
        <w:gridCol w:w="1692"/>
        <w:gridCol w:w="1701"/>
      </w:tblGrid>
      <w:tr w:rsidR="00121435" w14:paraId="140B2107" w14:textId="77777777" w:rsidTr="00043277">
        <w:trPr>
          <w:trHeight w:val="227"/>
        </w:trPr>
        <w:tc>
          <w:tcPr>
            <w:tcW w:w="850"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C3BF2BC" w14:textId="77777777" w:rsidR="002A30A8" w:rsidRPr="00A84FAD" w:rsidRDefault="0051469A" w:rsidP="00043277">
            <w:pPr>
              <w:spacing w:after="0"/>
              <w:ind w:left="-57" w:right="-57"/>
              <w:jc w:val="center"/>
              <w:rPr>
                <w:rFonts w:eastAsia="Times New Roman" w:cs="Calibri"/>
                <w:b/>
                <w:bCs/>
                <w:color w:val="000000"/>
                <w:sz w:val="20"/>
                <w:szCs w:val="20"/>
                <w:lang w:eastAsia="cs-CZ"/>
              </w:rPr>
            </w:pPr>
            <w:r w:rsidRPr="00A84FAD">
              <w:rPr>
                <w:rFonts w:eastAsia="Times New Roman" w:cs="Calibri"/>
                <w:b/>
                <w:bCs/>
                <w:color w:val="000000"/>
                <w:sz w:val="20"/>
                <w:szCs w:val="20"/>
                <w:lang w:eastAsia="cs-CZ"/>
              </w:rPr>
              <w:t>Pohon vozidla</w:t>
            </w:r>
          </w:p>
        </w:tc>
        <w:tc>
          <w:tcPr>
            <w:tcW w:w="2845" w:type="dxa"/>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42DBC919" w14:textId="77777777" w:rsidR="002A30A8" w:rsidRPr="00A84FAD" w:rsidRDefault="0051469A" w:rsidP="004E6742">
            <w:pPr>
              <w:spacing w:after="0"/>
              <w:jc w:val="center"/>
              <w:rPr>
                <w:rFonts w:eastAsia="Times New Roman" w:cs="Calibri"/>
                <w:b/>
                <w:bCs/>
                <w:color w:val="000000"/>
                <w:sz w:val="20"/>
                <w:szCs w:val="20"/>
                <w:lang w:eastAsia="cs-CZ"/>
              </w:rPr>
            </w:pPr>
            <w:r w:rsidRPr="00A84FAD">
              <w:rPr>
                <w:rFonts w:eastAsia="Times New Roman" w:cs="Calibri"/>
                <w:b/>
                <w:bCs/>
                <w:color w:val="000000"/>
                <w:sz w:val="20"/>
                <w:szCs w:val="20"/>
                <w:lang w:eastAsia="cs-CZ"/>
              </w:rPr>
              <w:t>Typ vozidla</w:t>
            </w:r>
          </w:p>
        </w:tc>
        <w:tc>
          <w:tcPr>
            <w:tcW w:w="988" w:type="dxa"/>
            <w:vMerge w:val="restart"/>
            <w:tcBorders>
              <w:top w:val="single" w:sz="4" w:space="0" w:color="auto"/>
              <w:left w:val="nil"/>
              <w:right w:val="single" w:sz="4" w:space="0" w:color="auto"/>
            </w:tcBorders>
            <w:shd w:val="clear" w:color="000000" w:fill="E5F1FF"/>
            <w:vAlign w:val="center"/>
            <w:hideMark/>
          </w:tcPr>
          <w:p w14:paraId="04BEA3C5" w14:textId="35429C46" w:rsidR="002A30A8" w:rsidRPr="00A84FAD" w:rsidRDefault="0051469A" w:rsidP="00043277">
            <w:pPr>
              <w:spacing w:after="0"/>
              <w:jc w:val="center"/>
              <w:rPr>
                <w:rFonts w:eastAsia="Times New Roman" w:cs="Calibri"/>
                <w:b/>
                <w:bCs/>
                <w:color w:val="000000"/>
                <w:sz w:val="20"/>
                <w:szCs w:val="20"/>
                <w:lang w:eastAsia="cs-CZ"/>
              </w:rPr>
            </w:pPr>
            <w:r w:rsidRPr="00A84FAD">
              <w:rPr>
                <w:rFonts w:eastAsia="Times New Roman" w:cs="Calibri"/>
                <w:b/>
                <w:bCs/>
                <w:color w:val="000000"/>
                <w:sz w:val="20"/>
                <w:szCs w:val="20"/>
                <w:lang w:eastAsia="cs-CZ"/>
              </w:rPr>
              <w:t>Pořizovací cena</w:t>
            </w:r>
            <w:r w:rsidR="0088104C">
              <w:rPr>
                <w:rFonts w:eastAsia="Times New Roman" w:cs="Calibri"/>
                <w:b/>
                <w:bCs/>
                <w:color w:val="000000"/>
                <w:sz w:val="20"/>
                <w:szCs w:val="20"/>
                <w:lang w:eastAsia="cs-CZ"/>
              </w:rPr>
              <w:t xml:space="preserve"> </w:t>
            </w:r>
            <w:r w:rsidR="00043277">
              <w:rPr>
                <w:rFonts w:eastAsia="Times New Roman" w:cs="Calibri"/>
                <w:b/>
                <w:bCs/>
                <w:color w:val="000000"/>
                <w:sz w:val="20"/>
                <w:szCs w:val="20"/>
                <w:lang w:eastAsia="cs-CZ"/>
              </w:rPr>
              <w:br/>
              <w:t>(</w:t>
            </w:r>
            <w:r w:rsidR="0088104C">
              <w:rPr>
                <w:rFonts w:eastAsia="Times New Roman" w:cs="Calibri"/>
                <w:b/>
                <w:bCs/>
                <w:color w:val="000000"/>
                <w:sz w:val="20"/>
                <w:szCs w:val="20"/>
                <w:lang w:eastAsia="cs-CZ"/>
              </w:rPr>
              <w:t>v</w:t>
            </w:r>
            <w:r w:rsidR="00043277">
              <w:rPr>
                <w:rFonts w:eastAsia="Times New Roman" w:cs="Calibri"/>
                <w:b/>
                <w:bCs/>
                <w:color w:val="000000"/>
                <w:sz w:val="20"/>
                <w:szCs w:val="20"/>
                <w:lang w:eastAsia="cs-CZ"/>
              </w:rPr>
              <w:t> </w:t>
            </w:r>
            <w:r w:rsidR="0088104C">
              <w:rPr>
                <w:rFonts w:eastAsia="Times New Roman" w:cs="Calibri"/>
                <w:b/>
                <w:bCs/>
                <w:color w:val="000000"/>
                <w:sz w:val="20"/>
                <w:szCs w:val="20"/>
                <w:lang w:eastAsia="cs-CZ"/>
              </w:rPr>
              <w:t>Kč</w:t>
            </w:r>
            <w:r w:rsidR="00043277">
              <w:rPr>
                <w:rFonts w:eastAsia="Times New Roman" w:cs="Calibri"/>
                <w:b/>
                <w:bCs/>
                <w:color w:val="000000"/>
                <w:sz w:val="20"/>
                <w:szCs w:val="20"/>
                <w:lang w:eastAsia="cs-CZ"/>
              </w:rPr>
              <w:t>)</w:t>
            </w:r>
          </w:p>
        </w:tc>
        <w:tc>
          <w:tcPr>
            <w:tcW w:w="964" w:type="dxa"/>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209D6E52" w14:textId="77777777" w:rsidR="002A30A8" w:rsidRPr="00A84FAD" w:rsidRDefault="0051469A" w:rsidP="00043277">
            <w:pPr>
              <w:spacing w:after="0"/>
              <w:ind w:left="-57" w:right="57"/>
              <w:jc w:val="center"/>
              <w:rPr>
                <w:rFonts w:eastAsia="Times New Roman" w:cs="Calibri"/>
                <w:b/>
                <w:bCs/>
                <w:color w:val="000000"/>
                <w:sz w:val="20"/>
                <w:szCs w:val="20"/>
                <w:lang w:eastAsia="cs-CZ"/>
              </w:rPr>
            </w:pPr>
            <w:r w:rsidRPr="00A84FAD">
              <w:rPr>
                <w:rFonts w:eastAsia="Times New Roman" w:cs="Calibri"/>
                <w:b/>
                <w:bCs/>
                <w:color w:val="000000"/>
                <w:sz w:val="20"/>
                <w:szCs w:val="20"/>
                <w:lang w:eastAsia="cs-CZ"/>
              </w:rPr>
              <w:t>Emise CO</w:t>
            </w:r>
            <w:r w:rsidRPr="00A84FAD">
              <w:rPr>
                <w:rFonts w:eastAsia="Times New Roman" w:cs="Calibri"/>
                <w:b/>
                <w:bCs/>
                <w:color w:val="000000"/>
                <w:sz w:val="20"/>
                <w:szCs w:val="20"/>
                <w:vertAlign w:val="subscript"/>
                <w:lang w:eastAsia="cs-CZ"/>
              </w:rPr>
              <w:t>2</w:t>
            </w:r>
          </w:p>
        </w:tc>
        <w:tc>
          <w:tcPr>
            <w:tcW w:w="3393" w:type="dxa"/>
            <w:gridSpan w:val="2"/>
            <w:tcBorders>
              <w:top w:val="single" w:sz="4" w:space="0" w:color="auto"/>
              <w:left w:val="single" w:sz="4" w:space="0" w:color="auto"/>
              <w:bottom w:val="single" w:sz="4" w:space="0" w:color="000000"/>
              <w:right w:val="single" w:sz="4" w:space="0" w:color="auto"/>
            </w:tcBorders>
            <w:shd w:val="clear" w:color="000000" w:fill="E5F1FF"/>
            <w:vAlign w:val="center"/>
          </w:tcPr>
          <w:p w14:paraId="529E0AA4" w14:textId="77777777" w:rsidR="002A30A8" w:rsidRPr="00A84FAD" w:rsidRDefault="0051469A" w:rsidP="004E6742">
            <w:pPr>
              <w:spacing w:after="0"/>
              <w:jc w:val="center"/>
              <w:rPr>
                <w:rFonts w:eastAsia="Times New Roman" w:cs="Calibri"/>
                <w:b/>
                <w:bCs/>
                <w:color w:val="000000"/>
                <w:sz w:val="20"/>
                <w:szCs w:val="20"/>
                <w:lang w:eastAsia="cs-CZ"/>
              </w:rPr>
            </w:pPr>
            <w:r w:rsidRPr="00A84FAD">
              <w:rPr>
                <w:rFonts w:cs="Calibri"/>
                <w:b/>
                <w:bCs/>
                <w:color w:val="000000"/>
                <w:sz w:val="20"/>
                <w:szCs w:val="20"/>
              </w:rPr>
              <w:t xml:space="preserve">Náklady na </w:t>
            </w:r>
            <w:r w:rsidR="00AF72C9">
              <w:rPr>
                <w:rFonts w:cs="Calibri"/>
                <w:b/>
                <w:bCs/>
                <w:color w:val="000000"/>
                <w:sz w:val="20"/>
                <w:szCs w:val="20"/>
              </w:rPr>
              <w:t>PHM</w:t>
            </w:r>
            <w:r w:rsidRPr="00A84FAD">
              <w:rPr>
                <w:rFonts w:cs="Calibri"/>
                <w:b/>
                <w:bCs/>
                <w:color w:val="000000"/>
                <w:sz w:val="20"/>
                <w:szCs w:val="20"/>
              </w:rPr>
              <w:t xml:space="preserve"> po dobu </w:t>
            </w:r>
            <w:r w:rsidR="00AF72C9">
              <w:rPr>
                <w:rFonts w:cs="Calibri"/>
                <w:b/>
                <w:bCs/>
                <w:color w:val="000000"/>
                <w:sz w:val="20"/>
                <w:szCs w:val="20"/>
              </w:rPr>
              <w:t>osmi let</w:t>
            </w:r>
          </w:p>
        </w:tc>
      </w:tr>
      <w:tr w:rsidR="00121435" w14:paraId="287E331D" w14:textId="77777777" w:rsidTr="00043277">
        <w:trPr>
          <w:trHeight w:val="227"/>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9FECF28" w14:textId="77777777" w:rsidR="002A30A8" w:rsidRPr="00A84FAD" w:rsidRDefault="002A30A8" w:rsidP="00043277">
            <w:pPr>
              <w:spacing w:after="0"/>
              <w:ind w:left="-57" w:right="-57"/>
              <w:jc w:val="center"/>
              <w:rPr>
                <w:rFonts w:eastAsia="Times New Roman" w:cs="Calibri"/>
                <w:b/>
                <w:bCs/>
                <w:color w:val="000000"/>
                <w:sz w:val="20"/>
                <w:szCs w:val="20"/>
                <w:lang w:eastAsia="cs-CZ"/>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0F5DDB32" w14:textId="77777777" w:rsidR="002A30A8" w:rsidRPr="00A84FAD" w:rsidRDefault="002A30A8" w:rsidP="004E6742">
            <w:pPr>
              <w:spacing w:after="0"/>
              <w:jc w:val="center"/>
              <w:rPr>
                <w:rFonts w:eastAsia="Times New Roman" w:cs="Calibri"/>
                <w:b/>
                <w:bCs/>
                <w:color w:val="000000"/>
                <w:sz w:val="20"/>
                <w:szCs w:val="20"/>
                <w:lang w:eastAsia="cs-CZ"/>
              </w:rPr>
            </w:pPr>
          </w:p>
        </w:tc>
        <w:tc>
          <w:tcPr>
            <w:tcW w:w="988" w:type="dxa"/>
            <w:vMerge/>
            <w:tcBorders>
              <w:left w:val="nil"/>
              <w:bottom w:val="single" w:sz="4" w:space="0" w:color="auto"/>
              <w:right w:val="single" w:sz="4" w:space="0" w:color="auto"/>
            </w:tcBorders>
            <w:shd w:val="clear" w:color="000000" w:fill="E5F1FF"/>
            <w:vAlign w:val="center"/>
            <w:hideMark/>
          </w:tcPr>
          <w:p w14:paraId="1EAEC058" w14:textId="77777777" w:rsidR="002A30A8" w:rsidRPr="00A84FAD" w:rsidRDefault="002A30A8" w:rsidP="004E6742">
            <w:pPr>
              <w:spacing w:after="0"/>
              <w:jc w:val="center"/>
              <w:rPr>
                <w:rFonts w:eastAsia="Times New Roman" w:cs="Calibri"/>
                <w:b/>
                <w:bCs/>
                <w:color w:val="000000"/>
                <w:sz w:val="20"/>
                <w:szCs w:val="20"/>
                <w:lang w:eastAsia="cs-CZ"/>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14:paraId="3115A5C5" w14:textId="77777777" w:rsidR="002A30A8" w:rsidRPr="00A84FAD" w:rsidRDefault="002A30A8" w:rsidP="00043277">
            <w:pPr>
              <w:spacing w:after="0"/>
              <w:ind w:left="-57" w:right="57"/>
              <w:jc w:val="center"/>
              <w:rPr>
                <w:rFonts w:eastAsia="Times New Roman" w:cs="Calibri"/>
                <w:b/>
                <w:bCs/>
                <w:color w:val="000000"/>
                <w:sz w:val="20"/>
                <w:szCs w:val="20"/>
                <w:lang w:eastAsia="cs-CZ"/>
              </w:rPr>
            </w:pPr>
          </w:p>
        </w:tc>
        <w:tc>
          <w:tcPr>
            <w:tcW w:w="1692" w:type="dxa"/>
            <w:tcBorders>
              <w:top w:val="single" w:sz="4" w:space="0" w:color="auto"/>
              <w:left w:val="single" w:sz="4" w:space="0" w:color="auto"/>
              <w:bottom w:val="single" w:sz="4" w:space="0" w:color="auto"/>
              <w:right w:val="single" w:sz="4" w:space="0" w:color="auto"/>
            </w:tcBorders>
            <w:shd w:val="clear" w:color="000000" w:fill="E5F1FF"/>
            <w:vAlign w:val="center"/>
          </w:tcPr>
          <w:p w14:paraId="26853A14" w14:textId="184AFA0A" w:rsidR="002A30A8" w:rsidRPr="00A84FAD" w:rsidRDefault="0051469A" w:rsidP="00043277">
            <w:pPr>
              <w:spacing w:after="0"/>
              <w:jc w:val="center"/>
              <w:rPr>
                <w:rFonts w:eastAsia="Times New Roman" w:cs="Calibri"/>
                <w:b/>
                <w:bCs/>
                <w:color w:val="000000"/>
                <w:sz w:val="20"/>
                <w:szCs w:val="20"/>
                <w:lang w:eastAsia="cs-CZ"/>
              </w:rPr>
            </w:pPr>
            <w:r>
              <w:rPr>
                <w:rFonts w:cs="Calibri"/>
                <w:b/>
                <w:bCs/>
                <w:color w:val="000000"/>
                <w:sz w:val="20"/>
                <w:szCs w:val="20"/>
              </w:rPr>
              <w:t xml:space="preserve">při </w:t>
            </w:r>
            <w:r w:rsidRPr="00A84FAD">
              <w:rPr>
                <w:rFonts w:cs="Calibri"/>
                <w:b/>
                <w:bCs/>
                <w:color w:val="000000"/>
                <w:sz w:val="20"/>
                <w:szCs w:val="20"/>
              </w:rPr>
              <w:t>15 000</w:t>
            </w:r>
            <w:r w:rsidR="00043277">
              <w:rPr>
                <w:rFonts w:cs="Calibri"/>
                <w:b/>
                <w:bCs/>
                <w:color w:val="000000"/>
                <w:sz w:val="20"/>
                <w:szCs w:val="20"/>
              </w:rPr>
              <w:t> </w:t>
            </w:r>
            <w:r w:rsidRPr="00A84FAD">
              <w:rPr>
                <w:rFonts w:cs="Calibri"/>
                <w:b/>
                <w:bCs/>
                <w:color w:val="000000"/>
                <w:sz w:val="20"/>
                <w:szCs w:val="20"/>
              </w:rPr>
              <w:t>km/rok</w:t>
            </w:r>
            <w:r>
              <w:rPr>
                <w:rFonts w:cs="Calibri"/>
                <w:b/>
                <w:bCs/>
                <w:color w:val="000000"/>
                <w:sz w:val="20"/>
                <w:szCs w:val="20"/>
              </w:rPr>
              <w:t xml:space="preserve"> </w:t>
            </w:r>
            <w:r w:rsidR="00043277">
              <w:rPr>
                <w:rFonts w:cs="Calibri"/>
                <w:b/>
                <w:bCs/>
                <w:color w:val="000000"/>
                <w:sz w:val="20"/>
                <w:szCs w:val="20"/>
              </w:rPr>
              <w:t>(</w:t>
            </w:r>
            <w:r>
              <w:rPr>
                <w:rFonts w:cs="Calibri"/>
                <w:b/>
                <w:bCs/>
                <w:color w:val="000000"/>
                <w:sz w:val="20"/>
                <w:szCs w:val="20"/>
              </w:rPr>
              <w:t>v Kč</w:t>
            </w:r>
            <w:r w:rsidR="00043277">
              <w:rPr>
                <w:rFonts w:cs="Calibri"/>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E5F1FF"/>
            <w:vAlign w:val="center"/>
          </w:tcPr>
          <w:p w14:paraId="6011DDFE" w14:textId="0F66FE5E" w:rsidR="002A30A8" w:rsidRPr="00A84FAD" w:rsidRDefault="0051469A" w:rsidP="00043277">
            <w:pPr>
              <w:spacing w:after="0"/>
              <w:jc w:val="center"/>
              <w:rPr>
                <w:rFonts w:eastAsia="Times New Roman" w:cs="Calibri"/>
                <w:b/>
                <w:bCs/>
                <w:color w:val="000000"/>
                <w:sz w:val="20"/>
                <w:szCs w:val="20"/>
                <w:lang w:eastAsia="cs-CZ"/>
              </w:rPr>
            </w:pPr>
            <w:r>
              <w:rPr>
                <w:rFonts w:cs="Calibri"/>
                <w:b/>
                <w:bCs/>
                <w:color w:val="000000"/>
                <w:sz w:val="20"/>
                <w:szCs w:val="20"/>
              </w:rPr>
              <w:t xml:space="preserve">při </w:t>
            </w:r>
            <w:r w:rsidRPr="00A84FAD">
              <w:rPr>
                <w:rFonts w:cs="Calibri"/>
                <w:b/>
                <w:bCs/>
                <w:color w:val="000000"/>
                <w:sz w:val="20"/>
                <w:szCs w:val="20"/>
              </w:rPr>
              <w:t>30 000</w:t>
            </w:r>
            <w:r w:rsidR="00043277">
              <w:rPr>
                <w:rFonts w:cs="Calibri"/>
                <w:b/>
                <w:bCs/>
                <w:color w:val="000000"/>
                <w:sz w:val="20"/>
                <w:szCs w:val="20"/>
              </w:rPr>
              <w:t> </w:t>
            </w:r>
            <w:r w:rsidRPr="00A84FAD">
              <w:rPr>
                <w:rFonts w:cs="Calibri"/>
                <w:b/>
                <w:bCs/>
                <w:color w:val="000000"/>
                <w:sz w:val="20"/>
                <w:szCs w:val="20"/>
              </w:rPr>
              <w:t>km/rok</w:t>
            </w:r>
            <w:r>
              <w:rPr>
                <w:rFonts w:cs="Calibri"/>
                <w:b/>
                <w:bCs/>
                <w:color w:val="000000"/>
                <w:sz w:val="20"/>
                <w:szCs w:val="20"/>
              </w:rPr>
              <w:t xml:space="preserve"> </w:t>
            </w:r>
            <w:r w:rsidR="00043277">
              <w:rPr>
                <w:rFonts w:cs="Calibri"/>
                <w:b/>
                <w:bCs/>
                <w:color w:val="000000"/>
                <w:sz w:val="20"/>
                <w:szCs w:val="20"/>
              </w:rPr>
              <w:t>(</w:t>
            </w:r>
            <w:r>
              <w:rPr>
                <w:rFonts w:cs="Calibri"/>
                <w:b/>
                <w:bCs/>
                <w:color w:val="000000"/>
                <w:sz w:val="20"/>
                <w:szCs w:val="20"/>
              </w:rPr>
              <w:t>v Kč</w:t>
            </w:r>
            <w:r w:rsidR="00043277">
              <w:rPr>
                <w:rFonts w:cs="Calibri"/>
                <w:b/>
                <w:bCs/>
                <w:color w:val="000000"/>
                <w:sz w:val="20"/>
                <w:szCs w:val="20"/>
              </w:rPr>
              <w:t>)</w:t>
            </w:r>
          </w:p>
        </w:tc>
      </w:tr>
      <w:tr w:rsidR="00121435" w14:paraId="065FBCCC" w14:textId="77777777" w:rsidTr="00043277">
        <w:trPr>
          <w:trHeight w:val="22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C7BB136" w14:textId="77777777" w:rsidR="002A30A8" w:rsidRPr="00A84FAD" w:rsidRDefault="0051469A" w:rsidP="00043277">
            <w:pPr>
              <w:spacing w:after="0"/>
              <w:ind w:left="-57" w:right="-57"/>
              <w:jc w:val="left"/>
              <w:rPr>
                <w:rFonts w:eastAsia="Times New Roman" w:cs="Calibri"/>
                <w:color w:val="000000"/>
                <w:sz w:val="20"/>
                <w:szCs w:val="20"/>
                <w:lang w:eastAsia="cs-CZ"/>
              </w:rPr>
            </w:pPr>
            <w:r w:rsidRPr="00A84FAD">
              <w:rPr>
                <w:rFonts w:eastAsia="Times New Roman" w:cs="Calibri"/>
                <w:color w:val="000000"/>
                <w:sz w:val="20"/>
                <w:szCs w:val="20"/>
                <w:lang w:eastAsia="cs-CZ"/>
              </w:rPr>
              <w:t>Diesel</w:t>
            </w:r>
          </w:p>
        </w:tc>
        <w:tc>
          <w:tcPr>
            <w:tcW w:w="2845" w:type="dxa"/>
            <w:tcBorders>
              <w:top w:val="nil"/>
              <w:left w:val="nil"/>
              <w:bottom w:val="single" w:sz="4" w:space="0" w:color="auto"/>
              <w:right w:val="single" w:sz="4" w:space="0" w:color="auto"/>
            </w:tcBorders>
            <w:shd w:val="clear" w:color="auto" w:fill="auto"/>
            <w:noWrap/>
            <w:vAlign w:val="bottom"/>
            <w:hideMark/>
          </w:tcPr>
          <w:p w14:paraId="004A17A6" w14:textId="77777777" w:rsidR="002A30A8" w:rsidRPr="00A84FAD" w:rsidRDefault="0051469A" w:rsidP="004E6742">
            <w:pPr>
              <w:spacing w:after="0"/>
              <w:jc w:val="left"/>
              <w:rPr>
                <w:rFonts w:eastAsia="Times New Roman" w:cs="Calibri"/>
                <w:color w:val="000000"/>
                <w:sz w:val="20"/>
                <w:szCs w:val="20"/>
                <w:lang w:eastAsia="cs-CZ"/>
              </w:rPr>
            </w:pPr>
            <w:r w:rsidRPr="00A84FAD">
              <w:rPr>
                <w:rFonts w:eastAsia="Times New Roman" w:cs="Calibri"/>
                <w:color w:val="000000"/>
                <w:sz w:val="20"/>
                <w:szCs w:val="20"/>
                <w:lang w:eastAsia="cs-CZ"/>
              </w:rPr>
              <w:t>Golf CL 1,6 TDI SCR 5G</w:t>
            </w:r>
          </w:p>
        </w:tc>
        <w:tc>
          <w:tcPr>
            <w:tcW w:w="988" w:type="dxa"/>
            <w:tcBorders>
              <w:top w:val="nil"/>
              <w:left w:val="nil"/>
              <w:bottom w:val="single" w:sz="4" w:space="0" w:color="auto"/>
              <w:right w:val="single" w:sz="4" w:space="0" w:color="auto"/>
            </w:tcBorders>
            <w:shd w:val="clear" w:color="auto" w:fill="auto"/>
            <w:noWrap/>
            <w:vAlign w:val="bottom"/>
            <w:hideMark/>
          </w:tcPr>
          <w:p w14:paraId="3579E32B"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548 900</w:t>
            </w:r>
          </w:p>
        </w:tc>
        <w:tc>
          <w:tcPr>
            <w:tcW w:w="964" w:type="dxa"/>
            <w:tcBorders>
              <w:top w:val="nil"/>
              <w:left w:val="nil"/>
              <w:bottom w:val="single" w:sz="4" w:space="0" w:color="auto"/>
              <w:right w:val="single" w:sz="4" w:space="0" w:color="auto"/>
            </w:tcBorders>
            <w:shd w:val="clear" w:color="auto" w:fill="auto"/>
            <w:noWrap/>
            <w:vAlign w:val="center"/>
            <w:hideMark/>
          </w:tcPr>
          <w:p w14:paraId="200CB461"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130 g/km</w:t>
            </w:r>
          </w:p>
        </w:tc>
        <w:tc>
          <w:tcPr>
            <w:tcW w:w="1692" w:type="dxa"/>
            <w:tcBorders>
              <w:top w:val="nil"/>
              <w:left w:val="single" w:sz="4" w:space="0" w:color="auto"/>
              <w:bottom w:val="single" w:sz="4" w:space="0" w:color="auto"/>
              <w:right w:val="single" w:sz="4" w:space="0" w:color="auto"/>
            </w:tcBorders>
            <w:shd w:val="clear" w:color="auto" w:fill="auto"/>
            <w:vAlign w:val="bottom"/>
          </w:tcPr>
          <w:p w14:paraId="2270A13E"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185 940</w:t>
            </w:r>
          </w:p>
        </w:tc>
        <w:tc>
          <w:tcPr>
            <w:tcW w:w="1701" w:type="dxa"/>
            <w:tcBorders>
              <w:top w:val="nil"/>
              <w:left w:val="single" w:sz="4" w:space="0" w:color="auto"/>
              <w:bottom w:val="single" w:sz="4" w:space="0" w:color="auto"/>
              <w:right w:val="single" w:sz="4" w:space="0" w:color="auto"/>
            </w:tcBorders>
            <w:shd w:val="clear" w:color="auto" w:fill="auto"/>
            <w:vAlign w:val="bottom"/>
          </w:tcPr>
          <w:p w14:paraId="55E67D3F"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371 880</w:t>
            </w:r>
          </w:p>
        </w:tc>
      </w:tr>
      <w:tr w:rsidR="00121435" w14:paraId="09A90D5D" w14:textId="77777777" w:rsidTr="00043277">
        <w:trPr>
          <w:trHeight w:val="22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1DA8899" w14:textId="77777777" w:rsidR="002A30A8" w:rsidRPr="00A84FAD" w:rsidRDefault="0051469A" w:rsidP="00043277">
            <w:pPr>
              <w:spacing w:after="0"/>
              <w:ind w:left="-57" w:right="-57"/>
              <w:jc w:val="left"/>
              <w:rPr>
                <w:rFonts w:eastAsia="Times New Roman" w:cs="Calibri"/>
                <w:color w:val="000000"/>
                <w:sz w:val="20"/>
                <w:szCs w:val="20"/>
                <w:lang w:eastAsia="cs-CZ"/>
              </w:rPr>
            </w:pPr>
            <w:r w:rsidRPr="00A84FAD">
              <w:rPr>
                <w:rFonts w:eastAsia="Times New Roman" w:cs="Calibri"/>
                <w:color w:val="000000"/>
                <w:sz w:val="20"/>
                <w:szCs w:val="20"/>
                <w:lang w:eastAsia="cs-CZ"/>
              </w:rPr>
              <w:t>Benzín</w:t>
            </w:r>
          </w:p>
        </w:tc>
        <w:tc>
          <w:tcPr>
            <w:tcW w:w="2845" w:type="dxa"/>
            <w:tcBorders>
              <w:top w:val="nil"/>
              <w:left w:val="nil"/>
              <w:bottom w:val="single" w:sz="4" w:space="0" w:color="auto"/>
              <w:right w:val="single" w:sz="4" w:space="0" w:color="auto"/>
            </w:tcBorders>
            <w:shd w:val="clear" w:color="auto" w:fill="auto"/>
            <w:noWrap/>
            <w:vAlign w:val="bottom"/>
            <w:hideMark/>
          </w:tcPr>
          <w:p w14:paraId="57B708AF" w14:textId="77777777" w:rsidR="002A30A8" w:rsidRPr="00A84FAD" w:rsidRDefault="0051469A" w:rsidP="004E6742">
            <w:pPr>
              <w:spacing w:after="0"/>
              <w:jc w:val="left"/>
              <w:rPr>
                <w:rFonts w:eastAsia="Times New Roman" w:cs="Calibri"/>
                <w:color w:val="000000"/>
                <w:sz w:val="20"/>
                <w:szCs w:val="20"/>
                <w:lang w:eastAsia="cs-CZ"/>
              </w:rPr>
            </w:pPr>
            <w:r w:rsidRPr="00A84FAD">
              <w:rPr>
                <w:rFonts w:eastAsia="Times New Roman" w:cs="Calibri"/>
                <w:color w:val="000000"/>
                <w:sz w:val="20"/>
                <w:szCs w:val="20"/>
                <w:lang w:eastAsia="cs-CZ"/>
              </w:rPr>
              <w:t>Golf CL 1,5 TSI EVO BMT OPF 6G</w:t>
            </w:r>
          </w:p>
        </w:tc>
        <w:tc>
          <w:tcPr>
            <w:tcW w:w="988" w:type="dxa"/>
            <w:tcBorders>
              <w:top w:val="nil"/>
              <w:left w:val="nil"/>
              <w:bottom w:val="single" w:sz="4" w:space="0" w:color="auto"/>
              <w:right w:val="single" w:sz="4" w:space="0" w:color="auto"/>
            </w:tcBorders>
            <w:shd w:val="clear" w:color="auto" w:fill="auto"/>
            <w:noWrap/>
            <w:vAlign w:val="bottom"/>
            <w:hideMark/>
          </w:tcPr>
          <w:p w14:paraId="23D4F6C5"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520 900</w:t>
            </w:r>
          </w:p>
        </w:tc>
        <w:tc>
          <w:tcPr>
            <w:tcW w:w="964" w:type="dxa"/>
            <w:tcBorders>
              <w:top w:val="nil"/>
              <w:left w:val="nil"/>
              <w:bottom w:val="single" w:sz="4" w:space="0" w:color="auto"/>
              <w:right w:val="single" w:sz="4" w:space="0" w:color="auto"/>
            </w:tcBorders>
            <w:shd w:val="clear" w:color="auto" w:fill="auto"/>
            <w:noWrap/>
            <w:vAlign w:val="center"/>
            <w:hideMark/>
          </w:tcPr>
          <w:p w14:paraId="3C0BAB33"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135 g/km</w:t>
            </w:r>
          </w:p>
        </w:tc>
        <w:tc>
          <w:tcPr>
            <w:tcW w:w="1692" w:type="dxa"/>
            <w:tcBorders>
              <w:top w:val="nil"/>
              <w:left w:val="single" w:sz="4" w:space="0" w:color="auto"/>
              <w:bottom w:val="single" w:sz="4" w:space="0" w:color="auto"/>
              <w:right w:val="single" w:sz="4" w:space="0" w:color="auto"/>
            </w:tcBorders>
            <w:shd w:val="clear" w:color="auto" w:fill="auto"/>
            <w:vAlign w:val="bottom"/>
          </w:tcPr>
          <w:p w14:paraId="26B38FE2"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219 960</w:t>
            </w:r>
          </w:p>
        </w:tc>
        <w:tc>
          <w:tcPr>
            <w:tcW w:w="1701" w:type="dxa"/>
            <w:tcBorders>
              <w:top w:val="nil"/>
              <w:left w:val="single" w:sz="4" w:space="0" w:color="auto"/>
              <w:bottom w:val="single" w:sz="4" w:space="0" w:color="auto"/>
              <w:right w:val="single" w:sz="4" w:space="0" w:color="auto"/>
            </w:tcBorders>
            <w:shd w:val="clear" w:color="auto" w:fill="auto"/>
            <w:vAlign w:val="bottom"/>
          </w:tcPr>
          <w:p w14:paraId="51A38819"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439 920</w:t>
            </w:r>
          </w:p>
        </w:tc>
      </w:tr>
      <w:tr w:rsidR="00121435" w14:paraId="40D8ED69" w14:textId="77777777" w:rsidTr="00043277">
        <w:trPr>
          <w:trHeight w:val="22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7259F0" w14:textId="77777777" w:rsidR="002A30A8" w:rsidRPr="00A84FAD" w:rsidRDefault="0051469A" w:rsidP="00043277">
            <w:pPr>
              <w:spacing w:after="0"/>
              <w:ind w:left="-57" w:right="-57"/>
              <w:jc w:val="left"/>
              <w:rPr>
                <w:rFonts w:eastAsia="Times New Roman" w:cs="Calibri"/>
                <w:color w:val="000000"/>
                <w:sz w:val="20"/>
                <w:szCs w:val="20"/>
                <w:lang w:eastAsia="cs-CZ"/>
              </w:rPr>
            </w:pPr>
            <w:r w:rsidRPr="00A84FAD">
              <w:rPr>
                <w:rFonts w:eastAsia="Times New Roman" w:cs="Calibri"/>
                <w:color w:val="000000"/>
                <w:sz w:val="20"/>
                <w:szCs w:val="20"/>
                <w:lang w:eastAsia="cs-CZ"/>
              </w:rPr>
              <w:t>CNG</w:t>
            </w:r>
          </w:p>
        </w:tc>
        <w:tc>
          <w:tcPr>
            <w:tcW w:w="2845" w:type="dxa"/>
            <w:tcBorders>
              <w:top w:val="nil"/>
              <w:left w:val="nil"/>
              <w:bottom w:val="single" w:sz="4" w:space="0" w:color="auto"/>
              <w:right w:val="single" w:sz="4" w:space="0" w:color="auto"/>
            </w:tcBorders>
            <w:shd w:val="clear" w:color="auto" w:fill="auto"/>
            <w:noWrap/>
            <w:vAlign w:val="bottom"/>
            <w:hideMark/>
          </w:tcPr>
          <w:p w14:paraId="7EF12C04" w14:textId="77777777" w:rsidR="002A30A8" w:rsidRPr="00A84FAD" w:rsidRDefault="0051469A" w:rsidP="004E6742">
            <w:pPr>
              <w:spacing w:after="0"/>
              <w:jc w:val="left"/>
              <w:rPr>
                <w:rFonts w:eastAsia="Times New Roman" w:cs="Calibri"/>
                <w:color w:val="000000"/>
                <w:sz w:val="20"/>
                <w:szCs w:val="20"/>
                <w:lang w:eastAsia="cs-CZ"/>
              </w:rPr>
            </w:pPr>
            <w:r w:rsidRPr="00A84FAD">
              <w:rPr>
                <w:rFonts w:eastAsia="Times New Roman" w:cs="Calibri"/>
                <w:color w:val="000000"/>
                <w:sz w:val="20"/>
                <w:szCs w:val="20"/>
                <w:lang w:eastAsia="cs-CZ"/>
              </w:rPr>
              <w:t>Golf Comfortline 1,5 TGI 6G</w:t>
            </w:r>
          </w:p>
        </w:tc>
        <w:tc>
          <w:tcPr>
            <w:tcW w:w="988" w:type="dxa"/>
            <w:tcBorders>
              <w:top w:val="nil"/>
              <w:left w:val="nil"/>
              <w:bottom w:val="single" w:sz="4" w:space="0" w:color="auto"/>
              <w:right w:val="single" w:sz="4" w:space="0" w:color="auto"/>
            </w:tcBorders>
            <w:shd w:val="clear" w:color="auto" w:fill="auto"/>
            <w:noWrap/>
            <w:vAlign w:val="bottom"/>
            <w:hideMark/>
          </w:tcPr>
          <w:p w14:paraId="0532A1DF"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584 900</w:t>
            </w:r>
          </w:p>
        </w:tc>
        <w:tc>
          <w:tcPr>
            <w:tcW w:w="964" w:type="dxa"/>
            <w:tcBorders>
              <w:top w:val="nil"/>
              <w:left w:val="nil"/>
              <w:bottom w:val="single" w:sz="4" w:space="0" w:color="auto"/>
              <w:right w:val="single" w:sz="4" w:space="0" w:color="auto"/>
            </w:tcBorders>
            <w:shd w:val="clear" w:color="auto" w:fill="auto"/>
            <w:noWrap/>
            <w:vAlign w:val="center"/>
            <w:hideMark/>
          </w:tcPr>
          <w:p w14:paraId="0278AAC7"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113 g/km</w:t>
            </w:r>
          </w:p>
        </w:tc>
        <w:tc>
          <w:tcPr>
            <w:tcW w:w="1692" w:type="dxa"/>
            <w:tcBorders>
              <w:top w:val="nil"/>
              <w:left w:val="single" w:sz="4" w:space="0" w:color="auto"/>
              <w:bottom w:val="single" w:sz="4" w:space="0" w:color="auto"/>
              <w:right w:val="single" w:sz="4" w:space="0" w:color="auto"/>
            </w:tcBorders>
            <w:shd w:val="clear" w:color="auto" w:fill="auto"/>
            <w:vAlign w:val="bottom"/>
          </w:tcPr>
          <w:p w14:paraId="6A3C41B3"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139 255</w:t>
            </w:r>
          </w:p>
        </w:tc>
        <w:tc>
          <w:tcPr>
            <w:tcW w:w="1701" w:type="dxa"/>
            <w:tcBorders>
              <w:top w:val="nil"/>
              <w:left w:val="single" w:sz="4" w:space="0" w:color="auto"/>
              <w:bottom w:val="single" w:sz="4" w:space="0" w:color="auto"/>
              <w:right w:val="single" w:sz="4" w:space="0" w:color="auto"/>
            </w:tcBorders>
            <w:shd w:val="clear" w:color="auto" w:fill="auto"/>
            <w:vAlign w:val="bottom"/>
          </w:tcPr>
          <w:p w14:paraId="24B14CB8"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278 510</w:t>
            </w:r>
          </w:p>
        </w:tc>
      </w:tr>
      <w:tr w:rsidR="00121435" w14:paraId="49A204C0" w14:textId="77777777" w:rsidTr="00043277">
        <w:trPr>
          <w:trHeight w:val="227"/>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D18A252" w14:textId="77777777" w:rsidR="002A30A8" w:rsidRPr="00A84FAD" w:rsidRDefault="0051469A" w:rsidP="00043277">
            <w:pPr>
              <w:spacing w:after="0"/>
              <w:ind w:left="-57" w:right="-57"/>
              <w:jc w:val="left"/>
              <w:rPr>
                <w:rFonts w:eastAsia="Times New Roman" w:cs="Calibri"/>
                <w:color w:val="000000"/>
                <w:sz w:val="20"/>
                <w:szCs w:val="20"/>
                <w:lang w:eastAsia="cs-CZ"/>
              </w:rPr>
            </w:pPr>
            <w:r w:rsidRPr="00A84FAD">
              <w:rPr>
                <w:rFonts w:eastAsia="Times New Roman" w:cs="Calibri"/>
                <w:color w:val="000000"/>
                <w:sz w:val="20"/>
                <w:szCs w:val="20"/>
                <w:lang w:eastAsia="cs-CZ"/>
              </w:rPr>
              <w:t>Elektřina</w:t>
            </w:r>
          </w:p>
        </w:tc>
        <w:tc>
          <w:tcPr>
            <w:tcW w:w="2845" w:type="dxa"/>
            <w:tcBorders>
              <w:top w:val="nil"/>
              <w:left w:val="nil"/>
              <w:bottom w:val="single" w:sz="4" w:space="0" w:color="auto"/>
              <w:right w:val="single" w:sz="4" w:space="0" w:color="auto"/>
            </w:tcBorders>
            <w:shd w:val="clear" w:color="auto" w:fill="auto"/>
            <w:noWrap/>
            <w:vAlign w:val="bottom"/>
            <w:hideMark/>
          </w:tcPr>
          <w:p w14:paraId="15180114" w14:textId="77777777" w:rsidR="002A30A8" w:rsidRPr="00A84FAD" w:rsidRDefault="0051469A" w:rsidP="004E6742">
            <w:pPr>
              <w:spacing w:after="0"/>
              <w:jc w:val="left"/>
              <w:rPr>
                <w:rFonts w:eastAsia="Times New Roman" w:cs="Calibri"/>
                <w:color w:val="000000"/>
                <w:sz w:val="20"/>
                <w:szCs w:val="20"/>
                <w:lang w:eastAsia="cs-CZ"/>
              </w:rPr>
            </w:pPr>
            <w:r w:rsidRPr="00A84FAD">
              <w:rPr>
                <w:rFonts w:eastAsia="Times New Roman" w:cs="Calibri"/>
                <w:color w:val="000000"/>
                <w:sz w:val="20"/>
                <w:szCs w:val="20"/>
                <w:lang w:eastAsia="cs-CZ"/>
              </w:rPr>
              <w:t>eGolf</w:t>
            </w:r>
          </w:p>
        </w:tc>
        <w:tc>
          <w:tcPr>
            <w:tcW w:w="988" w:type="dxa"/>
            <w:tcBorders>
              <w:top w:val="nil"/>
              <w:left w:val="nil"/>
              <w:bottom w:val="single" w:sz="4" w:space="0" w:color="auto"/>
              <w:right w:val="single" w:sz="4" w:space="0" w:color="auto"/>
            </w:tcBorders>
            <w:shd w:val="clear" w:color="auto" w:fill="auto"/>
            <w:noWrap/>
            <w:vAlign w:val="bottom"/>
            <w:hideMark/>
          </w:tcPr>
          <w:p w14:paraId="54EE1536"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993 900</w:t>
            </w:r>
          </w:p>
        </w:tc>
        <w:tc>
          <w:tcPr>
            <w:tcW w:w="964" w:type="dxa"/>
            <w:tcBorders>
              <w:top w:val="nil"/>
              <w:left w:val="nil"/>
              <w:bottom w:val="single" w:sz="4" w:space="0" w:color="auto"/>
              <w:right w:val="single" w:sz="4" w:space="0" w:color="auto"/>
            </w:tcBorders>
            <w:shd w:val="clear" w:color="auto" w:fill="auto"/>
            <w:noWrap/>
            <w:vAlign w:val="center"/>
            <w:hideMark/>
          </w:tcPr>
          <w:p w14:paraId="4CB09441" w14:textId="77777777" w:rsidR="002A30A8" w:rsidRPr="00A84FAD" w:rsidRDefault="0051469A" w:rsidP="00043277">
            <w:pPr>
              <w:spacing w:after="0"/>
              <w:ind w:left="-57" w:right="57"/>
              <w:jc w:val="right"/>
              <w:rPr>
                <w:rFonts w:eastAsia="Times New Roman" w:cs="Calibri"/>
                <w:color w:val="000000"/>
                <w:sz w:val="20"/>
                <w:szCs w:val="20"/>
                <w:lang w:eastAsia="cs-CZ"/>
              </w:rPr>
            </w:pPr>
            <w:r w:rsidRPr="00A84FAD">
              <w:rPr>
                <w:rFonts w:eastAsia="Times New Roman" w:cs="Calibri"/>
                <w:color w:val="000000"/>
                <w:sz w:val="20"/>
                <w:szCs w:val="20"/>
                <w:lang w:eastAsia="cs-CZ"/>
              </w:rPr>
              <w:t>0 g/km</w:t>
            </w:r>
          </w:p>
        </w:tc>
        <w:tc>
          <w:tcPr>
            <w:tcW w:w="1692" w:type="dxa"/>
            <w:tcBorders>
              <w:top w:val="nil"/>
              <w:left w:val="single" w:sz="4" w:space="0" w:color="auto"/>
              <w:bottom w:val="single" w:sz="4" w:space="0" w:color="auto"/>
              <w:right w:val="single" w:sz="4" w:space="0" w:color="auto"/>
            </w:tcBorders>
            <w:shd w:val="clear" w:color="auto" w:fill="auto"/>
            <w:vAlign w:val="bottom"/>
          </w:tcPr>
          <w:p w14:paraId="2D346113"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22 562</w:t>
            </w:r>
          </w:p>
        </w:tc>
        <w:tc>
          <w:tcPr>
            <w:tcW w:w="1701" w:type="dxa"/>
            <w:tcBorders>
              <w:top w:val="nil"/>
              <w:left w:val="single" w:sz="4" w:space="0" w:color="auto"/>
              <w:bottom w:val="single" w:sz="4" w:space="0" w:color="auto"/>
              <w:right w:val="single" w:sz="4" w:space="0" w:color="auto"/>
            </w:tcBorders>
            <w:shd w:val="clear" w:color="auto" w:fill="auto"/>
            <w:vAlign w:val="bottom"/>
          </w:tcPr>
          <w:p w14:paraId="4D7CD91D" w14:textId="77777777" w:rsidR="002A30A8" w:rsidRPr="00A84FAD" w:rsidRDefault="0051469A" w:rsidP="004E6742">
            <w:pPr>
              <w:spacing w:after="0"/>
              <w:ind w:right="208"/>
              <w:jc w:val="right"/>
              <w:rPr>
                <w:rFonts w:eastAsia="Times New Roman" w:cs="Calibri"/>
                <w:color w:val="000000"/>
                <w:sz w:val="20"/>
                <w:szCs w:val="20"/>
                <w:lang w:eastAsia="cs-CZ"/>
              </w:rPr>
            </w:pPr>
            <w:r>
              <w:rPr>
                <w:rFonts w:cs="Calibri"/>
                <w:color w:val="000000"/>
                <w:sz w:val="20"/>
                <w:szCs w:val="20"/>
              </w:rPr>
              <w:t>45 124</w:t>
            </w:r>
          </w:p>
        </w:tc>
      </w:tr>
    </w:tbl>
    <w:p w14:paraId="679D2412" w14:textId="7D39207B" w:rsidR="002A30A8" w:rsidRPr="004E6742" w:rsidRDefault="0051469A" w:rsidP="004E6742">
      <w:pPr>
        <w:spacing w:before="40"/>
        <w:rPr>
          <w:sz w:val="20"/>
          <w:szCs w:val="20"/>
        </w:rPr>
      </w:pPr>
      <w:r w:rsidRPr="004E6742">
        <w:rPr>
          <w:b/>
          <w:sz w:val="20"/>
          <w:szCs w:val="20"/>
        </w:rPr>
        <w:t>Zdroj:</w:t>
      </w:r>
      <w:r w:rsidRPr="004E6742">
        <w:rPr>
          <w:sz w:val="20"/>
          <w:szCs w:val="20"/>
        </w:rPr>
        <w:t xml:space="preserve"> </w:t>
      </w:r>
      <w:r w:rsidR="00043277">
        <w:rPr>
          <w:sz w:val="20"/>
          <w:szCs w:val="20"/>
        </w:rPr>
        <w:t>vypracoval</w:t>
      </w:r>
      <w:r w:rsidRPr="004E6742">
        <w:rPr>
          <w:sz w:val="20"/>
          <w:szCs w:val="20"/>
        </w:rPr>
        <w:t xml:space="preserve"> NKÚ</w:t>
      </w:r>
      <w:r w:rsidR="00FA0912" w:rsidRPr="004E6742">
        <w:rPr>
          <w:sz w:val="20"/>
          <w:szCs w:val="20"/>
        </w:rPr>
        <w:t>.</w:t>
      </w:r>
      <w:r w:rsidRPr="004E6742">
        <w:rPr>
          <w:sz w:val="20"/>
          <w:szCs w:val="20"/>
        </w:rPr>
        <w:t xml:space="preserve"> </w:t>
      </w:r>
    </w:p>
    <w:p w14:paraId="127DBD14" w14:textId="2374E738" w:rsidR="0009644C" w:rsidRDefault="0051469A" w:rsidP="004E6742">
      <w:r>
        <w:t>V kontrolovaném období byla poskytována daňová podpo</w:t>
      </w:r>
      <w:r w:rsidR="00FC3BCF">
        <w:t>ra v podobě nižší sazby SPD pro</w:t>
      </w:r>
      <w:r w:rsidR="00043277">
        <w:t xml:space="preserve"> </w:t>
      </w:r>
      <w:r>
        <w:t xml:space="preserve">alternativní paliva </w:t>
      </w:r>
      <w:r w:rsidR="0088104C">
        <w:t>o</w:t>
      </w:r>
      <w:r w:rsidR="00134B26">
        <w:t xml:space="preserve">proti konvenčním palivům. </w:t>
      </w:r>
      <w:r w:rsidR="00F62C9D">
        <w:t xml:space="preserve">Celková daňová </w:t>
      </w:r>
      <w:r w:rsidR="00F62C9D" w:rsidRPr="00AF72C9">
        <w:t>podpora v ČR klesla v důsledku změny legislativy</w:t>
      </w:r>
      <w:r w:rsidR="00C21053">
        <w:t xml:space="preserve"> (</w:t>
      </w:r>
      <w:r w:rsidR="00F95F91">
        <w:t>tj.</w:t>
      </w:r>
      <w:r w:rsidR="003C78CC" w:rsidRPr="00AF72C9">
        <w:t xml:space="preserve"> zvýšení sazby SPD</w:t>
      </w:r>
      <w:r w:rsidR="00F95F91" w:rsidRPr="00F95F91">
        <w:t xml:space="preserve"> </w:t>
      </w:r>
      <w:r w:rsidR="00F95F91">
        <w:t xml:space="preserve">u </w:t>
      </w:r>
      <w:r w:rsidR="00F95F91" w:rsidRPr="00AF72C9">
        <w:t>CNG</w:t>
      </w:r>
      <w:r w:rsidR="003C78CC" w:rsidRPr="00AF72C9">
        <w:t xml:space="preserve">, </w:t>
      </w:r>
      <w:r w:rsidR="00F95F91" w:rsidRPr="00AF72C9">
        <w:t>zvýšení sazby</w:t>
      </w:r>
      <w:r w:rsidR="0088104C">
        <w:t xml:space="preserve"> SPD</w:t>
      </w:r>
      <w:r w:rsidR="00F95F91" w:rsidRPr="00AF72C9">
        <w:t xml:space="preserve"> </w:t>
      </w:r>
      <w:r w:rsidR="003C78CC" w:rsidRPr="00AF72C9">
        <w:t xml:space="preserve">a </w:t>
      </w:r>
      <w:r w:rsidR="0088104C">
        <w:t>druhu daňově podporovaného biopaliva</w:t>
      </w:r>
      <w:r w:rsidR="003C78CC" w:rsidRPr="00AF72C9">
        <w:t>)</w:t>
      </w:r>
      <w:r w:rsidR="000B35B3">
        <w:t>, přesto celková spotřeba alternativních paliv narostla</w:t>
      </w:r>
      <w:r w:rsidR="00AB3CB2">
        <w:t xml:space="preserve"> (viz tabulka č. </w:t>
      </w:r>
      <w:r w:rsidR="00AB3CB2" w:rsidRPr="00E140DB">
        <w:t>7</w:t>
      </w:r>
      <w:r w:rsidR="00AB3CB2">
        <w:t>)</w:t>
      </w:r>
      <w:r w:rsidR="00F62C9D" w:rsidRPr="00AF72C9">
        <w:t>.</w:t>
      </w:r>
      <w:r w:rsidR="00F62C9D">
        <w:t xml:space="preserve"> </w:t>
      </w:r>
      <w:r w:rsidR="00F95F91">
        <w:t>U LPG se daňová podpora snížila v důsledku snížení spotřeby. Zvýšení spotřeby u biopaliv souvisí se zvýšením spotřeby nafty, jejíž povinnou složkou</w:t>
      </w:r>
      <w:r w:rsidR="00043277" w:rsidRPr="00043277">
        <w:t xml:space="preserve"> </w:t>
      </w:r>
      <w:r w:rsidR="00043277">
        <w:t>je biopalivo</w:t>
      </w:r>
      <w:r w:rsidR="00F95F91">
        <w:t xml:space="preserve">. Mezi roky 2015 </w:t>
      </w:r>
      <w:r w:rsidR="00C21053">
        <w:t>a</w:t>
      </w:r>
      <w:r w:rsidR="00F95F91">
        <w:t xml:space="preserve"> 2018 došlo k mírnému nárůstu podílu</w:t>
      </w:r>
      <w:r w:rsidR="00BC235B">
        <w:t xml:space="preserve"> spotřeby</w:t>
      </w:r>
      <w:r w:rsidR="00F95F91">
        <w:t xml:space="preserve"> </w:t>
      </w:r>
      <w:r w:rsidR="000B35B3">
        <w:t xml:space="preserve">CNG a LPG </w:t>
      </w:r>
      <w:r w:rsidR="00F95F91">
        <w:t>vůči</w:t>
      </w:r>
      <w:r w:rsidR="00043277">
        <w:t xml:space="preserve"> </w:t>
      </w:r>
      <w:r w:rsidR="00F95F91">
        <w:t>konvenčním palivům</w:t>
      </w:r>
      <w:r w:rsidR="00BC235B">
        <w:t>, přesto je jejich celkový podíl na spotřebě PHM minimální</w:t>
      </w:r>
      <w:r w:rsidR="000B35B3">
        <w:t xml:space="preserve">. Legislativní změna </w:t>
      </w:r>
      <w:r w:rsidR="0088104C">
        <w:t xml:space="preserve">podpory </w:t>
      </w:r>
      <w:r w:rsidR="000B35B3">
        <w:t>u</w:t>
      </w:r>
      <w:r w:rsidR="00043277">
        <w:t> </w:t>
      </w:r>
      <w:r w:rsidR="000B35B3">
        <w:t xml:space="preserve">biopaliv pozitivně ovlivnila celkové inkaso SPD. </w:t>
      </w:r>
    </w:p>
    <w:p w14:paraId="7CCB6960" w14:textId="56D72463" w:rsidR="00BD6344" w:rsidRDefault="0051469A" w:rsidP="004E6742">
      <w:pPr>
        <w:rPr>
          <w:szCs w:val="24"/>
        </w:rPr>
      </w:pPr>
      <w:r>
        <w:t xml:space="preserve">ČR uplatňuje </w:t>
      </w:r>
      <w:r w:rsidR="0088104C">
        <w:t xml:space="preserve">na CNG </w:t>
      </w:r>
      <w:r>
        <w:t>až do roku 2020 sazbu SPD nižší</w:t>
      </w:r>
      <w:r w:rsidR="00043277">
        <w:t>,</w:t>
      </w:r>
      <w:r>
        <w:t xml:space="preserve"> než stanovuje </w:t>
      </w:r>
      <w:r w:rsidR="0088104C">
        <w:t xml:space="preserve">evropská </w:t>
      </w:r>
      <w:r w:rsidR="00B96482">
        <w:t>směrnice</w:t>
      </w:r>
      <w:r>
        <w:rPr>
          <w:rStyle w:val="Znakapoznpodarou"/>
        </w:rPr>
        <w:footnoteReference w:id="31"/>
      </w:r>
      <w:r w:rsidR="00156FCE">
        <w:t>. Po</w:t>
      </w:r>
      <w:r w:rsidR="00043277">
        <w:t xml:space="preserve"> </w:t>
      </w:r>
      <w:r>
        <w:t>jejím schváleném zvýšení na minimální sazbu dojde k snížení výhodnosti pohonu na CNG</w:t>
      </w:r>
      <w:r w:rsidR="00C21053">
        <w:t>.</w:t>
      </w:r>
      <w:r>
        <w:t xml:space="preserve"> </w:t>
      </w:r>
      <w:r w:rsidR="00C21053">
        <w:t>N</w:t>
      </w:r>
      <w:r>
        <w:t>elze tak očekávat další významný nárůst podílu vozidel na CNG na úkor nafty nebo benzínu</w:t>
      </w:r>
      <w:r w:rsidR="0069039C">
        <w:t xml:space="preserve">, pokud nedojde ke změně podmínek vedoucích k růstu ceny těchto paliv. </w:t>
      </w:r>
    </w:p>
    <w:p w14:paraId="22968229" w14:textId="77777777" w:rsidR="00F359E0" w:rsidRPr="008B58D7" w:rsidRDefault="004E6742" w:rsidP="007423AB">
      <w:pPr>
        <w:pStyle w:val="Tabulka"/>
        <w:keepLines/>
        <w:numPr>
          <w:ilvl w:val="0"/>
          <w:numId w:val="0"/>
        </w:numPr>
        <w:spacing w:after="40"/>
      </w:pPr>
      <w:r>
        <w:lastRenderedPageBreak/>
        <w:t>Tabulka č. </w:t>
      </w:r>
      <w:r w:rsidR="007423AB">
        <w:t>7:</w:t>
      </w:r>
      <w:r>
        <w:t xml:space="preserve"> </w:t>
      </w:r>
      <w:r w:rsidR="0051469A">
        <w:t>Vliv d</w:t>
      </w:r>
      <w:r w:rsidR="0051469A" w:rsidRPr="008B58D7">
        <w:t>aňov</w:t>
      </w:r>
      <w:r w:rsidR="0051469A">
        <w:t>é</w:t>
      </w:r>
      <w:r w:rsidR="0051469A" w:rsidRPr="008B58D7">
        <w:t xml:space="preserve"> podpor</w:t>
      </w:r>
      <w:r w:rsidR="0051469A">
        <w:t>y</w:t>
      </w:r>
      <w:r w:rsidR="0051469A" w:rsidRPr="008B58D7">
        <w:t xml:space="preserve"> u nejvýznamněj</w:t>
      </w:r>
      <w:r w:rsidR="008B58D7" w:rsidRPr="008B58D7">
        <w:t>ších alternativních paliv</w:t>
      </w:r>
    </w:p>
    <w:tbl>
      <w:tblPr>
        <w:tblW w:w="5003" w:type="pct"/>
        <w:tblLayout w:type="fixed"/>
        <w:tblCellMar>
          <w:left w:w="70" w:type="dxa"/>
          <w:right w:w="70" w:type="dxa"/>
        </w:tblCellMar>
        <w:tblLook w:val="04A0" w:firstRow="1" w:lastRow="0" w:firstColumn="1" w:lastColumn="0" w:noHBand="0" w:noVBand="1"/>
      </w:tblPr>
      <w:tblGrid>
        <w:gridCol w:w="1414"/>
        <w:gridCol w:w="1418"/>
        <w:gridCol w:w="1557"/>
        <w:gridCol w:w="1842"/>
        <w:gridCol w:w="1416"/>
        <w:gridCol w:w="1418"/>
      </w:tblGrid>
      <w:tr w:rsidR="00121435" w:rsidRPr="007423AB" w14:paraId="4ED713DE" w14:textId="77777777" w:rsidTr="009253A7">
        <w:trPr>
          <w:trHeight w:val="227"/>
        </w:trPr>
        <w:tc>
          <w:tcPr>
            <w:tcW w:w="780"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14:paraId="030C2329" w14:textId="77777777" w:rsidR="00AF72C9" w:rsidRPr="007423AB" w:rsidRDefault="0051469A" w:rsidP="007423AB">
            <w:pPr>
              <w:keepNext/>
              <w:keepLines/>
              <w:spacing w:after="0"/>
              <w:jc w:val="left"/>
              <w:rPr>
                <w:rFonts w:eastAsia="Times New Roman" w:cs="Calibri"/>
                <w:b/>
                <w:bCs/>
                <w:color w:val="000000"/>
                <w:sz w:val="20"/>
                <w:szCs w:val="20"/>
                <w:lang w:eastAsia="cs-CZ"/>
              </w:rPr>
            </w:pPr>
            <w:r w:rsidRPr="007423AB">
              <w:rPr>
                <w:rFonts w:eastAsia="Times New Roman" w:cs="Calibri"/>
                <w:b/>
                <w:bCs/>
                <w:color w:val="000000"/>
                <w:sz w:val="20"/>
                <w:szCs w:val="20"/>
                <w:lang w:eastAsia="cs-CZ"/>
              </w:rPr>
              <w:t>Palivo</w:t>
            </w:r>
          </w:p>
        </w:tc>
        <w:tc>
          <w:tcPr>
            <w:tcW w:w="2657" w:type="pct"/>
            <w:gridSpan w:val="3"/>
            <w:tcBorders>
              <w:top w:val="single" w:sz="4" w:space="0" w:color="auto"/>
              <w:left w:val="nil"/>
              <w:bottom w:val="single" w:sz="4" w:space="0" w:color="auto"/>
              <w:right w:val="single" w:sz="4" w:space="0" w:color="000000"/>
            </w:tcBorders>
            <w:shd w:val="clear" w:color="000000" w:fill="E5F1FF"/>
            <w:vAlign w:val="center"/>
            <w:hideMark/>
          </w:tcPr>
          <w:p w14:paraId="03AD7B38" w14:textId="77777777" w:rsidR="00AF72C9"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Spotřeba na trhu PHM (v litrech)</w:t>
            </w:r>
          </w:p>
        </w:tc>
        <w:tc>
          <w:tcPr>
            <w:tcW w:w="1563" w:type="pct"/>
            <w:gridSpan w:val="2"/>
            <w:tcBorders>
              <w:top w:val="single" w:sz="4" w:space="0" w:color="auto"/>
              <w:left w:val="nil"/>
              <w:bottom w:val="single" w:sz="4" w:space="0" w:color="auto"/>
              <w:right w:val="single" w:sz="4" w:space="0" w:color="000000"/>
            </w:tcBorders>
            <w:shd w:val="clear" w:color="000000" w:fill="E5F1FF"/>
            <w:vAlign w:val="center"/>
            <w:hideMark/>
          </w:tcPr>
          <w:p w14:paraId="315CC3FA" w14:textId="77777777" w:rsidR="00AF72C9"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Snížení inkasa SPD (v Kč)</w:t>
            </w:r>
          </w:p>
        </w:tc>
      </w:tr>
      <w:tr w:rsidR="00121435" w:rsidRPr="007423AB" w14:paraId="2E5D10EE" w14:textId="77777777" w:rsidTr="009253A7">
        <w:trPr>
          <w:trHeight w:val="227"/>
        </w:trPr>
        <w:tc>
          <w:tcPr>
            <w:tcW w:w="780" w:type="pct"/>
            <w:vMerge/>
            <w:tcBorders>
              <w:top w:val="single" w:sz="4" w:space="0" w:color="auto"/>
              <w:left w:val="single" w:sz="4" w:space="0" w:color="auto"/>
              <w:bottom w:val="single" w:sz="4" w:space="0" w:color="000000"/>
              <w:right w:val="single" w:sz="4" w:space="0" w:color="auto"/>
            </w:tcBorders>
            <w:vAlign w:val="center"/>
            <w:hideMark/>
          </w:tcPr>
          <w:p w14:paraId="2C22163C" w14:textId="77777777" w:rsidR="009253A7" w:rsidRPr="007423AB" w:rsidRDefault="009253A7" w:rsidP="007423AB">
            <w:pPr>
              <w:keepNext/>
              <w:keepLines/>
              <w:spacing w:after="0"/>
              <w:jc w:val="left"/>
              <w:rPr>
                <w:rFonts w:eastAsia="Times New Roman" w:cs="Calibri"/>
                <w:b/>
                <w:bCs/>
                <w:color w:val="000000"/>
                <w:sz w:val="20"/>
                <w:szCs w:val="20"/>
                <w:lang w:eastAsia="cs-CZ"/>
              </w:rPr>
            </w:pPr>
          </w:p>
        </w:tc>
        <w:tc>
          <w:tcPr>
            <w:tcW w:w="782" w:type="pct"/>
            <w:tcBorders>
              <w:top w:val="nil"/>
              <w:left w:val="nil"/>
              <w:bottom w:val="single" w:sz="4" w:space="0" w:color="auto"/>
              <w:right w:val="single" w:sz="4" w:space="0" w:color="auto"/>
            </w:tcBorders>
            <w:shd w:val="clear" w:color="000000" w:fill="E5F1FF"/>
            <w:vAlign w:val="center"/>
            <w:hideMark/>
          </w:tcPr>
          <w:p w14:paraId="32BBD137" w14:textId="77777777" w:rsidR="009253A7"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2015</w:t>
            </w:r>
          </w:p>
        </w:tc>
        <w:tc>
          <w:tcPr>
            <w:tcW w:w="859" w:type="pct"/>
            <w:tcBorders>
              <w:top w:val="nil"/>
              <w:left w:val="nil"/>
              <w:bottom w:val="single" w:sz="4" w:space="0" w:color="auto"/>
              <w:right w:val="single" w:sz="4" w:space="0" w:color="auto"/>
            </w:tcBorders>
            <w:shd w:val="clear" w:color="000000" w:fill="E5F1FF"/>
            <w:vAlign w:val="center"/>
            <w:hideMark/>
          </w:tcPr>
          <w:p w14:paraId="6A560784" w14:textId="77777777" w:rsidR="009253A7"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2018</w:t>
            </w:r>
          </w:p>
        </w:tc>
        <w:tc>
          <w:tcPr>
            <w:tcW w:w="1016" w:type="pct"/>
            <w:tcBorders>
              <w:top w:val="nil"/>
              <w:left w:val="nil"/>
              <w:bottom w:val="single" w:sz="4" w:space="0" w:color="auto"/>
              <w:right w:val="single" w:sz="4" w:space="0" w:color="auto"/>
            </w:tcBorders>
            <w:shd w:val="clear" w:color="000000" w:fill="E5F1FF"/>
            <w:vAlign w:val="center"/>
            <w:hideMark/>
          </w:tcPr>
          <w:p w14:paraId="016B394F" w14:textId="77777777" w:rsidR="009253A7"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Změna 2015/2018</w:t>
            </w:r>
          </w:p>
        </w:tc>
        <w:tc>
          <w:tcPr>
            <w:tcW w:w="781" w:type="pct"/>
            <w:tcBorders>
              <w:top w:val="nil"/>
              <w:left w:val="nil"/>
              <w:bottom w:val="single" w:sz="4" w:space="0" w:color="auto"/>
              <w:right w:val="single" w:sz="4" w:space="0" w:color="auto"/>
            </w:tcBorders>
            <w:shd w:val="clear" w:color="000000" w:fill="E5F1FF"/>
            <w:vAlign w:val="center"/>
            <w:hideMark/>
          </w:tcPr>
          <w:p w14:paraId="098243D3" w14:textId="77777777" w:rsidR="009253A7"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2015</w:t>
            </w:r>
          </w:p>
        </w:tc>
        <w:tc>
          <w:tcPr>
            <w:tcW w:w="782" w:type="pct"/>
            <w:tcBorders>
              <w:top w:val="nil"/>
              <w:left w:val="nil"/>
              <w:bottom w:val="single" w:sz="4" w:space="0" w:color="auto"/>
              <w:right w:val="single" w:sz="4" w:space="0" w:color="auto"/>
            </w:tcBorders>
            <w:shd w:val="clear" w:color="000000" w:fill="E5F1FF"/>
            <w:vAlign w:val="center"/>
            <w:hideMark/>
          </w:tcPr>
          <w:p w14:paraId="6570AB00" w14:textId="77777777" w:rsidR="009253A7" w:rsidRPr="007423AB" w:rsidRDefault="0051469A" w:rsidP="007423AB">
            <w:pPr>
              <w:keepNext/>
              <w:keepLines/>
              <w:spacing w:after="0"/>
              <w:jc w:val="center"/>
              <w:rPr>
                <w:rFonts w:eastAsia="Times New Roman" w:cs="Calibri"/>
                <w:b/>
                <w:bCs/>
                <w:color w:val="000000"/>
                <w:sz w:val="20"/>
                <w:szCs w:val="20"/>
                <w:lang w:eastAsia="cs-CZ"/>
              </w:rPr>
            </w:pPr>
            <w:r w:rsidRPr="007423AB">
              <w:rPr>
                <w:rFonts w:eastAsia="Times New Roman" w:cs="Calibri"/>
                <w:b/>
                <w:bCs/>
                <w:color w:val="000000"/>
                <w:sz w:val="20"/>
                <w:szCs w:val="20"/>
                <w:lang w:eastAsia="cs-CZ"/>
              </w:rPr>
              <w:t>2018</w:t>
            </w:r>
          </w:p>
        </w:tc>
      </w:tr>
      <w:tr w:rsidR="00121435" w:rsidRPr="007423AB" w14:paraId="7494FAE5"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35F483D"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Benzín</w:t>
            </w:r>
          </w:p>
        </w:tc>
        <w:tc>
          <w:tcPr>
            <w:tcW w:w="782" w:type="pct"/>
            <w:tcBorders>
              <w:top w:val="nil"/>
              <w:left w:val="nil"/>
              <w:bottom w:val="single" w:sz="4" w:space="0" w:color="auto"/>
              <w:right w:val="single" w:sz="4" w:space="0" w:color="auto"/>
            </w:tcBorders>
            <w:shd w:val="clear" w:color="auto" w:fill="auto"/>
            <w:vAlign w:val="center"/>
            <w:hideMark/>
          </w:tcPr>
          <w:p w14:paraId="39631477"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1 969 540 951</w:t>
            </w:r>
          </w:p>
        </w:tc>
        <w:tc>
          <w:tcPr>
            <w:tcW w:w="859" w:type="pct"/>
            <w:tcBorders>
              <w:top w:val="nil"/>
              <w:left w:val="nil"/>
              <w:bottom w:val="single" w:sz="4" w:space="0" w:color="auto"/>
              <w:right w:val="single" w:sz="4" w:space="0" w:color="auto"/>
            </w:tcBorders>
            <w:shd w:val="clear" w:color="auto" w:fill="auto"/>
            <w:vAlign w:val="center"/>
            <w:hideMark/>
          </w:tcPr>
          <w:p w14:paraId="2914FDF0"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1 930 338 993</w:t>
            </w:r>
          </w:p>
        </w:tc>
        <w:tc>
          <w:tcPr>
            <w:tcW w:w="1016" w:type="pct"/>
            <w:tcBorders>
              <w:top w:val="nil"/>
              <w:left w:val="nil"/>
              <w:bottom w:val="single" w:sz="4" w:space="0" w:color="auto"/>
              <w:right w:val="single" w:sz="4" w:space="0" w:color="auto"/>
            </w:tcBorders>
            <w:shd w:val="clear" w:color="auto" w:fill="auto"/>
            <w:vAlign w:val="center"/>
            <w:hideMark/>
          </w:tcPr>
          <w:p w14:paraId="255E9876" w14:textId="77777777" w:rsidR="009253A7" w:rsidRPr="007423AB" w:rsidRDefault="00B05F71" w:rsidP="007423AB">
            <w:pPr>
              <w:keepNext/>
              <w:keepLines/>
              <w:spacing w:after="0"/>
              <w:rPr>
                <w:rFonts w:eastAsia="Times New Roman" w:cs="Calibri"/>
                <w:b/>
                <w:bCs/>
                <w:sz w:val="20"/>
                <w:szCs w:val="20"/>
                <w:lang w:eastAsia="cs-CZ"/>
              </w:rPr>
            </w:pPr>
            <w:r w:rsidRPr="007423AB">
              <w:rPr>
                <w:rFonts w:eastAsia="Times New Roman" w:cs="Calibri"/>
                <w:b/>
                <w:bCs/>
                <w:color w:val="004595"/>
                <w:sz w:val="20"/>
                <w:szCs w:val="20"/>
                <w:lang w:eastAsia="cs-CZ"/>
              </w:rPr>
              <w:t xml:space="preserve">         </w:t>
            </w:r>
            <w:r w:rsidR="0051469A" w:rsidRPr="007423AB">
              <w:rPr>
                <w:rFonts w:eastAsia="Times New Roman" w:cs="Calibri"/>
                <w:b/>
                <w:bCs/>
                <w:color w:val="004595"/>
                <w:sz w:val="20"/>
                <w:szCs w:val="20"/>
                <w:lang w:eastAsia="cs-CZ"/>
              </w:rPr>
              <w:t>↓</w:t>
            </w:r>
            <w:r w:rsidRPr="007423AB">
              <w:rPr>
                <w:rFonts w:eastAsia="Times New Roman" w:cs="Calibri"/>
                <w:b/>
                <w:bCs/>
                <w:color w:val="004595"/>
                <w:sz w:val="20"/>
                <w:szCs w:val="20"/>
                <w:lang w:eastAsia="cs-CZ"/>
              </w:rPr>
              <w:t xml:space="preserve">      - 2 %</w:t>
            </w:r>
          </w:p>
        </w:tc>
        <w:tc>
          <w:tcPr>
            <w:tcW w:w="781" w:type="pct"/>
            <w:tcBorders>
              <w:top w:val="nil"/>
              <w:left w:val="nil"/>
              <w:bottom w:val="single" w:sz="4" w:space="0" w:color="auto"/>
              <w:right w:val="single" w:sz="4" w:space="0" w:color="auto"/>
            </w:tcBorders>
            <w:shd w:val="clear" w:color="auto" w:fill="auto"/>
            <w:vAlign w:val="center"/>
            <w:hideMark/>
          </w:tcPr>
          <w:p w14:paraId="390BAA27" w14:textId="77777777" w:rsidR="009253A7" w:rsidRPr="007423AB" w:rsidRDefault="0051469A" w:rsidP="007423AB">
            <w:pPr>
              <w:keepNext/>
              <w:keepLines/>
              <w:spacing w:after="0"/>
              <w:jc w:val="center"/>
              <w:rPr>
                <w:rFonts w:eastAsia="Times New Roman" w:cs="Calibri"/>
                <w:color w:val="000000"/>
                <w:sz w:val="20"/>
                <w:szCs w:val="20"/>
                <w:lang w:eastAsia="cs-CZ"/>
              </w:rPr>
            </w:pPr>
            <w:r w:rsidRPr="007423AB">
              <w:rPr>
                <w:rFonts w:eastAsia="Times New Roman" w:cs="Calibri"/>
                <w:color w:val="000000"/>
                <w:sz w:val="20"/>
                <w:szCs w:val="20"/>
                <w:lang w:eastAsia="cs-CZ"/>
              </w:rPr>
              <w:t>-</w:t>
            </w:r>
          </w:p>
        </w:tc>
        <w:tc>
          <w:tcPr>
            <w:tcW w:w="782" w:type="pct"/>
            <w:tcBorders>
              <w:top w:val="nil"/>
              <w:left w:val="nil"/>
              <w:bottom w:val="single" w:sz="4" w:space="0" w:color="auto"/>
              <w:right w:val="single" w:sz="4" w:space="0" w:color="auto"/>
            </w:tcBorders>
            <w:shd w:val="clear" w:color="auto" w:fill="auto"/>
            <w:vAlign w:val="center"/>
            <w:hideMark/>
          </w:tcPr>
          <w:p w14:paraId="0F8B785B" w14:textId="77777777" w:rsidR="009253A7" w:rsidRPr="007423AB" w:rsidRDefault="0051469A" w:rsidP="007423AB">
            <w:pPr>
              <w:keepNext/>
              <w:keepLines/>
              <w:spacing w:after="0"/>
              <w:jc w:val="center"/>
              <w:rPr>
                <w:rFonts w:eastAsia="Times New Roman" w:cs="Calibri"/>
                <w:color w:val="000000"/>
                <w:sz w:val="20"/>
                <w:szCs w:val="20"/>
                <w:lang w:eastAsia="cs-CZ"/>
              </w:rPr>
            </w:pPr>
            <w:r w:rsidRPr="007423AB">
              <w:rPr>
                <w:rFonts w:eastAsia="Times New Roman" w:cs="Calibri"/>
                <w:color w:val="000000"/>
                <w:sz w:val="20"/>
                <w:szCs w:val="20"/>
                <w:lang w:eastAsia="cs-CZ"/>
              </w:rPr>
              <w:t>-</w:t>
            </w:r>
          </w:p>
        </w:tc>
      </w:tr>
      <w:tr w:rsidR="00121435" w:rsidRPr="007423AB" w14:paraId="3EC4BCDD"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26A1A1B"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Nafta</w:t>
            </w:r>
          </w:p>
        </w:tc>
        <w:tc>
          <w:tcPr>
            <w:tcW w:w="782" w:type="pct"/>
            <w:tcBorders>
              <w:top w:val="nil"/>
              <w:left w:val="nil"/>
              <w:bottom w:val="single" w:sz="4" w:space="0" w:color="auto"/>
              <w:right w:val="single" w:sz="4" w:space="0" w:color="auto"/>
            </w:tcBorders>
            <w:shd w:val="clear" w:color="auto" w:fill="auto"/>
            <w:vAlign w:val="center"/>
            <w:hideMark/>
          </w:tcPr>
          <w:p w14:paraId="0B783B7A"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4 878 282 479</w:t>
            </w:r>
          </w:p>
        </w:tc>
        <w:tc>
          <w:tcPr>
            <w:tcW w:w="859" w:type="pct"/>
            <w:tcBorders>
              <w:top w:val="nil"/>
              <w:left w:val="nil"/>
              <w:bottom w:val="single" w:sz="4" w:space="0" w:color="auto"/>
              <w:right w:val="single" w:sz="4" w:space="0" w:color="auto"/>
            </w:tcBorders>
            <w:shd w:val="clear" w:color="auto" w:fill="auto"/>
            <w:vAlign w:val="center"/>
            <w:hideMark/>
          </w:tcPr>
          <w:p w14:paraId="1E8E7D9B"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5 494 234 674</w:t>
            </w:r>
          </w:p>
        </w:tc>
        <w:tc>
          <w:tcPr>
            <w:tcW w:w="1016" w:type="pct"/>
            <w:tcBorders>
              <w:top w:val="nil"/>
              <w:left w:val="nil"/>
              <w:bottom w:val="single" w:sz="4" w:space="0" w:color="auto"/>
              <w:right w:val="single" w:sz="4" w:space="0" w:color="auto"/>
            </w:tcBorders>
            <w:shd w:val="clear" w:color="auto" w:fill="auto"/>
            <w:vAlign w:val="center"/>
            <w:hideMark/>
          </w:tcPr>
          <w:p w14:paraId="5B756552" w14:textId="77777777" w:rsidR="009253A7" w:rsidRPr="007423AB" w:rsidRDefault="0051469A" w:rsidP="007423AB">
            <w:pPr>
              <w:keepNext/>
              <w:keepLines/>
              <w:spacing w:after="0"/>
              <w:jc w:val="center"/>
              <w:rPr>
                <w:rFonts w:eastAsia="Times New Roman" w:cs="Calibri"/>
                <w:b/>
                <w:bCs/>
                <w:sz w:val="20"/>
                <w:szCs w:val="20"/>
                <w:lang w:eastAsia="cs-CZ"/>
              </w:rPr>
            </w:pPr>
            <w:r w:rsidRPr="007423AB">
              <w:rPr>
                <w:rFonts w:eastAsia="Times New Roman" w:cs="Calibri"/>
                <w:b/>
                <w:bCs/>
                <w:color w:val="BD2A33"/>
                <w:sz w:val="20"/>
                <w:szCs w:val="20"/>
                <w:lang w:eastAsia="cs-CZ"/>
              </w:rPr>
              <w:t>↑</w:t>
            </w:r>
            <w:r w:rsidR="00B05F71" w:rsidRPr="007423AB">
              <w:rPr>
                <w:rFonts w:eastAsia="Times New Roman" w:cs="Calibri"/>
                <w:b/>
                <w:bCs/>
                <w:color w:val="BD2A33"/>
                <w:sz w:val="20"/>
                <w:szCs w:val="20"/>
                <w:lang w:eastAsia="cs-CZ"/>
              </w:rPr>
              <w:t xml:space="preserve">    + 13 %</w:t>
            </w:r>
          </w:p>
        </w:tc>
        <w:tc>
          <w:tcPr>
            <w:tcW w:w="781" w:type="pct"/>
            <w:tcBorders>
              <w:top w:val="nil"/>
              <w:left w:val="nil"/>
              <w:bottom w:val="single" w:sz="4" w:space="0" w:color="auto"/>
              <w:right w:val="single" w:sz="4" w:space="0" w:color="auto"/>
            </w:tcBorders>
            <w:shd w:val="clear" w:color="auto" w:fill="auto"/>
            <w:vAlign w:val="center"/>
            <w:hideMark/>
          </w:tcPr>
          <w:p w14:paraId="41BCD59A" w14:textId="77777777" w:rsidR="009253A7" w:rsidRPr="007423AB" w:rsidRDefault="0051469A" w:rsidP="007423AB">
            <w:pPr>
              <w:keepNext/>
              <w:keepLines/>
              <w:spacing w:after="0"/>
              <w:jc w:val="center"/>
              <w:rPr>
                <w:rFonts w:eastAsia="Times New Roman" w:cs="Calibri"/>
                <w:color w:val="000000"/>
                <w:sz w:val="20"/>
                <w:szCs w:val="20"/>
                <w:lang w:eastAsia="cs-CZ"/>
              </w:rPr>
            </w:pPr>
            <w:r w:rsidRPr="007423AB">
              <w:rPr>
                <w:rFonts w:eastAsia="Times New Roman" w:cs="Calibri"/>
                <w:color w:val="000000"/>
                <w:sz w:val="20"/>
                <w:szCs w:val="20"/>
                <w:lang w:eastAsia="cs-CZ"/>
              </w:rPr>
              <w:t>-</w:t>
            </w:r>
          </w:p>
        </w:tc>
        <w:tc>
          <w:tcPr>
            <w:tcW w:w="782" w:type="pct"/>
            <w:tcBorders>
              <w:top w:val="nil"/>
              <w:left w:val="nil"/>
              <w:bottom w:val="single" w:sz="4" w:space="0" w:color="auto"/>
              <w:right w:val="single" w:sz="4" w:space="0" w:color="auto"/>
            </w:tcBorders>
            <w:shd w:val="clear" w:color="auto" w:fill="auto"/>
            <w:vAlign w:val="center"/>
            <w:hideMark/>
          </w:tcPr>
          <w:p w14:paraId="045B547C" w14:textId="77777777" w:rsidR="009253A7" w:rsidRPr="007423AB" w:rsidRDefault="0051469A" w:rsidP="007423AB">
            <w:pPr>
              <w:keepNext/>
              <w:keepLines/>
              <w:spacing w:after="0"/>
              <w:jc w:val="center"/>
              <w:rPr>
                <w:rFonts w:eastAsia="Times New Roman" w:cs="Calibri"/>
                <w:color w:val="000000"/>
                <w:sz w:val="20"/>
                <w:szCs w:val="20"/>
                <w:lang w:eastAsia="cs-CZ"/>
              </w:rPr>
            </w:pPr>
            <w:r w:rsidRPr="007423AB">
              <w:rPr>
                <w:rFonts w:eastAsia="Times New Roman" w:cs="Calibri"/>
                <w:color w:val="000000"/>
                <w:sz w:val="20"/>
                <w:szCs w:val="20"/>
                <w:lang w:eastAsia="cs-CZ"/>
              </w:rPr>
              <w:t>-</w:t>
            </w:r>
          </w:p>
        </w:tc>
      </w:tr>
      <w:tr w:rsidR="00121435" w:rsidRPr="007423AB" w14:paraId="08F2F567"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C8E3D62"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Biopaliva</w:t>
            </w:r>
          </w:p>
        </w:tc>
        <w:tc>
          <w:tcPr>
            <w:tcW w:w="782" w:type="pct"/>
            <w:tcBorders>
              <w:top w:val="nil"/>
              <w:left w:val="nil"/>
              <w:bottom w:val="single" w:sz="4" w:space="0" w:color="auto"/>
              <w:right w:val="single" w:sz="4" w:space="0" w:color="auto"/>
            </w:tcBorders>
            <w:shd w:val="clear" w:color="auto" w:fill="auto"/>
            <w:vAlign w:val="center"/>
            <w:hideMark/>
          </w:tcPr>
          <w:p w14:paraId="17D59CF0"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384 579 499</w:t>
            </w:r>
          </w:p>
        </w:tc>
        <w:tc>
          <w:tcPr>
            <w:tcW w:w="859" w:type="pct"/>
            <w:tcBorders>
              <w:top w:val="nil"/>
              <w:left w:val="nil"/>
              <w:bottom w:val="single" w:sz="4" w:space="0" w:color="auto"/>
              <w:right w:val="single" w:sz="4" w:space="0" w:color="auto"/>
            </w:tcBorders>
            <w:shd w:val="clear" w:color="auto" w:fill="auto"/>
            <w:vAlign w:val="center"/>
            <w:hideMark/>
          </w:tcPr>
          <w:p w14:paraId="78F26FD6"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476 269 755</w:t>
            </w:r>
          </w:p>
        </w:tc>
        <w:tc>
          <w:tcPr>
            <w:tcW w:w="1016" w:type="pct"/>
            <w:tcBorders>
              <w:top w:val="nil"/>
              <w:left w:val="nil"/>
              <w:bottom w:val="single" w:sz="4" w:space="0" w:color="auto"/>
              <w:right w:val="single" w:sz="4" w:space="0" w:color="auto"/>
            </w:tcBorders>
            <w:shd w:val="clear" w:color="auto" w:fill="auto"/>
            <w:vAlign w:val="center"/>
            <w:hideMark/>
          </w:tcPr>
          <w:p w14:paraId="07B95DFB" w14:textId="77777777" w:rsidR="009253A7" w:rsidRPr="007423AB" w:rsidRDefault="0051469A" w:rsidP="007423AB">
            <w:pPr>
              <w:keepNext/>
              <w:keepLines/>
              <w:spacing w:after="0"/>
              <w:jc w:val="center"/>
              <w:rPr>
                <w:rFonts w:eastAsia="Times New Roman" w:cs="Calibri"/>
                <w:b/>
                <w:bCs/>
                <w:sz w:val="20"/>
                <w:szCs w:val="20"/>
                <w:lang w:eastAsia="cs-CZ"/>
              </w:rPr>
            </w:pPr>
            <w:r w:rsidRPr="007423AB">
              <w:rPr>
                <w:rFonts w:eastAsia="Times New Roman" w:cs="Calibri"/>
                <w:b/>
                <w:bCs/>
                <w:color w:val="004595"/>
                <w:sz w:val="20"/>
                <w:szCs w:val="20"/>
                <w:lang w:eastAsia="cs-CZ"/>
              </w:rPr>
              <w:t>↑</w:t>
            </w:r>
            <w:r w:rsidR="00B05F71" w:rsidRPr="007423AB">
              <w:rPr>
                <w:rFonts w:eastAsia="Times New Roman" w:cs="Calibri"/>
                <w:b/>
                <w:bCs/>
                <w:color w:val="004595"/>
                <w:sz w:val="20"/>
                <w:szCs w:val="20"/>
                <w:lang w:eastAsia="cs-CZ"/>
              </w:rPr>
              <w:t xml:space="preserve">    + 24 %</w:t>
            </w:r>
          </w:p>
        </w:tc>
        <w:tc>
          <w:tcPr>
            <w:tcW w:w="781" w:type="pct"/>
            <w:tcBorders>
              <w:top w:val="nil"/>
              <w:left w:val="nil"/>
              <w:bottom w:val="single" w:sz="4" w:space="0" w:color="auto"/>
              <w:right w:val="single" w:sz="4" w:space="0" w:color="auto"/>
            </w:tcBorders>
            <w:shd w:val="clear" w:color="auto" w:fill="auto"/>
            <w:vAlign w:val="center"/>
            <w:hideMark/>
          </w:tcPr>
          <w:p w14:paraId="6D5715C3"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2 002 574 856</w:t>
            </w:r>
          </w:p>
        </w:tc>
        <w:tc>
          <w:tcPr>
            <w:tcW w:w="782" w:type="pct"/>
            <w:tcBorders>
              <w:top w:val="nil"/>
              <w:left w:val="nil"/>
              <w:bottom w:val="single" w:sz="4" w:space="0" w:color="auto"/>
              <w:right w:val="single" w:sz="4" w:space="0" w:color="auto"/>
            </w:tcBorders>
            <w:shd w:val="clear" w:color="auto" w:fill="auto"/>
            <w:vAlign w:val="center"/>
            <w:hideMark/>
          </w:tcPr>
          <w:p w14:paraId="40EAC0CB"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41 254 454</w:t>
            </w:r>
          </w:p>
        </w:tc>
      </w:tr>
      <w:tr w:rsidR="00121435" w:rsidRPr="007423AB" w14:paraId="16FFDCB1"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BBD3919"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CNG</w:t>
            </w:r>
          </w:p>
        </w:tc>
        <w:tc>
          <w:tcPr>
            <w:tcW w:w="782" w:type="pct"/>
            <w:tcBorders>
              <w:top w:val="nil"/>
              <w:left w:val="nil"/>
              <w:bottom w:val="single" w:sz="4" w:space="0" w:color="auto"/>
              <w:right w:val="single" w:sz="4" w:space="0" w:color="auto"/>
            </w:tcBorders>
            <w:shd w:val="clear" w:color="auto" w:fill="auto"/>
            <w:vAlign w:val="center"/>
            <w:hideMark/>
          </w:tcPr>
          <w:p w14:paraId="55445543"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43 589 000</w:t>
            </w:r>
          </w:p>
        </w:tc>
        <w:tc>
          <w:tcPr>
            <w:tcW w:w="859" w:type="pct"/>
            <w:tcBorders>
              <w:top w:val="nil"/>
              <w:left w:val="nil"/>
              <w:bottom w:val="single" w:sz="4" w:space="0" w:color="auto"/>
              <w:right w:val="single" w:sz="4" w:space="0" w:color="auto"/>
            </w:tcBorders>
            <w:shd w:val="clear" w:color="auto" w:fill="auto"/>
            <w:vAlign w:val="center"/>
            <w:hideMark/>
          </w:tcPr>
          <w:p w14:paraId="3987DBCF"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75 832 000</w:t>
            </w:r>
          </w:p>
        </w:tc>
        <w:tc>
          <w:tcPr>
            <w:tcW w:w="1016" w:type="pct"/>
            <w:tcBorders>
              <w:top w:val="nil"/>
              <w:left w:val="nil"/>
              <w:bottom w:val="single" w:sz="4" w:space="0" w:color="auto"/>
              <w:right w:val="single" w:sz="4" w:space="0" w:color="auto"/>
            </w:tcBorders>
            <w:shd w:val="clear" w:color="auto" w:fill="auto"/>
            <w:vAlign w:val="center"/>
            <w:hideMark/>
          </w:tcPr>
          <w:p w14:paraId="2C086054" w14:textId="77777777" w:rsidR="009253A7" w:rsidRPr="007423AB" w:rsidRDefault="0051469A" w:rsidP="007423AB">
            <w:pPr>
              <w:keepNext/>
              <w:keepLines/>
              <w:spacing w:after="0"/>
              <w:jc w:val="center"/>
              <w:rPr>
                <w:rFonts w:eastAsia="Times New Roman" w:cs="Calibri"/>
                <w:b/>
                <w:bCs/>
                <w:sz w:val="20"/>
                <w:szCs w:val="20"/>
                <w:lang w:eastAsia="cs-CZ"/>
              </w:rPr>
            </w:pPr>
            <w:r w:rsidRPr="007423AB">
              <w:rPr>
                <w:rFonts w:eastAsia="Times New Roman" w:cs="Calibri"/>
                <w:b/>
                <w:bCs/>
                <w:color w:val="004595"/>
                <w:sz w:val="20"/>
                <w:szCs w:val="20"/>
                <w:lang w:eastAsia="cs-CZ"/>
              </w:rPr>
              <w:t>↑</w:t>
            </w:r>
            <w:r w:rsidR="00B05F71" w:rsidRPr="007423AB">
              <w:rPr>
                <w:rFonts w:eastAsia="Times New Roman" w:cs="Calibri"/>
                <w:b/>
                <w:bCs/>
                <w:color w:val="004595"/>
                <w:sz w:val="20"/>
                <w:szCs w:val="20"/>
                <w:lang w:eastAsia="cs-CZ"/>
              </w:rPr>
              <w:t xml:space="preserve">    + 74 %</w:t>
            </w:r>
          </w:p>
        </w:tc>
        <w:tc>
          <w:tcPr>
            <w:tcW w:w="781" w:type="pct"/>
            <w:tcBorders>
              <w:top w:val="nil"/>
              <w:left w:val="nil"/>
              <w:bottom w:val="single" w:sz="4" w:space="0" w:color="auto"/>
              <w:right w:val="single" w:sz="4" w:space="0" w:color="auto"/>
            </w:tcBorders>
            <w:shd w:val="clear" w:color="auto" w:fill="auto"/>
            <w:vAlign w:val="center"/>
            <w:hideMark/>
          </w:tcPr>
          <w:p w14:paraId="58643EF8"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531 495 446</w:t>
            </w:r>
          </w:p>
        </w:tc>
        <w:tc>
          <w:tcPr>
            <w:tcW w:w="782" w:type="pct"/>
            <w:tcBorders>
              <w:top w:val="nil"/>
              <w:left w:val="nil"/>
              <w:bottom w:val="single" w:sz="4" w:space="0" w:color="auto"/>
              <w:right w:val="single" w:sz="4" w:space="0" w:color="auto"/>
            </w:tcBorders>
            <w:shd w:val="clear" w:color="auto" w:fill="auto"/>
            <w:vAlign w:val="center"/>
            <w:hideMark/>
          </w:tcPr>
          <w:p w14:paraId="18D0A2BD"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871 652 177</w:t>
            </w:r>
          </w:p>
        </w:tc>
      </w:tr>
      <w:tr w:rsidR="00121435" w:rsidRPr="007423AB" w14:paraId="45F4F5F7"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0C23655"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LPG</w:t>
            </w:r>
          </w:p>
        </w:tc>
        <w:tc>
          <w:tcPr>
            <w:tcW w:w="782" w:type="pct"/>
            <w:tcBorders>
              <w:top w:val="nil"/>
              <w:left w:val="nil"/>
              <w:bottom w:val="single" w:sz="4" w:space="0" w:color="auto"/>
              <w:right w:val="single" w:sz="4" w:space="0" w:color="auto"/>
            </w:tcBorders>
            <w:shd w:val="clear" w:color="auto" w:fill="auto"/>
            <w:vAlign w:val="center"/>
            <w:hideMark/>
          </w:tcPr>
          <w:p w14:paraId="65AB5862"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193 951 800</w:t>
            </w:r>
          </w:p>
        </w:tc>
        <w:tc>
          <w:tcPr>
            <w:tcW w:w="859" w:type="pct"/>
            <w:tcBorders>
              <w:top w:val="nil"/>
              <w:left w:val="nil"/>
              <w:bottom w:val="single" w:sz="4" w:space="0" w:color="auto"/>
              <w:right w:val="single" w:sz="4" w:space="0" w:color="auto"/>
            </w:tcBorders>
            <w:shd w:val="clear" w:color="auto" w:fill="auto"/>
            <w:vAlign w:val="center"/>
            <w:hideMark/>
          </w:tcPr>
          <w:p w14:paraId="796A8B07"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181 068 720</w:t>
            </w:r>
          </w:p>
        </w:tc>
        <w:tc>
          <w:tcPr>
            <w:tcW w:w="1016" w:type="pct"/>
            <w:tcBorders>
              <w:top w:val="nil"/>
              <w:left w:val="nil"/>
              <w:bottom w:val="single" w:sz="4" w:space="0" w:color="auto"/>
              <w:right w:val="single" w:sz="4" w:space="0" w:color="auto"/>
            </w:tcBorders>
            <w:shd w:val="clear" w:color="auto" w:fill="auto"/>
            <w:vAlign w:val="center"/>
            <w:hideMark/>
          </w:tcPr>
          <w:p w14:paraId="07648D2C" w14:textId="77777777" w:rsidR="009253A7" w:rsidRPr="007423AB" w:rsidRDefault="0051469A" w:rsidP="007423AB">
            <w:pPr>
              <w:keepNext/>
              <w:keepLines/>
              <w:spacing w:after="0"/>
              <w:jc w:val="center"/>
              <w:rPr>
                <w:rFonts w:eastAsia="Times New Roman" w:cs="Calibri"/>
                <w:b/>
                <w:bCs/>
                <w:sz w:val="20"/>
                <w:szCs w:val="20"/>
                <w:lang w:eastAsia="cs-CZ"/>
              </w:rPr>
            </w:pPr>
            <w:r w:rsidRPr="007423AB">
              <w:rPr>
                <w:rFonts w:eastAsia="Times New Roman" w:cs="Calibri"/>
                <w:b/>
                <w:bCs/>
                <w:color w:val="BD2A33"/>
                <w:sz w:val="20"/>
                <w:szCs w:val="20"/>
                <w:lang w:eastAsia="cs-CZ"/>
              </w:rPr>
              <w:t>↓</w:t>
            </w:r>
            <w:r w:rsidR="00B05F71" w:rsidRPr="007423AB">
              <w:rPr>
                <w:rFonts w:eastAsia="Times New Roman" w:cs="Calibri"/>
                <w:b/>
                <w:bCs/>
                <w:color w:val="BD2A33"/>
                <w:sz w:val="20"/>
                <w:szCs w:val="20"/>
                <w:lang w:eastAsia="cs-CZ"/>
              </w:rPr>
              <w:t xml:space="preserve">       - 7 %</w:t>
            </w:r>
          </w:p>
        </w:tc>
        <w:tc>
          <w:tcPr>
            <w:tcW w:w="781" w:type="pct"/>
            <w:tcBorders>
              <w:top w:val="nil"/>
              <w:left w:val="nil"/>
              <w:bottom w:val="single" w:sz="4" w:space="0" w:color="auto"/>
              <w:right w:val="single" w:sz="4" w:space="0" w:color="auto"/>
            </w:tcBorders>
            <w:shd w:val="clear" w:color="auto" w:fill="auto"/>
            <w:vAlign w:val="center"/>
            <w:hideMark/>
          </w:tcPr>
          <w:p w14:paraId="37888DC1"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2 101 150 732</w:t>
            </w:r>
          </w:p>
        </w:tc>
        <w:tc>
          <w:tcPr>
            <w:tcW w:w="782" w:type="pct"/>
            <w:tcBorders>
              <w:top w:val="nil"/>
              <w:left w:val="nil"/>
              <w:bottom w:val="single" w:sz="4" w:space="0" w:color="auto"/>
              <w:right w:val="single" w:sz="4" w:space="0" w:color="auto"/>
            </w:tcBorders>
            <w:shd w:val="clear" w:color="auto" w:fill="auto"/>
            <w:vAlign w:val="center"/>
            <w:hideMark/>
          </w:tcPr>
          <w:p w14:paraId="0CB2E482"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1 965 515 487</w:t>
            </w:r>
          </w:p>
        </w:tc>
      </w:tr>
      <w:tr w:rsidR="00121435" w:rsidRPr="007423AB" w14:paraId="0F147D65" w14:textId="77777777" w:rsidTr="009253A7">
        <w:trPr>
          <w:trHeight w:val="227"/>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18CDB0C" w14:textId="77777777" w:rsidR="009253A7" w:rsidRPr="007423AB" w:rsidRDefault="0051469A" w:rsidP="007423AB">
            <w:pPr>
              <w:keepNext/>
              <w:keepLines/>
              <w:spacing w:after="0"/>
              <w:jc w:val="left"/>
              <w:rPr>
                <w:rFonts w:eastAsia="Times New Roman" w:cs="Calibri"/>
                <w:color w:val="000000"/>
                <w:sz w:val="20"/>
                <w:szCs w:val="20"/>
                <w:lang w:eastAsia="cs-CZ"/>
              </w:rPr>
            </w:pPr>
            <w:r w:rsidRPr="007423AB">
              <w:rPr>
                <w:rFonts w:eastAsia="Times New Roman" w:cs="Calibri"/>
                <w:color w:val="000000"/>
                <w:sz w:val="20"/>
                <w:szCs w:val="20"/>
                <w:lang w:eastAsia="cs-CZ"/>
              </w:rPr>
              <w:t>Elektřina</w:t>
            </w:r>
          </w:p>
        </w:tc>
        <w:tc>
          <w:tcPr>
            <w:tcW w:w="782" w:type="pct"/>
            <w:tcBorders>
              <w:top w:val="nil"/>
              <w:left w:val="nil"/>
              <w:bottom w:val="single" w:sz="4" w:space="0" w:color="auto"/>
              <w:right w:val="single" w:sz="4" w:space="0" w:color="auto"/>
            </w:tcBorders>
            <w:shd w:val="clear" w:color="auto" w:fill="auto"/>
            <w:vAlign w:val="center"/>
            <w:hideMark/>
          </w:tcPr>
          <w:p w14:paraId="73BC3EC9"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Nezjištěno</w:t>
            </w:r>
          </w:p>
        </w:tc>
        <w:tc>
          <w:tcPr>
            <w:tcW w:w="859" w:type="pct"/>
            <w:tcBorders>
              <w:top w:val="nil"/>
              <w:left w:val="nil"/>
              <w:bottom w:val="single" w:sz="4" w:space="0" w:color="auto"/>
              <w:right w:val="single" w:sz="4" w:space="0" w:color="auto"/>
            </w:tcBorders>
            <w:shd w:val="clear" w:color="auto" w:fill="auto"/>
            <w:vAlign w:val="center"/>
            <w:hideMark/>
          </w:tcPr>
          <w:p w14:paraId="17C1A6A6"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Nezjištěno</w:t>
            </w:r>
          </w:p>
        </w:tc>
        <w:tc>
          <w:tcPr>
            <w:tcW w:w="1016" w:type="pct"/>
            <w:tcBorders>
              <w:top w:val="nil"/>
              <w:left w:val="nil"/>
              <w:bottom w:val="single" w:sz="4" w:space="0" w:color="auto"/>
              <w:right w:val="single" w:sz="4" w:space="0" w:color="auto"/>
            </w:tcBorders>
            <w:shd w:val="clear" w:color="auto" w:fill="auto"/>
            <w:vAlign w:val="center"/>
            <w:hideMark/>
          </w:tcPr>
          <w:p w14:paraId="7B22EB11" w14:textId="77777777" w:rsidR="009253A7" w:rsidRPr="007423AB" w:rsidRDefault="0051469A" w:rsidP="007423AB">
            <w:pPr>
              <w:keepNext/>
              <w:keepLines/>
              <w:spacing w:after="0"/>
              <w:jc w:val="center"/>
              <w:rPr>
                <w:rFonts w:eastAsia="Times New Roman" w:cs="Calibri"/>
                <w:color w:val="000000"/>
                <w:sz w:val="20"/>
                <w:szCs w:val="20"/>
                <w:lang w:eastAsia="cs-CZ"/>
              </w:rPr>
            </w:pPr>
            <w:r w:rsidRPr="007423AB">
              <w:rPr>
                <w:rFonts w:eastAsia="Times New Roman" w:cs="Calibri"/>
                <w:color w:val="000000"/>
                <w:sz w:val="20"/>
                <w:szCs w:val="20"/>
                <w:lang w:eastAsia="cs-CZ"/>
              </w:rPr>
              <w:t>Nezjištěno</w:t>
            </w:r>
          </w:p>
        </w:tc>
        <w:tc>
          <w:tcPr>
            <w:tcW w:w="781" w:type="pct"/>
            <w:tcBorders>
              <w:top w:val="nil"/>
              <w:left w:val="nil"/>
              <w:bottom w:val="single" w:sz="4" w:space="0" w:color="auto"/>
              <w:right w:val="single" w:sz="4" w:space="0" w:color="auto"/>
            </w:tcBorders>
            <w:shd w:val="clear" w:color="auto" w:fill="auto"/>
            <w:vAlign w:val="center"/>
            <w:hideMark/>
          </w:tcPr>
          <w:p w14:paraId="05A0F74C"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Nezjištěno</w:t>
            </w:r>
          </w:p>
        </w:tc>
        <w:tc>
          <w:tcPr>
            <w:tcW w:w="782" w:type="pct"/>
            <w:tcBorders>
              <w:top w:val="nil"/>
              <w:left w:val="nil"/>
              <w:bottom w:val="single" w:sz="4" w:space="0" w:color="auto"/>
              <w:right w:val="single" w:sz="4" w:space="0" w:color="auto"/>
            </w:tcBorders>
            <w:shd w:val="clear" w:color="auto" w:fill="auto"/>
            <w:vAlign w:val="center"/>
            <w:hideMark/>
          </w:tcPr>
          <w:p w14:paraId="0B3BC580" w14:textId="77777777" w:rsidR="009253A7" w:rsidRPr="007423AB" w:rsidRDefault="0051469A" w:rsidP="007423AB">
            <w:pPr>
              <w:keepNext/>
              <w:keepLines/>
              <w:spacing w:after="0"/>
              <w:jc w:val="right"/>
              <w:rPr>
                <w:rFonts w:eastAsia="Times New Roman" w:cs="Calibri"/>
                <w:color w:val="000000"/>
                <w:sz w:val="20"/>
                <w:szCs w:val="20"/>
                <w:lang w:eastAsia="cs-CZ"/>
              </w:rPr>
            </w:pPr>
            <w:r w:rsidRPr="007423AB">
              <w:rPr>
                <w:rFonts w:eastAsia="Times New Roman" w:cs="Calibri"/>
                <w:color w:val="000000"/>
                <w:sz w:val="20"/>
                <w:szCs w:val="20"/>
                <w:lang w:eastAsia="cs-CZ"/>
              </w:rPr>
              <w:t>Nezjištěno</w:t>
            </w:r>
          </w:p>
        </w:tc>
      </w:tr>
    </w:tbl>
    <w:p w14:paraId="201B4085" w14:textId="29391853" w:rsidR="009253A7" w:rsidRPr="0009760B" w:rsidRDefault="0051469A" w:rsidP="00043277">
      <w:pPr>
        <w:keepNext/>
        <w:keepLines/>
        <w:spacing w:before="40" w:after="0"/>
        <w:ind w:left="567" w:hanging="567"/>
        <w:jc w:val="left"/>
        <w:rPr>
          <w:iCs/>
          <w:sz w:val="20"/>
          <w:szCs w:val="20"/>
        </w:rPr>
      </w:pPr>
      <w:r w:rsidRPr="0009760B">
        <w:rPr>
          <w:b/>
          <w:iCs/>
          <w:sz w:val="20"/>
          <w:szCs w:val="20"/>
        </w:rPr>
        <w:t>Zdroj:</w:t>
      </w:r>
      <w:r w:rsidRPr="0009760B">
        <w:rPr>
          <w:iCs/>
          <w:sz w:val="20"/>
          <w:szCs w:val="20"/>
        </w:rPr>
        <w:t xml:space="preserve"> statistické přehledy celní správy, dostupné z</w:t>
      </w:r>
      <w:r w:rsidRPr="0009760B">
        <w:rPr>
          <w:sz w:val="20"/>
          <w:szCs w:val="20"/>
        </w:rPr>
        <w:t xml:space="preserve"> </w:t>
      </w:r>
      <w:hyperlink r:id="rId29" w:history="1">
        <w:r w:rsidR="0009760B" w:rsidRPr="0009760B">
          <w:rPr>
            <w:rStyle w:val="Hypertextovodkaz"/>
            <w:sz w:val="20"/>
            <w:szCs w:val="20"/>
            <w:u w:val="none"/>
          </w:rPr>
          <w:t>https://www.celnisprava.cz/cz/dane/statistiky/Stranky/mineraly.aspx</w:t>
        </w:r>
      </w:hyperlink>
      <w:r w:rsidR="00D162E9" w:rsidRPr="0009760B">
        <w:rPr>
          <w:iCs/>
          <w:sz w:val="20"/>
          <w:szCs w:val="20"/>
        </w:rPr>
        <w:t xml:space="preserve">, biopaliva za jednotlivé roky; statistiky celní správy, dostupné z </w:t>
      </w:r>
      <w:hyperlink r:id="rId30" w:history="1">
        <w:r w:rsidR="0009760B" w:rsidRPr="0009760B">
          <w:rPr>
            <w:rStyle w:val="Hypertextovodkaz"/>
            <w:sz w:val="20"/>
            <w:szCs w:val="20"/>
            <w:u w:val="none"/>
          </w:rPr>
          <w:t>https://www.celnisprava.cz/cz/dane/statistiky/Stranky/ekodane.aspx</w:t>
        </w:r>
      </w:hyperlink>
      <w:r w:rsidR="00D162E9" w:rsidRPr="0009760B">
        <w:rPr>
          <w:iCs/>
          <w:sz w:val="20"/>
          <w:szCs w:val="20"/>
        </w:rPr>
        <w:t>, daně ze zemního plynu za jednotlivé roky</w:t>
      </w:r>
      <w:r w:rsidR="00D162E9" w:rsidRPr="0009760B">
        <w:rPr>
          <w:b/>
          <w:bCs/>
          <w:sz w:val="20"/>
          <w:szCs w:val="20"/>
        </w:rPr>
        <w:t xml:space="preserve"> </w:t>
      </w:r>
      <w:r w:rsidR="00D162E9" w:rsidRPr="0009760B">
        <w:rPr>
          <w:bCs/>
          <w:sz w:val="20"/>
          <w:szCs w:val="20"/>
        </w:rPr>
        <w:t>statistický přehled českého plynárenského svazu, výtoč CNG dostupný z</w:t>
      </w:r>
      <w:r w:rsidR="0009760B">
        <w:rPr>
          <w:bCs/>
          <w:sz w:val="20"/>
          <w:szCs w:val="20"/>
        </w:rPr>
        <w:t> </w:t>
      </w:r>
      <w:hyperlink r:id="rId31" w:history="1">
        <w:r w:rsidR="0009760B" w:rsidRPr="0009760B">
          <w:rPr>
            <w:rStyle w:val="Hypertextovodkaz"/>
            <w:sz w:val="20"/>
            <w:szCs w:val="20"/>
            <w:u w:val="none"/>
          </w:rPr>
          <w:t>http://www.cng4you.cz/cng-info/statistiky.html</w:t>
        </w:r>
      </w:hyperlink>
      <w:r w:rsidR="00D162E9" w:rsidRPr="0009760B">
        <w:rPr>
          <w:iCs/>
          <w:sz w:val="20"/>
          <w:szCs w:val="20"/>
        </w:rPr>
        <w:t>, vlastní zpracování NKÚ.</w:t>
      </w:r>
    </w:p>
    <w:p w14:paraId="7206120A" w14:textId="7D2D7943" w:rsidR="00043277" w:rsidRDefault="00043277" w:rsidP="0091777B">
      <w:pPr>
        <w:keepNext/>
        <w:keepLines/>
        <w:spacing w:after="0"/>
        <w:jc w:val="left"/>
        <w:rPr>
          <w:iCs/>
          <w:sz w:val="20"/>
          <w:szCs w:val="20"/>
        </w:rPr>
      </w:pPr>
      <w:r>
        <w:rPr>
          <w:b/>
          <w:iCs/>
          <w:sz w:val="20"/>
          <w:szCs w:val="20"/>
        </w:rPr>
        <w:t>Vysvětlivky</w:t>
      </w:r>
      <w:r w:rsidR="0051469A" w:rsidRPr="0009760B">
        <w:rPr>
          <w:b/>
          <w:iCs/>
          <w:sz w:val="20"/>
          <w:szCs w:val="20"/>
        </w:rPr>
        <w:t>:</w:t>
      </w:r>
      <w:r w:rsidR="0051469A" w:rsidRPr="0009760B">
        <w:rPr>
          <w:iCs/>
          <w:sz w:val="20"/>
          <w:szCs w:val="20"/>
        </w:rPr>
        <w:t xml:space="preserve"> </w:t>
      </w:r>
    </w:p>
    <w:p w14:paraId="736BA399" w14:textId="02AC4A12" w:rsidR="00043277" w:rsidRDefault="0051469A" w:rsidP="0091777B">
      <w:pPr>
        <w:keepNext/>
        <w:keepLines/>
        <w:spacing w:after="0"/>
        <w:jc w:val="left"/>
        <w:rPr>
          <w:rFonts w:cs="Calibri"/>
          <w:iCs/>
          <w:sz w:val="20"/>
          <w:szCs w:val="20"/>
        </w:rPr>
      </w:pPr>
      <w:r w:rsidRPr="0009760B">
        <w:rPr>
          <w:rFonts w:cs="Calibri"/>
          <w:iCs/>
          <w:color w:val="BD2A33"/>
          <w:sz w:val="20"/>
          <w:szCs w:val="20"/>
        </w:rPr>
        <w:t xml:space="preserve">• </w:t>
      </w:r>
      <w:r w:rsidR="00043277">
        <w:rPr>
          <w:rFonts w:cs="Calibri"/>
          <w:iCs/>
          <w:color w:val="BD2A33"/>
          <w:sz w:val="20"/>
          <w:szCs w:val="20"/>
        </w:rPr>
        <w:t>–</w:t>
      </w:r>
      <w:r w:rsidRPr="0009760B">
        <w:rPr>
          <w:rFonts w:cs="Calibri"/>
          <w:iCs/>
          <w:color w:val="BD2A33"/>
          <w:sz w:val="20"/>
          <w:szCs w:val="20"/>
        </w:rPr>
        <w:t xml:space="preserve"> </w:t>
      </w:r>
      <w:r w:rsidR="00043277">
        <w:rPr>
          <w:rFonts w:cs="Calibri"/>
          <w:iCs/>
          <w:color w:val="BD2A33"/>
          <w:sz w:val="20"/>
          <w:szCs w:val="20"/>
        </w:rPr>
        <w:t>Z</w:t>
      </w:r>
      <w:r w:rsidRPr="0009760B">
        <w:rPr>
          <w:rFonts w:cs="Calibri"/>
          <w:iCs/>
          <w:color w:val="BD2A33"/>
          <w:sz w:val="20"/>
          <w:szCs w:val="20"/>
        </w:rPr>
        <w:t>měna se neshoduje s cíli KEP</w:t>
      </w:r>
      <w:r w:rsidR="00043277">
        <w:rPr>
          <w:rFonts w:cs="Calibri"/>
          <w:iCs/>
          <w:sz w:val="20"/>
          <w:szCs w:val="20"/>
        </w:rPr>
        <w:t>.</w:t>
      </w:r>
      <w:r w:rsidRPr="0009760B">
        <w:rPr>
          <w:rFonts w:cs="Calibri"/>
          <w:iCs/>
          <w:sz w:val="20"/>
          <w:szCs w:val="20"/>
        </w:rPr>
        <w:t xml:space="preserve"> </w:t>
      </w:r>
    </w:p>
    <w:p w14:paraId="5086E3F7" w14:textId="6675AC2E" w:rsidR="009253A7" w:rsidRPr="0009760B" w:rsidRDefault="0051469A" w:rsidP="0091777B">
      <w:pPr>
        <w:keepNext/>
        <w:keepLines/>
        <w:spacing w:after="0"/>
        <w:jc w:val="left"/>
        <w:rPr>
          <w:rFonts w:cs="Calibri"/>
          <w:iCs/>
          <w:sz w:val="20"/>
          <w:szCs w:val="20"/>
        </w:rPr>
      </w:pPr>
      <w:r w:rsidRPr="0009760B">
        <w:rPr>
          <w:rFonts w:cs="Calibri"/>
          <w:iCs/>
          <w:color w:val="004595"/>
          <w:sz w:val="20"/>
          <w:szCs w:val="20"/>
        </w:rPr>
        <w:t xml:space="preserve">• </w:t>
      </w:r>
      <w:r w:rsidR="00043277">
        <w:rPr>
          <w:rFonts w:cs="Calibri"/>
          <w:iCs/>
          <w:color w:val="004595"/>
          <w:sz w:val="20"/>
          <w:szCs w:val="20"/>
        </w:rPr>
        <w:t>–</w:t>
      </w:r>
      <w:r w:rsidRPr="0009760B">
        <w:rPr>
          <w:rFonts w:cs="Calibri"/>
          <w:iCs/>
          <w:color w:val="004595"/>
          <w:sz w:val="20"/>
          <w:szCs w:val="20"/>
        </w:rPr>
        <w:t xml:space="preserve"> </w:t>
      </w:r>
      <w:r w:rsidR="00043277">
        <w:rPr>
          <w:rFonts w:cs="Calibri"/>
          <w:iCs/>
          <w:color w:val="004595"/>
          <w:sz w:val="20"/>
          <w:szCs w:val="20"/>
        </w:rPr>
        <w:t>Z</w:t>
      </w:r>
      <w:r w:rsidRPr="0009760B">
        <w:rPr>
          <w:rFonts w:cs="Calibri"/>
          <w:iCs/>
          <w:color w:val="004595"/>
          <w:sz w:val="20"/>
          <w:szCs w:val="20"/>
        </w:rPr>
        <w:t>měna se shoduje s cíli KEP</w:t>
      </w:r>
      <w:r w:rsidR="00C21053" w:rsidRPr="0009760B">
        <w:rPr>
          <w:rFonts w:cs="Calibri"/>
          <w:iCs/>
          <w:color w:val="004595"/>
          <w:sz w:val="20"/>
          <w:szCs w:val="20"/>
        </w:rPr>
        <w:t>.</w:t>
      </w:r>
    </w:p>
    <w:p w14:paraId="61E456AA" w14:textId="77777777" w:rsidR="00AF72C9" w:rsidRPr="0009760B" w:rsidRDefault="0051469A" w:rsidP="0091777B">
      <w:pPr>
        <w:keepLines/>
        <w:ind w:left="567" w:hanging="567"/>
        <w:rPr>
          <w:rFonts w:cs="Calibri"/>
          <w:iCs/>
          <w:sz w:val="20"/>
          <w:szCs w:val="20"/>
        </w:rPr>
      </w:pPr>
      <w:r w:rsidRPr="0009760B">
        <w:rPr>
          <w:b/>
          <w:iCs/>
          <w:sz w:val="20"/>
          <w:szCs w:val="20"/>
        </w:rPr>
        <w:t>Pozn.:</w:t>
      </w:r>
      <w:r w:rsidRPr="0009760B">
        <w:rPr>
          <w:iCs/>
          <w:sz w:val="20"/>
          <w:szCs w:val="20"/>
        </w:rPr>
        <w:t xml:space="preserve"> </w:t>
      </w:r>
      <w:r w:rsidR="0091777B">
        <w:rPr>
          <w:iCs/>
          <w:sz w:val="20"/>
          <w:szCs w:val="20"/>
        </w:rPr>
        <w:tab/>
      </w:r>
      <w:r w:rsidRPr="0009760B">
        <w:rPr>
          <w:iCs/>
          <w:sz w:val="20"/>
          <w:szCs w:val="20"/>
          <w:lang w:eastAsia="cs-CZ"/>
        </w:rPr>
        <w:t xml:space="preserve">Spotřební daň </w:t>
      </w:r>
      <w:r w:rsidR="009253A7" w:rsidRPr="0009760B">
        <w:rPr>
          <w:iCs/>
          <w:sz w:val="20"/>
          <w:szCs w:val="20"/>
          <w:lang w:eastAsia="cs-CZ"/>
        </w:rPr>
        <w:t xml:space="preserve">u CNG a LPG byla NKÚ </w:t>
      </w:r>
      <w:r w:rsidRPr="0009760B">
        <w:rPr>
          <w:iCs/>
          <w:sz w:val="20"/>
          <w:szCs w:val="20"/>
          <w:lang w:eastAsia="cs-CZ"/>
        </w:rPr>
        <w:t>kalkulována jako snížení inkasa spotřební daně za předpokladu, že by místo alternativního paliva bylo použito konvenční palivo.</w:t>
      </w:r>
    </w:p>
    <w:p w14:paraId="0FDDB318" w14:textId="308F30F6" w:rsidR="00F359E0" w:rsidRPr="006C0685" w:rsidRDefault="0051469A" w:rsidP="00F359E0">
      <w:r>
        <w:rPr>
          <w:rFonts w:eastAsia="Times New Roman" w:cs="Times New Roman"/>
          <w:szCs w:val="24"/>
        </w:rPr>
        <w:t>NKÚ porovnal výši daňového zatížení s průměrem EU a zjistil</w:t>
      </w:r>
      <w:r w:rsidR="00F41352">
        <w:rPr>
          <w:rFonts w:eastAsia="Times New Roman" w:cs="Times New Roman"/>
          <w:szCs w:val="24"/>
        </w:rPr>
        <w:t>, že přestože</w:t>
      </w:r>
      <w:r w:rsidR="00C21053">
        <w:rPr>
          <w:rFonts w:eastAsia="Times New Roman" w:cs="Times New Roman"/>
          <w:szCs w:val="24"/>
        </w:rPr>
        <w:t xml:space="preserve"> v ČR</w:t>
      </w:r>
      <w:r w:rsidR="00F41352">
        <w:rPr>
          <w:rFonts w:eastAsia="Times New Roman" w:cs="Times New Roman"/>
          <w:szCs w:val="24"/>
        </w:rPr>
        <w:t xml:space="preserve"> je zdanění mírně pod úrovní států EU</w:t>
      </w:r>
      <w:r w:rsidR="00C21053">
        <w:rPr>
          <w:rFonts w:eastAsia="Times New Roman" w:cs="Times New Roman"/>
          <w:szCs w:val="24"/>
        </w:rPr>
        <w:t>,</w:t>
      </w:r>
      <w:r w:rsidR="00F41352">
        <w:rPr>
          <w:rFonts w:eastAsia="Times New Roman" w:cs="Times New Roman"/>
          <w:szCs w:val="24"/>
        </w:rPr>
        <w:t xml:space="preserve"> je cena </w:t>
      </w:r>
      <w:r w:rsidR="00FA0912">
        <w:rPr>
          <w:rFonts w:eastAsia="Times New Roman" w:cs="Times New Roman"/>
          <w:szCs w:val="24"/>
        </w:rPr>
        <w:t xml:space="preserve">PHM </w:t>
      </w:r>
      <w:r w:rsidR="00F41352">
        <w:rPr>
          <w:rFonts w:eastAsia="Times New Roman" w:cs="Times New Roman"/>
          <w:szCs w:val="24"/>
        </w:rPr>
        <w:t>pro spotřebitele vy</w:t>
      </w:r>
      <w:r w:rsidR="00F62C9D">
        <w:rPr>
          <w:rFonts w:eastAsia="Times New Roman" w:cs="Times New Roman"/>
          <w:szCs w:val="24"/>
        </w:rPr>
        <w:t>šší</w:t>
      </w:r>
      <w:r w:rsidR="00440715">
        <w:rPr>
          <w:rFonts w:eastAsia="Times New Roman" w:cs="Times New Roman"/>
          <w:szCs w:val="24"/>
        </w:rPr>
        <w:t>,</w:t>
      </w:r>
      <w:r w:rsidR="00F62C9D">
        <w:rPr>
          <w:rFonts w:eastAsia="Times New Roman" w:cs="Times New Roman"/>
          <w:szCs w:val="24"/>
        </w:rPr>
        <w:t xml:space="preserve"> než </w:t>
      </w:r>
      <w:r w:rsidR="00FA0912">
        <w:rPr>
          <w:rFonts w:eastAsia="Times New Roman" w:cs="Times New Roman"/>
          <w:szCs w:val="24"/>
        </w:rPr>
        <w:t xml:space="preserve">činí </w:t>
      </w:r>
      <w:r w:rsidR="00F62C9D">
        <w:rPr>
          <w:rFonts w:eastAsia="Times New Roman" w:cs="Times New Roman"/>
          <w:szCs w:val="24"/>
        </w:rPr>
        <w:t>průměr</w:t>
      </w:r>
      <w:r w:rsidR="0069039C">
        <w:rPr>
          <w:rFonts w:eastAsia="Times New Roman" w:cs="Times New Roman"/>
          <w:szCs w:val="24"/>
        </w:rPr>
        <w:t xml:space="preserve">ná cena ve </w:t>
      </w:r>
      <w:r w:rsidR="00F62C9D">
        <w:rPr>
          <w:rFonts w:eastAsia="Times New Roman" w:cs="Times New Roman"/>
          <w:szCs w:val="24"/>
        </w:rPr>
        <w:t>stát</w:t>
      </w:r>
      <w:r w:rsidR="0069039C">
        <w:rPr>
          <w:rFonts w:eastAsia="Times New Roman" w:cs="Times New Roman"/>
          <w:szCs w:val="24"/>
        </w:rPr>
        <w:t>ech</w:t>
      </w:r>
      <w:r w:rsidR="00C21053">
        <w:rPr>
          <w:rFonts w:eastAsia="Times New Roman" w:cs="Times New Roman"/>
          <w:szCs w:val="24"/>
        </w:rPr>
        <w:t xml:space="preserve"> EU</w:t>
      </w:r>
      <w:r w:rsidR="0009644C">
        <w:rPr>
          <w:rFonts w:eastAsia="Times New Roman" w:cs="Times New Roman"/>
          <w:szCs w:val="24"/>
        </w:rPr>
        <w:t xml:space="preserve"> (viz tabulka č</w:t>
      </w:r>
      <w:r w:rsidR="0009644C" w:rsidRPr="00E140DB">
        <w:rPr>
          <w:rFonts w:eastAsia="Times New Roman" w:cs="Times New Roman"/>
          <w:szCs w:val="24"/>
        </w:rPr>
        <w:t xml:space="preserve">. </w:t>
      </w:r>
      <w:r w:rsidR="00AB3CB2" w:rsidRPr="00E140DB">
        <w:rPr>
          <w:rFonts w:eastAsia="Times New Roman" w:cs="Times New Roman"/>
          <w:szCs w:val="24"/>
        </w:rPr>
        <w:t>8</w:t>
      </w:r>
      <w:r w:rsidR="0009644C" w:rsidRPr="00E140DB">
        <w:rPr>
          <w:rFonts w:eastAsia="Times New Roman" w:cs="Times New Roman"/>
          <w:szCs w:val="24"/>
        </w:rPr>
        <w:t>)</w:t>
      </w:r>
      <w:r w:rsidR="00FC092F" w:rsidRPr="00E140DB">
        <w:rPr>
          <w:rFonts w:eastAsia="Times New Roman" w:cs="Times New Roman"/>
          <w:szCs w:val="24"/>
        </w:rPr>
        <w:t>.</w:t>
      </w:r>
      <w:r w:rsidR="0050723F">
        <w:rPr>
          <w:rFonts w:eastAsia="Times New Roman" w:cs="Times New Roman"/>
          <w:szCs w:val="24"/>
        </w:rPr>
        <w:t xml:space="preserve"> </w:t>
      </w:r>
    </w:p>
    <w:p w14:paraId="472C5272" w14:textId="77777777" w:rsidR="00F359E0" w:rsidRPr="00E02175" w:rsidRDefault="0091777B" w:rsidP="0091777B">
      <w:pPr>
        <w:pStyle w:val="Tabulka"/>
        <w:numPr>
          <w:ilvl w:val="0"/>
          <w:numId w:val="0"/>
        </w:numPr>
        <w:spacing w:after="40"/>
      </w:pPr>
      <w:r>
        <w:t xml:space="preserve">Tabulka č. 8: </w:t>
      </w:r>
      <w:r w:rsidR="0051469A">
        <w:t>Daňové zatížení PHM v ČR a EU</w:t>
      </w:r>
    </w:p>
    <w:tbl>
      <w:tblPr>
        <w:tblStyle w:val="Mkatabulky"/>
        <w:tblW w:w="5000" w:type="pct"/>
        <w:tblLook w:val="04A0" w:firstRow="1" w:lastRow="0" w:firstColumn="1" w:lastColumn="0" w:noHBand="0" w:noVBand="1"/>
      </w:tblPr>
      <w:tblGrid>
        <w:gridCol w:w="4888"/>
        <w:gridCol w:w="1020"/>
        <w:gridCol w:w="1026"/>
        <w:gridCol w:w="1022"/>
        <w:gridCol w:w="1104"/>
      </w:tblGrid>
      <w:tr w:rsidR="00121435" w:rsidRPr="0091777B" w14:paraId="64EA4695" w14:textId="77777777" w:rsidTr="0091777B">
        <w:trPr>
          <w:trHeight w:val="255"/>
        </w:trPr>
        <w:tc>
          <w:tcPr>
            <w:tcW w:w="2698" w:type="pct"/>
            <w:shd w:val="clear" w:color="auto" w:fill="E5F1FF"/>
            <w:vAlign w:val="center"/>
          </w:tcPr>
          <w:p w14:paraId="0A63B822" w14:textId="77777777" w:rsidR="00294DD6" w:rsidRPr="0091777B" w:rsidRDefault="0051469A" w:rsidP="0091777B">
            <w:pPr>
              <w:spacing w:after="0"/>
              <w:jc w:val="left"/>
              <w:rPr>
                <w:rFonts w:cs="Calibri"/>
                <w:b/>
                <w:sz w:val="20"/>
                <w:szCs w:val="20"/>
              </w:rPr>
            </w:pPr>
            <w:r w:rsidRPr="0091777B">
              <w:rPr>
                <w:rFonts w:cs="Calibri"/>
                <w:b/>
                <w:sz w:val="20"/>
                <w:szCs w:val="20"/>
              </w:rPr>
              <w:t>Ukazatel</w:t>
            </w:r>
          </w:p>
        </w:tc>
        <w:tc>
          <w:tcPr>
            <w:tcW w:w="563" w:type="pct"/>
            <w:shd w:val="clear" w:color="auto" w:fill="E5F1FF"/>
            <w:vAlign w:val="center"/>
          </w:tcPr>
          <w:p w14:paraId="2E9BA63A" w14:textId="77777777" w:rsidR="00294DD6" w:rsidRPr="0091777B" w:rsidRDefault="0051469A" w:rsidP="0091777B">
            <w:pPr>
              <w:spacing w:after="0"/>
              <w:jc w:val="center"/>
              <w:rPr>
                <w:rFonts w:cs="Calibri"/>
                <w:b/>
                <w:sz w:val="20"/>
                <w:szCs w:val="20"/>
              </w:rPr>
            </w:pPr>
            <w:r w:rsidRPr="0091777B">
              <w:rPr>
                <w:rFonts w:cs="Calibri"/>
                <w:b/>
                <w:sz w:val="20"/>
                <w:szCs w:val="20"/>
              </w:rPr>
              <w:t>Benzín</w:t>
            </w:r>
          </w:p>
        </w:tc>
        <w:tc>
          <w:tcPr>
            <w:tcW w:w="566" w:type="pct"/>
            <w:shd w:val="clear" w:color="auto" w:fill="E5F1FF"/>
            <w:vAlign w:val="center"/>
          </w:tcPr>
          <w:p w14:paraId="2444C98D" w14:textId="77777777" w:rsidR="00294DD6" w:rsidRPr="0091777B" w:rsidRDefault="0051469A" w:rsidP="0091777B">
            <w:pPr>
              <w:spacing w:after="0"/>
              <w:jc w:val="center"/>
              <w:rPr>
                <w:rFonts w:cs="Calibri"/>
                <w:b/>
                <w:sz w:val="20"/>
                <w:szCs w:val="20"/>
              </w:rPr>
            </w:pPr>
            <w:r w:rsidRPr="0091777B">
              <w:rPr>
                <w:rFonts w:cs="Calibri"/>
                <w:b/>
                <w:sz w:val="20"/>
                <w:szCs w:val="20"/>
              </w:rPr>
              <w:t>Diesel</w:t>
            </w:r>
          </w:p>
        </w:tc>
        <w:tc>
          <w:tcPr>
            <w:tcW w:w="564" w:type="pct"/>
            <w:shd w:val="clear" w:color="auto" w:fill="E5F1FF"/>
            <w:vAlign w:val="center"/>
          </w:tcPr>
          <w:p w14:paraId="7DF4EED3" w14:textId="77777777" w:rsidR="00294DD6" w:rsidRPr="0091777B" w:rsidRDefault="0051469A" w:rsidP="0091777B">
            <w:pPr>
              <w:spacing w:after="0"/>
              <w:jc w:val="center"/>
              <w:rPr>
                <w:rFonts w:cs="Calibri"/>
                <w:b/>
                <w:sz w:val="20"/>
                <w:szCs w:val="20"/>
              </w:rPr>
            </w:pPr>
            <w:r w:rsidRPr="0091777B">
              <w:rPr>
                <w:rFonts w:cs="Calibri"/>
                <w:b/>
                <w:sz w:val="20"/>
                <w:szCs w:val="20"/>
              </w:rPr>
              <w:t>LPG</w:t>
            </w:r>
          </w:p>
        </w:tc>
        <w:tc>
          <w:tcPr>
            <w:tcW w:w="609" w:type="pct"/>
            <w:shd w:val="clear" w:color="auto" w:fill="E5F1FF"/>
            <w:vAlign w:val="center"/>
          </w:tcPr>
          <w:p w14:paraId="387B153B" w14:textId="77777777" w:rsidR="00294DD6" w:rsidRPr="0091777B" w:rsidRDefault="0051469A" w:rsidP="0091777B">
            <w:pPr>
              <w:spacing w:after="0"/>
              <w:jc w:val="center"/>
              <w:rPr>
                <w:rFonts w:cs="Calibri"/>
                <w:b/>
                <w:sz w:val="20"/>
                <w:szCs w:val="20"/>
              </w:rPr>
            </w:pPr>
            <w:r w:rsidRPr="0091777B">
              <w:rPr>
                <w:rFonts w:cs="Calibri"/>
                <w:b/>
                <w:sz w:val="20"/>
                <w:szCs w:val="20"/>
              </w:rPr>
              <w:t>Elektřina</w:t>
            </w:r>
          </w:p>
        </w:tc>
      </w:tr>
      <w:tr w:rsidR="00121435" w:rsidRPr="0091777B" w14:paraId="6F49B8DB" w14:textId="77777777" w:rsidTr="0091777B">
        <w:trPr>
          <w:trHeight w:val="255"/>
        </w:trPr>
        <w:tc>
          <w:tcPr>
            <w:tcW w:w="2698" w:type="pct"/>
            <w:vAlign w:val="center"/>
          </w:tcPr>
          <w:p w14:paraId="0AA2AD48" w14:textId="77777777" w:rsidR="00294DD6" w:rsidRPr="0091777B" w:rsidRDefault="0051469A" w:rsidP="0091777B">
            <w:pPr>
              <w:spacing w:after="0"/>
              <w:jc w:val="left"/>
              <w:rPr>
                <w:rFonts w:cs="Calibri"/>
                <w:sz w:val="20"/>
                <w:szCs w:val="20"/>
              </w:rPr>
            </w:pPr>
            <w:r w:rsidRPr="0091777B">
              <w:rPr>
                <w:rFonts w:cs="Calibri"/>
                <w:sz w:val="20"/>
                <w:szCs w:val="20"/>
              </w:rPr>
              <w:t>Sazba S</w:t>
            </w:r>
            <w:r w:rsidR="0009644C" w:rsidRPr="0091777B">
              <w:rPr>
                <w:rFonts w:cs="Calibri"/>
                <w:sz w:val="20"/>
                <w:szCs w:val="20"/>
              </w:rPr>
              <w:t>P</w:t>
            </w:r>
            <w:r w:rsidRPr="0091777B">
              <w:rPr>
                <w:rFonts w:cs="Calibri"/>
                <w:sz w:val="20"/>
                <w:szCs w:val="20"/>
              </w:rPr>
              <w:t>D v ČR na průměrné sazbě S</w:t>
            </w:r>
            <w:r w:rsidR="0009644C" w:rsidRPr="0091777B">
              <w:rPr>
                <w:rFonts w:cs="Calibri"/>
                <w:sz w:val="20"/>
                <w:szCs w:val="20"/>
              </w:rPr>
              <w:t>P</w:t>
            </w:r>
            <w:r w:rsidRPr="0091777B">
              <w:rPr>
                <w:rFonts w:cs="Calibri"/>
                <w:sz w:val="20"/>
                <w:szCs w:val="20"/>
              </w:rPr>
              <w:t>D v EU se zohledněním HDP</w:t>
            </w:r>
            <w:r w:rsidR="0009644C" w:rsidRPr="0091777B">
              <w:rPr>
                <w:rFonts w:cs="Calibri"/>
                <w:sz w:val="20"/>
                <w:szCs w:val="20"/>
              </w:rPr>
              <w:t xml:space="preserve"> n</w:t>
            </w:r>
            <w:r w:rsidR="0091777B">
              <w:rPr>
                <w:rFonts w:cs="Calibri"/>
                <w:sz w:val="20"/>
                <w:szCs w:val="20"/>
              </w:rPr>
              <w:t>a obyvatele v paritě kupní síly</w:t>
            </w:r>
          </w:p>
        </w:tc>
        <w:tc>
          <w:tcPr>
            <w:tcW w:w="563" w:type="pct"/>
            <w:vAlign w:val="center"/>
          </w:tcPr>
          <w:p w14:paraId="1DDE4CE5"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566" w:type="pct"/>
            <w:vAlign w:val="center"/>
          </w:tcPr>
          <w:p w14:paraId="7438A755" w14:textId="77777777" w:rsidR="00294DD6" w:rsidRPr="0091777B" w:rsidRDefault="0051469A" w:rsidP="0091777B">
            <w:pPr>
              <w:spacing w:after="0"/>
              <w:jc w:val="center"/>
              <w:rPr>
                <w:rFonts w:cs="Calibri"/>
                <w:color w:val="BD2A33"/>
                <w:sz w:val="20"/>
                <w:szCs w:val="20"/>
              </w:rPr>
            </w:pPr>
            <w:r w:rsidRPr="0091777B">
              <w:rPr>
                <w:rFonts w:eastAsia="Times New Roman" w:cs="Calibri"/>
                <w:b/>
                <w:bCs/>
                <w:color w:val="BD2A33"/>
                <w:sz w:val="20"/>
                <w:szCs w:val="20"/>
                <w:lang w:eastAsia="cs-CZ"/>
              </w:rPr>
              <w:t>↑</w:t>
            </w:r>
          </w:p>
        </w:tc>
        <w:tc>
          <w:tcPr>
            <w:tcW w:w="564" w:type="pct"/>
            <w:vAlign w:val="center"/>
          </w:tcPr>
          <w:p w14:paraId="3C786649"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609" w:type="pct"/>
            <w:vAlign w:val="center"/>
          </w:tcPr>
          <w:p w14:paraId="71F8C27A"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r>
      <w:tr w:rsidR="00121435" w:rsidRPr="0091777B" w14:paraId="64FC8088" w14:textId="77777777" w:rsidTr="0091777B">
        <w:trPr>
          <w:trHeight w:val="255"/>
        </w:trPr>
        <w:tc>
          <w:tcPr>
            <w:tcW w:w="2698" w:type="pct"/>
            <w:vAlign w:val="center"/>
          </w:tcPr>
          <w:p w14:paraId="7A45912E" w14:textId="77777777" w:rsidR="00294DD6" w:rsidRPr="0091777B" w:rsidRDefault="0051469A" w:rsidP="0091777B">
            <w:pPr>
              <w:spacing w:after="0"/>
              <w:jc w:val="left"/>
              <w:rPr>
                <w:rFonts w:cs="Calibri"/>
                <w:sz w:val="20"/>
                <w:szCs w:val="20"/>
              </w:rPr>
            </w:pPr>
            <w:r w:rsidRPr="0091777B">
              <w:rPr>
                <w:rFonts w:cs="Calibri"/>
                <w:sz w:val="20"/>
                <w:szCs w:val="20"/>
              </w:rPr>
              <w:t>Jednotka daně (S</w:t>
            </w:r>
            <w:r w:rsidR="0009644C" w:rsidRPr="0091777B">
              <w:rPr>
                <w:rFonts w:cs="Calibri"/>
                <w:sz w:val="20"/>
                <w:szCs w:val="20"/>
              </w:rPr>
              <w:t>P</w:t>
            </w:r>
            <w:r w:rsidRPr="0091777B">
              <w:rPr>
                <w:rFonts w:cs="Calibri"/>
                <w:sz w:val="20"/>
                <w:szCs w:val="20"/>
              </w:rPr>
              <w:t>D+DPH) na HDP na obyvatele v</w:t>
            </w:r>
            <w:r w:rsidR="0009644C" w:rsidRPr="0091777B">
              <w:rPr>
                <w:rFonts w:cs="Calibri"/>
                <w:sz w:val="20"/>
                <w:szCs w:val="20"/>
              </w:rPr>
              <w:t> paritě kupní síly</w:t>
            </w:r>
          </w:p>
        </w:tc>
        <w:tc>
          <w:tcPr>
            <w:tcW w:w="563" w:type="pct"/>
            <w:vAlign w:val="center"/>
          </w:tcPr>
          <w:p w14:paraId="59DF9A01" w14:textId="77777777" w:rsidR="00294DD6" w:rsidRPr="0091777B" w:rsidRDefault="0051469A" w:rsidP="0091777B">
            <w:pPr>
              <w:spacing w:after="0"/>
              <w:jc w:val="center"/>
              <w:rPr>
                <w:rFonts w:cs="Calibri"/>
                <w:color w:val="004595"/>
                <w:sz w:val="20"/>
                <w:szCs w:val="20"/>
              </w:rPr>
            </w:pPr>
            <w:r w:rsidRPr="0091777B">
              <w:rPr>
                <w:rFonts w:eastAsia="Times New Roman" w:cs="Calibri"/>
                <w:b/>
                <w:bCs/>
                <w:color w:val="004595"/>
                <w:sz w:val="20"/>
                <w:szCs w:val="20"/>
                <w:lang w:eastAsia="cs-CZ"/>
              </w:rPr>
              <w:t>↓</w:t>
            </w:r>
          </w:p>
        </w:tc>
        <w:tc>
          <w:tcPr>
            <w:tcW w:w="566" w:type="pct"/>
            <w:vAlign w:val="center"/>
          </w:tcPr>
          <w:p w14:paraId="722401C9"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564" w:type="pct"/>
            <w:vAlign w:val="center"/>
          </w:tcPr>
          <w:p w14:paraId="6A656BA9"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609" w:type="pct"/>
            <w:vAlign w:val="center"/>
          </w:tcPr>
          <w:p w14:paraId="4FE0251C"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r>
      <w:tr w:rsidR="00121435" w:rsidRPr="0091777B" w14:paraId="1D6BF4CD" w14:textId="77777777" w:rsidTr="0091777B">
        <w:trPr>
          <w:trHeight w:val="255"/>
        </w:trPr>
        <w:tc>
          <w:tcPr>
            <w:tcW w:w="2698" w:type="pct"/>
            <w:vAlign w:val="center"/>
          </w:tcPr>
          <w:p w14:paraId="45DBC7AF" w14:textId="77777777" w:rsidR="00294DD6" w:rsidRPr="0091777B" w:rsidRDefault="0051469A" w:rsidP="0091777B">
            <w:pPr>
              <w:spacing w:after="0"/>
              <w:jc w:val="left"/>
              <w:rPr>
                <w:rFonts w:cs="Calibri"/>
                <w:sz w:val="20"/>
                <w:szCs w:val="20"/>
              </w:rPr>
            </w:pPr>
            <w:r w:rsidRPr="0091777B">
              <w:rPr>
                <w:rFonts w:cs="Calibri"/>
                <w:sz w:val="20"/>
                <w:szCs w:val="20"/>
              </w:rPr>
              <w:t>Celkové zdanění v %</w:t>
            </w:r>
          </w:p>
        </w:tc>
        <w:tc>
          <w:tcPr>
            <w:tcW w:w="563" w:type="pct"/>
            <w:vAlign w:val="center"/>
          </w:tcPr>
          <w:p w14:paraId="1B885C18"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566" w:type="pct"/>
            <w:vAlign w:val="center"/>
          </w:tcPr>
          <w:p w14:paraId="5941BE30"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564" w:type="pct"/>
            <w:vAlign w:val="center"/>
          </w:tcPr>
          <w:p w14:paraId="4A2A1D7D" w14:textId="77777777" w:rsidR="00294DD6" w:rsidRPr="0091777B" w:rsidRDefault="0051469A" w:rsidP="0091777B">
            <w:pPr>
              <w:spacing w:after="0"/>
              <w:jc w:val="center"/>
              <w:rPr>
                <w:rFonts w:cs="Calibri"/>
                <w:sz w:val="20"/>
                <w:szCs w:val="20"/>
              </w:rPr>
            </w:pPr>
            <w:r w:rsidRPr="0091777B">
              <w:rPr>
                <w:rFonts w:cs="Calibri"/>
                <w:sz w:val="20"/>
                <w:szCs w:val="20"/>
              </w:rPr>
              <w:t>-</w:t>
            </w:r>
          </w:p>
        </w:tc>
        <w:tc>
          <w:tcPr>
            <w:tcW w:w="609" w:type="pct"/>
            <w:vAlign w:val="center"/>
          </w:tcPr>
          <w:p w14:paraId="4CBA2D62"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r>
      <w:tr w:rsidR="00121435" w:rsidRPr="0091777B" w14:paraId="2EE8DB20" w14:textId="77777777" w:rsidTr="0091777B">
        <w:trPr>
          <w:trHeight w:val="255"/>
        </w:trPr>
        <w:tc>
          <w:tcPr>
            <w:tcW w:w="2698" w:type="pct"/>
            <w:vAlign w:val="center"/>
          </w:tcPr>
          <w:p w14:paraId="519B1B09" w14:textId="77777777" w:rsidR="00294DD6" w:rsidRPr="0091777B" w:rsidRDefault="0051469A" w:rsidP="0091777B">
            <w:pPr>
              <w:spacing w:after="0"/>
              <w:jc w:val="left"/>
              <w:rPr>
                <w:rFonts w:cs="Calibri"/>
                <w:sz w:val="20"/>
                <w:szCs w:val="20"/>
              </w:rPr>
            </w:pPr>
            <w:r w:rsidRPr="0091777B">
              <w:rPr>
                <w:rFonts w:cs="Calibri"/>
                <w:sz w:val="20"/>
                <w:szCs w:val="20"/>
              </w:rPr>
              <w:t>Podíl ceny včetně daně (S</w:t>
            </w:r>
            <w:r w:rsidR="0009644C" w:rsidRPr="0091777B">
              <w:rPr>
                <w:rFonts w:cs="Calibri"/>
                <w:sz w:val="20"/>
                <w:szCs w:val="20"/>
              </w:rPr>
              <w:t>P</w:t>
            </w:r>
            <w:r w:rsidRPr="0091777B">
              <w:rPr>
                <w:rFonts w:cs="Calibri"/>
                <w:sz w:val="20"/>
                <w:szCs w:val="20"/>
              </w:rPr>
              <w:t>D+DPH) na hodinové mediánové hrubé mzdě ve standardu kupní síly</w:t>
            </w:r>
            <w:r w:rsidRPr="0091777B">
              <w:rPr>
                <w:rStyle w:val="Znakapoznpodarou"/>
                <w:rFonts w:cs="Calibri"/>
                <w:sz w:val="20"/>
                <w:szCs w:val="20"/>
              </w:rPr>
              <w:footnoteReference w:id="32"/>
            </w:r>
          </w:p>
        </w:tc>
        <w:tc>
          <w:tcPr>
            <w:tcW w:w="563" w:type="pct"/>
            <w:vAlign w:val="center"/>
          </w:tcPr>
          <w:p w14:paraId="46691BCF" w14:textId="77777777" w:rsidR="00294DD6" w:rsidRPr="0091777B" w:rsidRDefault="0051469A" w:rsidP="0091777B">
            <w:pPr>
              <w:spacing w:after="0"/>
              <w:jc w:val="center"/>
              <w:rPr>
                <w:rFonts w:cs="Calibri"/>
                <w:sz w:val="20"/>
                <w:szCs w:val="20"/>
              </w:rPr>
            </w:pPr>
            <w:r w:rsidRPr="0091777B">
              <w:rPr>
                <w:rFonts w:eastAsia="Times New Roman" w:cs="Calibri"/>
                <w:b/>
                <w:bCs/>
                <w:color w:val="BD2A33"/>
                <w:sz w:val="20"/>
                <w:szCs w:val="20"/>
                <w:lang w:eastAsia="cs-CZ"/>
              </w:rPr>
              <w:t>↑</w:t>
            </w:r>
          </w:p>
        </w:tc>
        <w:tc>
          <w:tcPr>
            <w:tcW w:w="566" w:type="pct"/>
            <w:vAlign w:val="center"/>
          </w:tcPr>
          <w:p w14:paraId="495CB17C" w14:textId="77777777" w:rsidR="00294DD6" w:rsidRPr="0091777B" w:rsidRDefault="0051469A" w:rsidP="0091777B">
            <w:pPr>
              <w:spacing w:after="0"/>
              <w:jc w:val="center"/>
              <w:rPr>
                <w:rFonts w:cs="Calibri"/>
                <w:sz w:val="20"/>
                <w:szCs w:val="20"/>
              </w:rPr>
            </w:pPr>
            <w:r w:rsidRPr="0091777B">
              <w:rPr>
                <w:rFonts w:eastAsia="Times New Roman" w:cs="Calibri"/>
                <w:b/>
                <w:bCs/>
                <w:color w:val="BD2A33"/>
                <w:sz w:val="20"/>
                <w:szCs w:val="20"/>
                <w:lang w:eastAsia="cs-CZ"/>
              </w:rPr>
              <w:t>↑</w:t>
            </w:r>
          </w:p>
        </w:tc>
        <w:tc>
          <w:tcPr>
            <w:tcW w:w="564" w:type="pct"/>
            <w:vAlign w:val="center"/>
          </w:tcPr>
          <w:p w14:paraId="0411C15C" w14:textId="77777777" w:rsidR="00294DD6" w:rsidRPr="0091777B" w:rsidRDefault="0051469A" w:rsidP="0091777B">
            <w:pPr>
              <w:spacing w:after="0"/>
              <w:jc w:val="center"/>
              <w:rPr>
                <w:rFonts w:cs="Calibri"/>
                <w:sz w:val="20"/>
                <w:szCs w:val="20"/>
              </w:rPr>
            </w:pPr>
            <w:r w:rsidRPr="0091777B">
              <w:rPr>
                <w:rFonts w:eastAsia="Times New Roman" w:cs="Calibri"/>
                <w:b/>
                <w:bCs/>
                <w:color w:val="004595"/>
                <w:sz w:val="20"/>
                <w:szCs w:val="20"/>
                <w:lang w:eastAsia="cs-CZ"/>
              </w:rPr>
              <w:t>↓</w:t>
            </w:r>
          </w:p>
        </w:tc>
        <w:tc>
          <w:tcPr>
            <w:tcW w:w="609" w:type="pct"/>
            <w:vAlign w:val="center"/>
          </w:tcPr>
          <w:p w14:paraId="38339BB2" w14:textId="77777777" w:rsidR="00294DD6" w:rsidRPr="0091777B" w:rsidRDefault="0051469A" w:rsidP="0091777B">
            <w:pPr>
              <w:spacing w:after="0"/>
              <w:jc w:val="center"/>
              <w:rPr>
                <w:rFonts w:cs="Calibri"/>
                <w:sz w:val="20"/>
                <w:szCs w:val="20"/>
              </w:rPr>
            </w:pPr>
            <w:r w:rsidRPr="0091777B">
              <w:rPr>
                <w:rFonts w:eastAsia="Times New Roman" w:cs="Calibri"/>
                <w:b/>
                <w:bCs/>
                <w:color w:val="BD2A33"/>
                <w:sz w:val="20"/>
                <w:szCs w:val="20"/>
                <w:lang w:eastAsia="cs-CZ"/>
              </w:rPr>
              <w:t>↑</w:t>
            </w:r>
          </w:p>
        </w:tc>
      </w:tr>
    </w:tbl>
    <w:p w14:paraId="362B1DD6" w14:textId="77777777" w:rsidR="00F359E0" w:rsidRPr="0091777B" w:rsidRDefault="0051469A" w:rsidP="0091777B">
      <w:pPr>
        <w:spacing w:before="40" w:after="0"/>
        <w:ind w:left="567" w:hanging="567"/>
        <w:rPr>
          <w:rFonts w:cs="Calibri"/>
          <w:noProof/>
          <w:sz w:val="20"/>
          <w:szCs w:val="20"/>
          <w:lang w:eastAsia="cs-CZ"/>
        </w:rPr>
      </w:pPr>
      <w:r w:rsidRPr="0091777B">
        <w:rPr>
          <w:rFonts w:cs="Calibri"/>
          <w:b/>
          <w:sz w:val="20"/>
          <w:szCs w:val="20"/>
        </w:rPr>
        <w:t>Zdroj:</w:t>
      </w:r>
      <w:r w:rsidRPr="0091777B">
        <w:rPr>
          <w:rFonts w:cs="Calibri"/>
          <w:sz w:val="20"/>
          <w:szCs w:val="20"/>
        </w:rPr>
        <w:t xml:space="preserve"> </w:t>
      </w:r>
      <w:r w:rsidR="0091777B">
        <w:rPr>
          <w:rFonts w:cs="Calibri"/>
          <w:sz w:val="20"/>
          <w:szCs w:val="20"/>
        </w:rPr>
        <w:tab/>
      </w:r>
      <w:r w:rsidRPr="0091777B">
        <w:rPr>
          <w:rFonts w:cs="Calibri"/>
          <w:sz w:val="20"/>
          <w:szCs w:val="20"/>
        </w:rPr>
        <w:t xml:space="preserve">Evropská komise – </w:t>
      </w:r>
      <w:r w:rsidRPr="00917FF5">
        <w:rPr>
          <w:rFonts w:cs="Calibri"/>
          <w:i/>
          <w:sz w:val="20"/>
          <w:szCs w:val="20"/>
        </w:rPr>
        <w:t>Excise Duty Tables – Part II – Energy products and Electricity</w:t>
      </w:r>
      <w:r w:rsidRPr="008169E2">
        <w:rPr>
          <w:rFonts w:cs="Calibri"/>
          <w:sz w:val="20"/>
          <w:szCs w:val="20"/>
        </w:rPr>
        <w:t>, 2015 a 2018</w:t>
      </w:r>
      <w:r w:rsidRPr="0091777B">
        <w:rPr>
          <w:rFonts w:cs="Calibri"/>
          <w:sz w:val="20"/>
          <w:szCs w:val="20"/>
        </w:rPr>
        <w:t>, GlobalPetrolPrices.com, 2018, Světová banka – HDP na obyvatele v PKS, 2015, 2017, Eurostat – mediánové hrubé hodinové výdělky (všichni zaměstnanci kromě u</w:t>
      </w:r>
      <w:r w:rsidR="0091777B">
        <w:rPr>
          <w:rFonts w:cs="Calibri"/>
          <w:sz w:val="20"/>
          <w:szCs w:val="20"/>
        </w:rPr>
        <w:t>čňů), 2014; Sazby daně platné k </w:t>
      </w:r>
      <w:r w:rsidRPr="0091777B">
        <w:rPr>
          <w:rFonts w:cs="Calibri"/>
          <w:sz w:val="20"/>
          <w:szCs w:val="20"/>
        </w:rPr>
        <w:t>1.</w:t>
      </w:r>
      <w:r w:rsidR="0091777B">
        <w:rPr>
          <w:rFonts w:cs="Calibri"/>
          <w:sz w:val="20"/>
          <w:szCs w:val="20"/>
        </w:rPr>
        <w:t> </w:t>
      </w:r>
      <w:r w:rsidRPr="0091777B">
        <w:rPr>
          <w:rFonts w:cs="Calibri"/>
          <w:sz w:val="20"/>
          <w:szCs w:val="20"/>
        </w:rPr>
        <w:t>1.</w:t>
      </w:r>
      <w:r w:rsidR="0091777B">
        <w:rPr>
          <w:rFonts w:cs="Calibri"/>
          <w:sz w:val="20"/>
          <w:szCs w:val="20"/>
        </w:rPr>
        <w:t> </w:t>
      </w:r>
      <w:r w:rsidRPr="0091777B">
        <w:rPr>
          <w:rFonts w:cs="Calibri"/>
          <w:sz w:val="20"/>
          <w:szCs w:val="20"/>
        </w:rPr>
        <w:t xml:space="preserve">2018, ceny benzínu a dieselu z února 2019. </w:t>
      </w:r>
    </w:p>
    <w:p w14:paraId="54743D6B" w14:textId="3FCDB646" w:rsidR="00440715" w:rsidRDefault="00440715" w:rsidP="00440715">
      <w:pPr>
        <w:spacing w:after="0"/>
        <w:ind w:left="567" w:hanging="567"/>
        <w:rPr>
          <w:rFonts w:cs="Calibri"/>
          <w:b/>
          <w:noProof/>
          <w:sz w:val="20"/>
          <w:szCs w:val="20"/>
          <w:lang w:eastAsia="cs-CZ"/>
        </w:rPr>
      </w:pPr>
      <w:r>
        <w:rPr>
          <w:rFonts w:cs="Calibri"/>
          <w:b/>
          <w:noProof/>
          <w:sz w:val="20"/>
          <w:szCs w:val="20"/>
          <w:lang w:eastAsia="cs-CZ"/>
        </w:rPr>
        <w:t>Vysvětlivky:</w:t>
      </w:r>
    </w:p>
    <w:p w14:paraId="6AB8A8C8" w14:textId="24196066" w:rsidR="00440715" w:rsidRDefault="0051469A" w:rsidP="00440715">
      <w:pPr>
        <w:spacing w:after="0"/>
        <w:ind w:left="567" w:hanging="567"/>
        <w:rPr>
          <w:rFonts w:cs="Calibri"/>
          <w:noProof/>
          <w:sz w:val="20"/>
          <w:szCs w:val="20"/>
          <w:lang w:eastAsia="cs-CZ"/>
        </w:rPr>
      </w:pPr>
      <w:r w:rsidRPr="0091777B">
        <w:rPr>
          <w:rFonts w:cs="Calibri"/>
          <w:noProof/>
          <w:sz w:val="20"/>
          <w:szCs w:val="20"/>
          <w:lang w:eastAsia="cs-CZ"/>
        </w:rPr>
        <w:t xml:space="preserve"> </w:t>
      </w:r>
      <w:r w:rsidRPr="0091777B">
        <w:rPr>
          <w:rFonts w:eastAsia="Times New Roman" w:cs="Calibri"/>
          <w:b/>
          <w:bCs/>
          <w:color w:val="004595"/>
          <w:sz w:val="20"/>
          <w:szCs w:val="20"/>
          <w:lang w:eastAsia="cs-CZ"/>
        </w:rPr>
        <w:t>↓</w:t>
      </w:r>
      <w:r w:rsidRPr="0091777B">
        <w:rPr>
          <w:rFonts w:cs="Calibri"/>
          <w:noProof/>
          <w:sz w:val="20"/>
          <w:szCs w:val="20"/>
          <w:lang w:eastAsia="cs-CZ"/>
        </w:rPr>
        <w:t xml:space="preserve">  – </w:t>
      </w:r>
      <w:r w:rsidR="00440715">
        <w:rPr>
          <w:rFonts w:cs="Calibri"/>
          <w:noProof/>
          <w:sz w:val="20"/>
          <w:szCs w:val="20"/>
          <w:lang w:eastAsia="cs-CZ"/>
        </w:rPr>
        <w:t>H</w:t>
      </w:r>
      <w:r w:rsidRPr="0091777B">
        <w:rPr>
          <w:rFonts w:cs="Calibri"/>
          <w:noProof/>
          <w:sz w:val="20"/>
          <w:szCs w:val="20"/>
          <w:lang w:eastAsia="cs-CZ"/>
        </w:rPr>
        <w:t>odnota ukazatele je v ČR nižší než průměr EU</w:t>
      </w:r>
      <w:r w:rsidR="00440715">
        <w:rPr>
          <w:rFonts w:cs="Calibri"/>
          <w:noProof/>
          <w:sz w:val="20"/>
          <w:szCs w:val="20"/>
          <w:lang w:eastAsia="cs-CZ"/>
        </w:rPr>
        <w:t>.</w:t>
      </w:r>
    </w:p>
    <w:p w14:paraId="2F2471F6" w14:textId="3C587E5C" w:rsidR="00294DD6" w:rsidRPr="0091777B" w:rsidRDefault="0051469A" w:rsidP="0091777B">
      <w:pPr>
        <w:ind w:left="567" w:hanging="567"/>
        <w:rPr>
          <w:rFonts w:cs="Calibri"/>
          <w:b/>
          <w:sz w:val="20"/>
          <w:szCs w:val="20"/>
        </w:rPr>
      </w:pPr>
      <w:r w:rsidRPr="0091777B">
        <w:rPr>
          <w:rFonts w:cs="Calibri"/>
          <w:noProof/>
          <w:sz w:val="20"/>
          <w:szCs w:val="20"/>
          <w:lang w:eastAsia="cs-CZ"/>
        </w:rPr>
        <w:t xml:space="preserve"> </w:t>
      </w:r>
      <w:r w:rsidRPr="0091777B">
        <w:rPr>
          <w:rFonts w:eastAsia="Times New Roman" w:cs="Calibri"/>
          <w:b/>
          <w:bCs/>
          <w:color w:val="BD2A33"/>
          <w:sz w:val="20"/>
          <w:szCs w:val="20"/>
          <w:lang w:eastAsia="cs-CZ"/>
        </w:rPr>
        <w:t>↑</w:t>
      </w:r>
      <w:r w:rsidR="00440715">
        <w:rPr>
          <w:rFonts w:eastAsia="Times New Roman" w:cs="Calibri"/>
          <w:b/>
          <w:bCs/>
          <w:color w:val="BD2A33"/>
          <w:sz w:val="20"/>
          <w:szCs w:val="20"/>
          <w:lang w:eastAsia="cs-CZ"/>
        </w:rPr>
        <w:t xml:space="preserve">  </w:t>
      </w:r>
      <w:r w:rsidR="00440715">
        <w:rPr>
          <w:rFonts w:ascii="Arial" w:hAnsi="Arial" w:cs="Arial"/>
          <w:noProof/>
          <w:sz w:val="20"/>
          <w:szCs w:val="20"/>
          <w:lang w:eastAsia="cs-CZ"/>
        </w:rPr>
        <w:t>–</w:t>
      </w:r>
      <w:r w:rsidRPr="0091777B">
        <w:rPr>
          <w:rFonts w:cs="Calibri"/>
          <w:noProof/>
          <w:sz w:val="20"/>
          <w:szCs w:val="20"/>
          <w:lang w:eastAsia="cs-CZ"/>
        </w:rPr>
        <w:t xml:space="preserve"> </w:t>
      </w:r>
      <w:r w:rsidR="00440715">
        <w:rPr>
          <w:rFonts w:cs="Calibri"/>
          <w:noProof/>
          <w:sz w:val="20"/>
          <w:szCs w:val="20"/>
          <w:lang w:eastAsia="cs-CZ"/>
        </w:rPr>
        <w:t>H</w:t>
      </w:r>
      <w:r w:rsidRPr="0091777B">
        <w:rPr>
          <w:rFonts w:cs="Calibri"/>
          <w:noProof/>
          <w:sz w:val="20"/>
          <w:szCs w:val="20"/>
          <w:lang w:eastAsia="cs-CZ"/>
        </w:rPr>
        <w:t>odnota ukazatele je v ČR vyšší než průměr EU</w:t>
      </w:r>
      <w:r w:rsidR="00C21053" w:rsidRPr="0091777B">
        <w:rPr>
          <w:rFonts w:cs="Calibri"/>
          <w:noProof/>
          <w:sz w:val="20"/>
          <w:szCs w:val="20"/>
          <w:lang w:eastAsia="cs-CZ"/>
        </w:rPr>
        <w:t>.</w:t>
      </w:r>
      <w:r w:rsidRPr="0091777B">
        <w:rPr>
          <w:rFonts w:cs="Calibri"/>
          <w:noProof/>
          <w:sz w:val="20"/>
          <w:szCs w:val="20"/>
          <w:lang w:eastAsia="cs-CZ"/>
        </w:rPr>
        <w:t xml:space="preserve"> </w:t>
      </w:r>
    </w:p>
    <w:p w14:paraId="2434AE54" w14:textId="3614CBF9" w:rsidR="0069039C" w:rsidRDefault="0051469A" w:rsidP="0091777B">
      <w:pPr>
        <w:spacing w:before="120"/>
      </w:pPr>
      <w:r>
        <w:t>Absolutní cena PHM v ČR pro spotřebitele je srovnatelná s cenami v okolních státech, vyjma Německa</w:t>
      </w:r>
      <w:r w:rsidR="00FA0912">
        <w:t>, kde je cena benzínu významně vyš</w:t>
      </w:r>
      <w:r w:rsidR="00294DD6">
        <w:t>š</w:t>
      </w:r>
      <w:r w:rsidR="00FA0912">
        <w:t>í</w:t>
      </w:r>
      <w:r w:rsidR="0009644C">
        <w:t xml:space="preserve"> (viz tabulka č. </w:t>
      </w:r>
      <w:r w:rsidR="00AB3CB2" w:rsidRPr="00EF32AC">
        <w:t>9)</w:t>
      </w:r>
      <w:r w:rsidRPr="00EF32AC">
        <w:t>.</w:t>
      </w:r>
      <w:r>
        <w:t xml:space="preserve"> </w:t>
      </w:r>
      <w:r w:rsidR="00540BDD">
        <w:t>T</w:t>
      </w:r>
      <w:r w:rsidR="00AC4568">
        <w:t>o znamená, že prostor pro</w:t>
      </w:r>
      <w:r w:rsidR="00440715">
        <w:t xml:space="preserve"> </w:t>
      </w:r>
      <w:r w:rsidR="00436400">
        <w:t>zvýšení SPD pro konvenční paliva</w:t>
      </w:r>
      <w:r w:rsidR="00E10379">
        <w:t xml:space="preserve"> je omezený</w:t>
      </w:r>
      <w:r w:rsidR="00CC4BB7">
        <w:t xml:space="preserve">. </w:t>
      </w:r>
    </w:p>
    <w:p w14:paraId="14109CB1" w14:textId="77777777" w:rsidR="004025FD" w:rsidRPr="004025FD" w:rsidRDefault="00532531" w:rsidP="00532531">
      <w:pPr>
        <w:pStyle w:val="Tabulka"/>
        <w:numPr>
          <w:ilvl w:val="0"/>
          <w:numId w:val="0"/>
        </w:numPr>
        <w:spacing w:after="40"/>
      </w:pPr>
      <w:r>
        <w:t xml:space="preserve">Tabulka č. 9: </w:t>
      </w:r>
      <w:r w:rsidR="0051469A" w:rsidRPr="000D46EB">
        <w:t>Porovnání ceny PHM pro spotřebitele se sousedními státy</w:t>
      </w:r>
      <w:r w:rsidR="0069039C">
        <w:t xml:space="preserve"> k 19. 8. 2019</w:t>
      </w:r>
      <w:r w:rsidR="00C21053">
        <w:t xml:space="preserve"> (v Kč)</w:t>
      </w:r>
    </w:p>
    <w:tbl>
      <w:tblPr>
        <w:tblW w:w="90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0"/>
        <w:gridCol w:w="1511"/>
        <w:gridCol w:w="1511"/>
        <w:gridCol w:w="1511"/>
        <w:gridCol w:w="1511"/>
        <w:gridCol w:w="1511"/>
      </w:tblGrid>
      <w:tr w:rsidR="00121435" w14:paraId="6CCA9892" w14:textId="77777777" w:rsidTr="0091777B">
        <w:trPr>
          <w:trHeight w:val="255"/>
        </w:trPr>
        <w:tc>
          <w:tcPr>
            <w:tcW w:w="1510" w:type="dxa"/>
            <w:shd w:val="clear" w:color="auto" w:fill="E4F1FF"/>
            <w:noWrap/>
            <w:tcMar>
              <w:top w:w="0" w:type="dxa"/>
              <w:left w:w="70" w:type="dxa"/>
              <w:bottom w:w="0" w:type="dxa"/>
              <w:right w:w="70" w:type="dxa"/>
            </w:tcMar>
            <w:vAlign w:val="center"/>
            <w:hideMark/>
          </w:tcPr>
          <w:p w14:paraId="5C57F369" w14:textId="77777777" w:rsidR="004025FD" w:rsidRPr="00D162E9" w:rsidRDefault="00D162E9" w:rsidP="0091777B">
            <w:pPr>
              <w:spacing w:after="0"/>
              <w:jc w:val="center"/>
              <w:rPr>
                <w:b/>
                <w:bCs/>
                <w:sz w:val="20"/>
                <w:szCs w:val="20"/>
              </w:rPr>
            </w:pPr>
            <w:r w:rsidRPr="00D162E9">
              <w:rPr>
                <w:b/>
                <w:bCs/>
                <w:sz w:val="20"/>
                <w:szCs w:val="20"/>
              </w:rPr>
              <w:t>PHM</w:t>
            </w:r>
          </w:p>
        </w:tc>
        <w:tc>
          <w:tcPr>
            <w:tcW w:w="1511" w:type="dxa"/>
            <w:shd w:val="clear" w:color="auto" w:fill="E4F1FF"/>
            <w:noWrap/>
            <w:tcMar>
              <w:top w:w="0" w:type="dxa"/>
              <w:left w:w="70" w:type="dxa"/>
              <w:bottom w:w="0" w:type="dxa"/>
              <w:right w:w="70" w:type="dxa"/>
            </w:tcMar>
            <w:vAlign w:val="center"/>
            <w:hideMark/>
          </w:tcPr>
          <w:p w14:paraId="3521FD6E" w14:textId="77777777" w:rsidR="004025FD" w:rsidRPr="00D162E9" w:rsidRDefault="0051469A" w:rsidP="0091777B">
            <w:pPr>
              <w:spacing w:after="0"/>
              <w:jc w:val="center"/>
              <w:rPr>
                <w:b/>
                <w:bCs/>
                <w:sz w:val="20"/>
                <w:szCs w:val="20"/>
              </w:rPr>
            </w:pPr>
            <w:r w:rsidRPr="00D162E9">
              <w:rPr>
                <w:b/>
                <w:bCs/>
                <w:sz w:val="20"/>
                <w:szCs w:val="20"/>
              </w:rPr>
              <w:t>Česko</w:t>
            </w:r>
          </w:p>
        </w:tc>
        <w:tc>
          <w:tcPr>
            <w:tcW w:w="1511" w:type="dxa"/>
            <w:shd w:val="clear" w:color="auto" w:fill="E4F1FF"/>
            <w:noWrap/>
            <w:tcMar>
              <w:top w:w="0" w:type="dxa"/>
              <w:left w:w="70" w:type="dxa"/>
              <w:bottom w:w="0" w:type="dxa"/>
              <w:right w:w="70" w:type="dxa"/>
            </w:tcMar>
            <w:vAlign w:val="center"/>
            <w:hideMark/>
          </w:tcPr>
          <w:p w14:paraId="74042938" w14:textId="77777777" w:rsidR="004025FD" w:rsidRPr="00D162E9" w:rsidRDefault="0051469A" w:rsidP="0091777B">
            <w:pPr>
              <w:spacing w:after="0"/>
              <w:jc w:val="center"/>
              <w:rPr>
                <w:b/>
                <w:bCs/>
                <w:sz w:val="20"/>
                <w:szCs w:val="20"/>
              </w:rPr>
            </w:pPr>
            <w:r w:rsidRPr="00D162E9">
              <w:rPr>
                <w:b/>
                <w:bCs/>
                <w:sz w:val="20"/>
                <w:szCs w:val="20"/>
              </w:rPr>
              <w:t>Polsko</w:t>
            </w:r>
          </w:p>
        </w:tc>
        <w:tc>
          <w:tcPr>
            <w:tcW w:w="1511" w:type="dxa"/>
            <w:shd w:val="clear" w:color="auto" w:fill="E4F1FF"/>
            <w:noWrap/>
            <w:tcMar>
              <w:top w:w="0" w:type="dxa"/>
              <w:left w:w="70" w:type="dxa"/>
              <w:bottom w:w="0" w:type="dxa"/>
              <w:right w:w="70" w:type="dxa"/>
            </w:tcMar>
            <w:vAlign w:val="center"/>
            <w:hideMark/>
          </w:tcPr>
          <w:p w14:paraId="5EAE3564" w14:textId="77777777" w:rsidR="004025FD" w:rsidRPr="00D162E9" w:rsidRDefault="0051469A" w:rsidP="0091777B">
            <w:pPr>
              <w:spacing w:after="0"/>
              <w:jc w:val="center"/>
              <w:rPr>
                <w:b/>
                <w:bCs/>
                <w:sz w:val="20"/>
                <w:szCs w:val="20"/>
              </w:rPr>
            </w:pPr>
            <w:r w:rsidRPr="00D162E9">
              <w:rPr>
                <w:b/>
                <w:bCs/>
                <w:sz w:val="20"/>
                <w:szCs w:val="20"/>
              </w:rPr>
              <w:t>Slovensko</w:t>
            </w:r>
          </w:p>
        </w:tc>
        <w:tc>
          <w:tcPr>
            <w:tcW w:w="1511" w:type="dxa"/>
            <w:shd w:val="clear" w:color="auto" w:fill="E4F1FF"/>
            <w:noWrap/>
            <w:tcMar>
              <w:top w:w="0" w:type="dxa"/>
              <w:left w:w="70" w:type="dxa"/>
              <w:bottom w:w="0" w:type="dxa"/>
              <w:right w:w="70" w:type="dxa"/>
            </w:tcMar>
            <w:vAlign w:val="center"/>
            <w:hideMark/>
          </w:tcPr>
          <w:p w14:paraId="5C431478" w14:textId="77777777" w:rsidR="004025FD" w:rsidRPr="00D162E9" w:rsidRDefault="0051469A" w:rsidP="0091777B">
            <w:pPr>
              <w:spacing w:after="0"/>
              <w:jc w:val="center"/>
              <w:rPr>
                <w:b/>
                <w:bCs/>
                <w:sz w:val="20"/>
                <w:szCs w:val="20"/>
              </w:rPr>
            </w:pPr>
            <w:r w:rsidRPr="00D162E9">
              <w:rPr>
                <w:b/>
                <w:bCs/>
                <w:sz w:val="20"/>
                <w:szCs w:val="20"/>
              </w:rPr>
              <w:t>Rakousko</w:t>
            </w:r>
          </w:p>
        </w:tc>
        <w:tc>
          <w:tcPr>
            <w:tcW w:w="1511" w:type="dxa"/>
            <w:shd w:val="clear" w:color="auto" w:fill="E4F1FF"/>
            <w:noWrap/>
            <w:tcMar>
              <w:top w:w="0" w:type="dxa"/>
              <w:left w:w="70" w:type="dxa"/>
              <w:bottom w:w="0" w:type="dxa"/>
              <w:right w:w="70" w:type="dxa"/>
            </w:tcMar>
            <w:vAlign w:val="center"/>
            <w:hideMark/>
          </w:tcPr>
          <w:p w14:paraId="147522F4" w14:textId="77777777" w:rsidR="004025FD" w:rsidRPr="00D162E9" w:rsidRDefault="0051469A" w:rsidP="0091777B">
            <w:pPr>
              <w:spacing w:after="0"/>
              <w:jc w:val="center"/>
              <w:rPr>
                <w:b/>
                <w:bCs/>
                <w:sz w:val="20"/>
                <w:szCs w:val="20"/>
              </w:rPr>
            </w:pPr>
            <w:r w:rsidRPr="00D162E9">
              <w:rPr>
                <w:b/>
                <w:bCs/>
                <w:sz w:val="20"/>
                <w:szCs w:val="20"/>
              </w:rPr>
              <w:t>Německo</w:t>
            </w:r>
          </w:p>
        </w:tc>
      </w:tr>
      <w:tr w:rsidR="00121435" w14:paraId="77D26B8E" w14:textId="77777777" w:rsidTr="0091777B">
        <w:trPr>
          <w:trHeight w:val="255"/>
        </w:trPr>
        <w:tc>
          <w:tcPr>
            <w:tcW w:w="1510" w:type="dxa"/>
            <w:noWrap/>
            <w:tcMar>
              <w:top w:w="0" w:type="dxa"/>
              <w:left w:w="70" w:type="dxa"/>
              <w:bottom w:w="0" w:type="dxa"/>
              <w:right w:w="70" w:type="dxa"/>
            </w:tcMar>
            <w:hideMark/>
          </w:tcPr>
          <w:p w14:paraId="334C0024" w14:textId="77777777" w:rsidR="004025FD" w:rsidRPr="00DF720C" w:rsidRDefault="0051469A" w:rsidP="0091777B">
            <w:pPr>
              <w:spacing w:after="0"/>
              <w:jc w:val="center"/>
              <w:rPr>
                <w:bCs/>
                <w:color w:val="000000"/>
                <w:sz w:val="20"/>
                <w:szCs w:val="20"/>
                <w:lang w:eastAsia="cs-CZ"/>
              </w:rPr>
            </w:pPr>
            <w:r w:rsidRPr="00DF720C">
              <w:rPr>
                <w:bCs/>
                <w:color w:val="000000"/>
                <w:sz w:val="20"/>
                <w:szCs w:val="20"/>
                <w:lang w:eastAsia="cs-CZ"/>
              </w:rPr>
              <w:t>Benzín</w:t>
            </w:r>
          </w:p>
        </w:tc>
        <w:tc>
          <w:tcPr>
            <w:tcW w:w="1511" w:type="dxa"/>
            <w:noWrap/>
            <w:tcMar>
              <w:top w:w="0" w:type="dxa"/>
              <w:left w:w="70" w:type="dxa"/>
              <w:bottom w:w="0" w:type="dxa"/>
              <w:right w:w="70" w:type="dxa"/>
            </w:tcMar>
            <w:hideMark/>
          </w:tcPr>
          <w:p w14:paraId="05AE3C86" w14:textId="77777777" w:rsidR="004025FD" w:rsidRPr="00D162E9" w:rsidRDefault="0051469A" w:rsidP="0091777B">
            <w:pPr>
              <w:spacing w:after="0"/>
              <w:jc w:val="center"/>
              <w:rPr>
                <w:color w:val="000000"/>
                <w:sz w:val="20"/>
                <w:szCs w:val="20"/>
                <w:lang w:eastAsia="cs-CZ"/>
              </w:rPr>
            </w:pPr>
            <w:r w:rsidRPr="00D162E9">
              <w:rPr>
                <w:color w:val="000000"/>
                <w:sz w:val="20"/>
                <w:szCs w:val="20"/>
              </w:rPr>
              <w:t>32,48</w:t>
            </w:r>
          </w:p>
        </w:tc>
        <w:tc>
          <w:tcPr>
            <w:tcW w:w="1511" w:type="dxa"/>
            <w:noWrap/>
            <w:tcMar>
              <w:top w:w="0" w:type="dxa"/>
              <w:left w:w="70" w:type="dxa"/>
              <w:bottom w:w="0" w:type="dxa"/>
              <w:right w:w="70" w:type="dxa"/>
            </w:tcMar>
            <w:hideMark/>
          </w:tcPr>
          <w:p w14:paraId="0854932F" w14:textId="77777777" w:rsidR="004025FD" w:rsidRPr="00D162E9" w:rsidRDefault="0051469A" w:rsidP="0091777B">
            <w:pPr>
              <w:spacing w:after="0"/>
              <w:jc w:val="center"/>
              <w:rPr>
                <w:color w:val="000000"/>
                <w:sz w:val="20"/>
                <w:szCs w:val="20"/>
              </w:rPr>
            </w:pPr>
            <w:r w:rsidRPr="00D162E9">
              <w:rPr>
                <w:color w:val="000000"/>
                <w:sz w:val="20"/>
                <w:szCs w:val="20"/>
              </w:rPr>
              <w:t>29,90</w:t>
            </w:r>
          </w:p>
        </w:tc>
        <w:tc>
          <w:tcPr>
            <w:tcW w:w="1511" w:type="dxa"/>
            <w:noWrap/>
            <w:tcMar>
              <w:top w:w="0" w:type="dxa"/>
              <w:left w:w="70" w:type="dxa"/>
              <w:bottom w:w="0" w:type="dxa"/>
              <w:right w:w="70" w:type="dxa"/>
            </w:tcMar>
            <w:hideMark/>
          </w:tcPr>
          <w:p w14:paraId="2F9F35E3" w14:textId="77777777" w:rsidR="004025FD" w:rsidRPr="00D162E9" w:rsidRDefault="0051469A" w:rsidP="0091777B">
            <w:pPr>
              <w:spacing w:after="0"/>
              <w:jc w:val="center"/>
              <w:rPr>
                <w:color w:val="000000"/>
                <w:sz w:val="20"/>
                <w:szCs w:val="20"/>
              </w:rPr>
            </w:pPr>
            <w:r w:rsidRPr="00D162E9">
              <w:rPr>
                <w:color w:val="000000"/>
                <w:sz w:val="20"/>
                <w:szCs w:val="20"/>
              </w:rPr>
              <w:t>34,29</w:t>
            </w:r>
          </w:p>
        </w:tc>
        <w:tc>
          <w:tcPr>
            <w:tcW w:w="1511" w:type="dxa"/>
            <w:noWrap/>
            <w:tcMar>
              <w:top w:w="0" w:type="dxa"/>
              <w:left w:w="70" w:type="dxa"/>
              <w:bottom w:w="0" w:type="dxa"/>
              <w:right w:w="70" w:type="dxa"/>
            </w:tcMar>
            <w:hideMark/>
          </w:tcPr>
          <w:p w14:paraId="09E307B5" w14:textId="77777777" w:rsidR="004025FD" w:rsidRPr="00D162E9" w:rsidRDefault="0051469A" w:rsidP="0091777B">
            <w:pPr>
              <w:spacing w:after="0"/>
              <w:jc w:val="center"/>
              <w:rPr>
                <w:color w:val="000000"/>
                <w:sz w:val="20"/>
                <w:szCs w:val="20"/>
              </w:rPr>
            </w:pPr>
            <w:r w:rsidRPr="00D162E9">
              <w:rPr>
                <w:color w:val="000000"/>
                <w:sz w:val="20"/>
                <w:szCs w:val="20"/>
              </w:rPr>
              <w:t>31,97</w:t>
            </w:r>
          </w:p>
        </w:tc>
        <w:tc>
          <w:tcPr>
            <w:tcW w:w="1511" w:type="dxa"/>
            <w:noWrap/>
            <w:tcMar>
              <w:top w:w="0" w:type="dxa"/>
              <w:left w:w="70" w:type="dxa"/>
              <w:bottom w:w="0" w:type="dxa"/>
              <w:right w:w="70" w:type="dxa"/>
            </w:tcMar>
            <w:hideMark/>
          </w:tcPr>
          <w:p w14:paraId="65AB4DBE" w14:textId="77777777" w:rsidR="004025FD" w:rsidRPr="00D162E9" w:rsidRDefault="0051469A" w:rsidP="0091777B">
            <w:pPr>
              <w:spacing w:after="0"/>
              <w:jc w:val="center"/>
              <w:rPr>
                <w:color w:val="000000"/>
                <w:sz w:val="20"/>
                <w:szCs w:val="20"/>
              </w:rPr>
            </w:pPr>
            <w:r w:rsidRPr="00D162E9">
              <w:rPr>
                <w:color w:val="000000"/>
                <w:sz w:val="20"/>
                <w:szCs w:val="20"/>
              </w:rPr>
              <w:t>36,61</w:t>
            </w:r>
          </w:p>
        </w:tc>
      </w:tr>
      <w:tr w:rsidR="00121435" w14:paraId="366696EA" w14:textId="77777777" w:rsidTr="0091777B">
        <w:trPr>
          <w:trHeight w:val="255"/>
        </w:trPr>
        <w:tc>
          <w:tcPr>
            <w:tcW w:w="1510" w:type="dxa"/>
            <w:noWrap/>
            <w:tcMar>
              <w:top w:w="0" w:type="dxa"/>
              <w:left w:w="70" w:type="dxa"/>
              <w:bottom w:w="0" w:type="dxa"/>
              <w:right w:w="70" w:type="dxa"/>
            </w:tcMar>
            <w:hideMark/>
          </w:tcPr>
          <w:p w14:paraId="5E751840" w14:textId="77777777" w:rsidR="004025FD" w:rsidRPr="00DF720C" w:rsidRDefault="0051469A" w:rsidP="0091777B">
            <w:pPr>
              <w:spacing w:after="0"/>
              <w:jc w:val="center"/>
              <w:rPr>
                <w:bCs/>
                <w:color w:val="000000"/>
                <w:sz w:val="20"/>
                <w:szCs w:val="20"/>
                <w:lang w:eastAsia="cs-CZ"/>
              </w:rPr>
            </w:pPr>
            <w:r w:rsidRPr="00DF720C">
              <w:rPr>
                <w:bCs/>
                <w:color w:val="000000"/>
                <w:sz w:val="20"/>
                <w:szCs w:val="20"/>
                <w:lang w:eastAsia="cs-CZ"/>
              </w:rPr>
              <w:t>Nafta</w:t>
            </w:r>
          </w:p>
        </w:tc>
        <w:tc>
          <w:tcPr>
            <w:tcW w:w="1511" w:type="dxa"/>
            <w:noWrap/>
            <w:tcMar>
              <w:top w:w="0" w:type="dxa"/>
              <w:left w:w="70" w:type="dxa"/>
              <w:bottom w:w="0" w:type="dxa"/>
              <w:right w:w="70" w:type="dxa"/>
            </w:tcMar>
            <w:hideMark/>
          </w:tcPr>
          <w:p w14:paraId="4D303E38" w14:textId="77777777" w:rsidR="004025FD" w:rsidRPr="00D162E9" w:rsidRDefault="0051469A" w:rsidP="0091777B">
            <w:pPr>
              <w:spacing w:after="0"/>
              <w:jc w:val="center"/>
              <w:rPr>
                <w:color w:val="000000"/>
                <w:sz w:val="20"/>
                <w:szCs w:val="20"/>
              </w:rPr>
            </w:pPr>
            <w:r w:rsidRPr="00D162E9">
              <w:rPr>
                <w:color w:val="000000"/>
                <w:sz w:val="20"/>
                <w:szCs w:val="20"/>
              </w:rPr>
              <w:t>31,45</w:t>
            </w:r>
          </w:p>
        </w:tc>
        <w:tc>
          <w:tcPr>
            <w:tcW w:w="1511" w:type="dxa"/>
            <w:noWrap/>
            <w:tcMar>
              <w:top w:w="0" w:type="dxa"/>
              <w:left w:w="70" w:type="dxa"/>
              <w:bottom w:w="0" w:type="dxa"/>
              <w:right w:w="70" w:type="dxa"/>
            </w:tcMar>
            <w:hideMark/>
          </w:tcPr>
          <w:p w14:paraId="4ECFC48F" w14:textId="77777777" w:rsidR="004025FD" w:rsidRPr="00D162E9" w:rsidRDefault="0051469A" w:rsidP="0091777B">
            <w:pPr>
              <w:spacing w:after="0"/>
              <w:jc w:val="center"/>
              <w:rPr>
                <w:color w:val="000000"/>
                <w:sz w:val="20"/>
                <w:szCs w:val="20"/>
              </w:rPr>
            </w:pPr>
            <w:r w:rsidRPr="00D162E9">
              <w:rPr>
                <w:color w:val="000000"/>
                <w:sz w:val="20"/>
                <w:szCs w:val="20"/>
              </w:rPr>
              <w:t>29,39</w:t>
            </w:r>
          </w:p>
        </w:tc>
        <w:tc>
          <w:tcPr>
            <w:tcW w:w="1511" w:type="dxa"/>
            <w:noWrap/>
            <w:tcMar>
              <w:top w:w="0" w:type="dxa"/>
              <w:left w:w="70" w:type="dxa"/>
              <w:bottom w:w="0" w:type="dxa"/>
              <w:right w:w="70" w:type="dxa"/>
            </w:tcMar>
            <w:hideMark/>
          </w:tcPr>
          <w:p w14:paraId="13B4701A" w14:textId="77777777" w:rsidR="004025FD" w:rsidRPr="00D162E9" w:rsidRDefault="0051469A" w:rsidP="0091777B">
            <w:pPr>
              <w:spacing w:after="0"/>
              <w:jc w:val="center"/>
              <w:rPr>
                <w:color w:val="000000"/>
                <w:sz w:val="20"/>
                <w:szCs w:val="20"/>
              </w:rPr>
            </w:pPr>
            <w:r w:rsidRPr="00D162E9">
              <w:rPr>
                <w:color w:val="000000"/>
                <w:sz w:val="20"/>
                <w:szCs w:val="20"/>
              </w:rPr>
              <w:t>30,94</w:t>
            </w:r>
          </w:p>
        </w:tc>
        <w:tc>
          <w:tcPr>
            <w:tcW w:w="1511" w:type="dxa"/>
            <w:noWrap/>
            <w:tcMar>
              <w:top w:w="0" w:type="dxa"/>
              <w:left w:w="70" w:type="dxa"/>
              <w:bottom w:w="0" w:type="dxa"/>
              <w:right w:w="70" w:type="dxa"/>
            </w:tcMar>
            <w:hideMark/>
          </w:tcPr>
          <w:p w14:paraId="0C3D5A3C" w14:textId="77777777" w:rsidR="004025FD" w:rsidRPr="00D162E9" w:rsidRDefault="0051469A" w:rsidP="0091777B">
            <w:pPr>
              <w:spacing w:after="0"/>
              <w:jc w:val="center"/>
              <w:rPr>
                <w:color w:val="000000"/>
                <w:sz w:val="20"/>
                <w:szCs w:val="20"/>
              </w:rPr>
            </w:pPr>
            <w:r w:rsidRPr="00D162E9">
              <w:rPr>
                <w:color w:val="000000"/>
                <w:sz w:val="20"/>
                <w:szCs w:val="20"/>
              </w:rPr>
              <w:t>30,42</w:t>
            </w:r>
          </w:p>
        </w:tc>
        <w:tc>
          <w:tcPr>
            <w:tcW w:w="1511" w:type="dxa"/>
            <w:noWrap/>
            <w:tcMar>
              <w:top w:w="0" w:type="dxa"/>
              <w:left w:w="70" w:type="dxa"/>
              <w:bottom w:w="0" w:type="dxa"/>
              <w:right w:w="70" w:type="dxa"/>
            </w:tcMar>
            <w:hideMark/>
          </w:tcPr>
          <w:p w14:paraId="28BB5989" w14:textId="77777777" w:rsidR="004025FD" w:rsidRPr="00D162E9" w:rsidRDefault="0051469A" w:rsidP="0091777B">
            <w:pPr>
              <w:spacing w:after="0"/>
              <w:jc w:val="center"/>
              <w:rPr>
                <w:color w:val="000000"/>
                <w:sz w:val="20"/>
                <w:szCs w:val="20"/>
              </w:rPr>
            </w:pPr>
            <w:r w:rsidRPr="00D162E9">
              <w:rPr>
                <w:color w:val="000000"/>
                <w:sz w:val="20"/>
                <w:szCs w:val="20"/>
              </w:rPr>
              <w:t>31,97</w:t>
            </w:r>
          </w:p>
        </w:tc>
      </w:tr>
    </w:tbl>
    <w:p w14:paraId="18B8670D" w14:textId="36A33195" w:rsidR="00D162E9" w:rsidRPr="00440715" w:rsidRDefault="0051469A" w:rsidP="00532531">
      <w:pPr>
        <w:pStyle w:val="Tabulka"/>
        <w:numPr>
          <w:ilvl w:val="0"/>
          <w:numId w:val="0"/>
        </w:numPr>
        <w:spacing w:before="40"/>
        <w:rPr>
          <w:rFonts w:cs="Calibri"/>
          <w:b w:val="0"/>
          <w:color w:val="000000" w:themeColor="text1"/>
          <w:sz w:val="20"/>
          <w:szCs w:val="20"/>
        </w:rPr>
      </w:pPr>
      <w:r w:rsidRPr="0091777B">
        <w:rPr>
          <w:bCs/>
          <w:sz w:val="20"/>
          <w:szCs w:val="20"/>
        </w:rPr>
        <w:t>Zdroj:</w:t>
      </w:r>
      <w:r w:rsidRPr="0091777B">
        <w:rPr>
          <w:b w:val="0"/>
          <w:bCs/>
          <w:sz w:val="20"/>
          <w:szCs w:val="20"/>
        </w:rPr>
        <w:t xml:space="preserve"> </w:t>
      </w:r>
      <w:hyperlink r:id="rId32" w:history="1">
        <w:r w:rsidR="0091777B" w:rsidRPr="0091777B">
          <w:rPr>
            <w:rStyle w:val="Hypertextovodkaz"/>
            <w:b w:val="0"/>
            <w:sz w:val="20"/>
            <w:szCs w:val="20"/>
            <w:u w:val="none"/>
          </w:rPr>
          <w:t>https://ec.europa.eu/energy/observatory/reports/2019_08_19_with_taxes_1964.pdf</w:t>
        </w:r>
      </w:hyperlink>
      <w:r w:rsidR="00440715">
        <w:rPr>
          <w:b w:val="0"/>
          <w:color w:val="000000" w:themeColor="text1"/>
          <w:sz w:val="20"/>
          <w:szCs w:val="20"/>
        </w:rPr>
        <w:t>.</w:t>
      </w:r>
    </w:p>
    <w:p w14:paraId="7556219B" w14:textId="7AFCA187" w:rsidR="00D162E9" w:rsidRPr="0091777B" w:rsidRDefault="0051469A" w:rsidP="0091777B">
      <w:pPr>
        <w:rPr>
          <w:sz w:val="20"/>
          <w:szCs w:val="20"/>
        </w:rPr>
      </w:pPr>
      <w:r w:rsidRPr="0091777B">
        <w:rPr>
          <w:b/>
          <w:sz w:val="20"/>
          <w:szCs w:val="20"/>
        </w:rPr>
        <w:t>Pozn.:</w:t>
      </w:r>
      <w:r w:rsidRPr="0091777B">
        <w:rPr>
          <w:sz w:val="20"/>
          <w:szCs w:val="20"/>
        </w:rPr>
        <w:t xml:space="preserve"> Kurz </w:t>
      </w:r>
      <w:r w:rsidR="00440715" w:rsidRPr="0091777B">
        <w:rPr>
          <w:sz w:val="20"/>
          <w:szCs w:val="20"/>
        </w:rPr>
        <w:t xml:space="preserve">ČNB </w:t>
      </w:r>
      <w:r w:rsidRPr="0091777B">
        <w:rPr>
          <w:sz w:val="20"/>
          <w:szCs w:val="20"/>
        </w:rPr>
        <w:t>k 19. 8. 2019</w:t>
      </w:r>
      <w:r w:rsidR="00440715">
        <w:rPr>
          <w:sz w:val="20"/>
          <w:szCs w:val="20"/>
        </w:rPr>
        <w:t>:</w:t>
      </w:r>
      <w:r w:rsidRPr="0091777B">
        <w:rPr>
          <w:sz w:val="20"/>
          <w:szCs w:val="20"/>
        </w:rPr>
        <w:t xml:space="preserve"> 1 </w:t>
      </w:r>
      <w:r w:rsidR="00440715">
        <w:rPr>
          <w:sz w:val="20"/>
          <w:szCs w:val="20"/>
        </w:rPr>
        <w:t>€</w:t>
      </w:r>
      <w:r w:rsidRPr="0091777B">
        <w:rPr>
          <w:sz w:val="20"/>
          <w:szCs w:val="20"/>
        </w:rPr>
        <w:t xml:space="preserve"> </w:t>
      </w:r>
      <w:r w:rsidR="00440715">
        <w:rPr>
          <w:sz w:val="20"/>
          <w:szCs w:val="20"/>
        </w:rPr>
        <w:t>=</w:t>
      </w:r>
      <w:r w:rsidRPr="0091777B">
        <w:rPr>
          <w:sz w:val="20"/>
          <w:szCs w:val="20"/>
        </w:rPr>
        <w:t xml:space="preserve"> 25,78 Kč.</w:t>
      </w:r>
    </w:p>
    <w:p w14:paraId="045426E1" w14:textId="77777777" w:rsidR="00B24EB6" w:rsidRPr="00B20297" w:rsidRDefault="0051469A" w:rsidP="004C3BE5">
      <w:pPr>
        <w:pStyle w:val="11rove"/>
        <w:keepLines w:val="0"/>
        <w:numPr>
          <w:ilvl w:val="0"/>
          <w:numId w:val="0"/>
        </w:numPr>
        <w:spacing w:before="120" w:after="120"/>
      </w:pPr>
      <w:r>
        <w:lastRenderedPageBreak/>
        <w:t>2.2</w:t>
      </w:r>
      <w:r w:rsidR="00DD4057">
        <w:t xml:space="preserve"> </w:t>
      </w:r>
      <w:r w:rsidRPr="00B20297">
        <w:t>Silniční daň</w:t>
      </w:r>
      <w:bookmarkEnd w:id="11"/>
      <w:bookmarkEnd w:id="12"/>
    </w:p>
    <w:p w14:paraId="2B644B0C" w14:textId="72ECC5F5" w:rsidR="009B37B7" w:rsidRDefault="0051469A" w:rsidP="00943E29">
      <w:r w:rsidRPr="004F59F1">
        <w:t>Siln</w:t>
      </w:r>
      <w:r>
        <w:t>iční daň</w:t>
      </w:r>
      <w:r w:rsidRPr="004F59F1">
        <w:t xml:space="preserve"> je přímou majetkovou daní</w:t>
      </w:r>
      <w:r>
        <w:t>, která se v ČR vztahuje na vozidla provozovaná podnikateli a všechna nákladní vozidla</w:t>
      </w:r>
      <w:r w:rsidRPr="004F59F1">
        <w:t>.</w:t>
      </w:r>
      <w:r>
        <w:t xml:space="preserve"> </w:t>
      </w:r>
      <w:r w:rsidR="00AE170E">
        <w:t xml:space="preserve">Cílů v oblasti KEP se </w:t>
      </w:r>
      <w:r>
        <w:t xml:space="preserve">dotýká </w:t>
      </w:r>
      <w:r w:rsidR="00AE170E">
        <w:t>zákon o dani silniční</w:t>
      </w:r>
      <w:r w:rsidR="00A430F0">
        <w:t>, a to</w:t>
      </w:r>
      <w:r w:rsidR="004D2E7E">
        <w:t xml:space="preserve"> </w:t>
      </w:r>
      <w:r w:rsidR="00AE170E">
        <w:t xml:space="preserve">zejména </w:t>
      </w:r>
      <w:r>
        <w:t xml:space="preserve">v ustanovení o </w:t>
      </w:r>
      <w:r w:rsidR="00AE170E">
        <w:t xml:space="preserve">osvobození od daně a </w:t>
      </w:r>
      <w:r w:rsidR="004D2E7E">
        <w:t xml:space="preserve">v </w:t>
      </w:r>
      <w:r>
        <w:t xml:space="preserve">nastavení </w:t>
      </w:r>
      <w:r w:rsidR="00AE170E">
        <w:t>saz</w:t>
      </w:r>
      <w:r w:rsidR="00BC2762">
        <w:t>b</w:t>
      </w:r>
      <w:r>
        <w:t>y</w:t>
      </w:r>
      <w:r w:rsidR="00BC2762">
        <w:t xml:space="preserve"> daně</w:t>
      </w:r>
      <w:r>
        <w:rPr>
          <w:rStyle w:val="Znakapoznpodarou"/>
        </w:rPr>
        <w:footnoteReference w:id="33"/>
      </w:r>
      <w:r w:rsidR="00D86E75">
        <w:t xml:space="preserve">. </w:t>
      </w:r>
      <w:r w:rsidR="005D1942">
        <w:t xml:space="preserve">U nákladních vozidel minimální sazbu silniční daně a některé další podmínky stanoví </w:t>
      </w:r>
      <w:r w:rsidR="004D2E7E">
        <w:t xml:space="preserve">evropská </w:t>
      </w:r>
      <w:r w:rsidR="005D1942">
        <w:t>směrnice</w:t>
      </w:r>
      <w:r w:rsidR="00943E29">
        <w:t xml:space="preserve"> </w:t>
      </w:r>
      <w:r w:rsidR="004D2E7E">
        <w:t>č.</w:t>
      </w:r>
      <w:r w:rsidR="00943E29">
        <w:t> </w:t>
      </w:r>
      <w:r w:rsidR="00D86E75">
        <w:t>1999/62/ES</w:t>
      </w:r>
      <w:r>
        <w:rPr>
          <w:rStyle w:val="Znakapoznpodarou"/>
        </w:rPr>
        <w:footnoteReference w:id="34"/>
      </w:r>
      <w:r w:rsidR="005D1942">
        <w:t xml:space="preserve">. </w:t>
      </w:r>
      <w:r w:rsidR="005D6E4F">
        <w:t>U</w:t>
      </w:r>
      <w:r w:rsidR="005D6E4F" w:rsidRPr="002F3552">
        <w:t xml:space="preserve"> nákladních aut</w:t>
      </w:r>
      <w:r w:rsidR="004D2E7E">
        <w:t xml:space="preserve">omobilů </w:t>
      </w:r>
      <w:r w:rsidR="005D6E4F" w:rsidRPr="002F3552">
        <w:t xml:space="preserve">se </w:t>
      </w:r>
      <w:r w:rsidR="005D6E4F">
        <w:t xml:space="preserve">v ČR </w:t>
      </w:r>
      <w:r w:rsidR="005D6E4F" w:rsidRPr="002F3552">
        <w:t xml:space="preserve">určuje sazba silniční daně podle počtu </w:t>
      </w:r>
      <w:r w:rsidR="005D6E4F">
        <w:t xml:space="preserve">náprav </w:t>
      </w:r>
      <w:r w:rsidR="005D6E4F" w:rsidRPr="002F3552">
        <w:t xml:space="preserve">a </w:t>
      </w:r>
      <w:r w:rsidR="005D6E4F">
        <w:t xml:space="preserve">jejich </w:t>
      </w:r>
      <w:r w:rsidR="005D6E4F" w:rsidRPr="002F3552">
        <w:t>povoleného zatížení</w:t>
      </w:r>
      <w:r w:rsidR="005D6E4F">
        <w:t xml:space="preserve">. </w:t>
      </w:r>
    </w:p>
    <w:p w14:paraId="419FE5DF" w14:textId="77777777" w:rsidR="00EF32AC" w:rsidRDefault="0051469A" w:rsidP="00943E29">
      <w:r>
        <w:t xml:space="preserve">Podmínky a pravidla pro zdanění osobních vozidel a ostatních vozidel stanoví každý stát samostatně. </w:t>
      </w:r>
      <w:r w:rsidR="00A23407">
        <w:t xml:space="preserve">ČR na osobní vozidla provozovaná nepodnikateli daň silniční neuplatňuje. </w:t>
      </w:r>
      <w:r w:rsidR="00B92B30">
        <w:t>Státy EU, které obdobnou daň uplatňují</w:t>
      </w:r>
      <w:r w:rsidR="0055380F">
        <w:t xml:space="preserve">, ji </w:t>
      </w:r>
      <w:r w:rsidR="00B92B30">
        <w:t>aplikuj</w:t>
      </w:r>
      <w:r w:rsidR="0055380F">
        <w:t>í</w:t>
      </w:r>
      <w:r w:rsidR="00B92B30" w:rsidRPr="003F0290">
        <w:t xml:space="preserve"> </w:t>
      </w:r>
      <w:r w:rsidR="009B37B7" w:rsidRPr="003F0290">
        <w:t>i na vozidla provozovaná nepodnikateli</w:t>
      </w:r>
      <w:r w:rsidR="00837E13" w:rsidRPr="003F0290">
        <w:t xml:space="preserve"> </w:t>
      </w:r>
      <w:r w:rsidR="00AC4568">
        <w:t>a na </w:t>
      </w:r>
      <w:r w:rsidR="003F0290" w:rsidRPr="003F0290">
        <w:t xml:space="preserve">základě emisí </w:t>
      </w:r>
      <w:r w:rsidR="00A66A41">
        <w:t>(</w:t>
      </w:r>
      <w:r w:rsidR="00837E13" w:rsidRPr="003F0290">
        <w:t xml:space="preserve">viz tabulka č. </w:t>
      </w:r>
      <w:r w:rsidR="00AB3CB2" w:rsidRPr="00E140DB">
        <w:t>10</w:t>
      </w:r>
      <w:r w:rsidR="00A66A41" w:rsidRPr="00E140DB">
        <w:t>)</w:t>
      </w:r>
      <w:r w:rsidR="005D6E4F" w:rsidRPr="00E140DB">
        <w:t>.</w:t>
      </w:r>
      <w:r w:rsidR="003F0290" w:rsidRPr="003F0290">
        <w:t xml:space="preserve"> ČR od emisního kritéria ustou</w:t>
      </w:r>
      <w:r w:rsidR="003F0290">
        <w:t>pila v roce 2008.</w:t>
      </w:r>
    </w:p>
    <w:p w14:paraId="2E428609" w14:textId="77777777" w:rsidR="001F6C72" w:rsidRDefault="00943E29" w:rsidP="001C20FD">
      <w:pPr>
        <w:pStyle w:val="Tabulka"/>
        <w:numPr>
          <w:ilvl w:val="0"/>
          <w:numId w:val="0"/>
        </w:numPr>
        <w:spacing w:after="40"/>
        <w:ind w:left="1446" w:hanging="1446"/>
      </w:pPr>
      <w:r>
        <w:t xml:space="preserve">Tabulka č. 10: </w:t>
      </w:r>
      <w:r>
        <w:tab/>
      </w:r>
      <w:r w:rsidR="0051469A">
        <w:t>Statistika uplatnění silniční daně</w:t>
      </w:r>
      <w:r w:rsidR="0087369E">
        <w:t xml:space="preserve"> pro osobní vozidla </w:t>
      </w:r>
      <w:r w:rsidR="0051469A">
        <w:t>v</w:t>
      </w:r>
      <w:r w:rsidR="00837E13">
        <w:t> </w:t>
      </w:r>
      <w:r w:rsidR="0051469A">
        <w:t>EU</w:t>
      </w:r>
      <w:r w:rsidR="00837E13">
        <w:t>,</w:t>
      </w:r>
      <w:r w:rsidR="0087369E">
        <w:t xml:space="preserve"> </w:t>
      </w:r>
      <w:r w:rsidR="00837E13">
        <w:t>Norsku, Švýcar</w:t>
      </w:r>
      <w:r w:rsidR="00E44FFA">
        <w:t>s</w:t>
      </w:r>
      <w:r w:rsidR="00837E13">
        <w:t>ku</w:t>
      </w:r>
      <w:r w:rsidR="00A66A41">
        <w:t>,</w:t>
      </w:r>
      <w:r w:rsidR="00837E13">
        <w:t xml:space="preserve"> Islandu </w:t>
      </w:r>
      <w:r w:rsidR="003F45A8">
        <w:t>v</w:t>
      </w:r>
      <w:r w:rsidR="00E44FFA">
        <w:t xml:space="preserve"> porovnání s </w:t>
      </w:r>
      <w:r w:rsidR="003F45A8">
        <w:t>ČR</w:t>
      </w:r>
      <w:r w:rsidR="00A66A41">
        <w:t xml:space="preserve"> (</w:t>
      </w:r>
      <w:r w:rsidR="0087369E">
        <w:t>v %</w:t>
      </w:r>
      <w:r w:rsidR="00A66A41">
        <w:t>)</w:t>
      </w:r>
    </w:p>
    <w:tbl>
      <w:tblPr>
        <w:tblStyle w:val="Mkatabulky"/>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2976"/>
        <w:gridCol w:w="3969"/>
      </w:tblGrid>
      <w:tr w:rsidR="00121435" w:rsidRPr="001C20FD" w14:paraId="51F6F360" w14:textId="77777777" w:rsidTr="001C20FD">
        <w:trPr>
          <w:trHeight w:val="283"/>
        </w:trPr>
        <w:tc>
          <w:tcPr>
            <w:tcW w:w="2127" w:type="dxa"/>
            <w:shd w:val="clear" w:color="auto" w:fill="E5F1FF"/>
            <w:vAlign w:val="center"/>
          </w:tcPr>
          <w:p w14:paraId="491CE1EF" w14:textId="77777777" w:rsidR="009B37B7" w:rsidRPr="001C20FD" w:rsidRDefault="0051469A" w:rsidP="001C20FD">
            <w:pPr>
              <w:keepNext/>
              <w:spacing w:after="0"/>
              <w:jc w:val="center"/>
              <w:rPr>
                <w:b/>
                <w:sz w:val="20"/>
                <w:szCs w:val="20"/>
              </w:rPr>
            </w:pPr>
            <w:r w:rsidRPr="001C20FD">
              <w:rPr>
                <w:b/>
                <w:sz w:val="20"/>
                <w:szCs w:val="20"/>
              </w:rPr>
              <w:t>91</w:t>
            </w:r>
            <w:r w:rsidR="006F079B" w:rsidRPr="001C20FD">
              <w:rPr>
                <w:b/>
                <w:sz w:val="20"/>
                <w:szCs w:val="20"/>
              </w:rPr>
              <w:t xml:space="preserve"> %</w:t>
            </w:r>
          </w:p>
        </w:tc>
        <w:tc>
          <w:tcPr>
            <w:tcW w:w="2976" w:type="dxa"/>
            <w:shd w:val="clear" w:color="auto" w:fill="E5F1FF"/>
            <w:vAlign w:val="center"/>
          </w:tcPr>
          <w:p w14:paraId="74145F6B" w14:textId="77777777" w:rsidR="009B37B7" w:rsidRPr="001C20FD" w:rsidRDefault="0051469A" w:rsidP="001C20FD">
            <w:pPr>
              <w:keepNext/>
              <w:spacing w:after="0"/>
              <w:jc w:val="center"/>
              <w:rPr>
                <w:b/>
                <w:sz w:val="20"/>
                <w:szCs w:val="20"/>
              </w:rPr>
            </w:pPr>
            <w:r w:rsidRPr="001C20FD">
              <w:rPr>
                <w:b/>
                <w:sz w:val="20"/>
                <w:szCs w:val="20"/>
              </w:rPr>
              <w:t>93 %</w:t>
            </w:r>
          </w:p>
        </w:tc>
        <w:tc>
          <w:tcPr>
            <w:tcW w:w="3969" w:type="dxa"/>
            <w:shd w:val="clear" w:color="auto" w:fill="E5F1FF"/>
            <w:vAlign w:val="center"/>
          </w:tcPr>
          <w:p w14:paraId="4C9D84A8" w14:textId="77777777" w:rsidR="009B37B7" w:rsidRPr="001C20FD" w:rsidRDefault="0051469A" w:rsidP="001C20FD">
            <w:pPr>
              <w:keepNext/>
              <w:spacing w:after="0"/>
              <w:jc w:val="center"/>
              <w:rPr>
                <w:b/>
                <w:sz w:val="20"/>
                <w:szCs w:val="20"/>
              </w:rPr>
            </w:pPr>
            <w:r w:rsidRPr="001C20FD">
              <w:rPr>
                <w:b/>
                <w:sz w:val="20"/>
                <w:szCs w:val="20"/>
              </w:rPr>
              <w:t xml:space="preserve">min. </w:t>
            </w:r>
            <w:r w:rsidR="006F079B" w:rsidRPr="001C20FD">
              <w:rPr>
                <w:b/>
                <w:sz w:val="20"/>
                <w:szCs w:val="20"/>
              </w:rPr>
              <w:t>65 %</w:t>
            </w:r>
          </w:p>
        </w:tc>
      </w:tr>
      <w:tr w:rsidR="00121435" w:rsidRPr="001C20FD" w14:paraId="0672B6DC" w14:textId="77777777" w:rsidTr="001C20FD">
        <w:trPr>
          <w:trHeight w:val="283"/>
        </w:trPr>
        <w:tc>
          <w:tcPr>
            <w:tcW w:w="2127" w:type="dxa"/>
            <w:vAlign w:val="center"/>
          </w:tcPr>
          <w:p w14:paraId="09E39B9F" w14:textId="77777777" w:rsidR="009B37B7" w:rsidRPr="001C20FD" w:rsidRDefault="0051469A" w:rsidP="001C20FD">
            <w:pPr>
              <w:keepNext/>
              <w:spacing w:after="0"/>
              <w:jc w:val="center"/>
              <w:rPr>
                <w:sz w:val="20"/>
                <w:szCs w:val="20"/>
              </w:rPr>
            </w:pPr>
            <w:r w:rsidRPr="001C20FD">
              <w:rPr>
                <w:sz w:val="20"/>
                <w:szCs w:val="20"/>
              </w:rPr>
              <w:t>s</w:t>
            </w:r>
            <w:r w:rsidR="006F079B" w:rsidRPr="001C20FD">
              <w:rPr>
                <w:sz w:val="20"/>
                <w:szCs w:val="20"/>
              </w:rPr>
              <w:t>tátů uplatňuje silniční daň</w:t>
            </w:r>
          </w:p>
        </w:tc>
        <w:tc>
          <w:tcPr>
            <w:tcW w:w="2976" w:type="dxa"/>
            <w:vAlign w:val="center"/>
          </w:tcPr>
          <w:p w14:paraId="7BD5CBE5" w14:textId="21FFCE99" w:rsidR="009B37B7" w:rsidRPr="001C20FD" w:rsidRDefault="0051469A" w:rsidP="00CC4506">
            <w:pPr>
              <w:keepNext/>
              <w:spacing w:after="0"/>
              <w:jc w:val="center"/>
              <w:rPr>
                <w:sz w:val="20"/>
                <w:szCs w:val="20"/>
              </w:rPr>
            </w:pPr>
            <w:r w:rsidRPr="001C20FD">
              <w:rPr>
                <w:rFonts w:cs="Calibri"/>
                <w:color w:val="000000"/>
                <w:sz w:val="20"/>
                <w:szCs w:val="20"/>
                <w:lang w:eastAsia="cs-CZ"/>
              </w:rPr>
              <w:t xml:space="preserve">států </w:t>
            </w:r>
            <w:r w:rsidR="0012545B" w:rsidRPr="001C20FD">
              <w:rPr>
                <w:rFonts w:cs="Calibri"/>
                <w:color w:val="000000"/>
                <w:sz w:val="20"/>
                <w:szCs w:val="20"/>
                <w:lang w:eastAsia="cs-CZ"/>
              </w:rPr>
              <w:t xml:space="preserve">uplatňujících </w:t>
            </w:r>
            <w:r w:rsidRPr="001C20FD">
              <w:rPr>
                <w:rFonts w:cs="Calibri"/>
                <w:color w:val="000000"/>
                <w:sz w:val="20"/>
                <w:szCs w:val="20"/>
                <w:lang w:eastAsia="cs-CZ"/>
              </w:rPr>
              <w:t xml:space="preserve">daň </w:t>
            </w:r>
            <w:r w:rsidR="0012545B" w:rsidRPr="001C20FD">
              <w:rPr>
                <w:rFonts w:cs="Calibri"/>
                <w:color w:val="000000"/>
                <w:sz w:val="20"/>
                <w:szCs w:val="20"/>
                <w:lang w:eastAsia="cs-CZ"/>
              </w:rPr>
              <w:t xml:space="preserve">vybírá </w:t>
            </w:r>
            <w:r w:rsidRPr="001C20FD">
              <w:rPr>
                <w:rFonts w:cs="Calibri"/>
                <w:color w:val="000000"/>
                <w:sz w:val="20"/>
                <w:szCs w:val="20"/>
                <w:lang w:eastAsia="cs-CZ"/>
              </w:rPr>
              <w:t>u</w:t>
            </w:r>
            <w:r w:rsidR="00CC4506">
              <w:rPr>
                <w:rFonts w:cs="Calibri"/>
                <w:color w:val="000000"/>
                <w:sz w:val="20"/>
                <w:szCs w:val="20"/>
                <w:lang w:eastAsia="cs-CZ"/>
              </w:rPr>
              <w:t> </w:t>
            </w:r>
            <w:r w:rsidRPr="001C20FD">
              <w:rPr>
                <w:rFonts w:cs="Calibri"/>
                <w:color w:val="000000"/>
                <w:sz w:val="20"/>
                <w:szCs w:val="20"/>
                <w:lang w:eastAsia="cs-CZ"/>
              </w:rPr>
              <w:t>nepodnikatelů</w:t>
            </w:r>
          </w:p>
        </w:tc>
        <w:tc>
          <w:tcPr>
            <w:tcW w:w="3969" w:type="dxa"/>
            <w:vAlign w:val="center"/>
          </w:tcPr>
          <w:p w14:paraId="53FC05AE" w14:textId="77777777" w:rsidR="009B37B7" w:rsidRPr="001C20FD" w:rsidRDefault="0051469A" w:rsidP="001C20FD">
            <w:pPr>
              <w:keepNext/>
              <w:spacing w:after="0"/>
              <w:jc w:val="center"/>
              <w:rPr>
                <w:sz w:val="20"/>
                <w:szCs w:val="20"/>
              </w:rPr>
            </w:pPr>
            <w:r w:rsidRPr="001C20FD">
              <w:rPr>
                <w:sz w:val="20"/>
                <w:szCs w:val="20"/>
              </w:rPr>
              <w:t>států</w:t>
            </w:r>
            <w:r w:rsidRPr="001C20FD">
              <w:rPr>
                <w:rFonts w:cs="Calibri"/>
                <w:color w:val="000000"/>
                <w:sz w:val="20"/>
                <w:szCs w:val="20"/>
                <w:lang w:eastAsia="cs-CZ"/>
              </w:rPr>
              <w:t xml:space="preserve"> d</w:t>
            </w:r>
            <w:r w:rsidR="006F079B" w:rsidRPr="001C20FD">
              <w:rPr>
                <w:rFonts w:cs="Calibri"/>
                <w:color w:val="000000"/>
                <w:sz w:val="20"/>
                <w:szCs w:val="20"/>
                <w:lang w:eastAsia="cs-CZ"/>
              </w:rPr>
              <w:t>aň vybírá na základě emisí</w:t>
            </w:r>
            <w:r w:rsidRPr="001C20FD">
              <w:rPr>
                <w:rFonts w:cs="Calibri"/>
                <w:color w:val="000000"/>
                <w:sz w:val="20"/>
                <w:szCs w:val="20"/>
                <w:lang w:eastAsia="cs-CZ"/>
              </w:rPr>
              <w:t xml:space="preserve"> </w:t>
            </w:r>
            <w:r w:rsidR="00D65CB3" w:rsidRPr="001C20FD">
              <w:rPr>
                <w:rFonts w:cs="Calibri"/>
                <w:color w:val="000000"/>
                <w:sz w:val="20"/>
                <w:szCs w:val="20"/>
                <w:lang w:eastAsia="cs-CZ"/>
              </w:rPr>
              <w:t xml:space="preserve">nebo jiných </w:t>
            </w:r>
            <w:r w:rsidR="00D65CB3" w:rsidRPr="001C20FD">
              <w:rPr>
                <w:sz w:val="20"/>
                <w:szCs w:val="20"/>
              </w:rPr>
              <w:t>ekologických parametrů</w:t>
            </w:r>
          </w:p>
        </w:tc>
      </w:tr>
      <w:tr w:rsidR="00121435" w:rsidRPr="001C20FD" w14:paraId="4E86A894" w14:textId="77777777" w:rsidTr="001C20FD">
        <w:trPr>
          <w:trHeight w:val="283"/>
        </w:trPr>
        <w:tc>
          <w:tcPr>
            <w:tcW w:w="9072" w:type="dxa"/>
            <w:gridSpan w:val="3"/>
            <w:shd w:val="clear" w:color="auto" w:fill="F3C5C8"/>
            <w:vAlign w:val="center"/>
          </w:tcPr>
          <w:p w14:paraId="79DDD6CE" w14:textId="77777777" w:rsidR="00482B67" w:rsidRPr="001C20FD" w:rsidRDefault="0051469A" w:rsidP="001C20FD">
            <w:pPr>
              <w:keepNext/>
              <w:spacing w:after="0"/>
              <w:jc w:val="center"/>
              <w:rPr>
                <w:sz w:val="20"/>
                <w:szCs w:val="20"/>
              </w:rPr>
            </w:pPr>
            <w:r w:rsidRPr="001C20FD">
              <w:rPr>
                <w:b/>
                <w:sz w:val="20"/>
                <w:szCs w:val="20"/>
              </w:rPr>
              <w:t>cca 25 %</w:t>
            </w:r>
          </w:p>
        </w:tc>
      </w:tr>
      <w:tr w:rsidR="00121435" w:rsidRPr="001C20FD" w14:paraId="124ACEC3" w14:textId="77777777" w:rsidTr="001C20FD">
        <w:trPr>
          <w:trHeight w:val="283"/>
        </w:trPr>
        <w:tc>
          <w:tcPr>
            <w:tcW w:w="9072" w:type="dxa"/>
            <w:gridSpan w:val="3"/>
            <w:vAlign w:val="center"/>
          </w:tcPr>
          <w:p w14:paraId="1EFE0677" w14:textId="77777777" w:rsidR="00482B67" w:rsidRPr="001C20FD" w:rsidRDefault="0051469A" w:rsidP="001C20FD">
            <w:pPr>
              <w:keepNext/>
              <w:spacing w:after="0"/>
              <w:jc w:val="center"/>
              <w:rPr>
                <w:sz w:val="20"/>
                <w:szCs w:val="20"/>
              </w:rPr>
            </w:pPr>
            <w:r w:rsidRPr="001C20FD">
              <w:rPr>
                <w:rFonts w:cs="Calibri"/>
                <w:color w:val="000000"/>
                <w:sz w:val="20"/>
                <w:szCs w:val="20"/>
                <w:lang w:eastAsia="cs-CZ"/>
              </w:rPr>
              <w:t>vozidel vozového parku v ČR je uvedeno v daňovém přiznání k dani silniční</w:t>
            </w:r>
          </w:p>
        </w:tc>
      </w:tr>
    </w:tbl>
    <w:p w14:paraId="5AEAC5E9" w14:textId="03118C42" w:rsidR="009B37B7" w:rsidRPr="001C20FD" w:rsidRDefault="0051469A" w:rsidP="001C20FD">
      <w:pPr>
        <w:spacing w:before="40"/>
        <w:ind w:left="567" w:hanging="567"/>
        <w:rPr>
          <w:sz w:val="20"/>
          <w:szCs w:val="20"/>
        </w:rPr>
      </w:pPr>
      <w:r w:rsidRPr="001C20FD">
        <w:rPr>
          <w:b/>
          <w:sz w:val="20"/>
          <w:szCs w:val="20"/>
        </w:rPr>
        <w:t>Zdroj:</w:t>
      </w:r>
      <w:r w:rsidRPr="001C20FD">
        <w:rPr>
          <w:sz w:val="20"/>
          <w:szCs w:val="20"/>
        </w:rPr>
        <w:t xml:space="preserve"> </w:t>
      </w:r>
      <w:r w:rsidR="00CC4506">
        <w:rPr>
          <w:sz w:val="20"/>
          <w:szCs w:val="20"/>
        </w:rPr>
        <w:t>s</w:t>
      </w:r>
      <w:r w:rsidRPr="001C20FD">
        <w:rPr>
          <w:sz w:val="20"/>
          <w:szCs w:val="20"/>
        </w:rPr>
        <w:t xml:space="preserve">tudie ICCT; studie </w:t>
      </w:r>
      <w:r w:rsidRPr="00917FF5">
        <w:rPr>
          <w:i/>
          <w:sz w:val="20"/>
          <w:szCs w:val="20"/>
        </w:rPr>
        <w:t>Analýza zpoplatnění a zdanění vozidel</w:t>
      </w:r>
      <w:r w:rsidRPr="001C20FD">
        <w:rPr>
          <w:sz w:val="20"/>
          <w:szCs w:val="20"/>
        </w:rPr>
        <w:t xml:space="preserve">; studie </w:t>
      </w:r>
      <w:r w:rsidRPr="00917FF5">
        <w:rPr>
          <w:i/>
          <w:sz w:val="20"/>
          <w:szCs w:val="20"/>
        </w:rPr>
        <w:t>Analýza zavedení opatření k podpoře nákupu osobních vozidel šetrných k životnímu prostředí (bonus/malus)</w:t>
      </w:r>
      <w:r w:rsidRPr="001C20FD">
        <w:rPr>
          <w:sz w:val="20"/>
          <w:szCs w:val="20"/>
        </w:rPr>
        <w:t xml:space="preserve">; </w:t>
      </w:r>
      <w:r w:rsidR="00EF56A2">
        <w:rPr>
          <w:sz w:val="20"/>
          <w:szCs w:val="20"/>
        </w:rPr>
        <w:t>v</w:t>
      </w:r>
      <w:r w:rsidRPr="001C20FD">
        <w:rPr>
          <w:sz w:val="20"/>
          <w:szCs w:val="20"/>
        </w:rPr>
        <w:t>lastní zpracování NKÚ</w:t>
      </w:r>
      <w:r w:rsidR="005D6E4F" w:rsidRPr="001C20FD">
        <w:rPr>
          <w:sz w:val="20"/>
          <w:szCs w:val="20"/>
        </w:rPr>
        <w:t>.</w:t>
      </w:r>
    </w:p>
    <w:p w14:paraId="7BB768E3" w14:textId="68998987" w:rsidR="00CC6BB8" w:rsidRDefault="0051469A" w:rsidP="001C20FD">
      <w:pPr>
        <w:spacing w:before="120"/>
      </w:pPr>
      <w:r>
        <w:t>S</w:t>
      </w:r>
      <w:r w:rsidR="001B025B">
        <w:t xml:space="preserve">ilniční daň byla </w:t>
      </w:r>
      <w:r w:rsidR="004D2E7E">
        <w:t xml:space="preserve">za rok 2017 </w:t>
      </w:r>
      <w:r w:rsidR="001B025B" w:rsidRPr="00A66A41">
        <w:t xml:space="preserve">přiznána </w:t>
      </w:r>
      <w:r w:rsidR="004D2E7E">
        <w:t>u</w:t>
      </w:r>
      <w:r w:rsidR="001B025B" w:rsidRPr="00A66A41">
        <w:t xml:space="preserve"> </w:t>
      </w:r>
      <w:r w:rsidR="003F45A8" w:rsidRPr="00A66A41">
        <w:t xml:space="preserve">cca </w:t>
      </w:r>
      <w:r w:rsidR="001B025B" w:rsidRPr="00A66A41">
        <w:t>1,83</w:t>
      </w:r>
      <w:r w:rsidR="004D2E7E">
        <w:t>4</w:t>
      </w:r>
      <w:r w:rsidR="001B025B" w:rsidRPr="00A66A41">
        <w:t xml:space="preserve"> mil</w:t>
      </w:r>
      <w:r w:rsidR="00CC4506">
        <w:t>ionů</w:t>
      </w:r>
      <w:r w:rsidR="001B025B" w:rsidRPr="00A66A41">
        <w:t xml:space="preserve"> vozidel z celkem </w:t>
      </w:r>
      <w:r w:rsidR="003F45A8" w:rsidRPr="00A66A41">
        <w:t>9,090</w:t>
      </w:r>
      <w:r w:rsidR="001C20FD">
        <w:t> </w:t>
      </w:r>
      <w:r w:rsidR="003F45A8" w:rsidRPr="00A66A41">
        <w:t>mil</w:t>
      </w:r>
      <w:r w:rsidR="00CC4506">
        <w:t>ionů</w:t>
      </w:r>
      <w:r w:rsidR="003F45A8" w:rsidRPr="00A66A41">
        <w:t xml:space="preserve"> registrovaných vozidel</w:t>
      </w:r>
      <w:r w:rsidR="005D6E4F" w:rsidRPr="00A66A41">
        <w:t xml:space="preserve">. </w:t>
      </w:r>
      <w:r w:rsidR="00837E13" w:rsidRPr="00A66A41">
        <w:t>V tabulce</w:t>
      </w:r>
      <w:r w:rsidR="00837E13">
        <w:t xml:space="preserve"> č. </w:t>
      </w:r>
      <w:r w:rsidR="009D26D2" w:rsidRPr="00237396">
        <w:t>1</w:t>
      </w:r>
      <w:r w:rsidR="00534D3C" w:rsidRPr="00237396">
        <w:t>1</w:t>
      </w:r>
      <w:r w:rsidR="00837E13">
        <w:t xml:space="preserve"> </w:t>
      </w:r>
      <w:r w:rsidR="00614233">
        <w:t xml:space="preserve">je uvedeno porovnání nastavení sazeb daně </w:t>
      </w:r>
      <w:r w:rsidR="00405E5F">
        <w:t>pro osobní vozidla provozovaná podnikateli</w:t>
      </w:r>
      <w:r w:rsidR="00A23407" w:rsidRPr="00A23407">
        <w:t xml:space="preserve"> </w:t>
      </w:r>
      <w:r w:rsidR="00A23407">
        <w:t>v</w:t>
      </w:r>
      <w:r w:rsidR="0088005E">
        <w:t> </w:t>
      </w:r>
      <w:r w:rsidR="00A23407">
        <w:t>ČR</w:t>
      </w:r>
      <w:r w:rsidR="0088005E">
        <w:t xml:space="preserve"> a</w:t>
      </w:r>
      <w:r w:rsidR="00837E13">
        <w:t> </w:t>
      </w:r>
      <w:r w:rsidR="00534D3C">
        <w:t xml:space="preserve">v </w:t>
      </w:r>
      <w:r w:rsidR="00837E13">
        <w:t xml:space="preserve">sousedních </w:t>
      </w:r>
      <w:r w:rsidR="006F079B">
        <w:t xml:space="preserve">státech. </w:t>
      </w:r>
      <w:r w:rsidR="00D10593" w:rsidRPr="00D36FD8">
        <w:t>Z</w:t>
      </w:r>
      <w:r w:rsidR="00E6155E">
        <w:t xml:space="preserve"> porovnání </w:t>
      </w:r>
      <w:r w:rsidR="00645A3C" w:rsidRPr="00D36FD8">
        <w:t>sazeb vyplývá, že v ČR jsou</w:t>
      </w:r>
      <w:r w:rsidR="00614233" w:rsidRPr="00D36FD8">
        <w:t xml:space="preserve"> základní</w:t>
      </w:r>
      <w:r w:rsidR="00645A3C" w:rsidRPr="00D36FD8">
        <w:t xml:space="preserve"> sazby </w:t>
      </w:r>
      <w:r w:rsidR="00D10593" w:rsidRPr="00D36FD8">
        <w:t xml:space="preserve">daně </w:t>
      </w:r>
      <w:r w:rsidR="00645A3C" w:rsidRPr="00D36FD8">
        <w:t xml:space="preserve">silniční </w:t>
      </w:r>
      <w:r w:rsidR="00AB3CB2">
        <w:t>o</w:t>
      </w:r>
      <w:r w:rsidR="00D36FD8">
        <w:t xml:space="preserve">proti okolním státům </w:t>
      </w:r>
      <w:r w:rsidR="00540BDD">
        <w:t xml:space="preserve">vyjma Polska </w:t>
      </w:r>
      <w:r w:rsidR="00645A3C" w:rsidRPr="00D36FD8">
        <w:t>n</w:t>
      </w:r>
      <w:r w:rsidR="00AC625C">
        <w:t>i</w:t>
      </w:r>
      <w:r w:rsidR="00540BDD">
        <w:t>žší</w:t>
      </w:r>
      <w:r w:rsidR="00405E5F" w:rsidRPr="00D36FD8">
        <w:t>.</w:t>
      </w:r>
      <w:r w:rsidR="00E6155E">
        <w:t xml:space="preserve"> Ve státech EU s rostoucími emisemi stoupá silniční daň</w:t>
      </w:r>
      <w:r w:rsidR="00823354">
        <w:t>.</w:t>
      </w:r>
    </w:p>
    <w:p w14:paraId="463FC639" w14:textId="77777777" w:rsidR="00BC2762" w:rsidRDefault="001C20FD" w:rsidP="001C07C8">
      <w:pPr>
        <w:pStyle w:val="Tabulka"/>
        <w:keepLines/>
        <w:numPr>
          <w:ilvl w:val="0"/>
          <w:numId w:val="0"/>
        </w:numPr>
        <w:spacing w:after="40"/>
      </w:pPr>
      <w:r>
        <w:t>Tabulka č. 11:</w:t>
      </w:r>
      <w:r w:rsidR="0051469A">
        <w:t xml:space="preserve"> Nastavení </w:t>
      </w:r>
      <w:r w:rsidR="00D10593">
        <w:t xml:space="preserve">daně </w:t>
      </w:r>
      <w:r w:rsidR="0051469A">
        <w:t>silniční v</w:t>
      </w:r>
      <w:r w:rsidR="00075B36">
        <w:t> </w:t>
      </w:r>
      <w:r w:rsidR="004D2E7E">
        <w:t xml:space="preserve">ČR a v </w:t>
      </w:r>
      <w:r w:rsidR="00075B36">
        <w:t xml:space="preserve">sousedních </w:t>
      </w:r>
      <w:r w:rsidR="004D2E7E">
        <w:t xml:space="preserve">státech EU </w:t>
      </w:r>
      <w:r w:rsidR="008E5407">
        <w:t>pro osobní vozidla</w:t>
      </w:r>
    </w:p>
    <w:tbl>
      <w:tblPr>
        <w:tblW w:w="9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
        <w:gridCol w:w="1616"/>
        <w:gridCol w:w="2835"/>
        <w:gridCol w:w="2721"/>
        <w:gridCol w:w="935"/>
      </w:tblGrid>
      <w:tr w:rsidR="00CC4506" w14:paraId="669DAA91" w14:textId="77777777" w:rsidTr="00DE1A9B">
        <w:trPr>
          <w:trHeight w:val="283"/>
        </w:trPr>
        <w:tc>
          <w:tcPr>
            <w:tcW w:w="935" w:type="dxa"/>
            <w:shd w:val="clear" w:color="auto" w:fill="E5F1FF"/>
            <w:tcMar>
              <w:top w:w="0" w:type="dxa"/>
              <w:left w:w="108" w:type="dxa"/>
              <w:bottom w:w="0" w:type="dxa"/>
              <w:right w:w="108" w:type="dxa"/>
            </w:tcMar>
            <w:vAlign w:val="center"/>
            <w:hideMark/>
          </w:tcPr>
          <w:p w14:paraId="17A458FE" w14:textId="77777777" w:rsidR="0041026C" w:rsidRPr="008B5865" w:rsidRDefault="0051469A" w:rsidP="001C07C8">
            <w:pPr>
              <w:keepLines/>
              <w:spacing w:after="0"/>
              <w:ind w:left="-57" w:right="-57"/>
              <w:jc w:val="center"/>
              <w:rPr>
                <w:rFonts w:asciiTheme="minorHAnsi" w:hAnsiTheme="minorHAnsi" w:cstheme="minorHAnsi"/>
                <w:b/>
                <w:bCs/>
                <w:sz w:val="20"/>
                <w:szCs w:val="20"/>
              </w:rPr>
            </w:pPr>
            <w:r w:rsidRPr="008B5865">
              <w:rPr>
                <w:rFonts w:asciiTheme="minorHAnsi" w:hAnsiTheme="minorHAnsi" w:cstheme="minorHAnsi"/>
                <w:b/>
                <w:bCs/>
                <w:sz w:val="20"/>
                <w:szCs w:val="20"/>
              </w:rPr>
              <w:t>Stát</w:t>
            </w:r>
          </w:p>
        </w:tc>
        <w:tc>
          <w:tcPr>
            <w:tcW w:w="1616" w:type="dxa"/>
            <w:shd w:val="clear" w:color="auto" w:fill="E5F1FF"/>
            <w:tcMar>
              <w:top w:w="0" w:type="dxa"/>
              <w:left w:w="108" w:type="dxa"/>
              <w:bottom w:w="0" w:type="dxa"/>
              <w:right w:w="108" w:type="dxa"/>
            </w:tcMar>
            <w:vAlign w:val="center"/>
            <w:hideMark/>
          </w:tcPr>
          <w:p w14:paraId="16F6CB69" w14:textId="77777777" w:rsidR="0041026C" w:rsidRPr="008B5865" w:rsidRDefault="0051469A" w:rsidP="001C07C8">
            <w:pPr>
              <w:keepLines/>
              <w:spacing w:after="0"/>
              <w:ind w:left="-57" w:right="-57"/>
              <w:jc w:val="center"/>
              <w:rPr>
                <w:rFonts w:asciiTheme="minorHAnsi" w:hAnsiTheme="minorHAnsi" w:cstheme="minorHAnsi"/>
                <w:b/>
                <w:bCs/>
                <w:sz w:val="20"/>
                <w:szCs w:val="20"/>
              </w:rPr>
            </w:pPr>
            <w:r w:rsidRPr="008B5865">
              <w:rPr>
                <w:rFonts w:asciiTheme="minorHAnsi" w:hAnsiTheme="minorHAnsi" w:cstheme="minorHAnsi"/>
                <w:b/>
                <w:bCs/>
                <w:sz w:val="20"/>
                <w:szCs w:val="20"/>
              </w:rPr>
              <w:t>Poplatníci daně</w:t>
            </w:r>
          </w:p>
        </w:tc>
        <w:tc>
          <w:tcPr>
            <w:tcW w:w="2835" w:type="dxa"/>
            <w:shd w:val="clear" w:color="auto" w:fill="E5F1FF"/>
            <w:tcMar>
              <w:top w:w="0" w:type="dxa"/>
              <w:left w:w="108" w:type="dxa"/>
              <w:bottom w:w="0" w:type="dxa"/>
              <w:right w:w="108" w:type="dxa"/>
            </w:tcMar>
            <w:vAlign w:val="center"/>
            <w:hideMark/>
          </w:tcPr>
          <w:p w14:paraId="14E64B65" w14:textId="77777777" w:rsidR="0041026C" w:rsidRPr="008B5865" w:rsidRDefault="0051469A" w:rsidP="001C07C8">
            <w:pPr>
              <w:keepLines/>
              <w:spacing w:after="0"/>
              <w:ind w:left="-57" w:right="-57"/>
              <w:jc w:val="center"/>
              <w:rPr>
                <w:rFonts w:asciiTheme="minorHAnsi" w:hAnsiTheme="minorHAnsi" w:cstheme="minorHAnsi"/>
                <w:b/>
                <w:bCs/>
                <w:sz w:val="20"/>
                <w:szCs w:val="20"/>
              </w:rPr>
            </w:pPr>
            <w:r w:rsidRPr="008B5865">
              <w:rPr>
                <w:rFonts w:asciiTheme="minorHAnsi" w:hAnsiTheme="minorHAnsi" w:cstheme="minorHAnsi"/>
                <w:b/>
                <w:bCs/>
                <w:sz w:val="20"/>
                <w:szCs w:val="20"/>
              </w:rPr>
              <w:t>Sazba daně</w:t>
            </w:r>
          </w:p>
        </w:tc>
        <w:tc>
          <w:tcPr>
            <w:tcW w:w="2721" w:type="dxa"/>
            <w:shd w:val="clear" w:color="auto" w:fill="E5F1FF"/>
            <w:tcMar>
              <w:top w:w="0" w:type="dxa"/>
              <w:left w:w="108" w:type="dxa"/>
              <w:bottom w:w="0" w:type="dxa"/>
              <w:right w:w="108" w:type="dxa"/>
            </w:tcMar>
            <w:vAlign w:val="center"/>
            <w:hideMark/>
          </w:tcPr>
          <w:p w14:paraId="61E729C5" w14:textId="77777777" w:rsidR="0041026C" w:rsidRPr="008B5865" w:rsidRDefault="0051469A" w:rsidP="001C07C8">
            <w:pPr>
              <w:keepLines/>
              <w:spacing w:after="0"/>
              <w:ind w:left="-57" w:right="-57"/>
              <w:jc w:val="center"/>
              <w:rPr>
                <w:rFonts w:asciiTheme="minorHAnsi" w:hAnsiTheme="minorHAnsi" w:cstheme="minorHAnsi"/>
                <w:b/>
                <w:bCs/>
                <w:sz w:val="20"/>
                <w:szCs w:val="20"/>
              </w:rPr>
            </w:pPr>
            <w:r w:rsidRPr="008B5865">
              <w:rPr>
                <w:rFonts w:asciiTheme="minorHAnsi" w:hAnsiTheme="minorHAnsi" w:cstheme="minorHAnsi"/>
                <w:b/>
                <w:bCs/>
                <w:sz w:val="20"/>
                <w:szCs w:val="20"/>
              </w:rPr>
              <w:t>Kritéria</w:t>
            </w:r>
          </w:p>
        </w:tc>
        <w:tc>
          <w:tcPr>
            <w:tcW w:w="935" w:type="dxa"/>
            <w:shd w:val="clear" w:color="auto" w:fill="E5F1FF"/>
            <w:vAlign w:val="center"/>
            <w:hideMark/>
          </w:tcPr>
          <w:p w14:paraId="7C3A60BA" w14:textId="77777777" w:rsidR="0041026C" w:rsidRPr="008B5865" w:rsidRDefault="0051469A" w:rsidP="001C07C8">
            <w:pPr>
              <w:keepLines/>
              <w:spacing w:after="0"/>
              <w:ind w:left="-28"/>
              <w:jc w:val="center"/>
              <w:rPr>
                <w:rFonts w:asciiTheme="minorHAnsi" w:hAnsiTheme="minorHAnsi" w:cstheme="minorHAnsi"/>
                <w:b/>
                <w:bCs/>
                <w:sz w:val="20"/>
                <w:szCs w:val="20"/>
              </w:rPr>
            </w:pPr>
            <w:r w:rsidRPr="008B5865">
              <w:rPr>
                <w:rFonts w:asciiTheme="minorHAnsi" w:hAnsiTheme="minorHAnsi" w:cstheme="minorHAnsi"/>
                <w:b/>
                <w:bCs/>
                <w:sz w:val="20"/>
                <w:szCs w:val="20"/>
              </w:rPr>
              <w:t>Výše daně model</w:t>
            </w:r>
          </w:p>
        </w:tc>
      </w:tr>
      <w:tr w:rsidR="00CC4506" w14:paraId="36F936F2" w14:textId="77777777" w:rsidTr="00DE1A9B">
        <w:tc>
          <w:tcPr>
            <w:tcW w:w="935" w:type="dxa"/>
            <w:tcMar>
              <w:top w:w="0" w:type="dxa"/>
              <w:left w:w="108" w:type="dxa"/>
              <w:bottom w:w="0" w:type="dxa"/>
              <w:right w:w="108" w:type="dxa"/>
            </w:tcMar>
            <w:vAlign w:val="center"/>
            <w:hideMark/>
          </w:tcPr>
          <w:p w14:paraId="49A56533" w14:textId="77777777" w:rsidR="0041026C" w:rsidRPr="00CC4506" w:rsidRDefault="0051469A" w:rsidP="001C07C8">
            <w:pPr>
              <w:keepLines/>
              <w:spacing w:after="0"/>
              <w:ind w:left="-57" w:right="-57"/>
              <w:jc w:val="center"/>
              <w:rPr>
                <w:rFonts w:asciiTheme="minorHAnsi" w:hAnsiTheme="minorHAnsi" w:cstheme="minorHAnsi"/>
                <w:sz w:val="20"/>
                <w:szCs w:val="20"/>
              </w:rPr>
            </w:pPr>
            <w:r w:rsidRPr="00CC4506">
              <w:rPr>
                <w:rFonts w:asciiTheme="minorHAnsi" w:hAnsiTheme="minorHAnsi" w:cstheme="minorHAnsi"/>
                <w:sz w:val="20"/>
                <w:szCs w:val="20"/>
              </w:rPr>
              <w:t>Česká republika</w:t>
            </w:r>
          </w:p>
        </w:tc>
        <w:tc>
          <w:tcPr>
            <w:tcW w:w="1616" w:type="dxa"/>
            <w:tcMar>
              <w:top w:w="0" w:type="dxa"/>
              <w:left w:w="108" w:type="dxa"/>
              <w:bottom w:w="0" w:type="dxa"/>
              <w:right w:w="108" w:type="dxa"/>
            </w:tcMar>
            <w:vAlign w:val="center"/>
            <w:hideMark/>
          </w:tcPr>
          <w:p w14:paraId="69283E46"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Podnikatelé</w:t>
            </w:r>
            <w:r w:rsidR="00E44FFA" w:rsidRPr="008B5865">
              <w:rPr>
                <w:rFonts w:asciiTheme="minorHAnsi" w:hAnsiTheme="minorHAnsi" w:cstheme="minorHAnsi"/>
                <w:sz w:val="20"/>
                <w:szCs w:val="20"/>
              </w:rPr>
              <w:t xml:space="preserve"> a</w:t>
            </w:r>
            <w:r w:rsidR="001C20FD">
              <w:rPr>
                <w:rFonts w:asciiTheme="minorHAnsi" w:hAnsiTheme="minorHAnsi" w:cstheme="minorHAnsi"/>
                <w:sz w:val="20"/>
                <w:szCs w:val="20"/>
              </w:rPr>
              <w:t> </w:t>
            </w:r>
            <w:r w:rsidR="00E44FFA" w:rsidRPr="008B5865">
              <w:rPr>
                <w:rFonts w:asciiTheme="minorHAnsi" w:hAnsiTheme="minorHAnsi" w:cstheme="minorHAnsi"/>
                <w:sz w:val="20"/>
                <w:szCs w:val="20"/>
              </w:rPr>
              <w:t>fyzické osoby u</w:t>
            </w:r>
            <w:r w:rsidR="001C20FD">
              <w:rPr>
                <w:rFonts w:asciiTheme="minorHAnsi" w:hAnsiTheme="minorHAnsi" w:cstheme="minorHAnsi"/>
                <w:sz w:val="20"/>
                <w:szCs w:val="20"/>
              </w:rPr>
              <w:t> </w:t>
            </w:r>
            <w:r w:rsidR="00E44FFA" w:rsidRPr="008B5865">
              <w:rPr>
                <w:rFonts w:asciiTheme="minorHAnsi" w:hAnsiTheme="minorHAnsi" w:cstheme="minorHAnsi"/>
                <w:sz w:val="20"/>
                <w:szCs w:val="20"/>
              </w:rPr>
              <w:t>vozidel nad 3,5t.</w:t>
            </w:r>
          </w:p>
        </w:tc>
        <w:tc>
          <w:tcPr>
            <w:tcW w:w="2835" w:type="dxa"/>
            <w:tcMar>
              <w:top w:w="0" w:type="dxa"/>
              <w:left w:w="108" w:type="dxa"/>
              <w:bottom w:w="0" w:type="dxa"/>
              <w:right w:w="108" w:type="dxa"/>
            </w:tcMar>
            <w:vAlign w:val="center"/>
            <w:hideMark/>
          </w:tcPr>
          <w:p w14:paraId="47EA0116" w14:textId="144A0CAC"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1</w:t>
            </w:r>
            <w:r w:rsidR="00534D3C" w:rsidRPr="008B5865">
              <w:rPr>
                <w:rFonts w:asciiTheme="minorHAnsi" w:hAnsiTheme="minorHAnsi" w:cstheme="minorHAnsi"/>
                <w:sz w:val="20"/>
                <w:szCs w:val="20"/>
              </w:rPr>
              <w:t xml:space="preserve"> </w:t>
            </w:r>
            <w:r w:rsidRPr="008B5865">
              <w:rPr>
                <w:rFonts w:asciiTheme="minorHAnsi" w:hAnsiTheme="minorHAnsi" w:cstheme="minorHAnsi"/>
                <w:sz w:val="20"/>
                <w:szCs w:val="20"/>
              </w:rPr>
              <w:t>200–4</w:t>
            </w:r>
            <w:r w:rsidR="00534D3C" w:rsidRPr="008B5865">
              <w:rPr>
                <w:rFonts w:asciiTheme="minorHAnsi" w:hAnsiTheme="minorHAnsi" w:cstheme="minorHAnsi"/>
                <w:sz w:val="20"/>
                <w:szCs w:val="20"/>
              </w:rPr>
              <w:t xml:space="preserve"> </w:t>
            </w:r>
            <w:r w:rsidRPr="008B5865">
              <w:rPr>
                <w:rFonts w:asciiTheme="minorHAnsi" w:hAnsiTheme="minorHAnsi" w:cstheme="minorHAnsi"/>
                <w:sz w:val="20"/>
                <w:szCs w:val="20"/>
              </w:rPr>
              <w:t>200 Kč</w:t>
            </w:r>
          </w:p>
        </w:tc>
        <w:tc>
          <w:tcPr>
            <w:tcW w:w="2721" w:type="dxa"/>
            <w:tcMar>
              <w:top w:w="0" w:type="dxa"/>
              <w:left w:w="108" w:type="dxa"/>
              <w:bottom w:w="0" w:type="dxa"/>
              <w:right w:w="108" w:type="dxa"/>
            </w:tcMar>
            <w:vAlign w:val="center"/>
            <w:hideMark/>
          </w:tcPr>
          <w:p w14:paraId="773873EB" w14:textId="47AAF967" w:rsidR="0041026C" w:rsidRPr="008B5865" w:rsidRDefault="0051469A" w:rsidP="00DE1A9B">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Podle zdvihového objemu válců motoru v cm</w:t>
            </w:r>
            <w:r w:rsidRPr="008B5865">
              <w:rPr>
                <w:rFonts w:asciiTheme="minorHAnsi" w:hAnsiTheme="minorHAnsi" w:cstheme="minorHAnsi"/>
                <w:sz w:val="20"/>
                <w:szCs w:val="20"/>
                <w:vertAlign w:val="superscript"/>
              </w:rPr>
              <w:t>3</w:t>
            </w:r>
            <w:r w:rsidRPr="008B5865">
              <w:rPr>
                <w:rFonts w:asciiTheme="minorHAnsi" w:hAnsiTheme="minorHAnsi" w:cstheme="minorHAnsi"/>
                <w:sz w:val="20"/>
                <w:szCs w:val="20"/>
              </w:rPr>
              <w:t xml:space="preserve"> a dle stáří vozidla</w:t>
            </w:r>
            <w:r w:rsidR="00534D3C" w:rsidRPr="008B5865">
              <w:rPr>
                <w:rFonts w:asciiTheme="minorHAnsi" w:hAnsiTheme="minorHAnsi" w:cstheme="minorHAnsi"/>
                <w:sz w:val="20"/>
                <w:szCs w:val="20"/>
              </w:rPr>
              <w:t>.</w:t>
            </w:r>
          </w:p>
        </w:tc>
        <w:tc>
          <w:tcPr>
            <w:tcW w:w="935" w:type="dxa"/>
            <w:vAlign w:val="center"/>
            <w:hideMark/>
          </w:tcPr>
          <w:p w14:paraId="4BC3F0C9" w14:textId="77777777" w:rsidR="0041026C" w:rsidRPr="008B5865" w:rsidRDefault="0051469A" w:rsidP="001C07C8">
            <w:pPr>
              <w:keepLines/>
              <w:spacing w:after="0"/>
              <w:ind w:left="-28"/>
              <w:jc w:val="center"/>
              <w:rPr>
                <w:rFonts w:asciiTheme="minorHAnsi" w:hAnsiTheme="minorHAnsi" w:cstheme="minorHAnsi"/>
                <w:sz w:val="20"/>
                <w:szCs w:val="20"/>
              </w:rPr>
            </w:pPr>
            <w:r w:rsidRPr="008B5865">
              <w:rPr>
                <w:rFonts w:asciiTheme="minorHAnsi" w:hAnsiTheme="minorHAnsi" w:cstheme="minorHAnsi"/>
                <w:sz w:val="20"/>
                <w:szCs w:val="20"/>
              </w:rPr>
              <w:t>3 000 Kč</w:t>
            </w:r>
          </w:p>
        </w:tc>
      </w:tr>
      <w:tr w:rsidR="00CC4506" w14:paraId="68E6C2A3" w14:textId="77777777" w:rsidTr="00DE1A9B">
        <w:tc>
          <w:tcPr>
            <w:tcW w:w="935" w:type="dxa"/>
            <w:tcMar>
              <w:top w:w="0" w:type="dxa"/>
              <w:left w:w="108" w:type="dxa"/>
              <w:bottom w:w="0" w:type="dxa"/>
              <w:right w:w="108" w:type="dxa"/>
            </w:tcMar>
            <w:vAlign w:val="center"/>
            <w:hideMark/>
          </w:tcPr>
          <w:p w14:paraId="11BDB949" w14:textId="77777777" w:rsidR="0041026C" w:rsidRPr="00CC4506" w:rsidRDefault="0051469A" w:rsidP="001C07C8">
            <w:pPr>
              <w:keepLines/>
              <w:spacing w:after="0"/>
              <w:ind w:left="-57" w:right="-57"/>
              <w:jc w:val="center"/>
              <w:rPr>
                <w:rFonts w:asciiTheme="minorHAnsi" w:hAnsiTheme="minorHAnsi" w:cstheme="minorHAnsi"/>
                <w:sz w:val="20"/>
                <w:szCs w:val="20"/>
              </w:rPr>
            </w:pPr>
            <w:r w:rsidRPr="00CC4506">
              <w:rPr>
                <w:rFonts w:asciiTheme="minorHAnsi" w:hAnsiTheme="minorHAnsi" w:cstheme="minorHAnsi"/>
                <w:sz w:val="20"/>
                <w:szCs w:val="20"/>
              </w:rPr>
              <w:t>Slovensko</w:t>
            </w:r>
          </w:p>
        </w:tc>
        <w:tc>
          <w:tcPr>
            <w:tcW w:w="1616" w:type="dxa"/>
            <w:tcMar>
              <w:top w:w="0" w:type="dxa"/>
              <w:left w:w="108" w:type="dxa"/>
              <w:bottom w:w="0" w:type="dxa"/>
              <w:right w:w="108" w:type="dxa"/>
            </w:tcMar>
            <w:vAlign w:val="center"/>
            <w:hideMark/>
          </w:tcPr>
          <w:p w14:paraId="3679D10E"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Podnikatelé</w:t>
            </w:r>
            <w:r w:rsidR="00534D3C" w:rsidRPr="008B5865">
              <w:rPr>
                <w:rFonts w:asciiTheme="minorHAnsi" w:hAnsiTheme="minorHAnsi" w:cstheme="minorHAnsi"/>
                <w:sz w:val="20"/>
                <w:szCs w:val="20"/>
              </w:rPr>
              <w:t>.</w:t>
            </w:r>
          </w:p>
        </w:tc>
        <w:tc>
          <w:tcPr>
            <w:tcW w:w="2835" w:type="dxa"/>
            <w:tcMar>
              <w:top w:w="0" w:type="dxa"/>
              <w:left w:w="108" w:type="dxa"/>
              <w:bottom w:w="0" w:type="dxa"/>
              <w:right w:w="108" w:type="dxa"/>
            </w:tcMar>
            <w:vAlign w:val="center"/>
            <w:hideMark/>
          </w:tcPr>
          <w:p w14:paraId="7A55CE04" w14:textId="1768F812"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50</w:t>
            </w:r>
            <w:r w:rsidR="001C07C8">
              <w:rPr>
                <w:rFonts w:asciiTheme="minorHAnsi" w:hAnsiTheme="minorHAnsi" w:cstheme="minorHAnsi"/>
                <w:sz w:val="20"/>
                <w:szCs w:val="20"/>
              </w:rPr>
              <w:t>–</w:t>
            </w:r>
            <w:r w:rsidRPr="008B5865">
              <w:rPr>
                <w:rFonts w:asciiTheme="minorHAnsi" w:hAnsiTheme="minorHAnsi" w:cstheme="minorHAnsi"/>
                <w:sz w:val="20"/>
                <w:szCs w:val="20"/>
              </w:rPr>
              <w:t xml:space="preserve">218 </w:t>
            </w:r>
            <w:r w:rsidR="001C07C8">
              <w:rPr>
                <w:rFonts w:asciiTheme="minorHAnsi" w:hAnsiTheme="minorHAnsi" w:cstheme="minorHAnsi"/>
                <w:sz w:val="20"/>
                <w:szCs w:val="20"/>
              </w:rPr>
              <w:t>€</w:t>
            </w:r>
          </w:p>
        </w:tc>
        <w:tc>
          <w:tcPr>
            <w:tcW w:w="2721" w:type="dxa"/>
            <w:tcMar>
              <w:top w:w="0" w:type="dxa"/>
              <w:left w:w="108" w:type="dxa"/>
              <w:bottom w:w="0" w:type="dxa"/>
              <w:right w:w="108" w:type="dxa"/>
            </w:tcMar>
            <w:vAlign w:val="center"/>
            <w:hideMark/>
          </w:tcPr>
          <w:p w14:paraId="48CD57AE" w14:textId="5E9ECC12" w:rsidR="0041026C" w:rsidRPr="008B5865" w:rsidRDefault="0051469A" w:rsidP="00DE1A9B">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Podle zdvihového objemu válců motoru v cm</w:t>
            </w:r>
            <w:r w:rsidRPr="008B5865">
              <w:rPr>
                <w:rFonts w:asciiTheme="minorHAnsi" w:hAnsiTheme="minorHAnsi" w:cstheme="minorHAnsi"/>
                <w:sz w:val="20"/>
                <w:szCs w:val="20"/>
                <w:vertAlign w:val="superscript"/>
              </w:rPr>
              <w:t>3</w:t>
            </w:r>
            <w:r w:rsidRPr="008B5865">
              <w:rPr>
                <w:rFonts w:asciiTheme="minorHAnsi" w:hAnsiTheme="minorHAnsi" w:cstheme="minorHAnsi"/>
                <w:sz w:val="20"/>
                <w:szCs w:val="20"/>
              </w:rPr>
              <w:t xml:space="preserve"> a dle stáří vozidla</w:t>
            </w:r>
            <w:r w:rsidR="00534D3C" w:rsidRPr="008B5865">
              <w:rPr>
                <w:rFonts w:asciiTheme="minorHAnsi" w:hAnsiTheme="minorHAnsi" w:cstheme="minorHAnsi"/>
                <w:sz w:val="20"/>
                <w:szCs w:val="20"/>
              </w:rPr>
              <w:t>.</w:t>
            </w:r>
          </w:p>
        </w:tc>
        <w:tc>
          <w:tcPr>
            <w:tcW w:w="935" w:type="dxa"/>
            <w:shd w:val="clear" w:color="auto" w:fill="auto"/>
            <w:vAlign w:val="center"/>
            <w:hideMark/>
          </w:tcPr>
          <w:p w14:paraId="08A97B2A" w14:textId="77777777" w:rsidR="0041026C" w:rsidRPr="008B5865" w:rsidRDefault="001C20FD" w:rsidP="001C07C8">
            <w:pPr>
              <w:keepLines/>
              <w:spacing w:after="0"/>
              <w:ind w:left="-28"/>
              <w:jc w:val="center"/>
              <w:rPr>
                <w:rFonts w:asciiTheme="minorHAnsi" w:hAnsiTheme="minorHAnsi" w:cstheme="minorHAnsi"/>
                <w:sz w:val="20"/>
                <w:szCs w:val="20"/>
              </w:rPr>
            </w:pPr>
            <w:r>
              <w:rPr>
                <w:rFonts w:asciiTheme="minorHAnsi" w:hAnsiTheme="minorHAnsi" w:cstheme="minorHAnsi"/>
                <w:sz w:val="20"/>
                <w:szCs w:val="20"/>
              </w:rPr>
              <w:t>3 795 Kč</w:t>
            </w:r>
          </w:p>
        </w:tc>
      </w:tr>
      <w:tr w:rsidR="00CC4506" w14:paraId="7C129496" w14:textId="77777777" w:rsidTr="00DE1A9B">
        <w:tc>
          <w:tcPr>
            <w:tcW w:w="935" w:type="dxa"/>
            <w:tcMar>
              <w:top w:w="0" w:type="dxa"/>
              <w:left w:w="108" w:type="dxa"/>
              <w:bottom w:w="0" w:type="dxa"/>
              <w:right w:w="108" w:type="dxa"/>
            </w:tcMar>
            <w:vAlign w:val="center"/>
            <w:hideMark/>
          </w:tcPr>
          <w:p w14:paraId="77C5D2E2" w14:textId="77777777" w:rsidR="0041026C" w:rsidRPr="00CC4506" w:rsidRDefault="0051469A" w:rsidP="001C07C8">
            <w:pPr>
              <w:keepLines/>
              <w:spacing w:after="0"/>
              <w:ind w:left="-57" w:right="-57"/>
              <w:jc w:val="center"/>
              <w:rPr>
                <w:rFonts w:asciiTheme="minorHAnsi" w:hAnsiTheme="minorHAnsi" w:cstheme="minorHAnsi"/>
                <w:sz w:val="20"/>
                <w:szCs w:val="20"/>
              </w:rPr>
            </w:pPr>
            <w:r w:rsidRPr="00CC4506">
              <w:rPr>
                <w:rFonts w:asciiTheme="minorHAnsi" w:hAnsiTheme="minorHAnsi" w:cstheme="minorHAnsi"/>
                <w:sz w:val="20"/>
                <w:szCs w:val="20"/>
              </w:rPr>
              <w:t>Polsko</w:t>
            </w:r>
          </w:p>
        </w:tc>
        <w:tc>
          <w:tcPr>
            <w:tcW w:w="1616" w:type="dxa"/>
            <w:tcMar>
              <w:top w:w="0" w:type="dxa"/>
              <w:left w:w="108" w:type="dxa"/>
              <w:bottom w:w="0" w:type="dxa"/>
              <w:right w:w="108" w:type="dxa"/>
            </w:tcMar>
            <w:vAlign w:val="center"/>
            <w:hideMark/>
          </w:tcPr>
          <w:p w14:paraId="7B3828FA"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Není zavedena</w:t>
            </w:r>
            <w:r w:rsidR="00534D3C" w:rsidRPr="008B5865">
              <w:rPr>
                <w:rFonts w:asciiTheme="minorHAnsi" w:hAnsiTheme="minorHAnsi" w:cstheme="minorHAnsi"/>
                <w:sz w:val="20"/>
                <w:szCs w:val="20"/>
              </w:rPr>
              <w:t>.</w:t>
            </w:r>
          </w:p>
        </w:tc>
        <w:tc>
          <w:tcPr>
            <w:tcW w:w="2835" w:type="dxa"/>
            <w:tcMar>
              <w:top w:w="0" w:type="dxa"/>
              <w:left w:w="108" w:type="dxa"/>
              <w:bottom w:w="0" w:type="dxa"/>
              <w:right w:w="108" w:type="dxa"/>
            </w:tcMar>
            <w:vAlign w:val="center"/>
            <w:hideMark/>
          </w:tcPr>
          <w:p w14:paraId="3488E8D8"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Není zavedena</w:t>
            </w:r>
            <w:r w:rsidR="00534D3C" w:rsidRPr="008B5865">
              <w:rPr>
                <w:rFonts w:asciiTheme="minorHAnsi" w:hAnsiTheme="minorHAnsi" w:cstheme="minorHAnsi"/>
                <w:sz w:val="20"/>
                <w:szCs w:val="20"/>
              </w:rPr>
              <w:t>.</w:t>
            </w:r>
          </w:p>
        </w:tc>
        <w:tc>
          <w:tcPr>
            <w:tcW w:w="2721" w:type="dxa"/>
            <w:tcMar>
              <w:top w:w="0" w:type="dxa"/>
              <w:left w:w="108" w:type="dxa"/>
              <w:bottom w:w="0" w:type="dxa"/>
              <w:right w:w="108" w:type="dxa"/>
            </w:tcMar>
            <w:vAlign w:val="center"/>
            <w:hideMark/>
          </w:tcPr>
          <w:p w14:paraId="03598136"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Není zavedena</w:t>
            </w:r>
            <w:r w:rsidR="00534D3C" w:rsidRPr="008B5865">
              <w:rPr>
                <w:rFonts w:asciiTheme="minorHAnsi" w:hAnsiTheme="minorHAnsi" w:cstheme="minorHAnsi"/>
                <w:sz w:val="20"/>
                <w:szCs w:val="20"/>
              </w:rPr>
              <w:t>.</w:t>
            </w:r>
          </w:p>
        </w:tc>
        <w:tc>
          <w:tcPr>
            <w:tcW w:w="935" w:type="dxa"/>
            <w:shd w:val="clear" w:color="auto" w:fill="auto"/>
            <w:vAlign w:val="center"/>
          </w:tcPr>
          <w:p w14:paraId="1BBEA6D2" w14:textId="77777777" w:rsidR="0041026C" w:rsidRPr="008B5865" w:rsidRDefault="0041026C" w:rsidP="001C07C8">
            <w:pPr>
              <w:keepLines/>
              <w:spacing w:after="0"/>
              <w:ind w:left="-28"/>
              <w:jc w:val="center"/>
              <w:rPr>
                <w:rFonts w:asciiTheme="minorHAnsi" w:hAnsiTheme="minorHAnsi" w:cstheme="minorHAnsi"/>
                <w:sz w:val="20"/>
                <w:szCs w:val="20"/>
              </w:rPr>
            </w:pPr>
          </w:p>
        </w:tc>
      </w:tr>
      <w:tr w:rsidR="00CC4506" w14:paraId="7F945052" w14:textId="77777777" w:rsidTr="00DE1A9B">
        <w:tc>
          <w:tcPr>
            <w:tcW w:w="935" w:type="dxa"/>
            <w:tcMar>
              <w:top w:w="0" w:type="dxa"/>
              <w:left w:w="108" w:type="dxa"/>
              <w:bottom w:w="0" w:type="dxa"/>
              <w:right w:w="108" w:type="dxa"/>
            </w:tcMar>
            <w:vAlign w:val="center"/>
            <w:hideMark/>
          </w:tcPr>
          <w:p w14:paraId="6FDB3793" w14:textId="77777777" w:rsidR="0041026C" w:rsidRPr="00CC4506" w:rsidRDefault="0051469A" w:rsidP="001C07C8">
            <w:pPr>
              <w:keepLines/>
              <w:spacing w:after="0"/>
              <w:ind w:left="-57" w:right="-57"/>
              <w:jc w:val="center"/>
              <w:rPr>
                <w:rFonts w:asciiTheme="minorHAnsi" w:hAnsiTheme="minorHAnsi" w:cstheme="minorHAnsi"/>
                <w:sz w:val="20"/>
                <w:szCs w:val="20"/>
              </w:rPr>
            </w:pPr>
            <w:r w:rsidRPr="00CC4506">
              <w:rPr>
                <w:rFonts w:asciiTheme="minorHAnsi" w:hAnsiTheme="minorHAnsi" w:cstheme="minorHAnsi"/>
                <w:sz w:val="20"/>
                <w:szCs w:val="20"/>
              </w:rPr>
              <w:t>Rakousko</w:t>
            </w:r>
          </w:p>
        </w:tc>
        <w:tc>
          <w:tcPr>
            <w:tcW w:w="1616" w:type="dxa"/>
            <w:tcMar>
              <w:top w:w="0" w:type="dxa"/>
              <w:left w:w="108" w:type="dxa"/>
              <w:bottom w:w="0" w:type="dxa"/>
              <w:right w:w="108" w:type="dxa"/>
            </w:tcMar>
            <w:vAlign w:val="center"/>
            <w:hideMark/>
          </w:tcPr>
          <w:p w14:paraId="47EFF09F"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Právnické a</w:t>
            </w:r>
            <w:r w:rsidR="001C20FD">
              <w:rPr>
                <w:rFonts w:asciiTheme="minorHAnsi" w:hAnsiTheme="minorHAnsi" w:cstheme="minorHAnsi"/>
                <w:sz w:val="20"/>
                <w:szCs w:val="20"/>
              </w:rPr>
              <w:t> </w:t>
            </w:r>
            <w:r w:rsidRPr="008B5865">
              <w:rPr>
                <w:rFonts w:asciiTheme="minorHAnsi" w:hAnsiTheme="minorHAnsi" w:cstheme="minorHAnsi"/>
                <w:sz w:val="20"/>
                <w:szCs w:val="20"/>
              </w:rPr>
              <w:t>fyzické osoby</w:t>
            </w:r>
            <w:r w:rsidR="00534D3C" w:rsidRPr="008B5865">
              <w:rPr>
                <w:rFonts w:asciiTheme="minorHAnsi" w:hAnsiTheme="minorHAnsi" w:cstheme="minorHAnsi"/>
                <w:sz w:val="20"/>
                <w:szCs w:val="20"/>
              </w:rPr>
              <w:t>.</w:t>
            </w:r>
          </w:p>
        </w:tc>
        <w:tc>
          <w:tcPr>
            <w:tcW w:w="2835" w:type="dxa"/>
            <w:tcMar>
              <w:top w:w="0" w:type="dxa"/>
              <w:left w:w="108" w:type="dxa"/>
              <w:bottom w:w="0" w:type="dxa"/>
              <w:right w:w="108" w:type="dxa"/>
            </w:tcMar>
            <w:vAlign w:val="center"/>
            <w:hideMark/>
          </w:tcPr>
          <w:p w14:paraId="5AEEE518" w14:textId="31017DF1"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 xml:space="preserve">0,62 – 0,75 </w:t>
            </w:r>
            <w:r w:rsidR="001C07C8">
              <w:rPr>
                <w:rFonts w:asciiTheme="minorHAnsi" w:hAnsiTheme="minorHAnsi" w:cstheme="minorHAnsi"/>
                <w:sz w:val="20"/>
                <w:szCs w:val="20"/>
              </w:rPr>
              <w:t>€</w:t>
            </w:r>
            <w:r w:rsidRPr="008B5865">
              <w:rPr>
                <w:rFonts w:asciiTheme="minorHAnsi" w:hAnsiTheme="minorHAnsi" w:cstheme="minorHAnsi"/>
                <w:sz w:val="20"/>
                <w:szCs w:val="20"/>
              </w:rPr>
              <w:t xml:space="preserve"> za kW</w:t>
            </w:r>
          </w:p>
          <w:p w14:paraId="19D7A1B0"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(jedná se o měsíční platby)</w:t>
            </w:r>
            <w:r w:rsidR="00534D3C" w:rsidRPr="008B5865">
              <w:rPr>
                <w:rFonts w:asciiTheme="minorHAnsi" w:hAnsiTheme="minorHAnsi" w:cstheme="minorHAnsi"/>
                <w:sz w:val="20"/>
                <w:szCs w:val="20"/>
              </w:rPr>
              <w:t>.</w:t>
            </w:r>
          </w:p>
        </w:tc>
        <w:tc>
          <w:tcPr>
            <w:tcW w:w="2721" w:type="dxa"/>
            <w:tcMar>
              <w:top w:w="0" w:type="dxa"/>
              <w:left w:w="108" w:type="dxa"/>
              <w:bottom w:w="0" w:type="dxa"/>
              <w:right w:w="108" w:type="dxa"/>
            </w:tcMar>
            <w:vAlign w:val="center"/>
            <w:hideMark/>
          </w:tcPr>
          <w:p w14:paraId="006299DC" w14:textId="77777777" w:rsidR="0041026C" w:rsidRPr="008B5865" w:rsidRDefault="0051469A" w:rsidP="001C07C8">
            <w:pPr>
              <w:keepLines/>
              <w:spacing w:after="0"/>
              <w:ind w:left="-57" w:right="-57"/>
              <w:jc w:val="center"/>
              <w:rPr>
                <w:rFonts w:asciiTheme="minorHAnsi" w:hAnsiTheme="minorHAnsi" w:cstheme="minorHAnsi"/>
                <w:sz w:val="20"/>
                <w:szCs w:val="20"/>
              </w:rPr>
            </w:pPr>
            <w:r w:rsidRPr="008B5865">
              <w:rPr>
                <w:rFonts w:asciiTheme="minorHAnsi" w:hAnsiTheme="minorHAnsi" w:cstheme="minorHAnsi"/>
                <w:sz w:val="20"/>
                <w:szCs w:val="20"/>
              </w:rPr>
              <w:t>Podle výkonu motoru v</w:t>
            </w:r>
            <w:r w:rsidR="00534D3C" w:rsidRPr="008B5865">
              <w:rPr>
                <w:rFonts w:asciiTheme="minorHAnsi" w:hAnsiTheme="minorHAnsi" w:cstheme="minorHAnsi"/>
                <w:sz w:val="20"/>
                <w:szCs w:val="20"/>
              </w:rPr>
              <w:t> </w:t>
            </w:r>
            <w:r w:rsidRPr="008B5865">
              <w:rPr>
                <w:rFonts w:asciiTheme="minorHAnsi" w:hAnsiTheme="minorHAnsi" w:cstheme="minorHAnsi"/>
                <w:sz w:val="20"/>
                <w:szCs w:val="20"/>
              </w:rPr>
              <w:t>kW</w:t>
            </w:r>
            <w:r w:rsidR="00534D3C" w:rsidRPr="008B5865">
              <w:rPr>
                <w:rFonts w:asciiTheme="minorHAnsi" w:hAnsiTheme="minorHAnsi" w:cstheme="minorHAnsi"/>
                <w:sz w:val="20"/>
                <w:szCs w:val="20"/>
              </w:rPr>
              <w:t>.</w:t>
            </w:r>
          </w:p>
        </w:tc>
        <w:tc>
          <w:tcPr>
            <w:tcW w:w="935" w:type="dxa"/>
            <w:shd w:val="clear" w:color="auto" w:fill="auto"/>
            <w:vAlign w:val="center"/>
            <w:hideMark/>
          </w:tcPr>
          <w:p w14:paraId="61B533E2" w14:textId="77777777" w:rsidR="0041026C" w:rsidRPr="008B5865" w:rsidRDefault="0051469A" w:rsidP="001C07C8">
            <w:pPr>
              <w:keepLines/>
              <w:spacing w:after="0"/>
              <w:ind w:left="-28"/>
              <w:jc w:val="center"/>
              <w:rPr>
                <w:rFonts w:asciiTheme="minorHAnsi" w:hAnsiTheme="minorHAnsi" w:cstheme="minorHAnsi"/>
                <w:sz w:val="20"/>
                <w:szCs w:val="20"/>
              </w:rPr>
            </w:pPr>
            <w:r w:rsidRPr="008B5865">
              <w:rPr>
                <w:rFonts w:asciiTheme="minorHAnsi" w:hAnsiTheme="minorHAnsi" w:cstheme="minorHAnsi"/>
                <w:sz w:val="20"/>
                <w:szCs w:val="20"/>
              </w:rPr>
              <w:t>11 638 Kč</w:t>
            </w:r>
          </w:p>
        </w:tc>
      </w:tr>
      <w:tr w:rsidR="00CC4506" w14:paraId="3BB44E98" w14:textId="77777777" w:rsidTr="00DE1A9B">
        <w:tc>
          <w:tcPr>
            <w:tcW w:w="935" w:type="dxa"/>
            <w:tcMar>
              <w:top w:w="0" w:type="dxa"/>
              <w:left w:w="108" w:type="dxa"/>
              <w:bottom w:w="0" w:type="dxa"/>
              <w:right w:w="108" w:type="dxa"/>
            </w:tcMar>
            <w:vAlign w:val="center"/>
            <w:hideMark/>
          </w:tcPr>
          <w:p w14:paraId="77DA659A" w14:textId="77777777" w:rsidR="0041026C" w:rsidRPr="00CC4506" w:rsidRDefault="0051469A" w:rsidP="001C07C8">
            <w:pPr>
              <w:keepLines/>
              <w:spacing w:after="0"/>
              <w:ind w:left="-57" w:right="-57"/>
              <w:jc w:val="center"/>
              <w:rPr>
                <w:rFonts w:asciiTheme="minorHAnsi" w:hAnsiTheme="minorHAnsi" w:cstheme="minorHAnsi"/>
                <w:sz w:val="20"/>
                <w:szCs w:val="20"/>
              </w:rPr>
            </w:pPr>
            <w:r w:rsidRPr="00CC4506">
              <w:rPr>
                <w:rFonts w:asciiTheme="minorHAnsi" w:hAnsiTheme="minorHAnsi" w:cstheme="minorHAnsi"/>
                <w:sz w:val="20"/>
                <w:szCs w:val="20"/>
              </w:rPr>
              <w:t>Německo</w:t>
            </w:r>
          </w:p>
        </w:tc>
        <w:tc>
          <w:tcPr>
            <w:tcW w:w="1616" w:type="dxa"/>
            <w:tcMar>
              <w:top w:w="0" w:type="dxa"/>
              <w:left w:w="108" w:type="dxa"/>
              <w:bottom w:w="0" w:type="dxa"/>
              <w:right w:w="108" w:type="dxa"/>
            </w:tcMar>
            <w:vAlign w:val="center"/>
            <w:hideMark/>
          </w:tcPr>
          <w:p w14:paraId="1078C30E" w14:textId="77777777" w:rsidR="0041026C" w:rsidRPr="00237396" w:rsidRDefault="0051469A" w:rsidP="001C07C8">
            <w:pPr>
              <w:keepLines/>
              <w:spacing w:after="0"/>
              <w:ind w:left="-57" w:right="-57"/>
              <w:jc w:val="center"/>
              <w:rPr>
                <w:rFonts w:asciiTheme="minorHAnsi" w:hAnsiTheme="minorHAnsi" w:cstheme="minorHAnsi"/>
                <w:sz w:val="20"/>
                <w:szCs w:val="20"/>
              </w:rPr>
            </w:pPr>
            <w:r w:rsidRPr="00237396">
              <w:rPr>
                <w:rFonts w:asciiTheme="minorHAnsi" w:hAnsiTheme="minorHAnsi" w:cstheme="minorHAnsi"/>
                <w:sz w:val="20"/>
                <w:szCs w:val="20"/>
              </w:rPr>
              <w:t>Právnické a</w:t>
            </w:r>
            <w:r w:rsidR="001C20FD">
              <w:rPr>
                <w:rFonts w:asciiTheme="minorHAnsi" w:hAnsiTheme="minorHAnsi" w:cstheme="minorHAnsi"/>
                <w:sz w:val="20"/>
                <w:szCs w:val="20"/>
              </w:rPr>
              <w:t> </w:t>
            </w:r>
            <w:r w:rsidRPr="00237396">
              <w:rPr>
                <w:rFonts w:asciiTheme="minorHAnsi" w:hAnsiTheme="minorHAnsi" w:cstheme="minorHAnsi"/>
                <w:sz w:val="20"/>
                <w:szCs w:val="20"/>
              </w:rPr>
              <w:t>fyzické osoby</w:t>
            </w:r>
            <w:r w:rsidR="00534D3C" w:rsidRPr="00237396">
              <w:rPr>
                <w:rFonts w:asciiTheme="minorHAnsi" w:hAnsiTheme="minorHAnsi" w:cstheme="minorHAnsi"/>
                <w:sz w:val="20"/>
                <w:szCs w:val="20"/>
              </w:rPr>
              <w:t>.</w:t>
            </w:r>
          </w:p>
        </w:tc>
        <w:tc>
          <w:tcPr>
            <w:tcW w:w="2835" w:type="dxa"/>
            <w:tcMar>
              <w:top w:w="0" w:type="dxa"/>
              <w:left w:w="108" w:type="dxa"/>
              <w:bottom w:w="0" w:type="dxa"/>
              <w:right w:w="108" w:type="dxa"/>
            </w:tcMar>
            <w:vAlign w:val="center"/>
            <w:hideMark/>
          </w:tcPr>
          <w:p w14:paraId="03DF982D" w14:textId="369A4BF4" w:rsidR="0041026C" w:rsidRPr="00DE1A9B" w:rsidRDefault="0051469A" w:rsidP="001C07C8">
            <w:pPr>
              <w:keepLines/>
              <w:spacing w:after="0"/>
              <w:ind w:left="-57" w:right="-57"/>
              <w:jc w:val="center"/>
              <w:rPr>
                <w:rFonts w:asciiTheme="minorHAnsi" w:hAnsiTheme="minorHAnsi" w:cstheme="minorHAnsi"/>
                <w:sz w:val="19"/>
                <w:szCs w:val="19"/>
              </w:rPr>
            </w:pPr>
            <w:r w:rsidRPr="00DE1A9B">
              <w:rPr>
                <w:rFonts w:asciiTheme="minorHAnsi" w:hAnsiTheme="minorHAnsi" w:cstheme="minorHAnsi"/>
                <w:sz w:val="19"/>
                <w:szCs w:val="19"/>
              </w:rPr>
              <w:t xml:space="preserve">Benzínový motor 2 </w:t>
            </w:r>
            <w:r w:rsidR="001C07C8" w:rsidRPr="00DE1A9B">
              <w:rPr>
                <w:rFonts w:asciiTheme="minorHAnsi" w:hAnsiTheme="minorHAnsi" w:cstheme="minorHAnsi"/>
                <w:sz w:val="19"/>
                <w:szCs w:val="19"/>
              </w:rPr>
              <w:t>€</w:t>
            </w:r>
            <w:r w:rsidRPr="00DE1A9B">
              <w:rPr>
                <w:rFonts w:asciiTheme="minorHAnsi" w:hAnsiTheme="minorHAnsi" w:cstheme="minorHAnsi"/>
                <w:sz w:val="19"/>
                <w:szCs w:val="19"/>
              </w:rPr>
              <w:t xml:space="preserve"> za každých 100 cm</w:t>
            </w:r>
            <w:r w:rsidRPr="00DE1A9B">
              <w:rPr>
                <w:rFonts w:asciiTheme="minorHAnsi" w:hAnsiTheme="minorHAnsi" w:cstheme="minorHAnsi"/>
                <w:sz w:val="19"/>
                <w:szCs w:val="19"/>
                <w:vertAlign w:val="superscript"/>
              </w:rPr>
              <w:t>3</w:t>
            </w:r>
            <w:r w:rsidRPr="00DE1A9B">
              <w:rPr>
                <w:rFonts w:asciiTheme="minorHAnsi" w:hAnsiTheme="minorHAnsi" w:cstheme="minorHAnsi"/>
                <w:sz w:val="19"/>
                <w:szCs w:val="19"/>
              </w:rPr>
              <w:t xml:space="preserve">/Dieselový motor 9,5 </w:t>
            </w:r>
            <w:r w:rsidR="001C07C8" w:rsidRPr="00DE1A9B">
              <w:rPr>
                <w:rFonts w:asciiTheme="minorHAnsi" w:hAnsiTheme="minorHAnsi" w:cstheme="minorHAnsi"/>
                <w:sz w:val="19"/>
                <w:szCs w:val="19"/>
              </w:rPr>
              <w:t>€</w:t>
            </w:r>
            <w:r w:rsidRPr="00DE1A9B">
              <w:rPr>
                <w:rFonts w:asciiTheme="minorHAnsi" w:hAnsiTheme="minorHAnsi" w:cstheme="minorHAnsi"/>
                <w:sz w:val="19"/>
                <w:szCs w:val="19"/>
              </w:rPr>
              <w:t xml:space="preserve"> za každých 100</w:t>
            </w:r>
            <w:r w:rsidR="001C20FD" w:rsidRPr="00DE1A9B">
              <w:rPr>
                <w:rFonts w:asciiTheme="minorHAnsi" w:hAnsiTheme="minorHAnsi" w:cstheme="minorHAnsi"/>
                <w:sz w:val="19"/>
                <w:szCs w:val="19"/>
              </w:rPr>
              <w:t> </w:t>
            </w:r>
            <w:r w:rsidRPr="00DE1A9B">
              <w:rPr>
                <w:rFonts w:asciiTheme="minorHAnsi" w:hAnsiTheme="minorHAnsi" w:cstheme="minorHAnsi"/>
                <w:sz w:val="19"/>
                <w:szCs w:val="19"/>
              </w:rPr>
              <w:t>cm</w:t>
            </w:r>
            <w:r w:rsidRPr="00DE1A9B">
              <w:rPr>
                <w:rFonts w:asciiTheme="minorHAnsi" w:hAnsiTheme="minorHAnsi" w:cstheme="minorHAnsi"/>
                <w:sz w:val="19"/>
                <w:szCs w:val="19"/>
                <w:vertAlign w:val="superscript"/>
              </w:rPr>
              <w:t>3</w:t>
            </w:r>
            <w:r w:rsidRPr="00DE1A9B">
              <w:rPr>
                <w:rFonts w:asciiTheme="minorHAnsi" w:hAnsiTheme="minorHAnsi" w:cstheme="minorHAnsi"/>
                <w:sz w:val="19"/>
                <w:szCs w:val="19"/>
              </w:rPr>
              <w:t xml:space="preserve"> + 2</w:t>
            </w:r>
            <w:r w:rsidR="001C07C8" w:rsidRPr="00DE1A9B">
              <w:rPr>
                <w:rFonts w:asciiTheme="minorHAnsi" w:hAnsiTheme="minorHAnsi" w:cstheme="minorHAnsi"/>
                <w:sz w:val="19"/>
                <w:szCs w:val="19"/>
              </w:rPr>
              <w:t> €</w:t>
            </w:r>
            <w:r w:rsidRPr="00DE1A9B">
              <w:rPr>
                <w:rFonts w:asciiTheme="minorHAnsi" w:hAnsiTheme="minorHAnsi" w:cstheme="minorHAnsi"/>
                <w:sz w:val="19"/>
                <w:szCs w:val="19"/>
              </w:rPr>
              <w:t xml:space="preserve"> za každý gram vypouštěných emisí CO</w:t>
            </w:r>
            <w:r w:rsidRPr="00DE1A9B">
              <w:rPr>
                <w:rFonts w:asciiTheme="minorHAnsi" w:hAnsiTheme="minorHAnsi" w:cstheme="minorHAnsi"/>
                <w:sz w:val="19"/>
                <w:szCs w:val="19"/>
                <w:vertAlign w:val="subscript"/>
              </w:rPr>
              <w:t>2</w:t>
            </w:r>
            <w:r w:rsidRPr="00DE1A9B">
              <w:rPr>
                <w:rFonts w:asciiTheme="minorHAnsi" w:hAnsiTheme="minorHAnsi" w:cstheme="minorHAnsi"/>
                <w:sz w:val="19"/>
                <w:szCs w:val="19"/>
              </w:rPr>
              <w:t xml:space="preserve"> nad stanovenou minimální úroveň 95</w:t>
            </w:r>
            <w:r w:rsidR="001C07C8" w:rsidRPr="00DE1A9B">
              <w:rPr>
                <w:rFonts w:asciiTheme="minorHAnsi" w:hAnsiTheme="minorHAnsi" w:cstheme="minorHAnsi"/>
                <w:sz w:val="19"/>
                <w:szCs w:val="19"/>
              </w:rPr>
              <w:t> </w:t>
            </w:r>
            <w:r w:rsidRPr="00DE1A9B">
              <w:rPr>
                <w:rFonts w:asciiTheme="minorHAnsi" w:hAnsiTheme="minorHAnsi" w:cstheme="minorHAnsi"/>
                <w:sz w:val="19"/>
                <w:szCs w:val="19"/>
              </w:rPr>
              <w:t>g/km</w:t>
            </w:r>
            <w:r w:rsidR="00534D3C" w:rsidRPr="00DE1A9B">
              <w:rPr>
                <w:rFonts w:asciiTheme="minorHAnsi" w:hAnsiTheme="minorHAnsi" w:cstheme="minorHAnsi"/>
                <w:sz w:val="19"/>
                <w:szCs w:val="19"/>
              </w:rPr>
              <w:t>.</w:t>
            </w:r>
          </w:p>
        </w:tc>
        <w:tc>
          <w:tcPr>
            <w:tcW w:w="2721" w:type="dxa"/>
            <w:tcMar>
              <w:top w:w="0" w:type="dxa"/>
              <w:left w:w="108" w:type="dxa"/>
              <w:bottom w:w="0" w:type="dxa"/>
              <w:right w:w="108" w:type="dxa"/>
            </w:tcMar>
            <w:vAlign w:val="center"/>
            <w:hideMark/>
          </w:tcPr>
          <w:p w14:paraId="33DDB0A5" w14:textId="77777777" w:rsidR="0041026C" w:rsidRPr="00237396" w:rsidRDefault="0051469A" w:rsidP="001C07C8">
            <w:pPr>
              <w:keepLines/>
              <w:spacing w:after="0"/>
              <w:ind w:left="-57" w:right="-57"/>
              <w:rPr>
                <w:rFonts w:asciiTheme="minorHAnsi" w:hAnsiTheme="minorHAnsi" w:cstheme="minorHAnsi"/>
                <w:sz w:val="20"/>
                <w:szCs w:val="20"/>
              </w:rPr>
            </w:pPr>
            <w:r w:rsidRPr="00237396">
              <w:rPr>
                <w:rFonts w:asciiTheme="minorHAnsi" w:hAnsiTheme="minorHAnsi" w:cstheme="minorHAnsi"/>
                <w:sz w:val="20"/>
                <w:szCs w:val="20"/>
              </w:rPr>
              <w:t>CO</w:t>
            </w:r>
            <w:r w:rsidRPr="00237396">
              <w:rPr>
                <w:rFonts w:asciiTheme="minorHAnsi" w:hAnsiTheme="minorHAnsi" w:cstheme="minorHAnsi"/>
                <w:sz w:val="20"/>
                <w:szCs w:val="20"/>
                <w:vertAlign w:val="subscript"/>
              </w:rPr>
              <w:t>2</w:t>
            </w:r>
            <w:r w:rsidRPr="00237396">
              <w:rPr>
                <w:rFonts w:asciiTheme="minorHAnsi" w:hAnsiTheme="minorHAnsi" w:cstheme="minorHAnsi"/>
                <w:sz w:val="20"/>
                <w:szCs w:val="20"/>
              </w:rPr>
              <w:t xml:space="preserve"> emise a zdvihový objem (rozlišuje se benzínový motor</w:t>
            </w:r>
            <w:r w:rsidR="001C20FD">
              <w:rPr>
                <w:rFonts w:asciiTheme="minorHAnsi" w:hAnsiTheme="minorHAnsi" w:cstheme="minorHAnsi"/>
                <w:sz w:val="20"/>
                <w:szCs w:val="20"/>
              </w:rPr>
              <w:t xml:space="preserve"> </w:t>
            </w:r>
            <w:r w:rsidRPr="00237396">
              <w:rPr>
                <w:rFonts w:asciiTheme="minorHAnsi" w:hAnsiTheme="minorHAnsi" w:cstheme="minorHAnsi"/>
                <w:sz w:val="20"/>
                <w:szCs w:val="20"/>
              </w:rPr>
              <w:t>/ dieselový motor)</w:t>
            </w:r>
            <w:r w:rsidR="00534D3C" w:rsidRPr="00237396">
              <w:rPr>
                <w:rFonts w:asciiTheme="minorHAnsi" w:hAnsiTheme="minorHAnsi" w:cstheme="minorHAnsi"/>
                <w:sz w:val="20"/>
                <w:szCs w:val="20"/>
              </w:rPr>
              <w:t>.</w:t>
            </w:r>
          </w:p>
        </w:tc>
        <w:tc>
          <w:tcPr>
            <w:tcW w:w="935" w:type="dxa"/>
            <w:shd w:val="clear" w:color="auto" w:fill="auto"/>
            <w:vAlign w:val="center"/>
            <w:hideMark/>
          </w:tcPr>
          <w:p w14:paraId="5ACE698E" w14:textId="77777777" w:rsidR="0041026C" w:rsidRPr="008B5865" w:rsidRDefault="0051469A" w:rsidP="001C07C8">
            <w:pPr>
              <w:keepLines/>
              <w:spacing w:after="0"/>
              <w:ind w:left="-28"/>
              <w:jc w:val="center"/>
              <w:rPr>
                <w:rFonts w:asciiTheme="minorHAnsi" w:hAnsiTheme="minorHAnsi" w:cstheme="minorHAnsi"/>
                <w:sz w:val="20"/>
                <w:szCs w:val="20"/>
              </w:rPr>
            </w:pPr>
            <w:r w:rsidRPr="00237396">
              <w:rPr>
                <w:rFonts w:asciiTheme="minorHAnsi" w:hAnsiTheme="minorHAnsi" w:cstheme="minorHAnsi"/>
                <w:sz w:val="20"/>
                <w:szCs w:val="20"/>
              </w:rPr>
              <w:t>4 616 Kč</w:t>
            </w:r>
          </w:p>
        </w:tc>
      </w:tr>
    </w:tbl>
    <w:p w14:paraId="0F37E72D" w14:textId="3BEE1F8C" w:rsidR="003A42A2" w:rsidRPr="001C20FD" w:rsidRDefault="0051469A" w:rsidP="001C07C8">
      <w:pPr>
        <w:keepLines/>
        <w:ind w:left="567" w:hanging="567"/>
        <w:rPr>
          <w:sz w:val="20"/>
          <w:szCs w:val="20"/>
          <w:highlight w:val="yellow"/>
        </w:rPr>
      </w:pPr>
      <w:r w:rsidRPr="001C20FD">
        <w:rPr>
          <w:b/>
          <w:sz w:val="20"/>
          <w:szCs w:val="20"/>
        </w:rPr>
        <w:t>Zdroj:</w:t>
      </w:r>
      <w:r w:rsidRPr="001C20FD">
        <w:rPr>
          <w:sz w:val="20"/>
          <w:szCs w:val="20"/>
        </w:rPr>
        <w:t xml:space="preserve"> </w:t>
      </w:r>
      <w:r w:rsidR="001C07C8">
        <w:rPr>
          <w:sz w:val="20"/>
          <w:szCs w:val="20"/>
        </w:rPr>
        <w:t>vypracoval</w:t>
      </w:r>
      <w:r w:rsidRPr="001C20FD">
        <w:rPr>
          <w:sz w:val="20"/>
          <w:szCs w:val="20"/>
        </w:rPr>
        <w:t xml:space="preserve"> NKÚ</w:t>
      </w:r>
      <w:r w:rsidR="00E44FFA" w:rsidRPr="001C20FD">
        <w:rPr>
          <w:sz w:val="20"/>
          <w:szCs w:val="20"/>
        </w:rPr>
        <w:t xml:space="preserve"> (</w:t>
      </w:r>
      <w:r w:rsidR="00510616" w:rsidRPr="001C20FD">
        <w:rPr>
          <w:sz w:val="20"/>
          <w:szCs w:val="20"/>
        </w:rPr>
        <w:t xml:space="preserve">modelováno na VW </w:t>
      </w:r>
      <w:r w:rsidRPr="001C20FD">
        <w:rPr>
          <w:sz w:val="20"/>
          <w:szCs w:val="20"/>
        </w:rPr>
        <w:t xml:space="preserve">Golf CL 1,6 TDI 5G 85 kW (115 koní) / </w:t>
      </w:r>
      <w:r w:rsidR="001C07C8">
        <w:rPr>
          <w:sz w:val="20"/>
          <w:szCs w:val="20"/>
        </w:rPr>
        <w:t>d</w:t>
      </w:r>
      <w:r w:rsidRPr="001C20FD">
        <w:rPr>
          <w:sz w:val="20"/>
          <w:szCs w:val="20"/>
        </w:rPr>
        <w:t xml:space="preserve">iesel / </w:t>
      </w:r>
      <w:r w:rsidR="001C07C8">
        <w:rPr>
          <w:sz w:val="20"/>
          <w:szCs w:val="20"/>
        </w:rPr>
        <w:t>m</w:t>
      </w:r>
      <w:r w:rsidRPr="001C20FD">
        <w:rPr>
          <w:sz w:val="20"/>
          <w:szCs w:val="20"/>
        </w:rPr>
        <w:t>anuální 5 st.</w:t>
      </w:r>
      <w:r w:rsidR="001C07C8">
        <w:rPr>
          <w:sz w:val="20"/>
          <w:szCs w:val="20"/>
        </w:rPr>
        <w:t>,</w:t>
      </w:r>
      <w:r w:rsidRPr="001C20FD">
        <w:rPr>
          <w:sz w:val="20"/>
          <w:szCs w:val="20"/>
        </w:rPr>
        <w:t xml:space="preserve"> emise CO</w:t>
      </w:r>
      <w:r w:rsidRPr="001C20FD">
        <w:rPr>
          <w:sz w:val="20"/>
          <w:szCs w:val="20"/>
          <w:vertAlign w:val="subscript"/>
        </w:rPr>
        <w:t>2</w:t>
      </w:r>
      <w:r w:rsidRPr="001C20FD">
        <w:rPr>
          <w:sz w:val="20"/>
          <w:szCs w:val="20"/>
        </w:rPr>
        <w:t xml:space="preserve"> 109 g/km, objem 1</w:t>
      </w:r>
      <w:r w:rsidR="001C07C8">
        <w:rPr>
          <w:sz w:val="20"/>
          <w:szCs w:val="20"/>
        </w:rPr>
        <w:t> </w:t>
      </w:r>
      <w:r w:rsidRPr="001C20FD">
        <w:rPr>
          <w:sz w:val="20"/>
          <w:szCs w:val="20"/>
        </w:rPr>
        <w:t>598 cm</w:t>
      </w:r>
      <w:r w:rsidRPr="001C20FD">
        <w:rPr>
          <w:sz w:val="20"/>
          <w:szCs w:val="20"/>
          <w:vertAlign w:val="superscript"/>
        </w:rPr>
        <w:t>3</w:t>
      </w:r>
      <w:r w:rsidR="00E44FFA" w:rsidRPr="001C20FD">
        <w:rPr>
          <w:sz w:val="20"/>
          <w:szCs w:val="20"/>
        </w:rPr>
        <w:t>)</w:t>
      </w:r>
      <w:r w:rsidR="00AB3CB2" w:rsidRPr="001C20FD">
        <w:rPr>
          <w:sz w:val="20"/>
          <w:szCs w:val="20"/>
        </w:rPr>
        <w:t>.</w:t>
      </w:r>
    </w:p>
    <w:p w14:paraId="6EAC6789" w14:textId="2CE2C022" w:rsidR="00FF4EC0" w:rsidRDefault="0051469A" w:rsidP="00FE0328">
      <w:pPr>
        <w:spacing w:before="120"/>
      </w:pPr>
      <w:r>
        <w:lastRenderedPageBreak/>
        <w:t>Z</w:t>
      </w:r>
      <w:r w:rsidRPr="00E6589A">
        <w:t xml:space="preserve">ákladní sazby </w:t>
      </w:r>
      <w:r w:rsidR="00D10593" w:rsidRPr="00E6589A">
        <w:t xml:space="preserve">daně </w:t>
      </w:r>
      <w:r w:rsidRPr="00E6589A">
        <w:t>silniční v ČR se po dobu účinnosti zákona o dani silniční</w:t>
      </w:r>
      <w:r>
        <w:t>,</w:t>
      </w:r>
      <w:r w:rsidRPr="00E6589A">
        <w:t xml:space="preserve"> </w:t>
      </w:r>
      <w:r>
        <w:t xml:space="preserve">tj. od roku 1993, </w:t>
      </w:r>
      <w:r w:rsidRPr="00E6589A">
        <w:t xml:space="preserve">změnily pouze </w:t>
      </w:r>
      <w:r w:rsidR="0052654E">
        <w:t xml:space="preserve">jedenkrát, a to </w:t>
      </w:r>
      <w:r w:rsidR="009D26D2">
        <w:t xml:space="preserve">k 1. 1. 1994 </w:t>
      </w:r>
      <w:r w:rsidRPr="00E6589A">
        <w:t>u osobních vozidel</w:t>
      </w:r>
      <w:r>
        <w:t xml:space="preserve"> a osta</w:t>
      </w:r>
      <w:r w:rsidR="009D26D2">
        <w:t>tních vozidel s jednou nápravou</w:t>
      </w:r>
      <w:r w:rsidRPr="00D36FD8">
        <w:t xml:space="preserve">. </w:t>
      </w:r>
      <w:r w:rsidR="00561A78" w:rsidRPr="00D36FD8">
        <w:t xml:space="preserve">Z porovnání tempa vývoje sazby daně a vývoje vybraných makroekonomických ukazatelů </w:t>
      </w:r>
      <w:r w:rsidR="00E44FFA">
        <w:t>(</w:t>
      </w:r>
      <w:r w:rsidR="00561A78" w:rsidRPr="00D36FD8">
        <w:t>viz tabulka</w:t>
      </w:r>
      <w:r w:rsidR="0009644C">
        <w:t xml:space="preserve"> č</w:t>
      </w:r>
      <w:r w:rsidR="0009644C" w:rsidRPr="00237396">
        <w:t xml:space="preserve">. </w:t>
      </w:r>
      <w:r w:rsidR="009D26D2" w:rsidRPr="00237396">
        <w:t>1</w:t>
      </w:r>
      <w:r w:rsidR="00E44FFA" w:rsidRPr="00237396">
        <w:t>2</w:t>
      </w:r>
      <w:r w:rsidR="00E44FFA">
        <w:t>)</w:t>
      </w:r>
      <w:r w:rsidR="00561A78" w:rsidRPr="00D36FD8">
        <w:t xml:space="preserve"> je zřejmé, že sazby daně se nevyvíjely obdobným tempem a </w:t>
      </w:r>
      <w:r w:rsidR="0009644C">
        <w:t xml:space="preserve">míra zdanění prostřednictvím </w:t>
      </w:r>
      <w:r w:rsidRPr="00D36FD8">
        <w:t>daně silniční tak reálně klesla.</w:t>
      </w:r>
      <w:r>
        <w:t xml:space="preserve"> </w:t>
      </w:r>
    </w:p>
    <w:p w14:paraId="670CE9D4" w14:textId="77777777" w:rsidR="003B76D1" w:rsidRPr="009D26D2" w:rsidRDefault="00FE0328" w:rsidP="00C96D93">
      <w:pPr>
        <w:pStyle w:val="Tabulka"/>
        <w:numPr>
          <w:ilvl w:val="0"/>
          <w:numId w:val="0"/>
        </w:numPr>
        <w:spacing w:after="40"/>
      </w:pPr>
      <w:r>
        <w:t xml:space="preserve">Tabulka č. 12: </w:t>
      </w:r>
      <w:r w:rsidR="0051469A" w:rsidRPr="009D26D2">
        <w:t xml:space="preserve">Vývoj makroekonomických ukazatelů </w:t>
      </w:r>
      <w:r w:rsidR="0009644C">
        <w:t>v ČR</w:t>
      </w:r>
    </w:p>
    <w:tbl>
      <w:tblPr>
        <w:tblW w:w="4994" w:type="pct"/>
        <w:tblLayout w:type="fixed"/>
        <w:tblCellMar>
          <w:left w:w="70" w:type="dxa"/>
          <w:right w:w="70" w:type="dxa"/>
        </w:tblCellMar>
        <w:tblLook w:val="04A0" w:firstRow="1" w:lastRow="0" w:firstColumn="1" w:lastColumn="0" w:noHBand="0" w:noVBand="1"/>
      </w:tblPr>
      <w:tblGrid>
        <w:gridCol w:w="560"/>
        <w:gridCol w:w="2549"/>
        <w:gridCol w:w="2974"/>
        <w:gridCol w:w="2966"/>
      </w:tblGrid>
      <w:tr w:rsidR="00121435" w:rsidRPr="00FE0328" w14:paraId="2AEAB64F" w14:textId="77777777" w:rsidTr="00FE0328">
        <w:trPr>
          <w:trHeight w:val="255"/>
        </w:trPr>
        <w:tc>
          <w:tcPr>
            <w:tcW w:w="309"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75735BFB" w14:textId="77777777" w:rsidR="009D26D2" w:rsidRPr="00FE0328" w:rsidRDefault="0051469A" w:rsidP="00C96D93">
            <w:pPr>
              <w:keepNext/>
              <w:spacing w:after="0"/>
              <w:jc w:val="center"/>
              <w:rPr>
                <w:rFonts w:eastAsia="Times New Roman" w:cs="Calibri"/>
                <w:b/>
                <w:bCs/>
                <w:color w:val="000000"/>
                <w:sz w:val="20"/>
                <w:szCs w:val="20"/>
                <w:lang w:eastAsia="cs-CZ"/>
              </w:rPr>
            </w:pPr>
            <w:r w:rsidRPr="00FE0328">
              <w:rPr>
                <w:rFonts w:eastAsia="Times New Roman" w:cs="Calibri"/>
                <w:b/>
                <w:bCs/>
                <w:color w:val="000000"/>
                <w:sz w:val="20"/>
                <w:szCs w:val="20"/>
                <w:lang w:eastAsia="cs-CZ"/>
              </w:rPr>
              <w:t>Rok</w:t>
            </w:r>
          </w:p>
        </w:tc>
        <w:tc>
          <w:tcPr>
            <w:tcW w:w="1408" w:type="pct"/>
            <w:tcBorders>
              <w:top w:val="single" w:sz="4" w:space="0" w:color="auto"/>
              <w:left w:val="nil"/>
              <w:bottom w:val="single" w:sz="4" w:space="0" w:color="auto"/>
              <w:right w:val="single" w:sz="4" w:space="0" w:color="auto"/>
            </w:tcBorders>
            <w:shd w:val="clear" w:color="000000" w:fill="E5F1FF"/>
            <w:noWrap/>
            <w:vAlign w:val="center"/>
            <w:hideMark/>
          </w:tcPr>
          <w:p w14:paraId="659C9096" w14:textId="77777777" w:rsidR="009D26D2" w:rsidRPr="00FE0328" w:rsidRDefault="0051469A" w:rsidP="00C96D93">
            <w:pPr>
              <w:keepNext/>
              <w:spacing w:after="0"/>
              <w:jc w:val="center"/>
              <w:rPr>
                <w:rFonts w:eastAsia="Times New Roman" w:cs="Calibri"/>
                <w:b/>
                <w:bCs/>
                <w:color w:val="000000"/>
                <w:sz w:val="20"/>
                <w:szCs w:val="20"/>
                <w:lang w:eastAsia="cs-CZ"/>
              </w:rPr>
            </w:pPr>
            <w:r w:rsidRPr="00FE0328">
              <w:rPr>
                <w:rFonts w:eastAsia="Times New Roman" w:cs="Calibri"/>
                <w:b/>
                <w:bCs/>
                <w:color w:val="000000"/>
                <w:sz w:val="20"/>
                <w:szCs w:val="20"/>
                <w:lang w:eastAsia="cs-CZ"/>
              </w:rPr>
              <w:t xml:space="preserve">HDP výrobní metodou (běžné ceny) </w:t>
            </w:r>
            <w:r w:rsidR="00825629" w:rsidRPr="00FE0328">
              <w:rPr>
                <w:rFonts w:eastAsia="Times New Roman" w:cs="Calibri"/>
                <w:b/>
                <w:bCs/>
                <w:color w:val="000000"/>
                <w:sz w:val="20"/>
                <w:szCs w:val="20"/>
                <w:lang w:eastAsia="cs-CZ"/>
              </w:rPr>
              <w:t xml:space="preserve">v </w:t>
            </w:r>
            <w:r w:rsidRPr="00FE0328">
              <w:rPr>
                <w:rFonts w:eastAsia="Times New Roman" w:cs="Calibri"/>
                <w:b/>
                <w:bCs/>
                <w:color w:val="000000"/>
                <w:sz w:val="20"/>
                <w:szCs w:val="20"/>
                <w:lang w:eastAsia="cs-CZ"/>
              </w:rPr>
              <w:t>mil. Kč</w:t>
            </w:r>
          </w:p>
        </w:tc>
        <w:tc>
          <w:tcPr>
            <w:tcW w:w="1643" w:type="pct"/>
            <w:tcBorders>
              <w:top w:val="single" w:sz="4" w:space="0" w:color="auto"/>
              <w:left w:val="nil"/>
              <w:bottom w:val="single" w:sz="4" w:space="0" w:color="auto"/>
              <w:right w:val="single" w:sz="4" w:space="0" w:color="auto"/>
            </w:tcBorders>
            <w:shd w:val="clear" w:color="000000" w:fill="E5F1FF"/>
            <w:noWrap/>
            <w:vAlign w:val="center"/>
            <w:hideMark/>
          </w:tcPr>
          <w:p w14:paraId="4263B39E" w14:textId="77777777" w:rsidR="009D26D2" w:rsidRPr="00FE0328" w:rsidRDefault="0051469A" w:rsidP="00C96D93">
            <w:pPr>
              <w:keepNext/>
              <w:spacing w:after="0"/>
              <w:jc w:val="center"/>
              <w:rPr>
                <w:rFonts w:eastAsia="Times New Roman" w:cs="Calibri"/>
                <w:b/>
                <w:bCs/>
                <w:color w:val="000000"/>
                <w:sz w:val="20"/>
                <w:szCs w:val="20"/>
                <w:lang w:eastAsia="cs-CZ"/>
              </w:rPr>
            </w:pPr>
            <w:r w:rsidRPr="00FE0328">
              <w:rPr>
                <w:rFonts w:eastAsia="Times New Roman" w:cs="Calibri"/>
                <w:b/>
                <w:bCs/>
                <w:color w:val="000000"/>
                <w:sz w:val="20"/>
                <w:szCs w:val="20"/>
                <w:lang w:eastAsia="cs-CZ"/>
              </w:rPr>
              <w:t xml:space="preserve">HDP na 1 obyvatele </w:t>
            </w:r>
            <w:r w:rsidR="00825629" w:rsidRPr="00FE0328">
              <w:rPr>
                <w:rFonts w:eastAsia="Times New Roman" w:cs="Calibri"/>
                <w:b/>
                <w:bCs/>
                <w:color w:val="000000"/>
                <w:sz w:val="20"/>
                <w:szCs w:val="20"/>
                <w:lang w:eastAsia="cs-CZ"/>
              </w:rPr>
              <w:t xml:space="preserve">v </w:t>
            </w:r>
            <w:r w:rsidRPr="00FE0328">
              <w:rPr>
                <w:rFonts w:eastAsia="Times New Roman" w:cs="Calibri"/>
                <w:b/>
                <w:bCs/>
                <w:color w:val="000000"/>
                <w:sz w:val="20"/>
                <w:szCs w:val="20"/>
                <w:lang w:eastAsia="cs-CZ"/>
              </w:rPr>
              <w:t>Kč</w:t>
            </w:r>
          </w:p>
        </w:tc>
        <w:tc>
          <w:tcPr>
            <w:tcW w:w="1639" w:type="pct"/>
            <w:tcBorders>
              <w:top w:val="single" w:sz="4" w:space="0" w:color="auto"/>
              <w:left w:val="single" w:sz="4" w:space="0" w:color="auto"/>
              <w:bottom w:val="single" w:sz="4" w:space="0" w:color="auto"/>
              <w:right w:val="single" w:sz="4" w:space="0" w:color="auto"/>
            </w:tcBorders>
            <w:shd w:val="clear" w:color="000000" w:fill="E5F1FF"/>
            <w:vAlign w:val="center"/>
          </w:tcPr>
          <w:p w14:paraId="05EE882C" w14:textId="22FD9DE2" w:rsidR="009D26D2" w:rsidRPr="00FE0328" w:rsidRDefault="0051469A" w:rsidP="00C96D93">
            <w:pPr>
              <w:keepNext/>
              <w:spacing w:after="0"/>
              <w:jc w:val="center"/>
              <w:rPr>
                <w:rFonts w:eastAsia="Times New Roman" w:cs="Calibri"/>
                <w:b/>
                <w:bCs/>
                <w:color w:val="000000"/>
                <w:sz w:val="20"/>
                <w:szCs w:val="20"/>
                <w:lang w:eastAsia="cs-CZ"/>
              </w:rPr>
            </w:pPr>
            <w:r w:rsidRPr="00FE0328">
              <w:rPr>
                <w:rFonts w:eastAsia="Times New Roman" w:cs="Calibri"/>
                <w:b/>
                <w:bCs/>
                <w:color w:val="000000"/>
                <w:sz w:val="20"/>
                <w:szCs w:val="20"/>
                <w:lang w:eastAsia="cs-CZ"/>
              </w:rPr>
              <w:t>HDP na 1 obyvatele v standardu kupní síly</w:t>
            </w:r>
            <w:r w:rsidR="00DE1A9B">
              <w:rPr>
                <w:rFonts w:eastAsia="Times New Roman" w:cs="Calibri"/>
                <w:b/>
                <w:bCs/>
                <w:color w:val="000000"/>
                <w:sz w:val="20"/>
                <w:szCs w:val="20"/>
                <w:lang w:eastAsia="cs-CZ"/>
              </w:rPr>
              <w:t xml:space="preserve"> (v Kč)</w:t>
            </w:r>
          </w:p>
        </w:tc>
      </w:tr>
      <w:tr w:rsidR="00121435" w:rsidRPr="00FE0328" w14:paraId="23D0AFC5" w14:textId="77777777" w:rsidTr="00FE0328">
        <w:trPr>
          <w:trHeight w:val="255"/>
        </w:trPr>
        <w:tc>
          <w:tcPr>
            <w:tcW w:w="309" w:type="pct"/>
            <w:tcBorders>
              <w:top w:val="single" w:sz="4" w:space="0" w:color="auto"/>
              <w:left w:val="single" w:sz="4" w:space="0" w:color="auto"/>
              <w:bottom w:val="single" w:sz="4" w:space="0" w:color="auto"/>
              <w:right w:val="single" w:sz="4" w:space="0" w:color="auto"/>
            </w:tcBorders>
            <w:shd w:val="clear" w:color="auto" w:fill="auto"/>
            <w:noWrap/>
          </w:tcPr>
          <w:p w14:paraId="0960C2A1" w14:textId="77777777" w:rsidR="009D26D2" w:rsidRPr="00FE0328" w:rsidRDefault="0051469A" w:rsidP="00C96D93">
            <w:pPr>
              <w:keepNext/>
              <w:spacing w:after="0"/>
              <w:jc w:val="center"/>
              <w:rPr>
                <w:rFonts w:eastAsia="Times New Roman" w:cs="Calibri"/>
                <w:bCs/>
                <w:color w:val="000000"/>
                <w:sz w:val="20"/>
                <w:szCs w:val="20"/>
                <w:lang w:eastAsia="cs-CZ"/>
              </w:rPr>
            </w:pPr>
            <w:r w:rsidRPr="00FE0328">
              <w:rPr>
                <w:rFonts w:eastAsia="Times New Roman" w:cs="Calibri"/>
                <w:bCs/>
                <w:color w:val="000000"/>
                <w:sz w:val="20"/>
                <w:szCs w:val="20"/>
                <w:lang w:eastAsia="cs-CZ"/>
              </w:rPr>
              <w:t>1993</w:t>
            </w:r>
          </w:p>
        </w:tc>
        <w:tc>
          <w:tcPr>
            <w:tcW w:w="1408" w:type="pct"/>
            <w:tcBorders>
              <w:top w:val="single" w:sz="4" w:space="0" w:color="auto"/>
              <w:left w:val="nil"/>
              <w:bottom w:val="single" w:sz="4" w:space="0" w:color="auto"/>
              <w:right w:val="single" w:sz="4" w:space="0" w:color="auto"/>
            </w:tcBorders>
            <w:shd w:val="clear" w:color="auto" w:fill="auto"/>
            <w:noWrap/>
            <w:vAlign w:val="center"/>
          </w:tcPr>
          <w:p w14:paraId="60174A5E" w14:textId="77777777" w:rsidR="009D26D2" w:rsidRPr="00FE0328" w:rsidRDefault="0051469A" w:rsidP="00C96D93">
            <w:pPr>
              <w:keepNext/>
              <w:spacing w:after="0"/>
              <w:ind w:right="632"/>
              <w:jc w:val="right"/>
              <w:rPr>
                <w:rFonts w:eastAsia="Times New Roman" w:cs="Calibri"/>
                <w:bCs/>
                <w:color w:val="000000"/>
                <w:sz w:val="20"/>
                <w:szCs w:val="20"/>
                <w:lang w:eastAsia="cs-CZ"/>
              </w:rPr>
            </w:pPr>
            <w:r w:rsidRPr="00FE0328">
              <w:rPr>
                <w:rFonts w:cs="Calibri"/>
                <w:color w:val="000000"/>
                <w:sz w:val="20"/>
                <w:szCs w:val="20"/>
              </w:rPr>
              <w:t>1 201 088</w:t>
            </w:r>
          </w:p>
        </w:tc>
        <w:tc>
          <w:tcPr>
            <w:tcW w:w="1643" w:type="pct"/>
            <w:tcBorders>
              <w:top w:val="single" w:sz="4" w:space="0" w:color="auto"/>
              <w:left w:val="nil"/>
              <w:bottom w:val="single" w:sz="4" w:space="0" w:color="auto"/>
              <w:right w:val="single" w:sz="4" w:space="0" w:color="auto"/>
            </w:tcBorders>
            <w:shd w:val="clear" w:color="auto" w:fill="auto"/>
            <w:noWrap/>
            <w:vAlign w:val="center"/>
          </w:tcPr>
          <w:p w14:paraId="788CD49B" w14:textId="77777777" w:rsidR="009D26D2" w:rsidRPr="00FE0328" w:rsidRDefault="0051469A" w:rsidP="00C96D93">
            <w:pPr>
              <w:keepNext/>
              <w:spacing w:after="0"/>
              <w:ind w:right="632"/>
              <w:jc w:val="right"/>
              <w:rPr>
                <w:rFonts w:eastAsia="Times New Roman" w:cs="Calibri"/>
                <w:bCs/>
                <w:color w:val="000000"/>
                <w:sz w:val="20"/>
                <w:szCs w:val="20"/>
                <w:lang w:eastAsia="cs-CZ"/>
              </w:rPr>
            </w:pPr>
            <w:r w:rsidRPr="00FE0328">
              <w:rPr>
                <w:rFonts w:cs="Calibri"/>
                <w:color w:val="000000"/>
                <w:sz w:val="20"/>
                <w:szCs w:val="20"/>
              </w:rPr>
              <w:t>116 265</w:t>
            </w:r>
          </w:p>
        </w:tc>
        <w:tc>
          <w:tcPr>
            <w:tcW w:w="1639" w:type="pct"/>
            <w:tcBorders>
              <w:top w:val="single" w:sz="4" w:space="0" w:color="auto"/>
              <w:left w:val="single" w:sz="4" w:space="0" w:color="auto"/>
              <w:bottom w:val="single" w:sz="4" w:space="0" w:color="auto"/>
              <w:right w:val="single" w:sz="4" w:space="0" w:color="auto"/>
            </w:tcBorders>
            <w:vAlign w:val="center"/>
          </w:tcPr>
          <w:p w14:paraId="4DC5440E" w14:textId="77777777" w:rsidR="009D26D2" w:rsidRPr="00FE0328" w:rsidRDefault="0051469A" w:rsidP="00C96D93">
            <w:pPr>
              <w:keepNext/>
              <w:spacing w:after="0"/>
              <w:ind w:right="510"/>
              <w:jc w:val="right"/>
              <w:rPr>
                <w:rFonts w:cs="Calibri"/>
                <w:color w:val="000000"/>
                <w:sz w:val="20"/>
                <w:szCs w:val="20"/>
              </w:rPr>
            </w:pPr>
            <w:r w:rsidRPr="00FE0328">
              <w:rPr>
                <w:rFonts w:cs="Calibri"/>
                <w:color w:val="000000"/>
                <w:sz w:val="20"/>
                <w:szCs w:val="20"/>
              </w:rPr>
              <w:t>11</w:t>
            </w:r>
            <w:r w:rsidR="00534D3C" w:rsidRPr="00FE0328">
              <w:rPr>
                <w:rFonts w:cs="Calibri"/>
                <w:color w:val="000000"/>
                <w:sz w:val="20"/>
                <w:szCs w:val="20"/>
              </w:rPr>
              <w:t> </w:t>
            </w:r>
            <w:r w:rsidRPr="00FE0328">
              <w:rPr>
                <w:rFonts w:cs="Calibri"/>
                <w:color w:val="000000"/>
                <w:sz w:val="20"/>
                <w:szCs w:val="20"/>
              </w:rPr>
              <w:t>578</w:t>
            </w:r>
            <w:r w:rsidR="00534D3C" w:rsidRPr="00FE0328">
              <w:rPr>
                <w:rFonts w:cs="Calibri"/>
                <w:color w:val="000000"/>
                <w:sz w:val="20"/>
                <w:szCs w:val="20"/>
              </w:rPr>
              <w:t>*</w:t>
            </w:r>
          </w:p>
        </w:tc>
      </w:tr>
      <w:tr w:rsidR="00121435" w:rsidRPr="00FE0328" w14:paraId="41556FC3" w14:textId="77777777" w:rsidTr="00FE0328">
        <w:trPr>
          <w:trHeight w:val="255"/>
        </w:trPr>
        <w:tc>
          <w:tcPr>
            <w:tcW w:w="309" w:type="pct"/>
            <w:tcBorders>
              <w:top w:val="single" w:sz="4" w:space="0" w:color="auto"/>
              <w:left w:val="single" w:sz="4" w:space="0" w:color="auto"/>
              <w:bottom w:val="single" w:sz="4" w:space="0" w:color="auto"/>
              <w:right w:val="single" w:sz="4" w:space="0" w:color="auto"/>
            </w:tcBorders>
            <w:shd w:val="clear" w:color="auto" w:fill="auto"/>
            <w:noWrap/>
          </w:tcPr>
          <w:p w14:paraId="17F3D483" w14:textId="77777777" w:rsidR="009D26D2" w:rsidRPr="00FE0328" w:rsidRDefault="0051469A" w:rsidP="00C96D93">
            <w:pPr>
              <w:keepNext/>
              <w:spacing w:after="0"/>
              <w:jc w:val="center"/>
              <w:rPr>
                <w:rFonts w:eastAsia="Times New Roman" w:cs="Calibri"/>
                <w:bCs/>
                <w:color w:val="000000"/>
                <w:sz w:val="20"/>
                <w:szCs w:val="20"/>
                <w:lang w:eastAsia="cs-CZ"/>
              </w:rPr>
            </w:pPr>
            <w:r w:rsidRPr="00FE0328">
              <w:rPr>
                <w:rFonts w:eastAsia="Times New Roman" w:cs="Calibri"/>
                <w:bCs/>
                <w:color w:val="000000"/>
                <w:sz w:val="20"/>
                <w:szCs w:val="20"/>
                <w:lang w:eastAsia="cs-CZ"/>
              </w:rPr>
              <w:t>2018</w:t>
            </w:r>
          </w:p>
        </w:tc>
        <w:tc>
          <w:tcPr>
            <w:tcW w:w="1408" w:type="pct"/>
            <w:tcBorders>
              <w:top w:val="single" w:sz="4" w:space="0" w:color="auto"/>
              <w:left w:val="nil"/>
              <w:bottom w:val="single" w:sz="4" w:space="0" w:color="auto"/>
              <w:right w:val="single" w:sz="4" w:space="0" w:color="auto"/>
            </w:tcBorders>
            <w:shd w:val="clear" w:color="auto" w:fill="auto"/>
            <w:noWrap/>
            <w:vAlign w:val="center"/>
          </w:tcPr>
          <w:p w14:paraId="002C650F" w14:textId="77777777" w:rsidR="009D26D2" w:rsidRPr="00FE0328" w:rsidRDefault="0051469A" w:rsidP="00C96D93">
            <w:pPr>
              <w:keepNext/>
              <w:spacing w:after="0"/>
              <w:ind w:right="632"/>
              <w:jc w:val="right"/>
              <w:rPr>
                <w:rFonts w:eastAsia="Times New Roman" w:cs="Calibri"/>
                <w:bCs/>
                <w:color w:val="000000"/>
                <w:sz w:val="20"/>
                <w:szCs w:val="20"/>
                <w:lang w:eastAsia="cs-CZ"/>
              </w:rPr>
            </w:pPr>
            <w:r w:rsidRPr="00FE0328">
              <w:rPr>
                <w:rFonts w:cs="Calibri"/>
                <w:color w:val="000000"/>
                <w:sz w:val="20"/>
                <w:szCs w:val="20"/>
              </w:rPr>
              <w:t>5 328 738</w:t>
            </w:r>
          </w:p>
        </w:tc>
        <w:tc>
          <w:tcPr>
            <w:tcW w:w="1643" w:type="pct"/>
            <w:tcBorders>
              <w:top w:val="single" w:sz="4" w:space="0" w:color="auto"/>
              <w:left w:val="nil"/>
              <w:bottom w:val="single" w:sz="4" w:space="0" w:color="auto"/>
              <w:right w:val="single" w:sz="4" w:space="0" w:color="auto"/>
            </w:tcBorders>
            <w:shd w:val="clear" w:color="auto" w:fill="auto"/>
            <w:noWrap/>
            <w:vAlign w:val="center"/>
          </w:tcPr>
          <w:p w14:paraId="422D9E28" w14:textId="77777777" w:rsidR="009D26D2" w:rsidRPr="00FE0328" w:rsidRDefault="0051469A" w:rsidP="00C96D93">
            <w:pPr>
              <w:keepNext/>
              <w:spacing w:after="0"/>
              <w:ind w:right="632"/>
              <w:jc w:val="right"/>
              <w:rPr>
                <w:rFonts w:eastAsia="Times New Roman" w:cs="Calibri"/>
                <w:bCs/>
                <w:color w:val="000000"/>
                <w:sz w:val="20"/>
                <w:szCs w:val="20"/>
                <w:lang w:eastAsia="cs-CZ"/>
              </w:rPr>
            </w:pPr>
            <w:r w:rsidRPr="00FE0328">
              <w:rPr>
                <w:rFonts w:cs="Calibri"/>
                <w:color w:val="000000"/>
                <w:sz w:val="20"/>
                <w:szCs w:val="20"/>
              </w:rPr>
              <w:t>501 461</w:t>
            </w:r>
          </w:p>
        </w:tc>
        <w:tc>
          <w:tcPr>
            <w:tcW w:w="1639" w:type="pct"/>
            <w:tcBorders>
              <w:top w:val="single" w:sz="4" w:space="0" w:color="auto"/>
              <w:left w:val="single" w:sz="4" w:space="0" w:color="auto"/>
              <w:bottom w:val="single" w:sz="4" w:space="0" w:color="auto"/>
              <w:right w:val="single" w:sz="4" w:space="0" w:color="auto"/>
            </w:tcBorders>
            <w:vAlign w:val="center"/>
          </w:tcPr>
          <w:p w14:paraId="6B1936BA" w14:textId="77777777" w:rsidR="009D26D2" w:rsidRPr="00FE0328" w:rsidRDefault="0051469A" w:rsidP="00C96D93">
            <w:pPr>
              <w:keepNext/>
              <w:spacing w:after="0"/>
              <w:ind w:right="632"/>
              <w:jc w:val="right"/>
              <w:rPr>
                <w:rFonts w:cs="Calibri"/>
                <w:color w:val="000000"/>
                <w:sz w:val="20"/>
                <w:szCs w:val="20"/>
              </w:rPr>
            </w:pPr>
            <w:r w:rsidRPr="00FE0328">
              <w:rPr>
                <w:rFonts w:cs="Calibri"/>
                <w:color w:val="000000"/>
                <w:sz w:val="20"/>
                <w:szCs w:val="20"/>
              </w:rPr>
              <w:t>28 147</w:t>
            </w:r>
          </w:p>
        </w:tc>
      </w:tr>
    </w:tbl>
    <w:p w14:paraId="05AD5ECA" w14:textId="0D837742" w:rsidR="00534D3C" w:rsidRPr="00FE0328" w:rsidRDefault="0051469A" w:rsidP="00C96D93">
      <w:pPr>
        <w:keepNext/>
        <w:spacing w:after="0"/>
        <w:rPr>
          <w:rStyle w:val="Hypertextovodkaz"/>
          <w:rFonts w:cs="Calibri"/>
          <w:color w:val="000000" w:themeColor="text1"/>
          <w:sz w:val="20"/>
          <w:szCs w:val="20"/>
          <w:u w:val="none"/>
        </w:rPr>
      </w:pPr>
      <w:r w:rsidRPr="00FE0328">
        <w:rPr>
          <w:rFonts w:cs="Calibri"/>
          <w:b/>
          <w:sz w:val="20"/>
          <w:szCs w:val="20"/>
        </w:rPr>
        <w:t>Z</w:t>
      </w:r>
      <w:r w:rsidR="009D26D2" w:rsidRPr="00FE0328">
        <w:rPr>
          <w:rFonts w:cs="Calibri"/>
          <w:b/>
          <w:sz w:val="20"/>
          <w:szCs w:val="20"/>
        </w:rPr>
        <w:t xml:space="preserve">droj: </w:t>
      </w:r>
      <w:hyperlink r:id="rId33" w:history="1">
        <w:r w:rsidR="009D26D2" w:rsidRPr="00FE0328">
          <w:rPr>
            <w:rStyle w:val="Hypertextovodkaz"/>
            <w:rFonts w:cs="Calibri"/>
            <w:sz w:val="20"/>
            <w:szCs w:val="20"/>
            <w:u w:val="none"/>
          </w:rPr>
          <w:t>https://www.czso.cz/</w:t>
        </w:r>
      </w:hyperlink>
      <w:r w:rsidRPr="00FE0328">
        <w:rPr>
          <w:rStyle w:val="Hypertextovodkaz"/>
          <w:rFonts w:cs="Calibri"/>
          <w:color w:val="000000" w:themeColor="text1"/>
          <w:sz w:val="20"/>
          <w:szCs w:val="20"/>
          <w:u w:val="none"/>
        </w:rPr>
        <w:t xml:space="preserve">, vlastní zpracování NKÚ. </w:t>
      </w:r>
    </w:p>
    <w:p w14:paraId="671A21C7" w14:textId="2F87E361" w:rsidR="009D26D2" w:rsidRPr="00FE0328" w:rsidRDefault="0051469A" w:rsidP="00E33F50">
      <w:pPr>
        <w:spacing w:after="0"/>
        <w:rPr>
          <w:rFonts w:cs="Calibri"/>
          <w:sz w:val="20"/>
          <w:szCs w:val="20"/>
        </w:rPr>
      </w:pPr>
      <w:r w:rsidRPr="00FE0328">
        <w:rPr>
          <w:rStyle w:val="Hypertextovodkaz"/>
          <w:rFonts w:cs="Calibri"/>
          <w:b/>
          <w:color w:val="auto"/>
          <w:sz w:val="20"/>
          <w:szCs w:val="20"/>
          <w:u w:val="none"/>
        </w:rPr>
        <w:t>Pozn.:</w:t>
      </w:r>
      <w:r w:rsidRPr="00FE0328">
        <w:rPr>
          <w:rStyle w:val="Hypertextovodkaz"/>
          <w:rFonts w:cs="Calibri"/>
          <w:color w:val="auto"/>
          <w:sz w:val="20"/>
          <w:szCs w:val="20"/>
          <w:u w:val="none"/>
        </w:rPr>
        <w:t xml:space="preserve"> * </w:t>
      </w:r>
      <w:r w:rsidR="00DE1A9B">
        <w:rPr>
          <w:rStyle w:val="Hypertextovodkaz"/>
          <w:rFonts w:cs="Calibri"/>
          <w:color w:val="auto"/>
          <w:sz w:val="20"/>
          <w:szCs w:val="20"/>
          <w:u w:val="none"/>
        </w:rPr>
        <w:t>Ú</w:t>
      </w:r>
      <w:r w:rsidRPr="00FE0328">
        <w:rPr>
          <w:rStyle w:val="Hypertextovodkaz"/>
          <w:rFonts w:cs="Calibri"/>
          <w:color w:val="auto"/>
          <w:sz w:val="20"/>
          <w:szCs w:val="20"/>
          <w:u w:val="none"/>
        </w:rPr>
        <w:t xml:space="preserve">daj je platný pro rok </w:t>
      </w:r>
      <w:r w:rsidRPr="00FE0328">
        <w:rPr>
          <w:rFonts w:cs="Calibri"/>
          <w:sz w:val="20"/>
          <w:szCs w:val="20"/>
        </w:rPr>
        <w:t>1995</w:t>
      </w:r>
      <w:r w:rsidR="00A21D0B" w:rsidRPr="00FE0328">
        <w:rPr>
          <w:rFonts w:cs="Calibri"/>
          <w:sz w:val="20"/>
          <w:szCs w:val="20"/>
        </w:rPr>
        <w:t>.</w:t>
      </w:r>
    </w:p>
    <w:p w14:paraId="708ECA8C" w14:textId="77777777" w:rsidR="000E70C5" w:rsidRPr="00C96D93" w:rsidRDefault="0051469A" w:rsidP="00C96D93">
      <w:pPr>
        <w:spacing w:before="120"/>
        <w:rPr>
          <w:b/>
        </w:rPr>
      </w:pPr>
      <w:r w:rsidRPr="00C96D93">
        <w:rPr>
          <w:b/>
        </w:rPr>
        <w:t xml:space="preserve">Snížení a zvýšení daně </w:t>
      </w:r>
      <w:r w:rsidR="009E5D6B" w:rsidRPr="00C96D93">
        <w:rPr>
          <w:b/>
        </w:rPr>
        <w:t>silniční</w:t>
      </w:r>
    </w:p>
    <w:p w14:paraId="30FD5558" w14:textId="4ABFD4D3" w:rsidR="00645A3C" w:rsidRPr="00C96D93" w:rsidRDefault="0051469A" w:rsidP="00C96D93">
      <w:pPr>
        <w:spacing w:before="120"/>
      </w:pPr>
      <w:r w:rsidRPr="00C96D93">
        <w:t>Podle zákona o dani silniční</w:t>
      </w:r>
      <w:r w:rsidRPr="00C96D93">
        <w:rPr>
          <w:rStyle w:val="Znakapoznpodarou"/>
        </w:rPr>
        <w:footnoteReference w:id="35"/>
      </w:r>
      <w:r w:rsidRPr="00C96D93">
        <w:t xml:space="preserve"> lze u všech vozidel z</w:t>
      </w:r>
      <w:r w:rsidR="00614233" w:rsidRPr="00C96D93">
        <w:t>ákladní sazby s</w:t>
      </w:r>
      <w:r w:rsidRPr="00C96D93">
        <w:t>ilniční</w:t>
      </w:r>
      <w:r w:rsidR="00614233" w:rsidRPr="00C96D93">
        <w:t xml:space="preserve"> daně v ČR dále snížit („bonus“) nebo naopak zvýšit („malus“)</w:t>
      </w:r>
      <w:r w:rsidR="00DE1A9B">
        <w:t>,</w:t>
      </w:r>
      <w:r w:rsidR="00614233" w:rsidRPr="00C96D93">
        <w:t xml:space="preserve"> </w:t>
      </w:r>
      <w:r w:rsidR="00825629" w:rsidRPr="00C96D93">
        <w:t xml:space="preserve">a to </w:t>
      </w:r>
      <w:r w:rsidR="00614233" w:rsidRPr="00C96D93">
        <w:t>na základě stáří vozidla</w:t>
      </w:r>
      <w:r w:rsidR="00D10593" w:rsidRPr="00C96D93">
        <w:t xml:space="preserve"> (viz tabulka č. </w:t>
      </w:r>
      <w:r w:rsidR="00825629" w:rsidRPr="00C96D93">
        <w:t>13</w:t>
      </w:r>
      <w:r w:rsidR="00D10593" w:rsidRPr="00C96D93">
        <w:t>)</w:t>
      </w:r>
      <w:r w:rsidRPr="00C96D93">
        <w:t>.</w:t>
      </w:r>
    </w:p>
    <w:p w14:paraId="01BFEDCF" w14:textId="77777777" w:rsidR="00645A3C" w:rsidRDefault="0037299F" w:rsidP="00C96D93">
      <w:pPr>
        <w:pStyle w:val="Tabulka"/>
        <w:numPr>
          <w:ilvl w:val="0"/>
          <w:numId w:val="0"/>
        </w:numPr>
      </w:pPr>
      <w:r>
        <w:t xml:space="preserve">Tabulka č. 13: </w:t>
      </w:r>
      <w:r w:rsidR="0051469A">
        <w:t xml:space="preserve">Úprava sazby daně </w:t>
      </w:r>
      <w:r w:rsidR="00825629">
        <w:t xml:space="preserve">silniční </w:t>
      </w:r>
      <w:r w:rsidR="0051469A">
        <w:t>podle stáří vozidla</w:t>
      </w:r>
    </w:p>
    <w:tbl>
      <w:tblPr>
        <w:tblStyle w:val="Mkatabulky"/>
        <w:tblW w:w="0" w:type="auto"/>
        <w:tblLook w:val="04A0" w:firstRow="1" w:lastRow="0" w:firstColumn="1" w:lastColumn="0" w:noHBand="0" w:noVBand="1"/>
      </w:tblPr>
      <w:tblGrid>
        <w:gridCol w:w="4530"/>
        <w:gridCol w:w="4530"/>
      </w:tblGrid>
      <w:tr w:rsidR="00121435" w:rsidRPr="00DF7DA6" w14:paraId="0EE828C3" w14:textId="77777777" w:rsidTr="0037299F">
        <w:trPr>
          <w:trHeight w:val="227"/>
        </w:trPr>
        <w:tc>
          <w:tcPr>
            <w:tcW w:w="4531" w:type="dxa"/>
            <w:shd w:val="clear" w:color="auto" w:fill="E5F1FF"/>
          </w:tcPr>
          <w:p w14:paraId="3B12D3B3" w14:textId="77777777" w:rsidR="00645A3C" w:rsidRPr="00B66B4D" w:rsidRDefault="0051469A" w:rsidP="0037299F">
            <w:pPr>
              <w:spacing w:after="0"/>
              <w:jc w:val="center"/>
              <w:rPr>
                <w:b/>
                <w:sz w:val="20"/>
                <w:szCs w:val="20"/>
              </w:rPr>
            </w:pPr>
            <w:r w:rsidRPr="00B66B4D">
              <w:rPr>
                <w:b/>
                <w:sz w:val="20"/>
                <w:szCs w:val="20"/>
              </w:rPr>
              <w:t>BONUS</w:t>
            </w:r>
          </w:p>
        </w:tc>
        <w:tc>
          <w:tcPr>
            <w:tcW w:w="4531" w:type="dxa"/>
            <w:shd w:val="clear" w:color="auto" w:fill="E5F1FF"/>
          </w:tcPr>
          <w:p w14:paraId="5C504807" w14:textId="77777777" w:rsidR="00645A3C" w:rsidRPr="00B66B4D" w:rsidRDefault="0051469A" w:rsidP="0037299F">
            <w:pPr>
              <w:spacing w:after="0"/>
              <w:jc w:val="center"/>
              <w:rPr>
                <w:b/>
                <w:sz w:val="20"/>
                <w:szCs w:val="20"/>
              </w:rPr>
            </w:pPr>
            <w:r w:rsidRPr="00B66B4D">
              <w:rPr>
                <w:b/>
                <w:sz w:val="20"/>
                <w:szCs w:val="20"/>
              </w:rPr>
              <w:t>MALUS</w:t>
            </w:r>
          </w:p>
        </w:tc>
      </w:tr>
      <w:tr w:rsidR="00121435" w:rsidRPr="00DF7DA6" w14:paraId="67A65AF6" w14:textId="77777777" w:rsidTr="0037299F">
        <w:trPr>
          <w:trHeight w:val="227"/>
        </w:trPr>
        <w:tc>
          <w:tcPr>
            <w:tcW w:w="4531" w:type="dxa"/>
          </w:tcPr>
          <w:p w14:paraId="7B7069BF" w14:textId="77777777" w:rsidR="00DF1D8F" w:rsidRPr="00DF7DA6" w:rsidRDefault="0051469A" w:rsidP="0037299F">
            <w:pPr>
              <w:spacing w:after="0"/>
              <w:rPr>
                <w:sz w:val="20"/>
                <w:szCs w:val="20"/>
              </w:rPr>
            </w:pPr>
            <w:r w:rsidRPr="00DF7DA6">
              <w:rPr>
                <w:sz w:val="20"/>
                <w:szCs w:val="20"/>
              </w:rPr>
              <w:t>Pro vozidla stáří max. 9 let od první registrace vozidla.</w:t>
            </w:r>
          </w:p>
        </w:tc>
        <w:tc>
          <w:tcPr>
            <w:tcW w:w="4531" w:type="dxa"/>
          </w:tcPr>
          <w:p w14:paraId="2295CB56" w14:textId="506203FE" w:rsidR="00DF1D8F" w:rsidRPr="008368F8" w:rsidRDefault="0051469A" w:rsidP="00DE1A9B">
            <w:pPr>
              <w:spacing w:after="0"/>
              <w:rPr>
                <w:sz w:val="20"/>
                <w:szCs w:val="20"/>
              </w:rPr>
            </w:pPr>
            <w:r w:rsidRPr="008368F8">
              <w:rPr>
                <w:sz w:val="20"/>
                <w:szCs w:val="20"/>
              </w:rPr>
              <w:t>Pro vozidla registrovaná poprvé v ČR nebo v zahraničí do 31. prosince 1989 (30 let k roku 2019).</w:t>
            </w:r>
          </w:p>
        </w:tc>
      </w:tr>
      <w:tr w:rsidR="00121435" w:rsidRPr="00DF7DA6" w14:paraId="2E9925D7" w14:textId="77777777" w:rsidTr="0037299F">
        <w:trPr>
          <w:trHeight w:val="227"/>
        </w:trPr>
        <w:tc>
          <w:tcPr>
            <w:tcW w:w="4531" w:type="dxa"/>
          </w:tcPr>
          <w:p w14:paraId="73FC7C76" w14:textId="77777777" w:rsidR="00645A3C" w:rsidRPr="00DF7DA6" w:rsidRDefault="0051469A" w:rsidP="0037299F">
            <w:pPr>
              <w:pStyle w:val="Odstavecseseznamem"/>
              <w:numPr>
                <w:ilvl w:val="0"/>
                <w:numId w:val="14"/>
              </w:numPr>
              <w:contextualSpacing w:val="0"/>
              <w:rPr>
                <w:sz w:val="20"/>
                <w:szCs w:val="20"/>
              </w:rPr>
            </w:pPr>
            <w:r w:rsidRPr="00DF7DA6">
              <w:rPr>
                <w:sz w:val="20"/>
                <w:szCs w:val="20"/>
              </w:rPr>
              <w:t>48 % první tři roky</w:t>
            </w:r>
          </w:p>
          <w:p w14:paraId="383FA6B1" w14:textId="77777777" w:rsidR="00645A3C" w:rsidRPr="006804BE" w:rsidRDefault="0051469A" w:rsidP="0037299F">
            <w:pPr>
              <w:pStyle w:val="Odstavecseseznamem"/>
              <w:numPr>
                <w:ilvl w:val="0"/>
                <w:numId w:val="14"/>
              </w:numPr>
              <w:contextualSpacing w:val="0"/>
              <w:rPr>
                <w:sz w:val="20"/>
                <w:szCs w:val="20"/>
              </w:rPr>
            </w:pPr>
            <w:r w:rsidRPr="008368F8">
              <w:rPr>
                <w:sz w:val="20"/>
                <w:szCs w:val="20"/>
              </w:rPr>
              <w:t>40 % další tři roky</w:t>
            </w:r>
          </w:p>
          <w:p w14:paraId="7CEA9676" w14:textId="77777777" w:rsidR="00645A3C" w:rsidRPr="0012545B" w:rsidRDefault="0051469A" w:rsidP="0037299F">
            <w:pPr>
              <w:pStyle w:val="Odstavecseseznamem"/>
              <w:numPr>
                <w:ilvl w:val="0"/>
                <w:numId w:val="14"/>
              </w:numPr>
              <w:contextualSpacing w:val="0"/>
              <w:rPr>
                <w:sz w:val="20"/>
                <w:szCs w:val="20"/>
              </w:rPr>
            </w:pPr>
            <w:r w:rsidRPr="0012545B">
              <w:rPr>
                <w:sz w:val="20"/>
                <w:szCs w:val="20"/>
              </w:rPr>
              <w:t>25 % další tři roky</w:t>
            </w:r>
          </w:p>
        </w:tc>
        <w:tc>
          <w:tcPr>
            <w:tcW w:w="4531" w:type="dxa"/>
          </w:tcPr>
          <w:p w14:paraId="4E9B159E" w14:textId="77777777" w:rsidR="00645A3C" w:rsidRPr="00FB7D70" w:rsidRDefault="0051469A" w:rsidP="0037299F">
            <w:pPr>
              <w:pStyle w:val="Odstavecseseznamem"/>
              <w:numPr>
                <w:ilvl w:val="0"/>
                <w:numId w:val="14"/>
              </w:numPr>
              <w:contextualSpacing w:val="0"/>
              <w:rPr>
                <w:sz w:val="20"/>
                <w:szCs w:val="20"/>
              </w:rPr>
            </w:pPr>
            <w:r w:rsidRPr="00FB7D70">
              <w:rPr>
                <w:sz w:val="20"/>
                <w:szCs w:val="20"/>
              </w:rPr>
              <w:t>25 %</w:t>
            </w:r>
          </w:p>
        </w:tc>
      </w:tr>
    </w:tbl>
    <w:p w14:paraId="444D81F8" w14:textId="2F5B4732" w:rsidR="00645A3C" w:rsidRPr="0037299F" w:rsidRDefault="0051469A" w:rsidP="0037299F">
      <w:pPr>
        <w:spacing w:before="40"/>
        <w:rPr>
          <w:highlight w:val="yellow"/>
        </w:rPr>
      </w:pPr>
      <w:r w:rsidRPr="0037299F">
        <w:rPr>
          <w:b/>
          <w:sz w:val="20"/>
          <w:szCs w:val="20"/>
        </w:rPr>
        <w:t>Zdroj:</w:t>
      </w:r>
      <w:r w:rsidRPr="0037299F">
        <w:rPr>
          <w:sz w:val="20"/>
          <w:szCs w:val="20"/>
        </w:rPr>
        <w:t xml:space="preserve"> </w:t>
      </w:r>
      <w:r w:rsidR="00DE1A9B">
        <w:rPr>
          <w:sz w:val="20"/>
          <w:szCs w:val="20"/>
        </w:rPr>
        <w:t>vypracoval</w:t>
      </w:r>
      <w:r w:rsidRPr="0037299F">
        <w:rPr>
          <w:sz w:val="20"/>
          <w:szCs w:val="20"/>
        </w:rPr>
        <w:t xml:space="preserve"> NKÚ.</w:t>
      </w:r>
      <w:r w:rsidRPr="0037299F">
        <w:rPr>
          <w:highlight w:val="yellow"/>
        </w:rPr>
        <w:t xml:space="preserve"> </w:t>
      </w:r>
    </w:p>
    <w:p w14:paraId="6C7FF144" w14:textId="6DCF111A" w:rsidR="00A84A84" w:rsidRPr="00FA0912" w:rsidRDefault="0051469A" w:rsidP="00A84A84">
      <w:r>
        <w:t>NKÚ zkoumal efektivnost tohoto opatření</w:t>
      </w:r>
      <w:r w:rsidR="0009644C">
        <w:t>,</w:t>
      </w:r>
      <w:r>
        <w:t xml:space="preserve"> tj. vztah mezi výdaji veřejných rozpočtů v podobě snížení inkasa daně a vývojem vozového parku. </w:t>
      </w:r>
      <w:r w:rsidR="000A4A92">
        <w:t xml:space="preserve">NKÚ zjistil, že možnost </w:t>
      </w:r>
      <w:r w:rsidR="00DE1A9B">
        <w:t>uplatnit</w:t>
      </w:r>
      <w:r w:rsidR="000A4A92">
        <w:t xml:space="preserve"> slevy na dani po dobu devíti let se blíží průměrnému stáří vozidel v</w:t>
      </w:r>
      <w:r w:rsidR="00D41C97">
        <w:t> </w:t>
      </w:r>
      <w:r w:rsidR="000A4A92">
        <w:t>EU</w:t>
      </w:r>
      <w:r w:rsidR="00D41C97">
        <w:t xml:space="preserve">, který v roce 2017 </w:t>
      </w:r>
      <w:r w:rsidR="003A3675">
        <w:t>čin</w:t>
      </w:r>
      <w:r w:rsidR="00D41C97">
        <w:t xml:space="preserve">il cca </w:t>
      </w:r>
      <w:r w:rsidR="00D41C97" w:rsidRPr="00237396">
        <w:t>11 let</w:t>
      </w:r>
      <w:r w:rsidRPr="00237396">
        <w:rPr>
          <w:rStyle w:val="Znakapoznpodarou"/>
        </w:rPr>
        <w:footnoteReference w:id="36"/>
      </w:r>
      <w:r w:rsidR="00D41C97" w:rsidRPr="00237396">
        <w:t>.</w:t>
      </w:r>
      <w:r w:rsidR="000A4A92">
        <w:t xml:space="preserve"> </w:t>
      </w:r>
      <w:r w:rsidR="00645A3C">
        <w:t>MF vyhodnotilo, že snížení dan</w:t>
      </w:r>
      <w:r w:rsidR="00DC3A67">
        <w:t>ě</w:t>
      </w:r>
      <w:r w:rsidR="00B865C1">
        <w:t xml:space="preserve"> </w:t>
      </w:r>
      <w:r w:rsidR="00DC3A67">
        <w:t>(bonus)</w:t>
      </w:r>
      <w:r w:rsidR="00645A3C">
        <w:t xml:space="preserve"> je účinné</w:t>
      </w:r>
      <w:r w:rsidR="00DC3A67">
        <w:t xml:space="preserve"> opatření</w:t>
      </w:r>
      <w:r w:rsidR="00645A3C">
        <w:t>, avšak bylo by vhodné zvážit zkrácení doby jeho uplatňování.</w:t>
      </w:r>
      <w:r w:rsidR="00D41C97">
        <w:t xml:space="preserve"> NKÚ zjistil, že MF zvolilo </w:t>
      </w:r>
      <w:r w:rsidR="00C43E12">
        <w:t>nedostatečná</w:t>
      </w:r>
      <w:r w:rsidR="00D41C97">
        <w:t xml:space="preserve"> kritéria pro</w:t>
      </w:r>
      <w:r w:rsidR="00DE1A9B">
        <w:t xml:space="preserve"> </w:t>
      </w:r>
      <w:r w:rsidR="00D41C97">
        <w:t>konstatování účinnosti</w:t>
      </w:r>
      <w:r w:rsidR="000D237B">
        <w:t>,</w:t>
      </w:r>
      <w:r w:rsidR="00D41C97">
        <w:t xml:space="preserve"> neboť nezapočetlo vývoj vozidel, které slevu neuplatňují</w:t>
      </w:r>
      <w:r w:rsidR="00036DCE">
        <w:t>, tj. </w:t>
      </w:r>
      <w:r w:rsidR="00C43E12">
        <w:t>vozidla starší 108 měsíců</w:t>
      </w:r>
      <w:r w:rsidR="000A75A7">
        <w:t>. Celkový počet vozidel podléhajících zdanění stoupá.</w:t>
      </w:r>
      <w:r w:rsidR="00D41C97">
        <w:t xml:space="preserve"> </w:t>
      </w:r>
      <w:r w:rsidR="000A75A7">
        <w:t>P</w:t>
      </w:r>
      <w:r w:rsidR="00704D5B">
        <w:t>očet vozidel s</w:t>
      </w:r>
      <w:r w:rsidR="000A75A7">
        <w:t> </w:t>
      </w:r>
      <w:r w:rsidR="00704D5B">
        <w:t>bonusem</w:t>
      </w:r>
      <w:r w:rsidR="000A75A7">
        <w:t xml:space="preserve"> stoupá pomaleji než počet vozidel bez nároku na bonus, tj. vozidel nad 108 měsíců stáří. Podíl vozidel s bonusem na celkovém počtu zdaňovaných vozidel klesá, avšak </w:t>
      </w:r>
      <w:r w:rsidR="00704D5B">
        <w:t>výše snížení daně</w:t>
      </w:r>
      <w:r w:rsidR="000A75A7">
        <w:t xml:space="preserve"> roste</w:t>
      </w:r>
      <w:r w:rsidR="0052654E">
        <w:t xml:space="preserve"> (</w:t>
      </w:r>
      <w:r w:rsidR="00CC6CFF">
        <w:t xml:space="preserve">viz tabulka č. </w:t>
      </w:r>
      <w:r w:rsidR="009D26D2" w:rsidRPr="00237396">
        <w:t>1</w:t>
      </w:r>
      <w:r w:rsidR="00825629" w:rsidRPr="00237396">
        <w:t>4</w:t>
      </w:r>
      <w:r w:rsidR="0052654E" w:rsidRPr="00237396">
        <w:t>)</w:t>
      </w:r>
      <w:r w:rsidR="00CC6CFF" w:rsidRPr="00237396">
        <w:t>.</w:t>
      </w:r>
      <w:r w:rsidR="00B73A2B">
        <w:t xml:space="preserve"> </w:t>
      </w:r>
      <w:r w:rsidRPr="00FA0912">
        <w:t>Přínos na vozový park a potažmo plnění cílů KEP vynaložení celkových výdajů v podobě snížení inkasa silniční daně nebyl prokázán.</w:t>
      </w:r>
    </w:p>
    <w:p w14:paraId="0357A64F" w14:textId="77777777" w:rsidR="00405E5F" w:rsidRDefault="0037299F" w:rsidP="0037299F">
      <w:pPr>
        <w:pStyle w:val="Tabulka"/>
        <w:numPr>
          <w:ilvl w:val="0"/>
          <w:numId w:val="0"/>
        </w:numPr>
        <w:spacing w:after="40"/>
      </w:pPr>
      <w:r>
        <w:t xml:space="preserve">Tabulka č. 14: </w:t>
      </w:r>
      <w:r w:rsidR="0051469A">
        <w:t xml:space="preserve">Uplatněný bonus </w:t>
      </w:r>
      <w:r w:rsidR="00BA6582">
        <w:t>po</w:t>
      </w:r>
      <w:r w:rsidR="0051469A">
        <w:t xml:space="preserve">dle daňových přiznání </w:t>
      </w:r>
    </w:p>
    <w:tbl>
      <w:tblPr>
        <w:tblStyle w:val="Mkatabulky"/>
        <w:tblW w:w="9072" w:type="dxa"/>
        <w:tblInd w:w="-5" w:type="dxa"/>
        <w:tblLook w:val="04A0" w:firstRow="1" w:lastRow="0" w:firstColumn="1" w:lastColumn="0" w:noHBand="0" w:noVBand="1"/>
      </w:tblPr>
      <w:tblGrid>
        <w:gridCol w:w="3024"/>
        <w:gridCol w:w="3024"/>
        <w:gridCol w:w="3024"/>
      </w:tblGrid>
      <w:tr w:rsidR="00121435" w:rsidRPr="00DF7DA6" w14:paraId="7175AFDE" w14:textId="77777777" w:rsidTr="00BB24A9">
        <w:trPr>
          <w:trHeight w:val="227"/>
        </w:trPr>
        <w:tc>
          <w:tcPr>
            <w:tcW w:w="3024" w:type="dxa"/>
            <w:shd w:val="clear" w:color="auto" w:fill="DEEAF6" w:themeFill="accent1" w:themeFillTint="33"/>
            <w:vAlign w:val="center"/>
          </w:tcPr>
          <w:p w14:paraId="5493C7B1" w14:textId="77777777" w:rsidR="000A75A7" w:rsidRPr="00B66B4D" w:rsidRDefault="0051469A" w:rsidP="00BA6582">
            <w:pPr>
              <w:keepNext/>
              <w:spacing w:after="0"/>
              <w:jc w:val="center"/>
              <w:rPr>
                <w:b/>
                <w:sz w:val="20"/>
                <w:szCs w:val="20"/>
              </w:rPr>
            </w:pPr>
            <w:r w:rsidRPr="00B66B4D">
              <w:rPr>
                <w:b/>
                <w:sz w:val="20"/>
                <w:szCs w:val="20"/>
              </w:rPr>
              <w:t xml:space="preserve">Rok </w:t>
            </w:r>
          </w:p>
        </w:tc>
        <w:tc>
          <w:tcPr>
            <w:tcW w:w="3024" w:type="dxa"/>
            <w:shd w:val="clear" w:color="auto" w:fill="DEEAF6" w:themeFill="accent1" w:themeFillTint="33"/>
            <w:vAlign w:val="center"/>
          </w:tcPr>
          <w:p w14:paraId="4460A479" w14:textId="77777777" w:rsidR="000A75A7" w:rsidRPr="00B66B4D" w:rsidRDefault="0051469A" w:rsidP="00BA6582">
            <w:pPr>
              <w:keepNext/>
              <w:spacing w:after="0"/>
              <w:jc w:val="center"/>
              <w:rPr>
                <w:b/>
                <w:sz w:val="20"/>
                <w:szCs w:val="20"/>
              </w:rPr>
            </w:pPr>
            <w:r w:rsidRPr="00B66B4D">
              <w:rPr>
                <w:b/>
                <w:sz w:val="20"/>
                <w:szCs w:val="20"/>
              </w:rPr>
              <w:t xml:space="preserve">Podíl vozidel s bonusem  </w:t>
            </w:r>
          </w:p>
        </w:tc>
        <w:tc>
          <w:tcPr>
            <w:tcW w:w="3024" w:type="dxa"/>
            <w:shd w:val="clear" w:color="auto" w:fill="DEEAF6" w:themeFill="accent1" w:themeFillTint="33"/>
            <w:vAlign w:val="center"/>
          </w:tcPr>
          <w:p w14:paraId="4A928142" w14:textId="77777777" w:rsidR="000A75A7" w:rsidRPr="00B66B4D" w:rsidRDefault="0051469A" w:rsidP="00BA6582">
            <w:pPr>
              <w:keepNext/>
              <w:spacing w:after="0"/>
              <w:jc w:val="center"/>
              <w:rPr>
                <w:b/>
                <w:sz w:val="20"/>
                <w:szCs w:val="20"/>
              </w:rPr>
            </w:pPr>
            <w:r w:rsidRPr="00B66B4D">
              <w:rPr>
                <w:b/>
                <w:sz w:val="20"/>
                <w:szCs w:val="20"/>
              </w:rPr>
              <w:t>Výše snížení daně</w:t>
            </w:r>
          </w:p>
        </w:tc>
      </w:tr>
      <w:tr w:rsidR="00121435" w:rsidRPr="00DF7DA6" w14:paraId="22149AE8" w14:textId="77777777" w:rsidTr="00BB24A9">
        <w:trPr>
          <w:trHeight w:val="227"/>
        </w:trPr>
        <w:tc>
          <w:tcPr>
            <w:tcW w:w="3024" w:type="dxa"/>
            <w:shd w:val="clear" w:color="auto" w:fill="auto"/>
            <w:vAlign w:val="center"/>
          </w:tcPr>
          <w:p w14:paraId="4AE8D142" w14:textId="77777777" w:rsidR="000A75A7" w:rsidRPr="00B66B4D" w:rsidRDefault="0051469A" w:rsidP="00BA6582">
            <w:pPr>
              <w:keepNext/>
              <w:spacing w:after="0"/>
              <w:jc w:val="center"/>
              <w:rPr>
                <w:sz w:val="20"/>
                <w:szCs w:val="20"/>
              </w:rPr>
            </w:pPr>
            <w:r w:rsidRPr="00B66B4D">
              <w:rPr>
                <w:sz w:val="20"/>
                <w:szCs w:val="20"/>
              </w:rPr>
              <w:t>2015</w:t>
            </w:r>
          </w:p>
        </w:tc>
        <w:tc>
          <w:tcPr>
            <w:tcW w:w="3024" w:type="dxa"/>
            <w:shd w:val="clear" w:color="auto" w:fill="auto"/>
            <w:vAlign w:val="center"/>
          </w:tcPr>
          <w:p w14:paraId="60B0A352" w14:textId="77777777" w:rsidR="000A75A7" w:rsidRPr="00B66B4D" w:rsidRDefault="0051469A" w:rsidP="00BA6582">
            <w:pPr>
              <w:keepNext/>
              <w:spacing w:after="0"/>
              <w:jc w:val="center"/>
              <w:rPr>
                <w:sz w:val="20"/>
                <w:szCs w:val="20"/>
              </w:rPr>
            </w:pPr>
            <w:r w:rsidRPr="00B66B4D">
              <w:rPr>
                <w:sz w:val="20"/>
                <w:szCs w:val="20"/>
              </w:rPr>
              <w:t>63,58 %</w:t>
            </w:r>
          </w:p>
        </w:tc>
        <w:tc>
          <w:tcPr>
            <w:tcW w:w="3024" w:type="dxa"/>
            <w:shd w:val="clear" w:color="auto" w:fill="auto"/>
            <w:vAlign w:val="center"/>
          </w:tcPr>
          <w:p w14:paraId="73767287" w14:textId="77777777" w:rsidR="000A75A7" w:rsidRPr="00B66B4D" w:rsidRDefault="0051469A" w:rsidP="00BA6582">
            <w:pPr>
              <w:keepNext/>
              <w:spacing w:after="0"/>
              <w:jc w:val="center"/>
              <w:rPr>
                <w:sz w:val="20"/>
                <w:szCs w:val="20"/>
              </w:rPr>
            </w:pPr>
            <w:r w:rsidRPr="00B66B4D">
              <w:rPr>
                <w:sz w:val="20"/>
                <w:szCs w:val="20"/>
              </w:rPr>
              <w:t>1 694,2 mil. Kč</w:t>
            </w:r>
          </w:p>
        </w:tc>
      </w:tr>
      <w:tr w:rsidR="00121435" w:rsidRPr="00DF7DA6" w14:paraId="61A3C769" w14:textId="77777777" w:rsidTr="00BB24A9">
        <w:trPr>
          <w:trHeight w:val="227"/>
        </w:trPr>
        <w:tc>
          <w:tcPr>
            <w:tcW w:w="3024" w:type="dxa"/>
            <w:shd w:val="clear" w:color="auto" w:fill="auto"/>
            <w:vAlign w:val="center"/>
          </w:tcPr>
          <w:p w14:paraId="0B87857C" w14:textId="77777777" w:rsidR="000A75A7" w:rsidRPr="00B66B4D" w:rsidRDefault="0051469A" w:rsidP="00BA6582">
            <w:pPr>
              <w:keepNext/>
              <w:spacing w:after="0"/>
              <w:jc w:val="center"/>
              <w:rPr>
                <w:sz w:val="20"/>
                <w:szCs w:val="20"/>
              </w:rPr>
            </w:pPr>
            <w:r w:rsidRPr="00B66B4D">
              <w:rPr>
                <w:sz w:val="20"/>
                <w:szCs w:val="20"/>
              </w:rPr>
              <w:t>2017</w:t>
            </w:r>
          </w:p>
        </w:tc>
        <w:tc>
          <w:tcPr>
            <w:tcW w:w="3024" w:type="dxa"/>
            <w:shd w:val="clear" w:color="auto" w:fill="auto"/>
            <w:vAlign w:val="center"/>
          </w:tcPr>
          <w:p w14:paraId="6918994C" w14:textId="77777777" w:rsidR="000A75A7" w:rsidRPr="00B66B4D" w:rsidRDefault="0051469A" w:rsidP="00BA6582">
            <w:pPr>
              <w:keepNext/>
              <w:spacing w:after="0"/>
              <w:jc w:val="center"/>
              <w:rPr>
                <w:sz w:val="20"/>
                <w:szCs w:val="20"/>
              </w:rPr>
            </w:pPr>
            <w:r w:rsidRPr="00B66B4D">
              <w:rPr>
                <w:sz w:val="20"/>
                <w:szCs w:val="20"/>
              </w:rPr>
              <w:t>61,96 %</w:t>
            </w:r>
          </w:p>
        </w:tc>
        <w:tc>
          <w:tcPr>
            <w:tcW w:w="3024" w:type="dxa"/>
            <w:shd w:val="clear" w:color="auto" w:fill="auto"/>
            <w:vAlign w:val="center"/>
          </w:tcPr>
          <w:p w14:paraId="6FBDDBBD" w14:textId="77777777" w:rsidR="000A75A7" w:rsidRPr="00B66B4D" w:rsidRDefault="0051469A" w:rsidP="00BA6582">
            <w:pPr>
              <w:keepNext/>
              <w:spacing w:after="0"/>
              <w:jc w:val="center"/>
              <w:rPr>
                <w:sz w:val="20"/>
                <w:szCs w:val="20"/>
              </w:rPr>
            </w:pPr>
            <w:r w:rsidRPr="00B66B4D">
              <w:rPr>
                <w:sz w:val="20"/>
                <w:szCs w:val="20"/>
              </w:rPr>
              <w:t>1 834,5 mil. Kč</w:t>
            </w:r>
          </w:p>
        </w:tc>
      </w:tr>
    </w:tbl>
    <w:p w14:paraId="6325FAC2" w14:textId="5B453E3C" w:rsidR="00CC6CFF" w:rsidRPr="0037299F" w:rsidRDefault="00C43E12" w:rsidP="0037299F">
      <w:pPr>
        <w:pStyle w:val="Tabulka"/>
        <w:numPr>
          <w:ilvl w:val="0"/>
          <w:numId w:val="0"/>
        </w:numPr>
        <w:spacing w:before="40" w:after="120"/>
        <w:rPr>
          <w:b w:val="0"/>
          <w:sz w:val="20"/>
          <w:szCs w:val="20"/>
        </w:rPr>
      </w:pPr>
      <w:r w:rsidRPr="0037299F">
        <w:rPr>
          <w:sz w:val="20"/>
          <w:szCs w:val="20"/>
        </w:rPr>
        <w:t>Zdroj:</w:t>
      </w:r>
      <w:r w:rsidRPr="0037299F">
        <w:rPr>
          <w:b w:val="0"/>
          <w:sz w:val="20"/>
          <w:szCs w:val="20"/>
        </w:rPr>
        <w:t xml:space="preserve"> </w:t>
      </w:r>
      <w:r w:rsidR="006C3A4B">
        <w:rPr>
          <w:b w:val="0"/>
          <w:sz w:val="20"/>
          <w:szCs w:val="20"/>
        </w:rPr>
        <w:t xml:space="preserve">vypracoval NKÚ na základě dat od </w:t>
      </w:r>
      <w:r w:rsidRPr="0037299F">
        <w:rPr>
          <w:b w:val="0"/>
          <w:sz w:val="20"/>
          <w:szCs w:val="20"/>
        </w:rPr>
        <w:t>MF</w:t>
      </w:r>
      <w:r w:rsidR="000A75A7" w:rsidRPr="0037299F">
        <w:rPr>
          <w:b w:val="0"/>
          <w:sz w:val="20"/>
          <w:szCs w:val="20"/>
        </w:rPr>
        <w:t>.</w:t>
      </w:r>
      <w:r w:rsidRPr="0037299F">
        <w:rPr>
          <w:b w:val="0"/>
          <w:sz w:val="20"/>
          <w:szCs w:val="20"/>
        </w:rPr>
        <w:t xml:space="preserve"> </w:t>
      </w:r>
    </w:p>
    <w:p w14:paraId="4311C8BB" w14:textId="00F160C1" w:rsidR="00691125" w:rsidRPr="00B66B4D" w:rsidRDefault="0051469A" w:rsidP="00645A3C">
      <w:r w:rsidRPr="0052654E">
        <w:t xml:space="preserve">Zvýšení daně (malus) pro </w:t>
      </w:r>
      <w:r w:rsidR="00A52361" w:rsidRPr="0052654E">
        <w:t xml:space="preserve">vozidla registrovaná do 30. </w:t>
      </w:r>
      <w:r w:rsidR="00DF1D8F" w:rsidRPr="0052654E">
        <w:t>12.</w:t>
      </w:r>
      <w:r w:rsidR="00A52361" w:rsidRPr="0052654E">
        <w:t xml:space="preserve"> 1989</w:t>
      </w:r>
      <w:r w:rsidR="004B3FAA" w:rsidRPr="0052654E">
        <w:t xml:space="preserve"> již </w:t>
      </w:r>
      <w:r w:rsidR="0075431C">
        <w:t>neplní svou</w:t>
      </w:r>
      <w:r w:rsidR="004B3FAA" w:rsidRPr="0052654E">
        <w:t xml:space="preserve"> </w:t>
      </w:r>
      <w:r w:rsidR="004F25F2">
        <w:t>funkci</w:t>
      </w:r>
      <w:r w:rsidR="00E3756F" w:rsidRPr="0052654E">
        <w:t>,</w:t>
      </w:r>
      <w:r w:rsidR="0009644C" w:rsidRPr="0052654E">
        <w:t xml:space="preserve"> protože</w:t>
      </w:r>
      <w:r w:rsidR="004B3FAA">
        <w:t xml:space="preserve"> od </w:t>
      </w:r>
      <w:r w:rsidR="009512F7">
        <w:t xml:space="preserve">jeho </w:t>
      </w:r>
      <w:r w:rsidR="004B3FAA">
        <w:t>zavedení</w:t>
      </w:r>
      <w:r w:rsidR="009512F7">
        <w:t xml:space="preserve"> MF</w:t>
      </w:r>
      <w:r w:rsidR="004B3FAA">
        <w:t xml:space="preserve"> </w:t>
      </w:r>
      <w:r w:rsidR="009512F7">
        <w:t>ne</w:t>
      </w:r>
      <w:r w:rsidR="004B3FAA">
        <w:t>aktualizov</w:t>
      </w:r>
      <w:r w:rsidR="009512F7">
        <w:t>alo</w:t>
      </w:r>
      <w:r w:rsidR="004B3FAA">
        <w:t xml:space="preserve"> </w:t>
      </w:r>
      <w:r w:rsidR="00E3756F">
        <w:t>okamžik</w:t>
      </w:r>
      <w:r w:rsidR="000D3127">
        <w:t>,</w:t>
      </w:r>
      <w:r w:rsidR="00E3756F">
        <w:t xml:space="preserve"> odkdy </w:t>
      </w:r>
      <w:r w:rsidR="000D3127">
        <w:t xml:space="preserve">je na vozidlo </w:t>
      </w:r>
      <w:r w:rsidR="00E3756F">
        <w:t>uplatňován. Tím, že byl stanoven pevným datem registrace vozidla</w:t>
      </w:r>
      <w:r w:rsidR="000D3127">
        <w:t>,</w:t>
      </w:r>
      <w:r w:rsidR="00E3756F">
        <w:t xml:space="preserve"> </w:t>
      </w:r>
      <w:r w:rsidR="000D3127">
        <w:t xml:space="preserve">je </w:t>
      </w:r>
      <w:r w:rsidR="00E3756F">
        <w:t xml:space="preserve">uplatňován na stále starší vozidla. Při zahájení jeho účinnosti se vztahoval na </w:t>
      </w:r>
      <w:r w:rsidR="00DF1D8F">
        <w:t>vozidla starší 11 let</w:t>
      </w:r>
      <w:r w:rsidR="00E3756F">
        <w:t>,</w:t>
      </w:r>
      <w:r w:rsidR="0052654E">
        <w:t xml:space="preserve"> ale </w:t>
      </w:r>
      <w:r w:rsidR="00E3756F">
        <w:t>v</w:t>
      </w:r>
      <w:r w:rsidR="00DF1D8F">
        <w:t> době kontroly NKÚ se vztahoval</w:t>
      </w:r>
      <w:r w:rsidR="00036DCE">
        <w:t xml:space="preserve"> </w:t>
      </w:r>
      <w:r w:rsidR="00036DCE">
        <w:lastRenderedPageBreak/>
        <w:t>na </w:t>
      </w:r>
      <w:r w:rsidR="000D3127">
        <w:t xml:space="preserve">vozidla </w:t>
      </w:r>
      <w:r w:rsidR="00DF1D8F">
        <w:t xml:space="preserve">starší </w:t>
      </w:r>
      <w:r w:rsidR="000D3127">
        <w:t>30 let</w:t>
      </w:r>
      <w:r w:rsidR="00A52361">
        <w:t xml:space="preserve"> </w:t>
      </w:r>
      <w:r w:rsidR="000D3127" w:rsidRPr="00A52361">
        <w:t xml:space="preserve">a již </w:t>
      </w:r>
      <w:r w:rsidR="006C3A4B" w:rsidRPr="00A52361">
        <w:t xml:space="preserve">nenaplňuje </w:t>
      </w:r>
      <w:r w:rsidR="000D3127" w:rsidRPr="00A52361">
        <w:t xml:space="preserve">cíle (tj. vyrovnání bilance </w:t>
      </w:r>
      <w:r w:rsidR="00F077A6" w:rsidRPr="00A52361">
        <w:t>z</w:t>
      </w:r>
      <w:r w:rsidR="00271F03" w:rsidRPr="00A52361">
        <w:t> poskytnutého bonusu a omlazování vozového parku)</w:t>
      </w:r>
      <w:r w:rsidR="000D3127" w:rsidRPr="00A52361">
        <w:t>, pro které byl do zákona implementován</w:t>
      </w:r>
      <w:r w:rsidR="000D3127" w:rsidRPr="00071367">
        <w:t>.</w:t>
      </w:r>
      <w:r w:rsidR="000D3127" w:rsidRPr="00B66B4D">
        <w:t xml:space="preserve"> </w:t>
      </w:r>
      <w:r w:rsidR="009512F7" w:rsidRPr="00B66B4D">
        <w:t>NKÚ konstatuje, že MF v rámci daně silniční nenastavilo systém bonusů a malusů</w:t>
      </w:r>
      <w:r w:rsidR="00071367" w:rsidRPr="00B66B4D">
        <w:t xml:space="preserve"> účelně, tzn. </w:t>
      </w:r>
      <w:r w:rsidR="00AB62F9">
        <w:t>t</w:t>
      </w:r>
      <w:r w:rsidR="00071367" w:rsidRPr="00B66B4D">
        <w:t>ak</w:t>
      </w:r>
      <w:r w:rsidR="00036DCE">
        <w:t>,</w:t>
      </w:r>
      <w:r w:rsidR="00071367" w:rsidRPr="00B66B4D">
        <w:t xml:space="preserve"> aby prokazatelně přispíval k naplňování cílů jejich zavedení.  </w:t>
      </w:r>
      <w:r w:rsidR="009512F7" w:rsidRPr="00B66B4D">
        <w:t xml:space="preserve"> </w:t>
      </w:r>
      <w:r w:rsidR="00E3756F" w:rsidRPr="00B66B4D">
        <w:t xml:space="preserve">  </w:t>
      </w:r>
    </w:p>
    <w:p w14:paraId="1C4E8920" w14:textId="77777777" w:rsidR="00FC7184" w:rsidRPr="00BB24A9" w:rsidRDefault="0051469A" w:rsidP="00FC7184">
      <w:pPr>
        <w:keepNext/>
        <w:rPr>
          <w:b/>
        </w:rPr>
      </w:pPr>
      <w:r w:rsidRPr="00BB24A9">
        <w:rPr>
          <w:b/>
        </w:rPr>
        <w:t>Osvobození od daně</w:t>
      </w:r>
      <w:r w:rsidR="009E5D6B" w:rsidRPr="00BB24A9">
        <w:rPr>
          <w:b/>
        </w:rPr>
        <w:t xml:space="preserve"> silniční</w:t>
      </w:r>
    </w:p>
    <w:p w14:paraId="0BEF4647" w14:textId="77777777" w:rsidR="0052654E" w:rsidRDefault="0051469A" w:rsidP="002C2C33">
      <w:pPr>
        <w:spacing w:after="0"/>
      </w:pPr>
      <w:r>
        <w:t>Vozidla na alternativní pohony</w:t>
      </w:r>
      <w:r w:rsidR="0075431C" w:rsidRPr="004F25F2">
        <w:rPr>
          <w:vertAlign w:val="superscript"/>
        </w:rPr>
        <w:t>10</w:t>
      </w:r>
      <w:r>
        <w:t xml:space="preserve"> jsou o</w:t>
      </w:r>
      <w:r w:rsidR="00D81413">
        <w:t>d silniční daně osvobozena</w:t>
      </w:r>
      <w:r>
        <w:t xml:space="preserve">: </w:t>
      </w:r>
    </w:p>
    <w:p w14:paraId="7567C75D" w14:textId="77777777" w:rsidR="0052654E" w:rsidRDefault="0051469A" w:rsidP="0052654E">
      <w:pPr>
        <w:pStyle w:val="Odstavecseseznamem"/>
        <w:numPr>
          <w:ilvl w:val="0"/>
          <w:numId w:val="38"/>
        </w:numPr>
      </w:pPr>
      <w:r>
        <w:t xml:space="preserve">osobní </w:t>
      </w:r>
      <w:r w:rsidR="00B24EB6">
        <w:t>vozidla</w:t>
      </w:r>
      <w:r>
        <w:t xml:space="preserve"> max. do výše 4 200 Kč</w:t>
      </w:r>
      <w:r w:rsidR="00EA07FC">
        <w:t xml:space="preserve"> ročně</w:t>
      </w:r>
      <w:r>
        <w:t xml:space="preserve">, </w:t>
      </w:r>
    </w:p>
    <w:p w14:paraId="2958361E" w14:textId="77777777" w:rsidR="00B24EB6" w:rsidRDefault="0051469A" w:rsidP="002C2C33">
      <w:pPr>
        <w:pStyle w:val="Odstavecseseznamem"/>
        <w:numPr>
          <w:ilvl w:val="0"/>
          <w:numId w:val="38"/>
        </w:numPr>
        <w:spacing w:after="120"/>
        <w:ind w:left="771" w:hanging="357"/>
      </w:pPr>
      <w:r>
        <w:t xml:space="preserve">nákladní vozidla do </w:t>
      </w:r>
      <w:r w:rsidR="00333F75">
        <w:t xml:space="preserve">hmotnosti </w:t>
      </w:r>
      <w:r>
        <w:t>12 tun</w:t>
      </w:r>
      <w:r w:rsidR="000E70C5">
        <w:t xml:space="preserve"> </w:t>
      </w:r>
      <w:r>
        <w:t xml:space="preserve">max. </w:t>
      </w:r>
      <w:r w:rsidR="0052654E">
        <w:t xml:space="preserve">do výše </w:t>
      </w:r>
      <w:r>
        <w:t>10</w:t>
      </w:r>
      <w:r w:rsidR="0009644C">
        <w:t xml:space="preserve"> </w:t>
      </w:r>
      <w:r>
        <w:t>800 Kč</w:t>
      </w:r>
      <w:r w:rsidR="00EA07FC">
        <w:t xml:space="preserve"> ročně</w:t>
      </w:r>
      <w:r>
        <w:t xml:space="preserve">. </w:t>
      </w:r>
    </w:p>
    <w:p w14:paraId="3820F624" w14:textId="77777777" w:rsidR="0052654E" w:rsidRDefault="0051469A" w:rsidP="00EA07FC">
      <w:r>
        <w:t>Počet vozidel osvobozených od silniční daně a výše upla</w:t>
      </w:r>
      <w:r w:rsidR="00A81A73">
        <w:t>tněného osvobození je uvedena v </w:t>
      </w:r>
      <w:r>
        <w:t xml:space="preserve">tabulce č. </w:t>
      </w:r>
      <w:r w:rsidRPr="00237396">
        <w:t>15.</w:t>
      </w:r>
      <w:r>
        <w:t xml:space="preserve"> </w:t>
      </w:r>
    </w:p>
    <w:p w14:paraId="638F835D" w14:textId="77777777" w:rsidR="002F1118" w:rsidRPr="00B14DAB" w:rsidRDefault="00BB24A9" w:rsidP="00BB24A9">
      <w:pPr>
        <w:pStyle w:val="Tabulka"/>
        <w:numPr>
          <w:ilvl w:val="0"/>
          <w:numId w:val="0"/>
        </w:numPr>
      </w:pPr>
      <w:r>
        <w:t xml:space="preserve">Tabulka č. 15: </w:t>
      </w:r>
      <w:r w:rsidR="0051469A" w:rsidRPr="00B14DAB">
        <w:t>Osvobození od daně</w:t>
      </w:r>
      <w:r w:rsidR="006C317B">
        <w:t xml:space="preserve"> pro vozidla s alternativními pohony </w:t>
      </w:r>
    </w:p>
    <w:tbl>
      <w:tblPr>
        <w:tblStyle w:val="Mkatabulky"/>
        <w:tblpPr w:leftFromText="141" w:rightFromText="141" w:vertAnchor="text" w:horzAnchor="margin" w:tblpX="-39" w:tblpY="92"/>
        <w:tblW w:w="9073" w:type="dxa"/>
        <w:tblLook w:val="04A0" w:firstRow="1" w:lastRow="0" w:firstColumn="1" w:lastColumn="0" w:noHBand="0" w:noVBand="1"/>
      </w:tblPr>
      <w:tblGrid>
        <w:gridCol w:w="1276"/>
        <w:gridCol w:w="3539"/>
        <w:gridCol w:w="4258"/>
      </w:tblGrid>
      <w:tr w:rsidR="00121435" w14:paraId="775716B9" w14:textId="77777777" w:rsidTr="00BB24A9">
        <w:trPr>
          <w:trHeight w:val="255"/>
        </w:trPr>
        <w:tc>
          <w:tcPr>
            <w:tcW w:w="1276" w:type="dxa"/>
            <w:shd w:val="clear" w:color="auto" w:fill="E4F1FF"/>
          </w:tcPr>
          <w:p w14:paraId="13AF8125" w14:textId="77777777" w:rsidR="00EC75A1" w:rsidRPr="00A55186" w:rsidRDefault="0051469A" w:rsidP="00BB24A9">
            <w:pPr>
              <w:spacing w:after="0"/>
              <w:jc w:val="center"/>
              <w:rPr>
                <w:rFonts w:cs="Calibri"/>
                <w:b/>
                <w:bCs/>
                <w:color w:val="000000"/>
                <w:sz w:val="20"/>
                <w:szCs w:val="20"/>
                <w:lang w:eastAsia="cs-CZ"/>
              </w:rPr>
            </w:pPr>
            <w:r w:rsidRPr="00A55186">
              <w:rPr>
                <w:rFonts w:cs="Calibri"/>
                <w:b/>
                <w:bCs/>
                <w:color w:val="000000"/>
                <w:sz w:val="20"/>
                <w:szCs w:val="20"/>
                <w:lang w:eastAsia="cs-CZ"/>
              </w:rPr>
              <w:t>Rok</w:t>
            </w:r>
          </w:p>
        </w:tc>
        <w:tc>
          <w:tcPr>
            <w:tcW w:w="3539" w:type="dxa"/>
            <w:shd w:val="clear" w:color="auto" w:fill="E4F1FF"/>
          </w:tcPr>
          <w:p w14:paraId="4EFA33AB" w14:textId="77777777" w:rsidR="00EC75A1" w:rsidRPr="00A55186" w:rsidRDefault="0051469A" w:rsidP="00BB24A9">
            <w:pPr>
              <w:autoSpaceDE w:val="0"/>
              <w:autoSpaceDN w:val="0"/>
              <w:adjustRightInd w:val="0"/>
              <w:spacing w:after="0"/>
              <w:jc w:val="center"/>
              <w:rPr>
                <w:rFonts w:asciiTheme="minorHAnsi" w:hAnsiTheme="minorHAnsi" w:cs="ArialMT"/>
                <w:b/>
                <w:sz w:val="20"/>
                <w:szCs w:val="20"/>
                <w:lang w:eastAsia="cs-CZ"/>
              </w:rPr>
            </w:pPr>
            <w:r w:rsidRPr="00A55186">
              <w:rPr>
                <w:rFonts w:asciiTheme="minorHAnsi" w:hAnsiTheme="minorHAnsi" w:cs="ArialMT"/>
                <w:b/>
                <w:sz w:val="20"/>
                <w:szCs w:val="20"/>
                <w:lang w:eastAsia="cs-CZ"/>
              </w:rPr>
              <w:t>Počet vozidel s osvobozením</w:t>
            </w:r>
          </w:p>
        </w:tc>
        <w:tc>
          <w:tcPr>
            <w:tcW w:w="4258" w:type="dxa"/>
            <w:shd w:val="clear" w:color="auto" w:fill="E4F1FF"/>
          </w:tcPr>
          <w:p w14:paraId="6F9D0F0B" w14:textId="77777777" w:rsidR="00EC75A1" w:rsidRPr="00A55186" w:rsidRDefault="0051469A" w:rsidP="00BB24A9">
            <w:pPr>
              <w:autoSpaceDE w:val="0"/>
              <w:autoSpaceDN w:val="0"/>
              <w:adjustRightInd w:val="0"/>
              <w:spacing w:after="0"/>
              <w:jc w:val="center"/>
              <w:rPr>
                <w:rFonts w:asciiTheme="minorHAnsi" w:hAnsiTheme="minorHAnsi" w:cs="ArialMT"/>
                <w:b/>
                <w:sz w:val="20"/>
                <w:szCs w:val="20"/>
                <w:lang w:eastAsia="cs-CZ"/>
              </w:rPr>
            </w:pPr>
            <w:r w:rsidRPr="00A55186">
              <w:rPr>
                <w:rFonts w:asciiTheme="minorHAnsi" w:hAnsiTheme="minorHAnsi" w:cs="ArialMT"/>
                <w:b/>
                <w:sz w:val="20"/>
                <w:szCs w:val="20"/>
                <w:lang w:eastAsia="cs-CZ"/>
              </w:rPr>
              <w:t xml:space="preserve">Částka uplatněného osvobození od daně </w:t>
            </w:r>
            <w:r w:rsidR="0056517E">
              <w:rPr>
                <w:rFonts w:asciiTheme="minorHAnsi" w:hAnsiTheme="minorHAnsi" w:cs="ArialMT"/>
                <w:b/>
                <w:sz w:val="20"/>
                <w:szCs w:val="20"/>
                <w:lang w:eastAsia="cs-CZ"/>
              </w:rPr>
              <w:t xml:space="preserve">v </w:t>
            </w:r>
            <w:r w:rsidRPr="00A55186">
              <w:rPr>
                <w:rFonts w:asciiTheme="minorHAnsi" w:hAnsiTheme="minorHAnsi" w:cs="ArialMT"/>
                <w:b/>
                <w:sz w:val="20"/>
                <w:szCs w:val="20"/>
                <w:lang w:eastAsia="cs-CZ"/>
              </w:rPr>
              <w:t>tis. Kč</w:t>
            </w:r>
          </w:p>
        </w:tc>
      </w:tr>
      <w:tr w:rsidR="00121435" w14:paraId="3B96AD9B" w14:textId="77777777" w:rsidTr="00BB24A9">
        <w:trPr>
          <w:trHeight w:val="255"/>
        </w:trPr>
        <w:tc>
          <w:tcPr>
            <w:tcW w:w="1276" w:type="dxa"/>
          </w:tcPr>
          <w:p w14:paraId="630FAF9D" w14:textId="77777777" w:rsidR="00EC75A1" w:rsidRPr="00A55186" w:rsidRDefault="0051469A" w:rsidP="00BB24A9">
            <w:pPr>
              <w:spacing w:after="0"/>
              <w:jc w:val="left"/>
              <w:rPr>
                <w:rFonts w:cs="Calibri"/>
                <w:bCs/>
                <w:color w:val="000000"/>
                <w:sz w:val="20"/>
                <w:szCs w:val="20"/>
                <w:lang w:eastAsia="cs-CZ"/>
              </w:rPr>
            </w:pPr>
            <w:r w:rsidRPr="00A55186">
              <w:rPr>
                <w:rFonts w:cs="Calibri"/>
                <w:bCs/>
                <w:color w:val="000000"/>
                <w:sz w:val="20"/>
                <w:szCs w:val="20"/>
                <w:lang w:eastAsia="cs-CZ"/>
              </w:rPr>
              <w:t>2017</w:t>
            </w:r>
          </w:p>
        </w:tc>
        <w:tc>
          <w:tcPr>
            <w:tcW w:w="3539" w:type="dxa"/>
          </w:tcPr>
          <w:p w14:paraId="6BD11657" w14:textId="77777777" w:rsidR="00EC75A1" w:rsidRPr="00A55186" w:rsidRDefault="0051469A" w:rsidP="00BB24A9">
            <w:pPr>
              <w:autoSpaceDE w:val="0"/>
              <w:autoSpaceDN w:val="0"/>
              <w:adjustRightInd w:val="0"/>
              <w:spacing w:after="0"/>
              <w:ind w:right="1306"/>
              <w:jc w:val="right"/>
              <w:rPr>
                <w:rFonts w:asciiTheme="minorHAnsi" w:hAnsiTheme="minorHAnsi" w:cs="ArialMT"/>
                <w:sz w:val="20"/>
                <w:szCs w:val="20"/>
                <w:lang w:eastAsia="cs-CZ"/>
              </w:rPr>
            </w:pPr>
            <w:r w:rsidRPr="00A55186">
              <w:rPr>
                <w:sz w:val="20"/>
                <w:szCs w:val="20"/>
              </w:rPr>
              <w:t>82 604</w:t>
            </w:r>
          </w:p>
        </w:tc>
        <w:tc>
          <w:tcPr>
            <w:tcW w:w="4258" w:type="dxa"/>
          </w:tcPr>
          <w:p w14:paraId="4F52EE8E" w14:textId="77777777" w:rsidR="00EC75A1" w:rsidRPr="00A55186" w:rsidRDefault="0051469A" w:rsidP="00BB24A9">
            <w:pPr>
              <w:autoSpaceDE w:val="0"/>
              <w:autoSpaceDN w:val="0"/>
              <w:adjustRightInd w:val="0"/>
              <w:spacing w:after="0"/>
              <w:ind w:right="1306"/>
              <w:jc w:val="right"/>
              <w:rPr>
                <w:rFonts w:asciiTheme="minorHAnsi" w:hAnsiTheme="minorHAnsi"/>
                <w:sz w:val="20"/>
                <w:szCs w:val="20"/>
              </w:rPr>
            </w:pPr>
            <w:r w:rsidRPr="00A55186">
              <w:rPr>
                <w:sz w:val="20"/>
                <w:szCs w:val="20"/>
              </w:rPr>
              <w:t>154 822</w:t>
            </w:r>
          </w:p>
        </w:tc>
      </w:tr>
      <w:tr w:rsidR="00121435" w14:paraId="634BCEE8" w14:textId="77777777" w:rsidTr="00BB24A9">
        <w:trPr>
          <w:trHeight w:val="255"/>
        </w:trPr>
        <w:tc>
          <w:tcPr>
            <w:tcW w:w="1276" w:type="dxa"/>
          </w:tcPr>
          <w:p w14:paraId="1E8EDBFE" w14:textId="77777777" w:rsidR="00EC75A1" w:rsidRPr="00A55186" w:rsidRDefault="0051469A" w:rsidP="00BB24A9">
            <w:pPr>
              <w:spacing w:after="0"/>
              <w:jc w:val="left"/>
              <w:rPr>
                <w:rFonts w:cs="Calibri"/>
                <w:bCs/>
                <w:color w:val="000000"/>
                <w:sz w:val="20"/>
                <w:szCs w:val="20"/>
                <w:lang w:eastAsia="cs-CZ"/>
              </w:rPr>
            </w:pPr>
            <w:r w:rsidRPr="00A55186">
              <w:rPr>
                <w:rFonts w:cs="Calibri"/>
                <w:bCs/>
                <w:color w:val="000000"/>
                <w:sz w:val="20"/>
                <w:szCs w:val="20"/>
                <w:lang w:eastAsia="cs-CZ"/>
              </w:rPr>
              <w:t>2015</w:t>
            </w:r>
          </w:p>
        </w:tc>
        <w:tc>
          <w:tcPr>
            <w:tcW w:w="3539" w:type="dxa"/>
          </w:tcPr>
          <w:p w14:paraId="699A5A17" w14:textId="77777777" w:rsidR="00EC75A1" w:rsidRPr="00A55186" w:rsidRDefault="0051469A" w:rsidP="00BB24A9">
            <w:pPr>
              <w:spacing w:after="0"/>
              <w:ind w:right="1306"/>
              <w:jc w:val="right"/>
              <w:rPr>
                <w:rFonts w:asciiTheme="minorHAnsi" w:hAnsiTheme="minorHAnsi" w:cs="ArialMT"/>
                <w:sz w:val="20"/>
                <w:szCs w:val="20"/>
                <w:lang w:eastAsia="cs-CZ"/>
              </w:rPr>
            </w:pPr>
            <w:r w:rsidRPr="00A55186">
              <w:rPr>
                <w:sz w:val="20"/>
                <w:szCs w:val="20"/>
              </w:rPr>
              <w:t>45 976</w:t>
            </w:r>
          </w:p>
        </w:tc>
        <w:tc>
          <w:tcPr>
            <w:tcW w:w="4258" w:type="dxa"/>
          </w:tcPr>
          <w:p w14:paraId="617F14BF" w14:textId="77777777" w:rsidR="00EC75A1" w:rsidRPr="00A55186" w:rsidRDefault="0051469A" w:rsidP="00BB24A9">
            <w:pPr>
              <w:spacing w:after="0"/>
              <w:ind w:right="1306"/>
              <w:jc w:val="right"/>
              <w:rPr>
                <w:rFonts w:asciiTheme="minorHAnsi" w:hAnsiTheme="minorHAnsi"/>
                <w:sz w:val="20"/>
                <w:szCs w:val="20"/>
              </w:rPr>
            </w:pPr>
            <w:r w:rsidRPr="00A55186">
              <w:rPr>
                <w:sz w:val="20"/>
                <w:szCs w:val="20"/>
              </w:rPr>
              <w:t>88 712</w:t>
            </w:r>
          </w:p>
        </w:tc>
      </w:tr>
    </w:tbl>
    <w:p w14:paraId="6E4D8D38" w14:textId="77777777" w:rsidR="002F1118" w:rsidRPr="002F5510" w:rsidRDefault="0051469A" w:rsidP="002F5510">
      <w:pPr>
        <w:spacing w:before="40"/>
      </w:pPr>
      <w:r w:rsidRPr="002F5510">
        <w:rPr>
          <w:b/>
          <w:sz w:val="20"/>
          <w:szCs w:val="20"/>
        </w:rPr>
        <w:t>Zdroj:</w:t>
      </w:r>
      <w:r w:rsidRPr="002F5510">
        <w:rPr>
          <w:sz w:val="20"/>
          <w:szCs w:val="20"/>
        </w:rPr>
        <w:t xml:space="preserve"> </w:t>
      </w:r>
      <w:r w:rsidR="00EC75A1" w:rsidRPr="002F5510">
        <w:rPr>
          <w:sz w:val="20"/>
          <w:szCs w:val="20"/>
        </w:rPr>
        <w:t>MF</w:t>
      </w:r>
      <w:r w:rsidR="00A81A73" w:rsidRPr="002F5510">
        <w:rPr>
          <w:sz w:val="20"/>
          <w:szCs w:val="20"/>
        </w:rPr>
        <w:t>.</w:t>
      </w:r>
      <w:r w:rsidRPr="002F5510">
        <w:rPr>
          <w:highlight w:val="yellow"/>
        </w:rPr>
        <w:t xml:space="preserve"> </w:t>
      </w:r>
    </w:p>
    <w:p w14:paraId="302F8F9C" w14:textId="77777777" w:rsidR="00B24EB6" w:rsidRDefault="0051469A" w:rsidP="00E74B42">
      <w:r>
        <w:t xml:space="preserve">MF vyhodnotilo, že v ČR za </w:t>
      </w:r>
      <w:r w:rsidR="00164D3B">
        <w:t>současných</w:t>
      </w:r>
      <w:r>
        <w:t xml:space="preserve"> podmínek úlevy na dani silniční nejsou výrazným stimulem pro pořízení ekologicky šetrných vozidel. MF uvedlo, že tento argument opakovaně sdělilo na jednáních k NAP CM. NKÚ konstatování MF ověřil u </w:t>
      </w:r>
      <w:r w:rsidR="00333F75">
        <w:t xml:space="preserve">vozidel s </w:t>
      </w:r>
      <w:r>
        <w:t>pohon</w:t>
      </w:r>
      <w:r w:rsidR="00333F75">
        <w:t>em</w:t>
      </w:r>
      <w:r w:rsidR="00653A67">
        <w:t xml:space="preserve"> na CNG a </w:t>
      </w:r>
      <w:r>
        <w:t xml:space="preserve">elektřinu a zjistil, že samotná sleva na silniční dani není důvodem pro nákup těchto vozidel. Avšak v kombinaci s dalšími poskytovanými slevami na daních může </w:t>
      </w:r>
      <w:r w:rsidR="00B92B30">
        <w:t>přispět</w:t>
      </w:r>
      <w:r>
        <w:t xml:space="preserve"> k ekonomické vý</w:t>
      </w:r>
      <w:r w:rsidR="00333F75">
        <w:t>hodnosti vozidel na tyto pohony</w:t>
      </w:r>
      <w:r>
        <w:t xml:space="preserve"> </w:t>
      </w:r>
      <w:r w:rsidR="00333F75">
        <w:t>(</w:t>
      </w:r>
      <w:r w:rsidR="005D5C6A">
        <w:t>tabulka č</w:t>
      </w:r>
      <w:r w:rsidR="005D5C6A" w:rsidRPr="00237396">
        <w:t xml:space="preserve">. </w:t>
      </w:r>
      <w:r w:rsidR="00333F75" w:rsidRPr="00237396">
        <w:t>16)</w:t>
      </w:r>
      <w:r w:rsidR="005D5C6A" w:rsidRPr="00237396">
        <w:t>.</w:t>
      </w:r>
      <w:r w:rsidR="00164D3B">
        <w:t xml:space="preserve"> </w:t>
      </w:r>
    </w:p>
    <w:p w14:paraId="2BA52DAA" w14:textId="77777777" w:rsidR="006A3E64" w:rsidRPr="00254B67" w:rsidRDefault="009C76A3" w:rsidP="009C76A3">
      <w:pPr>
        <w:pStyle w:val="Tabulka"/>
        <w:numPr>
          <w:ilvl w:val="0"/>
          <w:numId w:val="0"/>
        </w:numPr>
        <w:spacing w:after="40"/>
        <w:ind w:left="1446" w:hanging="1446"/>
      </w:pPr>
      <w:r>
        <w:t xml:space="preserve">Tabulka č. 16: </w:t>
      </w:r>
      <w:r>
        <w:tab/>
      </w:r>
      <w:r w:rsidR="0051469A">
        <w:t xml:space="preserve">Úspora </w:t>
      </w:r>
      <w:r w:rsidR="0056517E">
        <w:t>na s</w:t>
      </w:r>
      <w:r w:rsidR="0056517E" w:rsidRPr="00254B67">
        <w:t xml:space="preserve">ilniční </w:t>
      </w:r>
      <w:r w:rsidR="0056517E">
        <w:t xml:space="preserve">dani </w:t>
      </w:r>
      <w:r w:rsidR="0051469A">
        <w:t xml:space="preserve">provozovatele vozidla </w:t>
      </w:r>
      <w:r w:rsidR="00294DD6">
        <w:t xml:space="preserve">s alternativním pohonem proti </w:t>
      </w:r>
      <w:r w:rsidR="00DC3A67">
        <w:t xml:space="preserve">naftovému pohonu </w:t>
      </w:r>
      <w:r w:rsidR="0051469A">
        <w:t>za osm let provozu</w:t>
      </w:r>
      <w:r w:rsidR="00333F75">
        <w:t xml:space="preserve">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8"/>
        <w:gridCol w:w="2381"/>
        <w:gridCol w:w="1020"/>
        <w:gridCol w:w="1206"/>
        <w:gridCol w:w="1259"/>
        <w:gridCol w:w="1106"/>
        <w:gridCol w:w="1152"/>
      </w:tblGrid>
      <w:tr w:rsidR="002F5510" w:rsidRPr="002F5510" w14:paraId="14BA2498" w14:textId="77777777" w:rsidTr="002F5510">
        <w:trPr>
          <w:trHeight w:val="227"/>
        </w:trPr>
        <w:tc>
          <w:tcPr>
            <w:tcW w:w="858" w:type="dxa"/>
            <w:vMerge w:val="restart"/>
            <w:shd w:val="clear" w:color="auto" w:fill="E5F1FF"/>
            <w:tcMar>
              <w:top w:w="0" w:type="dxa"/>
              <w:left w:w="70" w:type="dxa"/>
              <w:bottom w:w="0" w:type="dxa"/>
              <w:right w:w="70" w:type="dxa"/>
            </w:tcMar>
            <w:vAlign w:val="center"/>
            <w:hideMark/>
          </w:tcPr>
          <w:p w14:paraId="7AD58C00" w14:textId="77777777" w:rsidR="007266FD" w:rsidRPr="002F5510" w:rsidRDefault="0051469A" w:rsidP="002F5510">
            <w:pPr>
              <w:spacing w:after="0"/>
              <w:jc w:val="center"/>
              <w:rPr>
                <w:rFonts w:cs="Calibri"/>
                <w:b/>
                <w:bCs/>
                <w:color w:val="000000"/>
                <w:sz w:val="20"/>
                <w:szCs w:val="20"/>
                <w:lang w:eastAsia="cs-CZ"/>
              </w:rPr>
            </w:pPr>
            <w:r w:rsidRPr="002F5510">
              <w:rPr>
                <w:rFonts w:cs="Calibri"/>
                <w:b/>
                <w:bCs/>
                <w:color w:val="000000"/>
                <w:sz w:val="20"/>
                <w:szCs w:val="20"/>
                <w:lang w:eastAsia="cs-CZ"/>
              </w:rPr>
              <w:t>Pohon vozidla</w:t>
            </w:r>
          </w:p>
        </w:tc>
        <w:tc>
          <w:tcPr>
            <w:tcW w:w="2381" w:type="dxa"/>
            <w:vMerge w:val="restart"/>
            <w:shd w:val="clear" w:color="auto" w:fill="E5F1FF"/>
            <w:noWrap/>
            <w:tcMar>
              <w:top w:w="0" w:type="dxa"/>
              <w:left w:w="70" w:type="dxa"/>
              <w:bottom w:w="0" w:type="dxa"/>
              <w:right w:w="70" w:type="dxa"/>
            </w:tcMar>
            <w:vAlign w:val="center"/>
            <w:hideMark/>
          </w:tcPr>
          <w:p w14:paraId="6D68D382" w14:textId="77777777" w:rsidR="007266FD" w:rsidRPr="002F5510" w:rsidRDefault="0051469A" w:rsidP="002F5510">
            <w:pPr>
              <w:spacing w:after="0"/>
              <w:ind w:left="-57" w:right="-57"/>
              <w:jc w:val="center"/>
              <w:rPr>
                <w:rFonts w:cs="Calibri"/>
                <w:b/>
                <w:bCs/>
                <w:color w:val="000000"/>
                <w:sz w:val="20"/>
                <w:szCs w:val="20"/>
                <w:lang w:eastAsia="cs-CZ"/>
              </w:rPr>
            </w:pPr>
            <w:r w:rsidRPr="002F5510">
              <w:rPr>
                <w:rFonts w:cs="Calibri"/>
                <w:b/>
                <w:bCs/>
                <w:color w:val="000000"/>
                <w:sz w:val="20"/>
                <w:szCs w:val="20"/>
                <w:lang w:eastAsia="cs-CZ"/>
              </w:rPr>
              <w:t>Typ vozidla</w:t>
            </w:r>
          </w:p>
        </w:tc>
        <w:tc>
          <w:tcPr>
            <w:tcW w:w="1020" w:type="dxa"/>
            <w:vMerge w:val="restart"/>
            <w:shd w:val="clear" w:color="auto" w:fill="E5F1FF"/>
            <w:tcMar>
              <w:top w:w="0" w:type="dxa"/>
              <w:left w:w="70" w:type="dxa"/>
              <w:bottom w:w="0" w:type="dxa"/>
              <w:right w:w="70" w:type="dxa"/>
            </w:tcMar>
            <w:vAlign w:val="center"/>
            <w:hideMark/>
          </w:tcPr>
          <w:p w14:paraId="698717A3" w14:textId="6E9C6055" w:rsidR="007266FD" w:rsidRPr="002F5510" w:rsidRDefault="0051469A" w:rsidP="006C3A4B">
            <w:pPr>
              <w:spacing w:after="0"/>
              <w:ind w:left="-57"/>
              <w:jc w:val="center"/>
              <w:rPr>
                <w:rFonts w:cs="Calibri"/>
                <w:b/>
                <w:bCs/>
                <w:color w:val="000000"/>
                <w:sz w:val="20"/>
                <w:szCs w:val="20"/>
                <w:lang w:eastAsia="cs-CZ"/>
              </w:rPr>
            </w:pPr>
            <w:r w:rsidRPr="002F5510">
              <w:rPr>
                <w:rFonts w:cs="Calibri"/>
                <w:b/>
                <w:bCs/>
                <w:color w:val="000000"/>
                <w:sz w:val="20"/>
                <w:szCs w:val="20"/>
                <w:lang w:eastAsia="cs-CZ"/>
              </w:rPr>
              <w:t>Pořizovací cena</w:t>
            </w:r>
          </w:p>
        </w:tc>
        <w:tc>
          <w:tcPr>
            <w:tcW w:w="3571" w:type="dxa"/>
            <w:gridSpan w:val="3"/>
            <w:shd w:val="clear" w:color="auto" w:fill="E5F1FF"/>
            <w:tcMar>
              <w:top w:w="0" w:type="dxa"/>
              <w:left w:w="70" w:type="dxa"/>
              <w:bottom w:w="0" w:type="dxa"/>
              <w:right w:w="70" w:type="dxa"/>
            </w:tcMar>
            <w:vAlign w:val="center"/>
            <w:hideMark/>
          </w:tcPr>
          <w:p w14:paraId="7EA2BA54" w14:textId="0028936C" w:rsidR="007266FD" w:rsidRPr="002F5510" w:rsidRDefault="0051469A" w:rsidP="006C3A4B">
            <w:pPr>
              <w:spacing w:after="0"/>
              <w:jc w:val="center"/>
              <w:rPr>
                <w:rFonts w:cs="Calibri"/>
                <w:b/>
                <w:bCs/>
                <w:color w:val="000000"/>
                <w:sz w:val="20"/>
                <w:szCs w:val="20"/>
                <w:lang w:eastAsia="cs-CZ"/>
              </w:rPr>
            </w:pPr>
            <w:r w:rsidRPr="002F5510">
              <w:rPr>
                <w:rFonts w:cs="Calibri"/>
                <w:b/>
                <w:bCs/>
                <w:color w:val="000000"/>
                <w:sz w:val="20"/>
                <w:szCs w:val="20"/>
                <w:lang w:eastAsia="cs-CZ"/>
              </w:rPr>
              <w:t>Suma úspory na silniční dani</w:t>
            </w:r>
          </w:p>
        </w:tc>
        <w:tc>
          <w:tcPr>
            <w:tcW w:w="1152" w:type="dxa"/>
            <w:vMerge w:val="restart"/>
            <w:shd w:val="clear" w:color="auto" w:fill="E5F1FF"/>
            <w:vAlign w:val="center"/>
            <w:hideMark/>
          </w:tcPr>
          <w:p w14:paraId="43D31ADB" w14:textId="2FAC4810" w:rsidR="007266FD" w:rsidRPr="002F5510" w:rsidRDefault="0051469A" w:rsidP="006C3A4B">
            <w:pPr>
              <w:spacing w:after="0"/>
              <w:ind w:left="-57" w:right="-57"/>
              <w:jc w:val="center"/>
              <w:rPr>
                <w:rFonts w:cs="Calibri"/>
                <w:b/>
                <w:bCs/>
                <w:color w:val="000000"/>
                <w:sz w:val="20"/>
                <w:szCs w:val="20"/>
                <w:lang w:eastAsia="cs-CZ"/>
              </w:rPr>
            </w:pPr>
            <w:r w:rsidRPr="002F5510">
              <w:rPr>
                <w:rFonts w:cs="Calibri"/>
                <w:b/>
                <w:bCs/>
                <w:color w:val="000000"/>
                <w:sz w:val="20"/>
                <w:szCs w:val="20"/>
                <w:lang w:eastAsia="cs-CZ"/>
              </w:rPr>
              <w:t>Suma úspory celkem</w:t>
            </w:r>
          </w:p>
        </w:tc>
      </w:tr>
      <w:tr w:rsidR="002F5510" w:rsidRPr="002F5510" w14:paraId="35317E2A" w14:textId="77777777" w:rsidTr="002F5510">
        <w:trPr>
          <w:trHeight w:val="227"/>
        </w:trPr>
        <w:tc>
          <w:tcPr>
            <w:tcW w:w="858" w:type="dxa"/>
            <w:vMerge/>
            <w:vAlign w:val="center"/>
            <w:hideMark/>
          </w:tcPr>
          <w:p w14:paraId="441A9750" w14:textId="77777777" w:rsidR="007266FD" w:rsidRPr="002F5510" w:rsidRDefault="007266FD" w:rsidP="002F5510">
            <w:pPr>
              <w:spacing w:after="0"/>
              <w:jc w:val="left"/>
              <w:rPr>
                <w:rFonts w:cs="Calibri"/>
                <w:b/>
                <w:bCs/>
                <w:color w:val="000000"/>
                <w:sz w:val="20"/>
                <w:szCs w:val="20"/>
                <w:lang w:eastAsia="cs-CZ"/>
              </w:rPr>
            </w:pPr>
          </w:p>
        </w:tc>
        <w:tc>
          <w:tcPr>
            <w:tcW w:w="2381" w:type="dxa"/>
            <w:vMerge/>
            <w:vAlign w:val="center"/>
            <w:hideMark/>
          </w:tcPr>
          <w:p w14:paraId="4B2BA577" w14:textId="77777777" w:rsidR="007266FD" w:rsidRPr="002F5510" w:rsidRDefault="007266FD" w:rsidP="002F5510">
            <w:pPr>
              <w:spacing w:after="0"/>
              <w:ind w:left="-57" w:right="-57"/>
              <w:jc w:val="left"/>
              <w:rPr>
                <w:rFonts w:cs="Calibri"/>
                <w:b/>
                <w:bCs/>
                <w:color w:val="000000"/>
                <w:sz w:val="20"/>
                <w:szCs w:val="20"/>
                <w:lang w:eastAsia="cs-CZ"/>
              </w:rPr>
            </w:pPr>
          </w:p>
        </w:tc>
        <w:tc>
          <w:tcPr>
            <w:tcW w:w="1020" w:type="dxa"/>
            <w:vMerge/>
            <w:vAlign w:val="center"/>
            <w:hideMark/>
          </w:tcPr>
          <w:p w14:paraId="6477920E" w14:textId="77777777" w:rsidR="007266FD" w:rsidRPr="002F5510" w:rsidRDefault="007266FD" w:rsidP="002F5510">
            <w:pPr>
              <w:spacing w:after="0"/>
              <w:ind w:left="-57"/>
              <w:jc w:val="left"/>
              <w:rPr>
                <w:rFonts w:cs="Calibri"/>
                <w:b/>
                <w:bCs/>
                <w:color w:val="000000"/>
                <w:sz w:val="20"/>
                <w:szCs w:val="20"/>
                <w:lang w:eastAsia="cs-CZ"/>
              </w:rPr>
            </w:pPr>
          </w:p>
        </w:tc>
        <w:tc>
          <w:tcPr>
            <w:tcW w:w="1206" w:type="dxa"/>
            <w:shd w:val="clear" w:color="auto" w:fill="E5F1FF"/>
            <w:tcMar>
              <w:top w:w="0" w:type="dxa"/>
              <w:left w:w="70" w:type="dxa"/>
              <w:bottom w:w="0" w:type="dxa"/>
              <w:right w:w="70" w:type="dxa"/>
            </w:tcMar>
            <w:vAlign w:val="center"/>
            <w:hideMark/>
          </w:tcPr>
          <w:p w14:paraId="5A2B1C65" w14:textId="7F555FA2" w:rsidR="007266FD" w:rsidRPr="002F5510" w:rsidRDefault="006C3A4B" w:rsidP="002F5510">
            <w:pPr>
              <w:spacing w:after="0"/>
              <w:ind w:left="-57" w:right="-57"/>
              <w:jc w:val="center"/>
              <w:rPr>
                <w:rFonts w:cs="Calibri"/>
                <w:b/>
                <w:bCs/>
                <w:color w:val="000000"/>
                <w:sz w:val="20"/>
                <w:szCs w:val="20"/>
                <w:lang w:eastAsia="cs-CZ"/>
              </w:rPr>
            </w:pPr>
            <w:r>
              <w:rPr>
                <w:rFonts w:cs="Calibri"/>
                <w:b/>
                <w:bCs/>
                <w:color w:val="000000"/>
                <w:sz w:val="20"/>
                <w:szCs w:val="20"/>
                <w:lang w:eastAsia="cs-CZ"/>
              </w:rPr>
              <w:t>P</w:t>
            </w:r>
            <w:r w:rsidR="0051469A" w:rsidRPr="002F5510">
              <w:rPr>
                <w:rFonts w:cs="Calibri"/>
                <w:b/>
                <w:bCs/>
                <w:color w:val="000000"/>
                <w:sz w:val="20"/>
                <w:szCs w:val="20"/>
                <w:lang w:eastAsia="cs-CZ"/>
              </w:rPr>
              <w:t>rvní 3 roky</w:t>
            </w:r>
          </w:p>
        </w:tc>
        <w:tc>
          <w:tcPr>
            <w:tcW w:w="1259" w:type="dxa"/>
            <w:shd w:val="clear" w:color="auto" w:fill="E5F1FF"/>
            <w:tcMar>
              <w:top w:w="0" w:type="dxa"/>
              <w:left w:w="70" w:type="dxa"/>
              <w:bottom w:w="0" w:type="dxa"/>
              <w:right w:w="70" w:type="dxa"/>
            </w:tcMar>
            <w:vAlign w:val="center"/>
            <w:hideMark/>
          </w:tcPr>
          <w:p w14:paraId="42ED2B74" w14:textId="0942BF91" w:rsidR="007266FD" w:rsidRPr="002F5510" w:rsidRDefault="006C3A4B" w:rsidP="002F5510">
            <w:pPr>
              <w:spacing w:after="0"/>
              <w:ind w:left="-57" w:right="-57"/>
              <w:jc w:val="center"/>
              <w:rPr>
                <w:rFonts w:cs="Calibri"/>
                <w:b/>
                <w:bCs/>
                <w:color w:val="000000"/>
                <w:sz w:val="20"/>
                <w:szCs w:val="20"/>
                <w:lang w:eastAsia="cs-CZ"/>
              </w:rPr>
            </w:pPr>
            <w:r>
              <w:rPr>
                <w:rFonts w:cs="Calibri"/>
                <w:b/>
                <w:bCs/>
                <w:color w:val="000000"/>
                <w:sz w:val="20"/>
                <w:szCs w:val="20"/>
                <w:lang w:eastAsia="cs-CZ"/>
              </w:rPr>
              <w:t>D</w:t>
            </w:r>
            <w:r w:rsidR="0051469A" w:rsidRPr="002F5510">
              <w:rPr>
                <w:rFonts w:cs="Calibri"/>
                <w:b/>
                <w:bCs/>
                <w:color w:val="000000"/>
                <w:sz w:val="20"/>
                <w:szCs w:val="20"/>
                <w:lang w:eastAsia="cs-CZ"/>
              </w:rPr>
              <w:t>alší 3 roky</w:t>
            </w:r>
          </w:p>
        </w:tc>
        <w:tc>
          <w:tcPr>
            <w:tcW w:w="1106" w:type="dxa"/>
            <w:shd w:val="clear" w:color="auto" w:fill="E5F1FF"/>
            <w:tcMar>
              <w:top w:w="0" w:type="dxa"/>
              <w:left w:w="70" w:type="dxa"/>
              <w:bottom w:w="0" w:type="dxa"/>
              <w:right w:w="70" w:type="dxa"/>
            </w:tcMar>
            <w:vAlign w:val="center"/>
            <w:hideMark/>
          </w:tcPr>
          <w:p w14:paraId="1FA8D609" w14:textId="60BBDEF0" w:rsidR="007266FD" w:rsidRPr="002F5510" w:rsidRDefault="006C3A4B" w:rsidP="002F5510">
            <w:pPr>
              <w:spacing w:after="0"/>
              <w:ind w:left="-57" w:right="-57"/>
              <w:jc w:val="center"/>
              <w:rPr>
                <w:rFonts w:cs="Calibri"/>
                <w:b/>
                <w:bCs/>
                <w:color w:val="000000"/>
                <w:sz w:val="20"/>
                <w:szCs w:val="20"/>
                <w:lang w:eastAsia="cs-CZ"/>
              </w:rPr>
            </w:pPr>
            <w:r>
              <w:rPr>
                <w:rFonts w:cs="Calibri"/>
                <w:b/>
                <w:bCs/>
                <w:color w:val="000000"/>
                <w:sz w:val="20"/>
                <w:szCs w:val="20"/>
                <w:lang w:eastAsia="cs-CZ"/>
              </w:rPr>
              <w:t>D</w:t>
            </w:r>
            <w:r w:rsidR="0051469A" w:rsidRPr="002F5510">
              <w:rPr>
                <w:rFonts w:cs="Calibri"/>
                <w:b/>
                <w:bCs/>
                <w:color w:val="000000"/>
                <w:sz w:val="20"/>
                <w:szCs w:val="20"/>
                <w:lang w:eastAsia="cs-CZ"/>
              </w:rPr>
              <w:t>alší 2 roky</w:t>
            </w:r>
          </w:p>
        </w:tc>
        <w:tc>
          <w:tcPr>
            <w:tcW w:w="1152" w:type="dxa"/>
            <w:vMerge/>
            <w:vAlign w:val="center"/>
            <w:hideMark/>
          </w:tcPr>
          <w:p w14:paraId="2B27E964" w14:textId="77777777" w:rsidR="007266FD" w:rsidRPr="002F5510" w:rsidRDefault="007266FD" w:rsidP="002F5510">
            <w:pPr>
              <w:spacing w:after="0"/>
              <w:jc w:val="center"/>
              <w:rPr>
                <w:rFonts w:cs="Calibri"/>
                <w:b/>
                <w:bCs/>
                <w:color w:val="000000"/>
                <w:sz w:val="20"/>
                <w:szCs w:val="20"/>
                <w:lang w:eastAsia="cs-CZ"/>
              </w:rPr>
            </w:pPr>
          </w:p>
        </w:tc>
      </w:tr>
      <w:tr w:rsidR="002F5510" w:rsidRPr="002F5510" w14:paraId="7AFEE2AD" w14:textId="77777777" w:rsidTr="002F5510">
        <w:trPr>
          <w:trHeight w:val="227"/>
        </w:trPr>
        <w:tc>
          <w:tcPr>
            <w:tcW w:w="858" w:type="dxa"/>
            <w:noWrap/>
            <w:tcMar>
              <w:top w:w="0" w:type="dxa"/>
              <w:left w:w="70" w:type="dxa"/>
              <w:bottom w:w="0" w:type="dxa"/>
              <w:right w:w="70" w:type="dxa"/>
            </w:tcMar>
            <w:vAlign w:val="center"/>
            <w:hideMark/>
          </w:tcPr>
          <w:p w14:paraId="46C1ED1F" w14:textId="77777777" w:rsidR="007266FD" w:rsidRPr="002F5510" w:rsidRDefault="00DC3A67" w:rsidP="002F5510">
            <w:pPr>
              <w:spacing w:after="0"/>
              <w:jc w:val="left"/>
              <w:rPr>
                <w:rFonts w:cs="Calibri"/>
                <w:color w:val="000000"/>
                <w:sz w:val="20"/>
                <w:szCs w:val="20"/>
                <w:lang w:eastAsia="cs-CZ"/>
              </w:rPr>
            </w:pPr>
            <w:r w:rsidRPr="002F5510">
              <w:rPr>
                <w:rFonts w:cs="Calibri"/>
                <w:color w:val="000000"/>
                <w:sz w:val="20"/>
                <w:szCs w:val="20"/>
                <w:lang w:eastAsia="cs-CZ"/>
              </w:rPr>
              <w:t>Naftal</w:t>
            </w:r>
          </w:p>
        </w:tc>
        <w:tc>
          <w:tcPr>
            <w:tcW w:w="2381" w:type="dxa"/>
            <w:noWrap/>
            <w:tcMar>
              <w:top w:w="0" w:type="dxa"/>
              <w:left w:w="70" w:type="dxa"/>
              <w:bottom w:w="0" w:type="dxa"/>
              <w:right w:w="70" w:type="dxa"/>
            </w:tcMar>
            <w:vAlign w:val="bottom"/>
            <w:hideMark/>
          </w:tcPr>
          <w:p w14:paraId="18B28C44" w14:textId="77777777" w:rsidR="007266FD" w:rsidRPr="002F5510" w:rsidRDefault="0051469A" w:rsidP="002F5510">
            <w:pPr>
              <w:spacing w:after="0"/>
              <w:ind w:left="-57" w:right="-57"/>
              <w:jc w:val="left"/>
              <w:rPr>
                <w:rFonts w:cs="Calibri"/>
                <w:color w:val="000000"/>
                <w:sz w:val="20"/>
                <w:szCs w:val="20"/>
                <w:lang w:eastAsia="cs-CZ"/>
              </w:rPr>
            </w:pPr>
            <w:r w:rsidRPr="002F5510">
              <w:rPr>
                <w:rFonts w:cs="Calibri"/>
                <w:color w:val="000000"/>
                <w:sz w:val="20"/>
                <w:szCs w:val="20"/>
                <w:lang w:eastAsia="cs-CZ"/>
              </w:rPr>
              <w:t>Golf CL 1,6 TDI SCR 5G</w:t>
            </w:r>
          </w:p>
        </w:tc>
        <w:tc>
          <w:tcPr>
            <w:tcW w:w="1020" w:type="dxa"/>
            <w:noWrap/>
            <w:tcMar>
              <w:top w:w="0" w:type="dxa"/>
              <w:left w:w="70" w:type="dxa"/>
              <w:bottom w:w="0" w:type="dxa"/>
              <w:right w:w="70" w:type="dxa"/>
            </w:tcMar>
            <w:vAlign w:val="bottom"/>
            <w:hideMark/>
          </w:tcPr>
          <w:p w14:paraId="14BBC38E" w14:textId="77777777" w:rsidR="007266FD" w:rsidRPr="002F5510" w:rsidRDefault="0051469A" w:rsidP="002F5510">
            <w:pPr>
              <w:spacing w:after="0"/>
              <w:ind w:left="-57"/>
              <w:jc w:val="right"/>
              <w:rPr>
                <w:rFonts w:cs="Calibri"/>
                <w:color w:val="000000"/>
                <w:sz w:val="20"/>
                <w:szCs w:val="20"/>
                <w:lang w:eastAsia="cs-CZ"/>
              </w:rPr>
            </w:pPr>
            <w:r w:rsidRPr="002F5510">
              <w:rPr>
                <w:rFonts w:cs="Calibri"/>
                <w:color w:val="000000"/>
                <w:sz w:val="20"/>
                <w:szCs w:val="20"/>
                <w:lang w:eastAsia="cs-CZ"/>
              </w:rPr>
              <w:t>548 900</w:t>
            </w:r>
          </w:p>
        </w:tc>
        <w:tc>
          <w:tcPr>
            <w:tcW w:w="1206" w:type="dxa"/>
            <w:tcMar>
              <w:top w:w="0" w:type="dxa"/>
              <w:left w:w="70" w:type="dxa"/>
              <w:bottom w:w="0" w:type="dxa"/>
              <w:right w:w="70" w:type="dxa"/>
            </w:tcMar>
            <w:vAlign w:val="bottom"/>
            <w:hideMark/>
          </w:tcPr>
          <w:p w14:paraId="0249D091"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0</w:t>
            </w:r>
          </w:p>
        </w:tc>
        <w:tc>
          <w:tcPr>
            <w:tcW w:w="1259" w:type="dxa"/>
            <w:tcMar>
              <w:top w:w="0" w:type="dxa"/>
              <w:left w:w="70" w:type="dxa"/>
              <w:bottom w:w="0" w:type="dxa"/>
              <w:right w:w="70" w:type="dxa"/>
            </w:tcMar>
            <w:vAlign w:val="bottom"/>
            <w:hideMark/>
          </w:tcPr>
          <w:p w14:paraId="64D30412"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0</w:t>
            </w:r>
          </w:p>
        </w:tc>
        <w:tc>
          <w:tcPr>
            <w:tcW w:w="1106" w:type="dxa"/>
            <w:tcMar>
              <w:top w:w="0" w:type="dxa"/>
              <w:left w:w="70" w:type="dxa"/>
              <w:bottom w:w="0" w:type="dxa"/>
              <w:right w:w="70" w:type="dxa"/>
            </w:tcMar>
            <w:vAlign w:val="bottom"/>
            <w:hideMark/>
          </w:tcPr>
          <w:p w14:paraId="0E5005A1"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0</w:t>
            </w:r>
          </w:p>
        </w:tc>
        <w:tc>
          <w:tcPr>
            <w:tcW w:w="1152" w:type="dxa"/>
            <w:hideMark/>
          </w:tcPr>
          <w:p w14:paraId="2EF4A8DD" w14:textId="77777777" w:rsidR="007266FD" w:rsidRPr="002F5510" w:rsidRDefault="0051469A" w:rsidP="002F5510">
            <w:pPr>
              <w:spacing w:after="0"/>
              <w:ind w:right="57" w:firstLine="198"/>
              <w:jc w:val="right"/>
              <w:rPr>
                <w:rFonts w:cs="Calibri"/>
                <w:color w:val="000000"/>
                <w:sz w:val="20"/>
                <w:szCs w:val="20"/>
                <w:lang w:eastAsia="cs-CZ"/>
              </w:rPr>
            </w:pPr>
            <w:r w:rsidRPr="002F5510">
              <w:rPr>
                <w:rFonts w:cs="Calibri"/>
                <w:color w:val="000000"/>
                <w:sz w:val="20"/>
                <w:szCs w:val="20"/>
                <w:lang w:eastAsia="cs-CZ"/>
              </w:rPr>
              <w:t>0</w:t>
            </w:r>
          </w:p>
        </w:tc>
      </w:tr>
      <w:tr w:rsidR="002F5510" w:rsidRPr="002F5510" w14:paraId="61AF8C40" w14:textId="77777777" w:rsidTr="002F5510">
        <w:trPr>
          <w:trHeight w:val="227"/>
        </w:trPr>
        <w:tc>
          <w:tcPr>
            <w:tcW w:w="858" w:type="dxa"/>
            <w:noWrap/>
            <w:tcMar>
              <w:top w:w="0" w:type="dxa"/>
              <w:left w:w="70" w:type="dxa"/>
              <w:bottom w:w="0" w:type="dxa"/>
              <w:right w:w="70" w:type="dxa"/>
            </w:tcMar>
            <w:vAlign w:val="center"/>
            <w:hideMark/>
          </w:tcPr>
          <w:p w14:paraId="1F4AF020" w14:textId="77777777" w:rsidR="007266FD" w:rsidRPr="002F5510" w:rsidRDefault="0051469A" w:rsidP="002F5510">
            <w:pPr>
              <w:spacing w:after="0"/>
              <w:jc w:val="left"/>
              <w:rPr>
                <w:rFonts w:cs="Calibri"/>
                <w:color w:val="000000"/>
                <w:sz w:val="20"/>
                <w:szCs w:val="20"/>
                <w:lang w:eastAsia="cs-CZ"/>
              </w:rPr>
            </w:pPr>
            <w:r w:rsidRPr="002F5510">
              <w:rPr>
                <w:rFonts w:cs="Calibri"/>
                <w:color w:val="000000"/>
                <w:sz w:val="20"/>
                <w:szCs w:val="20"/>
                <w:lang w:eastAsia="cs-CZ"/>
              </w:rPr>
              <w:t>CNG</w:t>
            </w:r>
          </w:p>
        </w:tc>
        <w:tc>
          <w:tcPr>
            <w:tcW w:w="2381" w:type="dxa"/>
            <w:noWrap/>
            <w:tcMar>
              <w:top w:w="0" w:type="dxa"/>
              <w:left w:w="70" w:type="dxa"/>
              <w:bottom w:w="0" w:type="dxa"/>
              <w:right w:w="70" w:type="dxa"/>
            </w:tcMar>
            <w:vAlign w:val="bottom"/>
            <w:hideMark/>
          </w:tcPr>
          <w:p w14:paraId="18EAB70C" w14:textId="77777777" w:rsidR="007266FD" w:rsidRPr="002F5510" w:rsidRDefault="0051469A" w:rsidP="002F5510">
            <w:pPr>
              <w:spacing w:after="0"/>
              <w:ind w:left="-57" w:right="-57"/>
              <w:jc w:val="left"/>
              <w:rPr>
                <w:rFonts w:cs="Calibri"/>
                <w:color w:val="000000"/>
                <w:sz w:val="20"/>
                <w:szCs w:val="20"/>
                <w:lang w:eastAsia="cs-CZ"/>
              </w:rPr>
            </w:pPr>
            <w:r w:rsidRPr="002F5510">
              <w:rPr>
                <w:rFonts w:cs="Calibri"/>
                <w:color w:val="000000"/>
                <w:sz w:val="20"/>
                <w:szCs w:val="20"/>
                <w:lang w:eastAsia="cs-CZ"/>
              </w:rPr>
              <w:t>Golf Comfortline 1,5 TGI 6G</w:t>
            </w:r>
          </w:p>
        </w:tc>
        <w:tc>
          <w:tcPr>
            <w:tcW w:w="1020" w:type="dxa"/>
            <w:noWrap/>
            <w:tcMar>
              <w:top w:w="0" w:type="dxa"/>
              <w:left w:w="70" w:type="dxa"/>
              <w:bottom w:w="0" w:type="dxa"/>
              <w:right w:w="70" w:type="dxa"/>
            </w:tcMar>
            <w:vAlign w:val="bottom"/>
            <w:hideMark/>
          </w:tcPr>
          <w:p w14:paraId="7F7CFC68" w14:textId="77777777" w:rsidR="007266FD" w:rsidRPr="002F5510" w:rsidRDefault="0051469A" w:rsidP="002F5510">
            <w:pPr>
              <w:spacing w:after="0"/>
              <w:ind w:left="-57"/>
              <w:jc w:val="right"/>
              <w:rPr>
                <w:rFonts w:cs="Calibri"/>
                <w:color w:val="000000"/>
                <w:sz w:val="20"/>
                <w:szCs w:val="20"/>
                <w:lang w:eastAsia="cs-CZ"/>
              </w:rPr>
            </w:pPr>
            <w:r w:rsidRPr="002F5510">
              <w:rPr>
                <w:rFonts w:cs="Calibri"/>
                <w:color w:val="000000"/>
                <w:sz w:val="20"/>
                <w:szCs w:val="20"/>
                <w:lang w:eastAsia="cs-CZ"/>
              </w:rPr>
              <w:t>584 900</w:t>
            </w:r>
          </w:p>
        </w:tc>
        <w:tc>
          <w:tcPr>
            <w:tcW w:w="1206" w:type="dxa"/>
            <w:tcMar>
              <w:top w:w="0" w:type="dxa"/>
              <w:left w:w="70" w:type="dxa"/>
              <w:bottom w:w="0" w:type="dxa"/>
              <w:right w:w="70" w:type="dxa"/>
            </w:tcMar>
            <w:vAlign w:val="bottom"/>
            <w:hideMark/>
          </w:tcPr>
          <w:p w14:paraId="78EC12B2"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4 680</w:t>
            </w:r>
          </w:p>
        </w:tc>
        <w:tc>
          <w:tcPr>
            <w:tcW w:w="1259" w:type="dxa"/>
            <w:tcMar>
              <w:top w:w="0" w:type="dxa"/>
              <w:left w:w="70" w:type="dxa"/>
              <w:bottom w:w="0" w:type="dxa"/>
              <w:right w:w="70" w:type="dxa"/>
            </w:tcMar>
            <w:vAlign w:val="bottom"/>
            <w:hideMark/>
          </w:tcPr>
          <w:p w14:paraId="13962CAE"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5 400</w:t>
            </w:r>
          </w:p>
        </w:tc>
        <w:tc>
          <w:tcPr>
            <w:tcW w:w="1106" w:type="dxa"/>
            <w:tcMar>
              <w:top w:w="0" w:type="dxa"/>
              <w:left w:w="70" w:type="dxa"/>
              <w:bottom w:w="0" w:type="dxa"/>
              <w:right w:w="70" w:type="dxa"/>
            </w:tcMar>
            <w:vAlign w:val="bottom"/>
            <w:hideMark/>
          </w:tcPr>
          <w:p w14:paraId="033CC5FD"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4 500</w:t>
            </w:r>
          </w:p>
        </w:tc>
        <w:tc>
          <w:tcPr>
            <w:tcW w:w="1152" w:type="dxa"/>
            <w:hideMark/>
          </w:tcPr>
          <w:p w14:paraId="4D8425EB" w14:textId="77777777" w:rsidR="007266FD" w:rsidRPr="002F5510" w:rsidRDefault="0051469A" w:rsidP="002F5510">
            <w:pPr>
              <w:spacing w:after="0"/>
              <w:ind w:right="57" w:firstLine="198"/>
              <w:jc w:val="right"/>
              <w:rPr>
                <w:rFonts w:cs="Calibri"/>
                <w:color w:val="000000"/>
                <w:sz w:val="20"/>
                <w:szCs w:val="20"/>
                <w:lang w:eastAsia="cs-CZ"/>
              </w:rPr>
            </w:pPr>
            <w:r w:rsidRPr="002F5510">
              <w:rPr>
                <w:rFonts w:cs="Calibri"/>
                <w:color w:val="000000"/>
                <w:sz w:val="20"/>
                <w:szCs w:val="20"/>
                <w:lang w:eastAsia="cs-CZ"/>
              </w:rPr>
              <w:t>14 580</w:t>
            </w:r>
          </w:p>
        </w:tc>
      </w:tr>
      <w:tr w:rsidR="002F5510" w:rsidRPr="002F5510" w14:paraId="067BE0B1" w14:textId="77777777" w:rsidTr="002F5510">
        <w:trPr>
          <w:trHeight w:val="227"/>
        </w:trPr>
        <w:tc>
          <w:tcPr>
            <w:tcW w:w="858" w:type="dxa"/>
            <w:noWrap/>
            <w:tcMar>
              <w:top w:w="0" w:type="dxa"/>
              <w:left w:w="70" w:type="dxa"/>
              <w:bottom w:w="0" w:type="dxa"/>
              <w:right w:w="70" w:type="dxa"/>
            </w:tcMar>
            <w:vAlign w:val="center"/>
            <w:hideMark/>
          </w:tcPr>
          <w:p w14:paraId="26A468F7" w14:textId="77777777" w:rsidR="007266FD" w:rsidRPr="002F5510" w:rsidRDefault="0051469A" w:rsidP="002F5510">
            <w:pPr>
              <w:spacing w:after="0"/>
              <w:jc w:val="left"/>
              <w:rPr>
                <w:rFonts w:cs="Calibri"/>
                <w:color w:val="000000"/>
                <w:sz w:val="20"/>
                <w:szCs w:val="20"/>
                <w:lang w:eastAsia="cs-CZ"/>
              </w:rPr>
            </w:pPr>
            <w:r w:rsidRPr="002F5510">
              <w:rPr>
                <w:rFonts w:cs="Calibri"/>
                <w:color w:val="000000"/>
                <w:sz w:val="20"/>
                <w:szCs w:val="20"/>
                <w:lang w:eastAsia="cs-CZ"/>
              </w:rPr>
              <w:t>Elektřina</w:t>
            </w:r>
          </w:p>
        </w:tc>
        <w:tc>
          <w:tcPr>
            <w:tcW w:w="2381" w:type="dxa"/>
            <w:noWrap/>
            <w:tcMar>
              <w:top w:w="0" w:type="dxa"/>
              <w:left w:w="70" w:type="dxa"/>
              <w:bottom w:w="0" w:type="dxa"/>
              <w:right w:w="70" w:type="dxa"/>
            </w:tcMar>
            <w:vAlign w:val="bottom"/>
            <w:hideMark/>
          </w:tcPr>
          <w:p w14:paraId="0C5B8CEC" w14:textId="77777777" w:rsidR="007266FD" w:rsidRPr="002F5510" w:rsidRDefault="0051469A" w:rsidP="002F5510">
            <w:pPr>
              <w:spacing w:after="0"/>
              <w:ind w:left="-57" w:right="-57"/>
              <w:jc w:val="left"/>
              <w:rPr>
                <w:rFonts w:cs="Calibri"/>
                <w:color w:val="000000"/>
                <w:sz w:val="20"/>
                <w:szCs w:val="20"/>
                <w:lang w:eastAsia="cs-CZ"/>
              </w:rPr>
            </w:pPr>
            <w:r w:rsidRPr="002F5510">
              <w:rPr>
                <w:rFonts w:cs="Calibri"/>
                <w:color w:val="000000"/>
                <w:sz w:val="20"/>
                <w:szCs w:val="20"/>
                <w:lang w:eastAsia="cs-CZ"/>
              </w:rPr>
              <w:t>eGolf</w:t>
            </w:r>
          </w:p>
        </w:tc>
        <w:tc>
          <w:tcPr>
            <w:tcW w:w="1020" w:type="dxa"/>
            <w:noWrap/>
            <w:tcMar>
              <w:top w:w="0" w:type="dxa"/>
              <w:left w:w="70" w:type="dxa"/>
              <w:bottom w:w="0" w:type="dxa"/>
              <w:right w:w="70" w:type="dxa"/>
            </w:tcMar>
            <w:vAlign w:val="bottom"/>
            <w:hideMark/>
          </w:tcPr>
          <w:p w14:paraId="2F39EE43" w14:textId="77777777" w:rsidR="007266FD" w:rsidRPr="002F5510" w:rsidRDefault="0051469A" w:rsidP="002F5510">
            <w:pPr>
              <w:spacing w:after="0"/>
              <w:ind w:left="-57"/>
              <w:jc w:val="right"/>
              <w:rPr>
                <w:rFonts w:cs="Calibri"/>
                <w:color w:val="000000"/>
                <w:sz w:val="20"/>
                <w:szCs w:val="20"/>
                <w:lang w:eastAsia="cs-CZ"/>
              </w:rPr>
            </w:pPr>
            <w:r w:rsidRPr="002F5510">
              <w:rPr>
                <w:rFonts w:cs="Calibri"/>
                <w:color w:val="000000"/>
                <w:sz w:val="20"/>
                <w:szCs w:val="20"/>
                <w:lang w:eastAsia="cs-CZ"/>
              </w:rPr>
              <w:t>993 900</w:t>
            </w:r>
          </w:p>
        </w:tc>
        <w:tc>
          <w:tcPr>
            <w:tcW w:w="1206" w:type="dxa"/>
            <w:tcMar>
              <w:top w:w="0" w:type="dxa"/>
              <w:left w:w="70" w:type="dxa"/>
              <w:bottom w:w="0" w:type="dxa"/>
              <w:right w:w="70" w:type="dxa"/>
            </w:tcMar>
            <w:vAlign w:val="bottom"/>
            <w:hideMark/>
          </w:tcPr>
          <w:p w14:paraId="5C76407A"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4 680</w:t>
            </w:r>
          </w:p>
        </w:tc>
        <w:tc>
          <w:tcPr>
            <w:tcW w:w="1259" w:type="dxa"/>
            <w:tcMar>
              <w:top w:w="0" w:type="dxa"/>
              <w:left w:w="70" w:type="dxa"/>
              <w:bottom w:w="0" w:type="dxa"/>
              <w:right w:w="70" w:type="dxa"/>
            </w:tcMar>
            <w:vAlign w:val="bottom"/>
            <w:hideMark/>
          </w:tcPr>
          <w:p w14:paraId="3F9474BE"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5 400</w:t>
            </w:r>
          </w:p>
        </w:tc>
        <w:tc>
          <w:tcPr>
            <w:tcW w:w="1106" w:type="dxa"/>
            <w:tcMar>
              <w:top w:w="0" w:type="dxa"/>
              <w:left w:w="70" w:type="dxa"/>
              <w:bottom w:w="0" w:type="dxa"/>
              <w:right w:w="70" w:type="dxa"/>
            </w:tcMar>
            <w:vAlign w:val="bottom"/>
            <w:hideMark/>
          </w:tcPr>
          <w:p w14:paraId="3D4F707E" w14:textId="77777777" w:rsidR="007266FD" w:rsidRPr="002F5510" w:rsidRDefault="0051469A" w:rsidP="002F5510">
            <w:pPr>
              <w:spacing w:after="0"/>
              <w:ind w:firstLine="200"/>
              <w:jc w:val="right"/>
              <w:rPr>
                <w:rFonts w:cs="Calibri"/>
                <w:color w:val="000000"/>
                <w:sz w:val="20"/>
                <w:szCs w:val="20"/>
                <w:lang w:eastAsia="cs-CZ"/>
              </w:rPr>
            </w:pPr>
            <w:r w:rsidRPr="002F5510">
              <w:rPr>
                <w:rFonts w:cs="Calibri"/>
                <w:color w:val="000000"/>
                <w:sz w:val="20"/>
                <w:szCs w:val="20"/>
                <w:lang w:eastAsia="cs-CZ"/>
              </w:rPr>
              <w:t>4 500</w:t>
            </w:r>
          </w:p>
        </w:tc>
        <w:tc>
          <w:tcPr>
            <w:tcW w:w="1152" w:type="dxa"/>
            <w:hideMark/>
          </w:tcPr>
          <w:p w14:paraId="2B9B78F4" w14:textId="77777777" w:rsidR="007266FD" w:rsidRPr="002F5510" w:rsidRDefault="0051469A" w:rsidP="002F5510">
            <w:pPr>
              <w:spacing w:after="0"/>
              <w:ind w:right="57" w:firstLine="198"/>
              <w:jc w:val="right"/>
              <w:rPr>
                <w:rFonts w:cs="Calibri"/>
                <w:color w:val="000000"/>
                <w:sz w:val="20"/>
                <w:szCs w:val="20"/>
                <w:lang w:eastAsia="cs-CZ"/>
              </w:rPr>
            </w:pPr>
            <w:r w:rsidRPr="002F5510">
              <w:rPr>
                <w:rFonts w:cs="Calibri"/>
                <w:color w:val="000000"/>
                <w:sz w:val="20"/>
                <w:szCs w:val="20"/>
                <w:lang w:eastAsia="cs-CZ"/>
              </w:rPr>
              <w:t>14 580</w:t>
            </w:r>
          </w:p>
        </w:tc>
      </w:tr>
    </w:tbl>
    <w:p w14:paraId="596794AE" w14:textId="22647F0C" w:rsidR="00A84A84" w:rsidRPr="00884ED2" w:rsidRDefault="0051469A" w:rsidP="00884ED2">
      <w:pPr>
        <w:spacing w:before="40"/>
        <w:rPr>
          <w:sz w:val="20"/>
          <w:szCs w:val="20"/>
        </w:rPr>
      </w:pPr>
      <w:r w:rsidRPr="00884ED2">
        <w:rPr>
          <w:b/>
          <w:sz w:val="20"/>
          <w:szCs w:val="20"/>
        </w:rPr>
        <w:t>Zdroj:</w:t>
      </w:r>
      <w:r w:rsidRPr="00884ED2">
        <w:rPr>
          <w:sz w:val="20"/>
          <w:szCs w:val="20"/>
        </w:rPr>
        <w:t xml:space="preserve"> </w:t>
      </w:r>
      <w:r w:rsidR="006C3A4B">
        <w:rPr>
          <w:sz w:val="20"/>
          <w:szCs w:val="20"/>
        </w:rPr>
        <w:t>vypracoval</w:t>
      </w:r>
      <w:r w:rsidRPr="00884ED2">
        <w:rPr>
          <w:sz w:val="20"/>
          <w:szCs w:val="20"/>
        </w:rPr>
        <w:t xml:space="preserve"> NKÚ.</w:t>
      </w:r>
    </w:p>
    <w:p w14:paraId="75BFC1C2" w14:textId="77777777" w:rsidR="00B24EB6" w:rsidRDefault="00237396" w:rsidP="00884ED2">
      <w:pPr>
        <w:pStyle w:val="11rove"/>
        <w:numPr>
          <w:ilvl w:val="0"/>
          <w:numId w:val="0"/>
        </w:numPr>
        <w:spacing w:before="120" w:after="120"/>
      </w:pPr>
      <w:bookmarkStart w:id="13" w:name="_Toc16594997"/>
      <w:bookmarkStart w:id="14" w:name="_Ref16678880"/>
      <w:r>
        <w:t>2.3</w:t>
      </w:r>
      <w:r w:rsidR="0051469A">
        <w:t xml:space="preserve"> </w:t>
      </w:r>
      <w:r w:rsidR="00B20297">
        <w:t>D</w:t>
      </w:r>
      <w:r w:rsidR="0051469A">
        <w:t xml:space="preserve">aň z přidané hodnoty </w:t>
      </w:r>
      <w:bookmarkEnd w:id="13"/>
      <w:bookmarkEnd w:id="14"/>
    </w:p>
    <w:p w14:paraId="5879148E" w14:textId="77777777" w:rsidR="00B24EB6" w:rsidRDefault="0051469A" w:rsidP="00884ED2">
      <w:pPr>
        <w:rPr>
          <w:szCs w:val="24"/>
        </w:rPr>
      </w:pPr>
      <w:r w:rsidRPr="00A53008">
        <w:t>D</w:t>
      </w:r>
      <w:r w:rsidR="0056517E">
        <w:t>aň z přidané hodnoty (dále také „DPH“)</w:t>
      </w:r>
      <w:r w:rsidRPr="00A53008">
        <w:t xml:space="preserve"> tvoří jeden z nejdůležitějších příjmů státního rozpočtu. Je též nazývána univerzální daní, jelikož ji hradí všichni, a to při nákupu většiny zboží a služeb. Počítá se jako procentuální část základu</w:t>
      </w:r>
      <w:r w:rsidR="00957828">
        <w:t>, který zahrnuje i spotřební daň</w:t>
      </w:r>
      <w:r w:rsidRPr="00A53008">
        <w:t xml:space="preserve">. Čím je tedy vyšší fixní částka </w:t>
      </w:r>
      <w:r w:rsidR="00333F75">
        <w:t>SPD</w:t>
      </w:r>
      <w:r w:rsidRPr="00A53008">
        <w:t xml:space="preserve"> uložené na naturální jednotku zboží, tím je při neměnnosti ostatních podmínek a ceny bez daně vyšší i vybraná DPH. </w:t>
      </w:r>
      <w:r w:rsidRPr="00A53008">
        <w:rPr>
          <w:szCs w:val="24"/>
        </w:rPr>
        <w:t>ČR od 1. 2. 2019 využívá 2. sníženou sazbu DPH pro pozemní a vodní pravidelnou hromadnou dopravu cestujících.</w:t>
      </w:r>
    </w:p>
    <w:p w14:paraId="381666C6" w14:textId="046AAB62" w:rsidR="00B24EB6" w:rsidRDefault="0051469A" w:rsidP="00884ED2">
      <w:r w:rsidRPr="00E02175">
        <w:t>MF</w:t>
      </w:r>
      <w:r>
        <w:t xml:space="preserve"> </w:t>
      </w:r>
      <w:r w:rsidRPr="00E02175">
        <w:t xml:space="preserve">uvedlo, že nepřímé daně jsou ze strany EU harmonizovány, a proto např. u DPH neumožnuje </w:t>
      </w:r>
      <w:r w:rsidR="006A1CED">
        <w:t xml:space="preserve">evropská </w:t>
      </w:r>
      <w:r w:rsidRPr="00E02175">
        <w:t>směrnice o DPH</w:t>
      </w:r>
      <w:r>
        <w:rPr>
          <w:rStyle w:val="Znakapoznpodarou"/>
          <w:szCs w:val="24"/>
        </w:rPr>
        <w:footnoteReference w:id="37"/>
      </w:r>
      <w:r w:rsidRPr="00E02175">
        <w:t xml:space="preserve"> uplatnění snížen</w:t>
      </w:r>
      <w:r w:rsidR="00AB62F9">
        <w:t>í sazby daně nebo osvobození od</w:t>
      </w:r>
      <w:r w:rsidR="006C3A4B">
        <w:t xml:space="preserve"> </w:t>
      </w:r>
      <w:r w:rsidRPr="00E02175">
        <w:t>daně.</w:t>
      </w:r>
      <w:r>
        <w:t xml:space="preserve"> </w:t>
      </w:r>
      <w:r w:rsidRPr="00E02175">
        <w:t xml:space="preserve">NKÚ na základě </w:t>
      </w:r>
      <w:r>
        <w:t>mezinárodního</w:t>
      </w:r>
      <w:r w:rsidRPr="00E02175">
        <w:t xml:space="preserve"> porovnání zjistil, že i s DPH v oblasti dopravy mohou </w:t>
      </w:r>
      <w:r w:rsidR="00DC3A67">
        <w:t xml:space="preserve">odpovědné </w:t>
      </w:r>
      <w:r w:rsidR="00B92B30">
        <w:t>orgány</w:t>
      </w:r>
      <w:r w:rsidR="00B92B30" w:rsidRPr="00E02175">
        <w:t xml:space="preserve"> </w:t>
      </w:r>
      <w:r w:rsidRPr="00E02175">
        <w:t>v </w:t>
      </w:r>
      <w:r w:rsidR="00333F75">
        <w:t>ČR</w:t>
      </w:r>
      <w:r w:rsidRPr="00E02175">
        <w:t xml:space="preserve"> pracovat a využít ji k podpoře cílů KEP. </w:t>
      </w:r>
      <w:r w:rsidR="0009644C" w:rsidRPr="0009644C">
        <w:t>Možnosti podpory cílů KEP prostřednictvím DPH</w:t>
      </w:r>
      <w:r w:rsidR="0009644C">
        <w:t xml:space="preserve"> ve státech EU jsou uvedeny v </w:t>
      </w:r>
      <w:r w:rsidR="00022330">
        <w:t>tabul</w:t>
      </w:r>
      <w:r w:rsidR="0009644C">
        <w:t>ce</w:t>
      </w:r>
      <w:r w:rsidR="00022330">
        <w:t xml:space="preserve"> č</w:t>
      </w:r>
      <w:r w:rsidR="00022330" w:rsidRPr="00237396">
        <w:t xml:space="preserve">. </w:t>
      </w:r>
      <w:r w:rsidR="0009644C" w:rsidRPr="00237396">
        <w:t>1</w:t>
      </w:r>
      <w:r w:rsidR="00333F75" w:rsidRPr="00237396">
        <w:t>7</w:t>
      </w:r>
      <w:r w:rsidR="0009644C" w:rsidRPr="00237396">
        <w:t>.</w:t>
      </w:r>
    </w:p>
    <w:p w14:paraId="4E7195F1" w14:textId="77777777" w:rsidR="00DD08A6" w:rsidRPr="00E02175" w:rsidRDefault="009C76A3" w:rsidP="00884ED2">
      <w:pPr>
        <w:pStyle w:val="Tabulka"/>
        <w:numPr>
          <w:ilvl w:val="0"/>
          <w:numId w:val="0"/>
        </w:numPr>
        <w:spacing w:after="40"/>
      </w:pPr>
      <w:r>
        <w:lastRenderedPageBreak/>
        <w:t xml:space="preserve">Tabulka č. 17: </w:t>
      </w:r>
      <w:r w:rsidR="0051469A">
        <w:t>Možnosti podpory cílů KEP prostřednictvím DPH</w:t>
      </w:r>
    </w:p>
    <w:tbl>
      <w:tblPr>
        <w:tblStyle w:val="Mkatabulky"/>
        <w:tblW w:w="9070" w:type="dxa"/>
        <w:tblLook w:val="04A0" w:firstRow="1" w:lastRow="0" w:firstColumn="1" w:lastColumn="0" w:noHBand="0" w:noVBand="1"/>
      </w:tblPr>
      <w:tblGrid>
        <w:gridCol w:w="2551"/>
        <w:gridCol w:w="5102"/>
        <w:gridCol w:w="1417"/>
      </w:tblGrid>
      <w:tr w:rsidR="00884ED2" w14:paraId="70E05AF8" w14:textId="77777777" w:rsidTr="00884ED2">
        <w:trPr>
          <w:trHeight w:val="227"/>
        </w:trPr>
        <w:tc>
          <w:tcPr>
            <w:tcW w:w="2551" w:type="dxa"/>
            <w:shd w:val="clear" w:color="auto" w:fill="E5F1FF"/>
            <w:vAlign w:val="center"/>
          </w:tcPr>
          <w:p w14:paraId="76921A7C" w14:textId="77777777" w:rsidR="00B24EB6" w:rsidRPr="006F079B" w:rsidRDefault="0051469A" w:rsidP="00884ED2">
            <w:pPr>
              <w:spacing w:after="0"/>
              <w:jc w:val="center"/>
              <w:rPr>
                <w:b/>
                <w:sz w:val="20"/>
                <w:szCs w:val="20"/>
              </w:rPr>
            </w:pPr>
            <w:r w:rsidRPr="006F079B">
              <w:rPr>
                <w:b/>
                <w:sz w:val="20"/>
                <w:szCs w:val="20"/>
              </w:rPr>
              <w:t>Nastavení podmínek odpočtu DPH pro podnikatele</w:t>
            </w:r>
          </w:p>
        </w:tc>
        <w:tc>
          <w:tcPr>
            <w:tcW w:w="5102" w:type="dxa"/>
            <w:shd w:val="clear" w:color="auto" w:fill="E5F1FF"/>
            <w:vAlign w:val="center"/>
          </w:tcPr>
          <w:p w14:paraId="5E0F0261" w14:textId="77777777" w:rsidR="00B24EB6" w:rsidRPr="006F079B" w:rsidRDefault="0051469A" w:rsidP="00884ED2">
            <w:pPr>
              <w:spacing w:after="0"/>
              <w:jc w:val="center"/>
              <w:rPr>
                <w:b/>
                <w:sz w:val="20"/>
                <w:szCs w:val="20"/>
              </w:rPr>
            </w:pPr>
            <w:r w:rsidRPr="006F079B">
              <w:rPr>
                <w:b/>
                <w:sz w:val="20"/>
                <w:szCs w:val="20"/>
              </w:rPr>
              <w:t>Mechanismus úpravy základu daně při pořízení vozidla</w:t>
            </w:r>
          </w:p>
        </w:tc>
        <w:tc>
          <w:tcPr>
            <w:tcW w:w="1417" w:type="dxa"/>
            <w:shd w:val="clear" w:color="auto" w:fill="E5F1FF"/>
            <w:vAlign w:val="center"/>
          </w:tcPr>
          <w:p w14:paraId="00DB1C7B" w14:textId="77777777" w:rsidR="00B24EB6" w:rsidRPr="006F079B" w:rsidRDefault="0051469A" w:rsidP="00884ED2">
            <w:pPr>
              <w:spacing w:after="0"/>
              <w:jc w:val="center"/>
              <w:rPr>
                <w:b/>
                <w:sz w:val="20"/>
                <w:szCs w:val="20"/>
              </w:rPr>
            </w:pPr>
            <w:r w:rsidRPr="006F079B">
              <w:rPr>
                <w:b/>
                <w:sz w:val="20"/>
                <w:szCs w:val="20"/>
              </w:rPr>
              <w:t>Podpora hromadné dopravy osob</w:t>
            </w:r>
          </w:p>
        </w:tc>
      </w:tr>
      <w:tr w:rsidR="00884ED2" w14:paraId="6A989652" w14:textId="77777777" w:rsidTr="00884ED2">
        <w:trPr>
          <w:trHeight w:val="227"/>
        </w:trPr>
        <w:tc>
          <w:tcPr>
            <w:tcW w:w="2551" w:type="dxa"/>
            <w:vMerge w:val="restart"/>
          </w:tcPr>
          <w:p w14:paraId="6A0ED673" w14:textId="77777777" w:rsidR="00B24EB6" w:rsidRPr="006F079B" w:rsidRDefault="0051469A" w:rsidP="001B4B66">
            <w:pPr>
              <w:spacing w:after="0"/>
              <w:jc w:val="left"/>
              <w:rPr>
                <w:sz w:val="20"/>
                <w:szCs w:val="20"/>
              </w:rPr>
            </w:pPr>
            <w:r w:rsidRPr="00B66B4D">
              <w:rPr>
                <w:b/>
                <w:sz w:val="20"/>
                <w:szCs w:val="20"/>
              </w:rPr>
              <w:t>Rakousko:</w:t>
            </w:r>
            <w:r w:rsidRPr="006F079B">
              <w:rPr>
                <w:sz w:val="20"/>
                <w:szCs w:val="20"/>
              </w:rPr>
              <w:t xml:space="preserve"> navázání odpočtu automobilu pro podnikatelské účely na nulovou výši emisí.</w:t>
            </w:r>
          </w:p>
        </w:tc>
        <w:tc>
          <w:tcPr>
            <w:tcW w:w="5102" w:type="dxa"/>
          </w:tcPr>
          <w:p w14:paraId="5645F6FB" w14:textId="4299A52E" w:rsidR="00B24EB6" w:rsidRPr="006F079B" w:rsidRDefault="0051469A" w:rsidP="00D602BC">
            <w:pPr>
              <w:spacing w:after="0"/>
              <w:rPr>
                <w:sz w:val="20"/>
                <w:szCs w:val="20"/>
              </w:rPr>
            </w:pPr>
            <w:r w:rsidRPr="00B66B4D">
              <w:rPr>
                <w:b/>
                <w:sz w:val="20"/>
                <w:szCs w:val="20"/>
              </w:rPr>
              <w:t>Polsko</w:t>
            </w:r>
            <w:r w:rsidRPr="006F079B">
              <w:rPr>
                <w:sz w:val="20"/>
                <w:szCs w:val="20"/>
              </w:rPr>
              <w:t>: do DPH zahrnuje i „jednofázovou“ spotřební daň, jejíž výše záleží na kapacitě motoru</w:t>
            </w:r>
            <w:r w:rsidR="00071367">
              <w:rPr>
                <w:sz w:val="20"/>
                <w:szCs w:val="20"/>
              </w:rPr>
              <w:t>,</w:t>
            </w:r>
            <w:r w:rsidRPr="006F079B">
              <w:rPr>
                <w:sz w:val="20"/>
                <w:szCs w:val="20"/>
              </w:rPr>
              <w:t xml:space="preserve"> s tím, že nad 2 000 ccm je tato sazba </w:t>
            </w:r>
            <w:r w:rsidR="000B5533">
              <w:rPr>
                <w:sz w:val="20"/>
                <w:szCs w:val="20"/>
              </w:rPr>
              <w:t xml:space="preserve">šestkrát </w:t>
            </w:r>
            <w:r w:rsidRPr="006F079B">
              <w:rPr>
                <w:sz w:val="20"/>
                <w:szCs w:val="20"/>
              </w:rPr>
              <w:t>vyšší.</w:t>
            </w:r>
          </w:p>
        </w:tc>
        <w:tc>
          <w:tcPr>
            <w:tcW w:w="1417" w:type="dxa"/>
            <w:vMerge w:val="restart"/>
          </w:tcPr>
          <w:p w14:paraId="5520E907" w14:textId="77777777" w:rsidR="00B24EB6" w:rsidRPr="006F079B" w:rsidRDefault="0051469A" w:rsidP="001B4B66">
            <w:pPr>
              <w:spacing w:after="0"/>
              <w:jc w:val="left"/>
              <w:rPr>
                <w:sz w:val="20"/>
                <w:szCs w:val="20"/>
              </w:rPr>
            </w:pPr>
            <w:r w:rsidRPr="006F079B">
              <w:rPr>
                <w:sz w:val="20"/>
                <w:szCs w:val="20"/>
              </w:rPr>
              <w:t xml:space="preserve">Dotazník NKÚ: </w:t>
            </w:r>
            <w:r w:rsidR="000B5533">
              <w:rPr>
                <w:sz w:val="20"/>
                <w:szCs w:val="20"/>
              </w:rPr>
              <w:t>čtyři</w:t>
            </w:r>
            <w:r w:rsidRPr="006F079B">
              <w:rPr>
                <w:sz w:val="20"/>
                <w:szCs w:val="20"/>
              </w:rPr>
              <w:t xml:space="preserve"> z 12 zemí EU uplatňují sníženou sazbu DPH na hromadnou dopravu osob.</w:t>
            </w:r>
          </w:p>
        </w:tc>
      </w:tr>
      <w:tr w:rsidR="00884ED2" w14:paraId="1BF03B87" w14:textId="77777777" w:rsidTr="00884ED2">
        <w:trPr>
          <w:trHeight w:val="227"/>
        </w:trPr>
        <w:tc>
          <w:tcPr>
            <w:tcW w:w="2551" w:type="dxa"/>
            <w:vMerge/>
          </w:tcPr>
          <w:p w14:paraId="7ACBAD63" w14:textId="77777777" w:rsidR="00B24EB6" w:rsidRPr="006F079B" w:rsidRDefault="00B24EB6" w:rsidP="001B4B66">
            <w:pPr>
              <w:spacing w:after="0"/>
              <w:jc w:val="left"/>
              <w:rPr>
                <w:sz w:val="20"/>
                <w:szCs w:val="20"/>
              </w:rPr>
            </w:pPr>
          </w:p>
        </w:tc>
        <w:tc>
          <w:tcPr>
            <w:tcW w:w="5102" w:type="dxa"/>
          </w:tcPr>
          <w:p w14:paraId="72C7BADA" w14:textId="77777777" w:rsidR="00B24EB6" w:rsidRPr="006F079B" w:rsidRDefault="0051469A" w:rsidP="00884ED2">
            <w:pPr>
              <w:spacing w:after="0"/>
              <w:rPr>
                <w:sz w:val="20"/>
                <w:szCs w:val="20"/>
              </w:rPr>
            </w:pPr>
            <w:r w:rsidRPr="00B66B4D">
              <w:rPr>
                <w:b/>
                <w:sz w:val="20"/>
                <w:szCs w:val="20"/>
              </w:rPr>
              <w:t>Dánsko</w:t>
            </w:r>
            <w:r w:rsidRPr="006F079B">
              <w:rPr>
                <w:sz w:val="20"/>
                <w:szCs w:val="20"/>
              </w:rPr>
              <w:t xml:space="preserve">: do DPH zahrnuje i významnou registrační daň, jejíž výše závisí i na spotřebě paliva automobilu, kdy vozidla s pohonem na vodík a palivové články od této registrační daně a k ní se pojící DPH zcela osvobozuje a </w:t>
            </w:r>
            <w:r w:rsidR="000B5533">
              <w:rPr>
                <w:sz w:val="20"/>
                <w:szCs w:val="20"/>
              </w:rPr>
              <w:t xml:space="preserve">plug-in </w:t>
            </w:r>
            <w:r w:rsidR="0056517E">
              <w:rPr>
                <w:sz w:val="20"/>
                <w:szCs w:val="20"/>
              </w:rPr>
              <w:t xml:space="preserve">hybridům </w:t>
            </w:r>
            <w:r w:rsidRPr="006F079B">
              <w:rPr>
                <w:sz w:val="20"/>
                <w:szCs w:val="20"/>
              </w:rPr>
              <w:t xml:space="preserve">a </w:t>
            </w:r>
            <w:r w:rsidR="000B5533">
              <w:rPr>
                <w:sz w:val="20"/>
                <w:szCs w:val="20"/>
              </w:rPr>
              <w:t>bateriovým elektrovozidlům</w:t>
            </w:r>
            <w:r w:rsidRPr="006F079B">
              <w:rPr>
                <w:sz w:val="20"/>
                <w:szCs w:val="20"/>
              </w:rPr>
              <w:t xml:space="preserve"> registrační daň a s ní související DPH snižuje.</w:t>
            </w:r>
          </w:p>
        </w:tc>
        <w:tc>
          <w:tcPr>
            <w:tcW w:w="1417" w:type="dxa"/>
            <w:vMerge/>
          </w:tcPr>
          <w:p w14:paraId="73584231" w14:textId="77777777" w:rsidR="00B24EB6" w:rsidRPr="006F079B" w:rsidRDefault="00B24EB6" w:rsidP="00884ED2">
            <w:pPr>
              <w:spacing w:after="0"/>
              <w:rPr>
                <w:sz w:val="20"/>
                <w:szCs w:val="20"/>
              </w:rPr>
            </w:pPr>
          </w:p>
        </w:tc>
      </w:tr>
      <w:tr w:rsidR="00884ED2" w14:paraId="37F59605" w14:textId="77777777" w:rsidTr="00884ED2">
        <w:trPr>
          <w:trHeight w:val="227"/>
        </w:trPr>
        <w:tc>
          <w:tcPr>
            <w:tcW w:w="2551" w:type="dxa"/>
          </w:tcPr>
          <w:p w14:paraId="6A2868E8" w14:textId="77777777" w:rsidR="00B24EB6" w:rsidRPr="006F079B" w:rsidRDefault="0051469A" w:rsidP="001B4B66">
            <w:pPr>
              <w:spacing w:after="0"/>
              <w:jc w:val="left"/>
              <w:rPr>
                <w:sz w:val="20"/>
                <w:szCs w:val="20"/>
              </w:rPr>
            </w:pPr>
            <w:r w:rsidRPr="00B66B4D">
              <w:rPr>
                <w:b/>
                <w:sz w:val="20"/>
                <w:szCs w:val="20"/>
              </w:rPr>
              <w:t>Irsko</w:t>
            </w:r>
            <w:r w:rsidRPr="006F079B">
              <w:rPr>
                <w:sz w:val="20"/>
                <w:szCs w:val="20"/>
              </w:rPr>
              <w:t>: odečtení části DPH pro automobily registrované po 1.</w:t>
            </w:r>
            <w:r w:rsidR="00884ED2">
              <w:rPr>
                <w:sz w:val="20"/>
                <w:szCs w:val="20"/>
              </w:rPr>
              <w:t> </w:t>
            </w:r>
            <w:r w:rsidRPr="006F079B">
              <w:rPr>
                <w:sz w:val="20"/>
                <w:szCs w:val="20"/>
              </w:rPr>
              <w:t>1.</w:t>
            </w:r>
            <w:r w:rsidR="00884ED2">
              <w:rPr>
                <w:sz w:val="20"/>
                <w:szCs w:val="20"/>
              </w:rPr>
              <w:t> </w:t>
            </w:r>
            <w:r w:rsidRPr="006F079B">
              <w:rPr>
                <w:sz w:val="20"/>
                <w:szCs w:val="20"/>
              </w:rPr>
              <w:t>2009 s emisemi nižšími než 156 g/km používané primárně pro obchodní účely.</w:t>
            </w:r>
          </w:p>
        </w:tc>
        <w:tc>
          <w:tcPr>
            <w:tcW w:w="5102" w:type="dxa"/>
          </w:tcPr>
          <w:p w14:paraId="2B4D7555" w14:textId="77777777" w:rsidR="00B24EB6" w:rsidRPr="006F079B" w:rsidRDefault="0051469A" w:rsidP="00884ED2">
            <w:pPr>
              <w:spacing w:after="0"/>
              <w:rPr>
                <w:sz w:val="20"/>
                <w:szCs w:val="20"/>
              </w:rPr>
            </w:pPr>
            <w:r w:rsidRPr="00B66B4D">
              <w:rPr>
                <w:b/>
                <w:sz w:val="20"/>
                <w:szCs w:val="20"/>
              </w:rPr>
              <w:t>Portugalsko</w:t>
            </w:r>
            <w:r w:rsidRPr="006F079B">
              <w:rPr>
                <w:sz w:val="20"/>
                <w:szCs w:val="20"/>
              </w:rPr>
              <w:t>: DPH uvaluje i na daň z automobilu, která závisí na zdvihovém objemu motoru a environmentální složce (množství CO</w:t>
            </w:r>
            <w:r w:rsidRPr="006F079B">
              <w:rPr>
                <w:sz w:val="20"/>
                <w:szCs w:val="20"/>
                <w:vertAlign w:val="subscript"/>
              </w:rPr>
              <w:t>2</w:t>
            </w:r>
            <w:r w:rsidRPr="006F079B">
              <w:rPr>
                <w:sz w:val="20"/>
                <w:szCs w:val="20"/>
              </w:rPr>
              <w:t xml:space="preserve"> na km). Omezuje odpočet motorové nafty spotřebovávané firemními vozidly na 50 %. Umožnuje úplný odpočet na výletní elektri</w:t>
            </w:r>
            <w:r w:rsidR="00710C71" w:rsidRPr="006F079B">
              <w:rPr>
                <w:sz w:val="20"/>
                <w:szCs w:val="20"/>
              </w:rPr>
              <w:t>cká a plug-in hybridní vozidla a</w:t>
            </w:r>
            <w:r w:rsidRPr="006F079B">
              <w:rPr>
                <w:sz w:val="20"/>
                <w:szCs w:val="20"/>
              </w:rPr>
              <w:t xml:space="preserve"> 50% poměrem pro vozidla poháněná na LPG či CNG.</w:t>
            </w:r>
          </w:p>
        </w:tc>
        <w:tc>
          <w:tcPr>
            <w:tcW w:w="1417" w:type="dxa"/>
          </w:tcPr>
          <w:p w14:paraId="559B0AAE" w14:textId="77777777" w:rsidR="00B24EB6" w:rsidRPr="006F079B" w:rsidRDefault="00B24EB6" w:rsidP="00884ED2">
            <w:pPr>
              <w:spacing w:after="0"/>
              <w:rPr>
                <w:sz w:val="20"/>
                <w:szCs w:val="20"/>
              </w:rPr>
            </w:pPr>
          </w:p>
        </w:tc>
      </w:tr>
    </w:tbl>
    <w:p w14:paraId="63890B5E" w14:textId="1B62AB5B" w:rsidR="00254B67" w:rsidRPr="00884ED2" w:rsidRDefault="0051469A" w:rsidP="001B4B66">
      <w:pPr>
        <w:spacing w:before="40"/>
        <w:jc w:val="left"/>
        <w:rPr>
          <w:sz w:val="20"/>
          <w:szCs w:val="20"/>
        </w:rPr>
      </w:pPr>
      <w:r w:rsidRPr="00884ED2">
        <w:rPr>
          <w:b/>
          <w:sz w:val="20"/>
          <w:szCs w:val="20"/>
        </w:rPr>
        <w:t>Zdroj:</w:t>
      </w:r>
      <w:r w:rsidRPr="00884ED2">
        <w:rPr>
          <w:sz w:val="20"/>
          <w:szCs w:val="20"/>
        </w:rPr>
        <w:t xml:space="preserve"> </w:t>
      </w:r>
      <w:r w:rsidR="006C3A4B">
        <w:rPr>
          <w:sz w:val="20"/>
          <w:szCs w:val="20"/>
        </w:rPr>
        <w:t>vypracoval</w:t>
      </w:r>
      <w:r w:rsidRPr="00884ED2">
        <w:rPr>
          <w:sz w:val="20"/>
          <w:szCs w:val="20"/>
        </w:rPr>
        <w:t xml:space="preserve"> NKÚ</w:t>
      </w:r>
      <w:r w:rsidRPr="00884ED2">
        <w:rPr>
          <w:rStyle w:val="Znakapoznpodarou"/>
          <w:sz w:val="20"/>
          <w:szCs w:val="20"/>
        </w:rPr>
        <w:footnoteReference w:id="38"/>
      </w:r>
      <w:r w:rsidRPr="00884ED2">
        <w:rPr>
          <w:sz w:val="20"/>
          <w:szCs w:val="20"/>
        </w:rPr>
        <w:t>.</w:t>
      </w:r>
    </w:p>
    <w:p w14:paraId="1B85EEEA" w14:textId="33548D23" w:rsidR="009E5D6B" w:rsidRPr="009E5D6B" w:rsidRDefault="0051469A" w:rsidP="001B4B66">
      <w:pPr>
        <w:spacing w:before="120"/>
        <w:rPr>
          <w:szCs w:val="24"/>
        </w:rPr>
      </w:pPr>
      <w:r w:rsidRPr="009E5D6B">
        <w:rPr>
          <w:szCs w:val="24"/>
        </w:rPr>
        <w:t xml:space="preserve">Zkoumané státy tyto mechanismy na DPH uplatňují jako doplněk k registrační dani/poplatku nebo </w:t>
      </w:r>
      <w:r w:rsidR="00844959">
        <w:rPr>
          <w:szCs w:val="24"/>
        </w:rPr>
        <w:t>dani</w:t>
      </w:r>
      <w:r w:rsidR="00844959" w:rsidRPr="009E5D6B">
        <w:rPr>
          <w:szCs w:val="24"/>
        </w:rPr>
        <w:t xml:space="preserve"> silniční</w:t>
      </w:r>
      <w:r w:rsidR="00844959">
        <w:rPr>
          <w:szCs w:val="24"/>
        </w:rPr>
        <w:t xml:space="preserve"> (její obdobě)</w:t>
      </w:r>
      <w:r w:rsidR="00844959" w:rsidRPr="009E5D6B">
        <w:rPr>
          <w:szCs w:val="24"/>
        </w:rPr>
        <w:t xml:space="preserve">. </w:t>
      </w:r>
      <w:r w:rsidR="00071367">
        <w:rPr>
          <w:szCs w:val="24"/>
        </w:rPr>
        <w:t xml:space="preserve">S ohledem na </w:t>
      </w:r>
      <w:r w:rsidR="00EE28C1">
        <w:rPr>
          <w:szCs w:val="24"/>
        </w:rPr>
        <w:t>skutečnost</w:t>
      </w:r>
      <w:r w:rsidR="00B71256">
        <w:rPr>
          <w:szCs w:val="24"/>
        </w:rPr>
        <w:t>, že uvedené státy mají vyšší dy</w:t>
      </w:r>
      <w:r w:rsidR="00071367">
        <w:rPr>
          <w:szCs w:val="24"/>
        </w:rPr>
        <w:t>namiku ekologizace dopravy než ČR</w:t>
      </w:r>
      <w:r w:rsidR="00B71256">
        <w:rPr>
          <w:szCs w:val="24"/>
        </w:rPr>
        <w:t>,</w:t>
      </w:r>
      <w:r w:rsidR="00071367">
        <w:rPr>
          <w:szCs w:val="24"/>
        </w:rPr>
        <w:t xml:space="preserve"> považuje NKÚ jimi nast</w:t>
      </w:r>
      <w:r w:rsidR="00AB62F9">
        <w:rPr>
          <w:szCs w:val="24"/>
        </w:rPr>
        <w:t>avené přístupy v oblasti DPH za</w:t>
      </w:r>
      <w:r w:rsidR="00D602BC">
        <w:rPr>
          <w:szCs w:val="24"/>
        </w:rPr>
        <w:t xml:space="preserve"> </w:t>
      </w:r>
      <w:r w:rsidR="00071367">
        <w:rPr>
          <w:szCs w:val="24"/>
        </w:rPr>
        <w:t xml:space="preserve">dobrou praxi. </w:t>
      </w:r>
      <w:r w:rsidR="001B025B">
        <w:rPr>
          <w:szCs w:val="24"/>
        </w:rPr>
        <w:t xml:space="preserve"> </w:t>
      </w:r>
    </w:p>
    <w:p w14:paraId="7C2B51B5" w14:textId="77777777" w:rsidR="00B24EB6" w:rsidRPr="00437690" w:rsidRDefault="00237396" w:rsidP="001B4B66">
      <w:pPr>
        <w:pStyle w:val="11rove"/>
        <w:numPr>
          <w:ilvl w:val="0"/>
          <w:numId w:val="0"/>
        </w:numPr>
        <w:spacing w:before="120" w:after="120"/>
      </w:pPr>
      <w:bookmarkStart w:id="15" w:name="_Toc16594998"/>
      <w:bookmarkStart w:id="16" w:name="_Ref16678893"/>
      <w:r>
        <w:t>2.4</w:t>
      </w:r>
      <w:r w:rsidR="00B262F4">
        <w:t xml:space="preserve"> Daně z příjmů</w:t>
      </w:r>
      <w:r w:rsidR="0051469A">
        <w:t xml:space="preserve"> </w:t>
      </w:r>
      <w:bookmarkEnd w:id="15"/>
      <w:bookmarkEnd w:id="16"/>
    </w:p>
    <w:p w14:paraId="24EA90A1" w14:textId="0C418CA6" w:rsidR="005A3B00" w:rsidRPr="005A3B00" w:rsidRDefault="0051469A" w:rsidP="001B4B66">
      <w:pPr>
        <w:spacing w:before="120"/>
        <w:rPr>
          <w:sz w:val="22"/>
        </w:rPr>
      </w:pPr>
      <w:r w:rsidRPr="00B865C1">
        <w:t>D</w:t>
      </w:r>
      <w:r w:rsidR="00B262F4" w:rsidRPr="00B865C1">
        <w:t xml:space="preserve">aně </w:t>
      </w:r>
      <w:r w:rsidR="00472FD6" w:rsidRPr="00B865C1">
        <w:t>z příjmů</w:t>
      </w:r>
      <w:r w:rsidRPr="00B865C1">
        <w:t xml:space="preserve"> j</w:t>
      </w:r>
      <w:r w:rsidR="00B262F4" w:rsidRPr="00B865C1">
        <w:t>sou</w:t>
      </w:r>
      <w:r w:rsidRPr="00B865C1">
        <w:t xml:space="preserve"> </w:t>
      </w:r>
      <w:r w:rsidR="00A4616A" w:rsidRPr="00B865C1">
        <w:t>nezanedbatelným příjmem veřejných rozpočtů</w:t>
      </w:r>
      <w:r w:rsidRPr="00B865C1">
        <w:t>, u n</w:t>
      </w:r>
      <w:r w:rsidR="00A4616A" w:rsidRPr="00B865C1">
        <w:t>ich</w:t>
      </w:r>
      <w:r w:rsidRPr="00B865C1">
        <w:t xml:space="preserve">ž se výše zdanění liší podle druhu </w:t>
      </w:r>
      <w:r w:rsidR="00B262F4" w:rsidRPr="00B865C1">
        <w:t>poplatníka</w:t>
      </w:r>
      <w:r w:rsidRPr="00B865C1">
        <w:t>.</w:t>
      </w:r>
      <w:r w:rsidR="00D602BC">
        <w:t xml:space="preserve"> </w:t>
      </w:r>
      <w:r w:rsidRPr="00B865C1">
        <w:t>Výslednou daňovou povinnost však</w:t>
      </w:r>
      <w:r w:rsidR="00FB2BEC" w:rsidRPr="00B865C1">
        <w:t xml:space="preserve"> </w:t>
      </w:r>
      <w:r w:rsidR="00B262F4" w:rsidRPr="00B865C1">
        <w:t>mohou poplatníci snížit</w:t>
      </w:r>
      <w:r w:rsidRPr="00B865C1">
        <w:t xml:space="preserve"> prost</w:t>
      </w:r>
      <w:r w:rsidRPr="005A3B00">
        <w:t xml:space="preserve">řednictvím různých úlev, které zahrnují slevy, odpočty či osvobození. </w:t>
      </w:r>
      <w:r w:rsidR="006A1CED">
        <w:t>ČR</w:t>
      </w:r>
      <w:r w:rsidRPr="005A3B00">
        <w:t xml:space="preserve"> tak např. prostřednictvím slev podporuje zaměstnávání zdravotně postižených či prostřednictvím odpočtu výzkum a vývoj. </w:t>
      </w:r>
    </w:p>
    <w:p w14:paraId="55BB3E56" w14:textId="49BD70AE" w:rsidR="00D60C82" w:rsidRDefault="0051469A" w:rsidP="001B4B66">
      <w:pPr>
        <w:spacing w:before="120"/>
        <w:rPr>
          <w:b/>
        </w:rPr>
      </w:pPr>
      <w:r w:rsidRPr="00E02175">
        <w:t>V</w:t>
      </w:r>
      <w:r w:rsidR="006A1CED">
        <w:t> </w:t>
      </w:r>
      <w:r w:rsidRPr="00E02175">
        <w:t>zákoně</w:t>
      </w:r>
      <w:r w:rsidR="006A1CED">
        <w:t xml:space="preserve"> o daních z příjmů</w:t>
      </w:r>
      <w:r>
        <w:rPr>
          <w:rStyle w:val="Znakapoznpodarou"/>
        </w:rPr>
        <w:footnoteReference w:id="39"/>
      </w:r>
      <w:r w:rsidRPr="00E02175">
        <w:t xml:space="preserve"> se nenachází </w:t>
      </w:r>
      <w:r w:rsidR="009E5D6B">
        <w:t>mechanismy</w:t>
      </w:r>
      <w:r w:rsidRPr="00E02175">
        <w:t>, kter</w:t>
      </w:r>
      <w:r w:rsidR="009E5D6B">
        <w:t>é</w:t>
      </w:r>
      <w:r w:rsidRPr="00E02175">
        <w:t xml:space="preserve"> by měl</w:t>
      </w:r>
      <w:r w:rsidR="00510616">
        <w:t>y</w:t>
      </w:r>
      <w:r w:rsidRPr="00E02175">
        <w:t xml:space="preserve"> návaznost</w:t>
      </w:r>
      <w:r>
        <w:t xml:space="preserve"> </w:t>
      </w:r>
      <w:r w:rsidRPr="00E02175">
        <w:t>na</w:t>
      </w:r>
      <w:r>
        <w:t xml:space="preserve"> cíle</w:t>
      </w:r>
      <w:r w:rsidR="00510616">
        <w:t xml:space="preserve"> KEP</w:t>
      </w:r>
      <w:r w:rsidR="009E5D6B">
        <w:t>, resp. mechan</w:t>
      </w:r>
      <w:r w:rsidR="000B5533">
        <w:t>ismus, který by emisně přívětivá</w:t>
      </w:r>
      <w:r w:rsidR="009E5D6B">
        <w:t xml:space="preserve"> vozidla zvýhodnil</w:t>
      </w:r>
      <w:r w:rsidRPr="00E02175">
        <w:t xml:space="preserve">. NKÚ </w:t>
      </w:r>
      <w:r>
        <w:t xml:space="preserve">na základě mezinárodního porovnání </w:t>
      </w:r>
      <w:r w:rsidRPr="00E02175">
        <w:t>zjistil následující možnosti podpory snižování emisí</w:t>
      </w:r>
      <w:r w:rsidR="00FB2BEC">
        <w:t xml:space="preserve"> (viz tabulka č</w:t>
      </w:r>
      <w:r w:rsidR="00FB2BEC" w:rsidRPr="00237396">
        <w:t>. </w:t>
      </w:r>
      <w:r w:rsidR="00472FD6" w:rsidRPr="00237396">
        <w:t>18)</w:t>
      </w:r>
      <w:r w:rsidRPr="00237396">
        <w:t>.</w:t>
      </w:r>
    </w:p>
    <w:p w14:paraId="0B535EE2" w14:textId="77777777" w:rsidR="00DD08A6" w:rsidRPr="00E02175" w:rsidRDefault="009C76A3" w:rsidP="001B4B66">
      <w:pPr>
        <w:pStyle w:val="Tabulka"/>
        <w:numPr>
          <w:ilvl w:val="0"/>
          <w:numId w:val="0"/>
        </w:numPr>
        <w:spacing w:after="40"/>
      </w:pPr>
      <w:r>
        <w:lastRenderedPageBreak/>
        <w:t xml:space="preserve">Tabulka č. 18: </w:t>
      </w:r>
      <w:r w:rsidR="0051469A">
        <w:t xml:space="preserve">Možnosti podpory cílů KEP prostřednictvím </w:t>
      </w:r>
      <w:r w:rsidR="0002614B">
        <w:t>daně z příjmu</w:t>
      </w:r>
    </w:p>
    <w:tbl>
      <w:tblPr>
        <w:tblStyle w:val="Mkatabulky"/>
        <w:tblW w:w="0" w:type="auto"/>
        <w:tblLook w:val="04A0" w:firstRow="1" w:lastRow="0" w:firstColumn="1" w:lastColumn="0" w:noHBand="0" w:noVBand="1"/>
      </w:tblPr>
      <w:tblGrid>
        <w:gridCol w:w="3256"/>
        <w:gridCol w:w="2784"/>
        <w:gridCol w:w="3020"/>
      </w:tblGrid>
      <w:tr w:rsidR="00121435" w:rsidRPr="001B4B66" w14:paraId="5F83A3D0" w14:textId="77777777" w:rsidTr="001B4B66">
        <w:trPr>
          <w:trHeight w:val="227"/>
        </w:trPr>
        <w:tc>
          <w:tcPr>
            <w:tcW w:w="3256" w:type="dxa"/>
            <w:shd w:val="clear" w:color="auto" w:fill="E5F1FF"/>
            <w:vAlign w:val="center"/>
          </w:tcPr>
          <w:p w14:paraId="186BBE53" w14:textId="77777777" w:rsidR="00B24EB6" w:rsidRPr="001B4B66" w:rsidRDefault="0051469A" w:rsidP="001B4B66">
            <w:pPr>
              <w:keepNext/>
              <w:spacing w:after="0"/>
              <w:jc w:val="center"/>
              <w:rPr>
                <w:rFonts w:cs="Calibri"/>
                <w:b/>
                <w:sz w:val="20"/>
                <w:szCs w:val="20"/>
              </w:rPr>
            </w:pPr>
            <w:r w:rsidRPr="001B4B66">
              <w:rPr>
                <w:rFonts w:cs="Calibri"/>
                <w:b/>
                <w:sz w:val="20"/>
                <w:szCs w:val="20"/>
              </w:rPr>
              <w:t>Zvýhodněné odpisy vozidel na alternativní pohon a s tím související infrastruktury</w:t>
            </w:r>
          </w:p>
        </w:tc>
        <w:tc>
          <w:tcPr>
            <w:tcW w:w="2785" w:type="dxa"/>
            <w:shd w:val="clear" w:color="auto" w:fill="E5F1FF"/>
            <w:vAlign w:val="center"/>
          </w:tcPr>
          <w:p w14:paraId="78712ECC" w14:textId="77777777" w:rsidR="00B24EB6" w:rsidRPr="001B4B66" w:rsidRDefault="0051469A" w:rsidP="001B4B66">
            <w:pPr>
              <w:keepNext/>
              <w:spacing w:after="0"/>
              <w:jc w:val="center"/>
              <w:rPr>
                <w:rFonts w:cs="Calibri"/>
                <w:b/>
                <w:sz w:val="20"/>
                <w:szCs w:val="20"/>
              </w:rPr>
            </w:pPr>
            <w:r w:rsidRPr="001B4B66">
              <w:rPr>
                <w:rFonts w:cs="Calibri"/>
                <w:b/>
                <w:sz w:val="20"/>
                <w:szCs w:val="20"/>
              </w:rPr>
              <w:t>Osvobození od DPPO</w:t>
            </w:r>
          </w:p>
        </w:tc>
        <w:tc>
          <w:tcPr>
            <w:tcW w:w="3021" w:type="dxa"/>
            <w:shd w:val="clear" w:color="auto" w:fill="E5F1FF"/>
            <w:vAlign w:val="center"/>
          </w:tcPr>
          <w:p w14:paraId="291D2E3D" w14:textId="77777777" w:rsidR="00B24EB6" w:rsidRPr="001B4B66" w:rsidRDefault="0051469A" w:rsidP="001B4B66">
            <w:pPr>
              <w:keepNext/>
              <w:spacing w:after="0"/>
              <w:jc w:val="center"/>
              <w:rPr>
                <w:rFonts w:cs="Calibri"/>
                <w:b/>
                <w:sz w:val="20"/>
                <w:szCs w:val="20"/>
              </w:rPr>
            </w:pPr>
            <w:r w:rsidRPr="001B4B66">
              <w:rPr>
                <w:rFonts w:cs="Calibri"/>
                <w:b/>
                <w:sz w:val="20"/>
                <w:szCs w:val="20"/>
              </w:rPr>
              <w:t>Zvýhodněné zdanění benefitu při soukromém využívání firemních vozidel</w:t>
            </w:r>
          </w:p>
        </w:tc>
      </w:tr>
      <w:tr w:rsidR="00121435" w:rsidRPr="001B4B66" w14:paraId="00908B00" w14:textId="77777777" w:rsidTr="001B4B66">
        <w:trPr>
          <w:trHeight w:val="227"/>
        </w:trPr>
        <w:tc>
          <w:tcPr>
            <w:tcW w:w="3256" w:type="dxa"/>
            <w:vMerge w:val="restart"/>
          </w:tcPr>
          <w:p w14:paraId="5830519B" w14:textId="77777777" w:rsidR="00B24EB6" w:rsidRPr="001B4B66" w:rsidRDefault="0051469A" w:rsidP="001B4B66">
            <w:pPr>
              <w:keepNext/>
              <w:spacing w:after="0"/>
              <w:rPr>
                <w:rFonts w:cs="Calibri"/>
                <w:sz w:val="20"/>
                <w:szCs w:val="20"/>
              </w:rPr>
            </w:pPr>
            <w:r w:rsidRPr="001B4B66">
              <w:rPr>
                <w:rFonts w:cs="Calibri"/>
                <w:sz w:val="20"/>
                <w:szCs w:val="20"/>
              </w:rPr>
              <w:t xml:space="preserve">Dotazník NKÚ: 2 státy ze 12 </w:t>
            </w:r>
            <w:r w:rsidRPr="001B4B66">
              <w:rPr>
                <w:rFonts w:cs="Calibri"/>
                <w:b/>
                <w:sz w:val="20"/>
                <w:szCs w:val="20"/>
              </w:rPr>
              <w:t>(Rakousko, Nizozemsko)</w:t>
            </w:r>
            <w:r w:rsidRPr="001B4B66">
              <w:rPr>
                <w:rFonts w:cs="Calibri"/>
                <w:sz w:val="20"/>
                <w:szCs w:val="20"/>
              </w:rPr>
              <w:t xml:space="preserve"> mají zavedené zvýhodněné odpisy vozidel s alternativními pohony a 2 státy ze 12 (Lucembursko, Nizozemsko) aplikují zvýhodněné odpisy na výstavbu související infrastruktury.</w:t>
            </w:r>
          </w:p>
        </w:tc>
        <w:tc>
          <w:tcPr>
            <w:tcW w:w="2785" w:type="dxa"/>
          </w:tcPr>
          <w:p w14:paraId="50B7887D" w14:textId="77777777" w:rsidR="00B24EB6" w:rsidRPr="001B4B66" w:rsidRDefault="0051469A" w:rsidP="001B4B66">
            <w:pPr>
              <w:keepNext/>
              <w:spacing w:after="0"/>
              <w:rPr>
                <w:rFonts w:cs="Calibri"/>
                <w:sz w:val="20"/>
                <w:szCs w:val="20"/>
              </w:rPr>
            </w:pPr>
            <w:r w:rsidRPr="001B4B66">
              <w:rPr>
                <w:rFonts w:cs="Calibri"/>
                <w:b/>
                <w:sz w:val="20"/>
                <w:szCs w:val="20"/>
              </w:rPr>
              <w:t>Rakousko</w:t>
            </w:r>
            <w:r w:rsidRPr="001B4B66">
              <w:rPr>
                <w:rFonts w:cs="Calibri"/>
                <w:sz w:val="20"/>
                <w:szCs w:val="20"/>
              </w:rPr>
              <w:t xml:space="preserve">: za určitých podmínek umožňuje poskytnutí daňové úlevy na část zisku na investice do vozidel s nulovými emisemi. </w:t>
            </w:r>
          </w:p>
        </w:tc>
        <w:tc>
          <w:tcPr>
            <w:tcW w:w="3021" w:type="dxa"/>
            <w:vMerge w:val="restart"/>
          </w:tcPr>
          <w:p w14:paraId="2BFC13CE" w14:textId="5A92945C" w:rsidR="00B24EB6" w:rsidRPr="001B4B66" w:rsidRDefault="0051469A" w:rsidP="00D602BC">
            <w:pPr>
              <w:keepNext/>
              <w:spacing w:after="0"/>
              <w:rPr>
                <w:rFonts w:cs="Calibri"/>
                <w:sz w:val="20"/>
                <w:szCs w:val="20"/>
              </w:rPr>
            </w:pPr>
            <w:r w:rsidRPr="001B4B66">
              <w:rPr>
                <w:rFonts w:cs="Calibri"/>
                <w:b/>
                <w:sz w:val="20"/>
                <w:szCs w:val="20"/>
              </w:rPr>
              <w:t>Německo</w:t>
            </w:r>
            <w:r w:rsidRPr="001B4B66">
              <w:rPr>
                <w:rFonts w:cs="Calibri"/>
                <w:sz w:val="20"/>
                <w:szCs w:val="20"/>
              </w:rPr>
              <w:t>: aplikovalo stejnou výši sazby pro všechny druhy automobilů, avšak vyšší cenu elektromobilů kompenzovalo. Od r</w:t>
            </w:r>
            <w:r w:rsidR="00D602BC">
              <w:rPr>
                <w:rFonts w:cs="Calibri"/>
                <w:sz w:val="20"/>
                <w:szCs w:val="20"/>
              </w:rPr>
              <w:t>oku</w:t>
            </w:r>
            <w:r w:rsidRPr="001B4B66">
              <w:rPr>
                <w:rFonts w:cs="Calibri"/>
                <w:sz w:val="20"/>
                <w:szCs w:val="20"/>
              </w:rPr>
              <w:t xml:space="preserve"> 2019 se na </w:t>
            </w:r>
            <w:r w:rsidR="0002614B" w:rsidRPr="001B4B66">
              <w:rPr>
                <w:rFonts w:cs="Calibri"/>
                <w:sz w:val="20"/>
                <w:szCs w:val="20"/>
              </w:rPr>
              <w:t>elektromobil</w:t>
            </w:r>
            <w:r w:rsidR="00D602BC">
              <w:rPr>
                <w:rFonts w:cs="Calibri"/>
                <w:sz w:val="20"/>
                <w:szCs w:val="20"/>
              </w:rPr>
              <w:t>y</w:t>
            </w:r>
            <w:r w:rsidR="0002614B" w:rsidRPr="001B4B66">
              <w:rPr>
                <w:rFonts w:cs="Calibri"/>
                <w:sz w:val="20"/>
                <w:szCs w:val="20"/>
              </w:rPr>
              <w:t xml:space="preserve">, </w:t>
            </w:r>
            <w:r w:rsidR="00D602BC">
              <w:rPr>
                <w:rFonts w:cs="Calibri"/>
                <w:sz w:val="20"/>
                <w:szCs w:val="20"/>
              </w:rPr>
              <w:br/>
            </w:r>
            <w:r w:rsidR="0002614B" w:rsidRPr="001B4B66">
              <w:rPr>
                <w:rFonts w:cs="Calibri"/>
                <w:sz w:val="20"/>
                <w:szCs w:val="20"/>
              </w:rPr>
              <w:t xml:space="preserve">plug-in hybridy </w:t>
            </w:r>
            <w:r w:rsidRPr="001B4B66">
              <w:rPr>
                <w:rFonts w:cs="Calibri"/>
                <w:sz w:val="20"/>
                <w:szCs w:val="20"/>
              </w:rPr>
              <w:t>a vodíková vozidla vztahuje poloviční sazba.</w:t>
            </w:r>
          </w:p>
        </w:tc>
      </w:tr>
      <w:tr w:rsidR="00121435" w:rsidRPr="001B4B66" w14:paraId="2714E04F" w14:textId="77777777" w:rsidTr="001B4B66">
        <w:trPr>
          <w:trHeight w:val="227"/>
        </w:trPr>
        <w:tc>
          <w:tcPr>
            <w:tcW w:w="3256" w:type="dxa"/>
            <w:vMerge/>
          </w:tcPr>
          <w:p w14:paraId="44312537" w14:textId="77777777" w:rsidR="00B24EB6" w:rsidRPr="001B4B66" w:rsidRDefault="00B24EB6" w:rsidP="001B4B66">
            <w:pPr>
              <w:keepNext/>
              <w:spacing w:after="0"/>
              <w:rPr>
                <w:rFonts w:cs="Calibri"/>
                <w:sz w:val="20"/>
                <w:szCs w:val="20"/>
              </w:rPr>
            </w:pPr>
          </w:p>
        </w:tc>
        <w:tc>
          <w:tcPr>
            <w:tcW w:w="2785" w:type="dxa"/>
          </w:tcPr>
          <w:p w14:paraId="2C6D7AE3" w14:textId="77777777" w:rsidR="00B24EB6" w:rsidRPr="001B4B66" w:rsidRDefault="0051469A" w:rsidP="001B4B66">
            <w:pPr>
              <w:keepNext/>
              <w:spacing w:after="0"/>
              <w:rPr>
                <w:rFonts w:cs="Calibri"/>
                <w:sz w:val="20"/>
                <w:szCs w:val="20"/>
              </w:rPr>
            </w:pPr>
            <w:r w:rsidRPr="001B4B66">
              <w:rPr>
                <w:rFonts w:cs="Calibri"/>
                <w:b/>
                <w:sz w:val="20"/>
                <w:szCs w:val="20"/>
              </w:rPr>
              <w:t>Nizozemsko</w:t>
            </w:r>
            <w:r w:rsidRPr="001B4B66">
              <w:rPr>
                <w:rFonts w:cs="Calibri"/>
                <w:sz w:val="20"/>
                <w:szCs w:val="20"/>
              </w:rPr>
              <w:t>: částečně od daní z příjmů odečítá investice do čistých technologií.</w:t>
            </w:r>
          </w:p>
        </w:tc>
        <w:tc>
          <w:tcPr>
            <w:tcW w:w="3021" w:type="dxa"/>
            <w:vMerge/>
          </w:tcPr>
          <w:p w14:paraId="7F10157A" w14:textId="77777777" w:rsidR="00B24EB6" w:rsidRPr="001B4B66" w:rsidRDefault="00B24EB6" w:rsidP="001B4B66">
            <w:pPr>
              <w:keepNext/>
              <w:spacing w:after="0"/>
              <w:rPr>
                <w:rFonts w:cs="Calibri"/>
                <w:sz w:val="20"/>
                <w:szCs w:val="20"/>
              </w:rPr>
            </w:pPr>
          </w:p>
        </w:tc>
      </w:tr>
      <w:tr w:rsidR="00121435" w:rsidRPr="001B4B66" w14:paraId="46D464B6" w14:textId="77777777" w:rsidTr="001B4B66">
        <w:trPr>
          <w:trHeight w:val="227"/>
        </w:trPr>
        <w:tc>
          <w:tcPr>
            <w:tcW w:w="3256" w:type="dxa"/>
            <w:vMerge w:val="restart"/>
          </w:tcPr>
          <w:p w14:paraId="66EDFB42" w14:textId="77777777" w:rsidR="00B24EB6" w:rsidRPr="001B4B66" w:rsidRDefault="0051469A" w:rsidP="001B4B66">
            <w:pPr>
              <w:keepNext/>
              <w:spacing w:after="0"/>
              <w:rPr>
                <w:rFonts w:cs="Calibri"/>
                <w:sz w:val="20"/>
                <w:szCs w:val="20"/>
              </w:rPr>
            </w:pPr>
            <w:r w:rsidRPr="001B4B66">
              <w:rPr>
                <w:rFonts w:cs="Calibri"/>
                <w:b/>
                <w:sz w:val="20"/>
                <w:szCs w:val="20"/>
              </w:rPr>
              <w:t>Polsko</w:t>
            </w:r>
            <w:r w:rsidRPr="001B4B66">
              <w:rPr>
                <w:rFonts w:cs="Calibri"/>
                <w:sz w:val="20"/>
                <w:szCs w:val="20"/>
              </w:rPr>
              <w:t xml:space="preserve">: k nákupu elektromobilu se subjekty snaží motivovat vyšším limitem pro uplatnění daňových odpisů. </w:t>
            </w:r>
          </w:p>
        </w:tc>
        <w:tc>
          <w:tcPr>
            <w:tcW w:w="2785" w:type="dxa"/>
          </w:tcPr>
          <w:p w14:paraId="52CCF488" w14:textId="77777777" w:rsidR="00B24EB6" w:rsidRPr="001B4B66" w:rsidRDefault="0051469A" w:rsidP="001B4B66">
            <w:pPr>
              <w:keepNext/>
              <w:spacing w:after="0"/>
              <w:rPr>
                <w:rFonts w:cs="Calibri"/>
                <w:sz w:val="20"/>
                <w:szCs w:val="20"/>
              </w:rPr>
            </w:pPr>
            <w:r w:rsidRPr="001B4B66">
              <w:rPr>
                <w:rFonts w:cs="Calibri"/>
                <w:b/>
                <w:sz w:val="20"/>
                <w:szCs w:val="20"/>
              </w:rPr>
              <w:t>Lucembursko</w:t>
            </w:r>
            <w:r w:rsidRPr="001B4B66">
              <w:rPr>
                <w:rFonts w:cs="Calibri"/>
                <w:sz w:val="20"/>
                <w:szCs w:val="20"/>
              </w:rPr>
              <w:t>: odečitatelnost nákladů je vypočítána na základě emisí CO</w:t>
            </w:r>
            <w:r w:rsidRPr="001B4B66">
              <w:rPr>
                <w:rFonts w:cs="Calibri"/>
                <w:sz w:val="20"/>
                <w:szCs w:val="20"/>
                <w:vertAlign w:val="subscript"/>
              </w:rPr>
              <w:t>2</w:t>
            </w:r>
            <w:r w:rsidRPr="001B4B66">
              <w:rPr>
                <w:rFonts w:cs="Calibri"/>
                <w:sz w:val="20"/>
                <w:szCs w:val="20"/>
              </w:rPr>
              <w:t>.</w:t>
            </w:r>
          </w:p>
        </w:tc>
        <w:tc>
          <w:tcPr>
            <w:tcW w:w="3021" w:type="dxa"/>
            <w:vMerge w:val="restart"/>
          </w:tcPr>
          <w:p w14:paraId="1BCDF248" w14:textId="77777777" w:rsidR="00B24EB6" w:rsidRPr="001B4B66" w:rsidRDefault="0051469A" w:rsidP="001B4B66">
            <w:pPr>
              <w:keepNext/>
              <w:spacing w:after="0"/>
              <w:rPr>
                <w:rFonts w:cs="Calibri"/>
                <w:sz w:val="20"/>
                <w:szCs w:val="20"/>
              </w:rPr>
            </w:pPr>
            <w:r w:rsidRPr="001B4B66">
              <w:rPr>
                <w:rFonts w:cs="Calibri"/>
                <w:b/>
                <w:sz w:val="20"/>
                <w:szCs w:val="20"/>
              </w:rPr>
              <w:t>Rakousko</w:t>
            </w:r>
            <w:r w:rsidRPr="001B4B66">
              <w:rPr>
                <w:rFonts w:cs="Calibri"/>
                <w:sz w:val="20"/>
                <w:szCs w:val="20"/>
              </w:rPr>
              <w:t>: soukromé využívání automobilů s nulovými emisemi toho času nepovažuje za nepeněžní příjem a nižší sazbou dále zvýhodňuje automobily s nižšími emisemi.</w:t>
            </w:r>
          </w:p>
        </w:tc>
      </w:tr>
      <w:tr w:rsidR="00121435" w:rsidRPr="001B4B66" w14:paraId="5C2E48A3" w14:textId="77777777" w:rsidTr="001B4B66">
        <w:trPr>
          <w:trHeight w:val="227"/>
        </w:trPr>
        <w:tc>
          <w:tcPr>
            <w:tcW w:w="3256" w:type="dxa"/>
            <w:vMerge/>
          </w:tcPr>
          <w:p w14:paraId="5D286891" w14:textId="77777777" w:rsidR="00B24EB6" w:rsidRPr="001B4B66" w:rsidRDefault="00B24EB6" w:rsidP="001B4B66">
            <w:pPr>
              <w:keepNext/>
              <w:spacing w:after="0"/>
              <w:rPr>
                <w:rFonts w:cs="Calibri"/>
                <w:sz w:val="20"/>
                <w:szCs w:val="20"/>
              </w:rPr>
            </w:pPr>
          </w:p>
        </w:tc>
        <w:tc>
          <w:tcPr>
            <w:tcW w:w="2785" w:type="dxa"/>
          </w:tcPr>
          <w:p w14:paraId="72406355" w14:textId="77777777" w:rsidR="00B24EB6" w:rsidRPr="001B4B66" w:rsidRDefault="0051469A" w:rsidP="001B4B66">
            <w:pPr>
              <w:keepNext/>
              <w:spacing w:after="0"/>
              <w:rPr>
                <w:rFonts w:cs="Calibri"/>
                <w:sz w:val="20"/>
                <w:szCs w:val="20"/>
              </w:rPr>
            </w:pPr>
            <w:r w:rsidRPr="001B4B66">
              <w:rPr>
                <w:rFonts w:cs="Calibri"/>
                <w:b/>
                <w:sz w:val="20"/>
                <w:szCs w:val="20"/>
              </w:rPr>
              <w:t>Dánsko</w:t>
            </w:r>
            <w:r w:rsidRPr="001B4B66">
              <w:rPr>
                <w:rFonts w:cs="Calibri"/>
                <w:sz w:val="20"/>
                <w:szCs w:val="20"/>
              </w:rPr>
              <w:t>: zvýhodňuje společnosti, které zásobují nabíjením elektrická vozidla na komerční bázi.</w:t>
            </w:r>
          </w:p>
        </w:tc>
        <w:tc>
          <w:tcPr>
            <w:tcW w:w="3021" w:type="dxa"/>
            <w:vMerge/>
          </w:tcPr>
          <w:p w14:paraId="2B2F99DC" w14:textId="77777777" w:rsidR="00B24EB6" w:rsidRPr="001B4B66" w:rsidRDefault="00B24EB6" w:rsidP="001B4B66">
            <w:pPr>
              <w:keepNext/>
              <w:spacing w:after="0"/>
              <w:rPr>
                <w:rFonts w:cs="Calibri"/>
                <w:sz w:val="20"/>
                <w:szCs w:val="20"/>
              </w:rPr>
            </w:pPr>
          </w:p>
        </w:tc>
      </w:tr>
      <w:tr w:rsidR="00121435" w:rsidRPr="001B4B66" w14:paraId="6103A508" w14:textId="77777777" w:rsidTr="001B4B66">
        <w:trPr>
          <w:trHeight w:val="227"/>
        </w:trPr>
        <w:tc>
          <w:tcPr>
            <w:tcW w:w="3256" w:type="dxa"/>
          </w:tcPr>
          <w:p w14:paraId="76A58C7F" w14:textId="4452793E" w:rsidR="00B24EB6" w:rsidRPr="001B4B66" w:rsidRDefault="0051469A" w:rsidP="00D602BC">
            <w:pPr>
              <w:keepNext/>
              <w:spacing w:after="0"/>
              <w:rPr>
                <w:rFonts w:cs="Calibri"/>
                <w:sz w:val="20"/>
                <w:szCs w:val="20"/>
              </w:rPr>
            </w:pPr>
            <w:r w:rsidRPr="001B4B66">
              <w:rPr>
                <w:rFonts w:cs="Calibri"/>
                <w:b/>
                <w:sz w:val="20"/>
                <w:szCs w:val="20"/>
              </w:rPr>
              <w:t>Belgie</w:t>
            </w:r>
            <w:r w:rsidRPr="001B4B66">
              <w:rPr>
                <w:rFonts w:cs="Calibri"/>
                <w:sz w:val="20"/>
                <w:szCs w:val="20"/>
              </w:rPr>
              <w:t>: až do roku 2019 nabízí 120% odečitatelnost</w:t>
            </w:r>
            <w:r w:rsidR="00D602BC">
              <w:rPr>
                <w:rFonts w:cs="Calibri"/>
                <w:sz w:val="20"/>
                <w:szCs w:val="20"/>
              </w:rPr>
              <w:t xml:space="preserve"> </w:t>
            </w:r>
            <w:r w:rsidR="001D48E8" w:rsidRPr="001B4B66">
              <w:rPr>
                <w:rFonts w:cs="Calibri"/>
                <w:sz w:val="20"/>
                <w:szCs w:val="20"/>
              </w:rPr>
              <w:t xml:space="preserve">pořizovacích nákladů </w:t>
            </w:r>
            <w:r w:rsidR="007859DC" w:rsidRPr="001B4B66">
              <w:rPr>
                <w:rFonts w:cs="Calibri"/>
                <w:sz w:val="20"/>
                <w:szCs w:val="20"/>
              </w:rPr>
              <w:t>bateriových elektrovozidel a 75%</w:t>
            </w:r>
            <w:r w:rsidR="00135DDD" w:rsidRPr="001B4B66">
              <w:rPr>
                <w:rFonts w:cs="Calibri"/>
                <w:sz w:val="20"/>
                <w:szCs w:val="20"/>
              </w:rPr>
              <w:t xml:space="preserve"> </w:t>
            </w:r>
            <w:r w:rsidR="001D48E8" w:rsidRPr="001B4B66">
              <w:rPr>
                <w:rFonts w:cs="Calibri"/>
                <w:sz w:val="20"/>
                <w:szCs w:val="20"/>
              </w:rPr>
              <w:t xml:space="preserve">odečitatelnost </w:t>
            </w:r>
            <w:r w:rsidR="007859DC" w:rsidRPr="001B4B66">
              <w:rPr>
                <w:rFonts w:cs="Calibri"/>
                <w:sz w:val="20"/>
                <w:szCs w:val="20"/>
              </w:rPr>
              <w:t>nákladů na nabíjení od</w:t>
            </w:r>
            <w:r w:rsidR="00D602BC">
              <w:rPr>
                <w:rFonts w:cs="Calibri"/>
                <w:sz w:val="20"/>
                <w:szCs w:val="20"/>
              </w:rPr>
              <w:t xml:space="preserve"> </w:t>
            </w:r>
            <w:r w:rsidRPr="001B4B66">
              <w:rPr>
                <w:rFonts w:cs="Calibri"/>
                <w:sz w:val="20"/>
                <w:szCs w:val="20"/>
              </w:rPr>
              <w:t>daně z</w:t>
            </w:r>
            <w:r w:rsidR="007859DC" w:rsidRPr="001B4B66">
              <w:rPr>
                <w:rFonts w:cs="Calibri"/>
                <w:sz w:val="20"/>
                <w:szCs w:val="20"/>
              </w:rPr>
              <w:t> </w:t>
            </w:r>
            <w:r w:rsidRPr="001B4B66">
              <w:rPr>
                <w:rFonts w:cs="Calibri"/>
                <w:sz w:val="20"/>
                <w:szCs w:val="20"/>
              </w:rPr>
              <w:t>příjm</w:t>
            </w:r>
            <w:r w:rsidR="007859DC" w:rsidRPr="001B4B66">
              <w:rPr>
                <w:rFonts w:cs="Calibri"/>
                <w:sz w:val="20"/>
                <w:szCs w:val="20"/>
              </w:rPr>
              <w:t xml:space="preserve">ů. </w:t>
            </w:r>
            <w:r w:rsidRPr="001B4B66">
              <w:rPr>
                <w:rFonts w:cs="Calibri"/>
                <w:sz w:val="20"/>
                <w:szCs w:val="20"/>
              </w:rPr>
              <w:t xml:space="preserve"> </w:t>
            </w:r>
          </w:p>
        </w:tc>
        <w:tc>
          <w:tcPr>
            <w:tcW w:w="2785" w:type="dxa"/>
          </w:tcPr>
          <w:p w14:paraId="480BEAEF" w14:textId="2B0227FA" w:rsidR="00B24EB6" w:rsidRPr="001B4B66" w:rsidRDefault="0051469A" w:rsidP="00D602BC">
            <w:pPr>
              <w:keepNext/>
              <w:spacing w:after="0"/>
              <w:rPr>
                <w:rFonts w:cs="Calibri"/>
                <w:sz w:val="20"/>
                <w:szCs w:val="20"/>
              </w:rPr>
            </w:pPr>
            <w:r w:rsidRPr="001B4B66">
              <w:rPr>
                <w:rFonts w:cs="Calibri"/>
                <w:b/>
                <w:sz w:val="20"/>
                <w:szCs w:val="20"/>
              </w:rPr>
              <w:t>Irsko</w:t>
            </w:r>
            <w:r w:rsidRPr="001B4B66">
              <w:rPr>
                <w:rFonts w:cs="Calibri"/>
                <w:sz w:val="20"/>
                <w:szCs w:val="20"/>
              </w:rPr>
              <w:t xml:space="preserve">: podporuje nákup </w:t>
            </w:r>
            <w:r w:rsidR="000B5533" w:rsidRPr="001B4B66">
              <w:rPr>
                <w:rFonts w:cs="Calibri"/>
                <w:sz w:val="20"/>
                <w:szCs w:val="20"/>
              </w:rPr>
              <w:t>bateriových elektrovoz</w:t>
            </w:r>
            <w:r w:rsidR="0002614B" w:rsidRPr="001B4B66">
              <w:rPr>
                <w:rFonts w:cs="Calibri"/>
                <w:sz w:val="20"/>
                <w:szCs w:val="20"/>
              </w:rPr>
              <w:t>idel</w:t>
            </w:r>
            <w:r w:rsidR="000B5533" w:rsidRPr="001B4B66">
              <w:rPr>
                <w:rFonts w:cs="Calibri"/>
                <w:sz w:val="20"/>
                <w:szCs w:val="20"/>
              </w:rPr>
              <w:t xml:space="preserve">, plug-in </w:t>
            </w:r>
            <w:r w:rsidR="0002614B" w:rsidRPr="001B4B66">
              <w:rPr>
                <w:rFonts w:cs="Calibri"/>
                <w:sz w:val="20"/>
                <w:szCs w:val="20"/>
              </w:rPr>
              <w:t>hybridů</w:t>
            </w:r>
            <w:r w:rsidR="000B5533" w:rsidRPr="001B4B66">
              <w:rPr>
                <w:rFonts w:cs="Calibri"/>
                <w:sz w:val="20"/>
                <w:szCs w:val="20"/>
              </w:rPr>
              <w:t xml:space="preserve"> </w:t>
            </w:r>
            <w:r w:rsidRPr="001B4B66">
              <w:rPr>
                <w:rFonts w:cs="Calibri"/>
                <w:sz w:val="20"/>
                <w:szCs w:val="20"/>
              </w:rPr>
              <w:t>a nabíjecího zařízení tím, že umožňuje společnostem odepsat 100 % kupní ceny proti jejich zisku v roce nákupu.</w:t>
            </w:r>
          </w:p>
        </w:tc>
        <w:tc>
          <w:tcPr>
            <w:tcW w:w="3021" w:type="dxa"/>
          </w:tcPr>
          <w:p w14:paraId="0C40A3FA" w14:textId="77777777" w:rsidR="00B24EB6" w:rsidRPr="001B4B66" w:rsidRDefault="0051469A" w:rsidP="001B4B66">
            <w:pPr>
              <w:keepNext/>
              <w:spacing w:after="0"/>
              <w:rPr>
                <w:rFonts w:cs="Calibri"/>
                <w:sz w:val="20"/>
                <w:szCs w:val="20"/>
              </w:rPr>
            </w:pPr>
            <w:r w:rsidRPr="001B4B66">
              <w:rPr>
                <w:rFonts w:cs="Calibri"/>
                <w:b/>
                <w:sz w:val="20"/>
                <w:szCs w:val="20"/>
              </w:rPr>
              <w:t>Norsko</w:t>
            </w:r>
            <w:r w:rsidRPr="001B4B66">
              <w:rPr>
                <w:rFonts w:cs="Calibri"/>
                <w:sz w:val="20"/>
                <w:szCs w:val="20"/>
              </w:rPr>
              <w:t>: u vozidel s nulovými emisemi snižuje cenu vozidla, z které se počítá zdanitelný benefit na 60 %.</w:t>
            </w:r>
          </w:p>
          <w:p w14:paraId="26DF566F" w14:textId="77777777" w:rsidR="00B24EB6" w:rsidRPr="001B4B66" w:rsidRDefault="00B24EB6" w:rsidP="001B4B66">
            <w:pPr>
              <w:keepNext/>
              <w:spacing w:after="0"/>
              <w:rPr>
                <w:rFonts w:cs="Calibri"/>
                <w:sz w:val="20"/>
                <w:szCs w:val="20"/>
              </w:rPr>
            </w:pPr>
          </w:p>
        </w:tc>
      </w:tr>
      <w:tr w:rsidR="00121435" w:rsidRPr="001B4B66" w14:paraId="5158F314" w14:textId="77777777" w:rsidTr="001B4B66">
        <w:trPr>
          <w:trHeight w:val="227"/>
        </w:trPr>
        <w:tc>
          <w:tcPr>
            <w:tcW w:w="3256" w:type="dxa"/>
          </w:tcPr>
          <w:p w14:paraId="63DF1366" w14:textId="77777777" w:rsidR="00B24EB6" w:rsidRPr="001B4B66" w:rsidRDefault="0051469A" w:rsidP="001B4B66">
            <w:pPr>
              <w:keepNext/>
              <w:spacing w:after="0"/>
              <w:rPr>
                <w:rFonts w:cs="Calibri"/>
                <w:sz w:val="20"/>
                <w:szCs w:val="20"/>
              </w:rPr>
            </w:pPr>
            <w:r w:rsidRPr="001B4B66">
              <w:rPr>
                <w:rFonts w:cs="Calibri"/>
                <w:b/>
                <w:sz w:val="20"/>
                <w:szCs w:val="20"/>
              </w:rPr>
              <w:t>Malta</w:t>
            </w:r>
            <w:r w:rsidRPr="001B4B66">
              <w:rPr>
                <w:rFonts w:cs="Calibri"/>
                <w:sz w:val="20"/>
                <w:szCs w:val="20"/>
              </w:rPr>
              <w:t>: pro elektrická vozidla umožňuje odpočet ze zdanitelného příjmu společnosti ve výši 150</w:t>
            </w:r>
            <w:r w:rsidR="003815E9" w:rsidRPr="001B4B66">
              <w:rPr>
                <w:rFonts w:cs="Calibri"/>
                <w:sz w:val="20"/>
                <w:szCs w:val="20"/>
              </w:rPr>
              <w:t xml:space="preserve"> </w:t>
            </w:r>
            <w:r w:rsidRPr="001B4B66">
              <w:rPr>
                <w:rFonts w:cs="Calibri"/>
                <w:sz w:val="20"/>
                <w:szCs w:val="20"/>
              </w:rPr>
              <w:t xml:space="preserve">% </w:t>
            </w:r>
            <w:r w:rsidR="003815E9" w:rsidRPr="001B4B66">
              <w:rPr>
                <w:rFonts w:cs="Calibri"/>
                <w:sz w:val="20"/>
                <w:szCs w:val="20"/>
              </w:rPr>
              <w:t xml:space="preserve">pořizovacích nákladů </w:t>
            </w:r>
            <w:r w:rsidRPr="001B4B66">
              <w:rPr>
                <w:rFonts w:cs="Calibri"/>
                <w:sz w:val="20"/>
                <w:szCs w:val="20"/>
              </w:rPr>
              <w:t>a pro vozidla s emisemi 0-70 g/km odpočet ze zdanitelného příjmu ve výši 125</w:t>
            </w:r>
            <w:r w:rsidR="003815E9" w:rsidRPr="001B4B66">
              <w:rPr>
                <w:rFonts w:cs="Calibri"/>
                <w:sz w:val="20"/>
                <w:szCs w:val="20"/>
              </w:rPr>
              <w:t xml:space="preserve"> </w:t>
            </w:r>
            <w:r w:rsidRPr="001B4B66">
              <w:rPr>
                <w:rFonts w:cs="Calibri"/>
                <w:sz w:val="20"/>
                <w:szCs w:val="20"/>
              </w:rPr>
              <w:t>%</w:t>
            </w:r>
            <w:r w:rsidR="003815E9" w:rsidRPr="001B4B66">
              <w:rPr>
                <w:rFonts w:cs="Calibri"/>
                <w:sz w:val="20"/>
                <w:szCs w:val="20"/>
              </w:rPr>
              <w:t xml:space="preserve"> pořizovacích nákladů</w:t>
            </w:r>
            <w:r w:rsidRPr="001B4B66">
              <w:rPr>
                <w:rFonts w:cs="Calibri"/>
                <w:sz w:val="20"/>
                <w:szCs w:val="20"/>
              </w:rPr>
              <w:t xml:space="preserve"> (maximální odpočet činí 25 000 EUR).</w:t>
            </w:r>
          </w:p>
        </w:tc>
        <w:tc>
          <w:tcPr>
            <w:tcW w:w="2785" w:type="dxa"/>
          </w:tcPr>
          <w:p w14:paraId="7FF814AE" w14:textId="77777777" w:rsidR="00B24EB6" w:rsidRPr="001B4B66" w:rsidRDefault="0051469A" w:rsidP="001B4B66">
            <w:pPr>
              <w:keepNext/>
              <w:spacing w:after="0"/>
              <w:rPr>
                <w:rFonts w:cs="Calibri"/>
                <w:sz w:val="20"/>
                <w:szCs w:val="20"/>
              </w:rPr>
            </w:pPr>
            <w:r w:rsidRPr="001B4B66">
              <w:rPr>
                <w:rFonts w:cs="Calibri"/>
                <w:b/>
                <w:sz w:val="20"/>
                <w:szCs w:val="20"/>
              </w:rPr>
              <w:t>Maďarsko</w:t>
            </w:r>
            <w:r w:rsidRPr="001B4B66">
              <w:rPr>
                <w:rFonts w:cs="Calibri"/>
                <w:sz w:val="20"/>
                <w:szCs w:val="20"/>
              </w:rPr>
              <w:t xml:space="preserve"> a </w:t>
            </w:r>
            <w:r w:rsidRPr="001B4B66">
              <w:rPr>
                <w:rFonts w:cs="Calibri"/>
                <w:b/>
                <w:sz w:val="20"/>
                <w:szCs w:val="20"/>
              </w:rPr>
              <w:t>Spojené království</w:t>
            </w:r>
            <w:r w:rsidRPr="001B4B66">
              <w:rPr>
                <w:rFonts w:cs="Calibri"/>
                <w:sz w:val="20"/>
                <w:szCs w:val="20"/>
              </w:rPr>
              <w:t>: zvýhodňují elektromobily prostřednictvím firemní daně z automobilů. Spojené království nabízí i daňové výhody pro podniky instalující dobíjecí infrastrukturu.</w:t>
            </w:r>
          </w:p>
        </w:tc>
        <w:tc>
          <w:tcPr>
            <w:tcW w:w="3021" w:type="dxa"/>
          </w:tcPr>
          <w:p w14:paraId="6B3E553D" w14:textId="77777777" w:rsidR="00B24EB6" w:rsidRPr="001B4B66" w:rsidRDefault="0051469A" w:rsidP="001B4B66">
            <w:pPr>
              <w:keepNext/>
              <w:spacing w:after="0"/>
              <w:rPr>
                <w:rFonts w:cs="Calibri"/>
                <w:sz w:val="20"/>
                <w:szCs w:val="20"/>
              </w:rPr>
            </w:pPr>
            <w:r w:rsidRPr="001B4B66">
              <w:rPr>
                <w:rFonts w:cs="Calibri"/>
                <w:b/>
                <w:sz w:val="20"/>
                <w:szCs w:val="20"/>
              </w:rPr>
              <w:t>Nizozemsko</w:t>
            </w:r>
            <w:r w:rsidRPr="001B4B66">
              <w:rPr>
                <w:rFonts w:cs="Calibri"/>
                <w:sz w:val="20"/>
                <w:szCs w:val="20"/>
              </w:rPr>
              <w:t xml:space="preserve"> a </w:t>
            </w:r>
            <w:r w:rsidRPr="001B4B66">
              <w:rPr>
                <w:rFonts w:cs="Calibri"/>
                <w:b/>
                <w:sz w:val="20"/>
                <w:szCs w:val="20"/>
              </w:rPr>
              <w:t>Spojené království</w:t>
            </w:r>
            <w:r w:rsidRPr="001B4B66">
              <w:rPr>
                <w:rFonts w:cs="Calibri"/>
                <w:sz w:val="20"/>
                <w:szCs w:val="20"/>
              </w:rPr>
              <w:t>: na zdanitelný benefit aplikují nižší sazby pro vozidla s nulovými či nižšími emisemi, Švédsko: pro elektrické automobily.</w:t>
            </w:r>
          </w:p>
        </w:tc>
      </w:tr>
    </w:tbl>
    <w:p w14:paraId="5C723216" w14:textId="17D079F5" w:rsidR="006A3E64" w:rsidRPr="001B4B66" w:rsidRDefault="0051469A" w:rsidP="009C76A3">
      <w:pPr>
        <w:pStyle w:val="Textpoznpodarou"/>
        <w:spacing w:before="40" w:after="120"/>
        <w:jc w:val="left"/>
      </w:pPr>
      <w:r w:rsidRPr="001B4B66">
        <w:rPr>
          <w:b/>
        </w:rPr>
        <w:t>Zdroj:</w:t>
      </w:r>
      <w:r w:rsidR="0009644C" w:rsidRPr="001B4B66">
        <w:t xml:space="preserve"> </w:t>
      </w:r>
      <w:r w:rsidR="00D602BC">
        <w:t>vypracoval</w:t>
      </w:r>
      <w:r w:rsidR="00254B67" w:rsidRPr="001B4B66">
        <w:t xml:space="preserve"> NKÚ</w:t>
      </w:r>
      <w:r w:rsidRPr="001B4B66">
        <w:rPr>
          <w:rStyle w:val="Znakapoznpodarou"/>
        </w:rPr>
        <w:footnoteReference w:id="40"/>
      </w:r>
      <w:r w:rsidR="00254B67" w:rsidRPr="001B4B66">
        <w:t xml:space="preserve">. </w:t>
      </w:r>
      <w:r w:rsidRPr="001B4B66">
        <w:t xml:space="preserve"> </w:t>
      </w:r>
    </w:p>
    <w:p w14:paraId="23F85E72" w14:textId="33E37B94" w:rsidR="00844959" w:rsidRDefault="0051469A" w:rsidP="009C76A3">
      <w:pPr>
        <w:spacing w:before="120"/>
        <w:rPr>
          <w:szCs w:val="24"/>
        </w:rPr>
      </w:pPr>
      <w:r w:rsidRPr="009E5D6B">
        <w:rPr>
          <w:szCs w:val="24"/>
        </w:rPr>
        <w:t>Zkoumané státy tyto mechanismy na DPH uplatňují jako doplněk k registrační dani/poplatku nebo</w:t>
      </w:r>
      <w:r>
        <w:rPr>
          <w:szCs w:val="24"/>
        </w:rPr>
        <w:t xml:space="preserve"> dani</w:t>
      </w:r>
      <w:r w:rsidRPr="009E5D6B">
        <w:rPr>
          <w:szCs w:val="24"/>
        </w:rPr>
        <w:t xml:space="preserve"> silniční</w:t>
      </w:r>
      <w:r>
        <w:rPr>
          <w:szCs w:val="24"/>
        </w:rPr>
        <w:t xml:space="preserve"> (její obdobě)</w:t>
      </w:r>
      <w:r w:rsidRPr="009E5D6B">
        <w:rPr>
          <w:szCs w:val="24"/>
        </w:rPr>
        <w:t xml:space="preserve">. </w:t>
      </w:r>
      <w:r w:rsidR="00B71256">
        <w:rPr>
          <w:szCs w:val="24"/>
        </w:rPr>
        <w:t xml:space="preserve">S ohledem na </w:t>
      </w:r>
      <w:r w:rsidR="00EE28C1">
        <w:rPr>
          <w:szCs w:val="24"/>
        </w:rPr>
        <w:t>skutečnost</w:t>
      </w:r>
      <w:r w:rsidR="00B71256">
        <w:rPr>
          <w:szCs w:val="24"/>
        </w:rPr>
        <w:t>, že uvedené státy mají vyšší dynamiku ekologizace dopravy než ČR, považuje NKÚ jimi nast</w:t>
      </w:r>
      <w:r w:rsidR="00653A67">
        <w:rPr>
          <w:szCs w:val="24"/>
        </w:rPr>
        <w:t>avené přístupy v oblasti daní z </w:t>
      </w:r>
      <w:r w:rsidR="00B71256">
        <w:rPr>
          <w:szCs w:val="24"/>
        </w:rPr>
        <w:t xml:space="preserve">příjmů za dobrou praxi.  </w:t>
      </w:r>
    </w:p>
    <w:tbl>
      <w:tblPr>
        <w:tblStyle w:val="Mkatabulky"/>
        <w:tblW w:w="0" w:type="auto"/>
        <w:shd w:val="clear" w:color="auto" w:fill="F3C5C8"/>
        <w:tblLook w:val="04A0" w:firstRow="1" w:lastRow="0" w:firstColumn="1" w:lastColumn="0" w:noHBand="0" w:noVBand="1"/>
      </w:tblPr>
      <w:tblGrid>
        <w:gridCol w:w="9060"/>
      </w:tblGrid>
      <w:tr w:rsidR="00EE28C1" w:rsidRPr="004B791B" w14:paraId="1F4924CB" w14:textId="77777777" w:rsidTr="004F25F2">
        <w:tc>
          <w:tcPr>
            <w:tcW w:w="9062" w:type="dxa"/>
            <w:shd w:val="clear" w:color="auto" w:fill="F3C5C8"/>
          </w:tcPr>
          <w:p w14:paraId="0A4BF6D6" w14:textId="77777777" w:rsidR="00EE28C1" w:rsidRPr="004B791B" w:rsidRDefault="00EE28C1" w:rsidP="001B4B66">
            <w:pPr>
              <w:keepLines/>
              <w:spacing w:before="40"/>
              <w:rPr>
                <w:b/>
              </w:rPr>
            </w:pPr>
            <w:r w:rsidRPr="004B791B">
              <w:rPr>
                <w:b/>
              </w:rPr>
              <w:lastRenderedPageBreak/>
              <w:t xml:space="preserve">NKÚ vyhodnotil, že </w:t>
            </w:r>
            <w:r w:rsidR="005D60FD">
              <w:rPr>
                <w:b/>
              </w:rPr>
              <w:t>MF</w:t>
            </w:r>
            <w:r>
              <w:rPr>
                <w:b/>
              </w:rPr>
              <w:t xml:space="preserve"> </w:t>
            </w:r>
            <w:r w:rsidRPr="004B791B">
              <w:rPr>
                <w:b/>
              </w:rPr>
              <w:t xml:space="preserve">v sektoru </w:t>
            </w:r>
            <w:r w:rsidR="005D60FD">
              <w:rPr>
                <w:b/>
              </w:rPr>
              <w:t xml:space="preserve">dopravy připravilo a zrealizovalo některá opatření směřující k ekologizaci dopravy, avšak jejich dopad na snižování emisí je neprokazatelný. NKÚ konstatuje, že v oblasti daní spravovaných MF existuje prostor pro vyšší podporu naplňování cílů v oblasti ekologizace dopravy.   </w:t>
            </w:r>
            <w:r w:rsidRPr="004B791B">
              <w:rPr>
                <w:b/>
              </w:rPr>
              <w:t xml:space="preserve"> </w:t>
            </w:r>
          </w:p>
        </w:tc>
      </w:tr>
    </w:tbl>
    <w:p w14:paraId="54154A4D" w14:textId="77777777" w:rsidR="00B24EB6" w:rsidRPr="00DD4057" w:rsidRDefault="001B4B66" w:rsidP="001B4B66">
      <w:pPr>
        <w:pStyle w:val="1rove2"/>
        <w:numPr>
          <w:ilvl w:val="0"/>
          <w:numId w:val="0"/>
        </w:numPr>
        <w:spacing w:before="120"/>
      </w:pPr>
      <w:bookmarkStart w:id="17" w:name="_Toc16594999"/>
      <w:r>
        <w:t xml:space="preserve">3. </w:t>
      </w:r>
      <w:r w:rsidR="0051469A" w:rsidRPr="00DD4057">
        <w:t>M</w:t>
      </w:r>
      <w:r w:rsidR="00A84A84">
        <w:t>inisterstvo dopravy</w:t>
      </w:r>
      <w:bookmarkEnd w:id="17"/>
    </w:p>
    <w:p w14:paraId="4FD03B8C" w14:textId="77777777" w:rsidR="00B24EB6" w:rsidRPr="00E24880" w:rsidRDefault="00237396" w:rsidP="001B4B66">
      <w:pPr>
        <w:pStyle w:val="11rove"/>
        <w:numPr>
          <w:ilvl w:val="0"/>
          <w:numId w:val="0"/>
        </w:numPr>
        <w:spacing w:before="120" w:after="120"/>
      </w:pPr>
      <w:bookmarkStart w:id="18" w:name="_Toc16595000"/>
      <w:bookmarkStart w:id="19" w:name="_Ref16678913"/>
      <w:r>
        <w:t>3.1</w:t>
      </w:r>
      <w:r w:rsidR="0051469A">
        <w:t xml:space="preserve"> </w:t>
      </w:r>
      <w:r w:rsidR="0051469A" w:rsidRPr="00E24880">
        <w:t>Poplatky za registraci</w:t>
      </w:r>
      <w:bookmarkEnd w:id="18"/>
      <w:bookmarkEnd w:id="19"/>
      <w:r w:rsidR="008A61AD">
        <w:t xml:space="preserve"> vozidla</w:t>
      </w:r>
    </w:p>
    <w:p w14:paraId="02893FF5" w14:textId="77777777" w:rsidR="00D7484D" w:rsidRDefault="0051469A" w:rsidP="001B4B66">
      <w:pPr>
        <w:spacing w:before="120"/>
        <w:rPr>
          <w:rFonts w:asciiTheme="minorHAnsi" w:hAnsiTheme="minorHAnsi" w:cstheme="minorHAnsi"/>
          <w:lang w:eastAsia="cs-CZ"/>
        </w:rPr>
      </w:pPr>
      <w:r>
        <w:rPr>
          <w:rFonts w:asciiTheme="minorHAnsi" w:hAnsiTheme="minorHAnsi" w:cstheme="minorHAnsi"/>
          <w:lang w:eastAsia="cs-CZ"/>
        </w:rPr>
        <w:t xml:space="preserve">Poplatek za zápis do registru silničních vozidel (dále také „registrační poplatek“) plní funkci správního poplatku za správní řízení ve smyslu zákona </w:t>
      </w:r>
      <w:r w:rsidR="006A1CED">
        <w:rPr>
          <w:rFonts w:asciiTheme="minorHAnsi" w:hAnsiTheme="minorHAnsi" w:cstheme="minorHAnsi"/>
          <w:lang w:eastAsia="cs-CZ"/>
        </w:rPr>
        <w:t>o správních poplatcích</w:t>
      </w:r>
      <w:r>
        <w:rPr>
          <w:rStyle w:val="Znakapoznpodarou"/>
          <w:rFonts w:asciiTheme="minorHAnsi" w:hAnsiTheme="minorHAnsi" w:cstheme="minorHAnsi"/>
          <w:lang w:eastAsia="cs-CZ"/>
        </w:rPr>
        <w:footnoteReference w:id="41"/>
      </w:r>
      <w:r w:rsidR="004D10D7">
        <w:rPr>
          <w:rFonts w:asciiTheme="minorHAnsi" w:hAnsiTheme="minorHAnsi" w:cstheme="minorHAnsi"/>
          <w:lang w:eastAsia="cs-CZ"/>
        </w:rPr>
        <w:t>.</w:t>
      </w:r>
      <w:r>
        <w:rPr>
          <w:rFonts w:asciiTheme="minorHAnsi" w:hAnsiTheme="minorHAnsi" w:cstheme="minorHAnsi"/>
          <w:lang w:eastAsia="cs-CZ"/>
        </w:rPr>
        <w:t xml:space="preserve"> </w:t>
      </w:r>
      <w:r w:rsidR="00924EC4">
        <w:rPr>
          <w:rFonts w:asciiTheme="minorHAnsi" w:hAnsiTheme="minorHAnsi" w:cstheme="minorHAnsi"/>
          <w:lang w:eastAsia="cs-CZ"/>
        </w:rPr>
        <w:t xml:space="preserve">Výše registračního poplatku činí 800 Kč. </w:t>
      </w:r>
    </w:p>
    <w:p w14:paraId="6667422A" w14:textId="77777777" w:rsidR="002A4C92" w:rsidRDefault="0051469A" w:rsidP="001B4B66">
      <w:pPr>
        <w:spacing w:before="120"/>
        <w:rPr>
          <w:rFonts w:asciiTheme="minorHAnsi" w:hAnsiTheme="minorHAnsi" w:cstheme="minorHAnsi"/>
          <w:lang w:eastAsia="cs-CZ"/>
        </w:rPr>
      </w:pPr>
      <w:r>
        <w:rPr>
          <w:rFonts w:asciiTheme="minorHAnsi" w:hAnsiTheme="minorHAnsi" w:cstheme="minorHAnsi"/>
          <w:lang w:eastAsia="cs-CZ"/>
        </w:rPr>
        <w:t xml:space="preserve">Nastavením registračního poplatku </w:t>
      </w:r>
      <w:r w:rsidR="008A61AD">
        <w:rPr>
          <w:rFonts w:asciiTheme="minorHAnsi" w:hAnsiTheme="minorHAnsi" w:cstheme="minorHAnsi"/>
          <w:lang w:eastAsia="cs-CZ"/>
        </w:rPr>
        <w:t xml:space="preserve">a daní souvisejících s registrací vozidla </w:t>
      </w:r>
      <w:r>
        <w:rPr>
          <w:rFonts w:asciiTheme="minorHAnsi" w:hAnsiTheme="minorHAnsi" w:cstheme="minorHAnsi"/>
          <w:lang w:eastAsia="cs-CZ"/>
        </w:rPr>
        <w:t>se zabývaly analytické materiály zpracované pro MD</w:t>
      </w:r>
      <w:r>
        <w:rPr>
          <w:rStyle w:val="Znakapoznpodarou"/>
          <w:rFonts w:asciiTheme="minorHAnsi" w:hAnsiTheme="minorHAnsi" w:cstheme="minorHAnsi"/>
          <w:lang w:eastAsia="cs-CZ"/>
        </w:rPr>
        <w:footnoteReference w:id="42"/>
      </w:r>
      <w:r w:rsidR="0002614B">
        <w:rPr>
          <w:rFonts w:asciiTheme="minorHAnsi" w:hAnsiTheme="minorHAnsi" w:cstheme="minorHAnsi"/>
          <w:lang w:eastAsia="cs-CZ"/>
        </w:rPr>
        <w:t xml:space="preserve"> </w:t>
      </w:r>
      <w:r>
        <w:rPr>
          <w:rFonts w:asciiTheme="minorHAnsi" w:hAnsiTheme="minorHAnsi" w:cstheme="minorHAnsi"/>
          <w:lang w:eastAsia="cs-CZ"/>
        </w:rPr>
        <w:t>a MŽP</w:t>
      </w:r>
      <w:r>
        <w:rPr>
          <w:rStyle w:val="Znakapoznpodarou"/>
          <w:rFonts w:asciiTheme="minorHAnsi" w:hAnsiTheme="minorHAnsi" w:cstheme="minorHAnsi"/>
          <w:lang w:eastAsia="cs-CZ"/>
        </w:rPr>
        <w:footnoteReference w:id="43"/>
      </w:r>
      <w:r>
        <w:rPr>
          <w:rFonts w:asciiTheme="minorHAnsi" w:hAnsiTheme="minorHAnsi" w:cstheme="minorHAnsi"/>
          <w:lang w:eastAsia="cs-CZ"/>
        </w:rPr>
        <w:t xml:space="preserve">, ze kterých vyplynulo, že obvyklou praxí států EU je ukládání registračních poplatků (daní) jako jednorázových plateb při přihlášení vozidla do registru a zohledňujících energetické a ekologické parametry vozidel. Výsledky </w:t>
      </w:r>
      <w:r w:rsidRPr="003815E9">
        <w:rPr>
          <w:rFonts w:asciiTheme="minorHAnsi" w:hAnsiTheme="minorHAnsi" w:cstheme="minorHAnsi"/>
          <w:lang w:eastAsia="cs-CZ"/>
        </w:rPr>
        <w:t>analýz potvrdilo dotazníkové šetření NKÚ</w:t>
      </w:r>
      <w:r w:rsidR="00B262F4" w:rsidRPr="003815E9">
        <w:rPr>
          <w:rFonts w:asciiTheme="minorHAnsi" w:hAnsiTheme="minorHAnsi" w:cstheme="minorHAnsi"/>
          <w:lang w:eastAsia="cs-CZ"/>
        </w:rPr>
        <w:t xml:space="preserve"> </w:t>
      </w:r>
      <w:r w:rsidR="00B262F4" w:rsidRPr="00B66B4D">
        <w:rPr>
          <w:rFonts w:asciiTheme="minorHAnsi" w:hAnsiTheme="minorHAnsi" w:cstheme="minorHAnsi"/>
          <w:lang w:eastAsia="cs-CZ"/>
        </w:rPr>
        <w:t>a další veřejně dostupné analýzy a studie</w:t>
      </w:r>
      <w:r w:rsidR="00D2775E">
        <w:rPr>
          <w:rFonts w:asciiTheme="minorHAnsi" w:hAnsiTheme="minorHAnsi" w:cstheme="minorHAnsi"/>
          <w:lang w:eastAsia="cs-CZ"/>
        </w:rPr>
        <w:t xml:space="preserve"> (viz tabulka č. </w:t>
      </w:r>
      <w:r w:rsidR="00D2775E" w:rsidRPr="00237396">
        <w:rPr>
          <w:rFonts w:asciiTheme="minorHAnsi" w:hAnsiTheme="minorHAnsi" w:cstheme="minorHAnsi"/>
          <w:lang w:eastAsia="cs-CZ"/>
        </w:rPr>
        <w:t>19)</w:t>
      </w:r>
      <w:r w:rsidRPr="00237396">
        <w:rPr>
          <w:rFonts w:asciiTheme="minorHAnsi" w:hAnsiTheme="minorHAnsi" w:cstheme="minorHAnsi"/>
          <w:lang w:eastAsia="cs-CZ"/>
        </w:rPr>
        <w:t>.</w:t>
      </w:r>
      <w:r>
        <w:rPr>
          <w:rFonts w:asciiTheme="minorHAnsi" w:hAnsiTheme="minorHAnsi" w:cstheme="minorHAnsi"/>
          <w:lang w:eastAsia="cs-CZ"/>
        </w:rPr>
        <w:t xml:space="preserve"> </w:t>
      </w:r>
    </w:p>
    <w:p w14:paraId="22622CE3" w14:textId="77777777" w:rsidR="002A4C92" w:rsidRDefault="0050226B" w:rsidP="0050226B">
      <w:pPr>
        <w:pStyle w:val="Tabulka"/>
        <w:numPr>
          <w:ilvl w:val="0"/>
          <w:numId w:val="0"/>
        </w:numPr>
        <w:spacing w:after="40"/>
        <w:ind w:left="1446" w:hanging="1446"/>
      </w:pPr>
      <w:r>
        <w:t xml:space="preserve">Tabulka č. 19: </w:t>
      </w:r>
      <w:r>
        <w:tab/>
      </w:r>
      <w:r w:rsidR="0051469A">
        <w:t>Statistika registračního poplatku pro osobní vozidla v EU, Norsku, Švýcar</w:t>
      </w:r>
      <w:r w:rsidR="000B5533">
        <w:t>s</w:t>
      </w:r>
      <w:r w:rsidR="0051469A">
        <w:t>ku a</w:t>
      </w:r>
      <w:r>
        <w:t> </w:t>
      </w:r>
      <w:r w:rsidR="0051469A">
        <w:t>Islandu</w:t>
      </w:r>
      <w:r w:rsidR="0002614B">
        <w:t xml:space="preserve"> </w:t>
      </w:r>
      <w:r w:rsidR="008A1193">
        <w:t>(</w:t>
      </w:r>
      <w:r w:rsidR="0051469A">
        <w:t>v %</w:t>
      </w:r>
      <w:r w:rsidR="008A1193">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2976"/>
        <w:gridCol w:w="3969"/>
      </w:tblGrid>
      <w:tr w:rsidR="00121435" w:rsidRPr="0050226B" w14:paraId="2CB1BB41" w14:textId="77777777" w:rsidTr="0050226B">
        <w:trPr>
          <w:trHeight w:val="227"/>
        </w:trPr>
        <w:tc>
          <w:tcPr>
            <w:tcW w:w="2127" w:type="dxa"/>
            <w:shd w:val="clear" w:color="auto" w:fill="E5F1FF"/>
            <w:tcMar>
              <w:top w:w="0" w:type="dxa"/>
              <w:left w:w="108" w:type="dxa"/>
              <w:bottom w:w="0" w:type="dxa"/>
              <w:right w:w="108" w:type="dxa"/>
            </w:tcMar>
            <w:vAlign w:val="center"/>
            <w:hideMark/>
          </w:tcPr>
          <w:p w14:paraId="2B60D2F6" w14:textId="77777777" w:rsidR="004025FD" w:rsidRPr="0050226B" w:rsidRDefault="0051469A" w:rsidP="0050226B">
            <w:pPr>
              <w:spacing w:after="0"/>
              <w:jc w:val="center"/>
              <w:rPr>
                <w:rFonts w:cs="Calibri"/>
                <w:b/>
                <w:bCs/>
                <w:sz w:val="20"/>
                <w:szCs w:val="20"/>
              </w:rPr>
            </w:pPr>
            <w:r w:rsidRPr="0050226B">
              <w:rPr>
                <w:rFonts w:cs="Calibri"/>
                <w:b/>
                <w:bCs/>
                <w:sz w:val="20"/>
                <w:szCs w:val="20"/>
              </w:rPr>
              <w:t>100 %</w:t>
            </w:r>
          </w:p>
        </w:tc>
        <w:tc>
          <w:tcPr>
            <w:tcW w:w="2976" w:type="dxa"/>
            <w:shd w:val="clear" w:color="auto" w:fill="E5F1FF"/>
            <w:tcMar>
              <w:top w:w="0" w:type="dxa"/>
              <w:left w:w="108" w:type="dxa"/>
              <w:bottom w:w="0" w:type="dxa"/>
              <w:right w:w="108" w:type="dxa"/>
            </w:tcMar>
            <w:vAlign w:val="center"/>
            <w:hideMark/>
          </w:tcPr>
          <w:p w14:paraId="3C8A00AF" w14:textId="77777777" w:rsidR="004025FD" w:rsidRPr="0050226B" w:rsidRDefault="0051469A" w:rsidP="0050226B">
            <w:pPr>
              <w:spacing w:after="0"/>
              <w:jc w:val="center"/>
              <w:rPr>
                <w:rFonts w:cs="Calibri"/>
                <w:b/>
                <w:bCs/>
                <w:sz w:val="20"/>
                <w:szCs w:val="20"/>
              </w:rPr>
            </w:pPr>
            <w:r w:rsidRPr="0050226B">
              <w:rPr>
                <w:rFonts w:cs="Calibri"/>
                <w:b/>
                <w:bCs/>
                <w:sz w:val="20"/>
                <w:szCs w:val="20"/>
              </w:rPr>
              <w:t>100 %</w:t>
            </w:r>
          </w:p>
        </w:tc>
        <w:tc>
          <w:tcPr>
            <w:tcW w:w="3969" w:type="dxa"/>
            <w:shd w:val="clear" w:color="auto" w:fill="E5F1FF"/>
            <w:tcMar>
              <w:top w:w="0" w:type="dxa"/>
              <w:left w:w="108" w:type="dxa"/>
              <w:bottom w:w="0" w:type="dxa"/>
              <w:right w:w="108" w:type="dxa"/>
            </w:tcMar>
            <w:vAlign w:val="center"/>
            <w:hideMark/>
          </w:tcPr>
          <w:p w14:paraId="154900D5" w14:textId="77777777" w:rsidR="004025FD" w:rsidRPr="0050226B" w:rsidRDefault="0051469A" w:rsidP="0050226B">
            <w:pPr>
              <w:spacing w:after="0"/>
              <w:jc w:val="center"/>
              <w:rPr>
                <w:rFonts w:cs="Calibri"/>
                <w:b/>
                <w:bCs/>
                <w:sz w:val="20"/>
                <w:szCs w:val="20"/>
              </w:rPr>
            </w:pPr>
            <w:r w:rsidRPr="0050226B">
              <w:rPr>
                <w:rFonts w:cs="Calibri"/>
                <w:b/>
                <w:bCs/>
                <w:sz w:val="20"/>
                <w:szCs w:val="20"/>
              </w:rPr>
              <w:t>58 %</w:t>
            </w:r>
          </w:p>
        </w:tc>
      </w:tr>
      <w:tr w:rsidR="00121435" w:rsidRPr="0050226B" w14:paraId="353FF557" w14:textId="77777777" w:rsidTr="0050226B">
        <w:trPr>
          <w:trHeight w:val="227"/>
        </w:trPr>
        <w:tc>
          <w:tcPr>
            <w:tcW w:w="2127" w:type="dxa"/>
            <w:tcMar>
              <w:top w:w="0" w:type="dxa"/>
              <w:left w:w="108" w:type="dxa"/>
              <w:bottom w:w="0" w:type="dxa"/>
              <w:right w:w="108" w:type="dxa"/>
            </w:tcMar>
            <w:vAlign w:val="center"/>
            <w:hideMark/>
          </w:tcPr>
          <w:p w14:paraId="39697837" w14:textId="77777777" w:rsidR="004025FD" w:rsidRPr="0050226B" w:rsidRDefault="0051469A" w:rsidP="0050226B">
            <w:pPr>
              <w:spacing w:after="0"/>
              <w:jc w:val="center"/>
              <w:rPr>
                <w:rFonts w:cs="Calibri"/>
                <w:sz w:val="20"/>
                <w:szCs w:val="20"/>
              </w:rPr>
            </w:pPr>
            <w:r w:rsidRPr="0050226B">
              <w:rPr>
                <w:rFonts w:cs="Calibri"/>
                <w:sz w:val="20"/>
                <w:szCs w:val="20"/>
              </w:rPr>
              <w:t>států uplatňuje registrační daň</w:t>
            </w:r>
          </w:p>
        </w:tc>
        <w:tc>
          <w:tcPr>
            <w:tcW w:w="2976" w:type="dxa"/>
            <w:tcMar>
              <w:top w:w="0" w:type="dxa"/>
              <w:left w:w="108" w:type="dxa"/>
              <w:bottom w:w="0" w:type="dxa"/>
              <w:right w:w="108" w:type="dxa"/>
            </w:tcMar>
            <w:vAlign w:val="center"/>
            <w:hideMark/>
          </w:tcPr>
          <w:p w14:paraId="1E35BA63" w14:textId="5E86F840" w:rsidR="004025FD" w:rsidRPr="0050226B" w:rsidRDefault="0051469A" w:rsidP="003A5105">
            <w:pPr>
              <w:spacing w:after="0"/>
              <w:jc w:val="center"/>
              <w:rPr>
                <w:rFonts w:cs="Calibri"/>
                <w:sz w:val="20"/>
                <w:szCs w:val="20"/>
              </w:rPr>
            </w:pPr>
            <w:r w:rsidRPr="0050226B">
              <w:rPr>
                <w:rFonts w:cs="Calibri"/>
                <w:color w:val="000000"/>
                <w:sz w:val="20"/>
                <w:szCs w:val="20"/>
                <w:lang w:eastAsia="cs-CZ"/>
              </w:rPr>
              <w:t>států poplatek uplatňuje u</w:t>
            </w:r>
            <w:r w:rsidR="003A5105">
              <w:rPr>
                <w:rFonts w:cs="Calibri"/>
                <w:color w:val="000000"/>
                <w:sz w:val="20"/>
                <w:szCs w:val="20"/>
                <w:lang w:eastAsia="cs-CZ"/>
              </w:rPr>
              <w:t> </w:t>
            </w:r>
            <w:r w:rsidRPr="0050226B">
              <w:rPr>
                <w:rFonts w:cs="Calibri"/>
                <w:color w:val="000000"/>
                <w:sz w:val="20"/>
                <w:szCs w:val="20"/>
                <w:lang w:eastAsia="cs-CZ"/>
              </w:rPr>
              <w:t>nepodnikatelů</w:t>
            </w:r>
          </w:p>
        </w:tc>
        <w:tc>
          <w:tcPr>
            <w:tcW w:w="3969" w:type="dxa"/>
            <w:tcMar>
              <w:top w:w="0" w:type="dxa"/>
              <w:left w:w="108" w:type="dxa"/>
              <w:bottom w:w="0" w:type="dxa"/>
              <w:right w:w="108" w:type="dxa"/>
            </w:tcMar>
            <w:vAlign w:val="center"/>
            <w:hideMark/>
          </w:tcPr>
          <w:p w14:paraId="0E3C2ABB" w14:textId="77777777" w:rsidR="004025FD" w:rsidRPr="0050226B" w:rsidRDefault="0051469A" w:rsidP="0050226B">
            <w:pPr>
              <w:spacing w:after="0"/>
              <w:jc w:val="center"/>
              <w:rPr>
                <w:rFonts w:cs="Calibri"/>
                <w:sz w:val="20"/>
                <w:szCs w:val="20"/>
              </w:rPr>
            </w:pPr>
            <w:r w:rsidRPr="0050226B">
              <w:rPr>
                <w:rFonts w:cs="Calibri"/>
                <w:sz w:val="20"/>
                <w:szCs w:val="20"/>
              </w:rPr>
              <w:t>států</w:t>
            </w:r>
            <w:r w:rsidRPr="0050226B">
              <w:rPr>
                <w:rFonts w:cs="Calibri"/>
                <w:color w:val="000000"/>
                <w:sz w:val="20"/>
                <w:szCs w:val="20"/>
                <w:lang w:eastAsia="cs-CZ"/>
              </w:rPr>
              <w:t xml:space="preserve"> poplatek vybírá na základě emisí nebo jiných </w:t>
            </w:r>
            <w:r w:rsidRPr="0050226B">
              <w:rPr>
                <w:rFonts w:cs="Calibri"/>
                <w:sz w:val="20"/>
                <w:szCs w:val="20"/>
              </w:rPr>
              <w:t>ekologických parametrů</w:t>
            </w:r>
          </w:p>
        </w:tc>
      </w:tr>
    </w:tbl>
    <w:p w14:paraId="71B3E74A" w14:textId="5BCE8681" w:rsidR="002A4C92" w:rsidRPr="0050226B" w:rsidRDefault="0051469A" w:rsidP="0050226B">
      <w:pPr>
        <w:spacing w:before="40"/>
        <w:ind w:left="567" w:hanging="567"/>
        <w:rPr>
          <w:sz w:val="20"/>
          <w:szCs w:val="20"/>
        </w:rPr>
      </w:pPr>
      <w:r w:rsidRPr="0050226B">
        <w:rPr>
          <w:b/>
          <w:sz w:val="20"/>
          <w:szCs w:val="20"/>
        </w:rPr>
        <w:t>Zdroj:</w:t>
      </w:r>
      <w:r w:rsidRPr="0050226B">
        <w:rPr>
          <w:sz w:val="20"/>
          <w:szCs w:val="20"/>
        </w:rPr>
        <w:t xml:space="preserve"> </w:t>
      </w:r>
      <w:r w:rsidR="0050226B">
        <w:rPr>
          <w:sz w:val="20"/>
          <w:szCs w:val="20"/>
        </w:rPr>
        <w:tab/>
      </w:r>
      <w:r w:rsidR="003A5105">
        <w:rPr>
          <w:sz w:val="20"/>
          <w:szCs w:val="20"/>
        </w:rPr>
        <w:t>s</w:t>
      </w:r>
      <w:r w:rsidRPr="0050226B">
        <w:rPr>
          <w:sz w:val="20"/>
          <w:szCs w:val="20"/>
        </w:rPr>
        <w:t xml:space="preserve">tudie ICCT; studie </w:t>
      </w:r>
      <w:r w:rsidRPr="008E507B">
        <w:rPr>
          <w:i/>
          <w:sz w:val="20"/>
          <w:szCs w:val="20"/>
        </w:rPr>
        <w:t>Analýza zpoplatnění a zdanění vozidel</w:t>
      </w:r>
      <w:r w:rsidRPr="0050226B">
        <w:rPr>
          <w:sz w:val="20"/>
          <w:szCs w:val="20"/>
        </w:rPr>
        <w:t xml:space="preserve">; studie </w:t>
      </w:r>
      <w:r w:rsidRPr="008E507B">
        <w:rPr>
          <w:i/>
          <w:sz w:val="20"/>
          <w:szCs w:val="20"/>
        </w:rPr>
        <w:t>Analýza zavedení opatření k podpoře nákupu osobních vozidel šetrných k životnímu prostředí (bonus/malus)</w:t>
      </w:r>
      <w:r w:rsidRPr="0050226B">
        <w:rPr>
          <w:sz w:val="20"/>
          <w:szCs w:val="20"/>
        </w:rPr>
        <w:t>;</w:t>
      </w:r>
      <w:r w:rsidR="004025FD" w:rsidRPr="0050226B">
        <w:rPr>
          <w:sz w:val="20"/>
          <w:szCs w:val="20"/>
        </w:rPr>
        <w:t xml:space="preserve"> ACEA</w:t>
      </w:r>
      <w:r w:rsidR="00172795" w:rsidRPr="0050226B">
        <w:rPr>
          <w:sz w:val="20"/>
          <w:szCs w:val="20"/>
        </w:rPr>
        <w:t>;</w:t>
      </w:r>
      <w:r w:rsidRPr="0050226B">
        <w:rPr>
          <w:sz w:val="20"/>
          <w:szCs w:val="20"/>
        </w:rPr>
        <w:t xml:space="preserve"> </w:t>
      </w:r>
      <w:r w:rsidR="00CD6F43">
        <w:rPr>
          <w:sz w:val="20"/>
          <w:szCs w:val="20"/>
        </w:rPr>
        <w:t xml:space="preserve">vlastní </w:t>
      </w:r>
      <w:r w:rsidRPr="0050226B">
        <w:rPr>
          <w:sz w:val="20"/>
          <w:szCs w:val="20"/>
        </w:rPr>
        <w:t>zpracov</w:t>
      </w:r>
      <w:r w:rsidR="00CD6F43">
        <w:rPr>
          <w:sz w:val="20"/>
          <w:szCs w:val="20"/>
        </w:rPr>
        <w:t>ání</w:t>
      </w:r>
      <w:r w:rsidRPr="0050226B">
        <w:rPr>
          <w:sz w:val="20"/>
          <w:szCs w:val="20"/>
        </w:rPr>
        <w:t xml:space="preserve"> NKÚ.</w:t>
      </w:r>
    </w:p>
    <w:p w14:paraId="1DBCF62D" w14:textId="467278B7" w:rsidR="001B40EC" w:rsidRPr="003B30E2" w:rsidRDefault="0051469A" w:rsidP="0050226B">
      <w:pPr>
        <w:spacing w:before="120"/>
      </w:pPr>
      <w:r>
        <w:rPr>
          <w:rFonts w:asciiTheme="minorHAnsi" w:hAnsiTheme="minorHAnsi" w:cstheme="minorHAnsi"/>
          <w:lang w:eastAsia="cs-CZ"/>
        </w:rPr>
        <w:t xml:space="preserve">Z porovnání výše </w:t>
      </w:r>
      <w:r w:rsidR="00E6155E">
        <w:rPr>
          <w:rFonts w:asciiTheme="minorHAnsi" w:hAnsiTheme="minorHAnsi" w:cstheme="minorHAnsi"/>
          <w:lang w:eastAsia="cs-CZ"/>
        </w:rPr>
        <w:t>poplatků a daní za registraci vozidla</w:t>
      </w:r>
      <w:r>
        <w:rPr>
          <w:rFonts w:asciiTheme="minorHAnsi" w:hAnsiTheme="minorHAnsi" w:cstheme="minorHAnsi"/>
          <w:lang w:eastAsia="cs-CZ"/>
        </w:rPr>
        <w:t xml:space="preserve"> se státy EU </w:t>
      </w:r>
      <w:r w:rsidR="004A2A4F">
        <w:rPr>
          <w:rFonts w:asciiTheme="minorHAnsi" w:hAnsiTheme="minorHAnsi" w:cstheme="minorHAnsi"/>
          <w:lang w:eastAsia="cs-CZ"/>
        </w:rPr>
        <w:t>(</w:t>
      </w:r>
      <w:r>
        <w:rPr>
          <w:rFonts w:asciiTheme="minorHAnsi" w:hAnsiTheme="minorHAnsi" w:cstheme="minorHAnsi"/>
          <w:lang w:eastAsia="cs-CZ"/>
        </w:rPr>
        <w:t xml:space="preserve">viz tabulka č. </w:t>
      </w:r>
      <w:r w:rsidR="004A2A4F" w:rsidRPr="00237396">
        <w:rPr>
          <w:rFonts w:asciiTheme="minorHAnsi" w:hAnsiTheme="minorHAnsi" w:cstheme="minorHAnsi"/>
          <w:lang w:eastAsia="cs-CZ"/>
        </w:rPr>
        <w:t>20)</w:t>
      </w:r>
      <w:r>
        <w:rPr>
          <w:rFonts w:asciiTheme="minorHAnsi" w:hAnsiTheme="minorHAnsi" w:cstheme="minorHAnsi"/>
          <w:lang w:eastAsia="cs-CZ"/>
        </w:rPr>
        <w:t xml:space="preserve"> vyplývá, že </w:t>
      </w:r>
      <w:r w:rsidR="00E6155E">
        <w:rPr>
          <w:rFonts w:asciiTheme="minorHAnsi" w:hAnsiTheme="minorHAnsi" w:cstheme="minorHAnsi"/>
          <w:lang w:eastAsia="cs-CZ"/>
        </w:rPr>
        <w:t>tyto platby</w:t>
      </w:r>
      <w:r w:rsidR="001105A6">
        <w:rPr>
          <w:rFonts w:asciiTheme="minorHAnsi" w:hAnsiTheme="minorHAnsi" w:cstheme="minorHAnsi"/>
          <w:lang w:eastAsia="cs-CZ"/>
        </w:rPr>
        <w:t xml:space="preserve"> v okolních státech výrazně překračují </w:t>
      </w:r>
      <w:r w:rsidR="006A1CED">
        <w:rPr>
          <w:rFonts w:asciiTheme="minorHAnsi" w:hAnsiTheme="minorHAnsi" w:cstheme="minorHAnsi"/>
          <w:lang w:eastAsia="cs-CZ"/>
        </w:rPr>
        <w:t xml:space="preserve">jejich </w:t>
      </w:r>
      <w:r w:rsidR="005676AF">
        <w:rPr>
          <w:rFonts w:asciiTheme="minorHAnsi" w:hAnsiTheme="minorHAnsi" w:cstheme="minorHAnsi"/>
          <w:lang w:eastAsia="cs-CZ"/>
        </w:rPr>
        <w:t>výši</w:t>
      </w:r>
      <w:r w:rsidR="001105A6">
        <w:rPr>
          <w:rFonts w:asciiTheme="minorHAnsi" w:hAnsiTheme="minorHAnsi" w:cstheme="minorHAnsi"/>
          <w:lang w:eastAsia="cs-CZ"/>
        </w:rPr>
        <w:t xml:space="preserve"> v ČR. </w:t>
      </w:r>
      <w:r w:rsidR="001B40EC">
        <w:rPr>
          <w:rFonts w:asciiTheme="minorHAnsi" w:hAnsiTheme="minorHAnsi" w:cstheme="minorHAnsi"/>
          <w:lang w:eastAsia="cs-CZ"/>
        </w:rPr>
        <w:t xml:space="preserve">Ve státech EU registrační poplatky </w:t>
      </w:r>
      <w:r w:rsidR="00E6155E">
        <w:rPr>
          <w:rFonts w:asciiTheme="minorHAnsi" w:hAnsiTheme="minorHAnsi" w:cstheme="minorHAnsi"/>
          <w:lang w:eastAsia="cs-CZ"/>
        </w:rPr>
        <w:t xml:space="preserve">a daně za registraci vozidla </w:t>
      </w:r>
      <w:r w:rsidR="001B40EC">
        <w:rPr>
          <w:rFonts w:asciiTheme="minorHAnsi" w:hAnsiTheme="minorHAnsi" w:cstheme="minorHAnsi"/>
          <w:lang w:eastAsia="cs-CZ"/>
        </w:rPr>
        <w:t xml:space="preserve">významně ovlivňují celkovou </w:t>
      </w:r>
      <w:r w:rsidR="005676AF">
        <w:rPr>
          <w:rFonts w:asciiTheme="minorHAnsi" w:hAnsiTheme="minorHAnsi" w:cstheme="minorHAnsi"/>
          <w:lang w:eastAsia="cs-CZ"/>
        </w:rPr>
        <w:t xml:space="preserve">pořizovací </w:t>
      </w:r>
      <w:r w:rsidR="00925464">
        <w:rPr>
          <w:rFonts w:asciiTheme="minorHAnsi" w:hAnsiTheme="minorHAnsi" w:cstheme="minorHAnsi"/>
          <w:lang w:eastAsia="cs-CZ"/>
        </w:rPr>
        <w:t>cenu vozidla</w:t>
      </w:r>
      <w:r w:rsidR="001B40EC">
        <w:rPr>
          <w:rFonts w:asciiTheme="minorHAnsi" w:hAnsiTheme="minorHAnsi" w:cstheme="minorHAnsi"/>
          <w:lang w:eastAsia="cs-CZ"/>
        </w:rPr>
        <w:t>.</w:t>
      </w:r>
      <w:r w:rsidR="00E6155E">
        <w:rPr>
          <w:rFonts w:asciiTheme="minorHAnsi" w:hAnsiTheme="minorHAnsi" w:cstheme="minorHAnsi"/>
          <w:lang w:eastAsia="cs-CZ"/>
        </w:rPr>
        <w:t xml:space="preserve"> </w:t>
      </w:r>
      <w:r w:rsidR="004F201A">
        <w:t>Ve</w:t>
      </w:r>
      <w:r w:rsidR="00453E39">
        <w:t xml:space="preserve"> </w:t>
      </w:r>
      <w:r w:rsidR="00E6155E">
        <w:t>státech EU s rostoucími emisemi poplatky a daně za registraci vozidla strmě stoupají</w:t>
      </w:r>
      <w:r w:rsidR="0012545B">
        <w:t xml:space="preserve">. </w:t>
      </w:r>
    </w:p>
    <w:p w14:paraId="753CCC39" w14:textId="77777777" w:rsidR="001105A6" w:rsidRDefault="009C76A3" w:rsidP="0050226B">
      <w:pPr>
        <w:pStyle w:val="Tabulka"/>
        <w:numPr>
          <w:ilvl w:val="0"/>
          <w:numId w:val="0"/>
        </w:numPr>
        <w:spacing w:after="40"/>
        <w:rPr>
          <w:lang w:eastAsia="cs-CZ"/>
        </w:rPr>
      </w:pPr>
      <w:r>
        <w:lastRenderedPageBreak/>
        <w:t xml:space="preserve">Tabulka č. 20: </w:t>
      </w:r>
      <w:r w:rsidR="0051469A">
        <w:t xml:space="preserve">Nastavení </w:t>
      </w:r>
      <w:r w:rsidR="00BD6344">
        <w:t xml:space="preserve">poplatků a daní za registraci vozidla v </w:t>
      </w:r>
      <w:r w:rsidR="0051469A">
        <w:t>sousedních státech EU</w:t>
      </w:r>
      <w:r w:rsidR="00BD6344">
        <w:t xml:space="preserve"> a ČR</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1"/>
        <w:gridCol w:w="1993"/>
        <w:gridCol w:w="4961"/>
        <w:gridCol w:w="992"/>
      </w:tblGrid>
      <w:tr w:rsidR="00121435" w:rsidRPr="006804BE" w14:paraId="571D643D" w14:textId="77777777" w:rsidTr="0050226B">
        <w:trPr>
          <w:trHeight w:val="227"/>
        </w:trPr>
        <w:tc>
          <w:tcPr>
            <w:tcW w:w="1121" w:type="dxa"/>
            <w:shd w:val="clear" w:color="auto" w:fill="DEEAF6" w:themeFill="accent1" w:themeFillTint="33"/>
            <w:tcMar>
              <w:top w:w="0" w:type="dxa"/>
              <w:left w:w="108" w:type="dxa"/>
              <w:bottom w:w="0" w:type="dxa"/>
              <w:right w:w="108" w:type="dxa"/>
            </w:tcMar>
            <w:vAlign w:val="center"/>
            <w:hideMark/>
          </w:tcPr>
          <w:p w14:paraId="3873A988" w14:textId="77777777" w:rsidR="00BD6344" w:rsidRPr="00B66B4D" w:rsidRDefault="0051469A" w:rsidP="0050226B">
            <w:pPr>
              <w:keepNext/>
              <w:spacing w:after="0"/>
              <w:jc w:val="center"/>
              <w:rPr>
                <w:b/>
                <w:bCs/>
                <w:sz w:val="20"/>
                <w:szCs w:val="20"/>
              </w:rPr>
            </w:pPr>
            <w:r w:rsidRPr="00B66B4D">
              <w:rPr>
                <w:b/>
                <w:bCs/>
                <w:sz w:val="20"/>
                <w:szCs w:val="20"/>
              </w:rPr>
              <w:t>Stát</w:t>
            </w:r>
          </w:p>
        </w:tc>
        <w:tc>
          <w:tcPr>
            <w:tcW w:w="1993" w:type="dxa"/>
            <w:shd w:val="clear" w:color="auto" w:fill="DEEAF6" w:themeFill="accent1" w:themeFillTint="33"/>
            <w:tcMar>
              <w:top w:w="0" w:type="dxa"/>
              <w:left w:w="108" w:type="dxa"/>
              <w:bottom w:w="0" w:type="dxa"/>
              <w:right w:w="108" w:type="dxa"/>
            </w:tcMar>
            <w:vAlign w:val="center"/>
            <w:hideMark/>
          </w:tcPr>
          <w:p w14:paraId="483BA5F1" w14:textId="77777777" w:rsidR="00BD6344" w:rsidRPr="00B66B4D" w:rsidRDefault="0051469A" w:rsidP="0050226B">
            <w:pPr>
              <w:keepNext/>
              <w:spacing w:after="0"/>
              <w:jc w:val="center"/>
              <w:rPr>
                <w:b/>
                <w:bCs/>
                <w:sz w:val="20"/>
                <w:szCs w:val="20"/>
              </w:rPr>
            </w:pPr>
            <w:r w:rsidRPr="00B66B4D">
              <w:rPr>
                <w:b/>
                <w:bCs/>
                <w:sz w:val="20"/>
                <w:szCs w:val="20"/>
              </w:rPr>
              <w:t xml:space="preserve">Sazba daně </w:t>
            </w:r>
          </w:p>
        </w:tc>
        <w:tc>
          <w:tcPr>
            <w:tcW w:w="4961" w:type="dxa"/>
            <w:shd w:val="clear" w:color="auto" w:fill="DEEAF6" w:themeFill="accent1" w:themeFillTint="33"/>
            <w:tcMar>
              <w:top w:w="0" w:type="dxa"/>
              <w:left w:w="108" w:type="dxa"/>
              <w:bottom w:w="0" w:type="dxa"/>
              <w:right w:w="108" w:type="dxa"/>
            </w:tcMar>
            <w:vAlign w:val="center"/>
            <w:hideMark/>
          </w:tcPr>
          <w:p w14:paraId="3359D8BB" w14:textId="77777777" w:rsidR="00BD6344" w:rsidRPr="00B66B4D" w:rsidRDefault="0051469A" w:rsidP="0050226B">
            <w:pPr>
              <w:keepNext/>
              <w:spacing w:after="0"/>
              <w:jc w:val="center"/>
              <w:rPr>
                <w:b/>
                <w:bCs/>
                <w:sz w:val="20"/>
                <w:szCs w:val="20"/>
              </w:rPr>
            </w:pPr>
            <w:r w:rsidRPr="00B66B4D">
              <w:rPr>
                <w:b/>
                <w:bCs/>
                <w:sz w:val="20"/>
                <w:szCs w:val="20"/>
              </w:rPr>
              <w:t xml:space="preserve">Kritéria </w:t>
            </w:r>
          </w:p>
        </w:tc>
        <w:tc>
          <w:tcPr>
            <w:tcW w:w="992" w:type="dxa"/>
            <w:shd w:val="clear" w:color="auto" w:fill="DEEAF6" w:themeFill="accent1" w:themeFillTint="33"/>
            <w:hideMark/>
          </w:tcPr>
          <w:p w14:paraId="18DC5108" w14:textId="77777777" w:rsidR="00BD6344" w:rsidRPr="00B66B4D" w:rsidRDefault="0051469A" w:rsidP="0050226B">
            <w:pPr>
              <w:keepNext/>
              <w:spacing w:after="0"/>
              <w:jc w:val="center"/>
              <w:rPr>
                <w:b/>
                <w:bCs/>
                <w:sz w:val="20"/>
                <w:szCs w:val="20"/>
              </w:rPr>
            </w:pPr>
            <w:r w:rsidRPr="006804BE">
              <w:rPr>
                <w:rFonts w:asciiTheme="minorHAnsi" w:hAnsiTheme="minorHAnsi" w:cstheme="minorHAnsi"/>
                <w:b/>
                <w:bCs/>
                <w:sz w:val="20"/>
                <w:szCs w:val="20"/>
              </w:rPr>
              <w:t>Výše daně model</w:t>
            </w:r>
          </w:p>
        </w:tc>
      </w:tr>
      <w:tr w:rsidR="00121435" w14:paraId="3D3DCC8D" w14:textId="77777777" w:rsidTr="0050226B">
        <w:trPr>
          <w:trHeight w:val="227"/>
        </w:trPr>
        <w:tc>
          <w:tcPr>
            <w:tcW w:w="1121" w:type="dxa"/>
            <w:shd w:val="clear" w:color="auto" w:fill="auto"/>
            <w:tcMar>
              <w:top w:w="0" w:type="dxa"/>
              <w:left w:w="108" w:type="dxa"/>
              <w:bottom w:w="0" w:type="dxa"/>
              <w:right w:w="108" w:type="dxa"/>
            </w:tcMar>
            <w:vAlign w:val="center"/>
            <w:hideMark/>
          </w:tcPr>
          <w:p w14:paraId="1D9B6B2D" w14:textId="77777777" w:rsidR="00BD6344" w:rsidRPr="00B66B4D" w:rsidRDefault="0051469A" w:rsidP="0050226B">
            <w:pPr>
              <w:keepNext/>
              <w:spacing w:after="0"/>
              <w:jc w:val="center"/>
              <w:rPr>
                <w:b/>
                <w:sz w:val="20"/>
                <w:szCs w:val="20"/>
              </w:rPr>
            </w:pPr>
            <w:r w:rsidRPr="00B66B4D">
              <w:rPr>
                <w:b/>
                <w:sz w:val="20"/>
                <w:szCs w:val="20"/>
              </w:rPr>
              <w:t>Česká republika</w:t>
            </w:r>
          </w:p>
        </w:tc>
        <w:tc>
          <w:tcPr>
            <w:tcW w:w="1993" w:type="dxa"/>
            <w:shd w:val="clear" w:color="auto" w:fill="auto"/>
            <w:tcMar>
              <w:top w:w="0" w:type="dxa"/>
              <w:left w:w="108" w:type="dxa"/>
              <w:bottom w:w="0" w:type="dxa"/>
              <w:right w:w="108" w:type="dxa"/>
            </w:tcMar>
            <w:vAlign w:val="center"/>
            <w:hideMark/>
          </w:tcPr>
          <w:p w14:paraId="6E6B7037" w14:textId="0180DF0B" w:rsidR="00BD6344" w:rsidRPr="008B5865" w:rsidRDefault="0051469A" w:rsidP="00453E39">
            <w:pPr>
              <w:keepNext/>
              <w:spacing w:after="0"/>
              <w:jc w:val="center"/>
              <w:rPr>
                <w:sz w:val="20"/>
                <w:szCs w:val="20"/>
              </w:rPr>
            </w:pPr>
            <w:r w:rsidRPr="008B5865">
              <w:rPr>
                <w:sz w:val="20"/>
                <w:szCs w:val="20"/>
              </w:rPr>
              <w:t>300</w:t>
            </w:r>
            <w:r w:rsidR="0050226B">
              <w:rPr>
                <w:sz w:val="20"/>
                <w:szCs w:val="20"/>
              </w:rPr>
              <w:t>–</w:t>
            </w:r>
            <w:r w:rsidRPr="008B5865">
              <w:rPr>
                <w:sz w:val="20"/>
                <w:szCs w:val="20"/>
              </w:rPr>
              <w:t>800 Kč</w:t>
            </w:r>
          </w:p>
        </w:tc>
        <w:tc>
          <w:tcPr>
            <w:tcW w:w="4961" w:type="dxa"/>
            <w:shd w:val="clear" w:color="auto" w:fill="auto"/>
            <w:tcMar>
              <w:top w:w="0" w:type="dxa"/>
              <w:left w:w="108" w:type="dxa"/>
              <w:bottom w:w="0" w:type="dxa"/>
              <w:right w:w="108" w:type="dxa"/>
            </w:tcMar>
            <w:vAlign w:val="center"/>
            <w:hideMark/>
          </w:tcPr>
          <w:p w14:paraId="2ABCEA23" w14:textId="77777777" w:rsidR="00BD6344" w:rsidRPr="008B5865" w:rsidRDefault="0051469A" w:rsidP="0050226B">
            <w:pPr>
              <w:keepNext/>
              <w:spacing w:after="0"/>
              <w:jc w:val="center"/>
              <w:rPr>
                <w:sz w:val="20"/>
                <w:szCs w:val="20"/>
              </w:rPr>
            </w:pPr>
            <w:r w:rsidRPr="008B5865">
              <w:rPr>
                <w:sz w:val="20"/>
                <w:szCs w:val="20"/>
              </w:rPr>
              <w:t>První zápis do registru vozidel nebo zápis změny vlastníka nebo provozovatele dle typu vozidla</w:t>
            </w:r>
            <w:r w:rsidR="005676AF" w:rsidRPr="008B5865">
              <w:rPr>
                <w:sz w:val="20"/>
                <w:szCs w:val="20"/>
              </w:rPr>
              <w:t>.</w:t>
            </w:r>
          </w:p>
        </w:tc>
        <w:tc>
          <w:tcPr>
            <w:tcW w:w="992" w:type="dxa"/>
            <w:shd w:val="clear" w:color="auto" w:fill="auto"/>
            <w:vAlign w:val="center"/>
            <w:hideMark/>
          </w:tcPr>
          <w:p w14:paraId="2C6F19CE" w14:textId="77777777" w:rsidR="00BD6344" w:rsidRPr="008B5865" w:rsidRDefault="0051469A" w:rsidP="0050226B">
            <w:pPr>
              <w:keepNext/>
              <w:spacing w:after="0"/>
              <w:jc w:val="center"/>
              <w:rPr>
                <w:sz w:val="20"/>
                <w:szCs w:val="20"/>
              </w:rPr>
            </w:pPr>
            <w:r w:rsidRPr="008B5865">
              <w:rPr>
                <w:sz w:val="20"/>
                <w:szCs w:val="20"/>
              </w:rPr>
              <w:t>800 Kč</w:t>
            </w:r>
          </w:p>
        </w:tc>
      </w:tr>
      <w:tr w:rsidR="00121435" w14:paraId="6D395E70" w14:textId="77777777" w:rsidTr="0050226B">
        <w:trPr>
          <w:trHeight w:val="227"/>
        </w:trPr>
        <w:tc>
          <w:tcPr>
            <w:tcW w:w="1121" w:type="dxa"/>
            <w:shd w:val="clear" w:color="auto" w:fill="auto"/>
            <w:tcMar>
              <w:top w:w="0" w:type="dxa"/>
              <w:left w:w="108" w:type="dxa"/>
              <w:bottom w:w="0" w:type="dxa"/>
              <w:right w:w="108" w:type="dxa"/>
            </w:tcMar>
            <w:vAlign w:val="center"/>
            <w:hideMark/>
          </w:tcPr>
          <w:p w14:paraId="06DD1977" w14:textId="77777777" w:rsidR="00BD6344" w:rsidRPr="00B66B4D" w:rsidRDefault="0051469A" w:rsidP="0050226B">
            <w:pPr>
              <w:keepNext/>
              <w:spacing w:after="0"/>
              <w:jc w:val="center"/>
              <w:rPr>
                <w:b/>
                <w:sz w:val="20"/>
                <w:szCs w:val="20"/>
              </w:rPr>
            </w:pPr>
            <w:r w:rsidRPr="00B66B4D">
              <w:rPr>
                <w:b/>
                <w:sz w:val="20"/>
                <w:szCs w:val="20"/>
              </w:rPr>
              <w:t>Slovensko</w:t>
            </w:r>
          </w:p>
        </w:tc>
        <w:tc>
          <w:tcPr>
            <w:tcW w:w="1993" w:type="dxa"/>
            <w:shd w:val="clear" w:color="auto" w:fill="auto"/>
            <w:tcMar>
              <w:top w:w="0" w:type="dxa"/>
              <w:left w:w="108" w:type="dxa"/>
              <w:bottom w:w="0" w:type="dxa"/>
              <w:right w:w="108" w:type="dxa"/>
            </w:tcMar>
            <w:vAlign w:val="center"/>
            <w:hideMark/>
          </w:tcPr>
          <w:p w14:paraId="6B268E58" w14:textId="632E5B01" w:rsidR="00BD6344" w:rsidRPr="008B5865" w:rsidRDefault="0051469A" w:rsidP="00453E39">
            <w:pPr>
              <w:keepNext/>
              <w:spacing w:after="0"/>
              <w:jc w:val="center"/>
              <w:rPr>
                <w:sz w:val="20"/>
                <w:szCs w:val="20"/>
              </w:rPr>
            </w:pPr>
            <w:r w:rsidRPr="008B5865">
              <w:rPr>
                <w:sz w:val="20"/>
                <w:szCs w:val="20"/>
              </w:rPr>
              <w:t>33</w:t>
            </w:r>
            <w:r w:rsidR="0050226B">
              <w:rPr>
                <w:sz w:val="20"/>
                <w:szCs w:val="20"/>
              </w:rPr>
              <w:t>–</w:t>
            </w:r>
            <w:r w:rsidRPr="008B5865">
              <w:rPr>
                <w:sz w:val="20"/>
                <w:szCs w:val="20"/>
              </w:rPr>
              <w:t>3</w:t>
            </w:r>
            <w:r w:rsidR="00453E39">
              <w:rPr>
                <w:sz w:val="20"/>
                <w:szCs w:val="20"/>
              </w:rPr>
              <w:t> </w:t>
            </w:r>
            <w:r w:rsidRPr="008B5865">
              <w:rPr>
                <w:sz w:val="20"/>
                <w:szCs w:val="20"/>
              </w:rPr>
              <w:t xml:space="preserve">900 </w:t>
            </w:r>
            <w:r w:rsidR="00453E39">
              <w:rPr>
                <w:sz w:val="20"/>
                <w:szCs w:val="20"/>
              </w:rPr>
              <w:t>€</w:t>
            </w:r>
          </w:p>
        </w:tc>
        <w:tc>
          <w:tcPr>
            <w:tcW w:w="4961" w:type="dxa"/>
            <w:shd w:val="clear" w:color="auto" w:fill="auto"/>
            <w:tcMar>
              <w:top w:w="0" w:type="dxa"/>
              <w:left w:w="108" w:type="dxa"/>
              <w:bottom w:w="0" w:type="dxa"/>
              <w:right w:w="108" w:type="dxa"/>
            </w:tcMar>
            <w:vAlign w:val="center"/>
            <w:hideMark/>
          </w:tcPr>
          <w:p w14:paraId="412FB4F0" w14:textId="77777777" w:rsidR="00BD6344" w:rsidRPr="008B5865" w:rsidRDefault="0051469A" w:rsidP="0050226B">
            <w:pPr>
              <w:keepNext/>
              <w:spacing w:after="0"/>
              <w:jc w:val="center"/>
              <w:rPr>
                <w:sz w:val="20"/>
                <w:szCs w:val="20"/>
              </w:rPr>
            </w:pPr>
            <w:r w:rsidRPr="008B5865">
              <w:rPr>
                <w:sz w:val="20"/>
                <w:szCs w:val="20"/>
              </w:rPr>
              <w:t xml:space="preserve">Výkon motoru a koeficientu „zbytkové hodnoty vozidla“ (od 1,00 při první registraci až 0,06 při registraci vozidla staršího 16 let). Za přiřazení registračního čísla a vydání registrační značky je hrazen poplatek 16,50 </w:t>
            </w:r>
            <w:r w:rsidR="0050226B" w:rsidRPr="008B5865">
              <w:rPr>
                <w:sz w:val="20"/>
                <w:szCs w:val="20"/>
              </w:rPr>
              <w:t>eur</w:t>
            </w:r>
            <w:r w:rsidR="005676AF" w:rsidRPr="008B5865">
              <w:rPr>
                <w:sz w:val="20"/>
                <w:szCs w:val="20"/>
              </w:rPr>
              <w:t>.</w:t>
            </w:r>
          </w:p>
        </w:tc>
        <w:tc>
          <w:tcPr>
            <w:tcW w:w="992" w:type="dxa"/>
            <w:shd w:val="clear" w:color="auto" w:fill="auto"/>
            <w:vAlign w:val="center"/>
            <w:hideMark/>
          </w:tcPr>
          <w:p w14:paraId="5E3D3579" w14:textId="77777777" w:rsidR="00BD6344" w:rsidRPr="008B5865" w:rsidRDefault="0051469A" w:rsidP="0050226B">
            <w:pPr>
              <w:keepNext/>
              <w:spacing w:after="0"/>
              <w:jc w:val="center"/>
              <w:rPr>
                <w:sz w:val="20"/>
                <w:szCs w:val="20"/>
              </w:rPr>
            </w:pPr>
            <w:r w:rsidRPr="008B5865">
              <w:rPr>
                <w:sz w:val="20"/>
                <w:szCs w:val="20"/>
              </w:rPr>
              <w:t xml:space="preserve">2 731 Kč  </w:t>
            </w:r>
          </w:p>
        </w:tc>
      </w:tr>
      <w:tr w:rsidR="00121435" w14:paraId="5EE19C89" w14:textId="77777777" w:rsidTr="0050226B">
        <w:trPr>
          <w:trHeight w:val="227"/>
        </w:trPr>
        <w:tc>
          <w:tcPr>
            <w:tcW w:w="1121" w:type="dxa"/>
            <w:shd w:val="clear" w:color="auto" w:fill="auto"/>
            <w:tcMar>
              <w:top w:w="0" w:type="dxa"/>
              <w:left w:w="108" w:type="dxa"/>
              <w:bottom w:w="0" w:type="dxa"/>
              <w:right w:w="108" w:type="dxa"/>
            </w:tcMar>
            <w:vAlign w:val="center"/>
            <w:hideMark/>
          </w:tcPr>
          <w:p w14:paraId="4CE8D5B7" w14:textId="77777777" w:rsidR="00BD6344" w:rsidRPr="00B66B4D" w:rsidRDefault="0051469A" w:rsidP="0050226B">
            <w:pPr>
              <w:keepNext/>
              <w:spacing w:after="0"/>
              <w:jc w:val="center"/>
              <w:rPr>
                <w:b/>
                <w:sz w:val="20"/>
                <w:szCs w:val="20"/>
              </w:rPr>
            </w:pPr>
            <w:r w:rsidRPr="00B66B4D">
              <w:rPr>
                <w:b/>
                <w:sz w:val="20"/>
                <w:szCs w:val="20"/>
              </w:rPr>
              <w:t>Polsko</w:t>
            </w:r>
          </w:p>
        </w:tc>
        <w:tc>
          <w:tcPr>
            <w:tcW w:w="1993" w:type="dxa"/>
            <w:shd w:val="clear" w:color="auto" w:fill="auto"/>
            <w:tcMar>
              <w:top w:w="0" w:type="dxa"/>
              <w:left w:w="108" w:type="dxa"/>
              <w:bottom w:w="0" w:type="dxa"/>
              <w:right w:w="108" w:type="dxa"/>
            </w:tcMar>
            <w:vAlign w:val="center"/>
          </w:tcPr>
          <w:p w14:paraId="1B5B9E08" w14:textId="77777777" w:rsidR="0002614B" w:rsidRPr="008B5865" w:rsidRDefault="0051469A" w:rsidP="0050226B">
            <w:pPr>
              <w:keepNext/>
              <w:spacing w:after="0"/>
              <w:jc w:val="center"/>
              <w:rPr>
                <w:sz w:val="20"/>
                <w:szCs w:val="20"/>
              </w:rPr>
            </w:pPr>
            <w:r w:rsidRPr="008B5865">
              <w:rPr>
                <w:sz w:val="20"/>
                <w:szCs w:val="20"/>
              </w:rPr>
              <w:t>Spotřební daň</w:t>
            </w:r>
          </w:p>
          <w:p w14:paraId="24CA5680" w14:textId="77777777" w:rsidR="00BD6344" w:rsidRPr="008B5865" w:rsidRDefault="0051469A" w:rsidP="0050226B">
            <w:pPr>
              <w:keepNext/>
              <w:spacing w:after="0"/>
              <w:jc w:val="center"/>
              <w:rPr>
                <w:sz w:val="20"/>
                <w:szCs w:val="20"/>
              </w:rPr>
            </w:pPr>
            <w:r w:rsidRPr="008B5865">
              <w:rPr>
                <w:sz w:val="20"/>
                <w:szCs w:val="20"/>
              </w:rPr>
              <w:t xml:space="preserve">3,1 % </w:t>
            </w:r>
            <w:r w:rsidR="0050226B">
              <w:rPr>
                <w:sz w:val="20"/>
                <w:szCs w:val="20"/>
              </w:rPr>
              <w:t>–</w:t>
            </w:r>
            <w:r w:rsidRPr="008B5865">
              <w:rPr>
                <w:sz w:val="20"/>
                <w:szCs w:val="20"/>
              </w:rPr>
              <w:t xml:space="preserve"> 18,6 %</w:t>
            </w:r>
            <w:r w:rsidR="00461E57" w:rsidRPr="008B5865">
              <w:rPr>
                <w:sz w:val="20"/>
                <w:szCs w:val="20"/>
              </w:rPr>
              <w:t xml:space="preserve"> z </w:t>
            </w:r>
            <w:r w:rsidR="006E06AB" w:rsidRPr="008B5865">
              <w:rPr>
                <w:sz w:val="20"/>
                <w:szCs w:val="20"/>
              </w:rPr>
              <w:t>hodnoty</w:t>
            </w:r>
            <w:r w:rsidR="00461E57" w:rsidRPr="008B5865">
              <w:rPr>
                <w:sz w:val="20"/>
                <w:szCs w:val="20"/>
              </w:rPr>
              <w:t xml:space="preserve"> vozidla</w:t>
            </w:r>
          </w:p>
          <w:p w14:paraId="01652BD2" w14:textId="77777777" w:rsidR="0002614B" w:rsidRPr="008B5865" w:rsidRDefault="0002614B" w:rsidP="0050226B">
            <w:pPr>
              <w:keepNext/>
              <w:spacing w:after="0"/>
              <w:jc w:val="center"/>
              <w:rPr>
                <w:sz w:val="20"/>
                <w:szCs w:val="20"/>
              </w:rPr>
            </w:pPr>
          </w:p>
          <w:p w14:paraId="214EB710" w14:textId="77777777" w:rsidR="00BD6344" w:rsidRPr="008B5865" w:rsidRDefault="0051469A" w:rsidP="0050226B">
            <w:pPr>
              <w:keepNext/>
              <w:spacing w:after="0"/>
              <w:jc w:val="center"/>
              <w:rPr>
                <w:sz w:val="20"/>
                <w:szCs w:val="20"/>
              </w:rPr>
            </w:pPr>
            <w:r w:rsidRPr="008B5865">
              <w:rPr>
                <w:sz w:val="20"/>
                <w:szCs w:val="20"/>
              </w:rPr>
              <w:t>Registrační poplatek</w:t>
            </w:r>
          </w:p>
          <w:p w14:paraId="63D194E3" w14:textId="77777777" w:rsidR="00BD6344" w:rsidRPr="008B5865" w:rsidRDefault="0051469A" w:rsidP="0050226B">
            <w:pPr>
              <w:keepNext/>
              <w:spacing w:after="0"/>
              <w:jc w:val="center"/>
              <w:rPr>
                <w:sz w:val="20"/>
                <w:szCs w:val="20"/>
              </w:rPr>
            </w:pPr>
            <w:r w:rsidRPr="008B5865">
              <w:rPr>
                <w:sz w:val="20"/>
                <w:szCs w:val="20"/>
              </w:rPr>
              <w:t>PLN 121,50 – 180,50</w:t>
            </w:r>
          </w:p>
          <w:p w14:paraId="7A49B705" w14:textId="77777777" w:rsidR="009823FC" w:rsidRPr="008B5865" w:rsidRDefault="009823FC" w:rsidP="0050226B">
            <w:pPr>
              <w:keepNext/>
              <w:spacing w:after="0"/>
              <w:jc w:val="center"/>
              <w:rPr>
                <w:sz w:val="20"/>
                <w:szCs w:val="20"/>
              </w:rPr>
            </w:pPr>
          </w:p>
          <w:p w14:paraId="78FF2835" w14:textId="77777777" w:rsidR="009823FC" w:rsidRPr="008B5865" w:rsidRDefault="009823FC" w:rsidP="0050226B">
            <w:pPr>
              <w:keepNext/>
              <w:spacing w:after="0"/>
              <w:jc w:val="center"/>
              <w:rPr>
                <w:sz w:val="20"/>
                <w:szCs w:val="20"/>
              </w:rPr>
            </w:pPr>
          </w:p>
        </w:tc>
        <w:tc>
          <w:tcPr>
            <w:tcW w:w="4961" w:type="dxa"/>
            <w:shd w:val="clear" w:color="auto" w:fill="auto"/>
            <w:tcMar>
              <w:top w:w="0" w:type="dxa"/>
              <w:left w:w="108" w:type="dxa"/>
              <w:bottom w:w="0" w:type="dxa"/>
              <w:right w:w="108" w:type="dxa"/>
            </w:tcMar>
            <w:vAlign w:val="center"/>
          </w:tcPr>
          <w:p w14:paraId="6FB680F2" w14:textId="77777777" w:rsidR="00BD6344" w:rsidRPr="008B5865" w:rsidRDefault="0051469A" w:rsidP="0050226B">
            <w:pPr>
              <w:keepNext/>
              <w:spacing w:after="0"/>
              <w:jc w:val="center"/>
              <w:rPr>
                <w:sz w:val="20"/>
                <w:szCs w:val="20"/>
              </w:rPr>
            </w:pPr>
            <w:r w:rsidRPr="008B5865">
              <w:rPr>
                <w:sz w:val="20"/>
                <w:szCs w:val="20"/>
              </w:rPr>
              <w:t xml:space="preserve">Zdvihový objem u spotřební daně, kdy se jedná </w:t>
            </w:r>
            <w:r w:rsidR="009823FC" w:rsidRPr="008B5865">
              <w:rPr>
                <w:sz w:val="20"/>
                <w:szCs w:val="20"/>
              </w:rPr>
              <w:t>o</w:t>
            </w:r>
            <w:r w:rsidR="0050226B">
              <w:rPr>
                <w:sz w:val="20"/>
                <w:szCs w:val="20"/>
              </w:rPr>
              <w:t> </w:t>
            </w:r>
            <w:r w:rsidRPr="008B5865">
              <w:rPr>
                <w:sz w:val="20"/>
                <w:szCs w:val="20"/>
              </w:rPr>
              <w:t>jednorázovou daň vybíranou při dovozu, prodeji před první registrací a nákupech v rámci EU.</w:t>
            </w:r>
          </w:p>
          <w:p w14:paraId="477DC251" w14:textId="77777777" w:rsidR="009823FC" w:rsidRPr="008B5865" w:rsidRDefault="009823FC" w:rsidP="0050226B">
            <w:pPr>
              <w:keepNext/>
              <w:spacing w:after="0"/>
              <w:jc w:val="center"/>
              <w:rPr>
                <w:sz w:val="20"/>
                <w:szCs w:val="20"/>
              </w:rPr>
            </w:pPr>
          </w:p>
          <w:p w14:paraId="3E9487C0" w14:textId="77777777" w:rsidR="00BD6344" w:rsidRPr="008B5865" w:rsidRDefault="0051469A" w:rsidP="0050226B">
            <w:pPr>
              <w:keepNext/>
              <w:spacing w:after="0"/>
              <w:jc w:val="center"/>
              <w:rPr>
                <w:sz w:val="20"/>
                <w:szCs w:val="20"/>
              </w:rPr>
            </w:pPr>
            <w:r w:rsidRPr="008B5865">
              <w:rPr>
                <w:sz w:val="20"/>
                <w:szCs w:val="20"/>
              </w:rPr>
              <w:t>Dle typu vozidla.</w:t>
            </w:r>
          </w:p>
          <w:p w14:paraId="6328A0EC" w14:textId="046627DC" w:rsidR="00BD6344" w:rsidRPr="008B5865" w:rsidRDefault="0051469A" w:rsidP="00453E39">
            <w:pPr>
              <w:keepNext/>
              <w:spacing w:after="0"/>
              <w:jc w:val="center"/>
              <w:rPr>
                <w:sz w:val="20"/>
                <w:szCs w:val="20"/>
              </w:rPr>
            </w:pPr>
            <w:r w:rsidRPr="008B5865">
              <w:rPr>
                <w:sz w:val="20"/>
                <w:szCs w:val="20"/>
              </w:rPr>
              <w:t>V případě první registrace se dále platí PLN 75 za vydání identifikační karty. V případě registrace vozidla</w:t>
            </w:r>
            <w:r w:rsidR="00461E57" w:rsidRPr="008B5865">
              <w:rPr>
                <w:sz w:val="20"/>
                <w:szCs w:val="20"/>
              </w:rPr>
              <w:t>,</w:t>
            </w:r>
            <w:r w:rsidRPr="008B5865">
              <w:rPr>
                <w:sz w:val="20"/>
                <w:szCs w:val="20"/>
              </w:rPr>
              <w:t xml:space="preserve"> u ně</w:t>
            </w:r>
            <w:r w:rsidR="00453E39">
              <w:rPr>
                <w:sz w:val="20"/>
                <w:szCs w:val="20"/>
              </w:rPr>
              <w:t>ho</w:t>
            </w:r>
            <w:r w:rsidRPr="008B5865">
              <w:rPr>
                <w:sz w:val="20"/>
                <w:szCs w:val="20"/>
              </w:rPr>
              <w:t xml:space="preserve">ž prodej nepodléhal DPH, je nutno zaplatit </w:t>
            </w:r>
            <w:r w:rsidR="005676AF" w:rsidRPr="008B5865">
              <w:rPr>
                <w:sz w:val="20"/>
                <w:szCs w:val="20"/>
              </w:rPr>
              <w:t xml:space="preserve">daň ve výši </w:t>
            </w:r>
            <w:r w:rsidRPr="008B5865">
              <w:rPr>
                <w:sz w:val="20"/>
                <w:szCs w:val="20"/>
              </w:rPr>
              <w:t>2% z aktuální hodnoty vozidla</w:t>
            </w:r>
            <w:r w:rsidR="00DD563F" w:rsidRPr="008B5865">
              <w:rPr>
                <w:sz w:val="20"/>
                <w:szCs w:val="20"/>
              </w:rPr>
              <w:t>.</w:t>
            </w:r>
          </w:p>
        </w:tc>
        <w:tc>
          <w:tcPr>
            <w:tcW w:w="992" w:type="dxa"/>
            <w:shd w:val="clear" w:color="auto" w:fill="auto"/>
            <w:vAlign w:val="center"/>
            <w:hideMark/>
          </w:tcPr>
          <w:p w14:paraId="28B26536" w14:textId="77777777" w:rsidR="00BD6344" w:rsidRPr="008B5865" w:rsidRDefault="0051469A" w:rsidP="0050226B">
            <w:pPr>
              <w:keepNext/>
              <w:spacing w:after="0"/>
              <w:jc w:val="center"/>
              <w:rPr>
                <w:sz w:val="20"/>
                <w:szCs w:val="20"/>
              </w:rPr>
            </w:pPr>
            <w:r w:rsidRPr="008B5865">
              <w:rPr>
                <w:sz w:val="20"/>
                <w:szCs w:val="20"/>
              </w:rPr>
              <w:t>19 544 Kč</w:t>
            </w:r>
          </w:p>
        </w:tc>
      </w:tr>
      <w:tr w:rsidR="00121435" w14:paraId="7CB89D55" w14:textId="77777777" w:rsidTr="0050226B">
        <w:trPr>
          <w:trHeight w:val="227"/>
        </w:trPr>
        <w:tc>
          <w:tcPr>
            <w:tcW w:w="1121" w:type="dxa"/>
            <w:shd w:val="clear" w:color="auto" w:fill="auto"/>
            <w:tcMar>
              <w:top w:w="0" w:type="dxa"/>
              <w:left w:w="108" w:type="dxa"/>
              <w:bottom w:w="0" w:type="dxa"/>
              <w:right w:w="108" w:type="dxa"/>
            </w:tcMar>
            <w:vAlign w:val="center"/>
            <w:hideMark/>
          </w:tcPr>
          <w:p w14:paraId="103F1E65" w14:textId="77777777" w:rsidR="00BD6344" w:rsidRPr="00B66B4D" w:rsidRDefault="0051469A" w:rsidP="0050226B">
            <w:pPr>
              <w:keepNext/>
              <w:spacing w:after="0"/>
              <w:jc w:val="center"/>
              <w:rPr>
                <w:b/>
                <w:sz w:val="20"/>
                <w:szCs w:val="20"/>
              </w:rPr>
            </w:pPr>
            <w:r w:rsidRPr="00B66B4D">
              <w:rPr>
                <w:b/>
                <w:sz w:val="20"/>
                <w:szCs w:val="20"/>
              </w:rPr>
              <w:t>Rakousko</w:t>
            </w:r>
          </w:p>
        </w:tc>
        <w:tc>
          <w:tcPr>
            <w:tcW w:w="1993" w:type="dxa"/>
            <w:shd w:val="clear" w:color="auto" w:fill="auto"/>
            <w:tcMar>
              <w:top w:w="0" w:type="dxa"/>
              <w:left w:w="108" w:type="dxa"/>
              <w:bottom w:w="0" w:type="dxa"/>
              <w:right w:w="108" w:type="dxa"/>
            </w:tcMar>
            <w:vAlign w:val="center"/>
            <w:hideMark/>
          </w:tcPr>
          <w:p w14:paraId="607DCE60" w14:textId="77777777" w:rsidR="00BD6344" w:rsidRPr="008B5865" w:rsidRDefault="0051469A" w:rsidP="0050226B">
            <w:pPr>
              <w:keepNext/>
              <w:spacing w:after="0"/>
              <w:jc w:val="center"/>
              <w:rPr>
                <w:sz w:val="20"/>
                <w:szCs w:val="20"/>
              </w:rPr>
            </w:pPr>
            <w:r w:rsidRPr="008B5865">
              <w:rPr>
                <w:sz w:val="20"/>
                <w:szCs w:val="20"/>
              </w:rPr>
              <w:t>Daň ze znečištění</w:t>
            </w:r>
          </w:p>
          <w:p w14:paraId="55630FDE" w14:textId="77777777" w:rsidR="009823FC" w:rsidRPr="008B5865" w:rsidRDefault="0051469A" w:rsidP="0050226B">
            <w:pPr>
              <w:keepNext/>
              <w:spacing w:after="0"/>
              <w:jc w:val="center"/>
              <w:rPr>
                <w:sz w:val="20"/>
                <w:szCs w:val="20"/>
              </w:rPr>
            </w:pPr>
            <w:r w:rsidRPr="008B5865">
              <w:rPr>
                <w:sz w:val="20"/>
                <w:szCs w:val="20"/>
              </w:rPr>
              <w:t xml:space="preserve">2% </w:t>
            </w:r>
            <w:r w:rsidR="0050226B">
              <w:rPr>
                <w:sz w:val="20"/>
                <w:szCs w:val="20"/>
              </w:rPr>
              <w:t>–</w:t>
            </w:r>
            <w:r w:rsidRPr="008B5865">
              <w:rPr>
                <w:sz w:val="20"/>
                <w:szCs w:val="20"/>
              </w:rPr>
              <w:t xml:space="preserve"> 32 %</w:t>
            </w:r>
            <w:r w:rsidR="00461E57" w:rsidRPr="008B5865">
              <w:rPr>
                <w:sz w:val="20"/>
                <w:szCs w:val="20"/>
              </w:rPr>
              <w:t xml:space="preserve"> z </w:t>
            </w:r>
            <w:r w:rsidR="006E06AB" w:rsidRPr="008B5865">
              <w:rPr>
                <w:sz w:val="20"/>
                <w:szCs w:val="20"/>
              </w:rPr>
              <w:t>hodnoty</w:t>
            </w:r>
            <w:r w:rsidR="00461E57" w:rsidRPr="008B5865">
              <w:rPr>
                <w:sz w:val="20"/>
                <w:szCs w:val="20"/>
              </w:rPr>
              <w:t xml:space="preserve"> vozidla </w:t>
            </w:r>
          </w:p>
          <w:p w14:paraId="54648D11" w14:textId="77777777" w:rsidR="00BD6344" w:rsidRPr="008B5865" w:rsidRDefault="0051469A" w:rsidP="0050226B">
            <w:pPr>
              <w:keepNext/>
              <w:spacing w:after="0"/>
              <w:jc w:val="center"/>
              <w:rPr>
                <w:sz w:val="20"/>
                <w:szCs w:val="20"/>
              </w:rPr>
            </w:pPr>
            <w:r w:rsidRPr="008B5865">
              <w:rPr>
                <w:sz w:val="20"/>
                <w:szCs w:val="20"/>
              </w:rPr>
              <w:t>Registrační poplatek</w:t>
            </w:r>
          </w:p>
          <w:p w14:paraId="3084A1B7" w14:textId="5E13C503" w:rsidR="00BD6344" w:rsidRPr="008B5865" w:rsidRDefault="0051469A" w:rsidP="00453E39">
            <w:pPr>
              <w:keepNext/>
              <w:spacing w:after="0"/>
              <w:jc w:val="center"/>
              <w:rPr>
                <w:sz w:val="20"/>
                <w:szCs w:val="20"/>
              </w:rPr>
            </w:pPr>
            <w:r w:rsidRPr="008B5865">
              <w:rPr>
                <w:sz w:val="20"/>
                <w:szCs w:val="20"/>
              </w:rPr>
              <w:t xml:space="preserve">183 – 193,50 </w:t>
            </w:r>
            <w:r w:rsidR="00453E39">
              <w:rPr>
                <w:sz w:val="20"/>
                <w:szCs w:val="20"/>
              </w:rPr>
              <w:t>€</w:t>
            </w:r>
          </w:p>
        </w:tc>
        <w:tc>
          <w:tcPr>
            <w:tcW w:w="4961" w:type="dxa"/>
            <w:shd w:val="clear" w:color="auto" w:fill="auto"/>
            <w:tcMar>
              <w:top w:w="0" w:type="dxa"/>
              <w:left w:w="108" w:type="dxa"/>
              <w:bottom w:w="0" w:type="dxa"/>
              <w:right w:w="108" w:type="dxa"/>
            </w:tcMar>
            <w:vAlign w:val="center"/>
          </w:tcPr>
          <w:p w14:paraId="6B3CA978" w14:textId="77777777" w:rsidR="00BD6344" w:rsidRPr="008B5865" w:rsidRDefault="0051469A" w:rsidP="0050226B">
            <w:pPr>
              <w:keepNext/>
              <w:spacing w:after="0"/>
              <w:jc w:val="center"/>
              <w:rPr>
                <w:sz w:val="20"/>
                <w:szCs w:val="20"/>
              </w:rPr>
            </w:pPr>
            <w:r w:rsidRPr="008B5865">
              <w:rPr>
                <w:sz w:val="20"/>
                <w:szCs w:val="20"/>
              </w:rPr>
              <w:t>Daň ze znečištění</w:t>
            </w:r>
          </w:p>
          <w:p w14:paraId="113E3F15" w14:textId="77777777" w:rsidR="00BD6344" w:rsidRPr="008B5865" w:rsidRDefault="0051469A" w:rsidP="0050226B">
            <w:pPr>
              <w:keepNext/>
              <w:spacing w:after="0"/>
              <w:jc w:val="center"/>
              <w:rPr>
                <w:sz w:val="20"/>
                <w:szCs w:val="20"/>
              </w:rPr>
            </w:pPr>
            <w:r w:rsidRPr="008B5865">
              <w:rPr>
                <w:sz w:val="20"/>
                <w:szCs w:val="20"/>
              </w:rPr>
              <w:t>CO</w:t>
            </w:r>
            <w:r w:rsidRPr="00B66B4D">
              <w:rPr>
                <w:sz w:val="20"/>
                <w:szCs w:val="20"/>
                <w:vertAlign w:val="subscript"/>
              </w:rPr>
              <w:t>2</w:t>
            </w:r>
            <w:r w:rsidRPr="008B5865">
              <w:rPr>
                <w:sz w:val="20"/>
                <w:szCs w:val="20"/>
              </w:rPr>
              <w:t xml:space="preserve"> emise</w:t>
            </w:r>
            <w:r w:rsidR="005676AF" w:rsidRPr="008B5865">
              <w:rPr>
                <w:sz w:val="20"/>
                <w:szCs w:val="20"/>
              </w:rPr>
              <w:t>.</w:t>
            </w:r>
          </w:p>
          <w:p w14:paraId="1C06BE0E" w14:textId="77777777" w:rsidR="00DD563F" w:rsidRPr="008B5865" w:rsidRDefault="00DD563F" w:rsidP="0050226B">
            <w:pPr>
              <w:keepNext/>
              <w:spacing w:after="0"/>
              <w:jc w:val="center"/>
              <w:rPr>
                <w:sz w:val="20"/>
                <w:szCs w:val="20"/>
              </w:rPr>
            </w:pPr>
          </w:p>
          <w:p w14:paraId="49B5E61E" w14:textId="77777777" w:rsidR="00BD6344" w:rsidRPr="008B5865" w:rsidRDefault="0051469A" w:rsidP="0050226B">
            <w:pPr>
              <w:keepNext/>
              <w:spacing w:after="0"/>
              <w:jc w:val="center"/>
              <w:rPr>
                <w:sz w:val="20"/>
                <w:szCs w:val="20"/>
              </w:rPr>
            </w:pPr>
            <w:r w:rsidRPr="008B5865">
              <w:rPr>
                <w:sz w:val="20"/>
                <w:szCs w:val="20"/>
              </w:rPr>
              <w:t>Registrační poplatek</w:t>
            </w:r>
          </w:p>
          <w:p w14:paraId="6249EE3B" w14:textId="77777777" w:rsidR="00BD6344" w:rsidRPr="008B5865" w:rsidRDefault="0051469A" w:rsidP="0050226B">
            <w:pPr>
              <w:keepNext/>
              <w:spacing w:after="0"/>
              <w:jc w:val="center"/>
              <w:rPr>
                <w:sz w:val="20"/>
                <w:szCs w:val="20"/>
              </w:rPr>
            </w:pPr>
            <w:r w:rsidRPr="008B5865">
              <w:rPr>
                <w:sz w:val="20"/>
                <w:szCs w:val="20"/>
              </w:rPr>
              <w:t>dle typu vozidla.</w:t>
            </w:r>
          </w:p>
        </w:tc>
        <w:tc>
          <w:tcPr>
            <w:tcW w:w="992" w:type="dxa"/>
            <w:shd w:val="clear" w:color="auto" w:fill="auto"/>
            <w:vAlign w:val="center"/>
            <w:hideMark/>
          </w:tcPr>
          <w:p w14:paraId="49452566" w14:textId="77777777" w:rsidR="00BD6344" w:rsidRPr="008B5865" w:rsidRDefault="0051469A" w:rsidP="0050226B">
            <w:pPr>
              <w:keepNext/>
              <w:spacing w:after="0"/>
              <w:jc w:val="center"/>
              <w:rPr>
                <w:sz w:val="20"/>
                <w:szCs w:val="20"/>
              </w:rPr>
            </w:pPr>
            <w:r w:rsidRPr="008B5865">
              <w:rPr>
                <w:sz w:val="20"/>
                <w:szCs w:val="20"/>
              </w:rPr>
              <w:t>19 348 Kč</w:t>
            </w:r>
          </w:p>
        </w:tc>
      </w:tr>
      <w:tr w:rsidR="00121435" w14:paraId="2DD3FA39" w14:textId="77777777" w:rsidTr="0050226B">
        <w:trPr>
          <w:trHeight w:val="227"/>
        </w:trPr>
        <w:tc>
          <w:tcPr>
            <w:tcW w:w="1121" w:type="dxa"/>
            <w:shd w:val="clear" w:color="auto" w:fill="auto"/>
            <w:tcMar>
              <w:top w:w="0" w:type="dxa"/>
              <w:left w:w="108" w:type="dxa"/>
              <w:bottom w:w="0" w:type="dxa"/>
              <w:right w:w="108" w:type="dxa"/>
            </w:tcMar>
            <w:vAlign w:val="center"/>
            <w:hideMark/>
          </w:tcPr>
          <w:p w14:paraId="5178B991" w14:textId="77777777" w:rsidR="00BD6344" w:rsidRPr="00B66B4D" w:rsidRDefault="0051469A" w:rsidP="0050226B">
            <w:pPr>
              <w:keepNext/>
              <w:spacing w:after="0"/>
              <w:jc w:val="center"/>
              <w:rPr>
                <w:b/>
                <w:sz w:val="20"/>
                <w:szCs w:val="20"/>
              </w:rPr>
            </w:pPr>
            <w:r w:rsidRPr="00B66B4D">
              <w:rPr>
                <w:b/>
                <w:sz w:val="20"/>
                <w:szCs w:val="20"/>
              </w:rPr>
              <w:t>Německo</w:t>
            </w:r>
          </w:p>
        </w:tc>
        <w:tc>
          <w:tcPr>
            <w:tcW w:w="1993" w:type="dxa"/>
            <w:shd w:val="clear" w:color="auto" w:fill="auto"/>
            <w:tcMar>
              <w:top w:w="0" w:type="dxa"/>
              <w:left w:w="108" w:type="dxa"/>
              <w:bottom w:w="0" w:type="dxa"/>
              <w:right w:w="108" w:type="dxa"/>
            </w:tcMar>
            <w:vAlign w:val="center"/>
            <w:hideMark/>
          </w:tcPr>
          <w:p w14:paraId="1F73DAE7" w14:textId="3779F6BB" w:rsidR="00BD6344" w:rsidRPr="008B5865" w:rsidRDefault="0051469A" w:rsidP="00453E39">
            <w:pPr>
              <w:keepNext/>
              <w:spacing w:after="0"/>
              <w:jc w:val="center"/>
              <w:rPr>
                <w:sz w:val="20"/>
                <w:szCs w:val="20"/>
              </w:rPr>
            </w:pPr>
            <w:r w:rsidRPr="008B5865">
              <w:rPr>
                <w:sz w:val="20"/>
                <w:szCs w:val="20"/>
              </w:rPr>
              <w:t xml:space="preserve">Pohybuje se okolo </w:t>
            </w:r>
            <w:r w:rsidRPr="008B5865">
              <w:rPr>
                <w:sz w:val="20"/>
                <w:szCs w:val="20"/>
              </w:rPr>
              <w:br/>
              <w:t xml:space="preserve">26,30 </w:t>
            </w:r>
            <w:r w:rsidR="00453E39">
              <w:rPr>
                <w:sz w:val="20"/>
                <w:szCs w:val="20"/>
              </w:rPr>
              <w:t>€</w:t>
            </w:r>
          </w:p>
        </w:tc>
        <w:tc>
          <w:tcPr>
            <w:tcW w:w="4961" w:type="dxa"/>
            <w:shd w:val="clear" w:color="auto" w:fill="auto"/>
            <w:tcMar>
              <w:top w:w="0" w:type="dxa"/>
              <w:left w:w="108" w:type="dxa"/>
              <w:bottom w:w="0" w:type="dxa"/>
              <w:right w:w="108" w:type="dxa"/>
            </w:tcMar>
            <w:vAlign w:val="center"/>
            <w:hideMark/>
          </w:tcPr>
          <w:p w14:paraId="3AA1809F" w14:textId="77777777" w:rsidR="00BD6344" w:rsidRPr="008B5865" w:rsidRDefault="0051469A" w:rsidP="0050226B">
            <w:pPr>
              <w:keepNext/>
              <w:spacing w:after="0"/>
              <w:jc w:val="center"/>
              <w:rPr>
                <w:sz w:val="20"/>
                <w:szCs w:val="20"/>
              </w:rPr>
            </w:pPr>
            <w:r w:rsidRPr="008B5865">
              <w:rPr>
                <w:sz w:val="20"/>
                <w:szCs w:val="20"/>
              </w:rPr>
              <w:t>Jednotný registrační poplatek</w:t>
            </w:r>
            <w:r w:rsidR="005676AF" w:rsidRPr="008B5865">
              <w:rPr>
                <w:sz w:val="20"/>
                <w:szCs w:val="20"/>
              </w:rPr>
              <w:t>.</w:t>
            </w:r>
          </w:p>
        </w:tc>
        <w:tc>
          <w:tcPr>
            <w:tcW w:w="992" w:type="dxa"/>
            <w:shd w:val="clear" w:color="auto" w:fill="auto"/>
            <w:vAlign w:val="center"/>
            <w:hideMark/>
          </w:tcPr>
          <w:p w14:paraId="60D03026" w14:textId="77777777" w:rsidR="00BD6344" w:rsidRPr="008B5865" w:rsidRDefault="0051469A" w:rsidP="0050226B">
            <w:pPr>
              <w:keepNext/>
              <w:spacing w:after="0"/>
              <w:jc w:val="center"/>
              <w:rPr>
                <w:sz w:val="20"/>
                <w:szCs w:val="20"/>
              </w:rPr>
            </w:pPr>
            <w:r w:rsidRPr="008B5865">
              <w:rPr>
                <w:sz w:val="20"/>
                <w:szCs w:val="20"/>
              </w:rPr>
              <w:t>674 Kč</w:t>
            </w:r>
          </w:p>
        </w:tc>
      </w:tr>
    </w:tbl>
    <w:p w14:paraId="38331D12" w14:textId="09D3B725" w:rsidR="005D5C6A" w:rsidRPr="0050226B" w:rsidRDefault="0051469A" w:rsidP="0050226B">
      <w:pPr>
        <w:spacing w:before="40"/>
        <w:ind w:left="567" w:hanging="567"/>
        <w:rPr>
          <w:rFonts w:asciiTheme="minorHAnsi" w:hAnsiTheme="minorHAnsi" w:cstheme="minorHAnsi"/>
          <w:sz w:val="20"/>
          <w:szCs w:val="20"/>
          <w:lang w:eastAsia="cs-CZ"/>
        </w:rPr>
      </w:pPr>
      <w:r w:rsidRPr="0050226B">
        <w:rPr>
          <w:rFonts w:asciiTheme="minorHAnsi" w:hAnsiTheme="minorHAnsi" w:cstheme="minorHAnsi"/>
          <w:b/>
          <w:sz w:val="20"/>
          <w:szCs w:val="20"/>
          <w:lang w:eastAsia="cs-CZ"/>
        </w:rPr>
        <w:t>Zdroj:</w:t>
      </w:r>
      <w:r w:rsidRPr="0050226B">
        <w:rPr>
          <w:rFonts w:asciiTheme="minorHAnsi" w:hAnsiTheme="minorHAnsi" w:cstheme="minorHAnsi"/>
          <w:sz w:val="20"/>
          <w:szCs w:val="20"/>
          <w:lang w:eastAsia="cs-CZ"/>
        </w:rPr>
        <w:t xml:space="preserve"> </w:t>
      </w:r>
      <w:r w:rsidR="0050226B">
        <w:rPr>
          <w:rFonts w:asciiTheme="minorHAnsi" w:hAnsiTheme="minorHAnsi" w:cstheme="minorHAnsi"/>
          <w:sz w:val="20"/>
          <w:szCs w:val="20"/>
          <w:lang w:eastAsia="cs-CZ"/>
        </w:rPr>
        <w:tab/>
      </w:r>
      <w:r w:rsidR="00453E39">
        <w:rPr>
          <w:sz w:val="20"/>
          <w:szCs w:val="20"/>
        </w:rPr>
        <w:t>vypracoval</w:t>
      </w:r>
      <w:r w:rsidR="001D4135" w:rsidRPr="0050226B">
        <w:rPr>
          <w:sz w:val="20"/>
          <w:szCs w:val="20"/>
        </w:rPr>
        <w:t xml:space="preserve"> NKÚ</w:t>
      </w:r>
      <w:r w:rsidR="005676AF" w:rsidRPr="0050226B">
        <w:rPr>
          <w:sz w:val="20"/>
          <w:szCs w:val="20"/>
        </w:rPr>
        <w:t xml:space="preserve"> (</w:t>
      </w:r>
      <w:r w:rsidR="001D4135" w:rsidRPr="0050226B">
        <w:rPr>
          <w:sz w:val="20"/>
          <w:szCs w:val="20"/>
        </w:rPr>
        <w:t xml:space="preserve">modelováno na VW Golf CL 1,6 TDI 5G 85 kW / </w:t>
      </w:r>
      <w:r w:rsidR="00453E39">
        <w:rPr>
          <w:sz w:val="20"/>
          <w:szCs w:val="20"/>
        </w:rPr>
        <w:t>d</w:t>
      </w:r>
      <w:r w:rsidR="001D4135" w:rsidRPr="0050226B">
        <w:rPr>
          <w:sz w:val="20"/>
          <w:szCs w:val="20"/>
        </w:rPr>
        <w:t xml:space="preserve">iesel / </w:t>
      </w:r>
      <w:r w:rsidR="00453E39">
        <w:rPr>
          <w:sz w:val="20"/>
          <w:szCs w:val="20"/>
        </w:rPr>
        <w:t>m</w:t>
      </w:r>
      <w:r w:rsidR="001D4135" w:rsidRPr="0050226B">
        <w:rPr>
          <w:sz w:val="20"/>
          <w:szCs w:val="20"/>
        </w:rPr>
        <w:t>anuální 5</w:t>
      </w:r>
      <w:r w:rsidR="00453E39">
        <w:rPr>
          <w:sz w:val="20"/>
          <w:szCs w:val="20"/>
        </w:rPr>
        <w:t> </w:t>
      </w:r>
      <w:r w:rsidR="001D4135" w:rsidRPr="0050226B">
        <w:rPr>
          <w:sz w:val="20"/>
          <w:szCs w:val="20"/>
        </w:rPr>
        <w:t>st.</w:t>
      </w:r>
      <w:r w:rsidR="00453E39">
        <w:rPr>
          <w:sz w:val="20"/>
          <w:szCs w:val="20"/>
        </w:rPr>
        <w:t>,</w:t>
      </w:r>
      <w:r w:rsidR="001D4135" w:rsidRPr="0050226B">
        <w:rPr>
          <w:sz w:val="20"/>
          <w:szCs w:val="20"/>
        </w:rPr>
        <w:t xml:space="preserve"> emise CO</w:t>
      </w:r>
      <w:r w:rsidR="001D4135" w:rsidRPr="0050226B">
        <w:rPr>
          <w:sz w:val="20"/>
          <w:szCs w:val="20"/>
          <w:vertAlign w:val="subscript"/>
        </w:rPr>
        <w:t>2</w:t>
      </w:r>
      <w:r w:rsidR="001D4135" w:rsidRPr="0050226B">
        <w:rPr>
          <w:sz w:val="20"/>
          <w:szCs w:val="20"/>
        </w:rPr>
        <w:t xml:space="preserve"> 109 g/km, objem 1</w:t>
      </w:r>
      <w:r w:rsidR="00453E39">
        <w:rPr>
          <w:sz w:val="20"/>
          <w:szCs w:val="20"/>
        </w:rPr>
        <w:t> </w:t>
      </w:r>
      <w:r w:rsidR="001D4135" w:rsidRPr="0050226B">
        <w:rPr>
          <w:sz w:val="20"/>
          <w:szCs w:val="20"/>
        </w:rPr>
        <w:t>598 cm</w:t>
      </w:r>
      <w:r w:rsidR="001D4135" w:rsidRPr="0050226B">
        <w:rPr>
          <w:sz w:val="20"/>
          <w:szCs w:val="20"/>
          <w:vertAlign w:val="superscript"/>
        </w:rPr>
        <w:t>3</w:t>
      </w:r>
      <w:r w:rsidR="005676AF" w:rsidRPr="0050226B">
        <w:rPr>
          <w:sz w:val="20"/>
          <w:szCs w:val="20"/>
        </w:rPr>
        <w:t>)</w:t>
      </w:r>
      <w:r w:rsidR="006A1CED" w:rsidRPr="0050226B">
        <w:rPr>
          <w:sz w:val="20"/>
          <w:szCs w:val="20"/>
        </w:rPr>
        <w:t>.</w:t>
      </w:r>
    </w:p>
    <w:p w14:paraId="1BEF1681" w14:textId="338B475B" w:rsidR="00CA38C1" w:rsidRPr="00482B67" w:rsidRDefault="0051469A" w:rsidP="009C76A3">
      <w:pPr>
        <w:spacing w:before="120"/>
        <w:rPr>
          <w:rFonts w:asciiTheme="minorHAnsi" w:hAnsiTheme="minorHAnsi" w:cstheme="minorHAnsi"/>
          <w:lang w:eastAsia="cs-CZ"/>
        </w:rPr>
      </w:pPr>
      <w:r>
        <w:rPr>
          <w:rFonts w:asciiTheme="minorHAnsi" w:hAnsiTheme="minorHAnsi" w:cstheme="minorHAnsi"/>
          <w:lang w:eastAsia="cs-CZ"/>
        </w:rPr>
        <w:t xml:space="preserve">Vláda ČR </w:t>
      </w:r>
      <w:r w:rsidR="001274D2">
        <w:rPr>
          <w:rFonts w:asciiTheme="minorHAnsi" w:hAnsiTheme="minorHAnsi" w:cstheme="minorHAnsi"/>
          <w:lang w:eastAsia="cs-CZ"/>
        </w:rPr>
        <w:t>ulož</w:t>
      </w:r>
      <w:r>
        <w:rPr>
          <w:rFonts w:asciiTheme="minorHAnsi" w:hAnsiTheme="minorHAnsi" w:cstheme="minorHAnsi"/>
          <w:lang w:eastAsia="cs-CZ"/>
        </w:rPr>
        <w:t xml:space="preserve">ila MD </w:t>
      </w:r>
      <w:r w:rsidR="004A2A4F">
        <w:rPr>
          <w:rFonts w:asciiTheme="minorHAnsi" w:hAnsiTheme="minorHAnsi" w:cstheme="minorHAnsi"/>
          <w:lang w:eastAsia="cs-CZ"/>
        </w:rPr>
        <w:t xml:space="preserve">realizovat </w:t>
      </w:r>
      <w:r w:rsidR="001274D2">
        <w:rPr>
          <w:rFonts w:asciiTheme="minorHAnsi" w:hAnsiTheme="minorHAnsi" w:cstheme="minorHAnsi"/>
          <w:lang w:eastAsia="cs-CZ"/>
        </w:rPr>
        <w:t xml:space="preserve">opatření v rámci </w:t>
      </w:r>
      <w:r w:rsidR="001274D2" w:rsidRPr="005F4CB6">
        <w:rPr>
          <w:rFonts w:asciiTheme="minorHAnsi" w:hAnsiTheme="minorHAnsi" w:cstheme="minorHAnsi"/>
          <w:i/>
          <w:lang w:eastAsia="cs-CZ"/>
        </w:rPr>
        <w:t>Akčního plánu o budoucnosti automobilového průmyslu v ČR</w:t>
      </w:r>
      <w:r w:rsidR="001274D2">
        <w:rPr>
          <w:rFonts w:asciiTheme="minorHAnsi" w:hAnsiTheme="minorHAnsi" w:cstheme="minorHAnsi"/>
          <w:lang w:eastAsia="cs-CZ"/>
        </w:rPr>
        <w:t xml:space="preserve"> na zavedení osvobození od správního poplatku</w:t>
      </w:r>
      <w:r>
        <w:rPr>
          <w:rFonts w:asciiTheme="minorHAnsi" w:hAnsiTheme="minorHAnsi" w:cstheme="minorHAnsi"/>
          <w:lang w:eastAsia="cs-CZ"/>
        </w:rPr>
        <w:t xml:space="preserve"> ve výši 800 Kč</w:t>
      </w:r>
      <w:r w:rsidR="001274D2">
        <w:rPr>
          <w:rFonts w:asciiTheme="minorHAnsi" w:hAnsiTheme="minorHAnsi" w:cstheme="minorHAnsi"/>
          <w:lang w:eastAsia="cs-CZ"/>
        </w:rPr>
        <w:t xml:space="preserve"> za registraci vozidla pro elektrická vozidla. </w:t>
      </w:r>
      <w:r w:rsidR="00B24EB6">
        <w:rPr>
          <w:rFonts w:asciiTheme="minorHAnsi" w:hAnsiTheme="minorHAnsi" w:cstheme="minorHAnsi"/>
          <w:lang w:eastAsia="cs-CZ"/>
        </w:rPr>
        <w:t>S účinností od 1. </w:t>
      </w:r>
      <w:r w:rsidR="006A1CED">
        <w:rPr>
          <w:rFonts w:asciiTheme="minorHAnsi" w:hAnsiTheme="minorHAnsi" w:cstheme="minorHAnsi"/>
          <w:lang w:eastAsia="cs-CZ"/>
        </w:rPr>
        <w:t>4.</w:t>
      </w:r>
      <w:r w:rsidR="00B24EB6">
        <w:rPr>
          <w:rFonts w:asciiTheme="minorHAnsi" w:hAnsiTheme="minorHAnsi" w:cstheme="minorHAnsi"/>
          <w:lang w:eastAsia="cs-CZ"/>
        </w:rPr>
        <w:t xml:space="preserve"> 2019 jsou od registračního poplatku osvobozeny úkony, pokud je současně přidělena i registrační značka elektrického vozidla</w:t>
      </w:r>
      <w:r>
        <w:rPr>
          <w:rStyle w:val="Znakapoznpodarou"/>
          <w:rFonts w:asciiTheme="minorHAnsi" w:hAnsiTheme="minorHAnsi" w:cstheme="minorHAnsi"/>
          <w:lang w:eastAsia="cs-CZ"/>
        </w:rPr>
        <w:footnoteReference w:id="44"/>
      </w:r>
      <w:r w:rsidR="00B24EB6">
        <w:rPr>
          <w:rFonts w:asciiTheme="minorHAnsi" w:hAnsiTheme="minorHAnsi" w:cstheme="minorHAnsi"/>
          <w:lang w:eastAsia="cs-CZ"/>
        </w:rPr>
        <w:t xml:space="preserve">. Nastavení </w:t>
      </w:r>
      <w:r w:rsidR="00985663">
        <w:rPr>
          <w:rFonts w:asciiTheme="minorHAnsi" w:hAnsiTheme="minorHAnsi" w:cstheme="minorHAnsi"/>
          <w:lang w:eastAsia="cs-CZ"/>
        </w:rPr>
        <w:t xml:space="preserve">registračního </w:t>
      </w:r>
      <w:r w:rsidR="00B24EB6">
        <w:rPr>
          <w:rFonts w:asciiTheme="minorHAnsi" w:hAnsiTheme="minorHAnsi" w:cstheme="minorHAnsi"/>
          <w:lang w:eastAsia="cs-CZ"/>
        </w:rPr>
        <w:t>poplatku</w:t>
      </w:r>
      <w:r w:rsidR="005676AF">
        <w:rPr>
          <w:rFonts w:asciiTheme="minorHAnsi" w:hAnsiTheme="minorHAnsi" w:cstheme="minorHAnsi"/>
          <w:lang w:eastAsia="cs-CZ"/>
        </w:rPr>
        <w:t xml:space="preserve"> (</w:t>
      </w:r>
      <w:r w:rsidR="00B24EB6">
        <w:rPr>
          <w:rFonts w:asciiTheme="minorHAnsi" w:hAnsiTheme="minorHAnsi" w:cstheme="minorHAnsi"/>
          <w:lang w:eastAsia="cs-CZ"/>
        </w:rPr>
        <w:t>vyjma elektromobilů</w:t>
      </w:r>
      <w:r w:rsidR="005676AF">
        <w:rPr>
          <w:rFonts w:asciiTheme="minorHAnsi" w:hAnsiTheme="minorHAnsi" w:cstheme="minorHAnsi"/>
          <w:lang w:eastAsia="cs-CZ"/>
        </w:rPr>
        <w:t>)</w:t>
      </w:r>
      <w:r w:rsidR="00B24EB6">
        <w:rPr>
          <w:rFonts w:asciiTheme="minorHAnsi" w:hAnsiTheme="minorHAnsi" w:cstheme="minorHAnsi"/>
          <w:lang w:eastAsia="cs-CZ"/>
        </w:rPr>
        <w:t xml:space="preserve"> ni</w:t>
      </w:r>
      <w:r w:rsidR="005676AF">
        <w:rPr>
          <w:rFonts w:asciiTheme="minorHAnsi" w:hAnsiTheme="minorHAnsi" w:cstheme="minorHAnsi"/>
          <w:lang w:eastAsia="cs-CZ"/>
        </w:rPr>
        <w:t>kterak</w:t>
      </w:r>
      <w:r w:rsidR="00B24EB6">
        <w:rPr>
          <w:rFonts w:asciiTheme="minorHAnsi" w:hAnsiTheme="minorHAnsi" w:cstheme="minorHAnsi"/>
          <w:lang w:eastAsia="cs-CZ"/>
        </w:rPr>
        <w:t xml:space="preserve"> nezohledňuje ekologické parametry vozidla.</w:t>
      </w:r>
      <w:r w:rsidR="0009644C">
        <w:rPr>
          <w:rFonts w:asciiTheme="minorHAnsi" w:hAnsiTheme="minorHAnsi" w:cstheme="minorHAnsi"/>
          <w:lang w:eastAsia="cs-CZ"/>
        </w:rPr>
        <w:t xml:space="preserve"> V porovnání s pořizovací cenou, resp. zvýšením ceny elektromobilu</w:t>
      </w:r>
      <w:r w:rsidR="004A2A4F">
        <w:rPr>
          <w:rFonts w:asciiTheme="minorHAnsi" w:hAnsiTheme="minorHAnsi" w:cstheme="minorHAnsi"/>
          <w:lang w:eastAsia="cs-CZ"/>
        </w:rPr>
        <w:t>,</w:t>
      </w:r>
      <w:r w:rsidR="004F201A">
        <w:rPr>
          <w:rFonts w:asciiTheme="minorHAnsi" w:hAnsiTheme="minorHAnsi" w:cstheme="minorHAnsi"/>
          <w:lang w:eastAsia="cs-CZ"/>
        </w:rPr>
        <w:t xml:space="preserve"> je</w:t>
      </w:r>
      <w:r w:rsidR="00F0714E">
        <w:rPr>
          <w:rFonts w:asciiTheme="minorHAnsi" w:hAnsiTheme="minorHAnsi" w:cstheme="minorHAnsi"/>
          <w:lang w:eastAsia="cs-CZ"/>
        </w:rPr>
        <w:t xml:space="preserve"> </w:t>
      </w:r>
      <w:r w:rsidR="0009644C">
        <w:rPr>
          <w:rFonts w:asciiTheme="minorHAnsi" w:hAnsiTheme="minorHAnsi" w:cstheme="minorHAnsi"/>
          <w:lang w:eastAsia="cs-CZ"/>
        </w:rPr>
        <w:t>sleva na registračním poplatku zanedbatelná, tudíž neslouží ja</w:t>
      </w:r>
      <w:r w:rsidR="004F201A">
        <w:rPr>
          <w:rFonts w:asciiTheme="minorHAnsi" w:hAnsiTheme="minorHAnsi" w:cstheme="minorHAnsi"/>
          <w:lang w:eastAsia="cs-CZ"/>
        </w:rPr>
        <w:t>ko motivační prvek pro</w:t>
      </w:r>
      <w:r w:rsidR="00F0714E">
        <w:rPr>
          <w:rFonts w:asciiTheme="minorHAnsi" w:hAnsiTheme="minorHAnsi" w:cstheme="minorHAnsi"/>
          <w:lang w:eastAsia="cs-CZ"/>
        </w:rPr>
        <w:t xml:space="preserve"> </w:t>
      </w:r>
      <w:r w:rsidR="0009644C">
        <w:rPr>
          <w:rFonts w:asciiTheme="minorHAnsi" w:hAnsiTheme="minorHAnsi" w:cstheme="minorHAnsi"/>
          <w:lang w:eastAsia="cs-CZ"/>
        </w:rPr>
        <w:t xml:space="preserve">pořízení vozidla. </w:t>
      </w:r>
    </w:p>
    <w:p w14:paraId="3E3F19F8" w14:textId="77777777" w:rsidR="00B24EB6" w:rsidRPr="00E24880" w:rsidRDefault="00237396" w:rsidP="009C76A3">
      <w:pPr>
        <w:pStyle w:val="11rove"/>
        <w:numPr>
          <w:ilvl w:val="0"/>
          <w:numId w:val="0"/>
        </w:numPr>
        <w:spacing w:before="120" w:after="120"/>
      </w:pPr>
      <w:bookmarkStart w:id="20" w:name="_Toc16595001"/>
      <w:bookmarkStart w:id="21" w:name="_Ref16678934"/>
      <w:r>
        <w:t>3.2</w:t>
      </w:r>
      <w:r w:rsidR="0051469A">
        <w:t xml:space="preserve"> </w:t>
      </w:r>
      <w:bookmarkEnd w:id="20"/>
      <w:bookmarkEnd w:id="21"/>
      <w:r w:rsidR="00F4147D">
        <w:t>Poplatky za užívání pozemních komunikací</w:t>
      </w:r>
    </w:p>
    <w:p w14:paraId="15D42766" w14:textId="6853D3E6" w:rsidR="00741278" w:rsidRDefault="0051469A" w:rsidP="009C76A3">
      <w:pPr>
        <w:autoSpaceDE w:val="0"/>
        <w:autoSpaceDN w:val="0"/>
        <w:adjustRightInd w:val="0"/>
        <w:spacing w:before="120"/>
        <w:rPr>
          <w:rFonts w:asciiTheme="minorHAnsi" w:hAnsiTheme="minorHAnsi" w:cstheme="minorHAnsi"/>
        </w:rPr>
      </w:pPr>
      <w:r>
        <w:rPr>
          <w:rFonts w:asciiTheme="minorHAnsi" w:hAnsiTheme="minorHAnsi" w:cstheme="minorHAnsi"/>
        </w:rPr>
        <w:t>Z</w:t>
      </w:r>
      <w:r w:rsidR="00A42716">
        <w:rPr>
          <w:rFonts w:asciiTheme="minorHAnsi" w:hAnsiTheme="minorHAnsi" w:cstheme="minorHAnsi"/>
        </w:rPr>
        <w:t xml:space="preserve"> evropské</w:t>
      </w:r>
      <w:r>
        <w:rPr>
          <w:rFonts w:asciiTheme="minorHAnsi" w:hAnsiTheme="minorHAnsi" w:cstheme="minorHAnsi"/>
        </w:rPr>
        <w:t xml:space="preserve"> směrnice </w:t>
      </w:r>
      <w:r w:rsidRPr="00DF68C5">
        <w:rPr>
          <w:rFonts w:asciiTheme="minorHAnsi" w:hAnsiTheme="minorHAnsi" w:cstheme="minorHAnsi"/>
        </w:rPr>
        <w:t>č. 2006/38/ES</w:t>
      </w:r>
      <w:r w:rsidR="003D2ACC">
        <w:rPr>
          <w:rFonts w:asciiTheme="minorHAnsi" w:hAnsiTheme="minorHAnsi" w:cstheme="minorHAnsi"/>
        </w:rPr>
        <w:t>, kterou se mění směrnice 1999/62/ES o výběru poplatků za užívání určitých pozemních komunikací těžkými nákladními vozidly</w:t>
      </w:r>
      <w:r w:rsidR="004F25F2">
        <w:rPr>
          <w:rFonts w:asciiTheme="minorHAnsi" w:hAnsiTheme="minorHAnsi" w:cstheme="minorHAnsi"/>
        </w:rPr>
        <w:t>,</w:t>
      </w:r>
      <w:r>
        <w:rPr>
          <w:rFonts w:asciiTheme="minorHAnsi" w:hAnsiTheme="minorHAnsi" w:cstheme="minorHAnsi"/>
        </w:rPr>
        <w:t xml:space="preserve"> vyplývá, ž</w:t>
      </w:r>
      <w:r w:rsidR="004F201A">
        <w:rPr>
          <w:rFonts w:asciiTheme="minorHAnsi" w:hAnsiTheme="minorHAnsi" w:cstheme="minorHAnsi"/>
        </w:rPr>
        <w:t>e poplatky za</w:t>
      </w:r>
      <w:r w:rsidR="00F0714E">
        <w:rPr>
          <w:rFonts w:asciiTheme="minorHAnsi" w:hAnsiTheme="minorHAnsi" w:cstheme="minorHAnsi"/>
        </w:rPr>
        <w:t xml:space="preserve"> </w:t>
      </w:r>
      <w:r>
        <w:rPr>
          <w:rFonts w:asciiTheme="minorHAnsi" w:hAnsiTheme="minorHAnsi" w:cstheme="minorHAnsi"/>
        </w:rPr>
        <w:t xml:space="preserve">užívání </w:t>
      </w:r>
      <w:r w:rsidR="007C64DA">
        <w:rPr>
          <w:rFonts w:asciiTheme="minorHAnsi" w:hAnsiTheme="minorHAnsi" w:cstheme="minorHAnsi"/>
        </w:rPr>
        <w:t xml:space="preserve">vybraných úseků </w:t>
      </w:r>
      <w:r>
        <w:rPr>
          <w:rFonts w:asciiTheme="minorHAnsi" w:hAnsiTheme="minorHAnsi" w:cstheme="minorHAnsi"/>
        </w:rPr>
        <w:t>pozemních komunikací jsou významným nástrojem k zajištění udržitelné dopravy</w:t>
      </w:r>
      <w:r w:rsidRPr="004466FF">
        <w:rPr>
          <w:rFonts w:asciiTheme="minorHAnsi" w:hAnsiTheme="minorHAnsi" w:cstheme="minorHAnsi"/>
        </w:rPr>
        <w:t xml:space="preserve"> </w:t>
      </w:r>
      <w:r>
        <w:rPr>
          <w:rFonts w:asciiTheme="minorHAnsi" w:hAnsiTheme="minorHAnsi" w:cstheme="minorHAnsi"/>
        </w:rPr>
        <w:t>fungující na zásadě „uživatel platí“</w:t>
      </w:r>
      <w:r w:rsidRPr="004466FF">
        <w:rPr>
          <w:rFonts w:asciiTheme="minorHAnsi" w:hAnsiTheme="minorHAnsi" w:cstheme="minorHAnsi"/>
        </w:rPr>
        <w:t xml:space="preserve"> </w:t>
      </w:r>
      <w:r>
        <w:rPr>
          <w:rFonts w:asciiTheme="minorHAnsi" w:hAnsiTheme="minorHAnsi" w:cstheme="minorHAnsi"/>
        </w:rPr>
        <w:t xml:space="preserve">a zásadě „znečišťovatel platí“, </w:t>
      </w:r>
      <w:r w:rsidRPr="004466FF">
        <w:rPr>
          <w:rFonts w:asciiTheme="minorHAnsi" w:hAnsiTheme="minorHAnsi" w:cstheme="minorHAnsi"/>
        </w:rPr>
        <w:t xml:space="preserve">kterou se jednotlivé </w:t>
      </w:r>
      <w:r>
        <w:rPr>
          <w:rFonts w:asciiTheme="minorHAnsi" w:hAnsiTheme="minorHAnsi" w:cstheme="minorHAnsi"/>
        </w:rPr>
        <w:t>členské státy</w:t>
      </w:r>
      <w:r w:rsidR="003D2ACC">
        <w:rPr>
          <w:rFonts w:asciiTheme="minorHAnsi" w:hAnsiTheme="minorHAnsi" w:cstheme="minorHAnsi"/>
        </w:rPr>
        <w:t xml:space="preserve"> mají snažit zavést a </w:t>
      </w:r>
      <w:r w:rsidRPr="004466FF">
        <w:rPr>
          <w:rFonts w:asciiTheme="minorHAnsi" w:hAnsiTheme="minorHAnsi" w:cstheme="minorHAnsi"/>
        </w:rPr>
        <w:t>uplatňovat</w:t>
      </w:r>
      <w:r>
        <w:rPr>
          <w:rFonts w:asciiTheme="minorHAnsi" w:hAnsiTheme="minorHAnsi" w:cstheme="minorHAnsi"/>
        </w:rPr>
        <w:t xml:space="preserve">. </w:t>
      </w:r>
    </w:p>
    <w:p w14:paraId="06F8218A" w14:textId="77777777" w:rsidR="00A84FAD" w:rsidRPr="009C76A3" w:rsidRDefault="0051469A" w:rsidP="009C76A3">
      <w:pPr>
        <w:autoSpaceDE w:val="0"/>
        <w:autoSpaceDN w:val="0"/>
        <w:adjustRightInd w:val="0"/>
        <w:spacing w:before="120"/>
        <w:rPr>
          <w:rFonts w:asciiTheme="minorHAnsi" w:hAnsiTheme="minorHAnsi" w:cstheme="minorHAnsi"/>
          <w:b/>
        </w:rPr>
      </w:pPr>
      <w:r w:rsidRPr="009C76A3">
        <w:rPr>
          <w:rFonts w:asciiTheme="minorHAnsi" w:hAnsiTheme="minorHAnsi" w:cstheme="minorHAnsi"/>
          <w:b/>
        </w:rPr>
        <w:t>Časový poplatek</w:t>
      </w:r>
    </w:p>
    <w:p w14:paraId="782B686C" w14:textId="5F74BBFC" w:rsidR="00A84FAD" w:rsidRDefault="0051469A" w:rsidP="009C76A3">
      <w:pPr>
        <w:autoSpaceDE w:val="0"/>
        <w:autoSpaceDN w:val="0"/>
        <w:adjustRightInd w:val="0"/>
        <w:spacing w:before="120"/>
        <w:rPr>
          <w:rFonts w:asciiTheme="minorHAnsi" w:hAnsiTheme="minorHAnsi" w:cstheme="minorHAnsi"/>
        </w:rPr>
      </w:pPr>
      <w:r w:rsidRPr="00B96924">
        <w:rPr>
          <w:rFonts w:asciiTheme="minorHAnsi" w:hAnsiTheme="minorHAnsi" w:cstheme="minorHAnsi"/>
        </w:rPr>
        <w:t xml:space="preserve">Vozidla do 3,5 tuny podléhají placení </w:t>
      </w:r>
      <w:r>
        <w:rPr>
          <w:rFonts w:asciiTheme="minorHAnsi" w:hAnsiTheme="minorHAnsi" w:cstheme="minorHAnsi"/>
        </w:rPr>
        <w:t>časového poplatku ve výši 1 500 Kč/rok</w:t>
      </w:r>
      <w:r w:rsidRPr="00B96924">
        <w:rPr>
          <w:rFonts w:asciiTheme="minorHAnsi" w:hAnsiTheme="minorHAnsi" w:cstheme="minorHAnsi"/>
        </w:rPr>
        <w:t xml:space="preserve">. V době kontroly NKÚ byl v legislativním procesu </w:t>
      </w:r>
      <w:r w:rsidR="004A2A4F">
        <w:rPr>
          <w:rFonts w:asciiTheme="minorHAnsi" w:hAnsiTheme="minorHAnsi" w:cstheme="minorHAnsi"/>
        </w:rPr>
        <w:t xml:space="preserve">v ČR </w:t>
      </w:r>
      <w:r w:rsidRPr="00B96924">
        <w:rPr>
          <w:rFonts w:asciiTheme="minorHAnsi" w:hAnsiTheme="minorHAnsi" w:cstheme="minorHAnsi"/>
        </w:rPr>
        <w:t>návrh</w:t>
      </w:r>
      <w:r>
        <w:rPr>
          <w:rStyle w:val="Znakapoznpodarou"/>
          <w:rFonts w:asciiTheme="minorHAnsi" w:hAnsiTheme="minorHAnsi" w:cstheme="minorHAnsi"/>
        </w:rPr>
        <w:footnoteReference w:id="45"/>
      </w:r>
      <w:r w:rsidRPr="00B96924">
        <w:rPr>
          <w:rFonts w:asciiTheme="minorHAnsi" w:hAnsiTheme="minorHAnsi" w:cstheme="minorHAnsi"/>
        </w:rPr>
        <w:t xml:space="preserve"> na osvobození od časového poplatku pro </w:t>
      </w:r>
      <w:r>
        <w:rPr>
          <w:rFonts w:asciiTheme="minorHAnsi" w:hAnsiTheme="minorHAnsi" w:cstheme="minorHAnsi"/>
        </w:rPr>
        <w:t>vozidla využívající jako palivo elektrickou energii a vodík</w:t>
      </w:r>
      <w:r w:rsidR="004A2A4F">
        <w:rPr>
          <w:rFonts w:asciiTheme="minorHAnsi" w:hAnsiTheme="minorHAnsi" w:cstheme="minorHAnsi"/>
        </w:rPr>
        <w:t>,</w:t>
      </w:r>
      <w:r>
        <w:rPr>
          <w:rFonts w:asciiTheme="minorHAnsi" w:hAnsiTheme="minorHAnsi" w:cstheme="minorHAnsi"/>
        </w:rPr>
        <w:t xml:space="preserve"> a to buď výlučně</w:t>
      </w:r>
      <w:r w:rsidR="00C969B5">
        <w:rPr>
          <w:rFonts w:asciiTheme="minorHAnsi" w:hAnsiTheme="minorHAnsi" w:cstheme="minorHAnsi"/>
        </w:rPr>
        <w:t>,</w:t>
      </w:r>
      <w:r>
        <w:rPr>
          <w:rFonts w:asciiTheme="minorHAnsi" w:hAnsiTheme="minorHAnsi" w:cstheme="minorHAnsi"/>
        </w:rPr>
        <w:t xml:space="preserve"> nebo v kombinaci s jiným palivem, pokud hodnota CO</w:t>
      </w:r>
      <w:r w:rsidRPr="00B96924">
        <w:rPr>
          <w:rFonts w:asciiTheme="minorHAnsi" w:hAnsiTheme="minorHAnsi" w:cstheme="minorHAnsi"/>
          <w:vertAlign w:val="subscript"/>
        </w:rPr>
        <w:t>2</w:t>
      </w:r>
      <w:r>
        <w:rPr>
          <w:rFonts w:asciiTheme="minorHAnsi" w:hAnsiTheme="minorHAnsi" w:cstheme="minorHAnsi"/>
        </w:rPr>
        <w:t xml:space="preserve"> v kombinovaném provozu nepřekročí 50 g/km. Dále bylo </w:t>
      </w:r>
      <w:r>
        <w:rPr>
          <w:rFonts w:asciiTheme="minorHAnsi" w:hAnsiTheme="minorHAnsi" w:cstheme="minorHAnsi"/>
        </w:rPr>
        <w:lastRenderedPageBreak/>
        <w:t>navrženo</w:t>
      </w:r>
      <w:r w:rsidRPr="00B96924">
        <w:rPr>
          <w:rFonts w:asciiTheme="minorHAnsi" w:hAnsiTheme="minorHAnsi" w:cstheme="minorHAnsi"/>
        </w:rPr>
        <w:t xml:space="preserve"> snížení </w:t>
      </w:r>
      <w:r>
        <w:rPr>
          <w:rFonts w:asciiTheme="minorHAnsi" w:hAnsiTheme="minorHAnsi" w:cstheme="minorHAnsi"/>
        </w:rPr>
        <w:t xml:space="preserve">časového </w:t>
      </w:r>
      <w:r w:rsidRPr="00B96924">
        <w:rPr>
          <w:rFonts w:asciiTheme="minorHAnsi" w:hAnsiTheme="minorHAnsi" w:cstheme="minorHAnsi"/>
        </w:rPr>
        <w:t xml:space="preserve">poplatku pro vozidla </w:t>
      </w:r>
      <w:r>
        <w:rPr>
          <w:rFonts w:asciiTheme="minorHAnsi" w:hAnsiTheme="minorHAnsi" w:cstheme="minorHAnsi"/>
        </w:rPr>
        <w:t>poháněná zemním plynem nebo biometanem na částku ve výši 1 000 Kč/rok</w:t>
      </w:r>
      <w:r w:rsidRPr="00B96924">
        <w:rPr>
          <w:rFonts w:asciiTheme="minorHAnsi" w:hAnsiTheme="minorHAnsi" w:cstheme="minorHAnsi"/>
        </w:rPr>
        <w:t>.</w:t>
      </w:r>
      <w:r>
        <w:rPr>
          <w:rFonts w:asciiTheme="minorHAnsi" w:hAnsiTheme="minorHAnsi" w:cstheme="minorHAnsi"/>
        </w:rPr>
        <w:t xml:space="preserve"> </w:t>
      </w:r>
      <w:r w:rsidR="00121FA2">
        <w:rPr>
          <w:rFonts w:asciiTheme="minorHAnsi" w:hAnsiTheme="minorHAnsi" w:cstheme="minorHAnsi"/>
        </w:rPr>
        <w:t>V</w:t>
      </w:r>
      <w:r w:rsidR="000B35B3">
        <w:rPr>
          <w:rFonts w:asciiTheme="minorHAnsi" w:hAnsiTheme="minorHAnsi" w:cstheme="minorHAnsi"/>
        </w:rPr>
        <w:t> případě osvobození od časového poplatku pro elektrovozidla je sleva 1 500 Kč za rok ve vztahu k pořizovací ceně vozi</w:t>
      </w:r>
      <w:r w:rsidR="004F201A">
        <w:rPr>
          <w:rFonts w:asciiTheme="minorHAnsi" w:hAnsiTheme="minorHAnsi" w:cstheme="minorHAnsi"/>
        </w:rPr>
        <w:t>dla zanedbatelná a s ohledem na</w:t>
      </w:r>
      <w:r w:rsidR="00F0714E">
        <w:rPr>
          <w:rFonts w:asciiTheme="minorHAnsi" w:hAnsiTheme="minorHAnsi" w:cstheme="minorHAnsi"/>
        </w:rPr>
        <w:t xml:space="preserve"> </w:t>
      </w:r>
      <w:r w:rsidR="000B35B3">
        <w:rPr>
          <w:rFonts w:asciiTheme="minorHAnsi" w:hAnsiTheme="minorHAnsi" w:cstheme="minorHAnsi"/>
        </w:rPr>
        <w:t>nedostatečnou další podporu pro nepodnikatele nelze očekávat, že přispěje ke zvýšení podílu těchto vozidel na celkovém vozovém parku v</w:t>
      </w:r>
      <w:r w:rsidR="00121FA2">
        <w:rPr>
          <w:rFonts w:asciiTheme="minorHAnsi" w:hAnsiTheme="minorHAnsi" w:cstheme="minorHAnsi"/>
        </w:rPr>
        <w:t> </w:t>
      </w:r>
      <w:r w:rsidR="000B35B3">
        <w:rPr>
          <w:rFonts w:asciiTheme="minorHAnsi" w:hAnsiTheme="minorHAnsi" w:cstheme="minorHAnsi"/>
        </w:rPr>
        <w:t>ČR</w:t>
      </w:r>
      <w:r w:rsidR="00121FA2">
        <w:rPr>
          <w:rFonts w:asciiTheme="minorHAnsi" w:hAnsiTheme="minorHAnsi" w:cstheme="minorHAnsi"/>
        </w:rPr>
        <w:t>. Naopak v případě podnikatelů je osvobození od časového poplatku nadbytečné, protože pro podnikatele je již poskytována dostatečná podpora jinou formou</w:t>
      </w:r>
      <w:r w:rsidR="000B35B3">
        <w:rPr>
          <w:rFonts w:asciiTheme="minorHAnsi" w:hAnsiTheme="minorHAnsi" w:cstheme="minorHAnsi"/>
        </w:rPr>
        <w:t xml:space="preserve">.  </w:t>
      </w:r>
    </w:p>
    <w:p w14:paraId="3451E767" w14:textId="77777777" w:rsidR="00741278" w:rsidRPr="009C76A3" w:rsidRDefault="0051469A" w:rsidP="009C76A3">
      <w:pPr>
        <w:keepNext/>
        <w:autoSpaceDE w:val="0"/>
        <w:autoSpaceDN w:val="0"/>
        <w:adjustRightInd w:val="0"/>
        <w:spacing w:before="120"/>
        <w:rPr>
          <w:rFonts w:asciiTheme="minorHAnsi" w:hAnsiTheme="minorHAnsi" w:cstheme="minorHAnsi"/>
          <w:b/>
        </w:rPr>
      </w:pPr>
      <w:r w:rsidRPr="009C76A3">
        <w:rPr>
          <w:rFonts w:asciiTheme="minorHAnsi" w:hAnsiTheme="minorHAnsi" w:cstheme="minorHAnsi"/>
          <w:b/>
        </w:rPr>
        <w:t xml:space="preserve">Mýtné </w:t>
      </w:r>
    </w:p>
    <w:p w14:paraId="4527311C" w14:textId="1C5C9634" w:rsidR="00C34FB2" w:rsidRDefault="0051469A" w:rsidP="009C76A3">
      <w:pPr>
        <w:autoSpaceDE w:val="0"/>
        <w:autoSpaceDN w:val="0"/>
        <w:adjustRightInd w:val="0"/>
        <w:spacing w:before="120"/>
        <w:rPr>
          <w:rFonts w:asciiTheme="minorHAnsi" w:hAnsiTheme="minorHAnsi" w:cstheme="minorHAnsi"/>
        </w:rPr>
      </w:pPr>
      <w:r>
        <w:rPr>
          <w:rFonts w:asciiTheme="minorHAnsi" w:hAnsiTheme="minorHAnsi" w:cstheme="minorHAnsi"/>
        </w:rPr>
        <w:t>V ČR u</w:t>
      </w:r>
      <w:r w:rsidRPr="00742FC8">
        <w:rPr>
          <w:rFonts w:asciiTheme="minorHAnsi" w:hAnsiTheme="minorHAnsi" w:cstheme="minorHAnsi"/>
        </w:rPr>
        <w:t>žití zpoplatněné pozemní komunikace silniční</w:t>
      </w:r>
      <w:r w:rsidR="004F201A">
        <w:rPr>
          <w:rFonts w:asciiTheme="minorHAnsi" w:hAnsiTheme="minorHAnsi" w:cstheme="minorHAnsi"/>
        </w:rPr>
        <w:t>m motorovým vozidlem nejméně se</w:t>
      </w:r>
      <w:r w:rsidR="00F0714E">
        <w:rPr>
          <w:rFonts w:asciiTheme="minorHAnsi" w:hAnsiTheme="minorHAnsi" w:cstheme="minorHAnsi"/>
        </w:rPr>
        <w:t xml:space="preserve"> </w:t>
      </w:r>
      <w:r w:rsidRPr="00742FC8">
        <w:rPr>
          <w:rFonts w:asciiTheme="minorHAnsi" w:hAnsiTheme="minorHAnsi" w:cstheme="minorHAnsi"/>
        </w:rPr>
        <w:t>čtyřmi koly, jehož největší povolená hmotnost činí více než 3,5 tuny, podléhá úhradě mýtného.</w:t>
      </w:r>
      <w:r>
        <w:rPr>
          <w:rFonts w:asciiTheme="minorHAnsi" w:hAnsiTheme="minorHAnsi" w:cstheme="minorHAnsi"/>
        </w:rPr>
        <w:t xml:space="preserve"> </w:t>
      </w:r>
      <w:r w:rsidR="007C64DA">
        <w:rPr>
          <w:rFonts w:asciiTheme="minorHAnsi" w:hAnsiTheme="minorHAnsi" w:cstheme="minorHAnsi"/>
        </w:rPr>
        <w:t>Mýtnému podléhají vybrané úseky silnic 1</w:t>
      </w:r>
      <w:r w:rsidR="004A2A4F">
        <w:rPr>
          <w:rFonts w:asciiTheme="minorHAnsi" w:hAnsiTheme="minorHAnsi" w:cstheme="minorHAnsi"/>
        </w:rPr>
        <w:t>.</w:t>
      </w:r>
      <w:r w:rsidR="007C64DA">
        <w:rPr>
          <w:rFonts w:asciiTheme="minorHAnsi" w:hAnsiTheme="minorHAnsi" w:cstheme="minorHAnsi"/>
        </w:rPr>
        <w:t xml:space="preserve"> třídy a dálnic, přičemž se jedná o vozovky využ</w:t>
      </w:r>
      <w:r w:rsidR="003C219A">
        <w:rPr>
          <w:rFonts w:asciiTheme="minorHAnsi" w:hAnsiTheme="minorHAnsi" w:cstheme="minorHAnsi"/>
        </w:rPr>
        <w:t xml:space="preserve">ívané pro mezinárodní tranzit. </w:t>
      </w:r>
    </w:p>
    <w:p w14:paraId="0B93DF15" w14:textId="26FB12B2" w:rsidR="00F26919" w:rsidRDefault="0051469A" w:rsidP="009C76A3">
      <w:pPr>
        <w:autoSpaceDE w:val="0"/>
        <w:autoSpaceDN w:val="0"/>
        <w:adjustRightInd w:val="0"/>
        <w:spacing w:before="120"/>
        <w:rPr>
          <w:rFonts w:asciiTheme="minorHAnsi" w:hAnsiTheme="minorHAnsi" w:cstheme="minorHAnsi"/>
        </w:rPr>
      </w:pPr>
      <w:r>
        <w:rPr>
          <w:rFonts w:asciiTheme="minorHAnsi" w:hAnsiTheme="minorHAnsi" w:cstheme="minorHAnsi"/>
        </w:rPr>
        <w:t>NKÚ porovnal vybrané ukazatele mýtné</w:t>
      </w:r>
      <w:r w:rsidR="000B35B3">
        <w:rPr>
          <w:rFonts w:asciiTheme="minorHAnsi" w:hAnsiTheme="minorHAnsi" w:cstheme="minorHAnsi"/>
        </w:rPr>
        <w:t>ho systému se sousedními státy (</w:t>
      </w:r>
      <w:r>
        <w:rPr>
          <w:rFonts w:asciiTheme="minorHAnsi" w:hAnsiTheme="minorHAnsi" w:cstheme="minorHAnsi"/>
        </w:rPr>
        <w:t>viz tabulka č</w:t>
      </w:r>
      <w:r w:rsidRPr="00237396">
        <w:rPr>
          <w:rFonts w:asciiTheme="minorHAnsi" w:hAnsiTheme="minorHAnsi" w:cstheme="minorHAnsi"/>
        </w:rPr>
        <w:t>. 2</w:t>
      </w:r>
      <w:r w:rsidR="004A2A4F" w:rsidRPr="00237396">
        <w:rPr>
          <w:rFonts w:asciiTheme="minorHAnsi" w:hAnsiTheme="minorHAnsi" w:cstheme="minorHAnsi"/>
        </w:rPr>
        <w:t>1</w:t>
      </w:r>
      <w:r w:rsidR="000B35B3" w:rsidRPr="00237396">
        <w:rPr>
          <w:rFonts w:asciiTheme="minorHAnsi" w:hAnsiTheme="minorHAnsi" w:cstheme="minorHAnsi"/>
        </w:rPr>
        <w:t>)</w:t>
      </w:r>
      <w:r w:rsidR="001B1E73">
        <w:rPr>
          <w:rFonts w:asciiTheme="minorHAnsi" w:hAnsiTheme="minorHAnsi" w:cstheme="minorHAnsi"/>
        </w:rPr>
        <w:t xml:space="preserve"> a </w:t>
      </w:r>
      <w:r>
        <w:rPr>
          <w:rFonts w:asciiTheme="minorHAnsi" w:hAnsiTheme="minorHAnsi" w:cstheme="minorHAnsi"/>
        </w:rPr>
        <w:t xml:space="preserve">zjistil, že výnos z mýtného na jeden </w:t>
      </w:r>
      <w:r w:rsidR="00F0714E">
        <w:rPr>
          <w:rFonts w:asciiTheme="minorHAnsi" w:hAnsiTheme="minorHAnsi" w:cstheme="minorHAnsi"/>
        </w:rPr>
        <w:t>kilometr</w:t>
      </w:r>
      <w:r>
        <w:rPr>
          <w:rFonts w:asciiTheme="minorHAnsi" w:hAnsiTheme="minorHAnsi" w:cstheme="minorHAnsi"/>
        </w:rPr>
        <w:t xml:space="preserve"> zpoplatněného úseku je v ČR nejnižší. </w:t>
      </w:r>
    </w:p>
    <w:p w14:paraId="42E1EF49" w14:textId="24DEB41E" w:rsidR="00F26919" w:rsidRDefault="0050226B" w:rsidP="0050226B">
      <w:pPr>
        <w:pStyle w:val="Tabulka"/>
        <w:numPr>
          <w:ilvl w:val="0"/>
          <w:numId w:val="0"/>
        </w:numPr>
      </w:pPr>
      <w:r>
        <w:t xml:space="preserve">Tabulka č. </w:t>
      </w:r>
      <w:r w:rsidR="00D12722">
        <w:t>21</w:t>
      </w:r>
      <w:r>
        <w:t>:</w:t>
      </w:r>
      <w:r w:rsidR="0051469A">
        <w:t xml:space="preserve"> Výnosy mýtného v ČR a sousedních státech na 1 km</w:t>
      </w:r>
      <w:r w:rsidR="00BD6E98">
        <w:t xml:space="preserve"> </w:t>
      </w:r>
      <w:r w:rsidR="006A1CED">
        <w:t>v roce 2018</w:t>
      </w:r>
      <w:r w:rsidR="004A2A4F">
        <w:t xml:space="preserve"> (</w:t>
      </w:r>
      <w:r w:rsidR="00BD6E98">
        <w:t>v mil</w:t>
      </w:r>
      <w:r w:rsidR="004A2A4F">
        <w:t>.</w:t>
      </w:r>
      <w:r w:rsidR="00BD6E98">
        <w:t xml:space="preserve"> Kč</w:t>
      </w:r>
      <w:r w:rsidR="004A2A4F">
        <w:t>)</w:t>
      </w:r>
    </w:p>
    <w:tbl>
      <w:tblPr>
        <w:tblStyle w:val="Mkatabulky"/>
        <w:tblW w:w="9061" w:type="dxa"/>
        <w:tblLook w:val="04A0" w:firstRow="1" w:lastRow="0" w:firstColumn="1" w:lastColumn="0" w:noHBand="0" w:noVBand="1"/>
      </w:tblPr>
      <w:tblGrid>
        <w:gridCol w:w="1555"/>
        <w:gridCol w:w="1559"/>
        <w:gridCol w:w="1984"/>
        <w:gridCol w:w="1985"/>
        <w:gridCol w:w="1978"/>
      </w:tblGrid>
      <w:tr w:rsidR="00121435" w:rsidRPr="0087302D" w14:paraId="2CCAEEA1" w14:textId="77777777" w:rsidTr="004A2A4F">
        <w:tc>
          <w:tcPr>
            <w:tcW w:w="1555" w:type="dxa"/>
            <w:shd w:val="clear" w:color="auto" w:fill="E5F1FF"/>
            <w:vAlign w:val="center"/>
          </w:tcPr>
          <w:p w14:paraId="70A5A85F" w14:textId="29F684CD" w:rsidR="00F26919" w:rsidRPr="00B66B4D" w:rsidRDefault="0051469A" w:rsidP="00653C55">
            <w:pPr>
              <w:spacing w:after="0"/>
              <w:jc w:val="center"/>
              <w:rPr>
                <w:b/>
                <w:sz w:val="20"/>
                <w:szCs w:val="20"/>
              </w:rPr>
            </w:pPr>
            <w:r w:rsidRPr="00B66B4D">
              <w:rPr>
                <w:b/>
                <w:sz w:val="20"/>
                <w:szCs w:val="20"/>
              </w:rPr>
              <w:t>ČR</w:t>
            </w:r>
          </w:p>
        </w:tc>
        <w:tc>
          <w:tcPr>
            <w:tcW w:w="1559" w:type="dxa"/>
            <w:shd w:val="clear" w:color="auto" w:fill="E5F1FF"/>
            <w:vAlign w:val="center"/>
          </w:tcPr>
          <w:p w14:paraId="1E393116" w14:textId="72DCD571" w:rsidR="00F26919" w:rsidRPr="00B66B4D" w:rsidRDefault="0051469A" w:rsidP="00653C55">
            <w:pPr>
              <w:spacing w:after="0"/>
              <w:jc w:val="center"/>
              <w:rPr>
                <w:b/>
                <w:sz w:val="20"/>
                <w:szCs w:val="20"/>
              </w:rPr>
            </w:pPr>
            <w:r w:rsidRPr="00B66B4D">
              <w:rPr>
                <w:b/>
                <w:sz w:val="20"/>
                <w:szCs w:val="20"/>
              </w:rPr>
              <w:t>Polsko</w:t>
            </w:r>
          </w:p>
        </w:tc>
        <w:tc>
          <w:tcPr>
            <w:tcW w:w="1984" w:type="dxa"/>
            <w:shd w:val="clear" w:color="auto" w:fill="E5F1FF"/>
            <w:vAlign w:val="center"/>
          </w:tcPr>
          <w:p w14:paraId="131CD41D" w14:textId="48EB1160" w:rsidR="00F26919" w:rsidRPr="00B66B4D" w:rsidRDefault="0051469A" w:rsidP="00653C55">
            <w:pPr>
              <w:spacing w:after="0"/>
              <w:jc w:val="center"/>
              <w:rPr>
                <w:b/>
                <w:sz w:val="20"/>
                <w:szCs w:val="20"/>
              </w:rPr>
            </w:pPr>
            <w:r w:rsidRPr="00B66B4D">
              <w:rPr>
                <w:b/>
                <w:sz w:val="20"/>
                <w:szCs w:val="20"/>
              </w:rPr>
              <w:t>Slovensko</w:t>
            </w:r>
          </w:p>
        </w:tc>
        <w:tc>
          <w:tcPr>
            <w:tcW w:w="1985" w:type="dxa"/>
            <w:shd w:val="clear" w:color="auto" w:fill="E5F1FF"/>
            <w:vAlign w:val="center"/>
          </w:tcPr>
          <w:p w14:paraId="54021C13" w14:textId="75973B35" w:rsidR="00F26919" w:rsidRPr="00B66B4D" w:rsidRDefault="0051469A" w:rsidP="00653C55">
            <w:pPr>
              <w:spacing w:after="0"/>
              <w:jc w:val="center"/>
              <w:rPr>
                <w:b/>
                <w:sz w:val="20"/>
                <w:szCs w:val="20"/>
              </w:rPr>
            </w:pPr>
            <w:r w:rsidRPr="00B66B4D">
              <w:rPr>
                <w:b/>
                <w:sz w:val="20"/>
                <w:szCs w:val="20"/>
              </w:rPr>
              <w:t>Rakousko</w:t>
            </w:r>
          </w:p>
        </w:tc>
        <w:tc>
          <w:tcPr>
            <w:tcW w:w="1978" w:type="dxa"/>
            <w:shd w:val="clear" w:color="auto" w:fill="E5F1FF"/>
            <w:vAlign w:val="center"/>
          </w:tcPr>
          <w:p w14:paraId="6FFBDFF0" w14:textId="2C127BB9" w:rsidR="00F26919" w:rsidRPr="00B66B4D" w:rsidRDefault="0051469A" w:rsidP="00653C55">
            <w:pPr>
              <w:spacing w:after="0"/>
              <w:jc w:val="center"/>
              <w:rPr>
                <w:b/>
                <w:sz w:val="20"/>
                <w:szCs w:val="20"/>
              </w:rPr>
            </w:pPr>
            <w:r w:rsidRPr="00B66B4D">
              <w:rPr>
                <w:b/>
                <w:sz w:val="20"/>
                <w:szCs w:val="20"/>
              </w:rPr>
              <w:t>Německo</w:t>
            </w:r>
          </w:p>
        </w:tc>
      </w:tr>
      <w:tr w:rsidR="00D12722" w:rsidRPr="0087302D" w14:paraId="75333E78" w14:textId="77777777" w:rsidTr="00D12722">
        <w:tc>
          <w:tcPr>
            <w:tcW w:w="1555" w:type="dxa"/>
            <w:shd w:val="clear" w:color="auto" w:fill="auto"/>
            <w:vAlign w:val="center"/>
          </w:tcPr>
          <w:p w14:paraId="00315475" w14:textId="48A54848" w:rsidR="00D12722" w:rsidRPr="00F0714E" w:rsidRDefault="00F0714E" w:rsidP="00D12722">
            <w:pPr>
              <w:spacing w:after="0"/>
              <w:ind w:right="460"/>
              <w:jc w:val="right"/>
              <w:rPr>
                <w:sz w:val="20"/>
                <w:szCs w:val="20"/>
              </w:rPr>
            </w:pPr>
            <w:r w:rsidRPr="00F0714E">
              <w:rPr>
                <w:sz w:val="20"/>
                <w:szCs w:val="20"/>
              </w:rPr>
              <w:t>0,27</w:t>
            </w:r>
          </w:p>
        </w:tc>
        <w:tc>
          <w:tcPr>
            <w:tcW w:w="1559" w:type="dxa"/>
            <w:shd w:val="clear" w:color="auto" w:fill="auto"/>
            <w:vAlign w:val="center"/>
          </w:tcPr>
          <w:p w14:paraId="7F81C84B" w14:textId="4C602B6F" w:rsidR="00D12722" w:rsidRPr="00F0714E" w:rsidRDefault="00F0714E" w:rsidP="00D12722">
            <w:pPr>
              <w:spacing w:after="0"/>
              <w:ind w:right="460"/>
              <w:jc w:val="right"/>
              <w:rPr>
                <w:sz w:val="20"/>
                <w:szCs w:val="20"/>
              </w:rPr>
            </w:pPr>
            <w:r w:rsidRPr="00F0714E">
              <w:rPr>
                <w:sz w:val="20"/>
                <w:szCs w:val="20"/>
              </w:rPr>
              <w:t>0,54</w:t>
            </w:r>
          </w:p>
        </w:tc>
        <w:tc>
          <w:tcPr>
            <w:tcW w:w="1984" w:type="dxa"/>
            <w:shd w:val="clear" w:color="auto" w:fill="auto"/>
            <w:vAlign w:val="center"/>
          </w:tcPr>
          <w:p w14:paraId="30EDE381" w14:textId="0A54D5AF" w:rsidR="00D12722" w:rsidRPr="00F0714E" w:rsidRDefault="00F0714E" w:rsidP="00D12722">
            <w:pPr>
              <w:spacing w:after="0"/>
              <w:ind w:right="460"/>
              <w:jc w:val="right"/>
              <w:rPr>
                <w:sz w:val="20"/>
                <w:szCs w:val="20"/>
              </w:rPr>
            </w:pPr>
            <w:r w:rsidRPr="00F0714E">
              <w:rPr>
                <w:sz w:val="20"/>
                <w:szCs w:val="20"/>
              </w:rPr>
              <w:t>0,36</w:t>
            </w:r>
          </w:p>
        </w:tc>
        <w:tc>
          <w:tcPr>
            <w:tcW w:w="1985" w:type="dxa"/>
            <w:shd w:val="clear" w:color="auto" w:fill="auto"/>
            <w:vAlign w:val="center"/>
          </w:tcPr>
          <w:p w14:paraId="313D9046" w14:textId="1B294C30" w:rsidR="00D12722" w:rsidRPr="00F0714E" w:rsidRDefault="00F0714E" w:rsidP="00D12722">
            <w:pPr>
              <w:spacing w:after="0"/>
              <w:ind w:right="460"/>
              <w:jc w:val="right"/>
              <w:rPr>
                <w:sz w:val="20"/>
                <w:szCs w:val="20"/>
              </w:rPr>
            </w:pPr>
            <w:r w:rsidRPr="00F0714E">
              <w:rPr>
                <w:sz w:val="20"/>
                <w:szCs w:val="20"/>
              </w:rPr>
              <w:t>0,91</w:t>
            </w:r>
          </w:p>
        </w:tc>
        <w:tc>
          <w:tcPr>
            <w:tcW w:w="1978" w:type="dxa"/>
            <w:shd w:val="clear" w:color="auto" w:fill="auto"/>
            <w:vAlign w:val="center"/>
          </w:tcPr>
          <w:p w14:paraId="21D4A10D" w14:textId="52ECCF0B" w:rsidR="00D12722" w:rsidRPr="00F0714E" w:rsidRDefault="00F0714E" w:rsidP="00D12722">
            <w:pPr>
              <w:spacing w:after="0"/>
              <w:ind w:right="460"/>
              <w:jc w:val="right"/>
              <w:rPr>
                <w:sz w:val="20"/>
                <w:szCs w:val="20"/>
              </w:rPr>
            </w:pPr>
            <w:r w:rsidRPr="00F0714E">
              <w:rPr>
                <w:sz w:val="20"/>
                <w:szCs w:val="20"/>
              </w:rPr>
              <w:t>0,31</w:t>
            </w:r>
          </w:p>
        </w:tc>
      </w:tr>
    </w:tbl>
    <w:p w14:paraId="49F07E20" w14:textId="148BC081" w:rsidR="00F26919" w:rsidRPr="00D12722" w:rsidRDefault="0051469A" w:rsidP="00D12722">
      <w:pPr>
        <w:autoSpaceDE w:val="0"/>
        <w:autoSpaceDN w:val="0"/>
        <w:adjustRightInd w:val="0"/>
        <w:spacing w:before="40"/>
        <w:rPr>
          <w:rFonts w:asciiTheme="minorHAnsi" w:hAnsiTheme="minorHAnsi" w:cstheme="minorHAnsi"/>
          <w:sz w:val="20"/>
          <w:szCs w:val="20"/>
        </w:rPr>
      </w:pPr>
      <w:r w:rsidRPr="00D12722">
        <w:rPr>
          <w:rFonts w:asciiTheme="minorHAnsi" w:hAnsiTheme="minorHAnsi" w:cstheme="minorHAnsi"/>
          <w:b/>
          <w:sz w:val="20"/>
          <w:szCs w:val="20"/>
        </w:rPr>
        <w:t>Zdroj:</w:t>
      </w:r>
      <w:r w:rsidRPr="00D12722">
        <w:rPr>
          <w:rFonts w:asciiTheme="minorHAnsi" w:hAnsiTheme="minorHAnsi" w:cstheme="minorHAnsi"/>
          <w:sz w:val="20"/>
          <w:szCs w:val="20"/>
        </w:rPr>
        <w:t xml:space="preserve"> </w:t>
      </w:r>
      <w:r w:rsidR="00B53067">
        <w:rPr>
          <w:rFonts w:asciiTheme="minorHAnsi" w:hAnsiTheme="minorHAnsi" w:cstheme="minorHAnsi"/>
          <w:sz w:val="20"/>
          <w:szCs w:val="20"/>
        </w:rPr>
        <w:t>vypracoval</w:t>
      </w:r>
      <w:r w:rsidRPr="00D12722">
        <w:rPr>
          <w:rFonts w:asciiTheme="minorHAnsi" w:hAnsiTheme="minorHAnsi" w:cstheme="minorHAnsi"/>
          <w:sz w:val="20"/>
          <w:szCs w:val="20"/>
        </w:rPr>
        <w:t xml:space="preserve"> NKÚ </w:t>
      </w:r>
      <w:r w:rsidR="00B53067">
        <w:rPr>
          <w:rFonts w:asciiTheme="minorHAnsi" w:hAnsiTheme="minorHAnsi" w:cstheme="minorHAnsi"/>
          <w:sz w:val="20"/>
          <w:szCs w:val="20"/>
        </w:rPr>
        <w:t>s</w:t>
      </w:r>
      <w:r w:rsidRPr="00D12722">
        <w:rPr>
          <w:rFonts w:asciiTheme="minorHAnsi" w:hAnsiTheme="minorHAnsi" w:cstheme="minorHAnsi"/>
          <w:sz w:val="20"/>
          <w:szCs w:val="20"/>
        </w:rPr>
        <w:t> </w:t>
      </w:r>
      <w:r w:rsidR="00B53067">
        <w:rPr>
          <w:rFonts w:asciiTheme="minorHAnsi" w:hAnsiTheme="minorHAnsi" w:cstheme="minorHAnsi"/>
          <w:sz w:val="20"/>
          <w:szCs w:val="20"/>
        </w:rPr>
        <w:t xml:space="preserve">využitím </w:t>
      </w:r>
      <w:r w:rsidRPr="00D12722">
        <w:rPr>
          <w:rFonts w:asciiTheme="minorHAnsi" w:hAnsiTheme="minorHAnsi" w:cstheme="minorHAnsi"/>
          <w:sz w:val="20"/>
          <w:szCs w:val="20"/>
        </w:rPr>
        <w:t xml:space="preserve">dat </w:t>
      </w:r>
      <w:r w:rsidR="00B53067">
        <w:rPr>
          <w:rFonts w:asciiTheme="minorHAnsi" w:hAnsiTheme="minorHAnsi" w:cstheme="minorHAnsi"/>
          <w:sz w:val="20"/>
          <w:szCs w:val="20"/>
        </w:rPr>
        <w:t xml:space="preserve">z </w:t>
      </w:r>
      <w:r w:rsidR="004A29E0" w:rsidRPr="00D12722">
        <w:rPr>
          <w:rFonts w:asciiTheme="minorHAnsi" w:hAnsiTheme="minorHAnsi" w:cstheme="minorHAnsi"/>
          <w:sz w:val="20"/>
          <w:szCs w:val="20"/>
        </w:rPr>
        <w:t>AS</w:t>
      </w:r>
      <w:r w:rsidR="004A2A4F" w:rsidRPr="00D12722">
        <w:rPr>
          <w:rFonts w:asciiTheme="minorHAnsi" w:hAnsiTheme="minorHAnsi" w:cstheme="minorHAnsi"/>
          <w:sz w:val="20"/>
          <w:szCs w:val="20"/>
        </w:rPr>
        <w:t>ECAP, Statistical Bulletin 2018.</w:t>
      </w:r>
      <w:r w:rsidR="004A29E0" w:rsidRPr="00D12722">
        <w:rPr>
          <w:rFonts w:asciiTheme="minorHAnsi" w:hAnsiTheme="minorHAnsi" w:cstheme="minorHAnsi"/>
          <w:sz w:val="20"/>
          <w:szCs w:val="20"/>
        </w:rPr>
        <w:t xml:space="preserve"> </w:t>
      </w:r>
    </w:p>
    <w:p w14:paraId="2A236745" w14:textId="3B3A864C" w:rsidR="00C34FB2" w:rsidRDefault="0051469A" w:rsidP="00D12722">
      <w:pPr>
        <w:autoSpaceDE w:val="0"/>
        <w:autoSpaceDN w:val="0"/>
        <w:adjustRightInd w:val="0"/>
        <w:spacing w:before="120"/>
        <w:rPr>
          <w:rFonts w:asciiTheme="minorHAnsi" w:hAnsiTheme="minorHAnsi" w:cstheme="minorHAnsi"/>
        </w:rPr>
      </w:pPr>
      <w:r>
        <w:rPr>
          <w:rFonts w:asciiTheme="minorHAnsi" w:hAnsiTheme="minorHAnsi" w:cstheme="minorHAnsi"/>
        </w:rPr>
        <w:t xml:space="preserve">Vývoj </w:t>
      </w:r>
      <w:r w:rsidR="00034B88">
        <w:rPr>
          <w:rFonts w:asciiTheme="minorHAnsi" w:hAnsiTheme="minorHAnsi" w:cstheme="minorHAnsi"/>
        </w:rPr>
        <w:t xml:space="preserve">projetých </w:t>
      </w:r>
      <w:r w:rsidR="00B53067">
        <w:rPr>
          <w:rFonts w:asciiTheme="minorHAnsi" w:hAnsiTheme="minorHAnsi" w:cstheme="minorHAnsi"/>
        </w:rPr>
        <w:t>kilometrů</w:t>
      </w:r>
      <w:r>
        <w:rPr>
          <w:rFonts w:asciiTheme="minorHAnsi" w:hAnsiTheme="minorHAnsi" w:cstheme="minorHAnsi"/>
        </w:rPr>
        <w:t xml:space="preserve"> </w:t>
      </w:r>
      <w:r w:rsidR="00802836">
        <w:rPr>
          <w:rFonts w:asciiTheme="minorHAnsi" w:hAnsiTheme="minorHAnsi" w:cstheme="minorHAnsi"/>
        </w:rPr>
        <w:t>a předepsaného mýtného</w:t>
      </w:r>
      <w:r w:rsidR="00066B31">
        <w:rPr>
          <w:rFonts w:asciiTheme="minorHAnsi" w:hAnsiTheme="minorHAnsi" w:cstheme="minorHAnsi"/>
        </w:rPr>
        <w:t xml:space="preserve"> v ČR </w:t>
      </w:r>
      <w:r w:rsidR="00802836">
        <w:rPr>
          <w:rFonts w:asciiTheme="minorHAnsi" w:hAnsiTheme="minorHAnsi" w:cstheme="minorHAnsi"/>
        </w:rPr>
        <w:t>je uveden v tabulce č</w:t>
      </w:r>
      <w:r w:rsidR="00802836" w:rsidRPr="00237396">
        <w:rPr>
          <w:rFonts w:asciiTheme="minorHAnsi" w:hAnsiTheme="minorHAnsi" w:cstheme="minorHAnsi"/>
        </w:rPr>
        <w:t>. 2</w:t>
      </w:r>
      <w:r w:rsidR="00C969B5" w:rsidRPr="00237396">
        <w:rPr>
          <w:rFonts w:asciiTheme="minorHAnsi" w:hAnsiTheme="minorHAnsi" w:cstheme="minorHAnsi"/>
        </w:rPr>
        <w:t>2</w:t>
      </w:r>
      <w:r w:rsidR="00802836">
        <w:rPr>
          <w:rFonts w:asciiTheme="minorHAnsi" w:hAnsiTheme="minorHAnsi" w:cstheme="minorHAnsi"/>
        </w:rPr>
        <w:t>.</w:t>
      </w:r>
      <w:r w:rsidR="00802836" w:rsidRPr="00802836">
        <w:rPr>
          <w:rFonts w:cs="Calibri"/>
          <w:szCs w:val="24"/>
        </w:rPr>
        <w:t xml:space="preserve"> </w:t>
      </w:r>
      <w:r w:rsidR="00034B88">
        <w:rPr>
          <w:rFonts w:cs="Calibri"/>
          <w:szCs w:val="24"/>
        </w:rPr>
        <w:t>NKÚ zjistil</w:t>
      </w:r>
      <w:r w:rsidR="00802836">
        <w:rPr>
          <w:rFonts w:cs="Calibri"/>
          <w:szCs w:val="24"/>
        </w:rPr>
        <w:t xml:space="preserve">, že </w:t>
      </w:r>
      <w:r w:rsidR="008731FF">
        <w:rPr>
          <w:rFonts w:cs="Calibri"/>
          <w:szCs w:val="24"/>
        </w:rPr>
        <w:t>po</w:t>
      </w:r>
      <w:r w:rsidR="00690149">
        <w:rPr>
          <w:rFonts w:cs="Calibri"/>
          <w:szCs w:val="24"/>
        </w:rPr>
        <w:t> </w:t>
      </w:r>
      <w:r w:rsidR="00802836">
        <w:rPr>
          <w:rFonts w:cs="Calibri"/>
          <w:szCs w:val="24"/>
        </w:rPr>
        <w:t>ro</w:t>
      </w:r>
      <w:r w:rsidR="008731FF">
        <w:rPr>
          <w:rFonts w:cs="Calibri"/>
          <w:szCs w:val="24"/>
        </w:rPr>
        <w:t>ce</w:t>
      </w:r>
      <w:r w:rsidR="00802836">
        <w:rPr>
          <w:rFonts w:cs="Calibri"/>
          <w:szCs w:val="24"/>
        </w:rPr>
        <w:t xml:space="preserve"> 2015 meziročně inkaso mýtného na 1 km významně kles</w:t>
      </w:r>
      <w:r w:rsidR="00A615EC">
        <w:rPr>
          <w:rFonts w:cs="Calibri"/>
          <w:szCs w:val="24"/>
        </w:rPr>
        <w:t>alo</w:t>
      </w:r>
      <w:r w:rsidR="00802836">
        <w:rPr>
          <w:rFonts w:cs="Calibri"/>
          <w:szCs w:val="24"/>
        </w:rPr>
        <w:t xml:space="preserve"> a za celou dobu výběru mýtného </w:t>
      </w:r>
      <w:r w:rsidR="00BD6E98">
        <w:rPr>
          <w:rFonts w:cs="Calibri"/>
          <w:szCs w:val="24"/>
        </w:rPr>
        <w:t>byl</w:t>
      </w:r>
      <w:r w:rsidR="00A615EC">
        <w:rPr>
          <w:rFonts w:cs="Calibri"/>
          <w:szCs w:val="24"/>
        </w:rPr>
        <w:t>o</w:t>
      </w:r>
      <w:r w:rsidR="00802836">
        <w:rPr>
          <w:rFonts w:cs="Calibri"/>
          <w:szCs w:val="24"/>
        </w:rPr>
        <w:t xml:space="preserve"> v roce 2018 druh</w:t>
      </w:r>
      <w:r w:rsidR="00C969B5">
        <w:rPr>
          <w:rFonts w:cs="Calibri"/>
          <w:szCs w:val="24"/>
        </w:rPr>
        <w:t>é</w:t>
      </w:r>
      <w:r w:rsidR="00802836">
        <w:rPr>
          <w:rFonts w:cs="Calibri"/>
          <w:szCs w:val="24"/>
        </w:rPr>
        <w:t xml:space="preserve"> nejnižší (po roce 2010). </w:t>
      </w:r>
      <w:r w:rsidR="008731FF">
        <w:rPr>
          <w:rFonts w:cs="Calibri"/>
          <w:szCs w:val="24"/>
        </w:rPr>
        <w:t xml:space="preserve">Celkové předepsané mýtné od </w:t>
      </w:r>
      <w:r w:rsidR="00F26919">
        <w:rPr>
          <w:rFonts w:cs="Calibri"/>
          <w:szCs w:val="24"/>
        </w:rPr>
        <w:t>jeho zavedení</w:t>
      </w:r>
      <w:r w:rsidR="008731FF">
        <w:rPr>
          <w:rFonts w:cs="Calibri"/>
          <w:szCs w:val="24"/>
        </w:rPr>
        <w:t xml:space="preserve"> roste o </w:t>
      </w:r>
      <w:r w:rsidR="008B5865">
        <w:rPr>
          <w:rFonts w:cs="Calibri"/>
          <w:szCs w:val="24"/>
        </w:rPr>
        <w:t>patnáct</w:t>
      </w:r>
      <w:r w:rsidR="008731FF">
        <w:rPr>
          <w:rFonts w:cs="Calibri"/>
          <w:szCs w:val="24"/>
        </w:rPr>
        <w:t xml:space="preserve"> procentních bodů pomaleji než projeté </w:t>
      </w:r>
      <w:r w:rsidR="008B5865">
        <w:rPr>
          <w:rFonts w:cs="Calibri"/>
          <w:szCs w:val="24"/>
        </w:rPr>
        <w:t>kilometry</w:t>
      </w:r>
      <w:r w:rsidR="008731FF">
        <w:rPr>
          <w:rFonts w:cs="Calibri"/>
          <w:szCs w:val="24"/>
        </w:rPr>
        <w:t xml:space="preserve">. </w:t>
      </w:r>
      <w:r w:rsidR="00802836">
        <w:rPr>
          <w:rFonts w:cs="Calibri"/>
          <w:szCs w:val="24"/>
        </w:rPr>
        <w:t>Do</w:t>
      </w:r>
      <w:r w:rsidR="001B1E73">
        <w:rPr>
          <w:rFonts w:cs="Calibri"/>
          <w:szCs w:val="24"/>
        </w:rPr>
        <w:t>chází tak k </w:t>
      </w:r>
      <w:r w:rsidR="00802836">
        <w:rPr>
          <w:rFonts w:cs="Calibri"/>
          <w:szCs w:val="24"/>
        </w:rPr>
        <w:t xml:space="preserve">situaci, kdy </w:t>
      </w:r>
      <w:r w:rsidR="008731FF">
        <w:rPr>
          <w:rFonts w:cs="Calibri"/>
          <w:szCs w:val="24"/>
        </w:rPr>
        <w:t xml:space="preserve">v ČR </w:t>
      </w:r>
      <w:r w:rsidR="00802836">
        <w:rPr>
          <w:rFonts w:cs="Calibri"/>
          <w:szCs w:val="24"/>
        </w:rPr>
        <w:t>význam principu</w:t>
      </w:r>
      <w:r w:rsidR="008731FF">
        <w:rPr>
          <w:rFonts w:cs="Calibri"/>
          <w:szCs w:val="24"/>
        </w:rPr>
        <w:t xml:space="preserve"> </w:t>
      </w:r>
      <w:r w:rsidR="00802836">
        <w:rPr>
          <w:rFonts w:cs="Calibri"/>
          <w:szCs w:val="24"/>
        </w:rPr>
        <w:t>„uživatel platí“ klesá</w:t>
      </w:r>
      <w:r w:rsidR="008731FF">
        <w:rPr>
          <w:rFonts w:cs="Calibri"/>
          <w:szCs w:val="24"/>
        </w:rPr>
        <w:t xml:space="preserve">, </w:t>
      </w:r>
      <w:r w:rsidR="004A2A4F">
        <w:rPr>
          <w:rFonts w:cs="Calibri"/>
          <w:szCs w:val="24"/>
        </w:rPr>
        <w:t>neboť</w:t>
      </w:r>
      <w:r w:rsidR="008731FF">
        <w:rPr>
          <w:rFonts w:cs="Calibri"/>
          <w:szCs w:val="24"/>
        </w:rPr>
        <w:t xml:space="preserve"> uživatelé více opotřebovávají pozemní komunikace, avšak stát</w:t>
      </w:r>
      <w:r w:rsidR="004A2A4F">
        <w:rPr>
          <w:rFonts w:cs="Calibri"/>
          <w:szCs w:val="24"/>
        </w:rPr>
        <w:t xml:space="preserve">u stoupají příjmy na úhradu nákladů na opravy zpoplatněných úseků pomaleji. </w:t>
      </w:r>
      <w:r w:rsidR="00802836">
        <w:rPr>
          <w:rFonts w:asciiTheme="minorHAnsi" w:hAnsiTheme="minorHAnsi" w:cstheme="minorHAnsi"/>
        </w:rPr>
        <w:t xml:space="preserve"> </w:t>
      </w:r>
    </w:p>
    <w:p w14:paraId="2B3D8D25" w14:textId="77777777" w:rsidR="00802836" w:rsidRDefault="00D12722" w:rsidP="00D12722">
      <w:pPr>
        <w:pStyle w:val="Tabulka"/>
        <w:numPr>
          <w:ilvl w:val="0"/>
          <w:numId w:val="0"/>
        </w:numPr>
        <w:spacing w:after="40"/>
      </w:pPr>
      <w:r>
        <w:t xml:space="preserve">Tabulka č. 22: </w:t>
      </w:r>
      <w:r w:rsidR="0051469A">
        <w:t xml:space="preserve">Vztah mezi mýtným a </w:t>
      </w:r>
      <w:r w:rsidR="00566FB0">
        <w:t>užíváním zpoplatněných úseků</w:t>
      </w:r>
    </w:p>
    <w:tbl>
      <w:tblPr>
        <w:tblStyle w:val="Mkatabulky"/>
        <w:tblW w:w="0" w:type="auto"/>
        <w:tblLook w:val="04A0" w:firstRow="1" w:lastRow="0" w:firstColumn="1" w:lastColumn="0" w:noHBand="0" w:noVBand="1"/>
      </w:tblPr>
      <w:tblGrid>
        <w:gridCol w:w="1981"/>
        <w:gridCol w:w="2267"/>
        <w:gridCol w:w="2550"/>
        <w:gridCol w:w="2262"/>
      </w:tblGrid>
      <w:tr w:rsidR="00121435" w14:paraId="4CE22E37" w14:textId="77777777" w:rsidTr="00034B88">
        <w:tc>
          <w:tcPr>
            <w:tcW w:w="1980" w:type="dxa"/>
            <w:shd w:val="clear" w:color="auto" w:fill="DEEAF6" w:themeFill="accent1" w:themeFillTint="33"/>
            <w:vAlign w:val="center"/>
          </w:tcPr>
          <w:p w14:paraId="735C9E6D" w14:textId="77777777" w:rsidR="00034B88" w:rsidRPr="00A615EC" w:rsidRDefault="0051469A" w:rsidP="00D60C82">
            <w:pPr>
              <w:keepNext/>
              <w:spacing w:after="0"/>
              <w:jc w:val="center"/>
              <w:rPr>
                <w:b/>
                <w:bCs/>
                <w:sz w:val="20"/>
                <w:szCs w:val="20"/>
              </w:rPr>
            </w:pPr>
            <w:r w:rsidRPr="00A615EC">
              <w:rPr>
                <w:b/>
                <w:bCs/>
                <w:sz w:val="20"/>
                <w:szCs w:val="20"/>
              </w:rPr>
              <w:t>Rok</w:t>
            </w:r>
          </w:p>
        </w:tc>
        <w:tc>
          <w:tcPr>
            <w:tcW w:w="2268" w:type="dxa"/>
            <w:shd w:val="clear" w:color="auto" w:fill="DEEAF6" w:themeFill="accent1" w:themeFillTint="33"/>
            <w:vAlign w:val="center"/>
          </w:tcPr>
          <w:p w14:paraId="4336C192" w14:textId="77777777" w:rsidR="00034B88" w:rsidRPr="00A615EC" w:rsidRDefault="0051469A" w:rsidP="00D60C82">
            <w:pPr>
              <w:keepNext/>
              <w:spacing w:after="0"/>
              <w:jc w:val="center"/>
              <w:rPr>
                <w:b/>
                <w:bCs/>
                <w:sz w:val="20"/>
                <w:szCs w:val="20"/>
              </w:rPr>
            </w:pPr>
            <w:r w:rsidRPr="00A615EC">
              <w:rPr>
                <w:b/>
                <w:bCs/>
                <w:sz w:val="20"/>
                <w:szCs w:val="20"/>
              </w:rPr>
              <w:t>Projeté km</w:t>
            </w:r>
          </w:p>
        </w:tc>
        <w:tc>
          <w:tcPr>
            <w:tcW w:w="2551" w:type="dxa"/>
            <w:shd w:val="clear" w:color="auto" w:fill="DEEAF6" w:themeFill="accent1" w:themeFillTint="33"/>
            <w:vAlign w:val="center"/>
          </w:tcPr>
          <w:p w14:paraId="26ACCF30" w14:textId="53AAF494" w:rsidR="00034B88" w:rsidRPr="00A615EC" w:rsidRDefault="0051469A" w:rsidP="00D60C82">
            <w:pPr>
              <w:keepNext/>
              <w:spacing w:after="0"/>
              <w:jc w:val="center"/>
              <w:rPr>
                <w:b/>
                <w:bCs/>
                <w:sz w:val="20"/>
                <w:szCs w:val="20"/>
              </w:rPr>
            </w:pPr>
            <w:r w:rsidRPr="00A615EC">
              <w:rPr>
                <w:b/>
                <w:bCs/>
                <w:sz w:val="20"/>
                <w:szCs w:val="20"/>
              </w:rPr>
              <w:t xml:space="preserve">Předepsané mýtné </w:t>
            </w:r>
            <w:r w:rsidR="00653C55">
              <w:rPr>
                <w:b/>
                <w:bCs/>
                <w:sz w:val="20"/>
                <w:szCs w:val="20"/>
              </w:rPr>
              <w:t>(</w:t>
            </w:r>
            <w:r w:rsidRPr="00A615EC">
              <w:rPr>
                <w:b/>
                <w:bCs/>
                <w:sz w:val="20"/>
                <w:szCs w:val="20"/>
              </w:rPr>
              <w:t>v Kč</w:t>
            </w:r>
            <w:r w:rsidR="00653C55">
              <w:rPr>
                <w:b/>
                <w:bCs/>
                <w:sz w:val="20"/>
                <w:szCs w:val="20"/>
              </w:rPr>
              <w:t>)</w:t>
            </w:r>
          </w:p>
        </w:tc>
        <w:tc>
          <w:tcPr>
            <w:tcW w:w="2263" w:type="dxa"/>
            <w:shd w:val="clear" w:color="auto" w:fill="DEEAF6" w:themeFill="accent1" w:themeFillTint="33"/>
            <w:vAlign w:val="center"/>
          </w:tcPr>
          <w:p w14:paraId="4E953369" w14:textId="6B7CAA0B" w:rsidR="00034B88" w:rsidRPr="00A615EC" w:rsidRDefault="0051469A" w:rsidP="00D60C82">
            <w:pPr>
              <w:keepNext/>
              <w:spacing w:after="0"/>
              <w:jc w:val="center"/>
              <w:rPr>
                <w:b/>
                <w:bCs/>
                <w:sz w:val="20"/>
                <w:szCs w:val="20"/>
              </w:rPr>
            </w:pPr>
            <w:r w:rsidRPr="00A615EC">
              <w:rPr>
                <w:b/>
                <w:bCs/>
                <w:sz w:val="20"/>
                <w:szCs w:val="20"/>
              </w:rPr>
              <w:t>Mýtné na 1 km</w:t>
            </w:r>
            <w:r w:rsidR="00A615EC" w:rsidRPr="00A615EC">
              <w:rPr>
                <w:b/>
                <w:bCs/>
                <w:sz w:val="20"/>
                <w:szCs w:val="20"/>
              </w:rPr>
              <w:t xml:space="preserve"> </w:t>
            </w:r>
            <w:r w:rsidR="00653C55">
              <w:rPr>
                <w:b/>
                <w:bCs/>
                <w:sz w:val="20"/>
                <w:szCs w:val="20"/>
              </w:rPr>
              <w:t>(</w:t>
            </w:r>
            <w:r w:rsidR="00A615EC" w:rsidRPr="00A615EC">
              <w:rPr>
                <w:b/>
                <w:bCs/>
                <w:sz w:val="20"/>
                <w:szCs w:val="20"/>
              </w:rPr>
              <w:t xml:space="preserve">v </w:t>
            </w:r>
            <w:r w:rsidRPr="00A615EC">
              <w:rPr>
                <w:b/>
                <w:bCs/>
                <w:sz w:val="20"/>
                <w:szCs w:val="20"/>
              </w:rPr>
              <w:t>Kč</w:t>
            </w:r>
            <w:r w:rsidR="00653C55">
              <w:rPr>
                <w:b/>
                <w:bCs/>
                <w:sz w:val="20"/>
                <w:szCs w:val="20"/>
              </w:rPr>
              <w:t>)</w:t>
            </w:r>
          </w:p>
        </w:tc>
      </w:tr>
      <w:tr w:rsidR="00121435" w14:paraId="5321F6C8" w14:textId="77777777" w:rsidTr="00066B31">
        <w:tc>
          <w:tcPr>
            <w:tcW w:w="1980" w:type="dxa"/>
            <w:vAlign w:val="center"/>
          </w:tcPr>
          <w:p w14:paraId="1C13E37A" w14:textId="77777777" w:rsidR="00034B88" w:rsidRPr="00A615EC" w:rsidRDefault="0051469A" w:rsidP="008B5865">
            <w:pPr>
              <w:pStyle w:val="Tabulka"/>
              <w:numPr>
                <w:ilvl w:val="0"/>
                <w:numId w:val="0"/>
              </w:numPr>
              <w:rPr>
                <w:b w:val="0"/>
                <w:sz w:val="20"/>
                <w:szCs w:val="20"/>
              </w:rPr>
            </w:pPr>
            <w:r w:rsidRPr="00A615EC">
              <w:rPr>
                <w:rFonts w:cs="Calibri"/>
                <w:b w:val="0"/>
                <w:sz w:val="20"/>
                <w:szCs w:val="20"/>
              </w:rPr>
              <w:t>2007</w:t>
            </w:r>
          </w:p>
        </w:tc>
        <w:tc>
          <w:tcPr>
            <w:tcW w:w="2268" w:type="dxa"/>
            <w:vAlign w:val="center"/>
          </w:tcPr>
          <w:p w14:paraId="420A7D96"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1 347 728 173</w:t>
            </w:r>
          </w:p>
        </w:tc>
        <w:tc>
          <w:tcPr>
            <w:tcW w:w="2551" w:type="dxa"/>
            <w:vAlign w:val="center"/>
          </w:tcPr>
          <w:p w14:paraId="2780BB29"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5 568 399 896</w:t>
            </w:r>
          </w:p>
        </w:tc>
        <w:tc>
          <w:tcPr>
            <w:tcW w:w="2263" w:type="dxa"/>
            <w:vAlign w:val="center"/>
          </w:tcPr>
          <w:p w14:paraId="1098DB4E"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4,13</w:t>
            </w:r>
          </w:p>
        </w:tc>
      </w:tr>
      <w:tr w:rsidR="00121435" w14:paraId="18A6599C" w14:textId="77777777" w:rsidTr="00066B31">
        <w:tc>
          <w:tcPr>
            <w:tcW w:w="1980" w:type="dxa"/>
            <w:vAlign w:val="center"/>
          </w:tcPr>
          <w:p w14:paraId="59054061" w14:textId="77777777" w:rsidR="00034B88" w:rsidRPr="00A615EC" w:rsidRDefault="0051469A" w:rsidP="008B5865">
            <w:pPr>
              <w:pStyle w:val="Tabulka"/>
              <w:numPr>
                <w:ilvl w:val="0"/>
                <w:numId w:val="0"/>
              </w:numPr>
              <w:rPr>
                <w:b w:val="0"/>
                <w:sz w:val="20"/>
                <w:szCs w:val="20"/>
              </w:rPr>
            </w:pPr>
            <w:r w:rsidRPr="00A615EC">
              <w:rPr>
                <w:rFonts w:cs="Calibri"/>
                <w:b w:val="0"/>
                <w:sz w:val="20"/>
                <w:szCs w:val="20"/>
              </w:rPr>
              <w:t>2015</w:t>
            </w:r>
          </w:p>
        </w:tc>
        <w:tc>
          <w:tcPr>
            <w:tcW w:w="2268" w:type="dxa"/>
            <w:vAlign w:val="center"/>
          </w:tcPr>
          <w:p w14:paraId="3983AE64"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2 345 495 792</w:t>
            </w:r>
          </w:p>
        </w:tc>
        <w:tc>
          <w:tcPr>
            <w:tcW w:w="2551" w:type="dxa"/>
            <w:vAlign w:val="center"/>
          </w:tcPr>
          <w:p w14:paraId="0BC6146A"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9 736 516 949</w:t>
            </w:r>
          </w:p>
        </w:tc>
        <w:tc>
          <w:tcPr>
            <w:tcW w:w="2263" w:type="dxa"/>
            <w:vAlign w:val="center"/>
          </w:tcPr>
          <w:p w14:paraId="4909D111"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4,15</w:t>
            </w:r>
          </w:p>
        </w:tc>
      </w:tr>
      <w:tr w:rsidR="00121435" w14:paraId="282CBF7A" w14:textId="77777777" w:rsidTr="00066B31">
        <w:tc>
          <w:tcPr>
            <w:tcW w:w="1980" w:type="dxa"/>
            <w:vAlign w:val="center"/>
          </w:tcPr>
          <w:p w14:paraId="40C886BF" w14:textId="77777777" w:rsidR="00034B88" w:rsidRPr="00A615EC" w:rsidRDefault="0051469A" w:rsidP="008B5865">
            <w:pPr>
              <w:pStyle w:val="Tabulka"/>
              <w:numPr>
                <w:ilvl w:val="0"/>
                <w:numId w:val="0"/>
              </w:numPr>
              <w:rPr>
                <w:b w:val="0"/>
                <w:sz w:val="20"/>
                <w:szCs w:val="20"/>
              </w:rPr>
            </w:pPr>
            <w:r w:rsidRPr="00A615EC">
              <w:rPr>
                <w:rFonts w:cs="Calibri"/>
                <w:b w:val="0"/>
                <w:sz w:val="20"/>
                <w:szCs w:val="20"/>
              </w:rPr>
              <w:t>2018</w:t>
            </w:r>
          </w:p>
        </w:tc>
        <w:tc>
          <w:tcPr>
            <w:tcW w:w="2268" w:type="dxa"/>
            <w:vAlign w:val="center"/>
          </w:tcPr>
          <w:p w14:paraId="67E61564"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2 827 124 684</w:t>
            </w:r>
          </w:p>
        </w:tc>
        <w:tc>
          <w:tcPr>
            <w:tcW w:w="2551" w:type="dxa"/>
            <w:vAlign w:val="center"/>
          </w:tcPr>
          <w:p w14:paraId="00CF8C87"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10 805 238 565</w:t>
            </w:r>
          </w:p>
        </w:tc>
        <w:tc>
          <w:tcPr>
            <w:tcW w:w="2263" w:type="dxa"/>
            <w:vAlign w:val="center"/>
          </w:tcPr>
          <w:p w14:paraId="354EB970" w14:textId="77777777" w:rsidR="00034B88" w:rsidRPr="00A615EC" w:rsidRDefault="0051469A" w:rsidP="008B5865">
            <w:pPr>
              <w:pStyle w:val="Tabulka"/>
              <w:numPr>
                <w:ilvl w:val="0"/>
                <w:numId w:val="0"/>
              </w:numPr>
              <w:jc w:val="right"/>
              <w:rPr>
                <w:b w:val="0"/>
                <w:sz w:val="20"/>
                <w:szCs w:val="20"/>
              </w:rPr>
            </w:pPr>
            <w:r w:rsidRPr="00A615EC">
              <w:rPr>
                <w:rFonts w:cs="Calibri"/>
                <w:b w:val="0"/>
                <w:sz w:val="20"/>
                <w:szCs w:val="20"/>
              </w:rPr>
              <w:t>3,82</w:t>
            </w:r>
          </w:p>
        </w:tc>
      </w:tr>
      <w:tr w:rsidR="00121435" w:rsidRPr="00DF7DA6" w14:paraId="3BFCAA37" w14:textId="77777777" w:rsidTr="00066B31">
        <w:tc>
          <w:tcPr>
            <w:tcW w:w="1980" w:type="dxa"/>
            <w:shd w:val="clear" w:color="auto" w:fill="F3C5C8"/>
            <w:vAlign w:val="center"/>
          </w:tcPr>
          <w:p w14:paraId="57BA7CBB" w14:textId="01E9EB27" w:rsidR="00034B88" w:rsidRPr="00B66B4D" w:rsidRDefault="0051469A" w:rsidP="008B5865">
            <w:pPr>
              <w:pStyle w:val="Tabulka"/>
              <w:numPr>
                <w:ilvl w:val="0"/>
                <w:numId w:val="0"/>
              </w:numPr>
              <w:rPr>
                <w:sz w:val="20"/>
                <w:szCs w:val="20"/>
              </w:rPr>
            </w:pPr>
            <w:r w:rsidRPr="00B66B4D">
              <w:rPr>
                <w:rFonts w:cs="Calibri"/>
                <w:sz w:val="20"/>
                <w:szCs w:val="20"/>
              </w:rPr>
              <w:t>Změna 2007/2018</w:t>
            </w:r>
          </w:p>
        </w:tc>
        <w:tc>
          <w:tcPr>
            <w:tcW w:w="2268" w:type="dxa"/>
            <w:shd w:val="clear" w:color="auto" w:fill="F3C5C8"/>
            <w:vAlign w:val="center"/>
          </w:tcPr>
          <w:p w14:paraId="284FE61E" w14:textId="77777777" w:rsidR="00034B88" w:rsidRPr="00B66B4D" w:rsidRDefault="0051469A" w:rsidP="008B5865">
            <w:pPr>
              <w:pStyle w:val="Tabulka"/>
              <w:numPr>
                <w:ilvl w:val="0"/>
                <w:numId w:val="0"/>
              </w:numPr>
              <w:jc w:val="center"/>
              <w:rPr>
                <w:sz w:val="20"/>
                <w:szCs w:val="20"/>
              </w:rPr>
            </w:pPr>
            <w:r w:rsidRPr="00B66B4D">
              <w:rPr>
                <w:rFonts w:cs="Calibri"/>
                <w:sz w:val="20"/>
                <w:szCs w:val="20"/>
              </w:rPr>
              <w:t>+109,77 %</w:t>
            </w:r>
          </w:p>
        </w:tc>
        <w:tc>
          <w:tcPr>
            <w:tcW w:w="2551" w:type="dxa"/>
            <w:shd w:val="clear" w:color="auto" w:fill="F3C5C8"/>
            <w:vAlign w:val="center"/>
          </w:tcPr>
          <w:p w14:paraId="1C3BD655" w14:textId="77777777" w:rsidR="00034B88" w:rsidRPr="00B66B4D" w:rsidRDefault="0051469A" w:rsidP="008B5865">
            <w:pPr>
              <w:pStyle w:val="Tabulka"/>
              <w:numPr>
                <w:ilvl w:val="0"/>
                <w:numId w:val="0"/>
              </w:numPr>
              <w:jc w:val="center"/>
              <w:rPr>
                <w:sz w:val="20"/>
                <w:szCs w:val="20"/>
              </w:rPr>
            </w:pPr>
            <w:r w:rsidRPr="00B66B4D">
              <w:rPr>
                <w:rFonts w:cs="Calibri"/>
                <w:sz w:val="20"/>
                <w:szCs w:val="20"/>
              </w:rPr>
              <w:t>+94,05 %</w:t>
            </w:r>
          </w:p>
        </w:tc>
        <w:tc>
          <w:tcPr>
            <w:tcW w:w="2263" w:type="dxa"/>
            <w:shd w:val="clear" w:color="auto" w:fill="F3C5C8"/>
            <w:vAlign w:val="center"/>
          </w:tcPr>
          <w:p w14:paraId="3E9A2EA8" w14:textId="77777777" w:rsidR="00034B88" w:rsidRPr="00B66B4D" w:rsidRDefault="0051469A" w:rsidP="008B5865">
            <w:pPr>
              <w:pStyle w:val="Tabulka"/>
              <w:numPr>
                <w:ilvl w:val="0"/>
                <w:numId w:val="0"/>
              </w:numPr>
              <w:jc w:val="center"/>
              <w:rPr>
                <w:rFonts w:cs="Calibri"/>
                <w:sz w:val="20"/>
                <w:szCs w:val="20"/>
              </w:rPr>
            </w:pPr>
            <w:r w:rsidRPr="00B66B4D">
              <w:rPr>
                <w:rFonts w:cs="Calibri"/>
                <w:color w:val="BD2A33"/>
                <w:sz w:val="20"/>
                <w:szCs w:val="20"/>
              </w:rPr>
              <w:t> </w:t>
            </w:r>
            <w:r w:rsidR="008B5865" w:rsidRPr="00B66B4D">
              <w:rPr>
                <w:rFonts w:cs="Calibri"/>
                <w:color w:val="BD2A33"/>
                <w:sz w:val="20"/>
                <w:szCs w:val="20"/>
              </w:rPr>
              <w:t>-7,51 %</w:t>
            </w:r>
          </w:p>
        </w:tc>
      </w:tr>
    </w:tbl>
    <w:p w14:paraId="671AC8E2" w14:textId="1422A65B" w:rsidR="00094CDC" w:rsidRPr="00D12722" w:rsidRDefault="0051469A" w:rsidP="00D12722">
      <w:pPr>
        <w:spacing w:before="40"/>
        <w:rPr>
          <w:rFonts w:cstheme="minorHAnsi"/>
          <w:sz w:val="20"/>
          <w:szCs w:val="20"/>
        </w:rPr>
      </w:pPr>
      <w:r w:rsidRPr="00D12722">
        <w:rPr>
          <w:rFonts w:cstheme="minorHAnsi"/>
          <w:b/>
          <w:sz w:val="20"/>
          <w:szCs w:val="20"/>
        </w:rPr>
        <w:t>Zdroj:</w:t>
      </w:r>
      <w:r w:rsidRPr="00D12722">
        <w:rPr>
          <w:rFonts w:cstheme="minorHAnsi"/>
          <w:sz w:val="20"/>
          <w:szCs w:val="20"/>
        </w:rPr>
        <w:t xml:space="preserve"> zdroj: </w:t>
      </w:r>
      <w:hyperlink r:id="rId34" w:history="1">
        <w:r w:rsidR="00D12722" w:rsidRPr="00D12722">
          <w:rPr>
            <w:rStyle w:val="Hypertextovodkaz"/>
            <w:rFonts w:cstheme="minorHAnsi"/>
            <w:sz w:val="20"/>
            <w:szCs w:val="20"/>
            <w:u w:val="none"/>
          </w:rPr>
          <w:t>http://www.vyrocenky.cz/silnicni</w:t>
        </w:r>
      </w:hyperlink>
      <w:r w:rsidRPr="00D12722">
        <w:rPr>
          <w:rFonts w:cstheme="minorHAnsi"/>
          <w:sz w:val="20"/>
          <w:szCs w:val="20"/>
        </w:rPr>
        <w:t xml:space="preserve"> </w:t>
      </w:r>
      <w:r w:rsidR="00653C55">
        <w:rPr>
          <w:rFonts w:cstheme="minorHAnsi"/>
          <w:sz w:val="20"/>
          <w:szCs w:val="20"/>
        </w:rPr>
        <w:t>–</w:t>
      </w:r>
      <w:r w:rsidRPr="00D12722">
        <w:rPr>
          <w:rFonts w:cstheme="minorHAnsi"/>
          <w:sz w:val="20"/>
          <w:szCs w:val="20"/>
        </w:rPr>
        <w:t xml:space="preserve"> roční výkazy výběru mýtného ŘSD</w:t>
      </w:r>
      <w:r w:rsidR="00566FB0" w:rsidRPr="00D12722">
        <w:rPr>
          <w:rFonts w:cstheme="minorHAnsi"/>
          <w:sz w:val="20"/>
          <w:szCs w:val="20"/>
        </w:rPr>
        <w:t>, vlastní zpracování NKÚ</w:t>
      </w:r>
      <w:r w:rsidRPr="00D12722">
        <w:rPr>
          <w:rFonts w:cstheme="minorHAnsi"/>
          <w:sz w:val="20"/>
          <w:szCs w:val="20"/>
        </w:rPr>
        <w:t>.</w:t>
      </w:r>
    </w:p>
    <w:p w14:paraId="09997C31" w14:textId="77777777" w:rsidR="00A42716" w:rsidRDefault="0051469A" w:rsidP="00D12722">
      <w:pPr>
        <w:autoSpaceDE w:val="0"/>
        <w:autoSpaceDN w:val="0"/>
        <w:adjustRightInd w:val="0"/>
        <w:spacing w:before="120"/>
        <w:rPr>
          <w:rFonts w:asciiTheme="minorHAnsi" w:hAnsiTheme="minorHAnsi" w:cstheme="minorHAnsi"/>
        </w:rPr>
      </w:pPr>
      <w:r>
        <w:rPr>
          <w:rFonts w:asciiTheme="minorHAnsi" w:hAnsiTheme="minorHAnsi" w:cstheme="minorHAnsi"/>
        </w:rPr>
        <w:t xml:space="preserve">V roce 2018 cca 50 % </w:t>
      </w:r>
      <w:r w:rsidR="00333231">
        <w:rPr>
          <w:rFonts w:asciiTheme="minorHAnsi" w:hAnsiTheme="minorHAnsi" w:cstheme="minorHAnsi"/>
        </w:rPr>
        <w:t xml:space="preserve">vybraného mýtného odvedli zahraniční provozovatelé, přičemž jejich podíl trvale stoupá, což značí stoupající tranzit přes ČR. </w:t>
      </w:r>
    </w:p>
    <w:p w14:paraId="603E2177" w14:textId="77777777" w:rsidR="00D4692E" w:rsidRDefault="0051469A" w:rsidP="00D12722">
      <w:pPr>
        <w:autoSpaceDE w:val="0"/>
        <w:autoSpaceDN w:val="0"/>
        <w:adjustRightInd w:val="0"/>
        <w:spacing w:before="120" w:after="0"/>
        <w:rPr>
          <w:rFonts w:asciiTheme="minorHAnsi" w:hAnsiTheme="minorHAnsi" w:cstheme="minorHAnsi"/>
        </w:rPr>
      </w:pPr>
      <w:r>
        <w:rPr>
          <w:rFonts w:asciiTheme="minorHAnsi" w:hAnsiTheme="minorHAnsi" w:cstheme="minorHAnsi"/>
        </w:rPr>
        <w:t xml:space="preserve">Podle </w:t>
      </w:r>
      <w:r w:rsidR="008A3EB1">
        <w:rPr>
          <w:rFonts w:asciiTheme="minorHAnsi" w:hAnsiTheme="minorHAnsi" w:cstheme="minorHAnsi"/>
        </w:rPr>
        <w:t>evropské směrnice</w:t>
      </w:r>
      <w:r>
        <w:rPr>
          <w:rStyle w:val="Znakapoznpodarou"/>
          <w:rFonts w:asciiTheme="minorHAnsi" w:hAnsiTheme="minorHAnsi" w:cstheme="minorHAnsi"/>
        </w:rPr>
        <w:footnoteReference w:id="46"/>
      </w:r>
      <w:r>
        <w:rPr>
          <w:rFonts w:asciiTheme="minorHAnsi" w:hAnsiTheme="minorHAnsi" w:cstheme="minorHAnsi"/>
        </w:rPr>
        <w:t xml:space="preserve"> se celkové mýtné může skládat ze tří složek, a sice:</w:t>
      </w:r>
    </w:p>
    <w:p w14:paraId="4A96BEE0" w14:textId="77777777" w:rsidR="00D4692E" w:rsidRPr="00741278" w:rsidRDefault="0051469A" w:rsidP="00D12722">
      <w:pPr>
        <w:pStyle w:val="Tabulka"/>
        <w:keepNext w:val="0"/>
        <w:numPr>
          <w:ilvl w:val="0"/>
          <w:numId w:val="26"/>
        </w:numPr>
        <w:ind w:left="284" w:hanging="284"/>
        <w:rPr>
          <w:b w:val="0"/>
        </w:rPr>
      </w:pPr>
      <w:r w:rsidRPr="00741278">
        <w:rPr>
          <w:b w:val="0"/>
        </w:rPr>
        <w:t xml:space="preserve">mýtného vycházejícího ze stavebních nákladů a nákladů na provoz, údržbu a rozvoj dané sítě pozemních komunikací </w:t>
      </w:r>
      <w:r>
        <w:rPr>
          <w:b w:val="0"/>
        </w:rPr>
        <w:t>(dále také „</w:t>
      </w:r>
      <w:r w:rsidRPr="001D760A">
        <w:rPr>
          <w:b w:val="0"/>
        </w:rPr>
        <w:t>poplat</w:t>
      </w:r>
      <w:r>
        <w:rPr>
          <w:b w:val="0"/>
        </w:rPr>
        <w:t>e</w:t>
      </w:r>
      <w:r w:rsidRPr="001D760A">
        <w:rPr>
          <w:b w:val="0"/>
        </w:rPr>
        <w:t>k za pozemní komunikace</w:t>
      </w:r>
      <w:r>
        <w:rPr>
          <w:b w:val="0"/>
        </w:rPr>
        <w:t>“)</w:t>
      </w:r>
      <w:r w:rsidR="008A3EB1">
        <w:rPr>
          <w:b w:val="0"/>
        </w:rPr>
        <w:t>,</w:t>
      </w:r>
    </w:p>
    <w:p w14:paraId="14257FC1" w14:textId="77777777" w:rsidR="00D4692E" w:rsidRPr="00741278" w:rsidRDefault="0051469A" w:rsidP="00D12722">
      <w:pPr>
        <w:pStyle w:val="Tabulka"/>
        <w:keepNext w:val="0"/>
        <w:numPr>
          <w:ilvl w:val="0"/>
          <w:numId w:val="26"/>
        </w:numPr>
        <w:ind w:left="284" w:hanging="284"/>
        <w:rPr>
          <w:b w:val="0"/>
        </w:rPr>
      </w:pPr>
      <w:r w:rsidRPr="00741278">
        <w:rPr>
          <w:b w:val="0"/>
        </w:rPr>
        <w:t>mýtného zohledňujícího náklady v důsledku znečištění ovzduší provozem</w:t>
      </w:r>
      <w:r>
        <w:rPr>
          <w:b w:val="0"/>
        </w:rPr>
        <w:t xml:space="preserve"> (dále také „emisní složka“)</w:t>
      </w:r>
      <w:r w:rsidRPr="00741278">
        <w:rPr>
          <w:b w:val="0"/>
        </w:rPr>
        <w:t>,</w:t>
      </w:r>
    </w:p>
    <w:p w14:paraId="7DA2C38F" w14:textId="77777777" w:rsidR="00D4692E" w:rsidRPr="00741278" w:rsidRDefault="0051469A" w:rsidP="00D12722">
      <w:pPr>
        <w:pStyle w:val="Tabulka"/>
        <w:keepNext w:val="0"/>
        <w:numPr>
          <w:ilvl w:val="0"/>
          <w:numId w:val="26"/>
        </w:numPr>
        <w:spacing w:after="120"/>
        <w:ind w:left="284" w:hanging="284"/>
        <w:rPr>
          <w:b w:val="0"/>
        </w:rPr>
      </w:pPr>
      <w:r w:rsidRPr="00741278">
        <w:rPr>
          <w:b w:val="0"/>
        </w:rPr>
        <w:t>mýtného oceňujícího náklady v důsledku hluku z</w:t>
      </w:r>
      <w:r>
        <w:rPr>
          <w:b w:val="0"/>
        </w:rPr>
        <w:t> </w:t>
      </w:r>
      <w:r w:rsidRPr="00741278">
        <w:rPr>
          <w:b w:val="0"/>
        </w:rPr>
        <w:t>provozu</w:t>
      </w:r>
      <w:r>
        <w:rPr>
          <w:b w:val="0"/>
        </w:rPr>
        <w:t xml:space="preserve"> (dále také „hluková složka“)</w:t>
      </w:r>
      <w:r w:rsidRPr="00741278">
        <w:rPr>
          <w:b w:val="0"/>
        </w:rPr>
        <w:t>.</w:t>
      </w:r>
    </w:p>
    <w:p w14:paraId="68354AD8" w14:textId="22468F03" w:rsidR="00D4692E" w:rsidRDefault="0051469A" w:rsidP="00D12722">
      <w:pPr>
        <w:autoSpaceDE w:val="0"/>
        <w:autoSpaceDN w:val="0"/>
        <w:adjustRightInd w:val="0"/>
        <w:spacing w:before="120"/>
        <w:rPr>
          <w:rFonts w:asciiTheme="minorHAnsi" w:hAnsiTheme="minorHAnsi" w:cstheme="minorHAnsi"/>
        </w:rPr>
      </w:pPr>
      <w:r w:rsidRPr="00066B31">
        <w:rPr>
          <w:rFonts w:asciiTheme="minorHAnsi" w:hAnsiTheme="minorHAnsi" w:cstheme="minorHAnsi"/>
          <w:b/>
        </w:rPr>
        <w:t>Poplatek za pozemní komunikace</w:t>
      </w:r>
      <w:r w:rsidRPr="00D4692E">
        <w:rPr>
          <w:rFonts w:asciiTheme="minorHAnsi" w:hAnsiTheme="minorHAnsi" w:cstheme="minorHAnsi"/>
        </w:rPr>
        <w:t xml:space="preserve"> musí být založen na zásadě návratnosti nákladů na pozemní komunikace</w:t>
      </w:r>
      <w:r>
        <w:rPr>
          <w:rFonts w:asciiTheme="minorHAnsi" w:hAnsiTheme="minorHAnsi" w:cstheme="minorHAnsi"/>
        </w:rPr>
        <w:t>, tzn.</w:t>
      </w:r>
      <w:r w:rsidR="0014315D">
        <w:rPr>
          <w:rFonts w:asciiTheme="minorHAnsi" w:hAnsiTheme="minorHAnsi" w:cstheme="minorHAnsi"/>
        </w:rPr>
        <w:t>,</w:t>
      </w:r>
      <w:r>
        <w:rPr>
          <w:rFonts w:asciiTheme="minorHAnsi" w:hAnsiTheme="minorHAnsi" w:cstheme="minorHAnsi"/>
        </w:rPr>
        <w:t xml:space="preserve"> </w:t>
      </w:r>
      <w:r w:rsidR="00C34FB2">
        <w:rPr>
          <w:rFonts w:asciiTheme="minorHAnsi" w:hAnsiTheme="minorHAnsi" w:cstheme="minorHAnsi"/>
        </w:rPr>
        <w:t xml:space="preserve">že celkový </w:t>
      </w:r>
      <w:r>
        <w:rPr>
          <w:rFonts w:asciiTheme="minorHAnsi" w:hAnsiTheme="minorHAnsi" w:cstheme="minorHAnsi"/>
        </w:rPr>
        <w:t xml:space="preserve">výnos </w:t>
      </w:r>
      <w:r w:rsidR="00C34FB2">
        <w:rPr>
          <w:rFonts w:asciiTheme="minorHAnsi" w:hAnsiTheme="minorHAnsi" w:cstheme="minorHAnsi"/>
        </w:rPr>
        <w:t xml:space="preserve">poplatku za pozemní komunikace nesmí přesáhnout </w:t>
      </w:r>
      <w:r w:rsidR="00C34FB2" w:rsidRPr="007D3F43">
        <w:rPr>
          <w:rFonts w:asciiTheme="minorHAnsi" w:hAnsiTheme="minorHAnsi" w:cstheme="minorHAnsi"/>
          <w:shd w:val="clear" w:color="auto" w:fill="FFFFFF" w:themeFill="background1"/>
        </w:rPr>
        <w:lastRenderedPageBreak/>
        <w:t>náklady na zpoplatněné úseky</w:t>
      </w:r>
      <w:r w:rsidRPr="007D3F43">
        <w:rPr>
          <w:rFonts w:asciiTheme="minorHAnsi" w:hAnsiTheme="minorHAnsi" w:cstheme="minorHAnsi"/>
          <w:shd w:val="clear" w:color="auto" w:fill="FFFFFF" w:themeFill="background1"/>
        </w:rPr>
        <w:t>.</w:t>
      </w:r>
      <w:r w:rsidR="00DD563F" w:rsidRPr="007D3F43">
        <w:rPr>
          <w:rFonts w:asciiTheme="minorHAnsi" w:hAnsiTheme="minorHAnsi" w:cstheme="minorHAnsi"/>
          <w:shd w:val="clear" w:color="auto" w:fill="FFFFFF" w:themeFill="background1"/>
        </w:rPr>
        <w:t xml:space="preserve"> </w:t>
      </w:r>
      <w:r w:rsidR="00C34FB2" w:rsidRPr="007D3F43">
        <w:rPr>
          <w:rFonts w:asciiTheme="minorHAnsi" w:hAnsiTheme="minorHAnsi" w:cstheme="minorHAnsi"/>
          <w:shd w:val="clear" w:color="auto" w:fill="FFFFFF" w:themeFill="background1"/>
        </w:rPr>
        <w:t xml:space="preserve">Mezi </w:t>
      </w:r>
      <w:r w:rsidR="0014315D" w:rsidRPr="007D3F43">
        <w:rPr>
          <w:rFonts w:asciiTheme="minorHAnsi" w:hAnsiTheme="minorHAnsi" w:cstheme="minorHAnsi"/>
          <w:shd w:val="clear" w:color="auto" w:fill="FFFFFF" w:themeFill="background1"/>
        </w:rPr>
        <w:t xml:space="preserve">roky </w:t>
      </w:r>
      <w:r w:rsidR="007265BF">
        <w:rPr>
          <w:rFonts w:asciiTheme="minorHAnsi" w:hAnsiTheme="minorHAnsi" w:cstheme="minorHAnsi"/>
          <w:shd w:val="clear" w:color="auto" w:fill="FFFFFF" w:themeFill="background1"/>
        </w:rPr>
        <w:t>2015–</w:t>
      </w:r>
      <w:r w:rsidR="0014315D" w:rsidRPr="007D3F43">
        <w:rPr>
          <w:rFonts w:asciiTheme="minorHAnsi" w:hAnsiTheme="minorHAnsi" w:cstheme="minorHAnsi"/>
          <w:shd w:val="clear" w:color="auto" w:fill="FFFFFF" w:themeFill="background1"/>
        </w:rPr>
        <w:t>20</w:t>
      </w:r>
      <w:r w:rsidR="00690149">
        <w:rPr>
          <w:rFonts w:asciiTheme="minorHAnsi" w:hAnsiTheme="minorHAnsi" w:cstheme="minorHAnsi"/>
          <w:shd w:val="clear" w:color="auto" w:fill="FFFFFF" w:themeFill="background1"/>
        </w:rPr>
        <w:t>18 došlo ke stagnaci nákladů na</w:t>
      </w:r>
      <w:r w:rsidR="00CE3837">
        <w:rPr>
          <w:rFonts w:asciiTheme="minorHAnsi" w:hAnsiTheme="minorHAnsi" w:cstheme="minorHAnsi"/>
          <w:shd w:val="clear" w:color="auto" w:fill="FFFFFF" w:themeFill="background1"/>
        </w:rPr>
        <w:t xml:space="preserve"> </w:t>
      </w:r>
      <w:r w:rsidR="0014315D" w:rsidRPr="007D3F43">
        <w:rPr>
          <w:rFonts w:asciiTheme="minorHAnsi" w:hAnsiTheme="minorHAnsi" w:cstheme="minorHAnsi"/>
          <w:shd w:val="clear" w:color="auto" w:fill="FFFFFF" w:themeFill="background1"/>
        </w:rPr>
        <w:t>zpoplatněné úseky</w:t>
      </w:r>
      <w:r w:rsidR="00C969B5">
        <w:rPr>
          <w:rFonts w:asciiTheme="minorHAnsi" w:hAnsiTheme="minorHAnsi" w:cstheme="minorHAnsi"/>
          <w:shd w:val="clear" w:color="auto" w:fill="FFFFFF" w:themeFill="background1"/>
        </w:rPr>
        <w:t xml:space="preserve"> (</w:t>
      </w:r>
      <w:r w:rsidR="0014315D" w:rsidRPr="007D3F43">
        <w:rPr>
          <w:rFonts w:asciiTheme="minorHAnsi" w:hAnsiTheme="minorHAnsi" w:cstheme="minorHAnsi"/>
          <w:shd w:val="clear" w:color="auto" w:fill="FFFFFF" w:themeFill="background1"/>
        </w:rPr>
        <w:t xml:space="preserve">viz </w:t>
      </w:r>
      <w:r w:rsidR="007D3F43">
        <w:rPr>
          <w:rFonts w:asciiTheme="minorHAnsi" w:hAnsiTheme="minorHAnsi" w:cstheme="minorHAnsi"/>
          <w:shd w:val="clear" w:color="auto" w:fill="FFFFFF" w:themeFill="background1"/>
        </w:rPr>
        <w:t>graf</w:t>
      </w:r>
      <w:r w:rsidR="0014315D" w:rsidRPr="007D3F43">
        <w:rPr>
          <w:rFonts w:asciiTheme="minorHAnsi" w:hAnsiTheme="minorHAnsi" w:cstheme="minorHAnsi"/>
          <w:shd w:val="clear" w:color="auto" w:fill="FFFFFF" w:themeFill="background1"/>
        </w:rPr>
        <w:t xml:space="preserve"> č. </w:t>
      </w:r>
      <w:r w:rsidR="004D253D" w:rsidRPr="00237396">
        <w:rPr>
          <w:rFonts w:asciiTheme="minorHAnsi" w:hAnsiTheme="minorHAnsi" w:cstheme="minorHAnsi"/>
          <w:shd w:val="clear" w:color="auto" w:fill="FFFFFF" w:themeFill="background1"/>
        </w:rPr>
        <w:t>2</w:t>
      </w:r>
      <w:r w:rsidR="00C969B5">
        <w:rPr>
          <w:rFonts w:asciiTheme="minorHAnsi" w:hAnsiTheme="minorHAnsi" w:cstheme="minorHAnsi"/>
          <w:shd w:val="clear" w:color="auto" w:fill="FFFFFF" w:themeFill="background1"/>
        </w:rPr>
        <w:t>)</w:t>
      </w:r>
      <w:r w:rsidR="0014315D" w:rsidRPr="007D3F43">
        <w:rPr>
          <w:rFonts w:asciiTheme="minorHAnsi" w:hAnsiTheme="minorHAnsi" w:cstheme="minorHAnsi"/>
          <w:shd w:val="clear" w:color="auto" w:fill="FFFFFF" w:themeFill="background1"/>
        </w:rPr>
        <w:t xml:space="preserve">. To </w:t>
      </w:r>
      <w:r w:rsidR="00CE3837">
        <w:rPr>
          <w:rFonts w:asciiTheme="minorHAnsi" w:hAnsiTheme="minorHAnsi" w:cstheme="minorHAnsi"/>
          <w:shd w:val="clear" w:color="auto" w:fill="FFFFFF" w:themeFill="background1"/>
        </w:rPr>
        <w:t>znemožňuje</w:t>
      </w:r>
      <w:r w:rsidR="0014315D" w:rsidRPr="007D3F43">
        <w:rPr>
          <w:rFonts w:asciiTheme="minorHAnsi" w:hAnsiTheme="minorHAnsi" w:cstheme="minorHAnsi"/>
          <w:shd w:val="clear" w:color="auto" w:fill="FFFFFF" w:themeFill="background1"/>
        </w:rPr>
        <w:t xml:space="preserve"> zvýšit vážen</w:t>
      </w:r>
      <w:r w:rsidR="004770D7" w:rsidRPr="007D3F43">
        <w:rPr>
          <w:rFonts w:asciiTheme="minorHAnsi" w:hAnsiTheme="minorHAnsi" w:cstheme="minorHAnsi"/>
          <w:shd w:val="clear" w:color="auto" w:fill="FFFFFF" w:themeFill="background1"/>
        </w:rPr>
        <w:t>é</w:t>
      </w:r>
      <w:r w:rsidR="0014315D" w:rsidRPr="007D3F43">
        <w:rPr>
          <w:rFonts w:asciiTheme="minorHAnsi" w:hAnsiTheme="minorHAnsi" w:cstheme="minorHAnsi"/>
          <w:shd w:val="clear" w:color="auto" w:fill="FFFFFF" w:themeFill="background1"/>
        </w:rPr>
        <w:t xml:space="preserve"> průměrné mýtné</w:t>
      </w:r>
      <w:r w:rsidR="00E6762A" w:rsidRPr="007D3F43">
        <w:rPr>
          <w:rFonts w:asciiTheme="minorHAnsi" w:hAnsiTheme="minorHAnsi" w:cstheme="minorHAnsi"/>
          <w:shd w:val="clear" w:color="auto" w:fill="FFFFFF" w:themeFill="background1"/>
        </w:rPr>
        <w:t xml:space="preserve"> za pozemní</w:t>
      </w:r>
      <w:r w:rsidR="00C969B5">
        <w:rPr>
          <w:rFonts w:asciiTheme="minorHAnsi" w:hAnsiTheme="minorHAnsi" w:cstheme="minorHAnsi"/>
        </w:rPr>
        <w:t xml:space="preserve"> komunikace.</w:t>
      </w:r>
      <w:r w:rsidR="00E6762A">
        <w:rPr>
          <w:rFonts w:asciiTheme="minorHAnsi" w:hAnsiTheme="minorHAnsi" w:cstheme="minorHAnsi"/>
        </w:rPr>
        <w:t xml:space="preserve"> </w:t>
      </w:r>
      <w:r w:rsidR="00C969B5">
        <w:rPr>
          <w:rFonts w:asciiTheme="minorHAnsi" w:hAnsiTheme="minorHAnsi" w:cstheme="minorHAnsi"/>
        </w:rPr>
        <w:t xml:space="preserve">MD </w:t>
      </w:r>
      <w:r w:rsidR="00AB6D06">
        <w:rPr>
          <w:rFonts w:asciiTheme="minorHAnsi" w:hAnsiTheme="minorHAnsi" w:cstheme="minorHAnsi"/>
        </w:rPr>
        <w:t xml:space="preserve">tak </w:t>
      </w:r>
      <w:r w:rsidR="00C969B5">
        <w:rPr>
          <w:rFonts w:asciiTheme="minorHAnsi" w:hAnsiTheme="minorHAnsi" w:cstheme="minorHAnsi"/>
        </w:rPr>
        <w:t>mů</w:t>
      </w:r>
      <w:r w:rsidR="0014315D">
        <w:rPr>
          <w:rFonts w:asciiTheme="minorHAnsi" w:hAnsiTheme="minorHAnsi" w:cstheme="minorHAnsi"/>
        </w:rPr>
        <w:t xml:space="preserve">že upravovat </w:t>
      </w:r>
      <w:r w:rsidR="00AB6D06">
        <w:rPr>
          <w:rFonts w:asciiTheme="minorHAnsi" w:hAnsiTheme="minorHAnsi" w:cstheme="minorHAnsi"/>
        </w:rPr>
        <w:t xml:space="preserve">pouze </w:t>
      </w:r>
      <w:r w:rsidR="003815E9">
        <w:rPr>
          <w:rFonts w:asciiTheme="minorHAnsi" w:hAnsiTheme="minorHAnsi" w:cstheme="minorHAnsi"/>
        </w:rPr>
        <w:t>vzájemné odstupňování mezi jednotlivými mýtnými sazbami</w:t>
      </w:r>
      <w:r w:rsidR="005D1E59">
        <w:rPr>
          <w:rFonts w:asciiTheme="minorHAnsi" w:hAnsiTheme="minorHAnsi" w:cstheme="minorHAnsi"/>
        </w:rPr>
        <w:t>.</w:t>
      </w:r>
      <w:r w:rsidR="0014315D">
        <w:rPr>
          <w:rFonts w:asciiTheme="minorHAnsi" w:hAnsiTheme="minorHAnsi" w:cstheme="minorHAnsi"/>
        </w:rPr>
        <w:t xml:space="preserve"> </w:t>
      </w:r>
    </w:p>
    <w:p w14:paraId="5F853116" w14:textId="77777777" w:rsidR="007D3F43" w:rsidRPr="00DD1CE5" w:rsidRDefault="00D25C25" w:rsidP="00D25C25">
      <w:pPr>
        <w:pStyle w:val="Graf"/>
      </w:pPr>
      <w:r>
        <w:rPr>
          <w:noProof/>
        </w:rPr>
        <w:drawing>
          <wp:anchor distT="0" distB="0" distL="114300" distR="114300" simplePos="0" relativeHeight="251659264" behindDoc="1" locked="0" layoutInCell="1" allowOverlap="1" wp14:anchorId="1D432F57" wp14:editId="357BD866">
            <wp:simplePos x="0" y="0"/>
            <wp:positionH relativeFrom="column">
              <wp:posOffset>-41910</wp:posOffset>
            </wp:positionH>
            <wp:positionV relativeFrom="paragraph">
              <wp:posOffset>210820</wp:posOffset>
            </wp:positionV>
            <wp:extent cx="5486400" cy="1701165"/>
            <wp:effectExtent l="0" t="0" r="0" b="0"/>
            <wp:wrapTopAndBottom/>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t xml:space="preserve">Graf č. 2: </w:t>
      </w:r>
      <w:r>
        <w:tab/>
      </w:r>
      <w:r w:rsidR="0051469A" w:rsidRPr="00DD1CE5">
        <w:t xml:space="preserve">Vývoj </w:t>
      </w:r>
      <w:r w:rsidR="0051469A" w:rsidRPr="00AC625C">
        <w:t>nákladů</w:t>
      </w:r>
      <w:r w:rsidR="0051469A">
        <w:t xml:space="preserve"> na zpoplatněné pozemní komunikace</w:t>
      </w:r>
      <w:r w:rsidR="0051469A" w:rsidRPr="00DD1CE5">
        <w:t xml:space="preserve"> v</w:t>
      </w:r>
      <w:r>
        <w:t> </w:t>
      </w:r>
      <w:r w:rsidR="0051469A" w:rsidRPr="00DD1CE5">
        <w:t>letech</w:t>
      </w:r>
      <w:r>
        <w:t xml:space="preserve"> </w:t>
      </w:r>
      <w:r w:rsidR="00774760">
        <w:t>2015–</w:t>
      </w:r>
      <w:r w:rsidR="0051469A">
        <w:t>2018 (v mil. Kč)</w:t>
      </w:r>
      <w:r w:rsidR="0051469A" w:rsidRPr="00DD1CE5">
        <w:t xml:space="preserve"> </w:t>
      </w:r>
    </w:p>
    <w:p w14:paraId="13B8F30F" w14:textId="77777777" w:rsidR="007D3F43" w:rsidRPr="00D25C25" w:rsidRDefault="0051469A" w:rsidP="00D25C25">
      <w:pPr>
        <w:autoSpaceDE w:val="0"/>
        <w:autoSpaceDN w:val="0"/>
        <w:adjustRightInd w:val="0"/>
        <w:rPr>
          <w:rFonts w:asciiTheme="minorHAnsi" w:hAnsiTheme="minorHAnsi" w:cstheme="minorHAnsi"/>
          <w:sz w:val="20"/>
          <w:szCs w:val="20"/>
        </w:rPr>
      </w:pPr>
      <w:r w:rsidRPr="00D25C25">
        <w:rPr>
          <w:rFonts w:asciiTheme="minorHAnsi" w:hAnsiTheme="minorHAnsi" w:cstheme="minorHAnsi"/>
          <w:b/>
          <w:sz w:val="20"/>
          <w:szCs w:val="20"/>
        </w:rPr>
        <w:t>Zdroj:</w:t>
      </w:r>
      <w:r w:rsidRPr="00D25C25">
        <w:rPr>
          <w:rFonts w:asciiTheme="minorHAnsi" w:hAnsiTheme="minorHAnsi" w:cstheme="minorHAnsi"/>
          <w:sz w:val="20"/>
          <w:szCs w:val="20"/>
        </w:rPr>
        <w:t xml:space="preserve"> MD. </w:t>
      </w:r>
    </w:p>
    <w:p w14:paraId="395146AA" w14:textId="5BF36326" w:rsidR="008F340C" w:rsidRDefault="0051469A" w:rsidP="00F26919">
      <w:pPr>
        <w:rPr>
          <w:szCs w:val="24"/>
        </w:rPr>
      </w:pPr>
      <w:r w:rsidRPr="00E6762A">
        <w:rPr>
          <w:szCs w:val="24"/>
        </w:rPr>
        <w:t xml:space="preserve">Poplatek za pozemní komunikace je v ČR </w:t>
      </w:r>
      <w:r>
        <w:rPr>
          <w:szCs w:val="24"/>
        </w:rPr>
        <w:t>odstupňován podle emisní normy vozidla a počtu náprav vozidla. NKÚ zkoumal vztah sazeb poplatku mezi emisní normou pro nejekologičtější skupinu vozidel EURO VI</w:t>
      </w:r>
      <w:r w:rsidR="00066B31">
        <w:rPr>
          <w:szCs w:val="24"/>
        </w:rPr>
        <w:t xml:space="preserve"> </w:t>
      </w:r>
      <w:r>
        <w:rPr>
          <w:szCs w:val="24"/>
        </w:rPr>
        <w:t>a nejméně ekologickou skupinou vozidel EURO 0</w:t>
      </w:r>
      <w:r w:rsidR="00172795">
        <w:rPr>
          <w:szCs w:val="24"/>
        </w:rPr>
        <w:t xml:space="preserve"> (</w:t>
      </w:r>
      <w:r>
        <w:rPr>
          <w:szCs w:val="24"/>
        </w:rPr>
        <w:t xml:space="preserve">viz tabulka č. </w:t>
      </w:r>
      <w:r w:rsidR="007D3F43" w:rsidRPr="00237396">
        <w:rPr>
          <w:szCs w:val="24"/>
        </w:rPr>
        <w:t>2</w:t>
      </w:r>
      <w:r w:rsidR="00C969B5" w:rsidRPr="00237396">
        <w:rPr>
          <w:szCs w:val="24"/>
        </w:rPr>
        <w:t>3</w:t>
      </w:r>
      <w:r w:rsidR="00172795" w:rsidRPr="00237396">
        <w:rPr>
          <w:szCs w:val="24"/>
        </w:rPr>
        <w:t>)</w:t>
      </w:r>
      <w:r w:rsidRPr="00237396">
        <w:rPr>
          <w:szCs w:val="24"/>
        </w:rPr>
        <w:t>.</w:t>
      </w:r>
      <w:r w:rsidR="00F250EF">
        <w:rPr>
          <w:szCs w:val="24"/>
        </w:rPr>
        <w:t xml:space="preserve"> Z tabulky je zřejmé, že v ČR je</w:t>
      </w:r>
      <w:r w:rsidR="00C969B5">
        <w:rPr>
          <w:szCs w:val="24"/>
        </w:rPr>
        <w:t xml:space="preserve"> </w:t>
      </w:r>
      <w:r w:rsidR="008A3EB1">
        <w:rPr>
          <w:szCs w:val="24"/>
        </w:rPr>
        <w:t>o</w:t>
      </w:r>
      <w:r w:rsidR="00C969B5">
        <w:rPr>
          <w:szCs w:val="24"/>
        </w:rPr>
        <w:t>proti sousedním státům EU největší rozdíl mezi sazbou</w:t>
      </w:r>
      <w:r w:rsidR="00F250EF">
        <w:rPr>
          <w:szCs w:val="24"/>
        </w:rPr>
        <w:t xml:space="preserve"> poplatku pro vozidla EURO </w:t>
      </w:r>
      <w:r w:rsidR="00C969B5">
        <w:rPr>
          <w:szCs w:val="24"/>
        </w:rPr>
        <w:t>VI</w:t>
      </w:r>
      <w:r w:rsidR="00F250EF">
        <w:rPr>
          <w:szCs w:val="24"/>
        </w:rPr>
        <w:t xml:space="preserve"> (EEV) </w:t>
      </w:r>
      <w:r w:rsidR="00C969B5">
        <w:rPr>
          <w:szCs w:val="24"/>
        </w:rPr>
        <w:t xml:space="preserve">a </w:t>
      </w:r>
      <w:r w:rsidR="00AD4D5E">
        <w:rPr>
          <w:szCs w:val="24"/>
        </w:rPr>
        <w:t xml:space="preserve">vozidla </w:t>
      </w:r>
      <w:r w:rsidR="00C969B5">
        <w:rPr>
          <w:szCs w:val="24"/>
        </w:rPr>
        <w:t>EURO 0</w:t>
      </w:r>
      <w:r w:rsidR="00AD4D5E">
        <w:rPr>
          <w:szCs w:val="24"/>
        </w:rPr>
        <w:t xml:space="preserve"> a že ČR uplatňuje vyjma Polska nejnižší sazbu poplatku pro vozidla EURO VI. </w:t>
      </w:r>
      <w:r>
        <w:rPr>
          <w:szCs w:val="24"/>
        </w:rPr>
        <w:t xml:space="preserve"> </w:t>
      </w:r>
    </w:p>
    <w:p w14:paraId="7E10B4C8" w14:textId="62D42027" w:rsidR="00F26919" w:rsidRPr="00DE5CBE" w:rsidRDefault="00D25C25" w:rsidP="00D25C25">
      <w:pPr>
        <w:pStyle w:val="Tabulka"/>
        <w:numPr>
          <w:ilvl w:val="0"/>
          <w:numId w:val="0"/>
        </w:numPr>
        <w:spacing w:before="120" w:after="40"/>
        <w:ind w:left="1446" w:hanging="1446"/>
      </w:pPr>
      <w:r>
        <w:t xml:space="preserve">Tabulka č. 23: </w:t>
      </w:r>
      <w:r>
        <w:tab/>
      </w:r>
      <w:r w:rsidR="0051469A">
        <w:t xml:space="preserve">Ukazatele porovnání nastavení sazeb mýtného sytému v ČR a sousedních státech </w:t>
      </w:r>
      <w:r w:rsidR="00AD4D5E">
        <w:t>(</w:t>
      </w:r>
      <w:r w:rsidR="00567389">
        <w:t>v €</w:t>
      </w:r>
      <w:r w:rsidR="00AD4D5E">
        <w:t>, %)</w:t>
      </w:r>
    </w:p>
    <w:tbl>
      <w:tblPr>
        <w:tblStyle w:val="Mkatabulky"/>
        <w:tblW w:w="9067" w:type="dxa"/>
        <w:tblLook w:val="04A0" w:firstRow="1" w:lastRow="0" w:firstColumn="1" w:lastColumn="0" w:noHBand="0" w:noVBand="1"/>
      </w:tblPr>
      <w:tblGrid>
        <w:gridCol w:w="1510"/>
        <w:gridCol w:w="2313"/>
        <w:gridCol w:w="1701"/>
        <w:gridCol w:w="2268"/>
        <w:gridCol w:w="1275"/>
      </w:tblGrid>
      <w:tr w:rsidR="00121435" w14:paraId="459370CC" w14:textId="77777777" w:rsidTr="004D253D">
        <w:tc>
          <w:tcPr>
            <w:tcW w:w="1510" w:type="dxa"/>
            <w:shd w:val="clear" w:color="auto" w:fill="E5F1FF"/>
            <w:vAlign w:val="center"/>
          </w:tcPr>
          <w:p w14:paraId="61F4525E" w14:textId="77777777" w:rsidR="00F26919" w:rsidRPr="005E4032" w:rsidRDefault="0051469A" w:rsidP="004D253D">
            <w:pPr>
              <w:spacing w:after="0"/>
              <w:jc w:val="center"/>
              <w:rPr>
                <w:rFonts w:cs="Calibri"/>
                <w:b/>
                <w:bCs/>
                <w:color w:val="000000"/>
                <w:sz w:val="20"/>
                <w:szCs w:val="20"/>
                <w:lang w:eastAsia="cs-CZ"/>
              </w:rPr>
            </w:pPr>
            <w:r w:rsidRPr="005E4032">
              <w:rPr>
                <w:rFonts w:cs="Calibri"/>
                <w:b/>
                <w:bCs/>
                <w:color w:val="000000"/>
                <w:sz w:val="20"/>
                <w:szCs w:val="20"/>
                <w:lang w:eastAsia="cs-CZ"/>
              </w:rPr>
              <w:t>Země</w:t>
            </w:r>
          </w:p>
        </w:tc>
        <w:tc>
          <w:tcPr>
            <w:tcW w:w="2313" w:type="dxa"/>
            <w:shd w:val="clear" w:color="auto" w:fill="E5F1FF"/>
            <w:vAlign w:val="center"/>
          </w:tcPr>
          <w:p w14:paraId="7508C7C5" w14:textId="77777777" w:rsidR="00F26919" w:rsidRPr="005E4032" w:rsidRDefault="0051469A" w:rsidP="004D253D">
            <w:pPr>
              <w:spacing w:after="0"/>
              <w:jc w:val="center"/>
              <w:rPr>
                <w:rFonts w:cs="Calibri"/>
                <w:b/>
                <w:bCs/>
                <w:color w:val="000000"/>
                <w:sz w:val="20"/>
                <w:szCs w:val="20"/>
                <w:lang w:eastAsia="cs-CZ"/>
              </w:rPr>
            </w:pPr>
            <w:r>
              <w:rPr>
                <w:rFonts w:cs="Calibri"/>
                <w:b/>
                <w:bCs/>
                <w:color w:val="000000"/>
                <w:sz w:val="20"/>
                <w:szCs w:val="20"/>
                <w:lang w:eastAsia="cs-CZ"/>
              </w:rPr>
              <w:t>N</w:t>
            </w:r>
            <w:r w:rsidRPr="005E4032">
              <w:rPr>
                <w:rFonts w:cs="Calibri"/>
                <w:b/>
                <w:bCs/>
                <w:color w:val="000000"/>
                <w:sz w:val="20"/>
                <w:szCs w:val="20"/>
                <w:lang w:eastAsia="cs-CZ"/>
              </w:rPr>
              <w:t>ejnižší/ nejvyšší sazba</w:t>
            </w:r>
            <w:r w:rsidR="004D253D">
              <w:rPr>
                <w:rFonts w:cs="Calibri"/>
                <w:b/>
                <w:bCs/>
                <w:color w:val="000000"/>
                <w:sz w:val="20"/>
                <w:szCs w:val="20"/>
                <w:lang w:eastAsia="cs-CZ"/>
              </w:rPr>
              <w:t xml:space="preserve"> (</w:t>
            </w:r>
            <w:r w:rsidRPr="005E4032">
              <w:rPr>
                <w:rFonts w:cs="Calibri"/>
                <w:b/>
                <w:bCs/>
                <w:color w:val="000000"/>
                <w:sz w:val="20"/>
                <w:szCs w:val="20"/>
                <w:lang w:eastAsia="cs-CZ"/>
              </w:rPr>
              <w:t>%</w:t>
            </w:r>
            <w:r w:rsidR="004D253D">
              <w:rPr>
                <w:rFonts w:cs="Calibri"/>
                <w:b/>
                <w:bCs/>
                <w:color w:val="000000"/>
                <w:sz w:val="20"/>
                <w:szCs w:val="20"/>
                <w:lang w:eastAsia="cs-CZ"/>
              </w:rPr>
              <w:t>)</w:t>
            </w:r>
          </w:p>
        </w:tc>
        <w:tc>
          <w:tcPr>
            <w:tcW w:w="1701" w:type="dxa"/>
            <w:shd w:val="clear" w:color="auto" w:fill="E5F1FF"/>
            <w:vAlign w:val="center"/>
          </w:tcPr>
          <w:p w14:paraId="6CE4D8C9" w14:textId="72CEB2A1" w:rsidR="00F26919" w:rsidRPr="005E4032" w:rsidRDefault="0051469A" w:rsidP="00567389">
            <w:pPr>
              <w:spacing w:after="0"/>
              <w:jc w:val="center"/>
              <w:rPr>
                <w:rFonts w:cs="Calibri"/>
                <w:b/>
                <w:bCs/>
                <w:color w:val="000000"/>
                <w:sz w:val="20"/>
                <w:szCs w:val="20"/>
                <w:lang w:eastAsia="cs-CZ"/>
              </w:rPr>
            </w:pPr>
            <w:r>
              <w:rPr>
                <w:rFonts w:cs="Calibri"/>
                <w:b/>
                <w:bCs/>
                <w:color w:val="000000"/>
                <w:sz w:val="20"/>
                <w:szCs w:val="20"/>
                <w:lang w:eastAsia="cs-CZ"/>
              </w:rPr>
              <w:t xml:space="preserve">EURO </w:t>
            </w:r>
            <w:r w:rsidRPr="005E4032">
              <w:rPr>
                <w:rFonts w:cs="Calibri"/>
                <w:b/>
                <w:bCs/>
                <w:color w:val="000000"/>
                <w:sz w:val="20"/>
                <w:szCs w:val="20"/>
                <w:lang w:eastAsia="cs-CZ"/>
              </w:rPr>
              <w:t>0</w:t>
            </w:r>
            <w:r>
              <w:rPr>
                <w:rFonts w:cs="Calibri"/>
                <w:b/>
                <w:bCs/>
                <w:color w:val="000000"/>
                <w:sz w:val="20"/>
                <w:szCs w:val="20"/>
                <w:lang w:eastAsia="cs-CZ"/>
              </w:rPr>
              <w:t xml:space="preserve"> (</w:t>
            </w:r>
            <w:r w:rsidR="00567389">
              <w:rPr>
                <w:rFonts w:cs="Calibri"/>
                <w:b/>
                <w:bCs/>
                <w:color w:val="000000"/>
                <w:sz w:val="20"/>
                <w:szCs w:val="20"/>
                <w:lang w:eastAsia="cs-CZ"/>
              </w:rPr>
              <w:t>€</w:t>
            </w:r>
            <w:r w:rsidRPr="005E4032">
              <w:rPr>
                <w:rFonts w:cs="Calibri"/>
                <w:b/>
                <w:bCs/>
                <w:color w:val="000000"/>
                <w:sz w:val="20"/>
                <w:szCs w:val="20"/>
                <w:lang w:eastAsia="cs-CZ"/>
              </w:rPr>
              <w:t>/km</w:t>
            </w:r>
            <w:r>
              <w:rPr>
                <w:rFonts w:cs="Calibri"/>
                <w:b/>
                <w:bCs/>
                <w:color w:val="000000"/>
                <w:sz w:val="20"/>
                <w:szCs w:val="20"/>
                <w:lang w:eastAsia="cs-CZ"/>
              </w:rPr>
              <w:t>)</w:t>
            </w:r>
            <w:r w:rsidRPr="005E4032">
              <w:rPr>
                <w:rFonts w:cs="Calibri"/>
                <w:b/>
                <w:bCs/>
                <w:color w:val="000000"/>
                <w:sz w:val="20"/>
                <w:szCs w:val="20"/>
                <w:lang w:eastAsia="cs-CZ"/>
              </w:rPr>
              <w:t xml:space="preserve"> </w:t>
            </w:r>
          </w:p>
        </w:tc>
        <w:tc>
          <w:tcPr>
            <w:tcW w:w="2268" w:type="dxa"/>
            <w:shd w:val="clear" w:color="auto" w:fill="E5F1FF"/>
            <w:vAlign w:val="center"/>
          </w:tcPr>
          <w:p w14:paraId="225D798D" w14:textId="0B793996" w:rsidR="00F26919" w:rsidRPr="005E4032" w:rsidRDefault="0051469A" w:rsidP="004D253D">
            <w:pPr>
              <w:spacing w:after="0"/>
              <w:jc w:val="center"/>
              <w:rPr>
                <w:rFonts w:cs="Calibri"/>
                <w:b/>
                <w:bCs/>
                <w:color w:val="000000"/>
                <w:sz w:val="20"/>
                <w:szCs w:val="20"/>
                <w:lang w:eastAsia="cs-CZ"/>
              </w:rPr>
            </w:pPr>
            <w:r>
              <w:rPr>
                <w:rFonts w:cs="Calibri"/>
                <w:b/>
                <w:bCs/>
                <w:color w:val="000000"/>
                <w:sz w:val="20"/>
                <w:szCs w:val="20"/>
                <w:lang w:eastAsia="cs-CZ"/>
              </w:rPr>
              <w:t>EURO VI a EEV (</w:t>
            </w:r>
            <w:r w:rsidR="00567389" w:rsidRPr="005E4032">
              <w:rPr>
                <w:rFonts w:cs="Calibri"/>
                <w:b/>
                <w:bCs/>
                <w:color w:val="000000"/>
                <w:sz w:val="20"/>
                <w:szCs w:val="20"/>
                <w:lang w:eastAsia="cs-CZ"/>
              </w:rPr>
              <w:t>eur</w:t>
            </w:r>
            <w:r w:rsidR="00567389">
              <w:rPr>
                <w:rFonts w:cs="Calibri"/>
                <w:b/>
                <w:bCs/>
                <w:color w:val="000000"/>
                <w:sz w:val="20"/>
                <w:szCs w:val="20"/>
                <w:lang w:eastAsia="cs-CZ"/>
              </w:rPr>
              <w:t>€</w:t>
            </w:r>
            <w:r w:rsidRPr="005E4032">
              <w:rPr>
                <w:rFonts w:cs="Calibri"/>
                <w:b/>
                <w:bCs/>
                <w:color w:val="000000"/>
                <w:sz w:val="20"/>
                <w:szCs w:val="20"/>
                <w:lang w:eastAsia="cs-CZ"/>
              </w:rPr>
              <w:t>/km</w:t>
            </w:r>
            <w:r>
              <w:rPr>
                <w:rFonts w:cs="Calibri"/>
                <w:b/>
                <w:bCs/>
                <w:color w:val="000000"/>
                <w:sz w:val="20"/>
                <w:szCs w:val="20"/>
                <w:lang w:eastAsia="cs-CZ"/>
              </w:rPr>
              <w:t>)</w:t>
            </w:r>
          </w:p>
        </w:tc>
        <w:tc>
          <w:tcPr>
            <w:tcW w:w="1275" w:type="dxa"/>
            <w:shd w:val="clear" w:color="auto" w:fill="E5F1FF"/>
            <w:vAlign w:val="center"/>
          </w:tcPr>
          <w:p w14:paraId="770CEAAA" w14:textId="77777777" w:rsidR="00F26919" w:rsidRPr="005E4032" w:rsidRDefault="0051469A" w:rsidP="004D253D">
            <w:pPr>
              <w:spacing w:after="0"/>
              <w:jc w:val="center"/>
              <w:rPr>
                <w:rFonts w:cs="Calibri"/>
                <w:b/>
                <w:bCs/>
                <w:color w:val="000000"/>
                <w:sz w:val="20"/>
                <w:szCs w:val="20"/>
                <w:lang w:eastAsia="cs-CZ"/>
              </w:rPr>
            </w:pPr>
            <w:r>
              <w:rPr>
                <w:rFonts w:cs="Calibri"/>
                <w:b/>
                <w:bCs/>
                <w:color w:val="000000"/>
                <w:sz w:val="20"/>
                <w:szCs w:val="20"/>
                <w:lang w:eastAsia="cs-CZ"/>
              </w:rPr>
              <w:t>Externí</w:t>
            </w:r>
            <w:r w:rsidRPr="005E4032">
              <w:rPr>
                <w:rFonts w:cs="Calibri"/>
                <w:b/>
                <w:bCs/>
                <w:color w:val="000000"/>
                <w:sz w:val="20"/>
                <w:szCs w:val="20"/>
                <w:lang w:eastAsia="cs-CZ"/>
              </w:rPr>
              <w:t xml:space="preserve"> náklad</w:t>
            </w:r>
            <w:r>
              <w:rPr>
                <w:rFonts w:cs="Calibri"/>
                <w:b/>
                <w:bCs/>
                <w:color w:val="000000"/>
                <w:sz w:val="20"/>
                <w:szCs w:val="20"/>
                <w:lang w:eastAsia="cs-CZ"/>
              </w:rPr>
              <w:t>y</w:t>
            </w:r>
            <w:r w:rsidRPr="005E4032">
              <w:rPr>
                <w:rFonts w:cs="Calibri"/>
                <w:b/>
                <w:bCs/>
                <w:color w:val="000000"/>
                <w:sz w:val="20"/>
                <w:szCs w:val="20"/>
                <w:lang w:eastAsia="cs-CZ"/>
              </w:rPr>
              <w:t xml:space="preserve"> </w:t>
            </w:r>
          </w:p>
        </w:tc>
      </w:tr>
      <w:tr w:rsidR="00121435" w14:paraId="16BF1BF6" w14:textId="77777777" w:rsidTr="004D253D">
        <w:tc>
          <w:tcPr>
            <w:tcW w:w="1510" w:type="dxa"/>
            <w:vAlign w:val="center"/>
          </w:tcPr>
          <w:p w14:paraId="445B1175" w14:textId="77777777" w:rsidR="00F26919" w:rsidRPr="005E4032" w:rsidRDefault="0051469A" w:rsidP="004D253D">
            <w:pPr>
              <w:spacing w:after="0"/>
              <w:jc w:val="left"/>
              <w:rPr>
                <w:rFonts w:cs="Calibri"/>
                <w:color w:val="000000"/>
                <w:sz w:val="20"/>
                <w:szCs w:val="20"/>
                <w:lang w:eastAsia="cs-CZ"/>
              </w:rPr>
            </w:pPr>
            <w:r>
              <w:rPr>
                <w:rFonts w:cs="Calibri"/>
                <w:color w:val="000000"/>
                <w:sz w:val="20"/>
                <w:szCs w:val="20"/>
                <w:lang w:eastAsia="cs-CZ"/>
              </w:rPr>
              <w:t>ČR</w:t>
            </w:r>
          </w:p>
        </w:tc>
        <w:tc>
          <w:tcPr>
            <w:tcW w:w="2313" w:type="dxa"/>
            <w:vAlign w:val="bottom"/>
          </w:tcPr>
          <w:p w14:paraId="74B99D0D"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50</w:t>
            </w:r>
          </w:p>
        </w:tc>
        <w:tc>
          <w:tcPr>
            <w:tcW w:w="1701" w:type="dxa"/>
            <w:vAlign w:val="center"/>
          </w:tcPr>
          <w:p w14:paraId="0FCAFCFA"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0,32</w:t>
            </w:r>
          </w:p>
        </w:tc>
        <w:tc>
          <w:tcPr>
            <w:tcW w:w="2268" w:type="dxa"/>
            <w:vAlign w:val="center"/>
          </w:tcPr>
          <w:p w14:paraId="7957C308"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0,16</w:t>
            </w:r>
          </w:p>
        </w:tc>
        <w:tc>
          <w:tcPr>
            <w:tcW w:w="1275" w:type="dxa"/>
            <w:vAlign w:val="center"/>
          </w:tcPr>
          <w:p w14:paraId="36E1FD4C" w14:textId="3CE7CA22" w:rsidR="00F26919" w:rsidRPr="005E4032" w:rsidRDefault="00567389" w:rsidP="004D253D">
            <w:pPr>
              <w:spacing w:after="0"/>
              <w:jc w:val="center"/>
              <w:rPr>
                <w:rFonts w:cs="Calibri"/>
                <w:color w:val="000000"/>
                <w:sz w:val="20"/>
                <w:szCs w:val="20"/>
                <w:lang w:eastAsia="cs-CZ"/>
              </w:rPr>
            </w:pPr>
            <w:r>
              <w:rPr>
                <w:rFonts w:cs="Calibri"/>
                <w:color w:val="000000"/>
                <w:sz w:val="20"/>
                <w:szCs w:val="20"/>
                <w:lang w:eastAsia="cs-CZ"/>
              </w:rPr>
              <w:t>N</w:t>
            </w:r>
            <w:r w:rsidR="0051469A" w:rsidRPr="005E4032">
              <w:rPr>
                <w:rFonts w:cs="Calibri"/>
                <w:color w:val="000000"/>
                <w:sz w:val="20"/>
                <w:szCs w:val="20"/>
                <w:lang w:eastAsia="cs-CZ"/>
              </w:rPr>
              <w:t>e</w:t>
            </w:r>
          </w:p>
        </w:tc>
      </w:tr>
      <w:tr w:rsidR="00121435" w14:paraId="022123DB" w14:textId="77777777" w:rsidTr="004D253D">
        <w:tc>
          <w:tcPr>
            <w:tcW w:w="1510" w:type="dxa"/>
            <w:vAlign w:val="center"/>
          </w:tcPr>
          <w:p w14:paraId="3CA06D8E" w14:textId="77777777" w:rsidR="00F26919" w:rsidRPr="005E4032" w:rsidRDefault="0051469A" w:rsidP="004D253D">
            <w:pPr>
              <w:spacing w:after="0"/>
              <w:jc w:val="left"/>
              <w:rPr>
                <w:rFonts w:cs="Calibri"/>
                <w:color w:val="000000"/>
                <w:sz w:val="20"/>
                <w:szCs w:val="20"/>
                <w:lang w:eastAsia="cs-CZ"/>
              </w:rPr>
            </w:pPr>
            <w:r w:rsidRPr="005E4032">
              <w:rPr>
                <w:rFonts w:cs="Calibri"/>
                <w:color w:val="000000"/>
                <w:sz w:val="20"/>
                <w:szCs w:val="20"/>
                <w:lang w:eastAsia="cs-CZ"/>
              </w:rPr>
              <w:t>Polsko</w:t>
            </w:r>
          </w:p>
        </w:tc>
        <w:tc>
          <w:tcPr>
            <w:tcW w:w="2313" w:type="dxa"/>
            <w:vAlign w:val="bottom"/>
          </w:tcPr>
          <w:p w14:paraId="7197BB79"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51</w:t>
            </w:r>
          </w:p>
        </w:tc>
        <w:tc>
          <w:tcPr>
            <w:tcW w:w="1701" w:type="dxa"/>
            <w:vAlign w:val="center"/>
          </w:tcPr>
          <w:p w14:paraId="64FFF775"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0,12</w:t>
            </w:r>
          </w:p>
        </w:tc>
        <w:tc>
          <w:tcPr>
            <w:tcW w:w="2268" w:type="dxa"/>
            <w:vAlign w:val="center"/>
          </w:tcPr>
          <w:p w14:paraId="4AC52FED"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0,06</w:t>
            </w:r>
          </w:p>
        </w:tc>
        <w:tc>
          <w:tcPr>
            <w:tcW w:w="1275" w:type="dxa"/>
            <w:vAlign w:val="center"/>
          </w:tcPr>
          <w:p w14:paraId="09CC6A92" w14:textId="38AD67FC" w:rsidR="00F26919" w:rsidRPr="005E4032" w:rsidRDefault="00567389" w:rsidP="004D253D">
            <w:pPr>
              <w:spacing w:after="0"/>
              <w:jc w:val="center"/>
              <w:rPr>
                <w:rFonts w:cs="Calibri"/>
                <w:color w:val="000000"/>
                <w:sz w:val="20"/>
                <w:szCs w:val="20"/>
                <w:lang w:eastAsia="cs-CZ"/>
              </w:rPr>
            </w:pPr>
            <w:r>
              <w:rPr>
                <w:rFonts w:cs="Calibri"/>
                <w:color w:val="000000"/>
                <w:sz w:val="20"/>
                <w:szCs w:val="20"/>
                <w:lang w:eastAsia="cs-CZ"/>
              </w:rPr>
              <w:t>N</w:t>
            </w:r>
            <w:r w:rsidR="0051469A" w:rsidRPr="005E4032">
              <w:rPr>
                <w:rFonts w:cs="Calibri"/>
                <w:color w:val="000000"/>
                <w:sz w:val="20"/>
                <w:szCs w:val="20"/>
                <w:lang w:eastAsia="cs-CZ"/>
              </w:rPr>
              <w:t>e</w:t>
            </w:r>
          </w:p>
        </w:tc>
      </w:tr>
      <w:tr w:rsidR="00121435" w14:paraId="1D25AEC6" w14:textId="77777777" w:rsidTr="004D253D">
        <w:tc>
          <w:tcPr>
            <w:tcW w:w="1510" w:type="dxa"/>
            <w:vAlign w:val="center"/>
          </w:tcPr>
          <w:p w14:paraId="4C69409B" w14:textId="06D1DDFB" w:rsidR="00F26919" w:rsidRPr="005E4032" w:rsidRDefault="0051469A" w:rsidP="004D253D">
            <w:pPr>
              <w:spacing w:after="0"/>
              <w:jc w:val="left"/>
              <w:rPr>
                <w:rFonts w:cs="Calibri"/>
                <w:color w:val="000000"/>
                <w:sz w:val="20"/>
                <w:szCs w:val="20"/>
                <w:lang w:eastAsia="cs-CZ"/>
              </w:rPr>
            </w:pPr>
            <w:r w:rsidRPr="005E4032">
              <w:rPr>
                <w:rFonts w:cs="Calibri"/>
                <w:color w:val="000000"/>
                <w:sz w:val="20"/>
                <w:szCs w:val="20"/>
                <w:lang w:eastAsia="cs-CZ"/>
              </w:rPr>
              <w:t>Slovensko</w:t>
            </w:r>
            <w:r w:rsidR="00567389" w:rsidRPr="00F03935">
              <w:rPr>
                <w:rFonts w:cs="Calibri"/>
                <w:color w:val="000000"/>
                <w:sz w:val="20"/>
                <w:szCs w:val="20"/>
                <w:vertAlign w:val="superscript"/>
                <w:lang w:eastAsia="cs-CZ"/>
              </w:rPr>
              <w:t>1</w:t>
            </w:r>
          </w:p>
        </w:tc>
        <w:tc>
          <w:tcPr>
            <w:tcW w:w="2313" w:type="dxa"/>
            <w:vAlign w:val="bottom"/>
          </w:tcPr>
          <w:p w14:paraId="7CE04F0D"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78</w:t>
            </w:r>
          </w:p>
        </w:tc>
        <w:tc>
          <w:tcPr>
            <w:tcW w:w="1701" w:type="dxa"/>
            <w:vAlign w:val="center"/>
          </w:tcPr>
          <w:p w14:paraId="4445A746"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0,24</w:t>
            </w:r>
          </w:p>
        </w:tc>
        <w:tc>
          <w:tcPr>
            <w:tcW w:w="2268" w:type="dxa"/>
            <w:vAlign w:val="center"/>
          </w:tcPr>
          <w:p w14:paraId="3F2F0484"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0,19</w:t>
            </w:r>
          </w:p>
        </w:tc>
        <w:tc>
          <w:tcPr>
            <w:tcW w:w="1275" w:type="dxa"/>
            <w:vAlign w:val="center"/>
          </w:tcPr>
          <w:p w14:paraId="09CD1EDD" w14:textId="4D65A369" w:rsidR="00F26919" w:rsidRPr="005E4032" w:rsidRDefault="00567389" w:rsidP="004D253D">
            <w:pPr>
              <w:spacing w:after="0"/>
              <w:jc w:val="center"/>
              <w:rPr>
                <w:rFonts w:cs="Calibri"/>
                <w:color w:val="000000"/>
                <w:sz w:val="20"/>
                <w:szCs w:val="20"/>
                <w:lang w:eastAsia="cs-CZ"/>
              </w:rPr>
            </w:pPr>
            <w:r>
              <w:rPr>
                <w:rFonts w:cs="Calibri"/>
                <w:color w:val="000000"/>
                <w:sz w:val="20"/>
                <w:szCs w:val="20"/>
                <w:lang w:eastAsia="cs-CZ"/>
              </w:rPr>
              <w:t>N</w:t>
            </w:r>
            <w:r w:rsidR="0051469A" w:rsidRPr="005E4032">
              <w:rPr>
                <w:rFonts w:cs="Calibri"/>
                <w:color w:val="000000"/>
                <w:sz w:val="20"/>
                <w:szCs w:val="20"/>
                <w:lang w:eastAsia="cs-CZ"/>
              </w:rPr>
              <w:t>e</w:t>
            </w:r>
          </w:p>
        </w:tc>
      </w:tr>
      <w:tr w:rsidR="00121435" w14:paraId="546837A0" w14:textId="77777777" w:rsidTr="004D253D">
        <w:tc>
          <w:tcPr>
            <w:tcW w:w="1510" w:type="dxa"/>
            <w:vAlign w:val="center"/>
          </w:tcPr>
          <w:p w14:paraId="49AE9508" w14:textId="4845C746" w:rsidR="00F26919" w:rsidRPr="005E4032" w:rsidRDefault="0051469A" w:rsidP="004D253D">
            <w:pPr>
              <w:spacing w:after="0"/>
              <w:jc w:val="left"/>
              <w:rPr>
                <w:rFonts w:cs="Calibri"/>
                <w:color w:val="000000"/>
                <w:sz w:val="20"/>
                <w:szCs w:val="20"/>
                <w:lang w:eastAsia="cs-CZ"/>
              </w:rPr>
            </w:pPr>
            <w:r w:rsidRPr="005E4032">
              <w:rPr>
                <w:rFonts w:cs="Calibri"/>
                <w:color w:val="000000"/>
                <w:sz w:val="20"/>
                <w:szCs w:val="20"/>
                <w:lang w:eastAsia="cs-CZ"/>
              </w:rPr>
              <w:t>Rakousko</w:t>
            </w:r>
            <w:r w:rsidR="00567389" w:rsidRPr="00F03935">
              <w:rPr>
                <w:rFonts w:cs="Calibri"/>
                <w:color w:val="000000"/>
                <w:sz w:val="20"/>
                <w:szCs w:val="20"/>
                <w:vertAlign w:val="superscript"/>
                <w:lang w:eastAsia="cs-CZ"/>
              </w:rPr>
              <w:t>1</w:t>
            </w:r>
          </w:p>
        </w:tc>
        <w:tc>
          <w:tcPr>
            <w:tcW w:w="2313" w:type="dxa"/>
            <w:vAlign w:val="center"/>
          </w:tcPr>
          <w:p w14:paraId="49982919"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86</w:t>
            </w:r>
          </w:p>
        </w:tc>
        <w:tc>
          <w:tcPr>
            <w:tcW w:w="1701" w:type="dxa"/>
            <w:vAlign w:val="center"/>
          </w:tcPr>
          <w:p w14:paraId="6D6D9213"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0,46</w:t>
            </w:r>
          </w:p>
        </w:tc>
        <w:tc>
          <w:tcPr>
            <w:tcW w:w="2268" w:type="dxa"/>
            <w:vAlign w:val="center"/>
          </w:tcPr>
          <w:p w14:paraId="1F89D59F"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0,39</w:t>
            </w:r>
          </w:p>
        </w:tc>
        <w:tc>
          <w:tcPr>
            <w:tcW w:w="1275" w:type="dxa"/>
            <w:vAlign w:val="center"/>
          </w:tcPr>
          <w:p w14:paraId="05D4EBD7" w14:textId="54E36FAD" w:rsidR="00F26919" w:rsidRPr="005E4032" w:rsidRDefault="00567389" w:rsidP="004D253D">
            <w:pPr>
              <w:spacing w:after="0"/>
              <w:jc w:val="center"/>
              <w:rPr>
                <w:rFonts w:cs="Calibri"/>
                <w:color w:val="000000"/>
                <w:sz w:val="20"/>
                <w:szCs w:val="20"/>
                <w:lang w:eastAsia="cs-CZ"/>
              </w:rPr>
            </w:pPr>
            <w:r>
              <w:rPr>
                <w:rFonts w:cs="Calibri"/>
                <w:color w:val="000000"/>
                <w:sz w:val="20"/>
                <w:szCs w:val="20"/>
                <w:lang w:eastAsia="cs-CZ"/>
              </w:rPr>
              <w:t>A</w:t>
            </w:r>
            <w:r w:rsidR="0051469A" w:rsidRPr="005E4032">
              <w:rPr>
                <w:rFonts w:cs="Calibri"/>
                <w:color w:val="000000"/>
                <w:sz w:val="20"/>
                <w:szCs w:val="20"/>
                <w:lang w:eastAsia="cs-CZ"/>
              </w:rPr>
              <w:t>no</w:t>
            </w:r>
          </w:p>
        </w:tc>
      </w:tr>
      <w:tr w:rsidR="00121435" w14:paraId="7E8279B7" w14:textId="77777777" w:rsidTr="004D253D">
        <w:tc>
          <w:tcPr>
            <w:tcW w:w="1510" w:type="dxa"/>
            <w:vAlign w:val="center"/>
          </w:tcPr>
          <w:p w14:paraId="3D2AC885" w14:textId="77777777" w:rsidR="00F26919" w:rsidRPr="005E4032" w:rsidRDefault="0051469A" w:rsidP="004D253D">
            <w:pPr>
              <w:spacing w:after="0"/>
              <w:jc w:val="left"/>
              <w:rPr>
                <w:rFonts w:cs="Calibri"/>
                <w:color w:val="000000"/>
                <w:sz w:val="20"/>
                <w:szCs w:val="20"/>
                <w:lang w:eastAsia="cs-CZ"/>
              </w:rPr>
            </w:pPr>
            <w:r w:rsidRPr="005E4032">
              <w:rPr>
                <w:rFonts w:cs="Calibri"/>
                <w:color w:val="000000"/>
                <w:sz w:val="20"/>
                <w:szCs w:val="20"/>
                <w:lang w:eastAsia="cs-CZ"/>
              </w:rPr>
              <w:t>Německo</w:t>
            </w:r>
          </w:p>
        </w:tc>
        <w:tc>
          <w:tcPr>
            <w:tcW w:w="2313" w:type="dxa"/>
            <w:vAlign w:val="center"/>
          </w:tcPr>
          <w:p w14:paraId="2D5B7687"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72</w:t>
            </w:r>
          </w:p>
        </w:tc>
        <w:tc>
          <w:tcPr>
            <w:tcW w:w="1701" w:type="dxa"/>
            <w:vAlign w:val="center"/>
          </w:tcPr>
          <w:p w14:paraId="28DED536"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0,26</w:t>
            </w:r>
          </w:p>
        </w:tc>
        <w:tc>
          <w:tcPr>
            <w:tcW w:w="2268" w:type="dxa"/>
            <w:vAlign w:val="center"/>
          </w:tcPr>
          <w:p w14:paraId="07A64CFD" w14:textId="77777777" w:rsidR="00F26919" w:rsidRPr="005E4032" w:rsidRDefault="0051469A" w:rsidP="004D253D">
            <w:pPr>
              <w:spacing w:after="0"/>
              <w:jc w:val="center"/>
              <w:rPr>
                <w:rFonts w:cs="Calibri"/>
                <w:color w:val="000000"/>
                <w:sz w:val="20"/>
                <w:szCs w:val="20"/>
                <w:lang w:eastAsia="cs-CZ"/>
              </w:rPr>
            </w:pPr>
            <w:r w:rsidRPr="005E4032">
              <w:rPr>
                <w:rFonts w:cs="Calibri"/>
                <w:color w:val="000000"/>
                <w:sz w:val="20"/>
                <w:szCs w:val="20"/>
                <w:lang w:eastAsia="cs-CZ"/>
              </w:rPr>
              <w:t>0,19</w:t>
            </w:r>
          </w:p>
        </w:tc>
        <w:tc>
          <w:tcPr>
            <w:tcW w:w="1275" w:type="dxa"/>
            <w:vAlign w:val="center"/>
          </w:tcPr>
          <w:p w14:paraId="11E44D9F" w14:textId="755C9353" w:rsidR="00F26919" w:rsidRPr="005E4032" w:rsidRDefault="00567389" w:rsidP="004D253D">
            <w:pPr>
              <w:spacing w:after="0"/>
              <w:jc w:val="center"/>
              <w:rPr>
                <w:rFonts w:cs="Calibri"/>
                <w:color w:val="000000"/>
                <w:sz w:val="20"/>
                <w:szCs w:val="20"/>
                <w:lang w:eastAsia="cs-CZ"/>
              </w:rPr>
            </w:pPr>
            <w:r>
              <w:rPr>
                <w:rFonts w:cs="Calibri"/>
                <w:color w:val="000000"/>
                <w:sz w:val="20"/>
                <w:szCs w:val="20"/>
                <w:lang w:eastAsia="cs-CZ"/>
              </w:rPr>
              <w:t>A</w:t>
            </w:r>
            <w:r w:rsidR="0051469A" w:rsidRPr="005E4032">
              <w:rPr>
                <w:rFonts w:cs="Calibri"/>
                <w:color w:val="000000"/>
                <w:sz w:val="20"/>
                <w:szCs w:val="20"/>
                <w:lang w:eastAsia="cs-CZ"/>
              </w:rPr>
              <w:t>no</w:t>
            </w:r>
          </w:p>
        </w:tc>
      </w:tr>
    </w:tbl>
    <w:p w14:paraId="6E846115" w14:textId="1781121F" w:rsidR="00F26919" w:rsidRPr="00D25C25" w:rsidRDefault="0051469A" w:rsidP="00567389">
      <w:pPr>
        <w:spacing w:before="40" w:after="0"/>
        <w:rPr>
          <w:sz w:val="20"/>
          <w:szCs w:val="20"/>
        </w:rPr>
      </w:pPr>
      <w:r w:rsidRPr="00D25C25">
        <w:rPr>
          <w:b/>
          <w:sz w:val="20"/>
          <w:szCs w:val="20"/>
        </w:rPr>
        <w:t>Zdroj:</w:t>
      </w:r>
      <w:r w:rsidRPr="00D25C25">
        <w:rPr>
          <w:sz w:val="20"/>
          <w:szCs w:val="20"/>
        </w:rPr>
        <w:t xml:space="preserve"> </w:t>
      </w:r>
      <w:r w:rsidR="00567389">
        <w:rPr>
          <w:sz w:val="20"/>
          <w:szCs w:val="20"/>
        </w:rPr>
        <w:t>o</w:t>
      </w:r>
      <w:r w:rsidRPr="00D25C25">
        <w:rPr>
          <w:sz w:val="20"/>
          <w:szCs w:val="20"/>
        </w:rPr>
        <w:t>ficiální stránky mýtných systémů dotyčných zemí, vlastní výpočty NKÚ, vlastní zpracování NKÚ</w:t>
      </w:r>
      <w:r w:rsidRPr="00D25C25">
        <w:rPr>
          <w:rStyle w:val="Znakapoznpodarou"/>
          <w:rFonts w:asciiTheme="minorHAnsi" w:hAnsiTheme="minorHAnsi" w:cstheme="minorHAnsi"/>
          <w:lang w:eastAsia="cs-CZ"/>
        </w:rPr>
        <w:footnoteReference w:id="47"/>
      </w:r>
      <w:r w:rsidR="007E6D1A" w:rsidRPr="00D25C25">
        <w:rPr>
          <w:rStyle w:val="Znakapoznpodarou"/>
          <w:rFonts w:asciiTheme="minorHAnsi" w:hAnsiTheme="minorHAnsi" w:cstheme="minorHAnsi"/>
          <w:vertAlign w:val="baseline"/>
          <w:lang w:eastAsia="cs-CZ"/>
        </w:rPr>
        <w:t>.</w:t>
      </w:r>
    </w:p>
    <w:p w14:paraId="31C33AE6" w14:textId="04551D84" w:rsidR="00567389" w:rsidRDefault="00567389" w:rsidP="00567389">
      <w:pPr>
        <w:spacing w:after="0"/>
        <w:rPr>
          <w:b/>
          <w:sz w:val="20"/>
          <w:szCs w:val="20"/>
        </w:rPr>
      </w:pPr>
      <w:r>
        <w:rPr>
          <w:b/>
          <w:sz w:val="20"/>
          <w:szCs w:val="20"/>
        </w:rPr>
        <w:t>Vysvětlivka:</w:t>
      </w:r>
      <w:r w:rsidR="0051469A" w:rsidRPr="00D25C25">
        <w:rPr>
          <w:b/>
          <w:sz w:val="20"/>
          <w:szCs w:val="20"/>
        </w:rPr>
        <w:t xml:space="preserve"> </w:t>
      </w:r>
    </w:p>
    <w:p w14:paraId="678D495A" w14:textId="0D1DDAEE" w:rsidR="00F26919" w:rsidRPr="00D25C25" w:rsidRDefault="00567389" w:rsidP="00D25C25">
      <w:pPr>
        <w:rPr>
          <w:sz w:val="20"/>
          <w:szCs w:val="20"/>
        </w:rPr>
      </w:pPr>
      <w:r w:rsidRPr="00F03935">
        <w:rPr>
          <w:b/>
          <w:sz w:val="20"/>
          <w:szCs w:val="20"/>
          <w:vertAlign w:val="superscript"/>
        </w:rPr>
        <w:t>1</w:t>
      </w:r>
      <w:r w:rsidR="0051469A" w:rsidRPr="00D25C25">
        <w:rPr>
          <w:sz w:val="20"/>
          <w:szCs w:val="20"/>
        </w:rPr>
        <w:t xml:space="preserve"> Uvedená mýtná sazba ve Slovensku a Rakousku nezahrnuje DPH.</w:t>
      </w:r>
    </w:p>
    <w:p w14:paraId="32440319" w14:textId="22EECA20" w:rsidR="00F26919" w:rsidRDefault="0051469A" w:rsidP="00D25C25">
      <w:pPr>
        <w:spacing w:before="120"/>
        <w:rPr>
          <w:rFonts w:asciiTheme="minorHAnsi" w:hAnsiTheme="minorHAnsi" w:cstheme="minorHAnsi"/>
        </w:rPr>
      </w:pPr>
      <w:r w:rsidRPr="007D3F43">
        <w:rPr>
          <w:rFonts w:asciiTheme="minorHAnsi" w:hAnsiTheme="minorHAnsi" w:cstheme="minorHAnsi"/>
        </w:rPr>
        <w:t xml:space="preserve">NKÚ zkoumal, jaký je vzájemný vztah mezi </w:t>
      </w:r>
      <w:r w:rsidR="0009644C">
        <w:rPr>
          <w:rFonts w:asciiTheme="minorHAnsi" w:hAnsiTheme="minorHAnsi" w:cstheme="minorHAnsi"/>
        </w:rPr>
        <w:t xml:space="preserve">předpisem mýtného </w:t>
      </w:r>
      <w:r w:rsidRPr="007D3F43">
        <w:rPr>
          <w:rFonts w:asciiTheme="minorHAnsi" w:hAnsiTheme="minorHAnsi" w:cstheme="minorHAnsi"/>
        </w:rPr>
        <w:t>a</w:t>
      </w:r>
      <w:r w:rsidR="006771A0" w:rsidRPr="007D3F43">
        <w:rPr>
          <w:rFonts w:asciiTheme="minorHAnsi" w:hAnsiTheme="minorHAnsi" w:cstheme="minorHAnsi"/>
        </w:rPr>
        <w:t xml:space="preserve"> projetým</w:t>
      </w:r>
      <w:r w:rsidR="00D2775E">
        <w:rPr>
          <w:rFonts w:asciiTheme="minorHAnsi" w:hAnsiTheme="minorHAnsi" w:cstheme="minorHAnsi"/>
        </w:rPr>
        <w:t xml:space="preserve">i kilometry </w:t>
      </w:r>
      <w:r w:rsidR="00690149">
        <w:rPr>
          <w:rFonts w:asciiTheme="minorHAnsi" w:hAnsiTheme="minorHAnsi" w:cstheme="minorHAnsi"/>
        </w:rPr>
        <w:t>dle</w:t>
      </w:r>
      <w:r w:rsidR="00567389">
        <w:rPr>
          <w:rFonts w:asciiTheme="minorHAnsi" w:hAnsiTheme="minorHAnsi" w:cstheme="minorHAnsi"/>
        </w:rPr>
        <w:t xml:space="preserve"> </w:t>
      </w:r>
      <w:r w:rsidR="006771A0" w:rsidRPr="007D3F43">
        <w:rPr>
          <w:rFonts w:asciiTheme="minorHAnsi" w:hAnsiTheme="minorHAnsi" w:cstheme="minorHAnsi"/>
        </w:rPr>
        <w:t>emis</w:t>
      </w:r>
      <w:r w:rsidR="002811C4">
        <w:rPr>
          <w:rFonts w:asciiTheme="minorHAnsi" w:hAnsiTheme="minorHAnsi" w:cstheme="minorHAnsi"/>
        </w:rPr>
        <w:t>ních norem v letech 2015–</w:t>
      </w:r>
      <w:r w:rsidR="00AD4D5E">
        <w:rPr>
          <w:rFonts w:asciiTheme="minorHAnsi" w:hAnsiTheme="minorHAnsi" w:cstheme="minorHAnsi"/>
        </w:rPr>
        <w:t>2018 (</w:t>
      </w:r>
      <w:r w:rsidR="006771A0" w:rsidRPr="007D3F43">
        <w:rPr>
          <w:rFonts w:asciiTheme="minorHAnsi" w:hAnsiTheme="minorHAnsi" w:cstheme="minorHAnsi"/>
        </w:rPr>
        <w:t xml:space="preserve">viz </w:t>
      </w:r>
      <w:r w:rsidR="0009644C">
        <w:rPr>
          <w:rFonts w:asciiTheme="minorHAnsi" w:hAnsiTheme="minorHAnsi" w:cstheme="minorHAnsi"/>
        </w:rPr>
        <w:t xml:space="preserve">tabulka č. </w:t>
      </w:r>
      <w:r w:rsidR="00F31EE6" w:rsidRPr="00237396">
        <w:rPr>
          <w:rFonts w:asciiTheme="minorHAnsi" w:hAnsiTheme="minorHAnsi" w:cstheme="minorHAnsi"/>
        </w:rPr>
        <w:t>24</w:t>
      </w:r>
      <w:r w:rsidR="00AD4D5E" w:rsidRPr="00237396">
        <w:rPr>
          <w:rFonts w:asciiTheme="minorHAnsi" w:hAnsiTheme="minorHAnsi" w:cstheme="minorHAnsi"/>
        </w:rPr>
        <w:t>)</w:t>
      </w:r>
      <w:r w:rsidRPr="007D3F43">
        <w:rPr>
          <w:rFonts w:asciiTheme="minorHAnsi" w:hAnsiTheme="minorHAnsi" w:cstheme="minorHAnsi"/>
        </w:rPr>
        <w:t xml:space="preserve"> </w:t>
      </w:r>
      <w:r w:rsidR="006771A0" w:rsidRPr="007D3F43">
        <w:rPr>
          <w:rFonts w:asciiTheme="minorHAnsi" w:hAnsiTheme="minorHAnsi" w:cstheme="minorHAnsi"/>
        </w:rPr>
        <w:t xml:space="preserve">a zjistil, že </w:t>
      </w:r>
      <w:r w:rsidR="00567389">
        <w:rPr>
          <w:rFonts w:asciiTheme="minorHAnsi" w:hAnsiTheme="minorHAnsi" w:cstheme="minorHAnsi"/>
        </w:rPr>
        <w:t xml:space="preserve">počet </w:t>
      </w:r>
      <w:r w:rsidR="006771A0" w:rsidRPr="007D3F43">
        <w:rPr>
          <w:rFonts w:asciiTheme="minorHAnsi" w:hAnsiTheme="minorHAnsi" w:cstheme="minorHAnsi"/>
        </w:rPr>
        <w:t>projet</w:t>
      </w:r>
      <w:r w:rsidR="00567389">
        <w:rPr>
          <w:rFonts w:asciiTheme="minorHAnsi" w:hAnsiTheme="minorHAnsi" w:cstheme="minorHAnsi"/>
        </w:rPr>
        <w:t>ých</w:t>
      </w:r>
      <w:r w:rsidR="006771A0" w:rsidRPr="007D3F43">
        <w:rPr>
          <w:rFonts w:asciiTheme="minorHAnsi" w:hAnsiTheme="minorHAnsi" w:cstheme="minorHAnsi"/>
        </w:rPr>
        <w:t xml:space="preserve"> </w:t>
      </w:r>
      <w:r w:rsidR="00D2775E">
        <w:rPr>
          <w:rFonts w:asciiTheme="minorHAnsi" w:hAnsiTheme="minorHAnsi" w:cstheme="minorHAnsi"/>
        </w:rPr>
        <w:t>kilometr</w:t>
      </w:r>
      <w:r w:rsidR="00567389">
        <w:rPr>
          <w:rFonts w:asciiTheme="minorHAnsi" w:hAnsiTheme="minorHAnsi" w:cstheme="minorHAnsi"/>
        </w:rPr>
        <w:t>ů</w:t>
      </w:r>
      <w:r w:rsidR="00D2775E" w:rsidRPr="007D3F43">
        <w:rPr>
          <w:rFonts w:asciiTheme="minorHAnsi" w:hAnsiTheme="minorHAnsi" w:cstheme="minorHAnsi"/>
        </w:rPr>
        <w:t xml:space="preserve"> </w:t>
      </w:r>
      <w:r w:rsidR="00690149">
        <w:rPr>
          <w:rFonts w:asciiTheme="minorHAnsi" w:hAnsiTheme="minorHAnsi" w:cstheme="minorHAnsi"/>
        </w:rPr>
        <w:t>u </w:t>
      </w:r>
      <w:r w:rsidR="002811C4">
        <w:rPr>
          <w:rFonts w:asciiTheme="minorHAnsi" w:hAnsiTheme="minorHAnsi" w:cstheme="minorHAnsi"/>
        </w:rPr>
        <w:t>vozidel s </w:t>
      </w:r>
      <w:r w:rsidR="00AD4D5E">
        <w:rPr>
          <w:rFonts w:asciiTheme="minorHAnsi" w:hAnsiTheme="minorHAnsi" w:cstheme="minorHAnsi"/>
        </w:rPr>
        <w:t>emisní normou</w:t>
      </w:r>
      <w:r w:rsidR="00E26298" w:rsidRPr="007D3F43">
        <w:rPr>
          <w:rFonts w:asciiTheme="minorHAnsi" w:hAnsiTheme="minorHAnsi" w:cstheme="minorHAnsi"/>
        </w:rPr>
        <w:t xml:space="preserve"> EURO VI </w:t>
      </w:r>
      <w:r w:rsidR="006771A0" w:rsidRPr="007D3F43">
        <w:rPr>
          <w:rFonts w:asciiTheme="minorHAnsi" w:hAnsiTheme="minorHAnsi" w:cstheme="minorHAnsi"/>
        </w:rPr>
        <w:t xml:space="preserve">roste o </w:t>
      </w:r>
      <w:r w:rsidR="0009644C">
        <w:rPr>
          <w:rFonts w:asciiTheme="minorHAnsi" w:hAnsiTheme="minorHAnsi" w:cstheme="minorHAnsi"/>
        </w:rPr>
        <w:t>10</w:t>
      </w:r>
      <w:r w:rsidR="006771A0" w:rsidRPr="007D3F43">
        <w:rPr>
          <w:rFonts w:asciiTheme="minorHAnsi" w:hAnsiTheme="minorHAnsi" w:cstheme="minorHAnsi"/>
        </w:rPr>
        <w:t xml:space="preserve"> procentních bodů rychleji než </w:t>
      </w:r>
      <w:r w:rsidR="0009644C">
        <w:rPr>
          <w:rFonts w:asciiTheme="minorHAnsi" w:hAnsiTheme="minorHAnsi" w:cstheme="minorHAnsi"/>
        </w:rPr>
        <w:t>předepsané</w:t>
      </w:r>
      <w:r w:rsidR="006771A0" w:rsidRPr="007D3F43">
        <w:rPr>
          <w:rFonts w:asciiTheme="minorHAnsi" w:hAnsiTheme="minorHAnsi" w:cstheme="minorHAnsi"/>
        </w:rPr>
        <w:t xml:space="preserve"> </w:t>
      </w:r>
      <w:r w:rsidR="0009644C">
        <w:rPr>
          <w:rFonts w:asciiTheme="minorHAnsi" w:hAnsiTheme="minorHAnsi" w:cstheme="minorHAnsi"/>
        </w:rPr>
        <w:t>mýtné</w:t>
      </w:r>
      <w:r w:rsidR="006771A0" w:rsidRPr="007D3F43">
        <w:rPr>
          <w:rFonts w:asciiTheme="minorHAnsi" w:hAnsiTheme="minorHAnsi" w:cstheme="minorHAnsi"/>
        </w:rPr>
        <w:t xml:space="preserve">. </w:t>
      </w:r>
      <w:r w:rsidR="00A42716">
        <w:rPr>
          <w:rFonts w:asciiTheme="minorHAnsi" w:hAnsiTheme="minorHAnsi" w:cstheme="minorHAnsi"/>
        </w:rPr>
        <w:t>S</w:t>
      </w:r>
      <w:r w:rsidR="00E26298">
        <w:rPr>
          <w:rFonts w:asciiTheme="minorHAnsi" w:hAnsiTheme="minorHAnsi" w:cstheme="minorHAnsi"/>
        </w:rPr>
        <w:t xml:space="preserve">kupina vozidel EURO </w:t>
      </w:r>
      <w:r w:rsidR="004025FD">
        <w:rPr>
          <w:rFonts w:asciiTheme="minorHAnsi" w:hAnsiTheme="minorHAnsi" w:cstheme="minorHAnsi"/>
        </w:rPr>
        <w:t>V</w:t>
      </w:r>
      <w:r w:rsidR="00E26298">
        <w:rPr>
          <w:rFonts w:asciiTheme="minorHAnsi" w:hAnsiTheme="minorHAnsi" w:cstheme="minorHAnsi"/>
        </w:rPr>
        <w:t>I</w:t>
      </w:r>
      <w:r w:rsidR="00A42716">
        <w:rPr>
          <w:rFonts w:asciiTheme="minorHAnsi" w:hAnsiTheme="minorHAnsi" w:cstheme="minorHAnsi"/>
        </w:rPr>
        <w:t xml:space="preserve"> (EEV), v roce 2018 spotřebovala cca 60 % projetého mýtného, lze ji tak považovat za dominantní </w:t>
      </w:r>
      <w:r w:rsidR="004025FD">
        <w:rPr>
          <w:rFonts w:asciiTheme="minorHAnsi" w:hAnsiTheme="minorHAnsi" w:cstheme="minorHAnsi"/>
        </w:rPr>
        <w:t>a zásadně ovlivňuj</w:t>
      </w:r>
      <w:r w:rsidR="00A42716">
        <w:rPr>
          <w:rFonts w:asciiTheme="minorHAnsi" w:hAnsiTheme="minorHAnsi" w:cstheme="minorHAnsi"/>
        </w:rPr>
        <w:t>ící</w:t>
      </w:r>
      <w:r w:rsidR="004025FD">
        <w:rPr>
          <w:rFonts w:asciiTheme="minorHAnsi" w:hAnsiTheme="minorHAnsi" w:cstheme="minorHAnsi"/>
        </w:rPr>
        <w:t xml:space="preserve"> celkov</w:t>
      </w:r>
      <w:r w:rsidR="0009644C">
        <w:rPr>
          <w:rFonts w:asciiTheme="minorHAnsi" w:hAnsiTheme="minorHAnsi" w:cstheme="minorHAnsi"/>
        </w:rPr>
        <w:t>ý předpis</w:t>
      </w:r>
      <w:r w:rsidR="004025FD">
        <w:rPr>
          <w:rFonts w:asciiTheme="minorHAnsi" w:hAnsiTheme="minorHAnsi" w:cstheme="minorHAnsi"/>
        </w:rPr>
        <w:t xml:space="preserve"> mýtného. </w:t>
      </w:r>
    </w:p>
    <w:p w14:paraId="7637A428" w14:textId="77777777" w:rsidR="006771A0" w:rsidRDefault="00D25C25" w:rsidP="00D25C25">
      <w:pPr>
        <w:pStyle w:val="Tabulka"/>
        <w:keepLines/>
        <w:numPr>
          <w:ilvl w:val="0"/>
          <w:numId w:val="0"/>
        </w:numPr>
        <w:spacing w:after="40"/>
      </w:pPr>
      <w:r>
        <w:lastRenderedPageBreak/>
        <w:t xml:space="preserve">Tabulka č. 24: </w:t>
      </w:r>
      <w:r w:rsidR="0051469A">
        <w:t xml:space="preserve">Vývoj </w:t>
      </w:r>
      <w:r w:rsidR="00E26298">
        <w:t xml:space="preserve">předpisu mýtného </w:t>
      </w:r>
      <w:r w:rsidR="0051469A">
        <w:t>a projetým</w:t>
      </w:r>
      <w:r w:rsidR="00E80130">
        <w:t>i</w:t>
      </w:r>
      <w:r w:rsidR="0051469A">
        <w:t xml:space="preserve"> </w:t>
      </w:r>
      <w:r w:rsidR="00E80130">
        <w:t xml:space="preserve">kilometry </w:t>
      </w:r>
      <w:r w:rsidR="008A3EB1">
        <w:t>dle emisní normy EURO VI</w:t>
      </w:r>
      <w:r w:rsidR="0051469A">
        <w:t xml:space="preserve"> </w:t>
      </w:r>
    </w:p>
    <w:tbl>
      <w:tblPr>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531"/>
        <w:gridCol w:w="4531"/>
      </w:tblGrid>
      <w:tr w:rsidR="0012545B" w:rsidRPr="00D25C25" w14:paraId="306DBB3F" w14:textId="77777777" w:rsidTr="00D25C25">
        <w:tc>
          <w:tcPr>
            <w:tcW w:w="4531" w:type="dxa"/>
            <w:shd w:val="clear" w:color="auto" w:fill="E5F1FF"/>
            <w:tcMar>
              <w:top w:w="0" w:type="dxa"/>
              <w:left w:w="108" w:type="dxa"/>
              <w:bottom w:w="0" w:type="dxa"/>
              <w:right w:w="108" w:type="dxa"/>
            </w:tcMar>
            <w:hideMark/>
          </w:tcPr>
          <w:p w14:paraId="4FA176B6" w14:textId="77777777" w:rsidR="0012545B" w:rsidRPr="00D25C25" w:rsidRDefault="0012545B" w:rsidP="00D25C25">
            <w:pPr>
              <w:keepNext/>
              <w:keepLines/>
              <w:spacing w:after="0"/>
              <w:jc w:val="center"/>
              <w:rPr>
                <w:b/>
                <w:bCs/>
                <w:sz w:val="20"/>
                <w:szCs w:val="20"/>
              </w:rPr>
            </w:pPr>
            <w:r w:rsidRPr="00D25C25">
              <w:rPr>
                <w:b/>
                <w:bCs/>
                <w:sz w:val="20"/>
                <w:szCs w:val="20"/>
              </w:rPr>
              <w:t>10,98 %</w:t>
            </w:r>
          </w:p>
        </w:tc>
        <w:tc>
          <w:tcPr>
            <w:tcW w:w="4531" w:type="dxa"/>
            <w:shd w:val="clear" w:color="auto" w:fill="E5F1FF"/>
            <w:tcMar>
              <w:top w:w="0" w:type="dxa"/>
              <w:left w:w="108" w:type="dxa"/>
              <w:bottom w:w="0" w:type="dxa"/>
              <w:right w:w="108" w:type="dxa"/>
            </w:tcMar>
            <w:hideMark/>
          </w:tcPr>
          <w:p w14:paraId="0053F86A" w14:textId="77777777" w:rsidR="0012545B" w:rsidRPr="00D25C25" w:rsidRDefault="0012545B" w:rsidP="00D25C25">
            <w:pPr>
              <w:keepNext/>
              <w:keepLines/>
              <w:spacing w:after="0"/>
              <w:jc w:val="center"/>
              <w:rPr>
                <w:b/>
                <w:bCs/>
                <w:sz w:val="20"/>
                <w:szCs w:val="20"/>
              </w:rPr>
            </w:pPr>
            <w:r w:rsidRPr="00D25C25">
              <w:rPr>
                <w:b/>
                <w:bCs/>
                <w:sz w:val="20"/>
                <w:szCs w:val="20"/>
              </w:rPr>
              <w:t>20,26 %</w:t>
            </w:r>
          </w:p>
        </w:tc>
      </w:tr>
      <w:tr w:rsidR="0012545B" w:rsidRPr="00D25C25" w14:paraId="78DDDCBA" w14:textId="77777777" w:rsidTr="00D25C25">
        <w:tc>
          <w:tcPr>
            <w:tcW w:w="4531" w:type="dxa"/>
            <w:tcMar>
              <w:top w:w="0" w:type="dxa"/>
              <w:left w:w="108" w:type="dxa"/>
              <w:bottom w:w="0" w:type="dxa"/>
              <w:right w:w="108" w:type="dxa"/>
            </w:tcMar>
            <w:hideMark/>
          </w:tcPr>
          <w:p w14:paraId="7CB53753" w14:textId="7535A682" w:rsidR="0012545B" w:rsidRPr="00D25C25" w:rsidRDefault="0012545B" w:rsidP="00567389">
            <w:pPr>
              <w:keepNext/>
              <w:keepLines/>
              <w:spacing w:after="0"/>
              <w:jc w:val="center"/>
              <w:rPr>
                <w:sz w:val="20"/>
                <w:szCs w:val="20"/>
              </w:rPr>
            </w:pPr>
            <w:r w:rsidRPr="00D25C25">
              <w:rPr>
                <w:sz w:val="20"/>
                <w:szCs w:val="20"/>
              </w:rPr>
              <w:t>Nárůst předepsaného mýta v letech 2015–2018</w:t>
            </w:r>
          </w:p>
        </w:tc>
        <w:tc>
          <w:tcPr>
            <w:tcW w:w="4531" w:type="dxa"/>
            <w:tcMar>
              <w:top w:w="0" w:type="dxa"/>
              <w:left w:w="108" w:type="dxa"/>
              <w:bottom w:w="0" w:type="dxa"/>
              <w:right w:w="108" w:type="dxa"/>
            </w:tcMar>
            <w:hideMark/>
          </w:tcPr>
          <w:p w14:paraId="4F1878C4" w14:textId="3FE614BE" w:rsidR="0012545B" w:rsidRPr="00D25C25" w:rsidRDefault="0012545B" w:rsidP="00567389">
            <w:pPr>
              <w:keepNext/>
              <w:keepLines/>
              <w:spacing w:after="0"/>
              <w:jc w:val="center"/>
              <w:rPr>
                <w:sz w:val="20"/>
                <w:szCs w:val="20"/>
              </w:rPr>
            </w:pPr>
            <w:r w:rsidRPr="00D25C25">
              <w:rPr>
                <w:sz w:val="20"/>
                <w:szCs w:val="20"/>
              </w:rPr>
              <w:t>Nárůst projetých kilometrů v letech 2015–2018</w:t>
            </w:r>
          </w:p>
        </w:tc>
      </w:tr>
    </w:tbl>
    <w:p w14:paraId="7269D07E" w14:textId="0558B19B" w:rsidR="0009644C" w:rsidRPr="00D25C25" w:rsidRDefault="0051469A" w:rsidP="00D25C25">
      <w:pPr>
        <w:keepLines/>
        <w:spacing w:before="40"/>
        <w:rPr>
          <w:rFonts w:cs="Calibri"/>
          <w:iCs/>
          <w:sz w:val="20"/>
          <w:szCs w:val="20"/>
        </w:rPr>
      </w:pPr>
      <w:r w:rsidRPr="00D25C25">
        <w:rPr>
          <w:b/>
          <w:iCs/>
          <w:sz w:val="20"/>
          <w:szCs w:val="20"/>
        </w:rPr>
        <w:t>Zdroj:</w:t>
      </w:r>
      <w:r w:rsidRPr="00D25C25">
        <w:rPr>
          <w:iCs/>
          <w:sz w:val="20"/>
          <w:szCs w:val="20"/>
        </w:rPr>
        <w:t xml:space="preserve"> </w:t>
      </w:r>
      <w:hyperlink r:id="rId36" w:history="1">
        <w:r w:rsidRPr="003D3EB8">
          <w:rPr>
            <w:rStyle w:val="Hypertextovodkaz"/>
            <w:iCs/>
            <w:sz w:val="20"/>
            <w:szCs w:val="20"/>
            <w:u w:val="none"/>
          </w:rPr>
          <w:t>http://www.vyrocenky.cz/silnicni</w:t>
        </w:r>
      </w:hyperlink>
      <w:r w:rsidRPr="00D25C25">
        <w:rPr>
          <w:iCs/>
          <w:sz w:val="20"/>
          <w:szCs w:val="20"/>
        </w:rPr>
        <w:t xml:space="preserve"> (ŘSD mýtné 2015, 2018), vlastní zpracování NKÚ.</w:t>
      </w:r>
    </w:p>
    <w:p w14:paraId="6070549A" w14:textId="70134E36" w:rsidR="005D1E59" w:rsidRDefault="0051469A" w:rsidP="003D3EB8">
      <w:pPr>
        <w:autoSpaceDE w:val="0"/>
        <w:autoSpaceDN w:val="0"/>
        <w:adjustRightInd w:val="0"/>
        <w:spacing w:before="120"/>
        <w:rPr>
          <w:rFonts w:cs="Calibri"/>
          <w:szCs w:val="24"/>
        </w:rPr>
      </w:pPr>
      <w:r>
        <w:rPr>
          <w:rFonts w:asciiTheme="minorHAnsi" w:hAnsiTheme="minorHAnsi" w:cstheme="minorHAnsi"/>
        </w:rPr>
        <w:t>Podle</w:t>
      </w:r>
      <w:r>
        <w:rPr>
          <w:rFonts w:cs="Calibri"/>
          <w:szCs w:val="24"/>
        </w:rPr>
        <w:t xml:space="preserve"> </w:t>
      </w:r>
      <w:r w:rsidR="008A3EB1">
        <w:rPr>
          <w:rFonts w:cs="Calibri"/>
          <w:szCs w:val="24"/>
        </w:rPr>
        <w:t xml:space="preserve">evropské </w:t>
      </w:r>
      <w:r>
        <w:rPr>
          <w:rFonts w:cs="Calibri"/>
          <w:szCs w:val="24"/>
        </w:rPr>
        <w:t>směrnice</w:t>
      </w:r>
      <w:r>
        <w:rPr>
          <w:rStyle w:val="Znakapoznpodarou"/>
          <w:rFonts w:cs="Calibri"/>
        </w:rPr>
        <w:footnoteReference w:id="48"/>
      </w:r>
      <w:r>
        <w:rPr>
          <w:rFonts w:cs="Calibri"/>
          <w:szCs w:val="24"/>
        </w:rPr>
        <w:t xml:space="preserve"> </w:t>
      </w:r>
      <w:r w:rsidR="00E00056" w:rsidRPr="00B66B4D">
        <w:rPr>
          <w:rFonts w:cs="Calibri"/>
          <w:szCs w:val="24"/>
        </w:rPr>
        <w:t>ne</w:t>
      </w:r>
      <w:r w:rsidRPr="00B66B4D">
        <w:rPr>
          <w:rFonts w:cs="Calibri"/>
          <w:szCs w:val="24"/>
        </w:rPr>
        <w:t>musí</w:t>
      </w:r>
      <w:r>
        <w:rPr>
          <w:rFonts w:cs="Calibri"/>
          <w:szCs w:val="24"/>
        </w:rPr>
        <w:t xml:space="preserve"> být promítnuty emis</w:t>
      </w:r>
      <w:r w:rsidR="00690149">
        <w:rPr>
          <w:rFonts w:cs="Calibri"/>
          <w:szCs w:val="24"/>
        </w:rPr>
        <w:t>ní normy vozidel do poplatku za</w:t>
      </w:r>
      <w:r w:rsidR="00567389">
        <w:rPr>
          <w:rFonts w:cs="Calibri"/>
          <w:szCs w:val="24"/>
        </w:rPr>
        <w:t xml:space="preserve"> </w:t>
      </w:r>
      <w:r>
        <w:rPr>
          <w:rFonts w:cs="Calibri"/>
          <w:szCs w:val="24"/>
        </w:rPr>
        <w:t>pozemní komunikace, pokud je v</w:t>
      </w:r>
      <w:r w:rsidR="008A3EB1">
        <w:rPr>
          <w:rFonts w:cs="Calibri"/>
          <w:szCs w:val="24"/>
        </w:rPr>
        <w:t xml:space="preserve"> členském </w:t>
      </w:r>
      <w:r>
        <w:rPr>
          <w:rFonts w:cs="Calibri"/>
          <w:szCs w:val="24"/>
        </w:rPr>
        <w:t xml:space="preserve">státě zaveden tzv. poplatek za externí náklady, který zahrnuje </w:t>
      </w:r>
      <w:r>
        <w:rPr>
          <w:rFonts w:asciiTheme="minorHAnsi" w:hAnsiTheme="minorHAnsi" w:cstheme="minorHAnsi"/>
        </w:rPr>
        <w:t>náklady na emisní složku a náklady na hlukovou složku.</w:t>
      </w:r>
      <w:r w:rsidR="004770D7">
        <w:rPr>
          <w:rFonts w:asciiTheme="minorHAnsi" w:hAnsiTheme="minorHAnsi" w:cstheme="minorHAnsi"/>
        </w:rPr>
        <w:t xml:space="preserve"> </w:t>
      </w:r>
      <w:r w:rsidR="004770D7">
        <w:rPr>
          <w:rFonts w:cs="Calibri"/>
          <w:szCs w:val="24"/>
        </w:rPr>
        <w:t>Externí poplatek</w:t>
      </w:r>
      <w:r w:rsidR="00AD4D5E">
        <w:rPr>
          <w:rFonts w:cs="Calibri"/>
          <w:szCs w:val="24"/>
        </w:rPr>
        <w:t>,</w:t>
      </w:r>
      <w:r w:rsidR="004770D7">
        <w:rPr>
          <w:rFonts w:cs="Calibri"/>
          <w:szCs w:val="24"/>
        </w:rPr>
        <w:t xml:space="preserve"> </w:t>
      </w:r>
      <w:r w:rsidR="001E2E91">
        <w:rPr>
          <w:rFonts w:cs="Calibri"/>
          <w:szCs w:val="24"/>
        </w:rPr>
        <w:t xml:space="preserve">je-li zaveden, </w:t>
      </w:r>
      <w:r w:rsidR="004770D7">
        <w:rPr>
          <w:rFonts w:cs="Calibri"/>
          <w:szCs w:val="24"/>
        </w:rPr>
        <w:t>se nezapočítává</w:t>
      </w:r>
      <w:r w:rsidR="001E2E91">
        <w:rPr>
          <w:rFonts w:cs="Calibri"/>
          <w:szCs w:val="24"/>
        </w:rPr>
        <w:t xml:space="preserve"> do poplatku za pozemní komunikace a výpočtu tzv. váženého průměrného poplatku. </w:t>
      </w:r>
    </w:p>
    <w:p w14:paraId="506A8843" w14:textId="0570DDDE" w:rsidR="00DD563F" w:rsidRDefault="0051469A" w:rsidP="003D3EB8">
      <w:pPr>
        <w:spacing w:before="120"/>
        <w:rPr>
          <w:rFonts w:cs="Calibri"/>
          <w:szCs w:val="24"/>
        </w:rPr>
      </w:pPr>
      <w:r>
        <w:t xml:space="preserve">MD </w:t>
      </w:r>
      <w:r w:rsidRPr="00066B31">
        <w:rPr>
          <w:b/>
        </w:rPr>
        <w:t>poplatek za externí náklady</w:t>
      </w:r>
      <w:r>
        <w:t xml:space="preserve"> do mýtného </w:t>
      </w:r>
      <w:r w:rsidR="001E2E91">
        <w:t xml:space="preserve">jako samostatnou složku </w:t>
      </w:r>
      <w:r>
        <w:t xml:space="preserve">nezapracovalo, přestože minimálně od roku 2011 stanovila </w:t>
      </w:r>
      <w:r w:rsidR="00AD4D5E">
        <w:t xml:space="preserve">EU </w:t>
      </w:r>
      <w:r>
        <w:t>pravidla pro jejich aplikaci</w:t>
      </w:r>
      <w:r>
        <w:rPr>
          <w:rStyle w:val="Znakapoznpodarou"/>
          <w:rFonts w:asciiTheme="minorHAnsi" w:hAnsiTheme="minorHAnsi" w:cstheme="minorHAnsi"/>
        </w:rPr>
        <w:footnoteReference w:id="49"/>
      </w:r>
      <w:r>
        <w:t xml:space="preserve"> a </w:t>
      </w:r>
      <w:r w:rsidR="00AD4D5E">
        <w:t xml:space="preserve">MD </w:t>
      </w:r>
      <w:r>
        <w:t xml:space="preserve">na ní </w:t>
      </w:r>
      <w:r w:rsidR="00AD4D5E">
        <w:t xml:space="preserve">bylo </w:t>
      </w:r>
      <w:r>
        <w:t xml:space="preserve">upozorněno externím konzultantem. MD plánuje zahrnutí těchto složek až </w:t>
      </w:r>
      <w:r w:rsidR="00690149">
        <w:t>od roku 2023, tj. </w:t>
      </w:r>
      <w:r>
        <w:t>cca 12 let po</w:t>
      </w:r>
      <w:r w:rsidR="003845C1">
        <w:t xml:space="preserve"> nabytí</w:t>
      </w:r>
      <w:r>
        <w:t xml:space="preserve"> účinnosti </w:t>
      </w:r>
      <w:r w:rsidR="00F93F0A">
        <w:t xml:space="preserve">evropské </w:t>
      </w:r>
      <w:r>
        <w:t>směrnice.</w:t>
      </w:r>
      <w:r w:rsidR="004770D7">
        <w:t xml:space="preserve"> </w:t>
      </w:r>
      <w:r w:rsidR="0009644C">
        <w:t>K</w:t>
      </w:r>
      <w:r w:rsidR="004770D7">
        <w:t xml:space="preserve">onzultant </w:t>
      </w:r>
      <w:r w:rsidR="0009644C">
        <w:t xml:space="preserve">MD </w:t>
      </w:r>
      <w:r w:rsidR="004770D7">
        <w:t>očekáv</w:t>
      </w:r>
      <w:r w:rsidR="0009644C">
        <w:t>al</w:t>
      </w:r>
      <w:r w:rsidR="004770D7">
        <w:t xml:space="preserve"> výnos externího poplatku ve výši cca 2,8 mld. Kč</w:t>
      </w:r>
      <w:r w:rsidR="004D253D">
        <w:t xml:space="preserve"> ročně</w:t>
      </w:r>
      <w:r w:rsidR="004770D7">
        <w:t xml:space="preserve">. </w:t>
      </w:r>
      <w:r>
        <w:t>T</w:t>
      </w:r>
      <w:r>
        <w:rPr>
          <w:rFonts w:cs="Calibri"/>
          <w:szCs w:val="24"/>
        </w:rPr>
        <w:t xml:space="preserve">ím, že </w:t>
      </w:r>
      <w:r w:rsidR="001E2E91">
        <w:rPr>
          <w:rFonts w:cs="Calibri"/>
          <w:szCs w:val="24"/>
        </w:rPr>
        <w:t xml:space="preserve">dosud </w:t>
      </w:r>
      <w:r>
        <w:rPr>
          <w:rFonts w:cs="Calibri"/>
          <w:szCs w:val="24"/>
        </w:rPr>
        <w:t xml:space="preserve">nebylo zavedeno třísložkové tarifní mýtné, které by zahrnovalo samostatně externí náklady, </w:t>
      </w:r>
      <w:r w:rsidR="001E2E91">
        <w:rPr>
          <w:rFonts w:cs="Calibri"/>
          <w:szCs w:val="24"/>
        </w:rPr>
        <w:t>v ČR nebyly vyb</w:t>
      </w:r>
      <w:r w:rsidR="00F31EE6">
        <w:rPr>
          <w:rFonts w:cs="Calibri"/>
          <w:szCs w:val="24"/>
        </w:rPr>
        <w:t>í</w:t>
      </w:r>
      <w:r w:rsidR="00690149">
        <w:rPr>
          <w:rFonts w:cs="Calibri"/>
          <w:szCs w:val="24"/>
        </w:rPr>
        <w:t>rány poplatky na</w:t>
      </w:r>
      <w:r w:rsidR="00C7066E">
        <w:rPr>
          <w:rFonts w:cs="Calibri"/>
          <w:szCs w:val="24"/>
        </w:rPr>
        <w:t xml:space="preserve"> </w:t>
      </w:r>
      <w:r w:rsidR="001E2E91">
        <w:rPr>
          <w:rFonts w:cs="Calibri"/>
          <w:szCs w:val="24"/>
        </w:rPr>
        <w:t xml:space="preserve">úhradu nákladů na znečištění ovzduší a nákladů v důsledku hluku. </w:t>
      </w:r>
    </w:p>
    <w:p w14:paraId="21FA56E5" w14:textId="48A062B4" w:rsidR="001E2E91" w:rsidRDefault="0051469A" w:rsidP="003D3EB8">
      <w:pPr>
        <w:spacing w:before="120"/>
        <w:rPr>
          <w:rFonts w:cs="Calibri"/>
          <w:szCs w:val="24"/>
        </w:rPr>
      </w:pPr>
      <w:r>
        <w:rPr>
          <w:rFonts w:cs="Calibri"/>
          <w:szCs w:val="24"/>
        </w:rPr>
        <w:t xml:space="preserve">NKÚ porovnal nastavení mýtného ve věci externích nákladů se sousedními státy </w:t>
      </w:r>
      <w:r w:rsidR="00DB4706">
        <w:rPr>
          <w:rFonts w:cs="Calibri"/>
          <w:szCs w:val="24"/>
        </w:rPr>
        <w:t>a zjistil, že Rakousko a Německo tyto poplatky uplatňují jako samostatnou složku mýtného. Tyto státy tak promítají emisní normy zejména do složky mýtného za externí náklady. To z</w:t>
      </w:r>
      <w:r w:rsidR="001416D3">
        <w:rPr>
          <w:rFonts w:cs="Calibri"/>
          <w:szCs w:val="24"/>
        </w:rPr>
        <w:t>namená, že o </w:t>
      </w:r>
      <w:r w:rsidR="00DB4706">
        <w:rPr>
          <w:rFonts w:cs="Calibri"/>
          <w:szCs w:val="24"/>
        </w:rPr>
        <w:t>emise nesnižují sazby a inkaso poplatku za pozemní komunikace, tj. poplatku za užívání</w:t>
      </w:r>
      <w:r w:rsidR="00DD563F">
        <w:rPr>
          <w:rFonts w:cs="Calibri"/>
          <w:szCs w:val="24"/>
        </w:rPr>
        <w:t>, ale</w:t>
      </w:r>
      <w:r w:rsidR="00F7412C">
        <w:rPr>
          <w:rFonts w:cs="Calibri"/>
          <w:szCs w:val="24"/>
        </w:rPr>
        <w:t xml:space="preserve"> naopak o poplatek za externí náklady celkové inkaso mýtného zvyšují</w:t>
      </w:r>
      <w:r w:rsidR="00DB4706">
        <w:rPr>
          <w:rFonts w:cs="Calibri"/>
          <w:szCs w:val="24"/>
        </w:rPr>
        <w:t xml:space="preserve">. </w:t>
      </w:r>
      <w:r w:rsidR="00F7412C">
        <w:rPr>
          <w:rFonts w:cs="Calibri"/>
          <w:szCs w:val="24"/>
        </w:rPr>
        <w:t xml:space="preserve">NKÚ </w:t>
      </w:r>
      <w:r w:rsidR="008A3EB1">
        <w:rPr>
          <w:rFonts w:cs="Calibri"/>
          <w:szCs w:val="24"/>
        </w:rPr>
        <w:t xml:space="preserve">kvantifikoval </w:t>
      </w:r>
      <w:r w:rsidR="00CA6B69">
        <w:rPr>
          <w:rFonts w:cstheme="minorHAnsi"/>
          <w:lang w:eastAsia="cs-CZ"/>
        </w:rPr>
        <w:t xml:space="preserve">potenciální ztrátu na </w:t>
      </w:r>
      <w:r w:rsidR="00F7412C">
        <w:rPr>
          <w:rFonts w:cs="Calibri"/>
          <w:szCs w:val="24"/>
        </w:rPr>
        <w:t>mýtné</w:t>
      </w:r>
      <w:r w:rsidR="00CA6B69">
        <w:rPr>
          <w:rFonts w:cs="Calibri"/>
          <w:szCs w:val="24"/>
        </w:rPr>
        <w:t>m</w:t>
      </w:r>
      <w:r w:rsidR="008A3EB1">
        <w:rPr>
          <w:rFonts w:cs="Calibri"/>
          <w:szCs w:val="24"/>
        </w:rPr>
        <w:t xml:space="preserve"> v ČR </w:t>
      </w:r>
      <w:r w:rsidR="00F31EE6">
        <w:rPr>
          <w:rFonts w:cs="Calibri"/>
          <w:szCs w:val="24"/>
        </w:rPr>
        <w:t xml:space="preserve">v </w:t>
      </w:r>
      <w:r w:rsidR="00F7412C">
        <w:rPr>
          <w:rFonts w:cs="Calibri"/>
          <w:szCs w:val="24"/>
        </w:rPr>
        <w:t>tabul</w:t>
      </w:r>
      <w:r w:rsidR="00F31EE6">
        <w:rPr>
          <w:rFonts w:cs="Calibri"/>
          <w:szCs w:val="24"/>
        </w:rPr>
        <w:t>ce</w:t>
      </w:r>
      <w:r w:rsidR="00F7412C">
        <w:rPr>
          <w:rFonts w:cs="Calibri"/>
          <w:szCs w:val="24"/>
        </w:rPr>
        <w:t xml:space="preserve"> č</w:t>
      </w:r>
      <w:r w:rsidR="00F7412C" w:rsidRPr="00237396">
        <w:rPr>
          <w:rFonts w:cs="Calibri"/>
          <w:szCs w:val="24"/>
        </w:rPr>
        <w:t>. 2</w:t>
      </w:r>
      <w:r w:rsidR="00F31EE6" w:rsidRPr="00237396">
        <w:rPr>
          <w:rFonts w:cs="Calibri"/>
          <w:szCs w:val="24"/>
        </w:rPr>
        <w:t>5</w:t>
      </w:r>
      <w:r w:rsidR="0009644C">
        <w:rPr>
          <w:rFonts w:cs="Calibri"/>
          <w:szCs w:val="24"/>
        </w:rPr>
        <w:t xml:space="preserve">.  </w:t>
      </w:r>
      <w:r w:rsidR="00DB4706">
        <w:rPr>
          <w:rFonts w:cs="Calibri"/>
          <w:szCs w:val="24"/>
        </w:rPr>
        <w:t xml:space="preserve"> </w:t>
      </w:r>
    </w:p>
    <w:p w14:paraId="1BE45FE4" w14:textId="77777777" w:rsidR="00F7412C" w:rsidRPr="00DE5CBE" w:rsidRDefault="003D3EB8" w:rsidP="003D3EB8">
      <w:pPr>
        <w:pStyle w:val="Tabulka"/>
        <w:numPr>
          <w:ilvl w:val="0"/>
          <w:numId w:val="0"/>
        </w:numPr>
        <w:spacing w:after="40"/>
      </w:pPr>
      <w:r>
        <w:rPr>
          <w:rFonts w:cstheme="minorHAnsi"/>
          <w:lang w:eastAsia="cs-CZ"/>
        </w:rPr>
        <w:t xml:space="preserve">Tabulka č. 25: </w:t>
      </w:r>
      <w:r w:rsidR="0051469A">
        <w:rPr>
          <w:rFonts w:cstheme="minorHAnsi"/>
          <w:lang w:eastAsia="cs-CZ"/>
        </w:rPr>
        <w:t>Potenciální ztráta na</w:t>
      </w:r>
      <w:r w:rsidR="0051469A">
        <w:t xml:space="preserve"> mýtném z externích nákladů </w:t>
      </w:r>
      <w:r w:rsidR="008A3EB1">
        <w:t xml:space="preserve">v ČR </w:t>
      </w:r>
      <w:r w:rsidR="008201AC">
        <w:t>v letech 2015–</w:t>
      </w:r>
      <w:r w:rsidR="0051469A">
        <w:t>2018</w:t>
      </w:r>
    </w:p>
    <w:tbl>
      <w:tblPr>
        <w:tblStyle w:val="Mkatabulky"/>
        <w:tblW w:w="0" w:type="auto"/>
        <w:tblLook w:val="04A0" w:firstRow="1" w:lastRow="0" w:firstColumn="1" w:lastColumn="0" w:noHBand="0" w:noVBand="1"/>
      </w:tblPr>
      <w:tblGrid>
        <w:gridCol w:w="4530"/>
        <w:gridCol w:w="4530"/>
      </w:tblGrid>
      <w:tr w:rsidR="00121435" w:rsidRPr="003D3EB8" w14:paraId="32EB5005" w14:textId="77777777" w:rsidTr="003D3EB8">
        <w:trPr>
          <w:trHeight w:val="227"/>
        </w:trPr>
        <w:tc>
          <w:tcPr>
            <w:tcW w:w="4531" w:type="dxa"/>
            <w:shd w:val="clear" w:color="auto" w:fill="E5F1FF"/>
            <w:vAlign w:val="center"/>
          </w:tcPr>
          <w:p w14:paraId="233F795C" w14:textId="77777777" w:rsidR="00F7412C" w:rsidRPr="003D3EB8" w:rsidRDefault="0051469A" w:rsidP="003D3EB8">
            <w:pPr>
              <w:autoSpaceDE w:val="0"/>
              <w:autoSpaceDN w:val="0"/>
              <w:adjustRightInd w:val="0"/>
              <w:spacing w:after="0"/>
              <w:jc w:val="center"/>
              <w:rPr>
                <w:rFonts w:cstheme="minorHAnsi"/>
                <w:b/>
                <w:sz w:val="20"/>
                <w:szCs w:val="20"/>
              </w:rPr>
            </w:pPr>
            <w:r w:rsidRPr="003D3EB8">
              <w:rPr>
                <w:rFonts w:cstheme="minorHAnsi"/>
                <w:b/>
                <w:sz w:val="20"/>
                <w:szCs w:val="20"/>
              </w:rPr>
              <w:t>3 443 490 229 Kč</w:t>
            </w:r>
          </w:p>
        </w:tc>
        <w:tc>
          <w:tcPr>
            <w:tcW w:w="4531" w:type="dxa"/>
            <w:shd w:val="clear" w:color="auto" w:fill="E5F1FF"/>
            <w:vAlign w:val="center"/>
          </w:tcPr>
          <w:p w14:paraId="551F757E" w14:textId="77777777" w:rsidR="00F7412C" w:rsidRPr="003D3EB8" w:rsidRDefault="0051469A" w:rsidP="003D3EB8">
            <w:pPr>
              <w:autoSpaceDE w:val="0"/>
              <w:autoSpaceDN w:val="0"/>
              <w:adjustRightInd w:val="0"/>
              <w:spacing w:after="0"/>
              <w:jc w:val="center"/>
              <w:rPr>
                <w:rFonts w:cstheme="minorHAnsi"/>
                <w:b/>
                <w:sz w:val="20"/>
                <w:szCs w:val="20"/>
              </w:rPr>
            </w:pPr>
            <w:r w:rsidRPr="003D3EB8">
              <w:rPr>
                <w:rFonts w:cstheme="minorHAnsi"/>
                <w:b/>
                <w:sz w:val="20"/>
                <w:szCs w:val="20"/>
              </w:rPr>
              <w:t>389 277 817 Kč</w:t>
            </w:r>
          </w:p>
        </w:tc>
      </w:tr>
      <w:tr w:rsidR="00121435" w:rsidRPr="003D3EB8" w14:paraId="43BC372F" w14:textId="77777777" w:rsidTr="003D3EB8">
        <w:trPr>
          <w:trHeight w:val="227"/>
        </w:trPr>
        <w:tc>
          <w:tcPr>
            <w:tcW w:w="4531" w:type="dxa"/>
            <w:vAlign w:val="center"/>
          </w:tcPr>
          <w:p w14:paraId="0869A337" w14:textId="3B60A459" w:rsidR="00F7412C" w:rsidRPr="003D3EB8" w:rsidRDefault="00A87D2A" w:rsidP="003D3EB8">
            <w:pPr>
              <w:autoSpaceDE w:val="0"/>
              <w:autoSpaceDN w:val="0"/>
              <w:adjustRightInd w:val="0"/>
              <w:spacing w:after="0"/>
              <w:jc w:val="center"/>
              <w:rPr>
                <w:rFonts w:cstheme="minorHAnsi"/>
                <w:sz w:val="20"/>
                <w:szCs w:val="20"/>
              </w:rPr>
            </w:pPr>
            <w:r>
              <w:rPr>
                <w:rFonts w:cstheme="minorHAnsi"/>
                <w:sz w:val="20"/>
                <w:szCs w:val="20"/>
              </w:rPr>
              <w:t>N</w:t>
            </w:r>
            <w:r w:rsidR="0051469A" w:rsidRPr="003D3EB8">
              <w:rPr>
                <w:rFonts w:cstheme="minorHAnsi"/>
                <w:sz w:val="20"/>
                <w:szCs w:val="20"/>
              </w:rPr>
              <w:t>evybrané mýtné z nákladů na znečištění vzduchu</w:t>
            </w:r>
          </w:p>
        </w:tc>
        <w:tc>
          <w:tcPr>
            <w:tcW w:w="4531" w:type="dxa"/>
            <w:vAlign w:val="center"/>
          </w:tcPr>
          <w:p w14:paraId="57A72ED3" w14:textId="058DBFAE" w:rsidR="00F7412C" w:rsidRPr="003D3EB8" w:rsidRDefault="00A87D2A" w:rsidP="003D3EB8">
            <w:pPr>
              <w:autoSpaceDE w:val="0"/>
              <w:autoSpaceDN w:val="0"/>
              <w:adjustRightInd w:val="0"/>
              <w:spacing w:after="0"/>
              <w:jc w:val="center"/>
              <w:rPr>
                <w:rFonts w:cstheme="minorHAnsi"/>
                <w:sz w:val="20"/>
                <w:szCs w:val="20"/>
              </w:rPr>
            </w:pPr>
            <w:r>
              <w:rPr>
                <w:rFonts w:cstheme="minorHAnsi"/>
                <w:sz w:val="20"/>
                <w:szCs w:val="20"/>
              </w:rPr>
              <w:t>N</w:t>
            </w:r>
            <w:r w:rsidR="0051469A" w:rsidRPr="003D3EB8">
              <w:rPr>
                <w:rFonts w:cstheme="minorHAnsi"/>
                <w:sz w:val="20"/>
                <w:szCs w:val="20"/>
              </w:rPr>
              <w:t>evybrané mýtné z nákladů hlukové zátěže</w:t>
            </w:r>
          </w:p>
        </w:tc>
      </w:tr>
    </w:tbl>
    <w:p w14:paraId="269DDA72" w14:textId="3C4B3DFB" w:rsidR="00F7412C" w:rsidRPr="003D3EB8" w:rsidRDefault="0051469A" w:rsidP="003D3EB8">
      <w:pPr>
        <w:spacing w:before="40"/>
        <w:ind w:left="567" w:hanging="567"/>
        <w:rPr>
          <w:sz w:val="20"/>
          <w:szCs w:val="20"/>
        </w:rPr>
      </w:pPr>
      <w:r w:rsidRPr="003D3EB8">
        <w:rPr>
          <w:rFonts w:cstheme="minorHAnsi"/>
          <w:b/>
          <w:sz w:val="20"/>
          <w:szCs w:val="20"/>
        </w:rPr>
        <w:t>Zdroj:</w:t>
      </w:r>
      <w:r w:rsidRPr="003D3EB8">
        <w:rPr>
          <w:rFonts w:cstheme="minorHAnsi"/>
          <w:sz w:val="20"/>
          <w:szCs w:val="20"/>
        </w:rPr>
        <w:t xml:space="preserve"> </w:t>
      </w:r>
      <w:r w:rsidRPr="00641163">
        <w:rPr>
          <w:i/>
          <w:sz w:val="20"/>
          <w:szCs w:val="20"/>
        </w:rPr>
        <w:t>Update of the Handbook on External Costs of Transport</w:t>
      </w:r>
      <w:r w:rsidRPr="003D3EB8">
        <w:rPr>
          <w:sz w:val="20"/>
          <w:szCs w:val="20"/>
        </w:rPr>
        <w:t>, 2014</w:t>
      </w:r>
      <w:r w:rsidRPr="003D3EB8">
        <w:rPr>
          <w:rStyle w:val="Znakapoznpodarou"/>
          <w:sz w:val="20"/>
          <w:szCs w:val="20"/>
        </w:rPr>
        <w:footnoteReference w:id="50"/>
      </w:r>
      <w:r w:rsidRPr="003D3EB8">
        <w:rPr>
          <w:sz w:val="20"/>
          <w:szCs w:val="20"/>
        </w:rPr>
        <w:t>; Řed</w:t>
      </w:r>
      <w:r w:rsidR="001416D3" w:rsidRPr="003D3EB8">
        <w:rPr>
          <w:sz w:val="20"/>
          <w:szCs w:val="20"/>
        </w:rPr>
        <w:t>itelství silnic a dálnic, 2015–</w:t>
      </w:r>
      <w:r w:rsidRPr="003D3EB8">
        <w:rPr>
          <w:sz w:val="20"/>
          <w:szCs w:val="20"/>
        </w:rPr>
        <w:t xml:space="preserve">2018, Eurostat </w:t>
      </w:r>
      <w:r w:rsidR="00C7066E">
        <w:rPr>
          <w:sz w:val="20"/>
          <w:szCs w:val="20"/>
        </w:rPr>
        <w:t>–</w:t>
      </w:r>
      <w:r w:rsidRPr="003D3EB8">
        <w:rPr>
          <w:sz w:val="20"/>
          <w:szCs w:val="20"/>
        </w:rPr>
        <w:t xml:space="preserve"> </w:t>
      </w:r>
      <w:r w:rsidRPr="00641163">
        <w:rPr>
          <w:i/>
          <w:sz w:val="20"/>
          <w:szCs w:val="20"/>
        </w:rPr>
        <w:t>GDP per capita in PPS</w:t>
      </w:r>
      <w:r w:rsidRPr="003D3EB8">
        <w:rPr>
          <w:sz w:val="20"/>
          <w:szCs w:val="20"/>
        </w:rPr>
        <w:t xml:space="preserve">, 2018; </w:t>
      </w:r>
      <w:r w:rsidR="00C7066E">
        <w:rPr>
          <w:sz w:val="20"/>
          <w:szCs w:val="20"/>
        </w:rPr>
        <w:t>m</w:t>
      </w:r>
      <w:r w:rsidRPr="003D3EB8">
        <w:rPr>
          <w:sz w:val="20"/>
          <w:szCs w:val="20"/>
        </w:rPr>
        <w:t>ýtný systém Německa, vlastní výpočty NKÚ.</w:t>
      </w:r>
    </w:p>
    <w:tbl>
      <w:tblPr>
        <w:tblStyle w:val="Mkatabulky"/>
        <w:tblW w:w="0" w:type="auto"/>
        <w:shd w:val="clear" w:color="auto" w:fill="F3C5C8"/>
        <w:tblLook w:val="04A0" w:firstRow="1" w:lastRow="0" w:firstColumn="1" w:lastColumn="0" w:noHBand="0" w:noVBand="1"/>
      </w:tblPr>
      <w:tblGrid>
        <w:gridCol w:w="9060"/>
      </w:tblGrid>
      <w:tr w:rsidR="003845C1" w:rsidRPr="00AC625C" w14:paraId="659AEB94" w14:textId="77777777" w:rsidTr="003D3EB8">
        <w:tc>
          <w:tcPr>
            <w:tcW w:w="9060" w:type="dxa"/>
            <w:shd w:val="clear" w:color="auto" w:fill="F3C5C8"/>
          </w:tcPr>
          <w:p w14:paraId="10D20F20" w14:textId="77777777" w:rsidR="003845C1" w:rsidRPr="00AC625C" w:rsidRDefault="003845C1" w:rsidP="003D3EB8">
            <w:pPr>
              <w:spacing w:before="40"/>
              <w:rPr>
                <w:b/>
                <w:szCs w:val="24"/>
              </w:rPr>
            </w:pPr>
            <w:r w:rsidRPr="00AC625C">
              <w:rPr>
                <w:b/>
                <w:szCs w:val="24"/>
              </w:rPr>
              <w:t xml:space="preserve">NKÚ konstatuje, že MD nepřipravilo </w:t>
            </w:r>
            <w:r w:rsidR="00D0698D" w:rsidRPr="00AC625C">
              <w:rPr>
                <w:b/>
                <w:szCs w:val="24"/>
              </w:rPr>
              <w:t xml:space="preserve">efektivní a účinný </w:t>
            </w:r>
            <w:r w:rsidRPr="00AC625C">
              <w:rPr>
                <w:b/>
                <w:szCs w:val="24"/>
              </w:rPr>
              <w:t xml:space="preserve">systém </w:t>
            </w:r>
            <w:r w:rsidR="00D0698D" w:rsidRPr="00AC625C">
              <w:rPr>
                <w:b/>
                <w:szCs w:val="24"/>
              </w:rPr>
              <w:t xml:space="preserve">sazeb </w:t>
            </w:r>
            <w:r w:rsidRPr="00AC625C">
              <w:rPr>
                <w:b/>
                <w:szCs w:val="24"/>
              </w:rPr>
              <w:t>poplatků</w:t>
            </w:r>
            <w:r w:rsidR="00D0698D" w:rsidRPr="00AC625C">
              <w:rPr>
                <w:b/>
                <w:szCs w:val="24"/>
              </w:rPr>
              <w:t xml:space="preserve"> vhodně respektující principy </w:t>
            </w:r>
            <w:r w:rsidRPr="00AC625C">
              <w:rPr>
                <w:b/>
                <w:szCs w:val="24"/>
              </w:rPr>
              <w:t xml:space="preserve">„uživatel platí“ a „znečišťovatel platí“.  </w:t>
            </w:r>
          </w:p>
        </w:tc>
      </w:tr>
    </w:tbl>
    <w:p w14:paraId="034C8C5F" w14:textId="77777777" w:rsidR="00B24EB6" w:rsidRPr="00E24880" w:rsidRDefault="003D3EB8" w:rsidP="003D3EB8">
      <w:pPr>
        <w:pStyle w:val="1rove2"/>
        <w:numPr>
          <w:ilvl w:val="0"/>
          <w:numId w:val="0"/>
        </w:numPr>
        <w:spacing w:before="120"/>
      </w:pPr>
      <w:bookmarkStart w:id="22" w:name="_Toc16595002"/>
      <w:r>
        <w:lastRenderedPageBreak/>
        <w:t xml:space="preserve">4. </w:t>
      </w:r>
      <w:r w:rsidR="0051469A">
        <w:t>M</w:t>
      </w:r>
      <w:r w:rsidR="00A84A84">
        <w:t>inisterstvo životního prostředí</w:t>
      </w:r>
      <w:r w:rsidR="0051469A">
        <w:t xml:space="preserve"> </w:t>
      </w:r>
      <w:bookmarkEnd w:id="22"/>
    </w:p>
    <w:p w14:paraId="2AB1D8CD" w14:textId="77777777" w:rsidR="00B24EB6" w:rsidRPr="00E24880" w:rsidRDefault="007B735A" w:rsidP="003D3EB8">
      <w:pPr>
        <w:pStyle w:val="11rove"/>
        <w:numPr>
          <w:ilvl w:val="0"/>
          <w:numId w:val="0"/>
        </w:numPr>
        <w:spacing w:before="120" w:after="120"/>
      </w:pPr>
      <w:bookmarkStart w:id="23" w:name="_Toc16595003"/>
      <w:bookmarkStart w:id="24" w:name="_Ref16678956"/>
      <w:r>
        <w:t>4.1</w:t>
      </w:r>
      <w:r w:rsidR="0051469A">
        <w:t xml:space="preserve"> </w:t>
      </w:r>
      <w:r w:rsidR="0051469A" w:rsidRPr="00E24880">
        <w:t>Poplatky na podporu sběru, zpracování, využití a odstranění vybraných autovraků</w:t>
      </w:r>
      <w:bookmarkEnd w:id="23"/>
      <w:bookmarkEnd w:id="24"/>
    </w:p>
    <w:p w14:paraId="03D70479" w14:textId="77777777" w:rsidR="00B24EB6" w:rsidRDefault="0051469A" w:rsidP="003D3EB8">
      <w:pPr>
        <w:spacing w:before="120"/>
      </w:pPr>
      <w:r>
        <w:t>Za účelem omezení dovozu starších (ojetých) vozidel, která nesplňují emisní limity a jejich provozem dochází k zatěžování životního prostředí</w:t>
      </w:r>
      <w:r w:rsidR="00BD6B7C">
        <w:t>,</w:t>
      </w:r>
      <w:r>
        <w:t xml:space="preserve"> byl v roce 2009 </w:t>
      </w:r>
      <w:r w:rsidR="00CD285C">
        <w:t xml:space="preserve">do </w:t>
      </w:r>
      <w:r>
        <w:t>zákona o odpadech</w:t>
      </w:r>
      <w:r>
        <w:rPr>
          <w:rStyle w:val="Znakapoznpodarou"/>
        </w:rPr>
        <w:footnoteReference w:id="51"/>
      </w:r>
      <w:r>
        <w:t xml:space="preserve"> zaveden poplatek </w:t>
      </w:r>
      <w:r w:rsidRPr="004A253C">
        <w:t>na podporu sběru, zpracování, využití a odstranění vybraných autovraků</w:t>
      </w:r>
      <w:r w:rsidR="004D253D">
        <w:t xml:space="preserve"> – recyklační poplatek</w:t>
      </w:r>
      <w:r>
        <w:t xml:space="preserve">. V návaznosti na plnění emisních limitů měl tento recyklační poplatek působit současně i na omlazování vozového parku v ČR. Základním kritériem pro uplatnění poplatku při registraci vozidla je emisní norma vozidla </w:t>
      </w:r>
      <w:r w:rsidR="00626125">
        <w:t>–</w:t>
      </w:r>
      <w:r w:rsidR="00CA6B69">
        <w:t xml:space="preserve"> </w:t>
      </w:r>
      <w:r>
        <w:t>viz tabulka č.</w:t>
      </w:r>
      <w:r w:rsidR="00BD6B7C">
        <w:t xml:space="preserve"> </w:t>
      </w:r>
      <w:r w:rsidR="0009644C" w:rsidRPr="00237396">
        <w:t>2</w:t>
      </w:r>
      <w:r w:rsidR="00F31EE6" w:rsidRPr="00237396">
        <w:t>6</w:t>
      </w:r>
      <w:r w:rsidRPr="00237396">
        <w:t>.</w:t>
      </w:r>
      <w:r>
        <w:t xml:space="preserve"> </w:t>
      </w:r>
    </w:p>
    <w:p w14:paraId="6AD351D3" w14:textId="77777777" w:rsidR="00933CE0" w:rsidRDefault="003D3EB8" w:rsidP="003D3EB8">
      <w:pPr>
        <w:pStyle w:val="Tabulka"/>
        <w:numPr>
          <w:ilvl w:val="0"/>
          <w:numId w:val="0"/>
        </w:numPr>
        <w:spacing w:after="40"/>
      </w:pPr>
      <w:r>
        <w:t xml:space="preserve">Tabulka č. 26: </w:t>
      </w:r>
      <w:r w:rsidR="0051469A">
        <w:t>Výše recyklačního poplatku podle emisních norem</w:t>
      </w:r>
    </w:p>
    <w:tbl>
      <w:tblPr>
        <w:tblStyle w:val="Mkatabulky"/>
        <w:tblW w:w="0" w:type="auto"/>
        <w:tblLook w:val="04A0" w:firstRow="1" w:lastRow="0" w:firstColumn="1" w:lastColumn="0" w:noHBand="0" w:noVBand="1"/>
      </w:tblPr>
      <w:tblGrid>
        <w:gridCol w:w="1555"/>
        <w:gridCol w:w="1559"/>
        <w:gridCol w:w="3259"/>
        <w:gridCol w:w="2687"/>
      </w:tblGrid>
      <w:tr w:rsidR="00121435" w:rsidRPr="003D3EB8" w14:paraId="38AC5AB2" w14:textId="77777777" w:rsidTr="0087302D">
        <w:tc>
          <w:tcPr>
            <w:tcW w:w="1555" w:type="dxa"/>
            <w:shd w:val="clear" w:color="auto" w:fill="E5F1FF"/>
            <w:vAlign w:val="center"/>
          </w:tcPr>
          <w:p w14:paraId="47F6EA83" w14:textId="77777777" w:rsidR="00933CE0" w:rsidRPr="003D3EB8" w:rsidRDefault="0051469A" w:rsidP="003D3EB8">
            <w:pPr>
              <w:spacing w:after="0"/>
              <w:jc w:val="center"/>
              <w:rPr>
                <w:b/>
                <w:sz w:val="20"/>
                <w:szCs w:val="20"/>
              </w:rPr>
            </w:pPr>
            <w:r w:rsidRPr="003D3EB8">
              <w:rPr>
                <w:b/>
                <w:sz w:val="20"/>
                <w:szCs w:val="20"/>
              </w:rPr>
              <w:t>Emisní norma EURO</w:t>
            </w:r>
          </w:p>
        </w:tc>
        <w:tc>
          <w:tcPr>
            <w:tcW w:w="1559" w:type="dxa"/>
            <w:shd w:val="clear" w:color="auto" w:fill="E5F1FF"/>
            <w:vAlign w:val="center"/>
          </w:tcPr>
          <w:p w14:paraId="668F7BEE" w14:textId="77777777" w:rsidR="00933CE0" w:rsidRPr="003D3EB8" w:rsidRDefault="0051469A" w:rsidP="003D3EB8">
            <w:pPr>
              <w:spacing w:after="0"/>
              <w:jc w:val="center"/>
              <w:rPr>
                <w:b/>
                <w:sz w:val="20"/>
                <w:szCs w:val="20"/>
              </w:rPr>
            </w:pPr>
            <w:r w:rsidRPr="003D3EB8">
              <w:rPr>
                <w:b/>
                <w:sz w:val="20"/>
                <w:szCs w:val="20"/>
              </w:rPr>
              <w:t>Výše poplatku</w:t>
            </w:r>
          </w:p>
        </w:tc>
        <w:tc>
          <w:tcPr>
            <w:tcW w:w="3260" w:type="dxa"/>
            <w:tcBorders>
              <w:bottom w:val="single" w:sz="4" w:space="0" w:color="auto"/>
            </w:tcBorders>
            <w:shd w:val="clear" w:color="auto" w:fill="E5F1FF"/>
            <w:vAlign w:val="center"/>
          </w:tcPr>
          <w:p w14:paraId="29923939" w14:textId="346A9781" w:rsidR="00933CE0" w:rsidRPr="003D3EB8" w:rsidRDefault="0008334E" w:rsidP="00935637">
            <w:pPr>
              <w:spacing w:after="0"/>
              <w:jc w:val="center"/>
              <w:rPr>
                <w:b/>
                <w:sz w:val="20"/>
                <w:szCs w:val="20"/>
              </w:rPr>
            </w:pPr>
            <w:r w:rsidRPr="003D3EB8">
              <w:rPr>
                <w:b/>
                <w:sz w:val="20"/>
                <w:szCs w:val="20"/>
              </w:rPr>
              <w:t xml:space="preserve">Výše vybraných poplatků </w:t>
            </w:r>
            <w:r w:rsidRPr="003D3EB8">
              <w:rPr>
                <w:rFonts w:asciiTheme="minorHAnsi" w:hAnsiTheme="minorHAnsi" w:cstheme="minorHAnsi"/>
                <w:b/>
                <w:bCs/>
                <w:color w:val="000000"/>
                <w:sz w:val="20"/>
                <w:szCs w:val="20"/>
                <w:lang w:eastAsia="cs-CZ"/>
              </w:rPr>
              <w:t>v letech 2015</w:t>
            </w:r>
            <w:r w:rsidR="00935637">
              <w:rPr>
                <w:rFonts w:asciiTheme="minorHAnsi" w:hAnsiTheme="minorHAnsi" w:cstheme="minorHAnsi"/>
                <w:b/>
                <w:bCs/>
                <w:color w:val="000000"/>
                <w:sz w:val="20"/>
                <w:szCs w:val="20"/>
                <w:lang w:eastAsia="cs-CZ"/>
              </w:rPr>
              <w:t>–</w:t>
            </w:r>
            <w:r w:rsidRPr="003D3EB8">
              <w:rPr>
                <w:rFonts w:asciiTheme="minorHAnsi" w:hAnsiTheme="minorHAnsi" w:cstheme="minorHAnsi"/>
                <w:b/>
                <w:bCs/>
                <w:color w:val="000000"/>
                <w:sz w:val="20"/>
                <w:szCs w:val="20"/>
                <w:lang w:eastAsia="cs-CZ"/>
              </w:rPr>
              <w:t>2018</w:t>
            </w:r>
          </w:p>
        </w:tc>
        <w:tc>
          <w:tcPr>
            <w:tcW w:w="2688" w:type="dxa"/>
            <w:tcBorders>
              <w:bottom w:val="single" w:sz="4" w:space="0" w:color="auto"/>
            </w:tcBorders>
            <w:shd w:val="clear" w:color="auto" w:fill="E5F1FF"/>
            <w:vAlign w:val="center"/>
          </w:tcPr>
          <w:p w14:paraId="69A9F86D" w14:textId="7842EDAD" w:rsidR="00933CE0" w:rsidRPr="003D3EB8" w:rsidRDefault="0087302D" w:rsidP="003D3EB8">
            <w:pPr>
              <w:spacing w:after="0"/>
              <w:jc w:val="center"/>
              <w:rPr>
                <w:rFonts w:asciiTheme="minorHAnsi" w:hAnsiTheme="minorHAnsi" w:cstheme="minorHAnsi"/>
                <w:b/>
                <w:bCs/>
                <w:color w:val="000000"/>
                <w:sz w:val="20"/>
                <w:szCs w:val="20"/>
                <w:lang w:eastAsia="cs-CZ"/>
              </w:rPr>
            </w:pPr>
            <w:r w:rsidRPr="003D3EB8">
              <w:rPr>
                <w:rFonts w:asciiTheme="minorHAnsi" w:hAnsiTheme="minorHAnsi" w:cstheme="minorHAnsi"/>
                <w:b/>
                <w:bCs/>
                <w:color w:val="000000"/>
                <w:sz w:val="20"/>
                <w:szCs w:val="20"/>
                <w:lang w:eastAsia="cs-CZ"/>
              </w:rPr>
              <w:t>Počet provedených plateb v letech 2015</w:t>
            </w:r>
            <w:r w:rsidR="00935637">
              <w:rPr>
                <w:rFonts w:asciiTheme="minorHAnsi" w:hAnsiTheme="minorHAnsi" w:cstheme="minorHAnsi"/>
                <w:b/>
                <w:bCs/>
                <w:color w:val="000000"/>
                <w:sz w:val="20"/>
                <w:szCs w:val="20"/>
                <w:lang w:eastAsia="cs-CZ"/>
              </w:rPr>
              <w:t>–</w:t>
            </w:r>
            <w:r w:rsidRPr="003D3EB8">
              <w:rPr>
                <w:rFonts w:asciiTheme="minorHAnsi" w:hAnsiTheme="minorHAnsi" w:cstheme="minorHAnsi"/>
                <w:b/>
                <w:bCs/>
                <w:color w:val="000000"/>
                <w:sz w:val="20"/>
                <w:szCs w:val="20"/>
                <w:lang w:eastAsia="cs-CZ"/>
              </w:rPr>
              <w:t>2018</w:t>
            </w:r>
          </w:p>
        </w:tc>
      </w:tr>
      <w:tr w:rsidR="00121435" w:rsidRPr="003D3EB8" w14:paraId="061982A7" w14:textId="77777777" w:rsidTr="003D3EB8">
        <w:tc>
          <w:tcPr>
            <w:tcW w:w="1555" w:type="dxa"/>
          </w:tcPr>
          <w:p w14:paraId="4720241F" w14:textId="77777777" w:rsidR="00933CE0" w:rsidRPr="003D3EB8" w:rsidRDefault="0051469A" w:rsidP="003D3EB8">
            <w:pPr>
              <w:spacing w:after="0"/>
              <w:jc w:val="center"/>
              <w:rPr>
                <w:sz w:val="20"/>
                <w:szCs w:val="20"/>
              </w:rPr>
            </w:pPr>
            <w:r w:rsidRPr="003D3EB8">
              <w:rPr>
                <w:sz w:val="20"/>
                <w:szCs w:val="20"/>
              </w:rPr>
              <w:t>0</w:t>
            </w:r>
          </w:p>
        </w:tc>
        <w:tc>
          <w:tcPr>
            <w:tcW w:w="1559" w:type="dxa"/>
          </w:tcPr>
          <w:p w14:paraId="3716A1B6" w14:textId="77777777" w:rsidR="00933CE0" w:rsidRPr="003D3EB8" w:rsidRDefault="0051469A" w:rsidP="00935637">
            <w:pPr>
              <w:spacing w:after="0"/>
              <w:ind w:right="311"/>
              <w:jc w:val="right"/>
              <w:rPr>
                <w:sz w:val="20"/>
                <w:szCs w:val="20"/>
              </w:rPr>
            </w:pPr>
            <w:r w:rsidRPr="003D3EB8">
              <w:rPr>
                <w:sz w:val="20"/>
                <w:szCs w:val="20"/>
              </w:rPr>
              <w:t>10 000 Kč</w:t>
            </w:r>
          </w:p>
        </w:tc>
        <w:tc>
          <w:tcPr>
            <w:tcW w:w="3260" w:type="dxa"/>
            <w:vMerge w:val="restart"/>
            <w:tcBorders>
              <w:bottom w:val="single" w:sz="4" w:space="0" w:color="auto"/>
            </w:tcBorders>
            <w:vAlign w:val="center"/>
          </w:tcPr>
          <w:p w14:paraId="7A46A4E5" w14:textId="77777777" w:rsidR="00933CE0" w:rsidRPr="003D3EB8" w:rsidRDefault="0008334E" w:rsidP="003D3EB8">
            <w:pPr>
              <w:spacing w:after="0"/>
              <w:ind w:right="886"/>
              <w:jc w:val="right"/>
              <w:rPr>
                <w:sz w:val="20"/>
                <w:szCs w:val="20"/>
              </w:rPr>
            </w:pPr>
            <w:r w:rsidRPr="003D3EB8">
              <w:rPr>
                <w:rFonts w:asciiTheme="minorHAnsi" w:hAnsiTheme="minorHAnsi" w:cstheme="minorHAnsi"/>
                <w:b/>
                <w:bCs/>
                <w:color w:val="000000"/>
                <w:sz w:val="20"/>
                <w:szCs w:val="20"/>
                <w:lang w:eastAsia="cs-CZ"/>
              </w:rPr>
              <w:t>990 887 000 Kč</w:t>
            </w:r>
          </w:p>
        </w:tc>
        <w:tc>
          <w:tcPr>
            <w:tcW w:w="2688" w:type="dxa"/>
            <w:vMerge w:val="restart"/>
            <w:vAlign w:val="center"/>
          </w:tcPr>
          <w:p w14:paraId="0330E6F9" w14:textId="77777777" w:rsidR="00933CE0" w:rsidRPr="003D3EB8" w:rsidRDefault="0008334E" w:rsidP="003D3EB8">
            <w:pPr>
              <w:spacing w:after="0"/>
              <w:ind w:right="886"/>
              <w:jc w:val="right"/>
              <w:rPr>
                <w:rFonts w:asciiTheme="minorHAnsi" w:hAnsiTheme="minorHAnsi" w:cstheme="minorHAnsi"/>
                <w:bCs/>
                <w:color w:val="000000"/>
                <w:sz w:val="20"/>
                <w:szCs w:val="20"/>
                <w:lang w:eastAsia="cs-CZ"/>
              </w:rPr>
            </w:pPr>
            <w:r w:rsidRPr="003D3EB8">
              <w:rPr>
                <w:rFonts w:asciiTheme="minorHAnsi" w:hAnsiTheme="minorHAnsi" w:cstheme="minorHAnsi"/>
                <w:b/>
                <w:bCs/>
                <w:color w:val="000000"/>
                <w:sz w:val="20"/>
                <w:szCs w:val="20"/>
                <w:lang w:eastAsia="cs-CZ"/>
              </w:rPr>
              <w:t>266 814</w:t>
            </w:r>
          </w:p>
        </w:tc>
      </w:tr>
      <w:tr w:rsidR="00121435" w:rsidRPr="003D3EB8" w14:paraId="2A0BB3DA" w14:textId="77777777" w:rsidTr="0087302D">
        <w:tc>
          <w:tcPr>
            <w:tcW w:w="1555" w:type="dxa"/>
          </w:tcPr>
          <w:p w14:paraId="1BB5E9E2" w14:textId="77777777" w:rsidR="00933CE0" w:rsidRPr="003D3EB8" w:rsidRDefault="0051469A" w:rsidP="003D3EB8">
            <w:pPr>
              <w:spacing w:after="0"/>
              <w:jc w:val="center"/>
              <w:rPr>
                <w:sz w:val="20"/>
                <w:szCs w:val="20"/>
              </w:rPr>
            </w:pPr>
            <w:r w:rsidRPr="003D3EB8">
              <w:rPr>
                <w:sz w:val="20"/>
                <w:szCs w:val="20"/>
              </w:rPr>
              <w:t>1</w:t>
            </w:r>
          </w:p>
        </w:tc>
        <w:tc>
          <w:tcPr>
            <w:tcW w:w="1559" w:type="dxa"/>
          </w:tcPr>
          <w:p w14:paraId="2CDA49D3" w14:textId="77777777" w:rsidR="00933CE0" w:rsidRPr="003D3EB8" w:rsidRDefault="0051469A" w:rsidP="00935637">
            <w:pPr>
              <w:spacing w:after="0"/>
              <w:ind w:right="311"/>
              <w:jc w:val="right"/>
              <w:rPr>
                <w:sz w:val="20"/>
                <w:szCs w:val="20"/>
              </w:rPr>
            </w:pPr>
            <w:r w:rsidRPr="003D3EB8">
              <w:rPr>
                <w:sz w:val="20"/>
                <w:szCs w:val="20"/>
              </w:rPr>
              <w:t>5 000 Kč</w:t>
            </w:r>
          </w:p>
        </w:tc>
        <w:tc>
          <w:tcPr>
            <w:tcW w:w="3260" w:type="dxa"/>
            <w:vMerge/>
            <w:tcBorders>
              <w:bottom w:val="single" w:sz="4" w:space="0" w:color="auto"/>
            </w:tcBorders>
          </w:tcPr>
          <w:p w14:paraId="4D4F003A" w14:textId="77777777" w:rsidR="00933CE0" w:rsidRPr="003D3EB8" w:rsidRDefault="00933CE0" w:rsidP="003D3EB8">
            <w:pPr>
              <w:spacing w:after="0"/>
              <w:jc w:val="center"/>
              <w:rPr>
                <w:sz w:val="20"/>
                <w:szCs w:val="20"/>
              </w:rPr>
            </w:pPr>
          </w:p>
        </w:tc>
        <w:tc>
          <w:tcPr>
            <w:tcW w:w="2688" w:type="dxa"/>
            <w:vMerge/>
          </w:tcPr>
          <w:p w14:paraId="6AC887B9" w14:textId="77777777" w:rsidR="00933CE0" w:rsidRPr="003D3EB8" w:rsidRDefault="00933CE0" w:rsidP="003D3EB8">
            <w:pPr>
              <w:spacing w:after="0"/>
              <w:jc w:val="center"/>
              <w:rPr>
                <w:sz w:val="20"/>
                <w:szCs w:val="20"/>
              </w:rPr>
            </w:pPr>
          </w:p>
        </w:tc>
      </w:tr>
      <w:tr w:rsidR="00121435" w:rsidRPr="003D3EB8" w14:paraId="23D8B280" w14:textId="77777777" w:rsidTr="00B66B4D">
        <w:tc>
          <w:tcPr>
            <w:tcW w:w="1555" w:type="dxa"/>
          </w:tcPr>
          <w:p w14:paraId="1DFF7E8D" w14:textId="77777777" w:rsidR="00933CE0" w:rsidRPr="003D3EB8" w:rsidRDefault="0051469A" w:rsidP="003D3EB8">
            <w:pPr>
              <w:spacing w:after="0"/>
              <w:jc w:val="center"/>
              <w:rPr>
                <w:sz w:val="20"/>
                <w:szCs w:val="20"/>
              </w:rPr>
            </w:pPr>
            <w:r w:rsidRPr="003D3EB8">
              <w:rPr>
                <w:sz w:val="20"/>
                <w:szCs w:val="20"/>
              </w:rPr>
              <w:t>2</w:t>
            </w:r>
          </w:p>
        </w:tc>
        <w:tc>
          <w:tcPr>
            <w:tcW w:w="1559" w:type="dxa"/>
          </w:tcPr>
          <w:p w14:paraId="6DA69E38" w14:textId="77777777" w:rsidR="00933CE0" w:rsidRPr="003D3EB8" w:rsidRDefault="0051469A" w:rsidP="00935637">
            <w:pPr>
              <w:spacing w:after="0"/>
              <w:ind w:right="311"/>
              <w:jc w:val="right"/>
              <w:rPr>
                <w:sz w:val="20"/>
                <w:szCs w:val="20"/>
              </w:rPr>
            </w:pPr>
            <w:r w:rsidRPr="003D3EB8">
              <w:rPr>
                <w:sz w:val="20"/>
                <w:szCs w:val="20"/>
              </w:rPr>
              <w:t>3 000 Kč</w:t>
            </w:r>
          </w:p>
        </w:tc>
        <w:tc>
          <w:tcPr>
            <w:tcW w:w="3260" w:type="dxa"/>
            <w:vMerge/>
            <w:tcBorders>
              <w:bottom w:val="single" w:sz="4" w:space="0" w:color="auto"/>
            </w:tcBorders>
          </w:tcPr>
          <w:p w14:paraId="2C10B09F" w14:textId="77777777" w:rsidR="00933CE0" w:rsidRPr="003D3EB8" w:rsidRDefault="00933CE0" w:rsidP="003D3EB8">
            <w:pPr>
              <w:spacing w:after="0"/>
              <w:jc w:val="center"/>
              <w:rPr>
                <w:sz w:val="20"/>
                <w:szCs w:val="20"/>
              </w:rPr>
            </w:pPr>
          </w:p>
        </w:tc>
        <w:tc>
          <w:tcPr>
            <w:tcW w:w="2688" w:type="dxa"/>
            <w:vMerge/>
          </w:tcPr>
          <w:p w14:paraId="17549B5B" w14:textId="77777777" w:rsidR="00933CE0" w:rsidRPr="003D3EB8" w:rsidRDefault="00933CE0" w:rsidP="003D3EB8">
            <w:pPr>
              <w:spacing w:after="0"/>
              <w:jc w:val="center"/>
              <w:rPr>
                <w:sz w:val="20"/>
                <w:szCs w:val="20"/>
              </w:rPr>
            </w:pPr>
          </w:p>
        </w:tc>
      </w:tr>
      <w:tr w:rsidR="00121435" w:rsidRPr="003D3EB8" w14:paraId="5FB707A6" w14:textId="77777777" w:rsidTr="00B66B4D">
        <w:tc>
          <w:tcPr>
            <w:tcW w:w="1555" w:type="dxa"/>
          </w:tcPr>
          <w:p w14:paraId="4B449411" w14:textId="77777777" w:rsidR="00933CE0" w:rsidRPr="003D3EB8" w:rsidRDefault="0051469A" w:rsidP="003D3EB8">
            <w:pPr>
              <w:spacing w:after="0"/>
              <w:jc w:val="center"/>
              <w:rPr>
                <w:sz w:val="20"/>
                <w:szCs w:val="20"/>
              </w:rPr>
            </w:pPr>
            <w:r w:rsidRPr="003D3EB8">
              <w:rPr>
                <w:sz w:val="20"/>
                <w:szCs w:val="20"/>
              </w:rPr>
              <w:t>3 a vyšší</w:t>
            </w:r>
          </w:p>
        </w:tc>
        <w:tc>
          <w:tcPr>
            <w:tcW w:w="1559" w:type="dxa"/>
          </w:tcPr>
          <w:p w14:paraId="20F13987" w14:textId="77777777" w:rsidR="00933CE0" w:rsidRPr="003D3EB8" w:rsidRDefault="0051469A" w:rsidP="003D3EB8">
            <w:pPr>
              <w:spacing w:after="0"/>
              <w:jc w:val="center"/>
              <w:rPr>
                <w:sz w:val="20"/>
                <w:szCs w:val="20"/>
              </w:rPr>
            </w:pPr>
            <w:r w:rsidRPr="003D3EB8">
              <w:rPr>
                <w:sz w:val="20"/>
                <w:szCs w:val="20"/>
              </w:rPr>
              <w:t>Bez poplatku</w:t>
            </w:r>
          </w:p>
        </w:tc>
        <w:tc>
          <w:tcPr>
            <w:tcW w:w="3260" w:type="dxa"/>
            <w:vMerge/>
            <w:tcBorders>
              <w:bottom w:val="single" w:sz="4" w:space="0" w:color="auto"/>
            </w:tcBorders>
          </w:tcPr>
          <w:p w14:paraId="6138B25A" w14:textId="77777777" w:rsidR="00933CE0" w:rsidRPr="003D3EB8" w:rsidRDefault="00933CE0" w:rsidP="003D3EB8">
            <w:pPr>
              <w:spacing w:after="0"/>
              <w:jc w:val="center"/>
              <w:rPr>
                <w:sz w:val="20"/>
                <w:szCs w:val="20"/>
              </w:rPr>
            </w:pPr>
          </w:p>
        </w:tc>
        <w:tc>
          <w:tcPr>
            <w:tcW w:w="2688" w:type="dxa"/>
            <w:vMerge/>
            <w:tcBorders>
              <w:bottom w:val="single" w:sz="4" w:space="0" w:color="auto"/>
            </w:tcBorders>
          </w:tcPr>
          <w:p w14:paraId="571F1D61" w14:textId="77777777" w:rsidR="00933CE0" w:rsidRPr="003D3EB8" w:rsidRDefault="00933CE0" w:rsidP="003D3EB8">
            <w:pPr>
              <w:spacing w:after="0"/>
              <w:jc w:val="center"/>
              <w:rPr>
                <w:sz w:val="20"/>
                <w:szCs w:val="20"/>
              </w:rPr>
            </w:pPr>
          </w:p>
        </w:tc>
      </w:tr>
    </w:tbl>
    <w:p w14:paraId="0BAD5D59" w14:textId="2CEFE048" w:rsidR="00933CE0" w:rsidRPr="003D3EB8" w:rsidRDefault="0051469A" w:rsidP="003D3EB8">
      <w:pPr>
        <w:spacing w:before="40"/>
        <w:rPr>
          <w:rFonts w:asciiTheme="minorHAnsi" w:hAnsiTheme="minorHAnsi" w:cstheme="minorHAnsi"/>
          <w:sz w:val="20"/>
          <w:szCs w:val="20"/>
          <w:lang w:eastAsia="cs-CZ"/>
        </w:rPr>
      </w:pPr>
      <w:r w:rsidRPr="003D3EB8">
        <w:rPr>
          <w:rFonts w:asciiTheme="minorHAnsi" w:hAnsiTheme="minorHAnsi" w:cstheme="minorHAnsi"/>
          <w:b/>
          <w:sz w:val="20"/>
          <w:szCs w:val="20"/>
          <w:lang w:eastAsia="cs-CZ"/>
        </w:rPr>
        <w:t>Zdroj:</w:t>
      </w:r>
      <w:r w:rsidRPr="003D3EB8">
        <w:rPr>
          <w:rFonts w:asciiTheme="minorHAnsi" w:hAnsiTheme="minorHAnsi" w:cstheme="minorHAnsi"/>
          <w:sz w:val="20"/>
          <w:szCs w:val="20"/>
          <w:lang w:eastAsia="cs-CZ"/>
        </w:rPr>
        <w:t xml:space="preserve"> </w:t>
      </w:r>
      <w:r w:rsidR="00C7066E">
        <w:rPr>
          <w:rFonts w:asciiTheme="minorHAnsi" w:hAnsiTheme="minorHAnsi" w:cstheme="minorHAnsi"/>
          <w:sz w:val="20"/>
          <w:szCs w:val="20"/>
          <w:lang w:eastAsia="cs-CZ"/>
        </w:rPr>
        <w:t xml:space="preserve">vypracoval NKÚ na základě dat od </w:t>
      </w:r>
      <w:r w:rsidR="00707A7E" w:rsidRPr="003D3EB8">
        <w:rPr>
          <w:rFonts w:asciiTheme="minorHAnsi" w:hAnsiTheme="minorHAnsi" w:cstheme="minorHAnsi"/>
          <w:sz w:val="20"/>
          <w:szCs w:val="20"/>
          <w:lang w:eastAsia="cs-CZ"/>
        </w:rPr>
        <w:t>MŽP</w:t>
      </w:r>
      <w:r w:rsidR="00F31EE6" w:rsidRPr="003D3EB8">
        <w:rPr>
          <w:rFonts w:asciiTheme="minorHAnsi" w:hAnsiTheme="minorHAnsi" w:cstheme="minorHAnsi"/>
          <w:sz w:val="20"/>
          <w:szCs w:val="20"/>
          <w:lang w:eastAsia="cs-CZ"/>
        </w:rPr>
        <w:t>.</w:t>
      </w:r>
    </w:p>
    <w:p w14:paraId="14E2E458" w14:textId="77777777" w:rsidR="00933CE0" w:rsidRDefault="0051469A" w:rsidP="003D3EB8">
      <w:pPr>
        <w:spacing w:before="120"/>
      </w:pPr>
      <w:r>
        <w:t xml:space="preserve">V roce </w:t>
      </w:r>
      <w:r w:rsidR="00F31EE6">
        <w:t>zavedení</w:t>
      </w:r>
      <w:r>
        <w:t xml:space="preserve"> tohoto poplatku byla nově </w:t>
      </w:r>
      <w:r w:rsidR="00F31EE6">
        <w:t xml:space="preserve">stanovena </w:t>
      </w:r>
      <w:r>
        <w:t>emisní norma EURO 5 (viz obrázek č</w:t>
      </w:r>
      <w:r w:rsidRPr="00237396">
        <w:t xml:space="preserve">. </w:t>
      </w:r>
      <w:r w:rsidR="0009644C" w:rsidRPr="00237396">
        <w:t>2</w:t>
      </w:r>
      <w:r w:rsidRPr="00237396">
        <w:t>).</w:t>
      </w:r>
      <w:r>
        <w:t xml:space="preserve"> Recyklační poplatek se v době zavedení vztahoval na vozidla od stáří </w:t>
      </w:r>
      <w:r w:rsidR="00F31EE6">
        <w:t>devíti</w:t>
      </w:r>
      <w:r w:rsidR="00626125">
        <w:t xml:space="preserve"> let. Rozdíl mezi v </w:t>
      </w:r>
      <w:r>
        <w:t xml:space="preserve">té době nejekologičtější emisní normou EURO 5 a emisní normou, na kterou byl uplatňován recyklační poplatek, byl tři emisní normy. Při zachování tohoto parametru by se zavedením emisní normy EURO 6 logicky mělo dojít k posunutí uplatňování recyklačního poplatku na emisní normu EURO 3. I za tohoto předpokladu by však došlo k zastarávání vozového parku, protože emisní norma EURO 3 v době vstupu emisní normy EURO 6 v účinnost se vztahuje až na </w:t>
      </w:r>
      <w:r w:rsidR="00292E65">
        <w:t>vozidla starší 14 let</w:t>
      </w:r>
      <w:r>
        <w:t>. MŽP nezareagovalo ani na zavedení dalších emisních norem EURO 6a až EURO 6d.</w:t>
      </w:r>
    </w:p>
    <w:p w14:paraId="5F5EC29B" w14:textId="77777777" w:rsidR="00933CE0" w:rsidRPr="00933CE0" w:rsidRDefault="0051469A" w:rsidP="00B24E11">
      <w:pPr>
        <w:keepNext/>
        <w:rPr>
          <w:b/>
        </w:rPr>
      </w:pPr>
      <w:r w:rsidRPr="00933CE0">
        <w:rPr>
          <w:b/>
        </w:rPr>
        <w:t xml:space="preserve">Obrázek č. </w:t>
      </w:r>
      <w:r w:rsidR="0009644C">
        <w:rPr>
          <w:b/>
        </w:rPr>
        <w:t>2</w:t>
      </w:r>
      <w:r w:rsidR="00935637">
        <w:rPr>
          <w:b/>
        </w:rPr>
        <w:t>:</w:t>
      </w:r>
      <w:r w:rsidRPr="00933CE0">
        <w:rPr>
          <w:b/>
        </w:rPr>
        <w:t xml:space="preserve"> Časová osa </w:t>
      </w:r>
      <w:r w:rsidR="005E375E">
        <w:rPr>
          <w:b/>
        </w:rPr>
        <w:t xml:space="preserve">zavádění </w:t>
      </w:r>
      <w:r w:rsidRPr="00933CE0">
        <w:rPr>
          <w:b/>
        </w:rPr>
        <w:t xml:space="preserve">emisních norem </w:t>
      </w:r>
    </w:p>
    <w:p w14:paraId="515CAED1" w14:textId="2DCAEAF4" w:rsidR="005E375E" w:rsidRPr="00B24E11" w:rsidRDefault="005E375E" w:rsidP="00B24E11">
      <w:pPr>
        <w:keepNext/>
        <w:rPr>
          <w:sz w:val="20"/>
          <w:szCs w:val="20"/>
        </w:rPr>
      </w:pPr>
      <w:r>
        <w:rPr>
          <w:noProof/>
          <w:lang w:eastAsia="cs-CZ"/>
        </w:rPr>
        <w:drawing>
          <wp:inline distT="0" distB="0" distL="0" distR="0" wp14:anchorId="6B2998F1" wp14:editId="35DD583A">
            <wp:extent cx="5759450" cy="2043485"/>
            <wp:effectExtent l="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Pr="00B24E11">
        <w:rPr>
          <w:b/>
          <w:sz w:val="20"/>
          <w:szCs w:val="20"/>
        </w:rPr>
        <w:t>Zdroj:</w:t>
      </w:r>
      <w:r w:rsidRPr="00B24E11">
        <w:rPr>
          <w:sz w:val="20"/>
          <w:szCs w:val="20"/>
        </w:rPr>
        <w:t xml:space="preserve"> </w:t>
      </w:r>
      <w:r w:rsidR="00C7066E">
        <w:rPr>
          <w:sz w:val="20"/>
          <w:szCs w:val="20"/>
        </w:rPr>
        <w:t>graficky</w:t>
      </w:r>
      <w:r w:rsidRPr="00B24E11">
        <w:rPr>
          <w:sz w:val="20"/>
          <w:szCs w:val="20"/>
        </w:rPr>
        <w:t xml:space="preserve"> zpracov</w:t>
      </w:r>
      <w:r w:rsidR="00C7066E">
        <w:rPr>
          <w:sz w:val="20"/>
          <w:szCs w:val="20"/>
        </w:rPr>
        <w:t>al</w:t>
      </w:r>
      <w:r w:rsidRPr="00B24E11">
        <w:rPr>
          <w:sz w:val="20"/>
          <w:szCs w:val="20"/>
        </w:rPr>
        <w:t xml:space="preserve"> NKÚ</w:t>
      </w:r>
      <w:r w:rsidR="00D0698D" w:rsidRPr="00B24E11">
        <w:rPr>
          <w:sz w:val="20"/>
          <w:szCs w:val="20"/>
        </w:rPr>
        <w:t>.</w:t>
      </w:r>
      <w:r w:rsidRPr="00B24E11">
        <w:rPr>
          <w:sz w:val="20"/>
          <w:szCs w:val="20"/>
        </w:rPr>
        <w:t xml:space="preserve"> </w:t>
      </w:r>
    </w:p>
    <w:p w14:paraId="6BAB6117" w14:textId="7FED3DD8" w:rsidR="00933CE0" w:rsidRDefault="0051469A" w:rsidP="00B24E11">
      <w:pPr>
        <w:spacing w:before="120"/>
      </w:pPr>
      <w:r>
        <w:t xml:space="preserve">Recyklační poplatek </w:t>
      </w:r>
      <w:r w:rsidR="00063395">
        <w:t>přestal naplňovat svůj účel již v roce 2011, kdy voz</w:t>
      </w:r>
      <w:r>
        <w:t>idla starší 10</w:t>
      </w:r>
      <w:r w:rsidR="00292E65">
        <w:t xml:space="preserve"> </w:t>
      </w:r>
      <w:r w:rsidR="00E364B0">
        <w:t>let, na</w:t>
      </w:r>
      <w:r w:rsidR="00C7066E">
        <w:t xml:space="preserve"> </w:t>
      </w:r>
      <w:r>
        <w:t>která byl</w:t>
      </w:r>
      <w:r w:rsidR="00063395">
        <w:t xml:space="preserve"> soustředěn, začal</w:t>
      </w:r>
      <w:r w:rsidR="00F31EE6">
        <w:t>a</w:t>
      </w:r>
      <w:r w:rsidR="00063395">
        <w:t xml:space="preserve"> zvyšovat svůj podíl na celkovém počtu </w:t>
      </w:r>
      <w:r w:rsidR="00063395" w:rsidRPr="00237396">
        <w:t>vozidel</w:t>
      </w:r>
      <w:r w:rsidR="00BD6B7C" w:rsidRPr="00237396">
        <w:t xml:space="preserve"> (viz </w:t>
      </w:r>
      <w:r w:rsidR="00CB6D42" w:rsidRPr="00237396">
        <w:t>graf</w:t>
      </w:r>
      <w:r w:rsidR="00BD6B7C" w:rsidRPr="00237396">
        <w:t xml:space="preserve"> č. </w:t>
      </w:r>
      <w:r w:rsidR="00560544" w:rsidRPr="00237396">
        <w:t>3</w:t>
      </w:r>
      <w:r w:rsidR="00BD6B7C" w:rsidRPr="00237396">
        <w:t>)</w:t>
      </w:r>
      <w:r w:rsidR="00063395" w:rsidRPr="00237396">
        <w:t>.</w:t>
      </w:r>
      <w:r>
        <w:t xml:space="preserve"> V</w:t>
      </w:r>
      <w:r w:rsidR="00626125">
        <w:t> </w:t>
      </w:r>
      <w:r w:rsidR="00F31EE6">
        <w:t>době zavedení</w:t>
      </w:r>
      <w:r w:rsidR="00063395">
        <w:t xml:space="preserve"> </w:t>
      </w:r>
      <w:r w:rsidR="00A81C3E">
        <w:t xml:space="preserve">a bezprostředně navazujícím roce </w:t>
      </w:r>
      <w:r>
        <w:t>(</w:t>
      </w:r>
      <w:r w:rsidR="00A81C3E">
        <w:t>tj. v letech 20</w:t>
      </w:r>
      <w:r>
        <w:t>09</w:t>
      </w:r>
      <w:r w:rsidR="00A81C3E">
        <w:t xml:space="preserve"> a 2010</w:t>
      </w:r>
      <w:r>
        <w:t xml:space="preserve">) byl recyklační poplatek </w:t>
      </w:r>
      <w:r w:rsidR="00063395">
        <w:t>účelným nástrojem, avšak</w:t>
      </w:r>
      <w:r w:rsidR="004B5DA2">
        <w:t xml:space="preserve"> </w:t>
      </w:r>
      <w:r w:rsidR="00063395">
        <w:t>s ohledem na jeho nasta</w:t>
      </w:r>
      <w:r w:rsidR="00E364B0">
        <w:t xml:space="preserve">vení došlo k jeho zastarávání </w:t>
      </w:r>
      <w:r w:rsidR="00E364B0">
        <w:lastRenderedPageBreak/>
        <w:t>a </w:t>
      </w:r>
      <w:r w:rsidR="00063395">
        <w:t>postupné ztrátě účelnosti.</w:t>
      </w:r>
      <w:r w:rsidR="004B5DA2">
        <w:t xml:space="preserve"> </w:t>
      </w:r>
      <w:r w:rsidR="00063395">
        <w:t xml:space="preserve">V kontrolovaném období </w:t>
      </w:r>
      <w:r w:rsidR="00A81C3E">
        <w:t xml:space="preserve">2015–2018 </w:t>
      </w:r>
      <w:r w:rsidR="00E364B0">
        <w:t>byla jeho účelnost již</w:t>
      </w:r>
      <w:r w:rsidR="00C7066E">
        <w:t xml:space="preserve"> </w:t>
      </w:r>
      <w:r w:rsidR="00063395">
        <w:t xml:space="preserve">zanedbatelná. </w:t>
      </w:r>
    </w:p>
    <w:p w14:paraId="28B88F0A" w14:textId="77777777" w:rsidR="00933CE0" w:rsidRDefault="00B24E11" w:rsidP="00D25C25">
      <w:pPr>
        <w:pStyle w:val="Graf"/>
      </w:pPr>
      <w:r>
        <w:t xml:space="preserve">Graf č. 3: </w:t>
      </w:r>
      <w:r w:rsidR="0051469A">
        <w:t xml:space="preserve">Podíl </w:t>
      </w:r>
      <w:r w:rsidR="00D71D9D">
        <w:t xml:space="preserve">nově registrovaných </w:t>
      </w:r>
      <w:r w:rsidR="00F852B0">
        <w:t xml:space="preserve">ojetých </w:t>
      </w:r>
      <w:r w:rsidR="0051469A">
        <w:t xml:space="preserve">vozidel </w:t>
      </w:r>
      <w:r w:rsidR="000A105B">
        <w:t>starších</w:t>
      </w:r>
      <w:r w:rsidR="0051469A">
        <w:t xml:space="preserve"> 10 let </w:t>
      </w:r>
      <w:r w:rsidR="00560544">
        <w:t xml:space="preserve">(%) </w:t>
      </w:r>
    </w:p>
    <w:p w14:paraId="4B544AD3" w14:textId="77777777" w:rsidR="00D71D9D" w:rsidRPr="00D71D9D" w:rsidRDefault="0051469A" w:rsidP="00437690">
      <w:pPr>
        <w:rPr>
          <w:sz w:val="20"/>
          <w:szCs w:val="20"/>
          <w:lang w:eastAsia="cs-CZ"/>
        </w:rPr>
      </w:pPr>
      <w:r>
        <w:rPr>
          <w:noProof/>
          <w:lang w:eastAsia="cs-CZ"/>
        </w:rPr>
        <w:drawing>
          <wp:inline distT="0" distB="0" distL="0" distR="0" wp14:anchorId="078E7A85" wp14:editId="7FFF04CC">
            <wp:extent cx="5721350" cy="1625600"/>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BC75279" w14:textId="0B81289B" w:rsidR="00933CE0" w:rsidRPr="00FE3081" w:rsidRDefault="0051469A" w:rsidP="00FE3081">
      <w:pPr>
        <w:rPr>
          <w:sz w:val="20"/>
          <w:szCs w:val="20"/>
        </w:rPr>
      </w:pPr>
      <w:r w:rsidRPr="00FE3081">
        <w:rPr>
          <w:b/>
          <w:sz w:val="20"/>
          <w:szCs w:val="20"/>
          <w:lang w:eastAsia="cs-CZ"/>
        </w:rPr>
        <w:t>Zdroj:</w:t>
      </w:r>
      <w:r w:rsidRPr="00FE3081">
        <w:rPr>
          <w:sz w:val="20"/>
          <w:szCs w:val="20"/>
          <w:lang w:eastAsia="cs-CZ"/>
        </w:rPr>
        <w:t xml:space="preserve"> </w:t>
      </w:r>
      <w:r w:rsidR="00935637">
        <w:rPr>
          <w:sz w:val="20"/>
          <w:szCs w:val="20"/>
          <w:lang w:eastAsia="cs-CZ"/>
        </w:rPr>
        <w:t>w</w:t>
      </w:r>
      <w:r w:rsidR="0098509E" w:rsidRPr="00FE3081">
        <w:rPr>
          <w:sz w:val="20"/>
          <w:szCs w:val="20"/>
          <w:lang w:eastAsia="cs-CZ"/>
        </w:rPr>
        <w:t xml:space="preserve">eb Svazu dovozců automobilů </w:t>
      </w:r>
      <w:r w:rsidR="00935637">
        <w:rPr>
          <w:sz w:val="20"/>
          <w:szCs w:val="20"/>
          <w:lang w:eastAsia="cs-CZ"/>
        </w:rPr>
        <w:t>–</w:t>
      </w:r>
      <w:r w:rsidR="0098509E" w:rsidRPr="00FE3081">
        <w:rPr>
          <w:sz w:val="20"/>
          <w:szCs w:val="20"/>
          <w:lang w:eastAsia="cs-CZ"/>
        </w:rPr>
        <w:t xml:space="preserve"> fa RTV data, s.r.o.</w:t>
      </w:r>
      <w:r w:rsidR="00C7066E">
        <w:rPr>
          <w:sz w:val="20"/>
          <w:szCs w:val="20"/>
          <w:lang w:eastAsia="cs-CZ"/>
        </w:rPr>
        <w:t>,</w:t>
      </w:r>
      <w:r w:rsidR="0098509E" w:rsidRPr="00FE3081">
        <w:rPr>
          <w:sz w:val="20"/>
          <w:szCs w:val="20"/>
          <w:lang w:eastAsia="cs-CZ"/>
        </w:rPr>
        <w:t xml:space="preserve"> ke dni 3. 4. 2019, 7:46 hod, </w:t>
      </w:r>
      <w:r w:rsidR="00C7066E">
        <w:rPr>
          <w:sz w:val="20"/>
          <w:szCs w:val="20"/>
          <w:lang w:eastAsia="cs-CZ"/>
        </w:rPr>
        <w:t>graficky</w:t>
      </w:r>
      <w:r w:rsidR="0098509E" w:rsidRPr="00FE3081">
        <w:rPr>
          <w:sz w:val="20"/>
          <w:szCs w:val="20"/>
          <w:lang w:eastAsia="cs-CZ"/>
        </w:rPr>
        <w:t xml:space="preserve"> zpracov</w:t>
      </w:r>
      <w:r w:rsidR="00C7066E">
        <w:rPr>
          <w:sz w:val="20"/>
          <w:szCs w:val="20"/>
          <w:lang w:eastAsia="cs-CZ"/>
        </w:rPr>
        <w:t>al</w:t>
      </w:r>
      <w:r w:rsidR="0098509E" w:rsidRPr="00FE3081">
        <w:rPr>
          <w:sz w:val="20"/>
          <w:szCs w:val="20"/>
          <w:lang w:eastAsia="cs-CZ"/>
        </w:rPr>
        <w:t xml:space="preserve"> NKÚ</w:t>
      </w:r>
      <w:r w:rsidR="00F31EE6" w:rsidRPr="00FE3081">
        <w:rPr>
          <w:sz w:val="20"/>
          <w:szCs w:val="20"/>
          <w:lang w:eastAsia="cs-CZ"/>
        </w:rPr>
        <w:t>.</w:t>
      </w:r>
    </w:p>
    <w:p w14:paraId="28B3D349" w14:textId="77777777" w:rsidR="00B24EB6" w:rsidRPr="00E24880" w:rsidRDefault="007B735A" w:rsidP="00FE3081">
      <w:pPr>
        <w:pStyle w:val="11rove"/>
        <w:numPr>
          <w:ilvl w:val="0"/>
          <w:numId w:val="0"/>
        </w:numPr>
        <w:spacing w:before="120" w:after="120"/>
      </w:pPr>
      <w:bookmarkStart w:id="25" w:name="_Toc16595004"/>
      <w:bookmarkStart w:id="26" w:name="_Ref16678970"/>
      <w:r>
        <w:t>4.2</w:t>
      </w:r>
      <w:r w:rsidR="0051469A">
        <w:t xml:space="preserve"> </w:t>
      </w:r>
      <w:r w:rsidR="0051469A" w:rsidRPr="00E24880">
        <w:t>Státní příspěvek při vyřazení autovraku</w:t>
      </w:r>
      <w:bookmarkEnd w:id="25"/>
      <w:bookmarkEnd w:id="26"/>
    </w:p>
    <w:p w14:paraId="15BD5D95" w14:textId="77777777" w:rsidR="00557FA7" w:rsidRDefault="0051469A" w:rsidP="00FE3081">
      <w:pPr>
        <w:spacing w:before="120"/>
      </w:pPr>
      <w:r>
        <w:t xml:space="preserve">Protože daňová podpora je poskytována v souvislosti s dalšími finančními nástroji, </w:t>
      </w:r>
      <w:r w:rsidR="000A105B">
        <w:t xml:space="preserve">NKÚ </w:t>
      </w:r>
      <w:r>
        <w:t xml:space="preserve">ověřil i legislativní nastavení státního příspěvku při vyřazení autovraku. </w:t>
      </w:r>
      <w:r w:rsidR="000A105B">
        <w:t>J</w:t>
      </w:r>
      <w:r w:rsidR="009E518B">
        <w:t>e</w:t>
      </w:r>
      <w:r w:rsidR="000A105B">
        <w:t>-li</w:t>
      </w:r>
      <w:r w:rsidR="009E518B">
        <w:t xml:space="preserve"> vyd</w:t>
      </w:r>
      <w:r w:rsidR="000A105B">
        <w:t>á</w:t>
      </w:r>
      <w:r w:rsidR="009E518B">
        <w:t>n</w:t>
      </w:r>
      <w:r w:rsidR="000A105B">
        <w:t>o</w:t>
      </w:r>
      <w:r w:rsidR="009E518B">
        <w:t xml:space="preserve"> nařízení </w:t>
      </w:r>
      <w:r>
        <w:t>vlády</w:t>
      </w:r>
      <w:r>
        <w:rPr>
          <w:rStyle w:val="Znakapoznpodarou"/>
        </w:rPr>
        <w:footnoteReference w:id="52"/>
      </w:r>
      <w:r w:rsidR="000A105B">
        <w:t xml:space="preserve">, je </w:t>
      </w:r>
      <w:r>
        <w:t xml:space="preserve">MŽP </w:t>
      </w:r>
      <w:r w:rsidR="009E518B">
        <w:t>oprávněn</w:t>
      </w:r>
      <w:r>
        <w:t>o k vyplacení státního příspěvku při vyřazení autovraku</w:t>
      </w:r>
      <w:r w:rsidR="000A105B">
        <w:t>. Od roku 2009 takové nařízení vlády nebylo vydáno</w:t>
      </w:r>
      <w:r>
        <w:t>. Základní zákonnou podmínkou</w:t>
      </w:r>
      <w:r w:rsidR="000A105B">
        <w:t xml:space="preserve"> pro poskytnutí příspěvku</w:t>
      </w:r>
      <w:r>
        <w:t xml:space="preserve"> je</w:t>
      </w:r>
      <w:r w:rsidR="00056038">
        <w:t xml:space="preserve"> e</w:t>
      </w:r>
      <w:r w:rsidR="00CB6D42">
        <w:t>misní norma vozidla EURO 4</w:t>
      </w:r>
      <w:r w:rsidR="00532A6C">
        <w:t xml:space="preserve">, která </w:t>
      </w:r>
      <w:r w:rsidR="00CB6D42">
        <w:t xml:space="preserve">je již zastaralá a nenaplňuje cíle EU v oblasti nových </w:t>
      </w:r>
      <w:r w:rsidR="00CB6D42" w:rsidRPr="0009644C">
        <w:t>vozidel (</w:t>
      </w:r>
      <w:r w:rsidR="00031135" w:rsidRPr="0009644C">
        <w:t xml:space="preserve">95 g/km EURO 7 </w:t>
      </w:r>
      <w:r w:rsidR="00CB6D42" w:rsidRPr="0009644C">
        <w:t>od roku 2020)</w:t>
      </w:r>
      <w:r w:rsidR="00056038" w:rsidRPr="0009644C">
        <w:t>.</w:t>
      </w:r>
      <w:r w:rsidR="00056038">
        <w:t xml:space="preserve"> </w:t>
      </w:r>
    </w:p>
    <w:p w14:paraId="1CBBCA3D" w14:textId="6B7008A0" w:rsidR="006A3E64" w:rsidRPr="00B865C1" w:rsidRDefault="0051469A" w:rsidP="00FE3081">
      <w:pPr>
        <w:spacing w:before="120"/>
        <w:rPr>
          <w:rFonts w:cstheme="minorHAnsi"/>
        </w:rPr>
      </w:pPr>
      <w:r w:rsidRPr="00732D92">
        <w:rPr>
          <w:rFonts w:cstheme="minorHAnsi"/>
        </w:rPr>
        <w:t>V probíhajícím legislativní</w:t>
      </w:r>
      <w:r w:rsidR="003526F8">
        <w:rPr>
          <w:rFonts w:cstheme="minorHAnsi"/>
        </w:rPr>
        <w:t>m procesu návrhu nového zákona</w:t>
      </w:r>
      <w:r w:rsidR="00A375F1" w:rsidRPr="00A375F1">
        <w:t xml:space="preserve"> </w:t>
      </w:r>
      <w:r w:rsidR="00A375F1">
        <w:t>o výrobcích s ukonč</w:t>
      </w:r>
      <w:r w:rsidR="003105FA">
        <w:t>enou životností, který nahradí</w:t>
      </w:r>
      <w:r w:rsidR="00A375F1">
        <w:t xml:space="preserve"> zákon o odpadech</w:t>
      </w:r>
      <w:r w:rsidR="003105FA">
        <w:rPr>
          <w:rStyle w:val="Znakapoznpodarou"/>
        </w:rPr>
        <w:footnoteReference w:id="53"/>
      </w:r>
      <w:r w:rsidR="00A375F1">
        <w:t>,</w:t>
      </w:r>
      <w:r w:rsidR="003526F8">
        <w:rPr>
          <w:rFonts w:cstheme="minorHAnsi"/>
        </w:rPr>
        <w:t xml:space="preserve"> </w:t>
      </w:r>
      <w:r w:rsidRPr="00732D92">
        <w:rPr>
          <w:rFonts w:cstheme="minorHAnsi"/>
        </w:rPr>
        <w:t xml:space="preserve">státní příspěvek není upraven, </w:t>
      </w:r>
      <w:r w:rsidR="00CB6D42">
        <w:rPr>
          <w:rFonts w:cstheme="minorHAnsi"/>
        </w:rPr>
        <w:t xml:space="preserve">přestože MŽP nechalo zpracovat studii, kde je </w:t>
      </w:r>
      <w:r w:rsidR="00056038">
        <w:rPr>
          <w:rFonts w:cstheme="minorHAnsi"/>
        </w:rPr>
        <w:t xml:space="preserve">forma </w:t>
      </w:r>
      <w:r w:rsidR="0009644C">
        <w:rPr>
          <w:rFonts w:cstheme="minorHAnsi"/>
        </w:rPr>
        <w:t>dotační</w:t>
      </w:r>
      <w:r w:rsidR="00056038">
        <w:rPr>
          <w:rFonts w:cstheme="minorHAnsi"/>
        </w:rPr>
        <w:t xml:space="preserve"> podpor</w:t>
      </w:r>
      <w:r w:rsidR="004F7F91">
        <w:rPr>
          <w:rFonts w:cstheme="minorHAnsi"/>
        </w:rPr>
        <w:t>y</w:t>
      </w:r>
      <w:r w:rsidR="00056038">
        <w:rPr>
          <w:rFonts w:cstheme="minorHAnsi"/>
        </w:rPr>
        <w:t xml:space="preserve"> </w:t>
      </w:r>
      <w:r w:rsidRPr="00732D92">
        <w:rPr>
          <w:rFonts w:cstheme="minorHAnsi"/>
        </w:rPr>
        <w:t>zkoumána a vyhodnocována.</w:t>
      </w:r>
      <w:r w:rsidR="00056038">
        <w:rPr>
          <w:rFonts w:cstheme="minorHAnsi"/>
        </w:rPr>
        <w:t xml:space="preserve"> V řadě států</w:t>
      </w:r>
      <w:r w:rsidR="004F7F91">
        <w:rPr>
          <w:rFonts w:cstheme="minorHAnsi"/>
        </w:rPr>
        <w:t xml:space="preserve"> EU</w:t>
      </w:r>
      <w:r w:rsidR="00056038">
        <w:rPr>
          <w:rFonts w:cstheme="minorHAnsi"/>
        </w:rPr>
        <w:t xml:space="preserve"> je </w:t>
      </w:r>
      <w:r w:rsidR="0009644C">
        <w:rPr>
          <w:rFonts w:cstheme="minorHAnsi"/>
        </w:rPr>
        <w:t>dotační</w:t>
      </w:r>
      <w:r w:rsidR="00056038">
        <w:rPr>
          <w:rFonts w:cstheme="minorHAnsi"/>
        </w:rPr>
        <w:t xml:space="preserve"> podpora</w:t>
      </w:r>
      <w:r w:rsidR="00AC729E">
        <w:rPr>
          <w:rFonts w:cstheme="minorHAnsi"/>
        </w:rPr>
        <w:t xml:space="preserve"> pro vozidla s nulovými nebo nízkými emisemi </w:t>
      </w:r>
      <w:r w:rsidR="00056038">
        <w:rPr>
          <w:rFonts w:cstheme="minorHAnsi"/>
        </w:rPr>
        <w:t>využívána jako doplněk daňové podpory</w:t>
      </w:r>
      <w:r w:rsidR="004F7F91">
        <w:rPr>
          <w:rFonts w:cstheme="minorHAnsi"/>
        </w:rPr>
        <w:t xml:space="preserve"> a významný nástroj k ekologizaci dopravy</w:t>
      </w:r>
      <w:r w:rsidR="005E0654">
        <w:rPr>
          <w:rFonts w:cstheme="minorHAnsi"/>
        </w:rPr>
        <w:t xml:space="preserve"> (n</w:t>
      </w:r>
      <w:r w:rsidR="001D48E8">
        <w:rPr>
          <w:rFonts w:cstheme="minorHAnsi"/>
        </w:rPr>
        <w:t xml:space="preserve">apř. </w:t>
      </w:r>
      <w:r w:rsidR="005E0654">
        <w:rPr>
          <w:rFonts w:cstheme="minorHAnsi"/>
        </w:rPr>
        <w:t>v Německu</w:t>
      </w:r>
      <w:r w:rsidR="001D48E8" w:rsidRPr="001D48E8">
        <w:rPr>
          <w:rFonts w:cstheme="minorHAnsi"/>
        </w:rPr>
        <w:t xml:space="preserve"> </w:t>
      </w:r>
      <w:r w:rsidR="005E0654">
        <w:rPr>
          <w:rFonts w:cstheme="minorHAnsi"/>
        </w:rPr>
        <w:t>4</w:t>
      </w:r>
      <w:r w:rsidR="00C7066E">
        <w:rPr>
          <w:rFonts w:cstheme="minorHAnsi"/>
        </w:rPr>
        <w:t> </w:t>
      </w:r>
      <w:r w:rsidR="001D48E8" w:rsidRPr="001D48E8">
        <w:rPr>
          <w:rFonts w:cstheme="minorHAnsi"/>
        </w:rPr>
        <w:t>000</w:t>
      </w:r>
      <w:r w:rsidR="00FE3081">
        <w:rPr>
          <w:rFonts w:cstheme="minorHAnsi"/>
        </w:rPr>
        <w:t> </w:t>
      </w:r>
      <w:r w:rsidR="00C7066E">
        <w:rPr>
          <w:rFonts w:cstheme="minorHAnsi"/>
        </w:rPr>
        <w:t>€</w:t>
      </w:r>
      <w:r w:rsidR="001D48E8" w:rsidRPr="001D48E8">
        <w:rPr>
          <w:rFonts w:cstheme="minorHAnsi"/>
        </w:rPr>
        <w:t xml:space="preserve">, </w:t>
      </w:r>
      <w:r w:rsidR="005E0654">
        <w:rPr>
          <w:rFonts w:cstheme="minorHAnsi"/>
        </w:rPr>
        <w:t xml:space="preserve">v </w:t>
      </w:r>
      <w:r w:rsidR="001D48E8" w:rsidRPr="001D48E8">
        <w:rPr>
          <w:rFonts w:cstheme="minorHAnsi"/>
        </w:rPr>
        <w:t>Rumu</w:t>
      </w:r>
      <w:r w:rsidR="005E0654">
        <w:rPr>
          <w:rFonts w:cstheme="minorHAnsi"/>
        </w:rPr>
        <w:t>nsku</w:t>
      </w:r>
      <w:r w:rsidR="001D48E8" w:rsidRPr="001D48E8">
        <w:rPr>
          <w:rFonts w:cstheme="minorHAnsi"/>
        </w:rPr>
        <w:t xml:space="preserve"> 4</w:t>
      </w:r>
      <w:r w:rsidR="00C7066E">
        <w:rPr>
          <w:rFonts w:cstheme="minorHAnsi"/>
        </w:rPr>
        <w:t> </w:t>
      </w:r>
      <w:r w:rsidR="001D48E8" w:rsidRPr="001D48E8">
        <w:rPr>
          <w:rFonts w:cstheme="minorHAnsi"/>
        </w:rPr>
        <w:t xml:space="preserve">500 </w:t>
      </w:r>
      <w:r w:rsidR="00C7066E">
        <w:rPr>
          <w:rFonts w:cstheme="minorHAnsi"/>
        </w:rPr>
        <w:t>€</w:t>
      </w:r>
      <w:r w:rsidR="001D48E8" w:rsidRPr="001D48E8">
        <w:rPr>
          <w:rFonts w:cstheme="minorHAnsi"/>
        </w:rPr>
        <w:t xml:space="preserve">, </w:t>
      </w:r>
      <w:r w:rsidR="005E0654">
        <w:rPr>
          <w:rFonts w:cstheme="minorHAnsi"/>
        </w:rPr>
        <w:t>ve Slovenské republice</w:t>
      </w:r>
      <w:r w:rsidR="001D48E8" w:rsidRPr="001D48E8">
        <w:rPr>
          <w:rFonts w:cstheme="minorHAnsi"/>
        </w:rPr>
        <w:t xml:space="preserve"> </w:t>
      </w:r>
      <w:r w:rsidR="005E0654">
        <w:rPr>
          <w:rFonts w:cstheme="minorHAnsi"/>
        </w:rPr>
        <w:t>5</w:t>
      </w:r>
      <w:r w:rsidR="00C7066E">
        <w:rPr>
          <w:rFonts w:cstheme="minorHAnsi"/>
        </w:rPr>
        <w:t> </w:t>
      </w:r>
      <w:r w:rsidR="001D48E8" w:rsidRPr="001D48E8">
        <w:rPr>
          <w:rFonts w:cstheme="minorHAnsi"/>
        </w:rPr>
        <w:t xml:space="preserve">000 </w:t>
      </w:r>
      <w:r w:rsidR="00C7066E">
        <w:rPr>
          <w:rFonts w:cstheme="minorHAnsi"/>
        </w:rPr>
        <w:t>€</w:t>
      </w:r>
      <w:r w:rsidR="005E0654">
        <w:rPr>
          <w:rFonts w:cstheme="minorHAnsi"/>
        </w:rPr>
        <w:t xml:space="preserve"> a ve Slovinsku</w:t>
      </w:r>
      <w:r w:rsidR="001D48E8" w:rsidRPr="001D48E8">
        <w:rPr>
          <w:rFonts w:cstheme="minorHAnsi"/>
        </w:rPr>
        <w:t xml:space="preserve"> 7</w:t>
      </w:r>
      <w:r w:rsidR="00C7066E">
        <w:rPr>
          <w:rFonts w:cstheme="minorHAnsi"/>
        </w:rPr>
        <w:t> </w:t>
      </w:r>
      <w:r w:rsidR="001D48E8" w:rsidRPr="001D48E8">
        <w:rPr>
          <w:rFonts w:cstheme="minorHAnsi"/>
        </w:rPr>
        <w:t>500</w:t>
      </w:r>
      <w:r w:rsidR="00FE3081">
        <w:rPr>
          <w:rFonts w:cstheme="minorHAnsi"/>
        </w:rPr>
        <w:t> </w:t>
      </w:r>
      <w:r w:rsidR="00C7066E">
        <w:rPr>
          <w:rFonts w:cstheme="minorHAnsi"/>
        </w:rPr>
        <w:t>€</w:t>
      </w:r>
      <w:r w:rsidR="005E0654">
        <w:rPr>
          <w:rFonts w:cstheme="minorHAnsi"/>
        </w:rPr>
        <w:t>).</w:t>
      </w:r>
      <w:r w:rsidR="001D48E8" w:rsidRPr="001D48E8">
        <w:rPr>
          <w:rFonts w:cstheme="minorHAnsi"/>
        </w:rPr>
        <w:t xml:space="preserve"> </w:t>
      </w:r>
      <w:bookmarkStart w:id="27" w:name="_Toc16595005"/>
    </w:p>
    <w:p w14:paraId="6B4A46F9" w14:textId="77777777" w:rsidR="00B24EB6" w:rsidRDefault="007B735A" w:rsidP="00FE3081">
      <w:pPr>
        <w:pStyle w:val="11rove"/>
        <w:numPr>
          <w:ilvl w:val="0"/>
          <w:numId w:val="0"/>
        </w:numPr>
        <w:spacing w:before="120" w:after="120"/>
      </w:pPr>
      <w:r>
        <w:t>4.3</w:t>
      </w:r>
      <w:r w:rsidR="0051469A">
        <w:t xml:space="preserve"> </w:t>
      </w:r>
      <w:r w:rsidR="0051469A" w:rsidRPr="00E24880">
        <w:t>Nízkoemisní zóny</w:t>
      </w:r>
      <w:bookmarkEnd w:id="27"/>
    </w:p>
    <w:p w14:paraId="1B919CDF" w14:textId="39A5B615" w:rsidR="00B24EB6" w:rsidRDefault="0051469A" w:rsidP="00FE3081">
      <w:pPr>
        <w:spacing w:before="120"/>
      </w:pPr>
      <w:r>
        <w:t xml:space="preserve">S účinností od 29. 10. 2011 </w:t>
      </w:r>
      <w:r w:rsidR="00DF29B8">
        <w:t>j</w:t>
      </w:r>
      <w:r w:rsidR="00A375F1">
        <w:t>sou</w:t>
      </w:r>
      <w:r w:rsidRPr="00207703">
        <w:rPr>
          <w:rStyle w:val="Znakapoznpodarou"/>
        </w:rPr>
        <w:t xml:space="preserve"> </w:t>
      </w:r>
      <w:r w:rsidR="00FB6129">
        <w:t xml:space="preserve"> </w:t>
      </w:r>
      <w:r>
        <w:t>obc</w:t>
      </w:r>
      <w:r w:rsidR="00A375F1">
        <w:t>e oprávněny</w:t>
      </w:r>
      <w:r>
        <w:t xml:space="preserve"> zavést nízkoemisní zóny</w:t>
      </w:r>
      <w:r>
        <w:rPr>
          <w:rStyle w:val="Znakapoznpodarou"/>
        </w:rPr>
        <w:footnoteReference w:id="54"/>
      </w:r>
      <w:r w:rsidR="003526F8">
        <w:t xml:space="preserve"> (dále také „NEZ“)</w:t>
      </w:r>
      <w:r>
        <w:t xml:space="preserve">. Cílem tohoto opatření je omezení znečištění ovzduší v obci z dopravy, a to jak na celém svém území </w:t>
      </w:r>
      <w:r w:rsidR="00560544">
        <w:t>tak i</w:t>
      </w:r>
      <w:r>
        <w:t xml:space="preserve"> jen</w:t>
      </w:r>
      <w:r w:rsidR="00560544">
        <w:t xml:space="preserve"> na</w:t>
      </w:r>
      <w:r>
        <w:t xml:space="preserve"> jeho části.</w:t>
      </w:r>
      <w:r w:rsidR="003E5794">
        <w:t xml:space="preserve"> Vydání </w:t>
      </w:r>
      <w:r w:rsidR="003A6699" w:rsidRPr="003A6699">
        <w:t>emisní plaket</w:t>
      </w:r>
      <w:r w:rsidR="003A6699">
        <w:t>y</w:t>
      </w:r>
      <w:r w:rsidR="003A6699" w:rsidRPr="003A6699">
        <w:t xml:space="preserve"> s uvedením příslušné emisní kategorie </w:t>
      </w:r>
      <w:r w:rsidR="007C6ADE">
        <w:t xml:space="preserve">sloužící k označení vozidla </w:t>
      </w:r>
      <w:r w:rsidR="003E5794">
        <w:t xml:space="preserve">je zpoplatněno částkou max. 200 Kč. Do doby ukončení kontroly </w:t>
      </w:r>
      <w:r w:rsidR="00E714BD">
        <w:t xml:space="preserve">NKÚ </w:t>
      </w:r>
      <w:r w:rsidR="003E5794">
        <w:t>nebyla</w:t>
      </w:r>
      <w:r w:rsidR="00A375F1">
        <w:t xml:space="preserve"> v ČR</w:t>
      </w:r>
      <w:r w:rsidR="003E5794">
        <w:t xml:space="preserve"> zřízena žádná </w:t>
      </w:r>
      <w:r w:rsidR="00E714BD">
        <w:t>NEZ</w:t>
      </w:r>
      <w:r w:rsidR="003E5794">
        <w:t xml:space="preserve">. </w:t>
      </w:r>
    </w:p>
    <w:p w14:paraId="3C3BC565" w14:textId="77777777" w:rsidR="001C6C71" w:rsidRPr="002F54AE" w:rsidRDefault="00994C07" w:rsidP="002F54AE">
      <w:pPr>
        <w:pStyle w:val="Tabulka"/>
        <w:numPr>
          <w:ilvl w:val="0"/>
          <w:numId w:val="0"/>
        </w:numPr>
        <w:spacing w:after="40"/>
        <w:rPr>
          <w:rFonts w:cs="Calibri"/>
          <w:szCs w:val="20"/>
        </w:rPr>
      </w:pPr>
      <w:r>
        <w:rPr>
          <w:rFonts w:cs="Calibri"/>
          <w:szCs w:val="20"/>
        </w:rPr>
        <w:lastRenderedPageBreak/>
        <w:t xml:space="preserve">Tabulka č. 27: </w:t>
      </w:r>
      <w:r w:rsidR="0051469A" w:rsidRPr="002F54AE">
        <w:rPr>
          <w:rFonts w:cs="Calibri"/>
          <w:szCs w:val="20"/>
        </w:rPr>
        <w:t>Vybrané aspekty zavedení nízkoemisních zón</w:t>
      </w:r>
    </w:p>
    <w:tbl>
      <w:tblPr>
        <w:tblStyle w:val="Mkatabulky"/>
        <w:tblW w:w="0" w:type="auto"/>
        <w:tblLook w:val="04A0" w:firstRow="1" w:lastRow="0" w:firstColumn="1" w:lastColumn="0" w:noHBand="0" w:noVBand="1"/>
      </w:tblPr>
      <w:tblGrid>
        <w:gridCol w:w="3020"/>
        <w:gridCol w:w="3020"/>
        <w:gridCol w:w="3020"/>
      </w:tblGrid>
      <w:tr w:rsidR="002F54AE" w:rsidRPr="002F54AE" w14:paraId="1A4B8A42" w14:textId="77777777" w:rsidTr="00935637">
        <w:trPr>
          <w:trHeight w:val="227"/>
        </w:trPr>
        <w:tc>
          <w:tcPr>
            <w:tcW w:w="6040" w:type="dxa"/>
            <w:gridSpan w:val="2"/>
            <w:vAlign w:val="center"/>
          </w:tcPr>
          <w:p w14:paraId="5C1077E0" w14:textId="254561E2" w:rsidR="002F54AE" w:rsidRPr="002F54AE" w:rsidRDefault="002F54AE" w:rsidP="00935637">
            <w:pPr>
              <w:pStyle w:val="Tabulka"/>
              <w:numPr>
                <w:ilvl w:val="0"/>
                <w:numId w:val="0"/>
              </w:numPr>
              <w:jc w:val="center"/>
              <w:rPr>
                <w:rFonts w:cs="Calibri"/>
                <w:b w:val="0"/>
                <w:sz w:val="20"/>
                <w:szCs w:val="20"/>
              </w:rPr>
            </w:pPr>
            <w:r w:rsidRPr="002F54AE">
              <w:rPr>
                <w:rFonts w:cs="Calibri"/>
                <w:b w:val="0"/>
                <w:sz w:val="20"/>
                <w:szCs w:val="20"/>
              </w:rPr>
              <w:t>MŽP provedlo rozvahu realizovatelnosti NEZ až v letech 2014–2015. Vytipováno celkem 30 obcí k realizaci NEZ bez nutnosti dostavby obchvatu.</w:t>
            </w:r>
          </w:p>
        </w:tc>
        <w:tc>
          <w:tcPr>
            <w:tcW w:w="3020" w:type="dxa"/>
            <w:vAlign w:val="center"/>
          </w:tcPr>
          <w:p w14:paraId="7ED3B173" w14:textId="77777777" w:rsidR="002F54AE" w:rsidRPr="002F54AE" w:rsidRDefault="002F54AE" w:rsidP="002F54AE">
            <w:pPr>
              <w:pStyle w:val="Tabulka"/>
              <w:numPr>
                <w:ilvl w:val="0"/>
                <w:numId w:val="0"/>
              </w:numPr>
              <w:jc w:val="center"/>
              <w:rPr>
                <w:rFonts w:cs="Calibri"/>
                <w:b w:val="0"/>
                <w:sz w:val="20"/>
                <w:szCs w:val="20"/>
              </w:rPr>
            </w:pPr>
            <w:r w:rsidRPr="002F54AE">
              <w:rPr>
                <w:rFonts w:cs="Calibri"/>
                <w:b w:val="0"/>
                <w:sz w:val="20"/>
                <w:szCs w:val="20"/>
              </w:rPr>
              <w:t>2,89 mil. Kč investováno prostřednictvím výzev MŽP na zpracování studie proveditelnosti zavedeni NEZ v obcích.</w:t>
            </w:r>
          </w:p>
        </w:tc>
      </w:tr>
      <w:tr w:rsidR="002F54AE" w:rsidRPr="002F54AE" w14:paraId="2C367117" w14:textId="77777777" w:rsidTr="002F54AE">
        <w:trPr>
          <w:trHeight w:val="227"/>
        </w:trPr>
        <w:tc>
          <w:tcPr>
            <w:tcW w:w="9060" w:type="dxa"/>
            <w:gridSpan w:val="3"/>
            <w:shd w:val="clear" w:color="auto" w:fill="E5F1FF"/>
            <w:vAlign w:val="center"/>
          </w:tcPr>
          <w:p w14:paraId="5F03B4A8" w14:textId="77777777" w:rsidR="002F54AE" w:rsidRPr="00994C07" w:rsidRDefault="002F54AE" w:rsidP="002F54AE">
            <w:pPr>
              <w:pStyle w:val="Tabulka"/>
              <w:numPr>
                <w:ilvl w:val="0"/>
                <w:numId w:val="0"/>
              </w:numPr>
              <w:jc w:val="center"/>
              <w:rPr>
                <w:rFonts w:cs="Calibri"/>
                <w:sz w:val="20"/>
                <w:szCs w:val="20"/>
              </w:rPr>
            </w:pPr>
            <w:r w:rsidRPr="00994C07">
              <w:rPr>
                <w:rFonts w:cs="Calibri"/>
                <w:sz w:val="20"/>
                <w:szCs w:val="20"/>
              </w:rPr>
              <w:t>Důvody nezavedení NEZ v obcích</w:t>
            </w:r>
          </w:p>
        </w:tc>
      </w:tr>
      <w:tr w:rsidR="002F54AE" w:rsidRPr="002F54AE" w14:paraId="77471B61" w14:textId="77777777" w:rsidTr="002F54AE">
        <w:trPr>
          <w:trHeight w:val="227"/>
        </w:trPr>
        <w:tc>
          <w:tcPr>
            <w:tcW w:w="3020" w:type="dxa"/>
            <w:vAlign w:val="center"/>
          </w:tcPr>
          <w:p w14:paraId="3F9D53F3" w14:textId="77777777" w:rsidR="002F54AE" w:rsidRPr="002F54AE" w:rsidRDefault="00994C07" w:rsidP="002F54AE">
            <w:pPr>
              <w:pStyle w:val="Tabulka"/>
              <w:numPr>
                <w:ilvl w:val="0"/>
                <w:numId w:val="0"/>
              </w:numPr>
              <w:jc w:val="center"/>
              <w:rPr>
                <w:rFonts w:cs="Calibri"/>
                <w:b w:val="0"/>
                <w:sz w:val="20"/>
                <w:szCs w:val="20"/>
              </w:rPr>
            </w:pPr>
            <w:r w:rsidRPr="00994C07">
              <w:rPr>
                <w:rFonts w:cs="Calibri"/>
                <w:b w:val="0"/>
                <w:sz w:val="20"/>
                <w:szCs w:val="20"/>
              </w:rPr>
              <w:t>Celkový efekt tohoto opatření vůči vynaloženým nákladům je neadekvátní.</w:t>
            </w:r>
          </w:p>
        </w:tc>
        <w:tc>
          <w:tcPr>
            <w:tcW w:w="3020" w:type="dxa"/>
            <w:vAlign w:val="center"/>
          </w:tcPr>
          <w:p w14:paraId="11AA6DE4" w14:textId="71C8E487" w:rsidR="002F54AE" w:rsidRPr="002F54AE" w:rsidRDefault="00994C07" w:rsidP="003C5E85">
            <w:pPr>
              <w:pStyle w:val="Tabulka"/>
              <w:numPr>
                <w:ilvl w:val="0"/>
                <w:numId w:val="0"/>
              </w:numPr>
              <w:jc w:val="center"/>
              <w:rPr>
                <w:rFonts w:cs="Calibri"/>
                <w:b w:val="0"/>
                <w:sz w:val="20"/>
                <w:szCs w:val="20"/>
              </w:rPr>
            </w:pPr>
            <w:r w:rsidRPr="00994C07">
              <w:rPr>
                <w:rFonts w:cs="Calibri"/>
                <w:b w:val="0"/>
                <w:sz w:val="20"/>
                <w:szCs w:val="20"/>
              </w:rPr>
              <w:t>Chybí objízdné trasy, které brání vymezení nízkoemisních zón v širším území měst.</w:t>
            </w:r>
          </w:p>
        </w:tc>
        <w:tc>
          <w:tcPr>
            <w:tcW w:w="3020" w:type="dxa"/>
            <w:vAlign w:val="center"/>
          </w:tcPr>
          <w:p w14:paraId="52468AC9" w14:textId="77777777" w:rsidR="002F54AE" w:rsidRPr="002F54AE" w:rsidRDefault="00994C07" w:rsidP="002F54AE">
            <w:pPr>
              <w:pStyle w:val="Tabulka"/>
              <w:numPr>
                <w:ilvl w:val="0"/>
                <w:numId w:val="0"/>
              </w:numPr>
              <w:jc w:val="center"/>
              <w:rPr>
                <w:rFonts w:cs="Calibri"/>
                <w:b w:val="0"/>
                <w:sz w:val="20"/>
                <w:szCs w:val="20"/>
              </w:rPr>
            </w:pPr>
            <w:r w:rsidRPr="00994C07">
              <w:rPr>
                <w:rFonts w:cs="Calibri"/>
                <w:b w:val="0"/>
                <w:sz w:val="20"/>
                <w:szCs w:val="20"/>
              </w:rPr>
              <w:t>Neochota obcí k zavedení nízkoemisních zón pro rezidenty.</w:t>
            </w:r>
          </w:p>
        </w:tc>
      </w:tr>
      <w:tr w:rsidR="002F54AE" w:rsidRPr="002F54AE" w14:paraId="558DF4EB" w14:textId="77777777" w:rsidTr="00935637">
        <w:trPr>
          <w:trHeight w:val="227"/>
        </w:trPr>
        <w:tc>
          <w:tcPr>
            <w:tcW w:w="9060" w:type="dxa"/>
            <w:gridSpan w:val="3"/>
            <w:vAlign w:val="center"/>
          </w:tcPr>
          <w:p w14:paraId="7DF25AAF" w14:textId="513F6A88" w:rsidR="002F54AE" w:rsidRPr="002F54AE" w:rsidRDefault="00994C07" w:rsidP="003C5E85">
            <w:pPr>
              <w:pStyle w:val="Tabulka"/>
              <w:numPr>
                <w:ilvl w:val="0"/>
                <w:numId w:val="0"/>
              </w:numPr>
              <w:jc w:val="center"/>
              <w:rPr>
                <w:rFonts w:cs="Calibri"/>
                <w:b w:val="0"/>
                <w:sz w:val="20"/>
                <w:szCs w:val="20"/>
              </w:rPr>
            </w:pPr>
            <w:r w:rsidRPr="00994C07">
              <w:rPr>
                <w:rFonts w:cs="Calibri"/>
                <w:b w:val="0"/>
                <w:sz w:val="20"/>
                <w:szCs w:val="20"/>
              </w:rPr>
              <w:t xml:space="preserve">Zákonné zakotvení jako nejekologičtější NEZ pro vozidla EURO 4 </w:t>
            </w:r>
            <w:r w:rsidR="003C5E85">
              <w:rPr>
                <w:rFonts w:cs="Calibri"/>
                <w:b w:val="0"/>
                <w:sz w:val="20"/>
                <w:szCs w:val="20"/>
              </w:rPr>
              <w:t>a</w:t>
            </w:r>
            <w:r w:rsidRPr="00994C07">
              <w:rPr>
                <w:rFonts w:cs="Calibri"/>
                <w:b w:val="0"/>
                <w:sz w:val="20"/>
                <w:szCs w:val="20"/>
              </w:rPr>
              <w:t xml:space="preserve"> vyšší. Ve větších městech</w:t>
            </w:r>
            <w:r w:rsidR="003C5E85">
              <w:rPr>
                <w:rFonts w:cs="Calibri"/>
                <w:b w:val="0"/>
                <w:sz w:val="20"/>
                <w:szCs w:val="20"/>
              </w:rPr>
              <w:t>,</w:t>
            </w:r>
            <w:r w:rsidRPr="00994C07">
              <w:rPr>
                <w:rFonts w:cs="Calibri"/>
                <w:b w:val="0"/>
                <w:sz w:val="20"/>
                <w:szCs w:val="20"/>
              </w:rPr>
              <w:t xml:space="preserve"> jako j</w:t>
            </w:r>
            <w:r w:rsidR="003C5E85">
              <w:rPr>
                <w:rFonts w:cs="Calibri"/>
                <w:b w:val="0"/>
                <w:sz w:val="20"/>
                <w:szCs w:val="20"/>
              </w:rPr>
              <w:t>sou</w:t>
            </w:r>
            <w:r w:rsidRPr="00994C07">
              <w:rPr>
                <w:rFonts w:cs="Calibri"/>
                <w:b w:val="0"/>
                <w:sz w:val="20"/>
                <w:szCs w:val="20"/>
              </w:rPr>
              <w:t xml:space="preserve"> např. Praha či Brno, v nichž jsou významněji zastoupena vozidla s emisní normou EURO 5–6</w:t>
            </w:r>
            <w:r w:rsidR="003C5E85">
              <w:rPr>
                <w:rFonts w:cs="Calibri"/>
                <w:b w:val="0"/>
                <w:sz w:val="20"/>
                <w:szCs w:val="20"/>
              </w:rPr>
              <w:t>,</w:t>
            </w:r>
            <w:r w:rsidRPr="00994C07">
              <w:rPr>
                <w:rFonts w:cs="Calibri"/>
                <w:b w:val="0"/>
                <w:sz w:val="20"/>
                <w:szCs w:val="20"/>
              </w:rPr>
              <w:t xml:space="preserve"> může vést zavedení NEZ jen k minimálnímu efektu.</w:t>
            </w:r>
          </w:p>
        </w:tc>
      </w:tr>
      <w:tr w:rsidR="002F54AE" w:rsidRPr="002F54AE" w14:paraId="235EEDA7" w14:textId="77777777" w:rsidTr="00994C07">
        <w:trPr>
          <w:trHeight w:val="227"/>
        </w:trPr>
        <w:tc>
          <w:tcPr>
            <w:tcW w:w="9060" w:type="dxa"/>
            <w:gridSpan w:val="3"/>
            <w:shd w:val="clear" w:color="auto" w:fill="D9D9D9" w:themeFill="background1" w:themeFillShade="D9"/>
            <w:vAlign w:val="center"/>
          </w:tcPr>
          <w:p w14:paraId="41F9B343" w14:textId="77777777" w:rsidR="002F54AE" w:rsidRPr="00994C07" w:rsidRDefault="00994C07" w:rsidP="002F54AE">
            <w:pPr>
              <w:pStyle w:val="Tabulka"/>
              <w:numPr>
                <w:ilvl w:val="0"/>
                <w:numId w:val="0"/>
              </w:numPr>
              <w:jc w:val="center"/>
              <w:rPr>
                <w:rFonts w:cs="Calibri"/>
                <w:sz w:val="20"/>
                <w:szCs w:val="20"/>
              </w:rPr>
            </w:pPr>
            <w:r w:rsidRPr="00994C07">
              <w:rPr>
                <w:rFonts w:cs="Calibri"/>
                <w:sz w:val="20"/>
                <w:szCs w:val="20"/>
              </w:rPr>
              <w:t>Počet nízkoemisní zón = 0</w:t>
            </w:r>
          </w:p>
        </w:tc>
      </w:tr>
    </w:tbl>
    <w:p w14:paraId="0BCFF11E" w14:textId="08E6C7E4" w:rsidR="00EB153D" w:rsidRDefault="00EB153D" w:rsidP="00994C07">
      <w:pPr>
        <w:spacing w:before="120"/>
        <w:rPr>
          <w:rFonts w:asciiTheme="minorHAnsi" w:hAnsiTheme="minorHAnsi"/>
        </w:rPr>
      </w:pPr>
      <w:bookmarkStart w:id="28" w:name="_Toc16595006"/>
      <w:r w:rsidRPr="00B66B4D">
        <w:rPr>
          <w:rFonts w:asciiTheme="minorHAnsi" w:hAnsiTheme="minorHAnsi"/>
        </w:rPr>
        <w:t xml:space="preserve">NKÚ vyhodnotil, že </w:t>
      </w:r>
      <w:r w:rsidR="007C6ADE">
        <w:rPr>
          <w:rFonts w:asciiTheme="minorHAnsi" w:hAnsiTheme="minorHAnsi"/>
        </w:rPr>
        <w:t>nízkoemisní zóny jsou v současných podmínkách ČR neúčinným nástrojem. K</w:t>
      </w:r>
      <w:r w:rsidRPr="00B66B4D">
        <w:rPr>
          <w:rFonts w:asciiTheme="minorHAnsi" w:hAnsiTheme="minorHAnsi"/>
        </w:rPr>
        <w:t xml:space="preserve"> popsanému stavu přispěla nedostatečná příprava </w:t>
      </w:r>
      <w:r>
        <w:rPr>
          <w:rFonts w:asciiTheme="minorHAnsi" w:hAnsiTheme="minorHAnsi"/>
        </w:rPr>
        <w:t xml:space="preserve">MŽP na </w:t>
      </w:r>
      <w:r w:rsidRPr="00B66B4D">
        <w:rPr>
          <w:rFonts w:asciiTheme="minorHAnsi" w:hAnsiTheme="minorHAnsi"/>
        </w:rPr>
        <w:t>zavedení nízkoemisních zón do právního řádu ČR, které až po čtyřech letech od jejich zavedení zkoumalo proveditelnost tohoto oprávnění v podmínkách obcí ČR.</w:t>
      </w:r>
    </w:p>
    <w:tbl>
      <w:tblPr>
        <w:tblStyle w:val="Mkatabulky"/>
        <w:tblW w:w="0" w:type="auto"/>
        <w:shd w:val="clear" w:color="auto" w:fill="F3C5C8"/>
        <w:tblLook w:val="04A0" w:firstRow="1" w:lastRow="0" w:firstColumn="1" w:lastColumn="0" w:noHBand="0" w:noVBand="1"/>
      </w:tblPr>
      <w:tblGrid>
        <w:gridCol w:w="9060"/>
      </w:tblGrid>
      <w:tr w:rsidR="00CF29D0" w:rsidRPr="000360BA" w14:paraId="1A841A31" w14:textId="77777777" w:rsidTr="002F54AE">
        <w:tc>
          <w:tcPr>
            <w:tcW w:w="9060" w:type="dxa"/>
            <w:shd w:val="clear" w:color="auto" w:fill="F3C5C8"/>
          </w:tcPr>
          <w:p w14:paraId="4361D062" w14:textId="77777777" w:rsidR="00CF29D0" w:rsidRPr="000360BA" w:rsidRDefault="00CF29D0" w:rsidP="002F54AE">
            <w:pPr>
              <w:spacing w:before="40"/>
            </w:pPr>
            <w:r w:rsidRPr="000360BA">
              <w:rPr>
                <w:rFonts w:asciiTheme="minorHAnsi" w:hAnsiTheme="minorHAnsi"/>
                <w:b/>
              </w:rPr>
              <w:t xml:space="preserve">NKÚ konstatuje, že MŽP sice připravilo účinnou právní úpravu pozitivně ovlivňující ekologizaci dopravy, avšak nezareagovalo </w:t>
            </w:r>
            <w:r w:rsidR="005E0654" w:rsidRPr="00AC625C">
              <w:rPr>
                <w:rFonts w:asciiTheme="minorHAnsi" w:hAnsiTheme="minorHAnsi"/>
                <w:b/>
              </w:rPr>
              <w:t xml:space="preserve">včas </w:t>
            </w:r>
            <w:r w:rsidRPr="00AC625C">
              <w:rPr>
                <w:rFonts w:asciiTheme="minorHAnsi" w:hAnsiTheme="minorHAnsi"/>
                <w:b/>
              </w:rPr>
              <w:t>na změny</w:t>
            </w:r>
            <w:r w:rsidRPr="000360BA">
              <w:rPr>
                <w:rFonts w:asciiTheme="minorHAnsi" w:hAnsiTheme="minorHAnsi"/>
                <w:b/>
              </w:rPr>
              <w:t xml:space="preserve"> cílů EU</w:t>
            </w:r>
            <w:r w:rsidR="00767E99">
              <w:rPr>
                <w:rFonts w:asciiTheme="minorHAnsi" w:hAnsiTheme="minorHAnsi"/>
                <w:b/>
              </w:rPr>
              <w:t>, změny norem EURO a </w:t>
            </w:r>
            <w:r w:rsidR="001265A1">
              <w:rPr>
                <w:rFonts w:asciiTheme="minorHAnsi" w:hAnsiTheme="minorHAnsi"/>
                <w:b/>
              </w:rPr>
              <w:t xml:space="preserve">vývoj v sektoru dopravy. </w:t>
            </w:r>
            <w:r w:rsidRPr="000360BA">
              <w:rPr>
                <w:rFonts w:asciiTheme="minorHAnsi" w:hAnsiTheme="minorHAnsi"/>
                <w:b/>
              </w:rPr>
              <w:t xml:space="preserve"> </w:t>
            </w:r>
            <w:r w:rsidRPr="000360BA">
              <w:t xml:space="preserve"> </w:t>
            </w:r>
          </w:p>
        </w:tc>
      </w:tr>
      <w:tr w:rsidR="001265A1" w:rsidRPr="00C94615" w14:paraId="73C024D5" w14:textId="77777777" w:rsidTr="002F54AE">
        <w:trPr>
          <w:trHeight w:val="1255"/>
        </w:trPr>
        <w:tc>
          <w:tcPr>
            <w:tcW w:w="9060" w:type="dxa"/>
            <w:shd w:val="clear" w:color="auto" w:fill="F3C5C8"/>
          </w:tcPr>
          <w:p w14:paraId="58ED946E" w14:textId="7C38DDB3" w:rsidR="001265A1" w:rsidRPr="00994C07" w:rsidRDefault="001265A1" w:rsidP="00994C07">
            <w:pPr>
              <w:spacing w:before="120"/>
              <w:rPr>
                <w:b/>
              </w:rPr>
            </w:pPr>
            <w:r w:rsidRPr="00994C07">
              <w:rPr>
                <w:b/>
              </w:rPr>
              <w:t xml:space="preserve">Shrnutí k bodu IV.A: </w:t>
            </w:r>
          </w:p>
          <w:p w14:paraId="2D641681" w14:textId="64E6E768" w:rsidR="001265A1" w:rsidRPr="00C94615" w:rsidRDefault="001265A1" w:rsidP="007D1020">
            <w:pPr>
              <w:rPr>
                <w:b/>
              </w:rPr>
            </w:pPr>
            <w:r>
              <w:rPr>
                <w:b/>
              </w:rPr>
              <w:t xml:space="preserve">NKÚ konstatuje, že platná právní úprava </w:t>
            </w:r>
            <w:r w:rsidR="005E0654">
              <w:rPr>
                <w:b/>
              </w:rPr>
              <w:t xml:space="preserve">v oblasti </w:t>
            </w:r>
            <w:r>
              <w:rPr>
                <w:b/>
              </w:rPr>
              <w:t>daní a poplatků významně nepřispívá k ekologizaci sektoru dopravy</w:t>
            </w:r>
            <w:r w:rsidR="003C5E85">
              <w:rPr>
                <w:b/>
              </w:rPr>
              <w:t>,</w:t>
            </w:r>
            <w:r w:rsidR="007D1020">
              <w:rPr>
                <w:b/>
              </w:rPr>
              <w:t xml:space="preserve"> a nelze ji </w:t>
            </w:r>
            <w:r w:rsidR="005E0654">
              <w:rPr>
                <w:b/>
              </w:rPr>
              <w:t xml:space="preserve">proto </w:t>
            </w:r>
            <w:r w:rsidR="007D1020">
              <w:rPr>
                <w:b/>
              </w:rPr>
              <w:t>považovat za účinný nástroj k prosazování environmentálních cílů ČR</w:t>
            </w:r>
            <w:r>
              <w:rPr>
                <w:b/>
              </w:rPr>
              <w:t xml:space="preserve">. </w:t>
            </w:r>
          </w:p>
        </w:tc>
      </w:tr>
    </w:tbl>
    <w:p w14:paraId="4E29C4E5" w14:textId="77777777" w:rsidR="00DC6D4F" w:rsidRDefault="00DC6D4F" w:rsidP="00994C07">
      <w:pPr>
        <w:pStyle w:val="Nadpiskapitoly2"/>
        <w:numPr>
          <w:ilvl w:val="0"/>
          <w:numId w:val="0"/>
        </w:numPr>
        <w:spacing w:before="120"/>
        <w:rPr>
          <w:sz w:val="24"/>
        </w:rPr>
      </w:pPr>
    </w:p>
    <w:p w14:paraId="6D7BB748" w14:textId="77777777" w:rsidR="00DC6D4F" w:rsidRDefault="00DC6D4F">
      <w:pPr>
        <w:spacing w:after="160" w:line="259" w:lineRule="auto"/>
        <w:jc w:val="left"/>
        <w:rPr>
          <w:rFonts w:eastAsia="Times New Roman" w:cs="Times New Roman"/>
          <w:b/>
          <w:szCs w:val="24"/>
        </w:rPr>
      </w:pPr>
      <w:r>
        <w:br w:type="page"/>
      </w:r>
    </w:p>
    <w:p w14:paraId="2D51F4A5" w14:textId="33736879" w:rsidR="00B24EB6" w:rsidRPr="00994C07" w:rsidRDefault="00994C07" w:rsidP="00994C07">
      <w:pPr>
        <w:pStyle w:val="Nadpiskapitoly2"/>
        <w:numPr>
          <w:ilvl w:val="0"/>
          <w:numId w:val="0"/>
        </w:numPr>
        <w:spacing w:before="120"/>
        <w:rPr>
          <w:sz w:val="24"/>
        </w:rPr>
      </w:pPr>
      <w:r>
        <w:rPr>
          <w:sz w:val="24"/>
        </w:rPr>
        <w:lastRenderedPageBreak/>
        <w:t xml:space="preserve">B. </w:t>
      </w:r>
      <w:r w:rsidR="0051469A" w:rsidRPr="00994C07">
        <w:rPr>
          <w:sz w:val="24"/>
        </w:rPr>
        <w:t>Snižování emisí a zvyšování podílu obnovitelných zdrojů v domácnostech</w:t>
      </w:r>
      <w:bookmarkEnd w:id="28"/>
    </w:p>
    <w:p w14:paraId="3C231BC2" w14:textId="77777777" w:rsidR="00911D95" w:rsidRDefault="0051469A" w:rsidP="004D31C6">
      <w:r>
        <w:t xml:space="preserve">Celková spotřeba paliv je uvedena v tabulce č. </w:t>
      </w:r>
      <w:r w:rsidR="00E714BD" w:rsidRPr="00237396">
        <w:t>2</w:t>
      </w:r>
      <w:r w:rsidR="00B865C1" w:rsidRPr="00237396">
        <w:t>8</w:t>
      </w:r>
      <w:r w:rsidR="00237396">
        <w:t>, z níž</w:t>
      </w:r>
      <w:r w:rsidR="006C33B6">
        <w:t xml:space="preserve"> je </w:t>
      </w:r>
      <w:r w:rsidR="00D96010">
        <w:t>zřejmé, že spotřeba elektřiny a </w:t>
      </w:r>
      <w:r w:rsidR="006C33B6">
        <w:t xml:space="preserve">plynu </w:t>
      </w:r>
      <w:r w:rsidR="008B479E">
        <w:t xml:space="preserve">od roku 2015 </w:t>
      </w:r>
      <w:r w:rsidR="00A92860">
        <w:t xml:space="preserve">mírně rostla </w:t>
      </w:r>
      <w:r w:rsidR="005352A4">
        <w:t xml:space="preserve">a spotřeba </w:t>
      </w:r>
      <w:r w:rsidR="006C33B6">
        <w:t xml:space="preserve">uhlí </w:t>
      </w:r>
      <w:r w:rsidR="005352A4">
        <w:t>stagnovala.</w:t>
      </w:r>
    </w:p>
    <w:p w14:paraId="29ECB5B3" w14:textId="77777777" w:rsidR="004E4B6D" w:rsidRPr="00573A75" w:rsidRDefault="00994C07" w:rsidP="00994C07">
      <w:pPr>
        <w:pStyle w:val="Tabulka"/>
        <w:numPr>
          <w:ilvl w:val="0"/>
          <w:numId w:val="0"/>
        </w:numPr>
        <w:spacing w:after="40"/>
        <w:rPr>
          <w:szCs w:val="24"/>
        </w:rPr>
      </w:pPr>
      <w:r>
        <w:t xml:space="preserve">Tabulka č. 28: </w:t>
      </w:r>
      <w:r w:rsidR="004E4B6D" w:rsidRPr="00573A75">
        <w:t>Spotřeba paliv a spotřební daň</w:t>
      </w: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2268"/>
        <w:gridCol w:w="846"/>
        <w:gridCol w:w="850"/>
        <w:gridCol w:w="1276"/>
        <w:gridCol w:w="1134"/>
        <w:gridCol w:w="1134"/>
        <w:gridCol w:w="1559"/>
      </w:tblGrid>
      <w:tr w:rsidR="004E4B6D" w14:paraId="537D79E4" w14:textId="77777777" w:rsidTr="007D751F">
        <w:tc>
          <w:tcPr>
            <w:tcW w:w="2268" w:type="dxa"/>
            <w:vMerge w:val="restart"/>
            <w:shd w:val="clear" w:color="auto" w:fill="DEEAF6"/>
            <w:tcMar>
              <w:top w:w="0" w:type="dxa"/>
              <w:left w:w="108" w:type="dxa"/>
              <w:bottom w:w="0" w:type="dxa"/>
              <w:right w:w="108" w:type="dxa"/>
            </w:tcMar>
            <w:vAlign w:val="center"/>
            <w:hideMark/>
          </w:tcPr>
          <w:p w14:paraId="79034DCB" w14:textId="77777777" w:rsidR="004E4B6D" w:rsidRDefault="004E4B6D" w:rsidP="00994C07">
            <w:pPr>
              <w:spacing w:after="0"/>
              <w:ind w:left="-57" w:right="-57"/>
              <w:jc w:val="center"/>
              <w:rPr>
                <w:b/>
                <w:bCs/>
                <w:sz w:val="20"/>
                <w:szCs w:val="20"/>
              </w:rPr>
            </w:pPr>
            <w:r>
              <w:rPr>
                <w:b/>
                <w:bCs/>
                <w:sz w:val="20"/>
                <w:szCs w:val="20"/>
              </w:rPr>
              <w:t>Palivo</w:t>
            </w:r>
          </w:p>
        </w:tc>
        <w:tc>
          <w:tcPr>
            <w:tcW w:w="2972" w:type="dxa"/>
            <w:gridSpan w:val="3"/>
            <w:shd w:val="clear" w:color="auto" w:fill="DEEAF6"/>
            <w:tcMar>
              <w:top w:w="0" w:type="dxa"/>
              <w:left w:w="108" w:type="dxa"/>
              <w:bottom w:w="0" w:type="dxa"/>
              <w:right w:w="108" w:type="dxa"/>
            </w:tcMar>
            <w:vAlign w:val="center"/>
            <w:hideMark/>
          </w:tcPr>
          <w:p w14:paraId="0ECC66AD" w14:textId="77777777" w:rsidR="004E4B6D" w:rsidRDefault="004E4B6D" w:rsidP="00994C07">
            <w:pPr>
              <w:spacing w:after="0"/>
              <w:jc w:val="center"/>
              <w:rPr>
                <w:b/>
                <w:bCs/>
                <w:sz w:val="20"/>
                <w:szCs w:val="20"/>
              </w:rPr>
            </w:pPr>
            <w:r>
              <w:rPr>
                <w:b/>
                <w:bCs/>
                <w:sz w:val="20"/>
                <w:szCs w:val="20"/>
              </w:rPr>
              <w:t>Spotřeba paliva</w:t>
            </w:r>
          </w:p>
        </w:tc>
        <w:tc>
          <w:tcPr>
            <w:tcW w:w="3827" w:type="dxa"/>
            <w:gridSpan w:val="3"/>
            <w:shd w:val="clear" w:color="auto" w:fill="DEEAF6"/>
            <w:tcMar>
              <w:top w:w="0" w:type="dxa"/>
              <w:left w:w="108" w:type="dxa"/>
              <w:bottom w:w="0" w:type="dxa"/>
              <w:right w:w="108" w:type="dxa"/>
            </w:tcMar>
            <w:vAlign w:val="center"/>
            <w:hideMark/>
          </w:tcPr>
          <w:p w14:paraId="528BAD20" w14:textId="77777777" w:rsidR="004E4B6D" w:rsidRDefault="004E4B6D" w:rsidP="00994C07">
            <w:pPr>
              <w:spacing w:after="0"/>
              <w:jc w:val="center"/>
              <w:rPr>
                <w:b/>
                <w:bCs/>
                <w:sz w:val="20"/>
                <w:szCs w:val="20"/>
              </w:rPr>
            </w:pPr>
            <w:r>
              <w:rPr>
                <w:b/>
                <w:bCs/>
                <w:sz w:val="20"/>
                <w:szCs w:val="20"/>
              </w:rPr>
              <w:t>Vyměřená spotřební daň/inkaso (v tis. Kč)</w:t>
            </w:r>
          </w:p>
        </w:tc>
      </w:tr>
      <w:tr w:rsidR="004E4B6D" w14:paraId="6B88CAF7" w14:textId="77777777" w:rsidTr="007D751F">
        <w:tc>
          <w:tcPr>
            <w:tcW w:w="2268" w:type="dxa"/>
            <w:vMerge/>
            <w:vAlign w:val="center"/>
            <w:hideMark/>
          </w:tcPr>
          <w:p w14:paraId="0FBA14CB" w14:textId="77777777" w:rsidR="004E4B6D" w:rsidRDefault="004E4B6D" w:rsidP="00994C07">
            <w:pPr>
              <w:spacing w:after="0"/>
              <w:ind w:left="-57" w:right="-57"/>
              <w:jc w:val="center"/>
              <w:rPr>
                <w:b/>
                <w:bCs/>
                <w:sz w:val="20"/>
                <w:szCs w:val="20"/>
              </w:rPr>
            </w:pPr>
          </w:p>
        </w:tc>
        <w:tc>
          <w:tcPr>
            <w:tcW w:w="846" w:type="dxa"/>
            <w:shd w:val="clear" w:color="auto" w:fill="DEEAF6"/>
            <w:tcMar>
              <w:top w:w="0" w:type="dxa"/>
              <w:left w:w="108" w:type="dxa"/>
              <w:bottom w:w="0" w:type="dxa"/>
              <w:right w:w="108" w:type="dxa"/>
            </w:tcMar>
            <w:vAlign w:val="center"/>
            <w:hideMark/>
          </w:tcPr>
          <w:p w14:paraId="70BC77F9" w14:textId="77777777" w:rsidR="004E4B6D" w:rsidRDefault="004E4B6D" w:rsidP="00994C07">
            <w:pPr>
              <w:spacing w:after="0"/>
              <w:jc w:val="center"/>
              <w:rPr>
                <w:b/>
                <w:bCs/>
                <w:sz w:val="20"/>
                <w:szCs w:val="20"/>
              </w:rPr>
            </w:pPr>
            <w:r>
              <w:rPr>
                <w:b/>
                <w:bCs/>
                <w:sz w:val="20"/>
                <w:szCs w:val="20"/>
              </w:rPr>
              <w:t>2015</w:t>
            </w:r>
          </w:p>
        </w:tc>
        <w:tc>
          <w:tcPr>
            <w:tcW w:w="850" w:type="dxa"/>
            <w:shd w:val="clear" w:color="auto" w:fill="DEEAF6"/>
            <w:tcMar>
              <w:top w:w="0" w:type="dxa"/>
              <w:left w:w="108" w:type="dxa"/>
              <w:bottom w:w="0" w:type="dxa"/>
              <w:right w:w="108" w:type="dxa"/>
            </w:tcMar>
            <w:vAlign w:val="center"/>
            <w:hideMark/>
          </w:tcPr>
          <w:p w14:paraId="09538F8F" w14:textId="77777777" w:rsidR="004E4B6D" w:rsidRDefault="004E4B6D" w:rsidP="00994C07">
            <w:pPr>
              <w:spacing w:after="0"/>
              <w:jc w:val="center"/>
              <w:rPr>
                <w:b/>
                <w:bCs/>
                <w:sz w:val="20"/>
                <w:szCs w:val="20"/>
              </w:rPr>
            </w:pPr>
            <w:r>
              <w:rPr>
                <w:b/>
                <w:bCs/>
                <w:sz w:val="20"/>
                <w:szCs w:val="20"/>
              </w:rPr>
              <w:t>2017</w:t>
            </w:r>
          </w:p>
        </w:tc>
        <w:tc>
          <w:tcPr>
            <w:tcW w:w="1276" w:type="dxa"/>
            <w:shd w:val="clear" w:color="auto" w:fill="DEEAF6"/>
            <w:tcMar>
              <w:top w:w="0" w:type="dxa"/>
              <w:left w:w="108" w:type="dxa"/>
              <w:bottom w:w="0" w:type="dxa"/>
              <w:right w:w="108" w:type="dxa"/>
            </w:tcMar>
            <w:vAlign w:val="center"/>
            <w:hideMark/>
          </w:tcPr>
          <w:p w14:paraId="65B71D6A" w14:textId="77777777" w:rsidR="004E4B6D" w:rsidRDefault="004E4B6D" w:rsidP="00994C07">
            <w:pPr>
              <w:spacing w:after="0"/>
              <w:jc w:val="center"/>
              <w:rPr>
                <w:b/>
                <w:bCs/>
                <w:sz w:val="20"/>
                <w:szCs w:val="20"/>
              </w:rPr>
            </w:pPr>
            <w:r>
              <w:rPr>
                <w:b/>
                <w:bCs/>
                <w:sz w:val="20"/>
                <w:szCs w:val="20"/>
              </w:rPr>
              <w:t>2017/2015</w:t>
            </w:r>
          </w:p>
        </w:tc>
        <w:tc>
          <w:tcPr>
            <w:tcW w:w="1134" w:type="dxa"/>
            <w:shd w:val="clear" w:color="auto" w:fill="DEEAF6"/>
            <w:tcMar>
              <w:top w:w="0" w:type="dxa"/>
              <w:left w:w="108" w:type="dxa"/>
              <w:bottom w:w="0" w:type="dxa"/>
              <w:right w:w="108" w:type="dxa"/>
            </w:tcMar>
            <w:vAlign w:val="center"/>
            <w:hideMark/>
          </w:tcPr>
          <w:p w14:paraId="3CF05BC0" w14:textId="77777777" w:rsidR="004E4B6D" w:rsidRDefault="004E4B6D" w:rsidP="00994C07">
            <w:pPr>
              <w:spacing w:after="0"/>
              <w:jc w:val="center"/>
              <w:rPr>
                <w:b/>
                <w:bCs/>
                <w:sz w:val="20"/>
                <w:szCs w:val="20"/>
              </w:rPr>
            </w:pPr>
            <w:r>
              <w:rPr>
                <w:b/>
                <w:bCs/>
                <w:sz w:val="20"/>
                <w:szCs w:val="20"/>
              </w:rPr>
              <w:t>2015</w:t>
            </w:r>
          </w:p>
        </w:tc>
        <w:tc>
          <w:tcPr>
            <w:tcW w:w="1134" w:type="dxa"/>
            <w:shd w:val="clear" w:color="auto" w:fill="DEEAF6"/>
            <w:tcMar>
              <w:top w:w="0" w:type="dxa"/>
              <w:left w:w="108" w:type="dxa"/>
              <w:bottom w:w="0" w:type="dxa"/>
              <w:right w:w="108" w:type="dxa"/>
            </w:tcMar>
            <w:vAlign w:val="center"/>
            <w:hideMark/>
          </w:tcPr>
          <w:p w14:paraId="6BFCB255" w14:textId="77777777" w:rsidR="004E4B6D" w:rsidRDefault="004E4B6D" w:rsidP="00994C07">
            <w:pPr>
              <w:spacing w:after="0"/>
              <w:jc w:val="center"/>
              <w:rPr>
                <w:b/>
                <w:bCs/>
                <w:sz w:val="20"/>
                <w:szCs w:val="20"/>
              </w:rPr>
            </w:pPr>
            <w:r>
              <w:rPr>
                <w:b/>
                <w:bCs/>
                <w:sz w:val="20"/>
                <w:szCs w:val="20"/>
              </w:rPr>
              <w:t>2017</w:t>
            </w:r>
          </w:p>
        </w:tc>
        <w:tc>
          <w:tcPr>
            <w:tcW w:w="1559" w:type="dxa"/>
            <w:shd w:val="clear" w:color="auto" w:fill="DEEAF6"/>
            <w:tcMar>
              <w:top w:w="0" w:type="dxa"/>
              <w:left w:w="108" w:type="dxa"/>
              <w:bottom w:w="0" w:type="dxa"/>
              <w:right w:w="108" w:type="dxa"/>
            </w:tcMar>
            <w:vAlign w:val="center"/>
            <w:hideMark/>
          </w:tcPr>
          <w:p w14:paraId="5852620F" w14:textId="77777777" w:rsidR="004E4B6D" w:rsidRDefault="004E4B6D" w:rsidP="00994C07">
            <w:pPr>
              <w:spacing w:after="0"/>
              <w:jc w:val="center"/>
              <w:rPr>
                <w:b/>
                <w:bCs/>
                <w:sz w:val="20"/>
                <w:szCs w:val="20"/>
              </w:rPr>
            </w:pPr>
            <w:r>
              <w:rPr>
                <w:b/>
                <w:bCs/>
                <w:sz w:val="20"/>
                <w:szCs w:val="20"/>
              </w:rPr>
              <w:t>2017/2015</w:t>
            </w:r>
          </w:p>
        </w:tc>
      </w:tr>
      <w:tr w:rsidR="004E4B6D" w14:paraId="7085CB2E" w14:textId="77777777" w:rsidTr="007D751F">
        <w:tc>
          <w:tcPr>
            <w:tcW w:w="2268" w:type="dxa"/>
            <w:tcMar>
              <w:top w:w="0" w:type="dxa"/>
              <w:left w:w="108" w:type="dxa"/>
              <w:bottom w:w="0" w:type="dxa"/>
              <w:right w:w="108" w:type="dxa"/>
            </w:tcMar>
            <w:hideMark/>
          </w:tcPr>
          <w:p w14:paraId="79DF46AF" w14:textId="77777777" w:rsidR="004E4B6D" w:rsidRDefault="004E4B6D" w:rsidP="00994C07">
            <w:pPr>
              <w:spacing w:after="0"/>
              <w:ind w:left="-57" w:right="-57"/>
              <w:jc w:val="left"/>
              <w:rPr>
                <w:sz w:val="20"/>
                <w:szCs w:val="20"/>
              </w:rPr>
            </w:pPr>
            <w:r>
              <w:rPr>
                <w:sz w:val="20"/>
                <w:szCs w:val="20"/>
              </w:rPr>
              <w:t>Elektřina v GWh</w:t>
            </w:r>
          </w:p>
        </w:tc>
        <w:tc>
          <w:tcPr>
            <w:tcW w:w="846" w:type="dxa"/>
            <w:tcMar>
              <w:top w:w="0" w:type="dxa"/>
              <w:left w:w="108" w:type="dxa"/>
              <w:bottom w:w="0" w:type="dxa"/>
              <w:right w:w="108" w:type="dxa"/>
            </w:tcMar>
            <w:vAlign w:val="center"/>
            <w:hideMark/>
          </w:tcPr>
          <w:p w14:paraId="05A7A994" w14:textId="77777777" w:rsidR="004E4B6D" w:rsidRDefault="007D751F" w:rsidP="00994C07">
            <w:pPr>
              <w:spacing w:after="0"/>
              <w:ind w:right="57"/>
              <w:jc w:val="right"/>
              <w:rPr>
                <w:sz w:val="20"/>
                <w:szCs w:val="20"/>
              </w:rPr>
            </w:pPr>
            <w:r>
              <w:rPr>
                <w:sz w:val="20"/>
                <w:szCs w:val="20"/>
              </w:rPr>
              <w:t>46 197</w:t>
            </w:r>
          </w:p>
        </w:tc>
        <w:tc>
          <w:tcPr>
            <w:tcW w:w="850" w:type="dxa"/>
            <w:tcMar>
              <w:top w:w="0" w:type="dxa"/>
              <w:left w:w="108" w:type="dxa"/>
              <w:bottom w:w="0" w:type="dxa"/>
              <w:right w:w="108" w:type="dxa"/>
            </w:tcMar>
            <w:vAlign w:val="center"/>
            <w:hideMark/>
          </w:tcPr>
          <w:p w14:paraId="0C214BF0" w14:textId="77777777" w:rsidR="004E4B6D" w:rsidRDefault="004E4B6D" w:rsidP="00994C07">
            <w:pPr>
              <w:spacing w:after="0"/>
              <w:ind w:right="57"/>
              <w:jc w:val="right"/>
              <w:rPr>
                <w:sz w:val="20"/>
                <w:szCs w:val="20"/>
              </w:rPr>
            </w:pPr>
            <w:r>
              <w:rPr>
                <w:sz w:val="20"/>
                <w:szCs w:val="20"/>
              </w:rPr>
              <w:t>47 600</w:t>
            </w:r>
          </w:p>
        </w:tc>
        <w:tc>
          <w:tcPr>
            <w:tcW w:w="1276" w:type="dxa"/>
            <w:tcMar>
              <w:top w:w="0" w:type="dxa"/>
              <w:left w:w="108" w:type="dxa"/>
              <w:bottom w:w="0" w:type="dxa"/>
              <w:right w:w="108" w:type="dxa"/>
            </w:tcMar>
            <w:vAlign w:val="center"/>
            <w:hideMark/>
          </w:tcPr>
          <w:p w14:paraId="746B005D" w14:textId="77777777" w:rsidR="004E4B6D" w:rsidRDefault="004E4B6D" w:rsidP="00994C07">
            <w:pPr>
              <w:spacing w:after="0"/>
              <w:ind w:right="57"/>
              <w:jc w:val="right"/>
              <w:rPr>
                <w:b/>
                <w:bCs/>
                <w:color w:val="004595"/>
                <w:sz w:val="20"/>
                <w:szCs w:val="20"/>
              </w:rPr>
            </w:pPr>
            <w:r>
              <w:rPr>
                <w:b/>
                <w:bCs/>
                <w:color w:val="004595"/>
                <w:sz w:val="20"/>
                <w:szCs w:val="20"/>
              </w:rPr>
              <w:t>+ 3,037 %</w:t>
            </w:r>
          </w:p>
        </w:tc>
        <w:tc>
          <w:tcPr>
            <w:tcW w:w="1134" w:type="dxa"/>
            <w:tcMar>
              <w:top w:w="0" w:type="dxa"/>
              <w:left w:w="108" w:type="dxa"/>
              <w:bottom w:w="0" w:type="dxa"/>
              <w:right w:w="108" w:type="dxa"/>
            </w:tcMar>
            <w:vAlign w:val="center"/>
            <w:hideMark/>
          </w:tcPr>
          <w:p w14:paraId="47F9E93E" w14:textId="77777777" w:rsidR="004E4B6D" w:rsidRDefault="004E4B6D" w:rsidP="00994C07">
            <w:pPr>
              <w:spacing w:after="0"/>
              <w:ind w:right="57"/>
              <w:jc w:val="right"/>
              <w:rPr>
                <w:sz w:val="20"/>
                <w:szCs w:val="20"/>
              </w:rPr>
            </w:pPr>
            <w:r>
              <w:rPr>
                <w:sz w:val="20"/>
                <w:szCs w:val="20"/>
              </w:rPr>
              <w:t>1 225 299</w:t>
            </w:r>
          </w:p>
        </w:tc>
        <w:tc>
          <w:tcPr>
            <w:tcW w:w="1134" w:type="dxa"/>
            <w:tcMar>
              <w:top w:w="0" w:type="dxa"/>
              <w:left w:w="108" w:type="dxa"/>
              <w:bottom w:w="0" w:type="dxa"/>
              <w:right w:w="108" w:type="dxa"/>
            </w:tcMar>
            <w:vAlign w:val="center"/>
            <w:hideMark/>
          </w:tcPr>
          <w:p w14:paraId="5975DA4C" w14:textId="77777777" w:rsidR="004E4B6D" w:rsidRDefault="004E4B6D" w:rsidP="00994C07">
            <w:pPr>
              <w:spacing w:after="0"/>
              <w:ind w:right="57"/>
              <w:jc w:val="right"/>
              <w:rPr>
                <w:sz w:val="20"/>
                <w:szCs w:val="20"/>
              </w:rPr>
            </w:pPr>
            <w:r>
              <w:rPr>
                <w:sz w:val="20"/>
                <w:szCs w:val="20"/>
              </w:rPr>
              <w:t>1 536 910</w:t>
            </w:r>
          </w:p>
        </w:tc>
        <w:tc>
          <w:tcPr>
            <w:tcW w:w="1559" w:type="dxa"/>
            <w:tcMar>
              <w:top w:w="0" w:type="dxa"/>
              <w:left w:w="108" w:type="dxa"/>
              <w:bottom w:w="0" w:type="dxa"/>
              <w:right w:w="108" w:type="dxa"/>
            </w:tcMar>
            <w:vAlign w:val="center"/>
            <w:hideMark/>
          </w:tcPr>
          <w:p w14:paraId="1944693B" w14:textId="77777777" w:rsidR="004E4B6D" w:rsidRDefault="004E4B6D" w:rsidP="00994C07">
            <w:pPr>
              <w:spacing w:after="0"/>
              <w:ind w:right="57"/>
              <w:jc w:val="right"/>
              <w:rPr>
                <w:b/>
                <w:bCs/>
                <w:color w:val="004595"/>
                <w:sz w:val="20"/>
                <w:szCs w:val="20"/>
              </w:rPr>
            </w:pPr>
            <w:r>
              <w:rPr>
                <w:b/>
                <w:bCs/>
                <w:color w:val="004595"/>
                <w:sz w:val="20"/>
                <w:szCs w:val="20"/>
              </w:rPr>
              <w:t>+ 25,431</w:t>
            </w:r>
          </w:p>
        </w:tc>
      </w:tr>
      <w:tr w:rsidR="004E4B6D" w14:paraId="050DEB6B" w14:textId="77777777" w:rsidTr="007D751F">
        <w:tc>
          <w:tcPr>
            <w:tcW w:w="2268" w:type="dxa"/>
            <w:tcMar>
              <w:top w:w="0" w:type="dxa"/>
              <w:left w:w="108" w:type="dxa"/>
              <w:bottom w:w="0" w:type="dxa"/>
              <w:right w:w="108" w:type="dxa"/>
            </w:tcMar>
            <w:hideMark/>
          </w:tcPr>
          <w:p w14:paraId="57D0A03E" w14:textId="77777777" w:rsidR="004E4B6D" w:rsidRDefault="004E4B6D" w:rsidP="00994C07">
            <w:pPr>
              <w:spacing w:after="0"/>
              <w:ind w:left="-57" w:right="-57"/>
              <w:jc w:val="left"/>
              <w:rPr>
                <w:sz w:val="20"/>
                <w:szCs w:val="20"/>
                <w:vertAlign w:val="superscript"/>
              </w:rPr>
            </w:pPr>
            <w:r>
              <w:rPr>
                <w:sz w:val="20"/>
                <w:szCs w:val="20"/>
              </w:rPr>
              <w:t>Zemní plyn v milionech m</w:t>
            </w:r>
            <w:r>
              <w:rPr>
                <w:sz w:val="20"/>
                <w:szCs w:val="20"/>
                <w:vertAlign w:val="superscript"/>
              </w:rPr>
              <w:t>3</w:t>
            </w:r>
          </w:p>
        </w:tc>
        <w:tc>
          <w:tcPr>
            <w:tcW w:w="846" w:type="dxa"/>
            <w:tcMar>
              <w:top w:w="0" w:type="dxa"/>
              <w:left w:w="108" w:type="dxa"/>
              <w:bottom w:w="0" w:type="dxa"/>
              <w:right w:w="108" w:type="dxa"/>
            </w:tcMar>
            <w:vAlign w:val="center"/>
            <w:hideMark/>
          </w:tcPr>
          <w:p w14:paraId="79A0402A" w14:textId="77777777" w:rsidR="004E4B6D" w:rsidRDefault="007D751F" w:rsidP="00994C07">
            <w:pPr>
              <w:spacing w:after="0"/>
              <w:ind w:right="57"/>
              <w:jc w:val="right"/>
              <w:rPr>
                <w:sz w:val="20"/>
                <w:szCs w:val="20"/>
              </w:rPr>
            </w:pPr>
            <w:r>
              <w:rPr>
                <w:sz w:val="20"/>
                <w:szCs w:val="20"/>
              </w:rPr>
              <w:t>4 566</w:t>
            </w:r>
          </w:p>
        </w:tc>
        <w:tc>
          <w:tcPr>
            <w:tcW w:w="850" w:type="dxa"/>
            <w:tcMar>
              <w:top w:w="0" w:type="dxa"/>
              <w:left w:w="108" w:type="dxa"/>
              <w:bottom w:w="0" w:type="dxa"/>
              <w:right w:w="108" w:type="dxa"/>
            </w:tcMar>
            <w:vAlign w:val="center"/>
            <w:hideMark/>
          </w:tcPr>
          <w:p w14:paraId="13CA7CB4" w14:textId="77777777" w:rsidR="004E4B6D" w:rsidRDefault="004E4B6D" w:rsidP="00994C07">
            <w:pPr>
              <w:spacing w:after="0"/>
              <w:ind w:right="57"/>
              <w:jc w:val="right"/>
              <w:rPr>
                <w:sz w:val="20"/>
                <w:szCs w:val="20"/>
              </w:rPr>
            </w:pPr>
            <w:r>
              <w:rPr>
                <w:sz w:val="20"/>
                <w:szCs w:val="20"/>
              </w:rPr>
              <w:t>5 162</w:t>
            </w:r>
          </w:p>
        </w:tc>
        <w:tc>
          <w:tcPr>
            <w:tcW w:w="1276" w:type="dxa"/>
            <w:tcMar>
              <w:top w:w="0" w:type="dxa"/>
              <w:left w:w="108" w:type="dxa"/>
              <w:bottom w:w="0" w:type="dxa"/>
              <w:right w:w="108" w:type="dxa"/>
            </w:tcMar>
            <w:vAlign w:val="center"/>
            <w:hideMark/>
          </w:tcPr>
          <w:p w14:paraId="5A1EB92A" w14:textId="77777777" w:rsidR="004E4B6D" w:rsidRDefault="004E4B6D" w:rsidP="00994C07">
            <w:pPr>
              <w:spacing w:after="0"/>
              <w:ind w:right="57"/>
              <w:jc w:val="right"/>
              <w:rPr>
                <w:b/>
                <w:bCs/>
                <w:color w:val="004595"/>
                <w:sz w:val="20"/>
                <w:szCs w:val="20"/>
              </w:rPr>
            </w:pPr>
            <w:r>
              <w:rPr>
                <w:b/>
                <w:bCs/>
                <w:color w:val="004595"/>
                <w:sz w:val="20"/>
                <w:szCs w:val="20"/>
              </w:rPr>
              <w:t>+ 13,063 %</w:t>
            </w:r>
          </w:p>
        </w:tc>
        <w:tc>
          <w:tcPr>
            <w:tcW w:w="1134" w:type="dxa"/>
            <w:tcMar>
              <w:top w:w="0" w:type="dxa"/>
              <w:left w:w="108" w:type="dxa"/>
              <w:bottom w:w="0" w:type="dxa"/>
              <w:right w:w="108" w:type="dxa"/>
            </w:tcMar>
            <w:vAlign w:val="center"/>
            <w:hideMark/>
          </w:tcPr>
          <w:p w14:paraId="67B26DCD" w14:textId="77777777" w:rsidR="004E4B6D" w:rsidRDefault="004E4B6D" w:rsidP="00994C07">
            <w:pPr>
              <w:spacing w:after="0"/>
              <w:ind w:right="57"/>
              <w:jc w:val="right"/>
              <w:rPr>
                <w:sz w:val="20"/>
                <w:szCs w:val="20"/>
              </w:rPr>
            </w:pPr>
            <w:r>
              <w:rPr>
                <w:sz w:val="20"/>
                <w:szCs w:val="20"/>
              </w:rPr>
              <w:t>1 149 268</w:t>
            </w:r>
          </w:p>
        </w:tc>
        <w:tc>
          <w:tcPr>
            <w:tcW w:w="1134" w:type="dxa"/>
            <w:tcMar>
              <w:top w:w="0" w:type="dxa"/>
              <w:left w:w="108" w:type="dxa"/>
              <w:bottom w:w="0" w:type="dxa"/>
              <w:right w:w="108" w:type="dxa"/>
            </w:tcMar>
            <w:vAlign w:val="center"/>
            <w:hideMark/>
          </w:tcPr>
          <w:p w14:paraId="432B40BE" w14:textId="77777777" w:rsidR="004E4B6D" w:rsidRDefault="004E4B6D" w:rsidP="00994C07">
            <w:pPr>
              <w:spacing w:after="0"/>
              <w:ind w:right="57"/>
              <w:jc w:val="right"/>
              <w:rPr>
                <w:sz w:val="20"/>
                <w:szCs w:val="20"/>
              </w:rPr>
            </w:pPr>
            <w:r>
              <w:rPr>
                <w:sz w:val="20"/>
                <w:szCs w:val="20"/>
              </w:rPr>
              <w:t>1 299 937</w:t>
            </w:r>
          </w:p>
        </w:tc>
        <w:tc>
          <w:tcPr>
            <w:tcW w:w="1559" w:type="dxa"/>
            <w:tcMar>
              <w:top w:w="0" w:type="dxa"/>
              <w:left w:w="108" w:type="dxa"/>
              <w:bottom w:w="0" w:type="dxa"/>
              <w:right w:w="108" w:type="dxa"/>
            </w:tcMar>
            <w:vAlign w:val="center"/>
            <w:hideMark/>
          </w:tcPr>
          <w:p w14:paraId="6D5F88BF" w14:textId="77777777" w:rsidR="004E4B6D" w:rsidRDefault="004E4B6D" w:rsidP="00994C07">
            <w:pPr>
              <w:spacing w:after="0"/>
              <w:ind w:right="57"/>
              <w:jc w:val="right"/>
              <w:rPr>
                <w:b/>
                <w:bCs/>
                <w:color w:val="004595"/>
                <w:sz w:val="20"/>
                <w:szCs w:val="20"/>
              </w:rPr>
            </w:pPr>
            <w:r>
              <w:rPr>
                <w:b/>
                <w:bCs/>
                <w:color w:val="004595"/>
                <w:sz w:val="20"/>
                <w:szCs w:val="20"/>
              </w:rPr>
              <w:t>+ 13,110</w:t>
            </w:r>
          </w:p>
        </w:tc>
      </w:tr>
      <w:tr w:rsidR="004E4B6D" w14:paraId="5444619C" w14:textId="77777777" w:rsidTr="007D751F">
        <w:tc>
          <w:tcPr>
            <w:tcW w:w="2268" w:type="dxa"/>
            <w:tcMar>
              <w:top w:w="0" w:type="dxa"/>
              <w:left w:w="108" w:type="dxa"/>
              <w:bottom w:w="0" w:type="dxa"/>
              <w:right w:w="108" w:type="dxa"/>
            </w:tcMar>
            <w:hideMark/>
          </w:tcPr>
          <w:p w14:paraId="020D2E3C" w14:textId="77777777" w:rsidR="004E4B6D" w:rsidRDefault="004E4B6D" w:rsidP="00994C07">
            <w:pPr>
              <w:spacing w:after="0"/>
              <w:ind w:left="-57" w:right="-57"/>
              <w:rPr>
                <w:sz w:val="20"/>
                <w:szCs w:val="20"/>
              </w:rPr>
            </w:pPr>
            <w:r>
              <w:rPr>
                <w:sz w:val="20"/>
                <w:szCs w:val="20"/>
              </w:rPr>
              <w:t>Uhlí v tisících tun</w:t>
            </w:r>
          </w:p>
        </w:tc>
        <w:tc>
          <w:tcPr>
            <w:tcW w:w="846" w:type="dxa"/>
            <w:tcMar>
              <w:top w:w="0" w:type="dxa"/>
              <w:left w:w="108" w:type="dxa"/>
              <w:bottom w:w="0" w:type="dxa"/>
              <w:right w:w="108" w:type="dxa"/>
            </w:tcMar>
            <w:vAlign w:val="center"/>
            <w:hideMark/>
          </w:tcPr>
          <w:p w14:paraId="4EB3566A" w14:textId="77777777" w:rsidR="004E4B6D" w:rsidRDefault="007D751F" w:rsidP="00994C07">
            <w:pPr>
              <w:spacing w:after="0"/>
              <w:ind w:right="57"/>
              <w:jc w:val="right"/>
              <w:rPr>
                <w:sz w:val="20"/>
                <w:szCs w:val="20"/>
              </w:rPr>
            </w:pPr>
            <w:r>
              <w:rPr>
                <w:sz w:val="20"/>
                <w:szCs w:val="20"/>
              </w:rPr>
              <w:t>45 833</w:t>
            </w:r>
          </w:p>
        </w:tc>
        <w:tc>
          <w:tcPr>
            <w:tcW w:w="850" w:type="dxa"/>
            <w:tcMar>
              <w:top w:w="0" w:type="dxa"/>
              <w:left w:w="108" w:type="dxa"/>
              <w:bottom w:w="0" w:type="dxa"/>
              <w:right w:w="108" w:type="dxa"/>
            </w:tcMar>
            <w:vAlign w:val="center"/>
            <w:hideMark/>
          </w:tcPr>
          <w:p w14:paraId="5106F734" w14:textId="77777777" w:rsidR="004E4B6D" w:rsidRDefault="004E4B6D" w:rsidP="00994C07">
            <w:pPr>
              <w:spacing w:after="0"/>
              <w:ind w:right="57"/>
              <w:jc w:val="right"/>
              <w:rPr>
                <w:sz w:val="20"/>
                <w:szCs w:val="20"/>
              </w:rPr>
            </w:pPr>
            <w:r>
              <w:rPr>
                <w:sz w:val="20"/>
                <w:szCs w:val="20"/>
              </w:rPr>
              <w:t>45 832</w:t>
            </w:r>
          </w:p>
        </w:tc>
        <w:tc>
          <w:tcPr>
            <w:tcW w:w="1276" w:type="dxa"/>
            <w:tcMar>
              <w:top w:w="0" w:type="dxa"/>
              <w:left w:w="108" w:type="dxa"/>
              <w:bottom w:w="0" w:type="dxa"/>
              <w:right w:w="108" w:type="dxa"/>
            </w:tcMar>
            <w:vAlign w:val="center"/>
            <w:hideMark/>
          </w:tcPr>
          <w:p w14:paraId="13465671" w14:textId="7C5E5BFC" w:rsidR="004E4B6D" w:rsidRDefault="00935637" w:rsidP="00994C07">
            <w:pPr>
              <w:spacing w:after="0"/>
              <w:ind w:right="57"/>
              <w:jc w:val="right"/>
              <w:rPr>
                <w:b/>
                <w:bCs/>
                <w:color w:val="BD2A33"/>
                <w:sz w:val="20"/>
                <w:szCs w:val="20"/>
              </w:rPr>
            </w:pPr>
            <w:r>
              <w:rPr>
                <w:b/>
                <w:bCs/>
                <w:color w:val="BD2A33"/>
                <w:sz w:val="20"/>
                <w:szCs w:val="20"/>
              </w:rPr>
              <w:t>–</w:t>
            </w:r>
            <w:r w:rsidR="004E4B6D">
              <w:rPr>
                <w:b/>
                <w:bCs/>
                <w:color w:val="BD2A33"/>
                <w:sz w:val="20"/>
                <w:szCs w:val="20"/>
              </w:rPr>
              <w:t xml:space="preserve"> 0,002 %</w:t>
            </w:r>
          </w:p>
        </w:tc>
        <w:tc>
          <w:tcPr>
            <w:tcW w:w="1134" w:type="dxa"/>
            <w:tcMar>
              <w:top w:w="0" w:type="dxa"/>
              <w:left w:w="108" w:type="dxa"/>
              <w:bottom w:w="0" w:type="dxa"/>
              <w:right w:w="108" w:type="dxa"/>
            </w:tcMar>
            <w:vAlign w:val="center"/>
            <w:hideMark/>
          </w:tcPr>
          <w:p w14:paraId="0C6EEAA5" w14:textId="77777777" w:rsidR="004E4B6D" w:rsidRDefault="004E4B6D" w:rsidP="00994C07">
            <w:pPr>
              <w:spacing w:after="0"/>
              <w:ind w:right="57"/>
              <w:jc w:val="right"/>
              <w:rPr>
                <w:sz w:val="20"/>
                <w:szCs w:val="20"/>
              </w:rPr>
            </w:pPr>
            <w:r>
              <w:rPr>
                <w:sz w:val="20"/>
                <w:szCs w:val="20"/>
              </w:rPr>
              <w:t>413 071</w:t>
            </w:r>
          </w:p>
        </w:tc>
        <w:tc>
          <w:tcPr>
            <w:tcW w:w="1134" w:type="dxa"/>
            <w:tcMar>
              <w:top w:w="0" w:type="dxa"/>
              <w:left w:w="108" w:type="dxa"/>
              <w:bottom w:w="0" w:type="dxa"/>
              <w:right w:w="108" w:type="dxa"/>
            </w:tcMar>
            <w:vAlign w:val="center"/>
            <w:hideMark/>
          </w:tcPr>
          <w:p w14:paraId="162C7B42" w14:textId="77777777" w:rsidR="004E4B6D" w:rsidRDefault="004E4B6D" w:rsidP="00994C07">
            <w:pPr>
              <w:spacing w:after="0"/>
              <w:ind w:right="57"/>
              <w:jc w:val="right"/>
              <w:rPr>
                <w:sz w:val="20"/>
                <w:szCs w:val="20"/>
              </w:rPr>
            </w:pPr>
            <w:r>
              <w:rPr>
                <w:sz w:val="20"/>
                <w:szCs w:val="20"/>
              </w:rPr>
              <w:t>450 984</w:t>
            </w:r>
          </w:p>
        </w:tc>
        <w:tc>
          <w:tcPr>
            <w:tcW w:w="1559" w:type="dxa"/>
            <w:tcMar>
              <w:top w:w="0" w:type="dxa"/>
              <w:left w:w="108" w:type="dxa"/>
              <w:bottom w:w="0" w:type="dxa"/>
              <w:right w:w="108" w:type="dxa"/>
            </w:tcMar>
            <w:vAlign w:val="center"/>
            <w:hideMark/>
          </w:tcPr>
          <w:p w14:paraId="4381591C" w14:textId="77777777" w:rsidR="004E4B6D" w:rsidRDefault="004E4B6D" w:rsidP="00994C07">
            <w:pPr>
              <w:spacing w:after="0"/>
              <w:ind w:right="57"/>
              <w:jc w:val="right"/>
              <w:rPr>
                <w:b/>
                <w:bCs/>
                <w:color w:val="004595"/>
                <w:sz w:val="20"/>
                <w:szCs w:val="20"/>
              </w:rPr>
            </w:pPr>
            <w:r>
              <w:rPr>
                <w:b/>
                <w:bCs/>
                <w:color w:val="004595"/>
                <w:sz w:val="20"/>
                <w:szCs w:val="20"/>
              </w:rPr>
              <w:t>+ 9,178</w:t>
            </w:r>
          </w:p>
        </w:tc>
      </w:tr>
    </w:tbl>
    <w:p w14:paraId="5E6180BA" w14:textId="3721E055" w:rsidR="004E4B6D" w:rsidRPr="007D751F" w:rsidRDefault="004E4B6D" w:rsidP="007D751F">
      <w:pPr>
        <w:spacing w:before="40" w:after="0"/>
        <w:ind w:left="567" w:hanging="567"/>
        <w:rPr>
          <w:rFonts w:cs="Calibri"/>
          <w:sz w:val="20"/>
          <w:szCs w:val="20"/>
        </w:rPr>
      </w:pPr>
      <w:r w:rsidRPr="007D751F">
        <w:rPr>
          <w:rFonts w:cs="Calibri"/>
          <w:b/>
          <w:sz w:val="20"/>
          <w:szCs w:val="20"/>
        </w:rPr>
        <w:t>Zdroj:</w:t>
      </w:r>
      <w:r w:rsidRPr="007D751F">
        <w:rPr>
          <w:rFonts w:cs="Calibri"/>
          <w:sz w:val="20"/>
          <w:szCs w:val="20"/>
        </w:rPr>
        <w:t xml:space="preserve"> </w:t>
      </w:r>
      <w:r w:rsidR="007D751F">
        <w:rPr>
          <w:rFonts w:cs="Calibri"/>
          <w:sz w:val="20"/>
          <w:szCs w:val="20"/>
        </w:rPr>
        <w:tab/>
      </w:r>
      <w:r w:rsidRPr="007D751F">
        <w:rPr>
          <w:rFonts w:cs="Calibri"/>
          <w:sz w:val="20"/>
          <w:szCs w:val="20"/>
        </w:rPr>
        <w:t xml:space="preserve">ČSÚ – spotřeba vybraných paliv a elektrické energie, 2015, 2017; Celní správa </w:t>
      </w:r>
      <w:r w:rsidR="008169E2">
        <w:rPr>
          <w:rFonts w:cs="Calibri"/>
          <w:sz w:val="20"/>
          <w:szCs w:val="20"/>
        </w:rPr>
        <w:t>–</w:t>
      </w:r>
      <w:r w:rsidRPr="007D751F">
        <w:rPr>
          <w:rFonts w:cs="Calibri"/>
          <w:sz w:val="20"/>
          <w:szCs w:val="20"/>
        </w:rPr>
        <w:t xml:space="preserve"> </w:t>
      </w:r>
      <w:r w:rsidR="008169E2">
        <w:rPr>
          <w:rFonts w:cs="Calibri"/>
          <w:sz w:val="20"/>
          <w:szCs w:val="20"/>
        </w:rPr>
        <w:t>s</w:t>
      </w:r>
      <w:r w:rsidRPr="007D751F">
        <w:rPr>
          <w:rFonts w:cs="Calibri"/>
          <w:sz w:val="20"/>
          <w:szCs w:val="20"/>
        </w:rPr>
        <w:t>tatistická data z oblasti výroby, dopravy a dovozu pevných paliv, zemního plynu a ostatních plynů a elektřiny, 2015, 2017.</w:t>
      </w:r>
    </w:p>
    <w:p w14:paraId="5D943E5A" w14:textId="77777777" w:rsidR="004E4B6D" w:rsidRPr="005E0654" w:rsidRDefault="004E4B6D" w:rsidP="007D751F">
      <w:pPr>
        <w:ind w:left="567" w:hanging="567"/>
        <w:rPr>
          <w:sz w:val="20"/>
          <w:szCs w:val="20"/>
        </w:rPr>
      </w:pPr>
      <w:r w:rsidRPr="004475D3">
        <w:rPr>
          <w:b/>
          <w:sz w:val="20"/>
          <w:szCs w:val="20"/>
        </w:rPr>
        <w:t>Pozn.:</w:t>
      </w:r>
      <w:r w:rsidRPr="00026CBE">
        <w:rPr>
          <w:sz w:val="20"/>
          <w:szCs w:val="20"/>
        </w:rPr>
        <w:t xml:space="preserve"> </w:t>
      </w:r>
      <w:r w:rsidR="007D751F">
        <w:rPr>
          <w:sz w:val="20"/>
          <w:szCs w:val="20"/>
        </w:rPr>
        <w:tab/>
      </w:r>
      <w:r w:rsidRPr="00026CBE">
        <w:rPr>
          <w:sz w:val="20"/>
          <w:szCs w:val="20"/>
        </w:rPr>
        <w:t>Uhlí spotřeba = černé a hnědé uhlí včetně lignitu, koks, hnědouhelné brikety, v tis. tun., vyměřená da</w:t>
      </w:r>
      <w:r w:rsidRPr="00026CBE">
        <w:rPr>
          <w:bCs/>
          <w:sz w:val="20"/>
          <w:szCs w:val="20"/>
        </w:rPr>
        <w:t>ň</w:t>
      </w:r>
      <w:r w:rsidR="006D4427">
        <w:rPr>
          <w:sz w:val="20"/>
          <w:szCs w:val="20"/>
        </w:rPr>
        <w:t xml:space="preserve"> za </w:t>
      </w:r>
      <w:r w:rsidRPr="00026CBE">
        <w:rPr>
          <w:sz w:val="20"/>
          <w:szCs w:val="20"/>
        </w:rPr>
        <w:t>kódy nomenklatur 2701, 2702, 2704.</w:t>
      </w:r>
      <w:r w:rsidRPr="00CE5BCA">
        <w:rPr>
          <w:sz w:val="20"/>
          <w:szCs w:val="20"/>
        </w:rPr>
        <w:t xml:space="preserve"> </w:t>
      </w:r>
      <w:r w:rsidRPr="00026CBE">
        <w:rPr>
          <w:sz w:val="20"/>
          <w:szCs w:val="20"/>
        </w:rPr>
        <w:t>Zemní plyn =</w:t>
      </w:r>
      <w:r>
        <w:rPr>
          <w:sz w:val="20"/>
          <w:szCs w:val="20"/>
        </w:rPr>
        <w:t xml:space="preserve"> v milionech</w:t>
      </w:r>
      <w:r w:rsidRPr="00026CBE">
        <w:rPr>
          <w:sz w:val="20"/>
          <w:szCs w:val="20"/>
        </w:rPr>
        <w:t xml:space="preserve"> m</w:t>
      </w:r>
      <w:r w:rsidRPr="00CE5BCA">
        <w:rPr>
          <w:sz w:val="20"/>
          <w:szCs w:val="20"/>
          <w:vertAlign w:val="superscript"/>
        </w:rPr>
        <w:t>3</w:t>
      </w:r>
      <w:r w:rsidRPr="00026CBE">
        <w:rPr>
          <w:sz w:val="20"/>
          <w:szCs w:val="20"/>
        </w:rPr>
        <w:t>, inkaso sp</w:t>
      </w:r>
      <w:r w:rsidR="004475D3">
        <w:rPr>
          <w:sz w:val="20"/>
          <w:szCs w:val="20"/>
        </w:rPr>
        <w:t>otřební daně ze zemního plynu a </w:t>
      </w:r>
      <w:r w:rsidRPr="00026CBE">
        <w:rPr>
          <w:sz w:val="20"/>
          <w:szCs w:val="20"/>
        </w:rPr>
        <w:t xml:space="preserve">ostatních </w:t>
      </w:r>
      <w:r w:rsidRPr="004E4B6D">
        <w:rPr>
          <w:sz w:val="20"/>
          <w:szCs w:val="20"/>
        </w:rPr>
        <w:t xml:space="preserve">plynů. Elektřina = v GWh, inkaso spotřební daně z elektřiny. </w:t>
      </w:r>
      <w:r w:rsidRPr="005E0654">
        <w:rPr>
          <w:sz w:val="20"/>
          <w:szCs w:val="20"/>
        </w:rPr>
        <w:t>Výpočty vycházejí z nezaokrouhlených údajů přepočtených jednotek.</w:t>
      </w:r>
    </w:p>
    <w:p w14:paraId="1B28FA49" w14:textId="2F073815" w:rsidR="00B24EB6" w:rsidRDefault="0051469A" w:rsidP="007D751F">
      <w:pPr>
        <w:spacing w:before="120"/>
      </w:pPr>
      <w:r w:rsidRPr="004D31C6">
        <w:t>NKÚ analyzoval výši daňového zatížení v </w:t>
      </w:r>
      <w:r w:rsidR="00182E9A">
        <w:t>ČR</w:t>
      </w:r>
      <w:r w:rsidRPr="004D31C6">
        <w:t xml:space="preserve"> oproti průměru </w:t>
      </w:r>
      <w:r w:rsidR="007D1020">
        <w:t xml:space="preserve">států </w:t>
      </w:r>
      <w:r w:rsidRPr="004D31C6">
        <w:t>EU</w:t>
      </w:r>
      <w:r w:rsidR="00CE5DF7">
        <w:t xml:space="preserve"> </w:t>
      </w:r>
      <w:r w:rsidRPr="004D31C6">
        <w:t>u zemního plynu, elektřiny, uhlí a koksu</w:t>
      </w:r>
      <w:r w:rsidR="003B50D2">
        <w:t xml:space="preserve"> </w:t>
      </w:r>
      <w:r w:rsidR="008B479E">
        <w:t>(</w:t>
      </w:r>
      <w:r w:rsidR="003B50D2">
        <w:t xml:space="preserve">viz tabulka č. </w:t>
      </w:r>
      <w:r w:rsidR="00B865C1">
        <w:t>29</w:t>
      </w:r>
      <w:r w:rsidR="008B479E">
        <w:t>)</w:t>
      </w:r>
      <w:r w:rsidR="003B50D2">
        <w:t xml:space="preserve"> a zjistil</w:t>
      </w:r>
      <w:r w:rsidR="00335CB6">
        <w:t>,</w:t>
      </w:r>
      <w:r w:rsidR="003B50D2">
        <w:t xml:space="preserve"> že</w:t>
      </w:r>
      <w:r w:rsidRPr="004D31C6">
        <w:t xml:space="preserve"> zdanění </w:t>
      </w:r>
      <w:r w:rsidR="003B50D2">
        <w:t>paliva, kter</w:t>
      </w:r>
      <w:r w:rsidR="008169E2">
        <w:t>é</w:t>
      </w:r>
      <w:r w:rsidR="003B50D2">
        <w:t xml:space="preserve"> se promítá</w:t>
      </w:r>
      <w:r w:rsidR="006D4427">
        <w:t xml:space="preserve"> do</w:t>
      </w:r>
      <w:r w:rsidR="008169E2">
        <w:t xml:space="preserve"> </w:t>
      </w:r>
      <w:r w:rsidR="00335CB6">
        <w:t>celkové ceny</w:t>
      </w:r>
      <w:r w:rsidR="00E714BD">
        <w:t>,</w:t>
      </w:r>
      <w:r w:rsidR="00335CB6">
        <w:t xml:space="preserve"> je</w:t>
      </w:r>
      <w:r w:rsidR="008169E2">
        <w:t xml:space="preserve"> </w:t>
      </w:r>
      <w:r w:rsidR="003B50D2">
        <w:t xml:space="preserve">významně nižší u všech tří komodit. </w:t>
      </w:r>
      <w:r w:rsidR="00E714BD">
        <w:t>C</w:t>
      </w:r>
      <w:r w:rsidR="006D4427">
        <w:t>elková cena zemního plynu a </w:t>
      </w:r>
      <w:r w:rsidR="003B50D2">
        <w:t>elektřiny ke kupní síle spotřebitele je vyšší než průměr EU</w:t>
      </w:r>
      <w:r w:rsidR="00E714BD">
        <w:t>. P</w:t>
      </w:r>
      <w:r w:rsidR="00335CB6">
        <w:t xml:space="preserve">říčinou není </w:t>
      </w:r>
      <w:r w:rsidR="00182E9A">
        <w:t xml:space="preserve">výše </w:t>
      </w:r>
      <w:r w:rsidR="00335CB6">
        <w:t>daňového zatížení</w:t>
      </w:r>
      <w:r w:rsidR="00335CB6" w:rsidRPr="004D31C6">
        <w:t xml:space="preserve">. </w:t>
      </w:r>
      <w:r w:rsidR="00335CB6" w:rsidRPr="004712C3">
        <w:t xml:space="preserve">Sazby spotřebních/energetických daní v ČR jsou blízké minimálním sazbám stanoveným </w:t>
      </w:r>
      <w:r w:rsidR="00A0376C">
        <w:t xml:space="preserve">evropskou </w:t>
      </w:r>
      <w:r w:rsidR="00335CB6" w:rsidRPr="004712C3">
        <w:t xml:space="preserve">směrnicí </w:t>
      </w:r>
      <w:r w:rsidR="00A0376C">
        <w:t>č</w:t>
      </w:r>
      <w:r w:rsidR="0009644C">
        <w:t xml:space="preserve">. </w:t>
      </w:r>
      <w:r w:rsidR="00335CB6" w:rsidRPr="004712C3">
        <w:t>2003/96/ES.</w:t>
      </w:r>
    </w:p>
    <w:p w14:paraId="0E16721A" w14:textId="77777777" w:rsidR="00B66277" w:rsidRPr="00E02175" w:rsidRDefault="007D751F" w:rsidP="007D751F">
      <w:pPr>
        <w:pStyle w:val="Tabulka"/>
        <w:numPr>
          <w:ilvl w:val="0"/>
          <w:numId w:val="0"/>
        </w:numPr>
        <w:spacing w:after="40"/>
      </w:pPr>
      <w:r>
        <w:t xml:space="preserve">Tabulka č. 29: </w:t>
      </w:r>
      <w:r w:rsidR="0051469A">
        <w:t>Daňové zatížení paliv v ČR a EU</w:t>
      </w:r>
    </w:p>
    <w:tbl>
      <w:tblPr>
        <w:tblStyle w:val="Mkatabulky"/>
        <w:tblW w:w="9071" w:type="dxa"/>
        <w:tblLayout w:type="fixed"/>
        <w:tblLook w:val="04A0" w:firstRow="1" w:lastRow="0" w:firstColumn="1" w:lastColumn="0" w:noHBand="0" w:noVBand="1"/>
      </w:tblPr>
      <w:tblGrid>
        <w:gridCol w:w="5726"/>
        <w:gridCol w:w="1191"/>
        <w:gridCol w:w="1020"/>
        <w:gridCol w:w="1134"/>
      </w:tblGrid>
      <w:tr w:rsidR="00121435" w:rsidRPr="007D751F" w14:paraId="245ADEF2" w14:textId="77777777" w:rsidTr="00DC6D4F">
        <w:trPr>
          <w:trHeight w:val="227"/>
        </w:trPr>
        <w:tc>
          <w:tcPr>
            <w:tcW w:w="5726" w:type="dxa"/>
            <w:shd w:val="clear" w:color="auto" w:fill="E5F1FF"/>
            <w:vAlign w:val="center"/>
          </w:tcPr>
          <w:p w14:paraId="0E241009" w14:textId="77777777" w:rsidR="00B24EB6" w:rsidRPr="007D751F" w:rsidRDefault="0051469A" w:rsidP="007D751F">
            <w:pPr>
              <w:spacing w:after="0"/>
              <w:jc w:val="center"/>
              <w:rPr>
                <w:b/>
                <w:sz w:val="20"/>
                <w:szCs w:val="20"/>
              </w:rPr>
            </w:pPr>
            <w:r w:rsidRPr="007D751F">
              <w:rPr>
                <w:b/>
                <w:sz w:val="20"/>
                <w:szCs w:val="20"/>
              </w:rPr>
              <w:t>Ukazatel</w:t>
            </w:r>
          </w:p>
        </w:tc>
        <w:tc>
          <w:tcPr>
            <w:tcW w:w="1191" w:type="dxa"/>
            <w:shd w:val="clear" w:color="auto" w:fill="E5F1FF"/>
            <w:vAlign w:val="center"/>
          </w:tcPr>
          <w:p w14:paraId="1887F2C7" w14:textId="77777777" w:rsidR="00B24EB6" w:rsidRPr="007D751F" w:rsidRDefault="0051469A" w:rsidP="007D751F">
            <w:pPr>
              <w:spacing w:after="0"/>
              <w:jc w:val="center"/>
              <w:rPr>
                <w:b/>
                <w:sz w:val="20"/>
                <w:szCs w:val="20"/>
              </w:rPr>
            </w:pPr>
            <w:r w:rsidRPr="007D751F">
              <w:rPr>
                <w:b/>
                <w:sz w:val="20"/>
                <w:szCs w:val="20"/>
              </w:rPr>
              <w:t>Zemní plyn</w:t>
            </w:r>
          </w:p>
        </w:tc>
        <w:tc>
          <w:tcPr>
            <w:tcW w:w="1020" w:type="dxa"/>
            <w:shd w:val="clear" w:color="auto" w:fill="E5F1FF"/>
            <w:vAlign w:val="center"/>
          </w:tcPr>
          <w:p w14:paraId="3279770A" w14:textId="77777777" w:rsidR="00B24EB6" w:rsidRPr="007D751F" w:rsidRDefault="0051469A" w:rsidP="007D751F">
            <w:pPr>
              <w:spacing w:after="0"/>
              <w:jc w:val="center"/>
              <w:rPr>
                <w:b/>
                <w:sz w:val="20"/>
                <w:szCs w:val="20"/>
              </w:rPr>
            </w:pPr>
            <w:r w:rsidRPr="007D751F">
              <w:rPr>
                <w:b/>
                <w:sz w:val="20"/>
                <w:szCs w:val="20"/>
              </w:rPr>
              <w:t>Elektřina</w:t>
            </w:r>
          </w:p>
        </w:tc>
        <w:tc>
          <w:tcPr>
            <w:tcW w:w="1134" w:type="dxa"/>
            <w:shd w:val="clear" w:color="auto" w:fill="E5F1FF"/>
            <w:vAlign w:val="center"/>
          </w:tcPr>
          <w:p w14:paraId="78D87DB1" w14:textId="77777777" w:rsidR="00B24EB6" w:rsidRPr="007D751F" w:rsidRDefault="0051469A" w:rsidP="007D751F">
            <w:pPr>
              <w:spacing w:after="0"/>
              <w:jc w:val="center"/>
              <w:rPr>
                <w:b/>
                <w:sz w:val="20"/>
                <w:szCs w:val="20"/>
              </w:rPr>
            </w:pPr>
            <w:r w:rsidRPr="007D751F">
              <w:rPr>
                <w:b/>
                <w:sz w:val="20"/>
                <w:szCs w:val="20"/>
              </w:rPr>
              <w:t>Uhlí a koks</w:t>
            </w:r>
          </w:p>
        </w:tc>
      </w:tr>
      <w:tr w:rsidR="00121435" w:rsidRPr="007D751F" w14:paraId="651657D8" w14:textId="77777777" w:rsidTr="00DC6D4F">
        <w:trPr>
          <w:trHeight w:val="227"/>
        </w:trPr>
        <w:tc>
          <w:tcPr>
            <w:tcW w:w="5726" w:type="dxa"/>
            <w:vAlign w:val="center"/>
          </w:tcPr>
          <w:p w14:paraId="4D27B644" w14:textId="77777777" w:rsidR="00B24EB6" w:rsidRPr="007D751F" w:rsidRDefault="0051469A" w:rsidP="007D751F">
            <w:pPr>
              <w:spacing w:after="0"/>
              <w:jc w:val="left"/>
              <w:rPr>
                <w:b/>
                <w:sz w:val="20"/>
                <w:szCs w:val="20"/>
              </w:rPr>
            </w:pPr>
            <w:r w:rsidRPr="007D751F">
              <w:rPr>
                <w:sz w:val="20"/>
                <w:szCs w:val="20"/>
              </w:rPr>
              <w:t>Sazba S</w:t>
            </w:r>
            <w:r w:rsidR="0009644C" w:rsidRPr="007D751F">
              <w:rPr>
                <w:sz w:val="20"/>
                <w:szCs w:val="20"/>
              </w:rPr>
              <w:t>P</w:t>
            </w:r>
            <w:r w:rsidRPr="007D751F">
              <w:rPr>
                <w:sz w:val="20"/>
                <w:szCs w:val="20"/>
              </w:rPr>
              <w:t>D v ČR na průměrné sazbě S</w:t>
            </w:r>
            <w:r w:rsidR="0009644C" w:rsidRPr="007D751F">
              <w:rPr>
                <w:sz w:val="20"/>
                <w:szCs w:val="20"/>
              </w:rPr>
              <w:t>P</w:t>
            </w:r>
            <w:r w:rsidRPr="007D751F">
              <w:rPr>
                <w:sz w:val="20"/>
                <w:szCs w:val="20"/>
              </w:rPr>
              <w:t>D v EU se zohledněním HDP na obyvatele v</w:t>
            </w:r>
            <w:r w:rsidR="0009644C" w:rsidRPr="007D751F">
              <w:rPr>
                <w:sz w:val="20"/>
                <w:szCs w:val="20"/>
              </w:rPr>
              <w:t> paritě kupní síly</w:t>
            </w:r>
          </w:p>
        </w:tc>
        <w:tc>
          <w:tcPr>
            <w:tcW w:w="1191" w:type="dxa"/>
            <w:vAlign w:val="center"/>
          </w:tcPr>
          <w:p w14:paraId="07882C11"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020" w:type="dxa"/>
            <w:vAlign w:val="center"/>
          </w:tcPr>
          <w:p w14:paraId="0E0F4818"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134" w:type="dxa"/>
            <w:vAlign w:val="center"/>
          </w:tcPr>
          <w:p w14:paraId="7B4D71DE"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r>
      <w:tr w:rsidR="00121435" w:rsidRPr="007D751F" w14:paraId="79E67394" w14:textId="77777777" w:rsidTr="00DC6D4F">
        <w:trPr>
          <w:trHeight w:val="227"/>
        </w:trPr>
        <w:tc>
          <w:tcPr>
            <w:tcW w:w="5726" w:type="dxa"/>
            <w:vAlign w:val="center"/>
          </w:tcPr>
          <w:p w14:paraId="2534DF99" w14:textId="77777777" w:rsidR="00B24EB6" w:rsidRPr="007D751F" w:rsidRDefault="0051469A" w:rsidP="007D751F">
            <w:pPr>
              <w:spacing w:after="0"/>
              <w:jc w:val="left"/>
              <w:rPr>
                <w:b/>
                <w:sz w:val="20"/>
                <w:szCs w:val="20"/>
              </w:rPr>
            </w:pPr>
            <w:r w:rsidRPr="007D751F">
              <w:rPr>
                <w:sz w:val="20"/>
                <w:szCs w:val="20"/>
              </w:rPr>
              <w:t>Jednotka daně (S</w:t>
            </w:r>
            <w:r w:rsidR="0009644C" w:rsidRPr="007D751F">
              <w:rPr>
                <w:sz w:val="20"/>
                <w:szCs w:val="20"/>
              </w:rPr>
              <w:t>P</w:t>
            </w:r>
            <w:r w:rsidRPr="007D751F">
              <w:rPr>
                <w:sz w:val="20"/>
                <w:szCs w:val="20"/>
              </w:rPr>
              <w:t>D+DPH) na HDP na obyvatele v</w:t>
            </w:r>
            <w:r w:rsidR="0009644C" w:rsidRPr="007D751F">
              <w:rPr>
                <w:sz w:val="20"/>
                <w:szCs w:val="20"/>
              </w:rPr>
              <w:t xml:space="preserve"> paritě kupní síly </w:t>
            </w:r>
          </w:p>
        </w:tc>
        <w:tc>
          <w:tcPr>
            <w:tcW w:w="1191" w:type="dxa"/>
            <w:vAlign w:val="center"/>
          </w:tcPr>
          <w:p w14:paraId="7872BA29"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020" w:type="dxa"/>
            <w:vAlign w:val="center"/>
          </w:tcPr>
          <w:p w14:paraId="645C9EF8"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134" w:type="dxa"/>
            <w:vAlign w:val="center"/>
          </w:tcPr>
          <w:p w14:paraId="504B7579"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r>
      <w:tr w:rsidR="00121435" w:rsidRPr="007D751F" w14:paraId="54357893" w14:textId="77777777" w:rsidTr="00DC6D4F">
        <w:trPr>
          <w:trHeight w:val="227"/>
        </w:trPr>
        <w:tc>
          <w:tcPr>
            <w:tcW w:w="5726" w:type="dxa"/>
            <w:vAlign w:val="center"/>
          </w:tcPr>
          <w:p w14:paraId="18ECDFB1" w14:textId="77777777" w:rsidR="00B24EB6" w:rsidRPr="007D751F" w:rsidRDefault="0051469A" w:rsidP="007D751F">
            <w:pPr>
              <w:spacing w:after="0"/>
              <w:jc w:val="left"/>
              <w:rPr>
                <w:b/>
                <w:sz w:val="20"/>
                <w:szCs w:val="20"/>
              </w:rPr>
            </w:pPr>
            <w:r w:rsidRPr="007D751F">
              <w:rPr>
                <w:sz w:val="20"/>
                <w:szCs w:val="20"/>
              </w:rPr>
              <w:t>Celkové zdanění v %</w:t>
            </w:r>
          </w:p>
        </w:tc>
        <w:tc>
          <w:tcPr>
            <w:tcW w:w="1191" w:type="dxa"/>
            <w:vAlign w:val="center"/>
          </w:tcPr>
          <w:p w14:paraId="524E4491"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020" w:type="dxa"/>
            <w:vAlign w:val="center"/>
          </w:tcPr>
          <w:p w14:paraId="1FA96284"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c>
          <w:tcPr>
            <w:tcW w:w="1134" w:type="dxa"/>
            <w:vAlign w:val="center"/>
          </w:tcPr>
          <w:p w14:paraId="403534C0" w14:textId="77777777" w:rsidR="00B24EB6" w:rsidRPr="007D751F" w:rsidRDefault="0051469A" w:rsidP="007D751F">
            <w:pPr>
              <w:spacing w:after="0"/>
              <w:jc w:val="center"/>
              <w:rPr>
                <w:b/>
                <w:sz w:val="20"/>
                <w:szCs w:val="20"/>
              </w:rPr>
            </w:pPr>
            <w:r w:rsidRPr="007D751F">
              <w:rPr>
                <w:b/>
                <w:sz w:val="20"/>
                <w:szCs w:val="20"/>
              </w:rPr>
              <w:t>-</w:t>
            </w:r>
          </w:p>
        </w:tc>
      </w:tr>
      <w:tr w:rsidR="00121435" w:rsidRPr="007D751F" w14:paraId="5473408D" w14:textId="77777777" w:rsidTr="00DC6D4F">
        <w:trPr>
          <w:trHeight w:val="227"/>
        </w:trPr>
        <w:tc>
          <w:tcPr>
            <w:tcW w:w="5726" w:type="dxa"/>
            <w:vAlign w:val="center"/>
          </w:tcPr>
          <w:p w14:paraId="225F7C8A" w14:textId="77777777" w:rsidR="00B24EB6" w:rsidRPr="007D751F" w:rsidRDefault="0051469A" w:rsidP="007D751F">
            <w:pPr>
              <w:spacing w:after="0"/>
              <w:jc w:val="left"/>
              <w:rPr>
                <w:b/>
                <w:sz w:val="20"/>
                <w:szCs w:val="20"/>
              </w:rPr>
            </w:pPr>
            <w:r w:rsidRPr="007D751F">
              <w:rPr>
                <w:sz w:val="20"/>
                <w:szCs w:val="20"/>
              </w:rPr>
              <w:t>Podíl ceny komodity včetně daně (zemní plyn, elektřina)</w:t>
            </w:r>
            <w:r w:rsidR="00935637">
              <w:rPr>
                <w:sz w:val="20"/>
                <w:szCs w:val="20"/>
              </w:rPr>
              <w:t xml:space="preserve"> </w:t>
            </w:r>
            <w:r w:rsidRPr="007D751F">
              <w:rPr>
                <w:sz w:val="20"/>
                <w:szCs w:val="20"/>
              </w:rPr>
              <w:t>/ podíl daně (uhlí a koks) na hodinové mediánové hrubé mzdě ve standardu kupní síly</w:t>
            </w:r>
          </w:p>
        </w:tc>
        <w:tc>
          <w:tcPr>
            <w:tcW w:w="1191" w:type="dxa"/>
            <w:vAlign w:val="center"/>
          </w:tcPr>
          <w:p w14:paraId="44398B81" w14:textId="77777777" w:rsidR="00B24EB6" w:rsidRPr="007D751F" w:rsidRDefault="0051469A" w:rsidP="007D751F">
            <w:pPr>
              <w:spacing w:after="0"/>
              <w:jc w:val="center"/>
              <w:rPr>
                <w:sz w:val="20"/>
                <w:szCs w:val="20"/>
              </w:rPr>
            </w:pPr>
            <w:r w:rsidRPr="007D751F">
              <w:rPr>
                <w:rFonts w:eastAsia="Times New Roman" w:cs="Calibri"/>
                <w:b/>
                <w:bCs/>
                <w:color w:val="BD2A33"/>
                <w:sz w:val="20"/>
                <w:szCs w:val="20"/>
                <w:lang w:eastAsia="cs-CZ"/>
              </w:rPr>
              <w:t>↑</w:t>
            </w:r>
          </w:p>
        </w:tc>
        <w:tc>
          <w:tcPr>
            <w:tcW w:w="1020" w:type="dxa"/>
            <w:vAlign w:val="center"/>
          </w:tcPr>
          <w:p w14:paraId="6EA9B7BD" w14:textId="77777777" w:rsidR="00B24EB6" w:rsidRPr="007D751F" w:rsidRDefault="0051469A" w:rsidP="007D751F">
            <w:pPr>
              <w:spacing w:after="0"/>
              <w:jc w:val="center"/>
              <w:rPr>
                <w:sz w:val="20"/>
                <w:szCs w:val="20"/>
              </w:rPr>
            </w:pPr>
            <w:r w:rsidRPr="007D751F">
              <w:rPr>
                <w:rFonts w:eastAsia="Times New Roman" w:cs="Calibri"/>
                <w:b/>
                <w:bCs/>
                <w:color w:val="BD2A33"/>
                <w:sz w:val="20"/>
                <w:szCs w:val="20"/>
                <w:lang w:eastAsia="cs-CZ"/>
              </w:rPr>
              <w:t>↑</w:t>
            </w:r>
          </w:p>
        </w:tc>
        <w:tc>
          <w:tcPr>
            <w:tcW w:w="1134" w:type="dxa"/>
            <w:vAlign w:val="center"/>
          </w:tcPr>
          <w:p w14:paraId="7FFAD2BB" w14:textId="77777777" w:rsidR="00B24EB6" w:rsidRPr="007D751F" w:rsidRDefault="0051469A" w:rsidP="007D751F">
            <w:pPr>
              <w:spacing w:after="0"/>
              <w:jc w:val="center"/>
              <w:rPr>
                <w:sz w:val="20"/>
                <w:szCs w:val="20"/>
              </w:rPr>
            </w:pPr>
            <w:r w:rsidRPr="007D751F">
              <w:rPr>
                <w:rFonts w:eastAsia="Times New Roman" w:cs="Calibri"/>
                <w:b/>
                <w:bCs/>
                <w:color w:val="004595"/>
                <w:sz w:val="20"/>
                <w:szCs w:val="20"/>
                <w:lang w:eastAsia="cs-CZ"/>
              </w:rPr>
              <w:t>↓</w:t>
            </w:r>
          </w:p>
        </w:tc>
      </w:tr>
    </w:tbl>
    <w:p w14:paraId="64803B5C" w14:textId="77777777" w:rsidR="00B24EB6" w:rsidRPr="007D751F" w:rsidRDefault="0051469A" w:rsidP="007D751F">
      <w:pPr>
        <w:spacing w:before="40" w:after="0"/>
        <w:ind w:left="567" w:hanging="567"/>
        <w:rPr>
          <w:b/>
          <w:sz w:val="20"/>
          <w:szCs w:val="20"/>
        </w:rPr>
      </w:pPr>
      <w:r w:rsidRPr="007D751F">
        <w:rPr>
          <w:b/>
          <w:sz w:val="20"/>
          <w:szCs w:val="20"/>
        </w:rPr>
        <w:t>Zdroj:</w:t>
      </w:r>
      <w:r w:rsidRPr="007D751F">
        <w:rPr>
          <w:sz w:val="20"/>
          <w:szCs w:val="20"/>
        </w:rPr>
        <w:t xml:space="preserve"> Evropská komise – </w:t>
      </w:r>
      <w:r w:rsidRPr="00CE5BCA">
        <w:rPr>
          <w:i/>
          <w:sz w:val="20"/>
          <w:szCs w:val="20"/>
        </w:rPr>
        <w:t>Excise Duty Tables – Part II – Energy products and Electricity</w:t>
      </w:r>
      <w:r w:rsidRPr="007D751F">
        <w:rPr>
          <w:sz w:val="20"/>
          <w:szCs w:val="20"/>
        </w:rPr>
        <w:t>, 2015 a 2018, Světová banka – HDP na obyvatele v PKS, 2015, 2017, Eurostat – mediánové hrubé hodinové výdělky (všichni zaměstnanci kromě učňů), 2014, ceny komodit bez daní a poplatků (domácnosti), střední spotřeba, 1.</w:t>
      </w:r>
      <w:r w:rsidR="007D751F">
        <w:rPr>
          <w:sz w:val="20"/>
          <w:szCs w:val="20"/>
        </w:rPr>
        <w:t> </w:t>
      </w:r>
      <w:r w:rsidRPr="007D751F">
        <w:rPr>
          <w:sz w:val="20"/>
          <w:szCs w:val="20"/>
        </w:rPr>
        <w:t>pol.</w:t>
      </w:r>
      <w:r w:rsidR="007D751F">
        <w:rPr>
          <w:sz w:val="20"/>
          <w:szCs w:val="20"/>
        </w:rPr>
        <w:t> </w:t>
      </w:r>
      <w:r w:rsidRPr="007D751F">
        <w:rPr>
          <w:sz w:val="20"/>
          <w:szCs w:val="20"/>
        </w:rPr>
        <w:t xml:space="preserve">2018. </w:t>
      </w:r>
    </w:p>
    <w:p w14:paraId="2182E4C5" w14:textId="2315D1C3" w:rsidR="00DC6D4F" w:rsidRDefault="00DC6D4F" w:rsidP="00DC6D4F">
      <w:pPr>
        <w:spacing w:after="0"/>
        <w:ind w:left="567" w:hanging="567"/>
        <w:rPr>
          <w:noProof/>
          <w:sz w:val="20"/>
          <w:szCs w:val="20"/>
          <w:lang w:eastAsia="cs-CZ"/>
        </w:rPr>
      </w:pPr>
      <w:r>
        <w:rPr>
          <w:b/>
          <w:noProof/>
          <w:sz w:val="20"/>
          <w:szCs w:val="20"/>
          <w:lang w:eastAsia="cs-CZ"/>
        </w:rPr>
        <w:t>Vysvětlivky:</w:t>
      </w:r>
      <w:r w:rsidR="0051469A" w:rsidRPr="007D751F">
        <w:rPr>
          <w:noProof/>
          <w:sz w:val="20"/>
          <w:szCs w:val="20"/>
          <w:lang w:eastAsia="cs-CZ"/>
        </w:rPr>
        <w:t xml:space="preserve">   </w:t>
      </w:r>
    </w:p>
    <w:p w14:paraId="14EF1333" w14:textId="48EF286B" w:rsidR="00DC6D4F" w:rsidRDefault="0051469A" w:rsidP="00DC6D4F">
      <w:pPr>
        <w:spacing w:after="0"/>
        <w:ind w:left="567" w:hanging="567"/>
        <w:rPr>
          <w:noProof/>
          <w:sz w:val="20"/>
          <w:szCs w:val="20"/>
          <w:lang w:eastAsia="cs-CZ"/>
        </w:rPr>
      </w:pPr>
      <w:r w:rsidRPr="007D751F">
        <w:rPr>
          <w:rFonts w:eastAsia="Times New Roman" w:cs="Calibri"/>
          <w:b/>
          <w:bCs/>
          <w:color w:val="004595"/>
          <w:sz w:val="20"/>
          <w:szCs w:val="20"/>
          <w:lang w:eastAsia="cs-CZ"/>
        </w:rPr>
        <w:t>↓</w:t>
      </w:r>
      <w:r w:rsidRPr="007D751F">
        <w:rPr>
          <w:noProof/>
          <w:sz w:val="20"/>
          <w:szCs w:val="20"/>
          <w:lang w:eastAsia="cs-CZ"/>
        </w:rPr>
        <w:t xml:space="preserve">  – </w:t>
      </w:r>
      <w:r w:rsidR="007B3718">
        <w:rPr>
          <w:noProof/>
          <w:sz w:val="20"/>
          <w:szCs w:val="20"/>
          <w:lang w:eastAsia="cs-CZ"/>
        </w:rPr>
        <w:t>H</w:t>
      </w:r>
      <w:r w:rsidRPr="007D751F">
        <w:rPr>
          <w:noProof/>
          <w:sz w:val="20"/>
          <w:szCs w:val="20"/>
          <w:lang w:eastAsia="cs-CZ"/>
        </w:rPr>
        <w:t>odnota ukazatele je v ČR nižší než průměr EU</w:t>
      </w:r>
      <w:r w:rsidR="007B3718">
        <w:rPr>
          <w:noProof/>
          <w:sz w:val="20"/>
          <w:szCs w:val="20"/>
          <w:lang w:eastAsia="cs-CZ"/>
        </w:rPr>
        <w:t>.</w:t>
      </w:r>
      <w:r w:rsidRPr="007D751F">
        <w:rPr>
          <w:noProof/>
          <w:sz w:val="20"/>
          <w:szCs w:val="20"/>
          <w:lang w:eastAsia="cs-CZ"/>
        </w:rPr>
        <w:t xml:space="preserve"> </w:t>
      </w:r>
    </w:p>
    <w:p w14:paraId="267225F8" w14:textId="6827D4D1" w:rsidR="00B27A52" w:rsidRPr="007D751F" w:rsidRDefault="0051469A" w:rsidP="007D751F">
      <w:pPr>
        <w:ind w:left="567" w:hanging="567"/>
        <w:rPr>
          <w:b/>
          <w:sz w:val="20"/>
          <w:szCs w:val="20"/>
        </w:rPr>
      </w:pPr>
      <w:r w:rsidRPr="007D751F">
        <w:rPr>
          <w:rFonts w:eastAsia="Times New Roman" w:cs="Calibri"/>
          <w:b/>
          <w:bCs/>
          <w:color w:val="BD2A33"/>
          <w:sz w:val="20"/>
          <w:szCs w:val="20"/>
          <w:lang w:eastAsia="cs-CZ"/>
        </w:rPr>
        <w:t>↑</w:t>
      </w:r>
      <w:r w:rsidR="007B3718">
        <w:rPr>
          <w:rFonts w:eastAsia="Times New Roman" w:cs="Calibri"/>
          <w:b/>
          <w:bCs/>
          <w:color w:val="BD2A33"/>
          <w:sz w:val="20"/>
          <w:szCs w:val="20"/>
          <w:lang w:eastAsia="cs-CZ"/>
        </w:rPr>
        <w:t xml:space="preserve">  </w:t>
      </w:r>
      <w:r w:rsidR="007B3718">
        <w:rPr>
          <w:noProof/>
          <w:sz w:val="20"/>
          <w:szCs w:val="20"/>
          <w:lang w:eastAsia="cs-CZ"/>
        </w:rPr>
        <w:t>–</w:t>
      </w:r>
      <w:r w:rsidRPr="007D751F">
        <w:rPr>
          <w:noProof/>
          <w:sz w:val="20"/>
          <w:szCs w:val="20"/>
          <w:lang w:eastAsia="cs-CZ"/>
        </w:rPr>
        <w:t xml:space="preserve"> </w:t>
      </w:r>
      <w:r w:rsidR="007B3718">
        <w:rPr>
          <w:noProof/>
          <w:sz w:val="20"/>
          <w:szCs w:val="20"/>
          <w:lang w:eastAsia="cs-CZ"/>
        </w:rPr>
        <w:t>H</w:t>
      </w:r>
      <w:r w:rsidRPr="007D751F">
        <w:rPr>
          <w:noProof/>
          <w:sz w:val="20"/>
          <w:szCs w:val="20"/>
          <w:lang w:eastAsia="cs-CZ"/>
        </w:rPr>
        <w:t>odnota ukazatele je v ČR vyšší než průměr EU</w:t>
      </w:r>
      <w:r w:rsidR="008B479E" w:rsidRPr="007D751F">
        <w:rPr>
          <w:noProof/>
          <w:sz w:val="20"/>
          <w:szCs w:val="20"/>
          <w:lang w:eastAsia="cs-CZ"/>
        </w:rPr>
        <w:t>.</w:t>
      </w:r>
      <w:r w:rsidRPr="007D751F">
        <w:rPr>
          <w:noProof/>
          <w:sz w:val="20"/>
          <w:szCs w:val="20"/>
          <w:lang w:eastAsia="cs-CZ"/>
        </w:rPr>
        <w:t xml:space="preserve"> </w:t>
      </w:r>
    </w:p>
    <w:p w14:paraId="04276401" w14:textId="77777777" w:rsidR="00B24EB6" w:rsidRPr="004D31C6" w:rsidRDefault="0051469A" w:rsidP="007D751F">
      <w:pPr>
        <w:spacing w:before="120"/>
        <w:rPr>
          <w:szCs w:val="24"/>
        </w:rPr>
      </w:pPr>
      <w:r w:rsidRPr="004D31C6">
        <w:rPr>
          <w:szCs w:val="24"/>
        </w:rPr>
        <w:t xml:space="preserve">NKÚ prostřednictvím veřejně dostupných zdrojů </w:t>
      </w:r>
      <w:r>
        <w:rPr>
          <w:szCs w:val="24"/>
        </w:rPr>
        <w:t>porovnal</w:t>
      </w:r>
      <w:r w:rsidRPr="004D31C6">
        <w:rPr>
          <w:szCs w:val="24"/>
        </w:rPr>
        <w:t xml:space="preserve"> náklady na jednotlivé druhy energií pro spotřebitele mezi sebou. NKÚ zjistil, že jako nejméně výhodná</w:t>
      </w:r>
      <w:r w:rsidR="007C6666">
        <w:rPr>
          <w:szCs w:val="24"/>
        </w:rPr>
        <w:t xml:space="preserve"> v přepočtu na cenu </w:t>
      </w:r>
      <w:r w:rsidRPr="004D31C6">
        <w:rPr>
          <w:szCs w:val="24"/>
        </w:rPr>
        <w:t>1 kWh</w:t>
      </w:r>
      <w:r w:rsidR="007C6666">
        <w:rPr>
          <w:szCs w:val="24"/>
        </w:rPr>
        <w:t xml:space="preserve"> energie</w:t>
      </w:r>
      <w:r w:rsidRPr="004D31C6">
        <w:rPr>
          <w:szCs w:val="24"/>
        </w:rPr>
        <w:t xml:space="preserve"> vychází elektřina</w:t>
      </w:r>
      <w:r w:rsidR="007C6666">
        <w:rPr>
          <w:szCs w:val="24"/>
        </w:rPr>
        <w:t xml:space="preserve"> (viz graf č</w:t>
      </w:r>
      <w:r w:rsidR="007C6666" w:rsidRPr="00237396">
        <w:rPr>
          <w:szCs w:val="24"/>
        </w:rPr>
        <w:t>. 4)</w:t>
      </w:r>
      <w:r w:rsidRPr="00237396">
        <w:rPr>
          <w:szCs w:val="24"/>
        </w:rPr>
        <w:t>.</w:t>
      </w:r>
    </w:p>
    <w:p w14:paraId="763423B9" w14:textId="77777777" w:rsidR="00B24EB6" w:rsidRDefault="007D751F" w:rsidP="00D25C25">
      <w:pPr>
        <w:pStyle w:val="Graf"/>
      </w:pPr>
      <w:r>
        <w:t xml:space="preserve">Graf č. 4: </w:t>
      </w:r>
      <w:r w:rsidR="0051469A">
        <w:t xml:space="preserve">Cena 1 kWh </w:t>
      </w:r>
      <w:r w:rsidR="007C6666">
        <w:t>energie</w:t>
      </w:r>
      <w:r w:rsidR="0051469A">
        <w:t xml:space="preserve"> dle jednotlivých zdrojů (v Kč)</w:t>
      </w:r>
    </w:p>
    <w:p w14:paraId="494B543C" w14:textId="77777777" w:rsidR="00B24EB6" w:rsidRDefault="0051469A" w:rsidP="009972B0">
      <w:pPr>
        <w:spacing w:after="0"/>
      </w:pPr>
      <w:r>
        <w:rPr>
          <w:noProof/>
          <w:lang w:eastAsia="cs-CZ"/>
        </w:rPr>
        <w:drawing>
          <wp:inline distT="0" distB="0" distL="0" distR="0" wp14:anchorId="7568070F" wp14:editId="2E6CA162">
            <wp:extent cx="5848350" cy="1214323"/>
            <wp:effectExtent l="0" t="0" r="0" b="508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9EB6E84" w14:textId="77777777" w:rsidR="0009644C" w:rsidRPr="007D751F" w:rsidRDefault="0051469A" w:rsidP="007D751F">
      <w:pPr>
        <w:spacing w:before="40"/>
        <w:rPr>
          <w:sz w:val="20"/>
          <w:szCs w:val="20"/>
        </w:rPr>
      </w:pPr>
      <w:r w:rsidRPr="007D751F">
        <w:rPr>
          <w:b/>
          <w:sz w:val="20"/>
          <w:szCs w:val="20"/>
        </w:rPr>
        <w:t>Zdroj:</w:t>
      </w:r>
      <w:r w:rsidR="0080679D" w:rsidRPr="007D751F">
        <w:rPr>
          <w:sz w:val="20"/>
          <w:szCs w:val="20"/>
        </w:rPr>
        <w:t xml:space="preserve"> CenyEnergie.cz – </w:t>
      </w:r>
      <w:r w:rsidRPr="00CE5BCA">
        <w:rPr>
          <w:i/>
          <w:sz w:val="20"/>
          <w:szCs w:val="20"/>
        </w:rPr>
        <w:t>Kolik stojí kWh elektřiny, plynu a dalších energií?</w:t>
      </w:r>
    </w:p>
    <w:p w14:paraId="07FBAD4D" w14:textId="00B6D564" w:rsidR="008B5CA3" w:rsidRDefault="0051469A" w:rsidP="007D751F">
      <w:pPr>
        <w:spacing w:before="120"/>
      </w:pPr>
      <w:r w:rsidRPr="004D31C6">
        <w:lastRenderedPageBreak/>
        <w:t xml:space="preserve">Nákladovost energií NKÚ dále ověřil i na modelu, který stanovuje přibližné náklady odpovídající běžnému rodinnému domu se </w:t>
      </w:r>
      <w:r w:rsidR="00B27A52">
        <w:t>čtyř</w:t>
      </w:r>
      <w:r w:rsidRPr="004D31C6">
        <w:t>člennou domácností s podlahovou p</w:t>
      </w:r>
      <w:r w:rsidR="009972B0">
        <w:t>lochou 150 </w:t>
      </w:r>
      <w:r w:rsidRPr="004D31C6">
        <w:rPr>
          <w:rFonts w:asciiTheme="minorHAnsi" w:hAnsiTheme="minorHAnsi" w:cstheme="minorHAnsi"/>
          <w:shd w:val="clear" w:color="auto" w:fill="FFFFFF"/>
        </w:rPr>
        <w:t>m</w:t>
      </w:r>
      <w:r w:rsidRPr="004D31C6">
        <w:rPr>
          <w:rFonts w:asciiTheme="minorHAnsi" w:hAnsiTheme="minorHAnsi" w:cstheme="minorHAnsi"/>
          <w:shd w:val="clear" w:color="auto" w:fill="FFFFFF"/>
          <w:vertAlign w:val="superscript"/>
        </w:rPr>
        <w:t>2</w:t>
      </w:r>
      <w:r w:rsidRPr="004D31C6">
        <w:rPr>
          <w:rFonts w:asciiTheme="minorHAnsi" w:hAnsiTheme="minorHAnsi" w:cstheme="minorHAnsi"/>
        </w:rPr>
        <w:t xml:space="preserve"> a výpočtovou tepelnou ztrátou 5 až 10 kW. Jak model ukazuje, elektřina a zemní plyn </w:t>
      </w:r>
      <w:r w:rsidR="007B3718">
        <w:rPr>
          <w:rFonts w:asciiTheme="minorHAnsi" w:hAnsiTheme="minorHAnsi" w:cstheme="minorHAnsi"/>
        </w:rPr>
        <w:t>jsou</w:t>
      </w:r>
      <w:r w:rsidRPr="004D31C6">
        <w:rPr>
          <w:rFonts w:asciiTheme="minorHAnsi" w:hAnsiTheme="minorHAnsi" w:cstheme="minorHAnsi"/>
        </w:rPr>
        <w:t xml:space="preserve"> oproti emisně náročnějšímu černému a hnědému uhlí podstatně méně výhodn</w:t>
      </w:r>
      <w:r w:rsidR="007B3718">
        <w:rPr>
          <w:rFonts w:asciiTheme="minorHAnsi" w:hAnsiTheme="minorHAnsi" w:cstheme="minorHAnsi"/>
        </w:rPr>
        <w:t>é</w:t>
      </w:r>
      <w:r w:rsidRPr="004D31C6">
        <w:rPr>
          <w:rFonts w:asciiTheme="minorHAnsi" w:hAnsiTheme="minorHAnsi" w:cstheme="minorHAnsi"/>
        </w:rPr>
        <w:t>.</w:t>
      </w:r>
      <w:r w:rsidR="0080679D">
        <w:rPr>
          <w:rFonts w:asciiTheme="minorHAnsi" w:hAnsiTheme="minorHAnsi" w:cstheme="minorHAnsi"/>
        </w:rPr>
        <w:t xml:space="preserve"> Z grafů č. </w:t>
      </w:r>
      <w:r w:rsidR="001B7921">
        <w:rPr>
          <w:rFonts w:asciiTheme="minorHAnsi" w:hAnsiTheme="minorHAnsi" w:cstheme="minorHAnsi"/>
        </w:rPr>
        <w:t>4 a 5 je zřejmé, že při porovnání jednotlivých paliv jso</w:t>
      </w:r>
      <w:r w:rsidR="006D4427">
        <w:rPr>
          <w:rFonts w:asciiTheme="minorHAnsi" w:hAnsiTheme="minorHAnsi" w:cstheme="minorHAnsi"/>
        </w:rPr>
        <w:t>u rozhodnou položkou náklady na</w:t>
      </w:r>
      <w:r w:rsidR="007B3718">
        <w:rPr>
          <w:rFonts w:asciiTheme="minorHAnsi" w:hAnsiTheme="minorHAnsi" w:cstheme="minorHAnsi"/>
        </w:rPr>
        <w:t xml:space="preserve"> </w:t>
      </w:r>
      <w:r w:rsidR="001B7921">
        <w:rPr>
          <w:rFonts w:asciiTheme="minorHAnsi" w:hAnsiTheme="minorHAnsi" w:cstheme="minorHAnsi"/>
        </w:rPr>
        <w:t>vytápění, tzn. náklady na cenu paliva,</w:t>
      </w:r>
      <w:r w:rsidR="006A20BA">
        <w:rPr>
          <w:rFonts w:asciiTheme="minorHAnsi" w:hAnsiTheme="minorHAnsi" w:cstheme="minorHAnsi"/>
        </w:rPr>
        <w:t xml:space="preserve"> </w:t>
      </w:r>
      <w:r w:rsidR="001B7921">
        <w:rPr>
          <w:rFonts w:asciiTheme="minorHAnsi" w:hAnsiTheme="minorHAnsi" w:cstheme="minorHAnsi"/>
        </w:rPr>
        <w:t>jejíž nezanedbate</w:t>
      </w:r>
      <w:r w:rsidR="006A20BA">
        <w:rPr>
          <w:rFonts w:asciiTheme="minorHAnsi" w:hAnsiTheme="minorHAnsi" w:cstheme="minorHAnsi"/>
        </w:rPr>
        <w:t>lnou složkou jsou daně. Nejnižší náklady na vytápění má uhlí následované dřevem</w:t>
      </w:r>
      <w:r w:rsidR="00B01A19">
        <w:rPr>
          <w:rFonts w:asciiTheme="minorHAnsi" w:hAnsiTheme="minorHAnsi" w:cstheme="minorHAnsi"/>
        </w:rPr>
        <w:t xml:space="preserve">, což odpovídá </w:t>
      </w:r>
      <w:r w:rsidR="008E44E9">
        <w:rPr>
          <w:rFonts w:asciiTheme="minorHAnsi" w:hAnsiTheme="minorHAnsi" w:cstheme="minorHAnsi"/>
        </w:rPr>
        <w:t xml:space="preserve">mimo jiné </w:t>
      </w:r>
      <w:r w:rsidR="00B01A19">
        <w:rPr>
          <w:rFonts w:asciiTheme="minorHAnsi" w:hAnsiTheme="minorHAnsi" w:cstheme="minorHAnsi"/>
        </w:rPr>
        <w:t>jejich minimálnímu zdanění</w:t>
      </w:r>
      <w:r w:rsidR="006A20BA">
        <w:rPr>
          <w:rFonts w:asciiTheme="minorHAnsi" w:hAnsiTheme="minorHAnsi" w:cstheme="minorHAnsi"/>
        </w:rPr>
        <w:t xml:space="preserve">. </w:t>
      </w:r>
      <w:r w:rsidRPr="00E46968">
        <w:t xml:space="preserve">MF volitelné oprávnění </w:t>
      </w:r>
      <w:r w:rsidR="00824E11">
        <w:t xml:space="preserve">ve smyslu </w:t>
      </w:r>
      <w:r w:rsidR="00A0376C">
        <w:t xml:space="preserve">evropské </w:t>
      </w:r>
      <w:r w:rsidR="00824E11">
        <w:t>směrnice</w:t>
      </w:r>
      <w:r>
        <w:rPr>
          <w:rStyle w:val="Znakapoznpodarou"/>
        </w:rPr>
        <w:footnoteReference w:id="55"/>
      </w:r>
      <w:r w:rsidR="00824E11">
        <w:t xml:space="preserve"> </w:t>
      </w:r>
      <w:r w:rsidRPr="00E46968">
        <w:t>v podobě daňové podpory DPH využil</w:t>
      </w:r>
      <w:r>
        <w:t>o</w:t>
      </w:r>
      <w:r w:rsidRPr="00E46968">
        <w:t xml:space="preserve"> na podporu palivového dř</w:t>
      </w:r>
      <w:r w:rsidR="004C61CE">
        <w:t>eva</w:t>
      </w:r>
      <w:r w:rsidRPr="00E46968">
        <w:t xml:space="preserve">, které je </w:t>
      </w:r>
      <w:r>
        <w:t xml:space="preserve">zatíženo sníženou sazbou DPH a nepodléhá spotřební dani. Uhlí podléhá minimální sazbě spotřební daně požadované EU. </w:t>
      </w:r>
    </w:p>
    <w:p w14:paraId="5D34134D" w14:textId="77777777" w:rsidR="00B24EB6" w:rsidRDefault="007D751F" w:rsidP="00D25C25">
      <w:pPr>
        <w:pStyle w:val="Graf"/>
      </w:pPr>
      <w:r>
        <w:t xml:space="preserve">Graf č. 5: </w:t>
      </w:r>
      <w:r w:rsidR="0051469A">
        <w:t xml:space="preserve">Výše ročních nákladů na energie v domě (v Kč) </w:t>
      </w:r>
    </w:p>
    <w:p w14:paraId="31D550E2" w14:textId="77777777" w:rsidR="0009644C" w:rsidRDefault="0051469A" w:rsidP="009972B0">
      <w:pPr>
        <w:jc w:val="left"/>
        <w:rPr>
          <w:noProof/>
          <w:lang w:eastAsia="cs-CZ"/>
        </w:rPr>
      </w:pPr>
      <w:r>
        <w:rPr>
          <w:noProof/>
          <w:lang w:eastAsia="cs-CZ"/>
        </w:rPr>
        <w:drawing>
          <wp:inline distT="0" distB="0" distL="0" distR="0" wp14:anchorId="659D9489" wp14:editId="695846F3">
            <wp:extent cx="5686425" cy="2305878"/>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F8CB4C2" w14:textId="3799D643" w:rsidR="00B24EB6" w:rsidRPr="007D751F" w:rsidRDefault="0051469A" w:rsidP="007D751F">
      <w:pPr>
        <w:ind w:left="567" w:hanging="567"/>
        <w:jc w:val="left"/>
        <w:rPr>
          <w:sz w:val="20"/>
          <w:szCs w:val="20"/>
        </w:rPr>
      </w:pPr>
      <w:r w:rsidRPr="007D751F">
        <w:rPr>
          <w:b/>
          <w:sz w:val="20"/>
          <w:szCs w:val="20"/>
        </w:rPr>
        <w:t>Zdroj:</w:t>
      </w:r>
      <w:r w:rsidRPr="007D751F">
        <w:rPr>
          <w:sz w:val="20"/>
          <w:szCs w:val="20"/>
        </w:rPr>
        <w:t xml:space="preserve"> </w:t>
      </w:r>
      <w:r w:rsidR="007D751F" w:rsidRPr="007D751F">
        <w:rPr>
          <w:sz w:val="20"/>
          <w:szCs w:val="20"/>
        </w:rPr>
        <w:tab/>
      </w:r>
      <w:hyperlink r:id="rId45" w:history="1">
        <w:r w:rsidR="007D751F" w:rsidRPr="007D751F">
          <w:rPr>
            <w:rStyle w:val="Hypertextovodkaz"/>
            <w:sz w:val="20"/>
            <w:szCs w:val="20"/>
            <w:u w:val="none"/>
          </w:rPr>
          <w:t>https://vytapeni.tzb-info.cz/tabulky-a-vypocty/138-porovnani-nakladu-na-vytapeni-teplou-vodu-a-elektrickou-energii-tzb-info</w:t>
        </w:r>
      </w:hyperlink>
      <w:r w:rsidR="00A21E79" w:rsidRPr="007D751F">
        <w:rPr>
          <w:sz w:val="20"/>
          <w:szCs w:val="20"/>
        </w:rPr>
        <w:t>;</w:t>
      </w:r>
      <w:r w:rsidRPr="007D751F">
        <w:rPr>
          <w:sz w:val="20"/>
          <w:szCs w:val="20"/>
        </w:rPr>
        <w:t xml:space="preserve"> </w:t>
      </w:r>
      <w:r w:rsidR="004E7FF5" w:rsidRPr="004E7FF5">
        <w:rPr>
          <w:sz w:val="20"/>
          <w:szCs w:val="20"/>
        </w:rPr>
        <w:t>graficky zpracoval</w:t>
      </w:r>
      <w:r w:rsidRPr="004E7FF5">
        <w:rPr>
          <w:sz w:val="20"/>
          <w:szCs w:val="20"/>
        </w:rPr>
        <w:t xml:space="preserve"> NKÚ</w:t>
      </w:r>
      <w:r w:rsidR="00B27A52" w:rsidRPr="004E7FF5">
        <w:rPr>
          <w:sz w:val="20"/>
          <w:szCs w:val="20"/>
        </w:rPr>
        <w:t>.</w:t>
      </w:r>
      <w:r w:rsidRPr="007D751F">
        <w:rPr>
          <w:sz w:val="20"/>
          <w:szCs w:val="20"/>
        </w:rPr>
        <w:t xml:space="preserve"> </w:t>
      </w:r>
    </w:p>
    <w:p w14:paraId="33FF5B55" w14:textId="0D2F3523" w:rsidR="00B24EB6" w:rsidRPr="00E46968" w:rsidRDefault="0051469A" w:rsidP="005D760D">
      <w:pPr>
        <w:spacing w:before="120"/>
      </w:pPr>
      <w:r>
        <w:t xml:space="preserve">V ČR je aplikováno úplné osvobození od </w:t>
      </w:r>
      <w:r w:rsidR="009B59D9">
        <w:t xml:space="preserve">spotřební </w:t>
      </w:r>
      <w:r>
        <w:t>daně u plynu pro výrobu tepla v domácnostech a domácích kotelnách a u elektřiny pocházející z OZE</w:t>
      </w:r>
      <w:r>
        <w:rPr>
          <w:rStyle w:val="Znakapoznpodarou"/>
        </w:rPr>
        <w:footnoteReference w:id="56"/>
      </w:r>
      <w:r>
        <w:t xml:space="preserve"> při maximálním instalovaném výkonu ve výši 30 kW, pokud je tato elektřina spotřebována v místě výroby.</w:t>
      </w:r>
      <w:r w:rsidR="004C61CE">
        <w:t xml:space="preserve"> Ostatní elektřina podléhá základní sazbě spotřební daně.</w:t>
      </w:r>
      <w:r w:rsidR="00B01A19">
        <w:t xml:space="preserve"> </w:t>
      </w:r>
      <w:r w:rsidR="008B5CA3">
        <w:t>V případě DPH volitelné opatření</w:t>
      </w:r>
      <w:r w:rsidR="006D4427">
        <w:t xml:space="preserve"> pro</w:t>
      </w:r>
      <w:r w:rsidR="007B3718">
        <w:t xml:space="preserve"> </w:t>
      </w:r>
      <w:r w:rsidR="004C61CE">
        <w:t xml:space="preserve">uplatnění snížené sazby DPH pro dodání zemního plynu a elektřiny </w:t>
      </w:r>
      <w:r w:rsidR="008B5CA3">
        <w:t xml:space="preserve">ve smyslu </w:t>
      </w:r>
      <w:r w:rsidR="00A0376C">
        <w:t xml:space="preserve">evropské </w:t>
      </w:r>
      <w:r w:rsidR="008B5CA3">
        <w:t>směrnice</w:t>
      </w:r>
      <w:r>
        <w:rPr>
          <w:rStyle w:val="Znakapoznpodarou"/>
        </w:rPr>
        <w:footnoteReference w:id="57"/>
      </w:r>
      <w:r w:rsidR="004C61CE">
        <w:t xml:space="preserve"> </w:t>
      </w:r>
      <w:r w:rsidR="008B5CA3">
        <w:t>ČR ne</w:t>
      </w:r>
      <w:r w:rsidR="004C61CE">
        <w:t xml:space="preserve">uplatnila. </w:t>
      </w:r>
      <w:r w:rsidR="00B01A19">
        <w:t xml:space="preserve">Dopad opatření </w:t>
      </w:r>
      <w:r w:rsidR="008B5CA3">
        <w:t xml:space="preserve">na </w:t>
      </w:r>
      <w:r w:rsidR="00A0376C">
        <w:t>SPD</w:t>
      </w:r>
      <w:r w:rsidR="008B5CA3">
        <w:t xml:space="preserve"> </w:t>
      </w:r>
      <w:r w:rsidR="00B01A19">
        <w:t xml:space="preserve">však významně snižuje vysoká cena související infrastruktury, paušálních plateb a komoditní cena, která je také závislá na vývoji cen na světovém trhu. </w:t>
      </w:r>
      <w:r w:rsidRPr="00E46968">
        <w:t xml:space="preserve">Podpora </w:t>
      </w:r>
      <w:r w:rsidR="004C61CE">
        <w:t xml:space="preserve">na DPH u </w:t>
      </w:r>
      <w:r w:rsidRPr="00E46968">
        <w:t>dálkového</w:t>
      </w:r>
      <w:r w:rsidR="00E46968">
        <w:t xml:space="preserve"> vytápění</w:t>
      </w:r>
      <w:r w:rsidR="006D4427">
        <w:t xml:space="preserve"> a chlazení zatím nevstoupila v </w:t>
      </w:r>
      <w:r w:rsidR="00E46968">
        <w:t>účinnost</w:t>
      </w:r>
      <w:r w:rsidR="007B3718">
        <w:t>,</w:t>
      </w:r>
      <w:r w:rsidRPr="00E46968">
        <w:t xml:space="preserve"> a nelze proto její dopady vyhodnotit. </w:t>
      </w:r>
      <w:r w:rsidR="00FE3B69">
        <w:t xml:space="preserve">NKÚ dotazníkovým šetřením ověřil, že ve </w:t>
      </w:r>
      <w:r w:rsidR="0028746D">
        <w:lastRenderedPageBreak/>
        <w:t>12</w:t>
      </w:r>
      <w:r w:rsidR="007B3718">
        <w:t> </w:t>
      </w:r>
      <w:r w:rsidR="00FE3B69">
        <w:t xml:space="preserve">státech EU je nejednotná praxe v aplikaci </w:t>
      </w:r>
      <w:r w:rsidR="00AE08A6">
        <w:t xml:space="preserve">daňových </w:t>
      </w:r>
      <w:r w:rsidR="00FE3B69">
        <w:t xml:space="preserve">opatření na podporu cílů KEP prostřednictvím DPH a </w:t>
      </w:r>
      <w:r w:rsidR="00A0376C">
        <w:t xml:space="preserve">SPD </w:t>
      </w:r>
      <w:r w:rsidR="00BA2ADC">
        <w:t xml:space="preserve">a ČR se </w:t>
      </w:r>
      <w:r w:rsidR="00D13E2D">
        <w:t>významně neodlišuje</w:t>
      </w:r>
      <w:r w:rsidR="00FE3B69">
        <w:t xml:space="preserve">.  </w:t>
      </w:r>
    </w:p>
    <w:p w14:paraId="665F9216" w14:textId="290A70F1" w:rsidR="0009644C" w:rsidRDefault="0051469A" w:rsidP="005D760D">
      <w:pPr>
        <w:spacing w:before="120"/>
        <w:rPr>
          <w:szCs w:val="24"/>
        </w:rPr>
      </w:pPr>
      <w:r>
        <w:t>V ČR e</w:t>
      </w:r>
      <w:r w:rsidRPr="003C1D69">
        <w:t xml:space="preserve">lektřina vyrobená ze slunečního záření v období od 1. </w:t>
      </w:r>
      <w:r w:rsidR="00A21E79">
        <w:t>1.</w:t>
      </w:r>
      <w:r w:rsidRPr="003C1D69">
        <w:t xml:space="preserve"> 2014 po do</w:t>
      </w:r>
      <w:r w:rsidR="00C33719">
        <w:t>bu trvání práva na</w:t>
      </w:r>
      <w:r w:rsidR="007B3718">
        <w:t xml:space="preserve"> </w:t>
      </w:r>
      <w:r w:rsidRPr="003C1D69">
        <w:t xml:space="preserve">podporu elektřiny v zařízení uvedeném do provozu v období od 1. </w:t>
      </w:r>
      <w:r w:rsidR="00A21E79">
        <w:t>1.</w:t>
      </w:r>
      <w:r w:rsidRPr="003C1D69">
        <w:t xml:space="preserve"> 2010 do 31. </w:t>
      </w:r>
      <w:r w:rsidR="00A21E79">
        <w:t>12.</w:t>
      </w:r>
      <w:r w:rsidRPr="003C1D69">
        <w:t xml:space="preserve"> 2010 podléhá odvodu ze slunečního záření ve výši 10 % výkupní ceny</w:t>
      </w:r>
      <w:r w:rsidR="008B479E">
        <w:t>,</w:t>
      </w:r>
      <w:r w:rsidRPr="003C1D69">
        <w:t xml:space="preserve"> resp. 11 % zeleného bonusu na elektřinu. Odvodu nepodléhá výroba v zařízení do 30 kW. </w:t>
      </w:r>
      <w:r w:rsidR="00AD271C" w:rsidRPr="00AD271C">
        <w:t xml:space="preserve">Cílem </w:t>
      </w:r>
      <w:r w:rsidR="00AD271C">
        <w:t>zavedení odvodu bylo</w:t>
      </w:r>
      <w:r w:rsidR="00AD271C" w:rsidRPr="00AD271C">
        <w:t xml:space="preserve"> odstranění příliš vysoké podpory výroby elektřiny ze slunečního záření a zároveň získání dodatečných příjmů státního rozpočtu, které budou využity k vyplácení dotací operátorovi trhu na krytí nákladů spojených s podporou elektřiny z podporovaných zdrojů, aby se zabránilo plnému promítnutí těchto podpor do cen elektřiny pro konečné spotřebitele</w:t>
      </w:r>
      <w:r>
        <w:rPr>
          <w:rStyle w:val="Znakapoznpodarou"/>
        </w:rPr>
        <w:footnoteReference w:id="58"/>
      </w:r>
      <w:r w:rsidR="00AD271C" w:rsidRPr="00AD271C">
        <w:t>.</w:t>
      </w:r>
      <w:r w:rsidR="00AD271C">
        <w:t xml:space="preserve"> </w:t>
      </w:r>
      <w:r>
        <w:rPr>
          <w:szCs w:val="24"/>
        </w:rPr>
        <w:t xml:space="preserve">NKÚ zjistil, že nejméně </w:t>
      </w:r>
      <w:r w:rsidR="007B2D68">
        <w:rPr>
          <w:szCs w:val="24"/>
        </w:rPr>
        <w:t>dva</w:t>
      </w:r>
      <w:r>
        <w:rPr>
          <w:szCs w:val="24"/>
        </w:rPr>
        <w:t xml:space="preserve"> státy </w:t>
      </w:r>
      <w:r w:rsidR="00A21E79">
        <w:rPr>
          <w:szCs w:val="24"/>
        </w:rPr>
        <w:t xml:space="preserve">(Dánsko, </w:t>
      </w:r>
      <w:r w:rsidR="00D13E2D">
        <w:rPr>
          <w:szCs w:val="24"/>
        </w:rPr>
        <w:t>Řecko</w:t>
      </w:r>
      <w:r w:rsidR="00A21E79">
        <w:rPr>
          <w:szCs w:val="24"/>
        </w:rPr>
        <w:t xml:space="preserve">) </w:t>
      </w:r>
      <w:r>
        <w:rPr>
          <w:szCs w:val="24"/>
        </w:rPr>
        <w:t xml:space="preserve">uplatňují podobnou daň nebo poplatek jako ČR. </w:t>
      </w:r>
      <w:r w:rsidR="00C33719">
        <w:rPr>
          <w:szCs w:val="24"/>
        </w:rPr>
        <w:t>ČR na</w:t>
      </w:r>
      <w:r w:rsidR="005D760D">
        <w:rPr>
          <w:szCs w:val="24"/>
        </w:rPr>
        <w:t xml:space="preserve"> </w:t>
      </w:r>
      <w:r w:rsidR="0094793A">
        <w:rPr>
          <w:szCs w:val="24"/>
        </w:rPr>
        <w:t>podporu e</w:t>
      </w:r>
      <w:r w:rsidR="0094793A" w:rsidRPr="00E46968">
        <w:rPr>
          <w:szCs w:val="24"/>
        </w:rPr>
        <w:t>lektřin</w:t>
      </w:r>
      <w:r w:rsidR="0094793A">
        <w:rPr>
          <w:szCs w:val="24"/>
        </w:rPr>
        <w:t>y vyrobené</w:t>
      </w:r>
      <w:r w:rsidR="0094793A" w:rsidRPr="00E46968">
        <w:rPr>
          <w:szCs w:val="24"/>
        </w:rPr>
        <w:t xml:space="preserve"> ze slunečního záření</w:t>
      </w:r>
      <w:r w:rsidR="0094793A">
        <w:rPr>
          <w:szCs w:val="24"/>
        </w:rPr>
        <w:t xml:space="preserve"> ve smyslu </w:t>
      </w:r>
      <w:r w:rsidR="0094793A" w:rsidRPr="003C1D69">
        <w:t xml:space="preserve">zákona </w:t>
      </w:r>
      <w:r w:rsidR="00A0376C">
        <w:t>o podporovaných zdrojích energie</w:t>
      </w:r>
      <w:r>
        <w:rPr>
          <w:rStyle w:val="Znakapoznpodarou"/>
        </w:rPr>
        <w:footnoteReference w:id="59"/>
      </w:r>
      <w:r w:rsidR="0094793A" w:rsidRPr="003C1D69">
        <w:t xml:space="preserve"> </w:t>
      </w:r>
      <w:r w:rsidR="0094793A">
        <w:rPr>
          <w:szCs w:val="24"/>
        </w:rPr>
        <w:t>vyplatilo finanční prostředky ve výši uvedené v tabulce č</w:t>
      </w:r>
      <w:r w:rsidR="0094793A" w:rsidRPr="00237396">
        <w:rPr>
          <w:szCs w:val="24"/>
        </w:rPr>
        <w:t>. 3</w:t>
      </w:r>
      <w:r w:rsidR="00B865C1" w:rsidRPr="00237396">
        <w:rPr>
          <w:szCs w:val="24"/>
        </w:rPr>
        <w:t>0</w:t>
      </w:r>
      <w:r w:rsidR="0094793A" w:rsidRPr="00237396">
        <w:rPr>
          <w:szCs w:val="24"/>
        </w:rPr>
        <w:t>.</w:t>
      </w:r>
      <w:r w:rsidR="0094793A">
        <w:rPr>
          <w:szCs w:val="24"/>
        </w:rPr>
        <w:t xml:space="preserve"> </w:t>
      </w:r>
    </w:p>
    <w:p w14:paraId="7B743765" w14:textId="77777777" w:rsidR="00F713E1" w:rsidRPr="00F713E1" w:rsidRDefault="00C33719" w:rsidP="005D760D">
      <w:pPr>
        <w:pStyle w:val="Tabulka"/>
        <w:numPr>
          <w:ilvl w:val="0"/>
          <w:numId w:val="0"/>
        </w:numPr>
        <w:spacing w:after="40"/>
        <w:ind w:left="1446" w:hanging="1446"/>
      </w:pPr>
      <w:r>
        <w:t>Tabulka č.</w:t>
      </w:r>
      <w:r w:rsidR="005D760D">
        <w:t> </w:t>
      </w:r>
      <w:r>
        <w:t>30</w:t>
      </w:r>
      <w:r w:rsidR="005D760D">
        <w:t>:</w:t>
      </w:r>
      <w:r>
        <w:t xml:space="preserve"> </w:t>
      </w:r>
      <w:r w:rsidR="0051469A" w:rsidRPr="00F713E1">
        <w:t>Inkaso odvodu z elektřiny ze slunečního záření a finanční podpora výroby elektřiny ze slunečního záření</w:t>
      </w:r>
      <w:r w:rsidR="00A21E79">
        <w:t xml:space="preserve"> </w:t>
      </w:r>
      <w:r w:rsidR="0051469A" w:rsidRPr="00F713E1">
        <w:t xml:space="preserve">(v mil. Kč)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3964"/>
        <w:gridCol w:w="1276"/>
        <w:gridCol w:w="1276"/>
        <w:gridCol w:w="1270"/>
        <w:gridCol w:w="1270"/>
      </w:tblGrid>
      <w:tr w:rsidR="00121435" w14:paraId="4C826B04" w14:textId="77777777" w:rsidTr="005D760D">
        <w:trPr>
          <w:trHeight w:val="227"/>
        </w:trPr>
        <w:tc>
          <w:tcPr>
            <w:tcW w:w="3964" w:type="dxa"/>
            <w:shd w:val="clear" w:color="auto" w:fill="E4F1FF"/>
            <w:tcMar>
              <w:top w:w="0" w:type="dxa"/>
              <w:left w:w="108" w:type="dxa"/>
              <w:bottom w:w="0" w:type="dxa"/>
              <w:right w:w="108" w:type="dxa"/>
            </w:tcMar>
            <w:hideMark/>
          </w:tcPr>
          <w:p w14:paraId="347E22FD" w14:textId="77777777" w:rsidR="00F713E1" w:rsidRDefault="0051469A" w:rsidP="005D760D">
            <w:pPr>
              <w:spacing w:after="0"/>
              <w:rPr>
                <w:b/>
                <w:bCs/>
                <w:sz w:val="20"/>
                <w:szCs w:val="20"/>
              </w:rPr>
            </w:pPr>
            <w:r>
              <w:rPr>
                <w:b/>
                <w:bCs/>
                <w:sz w:val="20"/>
                <w:szCs w:val="20"/>
              </w:rPr>
              <w:t>Rok</w:t>
            </w:r>
          </w:p>
        </w:tc>
        <w:tc>
          <w:tcPr>
            <w:tcW w:w="1276" w:type="dxa"/>
            <w:shd w:val="clear" w:color="auto" w:fill="E4F1FF"/>
            <w:tcMar>
              <w:top w:w="0" w:type="dxa"/>
              <w:left w:w="108" w:type="dxa"/>
              <w:bottom w:w="0" w:type="dxa"/>
              <w:right w:w="108" w:type="dxa"/>
            </w:tcMar>
            <w:hideMark/>
          </w:tcPr>
          <w:p w14:paraId="66112324" w14:textId="77777777" w:rsidR="00F713E1" w:rsidRDefault="0051469A" w:rsidP="005D760D">
            <w:pPr>
              <w:spacing w:after="0"/>
              <w:jc w:val="center"/>
              <w:rPr>
                <w:b/>
                <w:bCs/>
                <w:sz w:val="20"/>
                <w:szCs w:val="20"/>
              </w:rPr>
            </w:pPr>
            <w:r>
              <w:rPr>
                <w:b/>
                <w:bCs/>
                <w:sz w:val="20"/>
                <w:szCs w:val="20"/>
              </w:rPr>
              <w:t>2015</w:t>
            </w:r>
          </w:p>
        </w:tc>
        <w:tc>
          <w:tcPr>
            <w:tcW w:w="1276" w:type="dxa"/>
            <w:shd w:val="clear" w:color="auto" w:fill="E4F1FF"/>
            <w:tcMar>
              <w:top w:w="0" w:type="dxa"/>
              <w:left w:w="108" w:type="dxa"/>
              <w:bottom w:w="0" w:type="dxa"/>
              <w:right w:w="108" w:type="dxa"/>
            </w:tcMar>
            <w:hideMark/>
          </w:tcPr>
          <w:p w14:paraId="3A7E171C" w14:textId="77777777" w:rsidR="00F713E1" w:rsidRDefault="0051469A" w:rsidP="005D760D">
            <w:pPr>
              <w:spacing w:after="0"/>
              <w:jc w:val="center"/>
              <w:rPr>
                <w:b/>
                <w:bCs/>
                <w:sz w:val="20"/>
                <w:szCs w:val="20"/>
              </w:rPr>
            </w:pPr>
            <w:r>
              <w:rPr>
                <w:b/>
                <w:bCs/>
                <w:sz w:val="20"/>
                <w:szCs w:val="20"/>
              </w:rPr>
              <w:t>2016</w:t>
            </w:r>
          </w:p>
        </w:tc>
        <w:tc>
          <w:tcPr>
            <w:tcW w:w="1270" w:type="dxa"/>
            <w:shd w:val="clear" w:color="auto" w:fill="E4F1FF"/>
            <w:tcMar>
              <w:top w:w="0" w:type="dxa"/>
              <w:left w:w="108" w:type="dxa"/>
              <w:bottom w:w="0" w:type="dxa"/>
              <w:right w:w="108" w:type="dxa"/>
            </w:tcMar>
            <w:hideMark/>
          </w:tcPr>
          <w:p w14:paraId="124970C1" w14:textId="77777777" w:rsidR="00F713E1" w:rsidRDefault="0051469A" w:rsidP="005D760D">
            <w:pPr>
              <w:spacing w:after="0"/>
              <w:jc w:val="center"/>
              <w:rPr>
                <w:b/>
                <w:bCs/>
                <w:sz w:val="20"/>
                <w:szCs w:val="20"/>
              </w:rPr>
            </w:pPr>
            <w:r>
              <w:rPr>
                <w:b/>
                <w:bCs/>
                <w:sz w:val="20"/>
                <w:szCs w:val="20"/>
              </w:rPr>
              <w:t>2017</w:t>
            </w:r>
          </w:p>
        </w:tc>
        <w:tc>
          <w:tcPr>
            <w:tcW w:w="1270" w:type="dxa"/>
            <w:shd w:val="clear" w:color="auto" w:fill="E4F1FF"/>
            <w:tcMar>
              <w:top w:w="0" w:type="dxa"/>
              <w:left w:w="108" w:type="dxa"/>
              <w:bottom w:w="0" w:type="dxa"/>
              <w:right w:w="108" w:type="dxa"/>
            </w:tcMar>
            <w:hideMark/>
          </w:tcPr>
          <w:p w14:paraId="26775EF4" w14:textId="77777777" w:rsidR="00F713E1" w:rsidRDefault="0051469A" w:rsidP="005D760D">
            <w:pPr>
              <w:spacing w:after="0"/>
              <w:jc w:val="center"/>
              <w:rPr>
                <w:b/>
                <w:bCs/>
                <w:sz w:val="20"/>
                <w:szCs w:val="20"/>
              </w:rPr>
            </w:pPr>
            <w:r>
              <w:rPr>
                <w:b/>
                <w:bCs/>
                <w:sz w:val="20"/>
                <w:szCs w:val="20"/>
              </w:rPr>
              <w:t>2018</w:t>
            </w:r>
          </w:p>
        </w:tc>
      </w:tr>
      <w:tr w:rsidR="00121435" w14:paraId="6956C707" w14:textId="77777777" w:rsidTr="005D760D">
        <w:trPr>
          <w:trHeight w:val="227"/>
        </w:trPr>
        <w:tc>
          <w:tcPr>
            <w:tcW w:w="3964" w:type="dxa"/>
            <w:tcMar>
              <w:top w:w="0" w:type="dxa"/>
              <w:left w:w="108" w:type="dxa"/>
              <w:bottom w:w="0" w:type="dxa"/>
              <w:right w:w="108" w:type="dxa"/>
            </w:tcMar>
            <w:hideMark/>
          </w:tcPr>
          <w:p w14:paraId="42505105" w14:textId="77777777" w:rsidR="00F713E1" w:rsidRPr="00F713E1" w:rsidRDefault="0051469A" w:rsidP="005D760D">
            <w:pPr>
              <w:spacing w:after="0"/>
              <w:rPr>
                <w:color w:val="000000" w:themeColor="text1"/>
                <w:sz w:val="20"/>
                <w:szCs w:val="20"/>
              </w:rPr>
            </w:pPr>
            <w:r w:rsidRPr="00F713E1">
              <w:rPr>
                <w:color w:val="000000" w:themeColor="text1"/>
                <w:sz w:val="20"/>
                <w:szCs w:val="20"/>
              </w:rPr>
              <w:t>Odvod z elektřiny ze slunečního záření</w:t>
            </w:r>
          </w:p>
        </w:tc>
        <w:tc>
          <w:tcPr>
            <w:tcW w:w="1276" w:type="dxa"/>
            <w:tcMar>
              <w:top w:w="0" w:type="dxa"/>
              <w:left w:w="108" w:type="dxa"/>
              <w:bottom w:w="0" w:type="dxa"/>
              <w:right w:w="108" w:type="dxa"/>
            </w:tcMar>
            <w:hideMark/>
          </w:tcPr>
          <w:p w14:paraId="1E40FB1E" w14:textId="1B0F77B5" w:rsidR="00F713E1" w:rsidRPr="00F713E1" w:rsidRDefault="0051469A" w:rsidP="001A70D5">
            <w:pPr>
              <w:spacing w:after="0"/>
              <w:jc w:val="right"/>
              <w:rPr>
                <w:color w:val="000000" w:themeColor="text1"/>
                <w:sz w:val="20"/>
                <w:szCs w:val="20"/>
              </w:rPr>
            </w:pPr>
            <w:r w:rsidRPr="00F713E1">
              <w:rPr>
                <w:color w:val="000000" w:themeColor="text1"/>
                <w:sz w:val="20"/>
                <w:szCs w:val="20"/>
              </w:rPr>
              <w:t>1 932</w:t>
            </w:r>
          </w:p>
        </w:tc>
        <w:tc>
          <w:tcPr>
            <w:tcW w:w="1276" w:type="dxa"/>
            <w:tcMar>
              <w:top w:w="0" w:type="dxa"/>
              <w:left w:w="108" w:type="dxa"/>
              <w:bottom w:w="0" w:type="dxa"/>
              <w:right w:w="108" w:type="dxa"/>
            </w:tcMar>
            <w:hideMark/>
          </w:tcPr>
          <w:p w14:paraId="3DEE809F"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1 926</w:t>
            </w:r>
          </w:p>
        </w:tc>
        <w:tc>
          <w:tcPr>
            <w:tcW w:w="1270" w:type="dxa"/>
            <w:tcMar>
              <w:top w:w="0" w:type="dxa"/>
              <w:left w:w="108" w:type="dxa"/>
              <w:bottom w:w="0" w:type="dxa"/>
              <w:right w:w="108" w:type="dxa"/>
            </w:tcMar>
            <w:hideMark/>
          </w:tcPr>
          <w:p w14:paraId="01C91B9F"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2 047</w:t>
            </w:r>
          </w:p>
        </w:tc>
        <w:tc>
          <w:tcPr>
            <w:tcW w:w="1270" w:type="dxa"/>
            <w:tcMar>
              <w:top w:w="0" w:type="dxa"/>
              <w:left w:w="108" w:type="dxa"/>
              <w:bottom w:w="0" w:type="dxa"/>
              <w:right w:w="108" w:type="dxa"/>
            </w:tcMar>
            <w:hideMark/>
          </w:tcPr>
          <w:p w14:paraId="1B355DA8"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2 194</w:t>
            </w:r>
          </w:p>
        </w:tc>
      </w:tr>
      <w:tr w:rsidR="00121435" w14:paraId="481F2F13" w14:textId="77777777" w:rsidTr="005D760D">
        <w:trPr>
          <w:trHeight w:val="227"/>
        </w:trPr>
        <w:tc>
          <w:tcPr>
            <w:tcW w:w="3964" w:type="dxa"/>
            <w:tcMar>
              <w:top w:w="0" w:type="dxa"/>
              <w:left w:w="108" w:type="dxa"/>
              <w:bottom w:w="0" w:type="dxa"/>
              <w:right w:w="108" w:type="dxa"/>
            </w:tcMar>
            <w:hideMark/>
          </w:tcPr>
          <w:p w14:paraId="411E55F2" w14:textId="77777777" w:rsidR="00F713E1" w:rsidRPr="00F713E1" w:rsidRDefault="0051469A" w:rsidP="005D760D">
            <w:pPr>
              <w:spacing w:after="0"/>
              <w:rPr>
                <w:color w:val="000000" w:themeColor="text1"/>
                <w:sz w:val="20"/>
                <w:szCs w:val="20"/>
              </w:rPr>
            </w:pPr>
            <w:r w:rsidRPr="00F713E1">
              <w:rPr>
                <w:color w:val="000000" w:themeColor="text1"/>
                <w:sz w:val="20"/>
                <w:szCs w:val="20"/>
              </w:rPr>
              <w:t xml:space="preserve">Výkupní cena </w:t>
            </w:r>
          </w:p>
        </w:tc>
        <w:tc>
          <w:tcPr>
            <w:tcW w:w="1276" w:type="dxa"/>
            <w:tcMar>
              <w:top w:w="0" w:type="dxa"/>
              <w:left w:w="108" w:type="dxa"/>
              <w:bottom w:w="0" w:type="dxa"/>
              <w:right w:w="108" w:type="dxa"/>
            </w:tcMar>
            <w:hideMark/>
          </w:tcPr>
          <w:p w14:paraId="43D40F2A"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17 310</w:t>
            </w:r>
          </w:p>
        </w:tc>
        <w:tc>
          <w:tcPr>
            <w:tcW w:w="1276" w:type="dxa"/>
            <w:tcMar>
              <w:top w:w="0" w:type="dxa"/>
              <w:left w:w="108" w:type="dxa"/>
              <w:bottom w:w="0" w:type="dxa"/>
              <w:right w:w="108" w:type="dxa"/>
            </w:tcMar>
            <w:hideMark/>
          </w:tcPr>
          <w:p w14:paraId="39568777"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15 599</w:t>
            </w:r>
          </w:p>
        </w:tc>
        <w:tc>
          <w:tcPr>
            <w:tcW w:w="1270" w:type="dxa"/>
            <w:tcMar>
              <w:top w:w="0" w:type="dxa"/>
              <w:left w:w="108" w:type="dxa"/>
              <w:bottom w:w="0" w:type="dxa"/>
              <w:right w:w="108" w:type="dxa"/>
            </w:tcMar>
            <w:hideMark/>
          </w:tcPr>
          <w:p w14:paraId="4797A577"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15 932</w:t>
            </w:r>
          </w:p>
        </w:tc>
        <w:tc>
          <w:tcPr>
            <w:tcW w:w="1270" w:type="dxa"/>
            <w:tcMar>
              <w:top w:w="0" w:type="dxa"/>
              <w:left w:w="108" w:type="dxa"/>
              <w:bottom w:w="0" w:type="dxa"/>
              <w:right w:w="108" w:type="dxa"/>
            </w:tcMar>
            <w:hideMark/>
          </w:tcPr>
          <w:p w14:paraId="1FB399C7"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16 707</w:t>
            </w:r>
          </w:p>
        </w:tc>
      </w:tr>
      <w:tr w:rsidR="00121435" w14:paraId="1A33893C" w14:textId="77777777" w:rsidTr="005D760D">
        <w:trPr>
          <w:trHeight w:val="227"/>
        </w:trPr>
        <w:tc>
          <w:tcPr>
            <w:tcW w:w="3964" w:type="dxa"/>
            <w:tcMar>
              <w:top w:w="0" w:type="dxa"/>
              <w:left w:w="108" w:type="dxa"/>
              <w:bottom w:w="0" w:type="dxa"/>
              <w:right w:w="108" w:type="dxa"/>
            </w:tcMar>
            <w:hideMark/>
          </w:tcPr>
          <w:p w14:paraId="6F5DC630" w14:textId="77777777" w:rsidR="00F713E1" w:rsidRPr="00F713E1" w:rsidRDefault="0051469A" w:rsidP="005D760D">
            <w:pPr>
              <w:spacing w:after="0"/>
              <w:rPr>
                <w:color w:val="000000" w:themeColor="text1"/>
                <w:sz w:val="20"/>
                <w:szCs w:val="20"/>
              </w:rPr>
            </w:pPr>
            <w:r w:rsidRPr="00F713E1">
              <w:rPr>
                <w:color w:val="000000" w:themeColor="text1"/>
                <w:sz w:val="20"/>
                <w:szCs w:val="20"/>
              </w:rPr>
              <w:t>Zelený bonus</w:t>
            </w:r>
          </w:p>
        </w:tc>
        <w:tc>
          <w:tcPr>
            <w:tcW w:w="1276" w:type="dxa"/>
            <w:tcMar>
              <w:top w:w="0" w:type="dxa"/>
              <w:left w:w="108" w:type="dxa"/>
              <w:bottom w:w="0" w:type="dxa"/>
              <w:right w:w="108" w:type="dxa"/>
            </w:tcMar>
            <w:hideMark/>
          </w:tcPr>
          <w:p w14:paraId="7B891AEA"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9 494</w:t>
            </w:r>
          </w:p>
        </w:tc>
        <w:tc>
          <w:tcPr>
            <w:tcW w:w="1276" w:type="dxa"/>
            <w:tcMar>
              <w:top w:w="0" w:type="dxa"/>
              <w:left w:w="108" w:type="dxa"/>
              <w:bottom w:w="0" w:type="dxa"/>
              <w:right w:w="108" w:type="dxa"/>
            </w:tcMar>
            <w:hideMark/>
          </w:tcPr>
          <w:p w14:paraId="55DA9066"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10 312</w:t>
            </w:r>
          </w:p>
        </w:tc>
        <w:tc>
          <w:tcPr>
            <w:tcW w:w="1270" w:type="dxa"/>
            <w:tcMar>
              <w:top w:w="0" w:type="dxa"/>
              <w:left w:w="108" w:type="dxa"/>
              <w:bottom w:w="0" w:type="dxa"/>
              <w:right w:w="108" w:type="dxa"/>
            </w:tcMar>
            <w:hideMark/>
          </w:tcPr>
          <w:p w14:paraId="3CE2699A"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11 071</w:t>
            </w:r>
          </w:p>
        </w:tc>
        <w:tc>
          <w:tcPr>
            <w:tcW w:w="1270" w:type="dxa"/>
            <w:tcMar>
              <w:top w:w="0" w:type="dxa"/>
              <w:left w:w="108" w:type="dxa"/>
              <w:bottom w:w="0" w:type="dxa"/>
              <w:right w:w="108" w:type="dxa"/>
            </w:tcMar>
            <w:hideMark/>
          </w:tcPr>
          <w:p w14:paraId="54FA1CE6" w14:textId="77777777" w:rsidR="00F713E1" w:rsidRPr="00F713E1" w:rsidRDefault="0051469A" w:rsidP="005D760D">
            <w:pPr>
              <w:spacing w:after="0"/>
              <w:jc w:val="right"/>
              <w:rPr>
                <w:color w:val="000000" w:themeColor="text1"/>
                <w:sz w:val="20"/>
                <w:szCs w:val="20"/>
              </w:rPr>
            </w:pPr>
            <w:r w:rsidRPr="00F713E1">
              <w:rPr>
                <w:color w:val="000000" w:themeColor="text1"/>
                <w:sz w:val="20"/>
                <w:szCs w:val="20"/>
              </w:rPr>
              <w:t>12 495</w:t>
            </w:r>
          </w:p>
        </w:tc>
      </w:tr>
    </w:tbl>
    <w:p w14:paraId="462488EE" w14:textId="058C5A86" w:rsidR="00F713E1" w:rsidRPr="005D760D" w:rsidRDefault="0051469A" w:rsidP="005D760D">
      <w:pPr>
        <w:spacing w:before="40"/>
        <w:rPr>
          <w:iCs/>
          <w:sz w:val="20"/>
          <w:szCs w:val="20"/>
        </w:rPr>
      </w:pPr>
      <w:r w:rsidRPr="005D760D">
        <w:rPr>
          <w:b/>
          <w:iCs/>
          <w:sz w:val="20"/>
          <w:szCs w:val="20"/>
        </w:rPr>
        <w:t>Zdroj:</w:t>
      </w:r>
      <w:r w:rsidRPr="005D760D">
        <w:rPr>
          <w:iCs/>
          <w:sz w:val="20"/>
          <w:szCs w:val="20"/>
        </w:rPr>
        <w:t xml:space="preserve"> </w:t>
      </w:r>
      <w:r w:rsidR="001A70D5">
        <w:rPr>
          <w:iCs/>
          <w:sz w:val="20"/>
          <w:szCs w:val="20"/>
        </w:rPr>
        <w:t>z</w:t>
      </w:r>
      <w:r w:rsidRPr="005D760D">
        <w:rPr>
          <w:iCs/>
          <w:sz w:val="20"/>
          <w:szCs w:val="20"/>
        </w:rPr>
        <w:t xml:space="preserve">ávěrečné účty kapitoly 398 – </w:t>
      </w:r>
      <w:r w:rsidRPr="002459CF">
        <w:rPr>
          <w:i/>
          <w:iCs/>
          <w:sz w:val="20"/>
          <w:szCs w:val="20"/>
        </w:rPr>
        <w:t>Všeobecná pokladní správa</w:t>
      </w:r>
      <w:r w:rsidRPr="005D760D">
        <w:rPr>
          <w:iCs/>
          <w:sz w:val="20"/>
          <w:szCs w:val="20"/>
        </w:rPr>
        <w:t xml:space="preserve"> za roky 2015 a 2017</w:t>
      </w:r>
      <w:r w:rsidR="00A21E79" w:rsidRPr="005D760D">
        <w:rPr>
          <w:iCs/>
          <w:sz w:val="20"/>
          <w:szCs w:val="20"/>
        </w:rPr>
        <w:t>.</w:t>
      </w:r>
    </w:p>
    <w:p w14:paraId="02A5ECE7" w14:textId="77777777" w:rsidR="003D01C5" w:rsidRDefault="00237396" w:rsidP="005D760D">
      <w:pPr>
        <w:spacing w:before="120"/>
        <w:rPr>
          <w:szCs w:val="24"/>
        </w:rPr>
      </w:pPr>
      <w:r>
        <w:rPr>
          <w:szCs w:val="24"/>
        </w:rPr>
        <w:t>Další podrobnosti k výrobě elektřiny ze slunečního z</w:t>
      </w:r>
      <w:r w:rsidR="003105FA">
        <w:rPr>
          <w:szCs w:val="24"/>
        </w:rPr>
        <w:t>áření jsou uvedeny v příloze</w:t>
      </w:r>
      <w:r>
        <w:rPr>
          <w:szCs w:val="24"/>
        </w:rPr>
        <w:t xml:space="preserve"> tohoto KZ. </w:t>
      </w:r>
    </w:p>
    <w:tbl>
      <w:tblPr>
        <w:tblStyle w:val="Mkatabulky"/>
        <w:tblW w:w="9111" w:type="dxa"/>
        <w:shd w:val="clear" w:color="auto" w:fill="F3C5C8"/>
        <w:tblLook w:val="04A0" w:firstRow="1" w:lastRow="0" w:firstColumn="1" w:lastColumn="0" w:noHBand="0" w:noVBand="1"/>
      </w:tblPr>
      <w:tblGrid>
        <w:gridCol w:w="9111"/>
      </w:tblGrid>
      <w:tr w:rsidR="0028746D" w:rsidRPr="000525CC" w14:paraId="7DE099BA" w14:textId="77777777" w:rsidTr="00D044BC">
        <w:trPr>
          <w:trHeight w:val="1038"/>
        </w:trPr>
        <w:tc>
          <w:tcPr>
            <w:tcW w:w="9111" w:type="dxa"/>
            <w:shd w:val="clear" w:color="auto" w:fill="F3C5C8"/>
          </w:tcPr>
          <w:p w14:paraId="327E169C" w14:textId="609281E0" w:rsidR="00CC370F" w:rsidRPr="00935637" w:rsidRDefault="00CC370F" w:rsidP="005D760D">
            <w:pPr>
              <w:spacing w:before="120"/>
              <w:rPr>
                <w:rFonts w:cstheme="minorHAnsi"/>
                <w:b/>
              </w:rPr>
            </w:pPr>
            <w:r w:rsidRPr="00935637">
              <w:rPr>
                <w:rFonts w:cstheme="minorHAnsi"/>
                <w:b/>
              </w:rPr>
              <w:t>Shrnutí k bodu IV.B</w:t>
            </w:r>
          </w:p>
          <w:p w14:paraId="2A363D76" w14:textId="77777777" w:rsidR="00D044BC" w:rsidRPr="000525CC" w:rsidRDefault="0028746D" w:rsidP="005D760D">
            <w:pPr>
              <w:spacing w:before="120"/>
              <w:rPr>
                <w:rFonts w:cstheme="minorHAnsi"/>
                <w:b/>
              </w:rPr>
            </w:pPr>
            <w:r w:rsidRPr="000525CC">
              <w:rPr>
                <w:rFonts w:cstheme="minorHAnsi"/>
                <w:b/>
              </w:rPr>
              <w:t xml:space="preserve">NKÚ konstatuje, že v oblasti daní </w:t>
            </w:r>
            <w:r>
              <w:rPr>
                <w:rFonts w:cstheme="minorHAnsi"/>
                <w:b/>
              </w:rPr>
              <w:t xml:space="preserve">existuje </w:t>
            </w:r>
            <w:r w:rsidRPr="000525CC">
              <w:rPr>
                <w:rFonts w:cstheme="minorHAnsi"/>
                <w:b/>
              </w:rPr>
              <w:t>prostor</w:t>
            </w:r>
            <w:r>
              <w:rPr>
                <w:rFonts w:cstheme="minorHAnsi"/>
                <w:b/>
              </w:rPr>
              <w:t xml:space="preserve"> pro větší podporu ekologizace vytápění </w:t>
            </w:r>
            <w:r w:rsidRPr="000525CC">
              <w:rPr>
                <w:rFonts w:cstheme="minorHAnsi"/>
                <w:b/>
              </w:rPr>
              <w:t>v sektoru domácností</w:t>
            </w:r>
            <w:r>
              <w:rPr>
                <w:rFonts w:cstheme="minorHAnsi"/>
                <w:b/>
              </w:rPr>
              <w:t>.</w:t>
            </w:r>
          </w:p>
        </w:tc>
      </w:tr>
    </w:tbl>
    <w:p w14:paraId="2C7667D0" w14:textId="77777777" w:rsidR="005D760D" w:rsidRPr="005D760D" w:rsidRDefault="005D760D" w:rsidP="005D760D">
      <w:pPr>
        <w:spacing w:after="0"/>
      </w:pPr>
    </w:p>
    <w:p w14:paraId="55795820" w14:textId="77777777" w:rsidR="005964ED" w:rsidRDefault="005964ED" w:rsidP="005964ED">
      <w:pPr>
        <w:spacing w:after="0"/>
        <w:jc w:val="left"/>
        <w:rPr>
          <w:rFonts w:eastAsiaTheme="majorEastAsia" w:cstheme="majorBidi"/>
          <w:b/>
          <w:szCs w:val="24"/>
        </w:rPr>
      </w:pPr>
    </w:p>
    <w:p w14:paraId="4ACA7EDB" w14:textId="77777777" w:rsidR="00003411" w:rsidRDefault="00003411">
      <w:pPr>
        <w:spacing w:after="160" w:line="259" w:lineRule="auto"/>
        <w:jc w:val="left"/>
        <w:rPr>
          <w:rFonts w:eastAsiaTheme="majorEastAsia" w:cstheme="majorBidi"/>
          <w:b/>
          <w:sz w:val="28"/>
          <w:szCs w:val="24"/>
        </w:rPr>
      </w:pPr>
      <w:r>
        <w:br w:type="page"/>
      </w:r>
    </w:p>
    <w:p w14:paraId="2B369AFE" w14:textId="1AA86F82" w:rsidR="00211AFD" w:rsidRPr="005D760D" w:rsidRDefault="0051469A" w:rsidP="00691BCE">
      <w:pPr>
        <w:pStyle w:val="Nadpis1"/>
        <w:spacing w:after="100"/>
      </w:pPr>
      <w:r w:rsidRPr="005D760D">
        <w:lastRenderedPageBreak/>
        <w:t>Seznam zkratek</w:t>
      </w:r>
    </w:p>
    <w:p w14:paraId="15406C77" w14:textId="5D711E80" w:rsidR="004E7FF5" w:rsidRDefault="00354542" w:rsidP="00691BCE">
      <w:pPr>
        <w:tabs>
          <w:tab w:val="left" w:pos="1701"/>
        </w:tabs>
        <w:spacing w:after="100"/>
        <w:ind w:left="1701" w:hanging="1701"/>
        <w:jc w:val="left"/>
        <w:rPr>
          <w:noProof/>
          <w:szCs w:val="24"/>
          <w:lang w:eastAsia="cs-CZ"/>
        </w:rPr>
      </w:pPr>
      <w:r w:rsidRPr="000A1623">
        <w:rPr>
          <w:szCs w:val="24"/>
        </w:rPr>
        <w:t xml:space="preserve">ACEA </w:t>
      </w:r>
      <w:r w:rsidRPr="000A1623">
        <w:rPr>
          <w:szCs w:val="24"/>
        </w:rPr>
        <w:tab/>
      </w:r>
      <w:r w:rsidRPr="000A1623">
        <w:rPr>
          <w:noProof/>
          <w:szCs w:val="24"/>
          <w:lang w:eastAsia="cs-CZ"/>
        </w:rPr>
        <w:t>European Automobile Manufacturers' Association</w:t>
      </w:r>
      <w:r w:rsidR="004E7FF5">
        <w:rPr>
          <w:noProof/>
          <w:szCs w:val="24"/>
          <w:lang w:eastAsia="cs-CZ"/>
        </w:rPr>
        <w:t xml:space="preserve"> (Evropská asociace výrobců automobilů)</w:t>
      </w:r>
    </w:p>
    <w:p w14:paraId="7DE8ED9E" w14:textId="3508AAF7" w:rsidR="00F639C9" w:rsidRPr="000A1623" w:rsidRDefault="004E7FF5" w:rsidP="00691BCE">
      <w:pPr>
        <w:tabs>
          <w:tab w:val="left" w:pos="1701"/>
        </w:tabs>
        <w:spacing w:after="100"/>
        <w:ind w:left="1701" w:hanging="1701"/>
        <w:jc w:val="left"/>
        <w:rPr>
          <w:noProof/>
          <w:szCs w:val="24"/>
          <w:lang w:eastAsia="cs-CZ"/>
        </w:rPr>
      </w:pPr>
      <w:r>
        <w:rPr>
          <w:noProof/>
          <w:szCs w:val="24"/>
          <w:lang w:eastAsia="cs-CZ"/>
        </w:rPr>
        <w:t>ASECAP</w:t>
      </w:r>
      <w:r>
        <w:rPr>
          <w:noProof/>
          <w:szCs w:val="24"/>
          <w:lang w:eastAsia="cs-CZ"/>
        </w:rPr>
        <w:tab/>
        <w:t>European Association of Operators of Toll Road Infrastructures (E</w:t>
      </w:r>
      <w:r w:rsidR="001B7C00">
        <w:rPr>
          <w:noProof/>
          <w:szCs w:val="24"/>
          <w:lang w:eastAsia="cs-CZ"/>
        </w:rPr>
        <w:t xml:space="preserve">vropská asociace provozovatelů </w:t>
      </w:r>
      <w:r>
        <w:rPr>
          <w:noProof/>
          <w:szCs w:val="24"/>
          <w:lang w:eastAsia="cs-CZ"/>
        </w:rPr>
        <w:t xml:space="preserve">mýtných systémů) </w:t>
      </w:r>
    </w:p>
    <w:p w14:paraId="2DAC63EB" w14:textId="158B295F" w:rsidR="00354542" w:rsidRPr="000A1623" w:rsidRDefault="00354542" w:rsidP="00691BCE">
      <w:pPr>
        <w:tabs>
          <w:tab w:val="left" w:pos="1701"/>
        </w:tabs>
        <w:spacing w:after="100"/>
        <w:ind w:left="1701" w:hanging="1701"/>
        <w:jc w:val="left"/>
        <w:rPr>
          <w:szCs w:val="24"/>
        </w:rPr>
      </w:pPr>
      <w:r w:rsidRPr="000A1623">
        <w:rPr>
          <w:szCs w:val="24"/>
        </w:rPr>
        <w:t>CNG</w:t>
      </w:r>
      <w:r w:rsidRPr="000A1623">
        <w:rPr>
          <w:szCs w:val="24"/>
        </w:rPr>
        <w:tab/>
      </w:r>
      <w:r w:rsidR="0020224F">
        <w:rPr>
          <w:szCs w:val="24"/>
        </w:rPr>
        <w:t>s</w:t>
      </w:r>
      <w:r w:rsidRPr="000A1623">
        <w:rPr>
          <w:szCs w:val="24"/>
        </w:rPr>
        <w:t xml:space="preserve">tlačený zemní plyn </w:t>
      </w:r>
    </w:p>
    <w:p w14:paraId="4981F03C" w14:textId="5B4FD728"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CO</w:t>
      </w:r>
      <w:r w:rsidRPr="000A1623">
        <w:rPr>
          <w:noProof/>
          <w:szCs w:val="24"/>
          <w:vertAlign w:val="subscript"/>
          <w:lang w:eastAsia="cs-CZ"/>
        </w:rPr>
        <w:t>2</w:t>
      </w:r>
      <w:r w:rsidRPr="000A1623">
        <w:rPr>
          <w:noProof/>
          <w:szCs w:val="24"/>
          <w:vertAlign w:val="subscript"/>
          <w:lang w:eastAsia="cs-CZ"/>
        </w:rPr>
        <w:tab/>
      </w:r>
      <w:r w:rsidR="0020224F">
        <w:rPr>
          <w:noProof/>
          <w:szCs w:val="24"/>
          <w:lang w:eastAsia="cs-CZ"/>
        </w:rPr>
        <w:t>o</w:t>
      </w:r>
      <w:r w:rsidRPr="000A1623">
        <w:rPr>
          <w:noProof/>
          <w:szCs w:val="24"/>
          <w:lang w:eastAsia="cs-CZ"/>
        </w:rPr>
        <w:t>xid uhličitý</w:t>
      </w:r>
    </w:p>
    <w:p w14:paraId="18E9FAAD"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ČNB</w:t>
      </w:r>
      <w:r w:rsidRPr="000A1623">
        <w:rPr>
          <w:noProof/>
          <w:szCs w:val="24"/>
          <w:lang w:eastAsia="cs-CZ"/>
        </w:rPr>
        <w:tab/>
        <w:t xml:space="preserve">Česká národní banka </w:t>
      </w:r>
    </w:p>
    <w:p w14:paraId="63428042" w14:textId="77777777" w:rsidR="00354542" w:rsidRPr="000A1623" w:rsidRDefault="00354542" w:rsidP="00691BCE">
      <w:pPr>
        <w:tabs>
          <w:tab w:val="left" w:pos="1701"/>
        </w:tabs>
        <w:spacing w:after="100"/>
        <w:ind w:left="1701" w:hanging="1701"/>
        <w:jc w:val="left"/>
        <w:rPr>
          <w:szCs w:val="24"/>
        </w:rPr>
      </w:pPr>
      <w:r w:rsidRPr="000A1623">
        <w:rPr>
          <w:szCs w:val="24"/>
        </w:rPr>
        <w:t>ČR</w:t>
      </w:r>
      <w:r w:rsidRPr="000A1623">
        <w:rPr>
          <w:szCs w:val="24"/>
        </w:rPr>
        <w:tab/>
        <w:t xml:space="preserve">Česká republika </w:t>
      </w:r>
    </w:p>
    <w:p w14:paraId="093F53C6"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ČSÚ</w:t>
      </w:r>
      <w:r w:rsidRPr="000A1623">
        <w:rPr>
          <w:noProof/>
          <w:szCs w:val="24"/>
          <w:lang w:eastAsia="cs-CZ"/>
        </w:rPr>
        <w:tab/>
        <w:t>Český statistický úřad</w:t>
      </w:r>
    </w:p>
    <w:p w14:paraId="5D7D86B4" w14:textId="124C5139" w:rsidR="00354542" w:rsidRPr="000A1623" w:rsidRDefault="00354542" w:rsidP="00691BCE">
      <w:pPr>
        <w:tabs>
          <w:tab w:val="left" w:pos="1701"/>
        </w:tabs>
        <w:spacing w:after="100"/>
        <w:ind w:left="1701" w:hanging="1701"/>
        <w:jc w:val="left"/>
        <w:rPr>
          <w:szCs w:val="24"/>
        </w:rPr>
      </w:pPr>
      <w:r w:rsidRPr="000A1623">
        <w:rPr>
          <w:szCs w:val="24"/>
        </w:rPr>
        <w:t xml:space="preserve">DPH </w:t>
      </w:r>
      <w:r w:rsidRPr="000A1623">
        <w:rPr>
          <w:szCs w:val="24"/>
        </w:rPr>
        <w:tab/>
      </w:r>
      <w:r w:rsidR="0020224F">
        <w:rPr>
          <w:szCs w:val="24"/>
        </w:rPr>
        <w:t>d</w:t>
      </w:r>
      <w:r w:rsidRPr="000A1623">
        <w:rPr>
          <w:szCs w:val="24"/>
        </w:rPr>
        <w:t>aň z přidané hodnoty</w:t>
      </w:r>
    </w:p>
    <w:p w14:paraId="33A594F0"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ECB</w:t>
      </w:r>
      <w:r w:rsidRPr="000A1623">
        <w:rPr>
          <w:noProof/>
          <w:szCs w:val="24"/>
          <w:lang w:eastAsia="cs-CZ"/>
        </w:rPr>
        <w:tab/>
        <w:t xml:space="preserve">Evropská centrální banka </w:t>
      </w:r>
    </w:p>
    <w:p w14:paraId="724F8417"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ES</w:t>
      </w:r>
      <w:r w:rsidRPr="000A1623">
        <w:rPr>
          <w:noProof/>
          <w:szCs w:val="24"/>
          <w:lang w:eastAsia="cs-CZ"/>
        </w:rPr>
        <w:tab/>
        <w:t>Evropké společenství</w:t>
      </w:r>
    </w:p>
    <w:p w14:paraId="6F8B5C71" w14:textId="77777777" w:rsidR="00354542" w:rsidRPr="000A1623" w:rsidRDefault="00354542" w:rsidP="00691BCE">
      <w:pPr>
        <w:tabs>
          <w:tab w:val="left" w:pos="1701"/>
        </w:tabs>
        <w:spacing w:after="100"/>
        <w:ind w:left="1701" w:hanging="1701"/>
        <w:jc w:val="left"/>
        <w:rPr>
          <w:szCs w:val="24"/>
        </w:rPr>
      </w:pPr>
      <w:r w:rsidRPr="000A1623">
        <w:rPr>
          <w:szCs w:val="24"/>
        </w:rPr>
        <w:t>EU</w:t>
      </w:r>
      <w:r w:rsidRPr="000A1623">
        <w:rPr>
          <w:szCs w:val="24"/>
        </w:rPr>
        <w:tab/>
        <w:t xml:space="preserve">Evropská unie </w:t>
      </w:r>
    </w:p>
    <w:p w14:paraId="08430631" w14:textId="2BDA491B" w:rsidR="001A70D5" w:rsidRDefault="001A70D5" w:rsidP="00691BCE">
      <w:pPr>
        <w:tabs>
          <w:tab w:val="left" w:pos="1701"/>
        </w:tabs>
        <w:spacing w:after="100"/>
        <w:ind w:left="1701" w:hanging="1701"/>
        <w:jc w:val="left"/>
        <w:rPr>
          <w:noProof/>
          <w:szCs w:val="24"/>
          <w:lang w:eastAsia="cs-CZ"/>
        </w:rPr>
      </w:pPr>
      <w:r>
        <w:rPr>
          <w:noProof/>
          <w:szCs w:val="24"/>
          <w:lang w:eastAsia="cs-CZ"/>
        </w:rPr>
        <w:t>EU ETS</w:t>
      </w:r>
      <w:r>
        <w:rPr>
          <w:noProof/>
          <w:szCs w:val="24"/>
          <w:lang w:eastAsia="cs-CZ"/>
        </w:rPr>
        <w:tab/>
      </w:r>
      <w:r w:rsidR="0020224F" w:rsidRPr="0020224F">
        <w:rPr>
          <w:noProof/>
          <w:szCs w:val="24"/>
          <w:lang w:eastAsia="cs-CZ"/>
        </w:rPr>
        <w:t>systém EU pro obchodování s emisemi</w:t>
      </w:r>
    </w:p>
    <w:p w14:paraId="50663F14" w14:textId="5FD4793B"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FVE</w:t>
      </w:r>
      <w:r w:rsidRPr="000A1623">
        <w:rPr>
          <w:noProof/>
          <w:szCs w:val="24"/>
          <w:lang w:eastAsia="cs-CZ"/>
        </w:rPr>
        <w:tab/>
      </w:r>
      <w:r w:rsidR="0020224F">
        <w:rPr>
          <w:noProof/>
          <w:szCs w:val="24"/>
          <w:lang w:eastAsia="cs-CZ"/>
        </w:rPr>
        <w:t>f</w:t>
      </w:r>
      <w:r w:rsidRPr="000A1623">
        <w:rPr>
          <w:noProof/>
          <w:szCs w:val="24"/>
          <w:lang w:eastAsia="cs-CZ"/>
        </w:rPr>
        <w:t>otovoltaická elektrárna</w:t>
      </w:r>
    </w:p>
    <w:p w14:paraId="7D8ECEFC"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 xml:space="preserve">ICCT </w:t>
      </w:r>
      <w:r w:rsidRPr="000A1623">
        <w:rPr>
          <w:noProof/>
          <w:szCs w:val="24"/>
          <w:lang w:eastAsia="cs-CZ"/>
        </w:rPr>
        <w:tab/>
        <w:t>International Council on Clean Transportation</w:t>
      </w:r>
    </w:p>
    <w:p w14:paraId="6AA788E3" w14:textId="1DEDC680" w:rsidR="00354542" w:rsidRPr="000A1623" w:rsidRDefault="00354542" w:rsidP="00691BCE">
      <w:pPr>
        <w:tabs>
          <w:tab w:val="left" w:pos="1701"/>
        </w:tabs>
        <w:spacing w:after="100"/>
        <w:ind w:left="1701" w:hanging="1701"/>
        <w:jc w:val="left"/>
        <w:rPr>
          <w:szCs w:val="24"/>
        </w:rPr>
      </w:pPr>
      <w:r w:rsidRPr="000A1623">
        <w:rPr>
          <w:szCs w:val="24"/>
        </w:rPr>
        <w:t>KEP</w:t>
      </w:r>
      <w:r w:rsidRPr="000A1623">
        <w:rPr>
          <w:szCs w:val="24"/>
        </w:rPr>
        <w:tab/>
      </w:r>
      <w:r w:rsidR="0020224F">
        <w:rPr>
          <w:szCs w:val="24"/>
        </w:rPr>
        <w:t>k</w:t>
      </w:r>
      <w:r w:rsidRPr="000A1623">
        <w:rPr>
          <w:szCs w:val="24"/>
        </w:rPr>
        <w:t>limaticko-energetická politika</w:t>
      </w:r>
    </w:p>
    <w:p w14:paraId="383B69AC" w14:textId="5967BB87" w:rsidR="00354542" w:rsidRPr="000A1623" w:rsidRDefault="00354542" w:rsidP="00691BCE">
      <w:pPr>
        <w:tabs>
          <w:tab w:val="left" w:pos="1701"/>
        </w:tabs>
        <w:spacing w:after="100"/>
        <w:ind w:left="1701" w:hanging="1701"/>
        <w:jc w:val="left"/>
        <w:rPr>
          <w:szCs w:val="24"/>
        </w:rPr>
      </w:pPr>
      <w:r w:rsidRPr="000A1623">
        <w:rPr>
          <w:szCs w:val="24"/>
        </w:rPr>
        <w:t>KZ</w:t>
      </w:r>
      <w:r w:rsidRPr="000A1623">
        <w:rPr>
          <w:szCs w:val="24"/>
        </w:rPr>
        <w:tab/>
      </w:r>
      <w:r w:rsidR="0020224F">
        <w:rPr>
          <w:szCs w:val="24"/>
        </w:rPr>
        <w:t>k</w:t>
      </w:r>
      <w:r w:rsidRPr="000A1623">
        <w:rPr>
          <w:szCs w:val="24"/>
        </w:rPr>
        <w:t>ontrolní závěr o provedené kontrole NKÚ</w:t>
      </w:r>
    </w:p>
    <w:p w14:paraId="5A51B2F7" w14:textId="0D918941" w:rsidR="00354542" w:rsidRPr="000A1623" w:rsidRDefault="00354542" w:rsidP="00691BCE">
      <w:pPr>
        <w:tabs>
          <w:tab w:val="left" w:pos="1701"/>
        </w:tabs>
        <w:spacing w:after="100"/>
        <w:ind w:left="1701" w:hanging="1701"/>
        <w:jc w:val="left"/>
        <w:rPr>
          <w:szCs w:val="24"/>
        </w:rPr>
      </w:pPr>
      <w:r w:rsidRPr="000A1623">
        <w:rPr>
          <w:szCs w:val="24"/>
        </w:rPr>
        <w:t>LNG</w:t>
      </w:r>
      <w:r w:rsidRPr="000A1623">
        <w:rPr>
          <w:szCs w:val="24"/>
        </w:rPr>
        <w:tab/>
      </w:r>
      <w:r w:rsidR="0020224F">
        <w:rPr>
          <w:szCs w:val="24"/>
        </w:rPr>
        <w:t>z</w:t>
      </w:r>
      <w:r w:rsidRPr="000A1623">
        <w:rPr>
          <w:szCs w:val="24"/>
        </w:rPr>
        <w:t xml:space="preserve">kapalněný zemní plyn </w:t>
      </w:r>
    </w:p>
    <w:p w14:paraId="0B4B9283" w14:textId="1CB4928B" w:rsidR="00354542" w:rsidRPr="000A1623" w:rsidRDefault="00354542" w:rsidP="00691BCE">
      <w:pPr>
        <w:tabs>
          <w:tab w:val="left" w:pos="1701"/>
        </w:tabs>
        <w:spacing w:after="100"/>
        <w:ind w:left="1701" w:hanging="1701"/>
        <w:jc w:val="left"/>
        <w:rPr>
          <w:szCs w:val="24"/>
        </w:rPr>
      </w:pPr>
      <w:r w:rsidRPr="000A1623">
        <w:rPr>
          <w:szCs w:val="24"/>
        </w:rPr>
        <w:t>LPG</w:t>
      </w:r>
      <w:r w:rsidRPr="000A1623">
        <w:rPr>
          <w:szCs w:val="24"/>
        </w:rPr>
        <w:tab/>
      </w:r>
      <w:r w:rsidR="0020224F">
        <w:rPr>
          <w:szCs w:val="24"/>
        </w:rPr>
        <w:t>z</w:t>
      </w:r>
      <w:r w:rsidRPr="000A1623">
        <w:rPr>
          <w:szCs w:val="24"/>
        </w:rPr>
        <w:t xml:space="preserve">kapalněný ropný plyn </w:t>
      </w:r>
    </w:p>
    <w:p w14:paraId="6D406AD4" w14:textId="77777777" w:rsidR="00354542" w:rsidRPr="000A1623" w:rsidRDefault="00354542" w:rsidP="00691BCE">
      <w:pPr>
        <w:tabs>
          <w:tab w:val="left" w:pos="1701"/>
        </w:tabs>
        <w:spacing w:after="100"/>
        <w:ind w:left="1701" w:hanging="1701"/>
        <w:jc w:val="left"/>
        <w:rPr>
          <w:szCs w:val="24"/>
        </w:rPr>
      </w:pPr>
      <w:r w:rsidRPr="000A1623">
        <w:rPr>
          <w:szCs w:val="24"/>
        </w:rPr>
        <w:t>MD</w:t>
      </w:r>
      <w:r w:rsidRPr="000A1623">
        <w:rPr>
          <w:szCs w:val="24"/>
        </w:rPr>
        <w:tab/>
        <w:t xml:space="preserve">Ministerstvo dopravy </w:t>
      </w:r>
    </w:p>
    <w:p w14:paraId="5B4F2C8B" w14:textId="77777777" w:rsidR="00354542" w:rsidRPr="000A1623" w:rsidRDefault="00354542" w:rsidP="00691BCE">
      <w:pPr>
        <w:tabs>
          <w:tab w:val="left" w:pos="1701"/>
        </w:tabs>
        <w:spacing w:after="100"/>
        <w:ind w:left="1701" w:hanging="1701"/>
        <w:jc w:val="left"/>
        <w:rPr>
          <w:szCs w:val="24"/>
        </w:rPr>
      </w:pPr>
      <w:r w:rsidRPr="000A1623">
        <w:rPr>
          <w:szCs w:val="24"/>
        </w:rPr>
        <w:t>MF</w:t>
      </w:r>
      <w:r w:rsidRPr="000A1623">
        <w:rPr>
          <w:szCs w:val="24"/>
        </w:rPr>
        <w:tab/>
        <w:t>Ministerstvo financí</w:t>
      </w:r>
    </w:p>
    <w:p w14:paraId="076CAF22" w14:textId="77777777"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MPO</w:t>
      </w:r>
      <w:r w:rsidRPr="000A1623">
        <w:rPr>
          <w:noProof/>
          <w:szCs w:val="24"/>
          <w:lang w:eastAsia="cs-CZ"/>
        </w:rPr>
        <w:tab/>
        <w:t>Ministerstvo průmyslu a obchodu</w:t>
      </w:r>
    </w:p>
    <w:p w14:paraId="6F876EA2" w14:textId="77777777" w:rsidR="00354542" w:rsidRPr="000A1623" w:rsidRDefault="00354542" w:rsidP="00691BCE">
      <w:pPr>
        <w:tabs>
          <w:tab w:val="left" w:pos="1701"/>
        </w:tabs>
        <w:spacing w:after="100"/>
        <w:ind w:left="1701" w:hanging="1701"/>
        <w:jc w:val="left"/>
        <w:rPr>
          <w:szCs w:val="24"/>
        </w:rPr>
      </w:pPr>
      <w:r w:rsidRPr="000A1623">
        <w:rPr>
          <w:szCs w:val="24"/>
        </w:rPr>
        <w:t>MŽP</w:t>
      </w:r>
      <w:r w:rsidRPr="000A1623">
        <w:rPr>
          <w:szCs w:val="24"/>
        </w:rPr>
        <w:tab/>
        <w:t>Ministerstvo životního prostředí</w:t>
      </w:r>
    </w:p>
    <w:p w14:paraId="39AC4167" w14:textId="77777777" w:rsidR="00354542" w:rsidRPr="000A1623" w:rsidRDefault="00354542" w:rsidP="00691BCE">
      <w:pPr>
        <w:tabs>
          <w:tab w:val="left" w:pos="1701"/>
        </w:tabs>
        <w:spacing w:after="100"/>
        <w:ind w:left="1701" w:hanging="1701"/>
        <w:jc w:val="left"/>
        <w:rPr>
          <w:szCs w:val="24"/>
        </w:rPr>
      </w:pPr>
      <w:r w:rsidRPr="000A1623">
        <w:rPr>
          <w:szCs w:val="24"/>
        </w:rPr>
        <w:t>NAP CM</w:t>
      </w:r>
      <w:r w:rsidRPr="000A1623">
        <w:rPr>
          <w:szCs w:val="24"/>
        </w:rPr>
        <w:tab/>
      </w:r>
      <w:r w:rsidRPr="002459CF">
        <w:rPr>
          <w:i/>
          <w:szCs w:val="24"/>
        </w:rPr>
        <w:t>Národní akční plán čisté mobility</w:t>
      </w:r>
    </w:p>
    <w:p w14:paraId="2055CC56" w14:textId="7DA00F6B" w:rsidR="00354542" w:rsidRPr="000A1623" w:rsidRDefault="00354542" w:rsidP="00691BCE">
      <w:pPr>
        <w:tabs>
          <w:tab w:val="left" w:pos="1701"/>
        </w:tabs>
        <w:spacing w:after="100"/>
        <w:ind w:left="1701" w:hanging="1701"/>
        <w:jc w:val="left"/>
        <w:rPr>
          <w:noProof/>
          <w:szCs w:val="24"/>
          <w:lang w:eastAsia="cs-CZ"/>
        </w:rPr>
      </w:pPr>
      <w:r w:rsidRPr="000A1623">
        <w:rPr>
          <w:noProof/>
          <w:szCs w:val="24"/>
          <w:lang w:eastAsia="cs-CZ"/>
        </w:rPr>
        <w:t>NEZ</w:t>
      </w:r>
      <w:r w:rsidRPr="000A1623">
        <w:rPr>
          <w:noProof/>
          <w:szCs w:val="24"/>
          <w:lang w:eastAsia="cs-CZ"/>
        </w:rPr>
        <w:tab/>
      </w:r>
      <w:r w:rsidR="0020224F">
        <w:rPr>
          <w:noProof/>
          <w:szCs w:val="24"/>
          <w:lang w:eastAsia="cs-CZ"/>
        </w:rPr>
        <w:t>n</w:t>
      </w:r>
      <w:r w:rsidRPr="000A1623">
        <w:rPr>
          <w:noProof/>
          <w:szCs w:val="24"/>
          <w:lang w:eastAsia="cs-CZ"/>
        </w:rPr>
        <w:t>ízkoemisní zóna</w:t>
      </w:r>
    </w:p>
    <w:p w14:paraId="168CB066" w14:textId="77777777" w:rsidR="00354542" w:rsidRPr="000A1623" w:rsidRDefault="00354542" w:rsidP="00691BCE">
      <w:pPr>
        <w:tabs>
          <w:tab w:val="left" w:pos="1701"/>
        </w:tabs>
        <w:spacing w:after="100"/>
        <w:ind w:left="1701" w:hanging="1701"/>
        <w:jc w:val="left"/>
        <w:rPr>
          <w:szCs w:val="24"/>
        </w:rPr>
      </w:pPr>
      <w:r w:rsidRPr="000A1623">
        <w:rPr>
          <w:szCs w:val="24"/>
        </w:rPr>
        <w:t>NKÚ</w:t>
      </w:r>
      <w:r w:rsidRPr="000A1623">
        <w:rPr>
          <w:szCs w:val="24"/>
        </w:rPr>
        <w:tab/>
        <w:t>Nejvyšší kontrolní úřad</w:t>
      </w:r>
    </w:p>
    <w:p w14:paraId="2E57F287" w14:textId="77777777" w:rsidR="00354542" w:rsidRPr="000A1623" w:rsidRDefault="00354542" w:rsidP="00691BCE">
      <w:pPr>
        <w:tabs>
          <w:tab w:val="left" w:pos="1701"/>
        </w:tabs>
        <w:spacing w:after="100"/>
        <w:ind w:left="1701" w:hanging="1701"/>
        <w:jc w:val="left"/>
        <w:rPr>
          <w:szCs w:val="24"/>
        </w:rPr>
      </w:pPr>
      <w:r w:rsidRPr="000A1623">
        <w:rPr>
          <w:szCs w:val="24"/>
        </w:rPr>
        <w:t xml:space="preserve">OSN </w:t>
      </w:r>
      <w:r w:rsidRPr="000A1623">
        <w:rPr>
          <w:szCs w:val="24"/>
        </w:rPr>
        <w:tab/>
        <w:t>Organizace spojených národů</w:t>
      </w:r>
    </w:p>
    <w:p w14:paraId="7EFFE4BA" w14:textId="12159856" w:rsidR="00354542" w:rsidRPr="000A1623" w:rsidRDefault="00354542" w:rsidP="00691BCE">
      <w:pPr>
        <w:tabs>
          <w:tab w:val="left" w:pos="1701"/>
        </w:tabs>
        <w:spacing w:after="100"/>
        <w:ind w:left="1701" w:hanging="1701"/>
        <w:jc w:val="left"/>
        <w:rPr>
          <w:szCs w:val="24"/>
        </w:rPr>
      </w:pPr>
      <w:r w:rsidRPr="000A1623">
        <w:rPr>
          <w:szCs w:val="24"/>
        </w:rPr>
        <w:t>OZE</w:t>
      </w:r>
      <w:r w:rsidRPr="000A1623">
        <w:rPr>
          <w:szCs w:val="24"/>
        </w:rPr>
        <w:tab/>
      </w:r>
      <w:r w:rsidR="0020224F">
        <w:rPr>
          <w:szCs w:val="24"/>
        </w:rPr>
        <w:t>o</w:t>
      </w:r>
      <w:r w:rsidRPr="000A1623">
        <w:rPr>
          <w:szCs w:val="24"/>
        </w:rPr>
        <w:t xml:space="preserve">bnovitelné zdroje energie </w:t>
      </w:r>
    </w:p>
    <w:p w14:paraId="39F6C2E9" w14:textId="1F357FA5" w:rsidR="00354542" w:rsidRDefault="00354542" w:rsidP="00691BCE">
      <w:pPr>
        <w:tabs>
          <w:tab w:val="left" w:pos="1701"/>
        </w:tabs>
        <w:spacing w:after="100"/>
        <w:ind w:left="1701" w:hanging="1701"/>
        <w:jc w:val="left"/>
        <w:rPr>
          <w:szCs w:val="24"/>
        </w:rPr>
      </w:pPr>
      <w:r w:rsidRPr="000A1623">
        <w:rPr>
          <w:szCs w:val="24"/>
        </w:rPr>
        <w:t>PHM</w:t>
      </w:r>
      <w:r w:rsidRPr="000A1623">
        <w:rPr>
          <w:szCs w:val="24"/>
        </w:rPr>
        <w:tab/>
        <w:t>pohonné hmoty</w:t>
      </w:r>
    </w:p>
    <w:p w14:paraId="626E9E21" w14:textId="1BE77D29" w:rsidR="00691BCE" w:rsidRPr="000A1623" w:rsidRDefault="00691BCE" w:rsidP="00691BCE">
      <w:pPr>
        <w:tabs>
          <w:tab w:val="left" w:pos="1701"/>
        </w:tabs>
        <w:spacing w:after="100"/>
        <w:ind w:left="1701" w:hanging="1701"/>
        <w:jc w:val="left"/>
        <w:rPr>
          <w:szCs w:val="24"/>
        </w:rPr>
      </w:pPr>
      <w:r>
        <w:rPr>
          <w:szCs w:val="24"/>
        </w:rPr>
        <w:t>PKS</w:t>
      </w:r>
      <w:r>
        <w:rPr>
          <w:szCs w:val="24"/>
        </w:rPr>
        <w:tab/>
        <w:t>parita kupní síly</w:t>
      </w:r>
    </w:p>
    <w:p w14:paraId="4AA02A8D" w14:textId="2F9FC505" w:rsidR="00935637" w:rsidRDefault="00935637" w:rsidP="00691BCE">
      <w:pPr>
        <w:tabs>
          <w:tab w:val="left" w:pos="1701"/>
        </w:tabs>
        <w:spacing w:after="100"/>
        <w:ind w:left="1701" w:hanging="1701"/>
        <w:jc w:val="left"/>
        <w:rPr>
          <w:szCs w:val="24"/>
        </w:rPr>
      </w:pPr>
      <w:r>
        <w:rPr>
          <w:szCs w:val="24"/>
        </w:rPr>
        <w:t>SDGs</w:t>
      </w:r>
      <w:r>
        <w:rPr>
          <w:szCs w:val="24"/>
        </w:rPr>
        <w:tab/>
      </w:r>
      <w:r w:rsidR="0020224F">
        <w:rPr>
          <w:szCs w:val="24"/>
        </w:rPr>
        <w:t>c</w:t>
      </w:r>
      <w:r w:rsidR="0020224F" w:rsidRPr="0020224F">
        <w:rPr>
          <w:szCs w:val="24"/>
        </w:rPr>
        <w:t>íl</w:t>
      </w:r>
      <w:r w:rsidR="0020224F">
        <w:rPr>
          <w:szCs w:val="24"/>
        </w:rPr>
        <w:t>e</w:t>
      </w:r>
      <w:r w:rsidR="0020224F" w:rsidRPr="0020224F">
        <w:rPr>
          <w:szCs w:val="24"/>
        </w:rPr>
        <w:t xml:space="preserve"> udržitelného rozvoje</w:t>
      </w:r>
    </w:p>
    <w:p w14:paraId="7D8D4F1E" w14:textId="29888020" w:rsidR="00354542" w:rsidRPr="000A1623" w:rsidRDefault="00354542" w:rsidP="00691BCE">
      <w:pPr>
        <w:tabs>
          <w:tab w:val="left" w:pos="1701"/>
        </w:tabs>
        <w:spacing w:after="100"/>
        <w:ind w:left="1701" w:hanging="1701"/>
        <w:jc w:val="left"/>
        <w:rPr>
          <w:szCs w:val="24"/>
        </w:rPr>
      </w:pPr>
      <w:r w:rsidRPr="000A1623">
        <w:rPr>
          <w:szCs w:val="24"/>
        </w:rPr>
        <w:t>SPD</w:t>
      </w:r>
      <w:r w:rsidRPr="000A1623">
        <w:rPr>
          <w:szCs w:val="24"/>
        </w:rPr>
        <w:tab/>
      </w:r>
      <w:r w:rsidR="0020224F">
        <w:rPr>
          <w:szCs w:val="24"/>
        </w:rPr>
        <w:t>s</w:t>
      </w:r>
      <w:r w:rsidRPr="000A1623">
        <w:rPr>
          <w:szCs w:val="24"/>
        </w:rPr>
        <w:t>potřební (energetická) daň</w:t>
      </w:r>
    </w:p>
    <w:p w14:paraId="5F07FE29" w14:textId="2D16EE32" w:rsidR="00354542" w:rsidRPr="000A1623" w:rsidRDefault="00354542" w:rsidP="00691BCE">
      <w:pPr>
        <w:spacing w:after="100"/>
        <w:jc w:val="left"/>
        <w:rPr>
          <w:szCs w:val="24"/>
        </w:rPr>
      </w:pPr>
      <w:r w:rsidRPr="000A1623">
        <w:rPr>
          <w:szCs w:val="24"/>
        </w:rPr>
        <w:br w:type="page"/>
      </w:r>
    </w:p>
    <w:p w14:paraId="50AE4DA6" w14:textId="7685D353" w:rsidR="00893609" w:rsidRDefault="00DD54E5" w:rsidP="00973E98">
      <w:pPr>
        <w:jc w:val="right"/>
        <w:rPr>
          <w:b/>
        </w:rPr>
      </w:pPr>
      <w:r w:rsidRPr="002459CF">
        <w:rPr>
          <w:b/>
        </w:rPr>
        <w:lastRenderedPageBreak/>
        <w:t>Příloha</w:t>
      </w:r>
      <w:r w:rsidR="0020224F" w:rsidRPr="002459CF">
        <w:rPr>
          <w:b/>
        </w:rPr>
        <w:t xml:space="preserve"> č. 1</w:t>
      </w:r>
    </w:p>
    <w:p w14:paraId="49E5C294" w14:textId="047ED0F3" w:rsidR="00622FB9" w:rsidRDefault="0020224F" w:rsidP="00622FB9">
      <w:pPr>
        <w:jc w:val="center"/>
      </w:pPr>
      <w:r w:rsidRPr="00DD54E5">
        <w:rPr>
          <w:b/>
        </w:rPr>
        <w:t>Doplňující tabulky a grafy</w:t>
      </w:r>
    </w:p>
    <w:p w14:paraId="0E66897A" w14:textId="77777777" w:rsidR="00DD54E5" w:rsidRDefault="00126238" w:rsidP="00126238">
      <w:pPr>
        <w:pStyle w:val="Tabulka"/>
        <w:numPr>
          <w:ilvl w:val="0"/>
          <w:numId w:val="0"/>
        </w:numPr>
        <w:spacing w:after="40"/>
        <w:ind w:left="1389" w:hanging="1389"/>
      </w:pPr>
      <w:r>
        <w:t xml:space="preserve">Tabulka č. 1: </w:t>
      </w:r>
      <w:r w:rsidR="00DD54E5" w:rsidRPr="00DE4168">
        <w:t>Přehled zdrojů podílejících se na výrobě ele</w:t>
      </w:r>
      <w:r w:rsidR="00DD54E5">
        <w:t>ktřiny v ČR za roky 2010–2017 v </w:t>
      </w:r>
      <w:r w:rsidR="00DD54E5" w:rsidRPr="00DE4168">
        <w:t>GWh</w:t>
      </w:r>
    </w:p>
    <w:tbl>
      <w:tblPr>
        <w:tblW w:w="5000" w:type="pct"/>
        <w:tblCellMar>
          <w:left w:w="70" w:type="dxa"/>
          <w:right w:w="70" w:type="dxa"/>
        </w:tblCellMar>
        <w:tblLook w:val="04A0" w:firstRow="1" w:lastRow="0" w:firstColumn="1" w:lastColumn="0" w:noHBand="0" w:noVBand="1"/>
      </w:tblPr>
      <w:tblGrid>
        <w:gridCol w:w="1008"/>
        <w:gridCol w:w="1328"/>
        <w:gridCol w:w="1328"/>
        <w:gridCol w:w="1328"/>
        <w:gridCol w:w="1328"/>
        <w:gridCol w:w="1328"/>
        <w:gridCol w:w="1412"/>
      </w:tblGrid>
      <w:tr w:rsidR="00DD54E5" w:rsidRPr="00126238" w14:paraId="4BDA4FAD" w14:textId="77777777" w:rsidTr="00126238">
        <w:trPr>
          <w:trHeight w:val="227"/>
        </w:trPr>
        <w:tc>
          <w:tcPr>
            <w:tcW w:w="557"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0EB4BB68"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Rok</w:t>
            </w:r>
          </w:p>
        </w:tc>
        <w:tc>
          <w:tcPr>
            <w:tcW w:w="733" w:type="pct"/>
            <w:tcBorders>
              <w:top w:val="single" w:sz="4" w:space="0" w:color="auto"/>
              <w:left w:val="nil"/>
              <w:bottom w:val="single" w:sz="4" w:space="0" w:color="auto"/>
              <w:right w:val="single" w:sz="4" w:space="0" w:color="auto"/>
            </w:tcBorders>
            <w:shd w:val="clear" w:color="auto" w:fill="E5F1FF"/>
            <w:noWrap/>
            <w:vAlign w:val="center"/>
            <w:hideMark/>
          </w:tcPr>
          <w:p w14:paraId="46862D18"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Jaderné</w:t>
            </w:r>
          </w:p>
        </w:tc>
        <w:tc>
          <w:tcPr>
            <w:tcW w:w="733" w:type="pct"/>
            <w:tcBorders>
              <w:top w:val="single" w:sz="4" w:space="0" w:color="auto"/>
              <w:left w:val="nil"/>
              <w:bottom w:val="single" w:sz="4" w:space="0" w:color="auto"/>
              <w:right w:val="single" w:sz="4" w:space="0" w:color="auto"/>
            </w:tcBorders>
            <w:shd w:val="clear" w:color="auto" w:fill="E5F1FF"/>
            <w:noWrap/>
            <w:vAlign w:val="center"/>
            <w:hideMark/>
          </w:tcPr>
          <w:p w14:paraId="247CC0EC"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Fosilní</w:t>
            </w:r>
          </w:p>
        </w:tc>
        <w:tc>
          <w:tcPr>
            <w:tcW w:w="733" w:type="pct"/>
            <w:tcBorders>
              <w:top w:val="single" w:sz="4" w:space="0" w:color="auto"/>
              <w:left w:val="nil"/>
              <w:bottom w:val="single" w:sz="4" w:space="0" w:color="auto"/>
              <w:right w:val="single" w:sz="4" w:space="0" w:color="auto"/>
            </w:tcBorders>
            <w:shd w:val="clear" w:color="auto" w:fill="E5F1FF"/>
            <w:noWrap/>
            <w:vAlign w:val="center"/>
            <w:hideMark/>
          </w:tcPr>
          <w:p w14:paraId="6101D0FC"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Vodní</w:t>
            </w:r>
          </w:p>
        </w:tc>
        <w:tc>
          <w:tcPr>
            <w:tcW w:w="733" w:type="pct"/>
            <w:tcBorders>
              <w:top w:val="single" w:sz="4" w:space="0" w:color="auto"/>
              <w:left w:val="nil"/>
              <w:bottom w:val="single" w:sz="4" w:space="0" w:color="auto"/>
              <w:right w:val="single" w:sz="4" w:space="0" w:color="auto"/>
            </w:tcBorders>
            <w:shd w:val="clear" w:color="auto" w:fill="E5F1FF"/>
            <w:noWrap/>
            <w:vAlign w:val="center"/>
            <w:hideMark/>
          </w:tcPr>
          <w:p w14:paraId="1DBB36AE"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Ostatní OZE</w:t>
            </w:r>
          </w:p>
        </w:tc>
        <w:tc>
          <w:tcPr>
            <w:tcW w:w="733" w:type="pct"/>
            <w:tcBorders>
              <w:top w:val="single" w:sz="4" w:space="0" w:color="auto"/>
              <w:left w:val="nil"/>
              <w:bottom w:val="single" w:sz="4" w:space="0" w:color="auto"/>
              <w:right w:val="single" w:sz="4" w:space="0" w:color="auto"/>
            </w:tcBorders>
            <w:shd w:val="clear" w:color="auto" w:fill="E5F1FF"/>
            <w:noWrap/>
            <w:vAlign w:val="center"/>
            <w:hideMark/>
          </w:tcPr>
          <w:p w14:paraId="322D709A"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Saldo</w:t>
            </w:r>
          </w:p>
        </w:tc>
        <w:tc>
          <w:tcPr>
            <w:tcW w:w="779" w:type="pct"/>
            <w:tcBorders>
              <w:top w:val="single" w:sz="4" w:space="0" w:color="auto"/>
              <w:left w:val="nil"/>
              <w:bottom w:val="single" w:sz="4" w:space="0" w:color="auto"/>
              <w:right w:val="single" w:sz="4" w:space="0" w:color="auto"/>
            </w:tcBorders>
            <w:shd w:val="clear" w:color="auto" w:fill="E5F1FF"/>
            <w:noWrap/>
            <w:vAlign w:val="center"/>
            <w:hideMark/>
          </w:tcPr>
          <w:p w14:paraId="1445910D" w14:textId="77777777" w:rsidR="00DD54E5" w:rsidRPr="00126238" w:rsidRDefault="00DD54E5" w:rsidP="00126238">
            <w:pPr>
              <w:spacing w:after="0"/>
              <w:jc w:val="center"/>
              <w:rPr>
                <w:rFonts w:eastAsia="Times New Roman" w:cs="Calibri"/>
                <w:b/>
                <w:color w:val="000000"/>
                <w:sz w:val="20"/>
                <w:szCs w:val="20"/>
                <w:lang w:eastAsia="cs-CZ"/>
              </w:rPr>
            </w:pPr>
            <w:r w:rsidRPr="00126238">
              <w:rPr>
                <w:rFonts w:eastAsia="Times New Roman" w:cs="Calibri"/>
                <w:b/>
                <w:color w:val="000000"/>
                <w:sz w:val="20"/>
                <w:szCs w:val="20"/>
                <w:lang w:eastAsia="cs-CZ"/>
              </w:rPr>
              <w:t>Celková výroba</w:t>
            </w:r>
          </w:p>
        </w:tc>
      </w:tr>
      <w:tr w:rsidR="00DD54E5" w:rsidRPr="00126238" w14:paraId="677F58E4"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112F8348"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2010</w:t>
            </w:r>
          </w:p>
        </w:tc>
        <w:tc>
          <w:tcPr>
            <w:tcW w:w="733" w:type="pct"/>
            <w:tcBorders>
              <w:top w:val="nil"/>
              <w:left w:val="nil"/>
              <w:bottom w:val="single" w:sz="4" w:space="0" w:color="auto"/>
              <w:right w:val="single" w:sz="4" w:space="0" w:color="auto"/>
            </w:tcBorders>
            <w:shd w:val="clear" w:color="auto" w:fill="auto"/>
            <w:noWrap/>
            <w:vAlign w:val="center"/>
            <w:hideMark/>
          </w:tcPr>
          <w:p w14:paraId="66CC160E"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27 988,20</w:t>
            </w:r>
          </w:p>
        </w:tc>
        <w:tc>
          <w:tcPr>
            <w:tcW w:w="733" w:type="pct"/>
            <w:tcBorders>
              <w:top w:val="nil"/>
              <w:left w:val="nil"/>
              <w:bottom w:val="single" w:sz="4" w:space="0" w:color="auto"/>
              <w:right w:val="single" w:sz="4" w:space="0" w:color="auto"/>
            </w:tcBorders>
            <w:shd w:val="clear" w:color="auto" w:fill="auto"/>
            <w:noWrap/>
            <w:vAlign w:val="center"/>
            <w:hideMark/>
          </w:tcPr>
          <w:p w14:paraId="3E76FA11"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53 580,10</w:t>
            </w:r>
          </w:p>
        </w:tc>
        <w:tc>
          <w:tcPr>
            <w:tcW w:w="733" w:type="pct"/>
            <w:tcBorders>
              <w:top w:val="nil"/>
              <w:left w:val="nil"/>
              <w:bottom w:val="single" w:sz="4" w:space="0" w:color="auto"/>
              <w:right w:val="single" w:sz="4" w:space="0" w:color="auto"/>
            </w:tcBorders>
            <w:shd w:val="clear" w:color="auto" w:fill="auto"/>
            <w:noWrap/>
            <w:vAlign w:val="center"/>
            <w:hideMark/>
          </w:tcPr>
          <w:p w14:paraId="756435FD"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2 789,40</w:t>
            </w:r>
          </w:p>
        </w:tc>
        <w:tc>
          <w:tcPr>
            <w:tcW w:w="733" w:type="pct"/>
            <w:tcBorders>
              <w:top w:val="nil"/>
              <w:left w:val="nil"/>
              <w:bottom w:val="single" w:sz="4" w:space="0" w:color="auto"/>
              <w:right w:val="single" w:sz="4" w:space="0" w:color="auto"/>
            </w:tcBorders>
            <w:shd w:val="clear" w:color="auto" w:fill="auto"/>
            <w:noWrap/>
            <w:vAlign w:val="center"/>
            <w:hideMark/>
          </w:tcPr>
          <w:p w14:paraId="2078269E"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1 542,40</w:t>
            </w:r>
          </w:p>
        </w:tc>
        <w:tc>
          <w:tcPr>
            <w:tcW w:w="733" w:type="pct"/>
            <w:tcBorders>
              <w:top w:val="nil"/>
              <w:left w:val="nil"/>
              <w:bottom w:val="single" w:sz="4" w:space="0" w:color="auto"/>
              <w:right w:val="single" w:sz="4" w:space="0" w:color="auto"/>
            </w:tcBorders>
            <w:shd w:val="clear" w:color="auto" w:fill="auto"/>
            <w:noWrap/>
            <w:vAlign w:val="center"/>
            <w:hideMark/>
          </w:tcPr>
          <w:p w14:paraId="3C6E510B" w14:textId="0709084C" w:rsidR="00DD54E5" w:rsidRPr="00126238" w:rsidRDefault="0020224F" w:rsidP="0020224F">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14 948,00</w:t>
            </w:r>
          </w:p>
        </w:tc>
        <w:tc>
          <w:tcPr>
            <w:tcW w:w="779" w:type="pct"/>
            <w:tcBorders>
              <w:top w:val="nil"/>
              <w:left w:val="nil"/>
              <w:bottom w:val="single" w:sz="4" w:space="0" w:color="auto"/>
              <w:right w:val="single" w:sz="4" w:space="0" w:color="auto"/>
            </w:tcBorders>
            <w:shd w:val="clear" w:color="auto" w:fill="auto"/>
            <w:noWrap/>
            <w:vAlign w:val="center"/>
            <w:hideMark/>
          </w:tcPr>
          <w:p w14:paraId="6F27DE12"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85 900,10</w:t>
            </w:r>
          </w:p>
        </w:tc>
      </w:tr>
      <w:tr w:rsidR="00DD54E5" w:rsidRPr="00126238" w14:paraId="4FD95C70"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1B820284"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2011</w:t>
            </w:r>
          </w:p>
        </w:tc>
        <w:tc>
          <w:tcPr>
            <w:tcW w:w="733" w:type="pct"/>
            <w:tcBorders>
              <w:top w:val="nil"/>
              <w:left w:val="nil"/>
              <w:bottom w:val="single" w:sz="4" w:space="0" w:color="auto"/>
              <w:right w:val="single" w:sz="4" w:space="0" w:color="auto"/>
            </w:tcBorders>
            <w:shd w:val="clear" w:color="auto" w:fill="auto"/>
            <w:noWrap/>
            <w:vAlign w:val="center"/>
            <w:hideMark/>
          </w:tcPr>
          <w:p w14:paraId="65A733B4"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28 282,60</w:t>
            </w:r>
          </w:p>
        </w:tc>
        <w:tc>
          <w:tcPr>
            <w:tcW w:w="733" w:type="pct"/>
            <w:tcBorders>
              <w:top w:val="nil"/>
              <w:left w:val="nil"/>
              <w:bottom w:val="single" w:sz="4" w:space="0" w:color="auto"/>
              <w:right w:val="single" w:sz="4" w:space="0" w:color="auto"/>
            </w:tcBorders>
            <w:shd w:val="clear" w:color="auto" w:fill="auto"/>
            <w:noWrap/>
            <w:vAlign w:val="center"/>
            <w:hideMark/>
          </w:tcPr>
          <w:p w14:paraId="5A77719B"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53 928,10</w:t>
            </w:r>
          </w:p>
        </w:tc>
        <w:tc>
          <w:tcPr>
            <w:tcW w:w="733" w:type="pct"/>
            <w:tcBorders>
              <w:top w:val="nil"/>
              <w:left w:val="nil"/>
              <w:bottom w:val="single" w:sz="4" w:space="0" w:color="auto"/>
              <w:right w:val="single" w:sz="4" w:space="0" w:color="auto"/>
            </w:tcBorders>
            <w:shd w:val="clear" w:color="auto" w:fill="auto"/>
            <w:noWrap/>
            <w:vAlign w:val="center"/>
            <w:hideMark/>
          </w:tcPr>
          <w:p w14:paraId="334E32C2"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2 134,10</w:t>
            </w:r>
          </w:p>
        </w:tc>
        <w:tc>
          <w:tcPr>
            <w:tcW w:w="733" w:type="pct"/>
            <w:tcBorders>
              <w:top w:val="nil"/>
              <w:left w:val="nil"/>
              <w:bottom w:val="single" w:sz="4" w:space="0" w:color="auto"/>
              <w:right w:val="single" w:sz="4" w:space="0" w:color="auto"/>
            </w:tcBorders>
            <w:shd w:val="clear" w:color="auto" w:fill="auto"/>
            <w:noWrap/>
            <w:vAlign w:val="center"/>
            <w:hideMark/>
          </w:tcPr>
          <w:p w14:paraId="59FE0215"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3 215,70</w:t>
            </w:r>
          </w:p>
        </w:tc>
        <w:tc>
          <w:tcPr>
            <w:tcW w:w="733" w:type="pct"/>
            <w:tcBorders>
              <w:top w:val="nil"/>
              <w:left w:val="nil"/>
              <w:bottom w:val="single" w:sz="4" w:space="0" w:color="auto"/>
              <w:right w:val="single" w:sz="4" w:space="0" w:color="auto"/>
            </w:tcBorders>
            <w:shd w:val="clear" w:color="auto" w:fill="auto"/>
            <w:noWrap/>
            <w:vAlign w:val="center"/>
            <w:hideMark/>
          </w:tcPr>
          <w:p w14:paraId="00A2D605" w14:textId="009009E1" w:rsidR="00DD54E5" w:rsidRPr="00126238" w:rsidRDefault="0020224F" w:rsidP="0020224F">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17 044,00</w:t>
            </w:r>
          </w:p>
        </w:tc>
        <w:tc>
          <w:tcPr>
            <w:tcW w:w="779" w:type="pct"/>
            <w:tcBorders>
              <w:top w:val="nil"/>
              <w:left w:val="nil"/>
              <w:bottom w:val="single" w:sz="4" w:space="0" w:color="auto"/>
              <w:right w:val="single" w:sz="4" w:space="0" w:color="auto"/>
            </w:tcBorders>
            <w:shd w:val="clear" w:color="auto" w:fill="auto"/>
            <w:noWrap/>
            <w:vAlign w:val="center"/>
            <w:hideMark/>
          </w:tcPr>
          <w:p w14:paraId="01F930FF"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87 560,60</w:t>
            </w:r>
          </w:p>
        </w:tc>
      </w:tr>
      <w:tr w:rsidR="00DD54E5" w:rsidRPr="00126238" w14:paraId="39A7DCC0"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60BC03B2"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2012</w:t>
            </w:r>
          </w:p>
        </w:tc>
        <w:tc>
          <w:tcPr>
            <w:tcW w:w="733" w:type="pct"/>
            <w:tcBorders>
              <w:top w:val="nil"/>
              <w:left w:val="nil"/>
              <w:bottom w:val="single" w:sz="4" w:space="0" w:color="auto"/>
              <w:right w:val="single" w:sz="4" w:space="0" w:color="auto"/>
            </w:tcBorders>
            <w:shd w:val="clear" w:color="auto" w:fill="auto"/>
            <w:noWrap/>
            <w:vAlign w:val="center"/>
            <w:hideMark/>
          </w:tcPr>
          <w:p w14:paraId="27E6AE70"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30 324,20</w:t>
            </w:r>
          </w:p>
        </w:tc>
        <w:tc>
          <w:tcPr>
            <w:tcW w:w="733" w:type="pct"/>
            <w:tcBorders>
              <w:top w:val="nil"/>
              <w:left w:val="nil"/>
              <w:bottom w:val="single" w:sz="4" w:space="0" w:color="auto"/>
              <w:right w:val="single" w:sz="4" w:space="0" w:color="auto"/>
            </w:tcBorders>
            <w:shd w:val="clear" w:color="auto" w:fill="auto"/>
            <w:noWrap/>
            <w:vAlign w:val="center"/>
            <w:hideMark/>
          </w:tcPr>
          <w:p w14:paraId="57BED24E"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51 696,10</w:t>
            </w:r>
          </w:p>
        </w:tc>
        <w:tc>
          <w:tcPr>
            <w:tcW w:w="733" w:type="pct"/>
            <w:tcBorders>
              <w:top w:val="nil"/>
              <w:left w:val="nil"/>
              <w:bottom w:val="single" w:sz="4" w:space="0" w:color="auto"/>
              <w:right w:val="single" w:sz="4" w:space="0" w:color="auto"/>
            </w:tcBorders>
            <w:shd w:val="clear" w:color="auto" w:fill="auto"/>
            <w:noWrap/>
            <w:vAlign w:val="center"/>
            <w:hideMark/>
          </w:tcPr>
          <w:p w14:paraId="4E96EF73"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2 231,50</w:t>
            </w:r>
          </w:p>
        </w:tc>
        <w:tc>
          <w:tcPr>
            <w:tcW w:w="733" w:type="pct"/>
            <w:tcBorders>
              <w:top w:val="nil"/>
              <w:left w:val="nil"/>
              <w:bottom w:val="single" w:sz="4" w:space="0" w:color="auto"/>
              <w:right w:val="single" w:sz="4" w:space="0" w:color="auto"/>
            </w:tcBorders>
            <w:shd w:val="clear" w:color="auto" w:fill="auto"/>
            <w:noWrap/>
            <w:vAlign w:val="center"/>
            <w:hideMark/>
          </w:tcPr>
          <w:p w14:paraId="0F6CE4F3"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3 321,80</w:t>
            </w:r>
          </w:p>
        </w:tc>
        <w:tc>
          <w:tcPr>
            <w:tcW w:w="733" w:type="pct"/>
            <w:tcBorders>
              <w:top w:val="nil"/>
              <w:left w:val="nil"/>
              <w:bottom w:val="single" w:sz="4" w:space="0" w:color="auto"/>
              <w:right w:val="single" w:sz="4" w:space="0" w:color="auto"/>
            </w:tcBorders>
            <w:shd w:val="clear" w:color="auto" w:fill="auto"/>
            <w:noWrap/>
            <w:vAlign w:val="center"/>
            <w:hideMark/>
          </w:tcPr>
          <w:p w14:paraId="5F97ED68" w14:textId="30D7AE0B" w:rsidR="00DD54E5" w:rsidRPr="00126238" w:rsidRDefault="0020224F" w:rsidP="0020224F">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17 120,00</w:t>
            </w:r>
          </w:p>
        </w:tc>
        <w:tc>
          <w:tcPr>
            <w:tcW w:w="779" w:type="pct"/>
            <w:tcBorders>
              <w:top w:val="nil"/>
              <w:left w:val="nil"/>
              <w:bottom w:val="single" w:sz="4" w:space="0" w:color="auto"/>
              <w:right w:val="single" w:sz="4" w:space="0" w:color="auto"/>
            </w:tcBorders>
            <w:shd w:val="clear" w:color="auto" w:fill="auto"/>
            <w:noWrap/>
            <w:vAlign w:val="center"/>
            <w:hideMark/>
          </w:tcPr>
          <w:p w14:paraId="627B9249"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87 573,70</w:t>
            </w:r>
          </w:p>
        </w:tc>
      </w:tr>
      <w:tr w:rsidR="00DD54E5" w:rsidRPr="00126238" w14:paraId="3B6C95EB"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77CC909B"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2013</w:t>
            </w:r>
          </w:p>
        </w:tc>
        <w:tc>
          <w:tcPr>
            <w:tcW w:w="733" w:type="pct"/>
            <w:tcBorders>
              <w:top w:val="nil"/>
              <w:left w:val="nil"/>
              <w:bottom w:val="single" w:sz="4" w:space="0" w:color="auto"/>
              <w:right w:val="single" w:sz="4" w:space="0" w:color="auto"/>
            </w:tcBorders>
            <w:shd w:val="clear" w:color="auto" w:fill="auto"/>
            <w:noWrap/>
            <w:vAlign w:val="center"/>
            <w:hideMark/>
          </w:tcPr>
          <w:p w14:paraId="7DD488DC"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30 745,30</w:t>
            </w:r>
          </w:p>
        </w:tc>
        <w:tc>
          <w:tcPr>
            <w:tcW w:w="733" w:type="pct"/>
            <w:tcBorders>
              <w:top w:val="nil"/>
              <w:left w:val="nil"/>
              <w:bottom w:val="single" w:sz="4" w:space="0" w:color="auto"/>
              <w:right w:val="single" w:sz="4" w:space="0" w:color="auto"/>
            </w:tcBorders>
            <w:shd w:val="clear" w:color="auto" w:fill="auto"/>
            <w:noWrap/>
            <w:vAlign w:val="center"/>
            <w:hideMark/>
          </w:tcPr>
          <w:p w14:paraId="5D93582E"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50 009,40</w:t>
            </w:r>
          </w:p>
        </w:tc>
        <w:tc>
          <w:tcPr>
            <w:tcW w:w="733" w:type="pct"/>
            <w:tcBorders>
              <w:top w:val="nil"/>
              <w:left w:val="nil"/>
              <w:bottom w:val="single" w:sz="4" w:space="0" w:color="auto"/>
              <w:right w:val="single" w:sz="4" w:space="0" w:color="auto"/>
            </w:tcBorders>
            <w:shd w:val="clear" w:color="auto" w:fill="auto"/>
            <w:noWrap/>
            <w:vAlign w:val="center"/>
            <w:hideMark/>
          </w:tcPr>
          <w:p w14:paraId="78AACB14"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2 856,40</w:t>
            </w:r>
          </w:p>
        </w:tc>
        <w:tc>
          <w:tcPr>
            <w:tcW w:w="733" w:type="pct"/>
            <w:tcBorders>
              <w:top w:val="nil"/>
              <w:left w:val="nil"/>
              <w:bottom w:val="single" w:sz="4" w:space="0" w:color="auto"/>
              <w:right w:val="single" w:sz="4" w:space="0" w:color="auto"/>
            </w:tcBorders>
            <w:shd w:val="clear" w:color="auto" w:fill="auto"/>
            <w:noWrap/>
            <w:vAlign w:val="center"/>
            <w:hideMark/>
          </w:tcPr>
          <w:p w14:paraId="4B3DAD75"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3 453,80</w:t>
            </w:r>
          </w:p>
        </w:tc>
        <w:tc>
          <w:tcPr>
            <w:tcW w:w="733" w:type="pct"/>
            <w:tcBorders>
              <w:top w:val="nil"/>
              <w:left w:val="nil"/>
              <w:bottom w:val="single" w:sz="4" w:space="0" w:color="auto"/>
              <w:right w:val="single" w:sz="4" w:space="0" w:color="auto"/>
            </w:tcBorders>
            <w:shd w:val="clear" w:color="auto" w:fill="auto"/>
            <w:noWrap/>
            <w:vAlign w:val="center"/>
            <w:hideMark/>
          </w:tcPr>
          <w:p w14:paraId="183450A0" w14:textId="5D3CA367" w:rsidR="00DD54E5" w:rsidRPr="00126238" w:rsidRDefault="0020224F" w:rsidP="0020224F">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16 887,00</w:t>
            </w:r>
          </w:p>
        </w:tc>
        <w:tc>
          <w:tcPr>
            <w:tcW w:w="779" w:type="pct"/>
            <w:tcBorders>
              <w:top w:val="nil"/>
              <w:left w:val="nil"/>
              <w:bottom w:val="single" w:sz="4" w:space="0" w:color="auto"/>
              <w:right w:val="single" w:sz="4" w:space="0" w:color="auto"/>
            </w:tcBorders>
            <w:shd w:val="clear" w:color="auto" w:fill="auto"/>
            <w:noWrap/>
            <w:vAlign w:val="center"/>
            <w:hideMark/>
          </w:tcPr>
          <w:p w14:paraId="2A05CBEA"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87 064,90</w:t>
            </w:r>
          </w:p>
        </w:tc>
      </w:tr>
      <w:tr w:rsidR="00DD54E5" w:rsidRPr="00126238" w14:paraId="7F9DC78B"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4FC01DE7"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2014</w:t>
            </w:r>
          </w:p>
        </w:tc>
        <w:tc>
          <w:tcPr>
            <w:tcW w:w="733" w:type="pct"/>
            <w:tcBorders>
              <w:top w:val="nil"/>
              <w:left w:val="nil"/>
              <w:bottom w:val="single" w:sz="4" w:space="0" w:color="auto"/>
              <w:right w:val="single" w:sz="4" w:space="0" w:color="auto"/>
            </w:tcBorders>
            <w:shd w:val="clear" w:color="auto" w:fill="auto"/>
            <w:noWrap/>
            <w:vAlign w:val="center"/>
            <w:hideMark/>
          </w:tcPr>
          <w:p w14:paraId="18481657"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30 324,90</w:t>
            </w:r>
          </w:p>
        </w:tc>
        <w:tc>
          <w:tcPr>
            <w:tcW w:w="733" w:type="pct"/>
            <w:tcBorders>
              <w:top w:val="nil"/>
              <w:left w:val="nil"/>
              <w:bottom w:val="single" w:sz="4" w:space="0" w:color="auto"/>
              <w:right w:val="single" w:sz="4" w:space="0" w:color="auto"/>
            </w:tcBorders>
            <w:shd w:val="clear" w:color="auto" w:fill="auto"/>
            <w:noWrap/>
            <w:vAlign w:val="center"/>
            <w:hideMark/>
          </w:tcPr>
          <w:p w14:paraId="208DBEE8"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50 118,40</w:t>
            </w:r>
          </w:p>
        </w:tc>
        <w:tc>
          <w:tcPr>
            <w:tcW w:w="733" w:type="pct"/>
            <w:tcBorders>
              <w:top w:val="nil"/>
              <w:left w:val="nil"/>
              <w:bottom w:val="single" w:sz="4" w:space="0" w:color="auto"/>
              <w:right w:val="single" w:sz="4" w:space="0" w:color="auto"/>
            </w:tcBorders>
            <w:shd w:val="clear" w:color="auto" w:fill="auto"/>
            <w:noWrap/>
            <w:vAlign w:val="center"/>
            <w:hideMark/>
          </w:tcPr>
          <w:p w14:paraId="78E17FB4"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1 909,20</w:t>
            </w:r>
          </w:p>
        </w:tc>
        <w:tc>
          <w:tcPr>
            <w:tcW w:w="733" w:type="pct"/>
            <w:tcBorders>
              <w:top w:val="nil"/>
              <w:left w:val="nil"/>
              <w:bottom w:val="single" w:sz="4" w:space="0" w:color="auto"/>
              <w:right w:val="single" w:sz="4" w:space="0" w:color="auto"/>
            </w:tcBorders>
            <w:shd w:val="clear" w:color="auto" w:fill="auto"/>
            <w:noWrap/>
            <w:vAlign w:val="center"/>
            <w:hideMark/>
          </w:tcPr>
          <w:p w14:paraId="7DED09C8"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3 650,90</w:t>
            </w:r>
          </w:p>
        </w:tc>
        <w:tc>
          <w:tcPr>
            <w:tcW w:w="733" w:type="pct"/>
            <w:tcBorders>
              <w:top w:val="nil"/>
              <w:left w:val="nil"/>
              <w:bottom w:val="single" w:sz="4" w:space="0" w:color="auto"/>
              <w:right w:val="single" w:sz="4" w:space="0" w:color="auto"/>
            </w:tcBorders>
            <w:shd w:val="clear" w:color="auto" w:fill="auto"/>
            <w:noWrap/>
            <w:vAlign w:val="center"/>
            <w:hideMark/>
          </w:tcPr>
          <w:p w14:paraId="099D455B" w14:textId="7A558FBA" w:rsidR="00DD54E5" w:rsidRPr="00126238" w:rsidRDefault="0020224F" w:rsidP="00126238">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16 300,00</w:t>
            </w:r>
          </w:p>
        </w:tc>
        <w:tc>
          <w:tcPr>
            <w:tcW w:w="779" w:type="pct"/>
            <w:tcBorders>
              <w:top w:val="nil"/>
              <w:left w:val="nil"/>
              <w:bottom w:val="single" w:sz="4" w:space="0" w:color="auto"/>
              <w:right w:val="single" w:sz="4" w:space="0" w:color="auto"/>
            </w:tcBorders>
            <w:shd w:val="clear" w:color="auto" w:fill="auto"/>
            <w:noWrap/>
            <w:vAlign w:val="center"/>
            <w:hideMark/>
          </w:tcPr>
          <w:p w14:paraId="717A65BC"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86 003,40</w:t>
            </w:r>
          </w:p>
        </w:tc>
      </w:tr>
      <w:tr w:rsidR="00DD54E5" w:rsidRPr="00126238" w14:paraId="1398292A"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62FD0F36"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2015</w:t>
            </w:r>
          </w:p>
        </w:tc>
        <w:tc>
          <w:tcPr>
            <w:tcW w:w="733" w:type="pct"/>
            <w:tcBorders>
              <w:top w:val="nil"/>
              <w:left w:val="nil"/>
              <w:bottom w:val="single" w:sz="4" w:space="0" w:color="auto"/>
              <w:right w:val="single" w:sz="4" w:space="0" w:color="auto"/>
            </w:tcBorders>
            <w:shd w:val="clear" w:color="auto" w:fill="auto"/>
            <w:noWrap/>
            <w:vAlign w:val="center"/>
            <w:hideMark/>
          </w:tcPr>
          <w:p w14:paraId="213D843A"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26 840,80</w:t>
            </w:r>
          </w:p>
        </w:tc>
        <w:tc>
          <w:tcPr>
            <w:tcW w:w="733" w:type="pct"/>
            <w:tcBorders>
              <w:top w:val="nil"/>
              <w:left w:val="nil"/>
              <w:bottom w:val="single" w:sz="4" w:space="0" w:color="auto"/>
              <w:right w:val="single" w:sz="4" w:space="0" w:color="auto"/>
            </w:tcBorders>
            <w:shd w:val="clear" w:color="auto" w:fill="auto"/>
            <w:noWrap/>
            <w:vAlign w:val="center"/>
            <w:hideMark/>
          </w:tcPr>
          <w:p w14:paraId="50067757"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51 140,30</w:t>
            </w:r>
          </w:p>
        </w:tc>
        <w:tc>
          <w:tcPr>
            <w:tcW w:w="733" w:type="pct"/>
            <w:tcBorders>
              <w:top w:val="nil"/>
              <w:left w:val="nil"/>
              <w:bottom w:val="single" w:sz="4" w:space="0" w:color="auto"/>
              <w:right w:val="single" w:sz="4" w:space="0" w:color="auto"/>
            </w:tcBorders>
            <w:shd w:val="clear" w:color="auto" w:fill="auto"/>
            <w:noWrap/>
            <w:vAlign w:val="center"/>
            <w:hideMark/>
          </w:tcPr>
          <w:p w14:paraId="231D2F61"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1 794,80</w:t>
            </w:r>
          </w:p>
        </w:tc>
        <w:tc>
          <w:tcPr>
            <w:tcW w:w="733" w:type="pct"/>
            <w:tcBorders>
              <w:top w:val="nil"/>
              <w:left w:val="nil"/>
              <w:bottom w:val="single" w:sz="4" w:space="0" w:color="auto"/>
              <w:right w:val="single" w:sz="4" w:space="0" w:color="auto"/>
            </w:tcBorders>
            <w:shd w:val="clear" w:color="auto" w:fill="auto"/>
            <w:noWrap/>
            <w:vAlign w:val="center"/>
            <w:hideMark/>
          </w:tcPr>
          <w:p w14:paraId="31AF6FDC"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4 112,40</w:t>
            </w:r>
          </w:p>
        </w:tc>
        <w:tc>
          <w:tcPr>
            <w:tcW w:w="733" w:type="pct"/>
            <w:tcBorders>
              <w:top w:val="nil"/>
              <w:left w:val="nil"/>
              <w:bottom w:val="single" w:sz="4" w:space="0" w:color="auto"/>
              <w:right w:val="single" w:sz="4" w:space="0" w:color="auto"/>
            </w:tcBorders>
            <w:shd w:val="clear" w:color="auto" w:fill="auto"/>
            <w:noWrap/>
            <w:vAlign w:val="center"/>
            <w:hideMark/>
          </w:tcPr>
          <w:p w14:paraId="326319AC" w14:textId="3F77CAE8" w:rsidR="00DD54E5" w:rsidRPr="00126238" w:rsidRDefault="0020224F" w:rsidP="00126238">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12 516,00</w:t>
            </w:r>
          </w:p>
        </w:tc>
        <w:tc>
          <w:tcPr>
            <w:tcW w:w="779" w:type="pct"/>
            <w:tcBorders>
              <w:top w:val="nil"/>
              <w:left w:val="nil"/>
              <w:bottom w:val="single" w:sz="4" w:space="0" w:color="auto"/>
              <w:right w:val="single" w:sz="4" w:space="0" w:color="auto"/>
            </w:tcBorders>
            <w:shd w:val="clear" w:color="auto" w:fill="auto"/>
            <w:noWrap/>
            <w:vAlign w:val="center"/>
            <w:hideMark/>
          </w:tcPr>
          <w:p w14:paraId="1EDCB1A7"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83 888,30</w:t>
            </w:r>
          </w:p>
        </w:tc>
      </w:tr>
      <w:tr w:rsidR="00DD54E5" w:rsidRPr="00126238" w14:paraId="23DDBD01"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4F6FED66"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2016</w:t>
            </w:r>
          </w:p>
        </w:tc>
        <w:tc>
          <w:tcPr>
            <w:tcW w:w="733" w:type="pct"/>
            <w:tcBorders>
              <w:top w:val="nil"/>
              <w:left w:val="nil"/>
              <w:bottom w:val="single" w:sz="4" w:space="0" w:color="auto"/>
              <w:right w:val="single" w:sz="4" w:space="0" w:color="auto"/>
            </w:tcBorders>
            <w:shd w:val="clear" w:color="auto" w:fill="auto"/>
            <w:noWrap/>
            <w:vAlign w:val="center"/>
            <w:hideMark/>
          </w:tcPr>
          <w:p w14:paraId="13F3444A"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24 104,20</w:t>
            </w:r>
          </w:p>
        </w:tc>
        <w:tc>
          <w:tcPr>
            <w:tcW w:w="733" w:type="pct"/>
            <w:tcBorders>
              <w:top w:val="nil"/>
              <w:left w:val="nil"/>
              <w:bottom w:val="single" w:sz="4" w:space="0" w:color="auto"/>
              <w:right w:val="single" w:sz="4" w:space="0" w:color="auto"/>
            </w:tcBorders>
            <w:shd w:val="clear" w:color="auto" w:fill="auto"/>
            <w:noWrap/>
            <w:vAlign w:val="center"/>
            <w:hideMark/>
          </w:tcPr>
          <w:p w14:paraId="768F8360"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53 367,20</w:t>
            </w:r>
          </w:p>
        </w:tc>
        <w:tc>
          <w:tcPr>
            <w:tcW w:w="733" w:type="pct"/>
            <w:tcBorders>
              <w:top w:val="nil"/>
              <w:left w:val="nil"/>
              <w:bottom w:val="single" w:sz="4" w:space="0" w:color="auto"/>
              <w:right w:val="single" w:sz="4" w:space="0" w:color="auto"/>
            </w:tcBorders>
            <w:shd w:val="clear" w:color="auto" w:fill="auto"/>
            <w:noWrap/>
            <w:vAlign w:val="center"/>
            <w:hideMark/>
          </w:tcPr>
          <w:p w14:paraId="7AAFF86D"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2 000,50</w:t>
            </w:r>
          </w:p>
        </w:tc>
        <w:tc>
          <w:tcPr>
            <w:tcW w:w="733" w:type="pct"/>
            <w:tcBorders>
              <w:top w:val="nil"/>
              <w:left w:val="nil"/>
              <w:bottom w:val="single" w:sz="4" w:space="0" w:color="auto"/>
              <w:right w:val="single" w:sz="4" w:space="0" w:color="auto"/>
            </w:tcBorders>
            <w:shd w:val="clear" w:color="auto" w:fill="auto"/>
            <w:noWrap/>
            <w:vAlign w:val="center"/>
            <w:hideMark/>
          </w:tcPr>
          <w:p w14:paraId="4BDA65DB"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3 830,00</w:t>
            </w:r>
          </w:p>
        </w:tc>
        <w:tc>
          <w:tcPr>
            <w:tcW w:w="733" w:type="pct"/>
            <w:tcBorders>
              <w:top w:val="nil"/>
              <w:left w:val="nil"/>
              <w:bottom w:val="single" w:sz="4" w:space="0" w:color="auto"/>
              <w:right w:val="single" w:sz="4" w:space="0" w:color="auto"/>
            </w:tcBorders>
            <w:shd w:val="clear" w:color="auto" w:fill="auto"/>
            <w:noWrap/>
            <w:vAlign w:val="center"/>
            <w:hideMark/>
          </w:tcPr>
          <w:p w14:paraId="148270EE" w14:textId="71AFF554" w:rsidR="00DD54E5" w:rsidRPr="00126238" w:rsidRDefault="0020224F" w:rsidP="00126238">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10 974,00</w:t>
            </w:r>
          </w:p>
        </w:tc>
        <w:tc>
          <w:tcPr>
            <w:tcW w:w="779" w:type="pct"/>
            <w:tcBorders>
              <w:top w:val="nil"/>
              <w:left w:val="nil"/>
              <w:bottom w:val="single" w:sz="4" w:space="0" w:color="auto"/>
              <w:right w:val="single" w:sz="4" w:space="0" w:color="auto"/>
            </w:tcBorders>
            <w:shd w:val="clear" w:color="auto" w:fill="auto"/>
            <w:noWrap/>
            <w:vAlign w:val="center"/>
            <w:hideMark/>
          </w:tcPr>
          <w:p w14:paraId="6B33234A"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83 301,90</w:t>
            </w:r>
          </w:p>
        </w:tc>
      </w:tr>
      <w:tr w:rsidR="00DD54E5" w:rsidRPr="00126238" w14:paraId="0A64F348" w14:textId="77777777" w:rsidTr="00126238">
        <w:trPr>
          <w:trHeight w:val="227"/>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14:paraId="0CA8913B" w14:textId="77777777" w:rsidR="00DD54E5" w:rsidRPr="00126238" w:rsidRDefault="00DD54E5" w:rsidP="00126238">
            <w:pPr>
              <w:spacing w:after="0"/>
              <w:jc w:val="center"/>
              <w:rPr>
                <w:rFonts w:eastAsia="Times New Roman" w:cs="Calibri"/>
                <w:color w:val="000000"/>
                <w:sz w:val="20"/>
                <w:szCs w:val="20"/>
                <w:lang w:eastAsia="cs-CZ"/>
              </w:rPr>
            </w:pPr>
            <w:r w:rsidRPr="00126238">
              <w:rPr>
                <w:rFonts w:eastAsia="Times New Roman" w:cs="Calibri"/>
                <w:color w:val="000000"/>
                <w:sz w:val="20"/>
                <w:szCs w:val="20"/>
                <w:lang w:eastAsia="cs-CZ"/>
              </w:rPr>
              <w:t>2017</w:t>
            </w:r>
          </w:p>
        </w:tc>
        <w:tc>
          <w:tcPr>
            <w:tcW w:w="733" w:type="pct"/>
            <w:tcBorders>
              <w:top w:val="nil"/>
              <w:left w:val="nil"/>
              <w:bottom w:val="single" w:sz="4" w:space="0" w:color="auto"/>
              <w:right w:val="single" w:sz="4" w:space="0" w:color="auto"/>
            </w:tcBorders>
            <w:shd w:val="clear" w:color="auto" w:fill="auto"/>
            <w:noWrap/>
            <w:vAlign w:val="center"/>
            <w:hideMark/>
          </w:tcPr>
          <w:p w14:paraId="39D82AF3"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28 339,60</w:t>
            </w:r>
          </w:p>
        </w:tc>
        <w:tc>
          <w:tcPr>
            <w:tcW w:w="733" w:type="pct"/>
            <w:tcBorders>
              <w:top w:val="nil"/>
              <w:left w:val="nil"/>
              <w:bottom w:val="single" w:sz="4" w:space="0" w:color="auto"/>
              <w:right w:val="single" w:sz="4" w:space="0" w:color="auto"/>
            </w:tcBorders>
            <w:shd w:val="clear" w:color="auto" w:fill="auto"/>
            <w:noWrap/>
            <w:vAlign w:val="center"/>
            <w:hideMark/>
          </w:tcPr>
          <w:p w14:paraId="34F46DB1"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52 873,70</w:t>
            </w:r>
          </w:p>
        </w:tc>
        <w:tc>
          <w:tcPr>
            <w:tcW w:w="733" w:type="pct"/>
            <w:tcBorders>
              <w:top w:val="nil"/>
              <w:left w:val="nil"/>
              <w:bottom w:val="single" w:sz="4" w:space="0" w:color="auto"/>
              <w:right w:val="single" w:sz="4" w:space="0" w:color="auto"/>
            </w:tcBorders>
            <w:shd w:val="clear" w:color="auto" w:fill="auto"/>
            <w:noWrap/>
            <w:vAlign w:val="center"/>
            <w:hideMark/>
          </w:tcPr>
          <w:p w14:paraId="2020E8BC"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1 869,50</w:t>
            </w:r>
          </w:p>
        </w:tc>
        <w:tc>
          <w:tcPr>
            <w:tcW w:w="733" w:type="pct"/>
            <w:tcBorders>
              <w:top w:val="nil"/>
              <w:left w:val="nil"/>
              <w:bottom w:val="single" w:sz="4" w:space="0" w:color="auto"/>
              <w:right w:val="single" w:sz="4" w:space="0" w:color="auto"/>
            </w:tcBorders>
            <w:shd w:val="clear" w:color="auto" w:fill="auto"/>
            <w:noWrap/>
            <w:vAlign w:val="center"/>
            <w:hideMark/>
          </w:tcPr>
          <w:p w14:paraId="298D2813"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3 954,90</w:t>
            </w:r>
          </w:p>
        </w:tc>
        <w:tc>
          <w:tcPr>
            <w:tcW w:w="733" w:type="pct"/>
            <w:tcBorders>
              <w:top w:val="nil"/>
              <w:left w:val="nil"/>
              <w:bottom w:val="single" w:sz="4" w:space="0" w:color="auto"/>
              <w:right w:val="single" w:sz="4" w:space="0" w:color="auto"/>
            </w:tcBorders>
            <w:shd w:val="clear" w:color="auto" w:fill="auto"/>
            <w:noWrap/>
            <w:vAlign w:val="center"/>
            <w:hideMark/>
          </w:tcPr>
          <w:p w14:paraId="27472816" w14:textId="0663898F" w:rsidR="00DD54E5" w:rsidRPr="00126238" w:rsidRDefault="0020224F" w:rsidP="00126238">
            <w:pPr>
              <w:spacing w:after="0"/>
              <w:ind w:right="142"/>
              <w:jc w:val="right"/>
              <w:rPr>
                <w:rFonts w:eastAsia="Times New Roman" w:cs="Calibri"/>
                <w:color w:val="000000"/>
                <w:sz w:val="20"/>
                <w:szCs w:val="20"/>
                <w:lang w:eastAsia="cs-CZ"/>
              </w:rPr>
            </w:pPr>
            <w:r>
              <w:rPr>
                <w:rFonts w:eastAsia="Times New Roman" w:cs="Calibri"/>
                <w:color w:val="000000"/>
                <w:sz w:val="20"/>
                <w:szCs w:val="20"/>
                <w:lang w:eastAsia="cs-CZ"/>
              </w:rPr>
              <w:t>–</w:t>
            </w:r>
            <w:r w:rsidR="00DD54E5" w:rsidRPr="00126238">
              <w:rPr>
                <w:rFonts w:eastAsia="Times New Roman" w:cs="Calibri"/>
                <w:color w:val="000000"/>
                <w:sz w:val="20"/>
                <w:szCs w:val="20"/>
                <w:lang w:eastAsia="cs-CZ"/>
              </w:rPr>
              <w:t>13 037,00</w:t>
            </w:r>
          </w:p>
        </w:tc>
        <w:tc>
          <w:tcPr>
            <w:tcW w:w="779" w:type="pct"/>
            <w:tcBorders>
              <w:top w:val="nil"/>
              <w:left w:val="nil"/>
              <w:bottom w:val="single" w:sz="4" w:space="0" w:color="auto"/>
              <w:right w:val="single" w:sz="4" w:space="0" w:color="auto"/>
            </w:tcBorders>
            <w:shd w:val="clear" w:color="auto" w:fill="auto"/>
            <w:noWrap/>
            <w:vAlign w:val="center"/>
            <w:hideMark/>
          </w:tcPr>
          <w:p w14:paraId="6FD99CE5" w14:textId="77777777" w:rsidR="00DD54E5" w:rsidRPr="00126238" w:rsidRDefault="00DD54E5" w:rsidP="00126238">
            <w:pPr>
              <w:spacing w:after="0"/>
              <w:ind w:right="142"/>
              <w:jc w:val="right"/>
              <w:rPr>
                <w:rFonts w:eastAsia="Times New Roman" w:cs="Calibri"/>
                <w:color w:val="000000"/>
                <w:sz w:val="20"/>
                <w:szCs w:val="20"/>
                <w:lang w:eastAsia="cs-CZ"/>
              </w:rPr>
            </w:pPr>
            <w:r w:rsidRPr="00126238">
              <w:rPr>
                <w:rFonts w:eastAsia="Times New Roman" w:cs="Calibri"/>
                <w:color w:val="000000"/>
                <w:sz w:val="20"/>
                <w:szCs w:val="20"/>
                <w:lang w:eastAsia="cs-CZ"/>
              </w:rPr>
              <w:t>87 037,60</w:t>
            </w:r>
          </w:p>
        </w:tc>
      </w:tr>
    </w:tbl>
    <w:p w14:paraId="5DD5CED2" w14:textId="77777777" w:rsidR="00DD54E5" w:rsidRDefault="00DD54E5" w:rsidP="00C153D7">
      <w:pPr>
        <w:spacing w:before="40" w:after="0"/>
        <w:ind w:left="567" w:hanging="567"/>
        <w:jc w:val="left"/>
        <w:rPr>
          <w:sz w:val="20"/>
          <w:szCs w:val="20"/>
        </w:rPr>
      </w:pPr>
      <w:r w:rsidRPr="005D4131">
        <w:rPr>
          <w:b/>
          <w:sz w:val="20"/>
          <w:szCs w:val="20"/>
        </w:rPr>
        <w:t>Zdroj:</w:t>
      </w:r>
      <w:r w:rsidRPr="00A52B4C">
        <w:rPr>
          <w:sz w:val="20"/>
          <w:szCs w:val="20"/>
        </w:rPr>
        <w:t xml:space="preserve"> </w:t>
      </w:r>
      <w:hyperlink r:id="rId46" w:history="1">
        <w:r w:rsidR="00126238" w:rsidRPr="00126238">
          <w:rPr>
            <w:rStyle w:val="Hypertextovodkaz"/>
            <w:sz w:val="20"/>
            <w:szCs w:val="20"/>
            <w:u w:val="none"/>
          </w:rPr>
          <w:t>http://www.eru.cz/documents/10540/462820/Rocni_zprava_provoz_ES_2017.pdf/521bff99-fdcf-4c86-8922-3a346af0bb88</w:t>
        </w:r>
      </w:hyperlink>
      <w:r w:rsidRPr="0020224F">
        <w:rPr>
          <w:color w:val="000000" w:themeColor="text1"/>
          <w:sz w:val="20"/>
          <w:szCs w:val="20"/>
        </w:rPr>
        <w:t>.</w:t>
      </w:r>
    </w:p>
    <w:p w14:paraId="6E6C3AEF" w14:textId="77777777" w:rsidR="00C153D7" w:rsidRDefault="00C153D7" w:rsidP="00C153D7">
      <w:pPr>
        <w:spacing w:before="40" w:after="0"/>
        <w:ind w:left="567" w:hanging="567"/>
        <w:jc w:val="left"/>
        <w:rPr>
          <w:sz w:val="20"/>
          <w:szCs w:val="20"/>
        </w:rPr>
      </w:pPr>
    </w:p>
    <w:p w14:paraId="491DCB33" w14:textId="77777777" w:rsidR="00DD54E5" w:rsidRDefault="00126238" w:rsidP="00126238">
      <w:pPr>
        <w:pStyle w:val="Tabulka"/>
        <w:numPr>
          <w:ilvl w:val="0"/>
          <w:numId w:val="0"/>
        </w:numPr>
        <w:spacing w:after="40"/>
      </w:pPr>
      <w:r>
        <w:t xml:space="preserve">Tabulka č. 2: </w:t>
      </w:r>
      <w:r w:rsidR="00DD54E5" w:rsidRPr="002F529D">
        <w:t xml:space="preserve">Energetický mix zdrojů výroby elektřiny v ČR </w:t>
      </w:r>
      <w:r w:rsidR="00DD54E5">
        <w:t>za roky 2010–2017 vyjádřený v </w:t>
      </w:r>
      <w:r w:rsidR="00DD54E5" w:rsidRPr="002F529D">
        <w:t>%</w:t>
      </w:r>
    </w:p>
    <w:tbl>
      <w:tblPr>
        <w:tblStyle w:val="Mkatabulky"/>
        <w:tblW w:w="5000" w:type="pct"/>
        <w:tblLook w:val="04A0" w:firstRow="1" w:lastRow="0" w:firstColumn="1" w:lastColumn="0" w:noHBand="0" w:noVBand="1"/>
      </w:tblPr>
      <w:tblGrid>
        <w:gridCol w:w="847"/>
        <w:gridCol w:w="4959"/>
        <w:gridCol w:w="3254"/>
      </w:tblGrid>
      <w:tr w:rsidR="00DD54E5" w14:paraId="2BF34147" w14:textId="77777777" w:rsidTr="00126238">
        <w:trPr>
          <w:trHeight w:val="227"/>
        </w:trPr>
        <w:tc>
          <w:tcPr>
            <w:tcW w:w="467" w:type="pct"/>
            <w:shd w:val="clear" w:color="auto" w:fill="E5F1FF"/>
            <w:noWrap/>
            <w:vAlign w:val="center"/>
            <w:hideMark/>
          </w:tcPr>
          <w:p w14:paraId="17093E6B" w14:textId="77777777" w:rsidR="00DD54E5" w:rsidRPr="002F529D" w:rsidRDefault="00DD54E5" w:rsidP="00126238">
            <w:pPr>
              <w:spacing w:after="0"/>
              <w:jc w:val="center"/>
              <w:rPr>
                <w:b/>
                <w:bCs/>
                <w:sz w:val="20"/>
                <w:szCs w:val="20"/>
              </w:rPr>
            </w:pPr>
            <w:r>
              <w:rPr>
                <w:b/>
                <w:bCs/>
                <w:sz w:val="20"/>
                <w:szCs w:val="20"/>
              </w:rPr>
              <w:t>Rok</w:t>
            </w:r>
          </w:p>
        </w:tc>
        <w:tc>
          <w:tcPr>
            <w:tcW w:w="2737" w:type="pct"/>
            <w:shd w:val="clear" w:color="auto" w:fill="E5F1FF"/>
            <w:vAlign w:val="center"/>
            <w:hideMark/>
          </w:tcPr>
          <w:p w14:paraId="58AC4F02" w14:textId="77777777" w:rsidR="00DD54E5" w:rsidRPr="002F529D" w:rsidRDefault="00DD54E5" w:rsidP="00126238">
            <w:pPr>
              <w:spacing w:after="0"/>
              <w:jc w:val="center"/>
              <w:rPr>
                <w:b/>
                <w:bCs/>
                <w:sz w:val="20"/>
                <w:szCs w:val="20"/>
              </w:rPr>
            </w:pPr>
            <w:r w:rsidRPr="002F529D">
              <w:rPr>
                <w:b/>
                <w:bCs/>
                <w:sz w:val="20"/>
                <w:szCs w:val="20"/>
              </w:rPr>
              <w:t>Nízkouhlíkový mix zdrojů (jádro, voda, FVE, ostatní OZE)</w:t>
            </w:r>
          </w:p>
        </w:tc>
        <w:tc>
          <w:tcPr>
            <w:tcW w:w="1796" w:type="pct"/>
            <w:shd w:val="clear" w:color="auto" w:fill="E5F1FF"/>
            <w:vAlign w:val="center"/>
            <w:hideMark/>
          </w:tcPr>
          <w:p w14:paraId="655FEC25" w14:textId="77777777" w:rsidR="00DD54E5" w:rsidRPr="002F529D" w:rsidRDefault="00DD54E5" w:rsidP="00126238">
            <w:pPr>
              <w:spacing w:after="0"/>
              <w:jc w:val="center"/>
              <w:rPr>
                <w:b/>
                <w:bCs/>
                <w:sz w:val="20"/>
                <w:szCs w:val="20"/>
              </w:rPr>
            </w:pPr>
            <w:r w:rsidRPr="002F529D">
              <w:rPr>
                <w:b/>
                <w:bCs/>
                <w:sz w:val="20"/>
                <w:szCs w:val="20"/>
              </w:rPr>
              <w:t>Fosilní zdroje</w:t>
            </w:r>
          </w:p>
        </w:tc>
      </w:tr>
      <w:tr w:rsidR="00DD54E5" w14:paraId="6F7DAD0A" w14:textId="77777777" w:rsidTr="00126238">
        <w:trPr>
          <w:trHeight w:val="227"/>
        </w:trPr>
        <w:tc>
          <w:tcPr>
            <w:tcW w:w="467" w:type="pct"/>
            <w:noWrap/>
            <w:vAlign w:val="center"/>
            <w:hideMark/>
          </w:tcPr>
          <w:p w14:paraId="2E1C019B" w14:textId="77777777" w:rsidR="00DD54E5" w:rsidRPr="002F529D" w:rsidRDefault="00DD54E5" w:rsidP="00126238">
            <w:pPr>
              <w:spacing w:after="0"/>
              <w:jc w:val="center"/>
              <w:rPr>
                <w:sz w:val="20"/>
                <w:szCs w:val="20"/>
              </w:rPr>
            </w:pPr>
            <w:r w:rsidRPr="002F529D">
              <w:rPr>
                <w:sz w:val="20"/>
                <w:szCs w:val="20"/>
              </w:rPr>
              <w:t>2010</w:t>
            </w:r>
          </w:p>
        </w:tc>
        <w:tc>
          <w:tcPr>
            <w:tcW w:w="2737" w:type="pct"/>
            <w:noWrap/>
            <w:vAlign w:val="center"/>
            <w:hideMark/>
          </w:tcPr>
          <w:p w14:paraId="037675B9" w14:textId="77777777" w:rsidR="00DD54E5" w:rsidRPr="002F529D" w:rsidRDefault="00DD54E5" w:rsidP="00126238">
            <w:pPr>
              <w:spacing w:after="0"/>
              <w:ind w:right="2587"/>
              <w:jc w:val="right"/>
              <w:rPr>
                <w:sz w:val="20"/>
                <w:szCs w:val="20"/>
              </w:rPr>
            </w:pPr>
            <w:r w:rsidRPr="002F529D">
              <w:rPr>
                <w:sz w:val="20"/>
                <w:szCs w:val="20"/>
              </w:rPr>
              <w:t>37,63</w:t>
            </w:r>
          </w:p>
        </w:tc>
        <w:tc>
          <w:tcPr>
            <w:tcW w:w="1796" w:type="pct"/>
            <w:noWrap/>
            <w:vAlign w:val="center"/>
            <w:hideMark/>
          </w:tcPr>
          <w:p w14:paraId="728EE896" w14:textId="77777777" w:rsidR="00DD54E5" w:rsidRPr="002F529D" w:rsidRDefault="00DD54E5" w:rsidP="00126238">
            <w:pPr>
              <w:spacing w:after="0"/>
              <w:ind w:right="1299"/>
              <w:jc w:val="right"/>
              <w:rPr>
                <w:sz w:val="20"/>
                <w:szCs w:val="20"/>
              </w:rPr>
            </w:pPr>
            <w:r w:rsidRPr="002F529D">
              <w:rPr>
                <w:sz w:val="20"/>
                <w:szCs w:val="20"/>
              </w:rPr>
              <w:t>62,37</w:t>
            </w:r>
          </w:p>
        </w:tc>
      </w:tr>
      <w:tr w:rsidR="00DD54E5" w14:paraId="17E1C8D4" w14:textId="77777777" w:rsidTr="00126238">
        <w:trPr>
          <w:trHeight w:val="227"/>
        </w:trPr>
        <w:tc>
          <w:tcPr>
            <w:tcW w:w="467" w:type="pct"/>
            <w:noWrap/>
            <w:vAlign w:val="center"/>
            <w:hideMark/>
          </w:tcPr>
          <w:p w14:paraId="43643DDC" w14:textId="77777777" w:rsidR="00DD54E5" w:rsidRPr="002F529D" w:rsidRDefault="00DD54E5" w:rsidP="00126238">
            <w:pPr>
              <w:spacing w:after="0"/>
              <w:jc w:val="center"/>
              <w:rPr>
                <w:sz w:val="20"/>
                <w:szCs w:val="20"/>
              </w:rPr>
            </w:pPr>
            <w:r w:rsidRPr="002F529D">
              <w:rPr>
                <w:sz w:val="20"/>
                <w:szCs w:val="20"/>
              </w:rPr>
              <w:t>2011</w:t>
            </w:r>
          </w:p>
        </w:tc>
        <w:tc>
          <w:tcPr>
            <w:tcW w:w="2737" w:type="pct"/>
            <w:noWrap/>
            <w:vAlign w:val="center"/>
            <w:hideMark/>
          </w:tcPr>
          <w:p w14:paraId="77A60A0B" w14:textId="77777777" w:rsidR="00DD54E5" w:rsidRPr="002F529D" w:rsidRDefault="00DD54E5" w:rsidP="00126238">
            <w:pPr>
              <w:spacing w:after="0"/>
              <w:ind w:right="2587"/>
              <w:jc w:val="right"/>
              <w:rPr>
                <w:sz w:val="20"/>
                <w:szCs w:val="20"/>
              </w:rPr>
            </w:pPr>
            <w:r w:rsidRPr="002F529D">
              <w:rPr>
                <w:sz w:val="20"/>
                <w:szCs w:val="20"/>
              </w:rPr>
              <w:t>38,41</w:t>
            </w:r>
          </w:p>
        </w:tc>
        <w:tc>
          <w:tcPr>
            <w:tcW w:w="1796" w:type="pct"/>
            <w:noWrap/>
            <w:vAlign w:val="center"/>
            <w:hideMark/>
          </w:tcPr>
          <w:p w14:paraId="37DC4221" w14:textId="77777777" w:rsidR="00DD54E5" w:rsidRPr="002F529D" w:rsidRDefault="00DD54E5" w:rsidP="00126238">
            <w:pPr>
              <w:spacing w:after="0"/>
              <w:ind w:right="1299"/>
              <w:jc w:val="right"/>
              <w:rPr>
                <w:sz w:val="20"/>
                <w:szCs w:val="20"/>
              </w:rPr>
            </w:pPr>
            <w:r w:rsidRPr="002F529D">
              <w:rPr>
                <w:sz w:val="20"/>
                <w:szCs w:val="20"/>
              </w:rPr>
              <w:t>61,59</w:t>
            </w:r>
          </w:p>
        </w:tc>
      </w:tr>
      <w:tr w:rsidR="00DD54E5" w14:paraId="03E0C38A" w14:textId="77777777" w:rsidTr="00126238">
        <w:trPr>
          <w:trHeight w:val="227"/>
        </w:trPr>
        <w:tc>
          <w:tcPr>
            <w:tcW w:w="467" w:type="pct"/>
            <w:noWrap/>
            <w:vAlign w:val="center"/>
            <w:hideMark/>
          </w:tcPr>
          <w:p w14:paraId="4BE22284" w14:textId="77777777" w:rsidR="00DD54E5" w:rsidRPr="002F529D" w:rsidRDefault="00DD54E5" w:rsidP="00126238">
            <w:pPr>
              <w:spacing w:after="0"/>
              <w:jc w:val="center"/>
              <w:rPr>
                <w:sz w:val="20"/>
                <w:szCs w:val="20"/>
              </w:rPr>
            </w:pPr>
            <w:r w:rsidRPr="002F529D">
              <w:rPr>
                <w:sz w:val="20"/>
                <w:szCs w:val="20"/>
              </w:rPr>
              <w:t>2012</w:t>
            </w:r>
          </w:p>
        </w:tc>
        <w:tc>
          <w:tcPr>
            <w:tcW w:w="2737" w:type="pct"/>
            <w:noWrap/>
            <w:vAlign w:val="center"/>
            <w:hideMark/>
          </w:tcPr>
          <w:p w14:paraId="3D52EFF4" w14:textId="77777777" w:rsidR="00DD54E5" w:rsidRPr="002F529D" w:rsidRDefault="00DD54E5" w:rsidP="00126238">
            <w:pPr>
              <w:spacing w:after="0"/>
              <w:ind w:right="2587"/>
              <w:jc w:val="right"/>
              <w:rPr>
                <w:sz w:val="20"/>
                <w:szCs w:val="20"/>
              </w:rPr>
            </w:pPr>
            <w:r w:rsidRPr="002F529D">
              <w:rPr>
                <w:sz w:val="20"/>
                <w:szCs w:val="20"/>
              </w:rPr>
              <w:t>40,97</w:t>
            </w:r>
          </w:p>
        </w:tc>
        <w:tc>
          <w:tcPr>
            <w:tcW w:w="1796" w:type="pct"/>
            <w:noWrap/>
            <w:vAlign w:val="center"/>
            <w:hideMark/>
          </w:tcPr>
          <w:p w14:paraId="31CC40DA" w14:textId="77777777" w:rsidR="00DD54E5" w:rsidRPr="002F529D" w:rsidRDefault="00DD54E5" w:rsidP="00126238">
            <w:pPr>
              <w:spacing w:after="0"/>
              <w:ind w:right="1299"/>
              <w:jc w:val="right"/>
              <w:rPr>
                <w:sz w:val="20"/>
                <w:szCs w:val="20"/>
              </w:rPr>
            </w:pPr>
            <w:r w:rsidRPr="002F529D">
              <w:rPr>
                <w:sz w:val="20"/>
                <w:szCs w:val="20"/>
              </w:rPr>
              <w:t>59,03</w:t>
            </w:r>
          </w:p>
        </w:tc>
      </w:tr>
      <w:tr w:rsidR="00DD54E5" w14:paraId="332AF6AB" w14:textId="77777777" w:rsidTr="00126238">
        <w:trPr>
          <w:trHeight w:val="227"/>
        </w:trPr>
        <w:tc>
          <w:tcPr>
            <w:tcW w:w="467" w:type="pct"/>
            <w:noWrap/>
            <w:vAlign w:val="center"/>
            <w:hideMark/>
          </w:tcPr>
          <w:p w14:paraId="60BA3E87" w14:textId="77777777" w:rsidR="00DD54E5" w:rsidRPr="002F529D" w:rsidRDefault="00DD54E5" w:rsidP="00126238">
            <w:pPr>
              <w:spacing w:after="0"/>
              <w:jc w:val="center"/>
              <w:rPr>
                <w:sz w:val="20"/>
                <w:szCs w:val="20"/>
              </w:rPr>
            </w:pPr>
            <w:r w:rsidRPr="002F529D">
              <w:rPr>
                <w:sz w:val="20"/>
                <w:szCs w:val="20"/>
              </w:rPr>
              <w:t>2013</w:t>
            </w:r>
          </w:p>
        </w:tc>
        <w:tc>
          <w:tcPr>
            <w:tcW w:w="2737" w:type="pct"/>
            <w:noWrap/>
            <w:vAlign w:val="center"/>
            <w:hideMark/>
          </w:tcPr>
          <w:p w14:paraId="63FDA020" w14:textId="77777777" w:rsidR="00DD54E5" w:rsidRPr="002F529D" w:rsidRDefault="00DD54E5" w:rsidP="00126238">
            <w:pPr>
              <w:spacing w:after="0"/>
              <w:ind w:right="2587"/>
              <w:jc w:val="right"/>
              <w:rPr>
                <w:sz w:val="20"/>
                <w:szCs w:val="20"/>
              </w:rPr>
            </w:pPr>
            <w:r w:rsidRPr="002F529D">
              <w:rPr>
                <w:sz w:val="20"/>
                <w:szCs w:val="20"/>
              </w:rPr>
              <w:t>42,56</w:t>
            </w:r>
          </w:p>
        </w:tc>
        <w:tc>
          <w:tcPr>
            <w:tcW w:w="1796" w:type="pct"/>
            <w:noWrap/>
            <w:vAlign w:val="center"/>
            <w:hideMark/>
          </w:tcPr>
          <w:p w14:paraId="13F4D8B9" w14:textId="77777777" w:rsidR="00DD54E5" w:rsidRPr="002F529D" w:rsidRDefault="00DD54E5" w:rsidP="00126238">
            <w:pPr>
              <w:spacing w:after="0"/>
              <w:ind w:right="1299"/>
              <w:jc w:val="right"/>
              <w:rPr>
                <w:sz w:val="20"/>
                <w:szCs w:val="20"/>
              </w:rPr>
            </w:pPr>
            <w:r w:rsidRPr="002F529D">
              <w:rPr>
                <w:sz w:val="20"/>
                <w:szCs w:val="20"/>
              </w:rPr>
              <w:t>57,44</w:t>
            </w:r>
          </w:p>
        </w:tc>
      </w:tr>
      <w:tr w:rsidR="00DD54E5" w14:paraId="34855321" w14:textId="77777777" w:rsidTr="00126238">
        <w:trPr>
          <w:trHeight w:val="227"/>
        </w:trPr>
        <w:tc>
          <w:tcPr>
            <w:tcW w:w="467" w:type="pct"/>
            <w:noWrap/>
            <w:vAlign w:val="center"/>
            <w:hideMark/>
          </w:tcPr>
          <w:p w14:paraId="1245C036" w14:textId="77777777" w:rsidR="00DD54E5" w:rsidRPr="002F529D" w:rsidRDefault="00DD54E5" w:rsidP="00126238">
            <w:pPr>
              <w:spacing w:after="0"/>
              <w:jc w:val="center"/>
              <w:rPr>
                <w:sz w:val="20"/>
                <w:szCs w:val="20"/>
              </w:rPr>
            </w:pPr>
            <w:r w:rsidRPr="002F529D">
              <w:rPr>
                <w:sz w:val="20"/>
                <w:szCs w:val="20"/>
              </w:rPr>
              <w:t>2014</w:t>
            </w:r>
          </w:p>
        </w:tc>
        <w:tc>
          <w:tcPr>
            <w:tcW w:w="2737" w:type="pct"/>
            <w:noWrap/>
            <w:vAlign w:val="center"/>
            <w:hideMark/>
          </w:tcPr>
          <w:p w14:paraId="18EB930A" w14:textId="77777777" w:rsidR="00DD54E5" w:rsidRPr="002F529D" w:rsidRDefault="00DD54E5" w:rsidP="00126238">
            <w:pPr>
              <w:spacing w:after="0"/>
              <w:ind w:right="2587"/>
              <w:jc w:val="right"/>
              <w:rPr>
                <w:sz w:val="20"/>
                <w:szCs w:val="20"/>
              </w:rPr>
            </w:pPr>
            <w:r w:rsidRPr="002F529D">
              <w:rPr>
                <w:sz w:val="20"/>
                <w:szCs w:val="20"/>
              </w:rPr>
              <w:t>41,73</w:t>
            </w:r>
          </w:p>
        </w:tc>
        <w:tc>
          <w:tcPr>
            <w:tcW w:w="1796" w:type="pct"/>
            <w:noWrap/>
            <w:vAlign w:val="center"/>
            <w:hideMark/>
          </w:tcPr>
          <w:p w14:paraId="20749BAF" w14:textId="77777777" w:rsidR="00DD54E5" w:rsidRPr="002F529D" w:rsidRDefault="00DD54E5" w:rsidP="00126238">
            <w:pPr>
              <w:spacing w:after="0"/>
              <w:ind w:right="1299"/>
              <w:jc w:val="right"/>
              <w:rPr>
                <w:sz w:val="20"/>
                <w:szCs w:val="20"/>
              </w:rPr>
            </w:pPr>
            <w:r w:rsidRPr="002F529D">
              <w:rPr>
                <w:sz w:val="20"/>
                <w:szCs w:val="20"/>
              </w:rPr>
              <w:t>58,27</w:t>
            </w:r>
          </w:p>
        </w:tc>
      </w:tr>
      <w:tr w:rsidR="00DD54E5" w14:paraId="55E98DD5" w14:textId="77777777" w:rsidTr="00126238">
        <w:trPr>
          <w:trHeight w:val="227"/>
        </w:trPr>
        <w:tc>
          <w:tcPr>
            <w:tcW w:w="467" w:type="pct"/>
            <w:noWrap/>
            <w:vAlign w:val="center"/>
            <w:hideMark/>
          </w:tcPr>
          <w:p w14:paraId="79D2E88F" w14:textId="77777777" w:rsidR="00DD54E5" w:rsidRPr="002F529D" w:rsidRDefault="00DD54E5" w:rsidP="00126238">
            <w:pPr>
              <w:spacing w:after="0"/>
              <w:jc w:val="center"/>
              <w:rPr>
                <w:sz w:val="20"/>
                <w:szCs w:val="20"/>
              </w:rPr>
            </w:pPr>
            <w:r w:rsidRPr="002F529D">
              <w:rPr>
                <w:sz w:val="20"/>
                <w:szCs w:val="20"/>
              </w:rPr>
              <w:t>2015</w:t>
            </w:r>
          </w:p>
        </w:tc>
        <w:tc>
          <w:tcPr>
            <w:tcW w:w="2737" w:type="pct"/>
            <w:noWrap/>
            <w:vAlign w:val="center"/>
            <w:hideMark/>
          </w:tcPr>
          <w:p w14:paraId="2B30B268" w14:textId="77777777" w:rsidR="00DD54E5" w:rsidRPr="002F529D" w:rsidRDefault="00DD54E5" w:rsidP="00126238">
            <w:pPr>
              <w:spacing w:after="0"/>
              <w:ind w:right="2587"/>
              <w:jc w:val="right"/>
              <w:rPr>
                <w:sz w:val="20"/>
                <w:szCs w:val="20"/>
              </w:rPr>
            </w:pPr>
            <w:r w:rsidRPr="002F529D">
              <w:rPr>
                <w:sz w:val="20"/>
                <w:szCs w:val="20"/>
              </w:rPr>
              <w:t>39,04</w:t>
            </w:r>
          </w:p>
        </w:tc>
        <w:tc>
          <w:tcPr>
            <w:tcW w:w="1796" w:type="pct"/>
            <w:noWrap/>
            <w:vAlign w:val="center"/>
            <w:hideMark/>
          </w:tcPr>
          <w:p w14:paraId="06390E63" w14:textId="77777777" w:rsidR="00DD54E5" w:rsidRPr="002F529D" w:rsidRDefault="00DD54E5" w:rsidP="00126238">
            <w:pPr>
              <w:spacing w:after="0"/>
              <w:ind w:right="1299"/>
              <w:jc w:val="right"/>
              <w:rPr>
                <w:sz w:val="20"/>
                <w:szCs w:val="20"/>
              </w:rPr>
            </w:pPr>
            <w:r w:rsidRPr="002F529D">
              <w:rPr>
                <w:sz w:val="20"/>
                <w:szCs w:val="20"/>
              </w:rPr>
              <w:t>60,96</w:t>
            </w:r>
          </w:p>
        </w:tc>
      </w:tr>
      <w:tr w:rsidR="00DD54E5" w14:paraId="6C35FCFA" w14:textId="77777777" w:rsidTr="00126238">
        <w:trPr>
          <w:trHeight w:val="227"/>
        </w:trPr>
        <w:tc>
          <w:tcPr>
            <w:tcW w:w="467" w:type="pct"/>
            <w:noWrap/>
            <w:vAlign w:val="center"/>
            <w:hideMark/>
          </w:tcPr>
          <w:p w14:paraId="7BF3021C" w14:textId="77777777" w:rsidR="00DD54E5" w:rsidRPr="002F529D" w:rsidRDefault="00DD54E5" w:rsidP="00126238">
            <w:pPr>
              <w:spacing w:after="0"/>
              <w:jc w:val="center"/>
              <w:rPr>
                <w:sz w:val="20"/>
                <w:szCs w:val="20"/>
              </w:rPr>
            </w:pPr>
            <w:r w:rsidRPr="002F529D">
              <w:rPr>
                <w:sz w:val="20"/>
                <w:szCs w:val="20"/>
              </w:rPr>
              <w:t>2016</w:t>
            </w:r>
          </w:p>
        </w:tc>
        <w:tc>
          <w:tcPr>
            <w:tcW w:w="2737" w:type="pct"/>
            <w:noWrap/>
            <w:vAlign w:val="center"/>
            <w:hideMark/>
          </w:tcPr>
          <w:p w14:paraId="34A4F54B" w14:textId="77777777" w:rsidR="00DD54E5" w:rsidRPr="002F529D" w:rsidRDefault="00DD54E5" w:rsidP="00126238">
            <w:pPr>
              <w:spacing w:after="0"/>
              <w:ind w:right="2587"/>
              <w:jc w:val="right"/>
              <w:rPr>
                <w:sz w:val="20"/>
                <w:szCs w:val="20"/>
              </w:rPr>
            </w:pPr>
            <w:r w:rsidRPr="002F529D">
              <w:rPr>
                <w:sz w:val="20"/>
                <w:szCs w:val="20"/>
              </w:rPr>
              <w:t>35,94</w:t>
            </w:r>
          </w:p>
        </w:tc>
        <w:tc>
          <w:tcPr>
            <w:tcW w:w="1796" w:type="pct"/>
            <w:noWrap/>
            <w:vAlign w:val="center"/>
            <w:hideMark/>
          </w:tcPr>
          <w:p w14:paraId="3763014F" w14:textId="77777777" w:rsidR="00DD54E5" w:rsidRPr="002F529D" w:rsidRDefault="00DD54E5" w:rsidP="00126238">
            <w:pPr>
              <w:spacing w:after="0"/>
              <w:ind w:right="1299"/>
              <w:jc w:val="right"/>
              <w:rPr>
                <w:sz w:val="20"/>
                <w:szCs w:val="20"/>
              </w:rPr>
            </w:pPr>
            <w:r w:rsidRPr="002F529D">
              <w:rPr>
                <w:sz w:val="20"/>
                <w:szCs w:val="20"/>
              </w:rPr>
              <w:t>64,06</w:t>
            </w:r>
          </w:p>
        </w:tc>
      </w:tr>
      <w:tr w:rsidR="00DD54E5" w14:paraId="53973F93" w14:textId="77777777" w:rsidTr="00126238">
        <w:trPr>
          <w:trHeight w:val="227"/>
        </w:trPr>
        <w:tc>
          <w:tcPr>
            <w:tcW w:w="467" w:type="pct"/>
            <w:noWrap/>
            <w:vAlign w:val="center"/>
            <w:hideMark/>
          </w:tcPr>
          <w:p w14:paraId="6E36F562" w14:textId="77777777" w:rsidR="00DD54E5" w:rsidRPr="002F529D" w:rsidRDefault="00DD54E5" w:rsidP="00126238">
            <w:pPr>
              <w:spacing w:after="0"/>
              <w:jc w:val="center"/>
              <w:rPr>
                <w:sz w:val="20"/>
                <w:szCs w:val="20"/>
              </w:rPr>
            </w:pPr>
            <w:r w:rsidRPr="002F529D">
              <w:rPr>
                <w:sz w:val="20"/>
                <w:szCs w:val="20"/>
              </w:rPr>
              <w:t>2017</w:t>
            </w:r>
          </w:p>
        </w:tc>
        <w:tc>
          <w:tcPr>
            <w:tcW w:w="2737" w:type="pct"/>
            <w:noWrap/>
            <w:vAlign w:val="center"/>
            <w:hideMark/>
          </w:tcPr>
          <w:p w14:paraId="4D70A677" w14:textId="77777777" w:rsidR="00DD54E5" w:rsidRPr="002F529D" w:rsidRDefault="00DD54E5" w:rsidP="00126238">
            <w:pPr>
              <w:spacing w:after="0"/>
              <w:ind w:right="2587"/>
              <w:jc w:val="right"/>
              <w:rPr>
                <w:sz w:val="20"/>
                <w:szCs w:val="20"/>
              </w:rPr>
            </w:pPr>
            <w:r w:rsidRPr="002F529D">
              <w:rPr>
                <w:sz w:val="20"/>
                <w:szCs w:val="20"/>
              </w:rPr>
              <w:t>39,25</w:t>
            </w:r>
          </w:p>
        </w:tc>
        <w:tc>
          <w:tcPr>
            <w:tcW w:w="1796" w:type="pct"/>
            <w:noWrap/>
            <w:vAlign w:val="center"/>
            <w:hideMark/>
          </w:tcPr>
          <w:p w14:paraId="75AEF26D" w14:textId="77777777" w:rsidR="00DD54E5" w:rsidRPr="002F529D" w:rsidRDefault="00DD54E5" w:rsidP="00126238">
            <w:pPr>
              <w:spacing w:after="0"/>
              <w:ind w:right="1299"/>
              <w:jc w:val="right"/>
              <w:rPr>
                <w:sz w:val="20"/>
                <w:szCs w:val="20"/>
              </w:rPr>
            </w:pPr>
            <w:r w:rsidRPr="002F529D">
              <w:rPr>
                <w:sz w:val="20"/>
                <w:szCs w:val="20"/>
              </w:rPr>
              <w:t>60,75</w:t>
            </w:r>
          </w:p>
        </w:tc>
      </w:tr>
    </w:tbl>
    <w:p w14:paraId="6C6ECD88" w14:textId="77777777" w:rsidR="00DD54E5" w:rsidRDefault="00DD54E5" w:rsidP="00C153D7">
      <w:pPr>
        <w:spacing w:before="40" w:after="0"/>
        <w:ind w:left="567" w:hanging="567"/>
        <w:jc w:val="left"/>
        <w:rPr>
          <w:sz w:val="20"/>
          <w:szCs w:val="20"/>
        </w:rPr>
      </w:pPr>
      <w:r w:rsidRPr="005D4131">
        <w:rPr>
          <w:b/>
          <w:sz w:val="20"/>
          <w:szCs w:val="20"/>
        </w:rPr>
        <w:t>Zdroj:</w:t>
      </w:r>
      <w:r w:rsidRPr="00A52B4C">
        <w:rPr>
          <w:sz w:val="20"/>
          <w:szCs w:val="20"/>
        </w:rPr>
        <w:t xml:space="preserve"> </w:t>
      </w:r>
      <w:hyperlink r:id="rId47" w:history="1">
        <w:r w:rsidR="00126238" w:rsidRPr="00126238">
          <w:rPr>
            <w:rStyle w:val="Hypertextovodkaz"/>
            <w:sz w:val="20"/>
            <w:szCs w:val="20"/>
            <w:u w:val="none"/>
          </w:rPr>
          <w:t>http://www.eru.cz/documents/10540/462820/Rocni_zprava_provoz_ES_2017.pdf/521bff99-fdcf-4c86-8922-3a346af0bb88</w:t>
        </w:r>
      </w:hyperlink>
      <w:r>
        <w:rPr>
          <w:sz w:val="20"/>
          <w:szCs w:val="20"/>
        </w:rPr>
        <w:t>.</w:t>
      </w:r>
    </w:p>
    <w:p w14:paraId="71CFC028" w14:textId="77777777" w:rsidR="00C153D7" w:rsidRDefault="00C153D7" w:rsidP="00C153D7">
      <w:pPr>
        <w:spacing w:before="40" w:after="0"/>
        <w:ind w:left="567" w:hanging="567"/>
        <w:jc w:val="left"/>
        <w:rPr>
          <w:sz w:val="20"/>
          <w:szCs w:val="20"/>
        </w:rPr>
      </w:pPr>
    </w:p>
    <w:p w14:paraId="4A0BB225" w14:textId="77777777" w:rsidR="00DD54E5" w:rsidRDefault="00126238" w:rsidP="00D25C25">
      <w:pPr>
        <w:pStyle w:val="Graf"/>
      </w:pPr>
      <w:r>
        <w:t xml:space="preserve">Graf č. 1: </w:t>
      </w:r>
      <w:r>
        <w:tab/>
      </w:r>
      <w:r w:rsidR="00DD54E5" w:rsidRPr="002F529D">
        <w:t>Podíl výroby elektřiny prostřednictvím fotovoltaických elektráren na celkové výr</w:t>
      </w:r>
      <w:r w:rsidR="00DD54E5">
        <w:t>obě elektřiny v % za roky 2015–</w:t>
      </w:r>
      <w:r w:rsidR="00DD54E5" w:rsidRPr="002F529D">
        <w:t>2017</w:t>
      </w:r>
    </w:p>
    <w:p w14:paraId="3DBE19C5" w14:textId="77777777" w:rsidR="00DD54E5" w:rsidRDefault="00DD54E5" w:rsidP="00417DD3">
      <w:pPr>
        <w:jc w:val="center"/>
        <w:rPr>
          <w:lang w:eastAsia="cs-CZ"/>
        </w:rPr>
      </w:pPr>
      <w:r>
        <w:rPr>
          <w:noProof/>
          <w:lang w:eastAsia="cs-CZ"/>
        </w:rPr>
        <w:drawing>
          <wp:inline distT="0" distB="0" distL="0" distR="0" wp14:anchorId="62449C57" wp14:editId="7D2EA58C">
            <wp:extent cx="5431790" cy="2139351"/>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EF7CB9" w14:textId="77777777" w:rsidR="00DD54E5" w:rsidRDefault="00DD54E5" w:rsidP="00417DD3">
      <w:pPr>
        <w:ind w:left="567" w:hanging="567"/>
        <w:rPr>
          <w:sz w:val="20"/>
          <w:szCs w:val="20"/>
        </w:rPr>
      </w:pPr>
      <w:r w:rsidRPr="00322D76">
        <w:rPr>
          <w:b/>
          <w:sz w:val="20"/>
          <w:szCs w:val="20"/>
        </w:rPr>
        <w:t>Zdroj:</w:t>
      </w:r>
      <w:r w:rsidRPr="00A52B4C">
        <w:rPr>
          <w:sz w:val="20"/>
          <w:szCs w:val="20"/>
        </w:rPr>
        <w:t xml:space="preserve"> </w:t>
      </w:r>
      <w:r w:rsidR="00417DD3">
        <w:rPr>
          <w:sz w:val="20"/>
          <w:szCs w:val="20"/>
        </w:rPr>
        <w:tab/>
      </w:r>
      <w:hyperlink r:id="rId49" w:history="1">
        <w:r w:rsidR="00417DD3" w:rsidRPr="00417DD3">
          <w:rPr>
            <w:rStyle w:val="Hypertextovodkaz"/>
            <w:sz w:val="20"/>
            <w:szCs w:val="20"/>
            <w:u w:val="none"/>
          </w:rPr>
          <w:t>http://www.eru.cz/documents/10540/462820/Rocni_zprava_provoz_ES_2017.pdf/521bff99-fdcf-4c86-8922-3a346af0bb88</w:t>
        </w:r>
      </w:hyperlink>
      <w:r>
        <w:rPr>
          <w:sz w:val="20"/>
          <w:szCs w:val="20"/>
        </w:rPr>
        <w:t>.</w:t>
      </w:r>
    </w:p>
    <w:p w14:paraId="3E909D19" w14:textId="77777777" w:rsidR="00DD54E5" w:rsidRPr="002F529D" w:rsidRDefault="00417DD3" w:rsidP="00D25C25">
      <w:pPr>
        <w:pStyle w:val="Graf"/>
      </w:pPr>
      <w:r>
        <w:rPr>
          <w:noProof/>
        </w:rPr>
        <w:lastRenderedPageBreak/>
        <w:drawing>
          <wp:anchor distT="0" distB="0" distL="114300" distR="114300" simplePos="0" relativeHeight="251664384" behindDoc="0" locked="0" layoutInCell="1" allowOverlap="1" wp14:anchorId="0191D3F0" wp14:editId="527C5D34">
            <wp:simplePos x="0" y="0"/>
            <wp:positionH relativeFrom="margin">
              <wp:posOffset>31115</wp:posOffset>
            </wp:positionH>
            <wp:positionV relativeFrom="paragraph">
              <wp:posOffset>263525</wp:posOffset>
            </wp:positionV>
            <wp:extent cx="5537835" cy="1673225"/>
            <wp:effectExtent l="0" t="0" r="5715" b="3175"/>
            <wp:wrapTopAndBottom/>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t xml:space="preserve">Graf č. 2: </w:t>
      </w:r>
      <w:r w:rsidR="00DD54E5" w:rsidRPr="002676D1">
        <w:t>Množství vyrobené elektř</w:t>
      </w:r>
      <w:r w:rsidR="00DD54E5">
        <w:t>iny z FVE v GWh v období 2015–</w:t>
      </w:r>
      <w:r w:rsidR="00DD54E5" w:rsidRPr="002676D1">
        <w:t>2017</w:t>
      </w:r>
    </w:p>
    <w:p w14:paraId="4CE7A465" w14:textId="77777777" w:rsidR="00DD54E5" w:rsidRDefault="00DD54E5" w:rsidP="00C153D7">
      <w:pPr>
        <w:spacing w:after="0"/>
        <w:ind w:left="567" w:hanging="567"/>
        <w:jc w:val="left"/>
        <w:rPr>
          <w:sz w:val="20"/>
          <w:szCs w:val="20"/>
        </w:rPr>
      </w:pPr>
      <w:r w:rsidRPr="00322D76">
        <w:rPr>
          <w:b/>
          <w:sz w:val="20"/>
          <w:szCs w:val="20"/>
        </w:rPr>
        <w:t>Zdroj:</w:t>
      </w:r>
      <w:r w:rsidRPr="00A52B4C">
        <w:rPr>
          <w:sz w:val="20"/>
          <w:szCs w:val="20"/>
        </w:rPr>
        <w:t xml:space="preserve"> </w:t>
      </w:r>
      <w:hyperlink r:id="rId51" w:history="1">
        <w:r w:rsidR="00417DD3" w:rsidRPr="00417DD3">
          <w:rPr>
            <w:rStyle w:val="Hypertextovodkaz"/>
            <w:sz w:val="20"/>
            <w:szCs w:val="20"/>
            <w:u w:val="none"/>
          </w:rPr>
          <w:t>http://www.eru.cz/documents/10540/462820/Rocni_zprava_provoz_ES_2017.pdf/521bff99-fdcf-4c86-8922-3a346af0bb88</w:t>
        </w:r>
      </w:hyperlink>
      <w:r>
        <w:rPr>
          <w:sz w:val="20"/>
          <w:szCs w:val="20"/>
        </w:rPr>
        <w:t>.</w:t>
      </w:r>
    </w:p>
    <w:p w14:paraId="6D9A8823" w14:textId="77777777" w:rsidR="00C153D7" w:rsidRDefault="00C153D7" w:rsidP="00C153D7">
      <w:pPr>
        <w:spacing w:after="0"/>
        <w:ind w:left="567" w:hanging="567"/>
        <w:jc w:val="left"/>
        <w:rPr>
          <w:sz w:val="20"/>
          <w:szCs w:val="20"/>
        </w:rPr>
      </w:pPr>
    </w:p>
    <w:p w14:paraId="5C659190" w14:textId="77777777" w:rsidR="00DD54E5" w:rsidRDefault="005E0F74" w:rsidP="005E0F74">
      <w:pPr>
        <w:pStyle w:val="Tabulka"/>
        <w:numPr>
          <w:ilvl w:val="0"/>
          <w:numId w:val="0"/>
        </w:numPr>
        <w:ind w:left="1276" w:hanging="1276"/>
        <w:rPr>
          <w:lang w:eastAsia="cs-CZ"/>
        </w:rPr>
      </w:pPr>
      <w:r>
        <w:rPr>
          <w:lang w:eastAsia="cs-CZ"/>
        </w:rPr>
        <w:t>Tabulka č. 3:</w:t>
      </w:r>
      <w:r>
        <w:rPr>
          <w:lang w:eastAsia="cs-CZ"/>
        </w:rPr>
        <w:tab/>
      </w:r>
      <w:r w:rsidR="00DD54E5" w:rsidRPr="00D64068">
        <w:rPr>
          <w:lang w:eastAsia="cs-CZ"/>
        </w:rPr>
        <w:t>Přehled vývoje výkupních cen</w:t>
      </w:r>
      <w:r w:rsidR="00DD54E5">
        <w:rPr>
          <w:lang w:eastAsia="cs-CZ"/>
        </w:rPr>
        <w:t xml:space="preserve"> a zelených bonusů</w:t>
      </w:r>
      <w:r w:rsidR="00DD54E5" w:rsidRPr="00D64068">
        <w:rPr>
          <w:lang w:eastAsia="cs-CZ"/>
        </w:rPr>
        <w:t xml:space="preserve"> elektřin</w:t>
      </w:r>
      <w:r w:rsidR="00DD54E5">
        <w:rPr>
          <w:lang w:eastAsia="cs-CZ"/>
        </w:rPr>
        <w:t>y z FVE v Kč/MWh za roky 2010–</w:t>
      </w:r>
      <w:r w:rsidR="00DD54E5" w:rsidRPr="00D64068">
        <w:rPr>
          <w:lang w:eastAsia="cs-CZ"/>
        </w:rPr>
        <w:t>2018</w:t>
      </w:r>
    </w:p>
    <w:tbl>
      <w:tblPr>
        <w:tblW w:w="5000" w:type="pct"/>
        <w:tblCellMar>
          <w:left w:w="70" w:type="dxa"/>
          <w:right w:w="70" w:type="dxa"/>
        </w:tblCellMar>
        <w:tblLook w:val="04A0" w:firstRow="1" w:lastRow="0" w:firstColumn="1" w:lastColumn="0" w:noHBand="0" w:noVBand="1"/>
      </w:tblPr>
      <w:tblGrid>
        <w:gridCol w:w="1942"/>
        <w:gridCol w:w="1942"/>
        <w:gridCol w:w="1117"/>
        <w:gridCol w:w="1119"/>
        <w:gridCol w:w="1553"/>
        <w:gridCol w:w="1377"/>
      </w:tblGrid>
      <w:tr w:rsidR="00DD54E5" w14:paraId="75E2FDCB" w14:textId="77777777" w:rsidTr="00126238">
        <w:trPr>
          <w:trHeight w:val="170"/>
        </w:trPr>
        <w:tc>
          <w:tcPr>
            <w:tcW w:w="2146" w:type="pct"/>
            <w:gridSpan w:val="2"/>
            <w:vMerge w:val="restart"/>
            <w:tcBorders>
              <w:top w:val="single" w:sz="8" w:space="0" w:color="auto"/>
              <w:left w:val="single" w:sz="8" w:space="0" w:color="auto"/>
              <w:bottom w:val="single" w:sz="8" w:space="0" w:color="auto"/>
              <w:right w:val="single" w:sz="8" w:space="0" w:color="auto"/>
            </w:tcBorders>
            <w:shd w:val="clear" w:color="auto" w:fill="E5F1FF"/>
            <w:vAlign w:val="center"/>
            <w:hideMark/>
          </w:tcPr>
          <w:p w14:paraId="3F8E1C0D"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 xml:space="preserve">Datum uvedení výrobny do provozu </w:t>
            </w:r>
          </w:p>
        </w:tc>
        <w:tc>
          <w:tcPr>
            <w:tcW w:w="1235" w:type="pct"/>
            <w:gridSpan w:val="2"/>
            <w:vMerge w:val="restart"/>
            <w:tcBorders>
              <w:top w:val="single" w:sz="8" w:space="0" w:color="auto"/>
              <w:left w:val="single" w:sz="8" w:space="0" w:color="auto"/>
              <w:bottom w:val="single" w:sz="8" w:space="0" w:color="auto"/>
              <w:right w:val="single" w:sz="8" w:space="0" w:color="auto"/>
            </w:tcBorders>
            <w:shd w:val="clear" w:color="auto" w:fill="E5F1FF"/>
            <w:vAlign w:val="center"/>
            <w:hideMark/>
          </w:tcPr>
          <w:p w14:paraId="49D6F74A" w14:textId="429ED95F" w:rsidR="00DD54E5" w:rsidRPr="00D64068" w:rsidRDefault="00DD54E5" w:rsidP="0020224F">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 xml:space="preserve">Instalovaný výkon výrobny </w:t>
            </w:r>
            <w:r w:rsidR="0020224F">
              <w:rPr>
                <w:rFonts w:eastAsia="Times New Roman" w:cs="Calibri"/>
                <w:b/>
                <w:color w:val="000000"/>
                <w:sz w:val="20"/>
                <w:szCs w:val="20"/>
                <w:lang w:eastAsia="cs-CZ"/>
              </w:rPr>
              <w:t>(v </w:t>
            </w:r>
            <w:r w:rsidRPr="00D64068">
              <w:rPr>
                <w:rFonts w:eastAsia="Times New Roman" w:cs="Calibri"/>
                <w:b/>
                <w:color w:val="000000"/>
                <w:sz w:val="20"/>
                <w:szCs w:val="20"/>
                <w:lang w:eastAsia="cs-CZ"/>
              </w:rPr>
              <w:t>kW</w:t>
            </w:r>
            <w:r w:rsidR="0020224F">
              <w:rPr>
                <w:rFonts w:eastAsia="Times New Roman" w:cs="Calibri"/>
                <w:b/>
                <w:color w:val="000000"/>
                <w:sz w:val="20"/>
                <w:szCs w:val="20"/>
                <w:lang w:eastAsia="cs-CZ"/>
              </w:rPr>
              <w:t>)</w:t>
            </w:r>
          </w:p>
        </w:tc>
        <w:tc>
          <w:tcPr>
            <w:tcW w:w="1619" w:type="pct"/>
            <w:gridSpan w:val="2"/>
            <w:tcBorders>
              <w:top w:val="single" w:sz="8" w:space="0" w:color="auto"/>
              <w:left w:val="nil"/>
              <w:bottom w:val="single" w:sz="8" w:space="0" w:color="auto"/>
              <w:right w:val="single" w:sz="8" w:space="0" w:color="auto"/>
            </w:tcBorders>
            <w:shd w:val="clear" w:color="auto" w:fill="E5F1FF"/>
            <w:vAlign w:val="center"/>
            <w:hideMark/>
          </w:tcPr>
          <w:p w14:paraId="56D9A02F"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Jednotarifní pásmo provozování</w:t>
            </w:r>
          </w:p>
        </w:tc>
      </w:tr>
      <w:tr w:rsidR="00DD54E5" w14:paraId="1E88D5BB" w14:textId="77777777" w:rsidTr="00126238">
        <w:trPr>
          <w:trHeight w:val="476"/>
        </w:trPr>
        <w:tc>
          <w:tcPr>
            <w:tcW w:w="2146" w:type="pct"/>
            <w:gridSpan w:val="2"/>
            <w:vMerge/>
            <w:tcBorders>
              <w:top w:val="single" w:sz="8" w:space="0" w:color="auto"/>
              <w:left w:val="single" w:sz="8" w:space="0" w:color="auto"/>
              <w:bottom w:val="single" w:sz="8" w:space="0" w:color="auto"/>
              <w:right w:val="single" w:sz="8" w:space="0" w:color="auto"/>
            </w:tcBorders>
            <w:shd w:val="clear" w:color="auto" w:fill="E5F1FF"/>
            <w:vAlign w:val="center"/>
            <w:hideMark/>
          </w:tcPr>
          <w:p w14:paraId="202F42F8" w14:textId="77777777" w:rsidR="00DD54E5" w:rsidRPr="00D64068" w:rsidRDefault="00DD54E5" w:rsidP="00126238">
            <w:pPr>
              <w:spacing w:after="0"/>
              <w:jc w:val="left"/>
              <w:rPr>
                <w:rFonts w:eastAsia="Times New Roman" w:cs="Calibri"/>
                <w:b/>
                <w:color w:val="000000"/>
                <w:sz w:val="20"/>
                <w:szCs w:val="20"/>
                <w:lang w:eastAsia="cs-CZ"/>
              </w:rPr>
            </w:pPr>
          </w:p>
        </w:tc>
        <w:tc>
          <w:tcPr>
            <w:tcW w:w="1235" w:type="pct"/>
            <w:gridSpan w:val="2"/>
            <w:vMerge/>
            <w:tcBorders>
              <w:top w:val="single" w:sz="8" w:space="0" w:color="auto"/>
              <w:left w:val="single" w:sz="8" w:space="0" w:color="auto"/>
              <w:bottom w:val="single" w:sz="8" w:space="0" w:color="auto"/>
              <w:right w:val="single" w:sz="8" w:space="0" w:color="auto"/>
            </w:tcBorders>
            <w:shd w:val="clear" w:color="auto" w:fill="E5F1FF"/>
            <w:vAlign w:val="center"/>
            <w:hideMark/>
          </w:tcPr>
          <w:p w14:paraId="5028DF10" w14:textId="77777777" w:rsidR="00DD54E5" w:rsidRPr="00D64068" w:rsidRDefault="00DD54E5" w:rsidP="00126238">
            <w:pPr>
              <w:spacing w:after="0"/>
              <w:jc w:val="left"/>
              <w:rPr>
                <w:rFonts w:eastAsia="Times New Roman" w:cs="Calibri"/>
                <w:b/>
                <w:color w:val="000000"/>
                <w:sz w:val="20"/>
                <w:szCs w:val="20"/>
                <w:lang w:eastAsia="cs-CZ"/>
              </w:rPr>
            </w:pPr>
          </w:p>
        </w:tc>
        <w:tc>
          <w:tcPr>
            <w:tcW w:w="858" w:type="pct"/>
            <w:vMerge w:val="restart"/>
            <w:tcBorders>
              <w:top w:val="nil"/>
              <w:left w:val="single" w:sz="8" w:space="0" w:color="auto"/>
              <w:bottom w:val="single" w:sz="8" w:space="0" w:color="auto"/>
              <w:right w:val="single" w:sz="8" w:space="0" w:color="auto"/>
            </w:tcBorders>
            <w:shd w:val="clear" w:color="auto" w:fill="E5F1FF"/>
            <w:vAlign w:val="center"/>
            <w:hideMark/>
          </w:tcPr>
          <w:p w14:paraId="4B0240C7" w14:textId="73D53C5E" w:rsidR="00DD54E5" w:rsidRPr="00D64068" w:rsidRDefault="00DD54E5" w:rsidP="0020224F">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 xml:space="preserve">Výkupní ceny </w:t>
            </w:r>
            <w:r w:rsidR="0020224F">
              <w:rPr>
                <w:rFonts w:eastAsia="Times New Roman" w:cs="Calibri"/>
                <w:b/>
                <w:color w:val="000000"/>
                <w:sz w:val="20"/>
                <w:szCs w:val="20"/>
                <w:lang w:eastAsia="cs-CZ"/>
              </w:rPr>
              <w:t>(v </w:t>
            </w:r>
            <w:r w:rsidRPr="00D64068">
              <w:rPr>
                <w:rFonts w:eastAsia="Times New Roman" w:cs="Calibri"/>
                <w:b/>
                <w:color w:val="000000"/>
                <w:sz w:val="20"/>
                <w:szCs w:val="20"/>
                <w:lang w:eastAsia="cs-CZ"/>
              </w:rPr>
              <w:t>Kč/MWh</w:t>
            </w:r>
            <w:r w:rsidR="0020224F">
              <w:rPr>
                <w:rFonts w:eastAsia="Times New Roman" w:cs="Calibri"/>
                <w:b/>
                <w:color w:val="000000"/>
                <w:sz w:val="20"/>
                <w:szCs w:val="20"/>
                <w:lang w:eastAsia="cs-CZ"/>
              </w:rPr>
              <w:t>)</w:t>
            </w:r>
          </w:p>
        </w:tc>
        <w:tc>
          <w:tcPr>
            <w:tcW w:w="761" w:type="pct"/>
            <w:vMerge w:val="restart"/>
            <w:tcBorders>
              <w:top w:val="nil"/>
              <w:left w:val="single" w:sz="8" w:space="0" w:color="auto"/>
              <w:bottom w:val="single" w:sz="8" w:space="0" w:color="auto"/>
              <w:right w:val="single" w:sz="8" w:space="0" w:color="auto"/>
            </w:tcBorders>
            <w:shd w:val="clear" w:color="auto" w:fill="E5F1FF"/>
            <w:vAlign w:val="center"/>
            <w:hideMark/>
          </w:tcPr>
          <w:p w14:paraId="307BF593" w14:textId="19C2CCEA" w:rsidR="00DD54E5" w:rsidRPr="00D64068" w:rsidRDefault="00DD54E5" w:rsidP="0020224F">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 xml:space="preserve">Zelené bonusy </w:t>
            </w:r>
            <w:r w:rsidR="0020224F">
              <w:rPr>
                <w:rFonts w:eastAsia="Times New Roman" w:cs="Calibri"/>
                <w:b/>
                <w:color w:val="000000"/>
                <w:sz w:val="20"/>
                <w:szCs w:val="20"/>
                <w:lang w:eastAsia="cs-CZ"/>
              </w:rPr>
              <w:t>(v </w:t>
            </w:r>
            <w:r w:rsidRPr="00D64068">
              <w:rPr>
                <w:rFonts w:eastAsia="Times New Roman" w:cs="Calibri"/>
                <w:b/>
                <w:color w:val="000000"/>
                <w:sz w:val="20"/>
                <w:szCs w:val="20"/>
                <w:lang w:eastAsia="cs-CZ"/>
              </w:rPr>
              <w:t>Kč/MWh</w:t>
            </w:r>
            <w:r w:rsidR="0020224F">
              <w:rPr>
                <w:rFonts w:eastAsia="Times New Roman" w:cs="Calibri"/>
                <w:b/>
                <w:color w:val="000000"/>
                <w:sz w:val="20"/>
                <w:szCs w:val="20"/>
                <w:lang w:eastAsia="cs-CZ"/>
              </w:rPr>
              <w:t>)</w:t>
            </w:r>
          </w:p>
        </w:tc>
      </w:tr>
      <w:tr w:rsidR="00DD54E5" w14:paraId="23463EA9" w14:textId="77777777" w:rsidTr="00126238">
        <w:trPr>
          <w:trHeight w:val="90"/>
        </w:trPr>
        <w:tc>
          <w:tcPr>
            <w:tcW w:w="1073" w:type="pct"/>
            <w:tcBorders>
              <w:top w:val="nil"/>
              <w:left w:val="single" w:sz="8" w:space="0" w:color="auto"/>
              <w:bottom w:val="nil"/>
              <w:right w:val="single" w:sz="8" w:space="0" w:color="auto"/>
            </w:tcBorders>
            <w:shd w:val="clear" w:color="auto" w:fill="E5F1FF"/>
            <w:noWrap/>
            <w:vAlign w:val="center"/>
            <w:hideMark/>
          </w:tcPr>
          <w:p w14:paraId="027C2BCC"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od (včetně)</w:t>
            </w:r>
          </w:p>
        </w:tc>
        <w:tc>
          <w:tcPr>
            <w:tcW w:w="1073" w:type="pct"/>
            <w:tcBorders>
              <w:top w:val="nil"/>
              <w:left w:val="nil"/>
              <w:bottom w:val="nil"/>
              <w:right w:val="single" w:sz="8" w:space="0" w:color="auto"/>
            </w:tcBorders>
            <w:shd w:val="clear" w:color="auto" w:fill="E5F1FF"/>
            <w:noWrap/>
            <w:vAlign w:val="center"/>
            <w:hideMark/>
          </w:tcPr>
          <w:p w14:paraId="70A8E1CF"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do (včetně)</w:t>
            </w:r>
          </w:p>
        </w:tc>
        <w:tc>
          <w:tcPr>
            <w:tcW w:w="617" w:type="pct"/>
            <w:tcBorders>
              <w:top w:val="nil"/>
              <w:left w:val="nil"/>
              <w:bottom w:val="nil"/>
              <w:right w:val="single" w:sz="8" w:space="0" w:color="auto"/>
            </w:tcBorders>
            <w:shd w:val="clear" w:color="auto" w:fill="E5F1FF"/>
            <w:noWrap/>
            <w:vAlign w:val="center"/>
            <w:hideMark/>
          </w:tcPr>
          <w:p w14:paraId="19EBC4F4"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od</w:t>
            </w:r>
          </w:p>
        </w:tc>
        <w:tc>
          <w:tcPr>
            <w:tcW w:w="618" w:type="pct"/>
            <w:tcBorders>
              <w:top w:val="nil"/>
              <w:left w:val="nil"/>
              <w:bottom w:val="nil"/>
              <w:right w:val="single" w:sz="8" w:space="0" w:color="auto"/>
            </w:tcBorders>
            <w:shd w:val="clear" w:color="auto" w:fill="E5F1FF"/>
            <w:noWrap/>
            <w:vAlign w:val="center"/>
            <w:hideMark/>
          </w:tcPr>
          <w:p w14:paraId="04EF8DB3" w14:textId="77777777" w:rsidR="00DD54E5" w:rsidRPr="00D64068" w:rsidRDefault="00DD54E5" w:rsidP="00126238">
            <w:pPr>
              <w:spacing w:after="0"/>
              <w:jc w:val="center"/>
              <w:rPr>
                <w:rFonts w:eastAsia="Times New Roman" w:cs="Calibri"/>
                <w:b/>
                <w:color w:val="000000"/>
                <w:sz w:val="20"/>
                <w:szCs w:val="20"/>
                <w:lang w:eastAsia="cs-CZ"/>
              </w:rPr>
            </w:pPr>
            <w:r w:rsidRPr="00D64068">
              <w:rPr>
                <w:rFonts w:eastAsia="Times New Roman" w:cs="Calibri"/>
                <w:b/>
                <w:color w:val="000000"/>
                <w:sz w:val="20"/>
                <w:szCs w:val="20"/>
                <w:lang w:eastAsia="cs-CZ"/>
              </w:rPr>
              <w:t>do (včetně)</w:t>
            </w:r>
          </w:p>
        </w:tc>
        <w:tc>
          <w:tcPr>
            <w:tcW w:w="858" w:type="pct"/>
            <w:vMerge/>
            <w:tcBorders>
              <w:top w:val="nil"/>
              <w:left w:val="single" w:sz="8" w:space="0" w:color="auto"/>
              <w:bottom w:val="single" w:sz="8" w:space="0" w:color="auto"/>
              <w:right w:val="single" w:sz="8" w:space="0" w:color="auto"/>
            </w:tcBorders>
            <w:vAlign w:val="center"/>
            <w:hideMark/>
          </w:tcPr>
          <w:p w14:paraId="751BC352" w14:textId="77777777" w:rsidR="00DD54E5" w:rsidRPr="00D64068" w:rsidRDefault="00DD54E5" w:rsidP="00126238">
            <w:pPr>
              <w:spacing w:after="0"/>
              <w:jc w:val="center"/>
              <w:rPr>
                <w:rFonts w:eastAsia="Times New Roman" w:cs="Calibri"/>
                <w:color w:val="000000"/>
                <w:sz w:val="20"/>
                <w:szCs w:val="20"/>
                <w:lang w:eastAsia="cs-CZ"/>
              </w:rPr>
            </w:pPr>
          </w:p>
        </w:tc>
        <w:tc>
          <w:tcPr>
            <w:tcW w:w="761" w:type="pct"/>
            <w:vMerge/>
            <w:tcBorders>
              <w:top w:val="nil"/>
              <w:left w:val="single" w:sz="8" w:space="0" w:color="auto"/>
              <w:bottom w:val="single" w:sz="8" w:space="0" w:color="auto"/>
              <w:right w:val="single" w:sz="8" w:space="0" w:color="auto"/>
            </w:tcBorders>
            <w:vAlign w:val="center"/>
            <w:hideMark/>
          </w:tcPr>
          <w:p w14:paraId="452122F1" w14:textId="77777777" w:rsidR="00DD54E5" w:rsidRPr="00D64068" w:rsidRDefault="00DD54E5" w:rsidP="00126238">
            <w:pPr>
              <w:spacing w:after="0"/>
              <w:jc w:val="center"/>
              <w:rPr>
                <w:rFonts w:eastAsia="Times New Roman" w:cs="Calibri"/>
                <w:color w:val="000000"/>
                <w:sz w:val="20"/>
                <w:szCs w:val="20"/>
                <w:lang w:eastAsia="cs-CZ"/>
              </w:rPr>
            </w:pPr>
          </w:p>
        </w:tc>
      </w:tr>
      <w:tr w:rsidR="00DD54E5" w14:paraId="6491D068" w14:textId="77777777" w:rsidTr="00126238">
        <w:trPr>
          <w:trHeight w:val="60"/>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E9B55"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6EF9DFB9"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31.12.2005</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03089FDE"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7CE9AB3C"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2B5B27B8"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8 189</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14:paraId="630F7F41"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7 159</w:t>
            </w:r>
          </w:p>
        </w:tc>
      </w:tr>
      <w:tr w:rsidR="00DD54E5" w14:paraId="4CAB7F98"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48F4FFEB"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01.01.2006</w:t>
            </w:r>
          </w:p>
        </w:tc>
        <w:tc>
          <w:tcPr>
            <w:tcW w:w="1073" w:type="pct"/>
            <w:tcBorders>
              <w:top w:val="nil"/>
              <w:left w:val="nil"/>
              <w:bottom w:val="single" w:sz="4" w:space="0" w:color="auto"/>
              <w:right w:val="single" w:sz="4" w:space="0" w:color="auto"/>
            </w:tcBorders>
            <w:shd w:val="clear" w:color="auto" w:fill="auto"/>
            <w:noWrap/>
            <w:vAlign w:val="center"/>
            <w:hideMark/>
          </w:tcPr>
          <w:p w14:paraId="7A0AC7EA"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31.12.2007</w:t>
            </w:r>
          </w:p>
        </w:tc>
        <w:tc>
          <w:tcPr>
            <w:tcW w:w="617" w:type="pct"/>
            <w:tcBorders>
              <w:top w:val="nil"/>
              <w:left w:val="nil"/>
              <w:bottom w:val="single" w:sz="4" w:space="0" w:color="auto"/>
              <w:right w:val="single" w:sz="4" w:space="0" w:color="auto"/>
            </w:tcBorders>
            <w:shd w:val="clear" w:color="auto" w:fill="auto"/>
            <w:noWrap/>
            <w:vAlign w:val="center"/>
            <w:hideMark/>
          </w:tcPr>
          <w:p w14:paraId="0AA44B48"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618" w:type="pct"/>
            <w:tcBorders>
              <w:top w:val="nil"/>
              <w:left w:val="nil"/>
              <w:bottom w:val="single" w:sz="4" w:space="0" w:color="auto"/>
              <w:right w:val="single" w:sz="4" w:space="0" w:color="auto"/>
            </w:tcBorders>
            <w:shd w:val="clear" w:color="auto" w:fill="auto"/>
            <w:noWrap/>
            <w:vAlign w:val="center"/>
            <w:hideMark/>
          </w:tcPr>
          <w:p w14:paraId="5BE8B297"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nil"/>
              <w:left w:val="nil"/>
              <w:bottom w:val="single" w:sz="4" w:space="0" w:color="auto"/>
              <w:right w:val="single" w:sz="4" w:space="0" w:color="auto"/>
            </w:tcBorders>
            <w:shd w:val="clear" w:color="auto" w:fill="auto"/>
            <w:noWrap/>
            <w:vAlign w:val="center"/>
            <w:hideMark/>
          </w:tcPr>
          <w:p w14:paraId="091835DB"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17 185</w:t>
            </w:r>
          </w:p>
        </w:tc>
        <w:tc>
          <w:tcPr>
            <w:tcW w:w="761" w:type="pct"/>
            <w:tcBorders>
              <w:top w:val="nil"/>
              <w:left w:val="nil"/>
              <w:bottom w:val="single" w:sz="4" w:space="0" w:color="auto"/>
              <w:right w:val="single" w:sz="4" w:space="0" w:color="auto"/>
            </w:tcBorders>
            <w:shd w:val="clear" w:color="auto" w:fill="auto"/>
            <w:noWrap/>
            <w:vAlign w:val="center"/>
            <w:hideMark/>
          </w:tcPr>
          <w:p w14:paraId="00D6D4B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16 155</w:t>
            </w:r>
          </w:p>
        </w:tc>
      </w:tr>
      <w:tr w:rsidR="00DD54E5" w14:paraId="76DA3F08"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6A4AC182"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01.01.2008</w:t>
            </w:r>
          </w:p>
        </w:tc>
        <w:tc>
          <w:tcPr>
            <w:tcW w:w="1073" w:type="pct"/>
            <w:tcBorders>
              <w:top w:val="nil"/>
              <w:left w:val="nil"/>
              <w:bottom w:val="single" w:sz="4" w:space="0" w:color="auto"/>
              <w:right w:val="single" w:sz="4" w:space="0" w:color="auto"/>
            </w:tcBorders>
            <w:shd w:val="clear" w:color="auto" w:fill="auto"/>
            <w:noWrap/>
            <w:vAlign w:val="center"/>
            <w:hideMark/>
          </w:tcPr>
          <w:p w14:paraId="50EE94FB"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31.12.2008</w:t>
            </w:r>
          </w:p>
        </w:tc>
        <w:tc>
          <w:tcPr>
            <w:tcW w:w="617" w:type="pct"/>
            <w:tcBorders>
              <w:top w:val="nil"/>
              <w:left w:val="nil"/>
              <w:bottom w:val="single" w:sz="4" w:space="0" w:color="auto"/>
              <w:right w:val="single" w:sz="4" w:space="0" w:color="auto"/>
            </w:tcBorders>
            <w:shd w:val="clear" w:color="auto" w:fill="auto"/>
            <w:noWrap/>
            <w:vAlign w:val="center"/>
            <w:hideMark/>
          </w:tcPr>
          <w:p w14:paraId="6BD64B94"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618" w:type="pct"/>
            <w:tcBorders>
              <w:top w:val="nil"/>
              <w:left w:val="nil"/>
              <w:bottom w:val="single" w:sz="4" w:space="0" w:color="auto"/>
              <w:right w:val="single" w:sz="4" w:space="0" w:color="auto"/>
            </w:tcBorders>
            <w:shd w:val="clear" w:color="auto" w:fill="auto"/>
            <w:noWrap/>
            <w:vAlign w:val="center"/>
            <w:hideMark/>
          </w:tcPr>
          <w:p w14:paraId="171E6A46"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nil"/>
              <w:left w:val="nil"/>
              <w:bottom w:val="single" w:sz="4" w:space="0" w:color="auto"/>
              <w:right w:val="single" w:sz="4" w:space="0" w:color="auto"/>
            </w:tcBorders>
            <w:shd w:val="clear" w:color="auto" w:fill="auto"/>
            <w:noWrap/>
            <w:vAlign w:val="center"/>
            <w:hideMark/>
          </w:tcPr>
          <w:p w14:paraId="04DFBC80"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16 761</w:t>
            </w:r>
          </w:p>
        </w:tc>
        <w:tc>
          <w:tcPr>
            <w:tcW w:w="761" w:type="pct"/>
            <w:tcBorders>
              <w:top w:val="nil"/>
              <w:left w:val="nil"/>
              <w:bottom w:val="single" w:sz="4" w:space="0" w:color="auto"/>
              <w:right w:val="single" w:sz="4" w:space="0" w:color="auto"/>
            </w:tcBorders>
            <w:shd w:val="clear" w:color="auto" w:fill="auto"/>
            <w:noWrap/>
            <w:vAlign w:val="center"/>
            <w:hideMark/>
          </w:tcPr>
          <w:p w14:paraId="164F2F67"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15 731</w:t>
            </w:r>
          </w:p>
        </w:tc>
      </w:tr>
      <w:tr w:rsidR="00DD54E5" w14:paraId="5C094D4A"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2DB11416"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01.01.2009</w:t>
            </w:r>
          </w:p>
        </w:tc>
        <w:tc>
          <w:tcPr>
            <w:tcW w:w="1073" w:type="pct"/>
            <w:tcBorders>
              <w:top w:val="nil"/>
              <w:left w:val="nil"/>
              <w:bottom w:val="single" w:sz="4" w:space="0" w:color="auto"/>
              <w:right w:val="single" w:sz="4" w:space="0" w:color="auto"/>
            </w:tcBorders>
            <w:shd w:val="clear" w:color="auto" w:fill="auto"/>
            <w:noWrap/>
            <w:vAlign w:val="center"/>
            <w:hideMark/>
          </w:tcPr>
          <w:p w14:paraId="7D5C6555"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31.12.2009</w:t>
            </w:r>
          </w:p>
        </w:tc>
        <w:tc>
          <w:tcPr>
            <w:tcW w:w="617" w:type="pct"/>
            <w:tcBorders>
              <w:top w:val="nil"/>
              <w:left w:val="nil"/>
              <w:bottom w:val="single" w:sz="4" w:space="0" w:color="auto"/>
              <w:right w:val="single" w:sz="4" w:space="0" w:color="auto"/>
            </w:tcBorders>
            <w:shd w:val="clear" w:color="auto" w:fill="auto"/>
            <w:noWrap/>
            <w:vAlign w:val="center"/>
            <w:hideMark/>
          </w:tcPr>
          <w:p w14:paraId="5CA869C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43F014D2"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6C5BA855"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15 725</w:t>
            </w:r>
          </w:p>
        </w:tc>
        <w:tc>
          <w:tcPr>
            <w:tcW w:w="761" w:type="pct"/>
            <w:tcBorders>
              <w:top w:val="nil"/>
              <w:left w:val="nil"/>
              <w:bottom w:val="single" w:sz="4" w:space="0" w:color="auto"/>
              <w:right w:val="single" w:sz="4" w:space="0" w:color="auto"/>
            </w:tcBorders>
            <w:shd w:val="clear" w:color="auto" w:fill="auto"/>
            <w:noWrap/>
            <w:vAlign w:val="center"/>
            <w:hideMark/>
          </w:tcPr>
          <w:p w14:paraId="1355C23D"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14 535</w:t>
            </w:r>
          </w:p>
        </w:tc>
      </w:tr>
      <w:tr w:rsidR="00DD54E5" w14:paraId="3878D69B"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6BE6F363"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01.01.2009</w:t>
            </w:r>
          </w:p>
        </w:tc>
        <w:tc>
          <w:tcPr>
            <w:tcW w:w="1073" w:type="pct"/>
            <w:tcBorders>
              <w:top w:val="nil"/>
              <w:left w:val="nil"/>
              <w:bottom w:val="single" w:sz="4" w:space="0" w:color="auto"/>
              <w:right w:val="single" w:sz="4" w:space="0" w:color="auto"/>
            </w:tcBorders>
            <w:shd w:val="clear" w:color="auto" w:fill="auto"/>
            <w:noWrap/>
            <w:vAlign w:val="center"/>
            <w:hideMark/>
          </w:tcPr>
          <w:p w14:paraId="1613FF33"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31.12.2009</w:t>
            </w:r>
          </w:p>
        </w:tc>
        <w:tc>
          <w:tcPr>
            <w:tcW w:w="617" w:type="pct"/>
            <w:tcBorders>
              <w:top w:val="nil"/>
              <w:left w:val="nil"/>
              <w:bottom w:val="single" w:sz="4" w:space="0" w:color="auto"/>
              <w:right w:val="single" w:sz="4" w:space="0" w:color="auto"/>
            </w:tcBorders>
            <w:shd w:val="clear" w:color="auto" w:fill="auto"/>
            <w:noWrap/>
            <w:vAlign w:val="center"/>
            <w:hideMark/>
          </w:tcPr>
          <w:p w14:paraId="1832001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618" w:type="pct"/>
            <w:tcBorders>
              <w:top w:val="nil"/>
              <w:left w:val="nil"/>
              <w:bottom w:val="single" w:sz="4" w:space="0" w:color="auto"/>
              <w:right w:val="single" w:sz="4" w:space="0" w:color="auto"/>
            </w:tcBorders>
            <w:shd w:val="clear" w:color="auto" w:fill="auto"/>
            <w:noWrap/>
            <w:vAlign w:val="center"/>
            <w:hideMark/>
          </w:tcPr>
          <w:p w14:paraId="513A9E3E"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nil"/>
              <w:left w:val="nil"/>
              <w:bottom w:val="single" w:sz="4" w:space="0" w:color="auto"/>
              <w:right w:val="single" w:sz="4" w:space="0" w:color="auto"/>
            </w:tcBorders>
            <w:shd w:val="clear" w:color="auto" w:fill="auto"/>
            <w:noWrap/>
            <w:vAlign w:val="center"/>
            <w:hideMark/>
          </w:tcPr>
          <w:p w14:paraId="50D57E3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15 610</w:t>
            </w:r>
          </w:p>
        </w:tc>
        <w:tc>
          <w:tcPr>
            <w:tcW w:w="761" w:type="pct"/>
            <w:tcBorders>
              <w:top w:val="nil"/>
              <w:left w:val="nil"/>
              <w:bottom w:val="single" w:sz="4" w:space="0" w:color="auto"/>
              <w:right w:val="single" w:sz="4" w:space="0" w:color="auto"/>
            </w:tcBorders>
            <w:shd w:val="clear" w:color="auto" w:fill="auto"/>
            <w:noWrap/>
            <w:vAlign w:val="center"/>
            <w:hideMark/>
          </w:tcPr>
          <w:p w14:paraId="2958386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14 580</w:t>
            </w:r>
          </w:p>
        </w:tc>
      </w:tr>
      <w:tr w:rsidR="00DD54E5" w14:paraId="2C31B725"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0ECDD692"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01.01.2010</w:t>
            </w:r>
          </w:p>
        </w:tc>
        <w:tc>
          <w:tcPr>
            <w:tcW w:w="1073" w:type="pct"/>
            <w:tcBorders>
              <w:top w:val="nil"/>
              <w:left w:val="nil"/>
              <w:bottom w:val="single" w:sz="4" w:space="0" w:color="auto"/>
              <w:right w:val="single" w:sz="4" w:space="0" w:color="auto"/>
            </w:tcBorders>
            <w:shd w:val="clear" w:color="auto" w:fill="auto"/>
            <w:noWrap/>
            <w:vAlign w:val="center"/>
            <w:hideMark/>
          </w:tcPr>
          <w:p w14:paraId="09AD65DA"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31.12.2010</w:t>
            </w:r>
          </w:p>
        </w:tc>
        <w:tc>
          <w:tcPr>
            <w:tcW w:w="617" w:type="pct"/>
            <w:tcBorders>
              <w:top w:val="nil"/>
              <w:left w:val="nil"/>
              <w:bottom w:val="single" w:sz="4" w:space="0" w:color="auto"/>
              <w:right w:val="single" w:sz="4" w:space="0" w:color="auto"/>
            </w:tcBorders>
            <w:shd w:val="clear" w:color="auto" w:fill="auto"/>
            <w:noWrap/>
            <w:vAlign w:val="center"/>
            <w:hideMark/>
          </w:tcPr>
          <w:p w14:paraId="5C290242"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2C48824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74BBCC7D"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14 646</w:t>
            </w:r>
          </w:p>
        </w:tc>
        <w:tc>
          <w:tcPr>
            <w:tcW w:w="761" w:type="pct"/>
            <w:tcBorders>
              <w:top w:val="nil"/>
              <w:left w:val="nil"/>
              <w:bottom w:val="single" w:sz="4" w:space="0" w:color="auto"/>
              <w:right w:val="single" w:sz="4" w:space="0" w:color="auto"/>
            </w:tcBorders>
            <w:shd w:val="clear" w:color="auto" w:fill="auto"/>
            <w:noWrap/>
            <w:vAlign w:val="center"/>
            <w:hideMark/>
          </w:tcPr>
          <w:p w14:paraId="63A0D5A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13 456</w:t>
            </w:r>
          </w:p>
        </w:tc>
      </w:tr>
      <w:tr w:rsidR="00DD54E5" w14:paraId="049A963D"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0A4BDEDC"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01.01.2010</w:t>
            </w:r>
          </w:p>
        </w:tc>
        <w:tc>
          <w:tcPr>
            <w:tcW w:w="1073" w:type="pct"/>
            <w:tcBorders>
              <w:top w:val="nil"/>
              <w:left w:val="nil"/>
              <w:bottom w:val="single" w:sz="4" w:space="0" w:color="auto"/>
              <w:right w:val="single" w:sz="4" w:space="0" w:color="auto"/>
            </w:tcBorders>
            <w:shd w:val="clear" w:color="auto" w:fill="auto"/>
            <w:noWrap/>
            <w:vAlign w:val="center"/>
            <w:hideMark/>
          </w:tcPr>
          <w:p w14:paraId="1BB15E4A"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31.12.2010</w:t>
            </w:r>
          </w:p>
        </w:tc>
        <w:tc>
          <w:tcPr>
            <w:tcW w:w="617" w:type="pct"/>
            <w:tcBorders>
              <w:top w:val="nil"/>
              <w:left w:val="nil"/>
              <w:bottom w:val="single" w:sz="4" w:space="0" w:color="auto"/>
              <w:right w:val="single" w:sz="4" w:space="0" w:color="auto"/>
            </w:tcBorders>
            <w:shd w:val="clear" w:color="auto" w:fill="auto"/>
            <w:noWrap/>
            <w:vAlign w:val="center"/>
            <w:hideMark/>
          </w:tcPr>
          <w:p w14:paraId="7E7AF17B"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618" w:type="pct"/>
            <w:tcBorders>
              <w:top w:val="nil"/>
              <w:left w:val="nil"/>
              <w:bottom w:val="single" w:sz="4" w:space="0" w:color="auto"/>
              <w:right w:val="single" w:sz="4" w:space="0" w:color="auto"/>
            </w:tcBorders>
            <w:shd w:val="clear" w:color="auto" w:fill="auto"/>
            <w:noWrap/>
            <w:vAlign w:val="center"/>
            <w:hideMark/>
          </w:tcPr>
          <w:p w14:paraId="4D8EE927"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nil"/>
              <w:left w:val="nil"/>
              <w:bottom w:val="single" w:sz="4" w:space="0" w:color="auto"/>
              <w:right w:val="single" w:sz="4" w:space="0" w:color="auto"/>
            </w:tcBorders>
            <w:shd w:val="clear" w:color="auto" w:fill="auto"/>
            <w:noWrap/>
            <w:vAlign w:val="center"/>
            <w:hideMark/>
          </w:tcPr>
          <w:p w14:paraId="7E93658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14 530</w:t>
            </w:r>
          </w:p>
        </w:tc>
        <w:tc>
          <w:tcPr>
            <w:tcW w:w="761" w:type="pct"/>
            <w:tcBorders>
              <w:top w:val="nil"/>
              <w:left w:val="nil"/>
              <w:bottom w:val="single" w:sz="4" w:space="0" w:color="auto"/>
              <w:right w:val="single" w:sz="4" w:space="0" w:color="auto"/>
            </w:tcBorders>
            <w:shd w:val="clear" w:color="auto" w:fill="auto"/>
            <w:noWrap/>
            <w:vAlign w:val="center"/>
            <w:hideMark/>
          </w:tcPr>
          <w:p w14:paraId="77AB604E"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13 500</w:t>
            </w:r>
          </w:p>
        </w:tc>
      </w:tr>
      <w:tr w:rsidR="00DD54E5" w14:paraId="0FF4B531"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3982460D"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01.01.2011</w:t>
            </w:r>
          </w:p>
        </w:tc>
        <w:tc>
          <w:tcPr>
            <w:tcW w:w="1073" w:type="pct"/>
            <w:tcBorders>
              <w:top w:val="nil"/>
              <w:left w:val="nil"/>
              <w:bottom w:val="single" w:sz="4" w:space="0" w:color="auto"/>
              <w:right w:val="single" w:sz="4" w:space="0" w:color="auto"/>
            </w:tcBorders>
            <w:shd w:val="clear" w:color="auto" w:fill="auto"/>
            <w:noWrap/>
            <w:vAlign w:val="center"/>
            <w:hideMark/>
          </w:tcPr>
          <w:p w14:paraId="55C63AC9"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31.12.2011</w:t>
            </w:r>
          </w:p>
        </w:tc>
        <w:tc>
          <w:tcPr>
            <w:tcW w:w="617" w:type="pct"/>
            <w:tcBorders>
              <w:top w:val="nil"/>
              <w:left w:val="nil"/>
              <w:bottom w:val="single" w:sz="4" w:space="0" w:color="auto"/>
              <w:right w:val="single" w:sz="4" w:space="0" w:color="auto"/>
            </w:tcBorders>
            <w:shd w:val="clear" w:color="auto" w:fill="auto"/>
            <w:noWrap/>
            <w:vAlign w:val="center"/>
            <w:hideMark/>
          </w:tcPr>
          <w:p w14:paraId="30CA179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53F8159C"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6F61D105"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8 787</w:t>
            </w:r>
          </w:p>
        </w:tc>
        <w:tc>
          <w:tcPr>
            <w:tcW w:w="761" w:type="pct"/>
            <w:tcBorders>
              <w:top w:val="nil"/>
              <w:left w:val="nil"/>
              <w:bottom w:val="single" w:sz="4" w:space="0" w:color="auto"/>
              <w:right w:val="single" w:sz="4" w:space="0" w:color="auto"/>
            </w:tcBorders>
            <w:shd w:val="clear" w:color="auto" w:fill="auto"/>
            <w:noWrap/>
            <w:vAlign w:val="center"/>
            <w:hideMark/>
          </w:tcPr>
          <w:p w14:paraId="169C945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7 597</w:t>
            </w:r>
          </w:p>
        </w:tc>
      </w:tr>
      <w:tr w:rsidR="00DD54E5" w14:paraId="6108D301"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39D7C083"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01.01.2011</w:t>
            </w:r>
          </w:p>
        </w:tc>
        <w:tc>
          <w:tcPr>
            <w:tcW w:w="1073" w:type="pct"/>
            <w:tcBorders>
              <w:top w:val="nil"/>
              <w:left w:val="nil"/>
              <w:bottom w:val="single" w:sz="4" w:space="0" w:color="auto"/>
              <w:right w:val="single" w:sz="4" w:space="0" w:color="auto"/>
            </w:tcBorders>
            <w:shd w:val="clear" w:color="auto" w:fill="auto"/>
            <w:noWrap/>
            <w:vAlign w:val="center"/>
            <w:hideMark/>
          </w:tcPr>
          <w:p w14:paraId="250145C5"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31.12.2011</w:t>
            </w:r>
          </w:p>
        </w:tc>
        <w:tc>
          <w:tcPr>
            <w:tcW w:w="617" w:type="pct"/>
            <w:tcBorders>
              <w:top w:val="nil"/>
              <w:left w:val="nil"/>
              <w:bottom w:val="single" w:sz="4" w:space="0" w:color="auto"/>
              <w:right w:val="single" w:sz="4" w:space="0" w:color="auto"/>
            </w:tcBorders>
            <w:shd w:val="clear" w:color="auto" w:fill="auto"/>
            <w:noWrap/>
            <w:vAlign w:val="center"/>
            <w:hideMark/>
          </w:tcPr>
          <w:p w14:paraId="3CDE6AC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618" w:type="pct"/>
            <w:tcBorders>
              <w:top w:val="nil"/>
              <w:left w:val="nil"/>
              <w:bottom w:val="single" w:sz="4" w:space="0" w:color="auto"/>
              <w:right w:val="single" w:sz="4" w:space="0" w:color="auto"/>
            </w:tcBorders>
            <w:shd w:val="clear" w:color="auto" w:fill="auto"/>
            <w:noWrap/>
            <w:vAlign w:val="center"/>
            <w:hideMark/>
          </w:tcPr>
          <w:p w14:paraId="3BB38127"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100</w:t>
            </w:r>
          </w:p>
        </w:tc>
        <w:tc>
          <w:tcPr>
            <w:tcW w:w="858" w:type="pct"/>
            <w:tcBorders>
              <w:top w:val="nil"/>
              <w:left w:val="nil"/>
              <w:bottom w:val="single" w:sz="4" w:space="0" w:color="auto"/>
              <w:right w:val="single" w:sz="4" w:space="0" w:color="auto"/>
            </w:tcBorders>
            <w:shd w:val="clear" w:color="auto" w:fill="auto"/>
            <w:noWrap/>
            <w:vAlign w:val="center"/>
            <w:hideMark/>
          </w:tcPr>
          <w:p w14:paraId="706E90B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6 916</w:t>
            </w:r>
          </w:p>
        </w:tc>
        <w:tc>
          <w:tcPr>
            <w:tcW w:w="761" w:type="pct"/>
            <w:tcBorders>
              <w:top w:val="nil"/>
              <w:left w:val="nil"/>
              <w:bottom w:val="single" w:sz="4" w:space="0" w:color="auto"/>
              <w:right w:val="single" w:sz="4" w:space="0" w:color="auto"/>
            </w:tcBorders>
            <w:shd w:val="clear" w:color="auto" w:fill="auto"/>
            <w:noWrap/>
            <w:vAlign w:val="center"/>
            <w:hideMark/>
          </w:tcPr>
          <w:p w14:paraId="5CB32E6C"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5 886</w:t>
            </w:r>
          </w:p>
        </w:tc>
      </w:tr>
      <w:tr w:rsidR="00DD54E5" w14:paraId="1C06C4A9"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2A93AB2D"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01.01.2011</w:t>
            </w:r>
          </w:p>
        </w:tc>
        <w:tc>
          <w:tcPr>
            <w:tcW w:w="1073" w:type="pct"/>
            <w:tcBorders>
              <w:top w:val="nil"/>
              <w:left w:val="nil"/>
              <w:bottom w:val="single" w:sz="4" w:space="0" w:color="auto"/>
              <w:right w:val="single" w:sz="4" w:space="0" w:color="auto"/>
            </w:tcBorders>
            <w:shd w:val="clear" w:color="auto" w:fill="auto"/>
            <w:noWrap/>
            <w:vAlign w:val="center"/>
            <w:hideMark/>
          </w:tcPr>
          <w:p w14:paraId="7E1AA0B4"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31.12.2011</w:t>
            </w:r>
          </w:p>
        </w:tc>
        <w:tc>
          <w:tcPr>
            <w:tcW w:w="617" w:type="pct"/>
            <w:tcBorders>
              <w:top w:val="nil"/>
              <w:left w:val="nil"/>
              <w:bottom w:val="single" w:sz="4" w:space="0" w:color="auto"/>
              <w:right w:val="single" w:sz="4" w:space="0" w:color="auto"/>
            </w:tcBorders>
            <w:shd w:val="clear" w:color="auto" w:fill="auto"/>
            <w:noWrap/>
            <w:vAlign w:val="center"/>
            <w:hideMark/>
          </w:tcPr>
          <w:p w14:paraId="5E9424E8"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100</w:t>
            </w:r>
          </w:p>
        </w:tc>
        <w:tc>
          <w:tcPr>
            <w:tcW w:w="618" w:type="pct"/>
            <w:tcBorders>
              <w:top w:val="nil"/>
              <w:left w:val="nil"/>
              <w:bottom w:val="single" w:sz="4" w:space="0" w:color="auto"/>
              <w:right w:val="single" w:sz="4" w:space="0" w:color="auto"/>
            </w:tcBorders>
            <w:shd w:val="clear" w:color="auto" w:fill="auto"/>
            <w:noWrap/>
            <w:vAlign w:val="center"/>
            <w:hideMark/>
          </w:tcPr>
          <w:p w14:paraId="7458BA82"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w:t>
            </w:r>
          </w:p>
        </w:tc>
        <w:tc>
          <w:tcPr>
            <w:tcW w:w="858" w:type="pct"/>
            <w:tcBorders>
              <w:top w:val="nil"/>
              <w:left w:val="nil"/>
              <w:bottom w:val="single" w:sz="4" w:space="0" w:color="auto"/>
              <w:right w:val="single" w:sz="4" w:space="0" w:color="auto"/>
            </w:tcBorders>
            <w:shd w:val="clear" w:color="auto" w:fill="auto"/>
            <w:noWrap/>
            <w:vAlign w:val="center"/>
            <w:hideMark/>
          </w:tcPr>
          <w:p w14:paraId="0AF81274"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6 444</w:t>
            </w:r>
          </w:p>
        </w:tc>
        <w:tc>
          <w:tcPr>
            <w:tcW w:w="761" w:type="pct"/>
            <w:tcBorders>
              <w:top w:val="nil"/>
              <w:left w:val="nil"/>
              <w:bottom w:val="single" w:sz="4" w:space="0" w:color="auto"/>
              <w:right w:val="single" w:sz="4" w:space="0" w:color="auto"/>
            </w:tcBorders>
            <w:shd w:val="clear" w:color="auto" w:fill="auto"/>
            <w:noWrap/>
            <w:vAlign w:val="center"/>
            <w:hideMark/>
          </w:tcPr>
          <w:p w14:paraId="69E89E1E"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5 414</w:t>
            </w:r>
          </w:p>
        </w:tc>
      </w:tr>
      <w:tr w:rsidR="00DD54E5" w14:paraId="08B082D7"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4AB3401D"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01.01.2012</w:t>
            </w:r>
          </w:p>
        </w:tc>
        <w:tc>
          <w:tcPr>
            <w:tcW w:w="1073" w:type="pct"/>
            <w:tcBorders>
              <w:top w:val="nil"/>
              <w:left w:val="nil"/>
              <w:bottom w:val="single" w:sz="4" w:space="0" w:color="auto"/>
              <w:right w:val="single" w:sz="4" w:space="0" w:color="auto"/>
            </w:tcBorders>
            <w:shd w:val="clear" w:color="auto" w:fill="auto"/>
            <w:noWrap/>
            <w:vAlign w:val="center"/>
            <w:hideMark/>
          </w:tcPr>
          <w:p w14:paraId="59AF85A1"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31.12.2012</w:t>
            </w:r>
          </w:p>
        </w:tc>
        <w:tc>
          <w:tcPr>
            <w:tcW w:w="617" w:type="pct"/>
            <w:tcBorders>
              <w:top w:val="nil"/>
              <w:left w:val="nil"/>
              <w:bottom w:val="single" w:sz="4" w:space="0" w:color="auto"/>
              <w:right w:val="single" w:sz="4" w:space="0" w:color="auto"/>
            </w:tcBorders>
            <w:shd w:val="clear" w:color="auto" w:fill="auto"/>
            <w:noWrap/>
            <w:vAlign w:val="center"/>
            <w:hideMark/>
          </w:tcPr>
          <w:p w14:paraId="3DA65D50"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32568827"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3CB1FB96"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7 077</w:t>
            </w:r>
          </w:p>
        </w:tc>
        <w:tc>
          <w:tcPr>
            <w:tcW w:w="761" w:type="pct"/>
            <w:tcBorders>
              <w:top w:val="nil"/>
              <w:left w:val="nil"/>
              <w:bottom w:val="single" w:sz="4" w:space="0" w:color="auto"/>
              <w:right w:val="single" w:sz="4" w:space="0" w:color="auto"/>
            </w:tcBorders>
            <w:shd w:val="clear" w:color="auto" w:fill="auto"/>
            <w:noWrap/>
            <w:vAlign w:val="center"/>
            <w:hideMark/>
          </w:tcPr>
          <w:p w14:paraId="130D84E8"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5 887</w:t>
            </w:r>
          </w:p>
        </w:tc>
      </w:tr>
      <w:tr w:rsidR="00DD54E5" w14:paraId="4A26C601"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76981B50"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01.01.2013</w:t>
            </w:r>
          </w:p>
        </w:tc>
        <w:tc>
          <w:tcPr>
            <w:tcW w:w="1073" w:type="pct"/>
            <w:tcBorders>
              <w:top w:val="nil"/>
              <w:left w:val="nil"/>
              <w:bottom w:val="single" w:sz="4" w:space="0" w:color="auto"/>
              <w:right w:val="single" w:sz="4" w:space="0" w:color="auto"/>
            </w:tcBorders>
            <w:shd w:val="clear" w:color="auto" w:fill="auto"/>
            <w:noWrap/>
            <w:vAlign w:val="center"/>
            <w:hideMark/>
          </w:tcPr>
          <w:p w14:paraId="445CC885"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30.06.2013</w:t>
            </w:r>
          </w:p>
        </w:tc>
        <w:tc>
          <w:tcPr>
            <w:tcW w:w="617" w:type="pct"/>
            <w:tcBorders>
              <w:top w:val="nil"/>
              <w:left w:val="nil"/>
              <w:bottom w:val="single" w:sz="4" w:space="0" w:color="auto"/>
              <w:right w:val="single" w:sz="4" w:space="0" w:color="auto"/>
            </w:tcBorders>
            <w:shd w:val="clear" w:color="auto" w:fill="auto"/>
            <w:noWrap/>
            <w:vAlign w:val="center"/>
            <w:hideMark/>
          </w:tcPr>
          <w:p w14:paraId="368564EB"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367D539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w:t>
            </w:r>
          </w:p>
        </w:tc>
        <w:tc>
          <w:tcPr>
            <w:tcW w:w="858" w:type="pct"/>
            <w:tcBorders>
              <w:top w:val="nil"/>
              <w:left w:val="nil"/>
              <w:bottom w:val="single" w:sz="4" w:space="0" w:color="auto"/>
              <w:right w:val="single" w:sz="4" w:space="0" w:color="auto"/>
            </w:tcBorders>
            <w:shd w:val="clear" w:color="auto" w:fill="auto"/>
            <w:noWrap/>
            <w:vAlign w:val="center"/>
            <w:hideMark/>
          </w:tcPr>
          <w:p w14:paraId="00FD18A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3 840</w:t>
            </w:r>
          </w:p>
        </w:tc>
        <w:tc>
          <w:tcPr>
            <w:tcW w:w="761" w:type="pct"/>
            <w:tcBorders>
              <w:top w:val="nil"/>
              <w:left w:val="nil"/>
              <w:bottom w:val="single" w:sz="4" w:space="0" w:color="auto"/>
              <w:right w:val="single" w:sz="4" w:space="0" w:color="auto"/>
            </w:tcBorders>
            <w:shd w:val="clear" w:color="auto" w:fill="auto"/>
            <w:noWrap/>
            <w:vAlign w:val="center"/>
            <w:hideMark/>
          </w:tcPr>
          <w:p w14:paraId="08A8ADF8"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2 650</w:t>
            </w:r>
          </w:p>
        </w:tc>
      </w:tr>
      <w:tr w:rsidR="00DD54E5" w14:paraId="1F1BC201"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4C870192"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01.01.2013</w:t>
            </w:r>
          </w:p>
        </w:tc>
        <w:tc>
          <w:tcPr>
            <w:tcW w:w="1073" w:type="pct"/>
            <w:tcBorders>
              <w:top w:val="nil"/>
              <w:left w:val="nil"/>
              <w:bottom w:val="single" w:sz="4" w:space="0" w:color="auto"/>
              <w:right w:val="single" w:sz="4" w:space="0" w:color="auto"/>
            </w:tcBorders>
            <w:shd w:val="clear" w:color="auto" w:fill="auto"/>
            <w:noWrap/>
            <w:vAlign w:val="center"/>
            <w:hideMark/>
          </w:tcPr>
          <w:p w14:paraId="72542117"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30.06.2013</w:t>
            </w:r>
          </w:p>
        </w:tc>
        <w:tc>
          <w:tcPr>
            <w:tcW w:w="617" w:type="pct"/>
            <w:tcBorders>
              <w:top w:val="nil"/>
              <w:left w:val="nil"/>
              <w:bottom w:val="single" w:sz="4" w:space="0" w:color="auto"/>
              <w:right w:val="single" w:sz="4" w:space="0" w:color="auto"/>
            </w:tcBorders>
            <w:shd w:val="clear" w:color="auto" w:fill="auto"/>
            <w:noWrap/>
            <w:vAlign w:val="center"/>
            <w:hideMark/>
          </w:tcPr>
          <w:p w14:paraId="20867481"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w:t>
            </w:r>
          </w:p>
        </w:tc>
        <w:tc>
          <w:tcPr>
            <w:tcW w:w="618" w:type="pct"/>
            <w:tcBorders>
              <w:top w:val="nil"/>
              <w:left w:val="nil"/>
              <w:bottom w:val="single" w:sz="4" w:space="0" w:color="auto"/>
              <w:right w:val="single" w:sz="4" w:space="0" w:color="auto"/>
            </w:tcBorders>
            <w:shd w:val="clear" w:color="auto" w:fill="auto"/>
            <w:noWrap/>
            <w:vAlign w:val="center"/>
            <w:hideMark/>
          </w:tcPr>
          <w:p w14:paraId="61304A2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1499E3C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3 188</w:t>
            </w:r>
          </w:p>
        </w:tc>
        <w:tc>
          <w:tcPr>
            <w:tcW w:w="761" w:type="pct"/>
            <w:tcBorders>
              <w:top w:val="nil"/>
              <w:left w:val="nil"/>
              <w:bottom w:val="single" w:sz="4" w:space="0" w:color="auto"/>
              <w:right w:val="single" w:sz="4" w:space="0" w:color="auto"/>
            </w:tcBorders>
            <w:shd w:val="clear" w:color="auto" w:fill="auto"/>
            <w:noWrap/>
            <w:vAlign w:val="center"/>
            <w:hideMark/>
          </w:tcPr>
          <w:p w14:paraId="6EC538A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1 998</w:t>
            </w:r>
          </w:p>
        </w:tc>
      </w:tr>
      <w:tr w:rsidR="00DD54E5" w14:paraId="4837398B"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06EE57BD"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01.07.2013</w:t>
            </w:r>
          </w:p>
        </w:tc>
        <w:tc>
          <w:tcPr>
            <w:tcW w:w="1073" w:type="pct"/>
            <w:tcBorders>
              <w:top w:val="nil"/>
              <w:left w:val="nil"/>
              <w:bottom w:val="single" w:sz="4" w:space="0" w:color="auto"/>
              <w:right w:val="single" w:sz="4" w:space="0" w:color="auto"/>
            </w:tcBorders>
            <w:shd w:val="clear" w:color="auto" w:fill="auto"/>
            <w:noWrap/>
            <w:vAlign w:val="center"/>
            <w:hideMark/>
          </w:tcPr>
          <w:p w14:paraId="00A8AA0E"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31.12.2013</w:t>
            </w:r>
          </w:p>
        </w:tc>
        <w:tc>
          <w:tcPr>
            <w:tcW w:w="617" w:type="pct"/>
            <w:tcBorders>
              <w:top w:val="nil"/>
              <w:left w:val="nil"/>
              <w:bottom w:val="single" w:sz="4" w:space="0" w:color="auto"/>
              <w:right w:val="single" w:sz="4" w:space="0" w:color="auto"/>
            </w:tcBorders>
            <w:shd w:val="clear" w:color="auto" w:fill="auto"/>
            <w:noWrap/>
            <w:vAlign w:val="center"/>
            <w:hideMark/>
          </w:tcPr>
          <w:p w14:paraId="61909DF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center"/>
            <w:hideMark/>
          </w:tcPr>
          <w:p w14:paraId="040A2159"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w:t>
            </w:r>
          </w:p>
        </w:tc>
        <w:tc>
          <w:tcPr>
            <w:tcW w:w="858" w:type="pct"/>
            <w:tcBorders>
              <w:top w:val="nil"/>
              <w:left w:val="nil"/>
              <w:bottom w:val="single" w:sz="4" w:space="0" w:color="auto"/>
              <w:right w:val="single" w:sz="4" w:space="0" w:color="auto"/>
            </w:tcBorders>
            <w:shd w:val="clear" w:color="auto" w:fill="auto"/>
            <w:noWrap/>
            <w:vAlign w:val="center"/>
            <w:hideMark/>
          </w:tcPr>
          <w:p w14:paraId="13AE0CE1"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3 367</w:t>
            </w:r>
          </w:p>
        </w:tc>
        <w:tc>
          <w:tcPr>
            <w:tcW w:w="761" w:type="pct"/>
            <w:tcBorders>
              <w:top w:val="nil"/>
              <w:left w:val="nil"/>
              <w:bottom w:val="single" w:sz="4" w:space="0" w:color="auto"/>
              <w:right w:val="single" w:sz="4" w:space="0" w:color="auto"/>
            </w:tcBorders>
            <w:shd w:val="clear" w:color="auto" w:fill="auto"/>
            <w:noWrap/>
            <w:vAlign w:val="center"/>
            <w:hideMark/>
          </w:tcPr>
          <w:p w14:paraId="1730DA66"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2 177</w:t>
            </w:r>
          </w:p>
        </w:tc>
      </w:tr>
      <w:tr w:rsidR="00DD54E5" w14:paraId="6568DC4C" w14:textId="77777777" w:rsidTr="00126238">
        <w:trPr>
          <w:trHeight w:val="62"/>
        </w:trPr>
        <w:tc>
          <w:tcPr>
            <w:tcW w:w="1073" w:type="pct"/>
            <w:tcBorders>
              <w:top w:val="nil"/>
              <w:left w:val="single" w:sz="4" w:space="0" w:color="auto"/>
              <w:bottom w:val="single" w:sz="4" w:space="0" w:color="auto"/>
              <w:right w:val="single" w:sz="4" w:space="0" w:color="auto"/>
            </w:tcBorders>
            <w:shd w:val="clear" w:color="auto" w:fill="auto"/>
            <w:noWrap/>
            <w:vAlign w:val="center"/>
            <w:hideMark/>
          </w:tcPr>
          <w:p w14:paraId="09A77612"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01.07.2013</w:t>
            </w:r>
          </w:p>
        </w:tc>
        <w:tc>
          <w:tcPr>
            <w:tcW w:w="1073" w:type="pct"/>
            <w:tcBorders>
              <w:top w:val="nil"/>
              <w:left w:val="nil"/>
              <w:bottom w:val="single" w:sz="4" w:space="0" w:color="auto"/>
              <w:right w:val="single" w:sz="4" w:space="0" w:color="auto"/>
            </w:tcBorders>
            <w:shd w:val="clear" w:color="auto" w:fill="auto"/>
            <w:noWrap/>
            <w:vAlign w:val="center"/>
            <w:hideMark/>
          </w:tcPr>
          <w:p w14:paraId="78694B94" w14:textId="77777777" w:rsidR="00DD54E5" w:rsidRPr="00D64068" w:rsidRDefault="00DD54E5" w:rsidP="00126238">
            <w:pPr>
              <w:spacing w:after="0"/>
              <w:jc w:val="center"/>
              <w:rPr>
                <w:rFonts w:eastAsia="Times New Roman" w:cs="Calibri"/>
                <w:color w:val="000000"/>
                <w:sz w:val="20"/>
                <w:szCs w:val="20"/>
                <w:lang w:eastAsia="cs-CZ"/>
              </w:rPr>
            </w:pPr>
            <w:r w:rsidRPr="00D64068">
              <w:rPr>
                <w:rFonts w:eastAsia="Times New Roman" w:cs="Calibri"/>
                <w:color w:val="000000"/>
                <w:sz w:val="20"/>
                <w:szCs w:val="20"/>
                <w:lang w:eastAsia="cs-CZ"/>
              </w:rPr>
              <w:t>31.12.2013</w:t>
            </w:r>
          </w:p>
        </w:tc>
        <w:tc>
          <w:tcPr>
            <w:tcW w:w="617" w:type="pct"/>
            <w:tcBorders>
              <w:top w:val="nil"/>
              <w:left w:val="nil"/>
              <w:bottom w:val="single" w:sz="4" w:space="0" w:color="auto"/>
              <w:right w:val="single" w:sz="4" w:space="0" w:color="auto"/>
            </w:tcBorders>
            <w:shd w:val="clear" w:color="auto" w:fill="auto"/>
            <w:noWrap/>
            <w:vAlign w:val="center"/>
            <w:hideMark/>
          </w:tcPr>
          <w:p w14:paraId="7A85720F"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5</w:t>
            </w:r>
          </w:p>
        </w:tc>
        <w:tc>
          <w:tcPr>
            <w:tcW w:w="618" w:type="pct"/>
            <w:tcBorders>
              <w:top w:val="nil"/>
              <w:left w:val="nil"/>
              <w:bottom w:val="single" w:sz="4" w:space="0" w:color="auto"/>
              <w:right w:val="single" w:sz="4" w:space="0" w:color="auto"/>
            </w:tcBorders>
            <w:shd w:val="clear" w:color="auto" w:fill="auto"/>
            <w:noWrap/>
            <w:vAlign w:val="center"/>
            <w:hideMark/>
          </w:tcPr>
          <w:p w14:paraId="6C75AF0B"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30</w:t>
            </w:r>
          </w:p>
        </w:tc>
        <w:tc>
          <w:tcPr>
            <w:tcW w:w="858" w:type="pct"/>
            <w:tcBorders>
              <w:top w:val="nil"/>
              <w:left w:val="nil"/>
              <w:bottom w:val="single" w:sz="4" w:space="0" w:color="auto"/>
              <w:right w:val="single" w:sz="4" w:space="0" w:color="auto"/>
            </w:tcBorders>
            <w:shd w:val="clear" w:color="auto" w:fill="auto"/>
            <w:noWrap/>
            <w:vAlign w:val="center"/>
            <w:hideMark/>
          </w:tcPr>
          <w:p w14:paraId="79C9341A"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2 739</w:t>
            </w:r>
          </w:p>
        </w:tc>
        <w:tc>
          <w:tcPr>
            <w:tcW w:w="761" w:type="pct"/>
            <w:tcBorders>
              <w:top w:val="nil"/>
              <w:left w:val="nil"/>
              <w:bottom w:val="single" w:sz="4" w:space="0" w:color="auto"/>
              <w:right w:val="single" w:sz="4" w:space="0" w:color="auto"/>
            </w:tcBorders>
            <w:shd w:val="clear" w:color="auto" w:fill="auto"/>
            <w:noWrap/>
            <w:vAlign w:val="center"/>
            <w:hideMark/>
          </w:tcPr>
          <w:p w14:paraId="36E0B412" w14:textId="77777777" w:rsidR="00DD54E5" w:rsidRPr="00D64068" w:rsidRDefault="00DD54E5" w:rsidP="005E0F74">
            <w:pPr>
              <w:spacing w:after="0"/>
              <w:ind w:right="125"/>
              <w:jc w:val="right"/>
              <w:rPr>
                <w:rFonts w:eastAsia="Times New Roman" w:cs="Calibri"/>
                <w:color w:val="000000"/>
                <w:sz w:val="20"/>
                <w:szCs w:val="20"/>
                <w:lang w:eastAsia="cs-CZ"/>
              </w:rPr>
            </w:pPr>
            <w:r w:rsidRPr="00D64068">
              <w:rPr>
                <w:rFonts w:eastAsia="Times New Roman" w:cs="Calibri"/>
                <w:color w:val="000000"/>
                <w:sz w:val="20"/>
                <w:szCs w:val="20"/>
                <w:lang w:eastAsia="cs-CZ"/>
              </w:rPr>
              <w:t>1 549</w:t>
            </w:r>
          </w:p>
        </w:tc>
      </w:tr>
    </w:tbl>
    <w:p w14:paraId="02D82D93" w14:textId="613BF23D" w:rsidR="00DD54E5" w:rsidRDefault="00DD54E5" w:rsidP="00C153D7">
      <w:pPr>
        <w:spacing w:after="0"/>
        <w:ind w:left="567" w:hanging="567"/>
        <w:rPr>
          <w:sz w:val="20"/>
          <w:szCs w:val="20"/>
          <w:lang w:eastAsia="cs-CZ"/>
        </w:rPr>
      </w:pPr>
      <w:r w:rsidRPr="00322D76">
        <w:rPr>
          <w:b/>
          <w:sz w:val="20"/>
          <w:szCs w:val="20"/>
          <w:lang w:eastAsia="cs-CZ"/>
        </w:rPr>
        <w:t>Zdroj:</w:t>
      </w:r>
      <w:r w:rsidRPr="005D08F9">
        <w:rPr>
          <w:sz w:val="20"/>
          <w:szCs w:val="20"/>
          <w:lang w:eastAsia="cs-CZ"/>
        </w:rPr>
        <w:t xml:space="preserve"> </w:t>
      </w:r>
      <w:r w:rsidR="005E0F74">
        <w:rPr>
          <w:sz w:val="20"/>
          <w:szCs w:val="20"/>
          <w:lang w:eastAsia="cs-CZ"/>
        </w:rPr>
        <w:tab/>
      </w:r>
      <w:r w:rsidR="0020224F">
        <w:rPr>
          <w:sz w:val="20"/>
          <w:szCs w:val="20"/>
          <w:lang w:eastAsia="cs-CZ"/>
        </w:rPr>
        <w:t>c</w:t>
      </w:r>
      <w:r w:rsidRPr="005D08F9">
        <w:rPr>
          <w:sz w:val="20"/>
          <w:szCs w:val="20"/>
          <w:lang w:eastAsia="cs-CZ"/>
        </w:rPr>
        <w:t>enové rozhodnutí Energetického regulačního úřadu č. 3/2018 ze dne 25. září 2018, kterým se stanovuje podpora pro podporované zdroje energie.</w:t>
      </w:r>
    </w:p>
    <w:p w14:paraId="3A590B56" w14:textId="77777777" w:rsidR="00C153D7" w:rsidRPr="005D08F9" w:rsidRDefault="00C153D7" w:rsidP="00C153D7">
      <w:pPr>
        <w:spacing w:after="0"/>
        <w:ind w:left="567" w:hanging="567"/>
        <w:rPr>
          <w:sz w:val="20"/>
          <w:szCs w:val="20"/>
          <w:lang w:eastAsia="cs-CZ"/>
        </w:rPr>
      </w:pPr>
    </w:p>
    <w:p w14:paraId="0514BF29" w14:textId="3830E393" w:rsidR="00DD54E5" w:rsidRDefault="00DD54E5" w:rsidP="00C153D7">
      <w:pPr>
        <w:tabs>
          <w:tab w:val="left" w:pos="1470"/>
        </w:tabs>
        <w:spacing w:after="0"/>
        <w:rPr>
          <w:lang w:eastAsia="cs-CZ"/>
        </w:rPr>
      </w:pPr>
      <w:r w:rsidRPr="00D64068">
        <w:rPr>
          <w:lang w:eastAsia="cs-CZ"/>
        </w:rPr>
        <w:t>Provozní podpora pro FVE uvedené do provozu od 1.</w:t>
      </w:r>
      <w:r>
        <w:rPr>
          <w:lang w:eastAsia="cs-CZ"/>
        </w:rPr>
        <w:t xml:space="preserve"> </w:t>
      </w:r>
      <w:r w:rsidRPr="00D64068">
        <w:rPr>
          <w:lang w:eastAsia="cs-CZ"/>
        </w:rPr>
        <w:t>1.</w:t>
      </w:r>
      <w:r>
        <w:rPr>
          <w:lang w:eastAsia="cs-CZ"/>
        </w:rPr>
        <w:t xml:space="preserve"> </w:t>
      </w:r>
      <w:r w:rsidRPr="00D64068">
        <w:rPr>
          <w:lang w:eastAsia="cs-CZ"/>
        </w:rPr>
        <w:t>2014 byla cenovým rozhodnutím ERU č. 4/2013 zrušena, tj. nové výrob</w:t>
      </w:r>
      <w:r>
        <w:rPr>
          <w:lang w:eastAsia="cs-CZ"/>
        </w:rPr>
        <w:t xml:space="preserve">ny již nemají na podporu nárok. </w:t>
      </w:r>
      <w:r w:rsidRPr="00C704E5">
        <w:rPr>
          <w:lang w:eastAsia="cs-CZ"/>
        </w:rPr>
        <w:t xml:space="preserve">Provozovatelé mohou požádat o investiční dotaci v rámci programu </w:t>
      </w:r>
      <w:r w:rsidRPr="002459CF">
        <w:rPr>
          <w:i/>
          <w:lang w:eastAsia="cs-CZ"/>
        </w:rPr>
        <w:t>Nová zelená úsporám</w:t>
      </w:r>
      <w:r w:rsidR="0020224F">
        <w:rPr>
          <w:lang w:eastAsia="cs-CZ"/>
        </w:rPr>
        <w:t>,</w:t>
      </w:r>
      <w:r w:rsidRPr="00C704E5">
        <w:rPr>
          <w:lang w:eastAsia="cs-CZ"/>
        </w:rPr>
        <w:t xml:space="preserve"> a to jak pro realizace FVE na rodinných domech, tak na bytových domech. Jedná se o programy C.3.3 až C.3.6, s výší podpory až 100 tis Kč pro 50</w:t>
      </w:r>
      <w:r w:rsidR="0020224F">
        <w:rPr>
          <w:lang w:eastAsia="cs-CZ"/>
        </w:rPr>
        <w:t> </w:t>
      </w:r>
      <w:r w:rsidRPr="00C704E5">
        <w:rPr>
          <w:lang w:eastAsia="cs-CZ"/>
        </w:rPr>
        <w:t>% doložených způsobilých výdajů.</w:t>
      </w:r>
    </w:p>
    <w:p w14:paraId="07F63501" w14:textId="77777777" w:rsidR="00C153D7" w:rsidRPr="00C153D7" w:rsidRDefault="00C153D7" w:rsidP="00C153D7">
      <w:pPr>
        <w:spacing w:after="0"/>
        <w:ind w:left="567" w:hanging="567"/>
        <w:rPr>
          <w:szCs w:val="20"/>
          <w:lang w:eastAsia="cs-CZ"/>
        </w:rPr>
      </w:pPr>
    </w:p>
    <w:p w14:paraId="0B5C282E" w14:textId="7CE17540" w:rsidR="00DD54E5" w:rsidRDefault="003626E4" w:rsidP="005E0F74">
      <w:pPr>
        <w:pStyle w:val="Tabulka"/>
        <w:numPr>
          <w:ilvl w:val="0"/>
          <w:numId w:val="0"/>
        </w:numPr>
        <w:spacing w:after="40"/>
        <w:rPr>
          <w:lang w:eastAsia="cs-CZ"/>
        </w:rPr>
      </w:pPr>
      <w:r>
        <w:rPr>
          <w:lang w:eastAsia="cs-CZ"/>
        </w:rPr>
        <w:t xml:space="preserve">Tabulka č. 4: </w:t>
      </w:r>
      <w:r w:rsidR="00DD54E5">
        <w:rPr>
          <w:lang w:eastAsia="cs-CZ"/>
        </w:rPr>
        <w:t xml:space="preserve">Vyúčtovaná podpora OZE </w:t>
      </w:r>
      <w:r w:rsidR="0020224F">
        <w:rPr>
          <w:lang w:eastAsia="cs-CZ"/>
        </w:rPr>
        <w:t>(</w:t>
      </w:r>
      <w:r w:rsidR="00DD54E5">
        <w:rPr>
          <w:lang w:eastAsia="cs-CZ"/>
        </w:rPr>
        <w:t>v mil. Kč</w:t>
      </w:r>
      <w:r w:rsidR="0020224F">
        <w:rPr>
          <w:lang w:eastAsia="cs-CZ"/>
        </w:rPr>
        <w:t>)</w:t>
      </w:r>
    </w:p>
    <w:tbl>
      <w:tblPr>
        <w:tblStyle w:val="Mkatabulky"/>
        <w:tblW w:w="5000" w:type="pct"/>
        <w:tblLook w:val="04A0" w:firstRow="1" w:lastRow="0" w:firstColumn="1" w:lastColumn="0" w:noHBand="0" w:noVBand="1"/>
      </w:tblPr>
      <w:tblGrid>
        <w:gridCol w:w="2547"/>
        <w:gridCol w:w="1086"/>
        <w:gridCol w:w="1086"/>
        <w:gridCol w:w="1086"/>
        <w:gridCol w:w="1085"/>
        <w:gridCol w:w="1085"/>
        <w:gridCol w:w="1085"/>
      </w:tblGrid>
      <w:tr w:rsidR="00DD54E5" w14:paraId="44AB3C20" w14:textId="77777777" w:rsidTr="005E0F74">
        <w:trPr>
          <w:trHeight w:val="227"/>
        </w:trPr>
        <w:tc>
          <w:tcPr>
            <w:tcW w:w="1405" w:type="pct"/>
            <w:shd w:val="clear" w:color="auto" w:fill="E5F1FF"/>
            <w:vAlign w:val="center"/>
            <w:hideMark/>
          </w:tcPr>
          <w:p w14:paraId="697E24C1" w14:textId="77777777" w:rsidR="00DD54E5" w:rsidRPr="00C7391B" w:rsidRDefault="00DD54E5" w:rsidP="005E0F74">
            <w:pPr>
              <w:spacing w:after="0"/>
              <w:jc w:val="center"/>
              <w:rPr>
                <w:b/>
                <w:bCs/>
                <w:sz w:val="20"/>
                <w:szCs w:val="20"/>
                <w:lang w:eastAsia="cs-CZ"/>
              </w:rPr>
            </w:pPr>
            <w:r>
              <w:rPr>
                <w:b/>
                <w:bCs/>
                <w:sz w:val="20"/>
                <w:szCs w:val="20"/>
                <w:lang w:eastAsia="cs-CZ"/>
              </w:rPr>
              <w:t>Rok</w:t>
            </w:r>
          </w:p>
        </w:tc>
        <w:tc>
          <w:tcPr>
            <w:tcW w:w="599" w:type="pct"/>
            <w:shd w:val="clear" w:color="auto" w:fill="E5F1FF"/>
            <w:vAlign w:val="center"/>
            <w:hideMark/>
          </w:tcPr>
          <w:p w14:paraId="2754FB39" w14:textId="77777777" w:rsidR="00DD54E5" w:rsidRPr="00C7391B" w:rsidRDefault="00DD54E5" w:rsidP="005E0F74">
            <w:pPr>
              <w:spacing w:after="0"/>
              <w:jc w:val="center"/>
              <w:rPr>
                <w:b/>
                <w:bCs/>
                <w:sz w:val="20"/>
                <w:szCs w:val="20"/>
                <w:lang w:eastAsia="cs-CZ"/>
              </w:rPr>
            </w:pPr>
            <w:r w:rsidRPr="00C7391B">
              <w:rPr>
                <w:b/>
                <w:bCs/>
                <w:sz w:val="20"/>
                <w:szCs w:val="20"/>
                <w:lang w:eastAsia="cs-CZ"/>
              </w:rPr>
              <w:t>2013</w:t>
            </w:r>
          </w:p>
        </w:tc>
        <w:tc>
          <w:tcPr>
            <w:tcW w:w="599" w:type="pct"/>
            <w:shd w:val="clear" w:color="auto" w:fill="E5F1FF"/>
            <w:vAlign w:val="center"/>
            <w:hideMark/>
          </w:tcPr>
          <w:p w14:paraId="02367DE5" w14:textId="77777777" w:rsidR="00DD54E5" w:rsidRPr="00C7391B" w:rsidRDefault="00DD54E5" w:rsidP="005E0F74">
            <w:pPr>
              <w:spacing w:after="0"/>
              <w:jc w:val="center"/>
              <w:rPr>
                <w:b/>
                <w:bCs/>
                <w:sz w:val="20"/>
                <w:szCs w:val="20"/>
                <w:lang w:eastAsia="cs-CZ"/>
              </w:rPr>
            </w:pPr>
            <w:r w:rsidRPr="00C7391B">
              <w:rPr>
                <w:b/>
                <w:bCs/>
                <w:sz w:val="20"/>
                <w:szCs w:val="20"/>
                <w:lang w:eastAsia="cs-CZ"/>
              </w:rPr>
              <w:t>2014</w:t>
            </w:r>
          </w:p>
        </w:tc>
        <w:tc>
          <w:tcPr>
            <w:tcW w:w="599" w:type="pct"/>
            <w:shd w:val="clear" w:color="auto" w:fill="E5F1FF"/>
            <w:vAlign w:val="center"/>
            <w:hideMark/>
          </w:tcPr>
          <w:p w14:paraId="7F8878E7" w14:textId="77777777" w:rsidR="00DD54E5" w:rsidRPr="00C7391B" w:rsidRDefault="00DD54E5" w:rsidP="005E0F74">
            <w:pPr>
              <w:spacing w:after="0"/>
              <w:jc w:val="center"/>
              <w:rPr>
                <w:b/>
                <w:bCs/>
                <w:sz w:val="20"/>
                <w:szCs w:val="20"/>
                <w:lang w:eastAsia="cs-CZ"/>
              </w:rPr>
            </w:pPr>
            <w:r w:rsidRPr="00C7391B">
              <w:rPr>
                <w:b/>
                <w:bCs/>
                <w:sz w:val="20"/>
                <w:szCs w:val="20"/>
                <w:lang w:eastAsia="cs-CZ"/>
              </w:rPr>
              <w:t>2015</w:t>
            </w:r>
          </w:p>
        </w:tc>
        <w:tc>
          <w:tcPr>
            <w:tcW w:w="599" w:type="pct"/>
            <w:shd w:val="clear" w:color="auto" w:fill="E5F1FF"/>
            <w:vAlign w:val="center"/>
            <w:hideMark/>
          </w:tcPr>
          <w:p w14:paraId="31933766" w14:textId="77777777" w:rsidR="00DD54E5" w:rsidRPr="00C7391B" w:rsidRDefault="00DD54E5" w:rsidP="005E0F74">
            <w:pPr>
              <w:spacing w:after="0"/>
              <w:jc w:val="center"/>
              <w:rPr>
                <w:b/>
                <w:bCs/>
                <w:sz w:val="20"/>
                <w:szCs w:val="20"/>
                <w:lang w:eastAsia="cs-CZ"/>
              </w:rPr>
            </w:pPr>
            <w:r w:rsidRPr="00C7391B">
              <w:rPr>
                <w:b/>
                <w:bCs/>
                <w:sz w:val="20"/>
                <w:szCs w:val="20"/>
                <w:lang w:eastAsia="cs-CZ"/>
              </w:rPr>
              <w:t>2016</w:t>
            </w:r>
          </w:p>
        </w:tc>
        <w:tc>
          <w:tcPr>
            <w:tcW w:w="599" w:type="pct"/>
            <w:shd w:val="clear" w:color="auto" w:fill="E5F1FF"/>
            <w:vAlign w:val="center"/>
            <w:hideMark/>
          </w:tcPr>
          <w:p w14:paraId="77C109CF" w14:textId="77777777" w:rsidR="00DD54E5" w:rsidRPr="00C7391B" w:rsidRDefault="00DD54E5" w:rsidP="005E0F74">
            <w:pPr>
              <w:spacing w:after="0"/>
              <w:jc w:val="center"/>
              <w:rPr>
                <w:b/>
                <w:bCs/>
                <w:sz w:val="20"/>
                <w:szCs w:val="20"/>
                <w:lang w:eastAsia="cs-CZ"/>
              </w:rPr>
            </w:pPr>
            <w:r w:rsidRPr="00C7391B">
              <w:rPr>
                <w:b/>
                <w:bCs/>
                <w:sz w:val="20"/>
                <w:szCs w:val="20"/>
                <w:lang w:eastAsia="cs-CZ"/>
              </w:rPr>
              <w:t>2017</w:t>
            </w:r>
          </w:p>
        </w:tc>
        <w:tc>
          <w:tcPr>
            <w:tcW w:w="599" w:type="pct"/>
            <w:shd w:val="clear" w:color="auto" w:fill="E5F1FF"/>
            <w:vAlign w:val="center"/>
            <w:hideMark/>
          </w:tcPr>
          <w:p w14:paraId="43A24E86" w14:textId="77777777" w:rsidR="00DD54E5" w:rsidRPr="00C7391B" w:rsidRDefault="00DD54E5" w:rsidP="005E0F74">
            <w:pPr>
              <w:spacing w:after="0"/>
              <w:jc w:val="center"/>
              <w:rPr>
                <w:b/>
                <w:bCs/>
                <w:sz w:val="20"/>
                <w:szCs w:val="20"/>
                <w:lang w:eastAsia="cs-CZ"/>
              </w:rPr>
            </w:pPr>
            <w:r w:rsidRPr="00C7391B">
              <w:rPr>
                <w:b/>
                <w:bCs/>
                <w:sz w:val="20"/>
                <w:szCs w:val="20"/>
                <w:lang w:eastAsia="cs-CZ"/>
              </w:rPr>
              <w:t>2018</w:t>
            </w:r>
          </w:p>
        </w:tc>
      </w:tr>
      <w:tr w:rsidR="00DD54E5" w14:paraId="1AD63783" w14:textId="77777777" w:rsidTr="005E0F74">
        <w:trPr>
          <w:trHeight w:val="227"/>
        </w:trPr>
        <w:tc>
          <w:tcPr>
            <w:tcW w:w="1405" w:type="pct"/>
            <w:vAlign w:val="center"/>
            <w:hideMark/>
          </w:tcPr>
          <w:p w14:paraId="782E8278" w14:textId="77777777" w:rsidR="00DD54E5" w:rsidRPr="00C7391B" w:rsidRDefault="00DD54E5" w:rsidP="005E0F74">
            <w:pPr>
              <w:spacing w:after="0"/>
              <w:jc w:val="left"/>
              <w:rPr>
                <w:bCs/>
                <w:sz w:val="20"/>
                <w:szCs w:val="20"/>
                <w:lang w:eastAsia="cs-CZ"/>
              </w:rPr>
            </w:pPr>
            <w:r w:rsidRPr="00C7391B">
              <w:rPr>
                <w:bCs/>
                <w:sz w:val="20"/>
                <w:szCs w:val="20"/>
                <w:lang w:eastAsia="cs-CZ"/>
              </w:rPr>
              <w:t>Obnovitelné zdroje</w:t>
            </w:r>
          </w:p>
        </w:tc>
        <w:tc>
          <w:tcPr>
            <w:tcW w:w="599" w:type="pct"/>
            <w:vAlign w:val="center"/>
            <w:hideMark/>
          </w:tcPr>
          <w:p w14:paraId="2B50368C"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34 922</w:t>
            </w:r>
          </w:p>
        </w:tc>
        <w:tc>
          <w:tcPr>
            <w:tcW w:w="599" w:type="pct"/>
            <w:vAlign w:val="center"/>
            <w:hideMark/>
          </w:tcPr>
          <w:p w14:paraId="3F496390"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38 361</w:t>
            </w:r>
          </w:p>
        </w:tc>
        <w:tc>
          <w:tcPr>
            <w:tcW w:w="599" w:type="pct"/>
            <w:vAlign w:val="center"/>
            <w:hideMark/>
          </w:tcPr>
          <w:p w14:paraId="7D7D68D2"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41 098</w:t>
            </w:r>
          </w:p>
        </w:tc>
        <w:tc>
          <w:tcPr>
            <w:tcW w:w="599" w:type="pct"/>
            <w:vAlign w:val="center"/>
            <w:hideMark/>
          </w:tcPr>
          <w:p w14:paraId="4F2B3481"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40 752</w:t>
            </w:r>
          </w:p>
        </w:tc>
        <w:tc>
          <w:tcPr>
            <w:tcW w:w="599" w:type="pct"/>
            <w:vAlign w:val="center"/>
            <w:hideMark/>
          </w:tcPr>
          <w:p w14:paraId="478A0836"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43 154 </w:t>
            </w:r>
          </w:p>
        </w:tc>
        <w:tc>
          <w:tcPr>
            <w:tcW w:w="599" w:type="pct"/>
            <w:vAlign w:val="center"/>
            <w:hideMark/>
          </w:tcPr>
          <w:p w14:paraId="1569E72C"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43 689 </w:t>
            </w:r>
          </w:p>
        </w:tc>
      </w:tr>
      <w:tr w:rsidR="00DD54E5" w14:paraId="1AD405AE" w14:textId="77777777" w:rsidTr="005E0F74">
        <w:trPr>
          <w:trHeight w:val="227"/>
        </w:trPr>
        <w:tc>
          <w:tcPr>
            <w:tcW w:w="1405" w:type="pct"/>
            <w:vAlign w:val="center"/>
            <w:hideMark/>
          </w:tcPr>
          <w:p w14:paraId="271C5CBB" w14:textId="77777777" w:rsidR="00DD54E5" w:rsidRPr="00C7391B" w:rsidRDefault="00DD54E5" w:rsidP="005E0F74">
            <w:pPr>
              <w:spacing w:after="0"/>
              <w:jc w:val="left"/>
              <w:rPr>
                <w:bCs/>
                <w:sz w:val="20"/>
                <w:szCs w:val="20"/>
                <w:lang w:eastAsia="cs-CZ"/>
              </w:rPr>
            </w:pPr>
            <w:r w:rsidRPr="00C7391B">
              <w:rPr>
                <w:bCs/>
                <w:sz w:val="20"/>
                <w:szCs w:val="20"/>
                <w:lang w:eastAsia="cs-CZ"/>
              </w:rPr>
              <w:t>Sluneční</w:t>
            </w:r>
          </w:p>
        </w:tc>
        <w:tc>
          <w:tcPr>
            <w:tcW w:w="599" w:type="pct"/>
            <w:vAlign w:val="center"/>
            <w:hideMark/>
          </w:tcPr>
          <w:p w14:paraId="061E37FF"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23 279</w:t>
            </w:r>
          </w:p>
        </w:tc>
        <w:tc>
          <w:tcPr>
            <w:tcW w:w="599" w:type="pct"/>
            <w:vAlign w:val="center"/>
            <w:hideMark/>
          </w:tcPr>
          <w:p w14:paraId="5056DEBE"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24 601</w:t>
            </w:r>
          </w:p>
        </w:tc>
        <w:tc>
          <w:tcPr>
            <w:tcW w:w="599" w:type="pct"/>
            <w:vAlign w:val="center"/>
            <w:hideMark/>
          </w:tcPr>
          <w:p w14:paraId="2FAC0633"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26 804</w:t>
            </w:r>
          </w:p>
        </w:tc>
        <w:tc>
          <w:tcPr>
            <w:tcW w:w="599" w:type="pct"/>
            <w:vAlign w:val="center"/>
            <w:hideMark/>
          </w:tcPr>
          <w:p w14:paraId="7576B0EF"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25 911</w:t>
            </w:r>
          </w:p>
        </w:tc>
        <w:tc>
          <w:tcPr>
            <w:tcW w:w="599" w:type="pct"/>
            <w:vAlign w:val="center"/>
            <w:hideMark/>
          </w:tcPr>
          <w:p w14:paraId="656EBBEE"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27 002</w:t>
            </w:r>
          </w:p>
        </w:tc>
        <w:tc>
          <w:tcPr>
            <w:tcW w:w="599" w:type="pct"/>
            <w:vAlign w:val="center"/>
            <w:hideMark/>
          </w:tcPr>
          <w:p w14:paraId="642C8415" w14:textId="77777777" w:rsidR="00DD54E5" w:rsidRPr="00C7391B" w:rsidRDefault="00DD54E5" w:rsidP="005E0F74">
            <w:pPr>
              <w:spacing w:after="0"/>
              <w:ind w:right="57"/>
              <w:jc w:val="right"/>
              <w:rPr>
                <w:bCs/>
                <w:sz w:val="20"/>
                <w:szCs w:val="20"/>
                <w:lang w:eastAsia="cs-CZ"/>
              </w:rPr>
            </w:pPr>
            <w:r w:rsidRPr="00C7391B">
              <w:rPr>
                <w:bCs/>
                <w:sz w:val="20"/>
                <w:szCs w:val="20"/>
                <w:lang w:eastAsia="cs-CZ"/>
              </w:rPr>
              <w:t>29 203</w:t>
            </w:r>
          </w:p>
        </w:tc>
      </w:tr>
      <w:tr w:rsidR="00DD54E5" w14:paraId="6FAA43D6" w14:textId="77777777" w:rsidTr="005E0F74">
        <w:trPr>
          <w:trHeight w:val="227"/>
        </w:trPr>
        <w:tc>
          <w:tcPr>
            <w:tcW w:w="1405" w:type="pct"/>
            <w:vAlign w:val="center"/>
            <w:hideMark/>
          </w:tcPr>
          <w:p w14:paraId="52EA94D7" w14:textId="3445AEE7" w:rsidR="00DD54E5" w:rsidRPr="00C7391B" w:rsidRDefault="00DD54E5" w:rsidP="0020224F">
            <w:pPr>
              <w:spacing w:after="0"/>
              <w:jc w:val="left"/>
              <w:rPr>
                <w:sz w:val="20"/>
                <w:szCs w:val="20"/>
                <w:lang w:eastAsia="cs-CZ"/>
              </w:rPr>
            </w:pPr>
            <w:r w:rsidRPr="00C7391B">
              <w:rPr>
                <w:sz w:val="20"/>
                <w:szCs w:val="20"/>
                <w:lang w:eastAsia="cs-CZ"/>
              </w:rPr>
              <w:t> </w:t>
            </w:r>
            <w:r w:rsidR="0020224F">
              <w:rPr>
                <w:sz w:val="20"/>
                <w:szCs w:val="20"/>
                <w:lang w:eastAsia="cs-CZ"/>
              </w:rPr>
              <w:t>–</w:t>
            </w:r>
            <w:r w:rsidRPr="00C7391B">
              <w:rPr>
                <w:sz w:val="20"/>
                <w:szCs w:val="20"/>
                <w:lang w:eastAsia="cs-CZ"/>
              </w:rPr>
              <w:t xml:space="preserve"> sluneční (ZB)</w:t>
            </w:r>
          </w:p>
        </w:tc>
        <w:tc>
          <w:tcPr>
            <w:tcW w:w="599" w:type="pct"/>
            <w:vAlign w:val="center"/>
            <w:hideMark/>
          </w:tcPr>
          <w:p w14:paraId="0C5CD187" w14:textId="77777777" w:rsidR="00DD54E5" w:rsidRPr="00C7391B" w:rsidRDefault="00DD54E5" w:rsidP="005E0F74">
            <w:pPr>
              <w:spacing w:after="0"/>
              <w:ind w:right="57"/>
              <w:jc w:val="right"/>
              <w:rPr>
                <w:sz w:val="20"/>
                <w:szCs w:val="20"/>
                <w:lang w:eastAsia="cs-CZ"/>
              </w:rPr>
            </w:pPr>
            <w:r w:rsidRPr="00C7391B">
              <w:rPr>
                <w:sz w:val="20"/>
                <w:szCs w:val="20"/>
                <w:lang w:eastAsia="cs-CZ"/>
              </w:rPr>
              <w:t>6 927</w:t>
            </w:r>
          </w:p>
        </w:tc>
        <w:tc>
          <w:tcPr>
            <w:tcW w:w="599" w:type="pct"/>
            <w:vAlign w:val="center"/>
            <w:hideMark/>
          </w:tcPr>
          <w:p w14:paraId="5FDEDE37" w14:textId="77777777" w:rsidR="00DD54E5" w:rsidRPr="00C7391B" w:rsidRDefault="00DD54E5" w:rsidP="005E0F74">
            <w:pPr>
              <w:spacing w:after="0"/>
              <w:ind w:right="57"/>
              <w:jc w:val="right"/>
              <w:rPr>
                <w:sz w:val="20"/>
                <w:szCs w:val="20"/>
                <w:lang w:eastAsia="cs-CZ"/>
              </w:rPr>
            </w:pPr>
            <w:r w:rsidRPr="00C7391B">
              <w:rPr>
                <w:sz w:val="20"/>
                <w:szCs w:val="20"/>
                <w:lang w:eastAsia="cs-CZ"/>
              </w:rPr>
              <w:t>8 252</w:t>
            </w:r>
          </w:p>
        </w:tc>
        <w:tc>
          <w:tcPr>
            <w:tcW w:w="599" w:type="pct"/>
            <w:vAlign w:val="center"/>
            <w:hideMark/>
          </w:tcPr>
          <w:p w14:paraId="03FFCA56" w14:textId="77777777" w:rsidR="00DD54E5" w:rsidRPr="00C7391B" w:rsidRDefault="00DD54E5" w:rsidP="005E0F74">
            <w:pPr>
              <w:spacing w:after="0"/>
              <w:ind w:right="57"/>
              <w:jc w:val="right"/>
              <w:rPr>
                <w:sz w:val="20"/>
                <w:szCs w:val="20"/>
                <w:lang w:eastAsia="cs-CZ"/>
              </w:rPr>
            </w:pPr>
            <w:r w:rsidRPr="00C7391B">
              <w:rPr>
                <w:sz w:val="20"/>
                <w:szCs w:val="20"/>
                <w:lang w:eastAsia="cs-CZ"/>
              </w:rPr>
              <w:t>9 494</w:t>
            </w:r>
          </w:p>
        </w:tc>
        <w:tc>
          <w:tcPr>
            <w:tcW w:w="599" w:type="pct"/>
            <w:vAlign w:val="center"/>
            <w:hideMark/>
          </w:tcPr>
          <w:p w14:paraId="0701FD5E" w14:textId="77777777" w:rsidR="00DD54E5" w:rsidRPr="00C7391B" w:rsidRDefault="00DD54E5" w:rsidP="005E0F74">
            <w:pPr>
              <w:spacing w:after="0"/>
              <w:ind w:right="57"/>
              <w:jc w:val="right"/>
              <w:rPr>
                <w:sz w:val="20"/>
                <w:szCs w:val="20"/>
                <w:lang w:eastAsia="cs-CZ"/>
              </w:rPr>
            </w:pPr>
            <w:r w:rsidRPr="00C7391B">
              <w:rPr>
                <w:sz w:val="20"/>
                <w:szCs w:val="20"/>
                <w:lang w:eastAsia="cs-CZ"/>
              </w:rPr>
              <w:t>10 312</w:t>
            </w:r>
          </w:p>
        </w:tc>
        <w:tc>
          <w:tcPr>
            <w:tcW w:w="599" w:type="pct"/>
            <w:vAlign w:val="center"/>
            <w:hideMark/>
          </w:tcPr>
          <w:p w14:paraId="7261B47F" w14:textId="77777777" w:rsidR="00DD54E5" w:rsidRPr="00C7391B" w:rsidRDefault="00DD54E5" w:rsidP="005E0F74">
            <w:pPr>
              <w:spacing w:after="0"/>
              <w:ind w:right="57"/>
              <w:jc w:val="right"/>
              <w:rPr>
                <w:sz w:val="20"/>
                <w:szCs w:val="20"/>
                <w:lang w:eastAsia="cs-CZ"/>
              </w:rPr>
            </w:pPr>
            <w:r w:rsidRPr="00C7391B">
              <w:rPr>
                <w:sz w:val="20"/>
                <w:szCs w:val="20"/>
                <w:lang w:eastAsia="cs-CZ"/>
              </w:rPr>
              <w:t>11 071</w:t>
            </w:r>
          </w:p>
        </w:tc>
        <w:tc>
          <w:tcPr>
            <w:tcW w:w="599" w:type="pct"/>
            <w:vAlign w:val="center"/>
            <w:hideMark/>
          </w:tcPr>
          <w:p w14:paraId="29565291" w14:textId="77777777" w:rsidR="00DD54E5" w:rsidRPr="00C7391B" w:rsidRDefault="00DD54E5" w:rsidP="005E0F74">
            <w:pPr>
              <w:spacing w:after="0"/>
              <w:ind w:right="57"/>
              <w:jc w:val="right"/>
              <w:rPr>
                <w:sz w:val="20"/>
                <w:szCs w:val="20"/>
                <w:lang w:eastAsia="cs-CZ"/>
              </w:rPr>
            </w:pPr>
            <w:r w:rsidRPr="00C7391B">
              <w:rPr>
                <w:sz w:val="20"/>
                <w:szCs w:val="20"/>
                <w:lang w:eastAsia="cs-CZ"/>
              </w:rPr>
              <w:t>12 495</w:t>
            </w:r>
          </w:p>
        </w:tc>
      </w:tr>
      <w:tr w:rsidR="00DD54E5" w14:paraId="0B7A3286" w14:textId="77777777" w:rsidTr="005E0F74">
        <w:trPr>
          <w:trHeight w:val="227"/>
        </w:trPr>
        <w:tc>
          <w:tcPr>
            <w:tcW w:w="1405" w:type="pct"/>
            <w:vAlign w:val="center"/>
            <w:hideMark/>
          </w:tcPr>
          <w:p w14:paraId="71F96DAA" w14:textId="7053945B" w:rsidR="00DD54E5" w:rsidRPr="00C7391B" w:rsidRDefault="00DD54E5" w:rsidP="0020224F">
            <w:pPr>
              <w:spacing w:after="0"/>
              <w:jc w:val="left"/>
              <w:rPr>
                <w:sz w:val="20"/>
                <w:szCs w:val="20"/>
                <w:lang w:eastAsia="cs-CZ"/>
              </w:rPr>
            </w:pPr>
            <w:r w:rsidRPr="00C7391B">
              <w:rPr>
                <w:sz w:val="20"/>
                <w:szCs w:val="20"/>
                <w:lang w:eastAsia="cs-CZ"/>
              </w:rPr>
              <w:t xml:space="preserve"> </w:t>
            </w:r>
            <w:r w:rsidR="0020224F">
              <w:rPr>
                <w:sz w:val="20"/>
                <w:szCs w:val="20"/>
                <w:lang w:eastAsia="cs-CZ"/>
              </w:rPr>
              <w:t>–</w:t>
            </w:r>
            <w:r w:rsidRPr="00C7391B">
              <w:rPr>
                <w:sz w:val="20"/>
                <w:szCs w:val="20"/>
                <w:lang w:eastAsia="cs-CZ"/>
              </w:rPr>
              <w:t xml:space="preserve"> sluneční (VC)</w:t>
            </w:r>
          </w:p>
        </w:tc>
        <w:tc>
          <w:tcPr>
            <w:tcW w:w="599" w:type="pct"/>
            <w:vAlign w:val="center"/>
            <w:hideMark/>
          </w:tcPr>
          <w:p w14:paraId="08F0F598" w14:textId="77777777" w:rsidR="00DD54E5" w:rsidRPr="00C7391B" w:rsidRDefault="00DD54E5" w:rsidP="005E0F74">
            <w:pPr>
              <w:spacing w:after="0"/>
              <w:ind w:right="57"/>
              <w:jc w:val="right"/>
              <w:rPr>
                <w:sz w:val="20"/>
                <w:szCs w:val="20"/>
                <w:lang w:eastAsia="cs-CZ"/>
              </w:rPr>
            </w:pPr>
            <w:r w:rsidRPr="00C7391B">
              <w:rPr>
                <w:sz w:val="20"/>
                <w:szCs w:val="20"/>
                <w:lang w:eastAsia="cs-CZ"/>
              </w:rPr>
              <w:t>16 352</w:t>
            </w:r>
          </w:p>
        </w:tc>
        <w:tc>
          <w:tcPr>
            <w:tcW w:w="599" w:type="pct"/>
            <w:vAlign w:val="center"/>
            <w:hideMark/>
          </w:tcPr>
          <w:p w14:paraId="1F0A6BD0" w14:textId="77777777" w:rsidR="00DD54E5" w:rsidRPr="00C7391B" w:rsidRDefault="00DD54E5" w:rsidP="005E0F74">
            <w:pPr>
              <w:spacing w:after="0"/>
              <w:ind w:right="57"/>
              <w:jc w:val="right"/>
              <w:rPr>
                <w:sz w:val="20"/>
                <w:szCs w:val="20"/>
                <w:lang w:eastAsia="cs-CZ"/>
              </w:rPr>
            </w:pPr>
            <w:r w:rsidRPr="00C7391B">
              <w:rPr>
                <w:sz w:val="20"/>
                <w:szCs w:val="20"/>
                <w:lang w:eastAsia="cs-CZ"/>
              </w:rPr>
              <w:t>16 349</w:t>
            </w:r>
          </w:p>
        </w:tc>
        <w:tc>
          <w:tcPr>
            <w:tcW w:w="599" w:type="pct"/>
            <w:vAlign w:val="center"/>
            <w:hideMark/>
          </w:tcPr>
          <w:p w14:paraId="6DD6C8C0" w14:textId="77777777" w:rsidR="00DD54E5" w:rsidRPr="00C7391B" w:rsidRDefault="00DD54E5" w:rsidP="005E0F74">
            <w:pPr>
              <w:spacing w:after="0"/>
              <w:ind w:right="57"/>
              <w:jc w:val="right"/>
              <w:rPr>
                <w:sz w:val="20"/>
                <w:szCs w:val="20"/>
                <w:lang w:eastAsia="cs-CZ"/>
              </w:rPr>
            </w:pPr>
            <w:r w:rsidRPr="00C7391B">
              <w:rPr>
                <w:sz w:val="20"/>
                <w:szCs w:val="20"/>
                <w:lang w:eastAsia="cs-CZ"/>
              </w:rPr>
              <w:t>17 310</w:t>
            </w:r>
          </w:p>
        </w:tc>
        <w:tc>
          <w:tcPr>
            <w:tcW w:w="599" w:type="pct"/>
            <w:vAlign w:val="center"/>
            <w:hideMark/>
          </w:tcPr>
          <w:p w14:paraId="63E064CF" w14:textId="77777777" w:rsidR="00DD54E5" w:rsidRPr="00C7391B" w:rsidRDefault="00DD54E5" w:rsidP="005E0F74">
            <w:pPr>
              <w:spacing w:after="0"/>
              <w:ind w:right="57"/>
              <w:jc w:val="right"/>
              <w:rPr>
                <w:sz w:val="20"/>
                <w:szCs w:val="20"/>
                <w:lang w:eastAsia="cs-CZ"/>
              </w:rPr>
            </w:pPr>
            <w:r w:rsidRPr="00C7391B">
              <w:rPr>
                <w:sz w:val="20"/>
                <w:szCs w:val="20"/>
                <w:lang w:eastAsia="cs-CZ"/>
              </w:rPr>
              <w:t>15 599</w:t>
            </w:r>
          </w:p>
        </w:tc>
        <w:tc>
          <w:tcPr>
            <w:tcW w:w="599" w:type="pct"/>
            <w:vAlign w:val="center"/>
            <w:hideMark/>
          </w:tcPr>
          <w:p w14:paraId="32884B2B" w14:textId="77777777" w:rsidR="00DD54E5" w:rsidRPr="00C7391B" w:rsidRDefault="00DD54E5" w:rsidP="005E0F74">
            <w:pPr>
              <w:spacing w:after="0"/>
              <w:ind w:right="57"/>
              <w:jc w:val="right"/>
              <w:rPr>
                <w:sz w:val="20"/>
                <w:szCs w:val="20"/>
                <w:lang w:eastAsia="cs-CZ"/>
              </w:rPr>
            </w:pPr>
            <w:r w:rsidRPr="00C7391B">
              <w:rPr>
                <w:sz w:val="20"/>
                <w:szCs w:val="20"/>
                <w:lang w:eastAsia="cs-CZ"/>
              </w:rPr>
              <w:t>15 932</w:t>
            </w:r>
          </w:p>
        </w:tc>
        <w:tc>
          <w:tcPr>
            <w:tcW w:w="599" w:type="pct"/>
            <w:vAlign w:val="center"/>
            <w:hideMark/>
          </w:tcPr>
          <w:p w14:paraId="31B86EAA" w14:textId="77777777" w:rsidR="00DD54E5" w:rsidRPr="00C7391B" w:rsidRDefault="00DD54E5" w:rsidP="005E0F74">
            <w:pPr>
              <w:spacing w:after="0"/>
              <w:ind w:right="57"/>
              <w:jc w:val="right"/>
              <w:rPr>
                <w:sz w:val="20"/>
                <w:szCs w:val="20"/>
                <w:lang w:eastAsia="cs-CZ"/>
              </w:rPr>
            </w:pPr>
            <w:r w:rsidRPr="00C7391B">
              <w:rPr>
                <w:sz w:val="20"/>
                <w:szCs w:val="20"/>
                <w:lang w:eastAsia="cs-CZ"/>
              </w:rPr>
              <w:t>16 707</w:t>
            </w:r>
          </w:p>
        </w:tc>
      </w:tr>
    </w:tbl>
    <w:p w14:paraId="69F0EC16" w14:textId="77777777" w:rsidR="00DD54E5" w:rsidRDefault="00DD54E5" w:rsidP="005E0F74">
      <w:pPr>
        <w:tabs>
          <w:tab w:val="left" w:pos="1470"/>
        </w:tabs>
        <w:spacing w:before="40"/>
        <w:rPr>
          <w:sz w:val="20"/>
          <w:szCs w:val="20"/>
          <w:lang w:eastAsia="cs-CZ"/>
        </w:rPr>
      </w:pPr>
      <w:r w:rsidRPr="00322D76">
        <w:rPr>
          <w:b/>
          <w:sz w:val="20"/>
          <w:szCs w:val="20"/>
          <w:lang w:eastAsia="cs-CZ"/>
        </w:rPr>
        <w:t>Zdroj:</w:t>
      </w:r>
      <w:r w:rsidRPr="00C7391B">
        <w:rPr>
          <w:sz w:val="20"/>
          <w:szCs w:val="20"/>
          <w:lang w:eastAsia="cs-CZ"/>
        </w:rPr>
        <w:t xml:space="preserve"> </w:t>
      </w:r>
      <w:hyperlink r:id="rId52" w:history="1">
        <w:r w:rsidR="005E0F74" w:rsidRPr="005E0F74">
          <w:rPr>
            <w:rStyle w:val="Hypertextovodkaz"/>
            <w:sz w:val="20"/>
            <w:szCs w:val="20"/>
            <w:u w:val="none"/>
            <w:lang w:eastAsia="cs-CZ"/>
          </w:rPr>
          <w:t>https://www.ote-cr.cz/cs/statistika/statistika-poze/poskytnuta-podpora-2013-2018</w:t>
        </w:r>
      </w:hyperlink>
      <w:r>
        <w:rPr>
          <w:sz w:val="20"/>
          <w:szCs w:val="20"/>
          <w:lang w:eastAsia="cs-CZ"/>
        </w:rPr>
        <w:t>.</w:t>
      </w:r>
    </w:p>
    <w:p w14:paraId="5A9DE4AD" w14:textId="77777777" w:rsidR="00DD54E5" w:rsidRPr="00C7391B" w:rsidRDefault="003626E4" w:rsidP="005E0F74">
      <w:pPr>
        <w:pStyle w:val="Tabulka"/>
        <w:numPr>
          <w:ilvl w:val="0"/>
          <w:numId w:val="0"/>
        </w:numPr>
        <w:spacing w:after="40"/>
        <w:rPr>
          <w:lang w:eastAsia="cs-CZ"/>
        </w:rPr>
      </w:pPr>
      <w:r>
        <w:rPr>
          <w:lang w:eastAsia="cs-CZ"/>
        </w:rPr>
        <w:lastRenderedPageBreak/>
        <w:t xml:space="preserve">Tabulka č. 5: </w:t>
      </w:r>
      <w:r w:rsidR="00DD54E5" w:rsidRPr="00C7391B">
        <w:rPr>
          <w:lang w:eastAsia="cs-CZ"/>
        </w:rPr>
        <w:t>Množství podporované energie v GWh</w:t>
      </w:r>
    </w:p>
    <w:tbl>
      <w:tblPr>
        <w:tblStyle w:val="Mkatabulky"/>
        <w:tblW w:w="0" w:type="auto"/>
        <w:tblLook w:val="04A0" w:firstRow="1" w:lastRow="0" w:firstColumn="1" w:lastColumn="0" w:noHBand="0" w:noVBand="1"/>
      </w:tblPr>
      <w:tblGrid>
        <w:gridCol w:w="2545"/>
        <w:gridCol w:w="1085"/>
        <w:gridCol w:w="1086"/>
        <w:gridCol w:w="1086"/>
        <w:gridCol w:w="1086"/>
        <w:gridCol w:w="1086"/>
        <w:gridCol w:w="1086"/>
      </w:tblGrid>
      <w:tr w:rsidR="00DD54E5" w14:paraId="561EE29B" w14:textId="77777777" w:rsidTr="005E0F74">
        <w:trPr>
          <w:trHeight w:val="227"/>
        </w:trPr>
        <w:tc>
          <w:tcPr>
            <w:tcW w:w="2547" w:type="dxa"/>
            <w:shd w:val="clear" w:color="auto" w:fill="E5F1FF"/>
            <w:vAlign w:val="center"/>
            <w:hideMark/>
          </w:tcPr>
          <w:p w14:paraId="765AB522" w14:textId="77777777" w:rsidR="00DD54E5" w:rsidRPr="00421BF0" w:rsidRDefault="00DD54E5" w:rsidP="005E0F74">
            <w:pPr>
              <w:spacing w:after="0"/>
              <w:jc w:val="center"/>
              <w:rPr>
                <w:b/>
                <w:bCs/>
                <w:sz w:val="20"/>
                <w:szCs w:val="20"/>
                <w:lang w:eastAsia="cs-CZ"/>
              </w:rPr>
            </w:pPr>
            <w:r>
              <w:rPr>
                <w:b/>
                <w:bCs/>
                <w:sz w:val="20"/>
                <w:szCs w:val="20"/>
                <w:lang w:eastAsia="cs-CZ"/>
              </w:rPr>
              <w:t>Rok</w:t>
            </w:r>
          </w:p>
        </w:tc>
        <w:tc>
          <w:tcPr>
            <w:tcW w:w="1085" w:type="dxa"/>
            <w:shd w:val="clear" w:color="auto" w:fill="E5F1FF"/>
            <w:vAlign w:val="center"/>
            <w:hideMark/>
          </w:tcPr>
          <w:p w14:paraId="10E3D5F6" w14:textId="77777777" w:rsidR="00DD54E5" w:rsidRPr="00421BF0" w:rsidRDefault="00DD54E5" w:rsidP="005E0F74">
            <w:pPr>
              <w:spacing w:after="0"/>
              <w:jc w:val="center"/>
              <w:rPr>
                <w:b/>
                <w:bCs/>
                <w:sz w:val="20"/>
                <w:szCs w:val="20"/>
                <w:lang w:eastAsia="cs-CZ"/>
              </w:rPr>
            </w:pPr>
            <w:r w:rsidRPr="00421BF0">
              <w:rPr>
                <w:b/>
                <w:bCs/>
                <w:sz w:val="20"/>
                <w:szCs w:val="20"/>
                <w:lang w:eastAsia="cs-CZ"/>
              </w:rPr>
              <w:t>2013</w:t>
            </w:r>
          </w:p>
        </w:tc>
        <w:tc>
          <w:tcPr>
            <w:tcW w:w="1086" w:type="dxa"/>
            <w:shd w:val="clear" w:color="auto" w:fill="E5F1FF"/>
            <w:vAlign w:val="center"/>
            <w:hideMark/>
          </w:tcPr>
          <w:p w14:paraId="0F93F48B" w14:textId="77777777" w:rsidR="00DD54E5" w:rsidRPr="00421BF0" w:rsidRDefault="00DD54E5" w:rsidP="005E0F74">
            <w:pPr>
              <w:spacing w:after="0"/>
              <w:jc w:val="center"/>
              <w:rPr>
                <w:b/>
                <w:bCs/>
                <w:sz w:val="20"/>
                <w:szCs w:val="20"/>
                <w:lang w:eastAsia="cs-CZ"/>
              </w:rPr>
            </w:pPr>
            <w:r w:rsidRPr="00421BF0">
              <w:rPr>
                <w:b/>
                <w:bCs/>
                <w:sz w:val="20"/>
                <w:szCs w:val="20"/>
                <w:lang w:eastAsia="cs-CZ"/>
              </w:rPr>
              <w:t>2014</w:t>
            </w:r>
          </w:p>
        </w:tc>
        <w:tc>
          <w:tcPr>
            <w:tcW w:w="1086" w:type="dxa"/>
            <w:shd w:val="clear" w:color="auto" w:fill="E5F1FF"/>
            <w:vAlign w:val="center"/>
            <w:hideMark/>
          </w:tcPr>
          <w:p w14:paraId="3A19387C" w14:textId="77777777" w:rsidR="00DD54E5" w:rsidRPr="00421BF0" w:rsidRDefault="00DD54E5" w:rsidP="005E0F74">
            <w:pPr>
              <w:spacing w:after="0"/>
              <w:jc w:val="center"/>
              <w:rPr>
                <w:b/>
                <w:bCs/>
                <w:sz w:val="20"/>
                <w:szCs w:val="20"/>
                <w:lang w:eastAsia="cs-CZ"/>
              </w:rPr>
            </w:pPr>
            <w:r w:rsidRPr="00421BF0">
              <w:rPr>
                <w:b/>
                <w:bCs/>
                <w:sz w:val="20"/>
                <w:szCs w:val="20"/>
                <w:lang w:eastAsia="cs-CZ"/>
              </w:rPr>
              <w:t>2015</w:t>
            </w:r>
          </w:p>
        </w:tc>
        <w:tc>
          <w:tcPr>
            <w:tcW w:w="1086" w:type="dxa"/>
            <w:shd w:val="clear" w:color="auto" w:fill="E5F1FF"/>
            <w:vAlign w:val="center"/>
            <w:hideMark/>
          </w:tcPr>
          <w:p w14:paraId="7498CB87" w14:textId="77777777" w:rsidR="00DD54E5" w:rsidRPr="00421BF0" w:rsidRDefault="00DD54E5" w:rsidP="005E0F74">
            <w:pPr>
              <w:spacing w:after="0"/>
              <w:jc w:val="center"/>
              <w:rPr>
                <w:b/>
                <w:bCs/>
                <w:sz w:val="20"/>
                <w:szCs w:val="20"/>
                <w:lang w:eastAsia="cs-CZ"/>
              </w:rPr>
            </w:pPr>
            <w:r w:rsidRPr="00421BF0">
              <w:rPr>
                <w:b/>
                <w:bCs/>
                <w:sz w:val="20"/>
                <w:szCs w:val="20"/>
                <w:lang w:eastAsia="cs-CZ"/>
              </w:rPr>
              <w:t>2016</w:t>
            </w:r>
          </w:p>
        </w:tc>
        <w:tc>
          <w:tcPr>
            <w:tcW w:w="1086" w:type="dxa"/>
            <w:shd w:val="clear" w:color="auto" w:fill="E5F1FF"/>
            <w:vAlign w:val="center"/>
            <w:hideMark/>
          </w:tcPr>
          <w:p w14:paraId="24C4FC1F" w14:textId="77777777" w:rsidR="00DD54E5" w:rsidRPr="00421BF0" w:rsidRDefault="00DD54E5" w:rsidP="005E0F74">
            <w:pPr>
              <w:spacing w:after="0"/>
              <w:jc w:val="center"/>
              <w:rPr>
                <w:b/>
                <w:bCs/>
                <w:sz w:val="20"/>
                <w:szCs w:val="20"/>
                <w:lang w:eastAsia="cs-CZ"/>
              </w:rPr>
            </w:pPr>
            <w:r w:rsidRPr="00421BF0">
              <w:rPr>
                <w:b/>
                <w:bCs/>
                <w:sz w:val="20"/>
                <w:szCs w:val="20"/>
                <w:lang w:eastAsia="cs-CZ"/>
              </w:rPr>
              <w:t>2017</w:t>
            </w:r>
          </w:p>
        </w:tc>
        <w:tc>
          <w:tcPr>
            <w:tcW w:w="1086" w:type="dxa"/>
            <w:shd w:val="clear" w:color="auto" w:fill="E5F1FF"/>
            <w:vAlign w:val="center"/>
            <w:hideMark/>
          </w:tcPr>
          <w:p w14:paraId="3408F154" w14:textId="77777777" w:rsidR="00DD54E5" w:rsidRPr="00421BF0" w:rsidRDefault="00DD54E5" w:rsidP="005E0F74">
            <w:pPr>
              <w:spacing w:after="0"/>
              <w:jc w:val="center"/>
              <w:rPr>
                <w:b/>
                <w:bCs/>
                <w:sz w:val="20"/>
                <w:szCs w:val="20"/>
                <w:lang w:eastAsia="cs-CZ"/>
              </w:rPr>
            </w:pPr>
            <w:r w:rsidRPr="00421BF0">
              <w:rPr>
                <w:b/>
                <w:bCs/>
                <w:sz w:val="20"/>
                <w:szCs w:val="20"/>
                <w:lang w:eastAsia="cs-CZ"/>
              </w:rPr>
              <w:t>2018</w:t>
            </w:r>
          </w:p>
        </w:tc>
      </w:tr>
      <w:tr w:rsidR="00DD54E5" w14:paraId="5D636CD4" w14:textId="77777777" w:rsidTr="005E0F74">
        <w:trPr>
          <w:trHeight w:val="227"/>
        </w:trPr>
        <w:tc>
          <w:tcPr>
            <w:tcW w:w="2547" w:type="dxa"/>
            <w:vAlign w:val="center"/>
            <w:hideMark/>
          </w:tcPr>
          <w:p w14:paraId="79E82BE6" w14:textId="19AD1CB6" w:rsidR="00DD54E5" w:rsidRPr="00421BF0" w:rsidRDefault="00DD54E5" w:rsidP="00CC4AA7">
            <w:pPr>
              <w:spacing w:after="0"/>
              <w:jc w:val="left"/>
              <w:rPr>
                <w:bCs/>
                <w:sz w:val="20"/>
                <w:szCs w:val="20"/>
                <w:lang w:eastAsia="cs-CZ"/>
              </w:rPr>
            </w:pPr>
            <w:r w:rsidRPr="00421BF0">
              <w:rPr>
                <w:bCs/>
                <w:sz w:val="20"/>
                <w:szCs w:val="20"/>
                <w:lang w:eastAsia="cs-CZ"/>
              </w:rPr>
              <w:t>Obnovitelné zdroje</w:t>
            </w:r>
          </w:p>
        </w:tc>
        <w:tc>
          <w:tcPr>
            <w:tcW w:w="1085" w:type="dxa"/>
            <w:vAlign w:val="center"/>
            <w:hideMark/>
          </w:tcPr>
          <w:p w14:paraId="5AE8FD5B" w14:textId="77777777" w:rsidR="00DD54E5" w:rsidRPr="00421BF0" w:rsidRDefault="00DD54E5" w:rsidP="005E0F74">
            <w:pPr>
              <w:spacing w:after="0"/>
              <w:jc w:val="right"/>
              <w:rPr>
                <w:bCs/>
                <w:sz w:val="20"/>
                <w:szCs w:val="20"/>
                <w:lang w:eastAsia="cs-CZ"/>
              </w:rPr>
            </w:pPr>
            <w:r w:rsidRPr="00421BF0">
              <w:rPr>
                <w:bCs/>
                <w:sz w:val="20"/>
                <w:szCs w:val="20"/>
                <w:lang w:eastAsia="cs-CZ"/>
              </w:rPr>
              <w:t>7 494</w:t>
            </w:r>
          </w:p>
        </w:tc>
        <w:tc>
          <w:tcPr>
            <w:tcW w:w="1086" w:type="dxa"/>
            <w:vAlign w:val="center"/>
            <w:hideMark/>
          </w:tcPr>
          <w:p w14:paraId="374C6DFE" w14:textId="77777777" w:rsidR="00DD54E5" w:rsidRPr="00421BF0" w:rsidRDefault="00DD54E5" w:rsidP="005E0F74">
            <w:pPr>
              <w:spacing w:after="0"/>
              <w:jc w:val="right"/>
              <w:rPr>
                <w:bCs/>
                <w:sz w:val="20"/>
                <w:szCs w:val="20"/>
                <w:lang w:eastAsia="cs-CZ"/>
              </w:rPr>
            </w:pPr>
            <w:r w:rsidRPr="00421BF0">
              <w:rPr>
                <w:bCs/>
                <w:sz w:val="20"/>
                <w:szCs w:val="20"/>
                <w:lang w:eastAsia="cs-CZ"/>
              </w:rPr>
              <w:t>7 912</w:t>
            </w:r>
          </w:p>
        </w:tc>
        <w:tc>
          <w:tcPr>
            <w:tcW w:w="1086" w:type="dxa"/>
            <w:vAlign w:val="center"/>
            <w:hideMark/>
          </w:tcPr>
          <w:p w14:paraId="0A246C43" w14:textId="709941BA" w:rsidR="00DD54E5" w:rsidRPr="00421BF0" w:rsidRDefault="00DD54E5" w:rsidP="00CC4AA7">
            <w:pPr>
              <w:spacing w:after="0"/>
              <w:jc w:val="right"/>
              <w:rPr>
                <w:bCs/>
                <w:sz w:val="20"/>
                <w:szCs w:val="20"/>
                <w:lang w:eastAsia="cs-CZ"/>
              </w:rPr>
            </w:pPr>
            <w:r w:rsidRPr="00421BF0">
              <w:rPr>
                <w:bCs/>
                <w:sz w:val="20"/>
                <w:szCs w:val="20"/>
                <w:lang w:eastAsia="cs-CZ"/>
              </w:rPr>
              <w:t>8 250</w:t>
            </w:r>
          </w:p>
        </w:tc>
        <w:tc>
          <w:tcPr>
            <w:tcW w:w="1086" w:type="dxa"/>
            <w:vAlign w:val="center"/>
            <w:hideMark/>
          </w:tcPr>
          <w:p w14:paraId="325A08A7" w14:textId="77777777" w:rsidR="00DD54E5" w:rsidRPr="00421BF0" w:rsidRDefault="00DD54E5" w:rsidP="005E0F74">
            <w:pPr>
              <w:spacing w:after="0"/>
              <w:jc w:val="right"/>
              <w:rPr>
                <w:bCs/>
                <w:sz w:val="20"/>
                <w:szCs w:val="20"/>
                <w:lang w:eastAsia="cs-CZ"/>
              </w:rPr>
            </w:pPr>
            <w:r w:rsidRPr="00421BF0">
              <w:rPr>
                <w:bCs/>
                <w:sz w:val="20"/>
                <w:szCs w:val="20"/>
                <w:lang w:eastAsia="cs-CZ"/>
              </w:rPr>
              <w:t>7 966</w:t>
            </w:r>
          </w:p>
        </w:tc>
        <w:tc>
          <w:tcPr>
            <w:tcW w:w="1086" w:type="dxa"/>
            <w:vAlign w:val="center"/>
            <w:hideMark/>
          </w:tcPr>
          <w:p w14:paraId="430ABEFE" w14:textId="4FAEC5DE" w:rsidR="00DD54E5" w:rsidRPr="00421BF0" w:rsidRDefault="00DD54E5" w:rsidP="00CC4AA7">
            <w:pPr>
              <w:spacing w:after="0"/>
              <w:jc w:val="right"/>
              <w:rPr>
                <w:bCs/>
                <w:sz w:val="20"/>
                <w:szCs w:val="20"/>
                <w:lang w:eastAsia="cs-CZ"/>
              </w:rPr>
            </w:pPr>
            <w:r w:rsidRPr="00421BF0">
              <w:rPr>
                <w:bCs/>
                <w:sz w:val="20"/>
                <w:szCs w:val="20"/>
                <w:lang w:eastAsia="cs-CZ"/>
              </w:rPr>
              <w:t>8 487</w:t>
            </w:r>
          </w:p>
        </w:tc>
        <w:tc>
          <w:tcPr>
            <w:tcW w:w="1086" w:type="dxa"/>
            <w:vAlign w:val="center"/>
            <w:hideMark/>
          </w:tcPr>
          <w:p w14:paraId="0E4DE553" w14:textId="77777777" w:rsidR="00DD54E5" w:rsidRPr="00421BF0" w:rsidRDefault="00DD54E5" w:rsidP="005E0F74">
            <w:pPr>
              <w:spacing w:after="0"/>
              <w:jc w:val="right"/>
              <w:rPr>
                <w:bCs/>
                <w:sz w:val="20"/>
                <w:szCs w:val="20"/>
                <w:lang w:eastAsia="cs-CZ"/>
              </w:rPr>
            </w:pPr>
            <w:r w:rsidRPr="00421BF0">
              <w:rPr>
                <w:bCs/>
                <w:sz w:val="20"/>
                <w:szCs w:val="20"/>
                <w:lang w:eastAsia="cs-CZ"/>
              </w:rPr>
              <w:t>8 172</w:t>
            </w:r>
          </w:p>
        </w:tc>
      </w:tr>
      <w:tr w:rsidR="00DD54E5" w14:paraId="2119C661" w14:textId="77777777" w:rsidTr="005E0F74">
        <w:trPr>
          <w:trHeight w:val="227"/>
        </w:trPr>
        <w:tc>
          <w:tcPr>
            <w:tcW w:w="2547" w:type="dxa"/>
            <w:vAlign w:val="center"/>
            <w:hideMark/>
          </w:tcPr>
          <w:p w14:paraId="4A52EC63" w14:textId="77777777" w:rsidR="00DD54E5" w:rsidRPr="00421BF0" w:rsidRDefault="00DD54E5" w:rsidP="005E0F74">
            <w:pPr>
              <w:spacing w:after="0"/>
              <w:jc w:val="left"/>
              <w:rPr>
                <w:bCs/>
                <w:sz w:val="20"/>
                <w:szCs w:val="20"/>
                <w:lang w:eastAsia="cs-CZ"/>
              </w:rPr>
            </w:pPr>
            <w:r w:rsidRPr="00421BF0">
              <w:rPr>
                <w:bCs/>
                <w:sz w:val="20"/>
                <w:szCs w:val="20"/>
                <w:lang w:eastAsia="cs-CZ"/>
              </w:rPr>
              <w:t>Sluneční</w:t>
            </w:r>
          </w:p>
        </w:tc>
        <w:tc>
          <w:tcPr>
            <w:tcW w:w="1085" w:type="dxa"/>
            <w:vAlign w:val="center"/>
            <w:hideMark/>
          </w:tcPr>
          <w:p w14:paraId="6A4376F7" w14:textId="77777777" w:rsidR="00DD54E5" w:rsidRPr="00421BF0" w:rsidRDefault="00DD54E5" w:rsidP="005E0F74">
            <w:pPr>
              <w:spacing w:after="0"/>
              <w:jc w:val="right"/>
              <w:rPr>
                <w:bCs/>
                <w:sz w:val="20"/>
                <w:szCs w:val="20"/>
                <w:lang w:eastAsia="cs-CZ"/>
              </w:rPr>
            </w:pPr>
            <w:r w:rsidRPr="00421BF0">
              <w:rPr>
                <w:bCs/>
                <w:sz w:val="20"/>
                <w:szCs w:val="20"/>
                <w:lang w:eastAsia="cs-CZ"/>
              </w:rPr>
              <w:t>2 012</w:t>
            </w:r>
          </w:p>
        </w:tc>
        <w:tc>
          <w:tcPr>
            <w:tcW w:w="1086" w:type="dxa"/>
            <w:vAlign w:val="center"/>
            <w:hideMark/>
          </w:tcPr>
          <w:p w14:paraId="3937DC3D" w14:textId="77777777" w:rsidR="00DD54E5" w:rsidRPr="00421BF0" w:rsidRDefault="00DD54E5" w:rsidP="005E0F74">
            <w:pPr>
              <w:spacing w:after="0"/>
              <w:jc w:val="right"/>
              <w:rPr>
                <w:bCs/>
                <w:sz w:val="20"/>
                <w:szCs w:val="20"/>
                <w:lang w:eastAsia="cs-CZ"/>
              </w:rPr>
            </w:pPr>
            <w:r w:rsidRPr="00421BF0">
              <w:rPr>
                <w:bCs/>
                <w:sz w:val="20"/>
                <w:szCs w:val="20"/>
                <w:lang w:eastAsia="cs-CZ"/>
              </w:rPr>
              <w:t>2 092</w:t>
            </w:r>
          </w:p>
        </w:tc>
        <w:tc>
          <w:tcPr>
            <w:tcW w:w="1086" w:type="dxa"/>
            <w:vAlign w:val="center"/>
            <w:hideMark/>
          </w:tcPr>
          <w:p w14:paraId="2F08E954" w14:textId="77777777" w:rsidR="00DD54E5" w:rsidRPr="00421BF0" w:rsidRDefault="00DD54E5" w:rsidP="005E0F74">
            <w:pPr>
              <w:spacing w:after="0"/>
              <w:jc w:val="right"/>
              <w:rPr>
                <w:bCs/>
                <w:sz w:val="20"/>
                <w:szCs w:val="20"/>
                <w:lang w:eastAsia="cs-CZ"/>
              </w:rPr>
            </w:pPr>
            <w:r w:rsidRPr="00421BF0">
              <w:rPr>
                <w:bCs/>
                <w:sz w:val="20"/>
                <w:szCs w:val="20"/>
                <w:lang w:eastAsia="cs-CZ"/>
              </w:rPr>
              <w:t>2 227</w:t>
            </w:r>
          </w:p>
        </w:tc>
        <w:tc>
          <w:tcPr>
            <w:tcW w:w="1086" w:type="dxa"/>
            <w:vAlign w:val="center"/>
            <w:hideMark/>
          </w:tcPr>
          <w:p w14:paraId="03EBF4D7" w14:textId="77777777" w:rsidR="00DD54E5" w:rsidRPr="00421BF0" w:rsidRDefault="00DD54E5" w:rsidP="005E0F74">
            <w:pPr>
              <w:spacing w:after="0"/>
              <w:jc w:val="right"/>
              <w:rPr>
                <w:bCs/>
                <w:sz w:val="20"/>
                <w:szCs w:val="20"/>
                <w:lang w:eastAsia="cs-CZ"/>
              </w:rPr>
            </w:pPr>
            <w:r w:rsidRPr="00421BF0">
              <w:rPr>
                <w:bCs/>
                <w:sz w:val="20"/>
                <w:szCs w:val="20"/>
                <w:lang w:eastAsia="cs-CZ"/>
              </w:rPr>
              <w:t>2 095</w:t>
            </w:r>
          </w:p>
        </w:tc>
        <w:tc>
          <w:tcPr>
            <w:tcW w:w="1086" w:type="dxa"/>
            <w:vAlign w:val="center"/>
            <w:hideMark/>
          </w:tcPr>
          <w:p w14:paraId="0E1C8DDC" w14:textId="77777777" w:rsidR="00DD54E5" w:rsidRPr="00421BF0" w:rsidRDefault="00DD54E5" w:rsidP="005E0F74">
            <w:pPr>
              <w:spacing w:after="0"/>
              <w:jc w:val="right"/>
              <w:rPr>
                <w:bCs/>
                <w:sz w:val="20"/>
                <w:szCs w:val="20"/>
                <w:lang w:eastAsia="cs-CZ"/>
              </w:rPr>
            </w:pPr>
            <w:r w:rsidRPr="00421BF0">
              <w:rPr>
                <w:bCs/>
                <w:sz w:val="20"/>
                <w:szCs w:val="20"/>
                <w:lang w:eastAsia="cs-CZ"/>
              </w:rPr>
              <w:t>2 156</w:t>
            </w:r>
          </w:p>
        </w:tc>
        <w:tc>
          <w:tcPr>
            <w:tcW w:w="1086" w:type="dxa"/>
            <w:vAlign w:val="center"/>
            <w:hideMark/>
          </w:tcPr>
          <w:p w14:paraId="787AFBC6" w14:textId="77777777" w:rsidR="00DD54E5" w:rsidRPr="00421BF0" w:rsidRDefault="00DD54E5" w:rsidP="005E0F74">
            <w:pPr>
              <w:spacing w:after="0"/>
              <w:jc w:val="right"/>
              <w:rPr>
                <w:bCs/>
                <w:sz w:val="20"/>
                <w:szCs w:val="20"/>
                <w:lang w:eastAsia="cs-CZ"/>
              </w:rPr>
            </w:pPr>
            <w:r w:rsidRPr="00421BF0">
              <w:rPr>
                <w:bCs/>
                <w:sz w:val="20"/>
                <w:szCs w:val="20"/>
                <w:lang w:eastAsia="cs-CZ"/>
              </w:rPr>
              <w:t>2 302</w:t>
            </w:r>
          </w:p>
        </w:tc>
      </w:tr>
      <w:tr w:rsidR="00DD54E5" w14:paraId="276B7E78" w14:textId="77777777" w:rsidTr="005E0F74">
        <w:trPr>
          <w:trHeight w:val="227"/>
        </w:trPr>
        <w:tc>
          <w:tcPr>
            <w:tcW w:w="2547" w:type="dxa"/>
            <w:vAlign w:val="center"/>
            <w:hideMark/>
          </w:tcPr>
          <w:p w14:paraId="74DC3CFE" w14:textId="77777777" w:rsidR="00DD54E5" w:rsidRPr="00421BF0" w:rsidRDefault="00DD54E5" w:rsidP="005E0F74">
            <w:pPr>
              <w:spacing w:after="0"/>
              <w:jc w:val="left"/>
              <w:rPr>
                <w:b/>
                <w:bCs/>
                <w:sz w:val="20"/>
                <w:szCs w:val="20"/>
                <w:lang w:eastAsia="cs-CZ"/>
              </w:rPr>
            </w:pPr>
            <w:r w:rsidRPr="00421BF0">
              <w:rPr>
                <w:sz w:val="20"/>
                <w:szCs w:val="20"/>
                <w:lang w:eastAsia="cs-CZ"/>
              </w:rPr>
              <w:t> - sluneční (ZB)</w:t>
            </w:r>
          </w:p>
        </w:tc>
        <w:tc>
          <w:tcPr>
            <w:tcW w:w="1085" w:type="dxa"/>
            <w:vAlign w:val="center"/>
            <w:hideMark/>
          </w:tcPr>
          <w:p w14:paraId="401CE099" w14:textId="77777777" w:rsidR="00DD54E5" w:rsidRPr="00421BF0" w:rsidRDefault="00DD54E5" w:rsidP="005E0F74">
            <w:pPr>
              <w:spacing w:after="0"/>
              <w:jc w:val="right"/>
              <w:rPr>
                <w:b/>
                <w:bCs/>
                <w:sz w:val="20"/>
                <w:szCs w:val="20"/>
                <w:lang w:eastAsia="cs-CZ"/>
              </w:rPr>
            </w:pPr>
            <w:r w:rsidRPr="00421BF0">
              <w:rPr>
                <w:sz w:val="20"/>
                <w:szCs w:val="20"/>
                <w:lang w:eastAsia="cs-CZ"/>
              </w:rPr>
              <w:t>616</w:t>
            </w:r>
          </w:p>
        </w:tc>
        <w:tc>
          <w:tcPr>
            <w:tcW w:w="1086" w:type="dxa"/>
            <w:vAlign w:val="center"/>
            <w:hideMark/>
          </w:tcPr>
          <w:p w14:paraId="2EE11F08" w14:textId="77777777" w:rsidR="00DD54E5" w:rsidRPr="00421BF0" w:rsidRDefault="00DD54E5" w:rsidP="005E0F74">
            <w:pPr>
              <w:spacing w:after="0"/>
              <w:jc w:val="right"/>
              <w:rPr>
                <w:b/>
                <w:bCs/>
                <w:sz w:val="20"/>
                <w:szCs w:val="20"/>
                <w:lang w:eastAsia="cs-CZ"/>
              </w:rPr>
            </w:pPr>
            <w:r w:rsidRPr="00421BF0">
              <w:rPr>
                <w:sz w:val="20"/>
                <w:szCs w:val="20"/>
                <w:lang w:eastAsia="cs-CZ"/>
              </w:rPr>
              <w:t>733</w:t>
            </w:r>
          </w:p>
        </w:tc>
        <w:tc>
          <w:tcPr>
            <w:tcW w:w="1086" w:type="dxa"/>
            <w:vAlign w:val="center"/>
            <w:hideMark/>
          </w:tcPr>
          <w:p w14:paraId="0D703A65" w14:textId="77777777" w:rsidR="00DD54E5" w:rsidRPr="00421BF0" w:rsidRDefault="00DD54E5" w:rsidP="005E0F74">
            <w:pPr>
              <w:spacing w:after="0"/>
              <w:jc w:val="right"/>
              <w:rPr>
                <w:b/>
                <w:bCs/>
                <w:sz w:val="20"/>
                <w:szCs w:val="20"/>
                <w:lang w:eastAsia="cs-CZ"/>
              </w:rPr>
            </w:pPr>
            <w:r w:rsidRPr="00421BF0">
              <w:rPr>
                <w:sz w:val="20"/>
                <w:szCs w:val="20"/>
                <w:lang w:eastAsia="cs-CZ"/>
              </w:rPr>
              <w:t>817</w:t>
            </w:r>
          </w:p>
        </w:tc>
        <w:tc>
          <w:tcPr>
            <w:tcW w:w="1086" w:type="dxa"/>
            <w:vAlign w:val="center"/>
            <w:hideMark/>
          </w:tcPr>
          <w:p w14:paraId="257CE8EB" w14:textId="77777777" w:rsidR="00DD54E5" w:rsidRPr="00421BF0" w:rsidRDefault="00DD54E5" w:rsidP="005E0F74">
            <w:pPr>
              <w:spacing w:after="0"/>
              <w:jc w:val="right"/>
              <w:rPr>
                <w:b/>
                <w:bCs/>
                <w:sz w:val="20"/>
                <w:szCs w:val="20"/>
                <w:lang w:eastAsia="cs-CZ"/>
              </w:rPr>
            </w:pPr>
            <w:r w:rsidRPr="00421BF0">
              <w:rPr>
                <w:sz w:val="20"/>
                <w:szCs w:val="20"/>
                <w:lang w:eastAsia="cs-CZ"/>
              </w:rPr>
              <w:t>859</w:t>
            </w:r>
          </w:p>
        </w:tc>
        <w:tc>
          <w:tcPr>
            <w:tcW w:w="1086" w:type="dxa"/>
            <w:vAlign w:val="center"/>
            <w:hideMark/>
          </w:tcPr>
          <w:p w14:paraId="44004A00" w14:textId="77777777" w:rsidR="00DD54E5" w:rsidRPr="00421BF0" w:rsidRDefault="00DD54E5" w:rsidP="005E0F74">
            <w:pPr>
              <w:spacing w:after="0"/>
              <w:jc w:val="right"/>
              <w:rPr>
                <w:b/>
                <w:bCs/>
                <w:sz w:val="20"/>
                <w:szCs w:val="20"/>
                <w:lang w:eastAsia="cs-CZ"/>
              </w:rPr>
            </w:pPr>
            <w:r w:rsidRPr="00421BF0">
              <w:rPr>
                <w:sz w:val="20"/>
                <w:szCs w:val="20"/>
                <w:lang w:eastAsia="cs-CZ"/>
              </w:rPr>
              <w:t>900</w:t>
            </w:r>
          </w:p>
        </w:tc>
        <w:tc>
          <w:tcPr>
            <w:tcW w:w="1086" w:type="dxa"/>
            <w:vAlign w:val="center"/>
            <w:hideMark/>
          </w:tcPr>
          <w:p w14:paraId="5A23B88A" w14:textId="77777777" w:rsidR="00DD54E5" w:rsidRPr="00421BF0" w:rsidRDefault="00DD54E5" w:rsidP="005E0F74">
            <w:pPr>
              <w:spacing w:after="0"/>
              <w:jc w:val="right"/>
              <w:rPr>
                <w:b/>
                <w:bCs/>
                <w:sz w:val="20"/>
                <w:szCs w:val="20"/>
                <w:lang w:eastAsia="cs-CZ"/>
              </w:rPr>
            </w:pPr>
            <w:r w:rsidRPr="00421BF0">
              <w:rPr>
                <w:sz w:val="20"/>
                <w:szCs w:val="20"/>
                <w:lang w:eastAsia="cs-CZ"/>
              </w:rPr>
              <w:t>999</w:t>
            </w:r>
          </w:p>
        </w:tc>
      </w:tr>
      <w:tr w:rsidR="00DD54E5" w14:paraId="503F8C2C" w14:textId="77777777" w:rsidTr="005E0F74">
        <w:trPr>
          <w:trHeight w:val="227"/>
        </w:trPr>
        <w:tc>
          <w:tcPr>
            <w:tcW w:w="2547" w:type="dxa"/>
            <w:vAlign w:val="center"/>
            <w:hideMark/>
          </w:tcPr>
          <w:p w14:paraId="61DF907E" w14:textId="77777777" w:rsidR="00DD54E5" w:rsidRPr="00421BF0" w:rsidRDefault="00DD54E5" w:rsidP="005E0F74">
            <w:pPr>
              <w:spacing w:after="0"/>
              <w:jc w:val="left"/>
              <w:rPr>
                <w:sz w:val="20"/>
                <w:szCs w:val="20"/>
                <w:lang w:eastAsia="cs-CZ"/>
              </w:rPr>
            </w:pPr>
            <w:r w:rsidRPr="00421BF0">
              <w:rPr>
                <w:sz w:val="20"/>
                <w:szCs w:val="20"/>
                <w:lang w:eastAsia="cs-CZ"/>
              </w:rPr>
              <w:t> - sluneční (VC)</w:t>
            </w:r>
          </w:p>
        </w:tc>
        <w:tc>
          <w:tcPr>
            <w:tcW w:w="1085" w:type="dxa"/>
            <w:vAlign w:val="center"/>
            <w:hideMark/>
          </w:tcPr>
          <w:p w14:paraId="58B715E0" w14:textId="77777777" w:rsidR="00DD54E5" w:rsidRPr="00421BF0" w:rsidRDefault="00DD54E5" w:rsidP="005E0F74">
            <w:pPr>
              <w:spacing w:after="0"/>
              <w:jc w:val="right"/>
              <w:rPr>
                <w:sz w:val="20"/>
                <w:szCs w:val="20"/>
                <w:lang w:eastAsia="cs-CZ"/>
              </w:rPr>
            </w:pPr>
            <w:r w:rsidRPr="00421BF0">
              <w:rPr>
                <w:sz w:val="20"/>
                <w:szCs w:val="20"/>
                <w:lang w:eastAsia="cs-CZ"/>
              </w:rPr>
              <w:t>1 396</w:t>
            </w:r>
          </w:p>
        </w:tc>
        <w:tc>
          <w:tcPr>
            <w:tcW w:w="1086" w:type="dxa"/>
            <w:vAlign w:val="center"/>
            <w:hideMark/>
          </w:tcPr>
          <w:p w14:paraId="02CF25FE" w14:textId="77777777" w:rsidR="00DD54E5" w:rsidRPr="00421BF0" w:rsidRDefault="00DD54E5" w:rsidP="005E0F74">
            <w:pPr>
              <w:spacing w:after="0"/>
              <w:jc w:val="right"/>
              <w:rPr>
                <w:sz w:val="20"/>
                <w:szCs w:val="20"/>
                <w:lang w:eastAsia="cs-CZ"/>
              </w:rPr>
            </w:pPr>
            <w:r w:rsidRPr="00421BF0">
              <w:rPr>
                <w:sz w:val="20"/>
                <w:szCs w:val="20"/>
                <w:lang w:eastAsia="cs-CZ"/>
              </w:rPr>
              <w:t>1 359</w:t>
            </w:r>
          </w:p>
        </w:tc>
        <w:tc>
          <w:tcPr>
            <w:tcW w:w="1086" w:type="dxa"/>
            <w:vAlign w:val="center"/>
            <w:hideMark/>
          </w:tcPr>
          <w:p w14:paraId="5FF13F2A" w14:textId="77777777" w:rsidR="00DD54E5" w:rsidRPr="00421BF0" w:rsidRDefault="00DD54E5" w:rsidP="005E0F74">
            <w:pPr>
              <w:spacing w:after="0"/>
              <w:jc w:val="right"/>
              <w:rPr>
                <w:sz w:val="20"/>
                <w:szCs w:val="20"/>
                <w:lang w:eastAsia="cs-CZ"/>
              </w:rPr>
            </w:pPr>
            <w:r w:rsidRPr="00421BF0">
              <w:rPr>
                <w:sz w:val="20"/>
                <w:szCs w:val="20"/>
                <w:lang w:eastAsia="cs-CZ"/>
              </w:rPr>
              <w:t>1 410</w:t>
            </w:r>
          </w:p>
        </w:tc>
        <w:tc>
          <w:tcPr>
            <w:tcW w:w="1086" w:type="dxa"/>
            <w:vAlign w:val="center"/>
            <w:hideMark/>
          </w:tcPr>
          <w:p w14:paraId="45110973" w14:textId="77777777" w:rsidR="00DD54E5" w:rsidRPr="00421BF0" w:rsidRDefault="00DD54E5" w:rsidP="005E0F74">
            <w:pPr>
              <w:spacing w:after="0"/>
              <w:jc w:val="right"/>
              <w:rPr>
                <w:sz w:val="20"/>
                <w:szCs w:val="20"/>
                <w:lang w:eastAsia="cs-CZ"/>
              </w:rPr>
            </w:pPr>
            <w:r w:rsidRPr="00421BF0">
              <w:rPr>
                <w:sz w:val="20"/>
                <w:szCs w:val="20"/>
                <w:lang w:eastAsia="cs-CZ"/>
              </w:rPr>
              <w:t>1 236</w:t>
            </w:r>
          </w:p>
        </w:tc>
        <w:tc>
          <w:tcPr>
            <w:tcW w:w="1086" w:type="dxa"/>
            <w:vAlign w:val="center"/>
            <w:hideMark/>
          </w:tcPr>
          <w:p w14:paraId="39A44D6E" w14:textId="77777777" w:rsidR="00DD54E5" w:rsidRPr="00421BF0" w:rsidRDefault="00DD54E5" w:rsidP="005E0F74">
            <w:pPr>
              <w:spacing w:after="0"/>
              <w:jc w:val="right"/>
              <w:rPr>
                <w:sz w:val="20"/>
                <w:szCs w:val="20"/>
                <w:lang w:eastAsia="cs-CZ"/>
              </w:rPr>
            </w:pPr>
            <w:r w:rsidRPr="00421BF0">
              <w:rPr>
                <w:sz w:val="20"/>
                <w:szCs w:val="20"/>
                <w:lang w:eastAsia="cs-CZ"/>
              </w:rPr>
              <w:t>1 256</w:t>
            </w:r>
          </w:p>
        </w:tc>
        <w:tc>
          <w:tcPr>
            <w:tcW w:w="1086" w:type="dxa"/>
            <w:vAlign w:val="center"/>
            <w:hideMark/>
          </w:tcPr>
          <w:p w14:paraId="6F3B47D4" w14:textId="77777777" w:rsidR="00DD54E5" w:rsidRPr="00421BF0" w:rsidRDefault="00DD54E5" w:rsidP="005E0F74">
            <w:pPr>
              <w:spacing w:after="0"/>
              <w:jc w:val="right"/>
              <w:rPr>
                <w:sz w:val="20"/>
                <w:szCs w:val="20"/>
                <w:lang w:eastAsia="cs-CZ"/>
              </w:rPr>
            </w:pPr>
            <w:r w:rsidRPr="00421BF0">
              <w:rPr>
                <w:sz w:val="20"/>
                <w:szCs w:val="20"/>
                <w:lang w:eastAsia="cs-CZ"/>
              </w:rPr>
              <w:t>1 303</w:t>
            </w:r>
          </w:p>
        </w:tc>
      </w:tr>
    </w:tbl>
    <w:p w14:paraId="30F14D13" w14:textId="77777777" w:rsidR="00DD54E5" w:rsidRPr="00C7391B" w:rsidRDefault="00DD54E5" w:rsidP="005E0F74">
      <w:pPr>
        <w:spacing w:before="40"/>
        <w:rPr>
          <w:sz w:val="20"/>
          <w:szCs w:val="20"/>
          <w:lang w:eastAsia="cs-CZ"/>
        </w:rPr>
      </w:pPr>
      <w:r w:rsidRPr="00322D76">
        <w:rPr>
          <w:b/>
          <w:sz w:val="20"/>
          <w:szCs w:val="20"/>
          <w:lang w:eastAsia="cs-CZ"/>
        </w:rPr>
        <w:t>Zdroj:</w:t>
      </w:r>
      <w:r w:rsidRPr="00C7391B">
        <w:rPr>
          <w:sz w:val="20"/>
          <w:szCs w:val="20"/>
          <w:lang w:eastAsia="cs-CZ"/>
        </w:rPr>
        <w:t xml:space="preserve"> </w:t>
      </w:r>
      <w:hyperlink r:id="rId53" w:history="1">
        <w:r w:rsidR="005E0F74" w:rsidRPr="005E0F74">
          <w:rPr>
            <w:rStyle w:val="Hypertextovodkaz"/>
            <w:sz w:val="20"/>
            <w:szCs w:val="20"/>
            <w:u w:val="none"/>
            <w:lang w:eastAsia="cs-CZ"/>
          </w:rPr>
          <w:t>https://www.ote-cr.cz/cs/statistika/statistika-poze/poskytnuta-podpora-2013-2018</w:t>
        </w:r>
      </w:hyperlink>
      <w:r>
        <w:rPr>
          <w:sz w:val="20"/>
          <w:szCs w:val="20"/>
          <w:lang w:eastAsia="cs-CZ"/>
        </w:rPr>
        <w:t>.</w:t>
      </w:r>
    </w:p>
    <w:p w14:paraId="3426AA9E" w14:textId="42ABE497" w:rsidR="00DD54E5" w:rsidRDefault="003626E4" w:rsidP="005E0F74">
      <w:pPr>
        <w:pStyle w:val="Tabulka"/>
        <w:numPr>
          <w:ilvl w:val="0"/>
          <w:numId w:val="0"/>
        </w:numPr>
        <w:spacing w:after="40"/>
        <w:rPr>
          <w:lang w:eastAsia="cs-CZ"/>
        </w:rPr>
      </w:pPr>
      <w:r>
        <w:rPr>
          <w:lang w:eastAsia="cs-CZ"/>
        </w:rPr>
        <w:t xml:space="preserve">Tabulka č. 6: </w:t>
      </w:r>
      <w:r w:rsidR="00DD54E5" w:rsidRPr="008868FD">
        <w:rPr>
          <w:lang w:eastAsia="cs-CZ"/>
        </w:rPr>
        <w:t>Přehled cen elektřiny (bez DPH) v Kč/kWh za období 2015</w:t>
      </w:r>
      <w:r w:rsidR="00CC4AA7">
        <w:rPr>
          <w:lang w:eastAsia="cs-CZ"/>
        </w:rPr>
        <w:t>–</w:t>
      </w:r>
      <w:r w:rsidR="00DD54E5" w:rsidRPr="008868FD">
        <w:rPr>
          <w:lang w:eastAsia="cs-CZ"/>
        </w:rPr>
        <w:t>2018</w:t>
      </w:r>
    </w:p>
    <w:tbl>
      <w:tblPr>
        <w:tblStyle w:val="Mkatabulky"/>
        <w:tblW w:w="5000" w:type="pct"/>
        <w:tblLook w:val="04A0" w:firstRow="1" w:lastRow="0" w:firstColumn="1" w:lastColumn="0" w:noHBand="0" w:noVBand="1"/>
      </w:tblPr>
      <w:tblGrid>
        <w:gridCol w:w="4508"/>
        <w:gridCol w:w="1138"/>
        <w:gridCol w:w="1138"/>
        <w:gridCol w:w="1138"/>
        <w:gridCol w:w="1138"/>
      </w:tblGrid>
      <w:tr w:rsidR="00DD54E5" w14:paraId="1AA2EB7C" w14:textId="77777777" w:rsidTr="003626E4">
        <w:trPr>
          <w:trHeight w:val="227"/>
        </w:trPr>
        <w:tc>
          <w:tcPr>
            <w:tcW w:w="2488" w:type="pct"/>
            <w:shd w:val="clear" w:color="auto" w:fill="E5F1FF"/>
            <w:noWrap/>
            <w:vAlign w:val="center"/>
            <w:hideMark/>
          </w:tcPr>
          <w:p w14:paraId="4A6C4BA3" w14:textId="77777777" w:rsidR="00DD54E5" w:rsidRPr="008868FD" w:rsidRDefault="00DD54E5" w:rsidP="003626E4">
            <w:pPr>
              <w:spacing w:after="0"/>
              <w:jc w:val="center"/>
              <w:rPr>
                <w:b/>
                <w:sz w:val="20"/>
                <w:szCs w:val="20"/>
                <w:lang w:eastAsia="cs-CZ"/>
              </w:rPr>
            </w:pPr>
            <w:r w:rsidRPr="008868FD">
              <w:rPr>
                <w:b/>
                <w:sz w:val="20"/>
                <w:szCs w:val="20"/>
                <w:lang w:eastAsia="cs-CZ"/>
              </w:rPr>
              <w:t>Rok</w:t>
            </w:r>
          </w:p>
        </w:tc>
        <w:tc>
          <w:tcPr>
            <w:tcW w:w="628" w:type="pct"/>
            <w:shd w:val="clear" w:color="auto" w:fill="E5F1FF"/>
            <w:noWrap/>
            <w:vAlign w:val="center"/>
            <w:hideMark/>
          </w:tcPr>
          <w:p w14:paraId="379E76B2" w14:textId="77777777" w:rsidR="00DD54E5" w:rsidRPr="008868FD" w:rsidRDefault="00DD54E5" w:rsidP="003626E4">
            <w:pPr>
              <w:spacing w:after="0"/>
              <w:jc w:val="center"/>
              <w:rPr>
                <w:b/>
                <w:sz w:val="20"/>
                <w:szCs w:val="20"/>
                <w:lang w:eastAsia="cs-CZ"/>
              </w:rPr>
            </w:pPr>
            <w:r w:rsidRPr="008868FD">
              <w:rPr>
                <w:b/>
                <w:sz w:val="20"/>
                <w:szCs w:val="20"/>
                <w:lang w:eastAsia="cs-CZ"/>
              </w:rPr>
              <w:t>2015</w:t>
            </w:r>
          </w:p>
        </w:tc>
        <w:tc>
          <w:tcPr>
            <w:tcW w:w="628" w:type="pct"/>
            <w:shd w:val="clear" w:color="auto" w:fill="E5F1FF"/>
            <w:noWrap/>
            <w:vAlign w:val="center"/>
            <w:hideMark/>
          </w:tcPr>
          <w:p w14:paraId="553C5345" w14:textId="77777777" w:rsidR="00DD54E5" w:rsidRPr="008868FD" w:rsidRDefault="00DD54E5" w:rsidP="003626E4">
            <w:pPr>
              <w:spacing w:after="0"/>
              <w:jc w:val="center"/>
              <w:rPr>
                <w:b/>
                <w:sz w:val="20"/>
                <w:szCs w:val="20"/>
                <w:lang w:eastAsia="cs-CZ"/>
              </w:rPr>
            </w:pPr>
            <w:r w:rsidRPr="008868FD">
              <w:rPr>
                <w:b/>
                <w:sz w:val="20"/>
                <w:szCs w:val="20"/>
                <w:lang w:eastAsia="cs-CZ"/>
              </w:rPr>
              <w:t>2016</w:t>
            </w:r>
          </w:p>
        </w:tc>
        <w:tc>
          <w:tcPr>
            <w:tcW w:w="628" w:type="pct"/>
            <w:shd w:val="clear" w:color="auto" w:fill="E5F1FF"/>
            <w:noWrap/>
            <w:vAlign w:val="center"/>
            <w:hideMark/>
          </w:tcPr>
          <w:p w14:paraId="06535849" w14:textId="77777777" w:rsidR="00DD54E5" w:rsidRPr="008868FD" w:rsidRDefault="00DD54E5" w:rsidP="003626E4">
            <w:pPr>
              <w:spacing w:after="0"/>
              <w:jc w:val="center"/>
              <w:rPr>
                <w:b/>
                <w:sz w:val="20"/>
                <w:szCs w:val="20"/>
                <w:lang w:eastAsia="cs-CZ"/>
              </w:rPr>
            </w:pPr>
            <w:r w:rsidRPr="008868FD">
              <w:rPr>
                <w:b/>
                <w:sz w:val="20"/>
                <w:szCs w:val="20"/>
                <w:lang w:eastAsia="cs-CZ"/>
              </w:rPr>
              <w:t>2017</w:t>
            </w:r>
          </w:p>
        </w:tc>
        <w:tc>
          <w:tcPr>
            <w:tcW w:w="628" w:type="pct"/>
            <w:shd w:val="clear" w:color="auto" w:fill="E5F1FF"/>
            <w:noWrap/>
            <w:vAlign w:val="center"/>
            <w:hideMark/>
          </w:tcPr>
          <w:p w14:paraId="466E904E" w14:textId="77777777" w:rsidR="00DD54E5" w:rsidRPr="008868FD" w:rsidRDefault="00DD54E5" w:rsidP="003626E4">
            <w:pPr>
              <w:spacing w:after="0"/>
              <w:jc w:val="center"/>
              <w:rPr>
                <w:b/>
                <w:sz w:val="20"/>
                <w:szCs w:val="20"/>
                <w:lang w:eastAsia="cs-CZ"/>
              </w:rPr>
            </w:pPr>
            <w:r w:rsidRPr="008868FD">
              <w:rPr>
                <w:b/>
                <w:sz w:val="20"/>
                <w:szCs w:val="20"/>
                <w:lang w:eastAsia="cs-CZ"/>
              </w:rPr>
              <w:t>2018</w:t>
            </w:r>
          </w:p>
        </w:tc>
      </w:tr>
      <w:tr w:rsidR="00DD54E5" w14:paraId="5C1F0A22" w14:textId="77777777" w:rsidTr="003626E4">
        <w:trPr>
          <w:trHeight w:val="227"/>
        </w:trPr>
        <w:tc>
          <w:tcPr>
            <w:tcW w:w="2488" w:type="pct"/>
            <w:noWrap/>
            <w:vAlign w:val="center"/>
            <w:hideMark/>
          </w:tcPr>
          <w:p w14:paraId="7730C424" w14:textId="576D3EBC" w:rsidR="00DD54E5" w:rsidRPr="008868FD" w:rsidRDefault="00CC4AA7" w:rsidP="003626E4">
            <w:pPr>
              <w:spacing w:after="0"/>
              <w:jc w:val="left"/>
              <w:rPr>
                <w:sz w:val="20"/>
                <w:szCs w:val="20"/>
                <w:lang w:eastAsia="cs-CZ"/>
              </w:rPr>
            </w:pPr>
            <w:r>
              <w:rPr>
                <w:sz w:val="20"/>
                <w:szCs w:val="20"/>
                <w:lang w:eastAsia="cs-CZ"/>
              </w:rPr>
              <w:t>C</w:t>
            </w:r>
            <w:r w:rsidR="00DD54E5" w:rsidRPr="008868FD">
              <w:rPr>
                <w:sz w:val="20"/>
                <w:szCs w:val="20"/>
                <w:lang w:eastAsia="cs-CZ"/>
              </w:rPr>
              <w:t>ena elektřiny pro domácnosti v Kč/kWh</w:t>
            </w:r>
          </w:p>
        </w:tc>
        <w:tc>
          <w:tcPr>
            <w:tcW w:w="628" w:type="pct"/>
            <w:noWrap/>
            <w:vAlign w:val="center"/>
            <w:hideMark/>
          </w:tcPr>
          <w:p w14:paraId="24E19FF3" w14:textId="77777777" w:rsidR="00DD54E5" w:rsidRPr="008868FD" w:rsidRDefault="00DD54E5" w:rsidP="005E0F74">
            <w:pPr>
              <w:spacing w:after="0"/>
              <w:jc w:val="center"/>
              <w:rPr>
                <w:sz w:val="20"/>
                <w:szCs w:val="20"/>
                <w:lang w:eastAsia="cs-CZ"/>
              </w:rPr>
            </w:pPr>
            <w:r w:rsidRPr="008868FD">
              <w:rPr>
                <w:sz w:val="20"/>
                <w:szCs w:val="20"/>
                <w:lang w:eastAsia="cs-CZ"/>
              </w:rPr>
              <w:t>3,15</w:t>
            </w:r>
          </w:p>
        </w:tc>
        <w:tc>
          <w:tcPr>
            <w:tcW w:w="628" w:type="pct"/>
            <w:noWrap/>
            <w:vAlign w:val="center"/>
            <w:hideMark/>
          </w:tcPr>
          <w:p w14:paraId="7EC20551" w14:textId="77777777" w:rsidR="00DD54E5" w:rsidRPr="008868FD" w:rsidRDefault="00DD54E5" w:rsidP="005E0F74">
            <w:pPr>
              <w:spacing w:after="0"/>
              <w:jc w:val="center"/>
              <w:rPr>
                <w:sz w:val="20"/>
                <w:szCs w:val="20"/>
                <w:lang w:eastAsia="cs-CZ"/>
              </w:rPr>
            </w:pPr>
            <w:r w:rsidRPr="008868FD">
              <w:rPr>
                <w:sz w:val="20"/>
                <w:szCs w:val="20"/>
                <w:lang w:eastAsia="cs-CZ"/>
              </w:rPr>
              <w:t>3,17</w:t>
            </w:r>
          </w:p>
        </w:tc>
        <w:tc>
          <w:tcPr>
            <w:tcW w:w="628" w:type="pct"/>
            <w:noWrap/>
            <w:vAlign w:val="center"/>
            <w:hideMark/>
          </w:tcPr>
          <w:p w14:paraId="7452DEAC" w14:textId="77777777" w:rsidR="00DD54E5" w:rsidRPr="008868FD" w:rsidRDefault="00DD54E5" w:rsidP="005E0F74">
            <w:pPr>
              <w:spacing w:after="0"/>
              <w:jc w:val="center"/>
              <w:rPr>
                <w:sz w:val="20"/>
                <w:szCs w:val="20"/>
                <w:lang w:eastAsia="cs-CZ"/>
              </w:rPr>
            </w:pPr>
            <w:r w:rsidRPr="008868FD">
              <w:rPr>
                <w:sz w:val="20"/>
                <w:szCs w:val="20"/>
                <w:lang w:eastAsia="cs-CZ"/>
              </w:rPr>
              <w:t>3,18</w:t>
            </w:r>
          </w:p>
        </w:tc>
        <w:tc>
          <w:tcPr>
            <w:tcW w:w="628" w:type="pct"/>
            <w:noWrap/>
            <w:vAlign w:val="center"/>
            <w:hideMark/>
          </w:tcPr>
          <w:p w14:paraId="2A355C34" w14:textId="77777777" w:rsidR="00DD54E5" w:rsidRPr="008868FD" w:rsidRDefault="00DD54E5" w:rsidP="005E0F74">
            <w:pPr>
              <w:spacing w:after="0"/>
              <w:jc w:val="center"/>
              <w:rPr>
                <w:sz w:val="20"/>
                <w:szCs w:val="20"/>
                <w:lang w:eastAsia="cs-CZ"/>
              </w:rPr>
            </w:pPr>
            <w:r w:rsidRPr="008868FD">
              <w:rPr>
                <w:sz w:val="20"/>
                <w:szCs w:val="20"/>
                <w:lang w:eastAsia="cs-CZ"/>
              </w:rPr>
              <w:t>3,31</w:t>
            </w:r>
          </w:p>
        </w:tc>
      </w:tr>
      <w:tr w:rsidR="00DD54E5" w14:paraId="4E788CEA" w14:textId="77777777" w:rsidTr="003626E4">
        <w:trPr>
          <w:trHeight w:val="227"/>
        </w:trPr>
        <w:tc>
          <w:tcPr>
            <w:tcW w:w="2488" w:type="pct"/>
            <w:noWrap/>
            <w:vAlign w:val="center"/>
            <w:hideMark/>
          </w:tcPr>
          <w:p w14:paraId="2DD4B2FD" w14:textId="150C8FE3" w:rsidR="00DD54E5" w:rsidRPr="008868FD" w:rsidRDefault="00CC4AA7" w:rsidP="003626E4">
            <w:pPr>
              <w:spacing w:after="0"/>
              <w:jc w:val="left"/>
              <w:rPr>
                <w:sz w:val="20"/>
                <w:szCs w:val="20"/>
                <w:lang w:eastAsia="cs-CZ"/>
              </w:rPr>
            </w:pPr>
            <w:r>
              <w:rPr>
                <w:sz w:val="20"/>
                <w:szCs w:val="20"/>
                <w:lang w:eastAsia="cs-CZ"/>
              </w:rPr>
              <w:t>C</w:t>
            </w:r>
            <w:r w:rsidR="00DD54E5" w:rsidRPr="008868FD">
              <w:rPr>
                <w:sz w:val="20"/>
                <w:szCs w:val="20"/>
                <w:lang w:eastAsia="cs-CZ"/>
              </w:rPr>
              <w:t>ena elektřiny pro malé podniky v Kč/kWh</w:t>
            </w:r>
          </w:p>
        </w:tc>
        <w:tc>
          <w:tcPr>
            <w:tcW w:w="628" w:type="pct"/>
            <w:noWrap/>
            <w:vAlign w:val="center"/>
            <w:hideMark/>
          </w:tcPr>
          <w:p w14:paraId="53E35852" w14:textId="77777777" w:rsidR="00DD54E5" w:rsidRPr="008868FD" w:rsidRDefault="00DD54E5" w:rsidP="005E0F74">
            <w:pPr>
              <w:spacing w:after="0"/>
              <w:jc w:val="center"/>
              <w:rPr>
                <w:sz w:val="20"/>
                <w:szCs w:val="20"/>
                <w:lang w:eastAsia="cs-CZ"/>
              </w:rPr>
            </w:pPr>
            <w:r w:rsidRPr="008868FD">
              <w:rPr>
                <w:sz w:val="20"/>
                <w:szCs w:val="20"/>
                <w:lang w:eastAsia="cs-CZ"/>
              </w:rPr>
              <w:t>2,12</w:t>
            </w:r>
          </w:p>
        </w:tc>
        <w:tc>
          <w:tcPr>
            <w:tcW w:w="628" w:type="pct"/>
            <w:noWrap/>
            <w:vAlign w:val="center"/>
            <w:hideMark/>
          </w:tcPr>
          <w:p w14:paraId="53C01568" w14:textId="77777777" w:rsidR="00DD54E5" w:rsidRPr="008868FD" w:rsidRDefault="00DD54E5" w:rsidP="005E0F74">
            <w:pPr>
              <w:spacing w:after="0"/>
              <w:jc w:val="center"/>
              <w:rPr>
                <w:sz w:val="20"/>
                <w:szCs w:val="20"/>
                <w:lang w:eastAsia="cs-CZ"/>
              </w:rPr>
            </w:pPr>
            <w:r w:rsidRPr="008868FD">
              <w:rPr>
                <w:sz w:val="20"/>
                <w:szCs w:val="20"/>
                <w:lang w:eastAsia="cs-CZ"/>
              </w:rPr>
              <w:t>1,98</w:t>
            </w:r>
          </w:p>
        </w:tc>
        <w:tc>
          <w:tcPr>
            <w:tcW w:w="628" w:type="pct"/>
            <w:noWrap/>
            <w:vAlign w:val="center"/>
            <w:hideMark/>
          </w:tcPr>
          <w:p w14:paraId="0B022BE6" w14:textId="77777777" w:rsidR="00DD54E5" w:rsidRPr="008868FD" w:rsidRDefault="00DD54E5" w:rsidP="005E0F74">
            <w:pPr>
              <w:spacing w:after="0"/>
              <w:jc w:val="center"/>
              <w:rPr>
                <w:sz w:val="20"/>
                <w:szCs w:val="20"/>
                <w:lang w:eastAsia="cs-CZ"/>
              </w:rPr>
            </w:pPr>
            <w:r w:rsidRPr="008868FD">
              <w:rPr>
                <w:sz w:val="20"/>
                <w:szCs w:val="20"/>
                <w:lang w:eastAsia="cs-CZ"/>
              </w:rPr>
              <w:t>1,84</w:t>
            </w:r>
          </w:p>
        </w:tc>
        <w:tc>
          <w:tcPr>
            <w:tcW w:w="628" w:type="pct"/>
            <w:noWrap/>
            <w:vAlign w:val="center"/>
            <w:hideMark/>
          </w:tcPr>
          <w:p w14:paraId="6D5AC65B" w14:textId="77777777" w:rsidR="00DD54E5" w:rsidRPr="008868FD" w:rsidRDefault="00DD54E5" w:rsidP="005E0F74">
            <w:pPr>
              <w:spacing w:after="0"/>
              <w:jc w:val="center"/>
              <w:rPr>
                <w:sz w:val="20"/>
                <w:szCs w:val="20"/>
                <w:lang w:eastAsia="cs-CZ"/>
              </w:rPr>
            </w:pPr>
            <w:r w:rsidRPr="008868FD">
              <w:rPr>
                <w:sz w:val="20"/>
                <w:szCs w:val="20"/>
                <w:lang w:eastAsia="cs-CZ"/>
              </w:rPr>
              <w:t>1,87</w:t>
            </w:r>
          </w:p>
        </w:tc>
      </w:tr>
    </w:tbl>
    <w:p w14:paraId="01C2D097" w14:textId="053EDCBA" w:rsidR="00DD54E5" w:rsidRDefault="00DD54E5" w:rsidP="003626E4">
      <w:pPr>
        <w:spacing w:before="40"/>
        <w:ind w:left="567" w:hanging="567"/>
        <w:rPr>
          <w:sz w:val="20"/>
          <w:szCs w:val="20"/>
          <w:lang w:eastAsia="cs-CZ"/>
        </w:rPr>
      </w:pPr>
      <w:r w:rsidRPr="00322D76">
        <w:rPr>
          <w:b/>
          <w:sz w:val="20"/>
          <w:szCs w:val="20"/>
          <w:lang w:eastAsia="cs-CZ"/>
        </w:rPr>
        <w:t>Zdroj:</w:t>
      </w:r>
      <w:r w:rsidRPr="008868FD">
        <w:rPr>
          <w:sz w:val="20"/>
          <w:szCs w:val="20"/>
          <w:lang w:eastAsia="cs-CZ"/>
        </w:rPr>
        <w:t xml:space="preserve"> Eurostat </w:t>
      </w:r>
      <w:r w:rsidR="00CC4AA7">
        <w:rPr>
          <w:sz w:val="20"/>
          <w:szCs w:val="20"/>
          <w:lang w:eastAsia="cs-CZ"/>
        </w:rPr>
        <w:t>–</w:t>
      </w:r>
      <w:r w:rsidRPr="008868FD">
        <w:rPr>
          <w:sz w:val="20"/>
          <w:szCs w:val="20"/>
          <w:lang w:eastAsia="cs-CZ"/>
        </w:rPr>
        <w:t xml:space="preserve"> </w:t>
      </w:r>
      <w:hyperlink r:id="rId54" w:history="1">
        <w:r w:rsidR="003626E4" w:rsidRPr="003626E4">
          <w:rPr>
            <w:rStyle w:val="Hypertextovodkaz"/>
            <w:sz w:val="20"/>
            <w:szCs w:val="20"/>
            <w:u w:val="none"/>
            <w:lang w:eastAsia="cs-CZ"/>
          </w:rPr>
          <w:t>https://ec.europa.eu/eurostat/web/energy/data/database</w:t>
        </w:r>
      </w:hyperlink>
      <w:r w:rsidRPr="008868FD">
        <w:rPr>
          <w:sz w:val="20"/>
          <w:szCs w:val="20"/>
          <w:lang w:eastAsia="cs-CZ"/>
        </w:rPr>
        <w:t xml:space="preserve"> (Electricity prices for household consumers </w:t>
      </w:r>
      <w:r w:rsidR="00CC4AA7">
        <w:rPr>
          <w:sz w:val="20"/>
          <w:szCs w:val="20"/>
          <w:lang w:eastAsia="cs-CZ"/>
        </w:rPr>
        <w:t>–</w:t>
      </w:r>
      <w:r w:rsidRPr="008868FD">
        <w:rPr>
          <w:sz w:val="20"/>
          <w:szCs w:val="20"/>
          <w:lang w:eastAsia="cs-CZ"/>
        </w:rPr>
        <w:t xml:space="preserve"> bi-annual data from 2007, national currency, all taxes and levies included)</w:t>
      </w:r>
      <w:r>
        <w:rPr>
          <w:sz w:val="20"/>
          <w:szCs w:val="20"/>
          <w:lang w:eastAsia="cs-CZ"/>
        </w:rPr>
        <w:t xml:space="preserve">; </w:t>
      </w:r>
      <w:hyperlink r:id="rId55" w:history="1">
        <w:r w:rsidR="003626E4" w:rsidRPr="003626E4">
          <w:rPr>
            <w:rStyle w:val="Hypertextovodkaz"/>
            <w:sz w:val="20"/>
            <w:szCs w:val="20"/>
            <w:u w:val="none"/>
            <w:lang w:eastAsia="cs-CZ"/>
          </w:rPr>
          <w:t>https://ec.europa.eu/eurostat/web/energy/data/database</w:t>
        </w:r>
      </w:hyperlink>
      <w:r w:rsidRPr="008868FD">
        <w:rPr>
          <w:sz w:val="20"/>
          <w:szCs w:val="20"/>
          <w:lang w:eastAsia="cs-CZ"/>
        </w:rPr>
        <w:t xml:space="preserve"> (Electricity prices for non-household consumers </w:t>
      </w:r>
      <w:r w:rsidR="00CC4AA7">
        <w:rPr>
          <w:sz w:val="20"/>
          <w:szCs w:val="20"/>
          <w:lang w:eastAsia="cs-CZ"/>
        </w:rPr>
        <w:t>–</w:t>
      </w:r>
      <w:r w:rsidRPr="008868FD">
        <w:rPr>
          <w:sz w:val="20"/>
          <w:szCs w:val="20"/>
          <w:lang w:eastAsia="cs-CZ"/>
        </w:rPr>
        <w:t xml:space="preserve"> bi-annual data from 2007, national currency, all taxes and levies included)</w:t>
      </w:r>
      <w:r>
        <w:rPr>
          <w:sz w:val="20"/>
          <w:szCs w:val="20"/>
          <w:lang w:eastAsia="cs-CZ"/>
        </w:rPr>
        <w:t>.</w:t>
      </w:r>
    </w:p>
    <w:p w14:paraId="29C8F3B1" w14:textId="77777777" w:rsidR="00DD54E5" w:rsidRDefault="00016207" w:rsidP="00016207">
      <w:pPr>
        <w:pStyle w:val="Tabulka"/>
        <w:numPr>
          <w:ilvl w:val="0"/>
          <w:numId w:val="0"/>
        </w:numPr>
        <w:spacing w:after="40"/>
        <w:ind w:left="1304" w:hanging="1304"/>
        <w:rPr>
          <w:lang w:eastAsia="cs-CZ"/>
        </w:rPr>
      </w:pPr>
      <w:r>
        <w:rPr>
          <w:lang w:eastAsia="cs-CZ"/>
        </w:rPr>
        <w:t xml:space="preserve">Tabulka č. 7: </w:t>
      </w:r>
      <w:r>
        <w:rPr>
          <w:lang w:eastAsia="cs-CZ"/>
        </w:rPr>
        <w:tab/>
      </w:r>
      <w:r w:rsidR="00DD54E5">
        <w:rPr>
          <w:lang w:eastAsia="cs-CZ"/>
        </w:rPr>
        <w:t>Vyčíslení předpokláda</w:t>
      </w:r>
      <w:r w:rsidR="00DD54E5" w:rsidRPr="008868FD">
        <w:rPr>
          <w:lang w:eastAsia="cs-CZ"/>
        </w:rPr>
        <w:t>né finanční úspory výrobců z malého zdroje při 80% vlastní spotřebě vyrobené el. (instalovaný výkon 2 kWh, ročně 2000 kWh) při průměrné ceně elektřiny za domácnost v roce 2018 (bez DPH)</w:t>
      </w:r>
    </w:p>
    <w:tbl>
      <w:tblPr>
        <w:tblW w:w="5000" w:type="pct"/>
        <w:tblCellMar>
          <w:left w:w="70" w:type="dxa"/>
          <w:right w:w="70" w:type="dxa"/>
        </w:tblCellMar>
        <w:tblLook w:val="04A0" w:firstRow="1" w:lastRow="0" w:firstColumn="1" w:lastColumn="0" w:noHBand="0" w:noVBand="1"/>
      </w:tblPr>
      <w:tblGrid>
        <w:gridCol w:w="5092"/>
        <w:gridCol w:w="1978"/>
        <w:gridCol w:w="1980"/>
      </w:tblGrid>
      <w:tr w:rsidR="00DD54E5" w14:paraId="4B925E2B" w14:textId="77777777" w:rsidTr="00016207">
        <w:trPr>
          <w:trHeight w:val="227"/>
        </w:trPr>
        <w:tc>
          <w:tcPr>
            <w:tcW w:w="2813" w:type="pct"/>
            <w:tcBorders>
              <w:top w:val="single" w:sz="8" w:space="0" w:color="auto"/>
              <w:left w:val="single" w:sz="8" w:space="0" w:color="auto"/>
              <w:bottom w:val="single" w:sz="8" w:space="0" w:color="auto"/>
              <w:right w:val="single" w:sz="8" w:space="0" w:color="auto"/>
            </w:tcBorders>
            <w:shd w:val="clear" w:color="auto" w:fill="E5F1FF"/>
            <w:noWrap/>
            <w:vAlign w:val="bottom"/>
            <w:hideMark/>
          </w:tcPr>
          <w:p w14:paraId="1D39A80B" w14:textId="77777777" w:rsidR="00DD54E5" w:rsidRPr="008868FD" w:rsidRDefault="00DD54E5" w:rsidP="00016207">
            <w:pPr>
              <w:spacing w:after="0"/>
              <w:jc w:val="center"/>
              <w:rPr>
                <w:rFonts w:eastAsia="Times New Roman" w:cs="Calibri"/>
                <w:b/>
                <w:color w:val="000000"/>
                <w:sz w:val="20"/>
                <w:szCs w:val="20"/>
                <w:lang w:eastAsia="cs-CZ"/>
              </w:rPr>
            </w:pPr>
          </w:p>
        </w:tc>
        <w:tc>
          <w:tcPr>
            <w:tcW w:w="1093" w:type="pct"/>
            <w:tcBorders>
              <w:top w:val="single" w:sz="8" w:space="0" w:color="auto"/>
              <w:left w:val="nil"/>
              <w:bottom w:val="single" w:sz="8" w:space="0" w:color="auto"/>
              <w:right w:val="single" w:sz="8" w:space="0" w:color="auto"/>
            </w:tcBorders>
            <w:shd w:val="clear" w:color="auto" w:fill="E5F1FF"/>
            <w:noWrap/>
            <w:vAlign w:val="center"/>
            <w:hideMark/>
          </w:tcPr>
          <w:p w14:paraId="47F07733" w14:textId="77777777" w:rsidR="00DD54E5" w:rsidRPr="008868FD" w:rsidRDefault="00DD54E5" w:rsidP="00016207">
            <w:pPr>
              <w:spacing w:after="0"/>
              <w:jc w:val="center"/>
              <w:rPr>
                <w:rFonts w:eastAsia="Times New Roman" w:cs="Calibri"/>
                <w:b/>
                <w:color w:val="000000"/>
                <w:sz w:val="20"/>
                <w:szCs w:val="20"/>
                <w:lang w:eastAsia="cs-CZ"/>
              </w:rPr>
            </w:pPr>
            <w:r w:rsidRPr="008868FD">
              <w:rPr>
                <w:rFonts w:eastAsia="Times New Roman" w:cs="Calibri"/>
                <w:b/>
                <w:color w:val="000000"/>
                <w:sz w:val="20"/>
                <w:szCs w:val="20"/>
                <w:lang w:eastAsia="cs-CZ"/>
              </w:rPr>
              <w:t>1 rok</w:t>
            </w:r>
          </w:p>
        </w:tc>
        <w:tc>
          <w:tcPr>
            <w:tcW w:w="1094" w:type="pct"/>
            <w:tcBorders>
              <w:top w:val="single" w:sz="8" w:space="0" w:color="auto"/>
              <w:left w:val="nil"/>
              <w:bottom w:val="single" w:sz="8" w:space="0" w:color="auto"/>
              <w:right w:val="single" w:sz="8" w:space="0" w:color="auto"/>
            </w:tcBorders>
            <w:shd w:val="clear" w:color="auto" w:fill="E5F1FF"/>
            <w:noWrap/>
            <w:vAlign w:val="center"/>
            <w:hideMark/>
          </w:tcPr>
          <w:p w14:paraId="6F19CB1F" w14:textId="77777777" w:rsidR="00DD54E5" w:rsidRPr="008868FD" w:rsidRDefault="00DD54E5" w:rsidP="00016207">
            <w:pPr>
              <w:spacing w:after="0"/>
              <w:jc w:val="center"/>
              <w:rPr>
                <w:rFonts w:eastAsia="Times New Roman" w:cs="Calibri"/>
                <w:b/>
                <w:color w:val="000000"/>
                <w:sz w:val="20"/>
                <w:szCs w:val="20"/>
                <w:lang w:eastAsia="cs-CZ"/>
              </w:rPr>
            </w:pPr>
            <w:r w:rsidRPr="008868FD">
              <w:rPr>
                <w:rFonts w:eastAsia="Times New Roman" w:cs="Calibri"/>
                <w:b/>
                <w:color w:val="000000"/>
                <w:sz w:val="20"/>
                <w:szCs w:val="20"/>
                <w:lang w:eastAsia="cs-CZ"/>
              </w:rPr>
              <w:t>7 let</w:t>
            </w:r>
          </w:p>
        </w:tc>
      </w:tr>
      <w:tr w:rsidR="00DD54E5" w14:paraId="0229DA10" w14:textId="77777777" w:rsidTr="00016207">
        <w:trPr>
          <w:trHeight w:val="227"/>
        </w:trPr>
        <w:tc>
          <w:tcPr>
            <w:tcW w:w="2813" w:type="pct"/>
            <w:tcBorders>
              <w:top w:val="nil"/>
              <w:left w:val="single" w:sz="8" w:space="0" w:color="auto"/>
              <w:bottom w:val="single" w:sz="8" w:space="0" w:color="auto"/>
              <w:right w:val="single" w:sz="8" w:space="0" w:color="auto"/>
            </w:tcBorders>
            <w:shd w:val="clear" w:color="auto" w:fill="auto"/>
            <w:noWrap/>
            <w:vAlign w:val="center"/>
            <w:hideMark/>
          </w:tcPr>
          <w:p w14:paraId="493385D7" w14:textId="57A676BA" w:rsidR="00DD54E5" w:rsidRPr="008868FD" w:rsidRDefault="00CC4AA7" w:rsidP="00016207">
            <w:pPr>
              <w:spacing w:after="0"/>
              <w:jc w:val="left"/>
              <w:rPr>
                <w:rFonts w:eastAsia="Times New Roman" w:cs="Calibri"/>
                <w:color w:val="000000"/>
                <w:sz w:val="20"/>
                <w:szCs w:val="20"/>
                <w:lang w:eastAsia="cs-CZ"/>
              </w:rPr>
            </w:pPr>
            <w:r>
              <w:rPr>
                <w:rFonts w:eastAsia="Times New Roman" w:cs="Calibri"/>
                <w:color w:val="000000"/>
                <w:sz w:val="20"/>
                <w:szCs w:val="20"/>
                <w:lang w:eastAsia="cs-CZ"/>
              </w:rPr>
              <w:t>V</w:t>
            </w:r>
            <w:r w:rsidR="00DD54E5" w:rsidRPr="008868FD">
              <w:rPr>
                <w:rFonts w:eastAsia="Times New Roman" w:cs="Calibri"/>
                <w:color w:val="000000"/>
                <w:sz w:val="20"/>
                <w:szCs w:val="20"/>
                <w:lang w:eastAsia="cs-CZ"/>
              </w:rPr>
              <w:t>yrobená el. v kWh</w:t>
            </w:r>
          </w:p>
        </w:tc>
        <w:tc>
          <w:tcPr>
            <w:tcW w:w="1093" w:type="pct"/>
            <w:tcBorders>
              <w:top w:val="nil"/>
              <w:left w:val="nil"/>
              <w:bottom w:val="single" w:sz="4" w:space="0" w:color="auto"/>
              <w:right w:val="single" w:sz="4" w:space="0" w:color="auto"/>
            </w:tcBorders>
            <w:shd w:val="clear" w:color="auto" w:fill="auto"/>
            <w:noWrap/>
            <w:vAlign w:val="center"/>
            <w:hideMark/>
          </w:tcPr>
          <w:p w14:paraId="58A26A5C"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2 000</w:t>
            </w:r>
          </w:p>
        </w:tc>
        <w:tc>
          <w:tcPr>
            <w:tcW w:w="1094" w:type="pct"/>
            <w:tcBorders>
              <w:top w:val="nil"/>
              <w:left w:val="nil"/>
              <w:bottom w:val="single" w:sz="4" w:space="0" w:color="auto"/>
              <w:right w:val="single" w:sz="4" w:space="0" w:color="auto"/>
            </w:tcBorders>
            <w:shd w:val="clear" w:color="auto" w:fill="auto"/>
            <w:noWrap/>
            <w:vAlign w:val="center"/>
            <w:hideMark/>
          </w:tcPr>
          <w:p w14:paraId="69D742C8"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14 000</w:t>
            </w:r>
          </w:p>
        </w:tc>
      </w:tr>
      <w:tr w:rsidR="00DD54E5" w14:paraId="20461978" w14:textId="77777777" w:rsidTr="00016207">
        <w:trPr>
          <w:trHeight w:val="227"/>
        </w:trPr>
        <w:tc>
          <w:tcPr>
            <w:tcW w:w="2813" w:type="pct"/>
            <w:tcBorders>
              <w:top w:val="nil"/>
              <w:left w:val="single" w:sz="8" w:space="0" w:color="auto"/>
              <w:bottom w:val="single" w:sz="8" w:space="0" w:color="auto"/>
              <w:right w:val="single" w:sz="8" w:space="0" w:color="auto"/>
            </w:tcBorders>
            <w:shd w:val="clear" w:color="auto" w:fill="auto"/>
            <w:noWrap/>
            <w:vAlign w:val="center"/>
            <w:hideMark/>
          </w:tcPr>
          <w:p w14:paraId="1A9F3E67" w14:textId="2825AF63" w:rsidR="00DD54E5" w:rsidRPr="008868FD" w:rsidRDefault="00CC4AA7" w:rsidP="00016207">
            <w:pPr>
              <w:spacing w:after="0"/>
              <w:jc w:val="left"/>
              <w:rPr>
                <w:rFonts w:eastAsia="Times New Roman" w:cs="Calibri"/>
                <w:color w:val="000000"/>
                <w:sz w:val="20"/>
                <w:szCs w:val="20"/>
                <w:lang w:eastAsia="cs-CZ"/>
              </w:rPr>
            </w:pPr>
            <w:r>
              <w:rPr>
                <w:rFonts w:eastAsia="Times New Roman" w:cs="Calibri"/>
                <w:color w:val="000000"/>
                <w:sz w:val="20"/>
                <w:szCs w:val="20"/>
                <w:lang w:eastAsia="cs-CZ"/>
              </w:rPr>
              <w:t>V</w:t>
            </w:r>
            <w:r w:rsidR="00DD54E5" w:rsidRPr="008868FD">
              <w:rPr>
                <w:rFonts w:eastAsia="Times New Roman" w:cs="Calibri"/>
                <w:color w:val="000000"/>
                <w:sz w:val="20"/>
                <w:szCs w:val="20"/>
                <w:lang w:eastAsia="cs-CZ"/>
              </w:rPr>
              <w:t>lastní spotřeba 80 % v kWh</w:t>
            </w:r>
          </w:p>
        </w:tc>
        <w:tc>
          <w:tcPr>
            <w:tcW w:w="1093" w:type="pct"/>
            <w:tcBorders>
              <w:top w:val="nil"/>
              <w:left w:val="nil"/>
              <w:bottom w:val="single" w:sz="4" w:space="0" w:color="auto"/>
              <w:right w:val="single" w:sz="4" w:space="0" w:color="auto"/>
            </w:tcBorders>
            <w:shd w:val="clear" w:color="auto" w:fill="auto"/>
            <w:noWrap/>
            <w:vAlign w:val="center"/>
            <w:hideMark/>
          </w:tcPr>
          <w:p w14:paraId="6A29BDCC"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1 600</w:t>
            </w:r>
          </w:p>
        </w:tc>
        <w:tc>
          <w:tcPr>
            <w:tcW w:w="1094" w:type="pct"/>
            <w:tcBorders>
              <w:top w:val="nil"/>
              <w:left w:val="nil"/>
              <w:bottom w:val="single" w:sz="4" w:space="0" w:color="auto"/>
              <w:right w:val="single" w:sz="4" w:space="0" w:color="auto"/>
            </w:tcBorders>
            <w:shd w:val="clear" w:color="auto" w:fill="auto"/>
            <w:noWrap/>
            <w:vAlign w:val="center"/>
            <w:hideMark/>
          </w:tcPr>
          <w:p w14:paraId="5E633DC8"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11 200</w:t>
            </w:r>
          </w:p>
        </w:tc>
      </w:tr>
      <w:tr w:rsidR="00DD54E5" w14:paraId="14573DFC" w14:textId="77777777" w:rsidTr="00016207">
        <w:trPr>
          <w:trHeight w:val="227"/>
        </w:trPr>
        <w:tc>
          <w:tcPr>
            <w:tcW w:w="2813" w:type="pct"/>
            <w:tcBorders>
              <w:top w:val="nil"/>
              <w:left w:val="single" w:sz="8" w:space="0" w:color="auto"/>
              <w:bottom w:val="single" w:sz="8" w:space="0" w:color="auto"/>
              <w:right w:val="single" w:sz="8" w:space="0" w:color="auto"/>
            </w:tcBorders>
            <w:shd w:val="clear" w:color="auto" w:fill="auto"/>
            <w:noWrap/>
            <w:vAlign w:val="center"/>
            <w:hideMark/>
          </w:tcPr>
          <w:p w14:paraId="3C4BD514" w14:textId="48C63F6F" w:rsidR="00DD54E5" w:rsidRPr="008868FD" w:rsidRDefault="00CC4AA7" w:rsidP="00016207">
            <w:pPr>
              <w:spacing w:after="0"/>
              <w:jc w:val="left"/>
              <w:rPr>
                <w:rFonts w:eastAsia="Times New Roman" w:cs="Calibri"/>
                <w:color w:val="000000"/>
                <w:sz w:val="20"/>
                <w:szCs w:val="20"/>
                <w:lang w:eastAsia="cs-CZ"/>
              </w:rPr>
            </w:pPr>
            <w:r>
              <w:rPr>
                <w:rFonts w:eastAsia="Times New Roman" w:cs="Calibri"/>
                <w:color w:val="000000"/>
                <w:sz w:val="20"/>
                <w:szCs w:val="20"/>
                <w:lang w:eastAsia="cs-CZ"/>
              </w:rPr>
              <w:t>F</w:t>
            </w:r>
            <w:r w:rsidR="00DD54E5" w:rsidRPr="008868FD">
              <w:rPr>
                <w:rFonts w:eastAsia="Times New Roman" w:cs="Calibri"/>
                <w:color w:val="000000"/>
                <w:sz w:val="20"/>
                <w:szCs w:val="20"/>
                <w:lang w:eastAsia="cs-CZ"/>
              </w:rPr>
              <w:t>inanční úspora výrobců v Kč</w:t>
            </w:r>
          </w:p>
        </w:tc>
        <w:tc>
          <w:tcPr>
            <w:tcW w:w="1093" w:type="pct"/>
            <w:tcBorders>
              <w:top w:val="nil"/>
              <w:left w:val="nil"/>
              <w:bottom w:val="single" w:sz="4" w:space="0" w:color="auto"/>
              <w:right w:val="single" w:sz="4" w:space="0" w:color="auto"/>
            </w:tcBorders>
            <w:shd w:val="clear" w:color="auto" w:fill="auto"/>
            <w:noWrap/>
            <w:vAlign w:val="center"/>
            <w:hideMark/>
          </w:tcPr>
          <w:p w14:paraId="443A3ADB"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5 296</w:t>
            </w:r>
          </w:p>
        </w:tc>
        <w:tc>
          <w:tcPr>
            <w:tcW w:w="1094" w:type="pct"/>
            <w:tcBorders>
              <w:top w:val="nil"/>
              <w:left w:val="nil"/>
              <w:bottom w:val="single" w:sz="4" w:space="0" w:color="auto"/>
              <w:right w:val="single" w:sz="4" w:space="0" w:color="auto"/>
            </w:tcBorders>
            <w:shd w:val="clear" w:color="auto" w:fill="auto"/>
            <w:noWrap/>
            <w:vAlign w:val="center"/>
            <w:hideMark/>
          </w:tcPr>
          <w:p w14:paraId="08F0AE31" w14:textId="77777777" w:rsidR="00DD54E5" w:rsidRPr="008868FD" w:rsidRDefault="00DD54E5" w:rsidP="00016207">
            <w:pPr>
              <w:spacing w:after="0"/>
              <w:ind w:right="489"/>
              <w:jc w:val="right"/>
              <w:rPr>
                <w:rFonts w:eastAsia="Times New Roman" w:cs="Calibri"/>
                <w:color w:val="000000"/>
                <w:sz w:val="20"/>
                <w:szCs w:val="20"/>
                <w:lang w:eastAsia="cs-CZ"/>
              </w:rPr>
            </w:pPr>
            <w:r w:rsidRPr="008868FD">
              <w:rPr>
                <w:rFonts w:eastAsia="Times New Roman" w:cs="Calibri"/>
                <w:color w:val="000000"/>
                <w:sz w:val="20"/>
                <w:szCs w:val="20"/>
                <w:lang w:eastAsia="cs-CZ"/>
              </w:rPr>
              <w:t>37 072</w:t>
            </w:r>
          </w:p>
        </w:tc>
      </w:tr>
    </w:tbl>
    <w:p w14:paraId="71F19827" w14:textId="54227989" w:rsidR="00DD54E5" w:rsidRDefault="00DD54E5" w:rsidP="00016207">
      <w:pPr>
        <w:spacing w:before="40"/>
        <w:ind w:left="567" w:hanging="567"/>
        <w:rPr>
          <w:sz w:val="20"/>
          <w:szCs w:val="20"/>
          <w:lang w:eastAsia="cs-CZ"/>
        </w:rPr>
      </w:pPr>
      <w:r w:rsidRPr="00322D76">
        <w:rPr>
          <w:b/>
          <w:sz w:val="20"/>
          <w:szCs w:val="20"/>
          <w:lang w:eastAsia="cs-CZ"/>
        </w:rPr>
        <w:t>Zdroj:</w:t>
      </w:r>
      <w:r w:rsidRPr="008868FD">
        <w:rPr>
          <w:sz w:val="20"/>
          <w:szCs w:val="20"/>
          <w:lang w:eastAsia="cs-CZ"/>
        </w:rPr>
        <w:t xml:space="preserve"> Eurostat </w:t>
      </w:r>
      <w:r w:rsidR="00CC4AA7">
        <w:rPr>
          <w:sz w:val="20"/>
          <w:szCs w:val="20"/>
          <w:lang w:eastAsia="cs-CZ"/>
        </w:rPr>
        <w:t>–</w:t>
      </w:r>
      <w:r w:rsidRPr="008868FD">
        <w:rPr>
          <w:sz w:val="20"/>
          <w:szCs w:val="20"/>
          <w:lang w:eastAsia="cs-CZ"/>
        </w:rPr>
        <w:t xml:space="preserve"> </w:t>
      </w:r>
      <w:hyperlink r:id="rId56" w:history="1">
        <w:r w:rsidR="00016207" w:rsidRPr="00016207">
          <w:rPr>
            <w:rStyle w:val="Hypertextovodkaz"/>
            <w:sz w:val="20"/>
            <w:szCs w:val="20"/>
            <w:u w:val="none"/>
            <w:lang w:eastAsia="cs-CZ"/>
          </w:rPr>
          <w:t>https://ec.europa.eu/eurostat/web/energy/data/database</w:t>
        </w:r>
      </w:hyperlink>
      <w:r w:rsidRPr="008868FD">
        <w:rPr>
          <w:sz w:val="20"/>
          <w:szCs w:val="20"/>
          <w:lang w:eastAsia="cs-CZ"/>
        </w:rPr>
        <w:t xml:space="preserve"> (Electricity prices for household consumers </w:t>
      </w:r>
      <w:r w:rsidR="00CC4AA7">
        <w:rPr>
          <w:sz w:val="20"/>
          <w:szCs w:val="20"/>
          <w:lang w:eastAsia="cs-CZ"/>
        </w:rPr>
        <w:t>–</w:t>
      </w:r>
      <w:r w:rsidRPr="008868FD">
        <w:rPr>
          <w:sz w:val="20"/>
          <w:szCs w:val="20"/>
          <w:lang w:eastAsia="cs-CZ"/>
        </w:rPr>
        <w:t xml:space="preserve"> bi-annual data from 2007, national currency, all taxes and levies included)</w:t>
      </w:r>
      <w:r>
        <w:rPr>
          <w:sz w:val="20"/>
          <w:szCs w:val="20"/>
          <w:lang w:eastAsia="cs-CZ"/>
        </w:rPr>
        <w:t>.</w:t>
      </w:r>
    </w:p>
    <w:p w14:paraId="5C67056E" w14:textId="7B4D2CF7" w:rsidR="00DD54E5" w:rsidRDefault="00625B70" w:rsidP="00FD1BC3">
      <w:pPr>
        <w:pStyle w:val="Tabulka"/>
        <w:numPr>
          <w:ilvl w:val="0"/>
          <w:numId w:val="0"/>
        </w:numPr>
        <w:spacing w:after="40"/>
        <w:ind w:left="1389" w:hanging="1389"/>
        <w:rPr>
          <w:lang w:eastAsia="cs-CZ"/>
        </w:rPr>
      </w:pPr>
      <w:r>
        <w:rPr>
          <w:lang w:eastAsia="cs-CZ"/>
        </w:rPr>
        <w:t xml:space="preserve">Tabulka č. 8: </w:t>
      </w:r>
      <w:r>
        <w:rPr>
          <w:lang w:eastAsia="cs-CZ"/>
        </w:rPr>
        <w:tab/>
      </w:r>
      <w:r w:rsidR="00DD54E5" w:rsidRPr="00596ABE">
        <w:rPr>
          <w:lang w:eastAsia="cs-CZ"/>
        </w:rPr>
        <w:t>Přehled podpory (dotací) v jednotlivých letech a výšky bonusu za akumulaci energie</w:t>
      </w:r>
    </w:p>
    <w:tbl>
      <w:tblPr>
        <w:tblStyle w:val="Mkatabulky"/>
        <w:tblW w:w="0" w:type="auto"/>
        <w:tblLayout w:type="fixed"/>
        <w:tblLook w:val="04A0" w:firstRow="1" w:lastRow="0" w:firstColumn="1" w:lastColumn="0" w:noHBand="0" w:noVBand="1"/>
      </w:tblPr>
      <w:tblGrid>
        <w:gridCol w:w="704"/>
        <w:gridCol w:w="1393"/>
        <w:gridCol w:w="1393"/>
        <w:gridCol w:w="1393"/>
        <w:gridCol w:w="1393"/>
        <w:gridCol w:w="1516"/>
        <w:gridCol w:w="1270"/>
      </w:tblGrid>
      <w:tr w:rsidR="00DD54E5" w:rsidRPr="005E0AB2" w14:paraId="18C7D69D" w14:textId="77777777" w:rsidTr="005E0AB2">
        <w:trPr>
          <w:trHeight w:val="645"/>
        </w:trPr>
        <w:tc>
          <w:tcPr>
            <w:tcW w:w="704" w:type="dxa"/>
            <w:shd w:val="clear" w:color="auto" w:fill="E5F1FF"/>
            <w:noWrap/>
            <w:vAlign w:val="center"/>
            <w:hideMark/>
          </w:tcPr>
          <w:p w14:paraId="77483123" w14:textId="77777777" w:rsidR="00DD54E5" w:rsidRPr="005E0AB2" w:rsidRDefault="00DD54E5" w:rsidP="005E0AB2">
            <w:pPr>
              <w:spacing w:after="0"/>
              <w:jc w:val="center"/>
              <w:rPr>
                <w:b/>
                <w:sz w:val="20"/>
                <w:szCs w:val="20"/>
                <w:lang w:eastAsia="cs-CZ"/>
              </w:rPr>
            </w:pPr>
            <w:r w:rsidRPr="005E0AB2">
              <w:rPr>
                <w:b/>
                <w:sz w:val="20"/>
                <w:szCs w:val="20"/>
                <w:lang w:eastAsia="cs-CZ"/>
              </w:rPr>
              <w:t>Rok</w:t>
            </w:r>
          </w:p>
        </w:tc>
        <w:tc>
          <w:tcPr>
            <w:tcW w:w="1393" w:type="dxa"/>
            <w:shd w:val="clear" w:color="auto" w:fill="E5F1FF"/>
            <w:vAlign w:val="center"/>
            <w:hideMark/>
          </w:tcPr>
          <w:p w14:paraId="2792064D" w14:textId="77777777" w:rsidR="00DD54E5" w:rsidRPr="005E0AB2" w:rsidRDefault="00DD54E5" w:rsidP="005E0AB2">
            <w:pPr>
              <w:spacing w:after="0"/>
              <w:jc w:val="center"/>
              <w:rPr>
                <w:b/>
                <w:sz w:val="20"/>
                <w:szCs w:val="20"/>
                <w:lang w:eastAsia="cs-CZ"/>
              </w:rPr>
            </w:pPr>
            <w:r w:rsidRPr="005E0AB2">
              <w:rPr>
                <w:b/>
                <w:sz w:val="20"/>
                <w:szCs w:val="20"/>
                <w:lang w:eastAsia="cs-CZ"/>
              </w:rPr>
              <w:t>Při výkonu do 1 700 kWh v</w:t>
            </w:r>
            <w:r w:rsidR="005E0AB2" w:rsidRPr="005E0AB2">
              <w:rPr>
                <w:b/>
                <w:sz w:val="20"/>
                <w:szCs w:val="20"/>
                <w:lang w:eastAsia="cs-CZ"/>
              </w:rPr>
              <w:t> </w:t>
            </w:r>
            <w:r w:rsidRPr="005E0AB2">
              <w:rPr>
                <w:b/>
                <w:sz w:val="20"/>
                <w:szCs w:val="20"/>
                <w:lang w:eastAsia="cs-CZ"/>
              </w:rPr>
              <w:t>Kč</w:t>
            </w:r>
          </w:p>
        </w:tc>
        <w:tc>
          <w:tcPr>
            <w:tcW w:w="1393" w:type="dxa"/>
            <w:shd w:val="clear" w:color="auto" w:fill="E5F1FF"/>
            <w:vAlign w:val="center"/>
            <w:hideMark/>
          </w:tcPr>
          <w:p w14:paraId="280871BF" w14:textId="77777777" w:rsidR="00DD54E5" w:rsidRPr="005E0AB2" w:rsidRDefault="00DD54E5" w:rsidP="005E0AB2">
            <w:pPr>
              <w:spacing w:after="0"/>
              <w:jc w:val="center"/>
              <w:rPr>
                <w:b/>
                <w:sz w:val="20"/>
                <w:szCs w:val="20"/>
                <w:lang w:eastAsia="cs-CZ"/>
              </w:rPr>
            </w:pPr>
            <w:r w:rsidRPr="005E0AB2">
              <w:rPr>
                <w:b/>
                <w:sz w:val="20"/>
                <w:szCs w:val="20"/>
                <w:lang w:eastAsia="cs-CZ"/>
              </w:rPr>
              <w:t>Při výkonu do 3 000 kWh v</w:t>
            </w:r>
            <w:r w:rsidR="005E0AB2" w:rsidRPr="005E0AB2">
              <w:rPr>
                <w:b/>
                <w:sz w:val="20"/>
                <w:szCs w:val="20"/>
                <w:lang w:eastAsia="cs-CZ"/>
              </w:rPr>
              <w:t> </w:t>
            </w:r>
            <w:r w:rsidRPr="005E0AB2">
              <w:rPr>
                <w:b/>
                <w:sz w:val="20"/>
                <w:szCs w:val="20"/>
                <w:lang w:eastAsia="cs-CZ"/>
              </w:rPr>
              <w:t>Kč</w:t>
            </w:r>
          </w:p>
        </w:tc>
        <w:tc>
          <w:tcPr>
            <w:tcW w:w="1393" w:type="dxa"/>
            <w:shd w:val="clear" w:color="auto" w:fill="E5F1FF"/>
            <w:vAlign w:val="center"/>
            <w:hideMark/>
          </w:tcPr>
          <w:p w14:paraId="67006195" w14:textId="77777777" w:rsidR="00DD54E5" w:rsidRPr="005E0AB2" w:rsidRDefault="00DD54E5" w:rsidP="005E0AB2">
            <w:pPr>
              <w:spacing w:after="0"/>
              <w:jc w:val="center"/>
              <w:rPr>
                <w:b/>
                <w:sz w:val="20"/>
                <w:szCs w:val="20"/>
                <w:lang w:eastAsia="cs-CZ"/>
              </w:rPr>
            </w:pPr>
            <w:r w:rsidRPr="005E0AB2">
              <w:rPr>
                <w:b/>
                <w:sz w:val="20"/>
                <w:szCs w:val="20"/>
                <w:lang w:eastAsia="cs-CZ"/>
              </w:rPr>
              <w:t>Při výkonu do</w:t>
            </w:r>
            <w:r w:rsidR="005E0AB2" w:rsidRPr="005E0AB2">
              <w:rPr>
                <w:b/>
                <w:sz w:val="20"/>
                <w:szCs w:val="20"/>
                <w:lang w:eastAsia="cs-CZ"/>
              </w:rPr>
              <w:t xml:space="preserve"> </w:t>
            </w:r>
            <w:r w:rsidRPr="005E0AB2">
              <w:rPr>
                <w:b/>
                <w:sz w:val="20"/>
                <w:szCs w:val="20"/>
                <w:lang w:eastAsia="cs-CZ"/>
              </w:rPr>
              <w:t>4</w:t>
            </w:r>
            <w:r w:rsidR="005E0AB2" w:rsidRPr="005E0AB2">
              <w:rPr>
                <w:b/>
                <w:sz w:val="20"/>
                <w:szCs w:val="20"/>
                <w:lang w:eastAsia="cs-CZ"/>
              </w:rPr>
              <w:t> </w:t>
            </w:r>
            <w:r w:rsidRPr="005E0AB2">
              <w:rPr>
                <w:b/>
                <w:sz w:val="20"/>
                <w:szCs w:val="20"/>
                <w:lang w:eastAsia="cs-CZ"/>
              </w:rPr>
              <w:t>000 kWh v</w:t>
            </w:r>
            <w:r w:rsidR="005E0AB2" w:rsidRPr="005E0AB2">
              <w:rPr>
                <w:b/>
                <w:sz w:val="20"/>
                <w:szCs w:val="20"/>
                <w:lang w:eastAsia="cs-CZ"/>
              </w:rPr>
              <w:t> </w:t>
            </w:r>
            <w:r w:rsidRPr="005E0AB2">
              <w:rPr>
                <w:b/>
                <w:sz w:val="20"/>
                <w:szCs w:val="20"/>
                <w:lang w:eastAsia="cs-CZ"/>
              </w:rPr>
              <w:t>Kč</w:t>
            </w:r>
          </w:p>
        </w:tc>
        <w:tc>
          <w:tcPr>
            <w:tcW w:w="1393" w:type="dxa"/>
            <w:shd w:val="clear" w:color="auto" w:fill="E5F1FF"/>
            <w:vAlign w:val="center"/>
            <w:hideMark/>
          </w:tcPr>
          <w:p w14:paraId="14AC8FFC" w14:textId="77777777" w:rsidR="00DD54E5" w:rsidRPr="005E0AB2" w:rsidRDefault="00DD54E5" w:rsidP="005E0AB2">
            <w:pPr>
              <w:spacing w:after="0"/>
              <w:jc w:val="center"/>
              <w:rPr>
                <w:b/>
                <w:sz w:val="20"/>
                <w:szCs w:val="20"/>
                <w:lang w:eastAsia="cs-CZ"/>
              </w:rPr>
            </w:pPr>
            <w:r w:rsidRPr="005E0AB2">
              <w:rPr>
                <w:b/>
                <w:sz w:val="20"/>
                <w:szCs w:val="20"/>
                <w:lang w:eastAsia="cs-CZ"/>
              </w:rPr>
              <w:t>Bonus za akumulaci v</w:t>
            </w:r>
            <w:r w:rsidR="005E0AB2" w:rsidRPr="005E0AB2">
              <w:rPr>
                <w:b/>
                <w:sz w:val="20"/>
                <w:szCs w:val="20"/>
                <w:lang w:eastAsia="cs-CZ"/>
              </w:rPr>
              <w:t> </w:t>
            </w:r>
            <w:r w:rsidRPr="005E0AB2">
              <w:rPr>
                <w:b/>
                <w:sz w:val="20"/>
                <w:szCs w:val="20"/>
                <w:lang w:eastAsia="cs-CZ"/>
              </w:rPr>
              <w:t>Kč</w:t>
            </w:r>
          </w:p>
        </w:tc>
        <w:tc>
          <w:tcPr>
            <w:tcW w:w="1516" w:type="dxa"/>
            <w:shd w:val="clear" w:color="auto" w:fill="E5F1FF"/>
            <w:vAlign w:val="center"/>
            <w:hideMark/>
          </w:tcPr>
          <w:p w14:paraId="3B1C7DE1" w14:textId="77777777" w:rsidR="00DD54E5" w:rsidRPr="005E0AB2" w:rsidRDefault="00DD54E5" w:rsidP="005E0AB2">
            <w:pPr>
              <w:spacing w:after="0"/>
              <w:jc w:val="center"/>
              <w:rPr>
                <w:b/>
                <w:sz w:val="20"/>
                <w:szCs w:val="20"/>
                <w:lang w:eastAsia="cs-CZ"/>
              </w:rPr>
            </w:pPr>
            <w:r w:rsidRPr="005E0AB2">
              <w:rPr>
                <w:b/>
                <w:sz w:val="20"/>
                <w:szCs w:val="20"/>
                <w:lang w:eastAsia="cs-CZ"/>
              </w:rPr>
              <w:t>Max. výška bez akumulace v</w:t>
            </w:r>
            <w:r w:rsidR="005E0AB2" w:rsidRPr="005E0AB2">
              <w:rPr>
                <w:b/>
                <w:sz w:val="20"/>
                <w:szCs w:val="20"/>
                <w:lang w:eastAsia="cs-CZ"/>
              </w:rPr>
              <w:t> </w:t>
            </w:r>
            <w:r w:rsidRPr="005E0AB2">
              <w:rPr>
                <w:b/>
                <w:sz w:val="20"/>
                <w:szCs w:val="20"/>
                <w:lang w:eastAsia="cs-CZ"/>
              </w:rPr>
              <w:t>Kč</w:t>
            </w:r>
          </w:p>
        </w:tc>
        <w:tc>
          <w:tcPr>
            <w:tcW w:w="1270" w:type="dxa"/>
            <w:shd w:val="clear" w:color="auto" w:fill="E5F1FF"/>
            <w:vAlign w:val="center"/>
            <w:hideMark/>
          </w:tcPr>
          <w:p w14:paraId="4F15F794" w14:textId="77777777" w:rsidR="00DD54E5" w:rsidRPr="005E0AB2" w:rsidRDefault="00DD54E5" w:rsidP="005E0AB2">
            <w:pPr>
              <w:spacing w:after="0"/>
              <w:jc w:val="center"/>
              <w:rPr>
                <w:b/>
                <w:sz w:val="20"/>
                <w:szCs w:val="20"/>
                <w:lang w:eastAsia="cs-CZ"/>
              </w:rPr>
            </w:pPr>
            <w:r w:rsidRPr="005E0AB2">
              <w:rPr>
                <w:b/>
                <w:sz w:val="20"/>
                <w:szCs w:val="20"/>
                <w:lang w:eastAsia="cs-CZ"/>
              </w:rPr>
              <w:t>Max. výška s</w:t>
            </w:r>
            <w:r w:rsidR="005E0AB2" w:rsidRPr="005E0AB2">
              <w:rPr>
                <w:b/>
                <w:sz w:val="20"/>
                <w:szCs w:val="20"/>
                <w:lang w:eastAsia="cs-CZ"/>
              </w:rPr>
              <w:t> </w:t>
            </w:r>
            <w:r w:rsidRPr="005E0AB2">
              <w:rPr>
                <w:b/>
                <w:sz w:val="20"/>
                <w:szCs w:val="20"/>
                <w:lang w:eastAsia="cs-CZ"/>
              </w:rPr>
              <w:t>akumulací v</w:t>
            </w:r>
            <w:r w:rsidR="005E0AB2" w:rsidRPr="005E0AB2">
              <w:rPr>
                <w:b/>
                <w:sz w:val="20"/>
                <w:szCs w:val="20"/>
                <w:lang w:eastAsia="cs-CZ"/>
              </w:rPr>
              <w:t> </w:t>
            </w:r>
            <w:r w:rsidRPr="005E0AB2">
              <w:rPr>
                <w:b/>
                <w:sz w:val="20"/>
                <w:szCs w:val="20"/>
                <w:lang w:eastAsia="cs-CZ"/>
              </w:rPr>
              <w:t>Kč</w:t>
            </w:r>
          </w:p>
        </w:tc>
      </w:tr>
      <w:tr w:rsidR="00DD54E5" w:rsidRPr="005E0AB2" w14:paraId="618DDB26" w14:textId="77777777" w:rsidTr="005E0AB2">
        <w:trPr>
          <w:trHeight w:val="70"/>
        </w:trPr>
        <w:tc>
          <w:tcPr>
            <w:tcW w:w="704" w:type="dxa"/>
            <w:noWrap/>
            <w:hideMark/>
          </w:tcPr>
          <w:p w14:paraId="45810373" w14:textId="77777777" w:rsidR="00DD54E5" w:rsidRPr="005E0AB2" w:rsidRDefault="00DD54E5" w:rsidP="005E0AB2">
            <w:pPr>
              <w:spacing w:after="0"/>
              <w:rPr>
                <w:sz w:val="20"/>
                <w:szCs w:val="20"/>
                <w:lang w:eastAsia="cs-CZ"/>
              </w:rPr>
            </w:pPr>
            <w:r w:rsidRPr="005E0AB2">
              <w:rPr>
                <w:sz w:val="20"/>
                <w:szCs w:val="20"/>
                <w:lang w:eastAsia="cs-CZ"/>
              </w:rPr>
              <w:t>2015</w:t>
            </w:r>
          </w:p>
        </w:tc>
        <w:tc>
          <w:tcPr>
            <w:tcW w:w="1393" w:type="dxa"/>
            <w:noWrap/>
            <w:vAlign w:val="center"/>
            <w:hideMark/>
          </w:tcPr>
          <w:p w14:paraId="016E3862" w14:textId="77777777" w:rsidR="00DD54E5" w:rsidRPr="005E0AB2" w:rsidRDefault="00DD54E5" w:rsidP="005E0AB2">
            <w:pPr>
              <w:spacing w:after="0"/>
              <w:jc w:val="right"/>
              <w:rPr>
                <w:sz w:val="20"/>
                <w:szCs w:val="20"/>
                <w:lang w:eastAsia="cs-CZ"/>
              </w:rPr>
            </w:pPr>
            <w:r w:rsidRPr="005E0AB2">
              <w:rPr>
                <w:sz w:val="20"/>
                <w:szCs w:val="20"/>
                <w:lang w:eastAsia="cs-CZ"/>
              </w:rPr>
              <w:t>70 000</w:t>
            </w:r>
          </w:p>
        </w:tc>
        <w:tc>
          <w:tcPr>
            <w:tcW w:w="1393" w:type="dxa"/>
            <w:noWrap/>
            <w:vAlign w:val="center"/>
            <w:hideMark/>
          </w:tcPr>
          <w:p w14:paraId="7C75C6C3" w14:textId="77777777" w:rsidR="00DD54E5" w:rsidRPr="005E0AB2" w:rsidRDefault="00DD54E5" w:rsidP="005E0AB2">
            <w:pPr>
              <w:spacing w:after="0"/>
              <w:jc w:val="right"/>
              <w:rPr>
                <w:sz w:val="20"/>
                <w:szCs w:val="20"/>
                <w:lang w:eastAsia="cs-CZ"/>
              </w:rPr>
            </w:pPr>
            <w:r w:rsidRPr="005E0AB2">
              <w:rPr>
                <w:sz w:val="20"/>
                <w:szCs w:val="20"/>
                <w:lang w:eastAsia="cs-CZ"/>
              </w:rPr>
              <w:t>100 000</w:t>
            </w:r>
          </w:p>
        </w:tc>
        <w:tc>
          <w:tcPr>
            <w:tcW w:w="1393" w:type="dxa"/>
            <w:noWrap/>
            <w:vAlign w:val="center"/>
            <w:hideMark/>
          </w:tcPr>
          <w:p w14:paraId="4D572BC3" w14:textId="77777777" w:rsidR="00DD54E5" w:rsidRPr="005E0AB2" w:rsidRDefault="00DD54E5" w:rsidP="005E0AB2">
            <w:pPr>
              <w:spacing w:after="0"/>
              <w:jc w:val="right"/>
              <w:rPr>
                <w:sz w:val="20"/>
                <w:szCs w:val="20"/>
                <w:lang w:eastAsia="cs-CZ"/>
              </w:rPr>
            </w:pPr>
            <w:r w:rsidRPr="005E0AB2">
              <w:rPr>
                <w:sz w:val="20"/>
                <w:szCs w:val="20"/>
                <w:lang w:eastAsia="cs-CZ"/>
              </w:rPr>
              <w:t>-</w:t>
            </w:r>
          </w:p>
        </w:tc>
        <w:tc>
          <w:tcPr>
            <w:tcW w:w="1393" w:type="dxa"/>
            <w:noWrap/>
            <w:vAlign w:val="center"/>
            <w:hideMark/>
          </w:tcPr>
          <w:p w14:paraId="2436C610" w14:textId="77777777" w:rsidR="00DD54E5" w:rsidRPr="005E0AB2" w:rsidRDefault="00DD54E5" w:rsidP="005E0AB2">
            <w:pPr>
              <w:spacing w:after="0"/>
              <w:jc w:val="right"/>
              <w:rPr>
                <w:sz w:val="20"/>
                <w:szCs w:val="20"/>
                <w:lang w:eastAsia="cs-CZ"/>
              </w:rPr>
            </w:pPr>
            <w:r w:rsidRPr="005E0AB2">
              <w:rPr>
                <w:sz w:val="20"/>
                <w:szCs w:val="20"/>
                <w:lang w:eastAsia="cs-CZ"/>
              </w:rPr>
              <w:t> </w:t>
            </w:r>
          </w:p>
        </w:tc>
        <w:tc>
          <w:tcPr>
            <w:tcW w:w="1516" w:type="dxa"/>
            <w:noWrap/>
            <w:vAlign w:val="center"/>
            <w:hideMark/>
          </w:tcPr>
          <w:p w14:paraId="64590EB4" w14:textId="77777777" w:rsidR="00DD54E5" w:rsidRPr="005E0AB2" w:rsidRDefault="00DD54E5" w:rsidP="005E0AB2">
            <w:pPr>
              <w:spacing w:after="0"/>
              <w:jc w:val="right"/>
              <w:rPr>
                <w:sz w:val="20"/>
                <w:szCs w:val="20"/>
                <w:lang w:eastAsia="cs-CZ"/>
              </w:rPr>
            </w:pPr>
            <w:r w:rsidRPr="005E0AB2">
              <w:rPr>
                <w:sz w:val="20"/>
                <w:szCs w:val="20"/>
                <w:lang w:eastAsia="cs-CZ"/>
              </w:rPr>
              <w:t>55 000</w:t>
            </w:r>
          </w:p>
        </w:tc>
        <w:tc>
          <w:tcPr>
            <w:tcW w:w="1270" w:type="dxa"/>
            <w:noWrap/>
            <w:vAlign w:val="center"/>
            <w:hideMark/>
          </w:tcPr>
          <w:p w14:paraId="479606C0" w14:textId="77777777" w:rsidR="00DD54E5" w:rsidRPr="005E0AB2" w:rsidRDefault="00DD54E5" w:rsidP="00CC4AA7">
            <w:pPr>
              <w:spacing w:after="0"/>
              <w:ind w:right="113"/>
              <w:jc w:val="right"/>
              <w:rPr>
                <w:sz w:val="20"/>
                <w:szCs w:val="20"/>
                <w:lang w:eastAsia="cs-CZ"/>
              </w:rPr>
            </w:pPr>
            <w:r w:rsidRPr="005E0AB2">
              <w:rPr>
                <w:sz w:val="20"/>
                <w:szCs w:val="20"/>
                <w:lang w:eastAsia="cs-CZ"/>
              </w:rPr>
              <w:t>100 000</w:t>
            </w:r>
          </w:p>
        </w:tc>
      </w:tr>
      <w:tr w:rsidR="00DD54E5" w:rsidRPr="005E0AB2" w14:paraId="707EC92A" w14:textId="77777777" w:rsidTr="005E0AB2">
        <w:trPr>
          <w:trHeight w:val="70"/>
        </w:trPr>
        <w:tc>
          <w:tcPr>
            <w:tcW w:w="704" w:type="dxa"/>
            <w:noWrap/>
            <w:hideMark/>
          </w:tcPr>
          <w:p w14:paraId="1A1D341F" w14:textId="77777777" w:rsidR="00DD54E5" w:rsidRPr="005E0AB2" w:rsidRDefault="00DD54E5" w:rsidP="005E0AB2">
            <w:pPr>
              <w:spacing w:after="0"/>
              <w:rPr>
                <w:sz w:val="20"/>
                <w:szCs w:val="20"/>
                <w:lang w:eastAsia="cs-CZ"/>
              </w:rPr>
            </w:pPr>
            <w:r w:rsidRPr="005E0AB2">
              <w:rPr>
                <w:sz w:val="20"/>
                <w:szCs w:val="20"/>
                <w:lang w:eastAsia="cs-CZ"/>
              </w:rPr>
              <w:t>2016</w:t>
            </w:r>
          </w:p>
        </w:tc>
        <w:tc>
          <w:tcPr>
            <w:tcW w:w="1393" w:type="dxa"/>
            <w:noWrap/>
            <w:vAlign w:val="center"/>
            <w:hideMark/>
          </w:tcPr>
          <w:p w14:paraId="6D6551A4" w14:textId="77777777" w:rsidR="00DD54E5" w:rsidRPr="005E0AB2" w:rsidRDefault="00DD54E5" w:rsidP="005E0AB2">
            <w:pPr>
              <w:spacing w:after="0"/>
              <w:jc w:val="right"/>
              <w:rPr>
                <w:sz w:val="20"/>
                <w:szCs w:val="20"/>
                <w:lang w:eastAsia="cs-CZ"/>
              </w:rPr>
            </w:pPr>
            <w:r w:rsidRPr="005E0AB2">
              <w:rPr>
                <w:sz w:val="20"/>
                <w:szCs w:val="20"/>
                <w:lang w:eastAsia="cs-CZ"/>
              </w:rPr>
              <w:t>70 000</w:t>
            </w:r>
          </w:p>
        </w:tc>
        <w:tc>
          <w:tcPr>
            <w:tcW w:w="1393" w:type="dxa"/>
            <w:noWrap/>
            <w:vAlign w:val="center"/>
            <w:hideMark/>
          </w:tcPr>
          <w:p w14:paraId="62F9EC40" w14:textId="77777777" w:rsidR="00DD54E5" w:rsidRPr="005E0AB2" w:rsidRDefault="00DD54E5" w:rsidP="005E0AB2">
            <w:pPr>
              <w:spacing w:after="0"/>
              <w:jc w:val="right"/>
              <w:rPr>
                <w:sz w:val="20"/>
                <w:szCs w:val="20"/>
                <w:lang w:eastAsia="cs-CZ"/>
              </w:rPr>
            </w:pPr>
            <w:r w:rsidRPr="005E0AB2">
              <w:rPr>
                <w:sz w:val="20"/>
                <w:szCs w:val="20"/>
                <w:lang w:eastAsia="cs-CZ"/>
              </w:rPr>
              <w:t>100 000</w:t>
            </w:r>
          </w:p>
        </w:tc>
        <w:tc>
          <w:tcPr>
            <w:tcW w:w="1393" w:type="dxa"/>
            <w:noWrap/>
            <w:vAlign w:val="center"/>
            <w:hideMark/>
          </w:tcPr>
          <w:p w14:paraId="28E92DD7" w14:textId="77777777" w:rsidR="00DD54E5" w:rsidRPr="005E0AB2" w:rsidRDefault="00DD54E5" w:rsidP="005E0AB2">
            <w:pPr>
              <w:spacing w:after="0"/>
              <w:jc w:val="right"/>
              <w:rPr>
                <w:sz w:val="20"/>
                <w:szCs w:val="20"/>
                <w:lang w:eastAsia="cs-CZ"/>
              </w:rPr>
            </w:pPr>
            <w:r w:rsidRPr="005E0AB2">
              <w:rPr>
                <w:sz w:val="20"/>
                <w:szCs w:val="20"/>
                <w:lang w:eastAsia="cs-CZ"/>
              </w:rPr>
              <w:t>-</w:t>
            </w:r>
          </w:p>
        </w:tc>
        <w:tc>
          <w:tcPr>
            <w:tcW w:w="1393" w:type="dxa"/>
            <w:noWrap/>
            <w:vAlign w:val="center"/>
            <w:hideMark/>
          </w:tcPr>
          <w:p w14:paraId="14905BBD" w14:textId="77777777" w:rsidR="00DD54E5" w:rsidRPr="005E0AB2" w:rsidRDefault="00DD54E5" w:rsidP="005E0AB2">
            <w:pPr>
              <w:spacing w:after="0"/>
              <w:jc w:val="right"/>
              <w:rPr>
                <w:sz w:val="20"/>
                <w:szCs w:val="20"/>
                <w:lang w:eastAsia="cs-CZ"/>
              </w:rPr>
            </w:pPr>
            <w:r w:rsidRPr="005E0AB2">
              <w:rPr>
                <w:sz w:val="20"/>
                <w:szCs w:val="20"/>
                <w:lang w:eastAsia="cs-CZ"/>
              </w:rPr>
              <w:t> </w:t>
            </w:r>
          </w:p>
        </w:tc>
        <w:tc>
          <w:tcPr>
            <w:tcW w:w="1516" w:type="dxa"/>
            <w:noWrap/>
            <w:vAlign w:val="center"/>
            <w:hideMark/>
          </w:tcPr>
          <w:p w14:paraId="011C11D8" w14:textId="77777777" w:rsidR="00DD54E5" w:rsidRPr="005E0AB2" w:rsidRDefault="00DD54E5" w:rsidP="005E0AB2">
            <w:pPr>
              <w:spacing w:after="0"/>
              <w:jc w:val="right"/>
              <w:rPr>
                <w:sz w:val="20"/>
                <w:szCs w:val="20"/>
                <w:lang w:eastAsia="cs-CZ"/>
              </w:rPr>
            </w:pPr>
            <w:r w:rsidRPr="005E0AB2">
              <w:rPr>
                <w:sz w:val="20"/>
                <w:szCs w:val="20"/>
                <w:lang w:eastAsia="cs-CZ"/>
              </w:rPr>
              <w:t>55 000</w:t>
            </w:r>
          </w:p>
        </w:tc>
        <w:tc>
          <w:tcPr>
            <w:tcW w:w="1270" w:type="dxa"/>
            <w:noWrap/>
            <w:vAlign w:val="center"/>
            <w:hideMark/>
          </w:tcPr>
          <w:p w14:paraId="2CE53714" w14:textId="77777777" w:rsidR="00DD54E5" w:rsidRPr="005E0AB2" w:rsidRDefault="00DD54E5" w:rsidP="00CC4AA7">
            <w:pPr>
              <w:spacing w:after="0"/>
              <w:ind w:right="113"/>
              <w:jc w:val="right"/>
              <w:rPr>
                <w:sz w:val="20"/>
                <w:szCs w:val="20"/>
                <w:lang w:eastAsia="cs-CZ"/>
              </w:rPr>
            </w:pPr>
            <w:r w:rsidRPr="005E0AB2">
              <w:rPr>
                <w:sz w:val="20"/>
                <w:szCs w:val="20"/>
                <w:lang w:eastAsia="cs-CZ"/>
              </w:rPr>
              <w:t>100 000</w:t>
            </w:r>
          </w:p>
        </w:tc>
      </w:tr>
      <w:tr w:rsidR="00DD54E5" w:rsidRPr="005E0AB2" w14:paraId="50E9C2E6" w14:textId="77777777" w:rsidTr="005E0AB2">
        <w:trPr>
          <w:trHeight w:val="70"/>
        </w:trPr>
        <w:tc>
          <w:tcPr>
            <w:tcW w:w="704" w:type="dxa"/>
            <w:noWrap/>
            <w:hideMark/>
          </w:tcPr>
          <w:p w14:paraId="4AF83FDD" w14:textId="77777777" w:rsidR="00DD54E5" w:rsidRPr="005E0AB2" w:rsidRDefault="00DD54E5" w:rsidP="005E0AB2">
            <w:pPr>
              <w:spacing w:after="0"/>
              <w:rPr>
                <w:sz w:val="20"/>
                <w:szCs w:val="20"/>
                <w:lang w:eastAsia="cs-CZ"/>
              </w:rPr>
            </w:pPr>
            <w:r w:rsidRPr="005E0AB2">
              <w:rPr>
                <w:sz w:val="20"/>
                <w:szCs w:val="20"/>
                <w:lang w:eastAsia="cs-CZ"/>
              </w:rPr>
              <w:t>2017</w:t>
            </w:r>
          </w:p>
        </w:tc>
        <w:tc>
          <w:tcPr>
            <w:tcW w:w="1393" w:type="dxa"/>
            <w:noWrap/>
            <w:vAlign w:val="center"/>
            <w:hideMark/>
          </w:tcPr>
          <w:p w14:paraId="30B6DD39" w14:textId="77777777" w:rsidR="00DD54E5" w:rsidRPr="005E0AB2" w:rsidRDefault="00DD54E5" w:rsidP="005E0AB2">
            <w:pPr>
              <w:spacing w:after="0"/>
              <w:jc w:val="right"/>
              <w:rPr>
                <w:sz w:val="20"/>
                <w:szCs w:val="20"/>
                <w:lang w:eastAsia="cs-CZ"/>
              </w:rPr>
            </w:pPr>
            <w:r w:rsidRPr="005E0AB2">
              <w:rPr>
                <w:sz w:val="20"/>
                <w:szCs w:val="20"/>
                <w:lang w:eastAsia="cs-CZ"/>
              </w:rPr>
              <w:t>70 000</w:t>
            </w:r>
          </w:p>
        </w:tc>
        <w:tc>
          <w:tcPr>
            <w:tcW w:w="1393" w:type="dxa"/>
            <w:noWrap/>
            <w:vAlign w:val="center"/>
            <w:hideMark/>
          </w:tcPr>
          <w:p w14:paraId="7251A8AC" w14:textId="77777777" w:rsidR="00DD54E5" w:rsidRPr="005E0AB2" w:rsidRDefault="00DD54E5" w:rsidP="005E0AB2">
            <w:pPr>
              <w:spacing w:after="0"/>
              <w:jc w:val="right"/>
              <w:rPr>
                <w:sz w:val="20"/>
                <w:szCs w:val="20"/>
                <w:lang w:eastAsia="cs-CZ"/>
              </w:rPr>
            </w:pPr>
            <w:r w:rsidRPr="005E0AB2">
              <w:rPr>
                <w:sz w:val="20"/>
                <w:szCs w:val="20"/>
                <w:lang w:eastAsia="cs-CZ"/>
              </w:rPr>
              <w:t>100 000</w:t>
            </w:r>
          </w:p>
        </w:tc>
        <w:tc>
          <w:tcPr>
            <w:tcW w:w="1393" w:type="dxa"/>
            <w:noWrap/>
            <w:vAlign w:val="center"/>
            <w:hideMark/>
          </w:tcPr>
          <w:p w14:paraId="41C0CDF0" w14:textId="77777777" w:rsidR="00DD54E5" w:rsidRPr="005E0AB2" w:rsidRDefault="00DD54E5" w:rsidP="005E0AB2">
            <w:pPr>
              <w:spacing w:after="0"/>
              <w:jc w:val="right"/>
              <w:rPr>
                <w:sz w:val="20"/>
                <w:szCs w:val="20"/>
                <w:lang w:eastAsia="cs-CZ"/>
              </w:rPr>
            </w:pPr>
            <w:r w:rsidRPr="005E0AB2">
              <w:rPr>
                <w:sz w:val="20"/>
                <w:szCs w:val="20"/>
                <w:lang w:eastAsia="cs-CZ"/>
              </w:rPr>
              <w:t>150 000*</w:t>
            </w:r>
          </w:p>
        </w:tc>
        <w:tc>
          <w:tcPr>
            <w:tcW w:w="1393" w:type="dxa"/>
            <w:noWrap/>
            <w:vAlign w:val="center"/>
            <w:hideMark/>
          </w:tcPr>
          <w:p w14:paraId="1CA948FB" w14:textId="77777777" w:rsidR="00DD54E5" w:rsidRPr="005E0AB2" w:rsidRDefault="00DD54E5" w:rsidP="005E0AB2">
            <w:pPr>
              <w:spacing w:after="0"/>
              <w:jc w:val="right"/>
              <w:rPr>
                <w:sz w:val="20"/>
                <w:szCs w:val="20"/>
                <w:lang w:eastAsia="cs-CZ"/>
              </w:rPr>
            </w:pPr>
            <w:r w:rsidRPr="005E0AB2">
              <w:rPr>
                <w:sz w:val="20"/>
                <w:szCs w:val="20"/>
                <w:lang w:eastAsia="cs-CZ"/>
              </w:rPr>
              <w:t> </w:t>
            </w:r>
          </w:p>
        </w:tc>
        <w:tc>
          <w:tcPr>
            <w:tcW w:w="1516" w:type="dxa"/>
            <w:noWrap/>
            <w:vAlign w:val="center"/>
            <w:hideMark/>
          </w:tcPr>
          <w:p w14:paraId="25618207" w14:textId="77777777" w:rsidR="00DD54E5" w:rsidRPr="005E0AB2" w:rsidRDefault="00DD54E5" w:rsidP="005E0AB2">
            <w:pPr>
              <w:spacing w:after="0"/>
              <w:jc w:val="right"/>
              <w:rPr>
                <w:sz w:val="20"/>
                <w:szCs w:val="20"/>
                <w:lang w:eastAsia="cs-CZ"/>
              </w:rPr>
            </w:pPr>
            <w:r w:rsidRPr="005E0AB2">
              <w:rPr>
                <w:sz w:val="20"/>
                <w:szCs w:val="20"/>
                <w:lang w:eastAsia="cs-CZ"/>
              </w:rPr>
              <w:t>55 000</w:t>
            </w:r>
          </w:p>
        </w:tc>
        <w:tc>
          <w:tcPr>
            <w:tcW w:w="1270" w:type="dxa"/>
            <w:noWrap/>
            <w:vAlign w:val="center"/>
            <w:hideMark/>
          </w:tcPr>
          <w:p w14:paraId="28C60CE7" w14:textId="77777777" w:rsidR="00DD54E5" w:rsidRPr="005E0AB2" w:rsidRDefault="00DD54E5" w:rsidP="005E0AB2">
            <w:pPr>
              <w:spacing w:after="0"/>
              <w:jc w:val="right"/>
              <w:rPr>
                <w:sz w:val="20"/>
                <w:szCs w:val="20"/>
                <w:lang w:eastAsia="cs-CZ"/>
              </w:rPr>
            </w:pPr>
            <w:r w:rsidRPr="005E0AB2">
              <w:rPr>
                <w:sz w:val="20"/>
                <w:szCs w:val="20"/>
                <w:lang w:eastAsia="cs-CZ"/>
              </w:rPr>
              <w:t>150 000*</w:t>
            </w:r>
          </w:p>
        </w:tc>
      </w:tr>
      <w:tr w:rsidR="00DD54E5" w:rsidRPr="005E0AB2" w14:paraId="3CD712D0" w14:textId="77777777" w:rsidTr="005E0AB2">
        <w:trPr>
          <w:trHeight w:val="70"/>
        </w:trPr>
        <w:tc>
          <w:tcPr>
            <w:tcW w:w="704" w:type="dxa"/>
            <w:noWrap/>
            <w:hideMark/>
          </w:tcPr>
          <w:p w14:paraId="32E6C83F" w14:textId="77777777" w:rsidR="00DD54E5" w:rsidRPr="005E0AB2" w:rsidRDefault="00DD54E5" w:rsidP="005E0AB2">
            <w:pPr>
              <w:spacing w:after="0"/>
              <w:rPr>
                <w:sz w:val="20"/>
                <w:szCs w:val="20"/>
                <w:lang w:eastAsia="cs-CZ"/>
              </w:rPr>
            </w:pPr>
            <w:r w:rsidRPr="005E0AB2">
              <w:rPr>
                <w:sz w:val="20"/>
                <w:szCs w:val="20"/>
                <w:lang w:eastAsia="cs-CZ"/>
              </w:rPr>
              <w:t>2018</w:t>
            </w:r>
          </w:p>
        </w:tc>
        <w:tc>
          <w:tcPr>
            <w:tcW w:w="1393" w:type="dxa"/>
            <w:noWrap/>
            <w:vAlign w:val="center"/>
            <w:hideMark/>
          </w:tcPr>
          <w:p w14:paraId="5A9CF8CB" w14:textId="77777777" w:rsidR="00DD54E5" w:rsidRPr="005E0AB2" w:rsidRDefault="00DD54E5" w:rsidP="005E0AB2">
            <w:pPr>
              <w:spacing w:after="0"/>
              <w:jc w:val="right"/>
              <w:rPr>
                <w:sz w:val="20"/>
                <w:szCs w:val="20"/>
                <w:lang w:eastAsia="cs-CZ"/>
              </w:rPr>
            </w:pPr>
            <w:r w:rsidRPr="005E0AB2">
              <w:rPr>
                <w:sz w:val="20"/>
                <w:szCs w:val="20"/>
                <w:lang w:eastAsia="cs-CZ"/>
              </w:rPr>
              <w:t>70 000</w:t>
            </w:r>
          </w:p>
        </w:tc>
        <w:tc>
          <w:tcPr>
            <w:tcW w:w="1393" w:type="dxa"/>
            <w:noWrap/>
            <w:vAlign w:val="center"/>
            <w:hideMark/>
          </w:tcPr>
          <w:p w14:paraId="530170C4" w14:textId="77777777" w:rsidR="00DD54E5" w:rsidRPr="005E0AB2" w:rsidRDefault="00DD54E5" w:rsidP="005E0AB2">
            <w:pPr>
              <w:spacing w:after="0"/>
              <w:jc w:val="right"/>
              <w:rPr>
                <w:sz w:val="20"/>
                <w:szCs w:val="20"/>
                <w:lang w:eastAsia="cs-CZ"/>
              </w:rPr>
            </w:pPr>
            <w:r w:rsidRPr="005E0AB2">
              <w:rPr>
                <w:sz w:val="20"/>
                <w:szCs w:val="20"/>
                <w:lang w:eastAsia="cs-CZ"/>
              </w:rPr>
              <w:t>100 000</w:t>
            </w:r>
          </w:p>
        </w:tc>
        <w:tc>
          <w:tcPr>
            <w:tcW w:w="1393" w:type="dxa"/>
            <w:noWrap/>
            <w:vAlign w:val="center"/>
            <w:hideMark/>
          </w:tcPr>
          <w:p w14:paraId="794FF40E" w14:textId="77777777" w:rsidR="00DD54E5" w:rsidRPr="005E0AB2" w:rsidRDefault="00DD54E5" w:rsidP="00CC4AA7">
            <w:pPr>
              <w:spacing w:after="0"/>
              <w:ind w:right="113"/>
              <w:jc w:val="right"/>
              <w:rPr>
                <w:sz w:val="20"/>
                <w:szCs w:val="20"/>
                <w:lang w:eastAsia="cs-CZ"/>
              </w:rPr>
            </w:pPr>
            <w:r w:rsidRPr="005E0AB2">
              <w:rPr>
                <w:sz w:val="20"/>
                <w:szCs w:val="20"/>
                <w:lang w:eastAsia="cs-CZ"/>
              </w:rPr>
              <w:t>150 000</w:t>
            </w:r>
          </w:p>
        </w:tc>
        <w:tc>
          <w:tcPr>
            <w:tcW w:w="1393" w:type="dxa"/>
            <w:noWrap/>
            <w:vAlign w:val="center"/>
            <w:hideMark/>
          </w:tcPr>
          <w:p w14:paraId="0B52A9A9" w14:textId="77777777" w:rsidR="00DD54E5" w:rsidRPr="005E0AB2" w:rsidRDefault="00DD54E5" w:rsidP="005E0AB2">
            <w:pPr>
              <w:spacing w:after="0"/>
              <w:jc w:val="right"/>
              <w:rPr>
                <w:sz w:val="20"/>
                <w:szCs w:val="20"/>
                <w:lang w:eastAsia="cs-CZ"/>
              </w:rPr>
            </w:pPr>
            <w:r w:rsidRPr="005E0AB2">
              <w:rPr>
                <w:sz w:val="20"/>
                <w:szCs w:val="20"/>
                <w:lang w:eastAsia="cs-CZ"/>
              </w:rPr>
              <w:t> </w:t>
            </w:r>
          </w:p>
        </w:tc>
        <w:tc>
          <w:tcPr>
            <w:tcW w:w="1516" w:type="dxa"/>
            <w:noWrap/>
            <w:vAlign w:val="center"/>
            <w:hideMark/>
          </w:tcPr>
          <w:p w14:paraId="7D437382" w14:textId="77777777" w:rsidR="00DD54E5" w:rsidRPr="005E0AB2" w:rsidRDefault="00DD54E5" w:rsidP="005E0AB2">
            <w:pPr>
              <w:spacing w:after="0"/>
              <w:jc w:val="right"/>
              <w:rPr>
                <w:sz w:val="20"/>
                <w:szCs w:val="20"/>
                <w:lang w:eastAsia="cs-CZ"/>
              </w:rPr>
            </w:pPr>
            <w:r w:rsidRPr="005E0AB2">
              <w:rPr>
                <w:sz w:val="20"/>
                <w:szCs w:val="20"/>
                <w:lang w:eastAsia="cs-CZ"/>
              </w:rPr>
              <w:t>55 000</w:t>
            </w:r>
          </w:p>
        </w:tc>
        <w:tc>
          <w:tcPr>
            <w:tcW w:w="1270" w:type="dxa"/>
            <w:noWrap/>
            <w:vAlign w:val="center"/>
            <w:hideMark/>
          </w:tcPr>
          <w:p w14:paraId="1FB34E7F" w14:textId="77777777" w:rsidR="00DD54E5" w:rsidRPr="005E0AB2" w:rsidRDefault="00DD54E5" w:rsidP="00CC4AA7">
            <w:pPr>
              <w:spacing w:after="0"/>
              <w:ind w:right="113"/>
              <w:jc w:val="right"/>
              <w:rPr>
                <w:sz w:val="20"/>
                <w:szCs w:val="20"/>
                <w:lang w:eastAsia="cs-CZ"/>
              </w:rPr>
            </w:pPr>
            <w:r w:rsidRPr="005E0AB2">
              <w:rPr>
                <w:sz w:val="20"/>
                <w:szCs w:val="20"/>
                <w:lang w:eastAsia="cs-CZ"/>
              </w:rPr>
              <w:t>150 000</w:t>
            </w:r>
          </w:p>
        </w:tc>
      </w:tr>
      <w:tr w:rsidR="00DD54E5" w:rsidRPr="005E0AB2" w14:paraId="7C3BE864" w14:textId="77777777" w:rsidTr="00126238">
        <w:trPr>
          <w:trHeight w:val="70"/>
        </w:trPr>
        <w:tc>
          <w:tcPr>
            <w:tcW w:w="9062" w:type="dxa"/>
            <w:gridSpan w:val="7"/>
            <w:noWrap/>
          </w:tcPr>
          <w:p w14:paraId="21F983A4" w14:textId="5AC2FB5D" w:rsidR="00DD54E5" w:rsidRPr="005E0AB2" w:rsidRDefault="00DD54E5" w:rsidP="00CC4AA7">
            <w:pPr>
              <w:spacing w:after="0"/>
              <w:jc w:val="center"/>
              <w:rPr>
                <w:b/>
                <w:spacing w:val="-4"/>
                <w:sz w:val="20"/>
                <w:szCs w:val="20"/>
                <w:lang w:eastAsia="cs-CZ"/>
              </w:rPr>
            </w:pPr>
            <w:r w:rsidRPr="00C153D7">
              <w:rPr>
                <w:b/>
                <w:spacing w:val="-4"/>
                <w:sz w:val="20"/>
                <w:szCs w:val="20"/>
                <w:lang w:eastAsia="cs-CZ"/>
              </w:rPr>
              <w:t>Zvýhodnění pro žadatele z Ústeckého, Karlovarského a Mor</w:t>
            </w:r>
            <w:r w:rsidR="005E0AB2" w:rsidRPr="00C153D7">
              <w:rPr>
                <w:b/>
                <w:spacing w:val="-4"/>
                <w:sz w:val="20"/>
                <w:szCs w:val="20"/>
                <w:lang w:eastAsia="cs-CZ"/>
              </w:rPr>
              <w:t xml:space="preserve">avskoslezského kraje </w:t>
            </w:r>
            <w:r w:rsidR="00C153D7">
              <w:rPr>
                <w:b/>
                <w:spacing w:val="-4"/>
                <w:sz w:val="20"/>
                <w:szCs w:val="20"/>
                <w:lang w:eastAsia="cs-CZ"/>
              </w:rPr>
              <w:br/>
            </w:r>
            <w:r w:rsidR="005E0AB2" w:rsidRPr="00C153D7">
              <w:rPr>
                <w:b/>
                <w:spacing w:val="-4"/>
                <w:sz w:val="20"/>
                <w:szCs w:val="20"/>
                <w:lang w:eastAsia="cs-CZ"/>
              </w:rPr>
              <w:t xml:space="preserve">a majitele </w:t>
            </w:r>
            <w:r w:rsidRPr="00C153D7">
              <w:rPr>
                <w:b/>
                <w:spacing w:val="-4"/>
                <w:sz w:val="20"/>
                <w:szCs w:val="20"/>
                <w:lang w:eastAsia="cs-CZ"/>
              </w:rPr>
              <w:t>památkově chráněných objektů</w:t>
            </w:r>
          </w:p>
        </w:tc>
      </w:tr>
      <w:tr w:rsidR="00DD54E5" w:rsidRPr="005E0AB2" w14:paraId="2A8D1A46" w14:textId="77777777" w:rsidTr="005E0AB2">
        <w:trPr>
          <w:trHeight w:val="70"/>
        </w:trPr>
        <w:tc>
          <w:tcPr>
            <w:tcW w:w="704" w:type="dxa"/>
            <w:noWrap/>
            <w:hideMark/>
          </w:tcPr>
          <w:p w14:paraId="214F3EEA" w14:textId="77777777" w:rsidR="00DD54E5" w:rsidRPr="005E0AB2" w:rsidRDefault="00DD54E5" w:rsidP="005E0AB2">
            <w:pPr>
              <w:spacing w:after="0"/>
              <w:jc w:val="center"/>
              <w:rPr>
                <w:rFonts w:eastAsia="Times New Roman" w:cs="Calibri"/>
                <w:color w:val="000000"/>
                <w:sz w:val="20"/>
                <w:szCs w:val="20"/>
                <w:lang w:eastAsia="cs-CZ"/>
              </w:rPr>
            </w:pPr>
            <w:r w:rsidRPr="005E0AB2">
              <w:rPr>
                <w:rFonts w:eastAsia="Times New Roman" w:cs="Calibri"/>
                <w:color w:val="000000"/>
                <w:sz w:val="20"/>
                <w:szCs w:val="20"/>
                <w:lang w:eastAsia="cs-CZ"/>
              </w:rPr>
              <w:t>2018</w:t>
            </w:r>
          </w:p>
        </w:tc>
        <w:tc>
          <w:tcPr>
            <w:tcW w:w="1393" w:type="dxa"/>
            <w:noWrap/>
            <w:hideMark/>
          </w:tcPr>
          <w:p w14:paraId="782D50C6" w14:textId="77777777" w:rsidR="00DD54E5" w:rsidRPr="005E0AB2" w:rsidRDefault="00DD54E5" w:rsidP="005E0AB2">
            <w:pPr>
              <w:spacing w:after="0"/>
              <w:jc w:val="right"/>
              <w:rPr>
                <w:rFonts w:eastAsia="Times New Roman" w:cs="Calibri"/>
                <w:color w:val="000000"/>
                <w:sz w:val="20"/>
                <w:szCs w:val="20"/>
                <w:lang w:eastAsia="cs-CZ"/>
              </w:rPr>
            </w:pPr>
            <w:r w:rsidRPr="005E0AB2">
              <w:rPr>
                <w:rFonts w:eastAsia="Times New Roman" w:cs="Calibri"/>
                <w:color w:val="000000"/>
                <w:sz w:val="20"/>
                <w:szCs w:val="20"/>
                <w:lang w:eastAsia="cs-CZ"/>
              </w:rPr>
              <w:t>82 000</w:t>
            </w:r>
          </w:p>
        </w:tc>
        <w:tc>
          <w:tcPr>
            <w:tcW w:w="1393" w:type="dxa"/>
            <w:noWrap/>
            <w:hideMark/>
          </w:tcPr>
          <w:p w14:paraId="7D80BDDA" w14:textId="77777777" w:rsidR="00DD54E5" w:rsidRPr="005E0AB2" w:rsidRDefault="00DD54E5" w:rsidP="005E0AB2">
            <w:pPr>
              <w:spacing w:after="0"/>
              <w:jc w:val="right"/>
              <w:rPr>
                <w:rFonts w:eastAsia="Times New Roman" w:cs="Calibri"/>
                <w:color w:val="000000"/>
                <w:sz w:val="20"/>
                <w:szCs w:val="20"/>
                <w:lang w:eastAsia="cs-CZ"/>
              </w:rPr>
            </w:pPr>
            <w:r w:rsidRPr="005E0AB2">
              <w:rPr>
                <w:rFonts w:eastAsia="Times New Roman" w:cs="Calibri"/>
                <w:color w:val="000000"/>
                <w:sz w:val="20"/>
                <w:szCs w:val="20"/>
                <w:lang w:eastAsia="cs-CZ"/>
              </w:rPr>
              <w:t>115 000</w:t>
            </w:r>
          </w:p>
        </w:tc>
        <w:tc>
          <w:tcPr>
            <w:tcW w:w="1393" w:type="dxa"/>
            <w:noWrap/>
            <w:hideMark/>
          </w:tcPr>
          <w:p w14:paraId="4F005333" w14:textId="77777777" w:rsidR="00DD54E5" w:rsidRPr="005E0AB2" w:rsidRDefault="00DD54E5" w:rsidP="00CC4AA7">
            <w:pPr>
              <w:spacing w:after="0"/>
              <w:ind w:right="113"/>
              <w:jc w:val="right"/>
              <w:rPr>
                <w:rFonts w:eastAsia="Times New Roman" w:cs="Calibri"/>
                <w:color w:val="000000"/>
                <w:sz w:val="20"/>
                <w:szCs w:val="20"/>
                <w:lang w:eastAsia="cs-CZ"/>
              </w:rPr>
            </w:pPr>
            <w:r w:rsidRPr="005E0AB2">
              <w:rPr>
                <w:rFonts w:eastAsia="Times New Roman" w:cs="Calibri"/>
                <w:color w:val="000000"/>
                <w:sz w:val="20"/>
                <w:szCs w:val="20"/>
                <w:lang w:eastAsia="cs-CZ"/>
              </w:rPr>
              <w:t>170 000</w:t>
            </w:r>
          </w:p>
        </w:tc>
        <w:tc>
          <w:tcPr>
            <w:tcW w:w="1393" w:type="dxa"/>
            <w:noWrap/>
            <w:hideMark/>
          </w:tcPr>
          <w:p w14:paraId="5A84A0DF" w14:textId="77777777" w:rsidR="00DD54E5" w:rsidRPr="005E0AB2" w:rsidRDefault="00DD54E5" w:rsidP="005E0AB2">
            <w:pPr>
              <w:spacing w:after="0"/>
              <w:jc w:val="left"/>
              <w:rPr>
                <w:rFonts w:eastAsia="Times New Roman" w:cs="Calibri"/>
                <w:color w:val="000000"/>
                <w:sz w:val="20"/>
                <w:szCs w:val="20"/>
                <w:lang w:eastAsia="cs-CZ"/>
              </w:rPr>
            </w:pPr>
            <w:r w:rsidRPr="005E0AB2">
              <w:rPr>
                <w:rFonts w:eastAsia="Times New Roman" w:cs="Calibri"/>
                <w:color w:val="000000"/>
                <w:sz w:val="20"/>
                <w:szCs w:val="20"/>
                <w:lang w:eastAsia="cs-CZ"/>
              </w:rPr>
              <w:t> </w:t>
            </w:r>
          </w:p>
        </w:tc>
        <w:tc>
          <w:tcPr>
            <w:tcW w:w="1516" w:type="dxa"/>
            <w:noWrap/>
            <w:hideMark/>
          </w:tcPr>
          <w:p w14:paraId="2D1C6095" w14:textId="77777777" w:rsidR="00DD54E5" w:rsidRPr="005E0AB2" w:rsidRDefault="00DD54E5" w:rsidP="005E0AB2">
            <w:pPr>
              <w:spacing w:after="0"/>
              <w:jc w:val="right"/>
              <w:rPr>
                <w:rFonts w:eastAsia="Times New Roman" w:cs="Calibri"/>
                <w:color w:val="000000"/>
                <w:sz w:val="20"/>
                <w:szCs w:val="20"/>
                <w:lang w:eastAsia="cs-CZ"/>
              </w:rPr>
            </w:pPr>
            <w:r w:rsidRPr="005E0AB2">
              <w:rPr>
                <w:rFonts w:eastAsia="Times New Roman" w:cs="Calibri"/>
                <w:color w:val="000000"/>
                <w:sz w:val="20"/>
                <w:szCs w:val="20"/>
                <w:lang w:eastAsia="cs-CZ"/>
              </w:rPr>
              <w:t>65 500</w:t>
            </w:r>
          </w:p>
        </w:tc>
        <w:tc>
          <w:tcPr>
            <w:tcW w:w="1270" w:type="dxa"/>
            <w:noWrap/>
            <w:hideMark/>
          </w:tcPr>
          <w:p w14:paraId="34B1F83D" w14:textId="77777777" w:rsidR="00DD54E5" w:rsidRPr="005E0AB2" w:rsidRDefault="00DD54E5" w:rsidP="00CC4AA7">
            <w:pPr>
              <w:spacing w:after="0"/>
              <w:ind w:right="113"/>
              <w:jc w:val="right"/>
              <w:rPr>
                <w:rFonts w:eastAsia="Times New Roman" w:cs="Calibri"/>
                <w:color w:val="000000"/>
                <w:sz w:val="20"/>
                <w:szCs w:val="20"/>
                <w:lang w:eastAsia="cs-CZ"/>
              </w:rPr>
            </w:pPr>
            <w:r w:rsidRPr="005E0AB2">
              <w:rPr>
                <w:rFonts w:eastAsia="Times New Roman" w:cs="Calibri"/>
                <w:color w:val="000000"/>
                <w:sz w:val="20"/>
                <w:szCs w:val="20"/>
                <w:lang w:eastAsia="cs-CZ"/>
              </w:rPr>
              <w:t>170 000</w:t>
            </w:r>
          </w:p>
        </w:tc>
      </w:tr>
    </w:tbl>
    <w:p w14:paraId="0235A84E" w14:textId="77777777" w:rsidR="00DD54E5" w:rsidRPr="00322D76" w:rsidRDefault="00DD54E5" w:rsidP="00FD1BC3">
      <w:pPr>
        <w:spacing w:before="40" w:after="0"/>
        <w:rPr>
          <w:sz w:val="20"/>
          <w:szCs w:val="20"/>
          <w:lang w:eastAsia="cs-CZ"/>
        </w:rPr>
      </w:pPr>
      <w:r w:rsidRPr="005E0AB2">
        <w:rPr>
          <w:b/>
          <w:sz w:val="20"/>
          <w:szCs w:val="20"/>
          <w:lang w:eastAsia="cs-CZ"/>
        </w:rPr>
        <w:t>Zdroj:</w:t>
      </w:r>
      <w:r w:rsidRPr="00625B70">
        <w:rPr>
          <w:b/>
          <w:sz w:val="20"/>
          <w:szCs w:val="20"/>
          <w:lang w:eastAsia="cs-CZ"/>
        </w:rPr>
        <w:t xml:space="preserve"> </w:t>
      </w:r>
      <w:hyperlink r:id="rId57" w:history="1">
        <w:r w:rsidR="00625B70" w:rsidRPr="00625B70">
          <w:rPr>
            <w:rStyle w:val="Hypertextovodkaz"/>
            <w:sz w:val="20"/>
            <w:szCs w:val="20"/>
            <w:u w:val="none"/>
          </w:rPr>
          <w:t>https://www.novazelenausporam.cz/nabidka-dotaci/rodinne-domy-zdroje-energie/</w:t>
        </w:r>
      </w:hyperlink>
      <w:r w:rsidRPr="00322D76">
        <w:rPr>
          <w:sz w:val="20"/>
          <w:szCs w:val="20"/>
        </w:rPr>
        <w:t>.</w:t>
      </w:r>
    </w:p>
    <w:p w14:paraId="5F8666A4" w14:textId="77777777" w:rsidR="00DD54E5" w:rsidRDefault="00DD54E5" w:rsidP="00DD54E5">
      <w:pPr>
        <w:rPr>
          <w:sz w:val="20"/>
          <w:szCs w:val="20"/>
          <w:lang w:eastAsia="cs-CZ"/>
        </w:rPr>
      </w:pPr>
      <w:r w:rsidRPr="005E0AB2">
        <w:rPr>
          <w:b/>
          <w:sz w:val="20"/>
          <w:szCs w:val="20"/>
          <w:lang w:eastAsia="cs-CZ"/>
        </w:rPr>
        <w:t>Pozn.:</w:t>
      </w:r>
      <w:r w:rsidRPr="00596ABE">
        <w:rPr>
          <w:sz w:val="20"/>
          <w:szCs w:val="20"/>
          <w:lang w:eastAsia="cs-CZ"/>
        </w:rPr>
        <w:t xml:space="preserve"> * od 4. 9. 2017</w:t>
      </w:r>
      <w:r>
        <w:rPr>
          <w:sz w:val="20"/>
          <w:szCs w:val="20"/>
          <w:lang w:eastAsia="cs-CZ"/>
        </w:rPr>
        <w:t>.</w:t>
      </w:r>
    </w:p>
    <w:p w14:paraId="421C8529" w14:textId="77777777" w:rsidR="00DD54E5" w:rsidRDefault="00797160" w:rsidP="00C153D7">
      <w:pPr>
        <w:pStyle w:val="Tabulka"/>
        <w:numPr>
          <w:ilvl w:val="0"/>
          <w:numId w:val="0"/>
        </w:numPr>
        <w:spacing w:after="40"/>
        <w:ind w:left="1361" w:hanging="1361"/>
        <w:rPr>
          <w:lang w:eastAsia="cs-CZ"/>
        </w:rPr>
      </w:pPr>
      <w:r>
        <w:rPr>
          <w:lang w:eastAsia="cs-CZ"/>
        </w:rPr>
        <w:t xml:space="preserve">Tabulka č. 9: </w:t>
      </w:r>
      <w:r>
        <w:rPr>
          <w:lang w:eastAsia="cs-CZ"/>
        </w:rPr>
        <w:tab/>
      </w:r>
      <w:r w:rsidR="00DD54E5" w:rsidRPr="00FB6AE4">
        <w:rPr>
          <w:lang w:eastAsia="cs-CZ"/>
        </w:rPr>
        <w:t xml:space="preserve">Počet podpořených </w:t>
      </w:r>
      <w:r w:rsidR="00DD54E5">
        <w:rPr>
          <w:lang w:eastAsia="cs-CZ"/>
        </w:rPr>
        <w:t>instalací s vyčíslením průměrné</w:t>
      </w:r>
      <w:r w:rsidR="00DD54E5" w:rsidRPr="00FB6AE4">
        <w:rPr>
          <w:lang w:eastAsia="cs-CZ"/>
        </w:rPr>
        <w:t xml:space="preserve"> výšky podpory na domácnost v</w:t>
      </w:r>
      <w:r w:rsidR="00016207">
        <w:rPr>
          <w:lang w:eastAsia="cs-CZ"/>
        </w:rPr>
        <w:t> </w:t>
      </w:r>
      <w:r w:rsidR="00DD54E5" w:rsidRPr="00FB6AE4">
        <w:rPr>
          <w:lang w:eastAsia="cs-CZ"/>
        </w:rPr>
        <w:t>Kč v</w:t>
      </w:r>
      <w:r w:rsidR="00016207">
        <w:rPr>
          <w:lang w:eastAsia="cs-CZ"/>
        </w:rPr>
        <w:t> </w:t>
      </w:r>
      <w:r w:rsidR="00DD54E5" w:rsidRPr="00FB6AE4">
        <w:rPr>
          <w:lang w:eastAsia="cs-CZ"/>
        </w:rPr>
        <w:t>kontrolovaném období</w:t>
      </w:r>
    </w:p>
    <w:tbl>
      <w:tblPr>
        <w:tblStyle w:val="Mkatabulky"/>
        <w:tblW w:w="4997" w:type="pct"/>
        <w:tblLook w:val="04A0" w:firstRow="1" w:lastRow="0" w:firstColumn="1" w:lastColumn="0" w:noHBand="0" w:noVBand="1"/>
      </w:tblPr>
      <w:tblGrid>
        <w:gridCol w:w="964"/>
        <w:gridCol w:w="1646"/>
        <w:gridCol w:w="1291"/>
        <w:gridCol w:w="1302"/>
        <w:gridCol w:w="1815"/>
        <w:gridCol w:w="2037"/>
      </w:tblGrid>
      <w:tr w:rsidR="00797160" w14:paraId="2400E1CF" w14:textId="77777777" w:rsidTr="00797160">
        <w:trPr>
          <w:trHeight w:val="227"/>
        </w:trPr>
        <w:tc>
          <w:tcPr>
            <w:tcW w:w="532" w:type="pct"/>
            <w:shd w:val="clear" w:color="auto" w:fill="E5F1FF"/>
            <w:vAlign w:val="center"/>
            <w:hideMark/>
          </w:tcPr>
          <w:p w14:paraId="5B2D4FBB" w14:textId="77777777" w:rsidR="00DD54E5" w:rsidRPr="00FB6AE4" w:rsidRDefault="00DD54E5" w:rsidP="00C153D7">
            <w:pPr>
              <w:keepNext/>
              <w:spacing w:after="0"/>
              <w:jc w:val="center"/>
              <w:rPr>
                <w:b/>
                <w:sz w:val="20"/>
                <w:szCs w:val="20"/>
                <w:lang w:eastAsia="cs-CZ"/>
              </w:rPr>
            </w:pPr>
            <w:r>
              <w:rPr>
                <w:b/>
                <w:sz w:val="20"/>
                <w:szCs w:val="20"/>
                <w:lang w:eastAsia="cs-CZ"/>
              </w:rPr>
              <w:t>Rok</w:t>
            </w:r>
          </w:p>
        </w:tc>
        <w:tc>
          <w:tcPr>
            <w:tcW w:w="909" w:type="pct"/>
            <w:shd w:val="clear" w:color="auto" w:fill="E5F1FF"/>
            <w:vAlign w:val="center"/>
            <w:hideMark/>
          </w:tcPr>
          <w:p w14:paraId="7458B0F7" w14:textId="77777777" w:rsidR="00DD54E5" w:rsidRPr="00FB6AE4" w:rsidRDefault="00DD54E5" w:rsidP="00C153D7">
            <w:pPr>
              <w:keepNext/>
              <w:spacing w:after="0"/>
              <w:jc w:val="center"/>
              <w:rPr>
                <w:b/>
                <w:sz w:val="20"/>
                <w:szCs w:val="20"/>
                <w:lang w:eastAsia="cs-CZ"/>
              </w:rPr>
            </w:pPr>
            <w:r w:rsidRPr="00FB6AE4">
              <w:rPr>
                <w:b/>
                <w:sz w:val="20"/>
                <w:szCs w:val="20"/>
                <w:lang w:eastAsia="cs-CZ"/>
              </w:rPr>
              <w:t>Počet instalovaných fotovoltaických panelů</w:t>
            </w:r>
          </w:p>
        </w:tc>
        <w:tc>
          <w:tcPr>
            <w:tcW w:w="713" w:type="pct"/>
            <w:shd w:val="clear" w:color="auto" w:fill="E5F1FF"/>
            <w:vAlign w:val="center"/>
            <w:hideMark/>
          </w:tcPr>
          <w:p w14:paraId="0989F37D" w14:textId="77777777" w:rsidR="00DD54E5" w:rsidRPr="00FB6AE4" w:rsidRDefault="00DD54E5" w:rsidP="00C153D7">
            <w:pPr>
              <w:keepNext/>
              <w:spacing w:after="0"/>
              <w:jc w:val="center"/>
              <w:rPr>
                <w:b/>
                <w:sz w:val="20"/>
                <w:szCs w:val="20"/>
                <w:lang w:eastAsia="cs-CZ"/>
              </w:rPr>
            </w:pPr>
            <w:r w:rsidRPr="00FB6AE4">
              <w:rPr>
                <w:b/>
                <w:sz w:val="20"/>
                <w:szCs w:val="20"/>
                <w:lang w:eastAsia="cs-CZ"/>
              </w:rPr>
              <w:t>Celkový instalovaný výkon v kW</w:t>
            </w:r>
          </w:p>
        </w:tc>
        <w:tc>
          <w:tcPr>
            <w:tcW w:w="719" w:type="pct"/>
            <w:shd w:val="clear" w:color="auto" w:fill="E5F1FF"/>
            <w:vAlign w:val="center"/>
            <w:hideMark/>
          </w:tcPr>
          <w:p w14:paraId="0C4EAA5A" w14:textId="77777777" w:rsidR="00DD54E5" w:rsidRPr="00FB6AE4" w:rsidRDefault="00DD54E5" w:rsidP="00C153D7">
            <w:pPr>
              <w:keepNext/>
              <w:spacing w:after="0"/>
              <w:jc w:val="center"/>
              <w:rPr>
                <w:b/>
                <w:sz w:val="20"/>
                <w:szCs w:val="20"/>
                <w:lang w:eastAsia="cs-CZ"/>
              </w:rPr>
            </w:pPr>
            <w:r w:rsidRPr="00FB6AE4">
              <w:rPr>
                <w:b/>
                <w:sz w:val="20"/>
                <w:szCs w:val="20"/>
                <w:lang w:eastAsia="cs-CZ"/>
              </w:rPr>
              <w:t>Výška podpory v</w:t>
            </w:r>
            <w:r w:rsidR="00797160">
              <w:rPr>
                <w:b/>
                <w:sz w:val="20"/>
                <w:szCs w:val="20"/>
                <w:lang w:eastAsia="cs-CZ"/>
              </w:rPr>
              <w:t> </w:t>
            </w:r>
            <w:r w:rsidRPr="00FB6AE4">
              <w:rPr>
                <w:b/>
                <w:sz w:val="20"/>
                <w:szCs w:val="20"/>
                <w:lang w:eastAsia="cs-CZ"/>
              </w:rPr>
              <w:t>Kč</w:t>
            </w:r>
          </w:p>
        </w:tc>
        <w:tc>
          <w:tcPr>
            <w:tcW w:w="1002" w:type="pct"/>
            <w:shd w:val="clear" w:color="auto" w:fill="E5F1FF"/>
            <w:vAlign w:val="center"/>
            <w:hideMark/>
          </w:tcPr>
          <w:p w14:paraId="40E9EB0E" w14:textId="77777777" w:rsidR="00DD54E5" w:rsidRPr="00FB6AE4" w:rsidRDefault="00DD54E5" w:rsidP="00C153D7">
            <w:pPr>
              <w:keepNext/>
              <w:spacing w:after="0"/>
              <w:jc w:val="center"/>
              <w:rPr>
                <w:b/>
                <w:sz w:val="20"/>
                <w:szCs w:val="20"/>
                <w:lang w:eastAsia="cs-CZ"/>
              </w:rPr>
            </w:pPr>
            <w:r w:rsidRPr="00FB6AE4">
              <w:rPr>
                <w:b/>
                <w:sz w:val="20"/>
                <w:szCs w:val="20"/>
                <w:lang w:eastAsia="cs-CZ"/>
              </w:rPr>
              <w:t>Průměrná výška podpory pro domácnosti v</w:t>
            </w:r>
            <w:r w:rsidR="00797160">
              <w:rPr>
                <w:b/>
                <w:sz w:val="20"/>
                <w:szCs w:val="20"/>
                <w:lang w:eastAsia="cs-CZ"/>
              </w:rPr>
              <w:t> </w:t>
            </w:r>
            <w:r w:rsidRPr="00FB6AE4">
              <w:rPr>
                <w:b/>
                <w:sz w:val="20"/>
                <w:szCs w:val="20"/>
                <w:lang w:eastAsia="cs-CZ"/>
              </w:rPr>
              <w:t>Kč</w:t>
            </w:r>
          </w:p>
        </w:tc>
        <w:tc>
          <w:tcPr>
            <w:tcW w:w="1125" w:type="pct"/>
            <w:shd w:val="clear" w:color="auto" w:fill="E5F1FF"/>
            <w:vAlign w:val="center"/>
            <w:hideMark/>
          </w:tcPr>
          <w:p w14:paraId="68EB3FF1" w14:textId="77777777" w:rsidR="00DD54E5" w:rsidRPr="00FB6AE4" w:rsidRDefault="00DD54E5" w:rsidP="00C153D7">
            <w:pPr>
              <w:keepNext/>
              <w:spacing w:after="0"/>
              <w:jc w:val="center"/>
              <w:rPr>
                <w:b/>
                <w:sz w:val="20"/>
                <w:szCs w:val="20"/>
                <w:lang w:eastAsia="cs-CZ"/>
              </w:rPr>
            </w:pPr>
            <w:r w:rsidRPr="00FB6AE4">
              <w:rPr>
                <w:b/>
                <w:sz w:val="20"/>
                <w:szCs w:val="20"/>
                <w:lang w:eastAsia="cs-CZ"/>
              </w:rPr>
              <w:t>Průměrná výško podpory na instalovaný výkon v</w:t>
            </w:r>
            <w:r w:rsidR="00797160">
              <w:rPr>
                <w:b/>
                <w:sz w:val="20"/>
                <w:szCs w:val="20"/>
                <w:lang w:eastAsia="cs-CZ"/>
              </w:rPr>
              <w:t> </w:t>
            </w:r>
            <w:r w:rsidRPr="00FB6AE4">
              <w:rPr>
                <w:b/>
                <w:sz w:val="20"/>
                <w:szCs w:val="20"/>
                <w:lang w:eastAsia="cs-CZ"/>
              </w:rPr>
              <w:t>Kč/kW</w:t>
            </w:r>
          </w:p>
        </w:tc>
      </w:tr>
      <w:tr w:rsidR="00797160" w14:paraId="4E76D2FF" w14:textId="77777777" w:rsidTr="00797160">
        <w:trPr>
          <w:trHeight w:val="227"/>
        </w:trPr>
        <w:tc>
          <w:tcPr>
            <w:tcW w:w="532" w:type="pct"/>
            <w:hideMark/>
          </w:tcPr>
          <w:p w14:paraId="50E39332" w14:textId="77777777" w:rsidR="00DD54E5" w:rsidRPr="00FB6AE4" w:rsidRDefault="00DD54E5" w:rsidP="00C153D7">
            <w:pPr>
              <w:keepNext/>
              <w:spacing w:after="0"/>
              <w:jc w:val="center"/>
              <w:rPr>
                <w:sz w:val="20"/>
                <w:szCs w:val="20"/>
                <w:lang w:eastAsia="cs-CZ"/>
              </w:rPr>
            </w:pPr>
            <w:r w:rsidRPr="00FB6AE4">
              <w:rPr>
                <w:sz w:val="20"/>
                <w:szCs w:val="20"/>
                <w:lang w:eastAsia="cs-CZ"/>
              </w:rPr>
              <w:t>2015</w:t>
            </w:r>
          </w:p>
        </w:tc>
        <w:tc>
          <w:tcPr>
            <w:tcW w:w="909" w:type="pct"/>
            <w:vAlign w:val="center"/>
            <w:hideMark/>
          </w:tcPr>
          <w:p w14:paraId="4592CC9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0</w:t>
            </w:r>
          </w:p>
        </w:tc>
        <w:tc>
          <w:tcPr>
            <w:tcW w:w="713" w:type="pct"/>
            <w:vAlign w:val="center"/>
            <w:hideMark/>
          </w:tcPr>
          <w:p w14:paraId="2BBEA3A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0,00</w:t>
            </w:r>
          </w:p>
        </w:tc>
        <w:tc>
          <w:tcPr>
            <w:tcW w:w="719" w:type="pct"/>
            <w:vAlign w:val="center"/>
            <w:hideMark/>
          </w:tcPr>
          <w:p w14:paraId="4B981FDE"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0</w:t>
            </w:r>
          </w:p>
        </w:tc>
        <w:tc>
          <w:tcPr>
            <w:tcW w:w="1002" w:type="pct"/>
            <w:vAlign w:val="center"/>
            <w:hideMark/>
          </w:tcPr>
          <w:p w14:paraId="260B7353"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0</w:t>
            </w:r>
          </w:p>
        </w:tc>
        <w:tc>
          <w:tcPr>
            <w:tcW w:w="1125" w:type="pct"/>
            <w:vAlign w:val="center"/>
            <w:hideMark/>
          </w:tcPr>
          <w:p w14:paraId="2053EB4E"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0</w:t>
            </w:r>
          </w:p>
        </w:tc>
      </w:tr>
      <w:tr w:rsidR="00797160" w14:paraId="7D063FDB" w14:textId="77777777" w:rsidTr="00797160">
        <w:trPr>
          <w:trHeight w:val="227"/>
        </w:trPr>
        <w:tc>
          <w:tcPr>
            <w:tcW w:w="532" w:type="pct"/>
            <w:hideMark/>
          </w:tcPr>
          <w:p w14:paraId="3F895B4D" w14:textId="77777777" w:rsidR="00DD54E5" w:rsidRPr="00FB6AE4" w:rsidRDefault="00DD54E5" w:rsidP="00C153D7">
            <w:pPr>
              <w:keepNext/>
              <w:spacing w:after="0"/>
              <w:jc w:val="center"/>
              <w:rPr>
                <w:sz w:val="20"/>
                <w:szCs w:val="20"/>
                <w:lang w:eastAsia="cs-CZ"/>
              </w:rPr>
            </w:pPr>
            <w:r w:rsidRPr="00FB6AE4">
              <w:rPr>
                <w:sz w:val="20"/>
                <w:szCs w:val="20"/>
                <w:lang w:eastAsia="cs-CZ"/>
              </w:rPr>
              <w:t>2016</w:t>
            </w:r>
          </w:p>
        </w:tc>
        <w:tc>
          <w:tcPr>
            <w:tcW w:w="909" w:type="pct"/>
            <w:vAlign w:val="center"/>
            <w:hideMark/>
          </w:tcPr>
          <w:p w14:paraId="13806A93"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3 235</w:t>
            </w:r>
          </w:p>
        </w:tc>
        <w:tc>
          <w:tcPr>
            <w:tcW w:w="713" w:type="pct"/>
            <w:vAlign w:val="center"/>
            <w:hideMark/>
          </w:tcPr>
          <w:p w14:paraId="40853576"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825,76</w:t>
            </w:r>
          </w:p>
        </w:tc>
        <w:tc>
          <w:tcPr>
            <w:tcW w:w="719" w:type="pct"/>
            <w:vAlign w:val="center"/>
            <w:hideMark/>
          </w:tcPr>
          <w:p w14:paraId="5160C236"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14 632 233</w:t>
            </w:r>
          </w:p>
        </w:tc>
        <w:tc>
          <w:tcPr>
            <w:tcW w:w="1002" w:type="pct"/>
            <w:noWrap/>
            <w:vAlign w:val="center"/>
            <w:hideMark/>
          </w:tcPr>
          <w:p w14:paraId="0807835D"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4 523,10</w:t>
            </w:r>
          </w:p>
        </w:tc>
        <w:tc>
          <w:tcPr>
            <w:tcW w:w="1125" w:type="pct"/>
            <w:noWrap/>
            <w:vAlign w:val="center"/>
            <w:hideMark/>
          </w:tcPr>
          <w:p w14:paraId="23472FEC"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17 719,72</w:t>
            </w:r>
          </w:p>
        </w:tc>
      </w:tr>
      <w:tr w:rsidR="00797160" w14:paraId="423D2ABC" w14:textId="77777777" w:rsidTr="00797160">
        <w:trPr>
          <w:trHeight w:val="227"/>
        </w:trPr>
        <w:tc>
          <w:tcPr>
            <w:tcW w:w="532" w:type="pct"/>
            <w:hideMark/>
          </w:tcPr>
          <w:p w14:paraId="73CCAD91" w14:textId="77777777" w:rsidR="00DD54E5" w:rsidRPr="00FB6AE4" w:rsidRDefault="00DD54E5" w:rsidP="00C153D7">
            <w:pPr>
              <w:keepNext/>
              <w:spacing w:after="0"/>
              <w:jc w:val="center"/>
              <w:rPr>
                <w:sz w:val="20"/>
                <w:szCs w:val="20"/>
                <w:lang w:eastAsia="cs-CZ"/>
              </w:rPr>
            </w:pPr>
            <w:r w:rsidRPr="00FB6AE4">
              <w:rPr>
                <w:sz w:val="20"/>
                <w:szCs w:val="20"/>
                <w:lang w:eastAsia="cs-CZ"/>
              </w:rPr>
              <w:t>2017</w:t>
            </w:r>
          </w:p>
        </w:tc>
        <w:tc>
          <w:tcPr>
            <w:tcW w:w="909" w:type="pct"/>
            <w:vAlign w:val="center"/>
            <w:hideMark/>
          </w:tcPr>
          <w:p w14:paraId="0E2B7B0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11 573</w:t>
            </w:r>
          </w:p>
        </w:tc>
        <w:tc>
          <w:tcPr>
            <w:tcW w:w="713" w:type="pct"/>
            <w:vAlign w:val="center"/>
            <w:hideMark/>
          </w:tcPr>
          <w:p w14:paraId="351A9B6C"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3 018,75</w:t>
            </w:r>
          </w:p>
        </w:tc>
        <w:tc>
          <w:tcPr>
            <w:tcW w:w="719" w:type="pct"/>
            <w:vAlign w:val="center"/>
            <w:hideMark/>
          </w:tcPr>
          <w:p w14:paraId="58C951B4"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57 704 273</w:t>
            </w:r>
          </w:p>
        </w:tc>
        <w:tc>
          <w:tcPr>
            <w:tcW w:w="1002" w:type="pct"/>
            <w:noWrap/>
            <w:vAlign w:val="center"/>
            <w:hideMark/>
          </w:tcPr>
          <w:p w14:paraId="3E504D9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4 986,11</w:t>
            </w:r>
          </w:p>
        </w:tc>
        <w:tc>
          <w:tcPr>
            <w:tcW w:w="1125" w:type="pct"/>
            <w:noWrap/>
            <w:vAlign w:val="center"/>
            <w:hideMark/>
          </w:tcPr>
          <w:p w14:paraId="29BC9216"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19 115,29</w:t>
            </w:r>
          </w:p>
        </w:tc>
      </w:tr>
      <w:tr w:rsidR="00797160" w14:paraId="30572FF2" w14:textId="77777777" w:rsidTr="00797160">
        <w:trPr>
          <w:trHeight w:val="227"/>
        </w:trPr>
        <w:tc>
          <w:tcPr>
            <w:tcW w:w="532" w:type="pct"/>
            <w:hideMark/>
          </w:tcPr>
          <w:p w14:paraId="3F9D58D8" w14:textId="77777777" w:rsidR="00DD54E5" w:rsidRPr="00FB6AE4" w:rsidRDefault="00DD54E5" w:rsidP="00C153D7">
            <w:pPr>
              <w:keepNext/>
              <w:spacing w:after="0"/>
              <w:jc w:val="center"/>
              <w:rPr>
                <w:sz w:val="20"/>
                <w:szCs w:val="20"/>
                <w:lang w:eastAsia="cs-CZ"/>
              </w:rPr>
            </w:pPr>
            <w:r w:rsidRPr="00FB6AE4">
              <w:rPr>
                <w:sz w:val="20"/>
                <w:szCs w:val="20"/>
                <w:lang w:eastAsia="cs-CZ"/>
              </w:rPr>
              <w:t>2018</w:t>
            </w:r>
          </w:p>
        </w:tc>
        <w:tc>
          <w:tcPr>
            <w:tcW w:w="909" w:type="pct"/>
            <w:vAlign w:val="center"/>
            <w:hideMark/>
          </w:tcPr>
          <w:p w14:paraId="12663B8D"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25 766</w:t>
            </w:r>
          </w:p>
        </w:tc>
        <w:tc>
          <w:tcPr>
            <w:tcW w:w="713" w:type="pct"/>
            <w:vAlign w:val="center"/>
            <w:hideMark/>
          </w:tcPr>
          <w:p w14:paraId="770744F8"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6 952,53</w:t>
            </w:r>
          </w:p>
        </w:tc>
        <w:tc>
          <w:tcPr>
            <w:tcW w:w="719" w:type="pct"/>
            <w:vAlign w:val="center"/>
            <w:hideMark/>
          </w:tcPr>
          <w:p w14:paraId="6CEDD980"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161 825 535</w:t>
            </w:r>
          </w:p>
        </w:tc>
        <w:tc>
          <w:tcPr>
            <w:tcW w:w="1002" w:type="pct"/>
            <w:noWrap/>
            <w:vAlign w:val="center"/>
            <w:hideMark/>
          </w:tcPr>
          <w:p w14:paraId="7BBDE3A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6 280,58</w:t>
            </w:r>
          </w:p>
        </w:tc>
        <w:tc>
          <w:tcPr>
            <w:tcW w:w="1125" w:type="pct"/>
            <w:noWrap/>
            <w:vAlign w:val="center"/>
            <w:hideMark/>
          </w:tcPr>
          <w:p w14:paraId="3ED2997D"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23 275,78</w:t>
            </w:r>
          </w:p>
        </w:tc>
      </w:tr>
      <w:tr w:rsidR="00797160" w14:paraId="5FC7BACF" w14:textId="77777777" w:rsidTr="00797160">
        <w:trPr>
          <w:trHeight w:val="227"/>
        </w:trPr>
        <w:tc>
          <w:tcPr>
            <w:tcW w:w="532" w:type="pct"/>
            <w:hideMark/>
          </w:tcPr>
          <w:p w14:paraId="1BD72118" w14:textId="0531FBC6" w:rsidR="00DD54E5" w:rsidRPr="00FB6AE4" w:rsidRDefault="00CC4AA7" w:rsidP="00C153D7">
            <w:pPr>
              <w:keepNext/>
              <w:spacing w:after="0"/>
              <w:jc w:val="center"/>
              <w:rPr>
                <w:sz w:val="20"/>
                <w:szCs w:val="20"/>
                <w:lang w:eastAsia="cs-CZ"/>
              </w:rPr>
            </w:pPr>
            <w:r>
              <w:rPr>
                <w:sz w:val="20"/>
                <w:szCs w:val="20"/>
                <w:lang w:eastAsia="cs-CZ"/>
              </w:rPr>
              <w:t>C</w:t>
            </w:r>
            <w:r w:rsidR="00DD54E5" w:rsidRPr="00FB6AE4">
              <w:rPr>
                <w:sz w:val="20"/>
                <w:szCs w:val="20"/>
                <w:lang w:eastAsia="cs-CZ"/>
              </w:rPr>
              <w:t>elkem</w:t>
            </w:r>
          </w:p>
        </w:tc>
        <w:tc>
          <w:tcPr>
            <w:tcW w:w="909" w:type="pct"/>
            <w:vAlign w:val="center"/>
            <w:hideMark/>
          </w:tcPr>
          <w:p w14:paraId="271D68D1"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40 574</w:t>
            </w:r>
          </w:p>
        </w:tc>
        <w:tc>
          <w:tcPr>
            <w:tcW w:w="713" w:type="pct"/>
            <w:vAlign w:val="center"/>
            <w:hideMark/>
          </w:tcPr>
          <w:p w14:paraId="2E4ADE43"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10</w:t>
            </w:r>
            <w:r>
              <w:rPr>
                <w:sz w:val="20"/>
                <w:szCs w:val="20"/>
                <w:lang w:eastAsia="cs-CZ"/>
              </w:rPr>
              <w:t> </w:t>
            </w:r>
            <w:r w:rsidRPr="00FB6AE4">
              <w:rPr>
                <w:sz w:val="20"/>
                <w:szCs w:val="20"/>
                <w:lang w:eastAsia="cs-CZ"/>
              </w:rPr>
              <w:t>797</w:t>
            </w:r>
            <w:r>
              <w:rPr>
                <w:sz w:val="20"/>
                <w:szCs w:val="20"/>
                <w:lang w:eastAsia="cs-CZ"/>
              </w:rPr>
              <w:t>,00</w:t>
            </w:r>
          </w:p>
        </w:tc>
        <w:tc>
          <w:tcPr>
            <w:tcW w:w="719" w:type="pct"/>
            <w:vAlign w:val="center"/>
            <w:hideMark/>
          </w:tcPr>
          <w:p w14:paraId="093D7CFF"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234 162 041</w:t>
            </w:r>
          </w:p>
        </w:tc>
        <w:tc>
          <w:tcPr>
            <w:tcW w:w="1002" w:type="pct"/>
            <w:noWrap/>
            <w:vAlign w:val="center"/>
            <w:hideMark/>
          </w:tcPr>
          <w:p w14:paraId="16F0EF26"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 </w:t>
            </w:r>
          </w:p>
        </w:tc>
        <w:tc>
          <w:tcPr>
            <w:tcW w:w="1125" w:type="pct"/>
            <w:noWrap/>
            <w:vAlign w:val="center"/>
            <w:hideMark/>
          </w:tcPr>
          <w:p w14:paraId="3413343C" w14:textId="77777777" w:rsidR="00DD54E5" w:rsidRPr="00FB6AE4" w:rsidRDefault="00DD54E5" w:rsidP="00C153D7">
            <w:pPr>
              <w:keepNext/>
              <w:spacing w:after="0"/>
              <w:ind w:right="35"/>
              <w:jc w:val="right"/>
              <w:rPr>
                <w:sz w:val="20"/>
                <w:szCs w:val="20"/>
                <w:lang w:eastAsia="cs-CZ"/>
              </w:rPr>
            </w:pPr>
            <w:r w:rsidRPr="00FB6AE4">
              <w:rPr>
                <w:sz w:val="20"/>
                <w:szCs w:val="20"/>
                <w:lang w:eastAsia="cs-CZ"/>
              </w:rPr>
              <w:t> </w:t>
            </w:r>
          </w:p>
        </w:tc>
      </w:tr>
    </w:tbl>
    <w:p w14:paraId="0C568F50" w14:textId="77777777" w:rsidR="00DD54E5" w:rsidRPr="00725534" w:rsidRDefault="00DD54E5" w:rsidP="00FD1BC3">
      <w:pPr>
        <w:spacing w:before="40"/>
        <w:rPr>
          <w:sz w:val="20"/>
          <w:szCs w:val="20"/>
          <w:lang w:eastAsia="cs-CZ"/>
        </w:rPr>
      </w:pPr>
      <w:r w:rsidRPr="00322D76">
        <w:rPr>
          <w:b/>
          <w:sz w:val="20"/>
          <w:szCs w:val="20"/>
          <w:lang w:eastAsia="cs-CZ"/>
        </w:rPr>
        <w:t>Zdroj:</w:t>
      </w:r>
      <w:r w:rsidRPr="00725534">
        <w:rPr>
          <w:sz w:val="20"/>
          <w:szCs w:val="20"/>
          <w:lang w:eastAsia="cs-CZ"/>
        </w:rPr>
        <w:t xml:space="preserve"> MŽP.</w:t>
      </w:r>
    </w:p>
    <w:p w14:paraId="6FC4AA0E" w14:textId="77777777" w:rsidR="00DD54E5" w:rsidRDefault="00797160" w:rsidP="00FD1BC3">
      <w:pPr>
        <w:pStyle w:val="Tabulka"/>
        <w:numPr>
          <w:ilvl w:val="0"/>
          <w:numId w:val="0"/>
        </w:numPr>
        <w:spacing w:after="40"/>
        <w:ind w:left="1418" w:hanging="1418"/>
        <w:rPr>
          <w:lang w:eastAsia="cs-CZ"/>
        </w:rPr>
      </w:pPr>
      <w:r>
        <w:rPr>
          <w:lang w:eastAsia="cs-CZ"/>
        </w:rPr>
        <w:lastRenderedPageBreak/>
        <w:t xml:space="preserve">Tabulka č. 10: </w:t>
      </w:r>
      <w:r w:rsidR="00DD54E5" w:rsidRPr="00FB6AE4">
        <w:rPr>
          <w:lang w:eastAsia="cs-CZ"/>
        </w:rPr>
        <w:t>Přehled vyrobeného množství elektřiny v MWh</w:t>
      </w:r>
    </w:p>
    <w:tbl>
      <w:tblPr>
        <w:tblStyle w:val="Mkatabulky"/>
        <w:tblW w:w="0" w:type="auto"/>
        <w:tblLayout w:type="fixed"/>
        <w:tblLook w:val="04A0" w:firstRow="1" w:lastRow="0" w:firstColumn="1" w:lastColumn="0" w:noHBand="0" w:noVBand="1"/>
      </w:tblPr>
      <w:tblGrid>
        <w:gridCol w:w="4309"/>
        <w:gridCol w:w="1134"/>
        <w:gridCol w:w="1134"/>
        <w:gridCol w:w="1134"/>
        <w:gridCol w:w="1134"/>
      </w:tblGrid>
      <w:tr w:rsidR="00FD1BC3" w14:paraId="24474588" w14:textId="77777777" w:rsidTr="00FD1BC3">
        <w:trPr>
          <w:trHeight w:val="70"/>
        </w:trPr>
        <w:tc>
          <w:tcPr>
            <w:tcW w:w="4309" w:type="dxa"/>
            <w:shd w:val="clear" w:color="auto" w:fill="E5F1FF"/>
            <w:noWrap/>
            <w:vAlign w:val="center"/>
            <w:hideMark/>
          </w:tcPr>
          <w:p w14:paraId="66BCCB8D" w14:textId="77777777" w:rsidR="00DD54E5" w:rsidRPr="00FB6AE4" w:rsidRDefault="00DD54E5" w:rsidP="00FD1BC3">
            <w:pPr>
              <w:spacing w:after="0"/>
              <w:jc w:val="left"/>
              <w:rPr>
                <w:b/>
                <w:bCs/>
                <w:sz w:val="20"/>
                <w:szCs w:val="20"/>
                <w:lang w:eastAsia="cs-CZ"/>
              </w:rPr>
            </w:pPr>
            <w:r>
              <w:rPr>
                <w:b/>
                <w:bCs/>
                <w:sz w:val="20"/>
                <w:szCs w:val="20"/>
                <w:lang w:eastAsia="cs-CZ"/>
              </w:rPr>
              <w:t>Rok</w:t>
            </w:r>
          </w:p>
        </w:tc>
        <w:tc>
          <w:tcPr>
            <w:tcW w:w="1134" w:type="dxa"/>
            <w:shd w:val="clear" w:color="auto" w:fill="E5F1FF"/>
            <w:noWrap/>
            <w:vAlign w:val="center"/>
            <w:hideMark/>
          </w:tcPr>
          <w:p w14:paraId="73D9D2C9" w14:textId="77777777" w:rsidR="00DD54E5" w:rsidRPr="00FB6AE4" w:rsidRDefault="00DD54E5" w:rsidP="00FD1BC3">
            <w:pPr>
              <w:spacing w:after="0"/>
              <w:jc w:val="center"/>
              <w:rPr>
                <w:b/>
                <w:bCs/>
                <w:sz w:val="20"/>
                <w:szCs w:val="20"/>
                <w:lang w:eastAsia="cs-CZ"/>
              </w:rPr>
            </w:pPr>
            <w:r w:rsidRPr="00FB6AE4">
              <w:rPr>
                <w:b/>
                <w:bCs/>
                <w:sz w:val="20"/>
                <w:szCs w:val="20"/>
                <w:lang w:eastAsia="cs-CZ"/>
              </w:rPr>
              <w:t>2015</w:t>
            </w:r>
          </w:p>
        </w:tc>
        <w:tc>
          <w:tcPr>
            <w:tcW w:w="1134" w:type="dxa"/>
            <w:shd w:val="clear" w:color="auto" w:fill="E5F1FF"/>
            <w:noWrap/>
            <w:vAlign w:val="center"/>
            <w:hideMark/>
          </w:tcPr>
          <w:p w14:paraId="06785ED0" w14:textId="77777777" w:rsidR="00DD54E5" w:rsidRPr="00FB6AE4" w:rsidRDefault="00DD54E5" w:rsidP="00FD1BC3">
            <w:pPr>
              <w:spacing w:after="0"/>
              <w:jc w:val="center"/>
              <w:rPr>
                <w:b/>
                <w:bCs/>
                <w:sz w:val="20"/>
                <w:szCs w:val="20"/>
                <w:lang w:eastAsia="cs-CZ"/>
              </w:rPr>
            </w:pPr>
            <w:r w:rsidRPr="00FB6AE4">
              <w:rPr>
                <w:b/>
                <w:bCs/>
                <w:sz w:val="20"/>
                <w:szCs w:val="20"/>
                <w:lang w:eastAsia="cs-CZ"/>
              </w:rPr>
              <w:t>2016</w:t>
            </w:r>
          </w:p>
        </w:tc>
        <w:tc>
          <w:tcPr>
            <w:tcW w:w="1134" w:type="dxa"/>
            <w:shd w:val="clear" w:color="auto" w:fill="E5F1FF"/>
            <w:noWrap/>
            <w:vAlign w:val="center"/>
            <w:hideMark/>
          </w:tcPr>
          <w:p w14:paraId="52D9F35B" w14:textId="77777777" w:rsidR="00DD54E5" w:rsidRPr="00FB6AE4" w:rsidRDefault="00DD54E5" w:rsidP="00FD1BC3">
            <w:pPr>
              <w:spacing w:after="0"/>
              <w:jc w:val="center"/>
              <w:rPr>
                <w:b/>
                <w:bCs/>
                <w:sz w:val="20"/>
                <w:szCs w:val="20"/>
                <w:lang w:eastAsia="cs-CZ"/>
              </w:rPr>
            </w:pPr>
            <w:r w:rsidRPr="00FB6AE4">
              <w:rPr>
                <w:b/>
                <w:bCs/>
                <w:sz w:val="20"/>
                <w:szCs w:val="20"/>
                <w:lang w:eastAsia="cs-CZ"/>
              </w:rPr>
              <w:t>2017</w:t>
            </w:r>
          </w:p>
        </w:tc>
        <w:tc>
          <w:tcPr>
            <w:tcW w:w="1134" w:type="dxa"/>
            <w:shd w:val="clear" w:color="auto" w:fill="E5F1FF"/>
            <w:noWrap/>
            <w:vAlign w:val="center"/>
            <w:hideMark/>
          </w:tcPr>
          <w:p w14:paraId="0E59C0D4" w14:textId="77777777" w:rsidR="00DD54E5" w:rsidRPr="00FB6AE4" w:rsidRDefault="00DD54E5" w:rsidP="00FD1BC3">
            <w:pPr>
              <w:spacing w:after="0"/>
              <w:jc w:val="center"/>
              <w:rPr>
                <w:b/>
                <w:bCs/>
                <w:sz w:val="20"/>
                <w:szCs w:val="20"/>
                <w:lang w:eastAsia="cs-CZ"/>
              </w:rPr>
            </w:pPr>
            <w:r w:rsidRPr="00FB6AE4">
              <w:rPr>
                <w:b/>
                <w:bCs/>
                <w:sz w:val="20"/>
                <w:szCs w:val="20"/>
                <w:lang w:eastAsia="cs-CZ"/>
              </w:rPr>
              <w:t>2018</w:t>
            </w:r>
          </w:p>
        </w:tc>
      </w:tr>
      <w:tr w:rsidR="00FD1BC3" w14:paraId="5ACB5B35" w14:textId="77777777" w:rsidTr="00FD1BC3">
        <w:trPr>
          <w:trHeight w:val="86"/>
        </w:trPr>
        <w:tc>
          <w:tcPr>
            <w:tcW w:w="4309" w:type="dxa"/>
            <w:noWrap/>
            <w:vAlign w:val="center"/>
            <w:hideMark/>
          </w:tcPr>
          <w:p w14:paraId="5D4334F1" w14:textId="77777777" w:rsidR="00DD54E5" w:rsidRPr="00FB6AE4" w:rsidRDefault="00DD54E5" w:rsidP="00FD1BC3">
            <w:pPr>
              <w:spacing w:after="0"/>
              <w:jc w:val="left"/>
              <w:rPr>
                <w:bCs/>
                <w:sz w:val="20"/>
                <w:szCs w:val="20"/>
                <w:lang w:eastAsia="cs-CZ"/>
              </w:rPr>
            </w:pPr>
            <w:r w:rsidRPr="00FB6AE4">
              <w:rPr>
                <w:bCs/>
                <w:sz w:val="20"/>
                <w:szCs w:val="20"/>
                <w:lang w:eastAsia="cs-CZ"/>
              </w:rPr>
              <w:t>Počet podnikatelů</w:t>
            </w:r>
          </w:p>
        </w:tc>
        <w:tc>
          <w:tcPr>
            <w:tcW w:w="1134" w:type="dxa"/>
            <w:noWrap/>
            <w:vAlign w:val="center"/>
            <w:hideMark/>
          </w:tcPr>
          <w:p w14:paraId="7652E6C7" w14:textId="77777777" w:rsidR="00DD54E5" w:rsidRPr="00FB6AE4" w:rsidRDefault="00DD54E5" w:rsidP="00FD1BC3">
            <w:pPr>
              <w:spacing w:after="0"/>
              <w:jc w:val="right"/>
              <w:rPr>
                <w:sz w:val="20"/>
                <w:szCs w:val="20"/>
                <w:lang w:eastAsia="cs-CZ"/>
              </w:rPr>
            </w:pPr>
            <w:r w:rsidRPr="00FB6AE4">
              <w:rPr>
                <w:sz w:val="20"/>
                <w:szCs w:val="20"/>
                <w:lang w:eastAsia="cs-CZ"/>
              </w:rPr>
              <w:t>24 042</w:t>
            </w:r>
          </w:p>
        </w:tc>
        <w:tc>
          <w:tcPr>
            <w:tcW w:w="1134" w:type="dxa"/>
            <w:noWrap/>
            <w:vAlign w:val="center"/>
            <w:hideMark/>
          </w:tcPr>
          <w:p w14:paraId="656C4957" w14:textId="77777777" w:rsidR="00DD54E5" w:rsidRPr="00FB6AE4" w:rsidRDefault="00DD54E5" w:rsidP="00FD1BC3">
            <w:pPr>
              <w:spacing w:after="0"/>
              <w:jc w:val="right"/>
              <w:rPr>
                <w:sz w:val="20"/>
                <w:szCs w:val="20"/>
                <w:lang w:eastAsia="cs-CZ"/>
              </w:rPr>
            </w:pPr>
            <w:r w:rsidRPr="00FB6AE4">
              <w:rPr>
                <w:sz w:val="20"/>
                <w:szCs w:val="20"/>
                <w:lang w:eastAsia="cs-CZ"/>
              </w:rPr>
              <w:t>24 065</w:t>
            </w:r>
          </w:p>
        </w:tc>
        <w:tc>
          <w:tcPr>
            <w:tcW w:w="1134" w:type="dxa"/>
            <w:noWrap/>
            <w:vAlign w:val="center"/>
            <w:hideMark/>
          </w:tcPr>
          <w:p w14:paraId="064681ED" w14:textId="77777777" w:rsidR="00DD54E5" w:rsidRPr="00FB6AE4" w:rsidRDefault="00DD54E5" w:rsidP="00FD1BC3">
            <w:pPr>
              <w:spacing w:after="0"/>
              <w:jc w:val="right"/>
              <w:rPr>
                <w:sz w:val="20"/>
                <w:szCs w:val="20"/>
                <w:lang w:eastAsia="cs-CZ"/>
              </w:rPr>
            </w:pPr>
            <w:r w:rsidRPr="00FB6AE4">
              <w:rPr>
                <w:sz w:val="20"/>
                <w:szCs w:val="20"/>
                <w:lang w:eastAsia="cs-CZ"/>
              </w:rPr>
              <w:t>24 069</w:t>
            </w:r>
          </w:p>
        </w:tc>
        <w:tc>
          <w:tcPr>
            <w:tcW w:w="1134" w:type="dxa"/>
            <w:noWrap/>
            <w:vAlign w:val="center"/>
            <w:hideMark/>
          </w:tcPr>
          <w:p w14:paraId="59F3031D" w14:textId="77777777" w:rsidR="00DD54E5" w:rsidRPr="00FB6AE4" w:rsidRDefault="00DD54E5" w:rsidP="00FD1BC3">
            <w:pPr>
              <w:spacing w:after="0"/>
              <w:jc w:val="right"/>
              <w:rPr>
                <w:sz w:val="20"/>
                <w:szCs w:val="20"/>
                <w:lang w:eastAsia="cs-CZ"/>
              </w:rPr>
            </w:pPr>
            <w:r w:rsidRPr="00FB6AE4">
              <w:rPr>
                <w:sz w:val="20"/>
                <w:szCs w:val="20"/>
                <w:lang w:eastAsia="cs-CZ"/>
              </w:rPr>
              <w:t>24 038</w:t>
            </w:r>
          </w:p>
        </w:tc>
      </w:tr>
      <w:tr w:rsidR="00FD1BC3" w14:paraId="4178B741" w14:textId="77777777" w:rsidTr="00FD1BC3">
        <w:trPr>
          <w:trHeight w:val="300"/>
        </w:trPr>
        <w:tc>
          <w:tcPr>
            <w:tcW w:w="4309" w:type="dxa"/>
            <w:noWrap/>
            <w:vAlign w:val="center"/>
            <w:hideMark/>
          </w:tcPr>
          <w:p w14:paraId="4676DAC4" w14:textId="77777777" w:rsidR="00DD54E5" w:rsidRPr="00FB6AE4" w:rsidRDefault="00DD54E5" w:rsidP="00FD1BC3">
            <w:pPr>
              <w:spacing w:after="0"/>
              <w:jc w:val="left"/>
              <w:rPr>
                <w:bCs/>
                <w:sz w:val="20"/>
                <w:szCs w:val="20"/>
                <w:lang w:eastAsia="cs-CZ"/>
              </w:rPr>
            </w:pPr>
            <w:r w:rsidRPr="00FB6AE4">
              <w:rPr>
                <w:bCs/>
                <w:sz w:val="20"/>
                <w:szCs w:val="20"/>
                <w:lang w:eastAsia="cs-CZ"/>
              </w:rPr>
              <w:t>Přetoky do sítě v MWh</w:t>
            </w:r>
          </w:p>
        </w:tc>
        <w:tc>
          <w:tcPr>
            <w:tcW w:w="1134" w:type="dxa"/>
            <w:noWrap/>
            <w:vAlign w:val="center"/>
            <w:hideMark/>
          </w:tcPr>
          <w:p w14:paraId="58B37B3A" w14:textId="77777777" w:rsidR="00DD54E5" w:rsidRPr="00FB6AE4" w:rsidRDefault="00DD54E5" w:rsidP="00FD1BC3">
            <w:pPr>
              <w:spacing w:after="0"/>
              <w:jc w:val="right"/>
              <w:rPr>
                <w:sz w:val="20"/>
                <w:szCs w:val="20"/>
                <w:lang w:eastAsia="cs-CZ"/>
              </w:rPr>
            </w:pPr>
            <w:r w:rsidRPr="00FB6AE4">
              <w:rPr>
                <w:sz w:val="20"/>
                <w:szCs w:val="20"/>
                <w:lang w:eastAsia="cs-CZ"/>
              </w:rPr>
              <w:t>2 098 747</w:t>
            </w:r>
          </w:p>
        </w:tc>
        <w:tc>
          <w:tcPr>
            <w:tcW w:w="1134" w:type="dxa"/>
            <w:noWrap/>
            <w:vAlign w:val="center"/>
            <w:hideMark/>
          </w:tcPr>
          <w:p w14:paraId="788B3ABB" w14:textId="77777777" w:rsidR="00DD54E5" w:rsidRPr="00FB6AE4" w:rsidRDefault="00DD54E5" w:rsidP="00FD1BC3">
            <w:pPr>
              <w:spacing w:after="0"/>
              <w:jc w:val="right"/>
              <w:rPr>
                <w:sz w:val="20"/>
                <w:szCs w:val="20"/>
                <w:lang w:eastAsia="cs-CZ"/>
              </w:rPr>
            </w:pPr>
            <w:r w:rsidRPr="00FB6AE4">
              <w:rPr>
                <w:sz w:val="20"/>
                <w:szCs w:val="20"/>
                <w:lang w:eastAsia="cs-CZ"/>
              </w:rPr>
              <w:t>1 972 762</w:t>
            </w:r>
          </w:p>
        </w:tc>
        <w:tc>
          <w:tcPr>
            <w:tcW w:w="1134" w:type="dxa"/>
            <w:noWrap/>
            <w:vAlign w:val="center"/>
            <w:hideMark/>
          </w:tcPr>
          <w:p w14:paraId="10590FE6" w14:textId="77777777" w:rsidR="00DD54E5" w:rsidRPr="00FB6AE4" w:rsidRDefault="00DD54E5" w:rsidP="00FD1BC3">
            <w:pPr>
              <w:spacing w:after="0"/>
              <w:jc w:val="right"/>
              <w:rPr>
                <w:sz w:val="20"/>
                <w:szCs w:val="20"/>
                <w:lang w:eastAsia="cs-CZ"/>
              </w:rPr>
            </w:pPr>
            <w:r w:rsidRPr="00FB6AE4">
              <w:rPr>
                <w:sz w:val="20"/>
                <w:szCs w:val="20"/>
                <w:lang w:eastAsia="cs-CZ"/>
              </w:rPr>
              <w:t>2 031 389</w:t>
            </w:r>
          </w:p>
        </w:tc>
        <w:tc>
          <w:tcPr>
            <w:tcW w:w="1134" w:type="dxa"/>
            <w:noWrap/>
            <w:vAlign w:val="center"/>
            <w:hideMark/>
          </w:tcPr>
          <w:p w14:paraId="43C396B0" w14:textId="77777777" w:rsidR="00DD54E5" w:rsidRPr="00FB6AE4" w:rsidRDefault="00DD54E5" w:rsidP="00FD1BC3">
            <w:pPr>
              <w:spacing w:after="0"/>
              <w:jc w:val="right"/>
              <w:rPr>
                <w:sz w:val="20"/>
                <w:szCs w:val="20"/>
                <w:lang w:eastAsia="cs-CZ"/>
              </w:rPr>
            </w:pPr>
            <w:r w:rsidRPr="00FB6AE4">
              <w:rPr>
                <w:sz w:val="20"/>
                <w:szCs w:val="20"/>
                <w:lang w:eastAsia="cs-CZ"/>
              </w:rPr>
              <w:t>2 168 968</w:t>
            </w:r>
          </w:p>
        </w:tc>
      </w:tr>
      <w:tr w:rsidR="00FD1BC3" w14:paraId="56C069AC" w14:textId="77777777" w:rsidTr="00FD1BC3">
        <w:trPr>
          <w:trHeight w:val="141"/>
        </w:trPr>
        <w:tc>
          <w:tcPr>
            <w:tcW w:w="4309" w:type="dxa"/>
            <w:vAlign w:val="center"/>
            <w:hideMark/>
          </w:tcPr>
          <w:p w14:paraId="4F1AFFDF" w14:textId="77777777" w:rsidR="00DD54E5" w:rsidRPr="00FB6AE4" w:rsidRDefault="00DD54E5" w:rsidP="00FD1BC3">
            <w:pPr>
              <w:spacing w:after="0"/>
              <w:jc w:val="left"/>
              <w:rPr>
                <w:bCs/>
                <w:sz w:val="20"/>
                <w:szCs w:val="20"/>
                <w:lang w:eastAsia="cs-CZ"/>
              </w:rPr>
            </w:pPr>
            <w:r w:rsidRPr="00FB6AE4">
              <w:rPr>
                <w:bCs/>
                <w:sz w:val="20"/>
                <w:szCs w:val="20"/>
                <w:lang w:eastAsia="cs-CZ"/>
              </w:rPr>
              <w:t>Množství el. z FVE vykoupené dodavateli v MWh</w:t>
            </w:r>
          </w:p>
        </w:tc>
        <w:tc>
          <w:tcPr>
            <w:tcW w:w="1134" w:type="dxa"/>
            <w:noWrap/>
            <w:vAlign w:val="center"/>
            <w:hideMark/>
          </w:tcPr>
          <w:p w14:paraId="59D6DDE2" w14:textId="77777777" w:rsidR="00DD54E5" w:rsidRPr="00FB6AE4" w:rsidRDefault="00DD54E5" w:rsidP="00FD1BC3">
            <w:pPr>
              <w:spacing w:after="0"/>
              <w:jc w:val="right"/>
              <w:rPr>
                <w:sz w:val="20"/>
                <w:szCs w:val="20"/>
                <w:lang w:eastAsia="cs-CZ"/>
              </w:rPr>
            </w:pPr>
            <w:r w:rsidRPr="00FB6AE4">
              <w:rPr>
                <w:sz w:val="20"/>
                <w:szCs w:val="20"/>
                <w:lang w:eastAsia="cs-CZ"/>
              </w:rPr>
              <w:t>2 098 747</w:t>
            </w:r>
          </w:p>
        </w:tc>
        <w:tc>
          <w:tcPr>
            <w:tcW w:w="1134" w:type="dxa"/>
            <w:noWrap/>
            <w:vAlign w:val="center"/>
            <w:hideMark/>
          </w:tcPr>
          <w:p w14:paraId="230B1912" w14:textId="77777777" w:rsidR="00DD54E5" w:rsidRPr="00FB6AE4" w:rsidRDefault="00DD54E5" w:rsidP="00FD1BC3">
            <w:pPr>
              <w:spacing w:after="0"/>
              <w:jc w:val="right"/>
              <w:rPr>
                <w:sz w:val="20"/>
                <w:szCs w:val="20"/>
                <w:lang w:eastAsia="cs-CZ"/>
              </w:rPr>
            </w:pPr>
            <w:r w:rsidRPr="00FB6AE4">
              <w:rPr>
                <w:sz w:val="20"/>
                <w:szCs w:val="20"/>
                <w:lang w:eastAsia="cs-CZ"/>
              </w:rPr>
              <w:t>1 972 762</w:t>
            </w:r>
          </w:p>
        </w:tc>
        <w:tc>
          <w:tcPr>
            <w:tcW w:w="1134" w:type="dxa"/>
            <w:noWrap/>
            <w:vAlign w:val="center"/>
            <w:hideMark/>
          </w:tcPr>
          <w:p w14:paraId="7BCD8594" w14:textId="77777777" w:rsidR="00DD54E5" w:rsidRPr="00FB6AE4" w:rsidRDefault="00DD54E5" w:rsidP="00FD1BC3">
            <w:pPr>
              <w:spacing w:after="0"/>
              <w:jc w:val="right"/>
              <w:rPr>
                <w:sz w:val="20"/>
                <w:szCs w:val="20"/>
                <w:lang w:eastAsia="cs-CZ"/>
              </w:rPr>
            </w:pPr>
            <w:r w:rsidRPr="00FB6AE4">
              <w:rPr>
                <w:sz w:val="20"/>
                <w:szCs w:val="20"/>
                <w:lang w:eastAsia="cs-CZ"/>
              </w:rPr>
              <w:t>2 031 389</w:t>
            </w:r>
          </w:p>
        </w:tc>
        <w:tc>
          <w:tcPr>
            <w:tcW w:w="1134" w:type="dxa"/>
            <w:noWrap/>
            <w:vAlign w:val="center"/>
            <w:hideMark/>
          </w:tcPr>
          <w:p w14:paraId="168A67E5" w14:textId="77777777" w:rsidR="00DD54E5" w:rsidRPr="00FB6AE4" w:rsidRDefault="00DD54E5" w:rsidP="00FD1BC3">
            <w:pPr>
              <w:spacing w:after="0"/>
              <w:jc w:val="right"/>
              <w:rPr>
                <w:sz w:val="20"/>
                <w:szCs w:val="20"/>
                <w:lang w:eastAsia="cs-CZ"/>
              </w:rPr>
            </w:pPr>
            <w:r w:rsidRPr="00FB6AE4">
              <w:rPr>
                <w:sz w:val="20"/>
                <w:szCs w:val="20"/>
                <w:lang w:eastAsia="cs-CZ"/>
              </w:rPr>
              <w:t>2 168 968</w:t>
            </w:r>
          </w:p>
        </w:tc>
      </w:tr>
      <w:tr w:rsidR="00FD1BC3" w14:paraId="50B3D396" w14:textId="77777777" w:rsidTr="00FD1BC3">
        <w:trPr>
          <w:trHeight w:val="70"/>
        </w:trPr>
        <w:tc>
          <w:tcPr>
            <w:tcW w:w="4309" w:type="dxa"/>
            <w:noWrap/>
            <w:vAlign w:val="center"/>
            <w:hideMark/>
          </w:tcPr>
          <w:p w14:paraId="2EA2CF24" w14:textId="77777777" w:rsidR="00DD54E5" w:rsidRPr="00FB6AE4" w:rsidRDefault="00DD54E5" w:rsidP="00FD1BC3">
            <w:pPr>
              <w:spacing w:after="0"/>
              <w:jc w:val="left"/>
              <w:rPr>
                <w:bCs/>
                <w:sz w:val="20"/>
                <w:szCs w:val="20"/>
                <w:lang w:eastAsia="cs-CZ"/>
              </w:rPr>
            </w:pPr>
            <w:r w:rsidRPr="00FB6AE4">
              <w:rPr>
                <w:bCs/>
                <w:sz w:val="20"/>
                <w:szCs w:val="20"/>
                <w:lang w:eastAsia="cs-CZ"/>
              </w:rPr>
              <w:t>Výkupní cena el. z FVE v Kč/kWh</w:t>
            </w:r>
          </w:p>
        </w:tc>
        <w:tc>
          <w:tcPr>
            <w:tcW w:w="1134" w:type="dxa"/>
            <w:noWrap/>
            <w:vAlign w:val="center"/>
            <w:hideMark/>
          </w:tcPr>
          <w:p w14:paraId="36F161E2"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6544F1B7"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20F9F8C9"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30CA01CD" w14:textId="77777777" w:rsidR="00DD54E5" w:rsidRPr="00FB6AE4" w:rsidRDefault="00DD54E5" w:rsidP="00FD1BC3">
            <w:pPr>
              <w:spacing w:after="0"/>
              <w:jc w:val="right"/>
              <w:rPr>
                <w:sz w:val="20"/>
                <w:szCs w:val="20"/>
                <w:lang w:eastAsia="cs-CZ"/>
              </w:rPr>
            </w:pPr>
            <w:r w:rsidRPr="00FB6AE4">
              <w:rPr>
                <w:sz w:val="20"/>
                <w:szCs w:val="20"/>
                <w:lang w:eastAsia="cs-CZ"/>
              </w:rPr>
              <w:t>x</w:t>
            </w:r>
          </w:p>
        </w:tc>
      </w:tr>
      <w:tr w:rsidR="00FD1BC3" w14:paraId="7068ADE8" w14:textId="77777777" w:rsidTr="00FD1BC3">
        <w:trPr>
          <w:trHeight w:val="237"/>
        </w:trPr>
        <w:tc>
          <w:tcPr>
            <w:tcW w:w="4309" w:type="dxa"/>
            <w:noWrap/>
            <w:vAlign w:val="center"/>
            <w:hideMark/>
          </w:tcPr>
          <w:p w14:paraId="1DC91196" w14:textId="77777777" w:rsidR="00DD54E5" w:rsidRPr="00FB6AE4" w:rsidRDefault="00DD54E5" w:rsidP="00FD1BC3">
            <w:pPr>
              <w:spacing w:after="0"/>
              <w:jc w:val="left"/>
              <w:rPr>
                <w:bCs/>
                <w:sz w:val="20"/>
                <w:szCs w:val="20"/>
                <w:lang w:eastAsia="cs-CZ"/>
              </w:rPr>
            </w:pPr>
            <w:r w:rsidRPr="00FB6AE4">
              <w:rPr>
                <w:bCs/>
                <w:sz w:val="20"/>
                <w:szCs w:val="20"/>
                <w:lang w:eastAsia="cs-CZ"/>
              </w:rPr>
              <w:t>Uložená el. ve virtuální baterii v MWh</w:t>
            </w:r>
          </w:p>
        </w:tc>
        <w:tc>
          <w:tcPr>
            <w:tcW w:w="1134" w:type="dxa"/>
            <w:noWrap/>
            <w:vAlign w:val="center"/>
            <w:hideMark/>
          </w:tcPr>
          <w:p w14:paraId="45B47724"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374B7D24"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660C987B"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0C428EB0" w14:textId="77777777" w:rsidR="00DD54E5" w:rsidRPr="00FB6AE4" w:rsidRDefault="00DD54E5" w:rsidP="00FD1BC3">
            <w:pPr>
              <w:spacing w:after="0"/>
              <w:jc w:val="right"/>
              <w:rPr>
                <w:sz w:val="20"/>
                <w:szCs w:val="20"/>
                <w:lang w:eastAsia="cs-CZ"/>
              </w:rPr>
            </w:pPr>
            <w:r w:rsidRPr="00FB6AE4">
              <w:rPr>
                <w:sz w:val="20"/>
                <w:szCs w:val="20"/>
                <w:lang w:eastAsia="cs-CZ"/>
              </w:rPr>
              <w:t>x</w:t>
            </w:r>
          </w:p>
        </w:tc>
      </w:tr>
      <w:tr w:rsidR="00FD1BC3" w14:paraId="152EBBCF" w14:textId="77777777" w:rsidTr="00FD1BC3">
        <w:trPr>
          <w:trHeight w:val="70"/>
        </w:trPr>
        <w:tc>
          <w:tcPr>
            <w:tcW w:w="4309" w:type="dxa"/>
            <w:noWrap/>
            <w:vAlign w:val="center"/>
            <w:hideMark/>
          </w:tcPr>
          <w:p w14:paraId="7AE4916B" w14:textId="77777777" w:rsidR="00DD54E5" w:rsidRPr="00FB6AE4" w:rsidRDefault="00DD54E5" w:rsidP="00FD1BC3">
            <w:pPr>
              <w:spacing w:after="0"/>
              <w:jc w:val="left"/>
              <w:rPr>
                <w:bCs/>
                <w:sz w:val="20"/>
                <w:szCs w:val="20"/>
                <w:lang w:eastAsia="cs-CZ"/>
              </w:rPr>
            </w:pPr>
            <w:r w:rsidRPr="00FB6AE4">
              <w:rPr>
                <w:bCs/>
                <w:sz w:val="20"/>
                <w:szCs w:val="20"/>
                <w:lang w:eastAsia="cs-CZ"/>
              </w:rPr>
              <w:t>Pokuta za nepovolené přetoky do sítě</w:t>
            </w:r>
          </w:p>
        </w:tc>
        <w:tc>
          <w:tcPr>
            <w:tcW w:w="1134" w:type="dxa"/>
            <w:noWrap/>
            <w:vAlign w:val="center"/>
            <w:hideMark/>
          </w:tcPr>
          <w:p w14:paraId="2DABA4B1"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2CD9E6A7"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3E727207" w14:textId="77777777" w:rsidR="00DD54E5" w:rsidRPr="00FB6AE4" w:rsidRDefault="00DD54E5" w:rsidP="00FD1BC3">
            <w:pPr>
              <w:spacing w:after="0"/>
              <w:jc w:val="right"/>
              <w:rPr>
                <w:sz w:val="20"/>
                <w:szCs w:val="20"/>
                <w:lang w:eastAsia="cs-CZ"/>
              </w:rPr>
            </w:pPr>
            <w:r w:rsidRPr="00FB6AE4">
              <w:rPr>
                <w:sz w:val="20"/>
                <w:szCs w:val="20"/>
                <w:lang w:eastAsia="cs-CZ"/>
              </w:rPr>
              <w:t>x</w:t>
            </w:r>
          </w:p>
        </w:tc>
        <w:tc>
          <w:tcPr>
            <w:tcW w:w="1134" w:type="dxa"/>
            <w:noWrap/>
            <w:vAlign w:val="center"/>
            <w:hideMark/>
          </w:tcPr>
          <w:p w14:paraId="478D5CD2" w14:textId="77777777" w:rsidR="00DD54E5" w:rsidRPr="00FB6AE4" w:rsidRDefault="00DD54E5" w:rsidP="00FD1BC3">
            <w:pPr>
              <w:spacing w:after="0"/>
              <w:jc w:val="right"/>
              <w:rPr>
                <w:sz w:val="20"/>
                <w:szCs w:val="20"/>
                <w:lang w:eastAsia="cs-CZ"/>
              </w:rPr>
            </w:pPr>
            <w:r w:rsidRPr="00FB6AE4">
              <w:rPr>
                <w:sz w:val="20"/>
                <w:szCs w:val="20"/>
                <w:lang w:eastAsia="cs-CZ"/>
              </w:rPr>
              <w:t>x</w:t>
            </w:r>
          </w:p>
        </w:tc>
      </w:tr>
    </w:tbl>
    <w:p w14:paraId="3CE7ADAB" w14:textId="3FC5651D" w:rsidR="00DD54E5" w:rsidRPr="00535D19" w:rsidRDefault="00DD54E5" w:rsidP="00DC40B9">
      <w:pPr>
        <w:spacing w:before="40" w:after="0"/>
        <w:ind w:left="567" w:hanging="567"/>
        <w:rPr>
          <w:sz w:val="20"/>
          <w:szCs w:val="20"/>
          <w:lang w:eastAsia="cs-CZ"/>
        </w:rPr>
      </w:pPr>
      <w:r w:rsidRPr="00507051">
        <w:rPr>
          <w:b/>
          <w:sz w:val="20"/>
          <w:szCs w:val="20"/>
          <w:lang w:eastAsia="cs-CZ"/>
        </w:rPr>
        <w:t>Zdroj:</w:t>
      </w:r>
      <w:r w:rsidRPr="00535D19">
        <w:rPr>
          <w:sz w:val="20"/>
          <w:szCs w:val="20"/>
          <w:lang w:eastAsia="cs-CZ"/>
        </w:rPr>
        <w:t xml:space="preserve"> </w:t>
      </w:r>
      <w:r w:rsidR="00FD1BC3">
        <w:rPr>
          <w:sz w:val="20"/>
          <w:szCs w:val="20"/>
          <w:lang w:eastAsia="cs-CZ"/>
        </w:rPr>
        <w:tab/>
      </w:r>
      <w:r w:rsidRPr="00535D19">
        <w:rPr>
          <w:sz w:val="20"/>
          <w:szCs w:val="20"/>
          <w:lang w:eastAsia="cs-CZ"/>
        </w:rPr>
        <w:t>OTE</w:t>
      </w:r>
      <w:r>
        <w:rPr>
          <w:sz w:val="20"/>
          <w:szCs w:val="20"/>
          <w:lang w:eastAsia="cs-CZ"/>
        </w:rPr>
        <w:t>, a.s.</w:t>
      </w:r>
      <w:r w:rsidRPr="00535D19">
        <w:rPr>
          <w:sz w:val="20"/>
          <w:szCs w:val="20"/>
          <w:lang w:eastAsia="cs-CZ"/>
        </w:rPr>
        <w:t xml:space="preserve"> V tabulce je uveden počet subjektů (IČ) s výrobou elektřiny z fotovoltaických zdrojů. Přetoky do sítě jsou hodnotami ze zadaných výkazů. Vykoupené množství elektřiny je rovno hodnotě dodávky elektřiny do sítě. Většina výrobců má uzavřenou smlouvou s obchodníkem s elektřinou. Cena, za kterou obchodník od výrobce elektřinu vykupuje, je předmětem jejich obchodního vztahu. OTE</w:t>
      </w:r>
      <w:r>
        <w:rPr>
          <w:sz w:val="20"/>
          <w:szCs w:val="20"/>
          <w:lang w:eastAsia="cs-CZ"/>
        </w:rPr>
        <w:t xml:space="preserve">, a.s., </w:t>
      </w:r>
      <w:r w:rsidRPr="00535D19">
        <w:rPr>
          <w:sz w:val="20"/>
          <w:szCs w:val="20"/>
          <w:lang w:eastAsia="cs-CZ"/>
        </w:rPr>
        <w:t>tyto informace k dispozici nemá.</w:t>
      </w:r>
    </w:p>
    <w:p w14:paraId="1EFE5F2D" w14:textId="77777777" w:rsidR="00DC40B9" w:rsidRPr="005D08F9" w:rsidRDefault="00DC40B9" w:rsidP="00DC40B9">
      <w:pPr>
        <w:spacing w:after="0"/>
        <w:ind w:left="567" w:hanging="567"/>
        <w:rPr>
          <w:sz w:val="20"/>
          <w:szCs w:val="20"/>
          <w:lang w:eastAsia="cs-CZ"/>
        </w:rPr>
      </w:pPr>
    </w:p>
    <w:p w14:paraId="1F9603F6" w14:textId="77777777" w:rsidR="00DD54E5" w:rsidRPr="00FD1BC3" w:rsidRDefault="007878C3" w:rsidP="007878C3">
      <w:pPr>
        <w:pStyle w:val="Tabulka"/>
        <w:numPr>
          <w:ilvl w:val="0"/>
          <w:numId w:val="0"/>
        </w:numPr>
        <w:spacing w:after="40"/>
        <w:ind w:left="1418" w:hanging="1418"/>
        <w:rPr>
          <w:rFonts w:cs="Calibri"/>
          <w:szCs w:val="20"/>
          <w:lang w:eastAsia="cs-CZ"/>
        </w:rPr>
      </w:pPr>
      <w:r>
        <w:rPr>
          <w:rFonts w:cs="Calibri"/>
          <w:szCs w:val="20"/>
          <w:lang w:eastAsia="cs-CZ"/>
        </w:rPr>
        <w:t xml:space="preserve">Tabulka č. 11: </w:t>
      </w:r>
      <w:r w:rsidR="00DD54E5" w:rsidRPr="00FD1BC3">
        <w:rPr>
          <w:rFonts w:cs="Calibri"/>
          <w:szCs w:val="20"/>
          <w:lang w:eastAsia="cs-CZ"/>
        </w:rPr>
        <w:t>Přehled fotovoltaických elektráren dle jejich výkonu a počet výrobních zdrojů FVE</w:t>
      </w:r>
    </w:p>
    <w:tbl>
      <w:tblPr>
        <w:tblStyle w:val="Mkatabulky"/>
        <w:tblW w:w="9068" w:type="dxa"/>
        <w:tblLayout w:type="fixed"/>
        <w:tblLook w:val="04A0" w:firstRow="1" w:lastRow="0" w:firstColumn="1" w:lastColumn="0" w:noHBand="0" w:noVBand="1"/>
      </w:tblPr>
      <w:tblGrid>
        <w:gridCol w:w="2268"/>
        <w:gridCol w:w="850"/>
        <w:gridCol w:w="850"/>
        <w:gridCol w:w="850"/>
        <w:gridCol w:w="850"/>
        <w:gridCol w:w="850"/>
        <w:gridCol w:w="850"/>
        <w:gridCol w:w="850"/>
        <w:gridCol w:w="850"/>
      </w:tblGrid>
      <w:tr w:rsidR="007878C3" w:rsidRPr="00FD1BC3" w14:paraId="460C047F" w14:textId="77777777" w:rsidTr="00C153D7">
        <w:trPr>
          <w:trHeight w:val="227"/>
        </w:trPr>
        <w:tc>
          <w:tcPr>
            <w:tcW w:w="2268" w:type="dxa"/>
            <w:vMerge w:val="restart"/>
            <w:shd w:val="clear" w:color="auto" w:fill="E5F1FF"/>
            <w:vAlign w:val="center"/>
          </w:tcPr>
          <w:p w14:paraId="5922BA33" w14:textId="77777777" w:rsidR="007878C3" w:rsidRPr="00FD1BC3" w:rsidRDefault="007878C3" w:rsidP="007878C3">
            <w:pPr>
              <w:keepNext/>
              <w:spacing w:after="0"/>
              <w:ind w:left="-57"/>
              <w:jc w:val="center"/>
              <w:rPr>
                <w:rFonts w:cs="Calibri"/>
                <w:b/>
                <w:bCs/>
                <w:sz w:val="20"/>
                <w:szCs w:val="20"/>
                <w:lang w:eastAsia="cs-CZ"/>
              </w:rPr>
            </w:pPr>
            <w:r>
              <w:rPr>
                <w:rFonts w:cs="Calibri"/>
                <w:b/>
                <w:bCs/>
                <w:sz w:val="20"/>
                <w:szCs w:val="20"/>
                <w:lang w:eastAsia="cs-CZ"/>
              </w:rPr>
              <w:t>FVE 2015-2018</w:t>
            </w:r>
          </w:p>
        </w:tc>
        <w:tc>
          <w:tcPr>
            <w:tcW w:w="3400" w:type="dxa"/>
            <w:gridSpan w:val="4"/>
            <w:shd w:val="clear" w:color="auto" w:fill="E5F1FF"/>
            <w:noWrap/>
            <w:vAlign w:val="center"/>
          </w:tcPr>
          <w:p w14:paraId="244E1B75" w14:textId="77777777" w:rsidR="007878C3" w:rsidRPr="00FD1BC3" w:rsidRDefault="007878C3" w:rsidP="00FD1BC3">
            <w:pPr>
              <w:keepNext/>
              <w:spacing w:after="0"/>
              <w:jc w:val="center"/>
              <w:rPr>
                <w:rFonts w:cs="Calibri"/>
                <w:b/>
                <w:bCs/>
                <w:sz w:val="20"/>
                <w:szCs w:val="20"/>
                <w:lang w:eastAsia="cs-CZ"/>
              </w:rPr>
            </w:pPr>
            <w:r>
              <w:rPr>
                <w:rFonts w:cs="Calibri"/>
                <w:b/>
                <w:bCs/>
                <w:sz w:val="20"/>
                <w:szCs w:val="20"/>
                <w:lang w:eastAsia="cs-CZ"/>
              </w:rPr>
              <w:t>Celkový instalovaný výkon (MW)</w:t>
            </w:r>
          </w:p>
        </w:tc>
        <w:tc>
          <w:tcPr>
            <w:tcW w:w="3400" w:type="dxa"/>
            <w:gridSpan w:val="4"/>
            <w:shd w:val="clear" w:color="auto" w:fill="E5F1FF"/>
            <w:noWrap/>
            <w:vAlign w:val="center"/>
          </w:tcPr>
          <w:p w14:paraId="638024AE" w14:textId="77777777" w:rsidR="007878C3" w:rsidRPr="00FD1BC3" w:rsidRDefault="007878C3" w:rsidP="00FD1BC3">
            <w:pPr>
              <w:keepNext/>
              <w:spacing w:after="0"/>
              <w:jc w:val="center"/>
              <w:rPr>
                <w:rFonts w:cs="Calibri"/>
                <w:b/>
                <w:bCs/>
                <w:sz w:val="20"/>
                <w:szCs w:val="20"/>
                <w:lang w:eastAsia="cs-CZ"/>
              </w:rPr>
            </w:pPr>
            <w:r>
              <w:rPr>
                <w:rFonts w:cs="Calibri"/>
                <w:b/>
                <w:bCs/>
                <w:sz w:val="20"/>
                <w:szCs w:val="20"/>
                <w:lang w:eastAsia="cs-CZ"/>
              </w:rPr>
              <w:t>Počet zdrojů FVE</w:t>
            </w:r>
          </w:p>
        </w:tc>
      </w:tr>
      <w:tr w:rsidR="00C153D7" w:rsidRPr="00FD1BC3" w14:paraId="72810E73" w14:textId="77777777" w:rsidTr="007878C3">
        <w:trPr>
          <w:trHeight w:val="227"/>
        </w:trPr>
        <w:tc>
          <w:tcPr>
            <w:tcW w:w="2268" w:type="dxa"/>
            <w:vMerge/>
            <w:shd w:val="clear" w:color="auto" w:fill="E5F1FF"/>
            <w:vAlign w:val="center"/>
            <w:hideMark/>
          </w:tcPr>
          <w:p w14:paraId="56155B72" w14:textId="77777777" w:rsidR="00DD54E5" w:rsidRPr="00FD1BC3" w:rsidRDefault="00DD54E5" w:rsidP="007878C3">
            <w:pPr>
              <w:keepNext/>
              <w:spacing w:after="0"/>
              <w:ind w:left="-57"/>
              <w:jc w:val="center"/>
              <w:rPr>
                <w:rFonts w:cs="Calibri"/>
                <w:b/>
                <w:bCs/>
                <w:sz w:val="20"/>
                <w:szCs w:val="20"/>
                <w:lang w:eastAsia="cs-CZ"/>
              </w:rPr>
            </w:pPr>
          </w:p>
        </w:tc>
        <w:tc>
          <w:tcPr>
            <w:tcW w:w="850" w:type="dxa"/>
            <w:shd w:val="clear" w:color="auto" w:fill="E5F1FF"/>
            <w:noWrap/>
            <w:vAlign w:val="center"/>
            <w:hideMark/>
          </w:tcPr>
          <w:p w14:paraId="0C62000E"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2015</w:t>
            </w:r>
          </w:p>
        </w:tc>
        <w:tc>
          <w:tcPr>
            <w:tcW w:w="850" w:type="dxa"/>
            <w:shd w:val="clear" w:color="auto" w:fill="E5F1FF"/>
            <w:noWrap/>
            <w:vAlign w:val="center"/>
            <w:hideMark/>
          </w:tcPr>
          <w:p w14:paraId="26A8D22F"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2016</w:t>
            </w:r>
          </w:p>
        </w:tc>
        <w:tc>
          <w:tcPr>
            <w:tcW w:w="850" w:type="dxa"/>
            <w:shd w:val="clear" w:color="auto" w:fill="E5F1FF"/>
            <w:noWrap/>
            <w:vAlign w:val="center"/>
            <w:hideMark/>
          </w:tcPr>
          <w:p w14:paraId="35941849"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2017</w:t>
            </w:r>
          </w:p>
        </w:tc>
        <w:tc>
          <w:tcPr>
            <w:tcW w:w="850" w:type="dxa"/>
            <w:shd w:val="clear" w:color="auto" w:fill="E5F1FF"/>
            <w:noWrap/>
            <w:vAlign w:val="center"/>
            <w:hideMark/>
          </w:tcPr>
          <w:p w14:paraId="0D747FBD"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2018</w:t>
            </w:r>
          </w:p>
        </w:tc>
        <w:tc>
          <w:tcPr>
            <w:tcW w:w="850" w:type="dxa"/>
            <w:shd w:val="clear" w:color="auto" w:fill="E5F1FF"/>
            <w:noWrap/>
            <w:vAlign w:val="center"/>
            <w:hideMark/>
          </w:tcPr>
          <w:p w14:paraId="4955399F"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2015</w:t>
            </w:r>
          </w:p>
        </w:tc>
        <w:tc>
          <w:tcPr>
            <w:tcW w:w="850" w:type="dxa"/>
            <w:shd w:val="clear" w:color="auto" w:fill="E5F1FF"/>
            <w:noWrap/>
            <w:vAlign w:val="center"/>
            <w:hideMark/>
          </w:tcPr>
          <w:p w14:paraId="659058EF"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2016</w:t>
            </w:r>
          </w:p>
        </w:tc>
        <w:tc>
          <w:tcPr>
            <w:tcW w:w="850" w:type="dxa"/>
            <w:shd w:val="clear" w:color="auto" w:fill="E5F1FF"/>
            <w:noWrap/>
            <w:vAlign w:val="center"/>
            <w:hideMark/>
          </w:tcPr>
          <w:p w14:paraId="6DB0B04C"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2017</w:t>
            </w:r>
          </w:p>
        </w:tc>
        <w:tc>
          <w:tcPr>
            <w:tcW w:w="850" w:type="dxa"/>
            <w:shd w:val="clear" w:color="auto" w:fill="E5F1FF"/>
            <w:noWrap/>
            <w:vAlign w:val="center"/>
            <w:hideMark/>
          </w:tcPr>
          <w:p w14:paraId="2E684DE5" w14:textId="77777777" w:rsidR="00DD54E5" w:rsidRPr="00FD1BC3" w:rsidRDefault="00DD54E5" w:rsidP="00FD1BC3">
            <w:pPr>
              <w:keepNext/>
              <w:spacing w:after="0"/>
              <w:jc w:val="center"/>
              <w:rPr>
                <w:rFonts w:cs="Calibri"/>
                <w:b/>
                <w:bCs/>
                <w:sz w:val="20"/>
                <w:szCs w:val="20"/>
                <w:lang w:eastAsia="cs-CZ"/>
              </w:rPr>
            </w:pPr>
            <w:r w:rsidRPr="00FD1BC3">
              <w:rPr>
                <w:rFonts w:cs="Calibri"/>
                <w:b/>
                <w:bCs/>
                <w:sz w:val="20"/>
                <w:szCs w:val="20"/>
                <w:lang w:eastAsia="cs-CZ"/>
              </w:rPr>
              <w:t>2018</w:t>
            </w:r>
          </w:p>
        </w:tc>
      </w:tr>
      <w:tr w:rsidR="00C153D7" w:rsidRPr="00FD1BC3" w14:paraId="791127DF" w14:textId="77777777" w:rsidTr="007878C3">
        <w:trPr>
          <w:trHeight w:val="227"/>
        </w:trPr>
        <w:tc>
          <w:tcPr>
            <w:tcW w:w="2268" w:type="dxa"/>
            <w:noWrap/>
            <w:vAlign w:val="center"/>
            <w:hideMark/>
          </w:tcPr>
          <w:p w14:paraId="5C143DD3"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Do 10 kW včetně</w:t>
            </w:r>
          </w:p>
        </w:tc>
        <w:tc>
          <w:tcPr>
            <w:tcW w:w="850" w:type="dxa"/>
            <w:noWrap/>
            <w:vAlign w:val="center"/>
            <w:hideMark/>
          </w:tcPr>
          <w:p w14:paraId="0F949ECC"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100,4</w:t>
            </w:r>
          </w:p>
        </w:tc>
        <w:tc>
          <w:tcPr>
            <w:tcW w:w="850" w:type="dxa"/>
            <w:noWrap/>
            <w:vAlign w:val="center"/>
            <w:hideMark/>
          </w:tcPr>
          <w:p w14:paraId="539CB51A"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100,6</w:t>
            </w:r>
          </w:p>
        </w:tc>
        <w:tc>
          <w:tcPr>
            <w:tcW w:w="850" w:type="dxa"/>
            <w:noWrap/>
            <w:vAlign w:val="center"/>
            <w:hideMark/>
          </w:tcPr>
          <w:p w14:paraId="3DDC7ABD"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100,6</w:t>
            </w:r>
          </w:p>
        </w:tc>
        <w:tc>
          <w:tcPr>
            <w:tcW w:w="850" w:type="dxa"/>
            <w:noWrap/>
            <w:vAlign w:val="center"/>
            <w:hideMark/>
          </w:tcPr>
          <w:p w14:paraId="4E5D8BC3"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100,8</w:t>
            </w:r>
          </w:p>
        </w:tc>
        <w:tc>
          <w:tcPr>
            <w:tcW w:w="850" w:type="dxa"/>
            <w:noWrap/>
            <w:vAlign w:val="center"/>
            <w:hideMark/>
          </w:tcPr>
          <w:p w14:paraId="75C78F47"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18 675</w:t>
            </w:r>
          </w:p>
        </w:tc>
        <w:tc>
          <w:tcPr>
            <w:tcW w:w="850" w:type="dxa"/>
            <w:noWrap/>
            <w:vAlign w:val="center"/>
            <w:hideMark/>
          </w:tcPr>
          <w:p w14:paraId="03D0960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18 712</w:t>
            </w:r>
          </w:p>
        </w:tc>
        <w:tc>
          <w:tcPr>
            <w:tcW w:w="850" w:type="dxa"/>
            <w:noWrap/>
            <w:vAlign w:val="center"/>
            <w:hideMark/>
          </w:tcPr>
          <w:p w14:paraId="74182823"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18 714</w:t>
            </w:r>
          </w:p>
        </w:tc>
        <w:tc>
          <w:tcPr>
            <w:tcW w:w="850" w:type="dxa"/>
            <w:noWrap/>
            <w:vAlign w:val="center"/>
            <w:hideMark/>
          </w:tcPr>
          <w:p w14:paraId="5DC8BD40"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18 732</w:t>
            </w:r>
          </w:p>
        </w:tc>
      </w:tr>
      <w:tr w:rsidR="00C153D7" w:rsidRPr="00FD1BC3" w14:paraId="0CB49800" w14:textId="77777777" w:rsidTr="007878C3">
        <w:trPr>
          <w:trHeight w:val="227"/>
        </w:trPr>
        <w:tc>
          <w:tcPr>
            <w:tcW w:w="2268" w:type="dxa"/>
            <w:noWrap/>
            <w:vAlign w:val="center"/>
            <w:hideMark/>
          </w:tcPr>
          <w:p w14:paraId="22339E3C"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Nad 10 do 30 kW včetně</w:t>
            </w:r>
          </w:p>
        </w:tc>
        <w:tc>
          <w:tcPr>
            <w:tcW w:w="850" w:type="dxa"/>
            <w:noWrap/>
            <w:vAlign w:val="center"/>
            <w:hideMark/>
          </w:tcPr>
          <w:p w14:paraId="314A1FF7"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151,0</w:t>
            </w:r>
          </w:p>
        </w:tc>
        <w:tc>
          <w:tcPr>
            <w:tcW w:w="850" w:type="dxa"/>
            <w:noWrap/>
            <w:vAlign w:val="center"/>
            <w:hideMark/>
          </w:tcPr>
          <w:p w14:paraId="03B91B1B"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151,5</w:t>
            </w:r>
          </w:p>
        </w:tc>
        <w:tc>
          <w:tcPr>
            <w:tcW w:w="850" w:type="dxa"/>
            <w:noWrap/>
            <w:vAlign w:val="center"/>
            <w:hideMark/>
          </w:tcPr>
          <w:p w14:paraId="6F517C2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151,8</w:t>
            </w:r>
          </w:p>
        </w:tc>
        <w:tc>
          <w:tcPr>
            <w:tcW w:w="850" w:type="dxa"/>
            <w:noWrap/>
            <w:vAlign w:val="center"/>
            <w:hideMark/>
          </w:tcPr>
          <w:p w14:paraId="2414B77E"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152,1</w:t>
            </w:r>
          </w:p>
        </w:tc>
        <w:tc>
          <w:tcPr>
            <w:tcW w:w="850" w:type="dxa"/>
            <w:noWrap/>
            <w:vAlign w:val="center"/>
            <w:hideMark/>
          </w:tcPr>
          <w:p w14:paraId="49D00FA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7 314</w:t>
            </w:r>
          </w:p>
        </w:tc>
        <w:tc>
          <w:tcPr>
            <w:tcW w:w="850" w:type="dxa"/>
            <w:noWrap/>
            <w:vAlign w:val="center"/>
            <w:hideMark/>
          </w:tcPr>
          <w:p w14:paraId="4DF539F5"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7 341</w:t>
            </w:r>
          </w:p>
        </w:tc>
        <w:tc>
          <w:tcPr>
            <w:tcW w:w="850" w:type="dxa"/>
            <w:noWrap/>
            <w:vAlign w:val="center"/>
            <w:hideMark/>
          </w:tcPr>
          <w:p w14:paraId="53BD3FFF"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7 360</w:t>
            </w:r>
          </w:p>
        </w:tc>
        <w:tc>
          <w:tcPr>
            <w:tcW w:w="850" w:type="dxa"/>
            <w:noWrap/>
            <w:vAlign w:val="center"/>
            <w:hideMark/>
          </w:tcPr>
          <w:p w14:paraId="1E4D0B3B"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7 377</w:t>
            </w:r>
          </w:p>
        </w:tc>
      </w:tr>
      <w:tr w:rsidR="00C153D7" w:rsidRPr="00FD1BC3" w14:paraId="2CA571F2" w14:textId="77777777" w:rsidTr="007878C3">
        <w:trPr>
          <w:trHeight w:val="227"/>
        </w:trPr>
        <w:tc>
          <w:tcPr>
            <w:tcW w:w="2268" w:type="dxa"/>
            <w:noWrap/>
            <w:vAlign w:val="center"/>
            <w:hideMark/>
          </w:tcPr>
          <w:p w14:paraId="0737E902"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Nad 30 kW do 100 kW vč.</w:t>
            </w:r>
          </w:p>
        </w:tc>
        <w:tc>
          <w:tcPr>
            <w:tcW w:w="850" w:type="dxa"/>
            <w:noWrap/>
            <w:vAlign w:val="center"/>
            <w:hideMark/>
          </w:tcPr>
          <w:p w14:paraId="06F29D44"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54,0</w:t>
            </w:r>
          </w:p>
        </w:tc>
        <w:tc>
          <w:tcPr>
            <w:tcW w:w="850" w:type="dxa"/>
            <w:noWrap/>
            <w:vAlign w:val="center"/>
            <w:hideMark/>
          </w:tcPr>
          <w:p w14:paraId="2487DB4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54,3</w:t>
            </w:r>
          </w:p>
        </w:tc>
        <w:tc>
          <w:tcPr>
            <w:tcW w:w="850" w:type="dxa"/>
            <w:noWrap/>
            <w:vAlign w:val="center"/>
            <w:hideMark/>
          </w:tcPr>
          <w:p w14:paraId="0AF3CE4C"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54,6</w:t>
            </w:r>
          </w:p>
        </w:tc>
        <w:tc>
          <w:tcPr>
            <w:tcW w:w="850" w:type="dxa"/>
            <w:noWrap/>
            <w:vAlign w:val="center"/>
            <w:hideMark/>
          </w:tcPr>
          <w:p w14:paraId="463DE01F"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55,2</w:t>
            </w:r>
          </w:p>
        </w:tc>
        <w:tc>
          <w:tcPr>
            <w:tcW w:w="850" w:type="dxa"/>
            <w:noWrap/>
            <w:vAlign w:val="center"/>
            <w:hideMark/>
          </w:tcPr>
          <w:p w14:paraId="4ECBED09"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872</w:t>
            </w:r>
          </w:p>
        </w:tc>
        <w:tc>
          <w:tcPr>
            <w:tcW w:w="850" w:type="dxa"/>
            <w:noWrap/>
            <w:vAlign w:val="center"/>
            <w:hideMark/>
          </w:tcPr>
          <w:p w14:paraId="00516211"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879</w:t>
            </w:r>
          </w:p>
        </w:tc>
        <w:tc>
          <w:tcPr>
            <w:tcW w:w="850" w:type="dxa"/>
            <w:noWrap/>
            <w:vAlign w:val="center"/>
            <w:hideMark/>
          </w:tcPr>
          <w:p w14:paraId="4D2BD9F3"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885</w:t>
            </w:r>
          </w:p>
        </w:tc>
        <w:tc>
          <w:tcPr>
            <w:tcW w:w="850" w:type="dxa"/>
            <w:noWrap/>
            <w:vAlign w:val="center"/>
            <w:hideMark/>
          </w:tcPr>
          <w:p w14:paraId="26552CD3"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897</w:t>
            </w:r>
          </w:p>
        </w:tc>
      </w:tr>
      <w:tr w:rsidR="00C153D7" w:rsidRPr="00FD1BC3" w14:paraId="0A7DDCF5" w14:textId="77777777" w:rsidTr="007878C3">
        <w:trPr>
          <w:trHeight w:val="227"/>
        </w:trPr>
        <w:tc>
          <w:tcPr>
            <w:tcW w:w="2268" w:type="dxa"/>
            <w:noWrap/>
            <w:vAlign w:val="center"/>
            <w:hideMark/>
          </w:tcPr>
          <w:p w14:paraId="62111BD7"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Nad 100 kW do 1 MW vč.</w:t>
            </w:r>
          </w:p>
        </w:tc>
        <w:tc>
          <w:tcPr>
            <w:tcW w:w="850" w:type="dxa"/>
            <w:noWrap/>
            <w:vAlign w:val="center"/>
            <w:hideMark/>
          </w:tcPr>
          <w:p w14:paraId="4565F985"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463,2</w:t>
            </w:r>
          </w:p>
        </w:tc>
        <w:tc>
          <w:tcPr>
            <w:tcW w:w="850" w:type="dxa"/>
            <w:noWrap/>
            <w:vAlign w:val="center"/>
            <w:hideMark/>
          </w:tcPr>
          <w:p w14:paraId="74224B2A"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465,3</w:t>
            </w:r>
          </w:p>
        </w:tc>
        <w:tc>
          <w:tcPr>
            <w:tcW w:w="850" w:type="dxa"/>
            <w:noWrap/>
            <w:vAlign w:val="center"/>
            <w:hideMark/>
          </w:tcPr>
          <w:p w14:paraId="62AA8104"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465,6</w:t>
            </w:r>
          </w:p>
        </w:tc>
        <w:tc>
          <w:tcPr>
            <w:tcW w:w="850" w:type="dxa"/>
            <w:noWrap/>
            <w:vAlign w:val="center"/>
            <w:hideMark/>
          </w:tcPr>
          <w:p w14:paraId="422472E9"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465,0</w:t>
            </w:r>
          </w:p>
        </w:tc>
        <w:tc>
          <w:tcPr>
            <w:tcW w:w="850" w:type="dxa"/>
            <w:noWrap/>
            <w:vAlign w:val="center"/>
            <w:hideMark/>
          </w:tcPr>
          <w:p w14:paraId="0B59232C"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1 080</w:t>
            </w:r>
          </w:p>
        </w:tc>
        <w:tc>
          <w:tcPr>
            <w:tcW w:w="850" w:type="dxa"/>
            <w:noWrap/>
            <w:vAlign w:val="center"/>
            <w:hideMark/>
          </w:tcPr>
          <w:p w14:paraId="75A7103E"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1 083</w:t>
            </w:r>
          </w:p>
        </w:tc>
        <w:tc>
          <w:tcPr>
            <w:tcW w:w="850" w:type="dxa"/>
            <w:noWrap/>
            <w:vAlign w:val="center"/>
            <w:hideMark/>
          </w:tcPr>
          <w:p w14:paraId="252722BF"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1 084</w:t>
            </w:r>
          </w:p>
        </w:tc>
        <w:tc>
          <w:tcPr>
            <w:tcW w:w="850" w:type="dxa"/>
            <w:noWrap/>
            <w:vAlign w:val="center"/>
            <w:hideMark/>
          </w:tcPr>
          <w:p w14:paraId="696CB58D"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1 079</w:t>
            </w:r>
          </w:p>
        </w:tc>
      </w:tr>
      <w:tr w:rsidR="00C153D7" w:rsidRPr="00FD1BC3" w14:paraId="56463F18" w14:textId="77777777" w:rsidTr="007878C3">
        <w:trPr>
          <w:trHeight w:val="227"/>
        </w:trPr>
        <w:tc>
          <w:tcPr>
            <w:tcW w:w="2268" w:type="dxa"/>
            <w:noWrap/>
            <w:vAlign w:val="center"/>
            <w:hideMark/>
          </w:tcPr>
          <w:p w14:paraId="19926AB7"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Nad 1 do 5 MW včetně</w:t>
            </w:r>
          </w:p>
        </w:tc>
        <w:tc>
          <w:tcPr>
            <w:tcW w:w="850" w:type="dxa"/>
            <w:noWrap/>
            <w:vAlign w:val="center"/>
            <w:hideMark/>
          </w:tcPr>
          <w:p w14:paraId="21149B71"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1 006,4</w:t>
            </w:r>
          </w:p>
        </w:tc>
        <w:tc>
          <w:tcPr>
            <w:tcW w:w="850" w:type="dxa"/>
            <w:noWrap/>
            <w:vAlign w:val="center"/>
            <w:hideMark/>
          </w:tcPr>
          <w:p w14:paraId="2E9BF0EE"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1 004,2</w:t>
            </w:r>
          </w:p>
        </w:tc>
        <w:tc>
          <w:tcPr>
            <w:tcW w:w="850" w:type="dxa"/>
            <w:noWrap/>
            <w:vAlign w:val="center"/>
            <w:hideMark/>
          </w:tcPr>
          <w:p w14:paraId="2F769AC0"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1 001,3</w:t>
            </w:r>
          </w:p>
        </w:tc>
        <w:tc>
          <w:tcPr>
            <w:tcW w:w="850" w:type="dxa"/>
            <w:noWrap/>
            <w:vAlign w:val="center"/>
            <w:hideMark/>
          </w:tcPr>
          <w:p w14:paraId="741B8BBE"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999,2</w:t>
            </w:r>
          </w:p>
        </w:tc>
        <w:tc>
          <w:tcPr>
            <w:tcW w:w="850" w:type="dxa"/>
            <w:noWrap/>
            <w:vAlign w:val="center"/>
            <w:hideMark/>
          </w:tcPr>
          <w:p w14:paraId="5FCCE99D"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455</w:t>
            </w:r>
          </w:p>
        </w:tc>
        <w:tc>
          <w:tcPr>
            <w:tcW w:w="850" w:type="dxa"/>
            <w:noWrap/>
            <w:vAlign w:val="center"/>
            <w:hideMark/>
          </w:tcPr>
          <w:p w14:paraId="532B13F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456</w:t>
            </w:r>
          </w:p>
        </w:tc>
        <w:tc>
          <w:tcPr>
            <w:tcW w:w="850" w:type="dxa"/>
            <w:noWrap/>
            <w:vAlign w:val="center"/>
            <w:hideMark/>
          </w:tcPr>
          <w:p w14:paraId="36A99BBC"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455</w:t>
            </w:r>
          </w:p>
        </w:tc>
        <w:tc>
          <w:tcPr>
            <w:tcW w:w="850" w:type="dxa"/>
            <w:noWrap/>
            <w:vAlign w:val="center"/>
            <w:hideMark/>
          </w:tcPr>
          <w:p w14:paraId="23C84D32"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453</w:t>
            </w:r>
          </w:p>
        </w:tc>
      </w:tr>
      <w:tr w:rsidR="00C153D7" w:rsidRPr="00FD1BC3" w14:paraId="301B1EEF" w14:textId="77777777" w:rsidTr="007878C3">
        <w:trPr>
          <w:trHeight w:val="227"/>
        </w:trPr>
        <w:tc>
          <w:tcPr>
            <w:tcW w:w="2268" w:type="dxa"/>
            <w:noWrap/>
            <w:vAlign w:val="center"/>
            <w:hideMark/>
          </w:tcPr>
          <w:p w14:paraId="5FEF63F1"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Nad 5 MW</w:t>
            </w:r>
          </w:p>
        </w:tc>
        <w:tc>
          <w:tcPr>
            <w:tcW w:w="850" w:type="dxa"/>
            <w:noWrap/>
            <w:vAlign w:val="center"/>
            <w:hideMark/>
          </w:tcPr>
          <w:p w14:paraId="7DDA07C9"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307,2</w:t>
            </w:r>
          </w:p>
        </w:tc>
        <w:tc>
          <w:tcPr>
            <w:tcW w:w="850" w:type="dxa"/>
            <w:noWrap/>
            <w:vAlign w:val="center"/>
            <w:hideMark/>
          </w:tcPr>
          <w:p w14:paraId="3069B829"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307,2</w:t>
            </w:r>
          </w:p>
        </w:tc>
        <w:tc>
          <w:tcPr>
            <w:tcW w:w="850" w:type="dxa"/>
            <w:noWrap/>
            <w:vAlign w:val="center"/>
            <w:hideMark/>
          </w:tcPr>
          <w:p w14:paraId="62CAC666"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312,8</w:t>
            </w:r>
          </w:p>
        </w:tc>
        <w:tc>
          <w:tcPr>
            <w:tcW w:w="850" w:type="dxa"/>
            <w:noWrap/>
            <w:vAlign w:val="center"/>
            <w:hideMark/>
          </w:tcPr>
          <w:p w14:paraId="182A182A"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299,8</w:t>
            </w:r>
          </w:p>
        </w:tc>
        <w:tc>
          <w:tcPr>
            <w:tcW w:w="850" w:type="dxa"/>
            <w:noWrap/>
            <w:vAlign w:val="center"/>
            <w:hideMark/>
          </w:tcPr>
          <w:p w14:paraId="21EDC652"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30</w:t>
            </w:r>
          </w:p>
        </w:tc>
        <w:tc>
          <w:tcPr>
            <w:tcW w:w="850" w:type="dxa"/>
            <w:noWrap/>
            <w:vAlign w:val="center"/>
            <w:hideMark/>
          </w:tcPr>
          <w:p w14:paraId="39DE0112"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30</w:t>
            </w:r>
          </w:p>
        </w:tc>
        <w:tc>
          <w:tcPr>
            <w:tcW w:w="850" w:type="dxa"/>
            <w:noWrap/>
            <w:vAlign w:val="center"/>
            <w:hideMark/>
          </w:tcPr>
          <w:p w14:paraId="14DBDBBE"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31</w:t>
            </w:r>
          </w:p>
        </w:tc>
        <w:tc>
          <w:tcPr>
            <w:tcW w:w="850" w:type="dxa"/>
            <w:noWrap/>
            <w:vAlign w:val="center"/>
            <w:hideMark/>
          </w:tcPr>
          <w:p w14:paraId="5189D772"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29</w:t>
            </w:r>
          </w:p>
        </w:tc>
      </w:tr>
      <w:tr w:rsidR="00C153D7" w:rsidRPr="00FD1BC3" w14:paraId="62714277" w14:textId="77777777" w:rsidTr="007878C3">
        <w:trPr>
          <w:trHeight w:val="227"/>
        </w:trPr>
        <w:tc>
          <w:tcPr>
            <w:tcW w:w="2268" w:type="dxa"/>
            <w:noWrap/>
            <w:vAlign w:val="center"/>
            <w:hideMark/>
          </w:tcPr>
          <w:p w14:paraId="1B7E8D98" w14:textId="77777777" w:rsidR="00DD54E5" w:rsidRPr="00FD1BC3" w:rsidRDefault="00DD54E5" w:rsidP="007878C3">
            <w:pPr>
              <w:keepNext/>
              <w:spacing w:after="0"/>
              <w:ind w:left="-57"/>
              <w:jc w:val="left"/>
              <w:rPr>
                <w:rFonts w:cs="Calibri"/>
                <w:bCs/>
                <w:sz w:val="20"/>
                <w:szCs w:val="20"/>
                <w:lang w:eastAsia="cs-CZ"/>
              </w:rPr>
            </w:pPr>
            <w:r w:rsidRPr="00FD1BC3">
              <w:rPr>
                <w:rFonts w:cs="Calibri"/>
                <w:bCs/>
                <w:sz w:val="20"/>
                <w:szCs w:val="20"/>
                <w:lang w:eastAsia="cs-CZ"/>
              </w:rPr>
              <w:t>Celkem</w:t>
            </w:r>
          </w:p>
        </w:tc>
        <w:tc>
          <w:tcPr>
            <w:tcW w:w="850" w:type="dxa"/>
            <w:noWrap/>
            <w:vAlign w:val="center"/>
            <w:hideMark/>
          </w:tcPr>
          <w:p w14:paraId="610AC0BB"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2 082,2</w:t>
            </w:r>
          </w:p>
        </w:tc>
        <w:tc>
          <w:tcPr>
            <w:tcW w:w="850" w:type="dxa"/>
            <w:noWrap/>
            <w:vAlign w:val="center"/>
            <w:hideMark/>
          </w:tcPr>
          <w:p w14:paraId="7490AED5"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2 083,0</w:t>
            </w:r>
          </w:p>
        </w:tc>
        <w:tc>
          <w:tcPr>
            <w:tcW w:w="850" w:type="dxa"/>
            <w:noWrap/>
            <w:vAlign w:val="center"/>
            <w:hideMark/>
          </w:tcPr>
          <w:p w14:paraId="6D90069B"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2 086,8</w:t>
            </w:r>
          </w:p>
        </w:tc>
        <w:tc>
          <w:tcPr>
            <w:tcW w:w="850" w:type="dxa"/>
            <w:noWrap/>
            <w:vAlign w:val="center"/>
            <w:hideMark/>
          </w:tcPr>
          <w:p w14:paraId="495A516F"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2 072,0</w:t>
            </w:r>
          </w:p>
        </w:tc>
        <w:tc>
          <w:tcPr>
            <w:tcW w:w="850" w:type="dxa"/>
            <w:noWrap/>
            <w:vAlign w:val="center"/>
            <w:hideMark/>
          </w:tcPr>
          <w:p w14:paraId="28F2E32C"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28 426</w:t>
            </w:r>
          </w:p>
        </w:tc>
        <w:tc>
          <w:tcPr>
            <w:tcW w:w="850" w:type="dxa"/>
            <w:noWrap/>
            <w:vAlign w:val="center"/>
            <w:hideMark/>
          </w:tcPr>
          <w:p w14:paraId="0901CC48"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28 501</w:t>
            </w:r>
          </w:p>
        </w:tc>
        <w:tc>
          <w:tcPr>
            <w:tcW w:w="850" w:type="dxa"/>
            <w:noWrap/>
            <w:vAlign w:val="center"/>
            <w:hideMark/>
          </w:tcPr>
          <w:p w14:paraId="25068999"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28 529</w:t>
            </w:r>
          </w:p>
        </w:tc>
        <w:tc>
          <w:tcPr>
            <w:tcW w:w="850" w:type="dxa"/>
            <w:noWrap/>
            <w:vAlign w:val="center"/>
            <w:hideMark/>
          </w:tcPr>
          <w:p w14:paraId="06D98934" w14:textId="77777777" w:rsidR="00DD54E5" w:rsidRPr="00FD1BC3" w:rsidRDefault="00DD54E5" w:rsidP="007878C3">
            <w:pPr>
              <w:keepNext/>
              <w:spacing w:after="0"/>
              <w:ind w:left="-57" w:right="57"/>
              <w:jc w:val="right"/>
              <w:rPr>
                <w:rFonts w:cs="Calibri"/>
                <w:sz w:val="20"/>
                <w:szCs w:val="20"/>
                <w:lang w:eastAsia="cs-CZ"/>
              </w:rPr>
            </w:pPr>
            <w:r w:rsidRPr="00FD1BC3">
              <w:rPr>
                <w:rFonts w:cs="Calibri"/>
                <w:sz w:val="20"/>
                <w:szCs w:val="20"/>
                <w:lang w:eastAsia="cs-CZ"/>
              </w:rPr>
              <w:t>28 567</w:t>
            </w:r>
          </w:p>
        </w:tc>
      </w:tr>
    </w:tbl>
    <w:p w14:paraId="2E0FC060" w14:textId="12C4DD29" w:rsidR="00DD54E5" w:rsidRPr="00F6765B" w:rsidRDefault="00DD54E5" w:rsidP="00DC40B9">
      <w:pPr>
        <w:spacing w:before="40" w:after="0"/>
        <w:ind w:left="567" w:hanging="567"/>
        <w:rPr>
          <w:sz w:val="20"/>
          <w:szCs w:val="20"/>
          <w:lang w:eastAsia="cs-CZ"/>
        </w:rPr>
      </w:pPr>
      <w:r w:rsidRPr="00507051">
        <w:rPr>
          <w:b/>
          <w:sz w:val="20"/>
          <w:szCs w:val="20"/>
          <w:lang w:eastAsia="cs-CZ"/>
        </w:rPr>
        <w:t>Zdroj:</w:t>
      </w:r>
      <w:r w:rsidRPr="00722E6D">
        <w:rPr>
          <w:sz w:val="20"/>
          <w:szCs w:val="20"/>
          <w:lang w:eastAsia="cs-CZ"/>
        </w:rPr>
        <w:t xml:space="preserve"> </w:t>
      </w:r>
      <w:r w:rsidR="00FD1BC3">
        <w:rPr>
          <w:sz w:val="20"/>
          <w:szCs w:val="20"/>
          <w:lang w:eastAsia="cs-CZ"/>
        </w:rPr>
        <w:tab/>
      </w:r>
      <w:r w:rsidRPr="00722E6D">
        <w:rPr>
          <w:sz w:val="20"/>
          <w:szCs w:val="20"/>
          <w:lang w:eastAsia="cs-CZ"/>
        </w:rPr>
        <w:t>OTE</w:t>
      </w:r>
      <w:r w:rsidR="00E25382">
        <w:rPr>
          <w:sz w:val="20"/>
          <w:szCs w:val="20"/>
          <w:lang w:eastAsia="cs-CZ"/>
        </w:rPr>
        <w:t>,</w:t>
      </w:r>
      <w:r>
        <w:rPr>
          <w:sz w:val="20"/>
          <w:szCs w:val="20"/>
          <w:lang w:eastAsia="cs-CZ"/>
        </w:rPr>
        <w:t xml:space="preserve"> a.s. (</w:t>
      </w:r>
      <w:r w:rsidRPr="00F6765B">
        <w:rPr>
          <w:sz w:val="20"/>
          <w:szCs w:val="20"/>
          <w:lang w:eastAsia="cs-CZ"/>
        </w:rPr>
        <w:t>Jedná se pouze o zdroje vedené v systému operátora trhu, tedy ta zařízení, která jsou provozována na základě licence.</w:t>
      </w:r>
      <w:r>
        <w:rPr>
          <w:sz w:val="20"/>
          <w:szCs w:val="20"/>
          <w:lang w:eastAsia="cs-CZ"/>
        </w:rPr>
        <w:t>)</w:t>
      </w:r>
    </w:p>
    <w:p w14:paraId="2D53E0FE" w14:textId="77777777" w:rsidR="00DC40B9" w:rsidRPr="005D08F9" w:rsidRDefault="00DC40B9" w:rsidP="00DC40B9">
      <w:pPr>
        <w:spacing w:after="0"/>
        <w:ind w:left="567" w:hanging="567"/>
        <w:rPr>
          <w:sz w:val="20"/>
          <w:szCs w:val="20"/>
          <w:lang w:eastAsia="cs-CZ"/>
        </w:rPr>
      </w:pPr>
    </w:p>
    <w:p w14:paraId="05EB3A02" w14:textId="77777777" w:rsidR="00DD54E5" w:rsidRDefault="00DF395A" w:rsidP="00DF395A">
      <w:pPr>
        <w:pStyle w:val="Tabulka"/>
        <w:numPr>
          <w:ilvl w:val="0"/>
          <w:numId w:val="0"/>
        </w:numPr>
        <w:spacing w:after="40"/>
        <w:ind w:left="1418" w:hanging="1418"/>
        <w:rPr>
          <w:lang w:eastAsia="cs-CZ"/>
        </w:rPr>
      </w:pPr>
      <w:r>
        <w:rPr>
          <w:lang w:eastAsia="cs-CZ"/>
        </w:rPr>
        <w:t xml:space="preserve">Tabulka č. 12: </w:t>
      </w:r>
      <w:r w:rsidR="00DD54E5" w:rsidRPr="006401C7">
        <w:rPr>
          <w:lang w:eastAsia="cs-CZ"/>
        </w:rPr>
        <w:t>Přehled vyrobené elek</w:t>
      </w:r>
      <w:r w:rsidR="00DD54E5">
        <w:rPr>
          <w:lang w:eastAsia="cs-CZ"/>
        </w:rPr>
        <w:t>třiny z FVE v MWh v období 2015–</w:t>
      </w:r>
      <w:r w:rsidR="00DD54E5" w:rsidRPr="006401C7">
        <w:rPr>
          <w:lang w:eastAsia="cs-CZ"/>
        </w:rPr>
        <w:t>2018</w:t>
      </w:r>
    </w:p>
    <w:tbl>
      <w:tblPr>
        <w:tblW w:w="5000" w:type="pct"/>
        <w:tblCellMar>
          <w:left w:w="70" w:type="dxa"/>
          <w:right w:w="70" w:type="dxa"/>
        </w:tblCellMar>
        <w:tblLook w:val="04A0" w:firstRow="1" w:lastRow="0" w:firstColumn="1" w:lastColumn="0" w:noHBand="0" w:noVBand="1"/>
      </w:tblPr>
      <w:tblGrid>
        <w:gridCol w:w="3375"/>
        <w:gridCol w:w="1422"/>
        <w:gridCol w:w="1422"/>
        <w:gridCol w:w="1422"/>
        <w:gridCol w:w="1419"/>
      </w:tblGrid>
      <w:tr w:rsidR="00DD54E5" w14:paraId="18F1BDA2" w14:textId="77777777" w:rsidTr="00DF395A">
        <w:trPr>
          <w:trHeight w:val="227"/>
        </w:trPr>
        <w:tc>
          <w:tcPr>
            <w:tcW w:w="1862"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2C1D0803" w14:textId="77777777" w:rsidR="00DD54E5" w:rsidRPr="00BD13D1" w:rsidRDefault="00DD54E5" w:rsidP="00126238">
            <w:pPr>
              <w:spacing w:after="0"/>
              <w:jc w:val="center"/>
              <w:rPr>
                <w:rFonts w:eastAsia="Times New Roman" w:cs="Calibri"/>
                <w:b/>
                <w:color w:val="000000"/>
                <w:sz w:val="20"/>
                <w:szCs w:val="20"/>
                <w:lang w:eastAsia="cs-CZ"/>
              </w:rPr>
            </w:pPr>
            <w:r w:rsidRPr="006401C7">
              <w:rPr>
                <w:rFonts w:eastAsia="Times New Roman" w:cs="Calibri"/>
                <w:b/>
                <w:color w:val="000000"/>
                <w:sz w:val="20"/>
                <w:szCs w:val="20"/>
                <w:lang w:eastAsia="cs-CZ"/>
              </w:rPr>
              <w:t>Rok</w:t>
            </w:r>
          </w:p>
        </w:tc>
        <w:tc>
          <w:tcPr>
            <w:tcW w:w="785" w:type="pct"/>
            <w:tcBorders>
              <w:top w:val="single" w:sz="4" w:space="0" w:color="auto"/>
              <w:left w:val="nil"/>
              <w:bottom w:val="single" w:sz="4" w:space="0" w:color="auto"/>
              <w:right w:val="single" w:sz="4" w:space="0" w:color="auto"/>
            </w:tcBorders>
            <w:shd w:val="clear" w:color="auto" w:fill="E5F1FF"/>
            <w:noWrap/>
            <w:vAlign w:val="center"/>
            <w:hideMark/>
          </w:tcPr>
          <w:p w14:paraId="70C93826" w14:textId="77777777" w:rsidR="00DD54E5" w:rsidRPr="00BD13D1" w:rsidRDefault="00DD54E5" w:rsidP="00126238">
            <w:pPr>
              <w:spacing w:after="0"/>
              <w:jc w:val="center"/>
              <w:rPr>
                <w:rFonts w:eastAsia="Times New Roman" w:cs="Calibri"/>
                <w:b/>
                <w:color w:val="000000"/>
                <w:sz w:val="20"/>
                <w:szCs w:val="20"/>
                <w:lang w:eastAsia="cs-CZ"/>
              </w:rPr>
            </w:pPr>
            <w:r w:rsidRPr="00BD13D1">
              <w:rPr>
                <w:rFonts w:eastAsia="Times New Roman" w:cs="Calibri"/>
                <w:b/>
                <w:color w:val="000000"/>
                <w:sz w:val="20"/>
                <w:szCs w:val="20"/>
                <w:lang w:eastAsia="cs-CZ"/>
              </w:rPr>
              <w:t>2015</w:t>
            </w:r>
          </w:p>
        </w:tc>
        <w:tc>
          <w:tcPr>
            <w:tcW w:w="785" w:type="pct"/>
            <w:tcBorders>
              <w:top w:val="single" w:sz="4" w:space="0" w:color="auto"/>
              <w:left w:val="nil"/>
              <w:bottom w:val="single" w:sz="4" w:space="0" w:color="auto"/>
              <w:right w:val="single" w:sz="4" w:space="0" w:color="auto"/>
            </w:tcBorders>
            <w:shd w:val="clear" w:color="auto" w:fill="E5F1FF"/>
            <w:noWrap/>
            <w:vAlign w:val="center"/>
            <w:hideMark/>
          </w:tcPr>
          <w:p w14:paraId="727BFA92" w14:textId="77777777" w:rsidR="00DD54E5" w:rsidRPr="00BD13D1" w:rsidRDefault="00DD54E5" w:rsidP="00126238">
            <w:pPr>
              <w:spacing w:after="0"/>
              <w:jc w:val="center"/>
              <w:rPr>
                <w:rFonts w:eastAsia="Times New Roman" w:cs="Calibri"/>
                <w:b/>
                <w:color w:val="000000"/>
                <w:sz w:val="20"/>
                <w:szCs w:val="20"/>
                <w:lang w:eastAsia="cs-CZ"/>
              </w:rPr>
            </w:pPr>
            <w:r w:rsidRPr="00BD13D1">
              <w:rPr>
                <w:rFonts w:eastAsia="Times New Roman" w:cs="Calibri"/>
                <w:b/>
                <w:color w:val="000000"/>
                <w:sz w:val="20"/>
                <w:szCs w:val="20"/>
                <w:lang w:eastAsia="cs-CZ"/>
              </w:rPr>
              <w:t>2016</w:t>
            </w:r>
          </w:p>
        </w:tc>
        <w:tc>
          <w:tcPr>
            <w:tcW w:w="785" w:type="pct"/>
            <w:tcBorders>
              <w:top w:val="single" w:sz="4" w:space="0" w:color="auto"/>
              <w:left w:val="nil"/>
              <w:bottom w:val="single" w:sz="4" w:space="0" w:color="auto"/>
              <w:right w:val="single" w:sz="4" w:space="0" w:color="auto"/>
            </w:tcBorders>
            <w:shd w:val="clear" w:color="auto" w:fill="E5F1FF"/>
            <w:noWrap/>
            <w:vAlign w:val="center"/>
            <w:hideMark/>
          </w:tcPr>
          <w:p w14:paraId="19489B1E" w14:textId="77777777" w:rsidR="00DD54E5" w:rsidRPr="00BD13D1" w:rsidRDefault="00DD54E5" w:rsidP="00126238">
            <w:pPr>
              <w:spacing w:after="0"/>
              <w:jc w:val="center"/>
              <w:rPr>
                <w:rFonts w:eastAsia="Times New Roman" w:cs="Calibri"/>
                <w:b/>
                <w:color w:val="000000"/>
                <w:sz w:val="20"/>
                <w:szCs w:val="20"/>
                <w:lang w:eastAsia="cs-CZ"/>
              </w:rPr>
            </w:pPr>
            <w:r w:rsidRPr="00BD13D1">
              <w:rPr>
                <w:rFonts w:eastAsia="Times New Roman" w:cs="Calibri"/>
                <w:b/>
                <w:color w:val="000000"/>
                <w:sz w:val="20"/>
                <w:szCs w:val="20"/>
                <w:lang w:eastAsia="cs-CZ"/>
              </w:rPr>
              <w:t>2017</w:t>
            </w:r>
          </w:p>
        </w:tc>
        <w:tc>
          <w:tcPr>
            <w:tcW w:w="783" w:type="pct"/>
            <w:tcBorders>
              <w:top w:val="single" w:sz="4" w:space="0" w:color="auto"/>
              <w:left w:val="nil"/>
              <w:bottom w:val="single" w:sz="4" w:space="0" w:color="auto"/>
              <w:right w:val="single" w:sz="4" w:space="0" w:color="auto"/>
            </w:tcBorders>
            <w:shd w:val="clear" w:color="auto" w:fill="E5F1FF"/>
            <w:noWrap/>
            <w:vAlign w:val="center"/>
            <w:hideMark/>
          </w:tcPr>
          <w:p w14:paraId="11738CEB" w14:textId="77777777" w:rsidR="00DD54E5" w:rsidRPr="00BD13D1" w:rsidRDefault="00DD54E5" w:rsidP="00126238">
            <w:pPr>
              <w:spacing w:after="0"/>
              <w:jc w:val="center"/>
              <w:rPr>
                <w:rFonts w:eastAsia="Times New Roman" w:cs="Calibri"/>
                <w:b/>
                <w:color w:val="000000"/>
                <w:sz w:val="20"/>
                <w:szCs w:val="20"/>
                <w:lang w:eastAsia="cs-CZ"/>
              </w:rPr>
            </w:pPr>
            <w:r w:rsidRPr="00BD13D1">
              <w:rPr>
                <w:rFonts w:eastAsia="Times New Roman" w:cs="Calibri"/>
                <w:b/>
                <w:color w:val="000000"/>
                <w:sz w:val="20"/>
                <w:szCs w:val="20"/>
                <w:lang w:eastAsia="cs-CZ"/>
              </w:rPr>
              <w:t>2018</w:t>
            </w:r>
          </w:p>
        </w:tc>
      </w:tr>
      <w:tr w:rsidR="00DD54E5" w14:paraId="24C47071" w14:textId="77777777" w:rsidTr="00DF395A">
        <w:trPr>
          <w:trHeight w:val="227"/>
        </w:trPr>
        <w:tc>
          <w:tcPr>
            <w:tcW w:w="1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B46A" w14:textId="77777777" w:rsidR="00DD54E5" w:rsidRPr="00BD13D1" w:rsidRDefault="00DD54E5" w:rsidP="00DF395A">
            <w:pPr>
              <w:spacing w:after="0"/>
              <w:jc w:val="left"/>
              <w:rPr>
                <w:rFonts w:eastAsia="Times New Roman" w:cs="Calibri"/>
                <w:color w:val="000000"/>
                <w:sz w:val="20"/>
                <w:szCs w:val="20"/>
                <w:lang w:eastAsia="cs-CZ"/>
              </w:rPr>
            </w:pPr>
            <w:r w:rsidRPr="00BD13D1">
              <w:rPr>
                <w:rFonts w:eastAsia="Times New Roman" w:cs="Calibri"/>
                <w:color w:val="000000"/>
                <w:sz w:val="20"/>
                <w:szCs w:val="20"/>
                <w:lang w:eastAsia="cs-CZ"/>
              </w:rPr>
              <w:t>Nepodnikatelé</w:t>
            </w:r>
          </w:p>
        </w:tc>
        <w:tc>
          <w:tcPr>
            <w:tcW w:w="785" w:type="pct"/>
            <w:tcBorders>
              <w:top w:val="nil"/>
              <w:left w:val="nil"/>
              <w:bottom w:val="single" w:sz="4" w:space="0" w:color="auto"/>
              <w:right w:val="single" w:sz="4" w:space="0" w:color="auto"/>
            </w:tcBorders>
            <w:shd w:val="clear" w:color="auto" w:fill="auto"/>
            <w:noWrap/>
            <w:vAlign w:val="bottom"/>
            <w:hideMark/>
          </w:tcPr>
          <w:p w14:paraId="088A01B4" w14:textId="77777777" w:rsidR="00DD54E5" w:rsidRPr="00BD13D1" w:rsidRDefault="00DD54E5" w:rsidP="00DF395A">
            <w:pPr>
              <w:spacing w:after="0"/>
              <w:ind w:right="50"/>
              <w:jc w:val="center"/>
              <w:rPr>
                <w:rFonts w:eastAsia="Times New Roman" w:cs="Calibri"/>
                <w:color w:val="000000"/>
                <w:sz w:val="20"/>
                <w:szCs w:val="20"/>
                <w:lang w:eastAsia="cs-CZ"/>
              </w:rPr>
            </w:pPr>
            <w:r w:rsidRPr="00BD13D1">
              <w:rPr>
                <w:rFonts w:eastAsia="Times New Roman" w:cs="Calibri"/>
                <w:color w:val="000000"/>
                <w:sz w:val="20"/>
                <w:szCs w:val="20"/>
                <w:lang w:eastAsia="cs-CZ"/>
              </w:rPr>
              <w:t>x</w:t>
            </w:r>
          </w:p>
        </w:tc>
        <w:tc>
          <w:tcPr>
            <w:tcW w:w="785" w:type="pct"/>
            <w:tcBorders>
              <w:top w:val="nil"/>
              <w:left w:val="nil"/>
              <w:bottom w:val="single" w:sz="4" w:space="0" w:color="auto"/>
              <w:right w:val="single" w:sz="4" w:space="0" w:color="auto"/>
            </w:tcBorders>
            <w:shd w:val="clear" w:color="auto" w:fill="auto"/>
            <w:noWrap/>
            <w:vAlign w:val="bottom"/>
            <w:hideMark/>
          </w:tcPr>
          <w:p w14:paraId="31701CE6" w14:textId="77777777" w:rsidR="00DD54E5" w:rsidRPr="00BD13D1" w:rsidRDefault="00DD54E5" w:rsidP="00DF395A">
            <w:pPr>
              <w:spacing w:after="0"/>
              <w:ind w:right="58"/>
              <w:jc w:val="center"/>
              <w:rPr>
                <w:rFonts w:eastAsia="Times New Roman" w:cs="Calibri"/>
                <w:color w:val="000000"/>
                <w:sz w:val="20"/>
                <w:szCs w:val="20"/>
                <w:lang w:eastAsia="cs-CZ"/>
              </w:rPr>
            </w:pPr>
            <w:r w:rsidRPr="00BD13D1">
              <w:rPr>
                <w:rFonts w:eastAsia="Times New Roman" w:cs="Calibri"/>
                <w:color w:val="000000"/>
                <w:sz w:val="20"/>
                <w:szCs w:val="20"/>
                <w:lang w:eastAsia="cs-CZ"/>
              </w:rPr>
              <w:t>x</w:t>
            </w:r>
          </w:p>
        </w:tc>
        <w:tc>
          <w:tcPr>
            <w:tcW w:w="785" w:type="pct"/>
            <w:tcBorders>
              <w:top w:val="nil"/>
              <w:left w:val="nil"/>
              <w:bottom w:val="single" w:sz="4" w:space="0" w:color="auto"/>
              <w:right w:val="single" w:sz="4" w:space="0" w:color="auto"/>
            </w:tcBorders>
            <w:shd w:val="clear" w:color="auto" w:fill="auto"/>
            <w:noWrap/>
            <w:vAlign w:val="bottom"/>
            <w:hideMark/>
          </w:tcPr>
          <w:p w14:paraId="35117A79" w14:textId="77777777" w:rsidR="00DD54E5" w:rsidRPr="00BD13D1" w:rsidRDefault="00DD54E5" w:rsidP="00DF395A">
            <w:pPr>
              <w:spacing w:after="0"/>
              <w:ind w:right="68"/>
              <w:jc w:val="center"/>
              <w:rPr>
                <w:rFonts w:eastAsia="Times New Roman" w:cs="Calibri"/>
                <w:color w:val="000000"/>
                <w:sz w:val="20"/>
                <w:szCs w:val="20"/>
                <w:lang w:eastAsia="cs-CZ"/>
              </w:rPr>
            </w:pPr>
            <w:r w:rsidRPr="00BD13D1">
              <w:rPr>
                <w:rFonts w:eastAsia="Times New Roman" w:cs="Calibri"/>
                <w:color w:val="000000"/>
                <w:sz w:val="20"/>
                <w:szCs w:val="20"/>
                <w:lang w:eastAsia="cs-CZ"/>
              </w:rPr>
              <w:t>x</w:t>
            </w:r>
          </w:p>
        </w:tc>
        <w:tc>
          <w:tcPr>
            <w:tcW w:w="783" w:type="pct"/>
            <w:tcBorders>
              <w:top w:val="nil"/>
              <w:left w:val="nil"/>
              <w:bottom w:val="single" w:sz="4" w:space="0" w:color="auto"/>
              <w:right w:val="single" w:sz="4" w:space="0" w:color="auto"/>
            </w:tcBorders>
            <w:shd w:val="clear" w:color="auto" w:fill="auto"/>
            <w:noWrap/>
            <w:vAlign w:val="bottom"/>
            <w:hideMark/>
          </w:tcPr>
          <w:p w14:paraId="7A944267" w14:textId="77777777" w:rsidR="00DD54E5" w:rsidRPr="00BD13D1" w:rsidRDefault="00DD54E5" w:rsidP="00DF395A">
            <w:pPr>
              <w:spacing w:after="0"/>
              <w:ind w:right="64"/>
              <w:jc w:val="center"/>
              <w:rPr>
                <w:rFonts w:eastAsia="Times New Roman" w:cs="Calibri"/>
                <w:color w:val="000000"/>
                <w:sz w:val="20"/>
                <w:szCs w:val="20"/>
                <w:lang w:eastAsia="cs-CZ"/>
              </w:rPr>
            </w:pPr>
            <w:r w:rsidRPr="00BD13D1">
              <w:rPr>
                <w:rFonts w:eastAsia="Times New Roman" w:cs="Calibri"/>
                <w:color w:val="000000"/>
                <w:sz w:val="20"/>
                <w:szCs w:val="20"/>
                <w:lang w:eastAsia="cs-CZ"/>
              </w:rPr>
              <w:t>x</w:t>
            </w:r>
          </w:p>
        </w:tc>
      </w:tr>
      <w:tr w:rsidR="00DD54E5" w14:paraId="3D9A5CB7" w14:textId="77777777" w:rsidTr="00DF395A">
        <w:trPr>
          <w:trHeight w:val="227"/>
        </w:trPr>
        <w:tc>
          <w:tcPr>
            <w:tcW w:w="1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A5ED1" w14:textId="77777777" w:rsidR="00DD54E5" w:rsidRPr="00BD13D1" w:rsidRDefault="00DD54E5" w:rsidP="00DF395A">
            <w:pPr>
              <w:spacing w:after="0"/>
              <w:jc w:val="left"/>
              <w:rPr>
                <w:rFonts w:eastAsia="Times New Roman" w:cs="Calibri"/>
                <w:color w:val="000000"/>
                <w:sz w:val="20"/>
                <w:szCs w:val="20"/>
                <w:lang w:eastAsia="cs-CZ"/>
              </w:rPr>
            </w:pPr>
            <w:r w:rsidRPr="00BD13D1">
              <w:rPr>
                <w:rFonts w:eastAsia="Times New Roman" w:cs="Calibri"/>
                <w:color w:val="000000"/>
                <w:sz w:val="20"/>
                <w:szCs w:val="20"/>
                <w:lang w:eastAsia="cs-CZ"/>
              </w:rPr>
              <w:t>Podnikatelé</w:t>
            </w:r>
          </w:p>
        </w:tc>
        <w:tc>
          <w:tcPr>
            <w:tcW w:w="785" w:type="pct"/>
            <w:tcBorders>
              <w:top w:val="nil"/>
              <w:left w:val="nil"/>
              <w:bottom w:val="single" w:sz="4" w:space="0" w:color="auto"/>
              <w:right w:val="single" w:sz="4" w:space="0" w:color="auto"/>
            </w:tcBorders>
            <w:shd w:val="clear" w:color="auto" w:fill="auto"/>
            <w:noWrap/>
            <w:vAlign w:val="bottom"/>
            <w:hideMark/>
          </w:tcPr>
          <w:p w14:paraId="51B44181"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2 267 027</w:t>
            </w:r>
          </w:p>
        </w:tc>
        <w:tc>
          <w:tcPr>
            <w:tcW w:w="785" w:type="pct"/>
            <w:tcBorders>
              <w:top w:val="nil"/>
              <w:left w:val="nil"/>
              <w:bottom w:val="single" w:sz="4" w:space="0" w:color="auto"/>
              <w:right w:val="single" w:sz="4" w:space="0" w:color="auto"/>
            </w:tcBorders>
            <w:shd w:val="clear" w:color="auto" w:fill="auto"/>
            <w:noWrap/>
            <w:vAlign w:val="bottom"/>
            <w:hideMark/>
          </w:tcPr>
          <w:p w14:paraId="0B41D9F1"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2 133 797</w:t>
            </w:r>
          </w:p>
        </w:tc>
        <w:tc>
          <w:tcPr>
            <w:tcW w:w="785" w:type="pct"/>
            <w:tcBorders>
              <w:top w:val="nil"/>
              <w:left w:val="nil"/>
              <w:bottom w:val="single" w:sz="4" w:space="0" w:color="auto"/>
              <w:right w:val="single" w:sz="4" w:space="0" w:color="auto"/>
            </w:tcBorders>
            <w:shd w:val="clear" w:color="auto" w:fill="auto"/>
            <w:noWrap/>
            <w:vAlign w:val="bottom"/>
            <w:hideMark/>
          </w:tcPr>
          <w:p w14:paraId="7852B17D"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2 196 158</w:t>
            </w:r>
          </w:p>
        </w:tc>
        <w:tc>
          <w:tcPr>
            <w:tcW w:w="783" w:type="pct"/>
            <w:tcBorders>
              <w:top w:val="nil"/>
              <w:left w:val="nil"/>
              <w:bottom w:val="single" w:sz="4" w:space="0" w:color="auto"/>
              <w:right w:val="single" w:sz="4" w:space="0" w:color="auto"/>
            </w:tcBorders>
            <w:shd w:val="clear" w:color="auto" w:fill="auto"/>
            <w:noWrap/>
            <w:vAlign w:val="bottom"/>
            <w:hideMark/>
          </w:tcPr>
          <w:p w14:paraId="176FF86E"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2 339 659</w:t>
            </w:r>
          </w:p>
        </w:tc>
      </w:tr>
      <w:tr w:rsidR="00DD54E5" w14:paraId="72242E32" w14:textId="77777777" w:rsidTr="00DF395A">
        <w:trPr>
          <w:trHeight w:val="227"/>
        </w:trPr>
        <w:tc>
          <w:tcPr>
            <w:tcW w:w="1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C0A1" w14:textId="77777777" w:rsidR="00DD54E5" w:rsidRPr="00BD13D1" w:rsidRDefault="00DD54E5" w:rsidP="00DF395A">
            <w:pPr>
              <w:spacing w:after="0"/>
              <w:jc w:val="left"/>
              <w:rPr>
                <w:rFonts w:eastAsia="Times New Roman" w:cs="Calibri"/>
                <w:color w:val="000000"/>
                <w:sz w:val="20"/>
                <w:szCs w:val="20"/>
                <w:lang w:eastAsia="cs-CZ"/>
              </w:rPr>
            </w:pPr>
            <w:r w:rsidRPr="00BD13D1">
              <w:rPr>
                <w:rFonts w:eastAsia="Times New Roman" w:cs="Calibri"/>
                <w:color w:val="000000"/>
                <w:sz w:val="20"/>
                <w:szCs w:val="20"/>
                <w:lang w:eastAsia="cs-CZ"/>
              </w:rPr>
              <w:t>Celkem</w:t>
            </w:r>
          </w:p>
        </w:tc>
        <w:tc>
          <w:tcPr>
            <w:tcW w:w="785" w:type="pct"/>
            <w:tcBorders>
              <w:top w:val="nil"/>
              <w:left w:val="nil"/>
              <w:bottom w:val="single" w:sz="4" w:space="0" w:color="auto"/>
              <w:right w:val="single" w:sz="4" w:space="0" w:color="auto"/>
            </w:tcBorders>
            <w:shd w:val="clear" w:color="auto" w:fill="auto"/>
            <w:noWrap/>
            <w:vAlign w:val="bottom"/>
            <w:hideMark/>
          </w:tcPr>
          <w:p w14:paraId="6D61CCC2"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2 267 027</w:t>
            </w:r>
          </w:p>
        </w:tc>
        <w:tc>
          <w:tcPr>
            <w:tcW w:w="785" w:type="pct"/>
            <w:tcBorders>
              <w:top w:val="nil"/>
              <w:left w:val="nil"/>
              <w:bottom w:val="single" w:sz="4" w:space="0" w:color="auto"/>
              <w:right w:val="single" w:sz="4" w:space="0" w:color="auto"/>
            </w:tcBorders>
            <w:shd w:val="clear" w:color="auto" w:fill="auto"/>
            <w:noWrap/>
            <w:vAlign w:val="bottom"/>
            <w:hideMark/>
          </w:tcPr>
          <w:p w14:paraId="5BF91A5F"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2 133 797</w:t>
            </w:r>
          </w:p>
        </w:tc>
        <w:tc>
          <w:tcPr>
            <w:tcW w:w="785" w:type="pct"/>
            <w:tcBorders>
              <w:top w:val="nil"/>
              <w:left w:val="nil"/>
              <w:bottom w:val="single" w:sz="4" w:space="0" w:color="auto"/>
              <w:right w:val="single" w:sz="4" w:space="0" w:color="auto"/>
            </w:tcBorders>
            <w:shd w:val="clear" w:color="auto" w:fill="auto"/>
            <w:noWrap/>
            <w:vAlign w:val="bottom"/>
            <w:hideMark/>
          </w:tcPr>
          <w:p w14:paraId="7E759DED"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2 196 158</w:t>
            </w:r>
          </w:p>
        </w:tc>
        <w:tc>
          <w:tcPr>
            <w:tcW w:w="783" w:type="pct"/>
            <w:tcBorders>
              <w:top w:val="nil"/>
              <w:left w:val="nil"/>
              <w:bottom w:val="single" w:sz="4" w:space="0" w:color="auto"/>
              <w:right w:val="single" w:sz="4" w:space="0" w:color="auto"/>
            </w:tcBorders>
            <w:shd w:val="clear" w:color="auto" w:fill="auto"/>
            <w:noWrap/>
            <w:vAlign w:val="bottom"/>
            <w:hideMark/>
          </w:tcPr>
          <w:p w14:paraId="01389120" w14:textId="77777777" w:rsidR="00DD54E5" w:rsidRPr="00BD13D1" w:rsidRDefault="00DD54E5" w:rsidP="00DF395A">
            <w:pPr>
              <w:spacing w:after="0"/>
              <w:ind w:right="192"/>
              <w:jc w:val="right"/>
              <w:rPr>
                <w:rFonts w:eastAsia="Times New Roman" w:cs="Calibri"/>
                <w:color w:val="000000"/>
                <w:sz w:val="20"/>
                <w:szCs w:val="20"/>
                <w:lang w:eastAsia="cs-CZ"/>
              </w:rPr>
            </w:pPr>
            <w:r w:rsidRPr="00BD13D1">
              <w:rPr>
                <w:rFonts w:eastAsia="Times New Roman" w:cs="Calibri"/>
                <w:color w:val="000000"/>
                <w:sz w:val="20"/>
                <w:szCs w:val="20"/>
                <w:lang w:eastAsia="cs-CZ"/>
              </w:rPr>
              <w:t>2 339 659</w:t>
            </w:r>
          </w:p>
        </w:tc>
      </w:tr>
    </w:tbl>
    <w:p w14:paraId="710D2F7F" w14:textId="56CCAFE9" w:rsidR="00DD54E5" w:rsidRPr="00722E6D" w:rsidRDefault="00DD54E5" w:rsidP="00DC40B9">
      <w:pPr>
        <w:spacing w:before="40" w:after="0"/>
        <w:rPr>
          <w:sz w:val="20"/>
          <w:szCs w:val="20"/>
          <w:lang w:eastAsia="cs-CZ"/>
        </w:rPr>
      </w:pPr>
      <w:r w:rsidRPr="00011B75">
        <w:rPr>
          <w:b/>
          <w:sz w:val="20"/>
          <w:szCs w:val="20"/>
          <w:lang w:eastAsia="cs-CZ"/>
        </w:rPr>
        <w:t>Zdroj:</w:t>
      </w:r>
      <w:r w:rsidRPr="00722E6D">
        <w:rPr>
          <w:sz w:val="20"/>
          <w:szCs w:val="20"/>
          <w:lang w:eastAsia="cs-CZ"/>
        </w:rPr>
        <w:t xml:space="preserve"> OTE</w:t>
      </w:r>
      <w:r w:rsidR="00E25382">
        <w:rPr>
          <w:sz w:val="20"/>
          <w:szCs w:val="20"/>
          <w:lang w:eastAsia="cs-CZ"/>
        </w:rPr>
        <w:t>,</w:t>
      </w:r>
      <w:r>
        <w:rPr>
          <w:sz w:val="20"/>
          <w:szCs w:val="20"/>
          <w:lang w:eastAsia="cs-CZ"/>
        </w:rPr>
        <w:t xml:space="preserve"> a.s. (</w:t>
      </w:r>
      <w:r w:rsidR="00E25382">
        <w:rPr>
          <w:sz w:val="20"/>
          <w:szCs w:val="20"/>
          <w:lang w:eastAsia="cs-CZ"/>
        </w:rPr>
        <w:t>H</w:t>
      </w:r>
      <w:r>
        <w:rPr>
          <w:sz w:val="20"/>
          <w:szCs w:val="20"/>
          <w:lang w:eastAsia="cs-CZ"/>
        </w:rPr>
        <w:t>odnoty jsou z výkazů, které registrovaní výrobci zadali do systému OTE, a.s.)</w:t>
      </w:r>
    </w:p>
    <w:p w14:paraId="21E3FFC5" w14:textId="77777777" w:rsidR="00DC40B9" w:rsidRPr="005D08F9" w:rsidRDefault="00DC40B9" w:rsidP="00DC40B9">
      <w:pPr>
        <w:spacing w:after="0"/>
        <w:ind w:left="567" w:hanging="567"/>
        <w:rPr>
          <w:sz w:val="20"/>
          <w:szCs w:val="20"/>
          <w:lang w:eastAsia="cs-CZ"/>
        </w:rPr>
      </w:pPr>
    </w:p>
    <w:p w14:paraId="42D7D9F2" w14:textId="77777777" w:rsidR="00DD54E5" w:rsidRDefault="00DF395A" w:rsidP="00DF395A">
      <w:pPr>
        <w:pStyle w:val="Tabulka"/>
        <w:numPr>
          <w:ilvl w:val="0"/>
          <w:numId w:val="0"/>
        </w:numPr>
        <w:spacing w:after="40"/>
        <w:ind w:left="1446" w:hanging="1446"/>
        <w:rPr>
          <w:lang w:eastAsia="cs-CZ"/>
        </w:rPr>
      </w:pPr>
      <w:r>
        <w:rPr>
          <w:lang w:eastAsia="cs-CZ"/>
        </w:rPr>
        <w:t xml:space="preserve">Tabulka č. 13: </w:t>
      </w:r>
      <w:r>
        <w:rPr>
          <w:lang w:eastAsia="cs-CZ"/>
        </w:rPr>
        <w:tab/>
      </w:r>
      <w:r w:rsidR="00DD54E5" w:rsidRPr="00C27228">
        <w:rPr>
          <w:lang w:eastAsia="cs-CZ"/>
        </w:rPr>
        <w:t>Minimální objem biopaliva v motorové naftě kódu kombinované nomenklatury 2710 19 41</w:t>
      </w:r>
    </w:p>
    <w:tbl>
      <w:tblPr>
        <w:tblW w:w="5000" w:type="pct"/>
        <w:tblCellMar>
          <w:left w:w="70" w:type="dxa"/>
          <w:right w:w="70" w:type="dxa"/>
        </w:tblCellMar>
        <w:tblLook w:val="04A0" w:firstRow="1" w:lastRow="0" w:firstColumn="1" w:lastColumn="0" w:noHBand="0" w:noVBand="1"/>
      </w:tblPr>
      <w:tblGrid>
        <w:gridCol w:w="1643"/>
        <w:gridCol w:w="1855"/>
        <w:gridCol w:w="1855"/>
        <w:gridCol w:w="1855"/>
        <w:gridCol w:w="1852"/>
      </w:tblGrid>
      <w:tr w:rsidR="00DD54E5" w14:paraId="3BE1397F" w14:textId="77777777" w:rsidTr="00DF395A">
        <w:trPr>
          <w:trHeight w:val="227"/>
        </w:trPr>
        <w:tc>
          <w:tcPr>
            <w:tcW w:w="906" w:type="pct"/>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DD0E749" w14:textId="77777777" w:rsidR="00DD54E5" w:rsidRPr="00C27228" w:rsidRDefault="00DD54E5" w:rsidP="00DF395A">
            <w:pPr>
              <w:spacing w:after="0"/>
              <w:jc w:val="center"/>
              <w:rPr>
                <w:rFonts w:eastAsia="Times New Roman" w:cs="Calibri"/>
                <w:b/>
                <w:bCs/>
                <w:color w:val="000000"/>
                <w:sz w:val="20"/>
                <w:szCs w:val="20"/>
                <w:lang w:eastAsia="cs-CZ"/>
              </w:rPr>
            </w:pPr>
            <w:r w:rsidRPr="00C27228">
              <w:rPr>
                <w:rFonts w:eastAsia="Times New Roman" w:cs="Calibri"/>
                <w:b/>
                <w:bCs/>
                <w:color w:val="000000"/>
                <w:sz w:val="20"/>
                <w:szCs w:val="20"/>
                <w:lang w:eastAsia="cs-CZ"/>
              </w:rPr>
              <w:t>Rok</w:t>
            </w:r>
          </w:p>
        </w:tc>
        <w:tc>
          <w:tcPr>
            <w:tcW w:w="1024" w:type="pct"/>
            <w:tcBorders>
              <w:top w:val="single" w:sz="4" w:space="0" w:color="auto"/>
              <w:left w:val="nil"/>
              <w:bottom w:val="single" w:sz="4" w:space="0" w:color="auto"/>
              <w:right w:val="single" w:sz="4" w:space="0" w:color="auto"/>
            </w:tcBorders>
            <w:shd w:val="clear" w:color="auto" w:fill="E5F1FF"/>
            <w:noWrap/>
            <w:vAlign w:val="bottom"/>
            <w:hideMark/>
          </w:tcPr>
          <w:p w14:paraId="0245DB93" w14:textId="77777777" w:rsidR="00DD54E5" w:rsidRPr="00C27228" w:rsidRDefault="00DD54E5" w:rsidP="00DF395A">
            <w:pPr>
              <w:spacing w:after="0"/>
              <w:jc w:val="center"/>
              <w:rPr>
                <w:rFonts w:eastAsia="Times New Roman" w:cs="Calibri"/>
                <w:b/>
                <w:bCs/>
                <w:color w:val="000000"/>
                <w:sz w:val="20"/>
                <w:szCs w:val="20"/>
                <w:lang w:eastAsia="cs-CZ"/>
              </w:rPr>
            </w:pPr>
            <w:r w:rsidRPr="00C27228">
              <w:rPr>
                <w:rFonts w:eastAsia="Times New Roman" w:cs="Calibri"/>
                <w:b/>
                <w:bCs/>
                <w:color w:val="000000"/>
                <w:sz w:val="20"/>
                <w:szCs w:val="20"/>
                <w:lang w:eastAsia="cs-CZ"/>
              </w:rPr>
              <w:t>2015</w:t>
            </w:r>
          </w:p>
        </w:tc>
        <w:tc>
          <w:tcPr>
            <w:tcW w:w="1024" w:type="pct"/>
            <w:tcBorders>
              <w:top w:val="single" w:sz="4" w:space="0" w:color="auto"/>
              <w:left w:val="nil"/>
              <w:bottom w:val="single" w:sz="4" w:space="0" w:color="auto"/>
              <w:right w:val="single" w:sz="4" w:space="0" w:color="auto"/>
            </w:tcBorders>
            <w:shd w:val="clear" w:color="auto" w:fill="E5F1FF"/>
            <w:noWrap/>
            <w:vAlign w:val="bottom"/>
            <w:hideMark/>
          </w:tcPr>
          <w:p w14:paraId="4D055A36" w14:textId="77777777" w:rsidR="00DD54E5" w:rsidRPr="00C27228" w:rsidRDefault="00DD54E5" w:rsidP="00DF395A">
            <w:pPr>
              <w:spacing w:after="0"/>
              <w:jc w:val="center"/>
              <w:rPr>
                <w:rFonts w:eastAsia="Times New Roman" w:cs="Calibri"/>
                <w:b/>
                <w:bCs/>
                <w:color w:val="000000"/>
                <w:sz w:val="20"/>
                <w:szCs w:val="20"/>
                <w:lang w:eastAsia="cs-CZ"/>
              </w:rPr>
            </w:pPr>
            <w:r w:rsidRPr="00C27228">
              <w:rPr>
                <w:rFonts w:eastAsia="Times New Roman" w:cs="Calibri"/>
                <w:b/>
                <w:bCs/>
                <w:color w:val="000000"/>
                <w:sz w:val="20"/>
                <w:szCs w:val="20"/>
                <w:lang w:eastAsia="cs-CZ"/>
              </w:rPr>
              <w:t>2016</w:t>
            </w:r>
          </w:p>
        </w:tc>
        <w:tc>
          <w:tcPr>
            <w:tcW w:w="1024" w:type="pct"/>
            <w:tcBorders>
              <w:top w:val="single" w:sz="4" w:space="0" w:color="auto"/>
              <w:left w:val="nil"/>
              <w:bottom w:val="single" w:sz="4" w:space="0" w:color="auto"/>
              <w:right w:val="single" w:sz="4" w:space="0" w:color="auto"/>
            </w:tcBorders>
            <w:shd w:val="clear" w:color="auto" w:fill="E5F1FF"/>
            <w:noWrap/>
            <w:vAlign w:val="bottom"/>
            <w:hideMark/>
          </w:tcPr>
          <w:p w14:paraId="6162B238" w14:textId="77777777" w:rsidR="00DD54E5" w:rsidRPr="00C27228" w:rsidRDefault="00DD54E5" w:rsidP="00DF395A">
            <w:pPr>
              <w:spacing w:after="0"/>
              <w:jc w:val="center"/>
              <w:rPr>
                <w:rFonts w:eastAsia="Times New Roman" w:cs="Calibri"/>
                <w:b/>
                <w:bCs/>
                <w:color w:val="000000"/>
                <w:sz w:val="20"/>
                <w:szCs w:val="20"/>
                <w:lang w:eastAsia="cs-CZ"/>
              </w:rPr>
            </w:pPr>
            <w:r w:rsidRPr="00C27228">
              <w:rPr>
                <w:rFonts w:eastAsia="Times New Roman" w:cs="Calibri"/>
                <w:b/>
                <w:bCs/>
                <w:color w:val="000000"/>
                <w:sz w:val="20"/>
                <w:szCs w:val="20"/>
                <w:lang w:eastAsia="cs-CZ"/>
              </w:rPr>
              <w:t>2017</w:t>
            </w:r>
          </w:p>
        </w:tc>
        <w:tc>
          <w:tcPr>
            <w:tcW w:w="1022" w:type="pct"/>
            <w:tcBorders>
              <w:top w:val="single" w:sz="4" w:space="0" w:color="auto"/>
              <w:left w:val="nil"/>
              <w:bottom w:val="single" w:sz="4" w:space="0" w:color="auto"/>
              <w:right w:val="single" w:sz="4" w:space="0" w:color="auto"/>
            </w:tcBorders>
            <w:shd w:val="clear" w:color="auto" w:fill="E5F1FF"/>
            <w:noWrap/>
            <w:vAlign w:val="bottom"/>
            <w:hideMark/>
          </w:tcPr>
          <w:p w14:paraId="225BEEB4" w14:textId="77777777" w:rsidR="00DD54E5" w:rsidRPr="00C27228" w:rsidRDefault="00DD54E5" w:rsidP="00DF395A">
            <w:pPr>
              <w:spacing w:after="0"/>
              <w:jc w:val="center"/>
              <w:rPr>
                <w:rFonts w:eastAsia="Times New Roman" w:cs="Calibri"/>
                <w:b/>
                <w:bCs/>
                <w:color w:val="000000"/>
                <w:sz w:val="20"/>
                <w:szCs w:val="20"/>
                <w:lang w:eastAsia="cs-CZ"/>
              </w:rPr>
            </w:pPr>
            <w:r w:rsidRPr="00C27228">
              <w:rPr>
                <w:rFonts w:eastAsia="Times New Roman" w:cs="Calibri"/>
                <w:b/>
                <w:bCs/>
                <w:color w:val="000000"/>
                <w:sz w:val="20"/>
                <w:szCs w:val="20"/>
                <w:lang w:eastAsia="cs-CZ"/>
              </w:rPr>
              <w:t>2018</w:t>
            </w:r>
          </w:p>
        </w:tc>
      </w:tr>
      <w:tr w:rsidR="00DF395A" w:rsidRPr="00FE18EE" w14:paraId="2AB20A87" w14:textId="77777777" w:rsidTr="00DF395A">
        <w:trPr>
          <w:trHeight w:val="227"/>
        </w:trPr>
        <w:tc>
          <w:tcPr>
            <w:tcW w:w="906" w:type="pct"/>
            <w:tcBorders>
              <w:top w:val="nil"/>
              <w:left w:val="single" w:sz="4" w:space="0" w:color="auto"/>
              <w:bottom w:val="single" w:sz="4" w:space="0" w:color="auto"/>
              <w:right w:val="single" w:sz="4" w:space="0" w:color="auto"/>
            </w:tcBorders>
            <w:shd w:val="clear" w:color="auto" w:fill="auto"/>
            <w:noWrap/>
            <w:vAlign w:val="bottom"/>
            <w:hideMark/>
          </w:tcPr>
          <w:p w14:paraId="4A678943" w14:textId="05856CFE" w:rsidR="00DD54E5" w:rsidRPr="00FE18EE" w:rsidRDefault="00E25382" w:rsidP="00DF395A">
            <w:pPr>
              <w:spacing w:after="0"/>
              <w:jc w:val="left"/>
              <w:rPr>
                <w:rFonts w:eastAsia="Times New Roman" w:cs="Calibri"/>
                <w:bCs/>
                <w:color w:val="000000" w:themeColor="text1"/>
                <w:sz w:val="20"/>
                <w:szCs w:val="20"/>
                <w:lang w:eastAsia="cs-CZ"/>
              </w:rPr>
            </w:pPr>
            <w:r>
              <w:rPr>
                <w:rFonts w:eastAsia="Times New Roman" w:cs="Calibri"/>
                <w:bCs/>
                <w:color w:val="000000" w:themeColor="text1"/>
                <w:sz w:val="20"/>
                <w:szCs w:val="20"/>
                <w:lang w:eastAsia="cs-CZ"/>
              </w:rPr>
              <w:t>B</w:t>
            </w:r>
            <w:r w:rsidR="00DD54E5" w:rsidRPr="00FE18EE">
              <w:rPr>
                <w:rFonts w:eastAsia="Times New Roman" w:cs="Calibri"/>
                <w:bCs/>
                <w:color w:val="000000" w:themeColor="text1"/>
                <w:sz w:val="20"/>
                <w:szCs w:val="20"/>
                <w:lang w:eastAsia="cs-CZ"/>
              </w:rPr>
              <w:t>iopalivo</w:t>
            </w:r>
          </w:p>
        </w:tc>
        <w:tc>
          <w:tcPr>
            <w:tcW w:w="1024" w:type="pct"/>
            <w:tcBorders>
              <w:top w:val="nil"/>
              <w:left w:val="nil"/>
              <w:bottom w:val="single" w:sz="4" w:space="0" w:color="auto"/>
              <w:right w:val="single" w:sz="4" w:space="0" w:color="auto"/>
            </w:tcBorders>
            <w:shd w:val="clear" w:color="auto" w:fill="auto"/>
            <w:noWrap/>
            <w:vAlign w:val="bottom"/>
            <w:hideMark/>
          </w:tcPr>
          <w:p w14:paraId="0109BE2A" w14:textId="312DA3B7" w:rsidR="00DD54E5" w:rsidRPr="00FE18EE" w:rsidRDefault="00DD54E5" w:rsidP="00DF395A">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6,0</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024" w:type="pct"/>
            <w:tcBorders>
              <w:top w:val="nil"/>
              <w:left w:val="nil"/>
              <w:bottom w:val="single" w:sz="4" w:space="0" w:color="auto"/>
              <w:right w:val="single" w:sz="4" w:space="0" w:color="auto"/>
            </w:tcBorders>
            <w:shd w:val="clear" w:color="auto" w:fill="auto"/>
            <w:noWrap/>
            <w:vAlign w:val="bottom"/>
            <w:hideMark/>
          </w:tcPr>
          <w:p w14:paraId="6DD0F72B" w14:textId="0A405375" w:rsidR="00DD54E5" w:rsidRPr="00FE18EE" w:rsidRDefault="00DD54E5" w:rsidP="00DF395A">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6,0</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024" w:type="pct"/>
            <w:tcBorders>
              <w:top w:val="nil"/>
              <w:left w:val="nil"/>
              <w:bottom w:val="single" w:sz="4" w:space="0" w:color="auto"/>
              <w:right w:val="single" w:sz="4" w:space="0" w:color="auto"/>
            </w:tcBorders>
            <w:shd w:val="clear" w:color="auto" w:fill="auto"/>
            <w:noWrap/>
            <w:vAlign w:val="bottom"/>
            <w:hideMark/>
          </w:tcPr>
          <w:p w14:paraId="04A72962" w14:textId="55A59FC4" w:rsidR="00DD54E5" w:rsidRPr="00FE18EE" w:rsidRDefault="00DD54E5" w:rsidP="00DF395A">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6,0</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022" w:type="pct"/>
            <w:tcBorders>
              <w:top w:val="nil"/>
              <w:left w:val="nil"/>
              <w:bottom w:val="single" w:sz="4" w:space="0" w:color="auto"/>
              <w:right w:val="single" w:sz="4" w:space="0" w:color="auto"/>
            </w:tcBorders>
            <w:shd w:val="clear" w:color="auto" w:fill="auto"/>
            <w:noWrap/>
            <w:vAlign w:val="bottom"/>
            <w:hideMark/>
          </w:tcPr>
          <w:p w14:paraId="1BEB3DE4" w14:textId="474708C1" w:rsidR="00DD54E5" w:rsidRPr="00FE18EE" w:rsidRDefault="00DD54E5" w:rsidP="00DF395A">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6,0</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r>
    </w:tbl>
    <w:p w14:paraId="0B4AA773" w14:textId="6AB2FC9A" w:rsidR="00DD54E5" w:rsidRPr="00FE18EE" w:rsidRDefault="00DD54E5" w:rsidP="00DC40B9">
      <w:pPr>
        <w:spacing w:before="40" w:after="0"/>
        <w:rPr>
          <w:color w:val="000000" w:themeColor="text1"/>
          <w:sz w:val="20"/>
          <w:szCs w:val="20"/>
          <w:lang w:eastAsia="cs-CZ"/>
        </w:rPr>
      </w:pPr>
      <w:r w:rsidRPr="00FE18EE">
        <w:rPr>
          <w:b/>
          <w:color w:val="000000" w:themeColor="text1"/>
          <w:sz w:val="20"/>
          <w:szCs w:val="20"/>
          <w:lang w:eastAsia="cs-CZ"/>
        </w:rPr>
        <w:t>Zdroj:</w:t>
      </w:r>
      <w:r w:rsidRPr="00FE18EE">
        <w:rPr>
          <w:color w:val="000000" w:themeColor="text1"/>
          <w:sz w:val="20"/>
          <w:szCs w:val="20"/>
          <w:lang w:eastAsia="cs-CZ"/>
        </w:rPr>
        <w:t xml:space="preserve"> </w:t>
      </w:r>
      <w:r w:rsidR="00E25382">
        <w:rPr>
          <w:color w:val="000000" w:themeColor="text1"/>
          <w:sz w:val="20"/>
          <w:szCs w:val="20"/>
          <w:lang w:eastAsia="cs-CZ"/>
        </w:rPr>
        <w:t>z</w:t>
      </w:r>
      <w:r w:rsidRPr="00FE18EE">
        <w:rPr>
          <w:color w:val="000000" w:themeColor="text1"/>
          <w:sz w:val="20"/>
          <w:szCs w:val="20"/>
          <w:lang w:eastAsia="cs-CZ"/>
        </w:rPr>
        <w:t>ákon č. 201/2012 Sb., o ochraně ovzduší, § 19 odst. 1 písm. b).</w:t>
      </w:r>
    </w:p>
    <w:p w14:paraId="4A06A86A" w14:textId="77777777" w:rsidR="00DC40B9" w:rsidRPr="005D08F9" w:rsidRDefault="00DC40B9" w:rsidP="00DC40B9">
      <w:pPr>
        <w:spacing w:after="0"/>
        <w:ind w:left="567" w:hanging="567"/>
        <w:rPr>
          <w:sz w:val="20"/>
          <w:szCs w:val="20"/>
          <w:lang w:eastAsia="cs-CZ"/>
        </w:rPr>
      </w:pPr>
    </w:p>
    <w:p w14:paraId="7C77C8D7" w14:textId="77777777" w:rsidR="00DD54E5" w:rsidRPr="00FE18EE" w:rsidRDefault="00DF395A" w:rsidP="00DF395A">
      <w:pPr>
        <w:pStyle w:val="Tabulka"/>
        <w:numPr>
          <w:ilvl w:val="0"/>
          <w:numId w:val="0"/>
        </w:numPr>
        <w:spacing w:after="40"/>
        <w:ind w:left="1446" w:hanging="1446"/>
        <w:rPr>
          <w:color w:val="000000" w:themeColor="text1"/>
          <w:lang w:eastAsia="cs-CZ"/>
        </w:rPr>
      </w:pPr>
      <w:r>
        <w:rPr>
          <w:color w:val="000000" w:themeColor="text1"/>
          <w:lang w:eastAsia="cs-CZ"/>
        </w:rPr>
        <w:t xml:space="preserve">Tabulka č. 14: </w:t>
      </w:r>
      <w:r>
        <w:rPr>
          <w:color w:val="000000" w:themeColor="text1"/>
          <w:lang w:eastAsia="cs-CZ"/>
        </w:rPr>
        <w:tab/>
      </w:r>
      <w:r w:rsidR="00DD54E5" w:rsidRPr="00FE18EE">
        <w:rPr>
          <w:color w:val="000000" w:themeColor="text1"/>
          <w:lang w:eastAsia="cs-CZ"/>
        </w:rPr>
        <w:t>Minimální objem biopaliva v motorovém benzínu kódu kombinované nomenklatury 2710 11 41, 2710 11 45 a 2710 11 49</w:t>
      </w:r>
    </w:p>
    <w:tbl>
      <w:tblPr>
        <w:tblW w:w="9045" w:type="dxa"/>
        <w:tblCellMar>
          <w:left w:w="70" w:type="dxa"/>
          <w:right w:w="70" w:type="dxa"/>
        </w:tblCellMar>
        <w:tblLook w:val="04A0" w:firstRow="1" w:lastRow="0" w:firstColumn="1" w:lastColumn="0" w:noHBand="0" w:noVBand="1"/>
      </w:tblPr>
      <w:tblGrid>
        <w:gridCol w:w="1701"/>
        <w:gridCol w:w="1836"/>
        <w:gridCol w:w="1836"/>
        <w:gridCol w:w="1836"/>
        <w:gridCol w:w="1836"/>
      </w:tblGrid>
      <w:tr w:rsidR="00622AC8" w:rsidRPr="00FE18EE" w14:paraId="77693CF0" w14:textId="77777777" w:rsidTr="00622AC8">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1A60D43F" w14:textId="77777777" w:rsidR="00DD54E5" w:rsidRPr="00FE18EE" w:rsidRDefault="00DD54E5" w:rsidP="00126238">
            <w:pPr>
              <w:spacing w:after="0"/>
              <w:jc w:val="center"/>
              <w:rPr>
                <w:rFonts w:eastAsia="Times New Roman" w:cs="Calibri"/>
                <w:b/>
                <w:bCs/>
                <w:color w:val="000000" w:themeColor="text1"/>
                <w:sz w:val="20"/>
                <w:szCs w:val="20"/>
                <w:lang w:eastAsia="cs-CZ"/>
              </w:rPr>
            </w:pPr>
            <w:r w:rsidRPr="00FE18EE">
              <w:rPr>
                <w:rFonts w:eastAsia="Times New Roman" w:cs="Calibri"/>
                <w:b/>
                <w:bCs/>
                <w:color w:val="000000" w:themeColor="text1"/>
                <w:sz w:val="20"/>
                <w:szCs w:val="20"/>
                <w:lang w:eastAsia="cs-CZ"/>
              </w:rPr>
              <w:t>Rok</w:t>
            </w:r>
          </w:p>
        </w:tc>
        <w:tc>
          <w:tcPr>
            <w:tcW w:w="1836" w:type="dxa"/>
            <w:tcBorders>
              <w:top w:val="single" w:sz="4" w:space="0" w:color="auto"/>
              <w:left w:val="nil"/>
              <w:bottom w:val="single" w:sz="4" w:space="0" w:color="auto"/>
              <w:right w:val="single" w:sz="4" w:space="0" w:color="auto"/>
            </w:tcBorders>
            <w:shd w:val="clear" w:color="auto" w:fill="E5F1FF"/>
            <w:noWrap/>
            <w:vAlign w:val="bottom"/>
            <w:hideMark/>
          </w:tcPr>
          <w:p w14:paraId="0FBB3D58" w14:textId="77777777" w:rsidR="00DD54E5" w:rsidRPr="00FE18EE" w:rsidRDefault="00DD54E5" w:rsidP="00126238">
            <w:pPr>
              <w:spacing w:after="0"/>
              <w:jc w:val="center"/>
              <w:rPr>
                <w:rFonts w:eastAsia="Times New Roman" w:cs="Calibri"/>
                <w:b/>
                <w:bCs/>
                <w:color w:val="000000" w:themeColor="text1"/>
                <w:sz w:val="20"/>
                <w:szCs w:val="20"/>
                <w:lang w:eastAsia="cs-CZ"/>
              </w:rPr>
            </w:pPr>
            <w:r w:rsidRPr="00FE18EE">
              <w:rPr>
                <w:rFonts w:eastAsia="Times New Roman" w:cs="Calibri"/>
                <w:b/>
                <w:bCs/>
                <w:color w:val="000000" w:themeColor="text1"/>
                <w:sz w:val="20"/>
                <w:szCs w:val="20"/>
                <w:lang w:eastAsia="cs-CZ"/>
              </w:rPr>
              <w:t>2015</w:t>
            </w:r>
          </w:p>
        </w:tc>
        <w:tc>
          <w:tcPr>
            <w:tcW w:w="1836" w:type="dxa"/>
            <w:tcBorders>
              <w:top w:val="single" w:sz="4" w:space="0" w:color="auto"/>
              <w:left w:val="nil"/>
              <w:bottom w:val="single" w:sz="4" w:space="0" w:color="auto"/>
              <w:right w:val="single" w:sz="4" w:space="0" w:color="auto"/>
            </w:tcBorders>
            <w:shd w:val="clear" w:color="auto" w:fill="E5F1FF"/>
            <w:noWrap/>
            <w:vAlign w:val="bottom"/>
            <w:hideMark/>
          </w:tcPr>
          <w:p w14:paraId="1D2D2540" w14:textId="77777777" w:rsidR="00DD54E5" w:rsidRPr="00FE18EE" w:rsidRDefault="00DD54E5" w:rsidP="00126238">
            <w:pPr>
              <w:spacing w:after="0"/>
              <w:jc w:val="center"/>
              <w:rPr>
                <w:rFonts w:eastAsia="Times New Roman" w:cs="Calibri"/>
                <w:b/>
                <w:bCs/>
                <w:color w:val="000000" w:themeColor="text1"/>
                <w:sz w:val="20"/>
                <w:szCs w:val="20"/>
                <w:lang w:eastAsia="cs-CZ"/>
              </w:rPr>
            </w:pPr>
            <w:r w:rsidRPr="00FE18EE">
              <w:rPr>
                <w:rFonts w:eastAsia="Times New Roman" w:cs="Calibri"/>
                <w:b/>
                <w:bCs/>
                <w:color w:val="000000" w:themeColor="text1"/>
                <w:sz w:val="20"/>
                <w:szCs w:val="20"/>
                <w:lang w:eastAsia="cs-CZ"/>
              </w:rPr>
              <w:t>2016</w:t>
            </w:r>
          </w:p>
        </w:tc>
        <w:tc>
          <w:tcPr>
            <w:tcW w:w="1836" w:type="dxa"/>
            <w:tcBorders>
              <w:top w:val="single" w:sz="4" w:space="0" w:color="auto"/>
              <w:left w:val="nil"/>
              <w:bottom w:val="single" w:sz="4" w:space="0" w:color="auto"/>
              <w:right w:val="single" w:sz="4" w:space="0" w:color="auto"/>
            </w:tcBorders>
            <w:shd w:val="clear" w:color="auto" w:fill="E5F1FF"/>
            <w:noWrap/>
            <w:vAlign w:val="bottom"/>
            <w:hideMark/>
          </w:tcPr>
          <w:p w14:paraId="67FAB847" w14:textId="77777777" w:rsidR="00DD54E5" w:rsidRPr="00FE18EE" w:rsidRDefault="00DD54E5" w:rsidP="00126238">
            <w:pPr>
              <w:spacing w:after="0"/>
              <w:jc w:val="center"/>
              <w:rPr>
                <w:rFonts w:eastAsia="Times New Roman" w:cs="Calibri"/>
                <w:b/>
                <w:bCs/>
                <w:color w:val="000000" w:themeColor="text1"/>
                <w:sz w:val="20"/>
                <w:szCs w:val="20"/>
                <w:lang w:eastAsia="cs-CZ"/>
              </w:rPr>
            </w:pPr>
            <w:r w:rsidRPr="00FE18EE">
              <w:rPr>
                <w:rFonts w:eastAsia="Times New Roman" w:cs="Calibri"/>
                <w:b/>
                <w:bCs/>
                <w:color w:val="000000" w:themeColor="text1"/>
                <w:sz w:val="20"/>
                <w:szCs w:val="20"/>
                <w:lang w:eastAsia="cs-CZ"/>
              </w:rPr>
              <w:t>2017</w:t>
            </w:r>
          </w:p>
        </w:tc>
        <w:tc>
          <w:tcPr>
            <w:tcW w:w="1836" w:type="dxa"/>
            <w:tcBorders>
              <w:top w:val="single" w:sz="4" w:space="0" w:color="auto"/>
              <w:left w:val="nil"/>
              <w:bottom w:val="single" w:sz="4" w:space="0" w:color="auto"/>
              <w:right w:val="single" w:sz="4" w:space="0" w:color="auto"/>
            </w:tcBorders>
            <w:shd w:val="clear" w:color="auto" w:fill="E5F1FF"/>
            <w:noWrap/>
            <w:vAlign w:val="bottom"/>
            <w:hideMark/>
          </w:tcPr>
          <w:p w14:paraId="187C6632" w14:textId="77777777" w:rsidR="00DD54E5" w:rsidRPr="00FE18EE" w:rsidRDefault="00DD54E5" w:rsidP="00126238">
            <w:pPr>
              <w:spacing w:after="0"/>
              <w:jc w:val="center"/>
              <w:rPr>
                <w:rFonts w:eastAsia="Times New Roman" w:cs="Calibri"/>
                <w:b/>
                <w:bCs/>
                <w:color w:val="000000" w:themeColor="text1"/>
                <w:sz w:val="20"/>
                <w:szCs w:val="20"/>
                <w:lang w:eastAsia="cs-CZ"/>
              </w:rPr>
            </w:pPr>
            <w:r w:rsidRPr="00FE18EE">
              <w:rPr>
                <w:rFonts w:eastAsia="Times New Roman" w:cs="Calibri"/>
                <w:b/>
                <w:bCs/>
                <w:color w:val="000000" w:themeColor="text1"/>
                <w:sz w:val="20"/>
                <w:szCs w:val="20"/>
                <w:lang w:eastAsia="cs-CZ"/>
              </w:rPr>
              <w:t>2018</w:t>
            </w:r>
          </w:p>
        </w:tc>
      </w:tr>
      <w:tr w:rsidR="00622AC8" w:rsidRPr="00FE18EE" w14:paraId="33E6FC39" w14:textId="77777777" w:rsidTr="00622AC8">
        <w:trPr>
          <w:trHeight w:val="7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3CCE9" w14:textId="77777777" w:rsidR="00DD54E5" w:rsidRPr="00FE18EE" w:rsidRDefault="00DD54E5" w:rsidP="00126238">
            <w:pPr>
              <w:spacing w:after="0"/>
              <w:jc w:val="left"/>
              <w:rPr>
                <w:rFonts w:eastAsia="Times New Roman" w:cs="Calibri"/>
                <w:b/>
                <w:bCs/>
                <w:color w:val="000000" w:themeColor="text1"/>
                <w:sz w:val="20"/>
                <w:szCs w:val="20"/>
                <w:lang w:eastAsia="cs-CZ"/>
              </w:rPr>
            </w:pPr>
            <w:r w:rsidRPr="00FE18EE">
              <w:rPr>
                <w:rFonts w:eastAsia="Times New Roman" w:cs="Calibri"/>
                <w:bCs/>
                <w:color w:val="000000" w:themeColor="text1"/>
                <w:sz w:val="20"/>
                <w:szCs w:val="20"/>
                <w:lang w:eastAsia="cs-CZ"/>
              </w:rPr>
              <w:t>biopalivo</w:t>
            </w:r>
          </w:p>
        </w:tc>
        <w:tc>
          <w:tcPr>
            <w:tcW w:w="1836" w:type="dxa"/>
            <w:tcBorders>
              <w:top w:val="nil"/>
              <w:left w:val="nil"/>
              <w:bottom w:val="single" w:sz="4" w:space="0" w:color="auto"/>
              <w:right w:val="single" w:sz="4" w:space="0" w:color="auto"/>
            </w:tcBorders>
            <w:shd w:val="clear" w:color="auto" w:fill="auto"/>
            <w:noWrap/>
            <w:vAlign w:val="bottom"/>
            <w:hideMark/>
          </w:tcPr>
          <w:p w14:paraId="78E8B4B9" w14:textId="6E4A38BD" w:rsidR="00DD54E5" w:rsidRPr="00FE18EE" w:rsidRDefault="00DD54E5" w:rsidP="00126238">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4,1</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836" w:type="dxa"/>
            <w:tcBorders>
              <w:top w:val="nil"/>
              <w:left w:val="nil"/>
              <w:bottom w:val="single" w:sz="4" w:space="0" w:color="auto"/>
              <w:right w:val="single" w:sz="4" w:space="0" w:color="auto"/>
            </w:tcBorders>
            <w:shd w:val="clear" w:color="auto" w:fill="auto"/>
            <w:noWrap/>
            <w:vAlign w:val="bottom"/>
            <w:hideMark/>
          </w:tcPr>
          <w:p w14:paraId="126A1240" w14:textId="0075C37A" w:rsidR="00DD54E5" w:rsidRPr="00FE18EE" w:rsidRDefault="00DD54E5" w:rsidP="00126238">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4,1</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836" w:type="dxa"/>
            <w:tcBorders>
              <w:top w:val="nil"/>
              <w:left w:val="nil"/>
              <w:bottom w:val="single" w:sz="4" w:space="0" w:color="auto"/>
              <w:right w:val="single" w:sz="4" w:space="0" w:color="auto"/>
            </w:tcBorders>
            <w:shd w:val="clear" w:color="auto" w:fill="auto"/>
            <w:noWrap/>
            <w:vAlign w:val="bottom"/>
            <w:hideMark/>
          </w:tcPr>
          <w:p w14:paraId="0A4ACA3D" w14:textId="0BACF363" w:rsidR="00DD54E5" w:rsidRPr="00FE18EE" w:rsidRDefault="00DD54E5" w:rsidP="00126238">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4,1</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c>
          <w:tcPr>
            <w:tcW w:w="1836" w:type="dxa"/>
            <w:tcBorders>
              <w:top w:val="nil"/>
              <w:left w:val="nil"/>
              <w:bottom w:val="single" w:sz="4" w:space="0" w:color="auto"/>
              <w:right w:val="single" w:sz="4" w:space="0" w:color="auto"/>
            </w:tcBorders>
            <w:shd w:val="clear" w:color="auto" w:fill="auto"/>
            <w:noWrap/>
            <w:vAlign w:val="bottom"/>
            <w:hideMark/>
          </w:tcPr>
          <w:p w14:paraId="723D4758" w14:textId="6FD49992" w:rsidR="00DD54E5" w:rsidRPr="00FE18EE" w:rsidRDefault="00DD54E5" w:rsidP="00126238">
            <w:pPr>
              <w:spacing w:after="0"/>
              <w:jc w:val="center"/>
              <w:rPr>
                <w:rFonts w:eastAsia="Times New Roman" w:cs="Calibri"/>
                <w:color w:val="000000" w:themeColor="text1"/>
                <w:sz w:val="20"/>
                <w:szCs w:val="20"/>
                <w:lang w:eastAsia="cs-CZ"/>
              </w:rPr>
            </w:pPr>
            <w:r w:rsidRPr="00FE18EE">
              <w:rPr>
                <w:rFonts w:eastAsia="Times New Roman" w:cs="Calibri"/>
                <w:color w:val="000000" w:themeColor="text1"/>
                <w:sz w:val="20"/>
                <w:szCs w:val="20"/>
                <w:lang w:eastAsia="cs-CZ"/>
              </w:rPr>
              <w:t>4,1</w:t>
            </w:r>
            <w:r w:rsidR="00E25382">
              <w:rPr>
                <w:rFonts w:eastAsia="Times New Roman" w:cs="Calibri"/>
                <w:color w:val="000000" w:themeColor="text1"/>
                <w:sz w:val="20"/>
                <w:szCs w:val="20"/>
                <w:lang w:eastAsia="cs-CZ"/>
              </w:rPr>
              <w:t> </w:t>
            </w:r>
            <w:r w:rsidRPr="00FE18EE">
              <w:rPr>
                <w:rFonts w:eastAsia="Times New Roman" w:cs="Calibri"/>
                <w:color w:val="000000" w:themeColor="text1"/>
                <w:sz w:val="20"/>
                <w:szCs w:val="20"/>
                <w:lang w:eastAsia="cs-CZ"/>
              </w:rPr>
              <w:t>%</w:t>
            </w:r>
          </w:p>
        </w:tc>
      </w:tr>
    </w:tbl>
    <w:p w14:paraId="3F66D6EC" w14:textId="393152B2" w:rsidR="00DD54E5" w:rsidRPr="00FE18EE" w:rsidRDefault="00DD54E5" w:rsidP="00DC40B9">
      <w:pPr>
        <w:spacing w:before="40" w:after="0"/>
        <w:rPr>
          <w:color w:val="000000" w:themeColor="text1"/>
          <w:sz w:val="20"/>
          <w:szCs w:val="20"/>
          <w:lang w:eastAsia="cs-CZ"/>
        </w:rPr>
      </w:pPr>
      <w:r w:rsidRPr="00FE18EE">
        <w:rPr>
          <w:b/>
          <w:color w:val="000000" w:themeColor="text1"/>
          <w:sz w:val="20"/>
          <w:szCs w:val="20"/>
          <w:lang w:eastAsia="cs-CZ"/>
        </w:rPr>
        <w:t>Zdroj:</w:t>
      </w:r>
      <w:r w:rsidRPr="00FE18EE">
        <w:rPr>
          <w:color w:val="000000" w:themeColor="text1"/>
          <w:sz w:val="20"/>
          <w:szCs w:val="20"/>
          <w:lang w:eastAsia="cs-CZ"/>
        </w:rPr>
        <w:t xml:space="preserve"> </w:t>
      </w:r>
      <w:r w:rsidR="00E25382">
        <w:rPr>
          <w:color w:val="000000" w:themeColor="text1"/>
          <w:sz w:val="20"/>
          <w:szCs w:val="20"/>
          <w:lang w:eastAsia="cs-CZ"/>
        </w:rPr>
        <w:t>z</w:t>
      </w:r>
      <w:r w:rsidRPr="00FE18EE">
        <w:rPr>
          <w:color w:val="000000" w:themeColor="text1"/>
          <w:sz w:val="20"/>
          <w:szCs w:val="20"/>
          <w:lang w:eastAsia="cs-CZ"/>
        </w:rPr>
        <w:t>ákon č. 201/2012 Sb., o ochraně ovzduší, § 19 odst. 1 písm. a).</w:t>
      </w:r>
    </w:p>
    <w:p w14:paraId="674FE8C2" w14:textId="77777777" w:rsidR="00DC40B9" w:rsidRPr="005D08F9" w:rsidRDefault="00DC40B9" w:rsidP="00DC40B9">
      <w:pPr>
        <w:spacing w:after="0"/>
        <w:ind w:left="567" w:hanging="567"/>
        <w:rPr>
          <w:sz w:val="20"/>
          <w:szCs w:val="20"/>
          <w:lang w:eastAsia="cs-CZ"/>
        </w:rPr>
      </w:pPr>
    </w:p>
    <w:p w14:paraId="7FA1502F" w14:textId="77777777" w:rsidR="00DD54E5" w:rsidRPr="00FE18EE" w:rsidRDefault="00DF395A" w:rsidP="00DC40B9">
      <w:pPr>
        <w:pStyle w:val="Tabulka"/>
        <w:numPr>
          <w:ilvl w:val="0"/>
          <w:numId w:val="0"/>
        </w:numPr>
        <w:spacing w:after="40"/>
        <w:ind w:left="1446" w:hanging="1446"/>
        <w:rPr>
          <w:color w:val="000000" w:themeColor="text1"/>
          <w:lang w:eastAsia="cs-CZ"/>
        </w:rPr>
      </w:pPr>
      <w:r>
        <w:rPr>
          <w:color w:val="000000" w:themeColor="text1"/>
          <w:lang w:eastAsia="cs-CZ"/>
        </w:rPr>
        <w:lastRenderedPageBreak/>
        <w:t xml:space="preserve">Tabulka č. 15: </w:t>
      </w:r>
      <w:r>
        <w:rPr>
          <w:color w:val="000000" w:themeColor="text1"/>
          <w:lang w:eastAsia="cs-CZ"/>
        </w:rPr>
        <w:tab/>
      </w:r>
      <w:r w:rsidR="00DD54E5" w:rsidRPr="00FE18EE">
        <w:rPr>
          <w:color w:val="000000" w:themeColor="text1"/>
          <w:lang w:eastAsia="cs-CZ"/>
        </w:rPr>
        <w:t>Objem státní pomoci poskytnuté v souvislosti s alternativními palivy a biopalivy v letech 2015–2018</w:t>
      </w:r>
    </w:p>
    <w:tbl>
      <w:tblPr>
        <w:tblW w:w="9071" w:type="dxa"/>
        <w:tblLayout w:type="fixed"/>
        <w:tblCellMar>
          <w:left w:w="70" w:type="dxa"/>
          <w:right w:w="70" w:type="dxa"/>
        </w:tblCellMar>
        <w:tblLook w:val="04A0" w:firstRow="1" w:lastRow="0" w:firstColumn="1" w:lastColumn="0" w:noHBand="0" w:noVBand="1"/>
      </w:tblPr>
      <w:tblGrid>
        <w:gridCol w:w="4535"/>
        <w:gridCol w:w="1134"/>
        <w:gridCol w:w="1134"/>
        <w:gridCol w:w="1134"/>
        <w:gridCol w:w="1134"/>
      </w:tblGrid>
      <w:tr w:rsidR="00DD54E5" w14:paraId="1B209015" w14:textId="77777777" w:rsidTr="00E25382">
        <w:trPr>
          <w:trHeight w:val="107"/>
        </w:trPr>
        <w:tc>
          <w:tcPr>
            <w:tcW w:w="4535"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A8E28FC" w14:textId="77777777" w:rsidR="00DD54E5" w:rsidRPr="00B72A98" w:rsidRDefault="00DD54E5" w:rsidP="00DC40B9">
            <w:pPr>
              <w:keepNext/>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Rok</w:t>
            </w:r>
          </w:p>
        </w:tc>
        <w:tc>
          <w:tcPr>
            <w:tcW w:w="1134" w:type="dxa"/>
            <w:tcBorders>
              <w:top w:val="single" w:sz="4" w:space="0" w:color="auto"/>
              <w:left w:val="nil"/>
              <w:bottom w:val="single" w:sz="4" w:space="0" w:color="auto"/>
              <w:right w:val="single" w:sz="4" w:space="0" w:color="auto"/>
            </w:tcBorders>
            <w:shd w:val="clear" w:color="auto" w:fill="E5F1FF"/>
            <w:noWrap/>
            <w:vAlign w:val="bottom"/>
            <w:hideMark/>
          </w:tcPr>
          <w:p w14:paraId="6AC74CF2" w14:textId="77777777" w:rsidR="00DD54E5" w:rsidRPr="00B72A98" w:rsidRDefault="00DD54E5" w:rsidP="00DC40B9">
            <w:pPr>
              <w:keepNext/>
              <w:spacing w:after="0"/>
              <w:jc w:val="center"/>
              <w:rPr>
                <w:rFonts w:eastAsia="Times New Roman" w:cs="Calibri"/>
                <w:b/>
                <w:bCs/>
                <w:color w:val="000000"/>
                <w:sz w:val="20"/>
                <w:szCs w:val="20"/>
                <w:lang w:eastAsia="cs-CZ"/>
              </w:rPr>
            </w:pPr>
            <w:r w:rsidRPr="00B72A98">
              <w:rPr>
                <w:rFonts w:eastAsia="Times New Roman" w:cs="Calibri"/>
                <w:b/>
                <w:bCs/>
                <w:color w:val="000000"/>
                <w:sz w:val="20"/>
                <w:szCs w:val="20"/>
                <w:lang w:eastAsia="cs-CZ"/>
              </w:rPr>
              <w:t>2015</w:t>
            </w:r>
          </w:p>
        </w:tc>
        <w:tc>
          <w:tcPr>
            <w:tcW w:w="1134" w:type="dxa"/>
            <w:tcBorders>
              <w:top w:val="single" w:sz="4" w:space="0" w:color="auto"/>
              <w:left w:val="nil"/>
              <w:bottom w:val="single" w:sz="4" w:space="0" w:color="auto"/>
              <w:right w:val="single" w:sz="4" w:space="0" w:color="auto"/>
            </w:tcBorders>
            <w:shd w:val="clear" w:color="auto" w:fill="E5F1FF"/>
            <w:noWrap/>
            <w:vAlign w:val="bottom"/>
            <w:hideMark/>
          </w:tcPr>
          <w:p w14:paraId="7ADFD459" w14:textId="77777777" w:rsidR="00DD54E5" w:rsidRPr="00B72A98" w:rsidRDefault="00DD54E5" w:rsidP="00DC40B9">
            <w:pPr>
              <w:keepNext/>
              <w:spacing w:after="0"/>
              <w:jc w:val="center"/>
              <w:rPr>
                <w:rFonts w:eastAsia="Times New Roman" w:cs="Calibri"/>
                <w:b/>
                <w:bCs/>
                <w:color w:val="000000"/>
                <w:sz w:val="20"/>
                <w:szCs w:val="20"/>
                <w:lang w:eastAsia="cs-CZ"/>
              </w:rPr>
            </w:pPr>
            <w:r w:rsidRPr="00B72A98">
              <w:rPr>
                <w:rFonts w:eastAsia="Times New Roman" w:cs="Calibri"/>
                <w:b/>
                <w:bCs/>
                <w:color w:val="000000"/>
                <w:sz w:val="20"/>
                <w:szCs w:val="20"/>
                <w:lang w:eastAsia="cs-CZ"/>
              </w:rPr>
              <w:t>2016</w:t>
            </w:r>
          </w:p>
        </w:tc>
        <w:tc>
          <w:tcPr>
            <w:tcW w:w="1134" w:type="dxa"/>
            <w:tcBorders>
              <w:top w:val="single" w:sz="4" w:space="0" w:color="auto"/>
              <w:left w:val="nil"/>
              <w:bottom w:val="single" w:sz="4" w:space="0" w:color="auto"/>
              <w:right w:val="single" w:sz="4" w:space="0" w:color="auto"/>
            </w:tcBorders>
            <w:shd w:val="clear" w:color="auto" w:fill="E5F1FF"/>
            <w:noWrap/>
            <w:vAlign w:val="bottom"/>
            <w:hideMark/>
          </w:tcPr>
          <w:p w14:paraId="77E26505" w14:textId="77777777" w:rsidR="00DD54E5" w:rsidRPr="00B72A98" w:rsidRDefault="00DD54E5" w:rsidP="00DC40B9">
            <w:pPr>
              <w:keepNext/>
              <w:spacing w:after="0"/>
              <w:jc w:val="center"/>
              <w:rPr>
                <w:rFonts w:eastAsia="Times New Roman" w:cs="Calibri"/>
                <w:b/>
                <w:bCs/>
                <w:color w:val="000000"/>
                <w:sz w:val="20"/>
                <w:szCs w:val="20"/>
                <w:lang w:eastAsia="cs-CZ"/>
              </w:rPr>
            </w:pPr>
            <w:r w:rsidRPr="00B72A98">
              <w:rPr>
                <w:rFonts w:eastAsia="Times New Roman" w:cs="Calibri"/>
                <w:b/>
                <w:bCs/>
                <w:color w:val="000000"/>
                <w:sz w:val="20"/>
                <w:szCs w:val="20"/>
                <w:lang w:eastAsia="cs-CZ"/>
              </w:rPr>
              <w:t>2017</w:t>
            </w:r>
          </w:p>
        </w:tc>
        <w:tc>
          <w:tcPr>
            <w:tcW w:w="1134" w:type="dxa"/>
            <w:tcBorders>
              <w:top w:val="single" w:sz="4" w:space="0" w:color="auto"/>
              <w:left w:val="nil"/>
              <w:bottom w:val="single" w:sz="4" w:space="0" w:color="auto"/>
              <w:right w:val="single" w:sz="4" w:space="0" w:color="auto"/>
            </w:tcBorders>
            <w:shd w:val="clear" w:color="auto" w:fill="E5F1FF"/>
            <w:noWrap/>
            <w:vAlign w:val="bottom"/>
            <w:hideMark/>
          </w:tcPr>
          <w:p w14:paraId="434A7969" w14:textId="77777777" w:rsidR="00DD54E5" w:rsidRPr="00B72A98" w:rsidRDefault="00DD54E5" w:rsidP="00DC40B9">
            <w:pPr>
              <w:keepNext/>
              <w:spacing w:after="0"/>
              <w:jc w:val="center"/>
              <w:rPr>
                <w:rFonts w:eastAsia="Times New Roman" w:cs="Calibri"/>
                <w:b/>
                <w:bCs/>
                <w:color w:val="000000"/>
                <w:sz w:val="20"/>
                <w:szCs w:val="20"/>
                <w:lang w:eastAsia="cs-CZ"/>
              </w:rPr>
            </w:pPr>
            <w:r w:rsidRPr="00B72A98">
              <w:rPr>
                <w:rFonts w:eastAsia="Times New Roman" w:cs="Calibri"/>
                <w:b/>
                <w:bCs/>
                <w:color w:val="000000"/>
                <w:sz w:val="20"/>
                <w:szCs w:val="20"/>
                <w:lang w:eastAsia="cs-CZ"/>
              </w:rPr>
              <w:t>2018</w:t>
            </w:r>
          </w:p>
        </w:tc>
      </w:tr>
      <w:tr w:rsidR="00DD54E5" w14:paraId="68A946D9" w14:textId="77777777" w:rsidTr="00E25382">
        <w:trPr>
          <w:trHeight w:val="300"/>
        </w:trPr>
        <w:tc>
          <w:tcPr>
            <w:tcW w:w="4535" w:type="dxa"/>
            <w:tcBorders>
              <w:top w:val="nil"/>
              <w:left w:val="single" w:sz="4" w:space="0" w:color="auto"/>
              <w:bottom w:val="single" w:sz="4" w:space="0" w:color="auto"/>
              <w:right w:val="single" w:sz="4" w:space="0" w:color="auto"/>
            </w:tcBorders>
            <w:shd w:val="clear" w:color="auto" w:fill="auto"/>
            <w:noWrap/>
            <w:vAlign w:val="bottom"/>
            <w:hideMark/>
          </w:tcPr>
          <w:p w14:paraId="11B5D94D" w14:textId="5C251B90" w:rsidR="00DD54E5" w:rsidRPr="00B72A98" w:rsidRDefault="00DD54E5" w:rsidP="00E25382">
            <w:pPr>
              <w:keepNext/>
              <w:spacing w:after="0"/>
              <w:jc w:val="left"/>
              <w:rPr>
                <w:rFonts w:eastAsia="Times New Roman" w:cs="Calibri"/>
                <w:bCs/>
                <w:color w:val="000000"/>
                <w:sz w:val="20"/>
                <w:szCs w:val="20"/>
                <w:lang w:eastAsia="cs-CZ"/>
              </w:rPr>
            </w:pPr>
            <w:r w:rsidRPr="00B72A98">
              <w:rPr>
                <w:rFonts w:eastAsia="Times New Roman" w:cs="Calibri"/>
                <w:bCs/>
                <w:color w:val="000000"/>
                <w:sz w:val="20"/>
                <w:szCs w:val="20"/>
                <w:lang w:eastAsia="cs-CZ"/>
              </w:rPr>
              <w:t>Objem státní pomoci poskytnuté v</w:t>
            </w:r>
            <w:r w:rsidR="00E25382">
              <w:rPr>
                <w:rFonts w:eastAsia="Times New Roman" w:cs="Calibri"/>
                <w:bCs/>
                <w:color w:val="000000"/>
                <w:sz w:val="20"/>
                <w:szCs w:val="20"/>
                <w:lang w:eastAsia="cs-CZ"/>
              </w:rPr>
              <w:t> </w:t>
            </w:r>
            <w:r w:rsidRPr="00B72A98">
              <w:rPr>
                <w:rFonts w:eastAsia="Times New Roman" w:cs="Calibri"/>
                <w:bCs/>
                <w:color w:val="000000"/>
                <w:sz w:val="20"/>
                <w:szCs w:val="20"/>
                <w:lang w:eastAsia="cs-CZ"/>
              </w:rPr>
              <w:t>souvislosti</w:t>
            </w:r>
            <w:r w:rsidR="00E25382">
              <w:rPr>
                <w:rFonts w:eastAsia="Times New Roman" w:cs="Calibri"/>
                <w:bCs/>
                <w:color w:val="000000"/>
                <w:sz w:val="20"/>
                <w:szCs w:val="20"/>
                <w:lang w:eastAsia="cs-CZ"/>
              </w:rPr>
              <w:t xml:space="preserve"> </w:t>
            </w:r>
            <w:r w:rsidRPr="00B72A98">
              <w:rPr>
                <w:rFonts w:eastAsia="Times New Roman" w:cs="Calibri"/>
                <w:bCs/>
                <w:color w:val="000000"/>
                <w:sz w:val="20"/>
                <w:szCs w:val="20"/>
                <w:lang w:eastAsia="cs-CZ"/>
              </w:rPr>
              <w:t>s</w:t>
            </w:r>
            <w:r w:rsidR="00E25382">
              <w:rPr>
                <w:rFonts w:eastAsia="Times New Roman" w:cs="Calibri"/>
                <w:bCs/>
                <w:color w:val="000000"/>
                <w:sz w:val="20"/>
                <w:szCs w:val="20"/>
                <w:lang w:eastAsia="cs-CZ"/>
              </w:rPr>
              <w:t> </w:t>
            </w:r>
            <w:r w:rsidRPr="00B72A98">
              <w:rPr>
                <w:rFonts w:eastAsia="Times New Roman" w:cs="Calibri"/>
                <w:bCs/>
                <w:color w:val="000000"/>
                <w:sz w:val="20"/>
                <w:szCs w:val="20"/>
                <w:lang w:eastAsia="cs-CZ"/>
              </w:rPr>
              <w:t>alternativními palivy a biopalivy v</w:t>
            </w:r>
            <w:r w:rsidR="00E25382">
              <w:rPr>
                <w:rFonts w:eastAsia="Times New Roman" w:cs="Calibri"/>
                <w:bCs/>
                <w:color w:val="000000"/>
                <w:sz w:val="20"/>
                <w:szCs w:val="20"/>
                <w:lang w:eastAsia="cs-CZ"/>
              </w:rPr>
              <w:t> </w:t>
            </w:r>
            <w:r w:rsidRPr="00B72A98">
              <w:rPr>
                <w:rFonts w:eastAsia="Times New Roman" w:cs="Calibri"/>
                <w:bCs/>
                <w:color w:val="000000"/>
                <w:sz w:val="20"/>
                <w:szCs w:val="20"/>
                <w:lang w:eastAsia="cs-CZ"/>
              </w:rPr>
              <w:t>mil. €</w:t>
            </w:r>
          </w:p>
        </w:tc>
        <w:tc>
          <w:tcPr>
            <w:tcW w:w="1134" w:type="dxa"/>
            <w:tcBorders>
              <w:top w:val="nil"/>
              <w:left w:val="nil"/>
              <w:bottom w:val="single" w:sz="4" w:space="0" w:color="auto"/>
              <w:right w:val="single" w:sz="4" w:space="0" w:color="auto"/>
            </w:tcBorders>
            <w:shd w:val="clear" w:color="auto" w:fill="auto"/>
            <w:noWrap/>
            <w:vAlign w:val="bottom"/>
            <w:hideMark/>
          </w:tcPr>
          <w:p w14:paraId="085E2050" w14:textId="77777777" w:rsidR="00DD54E5" w:rsidRPr="00B72A98" w:rsidRDefault="00DD54E5" w:rsidP="00DC40B9">
            <w:pPr>
              <w:keepNext/>
              <w:jc w:val="center"/>
              <w:rPr>
                <w:rFonts w:cs="Calibri"/>
                <w:color w:val="000000"/>
                <w:sz w:val="20"/>
                <w:szCs w:val="20"/>
              </w:rPr>
            </w:pPr>
            <w:r w:rsidRPr="00B72A98">
              <w:rPr>
                <w:rFonts w:cs="Calibri"/>
                <w:color w:val="000000"/>
                <w:sz w:val="20"/>
                <w:szCs w:val="20"/>
              </w:rPr>
              <w:t>80,15</w:t>
            </w:r>
          </w:p>
        </w:tc>
        <w:tc>
          <w:tcPr>
            <w:tcW w:w="1134" w:type="dxa"/>
            <w:tcBorders>
              <w:top w:val="nil"/>
              <w:left w:val="nil"/>
              <w:bottom w:val="single" w:sz="4" w:space="0" w:color="auto"/>
              <w:right w:val="single" w:sz="4" w:space="0" w:color="auto"/>
            </w:tcBorders>
            <w:shd w:val="clear" w:color="auto" w:fill="auto"/>
            <w:noWrap/>
            <w:vAlign w:val="bottom"/>
            <w:hideMark/>
          </w:tcPr>
          <w:p w14:paraId="1E0A5F87" w14:textId="77777777" w:rsidR="00DD54E5" w:rsidRPr="00B72A98" w:rsidRDefault="00DD54E5" w:rsidP="00DC40B9">
            <w:pPr>
              <w:keepNext/>
              <w:jc w:val="center"/>
              <w:rPr>
                <w:rFonts w:cs="Calibri"/>
                <w:color w:val="000000"/>
                <w:sz w:val="20"/>
                <w:szCs w:val="20"/>
              </w:rPr>
            </w:pPr>
            <w:r w:rsidRPr="00B72A98">
              <w:rPr>
                <w:rFonts w:cs="Calibri"/>
                <w:color w:val="000000"/>
                <w:sz w:val="20"/>
                <w:szCs w:val="20"/>
              </w:rPr>
              <w:t>5,54</w:t>
            </w:r>
          </w:p>
        </w:tc>
        <w:tc>
          <w:tcPr>
            <w:tcW w:w="1134" w:type="dxa"/>
            <w:tcBorders>
              <w:top w:val="nil"/>
              <w:left w:val="nil"/>
              <w:bottom w:val="single" w:sz="4" w:space="0" w:color="auto"/>
              <w:right w:val="single" w:sz="4" w:space="0" w:color="auto"/>
            </w:tcBorders>
            <w:shd w:val="clear" w:color="auto" w:fill="auto"/>
            <w:noWrap/>
            <w:vAlign w:val="bottom"/>
            <w:hideMark/>
          </w:tcPr>
          <w:p w14:paraId="0EFF75F1" w14:textId="77777777" w:rsidR="00DD54E5" w:rsidRPr="00B72A98" w:rsidRDefault="00DD54E5" w:rsidP="00DC40B9">
            <w:pPr>
              <w:keepNext/>
              <w:jc w:val="center"/>
              <w:rPr>
                <w:rFonts w:cs="Calibri"/>
                <w:color w:val="000000"/>
                <w:sz w:val="20"/>
                <w:szCs w:val="20"/>
              </w:rPr>
            </w:pPr>
            <w:r w:rsidRPr="00B72A98">
              <w:rPr>
                <w:rFonts w:cs="Calibri"/>
                <w:color w:val="000000"/>
                <w:sz w:val="20"/>
                <w:szCs w:val="20"/>
              </w:rPr>
              <w:t>6,18</w:t>
            </w:r>
          </w:p>
        </w:tc>
        <w:tc>
          <w:tcPr>
            <w:tcW w:w="1134" w:type="dxa"/>
            <w:tcBorders>
              <w:top w:val="nil"/>
              <w:left w:val="nil"/>
              <w:bottom w:val="single" w:sz="4" w:space="0" w:color="auto"/>
              <w:right w:val="single" w:sz="4" w:space="0" w:color="auto"/>
            </w:tcBorders>
            <w:shd w:val="clear" w:color="auto" w:fill="auto"/>
            <w:noWrap/>
            <w:vAlign w:val="bottom"/>
            <w:hideMark/>
          </w:tcPr>
          <w:p w14:paraId="795C655B" w14:textId="77777777" w:rsidR="00DD54E5" w:rsidRPr="00B72A98" w:rsidRDefault="00DD54E5" w:rsidP="00DC40B9">
            <w:pPr>
              <w:keepNext/>
              <w:jc w:val="center"/>
              <w:rPr>
                <w:rFonts w:cs="Calibri"/>
                <w:color w:val="000000"/>
                <w:sz w:val="20"/>
                <w:szCs w:val="20"/>
              </w:rPr>
            </w:pPr>
            <w:r w:rsidRPr="00B72A98">
              <w:rPr>
                <w:rFonts w:cs="Calibri"/>
                <w:color w:val="000000"/>
                <w:sz w:val="20"/>
                <w:szCs w:val="20"/>
              </w:rPr>
              <w:t>4,63</w:t>
            </w:r>
          </w:p>
        </w:tc>
      </w:tr>
    </w:tbl>
    <w:p w14:paraId="410FD729" w14:textId="77777777" w:rsidR="00DD54E5" w:rsidRPr="003B2EAC" w:rsidRDefault="00DD54E5" w:rsidP="00DC40B9">
      <w:pPr>
        <w:keepNext/>
        <w:spacing w:before="40" w:after="0"/>
        <w:ind w:left="567" w:hanging="567"/>
        <w:rPr>
          <w:sz w:val="20"/>
          <w:szCs w:val="20"/>
          <w:lang w:eastAsia="cs-CZ"/>
        </w:rPr>
      </w:pPr>
      <w:r w:rsidRPr="00011B75">
        <w:rPr>
          <w:b/>
          <w:sz w:val="20"/>
          <w:szCs w:val="20"/>
          <w:lang w:eastAsia="cs-CZ"/>
        </w:rPr>
        <w:t>Zdroj:</w:t>
      </w:r>
      <w:r w:rsidRPr="003B2EAC">
        <w:rPr>
          <w:sz w:val="20"/>
          <w:szCs w:val="20"/>
          <w:lang w:eastAsia="cs-CZ"/>
        </w:rPr>
        <w:t xml:space="preserve"> </w:t>
      </w:r>
      <w:r w:rsidR="00DF395A">
        <w:rPr>
          <w:sz w:val="20"/>
          <w:szCs w:val="20"/>
          <w:lang w:eastAsia="cs-CZ"/>
        </w:rPr>
        <w:tab/>
      </w:r>
      <w:hyperlink r:id="rId58" w:history="1">
        <w:r w:rsidR="00622AC8" w:rsidRPr="00622AC8">
          <w:rPr>
            <w:rStyle w:val="Hypertextovodkaz"/>
            <w:sz w:val="20"/>
            <w:szCs w:val="20"/>
            <w:u w:val="none"/>
            <w:lang w:eastAsia="cs-CZ"/>
          </w:rPr>
          <w:t>https://www.celnisprava.cz/cz/dane/statistiky/Stranky/mineraly.aspx</w:t>
        </w:r>
      </w:hyperlink>
      <w:r w:rsidRPr="003B2EAC">
        <w:rPr>
          <w:sz w:val="20"/>
          <w:szCs w:val="20"/>
          <w:lang w:eastAsia="cs-CZ"/>
        </w:rPr>
        <w:t>, biopaliva za jednotlivé roky</w:t>
      </w:r>
      <w:r>
        <w:rPr>
          <w:sz w:val="20"/>
          <w:szCs w:val="20"/>
          <w:lang w:eastAsia="cs-CZ"/>
        </w:rPr>
        <w:t xml:space="preserve">; </w:t>
      </w:r>
      <w:hyperlink r:id="rId59" w:history="1">
        <w:r w:rsidR="00622AC8" w:rsidRPr="00622AC8">
          <w:rPr>
            <w:rStyle w:val="Hypertextovodkaz"/>
            <w:sz w:val="20"/>
            <w:szCs w:val="20"/>
            <w:u w:val="none"/>
            <w:lang w:eastAsia="cs-CZ"/>
          </w:rPr>
          <w:t>https://www.celnisprava.cz/cz/dane/statistiky/Stranky/ekodane.asp</w:t>
        </w:r>
      </w:hyperlink>
      <w:r w:rsidRPr="00C87FD7">
        <w:rPr>
          <w:sz w:val="20"/>
          <w:szCs w:val="20"/>
          <w:lang w:eastAsia="cs-CZ"/>
        </w:rPr>
        <w:t>, daně ze zemního plynu za jednotlivé roky</w:t>
      </w:r>
      <w:r>
        <w:rPr>
          <w:sz w:val="20"/>
          <w:szCs w:val="20"/>
          <w:lang w:eastAsia="cs-CZ"/>
        </w:rPr>
        <w:t>.</w:t>
      </w:r>
    </w:p>
    <w:p w14:paraId="17BE220E" w14:textId="35CC8F63" w:rsidR="00DD54E5" w:rsidRDefault="00DD54E5" w:rsidP="00DC40B9">
      <w:pPr>
        <w:tabs>
          <w:tab w:val="left" w:pos="5220"/>
        </w:tabs>
        <w:spacing w:after="0"/>
        <w:ind w:left="567" w:hanging="567"/>
        <w:rPr>
          <w:sz w:val="20"/>
          <w:szCs w:val="20"/>
          <w:lang w:eastAsia="cs-CZ"/>
        </w:rPr>
      </w:pPr>
      <w:r w:rsidRPr="00DF395A">
        <w:rPr>
          <w:b/>
          <w:sz w:val="20"/>
          <w:szCs w:val="20"/>
          <w:lang w:eastAsia="cs-CZ"/>
        </w:rPr>
        <w:t>Pozn.:</w:t>
      </w:r>
      <w:r w:rsidRPr="003B2EAC">
        <w:rPr>
          <w:sz w:val="20"/>
          <w:szCs w:val="20"/>
          <w:lang w:eastAsia="cs-CZ"/>
        </w:rPr>
        <w:t xml:space="preserve"> Kurz </w:t>
      </w:r>
      <w:r w:rsidR="00E25382" w:rsidRPr="003B2EAC">
        <w:rPr>
          <w:sz w:val="20"/>
          <w:szCs w:val="20"/>
          <w:lang w:eastAsia="cs-CZ"/>
        </w:rPr>
        <w:t xml:space="preserve">ČNB </w:t>
      </w:r>
      <w:r w:rsidRPr="003B2EAC">
        <w:rPr>
          <w:sz w:val="20"/>
          <w:szCs w:val="20"/>
          <w:lang w:eastAsia="cs-CZ"/>
        </w:rPr>
        <w:t>ke dni 17. 9. 2019</w:t>
      </w:r>
      <w:r w:rsidR="00E25382">
        <w:rPr>
          <w:sz w:val="20"/>
          <w:szCs w:val="20"/>
          <w:lang w:eastAsia="cs-CZ"/>
        </w:rPr>
        <w:t>:</w:t>
      </w:r>
      <w:r w:rsidRPr="003B2EAC">
        <w:rPr>
          <w:sz w:val="20"/>
          <w:szCs w:val="20"/>
          <w:lang w:eastAsia="cs-CZ"/>
        </w:rPr>
        <w:t xml:space="preserve"> 1 </w:t>
      </w:r>
      <w:r w:rsidR="00E25382">
        <w:rPr>
          <w:sz w:val="20"/>
          <w:szCs w:val="20"/>
          <w:lang w:eastAsia="cs-CZ"/>
        </w:rPr>
        <w:t>€</w:t>
      </w:r>
      <w:r w:rsidRPr="003B2EAC">
        <w:rPr>
          <w:sz w:val="20"/>
          <w:szCs w:val="20"/>
          <w:lang w:eastAsia="cs-CZ"/>
        </w:rPr>
        <w:t xml:space="preserve"> = 25,88 Kč.</w:t>
      </w:r>
      <w:r>
        <w:rPr>
          <w:sz w:val="20"/>
          <w:szCs w:val="20"/>
          <w:lang w:eastAsia="cs-CZ"/>
        </w:rPr>
        <w:t xml:space="preserve"> S</w:t>
      </w:r>
      <w:r w:rsidRPr="003B2EAC">
        <w:rPr>
          <w:sz w:val="20"/>
          <w:szCs w:val="20"/>
          <w:lang w:eastAsia="cs-CZ"/>
        </w:rPr>
        <w:t>tátní pomoc pro CNG = rozdíl mezi spotřební daní při minimální sazbě dle směrnice a vyměřené spotřební daně v jednotlivých letech</w:t>
      </w:r>
      <w:r>
        <w:rPr>
          <w:sz w:val="20"/>
          <w:szCs w:val="20"/>
          <w:lang w:eastAsia="cs-CZ"/>
        </w:rPr>
        <w:t>.</w:t>
      </w:r>
    </w:p>
    <w:p w14:paraId="742D249C" w14:textId="77777777" w:rsidR="00DC40B9" w:rsidRPr="005D08F9" w:rsidRDefault="00DC40B9" w:rsidP="00DC40B9">
      <w:pPr>
        <w:spacing w:after="0"/>
        <w:ind w:left="567" w:hanging="567"/>
        <w:rPr>
          <w:sz w:val="20"/>
          <w:szCs w:val="20"/>
          <w:lang w:eastAsia="cs-CZ"/>
        </w:rPr>
      </w:pPr>
    </w:p>
    <w:p w14:paraId="02E2775A" w14:textId="67D7AE28" w:rsidR="00DD54E5" w:rsidRDefault="00622AC8" w:rsidP="00C153D7">
      <w:pPr>
        <w:pStyle w:val="Tabulka"/>
        <w:numPr>
          <w:ilvl w:val="0"/>
          <w:numId w:val="0"/>
        </w:numPr>
        <w:spacing w:after="40"/>
        <w:ind w:left="1446" w:hanging="1446"/>
        <w:rPr>
          <w:lang w:eastAsia="cs-CZ"/>
        </w:rPr>
      </w:pPr>
      <w:r>
        <w:rPr>
          <w:lang w:eastAsia="cs-CZ"/>
        </w:rPr>
        <w:t>Tabulka č. 16:</w:t>
      </w:r>
      <w:r>
        <w:rPr>
          <w:lang w:eastAsia="cs-CZ"/>
        </w:rPr>
        <w:tab/>
      </w:r>
      <w:r w:rsidR="00DD54E5" w:rsidRPr="00800A4F">
        <w:rPr>
          <w:lang w:eastAsia="cs-CZ"/>
        </w:rPr>
        <w:t>Vývoj sazeb spotřební daně z minerálních olej</w:t>
      </w:r>
      <w:r w:rsidR="00DD54E5">
        <w:rPr>
          <w:lang w:eastAsia="cs-CZ"/>
        </w:rPr>
        <w:t>ů v letech 2015–2018 v €/1</w:t>
      </w:r>
      <w:r w:rsidR="00E25382">
        <w:rPr>
          <w:lang w:eastAsia="cs-CZ"/>
        </w:rPr>
        <w:t> </w:t>
      </w:r>
      <w:r w:rsidR="00DD54E5">
        <w:rPr>
          <w:lang w:eastAsia="cs-CZ"/>
        </w:rPr>
        <w:t>000 </w:t>
      </w:r>
      <w:r w:rsidR="00DD54E5" w:rsidRPr="00800A4F">
        <w:rPr>
          <w:lang w:eastAsia="cs-CZ"/>
        </w:rPr>
        <w:t>l</w:t>
      </w:r>
    </w:p>
    <w:tbl>
      <w:tblPr>
        <w:tblStyle w:val="Mkatabulky"/>
        <w:tblW w:w="0" w:type="auto"/>
        <w:tblLayout w:type="fixed"/>
        <w:tblLook w:val="04A0" w:firstRow="1" w:lastRow="0" w:firstColumn="1" w:lastColumn="0" w:noHBand="0" w:noVBand="1"/>
      </w:tblPr>
      <w:tblGrid>
        <w:gridCol w:w="3628"/>
        <w:gridCol w:w="1191"/>
        <w:gridCol w:w="1191"/>
        <w:gridCol w:w="1814"/>
        <w:gridCol w:w="1191"/>
      </w:tblGrid>
      <w:tr w:rsidR="00DD54E5" w14:paraId="7D776577" w14:textId="77777777" w:rsidTr="00622AC8">
        <w:trPr>
          <w:trHeight w:val="227"/>
        </w:trPr>
        <w:tc>
          <w:tcPr>
            <w:tcW w:w="3628" w:type="dxa"/>
            <w:shd w:val="clear" w:color="auto" w:fill="E5F1FF"/>
            <w:noWrap/>
            <w:vAlign w:val="center"/>
            <w:hideMark/>
          </w:tcPr>
          <w:p w14:paraId="450962C7" w14:textId="77777777" w:rsidR="00DD54E5" w:rsidRPr="00800A4F" w:rsidRDefault="00DD54E5" w:rsidP="00C153D7">
            <w:pPr>
              <w:keepNext/>
              <w:spacing w:after="0"/>
              <w:jc w:val="center"/>
              <w:rPr>
                <w:b/>
                <w:bCs/>
                <w:sz w:val="20"/>
                <w:szCs w:val="20"/>
                <w:lang w:eastAsia="cs-CZ"/>
              </w:rPr>
            </w:pPr>
            <w:r>
              <w:rPr>
                <w:b/>
                <w:bCs/>
                <w:sz w:val="20"/>
                <w:szCs w:val="20"/>
                <w:lang w:eastAsia="cs-CZ"/>
              </w:rPr>
              <w:t>Rok</w:t>
            </w:r>
          </w:p>
        </w:tc>
        <w:tc>
          <w:tcPr>
            <w:tcW w:w="1191" w:type="dxa"/>
            <w:shd w:val="clear" w:color="auto" w:fill="E5F1FF"/>
            <w:noWrap/>
            <w:vAlign w:val="center"/>
            <w:hideMark/>
          </w:tcPr>
          <w:p w14:paraId="141F5725" w14:textId="77777777" w:rsidR="00DD54E5" w:rsidRPr="00800A4F" w:rsidRDefault="00DD54E5" w:rsidP="00C153D7">
            <w:pPr>
              <w:keepNext/>
              <w:spacing w:after="0"/>
              <w:jc w:val="center"/>
              <w:rPr>
                <w:b/>
                <w:bCs/>
                <w:sz w:val="20"/>
                <w:szCs w:val="20"/>
                <w:lang w:eastAsia="cs-CZ"/>
              </w:rPr>
            </w:pPr>
            <w:r w:rsidRPr="00800A4F">
              <w:rPr>
                <w:b/>
                <w:bCs/>
                <w:sz w:val="20"/>
                <w:szCs w:val="20"/>
                <w:lang w:eastAsia="cs-CZ"/>
              </w:rPr>
              <w:t>2015</w:t>
            </w:r>
          </w:p>
        </w:tc>
        <w:tc>
          <w:tcPr>
            <w:tcW w:w="1191" w:type="dxa"/>
            <w:shd w:val="clear" w:color="auto" w:fill="E5F1FF"/>
            <w:noWrap/>
            <w:vAlign w:val="center"/>
            <w:hideMark/>
          </w:tcPr>
          <w:p w14:paraId="115EF1AC" w14:textId="77777777" w:rsidR="00DD54E5" w:rsidRPr="00800A4F" w:rsidRDefault="00DD54E5" w:rsidP="00C153D7">
            <w:pPr>
              <w:keepNext/>
              <w:spacing w:after="0"/>
              <w:jc w:val="center"/>
              <w:rPr>
                <w:b/>
                <w:bCs/>
                <w:sz w:val="20"/>
                <w:szCs w:val="20"/>
                <w:lang w:eastAsia="cs-CZ"/>
              </w:rPr>
            </w:pPr>
            <w:r w:rsidRPr="00800A4F">
              <w:rPr>
                <w:b/>
                <w:bCs/>
                <w:sz w:val="20"/>
                <w:szCs w:val="20"/>
                <w:lang w:eastAsia="cs-CZ"/>
              </w:rPr>
              <w:t>2016</w:t>
            </w:r>
          </w:p>
        </w:tc>
        <w:tc>
          <w:tcPr>
            <w:tcW w:w="1814" w:type="dxa"/>
            <w:shd w:val="clear" w:color="auto" w:fill="E5F1FF"/>
            <w:noWrap/>
            <w:vAlign w:val="center"/>
            <w:hideMark/>
          </w:tcPr>
          <w:p w14:paraId="026A150D" w14:textId="77777777" w:rsidR="00DD54E5" w:rsidRPr="00800A4F" w:rsidRDefault="00DD54E5" w:rsidP="00C153D7">
            <w:pPr>
              <w:keepNext/>
              <w:spacing w:after="0"/>
              <w:jc w:val="center"/>
              <w:rPr>
                <w:b/>
                <w:bCs/>
                <w:sz w:val="20"/>
                <w:szCs w:val="20"/>
                <w:lang w:eastAsia="cs-CZ"/>
              </w:rPr>
            </w:pPr>
            <w:r w:rsidRPr="00800A4F">
              <w:rPr>
                <w:b/>
                <w:bCs/>
                <w:sz w:val="20"/>
                <w:szCs w:val="20"/>
                <w:lang w:eastAsia="cs-CZ"/>
              </w:rPr>
              <w:t>2017</w:t>
            </w:r>
          </w:p>
        </w:tc>
        <w:tc>
          <w:tcPr>
            <w:tcW w:w="1191" w:type="dxa"/>
            <w:shd w:val="clear" w:color="auto" w:fill="E5F1FF"/>
            <w:noWrap/>
            <w:vAlign w:val="center"/>
            <w:hideMark/>
          </w:tcPr>
          <w:p w14:paraId="3AB644BA" w14:textId="77777777" w:rsidR="00DD54E5" w:rsidRPr="00800A4F" w:rsidRDefault="00DD54E5" w:rsidP="00C153D7">
            <w:pPr>
              <w:keepNext/>
              <w:spacing w:after="0"/>
              <w:jc w:val="center"/>
              <w:rPr>
                <w:b/>
                <w:bCs/>
                <w:sz w:val="20"/>
                <w:szCs w:val="20"/>
                <w:lang w:eastAsia="cs-CZ"/>
              </w:rPr>
            </w:pPr>
            <w:r w:rsidRPr="00800A4F">
              <w:rPr>
                <w:b/>
                <w:bCs/>
                <w:sz w:val="20"/>
                <w:szCs w:val="20"/>
                <w:lang w:eastAsia="cs-CZ"/>
              </w:rPr>
              <w:t>2018</w:t>
            </w:r>
          </w:p>
        </w:tc>
      </w:tr>
      <w:tr w:rsidR="00DD54E5" w14:paraId="5B9A8AC6" w14:textId="77777777" w:rsidTr="00622AC8">
        <w:trPr>
          <w:trHeight w:val="227"/>
        </w:trPr>
        <w:tc>
          <w:tcPr>
            <w:tcW w:w="3628" w:type="dxa"/>
            <w:noWrap/>
            <w:vAlign w:val="center"/>
            <w:hideMark/>
          </w:tcPr>
          <w:p w14:paraId="687C8B87" w14:textId="5468570B" w:rsidR="00DD54E5" w:rsidRPr="00800A4F" w:rsidRDefault="00E25382" w:rsidP="00C153D7">
            <w:pPr>
              <w:keepNext/>
              <w:spacing w:after="0"/>
              <w:jc w:val="left"/>
              <w:rPr>
                <w:bCs/>
                <w:sz w:val="20"/>
                <w:szCs w:val="20"/>
                <w:lang w:eastAsia="cs-CZ"/>
              </w:rPr>
            </w:pPr>
            <w:r>
              <w:rPr>
                <w:bCs/>
                <w:sz w:val="20"/>
                <w:szCs w:val="20"/>
                <w:lang w:eastAsia="cs-CZ"/>
              </w:rPr>
              <w:t>M</w:t>
            </w:r>
            <w:r w:rsidR="00DD54E5" w:rsidRPr="00800A4F">
              <w:rPr>
                <w:bCs/>
                <w:sz w:val="20"/>
                <w:szCs w:val="20"/>
                <w:lang w:eastAsia="cs-CZ"/>
              </w:rPr>
              <w:t>otorový benzín</w:t>
            </w:r>
          </w:p>
        </w:tc>
        <w:tc>
          <w:tcPr>
            <w:tcW w:w="1191" w:type="dxa"/>
            <w:noWrap/>
            <w:vAlign w:val="center"/>
            <w:hideMark/>
          </w:tcPr>
          <w:p w14:paraId="0D019948"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496,14</w:t>
            </w:r>
          </w:p>
        </w:tc>
        <w:tc>
          <w:tcPr>
            <w:tcW w:w="1191" w:type="dxa"/>
            <w:noWrap/>
            <w:vAlign w:val="center"/>
            <w:hideMark/>
          </w:tcPr>
          <w:p w14:paraId="11620D77"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496,14</w:t>
            </w:r>
          </w:p>
        </w:tc>
        <w:tc>
          <w:tcPr>
            <w:tcW w:w="1814" w:type="dxa"/>
            <w:noWrap/>
            <w:vAlign w:val="center"/>
            <w:hideMark/>
          </w:tcPr>
          <w:p w14:paraId="79AB4B72"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496,14</w:t>
            </w:r>
          </w:p>
        </w:tc>
        <w:tc>
          <w:tcPr>
            <w:tcW w:w="1191" w:type="dxa"/>
            <w:noWrap/>
            <w:vAlign w:val="center"/>
            <w:hideMark/>
          </w:tcPr>
          <w:p w14:paraId="3B7A3D9D"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496,14</w:t>
            </w:r>
          </w:p>
        </w:tc>
      </w:tr>
      <w:tr w:rsidR="00DD54E5" w14:paraId="144980FA" w14:textId="77777777" w:rsidTr="00622AC8">
        <w:trPr>
          <w:trHeight w:val="227"/>
        </w:trPr>
        <w:tc>
          <w:tcPr>
            <w:tcW w:w="3628" w:type="dxa"/>
            <w:noWrap/>
            <w:vAlign w:val="center"/>
            <w:hideMark/>
          </w:tcPr>
          <w:p w14:paraId="52CAA67E" w14:textId="41E0324A" w:rsidR="00DD54E5" w:rsidRPr="00800A4F" w:rsidRDefault="00E25382" w:rsidP="00C153D7">
            <w:pPr>
              <w:keepNext/>
              <w:spacing w:after="0"/>
              <w:jc w:val="left"/>
              <w:rPr>
                <w:bCs/>
                <w:sz w:val="20"/>
                <w:szCs w:val="20"/>
                <w:lang w:eastAsia="cs-CZ"/>
              </w:rPr>
            </w:pPr>
            <w:r>
              <w:rPr>
                <w:bCs/>
                <w:sz w:val="20"/>
                <w:szCs w:val="20"/>
                <w:lang w:eastAsia="cs-CZ"/>
              </w:rPr>
              <w:t>M</w:t>
            </w:r>
            <w:r w:rsidR="00DD54E5" w:rsidRPr="00800A4F">
              <w:rPr>
                <w:bCs/>
                <w:sz w:val="20"/>
                <w:szCs w:val="20"/>
                <w:lang w:eastAsia="cs-CZ"/>
              </w:rPr>
              <w:t>otorová nafta</w:t>
            </w:r>
          </w:p>
        </w:tc>
        <w:tc>
          <w:tcPr>
            <w:tcW w:w="1191" w:type="dxa"/>
            <w:noWrap/>
            <w:vAlign w:val="center"/>
            <w:hideMark/>
          </w:tcPr>
          <w:p w14:paraId="43622470"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423,11</w:t>
            </w:r>
          </w:p>
        </w:tc>
        <w:tc>
          <w:tcPr>
            <w:tcW w:w="1191" w:type="dxa"/>
            <w:noWrap/>
            <w:vAlign w:val="center"/>
            <w:hideMark/>
          </w:tcPr>
          <w:p w14:paraId="271CAF69"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423,11</w:t>
            </w:r>
          </w:p>
        </w:tc>
        <w:tc>
          <w:tcPr>
            <w:tcW w:w="1814" w:type="dxa"/>
            <w:noWrap/>
            <w:vAlign w:val="center"/>
            <w:hideMark/>
          </w:tcPr>
          <w:p w14:paraId="12821701"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423,11</w:t>
            </w:r>
          </w:p>
        </w:tc>
        <w:tc>
          <w:tcPr>
            <w:tcW w:w="1191" w:type="dxa"/>
            <w:noWrap/>
            <w:vAlign w:val="center"/>
            <w:hideMark/>
          </w:tcPr>
          <w:p w14:paraId="23B93C42"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423,11</w:t>
            </w:r>
          </w:p>
        </w:tc>
      </w:tr>
      <w:tr w:rsidR="00DD54E5" w14:paraId="50FFBB6E" w14:textId="77777777" w:rsidTr="00622AC8">
        <w:trPr>
          <w:trHeight w:val="227"/>
        </w:trPr>
        <w:tc>
          <w:tcPr>
            <w:tcW w:w="3628" w:type="dxa"/>
            <w:noWrap/>
            <w:vAlign w:val="center"/>
            <w:hideMark/>
          </w:tcPr>
          <w:p w14:paraId="62E5B7DB" w14:textId="77777777" w:rsidR="00DD54E5" w:rsidRPr="00800A4F" w:rsidRDefault="00DD54E5" w:rsidP="00C153D7">
            <w:pPr>
              <w:keepNext/>
              <w:spacing w:after="0"/>
              <w:jc w:val="left"/>
              <w:rPr>
                <w:bCs/>
                <w:sz w:val="20"/>
                <w:szCs w:val="20"/>
                <w:lang w:eastAsia="cs-CZ"/>
              </w:rPr>
            </w:pPr>
            <w:r w:rsidRPr="00800A4F">
              <w:rPr>
                <w:bCs/>
                <w:sz w:val="20"/>
                <w:szCs w:val="20"/>
                <w:lang w:eastAsia="cs-CZ"/>
              </w:rPr>
              <w:t>SMN s min. 30 % MEŘO</w:t>
            </w:r>
          </w:p>
        </w:tc>
        <w:tc>
          <w:tcPr>
            <w:tcW w:w="1191" w:type="dxa"/>
            <w:noWrap/>
            <w:vAlign w:val="center"/>
            <w:hideMark/>
          </w:tcPr>
          <w:p w14:paraId="21CB3FE0"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296,17</w:t>
            </w:r>
          </w:p>
        </w:tc>
        <w:tc>
          <w:tcPr>
            <w:tcW w:w="1191" w:type="dxa"/>
            <w:noWrap/>
            <w:vAlign w:val="center"/>
            <w:hideMark/>
          </w:tcPr>
          <w:p w14:paraId="0D5E3CC2"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358,00</w:t>
            </w:r>
          </w:p>
        </w:tc>
        <w:tc>
          <w:tcPr>
            <w:tcW w:w="1814" w:type="dxa"/>
            <w:noWrap/>
            <w:vAlign w:val="center"/>
            <w:hideMark/>
          </w:tcPr>
          <w:p w14:paraId="734DA3C8" w14:textId="77777777" w:rsidR="00DD54E5" w:rsidRPr="00800A4F" w:rsidRDefault="00DD54E5" w:rsidP="00C153D7">
            <w:pPr>
              <w:keepNext/>
              <w:spacing w:after="0"/>
              <w:ind w:right="170"/>
              <w:jc w:val="right"/>
              <w:rPr>
                <w:sz w:val="20"/>
                <w:szCs w:val="20"/>
                <w:lang w:eastAsia="cs-CZ"/>
              </w:rPr>
            </w:pPr>
            <w:r w:rsidRPr="00800A4F">
              <w:rPr>
                <w:sz w:val="20"/>
                <w:szCs w:val="20"/>
                <w:lang w:eastAsia="cs-CZ"/>
              </w:rPr>
              <w:t>356,35 / 327,50*</w:t>
            </w:r>
          </w:p>
        </w:tc>
        <w:tc>
          <w:tcPr>
            <w:tcW w:w="1191" w:type="dxa"/>
            <w:noWrap/>
            <w:vAlign w:val="center"/>
            <w:hideMark/>
          </w:tcPr>
          <w:p w14:paraId="04913089"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329,02</w:t>
            </w:r>
          </w:p>
        </w:tc>
      </w:tr>
      <w:tr w:rsidR="00DD54E5" w14:paraId="587762F6" w14:textId="77777777" w:rsidTr="00622AC8">
        <w:trPr>
          <w:trHeight w:val="227"/>
        </w:trPr>
        <w:tc>
          <w:tcPr>
            <w:tcW w:w="3628" w:type="dxa"/>
            <w:noWrap/>
            <w:vAlign w:val="center"/>
            <w:hideMark/>
          </w:tcPr>
          <w:p w14:paraId="7DC6459F" w14:textId="77777777" w:rsidR="00DD54E5" w:rsidRPr="00800A4F" w:rsidRDefault="00DD54E5" w:rsidP="00C153D7">
            <w:pPr>
              <w:keepNext/>
              <w:spacing w:after="0"/>
              <w:jc w:val="left"/>
              <w:rPr>
                <w:bCs/>
                <w:sz w:val="20"/>
                <w:szCs w:val="20"/>
                <w:lang w:eastAsia="cs-CZ"/>
              </w:rPr>
            </w:pPr>
            <w:r w:rsidRPr="00800A4F">
              <w:rPr>
                <w:bCs/>
                <w:sz w:val="20"/>
                <w:szCs w:val="20"/>
                <w:lang w:eastAsia="cs-CZ"/>
              </w:rPr>
              <w:t>FAME pro pohon motorů, KN 3824 90 99</w:t>
            </w:r>
          </w:p>
        </w:tc>
        <w:tc>
          <w:tcPr>
            <w:tcW w:w="1191" w:type="dxa"/>
            <w:noWrap/>
            <w:vAlign w:val="center"/>
            <w:hideMark/>
          </w:tcPr>
          <w:p w14:paraId="3A69DCB9" w14:textId="77777777" w:rsidR="00DD54E5" w:rsidRPr="00800A4F" w:rsidRDefault="00DD54E5" w:rsidP="00C153D7">
            <w:pPr>
              <w:keepNext/>
              <w:spacing w:after="0"/>
              <w:ind w:right="74"/>
              <w:jc w:val="right"/>
              <w:rPr>
                <w:sz w:val="20"/>
                <w:szCs w:val="20"/>
                <w:lang w:eastAsia="cs-CZ"/>
              </w:rPr>
            </w:pPr>
            <w:r w:rsidRPr="00800A4F">
              <w:rPr>
                <w:sz w:val="20"/>
                <w:szCs w:val="20"/>
                <w:lang w:eastAsia="cs-CZ"/>
              </w:rPr>
              <w:t>421,85**</w:t>
            </w:r>
          </w:p>
        </w:tc>
        <w:tc>
          <w:tcPr>
            <w:tcW w:w="1191" w:type="dxa"/>
            <w:noWrap/>
            <w:vAlign w:val="center"/>
            <w:hideMark/>
          </w:tcPr>
          <w:p w14:paraId="0A4577B5"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177,36</w:t>
            </w:r>
          </w:p>
        </w:tc>
        <w:tc>
          <w:tcPr>
            <w:tcW w:w="1814" w:type="dxa"/>
            <w:noWrap/>
            <w:vAlign w:val="center"/>
            <w:hideMark/>
          </w:tcPr>
          <w:p w14:paraId="260E0DB5" w14:textId="77777777" w:rsidR="00DD54E5" w:rsidRPr="00800A4F" w:rsidRDefault="00DD54E5" w:rsidP="00C153D7">
            <w:pPr>
              <w:keepNext/>
              <w:spacing w:after="0"/>
              <w:ind w:right="170"/>
              <w:jc w:val="right"/>
              <w:rPr>
                <w:sz w:val="20"/>
                <w:szCs w:val="20"/>
                <w:lang w:eastAsia="cs-CZ"/>
              </w:rPr>
            </w:pPr>
            <w:r w:rsidRPr="00800A4F">
              <w:rPr>
                <w:sz w:val="20"/>
                <w:szCs w:val="20"/>
                <w:lang w:eastAsia="cs-CZ"/>
              </w:rPr>
              <w:t>176,54 / 84,23*</w:t>
            </w:r>
          </w:p>
        </w:tc>
        <w:tc>
          <w:tcPr>
            <w:tcW w:w="1191" w:type="dxa"/>
            <w:noWrap/>
            <w:vAlign w:val="center"/>
            <w:hideMark/>
          </w:tcPr>
          <w:p w14:paraId="0430A004" w14:textId="77777777" w:rsidR="00DD54E5" w:rsidRPr="00800A4F" w:rsidRDefault="00DD54E5" w:rsidP="00C153D7">
            <w:pPr>
              <w:keepNext/>
              <w:spacing w:after="0"/>
              <w:ind w:right="253"/>
              <w:jc w:val="right"/>
              <w:rPr>
                <w:sz w:val="20"/>
                <w:szCs w:val="20"/>
                <w:lang w:eastAsia="cs-CZ"/>
              </w:rPr>
            </w:pPr>
            <w:r w:rsidRPr="00800A4F">
              <w:rPr>
                <w:sz w:val="20"/>
                <w:szCs w:val="20"/>
                <w:lang w:eastAsia="cs-CZ"/>
              </w:rPr>
              <w:t>84,62</w:t>
            </w:r>
          </w:p>
        </w:tc>
      </w:tr>
    </w:tbl>
    <w:p w14:paraId="771C6955" w14:textId="33FC09A4" w:rsidR="00DD54E5" w:rsidRPr="00800A4F" w:rsidRDefault="00DD54E5" w:rsidP="00C153D7">
      <w:pPr>
        <w:keepNext/>
        <w:spacing w:before="40" w:after="0"/>
        <w:rPr>
          <w:sz w:val="20"/>
          <w:szCs w:val="20"/>
          <w:lang w:eastAsia="cs-CZ"/>
        </w:rPr>
      </w:pPr>
      <w:r w:rsidRPr="00011B75">
        <w:rPr>
          <w:b/>
          <w:sz w:val="20"/>
          <w:szCs w:val="20"/>
          <w:lang w:eastAsia="cs-CZ"/>
        </w:rPr>
        <w:t>Zdroj:</w:t>
      </w:r>
      <w:r w:rsidRPr="00800A4F">
        <w:rPr>
          <w:sz w:val="20"/>
          <w:szCs w:val="20"/>
          <w:lang w:eastAsia="cs-CZ"/>
        </w:rPr>
        <w:t xml:space="preserve"> zákon č. 353/2003 Sb., o spotřebních daních.</w:t>
      </w:r>
      <w:r w:rsidR="00FA7946">
        <w:rPr>
          <w:sz w:val="20"/>
          <w:szCs w:val="20"/>
          <w:lang w:eastAsia="cs-CZ"/>
        </w:rPr>
        <w:t xml:space="preserve"> </w:t>
      </w:r>
      <w:r w:rsidR="00FA7946" w:rsidRPr="003B2EAC">
        <w:rPr>
          <w:sz w:val="20"/>
          <w:szCs w:val="20"/>
          <w:lang w:eastAsia="cs-CZ"/>
        </w:rPr>
        <w:t>Kurz ČNB ke dni 17.</w:t>
      </w:r>
      <w:r w:rsidR="00FA7946">
        <w:rPr>
          <w:sz w:val="20"/>
          <w:szCs w:val="20"/>
          <w:lang w:eastAsia="cs-CZ"/>
        </w:rPr>
        <w:t> </w:t>
      </w:r>
      <w:r w:rsidR="00FA7946" w:rsidRPr="003B2EAC">
        <w:rPr>
          <w:sz w:val="20"/>
          <w:szCs w:val="20"/>
          <w:lang w:eastAsia="cs-CZ"/>
        </w:rPr>
        <w:t>9.</w:t>
      </w:r>
      <w:r w:rsidR="00FA7946">
        <w:rPr>
          <w:sz w:val="20"/>
          <w:szCs w:val="20"/>
          <w:lang w:eastAsia="cs-CZ"/>
        </w:rPr>
        <w:t> </w:t>
      </w:r>
      <w:r w:rsidR="00FA7946" w:rsidRPr="003B2EAC">
        <w:rPr>
          <w:sz w:val="20"/>
          <w:szCs w:val="20"/>
          <w:lang w:eastAsia="cs-CZ"/>
        </w:rPr>
        <w:t>2019</w:t>
      </w:r>
      <w:r w:rsidR="00FA7946">
        <w:rPr>
          <w:sz w:val="20"/>
          <w:szCs w:val="20"/>
          <w:lang w:eastAsia="cs-CZ"/>
        </w:rPr>
        <w:t>:</w:t>
      </w:r>
      <w:r w:rsidR="00FA7946" w:rsidRPr="003B2EAC">
        <w:rPr>
          <w:sz w:val="20"/>
          <w:szCs w:val="20"/>
          <w:lang w:eastAsia="cs-CZ"/>
        </w:rPr>
        <w:t xml:space="preserve"> 1 </w:t>
      </w:r>
      <w:r w:rsidR="00FA7946">
        <w:rPr>
          <w:sz w:val="20"/>
          <w:szCs w:val="20"/>
          <w:lang w:eastAsia="cs-CZ"/>
        </w:rPr>
        <w:t>€</w:t>
      </w:r>
      <w:r w:rsidR="00FA7946" w:rsidRPr="003B2EAC">
        <w:rPr>
          <w:sz w:val="20"/>
          <w:szCs w:val="20"/>
          <w:lang w:eastAsia="cs-CZ"/>
        </w:rPr>
        <w:t xml:space="preserve"> = 25,88 Kč.</w:t>
      </w:r>
    </w:p>
    <w:p w14:paraId="1801C649" w14:textId="037DA3E9" w:rsidR="00DD54E5" w:rsidRPr="00800A4F" w:rsidRDefault="00DD54E5" w:rsidP="00DC40B9">
      <w:pPr>
        <w:keepNext/>
        <w:spacing w:after="0"/>
        <w:ind w:left="284" w:hanging="284"/>
        <w:rPr>
          <w:sz w:val="20"/>
          <w:szCs w:val="20"/>
          <w:lang w:eastAsia="cs-CZ"/>
        </w:rPr>
      </w:pPr>
      <w:r w:rsidRPr="00800A4F">
        <w:rPr>
          <w:sz w:val="20"/>
          <w:szCs w:val="20"/>
          <w:lang w:eastAsia="cs-CZ"/>
        </w:rPr>
        <w:t xml:space="preserve">* </w:t>
      </w:r>
      <w:r w:rsidR="00622AC8">
        <w:rPr>
          <w:sz w:val="20"/>
          <w:szCs w:val="20"/>
          <w:lang w:eastAsia="cs-CZ"/>
        </w:rPr>
        <w:tab/>
      </w:r>
      <w:r w:rsidR="00E25382">
        <w:rPr>
          <w:sz w:val="20"/>
          <w:szCs w:val="20"/>
          <w:lang w:eastAsia="cs-CZ"/>
        </w:rPr>
        <w:t>N</w:t>
      </w:r>
      <w:r w:rsidRPr="00800A4F">
        <w:rPr>
          <w:sz w:val="20"/>
          <w:szCs w:val="20"/>
          <w:lang w:eastAsia="cs-CZ"/>
        </w:rPr>
        <w:t>ižší sazba platná od 1. 7. 2017, změna uvedena v novele č. 382/2015 Sb., od 1. 1. 2021 sazba shodná jako minerální oleje dle § 45 odst. 1 kterým se nejvíce podobají</w:t>
      </w:r>
      <w:r>
        <w:rPr>
          <w:sz w:val="20"/>
          <w:szCs w:val="20"/>
          <w:lang w:eastAsia="cs-CZ"/>
        </w:rPr>
        <w:t>.</w:t>
      </w:r>
    </w:p>
    <w:p w14:paraId="1720A149" w14:textId="7E87EB4E" w:rsidR="00DD54E5" w:rsidRDefault="00DD54E5" w:rsidP="00DC40B9">
      <w:pPr>
        <w:spacing w:after="0"/>
        <w:ind w:left="284" w:hanging="284"/>
        <w:rPr>
          <w:sz w:val="20"/>
          <w:szCs w:val="20"/>
          <w:lang w:eastAsia="cs-CZ"/>
        </w:rPr>
      </w:pPr>
      <w:r w:rsidRPr="00800A4F">
        <w:rPr>
          <w:sz w:val="20"/>
          <w:szCs w:val="20"/>
          <w:lang w:eastAsia="cs-CZ"/>
        </w:rPr>
        <w:t xml:space="preserve">** </w:t>
      </w:r>
      <w:r w:rsidR="00622AC8">
        <w:rPr>
          <w:sz w:val="20"/>
          <w:szCs w:val="20"/>
          <w:lang w:eastAsia="cs-CZ"/>
        </w:rPr>
        <w:tab/>
      </w:r>
      <w:r w:rsidR="00E25382">
        <w:rPr>
          <w:sz w:val="20"/>
          <w:szCs w:val="20"/>
          <w:lang w:eastAsia="cs-CZ"/>
        </w:rPr>
        <w:t>S</w:t>
      </w:r>
      <w:r w:rsidRPr="00800A4F">
        <w:rPr>
          <w:sz w:val="20"/>
          <w:szCs w:val="20"/>
          <w:lang w:eastAsia="cs-CZ"/>
        </w:rPr>
        <w:t>azba shodná jako u minerálních olejů dle dle § 45 odst. 1, kterým se nejvíce podobají.</w:t>
      </w:r>
      <w:r>
        <w:rPr>
          <w:sz w:val="20"/>
          <w:szCs w:val="20"/>
          <w:lang w:eastAsia="cs-CZ"/>
        </w:rPr>
        <w:t xml:space="preserve"> </w:t>
      </w:r>
    </w:p>
    <w:p w14:paraId="59D81AED" w14:textId="77777777" w:rsidR="00DC40B9" w:rsidRPr="005D08F9" w:rsidRDefault="00DC40B9" w:rsidP="00DC40B9">
      <w:pPr>
        <w:spacing w:after="0"/>
        <w:ind w:left="567" w:hanging="567"/>
        <w:rPr>
          <w:sz w:val="20"/>
          <w:szCs w:val="20"/>
          <w:lang w:eastAsia="cs-CZ"/>
        </w:rPr>
      </w:pPr>
    </w:p>
    <w:p w14:paraId="528DD2C8" w14:textId="77777777" w:rsidR="00DD54E5" w:rsidRDefault="0002292A" w:rsidP="00DC40B9">
      <w:pPr>
        <w:pStyle w:val="Tabulka"/>
        <w:numPr>
          <w:ilvl w:val="0"/>
          <w:numId w:val="0"/>
        </w:numPr>
        <w:spacing w:after="40"/>
        <w:ind w:left="1446" w:hanging="1446"/>
        <w:rPr>
          <w:lang w:eastAsia="cs-CZ"/>
        </w:rPr>
      </w:pPr>
      <w:r>
        <w:rPr>
          <w:lang w:eastAsia="cs-CZ"/>
        </w:rPr>
        <w:t xml:space="preserve">Tabulka č. 17: </w:t>
      </w:r>
      <w:r>
        <w:rPr>
          <w:lang w:eastAsia="cs-CZ"/>
        </w:rPr>
        <w:tab/>
      </w:r>
      <w:r w:rsidR="00DD54E5" w:rsidRPr="00BF760C">
        <w:rPr>
          <w:lang w:eastAsia="cs-CZ"/>
        </w:rPr>
        <w:t>Vyčíslení množství motorového benzínu a motorové nafty/plynového oleje uvedeného do volného daňového oběhu pro dopravní účely za jednotlivé roky</w:t>
      </w:r>
      <w:r w:rsidR="00DD54E5">
        <w:rPr>
          <w:lang w:eastAsia="cs-CZ"/>
        </w:rPr>
        <w:t xml:space="preserve"> v litrech</w:t>
      </w:r>
    </w:p>
    <w:tbl>
      <w:tblPr>
        <w:tblStyle w:val="Mkatabulky"/>
        <w:tblW w:w="0" w:type="auto"/>
        <w:tblLayout w:type="fixed"/>
        <w:tblLook w:val="04A0" w:firstRow="1" w:lastRow="0" w:firstColumn="1" w:lastColumn="0" w:noHBand="0" w:noVBand="1"/>
      </w:tblPr>
      <w:tblGrid>
        <w:gridCol w:w="2972"/>
        <w:gridCol w:w="1522"/>
        <w:gridCol w:w="1523"/>
        <w:gridCol w:w="1522"/>
        <w:gridCol w:w="1523"/>
      </w:tblGrid>
      <w:tr w:rsidR="00DD54E5" w14:paraId="0163DC8E" w14:textId="77777777" w:rsidTr="00DC40B9">
        <w:trPr>
          <w:trHeight w:val="227"/>
        </w:trPr>
        <w:tc>
          <w:tcPr>
            <w:tcW w:w="2972" w:type="dxa"/>
            <w:shd w:val="clear" w:color="auto" w:fill="E5F1FF"/>
            <w:noWrap/>
            <w:hideMark/>
          </w:tcPr>
          <w:p w14:paraId="25DC36F2" w14:textId="77777777" w:rsidR="00DD54E5" w:rsidRPr="00BF760C" w:rsidRDefault="00DD54E5" w:rsidP="00DC40B9">
            <w:pPr>
              <w:spacing w:after="0"/>
              <w:jc w:val="center"/>
              <w:rPr>
                <w:b/>
                <w:bCs/>
                <w:sz w:val="20"/>
                <w:szCs w:val="20"/>
                <w:lang w:eastAsia="cs-CZ"/>
              </w:rPr>
            </w:pPr>
            <w:r>
              <w:rPr>
                <w:b/>
                <w:bCs/>
                <w:sz w:val="20"/>
                <w:szCs w:val="20"/>
                <w:lang w:eastAsia="cs-CZ"/>
              </w:rPr>
              <w:t>Rok</w:t>
            </w:r>
          </w:p>
        </w:tc>
        <w:tc>
          <w:tcPr>
            <w:tcW w:w="1522" w:type="dxa"/>
            <w:shd w:val="clear" w:color="auto" w:fill="E5F1FF"/>
            <w:noWrap/>
            <w:vAlign w:val="center"/>
            <w:hideMark/>
          </w:tcPr>
          <w:p w14:paraId="0C34B829" w14:textId="77777777" w:rsidR="00DD54E5" w:rsidRPr="00BF760C" w:rsidRDefault="00DD54E5" w:rsidP="00DC40B9">
            <w:pPr>
              <w:spacing w:after="0"/>
              <w:jc w:val="center"/>
              <w:rPr>
                <w:b/>
                <w:bCs/>
                <w:sz w:val="20"/>
                <w:szCs w:val="20"/>
                <w:lang w:eastAsia="cs-CZ"/>
              </w:rPr>
            </w:pPr>
            <w:r w:rsidRPr="00BF760C">
              <w:rPr>
                <w:b/>
                <w:bCs/>
                <w:sz w:val="20"/>
                <w:szCs w:val="20"/>
                <w:lang w:eastAsia="cs-CZ"/>
              </w:rPr>
              <w:t>2015</w:t>
            </w:r>
          </w:p>
        </w:tc>
        <w:tc>
          <w:tcPr>
            <w:tcW w:w="1523" w:type="dxa"/>
            <w:shd w:val="clear" w:color="auto" w:fill="E5F1FF"/>
            <w:noWrap/>
            <w:vAlign w:val="center"/>
            <w:hideMark/>
          </w:tcPr>
          <w:p w14:paraId="5D89B2FE" w14:textId="77777777" w:rsidR="00DD54E5" w:rsidRPr="00BF760C" w:rsidRDefault="00DD54E5" w:rsidP="00DC40B9">
            <w:pPr>
              <w:spacing w:after="0"/>
              <w:jc w:val="center"/>
              <w:rPr>
                <w:b/>
                <w:bCs/>
                <w:sz w:val="20"/>
                <w:szCs w:val="20"/>
                <w:lang w:eastAsia="cs-CZ"/>
              </w:rPr>
            </w:pPr>
            <w:r w:rsidRPr="00BF760C">
              <w:rPr>
                <w:b/>
                <w:bCs/>
                <w:sz w:val="20"/>
                <w:szCs w:val="20"/>
                <w:lang w:eastAsia="cs-CZ"/>
              </w:rPr>
              <w:t>2016</w:t>
            </w:r>
          </w:p>
        </w:tc>
        <w:tc>
          <w:tcPr>
            <w:tcW w:w="1522" w:type="dxa"/>
            <w:shd w:val="clear" w:color="auto" w:fill="E5F1FF"/>
            <w:noWrap/>
            <w:vAlign w:val="center"/>
            <w:hideMark/>
          </w:tcPr>
          <w:p w14:paraId="06A499A9" w14:textId="77777777" w:rsidR="00DD54E5" w:rsidRPr="00BF760C" w:rsidRDefault="00DD54E5" w:rsidP="00DC40B9">
            <w:pPr>
              <w:spacing w:after="0"/>
              <w:jc w:val="center"/>
              <w:rPr>
                <w:b/>
                <w:bCs/>
                <w:sz w:val="20"/>
                <w:szCs w:val="20"/>
                <w:lang w:eastAsia="cs-CZ"/>
              </w:rPr>
            </w:pPr>
            <w:r w:rsidRPr="00BF760C">
              <w:rPr>
                <w:b/>
                <w:bCs/>
                <w:sz w:val="20"/>
                <w:szCs w:val="20"/>
                <w:lang w:eastAsia="cs-CZ"/>
              </w:rPr>
              <w:t>2017</w:t>
            </w:r>
          </w:p>
        </w:tc>
        <w:tc>
          <w:tcPr>
            <w:tcW w:w="1523" w:type="dxa"/>
            <w:shd w:val="clear" w:color="auto" w:fill="E5F1FF"/>
            <w:noWrap/>
            <w:vAlign w:val="center"/>
            <w:hideMark/>
          </w:tcPr>
          <w:p w14:paraId="73A7A4A2" w14:textId="77777777" w:rsidR="00DD54E5" w:rsidRPr="00BF760C" w:rsidRDefault="00DD54E5" w:rsidP="00DC40B9">
            <w:pPr>
              <w:spacing w:after="0"/>
              <w:jc w:val="center"/>
              <w:rPr>
                <w:b/>
                <w:bCs/>
                <w:sz w:val="20"/>
                <w:szCs w:val="20"/>
                <w:lang w:eastAsia="cs-CZ"/>
              </w:rPr>
            </w:pPr>
            <w:r w:rsidRPr="00BF760C">
              <w:rPr>
                <w:b/>
                <w:bCs/>
                <w:sz w:val="20"/>
                <w:szCs w:val="20"/>
                <w:lang w:eastAsia="cs-CZ"/>
              </w:rPr>
              <w:t>2018</w:t>
            </w:r>
          </w:p>
        </w:tc>
      </w:tr>
      <w:tr w:rsidR="00DD54E5" w14:paraId="3708BBBA" w14:textId="77777777" w:rsidTr="00DC40B9">
        <w:trPr>
          <w:trHeight w:val="227"/>
        </w:trPr>
        <w:tc>
          <w:tcPr>
            <w:tcW w:w="2972" w:type="dxa"/>
            <w:noWrap/>
            <w:vAlign w:val="center"/>
            <w:hideMark/>
          </w:tcPr>
          <w:p w14:paraId="6F10F73E" w14:textId="77777777" w:rsidR="00DD54E5" w:rsidRPr="00BF760C" w:rsidRDefault="00DD54E5" w:rsidP="00DC40B9">
            <w:pPr>
              <w:spacing w:after="0"/>
              <w:jc w:val="left"/>
              <w:rPr>
                <w:bCs/>
                <w:sz w:val="20"/>
                <w:szCs w:val="20"/>
                <w:lang w:eastAsia="cs-CZ"/>
              </w:rPr>
            </w:pPr>
            <w:r w:rsidRPr="00BF760C">
              <w:rPr>
                <w:bCs/>
                <w:sz w:val="20"/>
                <w:szCs w:val="20"/>
                <w:lang w:eastAsia="cs-CZ"/>
              </w:rPr>
              <w:t>Motorový benzín KN 2710 11 41, 2710 11 45, 2710 11 49 bez BIO</w:t>
            </w:r>
          </w:p>
        </w:tc>
        <w:tc>
          <w:tcPr>
            <w:tcW w:w="1522" w:type="dxa"/>
            <w:noWrap/>
            <w:vAlign w:val="center"/>
            <w:hideMark/>
          </w:tcPr>
          <w:p w14:paraId="78EA068C" w14:textId="77777777" w:rsidR="00DD54E5" w:rsidRPr="00BF760C" w:rsidRDefault="00DD54E5" w:rsidP="00DC40B9">
            <w:pPr>
              <w:spacing w:after="0"/>
              <w:jc w:val="right"/>
              <w:rPr>
                <w:sz w:val="20"/>
                <w:szCs w:val="20"/>
                <w:lang w:eastAsia="cs-CZ"/>
              </w:rPr>
            </w:pPr>
            <w:r w:rsidRPr="00BF760C">
              <w:rPr>
                <w:sz w:val="20"/>
                <w:szCs w:val="20"/>
                <w:lang w:eastAsia="cs-CZ"/>
              </w:rPr>
              <w:t>6 383 094</w:t>
            </w:r>
          </w:p>
        </w:tc>
        <w:tc>
          <w:tcPr>
            <w:tcW w:w="1523" w:type="dxa"/>
            <w:noWrap/>
            <w:vAlign w:val="center"/>
            <w:hideMark/>
          </w:tcPr>
          <w:p w14:paraId="450A2C5C" w14:textId="77777777" w:rsidR="00DD54E5" w:rsidRPr="00BF760C" w:rsidRDefault="00DD54E5" w:rsidP="00DC40B9">
            <w:pPr>
              <w:spacing w:after="0"/>
              <w:jc w:val="right"/>
              <w:rPr>
                <w:sz w:val="20"/>
                <w:szCs w:val="20"/>
                <w:lang w:eastAsia="cs-CZ"/>
              </w:rPr>
            </w:pPr>
            <w:r w:rsidRPr="00BF760C">
              <w:rPr>
                <w:sz w:val="20"/>
                <w:szCs w:val="20"/>
                <w:lang w:eastAsia="cs-CZ"/>
              </w:rPr>
              <w:t>4 870 685</w:t>
            </w:r>
          </w:p>
        </w:tc>
        <w:tc>
          <w:tcPr>
            <w:tcW w:w="1522" w:type="dxa"/>
            <w:noWrap/>
            <w:vAlign w:val="center"/>
            <w:hideMark/>
          </w:tcPr>
          <w:p w14:paraId="325496DF" w14:textId="77777777" w:rsidR="00DD54E5" w:rsidRPr="00BF760C" w:rsidRDefault="00DD54E5" w:rsidP="00DC40B9">
            <w:pPr>
              <w:spacing w:after="0"/>
              <w:jc w:val="right"/>
              <w:rPr>
                <w:sz w:val="20"/>
                <w:szCs w:val="20"/>
                <w:lang w:eastAsia="cs-CZ"/>
              </w:rPr>
            </w:pPr>
            <w:r w:rsidRPr="00BF760C">
              <w:rPr>
                <w:sz w:val="20"/>
                <w:szCs w:val="20"/>
                <w:lang w:eastAsia="cs-CZ"/>
              </w:rPr>
              <w:t>6 890 940</w:t>
            </w:r>
          </w:p>
        </w:tc>
        <w:tc>
          <w:tcPr>
            <w:tcW w:w="1523" w:type="dxa"/>
            <w:noWrap/>
            <w:vAlign w:val="center"/>
            <w:hideMark/>
          </w:tcPr>
          <w:p w14:paraId="722CAD7E" w14:textId="77777777" w:rsidR="00DD54E5" w:rsidRPr="00BF760C" w:rsidRDefault="00DD54E5" w:rsidP="00DC40B9">
            <w:pPr>
              <w:spacing w:after="0"/>
              <w:jc w:val="right"/>
              <w:rPr>
                <w:sz w:val="20"/>
                <w:szCs w:val="20"/>
                <w:lang w:eastAsia="cs-CZ"/>
              </w:rPr>
            </w:pPr>
            <w:r w:rsidRPr="00BF760C">
              <w:rPr>
                <w:sz w:val="20"/>
                <w:szCs w:val="20"/>
                <w:lang w:eastAsia="cs-CZ"/>
              </w:rPr>
              <w:t>1 935 413</w:t>
            </w:r>
          </w:p>
        </w:tc>
      </w:tr>
      <w:tr w:rsidR="00DD54E5" w14:paraId="16B02F1D" w14:textId="77777777" w:rsidTr="00DC40B9">
        <w:trPr>
          <w:trHeight w:val="227"/>
        </w:trPr>
        <w:tc>
          <w:tcPr>
            <w:tcW w:w="2972" w:type="dxa"/>
            <w:noWrap/>
            <w:vAlign w:val="center"/>
            <w:hideMark/>
          </w:tcPr>
          <w:p w14:paraId="65169946" w14:textId="77777777" w:rsidR="00DD54E5" w:rsidRPr="00BF760C" w:rsidRDefault="00DD54E5" w:rsidP="00DC40B9">
            <w:pPr>
              <w:spacing w:after="0"/>
              <w:jc w:val="left"/>
              <w:rPr>
                <w:bCs/>
                <w:sz w:val="20"/>
                <w:szCs w:val="20"/>
                <w:lang w:eastAsia="cs-CZ"/>
              </w:rPr>
            </w:pPr>
            <w:r w:rsidRPr="00BF760C">
              <w:rPr>
                <w:bCs/>
                <w:sz w:val="20"/>
                <w:szCs w:val="20"/>
                <w:lang w:eastAsia="cs-CZ"/>
              </w:rPr>
              <w:t>Motorový benzín KN 2710 11 41, 2710 11 45, 2710 11 49 s BIO</w:t>
            </w:r>
          </w:p>
        </w:tc>
        <w:tc>
          <w:tcPr>
            <w:tcW w:w="1522" w:type="dxa"/>
            <w:noWrap/>
            <w:vAlign w:val="center"/>
            <w:hideMark/>
          </w:tcPr>
          <w:p w14:paraId="2F02EFF1" w14:textId="77777777" w:rsidR="00DD54E5" w:rsidRPr="00BF760C" w:rsidRDefault="00DD54E5" w:rsidP="00DC40B9">
            <w:pPr>
              <w:spacing w:after="0"/>
              <w:jc w:val="right"/>
              <w:rPr>
                <w:sz w:val="20"/>
                <w:szCs w:val="20"/>
                <w:lang w:eastAsia="cs-CZ"/>
              </w:rPr>
            </w:pPr>
            <w:r w:rsidRPr="00BF760C">
              <w:rPr>
                <w:sz w:val="20"/>
                <w:szCs w:val="20"/>
                <w:lang w:eastAsia="cs-CZ"/>
              </w:rPr>
              <w:t>1 963 157 857</w:t>
            </w:r>
          </w:p>
        </w:tc>
        <w:tc>
          <w:tcPr>
            <w:tcW w:w="1523" w:type="dxa"/>
            <w:noWrap/>
            <w:vAlign w:val="center"/>
            <w:hideMark/>
          </w:tcPr>
          <w:p w14:paraId="1EBBBE67" w14:textId="77777777" w:rsidR="00DD54E5" w:rsidRPr="00BF760C" w:rsidRDefault="00DD54E5" w:rsidP="00DC40B9">
            <w:pPr>
              <w:spacing w:after="0"/>
              <w:jc w:val="right"/>
              <w:rPr>
                <w:sz w:val="20"/>
                <w:szCs w:val="20"/>
                <w:lang w:eastAsia="cs-CZ"/>
              </w:rPr>
            </w:pPr>
            <w:r w:rsidRPr="00BF760C">
              <w:rPr>
                <w:sz w:val="20"/>
                <w:szCs w:val="20"/>
                <w:lang w:eastAsia="cs-CZ"/>
              </w:rPr>
              <w:t>1 863 931 721</w:t>
            </w:r>
          </w:p>
        </w:tc>
        <w:tc>
          <w:tcPr>
            <w:tcW w:w="1522" w:type="dxa"/>
            <w:noWrap/>
            <w:vAlign w:val="center"/>
            <w:hideMark/>
          </w:tcPr>
          <w:p w14:paraId="238444B2" w14:textId="77777777" w:rsidR="00DD54E5" w:rsidRPr="00BF760C" w:rsidRDefault="00DD54E5" w:rsidP="00DC40B9">
            <w:pPr>
              <w:spacing w:after="0"/>
              <w:jc w:val="right"/>
              <w:rPr>
                <w:sz w:val="20"/>
                <w:szCs w:val="20"/>
                <w:lang w:eastAsia="cs-CZ"/>
              </w:rPr>
            </w:pPr>
            <w:r w:rsidRPr="00BF760C">
              <w:rPr>
                <w:sz w:val="20"/>
                <w:szCs w:val="20"/>
                <w:lang w:eastAsia="cs-CZ"/>
              </w:rPr>
              <w:t>1 867 019 847</w:t>
            </w:r>
          </w:p>
        </w:tc>
        <w:tc>
          <w:tcPr>
            <w:tcW w:w="1523" w:type="dxa"/>
            <w:noWrap/>
            <w:vAlign w:val="center"/>
            <w:hideMark/>
          </w:tcPr>
          <w:p w14:paraId="244C1AE3" w14:textId="77777777" w:rsidR="00DD54E5" w:rsidRPr="00BF760C" w:rsidRDefault="00DD54E5" w:rsidP="00DC40B9">
            <w:pPr>
              <w:spacing w:after="0"/>
              <w:jc w:val="right"/>
              <w:rPr>
                <w:sz w:val="20"/>
                <w:szCs w:val="20"/>
                <w:lang w:eastAsia="cs-CZ"/>
              </w:rPr>
            </w:pPr>
            <w:r w:rsidRPr="00BF760C">
              <w:rPr>
                <w:sz w:val="20"/>
                <w:szCs w:val="20"/>
                <w:lang w:eastAsia="cs-CZ"/>
              </w:rPr>
              <w:t>1 928 403 580</w:t>
            </w:r>
          </w:p>
        </w:tc>
      </w:tr>
      <w:tr w:rsidR="00DD54E5" w14:paraId="5C3D6D6E" w14:textId="77777777" w:rsidTr="00DC40B9">
        <w:trPr>
          <w:trHeight w:val="227"/>
        </w:trPr>
        <w:tc>
          <w:tcPr>
            <w:tcW w:w="2972" w:type="dxa"/>
            <w:noWrap/>
            <w:vAlign w:val="center"/>
            <w:hideMark/>
          </w:tcPr>
          <w:p w14:paraId="000C2B4E" w14:textId="77777777" w:rsidR="00DD54E5" w:rsidRPr="00BF760C" w:rsidRDefault="00DD54E5" w:rsidP="00DC40B9">
            <w:pPr>
              <w:spacing w:after="0"/>
              <w:jc w:val="left"/>
              <w:rPr>
                <w:bCs/>
                <w:sz w:val="20"/>
                <w:szCs w:val="20"/>
                <w:lang w:eastAsia="cs-CZ"/>
              </w:rPr>
            </w:pPr>
            <w:r w:rsidRPr="00BF760C">
              <w:rPr>
                <w:bCs/>
                <w:sz w:val="20"/>
                <w:szCs w:val="20"/>
                <w:lang w:eastAsia="cs-CZ"/>
              </w:rPr>
              <w:t>Plynový olej KN 2710 19 41 bez BIO</w:t>
            </w:r>
          </w:p>
        </w:tc>
        <w:tc>
          <w:tcPr>
            <w:tcW w:w="1522" w:type="dxa"/>
            <w:noWrap/>
            <w:vAlign w:val="center"/>
            <w:hideMark/>
          </w:tcPr>
          <w:p w14:paraId="6DE5F28D" w14:textId="77777777" w:rsidR="00DD54E5" w:rsidRPr="00BF760C" w:rsidRDefault="00DD54E5" w:rsidP="00DC40B9">
            <w:pPr>
              <w:spacing w:after="0"/>
              <w:jc w:val="right"/>
              <w:rPr>
                <w:sz w:val="20"/>
                <w:szCs w:val="20"/>
                <w:lang w:eastAsia="cs-CZ"/>
              </w:rPr>
            </w:pPr>
            <w:r w:rsidRPr="00BF760C">
              <w:rPr>
                <w:sz w:val="20"/>
                <w:szCs w:val="20"/>
                <w:lang w:eastAsia="cs-CZ"/>
              </w:rPr>
              <w:t>2 610 384 185</w:t>
            </w:r>
          </w:p>
        </w:tc>
        <w:tc>
          <w:tcPr>
            <w:tcW w:w="1523" w:type="dxa"/>
            <w:noWrap/>
            <w:vAlign w:val="center"/>
            <w:hideMark/>
          </w:tcPr>
          <w:p w14:paraId="2996F34D" w14:textId="77777777" w:rsidR="00DD54E5" w:rsidRPr="00BF760C" w:rsidRDefault="00DD54E5" w:rsidP="00DC40B9">
            <w:pPr>
              <w:spacing w:after="0"/>
              <w:jc w:val="right"/>
              <w:rPr>
                <w:sz w:val="20"/>
                <w:szCs w:val="20"/>
                <w:lang w:eastAsia="cs-CZ"/>
              </w:rPr>
            </w:pPr>
            <w:r w:rsidRPr="00BF760C">
              <w:rPr>
                <w:sz w:val="20"/>
                <w:szCs w:val="20"/>
                <w:lang w:eastAsia="cs-CZ"/>
              </w:rPr>
              <w:t>248 161 522</w:t>
            </w:r>
          </w:p>
        </w:tc>
        <w:tc>
          <w:tcPr>
            <w:tcW w:w="1522" w:type="dxa"/>
            <w:noWrap/>
            <w:vAlign w:val="center"/>
            <w:hideMark/>
          </w:tcPr>
          <w:p w14:paraId="1F009DA0" w14:textId="77777777" w:rsidR="00DD54E5" w:rsidRPr="00BF760C" w:rsidRDefault="00DD54E5" w:rsidP="00DC40B9">
            <w:pPr>
              <w:spacing w:after="0"/>
              <w:jc w:val="right"/>
              <w:rPr>
                <w:sz w:val="20"/>
                <w:szCs w:val="20"/>
                <w:lang w:eastAsia="cs-CZ"/>
              </w:rPr>
            </w:pPr>
            <w:r w:rsidRPr="00BF760C">
              <w:rPr>
                <w:sz w:val="20"/>
                <w:szCs w:val="20"/>
                <w:lang w:eastAsia="cs-CZ"/>
              </w:rPr>
              <w:t>301 506 777</w:t>
            </w:r>
          </w:p>
        </w:tc>
        <w:tc>
          <w:tcPr>
            <w:tcW w:w="1523" w:type="dxa"/>
            <w:noWrap/>
            <w:vAlign w:val="center"/>
            <w:hideMark/>
          </w:tcPr>
          <w:p w14:paraId="75ABD5FE" w14:textId="77777777" w:rsidR="00DD54E5" w:rsidRPr="00BF760C" w:rsidRDefault="00DD54E5" w:rsidP="00DC40B9">
            <w:pPr>
              <w:spacing w:after="0"/>
              <w:jc w:val="right"/>
              <w:rPr>
                <w:sz w:val="20"/>
                <w:szCs w:val="20"/>
                <w:lang w:eastAsia="cs-CZ"/>
              </w:rPr>
            </w:pPr>
            <w:r w:rsidRPr="00BF760C">
              <w:rPr>
                <w:sz w:val="20"/>
                <w:szCs w:val="20"/>
                <w:lang w:eastAsia="cs-CZ"/>
              </w:rPr>
              <w:t>483 804 677</w:t>
            </w:r>
          </w:p>
        </w:tc>
      </w:tr>
      <w:tr w:rsidR="00DD54E5" w14:paraId="186DF7BA" w14:textId="77777777" w:rsidTr="00DC40B9">
        <w:trPr>
          <w:trHeight w:val="227"/>
        </w:trPr>
        <w:tc>
          <w:tcPr>
            <w:tcW w:w="2972" w:type="dxa"/>
            <w:noWrap/>
            <w:vAlign w:val="center"/>
            <w:hideMark/>
          </w:tcPr>
          <w:p w14:paraId="3B9BEE0D" w14:textId="77777777" w:rsidR="00DD54E5" w:rsidRPr="00BF760C" w:rsidRDefault="00DD54E5" w:rsidP="00DC40B9">
            <w:pPr>
              <w:spacing w:after="0"/>
              <w:jc w:val="left"/>
              <w:rPr>
                <w:bCs/>
                <w:sz w:val="20"/>
                <w:szCs w:val="20"/>
                <w:lang w:eastAsia="cs-CZ"/>
              </w:rPr>
            </w:pPr>
            <w:r w:rsidRPr="00BF760C">
              <w:rPr>
                <w:bCs/>
                <w:sz w:val="20"/>
                <w:szCs w:val="20"/>
                <w:lang w:eastAsia="cs-CZ"/>
              </w:rPr>
              <w:t>Plynový olej KN 2710 19 41 s BIO</w:t>
            </w:r>
          </w:p>
        </w:tc>
        <w:tc>
          <w:tcPr>
            <w:tcW w:w="1522" w:type="dxa"/>
            <w:noWrap/>
            <w:vAlign w:val="center"/>
            <w:hideMark/>
          </w:tcPr>
          <w:p w14:paraId="68084170" w14:textId="77777777" w:rsidR="00DD54E5" w:rsidRPr="00BF760C" w:rsidRDefault="00DD54E5" w:rsidP="00DC40B9">
            <w:pPr>
              <w:spacing w:after="0"/>
              <w:jc w:val="right"/>
              <w:rPr>
                <w:sz w:val="20"/>
                <w:szCs w:val="20"/>
                <w:lang w:eastAsia="cs-CZ"/>
              </w:rPr>
            </w:pPr>
            <w:r w:rsidRPr="00BF760C">
              <w:rPr>
                <w:sz w:val="20"/>
                <w:szCs w:val="20"/>
                <w:lang w:eastAsia="cs-CZ"/>
              </w:rPr>
              <w:t>2 451 887 971</w:t>
            </w:r>
          </w:p>
        </w:tc>
        <w:tc>
          <w:tcPr>
            <w:tcW w:w="1523" w:type="dxa"/>
            <w:noWrap/>
            <w:vAlign w:val="center"/>
            <w:hideMark/>
          </w:tcPr>
          <w:p w14:paraId="1FC341ED" w14:textId="77777777" w:rsidR="00DD54E5" w:rsidRPr="00BF760C" w:rsidRDefault="00DD54E5" w:rsidP="00DC40B9">
            <w:pPr>
              <w:spacing w:after="0"/>
              <w:jc w:val="right"/>
              <w:rPr>
                <w:sz w:val="20"/>
                <w:szCs w:val="20"/>
                <w:lang w:eastAsia="cs-CZ"/>
              </w:rPr>
            </w:pPr>
            <w:r w:rsidRPr="00BF760C">
              <w:rPr>
                <w:sz w:val="20"/>
                <w:szCs w:val="20"/>
                <w:lang w:eastAsia="cs-CZ"/>
              </w:rPr>
              <w:t>4 714 829 981</w:t>
            </w:r>
          </w:p>
        </w:tc>
        <w:tc>
          <w:tcPr>
            <w:tcW w:w="1522" w:type="dxa"/>
            <w:noWrap/>
            <w:vAlign w:val="center"/>
            <w:hideMark/>
          </w:tcPr>
          <w:p w14:paraId="20C4EB94" w14:textId="77777777" w:rsidR="00DD54E5" w:rsidRPr="00BF760C" w:rsidRDefault="00DD54E5" w:rsidP="00DC40B9">
            <w:pPr>
              <w:spacing w:after="0"/>
              <w:jc w:val="right"/>
              <w:rPr>
                <w:sz w:val="20"/>
                <w:szCs w:val="20"/>
                <w:lang w:eastAsia="cs-CZ"/>
              </w:rPr>
            </w:pPr>
            <w:r w:rsidRPr="00BF760C">
              <w:rPr>
                <w:sz w:val="20"/>
                <w:szCs w:val="20"/>
                <w:lang w:eastAsia="cs-CZ"/>
              </w:rPr>
              <w:t>4 953 217 616</w:t>
            </w:r>
          </w:p>
        </w:tc>
        <w:tc>
          <w:tcPr>
            <w:tcW w:w="1523" w:type="dxa"/>
            <w:noWrap/>
            <w:vAlign w:val="center"/>
            <w:hideMark/>
          </w:tcPr>
          <w:p w14:paraId="3D8E555F" w14:textId="77777777" w:rsidR="00DD54E5" w:rsidRPr="00BF760C" w:rsidRDefault="00DD54E5" w:rsidP="00DC40B9">
            <w:pPr>
              <w:spacing w:after="0"/>
              <w:jc w:val="right"/>
              <w:rPr>
                <w:sz w:val="20"/>
                <w:szCs w:val="20"/>
                <w:lang w:eastAsia="cs-CZ"/>
              </w:rPr>
            </w:pPr>
            <w:r w:rsidRPr="00BF760C">
              <w:rPr>
                <w:sz w:val="20"/>
                <w:szCs w:val="20"/>
                <w:lang w:eastAsia="cs-CZ"/>
              </w:rPr>
              <w:t>5 010 429 997</w:t>
            </w:r>
          </w:p>
        </w:tc>
      </w:tr>
      <w:tr w:rsidR="00DD54E5" w14:paraId="08B310E3" w14:textId="77777777" w:rsidTr="00DC40B9">
        <w:trPr>
          <w:trHeight w:val="227"/>
        </w:trPr>
        <w:tc>
          <w:tcPr>
            <w:tcW w:w="2972" w:type="dxa"/>
            <w:noWrap/>
            <w:vAlign w:val="center"/>
            <w:hideMark/>
          </w:tcPr>
          <w:p w14:paraId="4DC568B8" w14:textId="77777777" w:rsidR="00DD54E5" w:rsidRPr="00BF760C" w:rsidRDefault="00DD54E5" w:rsidP="00DC40B9">
            <w:pPr>
              <w:spacing w:after="0"/>
              <w:jc w:val="left"/>
              <w:rPr>
                <w:bCs/>
                <w:sz w:val="20"/>
                <w:szCs w:val="20"/>
                <w:lang w:eastAsia="cs-CZ"/>
              </w:rPr>
            </w:pPr>
            <w:r w:rsidRPr="00BF760C">
              <w:rPr>
                <w:bCs/>
                <w:sz w:val="20"/>
                <w:szCs w:val="20"/>
                <w:lang w:eastAsia="cs-CZ"/>
              </w:rPr>
              <w:t>FAME KN 3824 90 99</w:t>
            </w:r>
          </w:p>
        </w:tc>
        <w:tc>
          <w:tcPr>
            <w:tcW w:w="1522" w:type="dxa"/>
            <w:noWrap/>
            <w:vAlign w:val="center"/>
            <w:hideMark/>
          </w:tcPr>
          <w:p w14:paraId="294F45FE" w14:textId="77777777" w:rsidR="00DD54E5" w:rsidRPr="00BF760C" w:rsidRDefault="00DD54E5" w:rsidP="00DC40B9">
            <w:pPr>
              <w:spacing w:after="0"/>
              <w:jc w:val="right"/>
              <w:rPr>
                <w:sz w:val="20"/>
                <w:szCs w:val="20"/>
                <w:lang w:eastAsia="cs-CZ"/>
              </w:rPr>
            </w:pPr>
            <w:r w:rsidRPr="00BF760C">
              <w:rPr>
                <w:sz w:val="20"/>
                <w:szCs w:val="20"/>
                <w:lang w:eastAsia="cs-CZ"/>
              </w:rPr>
              <w:t>121 627 892</w:t>
            </w:r>
          </w:p>
        </w:tc>
        <w:tc>
          <w:tcPr>
            <w:tcW w:w="1523" w:type="dxa"/>
            <w:noWrap/>
            <w:vAlign w:val="center"/>
            <w:hideMark/>
          </w:tcPr>
          <w:p w14:paraId="613CF15F" w14:textId="77777777" w:rsidR="00DD54E5" w:rsidRPr="00BF760C" w:rsidRDefault="00DD54E5" w:rsidP="00DC40B9">
            <w:pPr>
              <w:spacing w:after="0"/>
              <w:jc w:val="right"/>
              <w:rPr>
                <w:sz w:val="20"/>
                <w:szCs w:val="20"/>
                <w:lang w:eastAsia="cs-CZ"/>
              </w:rPr>
            </w:pPr>
            <w:r w:rsidRPr="00BF760C">
              <w:rPr>
                <w:sz w:val="20"/>
                <w:szCs w:val="20"/>
                <w:lang w:eastAsia="cs-CZ"/>
              </w:rPr>
              <w:t>9 567</w:t>
            </w:r>
          </w:p>
        </w:tc>
        <w:tc>
          <w:tcPr>
            <w:tcW w:w="1522" w:type="dxa"/>
            <w:noWrap/>
            <w:vAlign w:val="center"/>
            <w:hideMark/>
          </w:tcPr>
          <w:p w14:paraId="7A04AA04" w14:textId="77777777" w:rsidR="00DD54E5" w:rsidRPr="00BF760C" w:rsidRDefault="00DD54E5" w:rsidP="00DC40B9">
            <w:pPr>
              <w:spacing w:after="0"/>
              <w:jc w:val="right"/>
              <w:rPr>
                <w:sz w:val="20"/>
                <w:szCs w:val="20"/>
                <w:lang w:eastAsia="cs-CZ"/>
              </w:rPr>
            </w:pPr>
            <w:r w:rsidRPr="00BF760C">
              <w:rPr>
                <w:sz w:val="20"/>
                <w:szCs w:val="20"/>
                <w:lang w:eastAsia="cs-CZ"/>
              </w:rPr>
              <w:t>10 999</w:t>
            </w:r>
          </w:p>
        </w:tc>
        <w:tc>
          <w:tcPr>
            <w:tcW w:w="1523" w:type="dxa"/>
            <w:noWrap/>
            <w:vAlign w:val="center"/>
            <w:hideMark/>
          </w:tcPr>
          <w:p w14:paraId="1FFB59DC" w14:textId="77777777" w:rsidR="00DD54E5" w:rsidRPr="00BF760C" w:rsidRDefault="00DD54E5" w:rsidP="00DC40B9">
            <w:pPr>
              <w:spacing w:after="0"/>
              <w:jc w:val="right"/>
              <w:rPr>
                <w:sz w:val="20"/>
                <w:szCs w:val="20"/>
                <w:lang w:eastAsia="cs-CZ"/>
              </w:rPr>
            </w:pPr>
            <w:r w:rsidRPr="00BF760C">
              <w:rPr>
                <w:sz w:val="20"/>
                <w:szCs w:val="20"/>
                <w:lang w:eastAsia="cs-CZ"/>
              </w:rPr>
              <w:t>329 246</w:t>
            </w:r>
          </w:p>
        </w:tc>
      </w:tr>
    </w:tbl>
    <w:p w14:paraId="589B7E46" w14:textId="3F5B1E73" w:rsidR="00DD54E5" w:rsidRDefault="00DD54E5" w:rsidP="00DC40B9">
      <w:pPr>
        <w:spacing w:before="40" w:after="0"/>
        <w:ind w:left="567" w:hanging="567"/>
        <w:jc w:val="left"/>
        <w:rPr>
          <w:sz w:val="20"/>
          <w:szCs w:val="20"/>
          <w:lang w:eastAsia="cs-CZ"/>
        </w:rPr>
      </w:pPr>
      <w:r w:rsidRPr="00011B75">
        <w:rPr>
          <w:b/>
          <w:sz w:val="20"/>
          <w:szCs w:val="20"/>
          <w:lang w:eastAsia="cs-CZ"/>
        </w:rPr>
        <w:t>Zdroj:</w:t>
      </w:r>
      <w:r w:rsidRPr="00BF760C">
        <w:rPr>
          <w:sz w:val="20"/>
          <w:szCs w:val="20"/>
          <w:lang w:eastAsia="cs-CZ"/>
        </w:rPr>
        <w:t xml:space="preserve"> statistické přehledy celní správy, dostupné z </w:t>
      </w:r>
      <w:hyperlink r:id="rId60" w:history="1">
        <w:r w:rsidR="00DC40B9" w:rsidRPr="0002292A">
          <w:rPr>
            <w:rStyle w:val="Hypertextovodkaz"/>
            <w:sz w:val="20"/>
            <w:szCs w:val="20"/>
            <w:u w:val="none"/>
            <w:lang w:eastAsia="cs-CZ"/>
          </w:rPr>
          <w:t>https://www.celnisprava.cz/cz/dane/statistiky/Stranky/mineraly.aspx</w:t>
        </w:r>
      </w:hyperlink>
      <w:r w:rsidRPr="00BF760C">
        <w:rPr>
          <w:sz w:val="20"/>
          <w:szCs w:val="20"/>
          <w:lang w:eastAsia="cs-CZ"/>
        </w:rPr>
        <w:t>, minerální olej</w:t>
      </w:r>
      <w:r w:rsidR="00E25382">
        <w:rPr>
          <w:sz w:val="20"/>
          <w:szCs w:val="20"/>
          <w:lang w:eastAsia="cs-CZ"/>
        </w:rPr>
        <w:t>e</w:t>
      </w:r>
      <w:r w:rsidRPr="00BF760C">
        <w:rPr>
          <w:sz w:val="20"/>
          <w:szCs w:val="20"/>
          <w:lang w:eastAsia="cs-CZ"/>
        </w:rPr>
        <w:t xml:space="preserve"> a biopaliva za jednotlivé roky</w:t>
      </w:r>
      <w:r>
        <w:rPr>
          <w:sz w:val="20"/>
          <w:szCs w:val="20"/>
          <w:lang w:eastAsia="cs-CZ"/>
        </w:rPr>
        <w:t>.</w:t>
      </w:r>
    </w:p>
    <w:p w14:paraId="60482AE7" w14:textId="77777777" w:rsidR="00DC40B9" w:rsidRPr="005D08F9" w:rsidRDefault="00DC40B9" w:rsidP="00DC40B9">
      <w:pPr>
        <w:spacing w:after="0"/>
        <w:ind w:left="567" w:hanging="567"/>
        <w:rPr>
          <w:sz w:val="20"/>
          <w:szCs w:val="20"/>
          <w:lang w:eastAsia="cs-CZ"/>
        </w:rPr>
      </w:pPr>
    </w:p>
    <w:p w14:paraId="4BA2DA33" w14:textId="77777777" w:rsidR="00DD54E5" w:rsidRDefault="0002292A" w:rsidP="0002292A">
      <w:pPr>
        <w:pStyle w:val="Tabulka"/>
        <w:numPr>
          <w:ilvl w:val="0"/>
          <w:numId w:val="0"/>
        </w:numPr>
        <w:spacing w:after="40"/>
        <w:ind w:left="1446" w:hanging="1446"/>
        <w:rPr>
          <w:lang w:eastAsia="cs-CZ"/>
        </w:rPr>
      </w:pPr>
      <w:r>
        <w:rPr>
          <w:lang w:eastAsia="cs-CZ"/>
        </w:rPr>
        <w:t xml:space="preserve">Tabulka č. 18: </w:t>
      </w:r>
      <w:r>
        <w:rPr>
          <w:lang w:eastAsia="cs-CZ"/>
        </w:rPr>
        <w:tab/>
      </w:r>
      <w:r w:rsidR="00DD54E5" w:rsidRPr="00A305C6">
        <w:rPr>
          <w:lang w:eastAsia="cs-CZ"/>
        </w:rPr>
        <w:t>Přehled množství biopaliv uplatněných pro dopravní účely uvedených do volného daňového</w:t>
      </w:r>
      <w:r w:rsidR="00DD54E5">
        <w:rPr>
          <w:lang w:eastAsia="cs-CZ"/>
        </w:rPr>
        <w:t xml:space="preserve"> oběhu v letech 2015–</w:t>
      </w:r>
      <w:r w:rsidR="00DD54E5" w:rsidRPr="00A305C6">
        <w:rPr>
          <w:lang w:eastAsia="cs-CZ"/>
        </w:rPr>
        <w:t>2018</w:t>
      </w:r>
      <w:r w:rsidR="00DD54E5">
        <w:rPr>
          <w:lang w:eastAsia="cs-CZ"/>
        </w:rPr>
        <w:t xml:space="preserve"> v litrech</w:t>
      </w:r>
    </w:p>
    <w:tbl>
      <w:tblPr>
        <w:tblW w:w="9073" w:type="dxa"/>
        <w:tblLayout w:type="fixed"/>
        <w:tblCellMar>
          <w:left w:w="70" w:type="dxa"/>
          <w:right w:w="70" w:type="dxa"/>
        </w:tblCellMar>
        <w:tblLook w:val="04A0" w:firstRow="1" w:lastRow="0" w:firstColumn="1" w:lastColumn="0" w:noHBand="0" w:noVBand="1"/>
      </w:tblPr>
      <w:tblGrid>
        <w:gridCol w:w="4309"/>
        <w:gridCol w:w="1191"/>
        <w:gridCol w:w="1191"/>
        <w:gridCol w:w="1191"/>
        <w:gridCol w:w="1191"/>
      </w:tblGrid>
      <w:tr w:rsidR="00DD54E5" w14:paraId="0D87CF13" w14:textId="77777777" w:rsidTr="00DC40B9">
        <w:trPr>
          <w:trHeight w:val="88"/>
        </w:trPr>
        <w:tc>
          <w:tcPr>
            <w:tcW w:w="4309" w:type="dxa"/>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4199C127" w14:textId="77777777" w:rsidR="00DD54E5" w:rsidRPr="00A305C6" w:rsidRDefault="00DD54E5" w:rsidP="00126238">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Rok</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4293BADA" w14:textId="77777777" w:rsidR="00DD54E5" w:rsidRPr="00A305C6" w:rsidRDefault="00DD54E5" w:rsidP="00126238">
            <w:pPr>
              <w:spacing w:after="0"/>
              <w:jc w:val="center"/>
              <w:rPr>
                <w:rFonts w:eastAsia="Times New Roman" w:cs="Calibri"/>
                <w:b/>
                <w:bCs/>
                <w:color w:val="000000"/>
                <w:sz w:val="20"/>
                <w:szCs w:val="20"/>
                <w:lang w:eastAsia="cs-CZ"/>
              </w:rPr>
            </w:pPr>
            <w:r w:rsidRPr="00A305C6">
              <w:rPr>
                <w:rFonts w:eastAsia="Times New Roman" w:cs="Calibri"/>
                <w:b/>
                <w:bCs/>
                <w:color w:val="000000"/>
                <w:sz w:val="20"/>
                <w:szCs w:val="20"/>
                <w:lang w:eastAsia="cs-CZ"/>
              </w:rPr>
              <w:t>2015</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38741430" w14:textId="77777777" w:rsidR="00DD54E5" w:rsidRPr="00A305C6" w:rsidRDefault="00DD54E5" w:rsidP="00126238">
            <w:pPr>
              <w:spacing w:after="0"/>
              <w:jc w:val="center"/>
              <w:rPr>
                <w:rFonts w:eastAsia="Times New Roman" w:cs="Calibri"/>
                <w:b/>
                <w:bCs/>
                <w:color w:val="000000"/>
                <w:sz w:val="20"/>
                <w:szCs w:val="20"/>
                <w:lang w:eastAsia="cs-CZ"/>
              </w:rPr>
            </w:pPr>
            <w:r w:rsidRPr="00A305C6">
              <w:rPr>
                <w:rFonts w:eastAsia="Times New Roman" w:cs="Calibri"/>
                <w:b/>
                <w:bCs/>
                <w:color w:val="000000"/>
                <w:sz w:val="20"/>
                <w:szCs w:val="20"/>
                <w:lang w:eastAsia="cs-CZ"/>
              </w:rPr>
              <w:t>2016</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58374ADB" w14:textId="77777777" w:rsidR="00DD54E5" w:rsidRPr="00A305C6" w:rsidRDefault="00DD54E5" w:rsidP="00126238">
            <w:pPr>
              <w:spacing w:after="0"/>
              <w:jc w:val="center"/>
              <w:rPr>
                <w:rFonts w:eastAsia="Times New Roman" w:cs="Calibri"/>
                <w:b/>
                <w:bCs/>
                <w:color w:val="000000"/>
                <w:sz w:val="20"/>
                <w:szCs w:val="20"/>
                <w:lang w:eastAsia="cs-CZ"/>
              </w:rPr>
            </w:pPr>
            <w:r w:rsidRPr="00A305C6">
              <w:rPr>
                <w:rFonts w:eastAsia="Times New Roman" w:cs="Calibri"/>
                <w:b/>
                <w:bCs/>
                <w:color w:val="000000"/>
                <w:sz w:val="20"/>
                <w:szCs w:val="20"/>
                <w:lang w:eastAsia="cs-CZ"/>
              </w:rPr>
              <w:t>2017</w:t>
            </w:r>
          </w:p>
        </w:tc>
        <w:tc>
          <w:tcPr>
            <w:tcW w:w="1191" w:type="dxa"/>
            <w:tcBorders>
              <w:top w:val="single" w:sz="4" w:space="0" w:color="auto"/>
              <w:left w:val="nil"/>
              <w:bottom w:val="single" w:sz="4" w:space="0" w:color="auto"/>
              <w:right w:val="single" w:sz="4" w:space="0" w:color="auto"/>
            </w:tcBorders>
            <w:shd w:val="clear" w:color="auto" w:fill="E5F1FF"/>
            <w:noWrap/>
            <w:vAlign w:val="center"/>
            <w:hideMark/>
          </w:tcPr>
          <w:p w14:paraId="5C3F9018" w14:textId="77777777" w:rsidR="00DD54E5" w:rsidRPr="00A305C6" w:rsidRDefault="00DD54E5" w:rsidP="00126238">
            <w:pPr>
              <w:spacing w:after="0"/>
              <w:jc w:val="center"/>
              <w:rPr>
                <w:rFonts w:eastAsia="Times New Roman" w:cs="Calibri"/>
                <w:b/>
                <w:bCs/>
                <w:color w:val="000000"/>
                <w:sz w:val="20"/>
                <w:szCs w:val="20"/>
                <w:lang w:eastAsia="cs-CZ"/>
              </w:rPr>
            </w:pPr>
            <w:r w:rsidRPr="00A305C6">
              <w:rPr>
                <w:rFonts w:eastAsia="Times New Roman" w:cs="Calibri"/>
                <w:b/>
                <w:bCs/>
                <w:color w:val="000000"/>
                <w:sz w:val="20"/>
                <w:szCs w:val="20"/>
                <w:lang w:eastAsia="cs-CZ"/>
              </w:rPr>
              <w:t>2018</w:t>
            </w:r>
          </w:p>
        </w:tc>
      </w:tr>
      <w:tr w:rsidR="00DD54E5" w14:paraId="1EFD9202" w14:textId="77777777" w:rsidTr="00DC40B9">
        <w:trPr>
          <w:trHeight w:val="300"/>
        </w:trPr>
        <w:tc>
          <w:tcPr>
            <w:tcW w:w="4309" w:type="dxa"/>
            <w:tcBorders>
              <w:top w:val="nil"/>
              <w:left w:val="single" w:sz="4" w:space="0" w:color="auto"/>
              <w:bottom w:val="single" w:sz="4" w:space="0" w:color="auto"/>
              <w:right w:val="single" w:sz="4" w:space="0" w:color="auto"/>
            </w:tcBorders>
            <w:shd w:val="clear" w:color="auto" w:fill="auto"/>
            <w:noWrap/>
            <w:vAlign w:val="bottom"/>
            <w:hideMark/>
          </w:tcPr>
          <w:p w14:paraId="2E1FC406" w14:textId="5302A20C" w:rsidR="00DD54E5" w:rsidRPr="00A305C6" w:rsidRDefault="00E25382" w:rsidP="00DC40B9">
            <w:pPr>
              <w:spacing w:after="0"/>
              <w:jc w:val="left"/>
              <w:rPr>
                <w:rFonts w:eastAsia="Times New Roman" w:cs="Calibri"/>
                <w:bCs/>
                <w:color w:val="000000"/>
                <w:sz w:val="20"/>
                <w:szCs w:val="20"/>
                <w:lang w:eastAsia="cs-CZ"/>
              </w:rPr>
            </w:pPr>
            <w:r>
              <w:rPr>
                <w:rFonts w:eastAsia="Times New Roman" w:cs="Calibri"/>
                <w:bCs/>
                <w:color w:val="000000"/>
                <w:sz w:val="20"/>
                <w:szCs w:val="20"/>
                <w:lang w:eastAsia="cs-CZ"/>
              </w:rPr>
              <w:t>M</w:t>
            </w:r>
            <w:r w:rsidR="00DD54E5">
              <w:rPr>
                <w:rFonts w:eastAsia="Times New Roman" w:cs="Calibri"/>
                <w:bCs/>
                <w:color w:val="000000"/>
                <w:sz w:val="20"/>
                <w:szCs w:val="20"/>
                <w:lang w:eastAsia="cs-CZ"/>
              </w:rPr>
              <w:t>nožství biopaliv uvedených do</w:t>
            </w:r>
            <w:r w:rsidR="00DC40B9">
              <w:rPr>
                <w:rFonts w:eastAsia="Times New Roman" w:cs="Calibri"/>
                <w:bCs/>
                <w:color w:val="000000"/>
                <w:sz w:val="20"/>
                <w:szCs w:val="20"/>
                <w:lang w:eastAsia="cs-CZ"/>
              </w:rPr>
              <w:t xml:space="preserve"> </w:t>
            </w:r>
            <w:r w:rsidR="00DD54E5" w:rsidRPr="00A305C6">
              <w:rPr>
                <w:rFonts w:eastAsia="Times New Roman" w:cs="Calibri"/>
                <w:bCs/>
                <w:color w:val="000000"/>
                <w:sz w:val="20"/>
                <w:szCs w:val="20"/>
                <w:lang w:eastAsia="cs-CZ"/>
              </w:rPr>
              <w:t>daňového volného oběhu</w:t>
            </w:r>
          </w:p>
        </w:tc>
        <w:tc>
          <w:tcPr>
            <w:tcW w:w="1191" w:type="dxa"/>
            <w:tcBorders>
              <w:top w:val="nil"/>
              <w:left w:val="nil"/>
              <w:bottom w:val="single" w:sz="4" w:space="0" w:color="auto"/>
              <w:right w:val="single" w:sz="4" w:space="0" w:color="auto"/>
            </w:tcBorders>
            <w:shd w:val="clear" w:color="auto" w:fill="auto"/>
            <w:noWrap/>
            <w:vAlign w:val="center"/>
            <w:hideMark/>
          </w:tcPr>
          <w:p w14:paraId="13AFF5E5" w14:textId="77777777" w:rsidR="00DD54E5" w:rsidRPr="00A305C6" w:rsidRDefault="00DD54E5" w:rsidP="00126238">
            <w:pPr>
              <w:spacing w:after="0"/>
              <w:jc w:val="right"/>
              <w:rPr>
                <w:rFonts w:eastAsia="Times New Roman" w:cs="Calibri"/>
                <w:color w:val="000000"/>
                <w:sz w:val="20"/>
                <w:szCs w:val="20"/>
                <w:lang w:eastAsia="cs-CZ"/>
              </w:rPr>
            </w:pPr>
            <w:r w:rsidRPr="00A305C6">
              <w:rPr>
                <w:rFonts w:eastAsia="Times New Roman" w:cs="Calibri"/>
                <w:color w:val="000000"/>
                <w:sz w:val="20"/>
                <w:szCs w:val="20"/>
                <w:lang w:eastAsia="cs-CZ"/>
              </w:rPr>
              <w:t>384 579 499</w:t>
            </w:r>
          </w:p>
        </w:tc>
        <w:tc>
          <w:tcPr>
            <w:tcW w:w="1191" w:type="dxa"/>
            <w:tcBorders>
              <w:top w:val="nil"/>
              <w:left w:val="nil"/>
              <w:bottom w:val="single" w:sz="4" w:space="0" w:color="auto"/>
              <w:right w:val="single" w:sz="4" w:space="0" w:color="auto"/>
            </w:tcBorders>
            <w:shd w:val="clear" w:color="auto" w:fill="auto"/>
            <w:noWrap/>
            <w:vAlign w:val="center"/>
            <w:hideMark/>
          </w:tcPr>
          <w:p w14:paraId="60791241" w14:textId="77777777" w:rsidR="00DD54E5" w:rsidRPr="00A305C6" w:rsidRDefault="00DD54E5" w:rsidP="00126238">
            <w:pPr>
              <w:spacing w:after="0"/>
              <w:jc w:val="right"/>
              <w:rPr>
                <w:rFonts w:eastAsia="Times New Roman" w:cs="Calibri"/>
                <w:color w:val="000000"/>
                <w:sz w:val="20"/>
                <w:szCs w:val="20"/>
                <w:lang w:eastAsia="cs-CZ"/>
              </w:rPr>
            </w:pPr>
            <w:r w:rsidRPr="00A305C6">
              <w:rPr>
                <w:rFonts w:eastAsia="Times New Roman" w:cs="Calibri"/>
                <w:color w:val="000000"/>
                <w:sz w:val="20"/>
                <w:szCs w:val="20"/>
                <w:lang w:eastAsia="cs-CZ"/>
              </w:rPr>
              <w:t>394 680 909</w:t>
            </w:r>
          </w:p>
        </w:tc>
        <w:tc>
          <w:tcPr>
            <w:tcW w:w="1191" w:type="dxa"/>
            <w:tcBorders>
              <w:top w:val="nil"/>
              <w:left w:val="nil"/>
              <w:bottom w:val="single" w:sz="4" w:space="0" w:color="auto"/>
              <w:right w:val="single" w:sz="4" w:space="0" w:color="auto"/>
            </w:tcBorders>
            <w:shd w:val="clear" w:color="auto" w:fill="auto"/>
            <w:noWrap/>
            <w:vAlign w:val="center"/>
            <w:hideMark/>
          </w:tcPr>
          <w:p w14:paraId="1FBE2D12" w14:textId="77777777" w:rsidR="00DD54E5" w:rsidRPr="00A305C6" w:rsidRDefault="00DD54E5" w:rsidP="00126238">
            <w:pPr>
              <w:spacing w:after="0"/>
              <w:jc w:val="right"/>
              <w:rPr>
                <w:rFonts w:eastAsia="Times New Roman" w:cs="Calibri"/>
                <w:color w:val="000000"/>
                <w:sz w:val="20"/>
                <w:szCs w:val="20"/>
                <w:lang w:eastAsia="cs-CZ"/>
              </w:rPr>
            </w:pPr>
            <w:r w:rsidRPr="00A305C6">
              <w:rPr>
                <w:rFonts w:eastAsia="Times New Roman" w:cs="Calibri"/>
                <w:color w:val="000000"/>
                <w:sz w:val="20"/>
                <w:szCs w:val="20"/>
                <w:lang w:eastAsia="cs-CZ"/>
              </w:rPr>
              <w:t>442 513 374</w:t>
            </w:r>
          </w:p>
        </w:tc>
        <w:tc>
          <w:tcPr>
            <w:tcW w:w="1191" w:type="dxa"/>
            <w:tcBorders>
              <w:top w:val="nil"/>
              <w:left w:val="nil"/>
              <w:bottom w:val="single" w:sz="4" w:space="0" w:color="auto"/>
              <w:right w:val="single" w:sz="4" w:space="0" w:color="auto"/>
            </w:tcBorders>
            <w:shd w:val="clear" w:color="auto" w:fill="auto"/>
            <w:noWrap/>
            <w:vAlign w:val="center"/>
            <w:hideMark/>
          </w:tcPr>
          <w:p w14:paraId="5DD3BCC4" w14:textId="77777777" w:rsidR="00DD54E5" w:rsidRPr="00A305C6" w:rsidRDefault="00DD54E5" w:rsidP="00126238">
            <w:pPr>
              <w:spacing w:after="0"/>
              <w:jc w:val="right"/>
              <w:rPr>
                <w:rFonts w:eastAsia="Times New Roman" w:cs="Calibri"/>
                <w:color w:val="000000"/>
                <w:sz w:val="20"/>
                <w:szCs w:val="20"/>
                <w:lang w:eastAsia="cs-CZ"/>
              </w:rPr>
            </w:pPr>
            <w:r w:rsidRPr="00A305C6">
              <w:rPr>
                <w:rFonts w:eastAsia="Times New Roman" w:cs="Calibri"/>
                <w:color w:val="000000"/>
                <w:sz w:val="20"/>
                <w:szCs w:val="20"/>
                <w:lang w:eastAsia="cs-CZ"/>
              </w:rPr>
              <w:t>476 269 755</w:t>
            </w:r>
          </w:p>
        </w:tc>
      </w:tr>
    </w:tbl>
    <w:p w14:paraId="00D7124C" w14:textId="77777777" w:rsidR="00DD54E5" w:rsidRDefault="00DD54E5" w:rsidP="00DC40B9">
      <w:pPr>
        <w:spacing w:before="40" w:after="0"/>
        <w:jc w:val="left"/>
        <w:rPr>
          <w:sz w:val="20"/>
          <w:szCs w:val="20"/>
          <w:lang w:eastAsia="cs-CZ"/>
        </w:rPr>
      </w:pPr>
      <w:r w:rsidRPr="00011B75">
        <w:rPr>
          <w:b/>
          <w:sz w:val="20"/>
          <w:szCs w:val="20"/>
          <w:lang w:eastAsia="cs-CZ"/>
        </w:rPr>
        <w:t>Zdroj:</w:t>
      </w:r>
      <w:r w:rsidRPr="00A305C6">
        <w:rPr>
          <w:sz w:val="20"/>
          <w:szCs w:val="20"/>
          <w:lang w:eastAsia="cs-CZ"/>
        </w:rPr>
        <w:t xml:space="preserve"> statistické přehledy celní správy, dostupné z </w:t>
      </w:r>
      <w:hyperlink r:id="rId61" w:history="1">
        <w:r w:rsidR="0002292A" w:rsidRPr="0002292A">
          <w:rPr>
            <w:rStyle w:val="Hypertextovodkaz"/>
            <w:sz w:val="20"/>
            <w:szCs w:val="20"/>
            <w:u w:val="none"/>
            <w:lang w:eastAsia="cs-CZ"/>
          </w:rPr>
          <w:t>https://www.celnisprava.cz/cz/dane/statistiky/Stranky/mineraly.aspx</w:t>
        </w:r>
      </w:hyperlink>
      <w:r w:rsidRPr="00A305C6">
        <w:rPr>
          <w:sz w:val="20"/>
          <w:szCs w:val="20"/>
          <w:lang w:eastAsia="cs-CZ"/>
        </w:rPr>
        <w:t>, biopaliva za jednotlivé roky</w:t>
      </w:r>
      <w:r>
        <w:rPr>
          <w:sz w:val="20"/>
          <w:szCs w:val="20"/>
          <w:lang w:eastAsia="cs-CZ"/>
        </w:rPr>
        <w:t>.</w:t>
      </w:r>
    </w:p>
    <w:p w14:paraId="55E5B098" w14:textId="77777777" w:rsidR="00DC40B9" w:rsidRPr="005D08F9" w:rsidRDefault="00DC40B9" w:rsidP="00DC40B9">
      <w:pPr>
        <w:spacing w:after="0"/>
        <w:ind w:left="567" w:hanging="567"/>
        <w:rPr>
          <w:sz w:val="20"/>
          <w:szCs w:val="20"/>
          <w:lang w:eastAsia="cs-CZ"/>
        </w:rPr>
      </w:pPr>
    </w:p>
    <w:p w14:paraId="67B49FE5" w14:textId="77777777" w:rsidR="00DD54E5" w:rsidRDefault="0002292A" w:rsidP="0002292A">
      <w:pPr>
        <w:pStyle w:val="Tabulka"/>
        <w:numPr>
          <w:ilvl w:val="0"/>
          <w:numId w:val="0"/>
        </w:numPr>
        <w:spacing w:after="40"/>
        <w:rPr>
          <w:lang w:eastAsia="cs-CZ"/>
        </w:rPr>
      </w:pPr>
      <w:r>
        <w:rPr>
          <w:lang w:eastAsia="cs-CZ"/>
        </w:rPr>
        <w:lastRenderedPageBreak/>
        <w:t xml:space="preserve">Tabulka č. 19: </w:t>
      </w:r>
      <w:r w:rsidR="00DD54E5" w:rsidRPr="0064072D">
        <w:rPr>
          <w:lang w:eastAsia="cs-CZ"/>
        </w:rPr>
        <w:t>Počet vozidel se sníženou sazbou silniční daně podle stáří</w:t>
      </w:r>
    </w:p>
    <w:tbl>
      <w:tblPr>
        <w:tblStyle w:val="Mkatabulky"/>
        <w:tblW w:w="0" w:type="auto"/>
        <w:tblLook w:val="04A0" w:firstRow="1" w:lastRow="0" w:firstColumn="1" w:lastColumn="0" w:noHBand="0" w:noVBand="1"/>
      </w:tblPr>
      <w:tblGrid>
        <w:gridCol w:w="850"/>
        <w:gridCol w:w="2098"/>
        <w:gridCol w:w="2098"/>
        <w:gridCol w:w="2098"/>
        <w:gridCol w:w="1871"/>
      </w:tblGrid>
      <w:tr w:rsidR="00DD54E5" w14:paraId="4A46FDFA" w14:textId="77777777" w:rsidTr="0002292A">
        <w:trPr>
          <w:trHeight w:val="227"/>
        </w:trPr>
        <w:tc>
          <w:tcPr>
            <w:tcW w:w="850" w:type="dxa"/>
            <w:shd w:val="clear" w:color="auto" w:fill="E5F1FF"/>
            <w:vAlign w:val="center"/>
          </w:tcPr>
          <w:p w14:paraId="1766EFFB" w14:textId="77777777" w:rsidR="00DD54E5" w:rsidRPr="0064072D" w:rsidRDefault="00DD54E5" w:rsidP="0002292A">
            <w:pPr>
              <w:keepNext/>
              <w:spacing w:after="0"/>
              <w:jc w:val="center"/>
              <w:rPr>
                <w:b/>
                <w:sz w:val="20"/>
                <w:szCs w:val="20"/>
                <w:lang w:eastAsia="cs-CZ"/>
              </w:rPr>
            </w:pPr>
            <w:r w:rsidRPr="0064072D">
              <w:rPr>
                <w:b/>
                <w:sz w:val="20"/>
                <w:szCs w:val="20"/>
                <w:lang w:eastAsia="cs-CZ"/>
              </w:rPr>
              <w:t>Rok</w:t>
            </w:r>
          </w:p>
        </w:tc>
        <w:tc>
          <w:tcPr>
            <w:tcW w:w="2098" w:type="dxa"/>
            <w:shd w:val="clear" w:color="auto" w:fill="E5F1FF"/>
            <w:vAlign w:val="center"/>
          </w:tcPr>
          <w:p w14:paraId="63113737" w14:textId="594165F8" w:rsidR="00DD54E5" w:rsidRPr="0064072D" w:rsidRDefault="00DD54E5" w:rsidP="00BA1D3F">
            <w:pPr>
              <w:keepNext/>
              <w:spacing w:after="0"/>
              <w:jc w:val="center"/>
              <w:rPr>
                <w:b/>
                <w:sz w:val="20"/>
                <w:szCs w:val="20"/>
                <w:lang w:eastAsia="cs-CZ"/>
              </w:rPr>
            </w:pPr>
            <w:r w:rsidRPr="0064072D">
              <w:rPr>
                <w:b/>
                <w:sz w:val="20"/>
                <w:szCs w:val="20"/>
                <w:lang w:eastAsia="cs-CZ"/>
              </w:rPr>
              <w:t xml:space="preserve">Počet vozidel se stářím vozidla od první registrace </w:t>
            </w:r>
            <w:r w:rsidR="0002292A">
              <w:rPr>
                <w:b/>
                <w:sz w:val="20"/>
                <w:szCs w:val="20"/>
                <w:lang w:eastAsia="cs-CZ"/>
              </w:rPr>
              <w:br/>
            </w:r>
            <w:r w:rsidRPr="0064072D">
              <w:rPr>
                <w:b/>
                <w:sz w:val="20"/>
                <w:szCs w:val="20"/>
                <w:lang w:eastAsia="cs-CZ"/>
              </w:rPr>
              <w:t xml:space="preserve">1. </w:t>
            </w:r>
            <w:r w:rsidR="00BA1D3F">
              <w:rPr>
                <w:b/>
                <w:sz w:val="20"/>
                <w:szCs w:val="20"/>
                <w:lang w:eastAsia="cs-CZ"/>
              </w:rPr>
              <w:t>až</w:t>
            </w:r>
            <w:r w:rsidRPr="0064072D">
              <w:rPr>
                <w:b/>
                <w:sz w:val="20"/>
                <w:szCs w:val="20"/>
                <w:lang w:eastAsia="cs-CZ"/>
              </w:rPr>
              <w:t xml:space="preserve"> 36. měsíc</w:t>
            </w:r>
          </w:p>
        </w:tc>
        <w:tc>
          <w:tcPr>
            <w:tcW w:w="2098" w:type="dxa"/>
            <w:shd w:val="clear" w:color="auto" w:fill="E5F1FF"/>
            <w:vAlign w:val="center"/>
          </w:tcPr>
          <w:p w14:paraId="26801A50" w14:textId="3CF1B7EE" w:rsidR="00DD54E5" w:rsidRPr="0064072D" w:rsidRDefault="00DD54E5" w:rsidP="00BA1D3F">
            <w:pPr>
              <w:keepNext/>
              <w:spacing w:after="0"/>
              <w:jc w:val="center"/>
              <w:rPr>
                <w:b/>
                <w:sz w:val="20"/>
                <w:szCs w:val="20"/>
                <w:lang w:eastAsia="cs-CZ"/>
              </w:rPr>
            </w:pPr>
            <w:r w:rsidRPr="0064072D">
              <w:rPr>
                <w:b/>
                <w:sz w:val="20"/>
                <w:szCs w:val="20"/>
                <w:lang w:eastAsia="cs-CZ"/>
              </w:rPr>
              <w:t xml:space="preserve">Počet vozidel se stářím vozidla od první registrace </w:t>
            </w:r>
            <w:r w:rsidR="0002292A">
              <w:rPr>
                <w:b/>
                <w:sz w:val="20"/>
                <w:szCs w:val="20"/>
                <w:lang w:eastAsia="cs-CZ"/>
              </w:rPr>
              <w:br/>
            </w:r>
            <w:r w:rsidRPr="0064072D">
              <w:rPr>
                <w:b/>
                <w:sz w:val="20"/>
                <w:szCs w:val="20"/>
                <w:lang w:eastAsia="cs-CZ"/>
              </w:rPr>
              <w:t xml:space="preserve">37. </w:t>
            </w:r>
            <w:r w:rsidR="00BA1D3F">
              <w:rPr>
                <w:b/>
                <w:sz w:val="20"/>
                <w:szCs w:val="20"/>
                <w:lang w:eastAsia="cs-CZ"/>
              </w:rPr>
              <w:t>až</w:t>
            </w:r>
            <w:r w:rsidRPr="0064072D">
              <w:rPr>
                <w:b/>
                <w:sz w:val="20"/>
                <w:szCs w:val="20"/>
                <w:lang w:eastAsia="cs-CZ"/>
              </w:rPr>
              <w:t xml:space="preserve"> 72. měsíc</w:t>
            </w:r>
          </w:p>
        </w:tc>
        <w:tc>
          <w:tcPr>
            <w:tcW w:w="2098" w:type="dxa"/>
            <w:shd w:val="clear" w:color="auto" w:fill="E5F1FF"/>
            <w:vAlign w:val="center"/>
          </w:tcPr>
          <w:p w14:paraId="1B7E4708" w14:textId="202A0153" w:rsidR="00DD54E5" w:rsidRPr="0064072D" w:rsidRDefault="00DD54E5" w:rsidP="00BA1D3F">
            <w:pPr>
              <w:keepNext/>
              <w:spacing w:after="0"/>
              <w:jc w:val="center"/>
              <w:rPr>
                <w:b/>
                <w:sz w:val="20"/>
                <w:szCs w:val="20"/>
                <w:lang w:eastAsia="cs-CZ"/>
              </w:rPr>
            </w:pPr>
            <w:r w:rsidRPr="0064072D">
              <w:rPr>
                <w:b/>
                <w:sz w:val="20"/>
                <w:szCs w:val="20"/>
                <w:lang w:eastAsia="cs-CZ"/>
              </w:rPr>
              <w:t xml:space="preserve">Počet vozidel se stářím vozidla od první registrace </w:t>
            </w:r>
            <w:r w:rsidR="0002292A">
              <w:rPr>
                <w:b/>
                <w:sz w:val="20"/>
                <w:szCs w:val="20"/>
                <w:lang w:eastAsia="cs-CZ"/>
              </w:rPr>
              <w:br/>
            </w:r>
            <w:r w:rsidRPr="0064072D">
              <w:rPr>
                <w:b/>
                <w:sz w:val="20"/>
                <w:szCs w:val="20"/>
                <w:lang w:eastAsia="cs-CZ"/>
              </w:rPr>
              <w:t xml:space="preserve">73. </w:t>
            </w:r>
            <w:r w:rsidR="00BA1D3F">
              <w:rPr>
                <w:b/>
                <w:sz w:val="20"/>
                <w:szCs w:val="20"/>
                <w:lang w:eastAsia="cs-CZ"/>
              </w:rPr>
              <w:t>až</w:t>
            </w:r>
            <w:r w:rsidRPr="0064072D">
              <w:rPr>
                <w:b/>
                <w:sz w:val="20"/>
                <w:szCs w:val="20"/>
                <w:lang w:eastAsia="cs-CZ"/>
              </w:rPr>
              <w:t xml:space="preserve"> 108. měsíc</w:t>
            </w:r>
          </w:p>
        </w:tc>
        <w:tc>
          <w:tcPr>
            <w:tcW w:w="1871" w:type="dxa"/>
            <w:shd w:val="clear" w:color="auto" w:fill="E5F1FF"/>
            <w:vAlign w:val="center"/>
          </w:tcPr>
          <w:p w14:paraId="5677BAD2" w14:textId="77777777" w:rsidR="00DD54E5" w:rsidRPr="0064072D" w:rsidRDefault="00DD54E5" w:rsidP="0002292A">
            <w:pPr>
              <w:keepNext/>
              <w:spacing w:after="0"/>
              <w:jc w:val="center"/>
              <w:rPr>
                <w:b/>
                <w:sz w:val="20"/>
                <w:szCs w:val="20"/>
                <w:lang w:eastAsia="cs-CZ"/>
              </w:rPr>
            </w:pPr>
            <w:r w:rsidRPr="0064072D">
              <w:rPr>
                <w:b/>
                <w:sz w:val="20"/>
                <w:szCs w:val="20"/>
                <w:lang w:eastAsia="cs-CZ"/>
              </w:rPr>
              <w:t>Celkem počet vozidel se snížením sazby</w:t>
            </w:r>
          </w:p>
        </w:tc>
      </w:tr>
      <w:tr w:rsidR="00DD54E5" w14:paraId="247C7EA6" w14:textId="77777777" w:rsidTr="0002292A">
        <w:trPr>
          <w:trHeight w:val="227"/>
        </w:trPr>
        <w:tc>
          <w:tcPr>
            <w:tcW w:w="850" w:type="dxa"/>
          </w:tcPr>
          <w:p w14:paraId="208A4B0C" w14:textId="77777777" w:rsidR="00DD54E5" w:rsidRPr="0064072D" w:rsidRDefault="00DD54E5" w:rsidP="0002292A">
            <w:pPr>
              <w:keepNext/>
              <w:spacing w:after="0"/>
              <w:jc w:val="center"/>
              <w:rPr>
                <w:sz w:val="20"/>
                <w:szCs w:val="20"/>
                <w:lang w:eastAsia="cs-CZ"/>
              </w:rPr>
            </w:pPr>
            <w:r>
              <w:rPr>
                <w:sz w:val="20"/>
                <w:szCs w:val="20"/>
                <w:lang w:eastAsia="cs-CZ"/>
              </w:rPr>
              <w:t>2013</w:t>
            </w:r>
          </w:p>
        </w:tc>
        <w:tc>
          <w:tcPr>
            <w:tcW w:w="2098" w:type="dxa"/>
            <w:vAlign w:val="center"/>
          </w:tcPr>
          <w:p w14:paraId="746DBC0F" w14:textId="77777777" w:rsidR="00DD54E5" w:rsidRPr="0064072D" w:rsidRDefault="00DD54E5" w:rsidP="0002292A">
            <w:pPr>
              <w:keepNext/>
              <w:spacing w:after="0"/>
              <w:jc w:val="center"/>
              <w:rPr>
                <w:sz w:val="20"/>
                <w:szCs w:val="20"/>
                <w:lang w:eastAsia="cs-CZ"/>
              </w:rPr>
            </w:pPr>
            <w:r>
              <w:rPr>
                <w:sz w:val="20"/>
                <w:szCs w:val="20"/>
                <w:lang w:eastAsia="cs-CZ"/>
              </w:rPr>
              <w:t>378 606</w:t>
            </w:r>
          </w:p>
        </w:tc>
        <w:tc>
          <w:tcPr>
            <w:tcW w:w="2098" w:type="dxa"/>
            <w:vAlign w:val="center"/>
          </w:tcPr>
          <w:p w14:paraId="30D48E33" w14:textId="77777777" w:rsidR="00DD54E5" w:rsidRPr="0064072D" w:rsidRDefault="00DD54E5" w:rsidP="0002292A">
            <w:pPr>
              <w:keepNext/>
              <w:spacing w:after="0"/>
              <w:jc w:val="center"/>
              <w:rPr>
                <w:sz w:val="20"/>
                <w:szCs w:val="20"/>
                <w:lang w:eastAsia="cs-CZ"/>
              </w:rPr>
            </w:pPr>
            <w:r>
              <w:rPr>
                <w:sz w:val="20"/>
                <w:szCs w:val="20"/>
                <w:lang w:eastAsia="cs-CZ"/>
              </w:rPr>
              <w:t>350 892</w:t>
            </w:r>
          </w:p>
        </w:tc>
        <w:tc>
          <w:tcPr>
            <w:tcW w:w="2098" w:type="dxa"/>
            <w:vAlign w:val="center"/>
          </w:tcPr>
          <w:p w14:paraId="65601304" w14:textId="77777777" w:rsidR="00DD54E5" w:rsidRPr="0064072D" w:rsidRDefault="00DD54E5" w:rsidP="0002292A">
            <w:pPr>
              <w:keepNext/>
              <w:spacing w:after="0"/>
              <w:jc w:val="center"/>
              <w:rPr>
                <w:sz w:val="20"/>
                <w:szCs w:val="20"/>
                <w:lang w:eastAsia="cs-CZ"/>
              </w:rPr>
            </w:pPr>
            <w:r>
              <w:rPr>
                <w:sz w:val="20"/>
                <w:szCs w:val="20"/>
                <w:lang w:eastAsia="cs-CZ"/>
              </w:rPr>
              <w:t>303 851</w:t>
            </w:r>
          </w:p>
        </w:tc>
        <w:tc>
          <w:tcPr>
            <w:tcW w:w="1871" w:type="dxa"/>
            <w:vAlign w:val="center"/>
          </w:tcPr>
          <w:p w14:paraId="31C66E26" w14:textId="77777777" w:rsidR="00DD54E5" w:rsidRPr="0064072D" w:rsidRDefault="00DD54E5" w:rsidP="0002292A">
            <w:pPr>
              <w:keepNext/>
              <w:spacing w:after="0"/>
              <w:jc w:val="center"/>
              <w:rPr>
                <w:sz w:val="20"/>
                <w:szCs w:val="20"/>
                <w:lang w:eastAsia="cs-CZ"/>
              </w:rPr>
            </w:pPr>
            <w:r>
              <w:rPr>
                <w:sz w:val="20"/>
                <w:szCs w:val="20"/>
                <w:lang w:eastAsia="cs-CZ"/>
              </w:rPr>
              <w:t>1 033 349</w:t>
            </w:r>
          </w:p>
        </w:tc>
      </w:tr>
      <w:tr w:rsidR="00DD54E5" w14:paraId="00CCBB56" w14:textId="77777777" w:rsidTr="0002292A">
        <w:trPr>
          <w:trHeight w:val="227"/>
        </w:trPr>
        <w:tc>
          <w:tcPr>
            <w:tcW w:w="850" w:type="dxa"/>
          </w:tcPr>
          <w:p w14:paraId="57136DC9" w14:textId="77777777" w:rsidR="00DD54E5" w:rsidRPr="0064072D" w:rsidRDefault="00DD54E5" w:rsidP="0002292A">
            <w:pPr>
              <w:keepNext/>
              <w:spacing w:after="0"/>
              <w:jc w:val="center"/>
              <w:rPr>
                <w:sz w:val="20"/>
                <w:szCs w:val="20"/>
                <w:lang w:eastAsia="cs-CZ"/>
              </w:rPr>
            </w:pPr>
            <w:r>
              <w:rPr>
                <w:sz w:val="20"/>
                <w:szCs w:val="20"/>
                <w:lang w:eastAsia="cs-CZ"/>
              </w:rPr>
              <w:t>2014</w:t>
            </w:r>
          </w:p>
        </w:tc>
        <w:tc>
          <w:tcPr>
            <w:tcW w:w="2098" w:type="dxa"/>
            <w:vAlign w:val="center"/>
          </w:tcPr>
          <w:p w14:paraId="1F679CCD" w14:textId="77777777" w:rsidR="00DD54E5" w:rsidRPr="0064072D" w:rsidRDefault="00DD54E5" w:rsidP="0002292A">
            <w:pPr>
              <w:keepNext/>
              <w:spacing w:after="0"/>
              <w:jc w:val="center"/>
              <w:rPr>
                <w:sz w:val="20"/>
                <w:szCs w:val="20"/>
                <w:lang w:eastAsia="cs-CZ"/>
              </w:rPr>
            </w:pPr>
            <w:r>
              <w:rPr>
                <w:sz w:val="20"/>
                <w:szCs w:val="20"/>
                <w:lang w:eastAsia="cs-CZ"/>
              </w:rPr>
              <w:t>388 281</w:t>
            </w:r>
          </w:p>
        </w:tc>
        <w:tc>
          <w:tcPr>
            <w:tcW w:w="2098" w:type="dxa"/>
            <w:vAlign w:val="center"/>
          </w:tcPr>
          <w:p w14:paraId="64F723B6" w14:textId="77777777" w:rsidR="00DD54E5" w:rsidRPr="0064072D" w:rsidRDefault="00DD54E5" w:rsidP="0002292A">
            <w:pPr>
              <w:keepNext/>
              <w:spacing w:after="0"/>
              <w:jc w:val="center"/>
              <w:rPr>
                <w:sz w:val="20"/>
                <w:szCs w:val="20"/>
                <w:lang w:eastAsia="cs-CZ"/>
              </w:rPr>
            </w:pPr>
            <w:r>
              <w:rPr>
                <w:sz w:val="20"/>
                <w:szCs w:val="20"/>
                <w:lang w:eastAsia="cs-CZ"/>
              </w:rPr>
              <w:t>335 639</w:t>
            </w:r>
          </w:p>
        </w:tc>
        <w:tc>
          <w:tcPr>
            <w:tcW w:w="2098" w:type="dxa"/>
            <w:vAlign w:val="center"/>
          </w:tcPr>
          <w:p w14:paraId="7821E2A4" w14:textId="77777777" w:rsidR="00DD54E5" w:rsidRPr="0064072D" w:rsidRDefault="00DD54E5" w:rsidP="0002292A">
            <w:pPr>
              <w:keepNext/>
              <w:spacing w:after="0"/>
              <w:jc w:val="center"/>
              <w:rPr>
                <w:sz w:val="20"/>
                <w:szCs w:val="20"/>
                <w:lang w:eastAsia="cs-CZ"/>
              </w:rPr>
            </w:pPr>
            <w:r>
              <w:rPr>
                <w:sz w:val="20"/>
                <w:szCs w:val="20"/>
                <w:lang w:eastAsia="cs-CZ"/>
              </w:rPr>
              <w:t>328 998</w:t>
            </w:r>
          </w:p>
        </w:tc>
        <w:tc>
          <w:tcPr>
            <w:tcW w:w="1871" w:type="dxa"/>
            <w:vAlign w:val="center"/>
          </w:tcPr>
          <w:p w14:paraId="4700B280" w14:textId="77777777" w:rsidR="00DD54E5" w:rsidRPr="0064072D" w:rsidRDefault="00DD54E5" w:rsidP="0002292A">
            <w:pPr>
              <w:keepNext/>
              <w:spacing w:after="0"/>
              <w:jc w:val="center"/>
              <w:rPr>
                <w:sz w:val="20"/>
                <w:szCs w:val="20"/>
                <w:lang w:eastAsia="cs-CZ"/>
              </w:rPr>
            </w:pPr>
            <w:r>
              <w:rPr>
                <w:sz w:val="20"/>
                <w:szCs w:val="20"/>
                <w:lang w:eastAsia="cs-CZ"/>
              </w:rPr>
              <w:t>1 052 918</w:t>
            </w:r>
          </w:p>
        </w:tc>
      </w:tr>
      <w:tr w:rsidR="00DD54E5" w14:paraId="3640244D" w14:textId="77777777" w:rsidTr="0002292A">
        <w:trPr>
          <w:trHeight w:val="227"/>
        </w:trPr>
        <w:tc>
          <w:tcPr>
            <w:tcW w:w="850" w:type="dxa"/>
          </w:tcPr>
          <w:p w14:paraId="493B75C2" w14:textId="77777777" w:rsidR="00DD54E5" w:rsidRPr="0064072D" w:rsidRDefault="00DD54E5" w:rsidP="0002292A">
            <w:pPr>
              <w:keepNext/>
              <w:spacing w:after="0"/>
              <w:jc w:val="center"/>
              <w:rPr>
                <w:sz w:val="20"/>
                <w:szCs w:val="20"/>
                <w:lang w:eastAsia="cs-CZ"/>
              </w:rPr>
            </w:pPr>
            <w:r>
              <w:rPr>
                <w:sz w:val="20"/>
                <w:szCs w:val="20"/>
                <w:lang w:eastAsia="cs-CZ"/>
              </w:rPr>
              <w:t>2015</w:t>
            </w:r>
          </w:p>
        </w:tc>
        <w:tc>
          <w:tcPr>
            <w:tcW w:w="2098" w:type="dxa"/>
            <w:vAlign w:val="center"/>
          </w:tcPr>
          <w:p w14:paraId="09217111" w14:textId="77777777" w:rsidR="00DD54E5" w:rsidRPr="0064072D" w:rsidRDefault="00DD54E5" w:rsidP="0002292A">
            <w:pPr>
              <w:keepNext/>
              <w:spacing w:after="0"/>
              <w:jc w:val="center"/>
              <w:rPr>
                <w:sz w:val="20"/>
                <w:szCs w:val="20"/>
                <w:lang w:eastAsia="cs-CZ"/>
              </w:rPr>
            </w:pPr>
            <w:r>
              <w:rPr>
                <w:sz w:val="20"/>
                <w:szCs w:val="20"/>
                <w:lang w:eastAsia="cs-CZ"/>
              </w:rPr>
              <w:t>408 601</w:t>
            </w:r>
          </w:p>
        </w:tc>
        <w:tc>
          <w:tcPr>
            <w:tcW w:w="2098" w:type="dxa"/>
            <w:vAlign w:val="center"/>
          </w:tcPr>
          <w:p w14:paraId="62FB5318" w14:textId="77777777" w:rsidR="00DD54E5" w:rsidRPr="0064072D" w:rsidRDefault="00DD54E5" w:rsidP="0002292A">
            <w:pPr>
              <w:keepNext/>
              <w:spacing w:after="0"/>
              <w:jc w:val="center"/>
              <w:rPr>
                <w:sz w:val="20"/>
                <w:szCs w:val="20"/>
                <w:lang w:eastAsia="cs-CZ"/>
              </w:rPr>
            </w:pPr>
            <w:r>
              <w:rPr>
                <w:sz w:val="20"/>
                <w:szCs w:val="20"/>
                <w:lang w:eastAsia="cs-CZ"/>
              </w:rPr>
              <w:t>329 289</w:t>
            </w:r>
          </w:p>
        </w:tc>
        <w:tc>
          <w:tcPr>
            <w:tcW w:w="2098" w:type="dxa"/>
            <w:vAlign w:val="center"/>
          </w:tcPr>
          <w:p w14:paraId="5EAFA937" w14:textId="77777777" w:rsidR="00DD54E5" w:rsidRPr="0064072D" w:rsidRDefault="00DD54E5" w:rsidP="0002292A">
            <w:pPr>
              <w:keepNext/>
              <w:spacing w:after="0"/>
              <w:jc w:val="center"/>
              <w:rPr>
                <w:sz w:val="20"/>
                <w:szCs w:val="20"/>
                <w:lang w:eastAsia="cs-CZ"/>
              </w:rPr>
            </w:pPr>
            <w:r>
              <w:rPr>
                <w:sz w:val="20"/>
                <w:szCs w:val="20"/>
                <w:lang w:eastAsia="cs-CZ"/>
              </w:rPr>
              <w:t>299 911</w:t>
            </w:r>
          </w:p>
        </w:tc>
        <w:tc>
          <w:tcPr>
            <w:tcW w:w="1871" w:type="dxa"/>
            <w:vAlign w:val="center"/>
          </w:tcPr>
          <w:p w14:paraId="13FB9998" w14:textId="77777777" w:rsidR="00DD54E5" w:rsidRPr="0064072D" w:rsidRDefault="00DD54E5" w:rsidP="0002292A">
            <w:pPr>
              <w:keepNext/>
              <w:spacing w:after="0"/>
              <w:jc w:val="center"/>
              <w:rPr>
                <w:sz w:val="20"/>
                <w:szCs w:val="20"/>
                <w:lang w:eastAsia="cs-CZ"/>
              </w:rPr>
            </w:pPr>
            <w:r>
              <w:rPr>
                <w:sz w:val="20"/>
                <w:szCs w:val="20"/>
                <w:lang w:eastAsia="cs-CZ"/>
              </w:rPr>
              <w:t>1 037 801</w:t>
            </w:r>
          </w:p>
        </w:tc>
      </w:tr>
      <w:tr w:rsidR="00DD54E5" w14:paraId="3B999B1B" w14:textId="77777777" w:rsidTr="0002292A">
        <w:trPr>
          <w:trHeight w:val="227"/>
        </w:trPr>
        <w:tc>
          <w:tcPr>
            <w:tcW w:w="850" w:type="dxa"/>
          </w:tcPr>
          <w:p w14:paraId="55BD6DC5" w14:textId="77777777" w:rsidR="00DD54E5" w:rsidRPr="0064072D" w:rsidRDefault="00DD54E5" w:rsidP="0002292A">
            <w:pPr>
              <w:keepNext/>
              <w:spacing w:after="0"/>
              <w:jc w:val="center"/>
              <w:rPr>
                <w:sz w:val="20"/>
                <w:szCs w:val="20"/>
                <w:lang w:eastAsia="cs-CZ"/>
              </w:rPr>
            </w:pPr>
            <w:r>
              <w:rPr>
                <w:sz w:val="20"/>
                <w:szCs w:val="20"/>
                <w:lang w:eastAsia="cs-CZ"/>
              </w:rPr>
              <w:t>2016</w:t>
            </w:r>
          </w:p>
        </w:tc>
        <w:tc>
          <w:tcPr>
            <w:tcW w:w="2098" w:type="dxa"/>
            <w:vAlign w:val="center"/>
          </w:tcPr>
          <w:p w14:paraId="5F290990" w14:textId="77777777" w:rsidR="00DD54E5" w:rsidRPr="0064072D" w:rsidRDefault="00DD54E5" w:rsidP="0002292A">
            <w:pPr>
              <w:keepNext/>
              <w:spacing w:after="0"/>
              <w:jc w:val="center"/>
              <w:rPr>
                <w:sz w:val="20"/>
                <w:szCs w:val="20"/>
                <w:lang w:eastAsia="cs-CZ"/>
              </w:rPr>
            </w:pPr>
            <w:r>
              <w:rPr>
                <w:sz w:val="20"/>
                <w:szCs w:val="20"/>
                <w:lang w:eastAsia="cs-CZ"/>
              </w:rPr>
              <w:t>456 123</w:t>
            </w:r>
          </w:p>
        </w:tc>
        <w:tc>
          <w:tcPr>
            <w:tcW w:w="2098" w:type="dxa"/>
            <w:vAlign w:val="center"/>
          </w:tcPr>
          <w:p w14:paraId="4460C1D6" w14:textId="77777777" w:rsidR="00DD54E5" w:rsidRPr="0064072D" w:rsidRDefault="00DD54E5" w:rsidP="0002292A">
            <w:pPr>
              <w:keepNext/>
              <w:spacing w:after="0"/>
              <w:jc w:val="center"/>
              <w:rPr>
                <w:sz w:val="20"/>
                <w:szCs w:val="20"/>
                <w:lang w:eastAsia="cs-CZ"/>
              </w:rPr>
            </w:pPr>
            <w:r>
              <w:rPr>
                <w:sz w:val="20"/>
                <w:szCs w:val="20"/>
                <w:lang w:eastAsia="cs-CZ"/>
              </w:rPr>
              <w:t>318 989</w:t>
            </w:r>
          </w:p>
        </w:tc>
        <w:tc>
          <w:tcPr>
            <w:tcW w:w="2098" w:type="dxa"/>
            <w:vAlign w:val="center"/>
          </w:tcPr>
          <w:p w14:paraId="4EF9177E" w14:textId="77777777" w:rsidR="00DD54E5" w:rsidRPr="0064072D" w:rsidRDefault="00DD54E5" w:rsidP="0002292A">
            <w:pPr>
              <w:keepNext/>
              <w:spacing w:after="0"/>
              <w:jc w:val="center"/>
              <w:rPr>
                <w:sz w:val="20"/>
                <w:szCs w:val="20"/>
                <w:lang w:eastAsia="cs-CZ"/>
              </w:rPr>
            </w:pPr>
            <w:r>
              <w:rPr>
                <w:sz w:val="20"/>
                <w:szCs w:val="20"/>
                <w:lang w:eastAsia="cs-CZ"/>
              </w:rPr>
              <w:t>271 835</w:t>
            </w:r>
          </w:p>
        </w:tc>
        <w:tc>
          <w:tcPr>
            <w:tcW w:w="1871" w:type="dxa"/>
            <w:vAlign w:val="center"/>
          </w:tcPr>
          <w:p w14:paraId="45071411" w14:textId="77777777" w:rsidR="00DD54E5" w:rsidRPr="0064072D" w:rsidRDefault="00DD54E5" w:rsidP="0002292A">
            <w:pPr>
              <w:keepNext/>
              <w:spacing w:after="0"/>
              <w:jc w:val="center"/>
              <w:rPr>
                <w:sz w:val="20"/>
                <w:szCs w:val="20"/>
                <w:lang w:eastAsia="cs-CZ"/>
              </w:rPr>
            </w:pPr>
            <w:r>
              <w:rPr>
                <w:sz w:val="20"/>
                <w:szCs w:val="20"/>
                <w:lang w:eastAsia="cs-CZ"/>
              </w:rPr>
              <w:t>1 046 947</w:t>
            </w:r>
          </w:p>
        </w:tc>
      </w:tr>
      <w:tr w:rsidR="00DD54E5" w14:paraId="2EEA83E7" w14:textId="77777777" w:rsidTr="0002292A">
        <w:trPr>
          <w:trHeight w:val="227"/>
        </w:trPr>
        <w:tc>
          <w:tcPr>
            <w:tcW w:w="850" w:type="dxa"/>
          </w:tcPr>
          <w:p w14:paraId="0EE026DD" w14:textId="77777777" w:rsidR="00DD54E5" w:rsidRPr="0064072D" w:rsidRDefault="00DD54E5" w:rsidP="0002292A">
            <w:pPr>
              <w:keepNext/>
              <w:spacing w:after="0"/>
              <w:jc w:val="center"/>
              <w:rPr>
                <w:sz w:val="20"/>
                <w:szCs w:val="20"/>
                <w:lang w:eastAsia="cs-CZ"/>
              </w:rPr>
            </w:pPr>
            <w:r>
              <w:rPr>
                <w:sz w:val="20"/>
                <w:szCs w:val="20"/>
                <w:lang w:eastAsia="cs-CZ"/>
              </w:rPr>
              <w:t>2017</w:t>
            </w:r>
          </w:p>
        </w:tc>
        <w:tc>
          <w:tcPr>
            <w:tcW w:w="2098" w:type="dxa"/>
            <w:vAlign w:val="center"/>
          </w:tcPr>
          <w:p w14:paraId="483FADC6" w14:textId="77777777" w:rsidR="00DD54E5" w:rsidRPr="0064072D" w:rsidRDefault="00DD54E5" w:rsidP="0002292A">
            <w:pPr>
              <w:keepNext/>
              <w:spacing w:after="0"/>
              <w:jc w:val="center"/>
              <w:rPr>
                <w:sz w:val="20"/>
                <w:szCs w:val="20"/>
                <w:lang w:eastAsia="cs-CZ"/>
              </w:rPr>
            </w:pPr>
            <w:r>
              <w:rPr>
                <w:sz w:val="20"/>
                <w:szCs w:val="20"/>
                <w:lang w:eastAsia="cs-CZ"/>
              </w:rPr>
              <w:t>542 724</w:t>
            </w:r>
          </w:p>
        </w:tc>
        <w:tc>
          <w:tcPr>
            <w:tcW w:w="2098" w:type="dxa"/>
            <w:vAlign w:val="center"/>
          </w:tcPr>
          <w:p w14:paraId="4DFA5554" w14:textId="77777777" w:rsidR="00DD54E5" w:rsidRPr="0064072D" w:rsidRDefault="00DD54E5" w:rsidP="0002292A">
            <w:pPr>
              <w:keepNext/>
              <w:spacing w:after="0"/>
              <w:jc w:val="center"/>
              <w:rPr>
                <w:sz w:val="20"/>
                <w:szCs w:val="20"/>
                <w:lang w:eastAsia="cs-CZ"/>
              </w:rPr>
            </w:pPr>
            <w:r>
              <w:rPr>
                <w:sz w:val="20"/>
                <w:szCs w:val="20"/>
                <w:lang w:eastAsia="cs-CZ"/>
              </w:rPr>
              <w:t>329 008</w:t>
            </w:r>
          </w:p>
        </w:tc>
        <w:tc>
          <w:tcPr>
            <w:tcW w:w="2098" w:type="dxa"/>
            <w:vAlign w:val="center"/>
          </w:tcPr>
          <w:p w14:paraId="17A84D89" w14:textId="77777777" w:rsidR="00DD54E5" w:rsidRPr="0064072D" w:rsidRDefault="00DD54E5" w:rsidP="0002292A">
            <w:pPr>
              <w:keepNext/>
              <w:spacing w:after="0"/>
              <w:jc w:val="center"/>
              <w:rPr>
                <w:sz w:val="20"/>
                <w:szCs w:val="20"/>
                <w:lang w:eastAsia="cs-CZ"/>
              </w:rPr>
            </w:pPr>
            <w:r>
              <w:rPr>
                <w:sz w:val="20"/>
                <w:szCs w:val="20"/>
                <w:lang w:eastAsia="cs-CZ"/>
              </w:rPr>
              <w:t>264 527</w:t>
            </w:r>
          </w:p>
        </w:tc>
        <w:tc>
          <w:tcPr>
            <w:tcW w:w="1871" w:type="dxa"/>
            <w:vAlign w:val="center"/>
          </w:tcPr>
          <w:p w14:paraId="2EB34854" w14:textId="77777777" w:rsidR="00DD54E5" w:rsidRPr="0064072D" w:rsidRDefault="00DD54E5" w:rsidP="0002292A">
            <w:pPr>
              <w:keepNext/>
              <w:spacing w:after="0"/>
              <w:jc w:val="center"/>
              <w:rPr>
                <w:sz w:val="20"/>
                <w:szCs w:val="20"/>
                <w:lang w:eastAsia="cs-CZ"/>
              </w:rPr>
            </w:pPr>
            <w:r>
              <w:rPr>
                <w:sz w:val="20"/>
                <w:szCs w:val="20"/>
                <w:lang w:eastAsia="cs-CZ"/>
              </w:rPr>
              <w:t>1 136 259</w:t>
            </w:r>
          </w:p>
        </w:tc>
      </w:tr>
      <w:tr w:rsidR="00DD54E5" w14:paraId="46ABEEF7" w14:textId="77777777" w:rsidTr="0002292A">
        <w:trPr>
          <w:trHeight w:val="227"/>
        </w:trPr>
        <w:tc>
          <w:tcPr>
            <w:tcW w:w="850" w:type="dxa"/>
          </w:tcPr>
          <w:p w14:paraId="75D2F009" w14:textId="77777777" w:rsidR="00DD54E5" w:rsidRPr="0064072D" w:rsidRDefault="00DD54E5" w:rsidP="0002292A">
            <w:pPr>
              <w:keepNext/>
              <w:spacing w:after="0"/>
              <w:jc w:val="center"/>
              <w:rPr>
                <w:sz w:val="20"/>
                <w:szCs w:val="20"/>
                <w:lang w:eastAsia="cs-CZ"/>
              </w:rPr>
            </w:pPr>
            <w:r>
              <w:rPr>
                <w:sz w:val="20"/>
                <w:szCs w:val="20"/>
                <w:lang w:eastAsia="cs-CZ"/>
              </w:rPr>
              <w:t>2018</w:t>
            </w:r>
          </w:p>
        </w:tc>
        <w:tc>
          <w:tcPr>
            <w:tcW w:w="2098" w:type="dxa"/>
            <w:vAlign w:val="center"/>
          </w:tcPr>
          <w:p w14:paraId="384F6F2C" w14:textId="77777777" w:rsidR="00DD54E5" w:rsidRPr="0064072D" w:rsidRDefault="00DD54E5" w:rsidP="0002292A">
            <w:pPr>
              <w:keepNext/>
              <w:spacing w:after="0"/>
              <w:jc w:val="center"/>
              <w:rPr>
                <w:sz w:val="20"/>
                <w:szCs w:val="20"/>
                <w:lang w:eastAsia="cs-CZ"/>
              </w:rPr>
            </w:pPr>
            <w:r>
              <w:rPr>
                <w:sz w:val="20"/>
                <w:szCs w:val="20"/>
                <w:lang w:eastAsia="cs-CZ"/>
              </w:rPr>
              <w:t>538 976</w:t>
            </w:r>
          </w:p>
        </w:tc>
        <w:tc>
          <w:tcPr>
            <w:tcW w:w="2098" w:type="dxa"/>
            <w:vAlign w:val="center"/>
          </w:tcPr>
          <w:p w14:paraId="5A68C605" w14:textId="77777777" w:rsidR="00DD54E5" w:rsidRPr="0064072D" w:rsidRDefault="00DD54E5" w:rsidP="0002292A">
            <w:pPr>
              <w:keepNext/>
              <w:spacing w:after="0"/>
              <w:jc w:val="center"/>
              <w:rPr>
                <w:sz w:val="20"/>
                <w:szCs w:val="20"/>
                <w:lang w:eastAsia="cs-CZ"/>
              </w:rPr>
            </w:pPr>
            <w:r>
              <w:rPr>
                <w:sz w:val="20"/>
                <w:szCs w:val="20"/>
                <w:lang w:eastAsia="cs-CZ"/>
              </w:rPr>
              <w:t>335 298</w:t>
            </w:r>
          </w:p>
        </w:tc>
        <w:tc>
          <w:tcPr>
            <w:tcW w:w="2098" w:type="dxa"/>
            <w:vAlign w:val="center"/>
          </w:tcPr>
          <w:p w14:paraId="0081A242" w14:textId="77777777" w:rsidR="00DD54E5" w:rsidRPr="0064072D" w:rsidRDefault="00DD54E5" w:rsidP="0002292A">
            <w:pPr>
              <w:keepNext/>
              <w:spacing w:after="0"/>
              <w:jc w:val="center"/>
              <w:rPr>
                <w:sz w:val="20"/>
                <w:szCs w:val="20"/>
                <w:lang w:eastAsia="cs-CZ"/>
              </w:rPr>
            </w:pPr>
            <w:r>
              <w:rPr>
                <w:sz w:val="20"/>
                <w:szCs w:val="20"/>
                <w:lang w:eastAsia="cs-CZ"/>
              </w:rPr>
              <w:t>250 078</w:t>
            </w:r>
          </w:p>
        </w:tc>
        <w:tc>
          <w:tcPr>
            <w:tcW w:w="1871" w:type="dxa"/>
            <w:vAlign w:val="center"/>
          </w:tcPr>
          <w:p w14:paraId="083A7BCC" w14:textId="77777777" w:rsidR="00DD54E5" w:rsidRPr="0064072D" w:rsidRDefault="00DD54E5" w:rsidP="0002292A">
            <w:pPr>
              <w:keepNext/>
              <w:spacing w:after="0"/>
              <w:jc w:val="center"/>
              <w:rPr>
                <w:sz w:val="20"/>
                <w:szCs w:val="20"/>
                <w:lang w:eastAsia="cs-CZ"/>
              </w:rPr>
            </w:pPr>
            <w:r>
              <w:rPr>
                <w:sz w:val="20"/>
                <w:szCs w:val="20"/>
                <w:lang w:eastAsia="cs-CZ"/>
              </w:rPr>
              <w:t>1 124 352</w:t>
            </w:r>
          </w:p>
        </w:tc>
      </w:tr>
    </w:tbl>
    <w:p w14:paraId="4CFB655D" w14:textId="77777777" w:rsidR="00DD54E5" w:rsidRDefault="00DD54E5" w:rsidP="0002292A">
      <w:pPr>
        <w:spacing w:before="40" w:after="0"/>
        <w:rPr>
          <w:sz w:val="20"/>
          <w:szCs w:val="20"/>
          <w:lang w:eastAsia="cs-CZ"/>
        </w:rPr>
      </w:pPr>
      <w:r w:rsidRPr="00011B75">
        <w:rPr>
          <w:b/>
          <w:sz w:val="20"/>
          <w:szCs w:val="20"/>
          <w:lang w:eastAsia="cs-CZ"/>
        </w:rPr>
        <w:t>Zdroj:</w:t>
      </w:r>
      <w:r w:rsidRPr="00FC67B0">
        <w:rPr>
          <w:sz w:val="20"/>
          <w:szCs w:val="20"/>
          <w:lang w:eastAsia="cs-CZ"/>
        </w:rPr>
        <w:t xml:space="preserve"> MF.</w:t>
      </w:r>
    </w:p>
    <w:p w14:paraId="636C8B08" w14:textId="77777777" w:rsidR="0002292A" w:rsidRPr="005D08F9" w:rsidRDefault="0002292A" w:rsidP="0002292A">
      <w:pPr>
        <w:spacing w:after="0"/>
        <w:ind w:left="567" w:hanging="567"/>
        <w:rPr>
          <w:sz w:val="20"/>
          <w:szCs w:val="20"/>
          <w:lang w:eastAsia="cs-CZ"/>
        </w:rPr>
      </w:pPr>
    </w:p>
    <w:p w14:paraId="561EA179" w14:textId="06819B28" w:rsidR="00DD54E5" w:rsidRDefault="00536672" w:rsidP="00536672">
      <w:pPr>
        <w:pStyle w:val="Tabulka"/>
        <w:numPr>
          <w:ilvl w:val="0"/>
          <w:numId w:val="0"/>
        </w:numPr>
        <w:spacing w:after="40"/>
        <w:rPr>
          <w:lang w:eastAsia="cs-CZ"/>
        </w:rPr>
      </w:pPr>
      <w:r>
        <w:rPr>
          <w:lang w:eastAsia="cs-CZ"/>
        </w:rPr>
        <w:t xml:space="preserve">Tabulka č. 20: </w:t>
      </w:r>
      <w:r w:rsidR="00DD54E5" w:rsidRPr="000C2162">
        <w:rPr>
          <w:lang w:eastAsia="cs-CZ"/>
        </w:rPr>
        <w:t xml:space="preserve">Vývoj počtu evidovaných vozidel (kategorie L, M, N) </w:t>
      </w:r>
      <w:r w:rsidR="00F53512">
        <w:rPr>
          <w:lang w:eastAsia="cs-CZ"/>
        </w:rPr>
        <w:t>–</w:t>
      </w:r>
      <w:r w:rsidR="00DD54E5" w:rsidRPr="000C2162">
        <w:rPr>
          <w:lang w:eastAsia="cs-CZ"/>
        </w:rPr>
        <w:t xml:space="preserve"> stav k 31. 12.</w:t>
      </w:r>
    </w:p>
    <w:tbl>
      <w:tblPr>
        <w:tblW w:w="4992" w:type="pct"/>
        <w:jc w:val="center"/>
        <w:tblLayout w:type="fixed"/>
        <w:tblCellMar>
          <w:left w:w="70" w:type="dxa"/>
          <w:right w:w="70" w:type="dxa"/>
        </w:tblCellMar>
        <w:tblLook w:val="04A0" w:firstRow="1" w:lastRow="0" w:firstColumn="1" w:lastColumn="0" w:noHBand="0" w:noVBand="1"/>
      </w:tblPr>
      <w:tblGrid>
        <w:gridCol w:w="1928"/>
        <w:gridCol w:w="990"/>
        <w:gridCol w:w="970"/>
        <w:gridCol w:w="999"/>
        <w:gridCol w:w="964"/>
        <w:gridCol w:w="999"/>
        <w:gridCol w:w="962"/>
        <w:gridCol w:w="1234"/>
      </w:tblGrid>
      <w:tr w:rsidR="00583A86" w14:paraId="0CCEA82B" w14:textId="77777777" w:rsidTr="00583A86">
        <w:trPr>
          <w:trHeight w:val="227"/>
          <w:jc w:val="center"/>
        </w:trPr>
        <w:tc>
          <w:tcPr>
            <w:tcW w:w="1066"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0258A8D" w14:textId="77777777" w:rsidR="00DD54E5" w:rsidRPr="000C2162" w:rsidRDefault="00DD54E5" w:rsidP="0012623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Kategorie vozidel</w:t>
            </w:r>
          </w:p>
        </w:tc>
        <w:tc>
          <w:tcPr>
            <w:tcW w:w="547" w:type="pct"/>
            <w:tcBorders>
              <w:top w:val="single" w:sz="4" w:space="0" w:color="auto"/>
              <w:left w:val="nil"/>
              <w:bottom w:val="single" w:sz="4" w:space="0" w:color="auto"/>
              <w:right w:val="single" w:sz="4" w:space="0" w:color="auto"/>
            </w:tcBorders>
            <w:shd w:val="clear" w:color="auto" w:fill="E5F1FF"/>
            <w:noWrap/>
            <w:vAlign w:val="center"/>
            <w:hideMark/>
          </w:tcPr>
          <w:p w14:paraId="6B413D21" w14:textId="77777777" w:rsidR="00DD54E5" w:rsidRPr="000C2162" w:rsidRDefault="00DD54E5" w:rsidP="0012623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2015</w:t>
            </w:r>
          </w:p>
        </w:tc>
        <w:tc>
          <w:tcPr>
            <w:tcW w:w="536" w:type="pct"/>
            <w:tcBorders>
              <w:top w:val="single" w:sz="4" w:space="0" w:color="auto"/>
              <w:left w:val="nil"/>
              <w:bottom w:val="single" w:sz="4" w:space="0" w:color="auto"/>
              <w:right w:val="single" w:sz="4" w:space="0" w:color="auto"/>
            </w:tcBorders>
            <w:shd w:val="clear" w:color="auto" w:fill="E5F1FF"/>
            <w:vAlign w:val="center"/>
            <w:hideMark/>
          </w:tcPr>
          <w:p w14:paraId="40D30935" w14:textId="77777777" w:rsidR="00DD54E5" w:rsidRPr="000C2162" w:rsidRDefault="00DD54E5" w:rsidP="00583AF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Podíl na celkovém počtu vozidel v</w:t>
            </w:r>
            <w:r w:rsidR="00583AF8">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single" w:sz="4" w:space="0" w:color="auto"/>
              <w:left w:val="nil"/>
              <w:bottom w:val="single" w:sz="4" w:space="0" w:color="auto"/>
              <w:right w:val="single" w:sz="4" w:space="0" w:color="auto"/>
            </w:tcBorders>
            <w:shd w:val="clear" w:color="auto" w:fill="E5F1FF"/>
            <w:noWrap/>
            <w:vAlign w:val="center"/>
            <w:hideMark/>
          </w:tcPr>
          <w:p w14:paraId="7B151795" w14:textId="77777777" w:rsidR="00DD54E5" w:rsidRPr="000C2162" w:rsidRDefault="00DD54E5" w:rsidP="0012623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2016</w:t>
            </w:r>
          </w:p>
        </w:tc>
        <w:tc>
          <w:tcPr>
            <w:tcW w:w="533" w:type="pct"/>
            <w:tcBorders>
              <w:top w:val="single" w:sz="4" w:space="0" w:color="auto"/>
              <w:left w:val="nil"/>
              <w:bottom w:val="single" w:sz="4" w:space="0" w:color="auto"/>
              <w:right w:val="single" w:sz="4" w:space="0" w:color="auto"/>
            </w:tcBorders>
            <w:shd w:val="clear" w:color="auto" w:fill="E5F1FF"/>
            <w:vAlign w:val="center"/>
            <w:hideMark/>
          </w:tcPr>
          <w:p w14:paraId="7336AD75" w14:textId="77777777" w:rsidR="00DD54E5" w:rsidRPr="000C2162" w:rsidRDefault="00DD54E5" w:rsidP="00583AF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Podíl na celkovém počtu vozidel v</w:t>
            </w:r>
            <w:r w:rsidR="00583AF8">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single" w:sz="4" w:space="0" w:color="auto"/>
              <w:left w:val="nil"/>
              <w:bottom w:val="single" w:sz="4" w:space="0" w:color="auto"/>
              <w:right w:val="single" w:sz="4" w:space="0" w:color="auto"/>
            </w:tcBorders>
            <w:shd w:val="clear" w:color="auto" w:fill="E5F1FF"/>
            <w:noWrap/>
            <w:vAlign w:val="center"/>
            <w:hideMark/>
          </w:tcPr>
          <w:p w14:paraId="13A944F0" w14:textId="77777777" w:rsidR="00DD54E5" w:rsidRPr="000C2162" w:rsidRDefault="00DD54E5" w:rsidP="0012623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2017</w:t>
            </w:r>
          </w:p>
        </w:tc>
        <w:tc>
          <w:tcPr>
            <w:tcW w:w="532" w:type="pct"/>
            <w:tcBorders>
              <w:top w:val="single" w:sz="4" w:space="0" w:color="auto"/>
              <w:left w:val="nil"/>
              <w:bottom w:val="single" w:sz="4" w:space="0" w:color="auto"/>
              <w:right w:val="single" w:sz="4" w:space="0" w:color="auto"/>
            </w:tcBorders>
            <w:shd w:val="clear" w:color="auto" w:fill="E5F1FF"/>
            <w:vAlign w:val="center"/>
            <w:hideMark/>
          </w:tcPr>
          <w:p w14:paraId="5FC66029" w14:textId="77777777" w:rsidR="00DD54E5" w:rsidRPr="000C2162" w:rsidRDefault="00DD54E5" w:rsidP="00583AF8">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Podíl na celkovém počtu vozidel v</w:t>
            </w:r>
            <w:r w:rsidR="00583AF8">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single" w:sz="4" w:space="0" w:color="auto"/>
              <w:left w:val="nil"/>
              <w:bottom w:val="single" w:sz="4" w:space="0" w:color="auto"/>
              <w:right w:val="single" w:sz="4" w:space="0" w:color="auto"/>
            </w:tcBorders>
            <w:shd w:val="clear" w:color="auto" w:fill="E5F1FF"/>
            <w:vAlign w:val="center"/>
            <w:hideMark/>
          </w:tcPr>
          <w:p w14:paraId="5863EED8" w14:textId="77777777" w:rsidR="00DD54E5" w:rsidRPr="000C2162" w:rsidRDefault="00DD54E5" w:rsidP="00583A86">
            <w:pPr>
              <w:spacing w:after="0"/>
              <w:jc w:val="center"/>
              <w:rPr>
                <w:rFonts w:eastAsia="Times New Roman" w:cs="Calibri"/>
                <w:b/>
                <w:bCs/>
                <w:color w:val="000000"/>
                <w:sz w:val="20"/>
                <w:szCs w:val="20"/>
                <w:lang w:eastAsia="cs-CZ"/>
              </w:rPr>
            </w:pPr>
            <w:r w:rsidRPr="000C2162">
              <w:rPr>
                <w:rFonts w:eastAsia="Times New Roman" w:cs="Calibri"/>
                <w:b/>
                <w:bCs/>
                <w:color w:val="000000"/>
                <w:sz w:val="20"/>
                <w:szCs w:val="20"/>
                <w:lang w:eastAsia="cs-CZ"/>
              </w:rPr>
              <w:t>Nárůst</w:t>
            </w:r>
            <w:r w:rsidR="00583AF8">
              <w:rPr>
                <w:rFonts w:eastAsia="Times New Roman" w:cs="Calibri"/>
                <w:b/>
                <w:bCs/>
                <w:color w:val="000000"/>
                <w:sz w:val="20"/>
                <w:szCs w:val="20"/>
                <w:lang w:eastAsia="cs-CZ"/>
              </w:rPr>
              <w:t xml:space="preserve"> </w:t>
            </w:r>
            <w:r w:rsidRPr="000C2162">
              <w:rPr>
                <w:rFonts w:eastAsia="Times New Roman" w:cs="Calibri"/>
                <w:b/>
                <w:bCs/>
                <w:color w:val="000000"/>
                <w:sz w:val="20"/>
                <w:szCs w:val="20"/>
                <w:lang w:eastAsia="cs-CZ"/>
              </w:rPr>
              <w:t xml:space="preserve">/ pokles </w:t>
            </w:r>
            <w:r w:rsidRPr="000C2162">
              <w:rPr>
                <w:rFonts w:eastAsia="Times New Roman" w:cs="Calibri"/>
                <w:b/>
                <w:bCs/>
                <w:sz w:val="20"/>
                <w:szCs w:val="20"/>
                <w:lang w:eastAsia="cs-CZ"/>
              </w:rPr>
              <w:t xml:space="preserve">počtu vozidel </w:t>
            </w:r>
            <w:r w:rsidR="00583AF8">
              <w:rPr>
                <w:rFonts w:eastAsia="Times New Roman" w:cs="Calibri"/>
                <w:b/>
                <w:bCs/>
                <w:color w:val="000000"/>
                <w:sz w:val="20"/>
                <w:szCs w:val="20"/>
                <w:lang w:eastAsia="cs-CZ"/>
              </w:rPr>
              <w:t>za sledovaná období</w:t>
            </w:r>
          </w:p>
        </w:tc>
      </w:tr>
      <w:tr w:rsidR="00583A86" w14:paraId="7826EAB2"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6F1628F9" w14:textId="77777777" w:rsidR="00DD54E5" w:rsidRPr="000C2162" w:rsidRDefault="00DD54E5" w:rsidP="00126238">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Osobní auta celkem</w:t>
            </w:r>
          </w:p>
        </w:tc>
        <w:tc>
          <w:tcPr>
            <w:tcW w:w="547" w:type="pct"/>
            <w:tcBorders>
              <w:top w:val="nil"/>
              <w:left w:val="nil"/>
              <w:bottom w:val="single" w:sz="4" w:space="0" w:color="auto"/>
              <w:right w:val="single" w:sz="4" w:space="0" w:color="auto"/>
            </w:tcBorders>
            <w:shd w:val="clear" w:color="000000" w:fill="F2F2F2"/>
            <w:noWrap/>
            <w:vAlign w:val="center"/>
            <w:hideMark/>
          </w:tcPr>
          <w:p w14:paraId="402ED0DE"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5 115 316</w:t>
            </w:r>
          </w:p>
        </w:tc>
        <w:tc>
          <w:tcPr>
            <w:tcW w:w="536" w:type="pct"/>
            <w:tcBorders>
              <w:top w:val="nil"/>
              <w:left w:val="nil"/>
              <w:bottom w:val="single" w:sz="4" w:space="0" w:color="auto"/>
              <w:right w:val="single" w:sz="4" w:space="0" w:color="auto"/>
            </w:tcBorders>
            <w:shd w:val="clear" w:color="000000" w:fill="F2F2F2"/>
            <w:noWrap/>
            <w:vAlign w:val="center"/>
            <w:hideMark/>
          </w:tcPr>
          <w:p w14:paraId="5F0FAA97" w14:textId="6BCD1030"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74,50</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771049CE"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5 307 808</w:t>
            </w:r>
          </w:p>
        </w:tc>
        <w:tc>
          <w:tcPr>
            <w:tcW w:w="533" w:type="pct"/>
            <w:tcBorders>
              <w:top w:val="nil"/>
              <w:left w:val="nil"/>
              <w:bottom w:val="single" w:sz="4" w:space="0" w:color="auto"/>
              <w:right w:val="single" w:sz="4" w:space="0" w:color="auto"/>
            </w:tcBorders>
            <w:shd w:val="clear" w:color="000000" w:fill="F2F2F2"/>
            <w:noWrap/>
            <w:vAlign w:val="center"/>
            <w:hideMark/>
          </w:tcPr>
          <w:p w14:paraId="46EC53B4" w14:textId="1DB186D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74,69</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73540192"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5 538 222</w:t>
            </w:r>
          </w:p>
        </w:tc>
        <w:tc>
          <w:tcPr>
            <w:tcW w:w="532" w:type="pct"/>
            <w:tcBorders>
              <w:top w:val="nil"/>
              <w:left w:val="nil"/>
              <w:bottom w:val="single" w:sz="4" w:space="0" w:color="auto"/>
              <w:right w:val="single" w:sz="4" w:space="0" w:color="auto"/>
            </w:tcBorders>
            <w:shd w:val="clear" w:color="000000" w:fill="F2F2F2"/>
            <w:noWrap/>
            <w:vAlign w:val="center"/>
            <w:hideMark/>
          </w:tcPr>
          <w:p w14:paraId="78CD2E6E" w14:textId="639964D1"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74,98</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727B1D7B" w14:textId="352A0461"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N</w:t>
            </w:r>
            <w:r w:rsidR="00DD54E5" w:rsidRPr="000C2162">
              <w:rPr>
                <w:rFonts w:eastAsia="Times New Roman" w:cs="Calibri"/>
                <w:b/>
                <w:bCs/>
                <w:color w:val="000000"/>
                <w:sz w:val="20"/>
                <w:szCs w:val="20"/>
                <w:lang w:eastAsia="cs-CZ"/>
              </w:rPr>
              <w:t>árůst</w:t>
            </w:r>
          </w:p>
        </w:tc>
      </w:tr>
      <w:tr w:rsidR="00583A86" w14:paraId="4AD97BDD"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0806A7FA" w14:textId="27F6D595"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B</w:t>
            </w:r>
            <w:r w:rsidR="00DD54E5" w:rsidRPr="000C2162">
              <w:rPr>
                <w:rFonts w:eastAsia="Times New Roman" w:cs="Calibri"/>
                <w:color w:val="000000"/>
                <w:sz w:val="20"/>
                <w:szCs w:val="20"/>
                <w:lang w:eastAsia="cs-CZ"/>
              </w:rPr>
              <w:t>enzín celkem</w:t>
            </w:r>
          </w:p>
        </w:tc>
        <w:tc>
          <w:tcPr>
            <w:tcW w:w="547" w:type="pct"/>
            <w:tcBorders>
              <w:top w:val="nil"/>
              <w:left w:val="nil"/>
              <w:bottom w:val="single" w:sz="4" w:space="0" w:color="auto"/>
              <w:right w:val="single" w:sz="4" w:space="0" w:color="auto"/>
            </w:tcBorders>
            <w:shd w:val="clear" w:color="auto" w:fill="auto"/>
            <w:noWrap/>
            <w:vAlign w:val="center"/>
            <w:hideMark/>
          </w:tcPr>
          <w:p w14:paraId="0266D84C"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3 292 863</w:t>
            </w:r>
          </w:p>
        </w:tc>
        <w:tc>
          <w:tcPr>
            <w:tcW w:w="536" w:type="pct"/>
            <w:tcBorders>
              <w:top w:val="nil"/>
              <w:left w:val="nil"/>
              <w:bottom w:val="single" w:sz="4" w:space="0" w:color="auto"/>
              <w:right w:val="single" w:sz="4" w:space="0" w:color="auto"/>
            </w:tcBorders>
            <w:shd w:val="clear" w:color="auto" w:fill="auto"/>
            <w:noWrap/>
            <w:vAlign w:val="center"/>
            <w:hideMark/>
          </w:tcPr>
          <w:p w14:paraId="3E84911C" w14:textId="0A5AEC0B"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47,96</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7EBFAD2C"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3 337 837</w:t>
            </w:r>
          </w:p>
        </w:tc>
        <w:tc>
          <w:tcPr>
            <w:tcW w:w="533" w:type="pct"/>
            <w:tcBorders>
              <w:top w:val="nil"/>
              <w:left w:val="nil"/>
              <w:bottom w:val="single" w:sz="4" w:space="0" w:color="auto"/>
              <w:right w:val="single" w:sz="4" w:space="0" w:color="auto"/>
            </w:tcBorders>
            <w:shd w:val="clear" w:color="auto" w:fill="auto"/>
            <w:noWrap/>
            <w:vAlign w:val="center"/>
            <w:hideMark/>
          </w:tcPr>
          <w:p w14:paraId="1A636533" w14:textId="0EB9A07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46,97</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722E24E0"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3 422 845</w:t>
            </w:r>
          </w:p>
        </w:tc>
        <w:tc>
          <w:tcPr>
            <w:tcW w:w="532" w:type="pct"/>
            <w:tcBorders>
              <w:top w:val="nil"/>
              <w:left w:val="nil"/>
              <w:bottom w:val="single" w:sz="4" w:space="0" w:color="auto"/>
              <w:right w:val="single" w:sz="4" w:space="0" w:color="auto"/>
            </w:tcBorders>
            <w:shd w:val="clear" w:color="auto" w:fill="auto"/>
            <w:noWrap/>
            <w:vAlign w:val="center"/>
            <w:hideMark/>
          </w:tcPr>
          <w:p w14:paraId="6F498CEC" w14:textId="25DAED9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46,34</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73B03B22" w14:textId="436C6E86"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3E915CC2"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1471B883" w14:textId="31D8E9C4"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D</w:t>
            </w:r>
            <w:r w:rsidR="00DD54E5" w:rsidRPr="000C2162">
              <w:rPr>
                <w:rFonts w:eastAsia="Times New Roman" w:cs="Calibri"/>
                <w:color w:val="000000"/>
                <w:sz w:val="20"/>
                <w:szCs w:val="20"/>
                <w:lang w:eastAsia="cs-CZ"/>
              </w:rPr>
              <w:t>iesel celkem</w:t>
            </w:r>
          </w:p>
        </w:tc>
        <w:tc>
          <w:tcPr>
            <w:tcW w:w="547" w:type="pct"/>
            <w:tcBorders>
              <w:top w:val="nil"/>
              <w:left w:val="nil"/>
              <w:bottom w:val="single" w:sz="4" w:space="0" w:color="auto"/>
              <w:right w:val="single" w:sz="4" w:space="0" w:color="auto"/>
            </w:tcBorders>
            <w:shd w:val="clear" w:color="auto" w:fill="auto"/>
            <w:noWrap/>
            <w:vAlign w:val="center"/>
            <w:hideMark/>
          </w:tcPr>
          <w:p w14:paraId="69C02A4A"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1 807 953</w:t>
            </w:r>
          </w:p>
        </w:tc>
        <w:tc>
          <w:tcPr>
            <w:tcW w:w="536" w:type="pct"/>
            <w:tcBorders>
              <w:top w:val="nil"/>
              <w:left w:val="nil"/>
              <w:bottom w:val="single" w:sz="4" w:space="0" w:color="auto"/>
              <w:right w:val="single" w:sz="4" w:space="0" w:color="auto"/>
            </w:tcBorders>
            <w:shd w:val="clear" w:color="auto" w:fill="auto"/>
            <w:noWrap/>
            <w:vAlign w:val="center"/>
            <w:hideMark/>
          </w:tcPr>
          <w:p w14:paraId="0C235BA3" w14:textId="31F52B21"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26,33</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437F2E44"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1 954 086</w:t>
            </w:r>
          </w:p>
        </w:tc>
        <w:tc>
          <w:tcPr>
            <w:tcW w:w="533" w:type="pct"/>
            <w:tcBorders>
              <w:top w:val="nil"/>
              <w:left w:val="nil"/>
              <w:bottom w:val="single" w:sz="4" w:space="0" w:color="auto"/>
              <w:right w:val="single" w:sz="4" w:space="0" w:color="auto"/>
            </w:tcBorders>
            <w:shd w:val="clear" w:color="auto" w:fill="auto"/>
            <w:noWrap/>
            <w:vAlign w:val="center"/>
            <w:hideMark/>
          </w:tcPr>
          <w:p w14:paraId="011ECD6F" w14:textId="7D4EDE7C"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27,50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15BBCFE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2 097 056</w:t>
            </w:r>
          </w:p>
        </w:tc>
        <w:tc>
          <w:tcPr>
            <w:tcW w:w="532" w:type="pct"/>
            <w:tcBorders>
              <w:top w:val="nil"/>
              <w:left w:val="nil"/>
              <w:bottom w:val="single" w:sz="4" w:space="0" w:color="auto"/>
              <w:right w:val="single" w:sz="4" w:space="0" w:color="auto"/>
            </w:tcBorders>
            <w:shd w:val="clear" w:color="auto" w:fill="auto"/>
            <w:noWrap/>
            <w:vAlign w:val="center"/>
            <w:hideMark/>
          </w:tcPr>
          <w:p w14:paraId="61247E34" w14:textId="461F0E7E"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28,39</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500A84B1" w14:textId="698CCAEF"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5D52A4ED"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69A04BE0" w14:textId="77777777" w:rsidR="00DD54E5" w:rsidRPr="000C2162" w:rsidRDefault="00DD54E5" w:rsidP="00126238">
            <w:pPr>
              <w:spacing w:after="0"/>
              <w:jc w:val="left"/>
              <w:rPr>
                <w:rFonts w:eastAsia="Times New Roman" w:cs="Calibri"/>
                <w:color w:val="000000"/>
                <w:sz w:val="20"/>
                <w:szCs w:val="20"/>
                <w:lang w:eastAsia="cs-CZ"/>
              </w:rPr>
            </w:pPr>
            <w:r w:rsidRPr="000C2162">
              <w:rPr>
                <w:rFonts w:eastAsia="Times New Roman" w:cs="Calibri"/>
                <w:color w:val="000000"/>
                <w:sz w:val="20"/>
                <w:szCs w:val="20"/>
                <w:lang w:eastAsia="cs-CZ"/>
              </w:rPr>
              <w:t>Elektřina</w:t>
            </w:r>
          </w:p>
        </w:tc>
        <w:tc>
          <w:tcPr>
            <w:tcW w:w="547" w:type="pct"/>
            <w:tcBorders>
              <w:top w:val="nil"/>
              <w:left w:val="nil"/>
              <w:bottom w:val="single" w:sz="4" w:space="0" w:color="auto"/>
              <w:right w:val="single" w:sz="4" w:space="0" w:color="auto"/>
            </w:tcBorders>
            <w:shd w:val="clear" w:color="auto" w:fill="auto"/>
            <w:noWrap/>
            <w:vAlign w:val="center"/>
            <w:hideMark/>
          </w:tcPr>
          <w:p w14:paraId="458BC29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713</w:t>
            </w:r>
          </w:p>
        </w:tc>
        <w:tc>
          <w:tcPr>
            <w:tcW w:w="536" w:type="pct"/>
            <w:tcBorders>
              <w:top w:val="nil"/>
              <w:left w:val="nil"/>
              <w:bottom w:val="single" w:sz="4" w:space="0" w:color="auto"/>
              <w:right w:val="single" w:sz="4" w:space="0" w:color="auto"/>
            </w:tcBorders>
            <w:shd w:val="clear" w:color="auto" w:fill="auto"/>
            <w:noWrap/>
            <w:vAlign w:val="center"/>
            <w:hideMark/>
          </w:tcPr>
          <w:p w14:paraId="1DB407A0" w14:textId="5AEE1FAA"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0,01</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1E953B86"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974</w:t>
            </w:r>
          </w:p>
        </w:tc>
        <w:tc>
          <w:tcPr>
            <w:tcW w:w="533" w:type="pct"/>
            <w:tcBorders>
              <w:top w:val="nil"/>
              <w:left w:val="nil"/>
              <w:bottom w:val="single" w:sz="4" w:space="0" w:color="auto"/>
              <w:right w:val="single" w:sz="4" w:space="0" w:color="auto"/>
            </w:tcBorders>
            <w:shd w:val="clear" w:color="auto" w:fill="auto"/>
            <w:noWrap/>
            <w:vAlign w:val="center"/>
            <w:hideMark/>
          </w:tcPr>
          <w:p w14:paraId="5E195892" w14:textId="4A242DD2"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0,01</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D67D187"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1 525</w:t>
            </w:r>
          </w:p>
        </w:tc>
        <w:tc>
          <w:tcPr>
            <w:tcW w:w="532" w:type="pct"/>
            <w:tcBorders>
              <w:top w:val="nil"/>
              <w:left w:val="nil"/>
              <w:bottom w:val="single" w:sz="4" w:space="0" w:color="auto"/>
              <w:right w:val="single" w:sz="4" w:space="0" w:color="auto"/>
            </w:tcBorders>
            <w:shd w:val="clear" w:color="auto" w:fill="auto"/>
            <w:noWrap/>
            <w:vAlign w:val="center"/>
            <w:hideMark/>
          </w:tcPr>
          <w:p w14:paraId="62DDDE84" w14:textId="5810358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74AE49D0" w14:textId="59521EA5"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1E93B737"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468DF562" w14:textId="77777777" w:rsidR="00DD54E5" w:rsidRPr="000C2162" w:rsidRDefault="00DD54E5" w:rsidP="00126238">
            <w:pPr>
              <w:spacing w:after="0"/>
              <w:jc w:val="left"/>
              <w:rPr>
                <w:rFonts w:eastAsia="Times New Roman" w:cs="Calibri"/>
                <w:color w:val="000000"/>
                <w:sz w:val="20"/>
                <w:szCs w:val="20"/>
                <w:lang w:eastAsia="cs-CZ"/>
              </w:rPr>
            </w:pPr>
            <w:r w:rsidRPr="000C2162">
              <w:rPr>
                <w:rFonts w:eastAsia="Times New Roman" w:cs="Calibri"/>
                <w:color w:val="000000"/>
                <w:sz w:val="20"/>
                <w:szCs w:val="20"/>
                <w:lang w:eastAsia="cs-CZ"/>
              </w:rPr>
              <w:t>LPG či</w:t>
            </w:r>
            <w:r>
              <w:rPr>
                <w:rFonts w:eastAsia="Times New Roman" w:cs="Calibri"/>
                <w:color w:val="000000"/>
                <w:sz w:val="20"/>
                <w:szCs w:val="20"/>
                <w:lang w:eastAsia="cs-CZ"/>
              </w:rPr>
              <w:t>s</w:t>
            </w:r>
            <w:r w:rsidRPr="000C2162">
              <w:rPr>
                <w:rFonts w:eastAsia="Times New Roman" w:cs="Calibri"/>
                <w:color w:val="000000"/>
                <w:sz w:val="20"/>
                <w:szCs w:val="20"/>
                <w:lang w:eastAsia="cs-CZ"/>
              </w:rPr>
              <w:t>tě na LPG</w:t>
            </w:r>
          </w:p>
        </w:tc>
        <w:tc>
          <w:tcPr>
            <w:tcW w:w="547" w:type="pct"/>
            <w:tcBorders>
              <w:top w:val="nil"/>
              <w:left w:val="nil"/>
              <w:bottom w:val="single" w:sz="4" w:space="0" w:color="auto"/>
              <w:right w:val="single" w:sz="4" w:space="0" w:color="auto"/>
            </w:tcBorders>
            <w:shd w:val="clear" w:color="auto" w:fill="auto"/>
            <w:noWrap/>
            <w:vAlign w:val="center"/>
            <w:hideMark/>
          </w:tcPr>
          <w:p w14:paraId="4F0B8FE9"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56</w:t>
            </w:r>
          </w:p>
        </w:tc>
        <w:tc>
          <w:tcPr>
            <w:tcW w:w="536" w:type="pct"/>
            <w:tcBorders>
              <w:top w:val="nil"/>
              <w:left w:val="nil"/>
              <w:bottom w:val="single" w:sz="4" w:space="0" w:color="auto"/>
              <w:right w:val="single" w:sz="4" w:space="0" w:color="auto"/>
            </w:tcBorders>
            <w:shd w:val="clear" w:color="auto" w:fill="auto"/>
            <w:noWrap/>
            <w:vAlign w:val="center"/>
            <w:hideMark/>
          </w:tcPr>
          <w:p w14:paraId="099CB949" w14:textId="5BB841F1"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5C7CDE9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47</w:t>
            </w:r>
          </w:p>
        </w:tc>
        <w:tc>
          <w:tcPr>
            <w:tcW w:w="533" w:type="pct"/>
            <w:tcBorders>
              <w:top w:val="nil"/>
              <w:left w:val="nil"/>
              <w:bottom w:val="single" w:sz="4" w:space="0" w:color="auto"/>
              <w:right w:val="single" w:sz="4" w:space="0" w:color="auto"/>
            </w:tcBorders>
            <w:shd w:val="clear" w:color="auto" w:fill="auto"/>
            <w:noWrap/>
            <w:vAlign w:val="center"/>
            <w:hideMark/>
          </w:tcPr>
          <w:p w14:paraId="3D75169C" w14:textId="18A7BF4C"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4FF135E3"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47</w:t>
            </w:r>
          </w:p>
        </w:tc>
        <w:tc>
          <w:tcPr>
            <w:tcW w:w="532" w:type="pct"/>
            <w:tcBorders>
              <w:top w:val="nil"/>
              <w:left w:val="nil"/>
              <w:bottom w:val="single" w:sz="4" w:space="0" w:color="auto"/>
              <w:right w:val="single" w:sz="4" w:space="0" w:color="auto"/>
            </w:tcBorders>
            <w:shd w:val="clear" w:color="auto" w:fill="auto"/>
            <w:noWrap/>
            <w:vAlign w:val="center"/>
            <w:hideMark/>
          </w:tcPr>
          <w:p w14:paraId="73AD2FC9" w14:textId="325F8615"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560F288E" w14:textId="3E6E8864"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106B4979"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23E8747A" w14:textId="77777777" w:rsidR="00DD54E5" w:rsidRPr="000C2162" w:rsidRDefault="00DD54E5" w:rsidP="00126238">
            <w:pPr>
              <w:spacing w:after="0"/>
              <w:jc w:val="left"/>
              <w:rPr>
                <w:rFonts w:eastAsia="Times New Roman" w:cs="Calibri"/>
                <w:color w:val="000000"/>
                <w:sz w:val="20"/>
                <w:szCs w:val="20"/>
                <w:lang w:eastAsia="cs-CZ"/>
              </w:rPr>
            </w:pPr>
            <w:r w:rsidRPr="000C2162">
              <w:rPr>
                <w:rFonts w:eastAsia="Times New Roman" w:cs="Calibri"/>
                <w:color w:val="000000"/>
                <w:sz w:val="20"/>
                <w:szCs w:val="20"/>
                <w:lang w:eastAsia="cs-CZ"/>
              </w:rPr>
              <w:t>Ostatní</w:t>
            </w:r>
          </w:p>
        </w:tc>
        <w:tc>
          <w:tcPr>
            <w:tcW w:w="547" w:type="pct"/>
            <w:tcBorders>
              <w:top w:val="nil"/>
              <w:left w:val="nil"/>
              <w:bottom w:val="single" w:sz="4" w:space="0" w:color="auto"/>
              <w:right w:val="single" w:sz="4" w:space="0" w:color="auto"/>
            </w:tcBorders>
            <w:shd w:val="clear" w:color="auto" w:fill="auto"/>
            <w:noWrap/>
            <w:vAlign w:val="center"/>
            <w:hideMark/>
          </w:tcPr>
          <w:p w14:paraId="27C92857"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13 731</w:t>
            </w:r>
          </w:p>
        </w:tc>
        <w:tc>
          <w:tcPr>
            <w:tcW w:w="536" w:type="pct"/>
            <w:tcBorders>
              <w:top w:val="nil"/>
              <w:left w:val="nil"/>
              <w:bottom w:val="single" w:sz="4" w:space="0" w:color="auto"/>
              <w:right w:val="single" w:sz="4" w:space="0" w:color="auto"/>
            </w:tcBorders>
            <w:shd w:val="clear" w:color="auto" w:fill="auto"/>
            <w:noWrap/>
            <w:vAlign w:val="center"/>
            <w:hideMark/>
          </w:tcPr>
          <w:p w14:paraId="6B1D5809" w14:textId="6190814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5FC74794"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14 864</w:t>
            </w:r>
          </w:p>
        </w:tc>
        <w:tc>
          <w:tcPr>
            <w:tcW w:w="533" w:type="pct"/>
            <w:tcBorders>
              <w:top w:val="nil"/>
              <w:left w:val="nil"/>
              <w:bottom w:val="single" w:sz="4" w:space="0" w:color="auto"/>
              <w:right w:val="single" w:sz="4" w:space="0" w:color="auto"/>
            </w:tcBorders>
            <w:shd w:val="clear" w:color="auto" w:fill="auto"/>
            <w:noWrap/>
            <w:vAlign w:val="center"/>
            <w:hideMark/>
          </w:tcPr>
          <w:p w14:paraId="7B11F1C6" w14:textId="27E792A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0,21</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7A75202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16 749</w:t>
            </w:r>
          </w:p>
        </w:tc>
        <w:tc>
          <w:tcPr>
            <w:tcW w:w="532" w:type="pct"/>
            <w:tcBorders>
              <w:top w:val="nil"/>
              <w:left w:val="nil"/>
              <w:bottom w:val="single" w:sz="4" w:space="0" w:color="auto"/>
              <w:right w:val="single" w:sz="4" w:space="0" w:color="auto"/>
            </w:tcBorders>
            <w:shd w:val="clear" w:color="auto" w:fill="auto"/>
            <w:noWrap/>
            <w:vAlign w:val="center"/>
            <w:hideMark/>
          </w:tcPr>
          <w:p w14:paraId="7A606A3C" w14:textId="671BB0AD"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0,23</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5FD884CB" w14:textId="3173461C"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76436BA3"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7EEE65BE" w14:textId="77777777" w:rsidR="00DD54E5" w:rsidRPr="000C2162" w:rsidRDefault="00DD54E5" w:rsidP="00583A86">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Mikrobusy a</w:t>
            </w:r>
            <w:r w:rsidR="00583A86">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autobusy celkem</w:t>
            </w:r>
          </w:p>
        </w:tc>
        <w:tc>
          <w:tcPr>
            <w:tcW w:w="547" w:type="pct"/>
            <w:tcBorders>
              <w:top w:val="nil"/>
              <w:left w:val="nil"/>
              <w:bottom w:val="single" w:sz="4" w:space="0" w:color="auto"/>
              <w:right w:val="single" w:sz="4" w:space="0" w:color="auto"/>
            </w:tcBorders>
            <w:shd w:val="clear" w:color="000000" w:fill="F2F2F2"/>
            <w:noWrap/>
            <w:vAlign w:val="center"/>
            <w:hideMark/>
          </w:tcPr>
          <w:p w14:paraId="1AC23278"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19 950</w:t>
            </w:r>
          </w:p>
        </w:tc>
        <w:tc>
          <w:tcPr>
            <w:tcW w:w="536" w:type="pct"/>
            <w:tcBorders>
              <w:top w:val="nil"/>
              <w:left w:val="nil"/>
              <w:bottom w:val="single" w:sz="4" w:space="0" w:color="auto"/>
              <w:right w:val="single" w:sz="4" w:space="0" w:color="auto"/>
            </w:tcBorders>
            <w:shd w:val="clear" w:color="000000" w:fill="F2F2F2"/>
            <w:noWrap/>
            <w:vAlign w:val="center"/>
            <w:hideMark/>
          </w:tcPr>
          <w:p w14:paraId="2716F698" w14:textId="760A53A8"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0,29</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36FEE642"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20 097</w:t>
            </w:r>
          </w:p>
        </w:tc>
        <w:tc>
          <w:tcPr>
            <w:tcW w:w="533" w:type="pct"/>
            <w:tcBorders>
              <w:top w:val="nil"/>
              <w:left w:val="nil"/>
              <w:bottom w:val="single" w:sz="4" w:space="0" w:color="auto"/>
              <w:right w:val="single" w:sz="4" w:space="0" w:color="auto"/>
            </w:tcBorders>
            <w:shd w:val="clear" w:color="000000" w:fill="F2F2F2"/>
            <w:noWrap/>
            <w:vAlign w:val="center"/>
            <w:hideMark/>
          </w:tcPr>
          <w:p w14:paraId="6BD43EED" w14:textId="6211196E"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0,28</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487EF8D7"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20 719</w:t>
            </w:r>
          </w:p>
        </w:tc>
        <w:tc>
          <w:tcPr>
            <w:tcW w:w="532" w:type="pct"/>
            <w:tcBorders>
              <w:top w:val="nil"/>
              <w:left w:val="nil"/>
              <w:bottom w:val="single" w:sz="4" w:space="0" w:color="auto"/>
              <w:right w:val="single" w:sz="4" w:space="0" w:color="auto"/>
            </w:tcBorders>
            <w:shd w:val="clear" w:color="000000" w:fill="F2F2F2"/>
            <w:noWrap/>
            <w:vAlign w:val="center"/>
            <w:hideMark/>
          </w:tcPr>
          <w:p w14:paraId="4A1D3BED" w14:textId="0710B784"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0,28</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5E90DB8C" w14:textId="2E557B96"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N</w:t>
            </w:r>
            <w:r w:rsidR="00DD54E5" w:rsidRPr="000C2162">
              <w:rPr>
                <w:rFonts w:eastAsia="Times New Roman" w:cs="Calibri"/>
                <w:b/>
                <w:bCs/>
                <w:color w:val="000000"/>
                <w:sz w:val="20"/>
                <w:szCs w:val="20"/>
                <w:lang w:eastAsia="cs-CZ"/>
              </w:rPr>
              <w:t>árůst</w:t>
            </w:r>
          </w:p>
        </w:tc>
      </w:tr>
      <w:tr w:rsidR="00583A86" w14:paraId="43F87B5C"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13854DFE" w14:textId="2072F40C"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B</w:t>
            </w:r>
            <w:r w:rsidR="00DD54E5" w:rsidRPr="000C2162">
              <w:rPr>
                <w:rFonts w:eastAsia="Times New Roman" w:cs="Calibri"/>
                <w:color w:val="000000"/>
                <w:sz w:val="20"/>
                <w:szCs w:val="20"/>
                <w:lang w:eastAsia="cs-CZ"/>
              </w:rPr>
              <w:t>enzín celkem</w:t>
            </w:r>
          </w:p>
        </w:tc>
        <w:tc>
          <w:tcPr>
            <w:tcW w:w="547" w:type="pct"/>
            <w:tcBorders>
              <w:top w:val="nil"/>
              <w:left w:val="nil"/>
              <w:bottom w:val="single" w:sz="4" w:space="0" w:color="auto"/>
              <w:right w:val="single" w:sz="4" w:space="0" w:color="auto"/>
            </w:tcBorders>
            <w:shd w:val="clear" w:color="auto" w:fill="auto"/>
            <w:noWrap/>
            <w:vAlign w:val="center"/>
            <w:hideMark/>
          </w:tcPr>
          <w:p w14:paraId="7C0DD3D3"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1 779</w:t>
            </w:r>
          </w:p>
        </w:tc>
        <w:tc>
          <w:tcPr>
            <w:tcW w:w="536" w:type="pct"/>
            <w:tcBorders>
              <w:top w:val="nil"/>
              <w:left w:val="nil"/>
              <w:bottom w:val="single" w:sz="4" w:space="0" w:color="auto"/>
              <w:right w:val="single" w:sz="4" w:space="0" w:color="auto"/>
            </w:tcBorders>
            <w:shd w:val="clear" w:color="auto" w:fill="auto"/>
            <w:noWrap/>
            <w:vAlign w:val="center"/>
            <w:hideMark/>
          </w:tcPr>
          <w:p w14:paraId="39843B97" w14:textId="115EABAD"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0,03</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0EEE61A"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1 745</w:t>
            </w:r>
          </w:p>
        </w:tc>
        <w:tc>
          <w:tcPr>
            <w:tcW w:w="533" w:type="pct"/>
            <w:tcBorders>
              <w:top w:val="nil"/>
              <w:left w:val="nil"/>
              <w:bottom w:val="single" w:sz="4" w:space="0" w:color="auto"/>
              <w:right w:val="single" w:sz="4" w:space="0" w:color="auto"/>
            </w:tcBorders>
            <w:shd w:val="clear" w:color="auto" w:fill="auto"/>
            <w:noWrap/>
            <w:vAlign w:val="center"/>
            <w:hideMark/>
          </w:tcPr>
          <w:p w14:paraId="07FE298C" w14:textId="5075B9FB"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3C8C98E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1 712</w:t>
            </w:r>
          </w:p>
        </w:tc>
        <w:tc>
          <w:tcPr>
            <w:tcW w:w="532" w:type="pct"/>
            <w:tcBorders>
              <w:top w:val="nil"/>
              <w:left w:val="nil"/>
              <w:bottom w:val="single" w:sz="4" w:space="0" w:color="auto"/>
              <w:right w:val="single" w:sz="4" w:space="0" w:color="auto"/>
            </w:tcBorders>
            <w:shd w:val="clear" w:color="auto" w:fill="auto"/>
            <w:noWrap/>
            <w:vAlign w:val="center"/>
            <w:hideMark/>
          </w:tcPr>
          <w:p w14:paraId="78D1D257" w14:textId="1E4F125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247F554F" w14:textId="75093FEE"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27D1BFB5"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2EA15316" w14:textId="7EE689EA"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D</w:t>
            </w:r>
            <w:r w:rsidR="00DD54E5" w:rsidRPr="000C2162">
              <w:rPr>
                <w:rFonts w:eastAsia="Times New Roman" w:cs="Calibri"/>
                <w:color w:val="000000"/>
                <w:sz w:val="20"/>
                <w:szCs w:val="20"/>
                <w:lang w:eastAsia="cs-CZ"/>
              </w:rPr>
              <w:t>iesel celkem</w:t>
            </w:r>
          </w:p>
        </w:tc>
        <w:tc>
          <w:tcPr>
            <w:tcW w:w="547" w:type="pct"/>
            <w:tcBorders>
              <w:top w:val="nil"/>
              <w:left w:val="nil"/>
              <w:bottom w:val="single" w:sz="4" w:space="0" w:color="auto"/>
              <w:right w:val="single" w:sz="4" w:space="0" w:color="auto"/>
            </w:tcBorders>
            <w:shd w:val="clear" w:color="auto" w:fill="auto"/>
            <w:noWrap/>
            <w:vAlign w:val="center"/>
            <w:hideMark/>
          </w:tcPr>
          <w:p w14:paraId="7DFD4496"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17 115</w:t>
            </w:r>
          </w:p>
        </w:tc>
        <w:tc>
          <w:tcPr>
            <w:tcW w:w="536" w:type="pct"/>
            <w:tcBorders>
              <w:top w:val="nil"/>
              <w:left w:val="nil"/>
              <w:bottom w:val="single" w:sz="4" w:space="0" w:color="auto"/>
              <w:right w:val="single" w:sz="4" w:space="0" w:color="auto"/>
            </w:tcBorders>
            <w:shd w:val="clear" w:color="auto" w:fill="auto"/>
            <w:noWrap/>
            <w:vAlign w:val="center"/>
            <w:hideMark/>
          </w:tcPr>
          <w:p w14:paraId="783D2746" w14:textId="08109EE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0,25</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5D18A123"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17 217</w:t>
            </w:r>
          </w:p>
        </w:tc>
        <w:tc>
          <w:tcPr>
            <w:tcW w:w="533" w:type="pct"/>
            <w:tcBorders>
              <w:top w:val="nil"/>
              <w:left w:val="nil"/>
              <w:bottom w:val="single" w:sz="4" w:space="0" w:color="auto"/>
              <w:right w:val="single" w:sz="4" w:space="0" w:color="auto"/>
            </w:tcBorders>
            <w:shd w:val="clear" w:color="auto" w:fill="auto"/>
            <w:noWrap/>
            <w:vAlign w:val="center"/>
            <w:hideMark/>
          </w:tcPr>
          <w:p w14:paraId="14EAAD89" w14:textId="2088651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0,24</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A1010E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17 755</w:t>
            </w:r>
          </w:p>
        </w:tc>
        <w:tc>
          <w:tcPr>
            <w:tcW w:w="532" w:type="pct"/>
            <w:tcBorders>
              <w:top w:val="nil"/>
              <w:left w:val="nil"/>
              <w:bottom w:val="single" w:sz="4" w:space="0" w:color="auto"/>
              <w:right w:val="single" w:sz="4" w:space="0" w:color="auto"/>
            </w:tcBorders>
            <w:shd w:val="clear" w:color="auto" w:fill="auto"/>
            <w:noWrap/>
            <w:vAlign w:val="center"/>
            <w:hideMark/>
          </w:tcPr>
          <w:p w14:paraId="25642C61" w14:textId="3201B1C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0,24</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0F075843" w14:textId="6D45CAF8"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5688A28E"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34B45387" w14:textId="29887AC4"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O</w:t>
            </w:r>
            <w:r w:rsidR="00DD54E5" w:rsidRPr="000C2162">
              <w:rPr>
                <w:rFonts w:eastAsia="Times New Roman" w:cs="Calibri"/>
                <w:color w:val="000000"/>
                <w:sz w:val="20"/>
                <w:szCs w:val="20"/>
                <w:lang w:eastAsia="cs-CZ"/>
              </w:rPr>
              <w:t>statní</w:t>
            </w:r>
          </w:p>
        </w:tc>
        <w:tc>
          <w:tcPr>
            <w:tcW w:w="547" w:type="pct"/>
            <w:tcBorders>
              <w:top w:val="nil"/>
              <w:left w:val="nil"/>
              <w:bottom w:val="single" w:sz="4" w:space="0" w:color="auto"/>
              <w:right w:val="single" w:sz="4" w:space="0" w:color="auto"/>
            </w:tcBorders>
            <w:shd w:val="clear" w:color="auto" w:fill="auto"/>
            <w:noWrap/>
            <w:vAlign w:val="center"/>
            <w:hideMark/>
          </w:tcPr>
          <w:p w14:paraId="04F5348B"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1 056</w:t>
            </w:r>
          </w:p>
        </w:tc>
        <w:tc>
          <w:tcPr>
            <w:tcW w:w="536" w:type="pct"/>
            <w:tcBorders>
              <w:top w:val="nil"/>
              <w:left w:val="nil"/>
              <w:bottom w:val="single" w:sz="4" w:space="0" w:color="auto"/>
              <w:right w:val="single" w:sz="4" w:space="0" w:color="auto"/>
            </w:tcBorders>
            <w:shd w:val="clear" w:color="auto" w:fill="auto"/>
            <w:noWrap/>
            <w:vAlign w:val="center"/>
            <w:hideMark/>
          </w:tcPr>
          <w:p w14:paraId="4DED6B72" w14:textId="27A5D59A"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83FE209"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1 135</w:t>
            </w:r>
          </w:p>
        </w:tc>
        <w:tc>
          <w:tcPr>
            <w:tcW w:w="533" w:type="pct"/>
            <w:tcBorders>
              <w:top w:val="nil"/>
              <w:left w:val="nil"/>
              <w:bottom w:val="single" w:sz="4" w:space="0" w:color="auto"/>
              <w:right w:val="single" w:sz="4" w:space="0" w:color="auto"/>
            </w:tcBorders>
            <w:shd w:val="clear" w:color="auto" w:fill="auto"/>
            <w:noWrap/>
            <w:vAlign w:val="center"/>
            <w:hideMark/>
          </w:tcPr>
          <w:p w14:paraId="35CF4325" w14:textId="5D1DD4C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6B4FAE0B"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1 252</w:t>
            </w:r>
          </w:p>
        </w:tc>
        <w:tc>
          <w:tcPr>
            <w:tcW w:w="532" w:type="pct"/>
            <w:tcBorders>
              <w:top w:val="nil"/>
              <w:left w:val="nil"/>
              <w:bottom w:val="single" w:sz="4" w:space="0" w:color="auto"/>
              <w:right w:val="single" w:sz="4" w:space="0" w:color="auto"/>
            </w:tcBorders>
            <w:shd w:val="clear" w:color="auto" w:fill="auto"/>
            <w:noWrap/>
            <w:vAlign w:val="center"/>
            <w:hideMark/>
          </w:tcPr>
          <w:p w14:paraId="6AD4C066" w14:textId="55FC545D"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7EE5F22D" w14:textId="73DA6F9E"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0368594B"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52D10551" w14:textId="77777777" w:rsidR="00DD54E5" w:rsidRPr="000C2162" w:rsidRDefault="00DD54E5" w:rsidP="00126238">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Nákladní vozidla celkem</w:t>
            </w:r>
          </w:p>
        </w:tc>
        <w:tc>
          <w:tcPr>
            <w:tcW w:w="547" w:type="pct"/>
            <w:tcBorders>
              <w:top w:val="nil"/>
              <w:left w:val="nil"/>
              <w:bottom w:val="single" w:sz="4" w:space="0" w:color="auto"/>
              <w:right w:val="single" w:sz="4" w:space="0" w:color="auto"/>
            </w:tcBorders>
            <w:shd w:val="clear" w:color="000000" w:fill="F2F2F2"/>
            <w:noWrap/>
            <w:vAlign w:val="center"/>
            <w:hideMark/>
          </w:tcPr>
          <w:p w14:paraId="37C5C533"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646 792</w:t>
            </w:r>
          </w:p>
        </w:tc>
        <w:tc>
          <w:tcPr>
            <w:tcW w:w="536" w:type="pct"/>
            <w:tcBorders>
              <w:top w:val="nil"/>
              <w:left w:val="nil"/>
              <w:bottom w:val="single" w:sz="4" w:space="0" w:color="auto"/>
              <w:right w:val="single" w:sz="4" w:space="0" w:color="auto"/>
            </w:tcBorders>
            <w:shd w:val="clear" w:color="000000" w:fill="F2F2F2"/>
            <w:noWrap/>
            <w:vAlign w:val="center"/>
            <w:hideMark/>
          </w:tcPr>
          <w:p w14:paraId="392B0806" w14:textId="7776CE63"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9,42</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42DFA77F"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667 705</w:t>
            </w:r>
          </w:p>
        </w:tc>
        <w:tc>
          <w:tcPr>
            <w:tcW w:w="533" w:type="pct"/>
            <w:tcBorders>
              <w:top w:val="nil"/>
              <w:left w:val="nil"/>
              <w:bottom w:val="single" w:sz="4" w:space="0" w:color="auto"/>
              <w:right w:val="single" w:sz="4" w:space="0" w:color="auto"/>
            </w:tcBorders>
            <w:shd w:val="clear" w:color="000000" w:fill="F2F2F2"/>
            <w:noWrap/>
            <w:vAlign w:val="center"/>
            <w:hideMark/>
          </w:tcPr>
          <w:p w14:paraId="19297A65" w14:textId="6083FFDB"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9,40</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67494490"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689 368</w:t>
            </w:r>
          </w:p>
        </w:tc>
        <w:tc>
          <w:tcPr>
            <w:tcW w:w="532" w:type="pct"/>
            <w:tcBorders>
              <w:top w:val="nil"/>
              <w:left w:val="nil"/>
              <w:bottom w:val="single" w:sz="4" w:space="0" w:color="auto"/>
              <w:right w:val="single" w:sz="4" w:space="0" w:color="auto"/>
            </w:tcBorders>
            <w:shd w:val="clear" w:color="000000" w:fill="F2F2F2"/>
            <w:noWrap/>
            <w:vAlign w:val="center"/>
            <w:hideMark/>
          </w:tcPr>
          <w:p w14:paraId="00D83A48" w14:textId="290AE7DE"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9,33</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02409A33" w14:textId="1DF8E601"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N</w:t>
            </w:r>
            <w:r w:rsidR="00DD54E5" w:rsidRPr="000C2162">
              <w:rPr>
                <w:rFonts w:eastAsia="Times New Roman" w:cs="Calibri"/>
                <w:b/>
                <w:bCs/>
                <w:color w:val="000000"/>
                <w:sz w:val="20"/>
                <w:szCs w:val="20"/>
                <w:lang w:eastAsia="cs-CZ"/>
              </w:rPr>
              <w:t>árůst</w:t>
            </w:r>
          </w:p>
        </w:tc>
      </w:tr>
      <w:tr w:rsidR="00583A86" w14:paraId="00D3C852"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55364B27" w14:textId="709C7386"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B</w:t>
            </w:r>
            <w:r w:rsidR="00DD54E5" w:rsidRPr="000C2162">
              <w:rPr>
                <w:rFonts w:eastAsia="Times New Roman" w:cs="Calibri"/>
                <w:color w:val="000000"/>
                <w:sz w:val="20"/>
                <w:szCs w:val="20"/>
                <w:lang w:eastAsia="cs-CZ"/>
              </w:rPr>
              <w:t>enzín celkem</w:t>
            </w:r>
          </w:p>
        </w:tc>
        <w:tc>
          <w:tcPr>
            <w:tcW w:w="547" w:type="pct"/>
            <w:tcBorders>
              <w:top w:val="nil"/>
              <w:left w:val="nil"/>
              <w:bottom w:val="single" w:sz="4" w:space="0" w:color="auto"/>
              <w:right w:val="single" w:sz="4" w:space="0" w:color="auto"/>
            </w:tcBorders>
            <w:shd w:val="clear" w:color="auto" w:fill="auto"/>
            <w:noWrap/>
            <w:vAlign w:val="center"/>
            <w:hideMark/>
          </w:tcPr>
          <w:p w14:paraId="1EEDEB83"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94 611</w:t>
            </w:r>
          </w:p>
        </w:tc>
        <w:tc>
          <w:tcPr>
            <w:tcW w:w="536" w:type="pct"/>
            <w:tcBorders>
              <w:top w:val="nil"/>
              <w:left w:val="nil"/>
              <w:bottom w:val="single" w:sz="4" w:space="0" w:color="auto"/>
              <w:right w:val="single" w:sz="4" w:space="0" w:color="auto"/>
            </w:tcBorders>
            <w:shd w:val="clear" w:color="auto" w:fill="auto"/>
            <w:noWrap/>
            <w:vAlign w:val="center"/>
            <w:hideMark/>
          </w:tcPr>
          <w:p w14:paraId="2870C0E1" w14:textId="47F2BA9E"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1,38</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8A44BB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93 520</w:t>
            </w:r>
          </w:p>
        </w:tc>
        <w:tc>
          <w:tcPr>
            <w:tcW w:w="533" w:type="pct"/>
            <w:tcBorders>
              <w:top w:val="nil"/>
              <w:left w:val="nil"/>
              <w:bottom w:val="single" w:sz="4" w:space="0" w:color="auto"/>
              <w:right w:val="single" w:sz="4" w:space="0" w:color="auto"/>
            </w:tcBorders>
            <w:shd w:val="clear" w:color="auto" w:fill="auto"/>
            <w:noWrap/>
            <w:vAlign w:val="center"/>
            <w:hideMark/>
          </w:tcPr>
          <w:p w14:paraId="21FA3687" w14:textId="391FCAE8"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1,32</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170A9A9C"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93 290</w:t>
            </w:r>
          </w:p>
        </w:tc>
        <w:tc>
          <w:tcPr>
            <w:tcW w:w="532" w:type="pct"/>
            <w:tcBorders>
              <w:top w:val="nil"/>
              <w:left w:val="nil"/>
              <w:bottom w:val="single" w:sz="4" w:space="0" w:color="auto"/>
              <w:right w:val="single" w:sz="4" w:space="0" w:color="auto"/>
            </w:tcBorders>
            <w:shd w:val="clear" w:color="auto" w:fill="auto"/>
            <w:noWrap/>
            <w:vAlign w:val="center"/>
            <w:hideMark/>
          </w:tcPr>
          <w:p w14:paraId="0CDA03AE" w14:textId="141BA5CB"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1,26</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22CBD5BF" w14:textId="3D08E09A"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6A534501"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57B8B3A6" w14:textId="189D56C7"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D</w:t>
            </w:r>
            <w:r w:rsidR="00DD54E5" w:rsidRPr="000C2162">
              <w:rPr>
                <w:rFonts w:eastAsia="Times New Roman" w:cs="Calibri"/>
                <w:color w:val="000000"/>
                <w:sz w:val="20"/>
                <w:szCs w:val="20"/>
                <w:lang w:eastAsia="cs-CZ"/>
              </w:rPr>
              <w:t>iesel celkem</w:t>
            </w:r>
          </w:p>
        </w:tc>
        <w:tc>
          <w:tcPr>
            <w:tcW w:w="547" w:type="pct"/>
            <w:tcBorders>
              <w:top w:val="nil"/>
              <w:left w:val="nil"/>
              <w:bottom w:val="single" w:sz="4" w:space="0" w:color="auto"/>
              <w:right w:val="single" w:sz="4" w:space="0" w:color="auto"/>
            </w:tcBorders>
            <w:shd w:val="clear" w:color="auto" w:fill="auto"/>
            <w:noWrap/>
            <w:vAlign w:val="center"/>
            <w:hideMark/>
          </w:tcPr>
          <w:p w14:paraId="63D0DA8B"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548 800</w:t>
            </w:r>
          </w:p>
        </w:tc>
        <w:tc>
          <w:tcPr>
            <w:tcW w:w="536" w:type="pct"/>
            <w:tcBorders>
              <w:top w:val="nil"/>
              <w:left w:val="nil"/>
              <w:bottom w:val="single" w:sz="4" w:space="0" w:color="auto"/>
              <w:right w:val="single" w:sz="4" w:space="0" w:color="auto"/>
            </w:tcBorders>
            <w:shd w:val="clear" w:color="auto" w:fill="auto"/>
            <w:noWrap/>
            <w:vAlign w:val="center"/>
            <w:hideMark/>
          </w:tcPr>
          <w:p w14:paraId="5E5CF9BC" w14:textId="126A3665"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7,99</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FE58913"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570 537</w:t>
            </w:r>
          </w:p>
        </w:tc>
        <w:tc>
          <w:tcPr>
            <w:tcW w:w="533" w:type="pct"/>
            <w:tcBorders>
              <w:top w:val="nil"/>
              <w:left w:val="nil"/>
              <w:bottom w:val="single" w:sz="4" w:space="0" w:color="auto"/>
              <w:right w:val="single" w:sz="4" w:space="0" w:color="auto"/>
            </w:tcBorders>
            <w:shd w:val="clear" w:color="auto" w:fill="auto"/>
            <w:noWrap/>
            <w:vAlign w:val="center"/>
            <w:hideMark/>
          </w:tcPr>
          <w:p w14:paraId="13C86756" w14:textId="1BCE8AE2"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8,03</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A310205"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591 929</w:t>
            </w:r>
          </w:p>
        </w:tc>
        <w:tc>
          <w:tcPr>
            <w:tcW w:w="532" w:type="pct"/>
            <w:tcBorders>
              <w:top w:val="nil"/>
              <w:left w:val="nil"/>
              <w:bottom w:val="single" w:sz="4" w:space="0" w:color="auto"/>
              <w:right w:val="single" w:sz="4" w:space="0" w:color="auto"/>
            </w:tcBorders>
            <w:shd w:val="clear" w:color="auto" w:fill="auto"/>
            <w:noWrap/>
            <w:vAlign w:val="center"/>
            <w:hideMark/>
          </w:tcPr>
          <w:p w14:paraId="15274100" w14:textId="269F09F2"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8,01</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1DF565E8" w14:textId="6716DA2C"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27FF5E6A"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178B1B65" w14:textId="72BCA791"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E</w:t>
            </w:r>
            <w:r w:rsidR="00DD54E5" w:rsidRPr="000C2162">
              <w:rPr>
                <w:rFonts w:eastAsia="Times New Roman" w:cs="Calibri"/>
                <w:color w:val="000000"/>
                <w:sz w:val="20"/>
                <w:szCs w:val="20"/>
                <w:lang w:eastAsia="cs-CZ"/>
              </w:rPr>
              <w:t>lektřina a ostatní</w:t>
            </w:r>
          </w:p>
        </w:tc>
        <w:tc>
          <w:tcPr>
            <w:tcW w:w="547" w:type="pct"/>
            <w:tcBorders>
              <w:top w:val="nil"/>
              <w:left w:val="nil"/>
              <w:bottom w:val="single" w:sz="4" w:space="0" w:color="auto"/>
              <w:right w:val="single" w:sz="4" w:space="0" w:color="auto"/>
            </w:tcBorders>
            <w:shd w:val="clear" w:color="auto" w:fill="auto"/>
            <w:noWrap/>
            <w:vAlign w:val="center"/>
            <w:hideMark/>
          </w:tcPr>
          <w:p w14:paraId="4EA6B7F9"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3 381</w:t>
            </w:r>
          </w:p>
        </w:tc>
        <w:tc>
          <w:tcPr>
            <w:tcW w:w="536" w:type="pct"/>
            <w:tcBorders>
              <w:top w:val="nil"/>
              <w:left w:val="nil"/>
              <w:bottom w:val="single" w:sz="4" w:space="0" w:color="auto"/>
              <w:right w:val="single" w:sz="4" w:space="0" w:color="auto"/>
            </w:tcBorders>
            <w:shd w:val="clear" w:color="auto" w:fill="auto"/>
            <w:noWrap/>
            <w:vAlign w:val="center"/>
            <w:hideMark/>
          </w:tcPr>
          <w:p w14:paraId="6CECB3D4" w14:textId="2557607D"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0,05</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4FBBCD3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3 648</w:t>
            </w:r>
          </w:p>
        </w:tc>
        <w:tc>
          <w:tcPr>
            <w:tcW w:w="533" w:type="pct"/>
            <w:tcBorders>
              <w:top w:val="nil"/>
              <w:left w:val="nil"/>
              <w:bottom w:val="single" w:sz="4" w:space="0" w:color="auto"/>
              <w:right w:val="single" w:sz="4" w:space="0" w:color="auto"/>
            </w:tcBorders>
            <w:shd w:val="clear" w:color="auto" w:fill="auto"/>
            <w:noWrap/>
            <w:vAlign w:val="center"/>
            <w:hideMark/>
          </w:tcPr>
          <w:p w14:paraId="72BBB055" w14:textId="0146056F"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0,05</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5689D6C"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4 149</w:t>
            </w:r>
          </w:p>
        </w:tc>
        <w:tc>
          <w:tcPr>
            <w:tcW w:w="532" w:type="pct"/>
            <w:tcBorders>
              <w:top w:val="nil"/>
              <w:left w:val="nil"/>
              <w:bottom w:val="single" w:sz="4" w:space="0" w:color="auto"/>
              <w:right w:val="single" w:sz="4" w:space="0" w:color="auto"/>
            </w:tcBorders>
            <w:shd w:val="clear" w:color="auto" w:fill="auto"/>
            <w:noWrap/>
            <w:vAlign w:val="center"/>
            <w:hideMark/>
          </w:tcPr>
          <w:p w14:paraId="396C0B7B" w14:textId="03E0C61D"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0,06</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01013FF6" w14:textId="4A7560DC"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r w:rsidR="00583A86" w14:paraId="685B139F"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0AD5DC22" w14:textId="77777777" w:rsidR="00DD54E5" w:rsidRPr="000C2162" w:rsidRDefault="00DD54E5" w:rsidP="00126238">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Silniční tahače</w:t>
            </w:r>
          </w:p>
        </w:tc>
        <w:tc>
          <w:tcPr>
            <w:tcW w:w="547" w:type="pct"/>
            <w:tcBorders>
              <w:top w:val="nil"/>
              <w:left w:val="nil"/>
              <w:bottom w:val="single" w:sz="4" w:space="0" w:color="auto"/>
              <w:right w:val="single" w:sz="4" w:space="0" w:color="auto"/>
            </w:tcBorders>
            <w:shd w:val="clear" w:color="000000" w:fill="F2F2F2"/>
            <w:noWrap/>
            <w:vAlign w:val="center"/>
            <w:hideMark/>
          </w:tcPr>
          <w:p w14:paraId="496AB83D"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5 283</w:t>
            </w:r>
          </w:p>
        </w:tc>
        <w:tc>
          <w:tcPr>
            <w:tcW w:w="536" w:type="pct"/>
            <w:tcBorders>
              <w:top w:val="nil"/>
              <w:left w:val="nil"/>
              <w:bottom w:val="single" w:sz="4" w:space="0" w:color="auto"/>
              <w:right w:val="single" w:sz="4" w:space="0" w:color="auto"/>
            </w:tcBorders>
            <w:shd w:val="clear" w:color="000000" w:fill="F2F2F2"/>
            <w:noWrap/>
            <w:vAlign w:val="center"/>
            <w:hideMark/>
          </w:tcPr>
          <w:p w14:paraId="1E2AE0FB" w14:textId="3CA4E503"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0,08</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6E05ACB0"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4 488</w:t>
            </w:r>
          </w:p>
        </w:tc>
        <w:tc>
          <w:tcPr>
            <w:tcW w:w="533" w:type="pct"/>
            <w:tcBorders>
              <w:top w:val="nil"/>
              <w:left w:val="nil"/>
              <w:bottom w:val="single" w:sz="4" w:space="0" w:color="auto"/>
              <w:right w:val="single" w:sz="4" w:space="0" w:color="auto"/>
            </w:tcBorders>
            <w:shd w:val="clear" w:color="000000" w:fill="F2F2F2"/>
            <w:noWrap/>
            <w:vAlign w:val="center"/>
            <w:hideMark/>
          </w:tcPr>
          <w:p w14:paraId="6ABEBBEB" w14:textId="53A5E138"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0,06</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323C1A70"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4 132</w:t>
            </w:r>
          </w:p>
        </w:tc>
        <w:tc>
          <w:tcPr>
            <w:tcW w:w="532" w:type="pct"/>
            <w:tcBorders>
              <w:top w:val="nil"/>
              <w:left w:val="nil"/>
              <w:bottom w:val="single" w:sz="4" w:space="0" w:color="auto"/>
              <w:right w:val="single" w:sz="4" w:space="0" w:color="auto"/>
            </w:tcBorders>
            <w:shd w:val="clear" w:color="000000" w:fill="F2F2F2"/>
            <w:noWrap/>
            <w:vAlign w:val="center"/>
            <w:hideMark/>
          </w:tcPr>
          <w:p w14:paraId="46CEFC06" w14:textId="34C70E9F"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0,06</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0DA75B02" w14:textId="1411A314"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P</w:t>
            </w:r>
            <w:r w:rsidR="00DD54E5" w:rsidRPr="000C2162">
              <w:rPr>
                <w:rFonts w:eastAsia="Times New Roman" w:cs="Calibri"/>
                <w:b/>
                <w:bCs/>
                <w:color w:val="000000"/>
                <w:sz w:val="20"/>
                <w:szCs w:val="20"/>
                <w:lang w:eastAsia="cs-CZ"/>
              </w:rPr>
              <w:t>okles</w:t>
            </w:r>
          </w:p>
        </w:tc>
      </w:tr>
      <w:tr w:rsidR="00583A86" w14:paraId="197FC11E"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090CA7F0" w14:textId="03A9F0DD"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B</w:t>
            </w:r>
            <w:r w:rsidR="00DD54E5" w:rsidRPr="000C2162">
              <w:rPr>
                <w:rFonts w:eastAsia="Times New Roman" w:cs="Calibri"/>
                <w:color w:val="000000"/>
                <w:sz w:val="20"/>
                <w:szCs w:val="20"/>
                <w:lang w:eastAsia="cs-CZ"/>
              </w:rPr>
              <w:t>enzín celkem</w:t>
            </w:r>
          </w:p>
        </w:tc>
        <w:tc>
          <w:tcPr>
            <w:tcW w:w="547" w:type="pct"/>
            <w:tcBorders>
              <w:top w:val="nil"/>
              <w:left w:val="nil"/>
              <w:bottom w:val="single" w:sz="4" w:space="0" w:color="auto"/>
              <w:right w:val="single" w:sz="4" w:space="0" w:color="auto"/>
            </w:tcBorders>
            <w:shd w:val="clear" w:color="auto" w:fill="auto"/>
            <w:noWrap/>
            <w:vAlign w:val="center"/>
            <w:hideMark/>
          </w:tcPr>
          <w:p w14:paraId="45934840"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18</w:t>
            </w:r>
          </w:p>
        </w:tc>
        <w:tc>
          <w:tcPr>
            <w:tcW w:w="536" w:type="pct"/>
            <w:tcBorders>
              <w:top w:val="nil"/>
              <w:left w:val="nil"/>
              <w:bottom w:val="single" w:sz="4" w:space="0" w:color="auto"/>
              <w:right w:val="single" w:sz="4" w:space="0" w:color="auto"/>
            </w:tcBorders>
            <w:shd w:val="clear" w:color="auto" w:fill="auto"/>
            <w:noWrap/>
            <w:vAlign w:val="center"/>
            <w:hideMark/>
          </w:tcPr>
          <w:p w14:paraId="3E47A394" w14:textId="17C3F853"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5D5B46EC"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18</w:t>
            </w:r>
          </w:p>
        </w:tc>
        <w:tc>
          <w:tcPr>
            <w:tcW w:w="533" w:type="pct"/>
            <w:tcBorders>
              <w:top w:val="nil"/>
              <w:left w:val="nil"/>
              <w:bottom w:val="single" w:sz="4" w:space="0" w:color="auto"/>
              <w:right w:val="single" w:sz="4" w:space="0" w:color="auto"/>
            </w:tcBorders>
            <w:shd w:val="clear" w:color="auto" w:fill="auto"/>
            <w:noWrap/>
            <w:vAlign w:val="center"/>
            <w:hideMark/>
          </w:tcPr>
          <w:p w14:paraId="11BCA3A1" w14:textId="6D3F45B3"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CDE0D7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16</w:t>
            </w:r>
          </w:p>
        </w:tc>
        <w:tc>
          <w:tcPr>
            <w:tcW w:w="532" w:type="pct"/>
            <w:tcBorders>
              <w:top w:val="nil"/>
              <w:left w:val="nil"/>
              <w:bottom w:val="single" w:sz="4" w:space="0" w:color="auto"/>
              <w:right w:val="single" w:sz="4" w:space="0" w:color="auto"/>
            </w:tcBorders>
            <w:shd w:val="clear" w:color="auto" w:fill="auto"/>
            <w:noWrap/>
            <w:vAlign w:val="center"/>
            <w:hideMark/>
          </w:tcPr>
          <w:p w14:paraId="3DB65323" w14:textId="4BD4776F"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16A02A34" w14:textId="298A0369"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5AD70F54"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55206687" w14:textId="2EB1A4AB"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D</w:t>
            </w:r>
            <w:r w:rsidR="00DD54E5" w:rsidRPr="000C2162">
              <w:rPr>
                <w:rFonts w:eastAsia="Times New Roman" w:cs="Calibri"/>
                <w:color w:val="000000"/>
                <w:sz w:val="20"/>
                <w:szCs w:val="20"/>
                <w:lang w:eastAsia="cs-CZ"/>
              </w:rPr>
              <w:t>iesel celkem</w:t>
            </w:r>
          </w:p>
        </w:tc>
        <w:tc>
          <w:tcPr>
            <w:tcW w:w="547" w:type="pct"/>
            <w:tcBorders>
              <w:top w:val="nil"/>
              <w:left w:val="nil"/>
              <w:bottom w:val="single" w:sz="4" w:space="0" w:color="auto"/>
              <w:right w:val="single" w:sz="4" w:space="0" w:color="auto"/>
            </w:tcBorders>
            <w:shd w:val="clear" w:color="auto" w:fill="auto"/>
            <w:noWrap/>
            <w:vAlign w:val="center"/>
            <w:hideMark/>
          </w:tcPr>
          <w:p w14:paraId="570A1F96"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5 241</w:t>
            </w:r>
          </w:p>
        </w:tc>
        <w:tc>
          <w:tcPr>
            <w:tcW w:w="536" w:type="pct"/>
            <w:tcBorders>
              <w:top w:val="nil"/>
              <w:left w:val="nil"/>
              <w:bottom w:val="single" w:sz="4" w:space="0" w:color="auto"/>
              <w:right w:val="single" w:sz="4" w:space="0" w:color="auto"/>
            </w:tcBorders>
            <w:shd w:val="clear" w:color="auto" w:fill="auto"/>
            <w:noWrap/>
            <w:vAlign w:val="center"/>
            <w:hideMark/>
          </w:tcPr>
          <w:p w14:paraId="3A6A8F77" w14:textId="7E42A8E4"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0,08</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50E9722"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4 444</w:t>
            </w:r>
          </w:p>
        </w:tc>
        <w:tc>
          <w:tcPr>
            <w:tcW w:w="533" w:type="pct"/>
            <w:tcBorders>
              <w:top w:val="nil"/>
              <w:left w:val="nil"/>
              <w:bottom w:val="single" w:sz="4" w:space="0" w:color="auto"/>
              <w:right w:val="single" w:sz="4" w:space="0" w:color="auto"/>
            </w:tcBorders>
            <w:shd w:val="clear" w:color="auto" w:fill="auto"/>
            <w:noWrap/>
            <w:vAlign w:val="center"/>
            <w:hideMark/>
          </w:tcPr>
          <w:p w14:paraId="3BC8B118" w14:textId="2A055481"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0,06</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1D3EB2F9"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4 094</w:t>
            </w:r>
          </w:p>
        </w:tc>
        <w:tc>
          <w:tcPr>
            <w:tcW w:w="532" w:type="pct"/>
            <w:tcBorders>
              <w:top w:val="nil"/>
              <w:left w:val="nil"/>
              <w:bottom w:val="single" w:sz="4" w:space="0" w:color="auto"/>
              <w:right w:val="single" w:sz="4" w:space="0" w:color="auto"/>
            </w:tcBorders>
            <w:shd w:val="clear" w:color="auto" w:fill="auto"/>
            <w:noWrap/>
            <w:vAlign w:val="center"/>
            <w:hideMark/>
          </w:tcPr>
          <w:p w14:paraId="0964B85A" w14:textId="0BF23AA3"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0,06</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78010984" w14:textId="7006FF92"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1F908ADE"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0773E575" w14:textId="578780DE" w:rsidR="00DD54E5" w:rsidRPr="000C2162" w:rsidRDefault="00F53512" w:rsidP="00126238">
            <w:pPr>
              <w:spacing w:after="0"/>
              <w:jc w:val="left"/>
              <w:rPr>
                <w:rFonts w:eastAsia="Times New Roman" w:cs="Calibri"/>
                <w:color w:val="000000"/>
                <w:sz w:val="20"/>
                <w:szCs w:val="20"/>
                <w:lang w:eastAsia="cs-CZ"/>
              </w:rPr>
            </w:pPr>
            <w:r>
              <w:rPr>
                <w:rFonts w:eastAsia="Times New Roman" w:cs="Calibri"/>
                <w:color w:val="000000"/>
                <w:sz w:val="20"/>
                <w:szCs w:val="20"/>
                <w:lang w:eastAsia="cs-CZ"/>
              </w:rPr>
              <w:t>E</w:t>
            </w:r>
            <w:r w:rsidR="00DD54E5" w:rsidRPr="000C2162">
              <w:rPr>
                <w:rFonts w:eastAsia="Times New Roman" w:cs="Calibri"/>
                <w:color w:val="000000"/>
                <w:sz w:val="20"/>
                <w:szCs w:val="20"/>
                <w:lang w:eastAsia="cs-CZ"/>
              </w:rPr>
              <w:t>lektřina a ostatní</w:t>
            </w:r>
          </w:p>
        </w:tc>
        <w:tc>
          <w:tcPr>
            <w:tcW w:w="547" w:type="pct"/>
            <w:tcBorders>
              <w:top w:val="nil"/>
              <w:left w:val="nil"/>
              <w:bottom w:val="single" w:sz="4" w:space="0" w:color="auto"/>
              <w:right w:val="single" w:sz="4" w:space="0" w:color="auto"/>
            </w:tcBorders>
            <w:shd w:val="clear" w:color="auto" w:fill="auto"/>
            <w:noWrap/>
            <w:vAlign w:val="center"/>
            <w:hideMark/>
          </w:tcPr>
          <w:p w14:paraId="0436681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24</w:t>
            </w:r>
          </w:p>
        </w:tc>
        <w:tc>
          <w:tcPr>
            <w:tcW w:w="536" w:type="pct"/>
            <w:tcBorders>
              <w:top w:val="nil"/>
              <w:left w:val="nil"/>
              <w:bottom w:val="single" w:sz="4" w:space="0" w:color="auto"/>
              <w:right w:val="single" w:sz="4" w:space="0" w:color="auto"/>
            </w:tcBorders>
            <w:shd w:val="clear" w:color="auto" w:fill="auto"/>
            <w:noWrap/>
            <w:vAlign w:val="center"/>
            <w:hideMark/>
          </w:tcPr>
          <w:p w14:paraId="3644D343" w14:textId="6358A00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09698A0F"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26</w:t>
            </w:r>
          </w:p>
        </w:tc>
        <w:tc>
          <w:tcPr>
            <w:tcW w:w="533" w:type="pct"/>
            <w:tcBorders>
              <w:top w:val="nil"/>
              <w:left w:val="nil"/>
              <w:bottom w:val="single" w:sz="4" w:space="0" w:color="auto"/>
              <w:right w:val="single" w:sz="4" w:space="0" w:color="auto"/>
            </w:tcBorders>
            <w:shd w:val="clear" w:color="auto" w:fill="auto"/>
            <w:noWrap/>
            <w:vAlign w:val="center"/>
            <w:hideMark/>
          </w:tcPr>
          <w:p w14:paraId="30E21753" w14:textId="277B1745"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6CA595A1"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22</w:t>
            </w:r>
          </w:p>
        </w:tc>
        <w:tc>
          <w:tcPr>
            <w:tcW w:w="532" w:type="pct"/>
            <w:tcBorders>
              <w:top w:val="nil"/>
              <w:left w:val="nil"/>
              <w:bottom w:val="single" w:sz="4" w:space="0" w:color="auto"/>
              <w:right w:val="single" w:sz="4" w:space="0" w:color="auto"/>
            </w:tcBorders>
            <w:shd w:val="clear" w:color="auto" w:fill="auto"/>
            <w:noWrap/>
            <w:vAlign w:val="center"/>
            <w:hideMark/>
          </w:tcPr>
          <w:p w14:paraId="276A3075" w14:textId="737E3CA0"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2FD1D2CB" w14:textId="0467B62B"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P</w:t>
            </w:r>
            <w:r w:rsidR="00DD54E5" w:rsidRPr="000C2162">
              <w:rPr>
                <w:rFonts w:eastAsia="Times New Roman" w:cs="Calibri"/>
                <w:color w:val="000000"/>
                <w:sz w:val="20"/>
                <w:szCs w:val="20"/>
                <w:lang w:eastAsia="cs-CZ"/>
              </w:rPr>
              <w:t>okles</w:t>
            </w:r>
          </w:p>
        </w:tc>
      </w:tr>
      <w:tr w:rsidR="00583A86" w14:paraId="5BD02EF7"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072C2751" w14:textId="77777777" w:rsidR="00DD54E5" w:rsidRPr="000C2162" w:rsidRDefault="00DD54E5" w:rsidP="00126238">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Motocykly</w:t>
            </w:r>
          </w:p>
        </w:tc>
        <w:tc>
          <w:tcPr>
            <w:tcW w:w="547" w:type="pct"/>
            <w:tcBorders>
              <w:top w:val="nil"/>
              <w:left w:val="nil"/>
              <w:bottom w:val="single" w:sz="4" w:space="0" w:color="auto"/>
              <w:right w:val="single" w:sz="4" w:space="0" w:color="auto"/>
            </w:tcBorders>
            <w:shd w:val="clear" w:color="000000" w:fill="F2F2F2"/>
            <w:noWrap/>
            <w:vAlign w:val="center"/>
            <w:hideMark/>
          </w:tcPr>
          <w:p w14:paraId="43ECF889"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1 046 467</w:t>
            </w:r>
          </w:p>
        </w:tc>
        <w:tc>
          <w:tcPr>
            <w:tcW w:w="536" w:type="pct"/>
            <w:tcBorders>
              <w:top w:val="nil"/>
              <w:left w:val="nil"/>
              <w:bottom w:val="single" w:sz="4" w:space="0" w:color="auto"/>
              <w:right w:val="single" w:sz="4" w:space="0" w:color="auto"/>
            </w:tcBorders>
            <w:shd w:val="clear" w:color="000000" w:fill="F2F2F2"/>
            <w:noWrap/>
            <w:vAlign w:val="center"/>
            <w:hideMark/>
          </w:tcPr>
          <w:p w14:paraId="75077CC1" w14:textId="770F93BC"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15,24</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3B49E1EA"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1 074 880</w:t>
            </w:r>
          </w:p>
        </w:tc>
        <w:tc>
          <w:tcPr>
            <w:tcW w:w="533" w:type="pct"/>
            <w:tcBorders>
              <w:top w:val="nil"/>
              <w:left w:val="nil"/>
              <w:bottom w:val="single" w:sz="4" w:space="0" w:color="auto"/>
              <w:right w:val="single" w:sz="4" w:space="0" w:color="auto"/>
            </w:tcBorders>
            <w:shd w:val="clear" w:color="000000" w:fill="F2F2F2"/>
            <w:noWrap/>
            <w:vAlign w:val="center"/>
            <w:hideMark/>
          </w:tcPr>
          <w:p w14:paraId="1C6C93C5" w14:textId="0B1307F3"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15,12</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0C6DA42B"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1 102 392</w:t>
            </w:r>
          </w:p>
        </w:tc>
        <w:tc>
          <w:tcPr>
            <w:tcW w:w="532" w:type="pct"/>
            <w:tcBorders>
              <w:top w:val="nil"/>
              <w:left w:val="nil"/>
              <w:bottom w:val="single" w:sz="4" w:space="0" w:color="auto"/>
              <w:right w:val="single" w:sz="4" w:space="0" w:color="auto"/>
            </w:tcBorders>
            <w:shd w:val="clear" w:color="000000" w:fill="F2F2F2"/>
            <w:noWrap/>
            <w:vAlign w:val="center"/>
            <w:hideMark/>
          </w:tcPr>
          <w:p w14:paraId="653FB08E" w14:textId="2BF8D6F6"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14,93</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5765147F" w14:textId="19C44A38"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N</w:t>
            </w:r>
            <w:r w:rsidR="00DD54E5" w:rsidRPr="000C2162">
              <w:rPr>
                <w:rFonts w:eastAsia="Times New Roman" w:cs="Calibri"/>
                <w:b/>
                <w:bCs/>
                <w:color w:val="000000"/>
                <w:sz w:val="20"/>
                <w:szCs w:val="20"/>
                <w:lang w:eastAsia="cs-CZ"/>
              </w:rPr>
              <w:t>árůst</w:t>
            </w:r>
          </w:p>
        </w:tc>
      </w:tr>
      <w:tr w:rsidR="00583A86" w14:paraId="0240B40A"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000000" w:fill="F2F2F2"/>
            <w:noWrap/>
            <w:vAlign w:val="bottom"/>
            <w:hideMark/>
          </w:tcPr>
          <w:p w14:paraId="5CA6A9F9" w14:textId="77777777" w:rsidR="00DD54E5" w:rsidRPr="000C2162" w:rsidRDefault="00DD54E5" w:rsidP="00126238">
            <w:pPr>
              <w:spacing w:after="0"/>
              <w:jc w:val="left"/>
              <w:rPr>
                <w:rFonts w:eastAsia="Times New Roman" w:cs="Calibri"/>
                <w:b/>
                <w:bCs/>
                <w:color w:val="000000"/>
                <w:sz w:val="20"/>
                <w:szCs w:val="20"/>
                <w:lang w:eastAsia="cs-CZ"/>
              </w:rPr>
            </w:pPr>
            <w:r w:rsidRPr="000C2162">
              <w:rPr>
                <w:rFonts w:eastAsia="Times New Roman" w:cs="Calibri"/>
                <w:b/>
                <w:bCs/>
                <w:color w:val="000000"/>
                <w:sz w:val="20"/>
                <w:szCs w:val="20"/>
                <w:lang w:eastAsia="cs-CZ"/>
              </w:rPr>
              <w:t>Speciální automobily</w:t>
            </w:r>
          </w:p>
        </w:tc>
        <w:tc>
          <w:tcPr>
            <w:tcW w:w="547" w:type="pct"/>
            <w:tcBorders>
              <w:top w:val="nil"/>
              <w:left w:val="nil"/>
              <w:bottom w:val="single" w:sz="4" w:space="0" w:color="auto"/>
              <w:right w:val="single" w:sz="4" w:space="0" w:color="auto"/>
            </w:tcBorders>
            <w:shd w:val="clear" w:color="000000" w:fill="F2F2F2"/>
            <w:noWrap/>
            <w:vAlign w:val="center"/>
            <w:hideMark/>
          </w:tcPr>
          <w:p w14:paraId="00D3930C"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32 258</w:t>
            </w:r>
          </w:p>
        </w:tc>
        <w:tc>
          <w:tcPr>
            <w:tcW w:w="536" w:type="pct"/>
            <w:tcBorders>
              <w:top w:val="nil"/>
              <w:left w:val="nil"/>
              <w:bottom w:val="single" w:sz="4" w:space="0" w:color="auto"/>
              <w:right w:val="single" w:sz="4" w:space="0" w:color="auto"/>
            </w:tcBorders>
            <w:shd w:val="clear" w:color="000000" w:fill="F2F2F2"/>
            <w:noWrap/>
            <w:vAlign w:val="center"/>
            <w:hideMark/>
          </w:tcPr>
          <w:p w14:paraId="4FBCE1D0" w14:textId="7D1566FE"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0,47</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1C2FDA15"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31 886</w:t>
            </w:r>
          </w:p>
        </w:tc>
        <w:tc>
          <w:tcPr>
            <w:tcW w:w="533" w:type="pct"/>
            <w:tcBorders>
              <w:top w:val="nil"/>
              <w:left w:val="nil"/>
              <w:bottom w:val="single" w:sz="4" w:space="0" w:color="auto"/>
              <w:right w:val="single" w:sz="4" w:space="0" w:color="auto"/>
            </w:tcBorders>
            <w:shd w:val="clear" w:color="000000" w:fill="F2F2F2"/>
            <w:noWrap/>
            <w:vAlign w:val="center"/>
            <w:hideMark/>
          </w:tcPr>
          <w:p w14:paraId="72CE1DAF" w14:textId="3057C93B"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0,45</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552" w:type="pct"/>
            <w:tcBorders>
              <w:top w:val="nil"/>
              <w:left w:val="nil"/>
              <w:bottom w:val="single" w:sz="4" w:space="0" w:color="auto"/>
              <w:right w:val="single" w:sz="4" w:space="0" w:color="auto"/>
            </w:tcBorders>
            <w:shd w:val="clear" w:color="000000" w:fill="F2F2F2"/>
            <w:noWrap/>
            <w:vAlign w:val="center"/>
            <w:hideMark/>
          </w:tcPr>
          <w:p w14:paraId="6855BC68" w14:textId="7777777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31 277</w:t>
            </w:r>
          </w:p>
        </w:tc>
        <w:tc>
          <w:tcPr>
            <w:tcW w:w="532" w:type="pct"/>
            <w:tcBorders>
              <w:top w:val="nil"/>
              <w:left w:val="nil"/>
              <w:bottom w:val="single" w:sz="4" w:space="0" w:color="auto"/>
              <w:right w:val="single" w:sz="4" w:space="0" w:color="auto"/>
            </w:tcBorders>
            <w:shd w:val="clear" w:color="000000" w:fill="F2F2F2"/>
            <w:noWrap/>
            <w:vAlign w:val="center"/>
            <w:hideMark/>
          </w:tcPr>
          <w:p w14:paraId="3C29C91C" w14:textId="681F7D17" w:rsidR="00DD54E5" w:rsidRPr="000C2162" w:rsidRDefault="00DD54E5" w:rsidP="00583A86">
            <w:pPr>
              <w:spacing w:after="0"/>
              <w:jc w:val="right"/>
              <w:rPr>
                <w:rFonts w:eastAsia="Times New Roman" w:cs="Calibri"/>
                <w:b/>
                <w:bCs/>
                <w:color w:val="000000"/>
                <w:sz w:val="20"/>
                <w:szCs w:val="20"/>
                <w:lang w:eastAsia="cs-CZ"/>
              </w:rPr>
            </w:pPr>
            <w:r w:rsidRPr="000C2162">
              <w:rPr>
                <w:rFonts w:eastAsia="Times New Roman" w:cs="Calibri"/>
                <w:b/>
                <w:bCs/>
                <w:color w:val="000000"/>
                <w:sz w:val="20"/>
                <w:szCs w:val="20"/>
                <w:lang w:eastAsia="cs-CZ"/>
              </w:rPr>
              <w:t>0,42</w:t>
            </w:r>
            <w:r w:rsidR="00F53512">
              <w:rPr>
                <w:rFonts w:eastAsia="Times New Roman" w:cs="Calibri"/>
                <w:b/>
                <w:bCs/>
                <w:color w:val="000000"/>
                <w:sz w:val="20"/>
                <w:szCs w:val="20"/>
                <w:lang w:eastAsia="cs-CZ"/>
              </w:rPr>
              <w:t> </w:t>
            </w:r>
            <w:r w:rsidRPr="000C2162">
              <w:rPr>
                <w:rFonts w:eastAsia="Times New Roman" w:cs="Calibri"/>
                <w:b/>
                <w:bCs/>
                <w:color w:val="000000"/>
                <w:sz w:val="20"/>
                <w:szCs w:val="20"/>
                <w:lang w:eastAsia="cs-CZ"/>
              </w:rPr>
              <w:t>%</w:t>
            </w:r>
          </w:p>
        </w:tc>
        <w:tc>
          <w:tcPr>
            <w:tcW w:w="683" w:type="pct"/>
            <w:tcBorders>
              <w:top w:val="nil"/>
              <w:left w:val="nil"/>
              <w:bottom w:val="single" w:sz="4" w:space="0" w:color="auto"/>
              <w:right w:val="single" w:sz="4" w:space="0" w:color="auto"/>
            </w:tcBorders>
            <w:shd w:val="clear" w:color="000000" w:fill="F2F2F2"/>
            <w:noWrap/>
            <w:vAlign w:val="center"/>
            <w:hideMark/>
          </w:tcPr>
          <w:p w14:paraId="2A14FD28" w14:textId="1A5FFB78" w:rsidR="00DD54E5" w:rsidRPr="000C2162" w:rsidRDefault="00F53512" w:rsidP="00583A86">
            <w:pPr>
              <w:spacing w:after="0"/>
              <w:jc w:val="center"/>
              <w:rPr>
                <w:rFonts w:eastAsia="Times New Roman" w:cs="Calibri"/>
                <w:b/>
                <w:bCs/>
                <w:color w:val="000000"/>
                <w:sz w:val="20"/>
                <w:szCs w:val="20"/>
                <w:lang w:eastAsia="cs-CZ"/>
              </w:rPr>
            </w:pPr>
            <w:r>
              <w:rPr>
                <w:rFonts w:eastAsia="Times New Roman" w:cs="Calibri"/>
                <w:b/>
                <w:bCs/>
                <w:color w:val="000000"/>
                <w:sz w:val="20"/>
                <w:szCs w:val="20"/>
                <w:lang w:eastAsia="cs-CZ"/>
              </w:rPr>
              <w:t>P</w:t>
            </w:r>
            <w:r w:rsidR="00DD54E5" w:rsidRPr="000C2162">
              <w:rPr>
                <w:rFonts w:eastAsia="Times New Roman" w:cs="Calibri"/>
                <w:b/>
                <w:bCs/>
                <w:color w:val="000000"/>
                <w:sz w:val="20"/>
                <w:szCs w:val="20"/>
                <w:lang w:eastAsia="cs-CZ"/>
              </w:rPr>
              <w:t>okles</w:t>
            </w:r>
          </w:p>
        </w:tc>
      </w:tr>
      <w:tr w:rsidR="00583A86" w14:paraId="0CEBA800" w14:textId="77777777" w:rsidTr="00583A86">
        <w:trPr>
          <w:trHeight w:val="227"/>
          <w:jc w:val="center"/>
        </w:trPr>
        <w:tc>
          <w:tcPr>
            <w:tcW w:w="1066" w:type="pct"/>
            <w:tcBorders>
              <w:top w:val="nil"/>
              <w:left w:val="single" w:sz="4" w:space="0" w:color="auto"/>
              <w:bottom w:val="single" w:sz="4" w:space="0" w:color="auto"/>
              <w:right w:val="single" w:sz="4" w:space="0" w:color="auto"/>
            </w:tcBorders>
            <w:shd w:val="clear" w:color="auto" w:fill="auto"/>
            <w:noWrap/>
            <w:vAlign w:val="bottom"/>
            <w:hideMark/>
          </w:tcPr>
          <w:p w14:paraId="07478235" w14:textId="77777777" w:rsidR="00DD54E5" w:rsidRPr="000C2162" w:rsidRDefault="00DD54E5" w:rsidP="00126238">
            <w:pPr>
              <w:spacing w:after="0"/>
              <w:jc w:val="left"/>
              <w:rPr>
                <w:rFonts w:eastAsia="Times New Roman" w:cs="Calibri"/>
                <w:color w:val="000000"/>
                <w:sz w:val="20"/>
                <w:szCs w:val="20"/>
                <w:lang w:eastAsia="cs-CZ"/>
              </w:rPr>
            </w:pPr>
            <w:r w:rsidRPr="000C2162">
              <w:rPr>
                <w:rFonts w:eastAsia="Times New Roman" w:cs="Calibri"/>
                <w:color w:val="000000"/>
                <w:sz w:val="20"/>
                <w:szCs w:val="20"/>
                <w:lang w:eastAsia="cs-CZ"/>
              </w:rPr>
              <w:t>Celkový počet vozidel kategorie L, M a N</w:t>
            </w:r>
          </w:p>
        </w:tc>
        <w:tc>
          <w:tcPr>
            <w:tcW w:w="547" w:type="pct"/>
            <w:tcBorders>
              <w:top w:val="nil"/>
              <w:left w:val="nil"/>
              <w:bottom w:val="single" w:sz="4" w:space="0" w:color="auto"/>
              <w:right w:val="single" w:sz="4" w:space="0" w:color="auto"/>
            </w:tcBorders>
            <w:shd w:val="clear" w:color="auto" w:fill="auto"/>
            <w:noWrap/>
            <w:vAlign w:val="center"/>
            <w:hideMark/>
          </w:tcPr>
          <w:p w14:paraId="5D5AE2E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6 866 066</w:t>
            </w:r>
          </w:p>
        </w:tc>
        <w:tc>
          <w:tcPr>
            <w:tcW w:w="536" w:type="pct"/>
            <w:tcBorders>
              <w:top w:val="nil"/>
              <w:left w:val="nil"/>
              <w:bottom w:val="single" w:sz="4" w:space="0" w:color="auto"/>
              <w:right w:val="single" w:sz="4" w:space="0" w:color="auto"/>
            </w:tcBorders>
            <w:shd w:val="clear" w:color="auto" w:fill="auto"/>
            <w:noWrap/>
            <w:vAlign w:val="center"/>
            <w:hideMark/>
          </w:tcPr>
          <w:p w14:paraId="02C08D5C" w14:textId="13C5A2AA"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100,00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2FFBC2D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7 106 864</w:t>
            </w:r>
          </w:p>
        </w:tc>
        <w:tc>
          <w:tcPr>
            <w:tcW w:w="533" w:type="pct"/>
            <w:tcBorders>
              <w:top w:val="nil"/>
              <w:left w:val="nil"/>
              <w:bottom w:val="single" w:sz="4" w:space="0" w:color="auto"/>
              <w:right w:val="single" w:sz="4" w:space="0" w:color="auto"/>
            </w:tcBorders>
            <w:shd w:val="clear" w:color="auto" w:fill="auto"/>
            <w:noWrap/>
            <w:vAlign w:val="center"/>
            <w:hideMark/>
          </w:tcPr>
          <w:p w14:paraId="686F53DA" w14:textId="7B2EEF49"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100,00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552" w:type="pct"/>
            <w:tcBorders>
              <w:top w:val="nil"/>
              <w:left w:val="nil"/>
              <w:bottom w:val="single" w:sz="4" w:space="0" w:color="auto"/>
              <w:right w:val="single" w:sz="4" w:space="0" w:color="auto"/>
            </w:tcBorders>
            <w:shd w:val="clear" w:color="auto" w:fill="auto"/>
            <w:noWrap/>
            <w:vAlign w:val="center"/>
            <w:hideMark/>
          </w:tcPr>
          <w:p w14:paraId="11F0D28D" w14:textId="77777777"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7 386 110</w:t>
            </w:r>
          </w:p>
        </w:tc>
        <w:tc>
          <w:tcPr>
            <w:tcW w:w="532" w:type="pct"/>
            <w:tcBorders>
              <w:top w:val="nil"/>
              <w:left w:val="nil"/>
              <w:bottom w:val="single" w:sz="4" w:space="0" w:color="auto"/>
              <w:right w:val="single" w:sz="4" w:space="0" w:color="auto"/>
            </w:tcBorders>
            <w:shd w:val="clear" w:color="auto" w:fill="auto"/>
            <w:noWrap/>
            <w:vAlign w:val="center"/>
            <w:hideMark/>
          </w:tcPr>
          <w:p w14:paraId="5ECA2477" w14:textId="5E529C29" w:rsidR="00DD54E5" w:rsidRPr="000C2162" w:rsidRDefault="00DD54E5" w:rsidP="00583A86">
            <w:pPr>
              <w:spacing w:after="0"/>
              <w:jc w:val="right"/>
              <w:rPr>
                <w:rFonts w:eastAsia="Times New Roman" w:cs="Calibri"/>
                <w:color w:val="000000"/>
                <w:sz w:val="20"/>
                <w:szCs w:val="20"/>
                <w:lang w:eastAsia="cs-CZ"/>
              </w:rPr>
            </w:pPr>
            <w:r w:rsidRPr="000C2162">
              <w:rPr>
                <w:rFonts w:eastAsia="Times New Roman" w:cs="Calibri"/>
                <w:color w:val="000000"/>
                <w:sz w:val="20"/>
                <w:szCs w:val="20"/>
                <w:lang w:eastAsia="cs-CZ"/>
              </w:rPr>
              <w:t>100,00</w:t>
            </w:r>
            <w:r w:rsidR="00F53512">
              <w:rPr>
                <w:rFonts w:eastAsia="Times New Roman" w:cs="Calibri"/>
                <w:color w:val="000000"/>
                <w:sz w:val="20"/>
                <w:szCs w:val="20"/>
                <w:lang w:eastAsia="cs-CZ"/>
              </w:rPr>
              <w:t> </w:t>
            </w:r>
            <w:r w:rsidRPr="000C2162">
              <w:rPr>
                <w:rFonts w:eastAsia="Times New Roman" w:cs="Calibri"/>
                <w:color w:val="000000"/>
                <w:sz w:val="20"/>
                <w:szCs w:val="20"/>
                <w:lang w:eastAsia="cs-CZ"/>
              </w:rPr>
              <w:t>%</w:t>
            </w:r>
          </w:p>
        </w:tc>
        <w:tc>
          <w:tcPr>
            <w:tcW w:w="683" w:type="pct"/>
            <w:tcBorders>
              <w:top w:val="nil"/>
              <w:left w:val="nil"/>
              <w:bottom w:val="single" w:sz="4" w:space="0" w:color="auto"/>
              <w:right w:val="single" w:sz="4" w:space="0" w:color="auto"/>
            </w:tcBorders>
            <w:shd w:val="clear" w:color="auto" w:fill="auto"/>
            <w:noWrap/>
            <w:vAlign w:val="center"/>
            <w:hideMark/>
          </w:tcPr>
          <w:p w14:paraId="0BE5E0BF" w14:textId="6F3EFC1D" w:rsidR="00DD54E5" w:rsidRPr="000C2162" w:rsidRDefault="00F53512" w:rsidP="00583A86">
            <w:pPr>
              <w:spacing w:after="0"/>
              <w:jc w:val="center"/>
              <w:rPr>
                <w:rFonts w:eastAsia="Times New Roman" w:cs="Calibri"/>
                <w:color w:val="000000"/>
                <w:sz w:val="20"/>
                <w:szCs w:val="20"/>
                <w:lang w:eastAsia="cs-CZ"/>
              </w:rPr>
            </w:pPr>
            <w:r>
              <w:rPr>
                <w:rFonts w:eastAsia="Times New Roman" w:cs="Calibri"/>
                <w:color w:val="000000"/>
                <w:sz w:val="20"/>
                <w:szCs w:val="20"/>
                <w:lang w:eastAsia="cs-CZ"/>
              </w:rPr>
              <w:t>N</w:t>
            </w:r>
            <w:r w:rsidR="00DD54E5" w:rsidRPr="000C2162">
              <w:rPr>
                <w:rFonts w:eastAsia="Times New Roman" w:cs="Calibri"/>
                <w:color w:val="000000"/>
                <w:sz w:val="20"/>
                <w:szCs w:val="20"/>
                <w:lang w:eastAsia="cs-CZ"/>
              </w:rPr>
              <w:t>árůst</w:t>
            </w:r>
          </w:p>
        </w:tc>
      </w:tr>
    </w:tbl>
    <w:p w14:paraId="4798CCB6" w14:textId="77777777" w:rsidR="00DD54E5" w:rsidRDefault="00DD54E5" w:rsidP="00536672">
      <w:pPr>
        <w:spacing w:before="40" w:after="0"/>
        <w:rPr>
          <w:sz w:val="20"/>
          <w:szCs w:val="20"/>
          <w:lang w:eastAsia="cs-CZ"/>
        </w:rPr>
      </w:pPr>
      <w:r w:rsidRPr="00011B75">
        <w:rPr>
          <w:b/>
          <w:sz w:val="20"/>
          <w:szCs w:val="20"/>
          <w:lang w:eastAsia="cs-CZ"/>
        </w:rPr>
        <w:t>Zdroj:</w:t>
      </w:r>
      <w:r w:rsidRPr="003A0D22">
        <w:rPr>
          <w:sz w:val="20"/>
          <w:szCs w:val="20"/>
          <w:lang w:eastAsia="cs-CZ"/>
        </w:rPr>
        <w:t xml:space="preserve"> </w:t>
      </w:r>
      <w:hyperlink r:id="rId62" w:history="1">
        <w:r w:rsidR="00583A86" w:rsidRPr="00583A86">
          <w:rPr>
            <w:rStyle w:val="Hypertextovodkaz"/>
            <w:sz w:val="20"/>
            <w:szCs w:val="20"/>
            <w:u w:val="none"/>
            <w:lang w:eastAsia="cs-CZ"/>
          </w:rPr>
          <w:t>https://www.sydos.cz/cs/rocenka-2017/rocenka/htm_cz/obsah4.html</w:t>
        </w:r>
      </w:hyperlink>
      <w:r w:rsidRPr="003A0D22">
        <w:rPr>
          <w:sz w:val="20"/>
          <w:szCs w:val="20"/>
          <w:lang w:eastAsia="cs-CZ"/>
        </w:rPr>
        <w:t>.</w:t>
      </w:r>
    </w:p>
    <w:p w14:paraId="4BF22B3F" w14:textId="77777777" w:rsidR="00536672" w:rsidRDefault="00536672" w:rsidP="00536672">
      <w:pPr>
        <w:spacing w:after="0"/>
        <w:rPr>
          <w:sz w:val="20"/>
          <w:szCs w:val="20"/>
          <w:lang w:eastAsia="cs-CZ"/>
        </w:rPr>
      </w:pPr>
    </w:p>
    <w:p w14:paraId="2471F484" w14:textId="5E5AD65A" w:rsidR="00DD54E5" w:rsidRDefault="00536672" w:rsidP="00583A86">
      <w:pPr>
        <w:pStyle w:val="Tabulka"/>
        <w:numPr>
          <w:ilvl w:val="0"/>
          <w:numId w:val="0"/>
        </w:numPr>
        <w:spacing w:after="40"/>
        <w:rPr>
          <w:lang w:eastAsia="cs-CZ"/>
        </w:rPr>
      </w:pPr>
      <w:r>
        <w:rPr>
          <w:lang w:eastAsia="cs-CZ"/>
        </w:rPr>
        <w:t xml:space="preserve">Tabulka č. 21: </w:t>
      </w:r>
      <w:r w:rsidR="00DD54E5" w:rsidRPr="003A0D22">
        <w:rPr>
          <w:lang w:eastAsia="cs-CZ"/>
        </w:rPr>
        <w:t>Vývoj celkové spotřeby paliv v dopravě v ČR v letech 2015</w:t>
      </w:r>
      <w:r w:rsidR="00F53512">
        <w:rPr>
          <w:lang w:eastAsia="cs-CZ"/>
        </w:rPr>
        <w:t>–</w:t>
      </w:r>
      <w:r w:rsidR="00DD54E5" w:rsidRPr="003A0D22">
        <w:rPr>
          <w:lang w:eastAsia="cs-CZ"/>
        </w:rPr>
        <w:t>2017</w:t>
      </w:r>
    </w:p>
    <w:tbl>
      <w:tblPr>
        <w:tblW w:w="5000" w:type="pct"/>
        <w:tblCellMar>
          <w:left w:w="70" w:type="dxa"/>
          <w:right w:w="70" w:type="dxa"/>
        </w:tblCellMar>
        <w:tblLook w:val="04A0" w:firstRow="1" w:lastRow="0" w:firstColumn="1" w:lastColumn="0" w:noHBand="0" w:noVBand="1"/>
      </w:tblPr>
      <w:tblGrid>
        <w:gridCol w:w="2625"/>
        <w:gridCol w:w="2145"/>
        <w:gridCol w:w="2145"/>
        <w:gridCol w:w="2145"/>
      </w:tblGrid>
      <w:tr w:rsidR="00DD54E5" w14:paraId="126790BB" w14:textId="77777777" w:rsidTr="00583A86">
        <w:trPr>
          <w:trHeight w:val="227"/>
        </w:trPr>
        <w:tc>
          <w:tcPr>
            <w:tcW w:w="1448" w:type="pct"/>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42BE439F"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Druh paliva</w:t>
            </w:r>
          </w:p>
        </w:tc>
        <w:tc>
          <w:tcPr>
            <w:tcW w:w="1184" w:type="pct"/>
            <w:tcBorders>
              <w:top w:val="single" w:sz="4" w:space="0" w:color="auto"/>
              <w:left w:val="nil"/>
              <w:bottom w:val="single" w:sz="4" w:space="0" w:color="auto"/>
              <w:right w:val="single" w:sz="4" w:space="0" w:color="auto"/>
            </w:tcBorders>
            <w:shd w:val="clear" w:color="auto" w:fill="E5F1FF"/>
            <w:noWrap/>
            <w:vAlign w:val="bottom"/>
            <w:hideMark/>
          </w:tcPr>
          <w:p w14:paraId="1834F22C"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2015</w:t>
            </w:r>
          </w:p>
        </w:tc>
        <w:tc>
          <w:tcPr>
            <w:tcW w:w="1184" w:type="pct"/>
            <w:tcBorders>
              <w:top w:val="single" w:sz="4" w:space="0" w:color="auto"/>
              <w:left w:val="nil"/>
              <w:bottom w:val="single" w:sz="4" w:space="0" w:color="auto"/>
              <w:right w:val="single" w:sz="4" w:space="0" w:color="auto"/>
            </w:tcBorders>
            <w:shd w:val="clear" w:color="auto" w:fill="E5F1FF"/>
            <w:noWrap/>
            <w:vAlign w:val="bottom"/>
            <w:hideMark/>
          </w:tcPr>
          <w:p w14:paraId="423B396E"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2016</w:t>
            </w:r>
          </w:p>
        </w:tc>
        <w:tc>
          <w:tcPr>
            <w:tcW w:w="1184" w:type="pct"/>
            <w:tcBorders>
              <w:top w:val="single" w:sz="4" w:space="0" w:color="auto"/>
              <w:left w:val="nil"/>
              <w:bottom w:val="single" w:sz="4" w:space="0" w:color="auto"/>
              <w:right w:val="single" w:sz="4" w:space="0" w:color="auto"/>
            </w:tcBorders>
            <w:shd w:val="clear" w:color="auto" w:fill="E5F1FF"/>
            <w:noWrap/>
            <w:vAlign w:val="bottom"/>
            <w:hideMark/>
          </w:tcPr>
          <w:p w14:paraId="75171AAF"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2017</w:t>
            </w:r>
          </w:p>
        </w:tc>
      </w:tr>
      <w:tr w:rsidR="00DD54E5" w14:paraId="46CB75BF" w14:textId="77777777" w:rsidTr="00583A86">
        <w:trPr>
          <w:trHeight w:val="227"/>
        </w:trPr>
        <w:tc>
          <w:tcPr>
            <w:tcW w:w="1448" w:type="pct"/>
            <w:tcBorders>
              <w:top w:val="nil"/>
              <w:left w:val="single" w:sz="4" w:space="0" w:color="auto"/>
              <w:bottom w:val="single" w:sz="4" w:space="0" w:color="auto"/>
              <w:right w:val="single" w:sz="4" w:space="0" w:color="auto"/>
            </w:tcBorders>
            <w:shd w:val="clear" w:color="auto" w:fill="auto"/>
            <w:noWrap/>
            <w:vAlign w:val="bottom"/>
            <w:hideMark/>
          </w:tcPr>
          <w:p w14:paraId="2A2811CE" w14:textId="77777777" w:rsidR="00DD54E5" w:rsidRPr="003A0D22" w:rsidRDefault="00DD54E5" w:rsidP="00126238">
            <w:pPr>
              <w:spacing w:after="0"/>
              <w:jc w:val="left"/>
              <w:rPr>
                <w:rFonts w:eastAsia="Times New Roman" w:cs="Calibri"/>
                <w:sz w:val="20"/>
                <w:szCs w:val="20"/>
                <w:lang w:eastAsia="cs-CZ"/>
              </w:rPr>
            </w:pPr>
            <w:r w:rsidRPr="003A0D22">
              <w:rPr>
                <w:rFonts w:eastAsia="Times New Roman" w:cs="Calibri"/>
                <w:sz w:val="20"/>
                <w:szCs w:val="20"/>
                <w:lang w:eastAsia="cs-CZ"/>
              </w:rPr>
              <w:t>Benzín (t)</w:t>
            </w:r>
          </w:p>
        </w:tc>
        <w:tc>
          <w:tcPr>
            <w:tcW w:w="1184" w:type="pct"/>
            <w:tcBorders>
              <w:top w:val="nil"/>
              <w:left w:val="nil"/>
              <w:bottom w:val="single" w:sz="4" w:space="0" w:color="auto"/>
              <w:right w:val="single" w:sz="4" w:space="0" w:color="auto"/>
            </w:tcBorders>
            <w:shd w:val="clear" w:color="auto" w:fill="auto"/>
            <w:noWrap/>
            <w:vAlign w:val="bottom"/>
            <w:hideMark/>
          </w:tcPr>
          <w:p w14:paraId="5E3FC455"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1 563 000</w:t>
            </w:r>
          </w:p>
        </w:tc>
        <w:tc>
          <w:tcPr>
            <w:tcW w:w="1184" w:type="pct"/>
            <w:tcBorders>
              <w:top w:val="nil"/>
              <w:left w:val="nil"/>
              <w:bottom w:val="single" w:sz="4" w:space="0" w:color="auto"/>
              <w:right w:val="single" w:sz="4" w:space="0" w:color="auto"/>
            </w:tcBorders>
            <w:shd w:val="clear" w:color="auto" w:fill="auto"/>
            <w:noWrap/>
            <w:vAlign w:val="bottom"/>
            <w:hideMark/>
          </w:tcPr>
          <w:p w14:paraId="4F5BC912"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1 595 000</w:t>
            </w:r>
          </w:p>
        </w:tc>
        <w:tc>
          <w:tcPr>
            <w:tcW w:w="1184" w:type="pct"/>
            <w:tcBorders>
              <w:top w:val="nil"/>
              <w:left w:val="nil"/>
              <w:bottom w:val="single" w:sz="4" w:space="0" w:color="auto"/>
              <w:right w:val="single" w:sz="4" w:space="0" w:color="auto"/>
            </w:tcBorders>
            <w:shd w:val="clear" w:color="auto" w:fill="auto"/>
            <w:noWrap/>
            <w:vAlign w:val="bottom"/>
            <w:hideMark/>
          </w:tcPr>
          <w:p w14:paraId="0F3D895D"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1 588 000</w:t>
            </w:r>
          </w:p>
        </w:tc>
      </w:tr>
      <w:tr w:rsidR="00DD54E5" w14:paraId="10ADBA32" w14:textId="77777777" w:rsidTr="00583A86">
        <w:trPr>
          <w:trHeight w:val="227"/>
        </w:trPr>
        <w:tc>
          <w:tcPr>
            <w:tcW w:w="1448" w:type="pct"/>
            <w:tcBorders>
              <w:top w:val="nil"/>
              <w:left w:val="single" w:sz="4" w:space="0" w:color="auto"/>
              <w:bottom w:val="single" w:sz="4" w:space="0" w:color="auto"/>
              <w:right w:val="single" w:sz="4" w:space="0" w:color="auto"/>
            </w:tcBorders>
            <w:shd w:val="clear" w:color="auto" w:fill="auto"/>
            <w:noWrap/>
            <w:vAlign w:val="bottom"/>
            <w:hideMark/>
          </w:tcPr>
          <w:p w14:paraId="06710CBD" w14:textId="77777777" w:rsidR="00DD54E5" w:rsidRPr="003A0D22" w:rsidRDefault="00DD54E5" w:rsidP="00126238">
            <w:pPr>
              <w:spacing w:after="0"/>
              <w:jc w:val="left"/>
              <w:rPr>
                <w:rFonts w:eastAsia="Times New Roman" w:cs="Calibri"/>
                <w:sz w:val="20"/>
                <w:szCs w:val="20"/>
                <w:lang w:eastAsia="cs-CZ"/>
              </w:rPr>
            </w:pPr>
            <w:r w:rsidRPr="003A0D22">
              <w:rPr>
                <w:rFonts w:eastAsia="Times New Roman" w:cs="Calibri"/>
                <w:sz w:val="20"/>
                <w:szCs w:val="20"/>
                <w:lang w:eastAsia="cs-CZ"/>
              </w:rPr>
              <w:t>Nafta (t)</w:t>
            </w:r>
          </w:p>
        </w:tc>
        <w:tc>
          <w:tcPr>
            <w:tcW w:w="1184" w:type="pct"/>
            <w:tcBorders>
              <w:top w:val="nil"/>
              <w:left w:val="nil"/>
              <w:bottom w:val="single" w:sz="4" w:space="0" w:color="auto"/>
              <w:right w:val="single" w:sz="4" w:space="0" w:color="auto"/>
            </w:tcBorders>
            <w:shd w:val="clear" w:color="auto" w:fill="auto"/>
            <w:noWrap/>
            <w:vAlign w:val="bottom"/>
            <w:hideMark/>
          </w:tcPr>
          <w:p w14:paraId="3A0254CD"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4 145 000</w:t>
            </w:r>
          </w:p>
        </w:tc>
        <w:tc>
          <w:tcPr>
            <w:tcW w:w="1184" w:type="pct"/>
            <w:tcBorders>
              <w:top w:val="nil"/>
              <w:left w:val="nil"/>
              <w:bottom w:val="single" w:sz="4" w:space="0" w:color="auto"/>
              <w:right w:val="single" w:sz="4" w:space="0" w:color="auto"/>
            </w:tcBorders>
            <w:shd w:val="clear" w:color="auto" w:fill="auto"/>
            <w:noWrap/>
            <w:vAlign w:val="bottom"/>
            <w:hideMark/>
          </w:tcPr>
          <w:p w14:paraId="067C0169"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4 337 000</w:t>
            </w:r>
          </w:p>
        </w:tc>
        <w:tc>
          <w:tcPr>
            <w:tcW w:w="1184" w:type="pct"/>
            <w:tcBorders>
              <w:top w:val="nil"/>
              <w:left w:val="nil"/>
              <w:bottom w:val="single" w:sz="4" w:space="0" w:color="auto"/>
              <w:right w:val="single" w:sz="4" w:space="0" w:color="auto"/>
            </w:tcBorders>
            <w:shd w:val="clear" w:color="auto" w:fill="auto"/>
            <w:noWrap/>
            <w:vAlign w:val="bottom"/>
            <w:hideMark/>
          </w:tcPr>
          <w:p w14:paraId="5E4ED0D1"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4 498 000</w:t>
            </w:r>
          </w:p>
        </w:tc>
      </w:tr>
      <w:tr w:rsidR="00DD54E5" w14:paraId="56EB3C6C" w14:textId="77777777" w:rsidTr="00583A86">
        <w:trPr>
          <w:trHeight w:val="227"/>
        </w:trPr>
        <w:tc>
          <w:tcPr>
            <w:tcW w:w="1448" w:type="pct"/>
            <w:tcBorders>
              <w:top w:val="nil"/>
              <w:left w:val="single" w:sz="4" w:space="0" w:color="auto"/>
              <w:bottom w:val="single" w:sz="4" w:space="0" w:color="auto"/>
              <w:right w:val="single" w:sz="4" w:space="0" w:color="auto"/>
            </w:tcBorders>
            <w:shd w:val="clear" w:color="auto" w:fill="auto"/>
            <w:noWrap/>
            <w:vAlign w:val="bottom"/>
            <w:hideMark/>
          </w:tcPr>
          <w:p w14:paraId="73CCC297" w14:textId="77777777" w:rsidR="00DD54E5" w:rsidRPr="003A0D22" w:rsidRDefault="00DD54E5" w:rsidP="00126238">
            <w:pPr>
              <w:spacing w:after="0"/>
              <w:jc w:val="left"/>
              <w:rPr>
                <w:rFonts w:eastAsia="Times New Roman" w:cs="Calibri"/>
                <w:sz w:val="20"/>
                <w:szCs w:val="20"/>
                <w:lang w:eastAsia="cs-CZ"/>
              </w:rPr>
            </w:pPr>
            <w:r w:rsidRPr="003A0D22">
              <w:rPr>
                <w:rFonts w:eastAsia="Times New Roman" w:cs="Calibri"/>
                <w:sz w:val="20"/>
                <w:szCs w:val="20"/>
                <w:lang w:eastAsia="cs-CZ"/>
              </w:rPr>
              <w:t>LPG (t)</w:t>
            </w:r>
          </w:p>
        </w:tc>
        <w:tc>
          <w:tcPr>
            <w:tcW w:w="1184" w:type="pct"/>
            <w:tcBorders>
              <w:top w:val="nil"/>
              <w:left w:val="nil"/>
              <w:bottom w:val="single" w:sz="4" w:space="0" w:color="auto"/>
              <w:right w:val="single" w:sz="4" w:space="0" w:color="auto"/>
            </w:tcBorders>
            <w:shd w:val="clear" w:color="auto" w:fill="auto"/>
            <w:noWrap/>
            <w:vAlign w:val="bottom"/>
            <w:hideMark/>
          </w:tcPr>
          <w:p w14:paraId="1151FE10"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99 000</w:t>
            </w:r>
          </w:p>
        </w:tc>
        <w:tc>
          <w:tcPr>
            <w:tcW w:w="1184" w:type="pct"/>
            <w:tcBorders>
              <w:top w:val="nil"/>
              <w:left w:val="nil"/>
              <w:bottom w:val="single" w:sz="4" w:space="0" w:color="auto"/>
              <w:right w:val="single" w:sz="4" w:space="0" w:color="auto"/>
            </w:tcBorders>
            <w:shd w:val="clear" w:color="auto" w:fill="auto"/>
            <w:noWrap/>
            <w:vAlign w:val="bottom"/>
            <w:hideMark/>
          </w:tcPr>
          <w:p w14:paraId="118C722C"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99 000</w:t>
            </w:r>
          </w:p>
        </w:tc>
        <w:tc>
          <w:tcPr>
            <w:tcW w:w="1184" w:type="pct"/>
            <w:tcBorders>
              <w:top w:val="nil"/>
              <w:left w:val="nil"/>
              <w:bottom w:val="single" w:sz="4" w:space="0" w:color="auto"/>
              <w:right w:val="single" w:sz="4" w:space="0" w:color="auto"/>
            </w:tcBorders>
            <w:shd w:val="clear" w:color="auto" w:fill="auto"/>
            <w:noWrap/>
            <w:vAlign w:val="bottom"/>
            <w:hideMark/>
          </w:tcPr>
          <w:p w14:paraId="5404CAF7"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96 000</w:t>
            </w:r>
          </w:p>
        </w:tc>
      </w:tr>
      <w:tr w:rsidR="00DD54E5" w14:paraId="7E4FCCD6" w14:textId="77777777" w:rsidTr="00583A86">
        <w:trPr>
          <w:trHeight w:val="227"/>
        </w:trPr>
        <w:tc>
          <w:tcPr>
            <w:tcW w:w="1448" w:type="pct"/>
            <w:tcBorders>
              <w:top w:val="nil"/>
              <w:left w:val="single" w:sz="4" w:space="0" w:color="auto"/>
              <w:bottom w:val="single" w:sz="4" w:space="0" w:color="auto"/>
              <w:right w:val="single" w:sz="4" w:space="0" w:color="auto"/>
            </w:tcBorders>
            <w:shd w:val="clear" w:color="auto" w:fill="auto"/>
            <w:noWrap/>
            <w:vAlign w:val="bottom"/>
            <w:hideMark/>
          </w:tcPr>
          <w:p w14:paraId="1979DB25" w14:textId="2B482322" w:rsidR="00DD54E5" w:rsidRPr="003A0D22" w:rsidRDefault="00DD54E5" w:rsidP="00F53512">
            <w:pPr>
              <w:spacing w:after="0"/>
              <w:jc w:val="left"/>
              <w:rPr>
                <w:rFonts w:eastAsia="Times New Roman" w:cs="Calibri"/>
                <w:sz w:val="20"/>
                <w:szCs w:val="20"/>
                <w:lang w:eastAsia="cs-CZ"/>
              </w:rPr>
            </w:pPr>
            <w:r w:rsidRPr="003A0D22">
              <w:rPr>
                <w:rFonts w:eastAsia="Times New Roman" w:cs="Calibri"/>
                <w:sz w:val="20"/>
                <w:szCs w:val="20"/>
                <w:lang w:eastAsia="cs-CZ"/>
              </w:rPr>
              <w:t xml:space="preserve">CNG </w:t>
            </w:r>
            <w:r w:rsidR="00F53512">
              <w:rPr>
                <w:rFonts w:eastAsia="Times New Roman" w:cs="Calibri"/>
                <w:sz w:val="20"/>
                <w:szCs w:val="20"/>
                <w:lang w:eastAsia="cs-CZ"/>
              </w:rPr>
              <w:t>(</w:t>
            </w:r>
            <w:r w:rsidRPr="003A0D22">
              <w:rPr>
                <w:rFonts w:eastAsia="Times New Roman" w:cs="Calibri"/>
                <w:sz w:val="20"/>
                <w:szCs w:val="20"/>
                <w:lang w:eastAsia="cs-CZ"/>
              </w:rPr>
              <w:t>m</w:t>
            </w:r>
            <w:r w:rsidRPr="00536672">
              <w:rPr>
                <w:rFonts w:eastAsia="Times New Roman" w:cs="Calibri"/>
                <w:sz w:val="20"/>
                <w:szCs w:val="20"/>
                <w:vertAlign w:val="superscript"/>
                <w:lang w:eastAsia="cs-CZ"/>
              </w:rPr>
              <w:t>3</w:t>
            </w:r>
            <w:r w:rsidR="00F53512">
              <w:rPr>
                <w:rFonts w:eastAsia="Times New Roman" w:cs="Calibri"/>
                <w:sz w:val="20"/>
                <w:szCs w:val="20"/>
                <w:lang w:eastAsia="cs-CZ"/>
              </w:rPr>
              <w:t>)</w:t>
            </w:r>
          </w:p>
        </w:tc>
        <w:tc>
          <w:tcPr>
            <w:tcW w:w="1184" w:type="pct"/>
            <w:tcBorders>
              <w:top w:val="nil"/>
              <w:left w:val="nil"/>
              <w:bottom w:val="single" w:sz="4" w:space="0" w:color="auto"/>
              <w:right w:val="single" w:sz="4" w:space="0" w:color="auto"/>
            </w:tcBorders>
            <w:shd w:val="clear" w:color="auto" w:fill="auto"/>
            <w:noWrap/>
            <w:vAlign w:val="bottom"/>
            <w:hideMark/>
          </w:tcPr>
          <w:p w14:paraId="72D8E119"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43 589 000</w:t>
            </w:r>
          </w:p>
        </w:tc>
        <w:tc>
          <w:tcPr>
            <w:tcW w:w="1184" w:type="pct"/>
            <w:tcBorders>
              <w:top w:val="nil"/>
              <w:left w:val="nil"/>
              <w:bottom w:val="single" w:sz="4" w:space="0" w:color="auto"/>
              <w:right w:val="single" w:sz="4" w:space="0" w:color="auto"/>
            </w:tcBorders>
            <w:shd w:val="clear" w:color="auto" w:fill="auto"/>
            <w:noWrap/>
            <w:vAlign w:val="bottom"/>
            <w:hideMark/>
          </w:tcPr>
          <w:p w14:paraId="054060F0"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59 346 000</w:t>
            </w:r>
          </w:p>
        </w:tc>
        <w:tc>
          <w:tcPr>
            <w:tcW w:w="1184" w:type="pct"/>
            <w:tcBorders>
              <w:top w:val="nil"/>
              <w:left w:val="nil"/>
              <w:bottom w:val="single" w:sz="4" w:space="0" w:color="auto"/>
              <w:right w:val="single" w:sz="4" w:space="0" w:color="auto"/>
            </w:tcBorders>
            <w:shd w:val="clear" w:color="000000" w:fill="FFFFFF"/>
            <w:noWrap/>
            <w:vAlign w:val="bottom"/>
            <w:hideMark/>
          </w:tcPr>
          <w:p w14:paraId="11D39D8C" w14:textId="77777777" w:rsidR="00DD54E5" w:rsidRPr="003A0D22" w:rsidRDefault="00DD54E5" w:rsidP="00126238">
            <w:pPr>
              <w:spacing w:after="0"/>
              <w:jc w:val="right"/>
              <w:rPr>
                <w:rFonts w:eastAsia="Times New Roman" w:cs="Calibri"/>
                <w:color w:val="000000"/>
                <w:sz w:val="20"/>
                <w:szCs w:val="20"/>
                <w:lang w:eastAsia="cs-CZ"/>
              </w:rPr>
            </w:pPr>
            <w:r w:rsidRPr="003A0D22">
              <w:rPr>
                <w:rFonts w:eastAsia="Times New Roman" w:cs="Calibri"/>
                <w:color w:val="000000"/>
                <w:sz w:val="20"/>
                <w:szCs w:val="20"/>
                <w:lang w:eastAsia="cs-CZ"/>
              </w:rPr>
              <w:t>67 603 000</w:t>
            </w:r>
          </w:p>
        </w:tc>
      </w:tr>
    </w:tbl>
    <w:p w14:paraId="56722ACC" w14:textId="77777777" w:rsidR="00DD54E5" w:rsidRDefault="00DD54E5" w:rsidP="00536672">
      <w:pPr>
        <w:spacing w:before="40"/>
        <w:ind w:left="567" w:hanging="567"/>
        <w:jc w:val="left"/>
        <w:rPr>
          <w:sz w:val="20"/>
          <w:szCs w:val="20"/>
          <w:lang w:eastAsia="cs-CZ"/>
        </w:rPr>
      </w:pPr>
      <w:r w:rsidRPr="00011B75">
        <w:rPr>
          <w:b/>
          <w:sz w:val="20"/>
          <w:szCs w:val="20"/>
          <w:lang w:eastAsia="cs-CZ"/>
        </w:rPr>
        <w:t>Zdroj:</w:t>
      </w:r>
      <w:r w:rsidRPr="003A0D22">
        <w:rPr>
          <w:sz w:val="20"/>
          <w:szCs w:val="20"/>
          <w:lang w:eastAsia="cs-CZ"/>
        </w:rPr>
        <w:t xml:space="preserve"> </w:t>
      </w:r>
      <w:r w:rsidR="00536672">
        <w:rPr>
          <w:sz w:val="20"/>
          <w:szCs w:val="20"/>
          <w:lang w:eastAsia="cs-CZ"/>
        </w:rPr>
        <w:tab/>
      </w:r>
      <w:hyperlink r:id="rId63" w:history="1">
        <w:r w:rsidR="00536672" w:rsidRPr="00536672">
          <w:rPr>
            <w:rStyle w:val="Hypertextovodkaz"/>
            <w:sz w:val="20"/>
            <w:szCs w:val="20"/>
            <w:u w:val="none"/>
            <w:lang w:eastAsia="cs-CZ"/>
          </w:rPr>
          <w:t>https://www.sydos.cz/cs/rocenka-2017/rocenka/htm_cz/cz17_715000.html</w:t>
        </w:r>
      </w:hyperlink>
      <w:r w:rsidRPr="003A0D22">
        <w:rPr>
          <w:sz w:val="20"/>
          <w:szCs w:val="20"/>
          <w:lang w:eastAsia="cs-CZ"/>
        </w:rPr>
        <w:t xml:space="preserve">; </w:t>
      </w:r>
      <w:hyperlink r:id="rId64" w:history="1">
        <w:r w:rsidR="00536672" w:rsidRPr="00536672">
          <w:rPr>
            <w:rStyle w:val="Hypertextovodkaz"/>
            <w:sz w:val="20"/>
            <w:szCs w:val="20"/>
            <w:u w:val="none"/>
            <w:lang w:eastAsia="cs-CZ"/>
          </w:rPr>
          <w:t>http://www.cng4you.cz/cng-info/statistiky.html</w:t>
        </w:r>
      </w:hyperlink>
      <w:r w:rsidRPr="00536672">
        <w:rPr>
          <w:sz w:val="20"/>
          <w:szCs w:val="20"/>
          <w:lang w:eastAsia="cs-CZ"/>
        </w:rPr>
        <w:t>.</w:t>
      </w:r>
    </w:p>
    <w:p w14:paraId="74E0B417" w14:textId="28014249" w:rsidR="00DD54E5" w:rsidRDefault="00F33CC2" w:rsidP="00F33CC2">
      <w:pPr>
        <w:pStyle w:val="Tabulka"/>
        <w:numPr>
          <w:ilvl w:val="0"/>
          <w:numId w:val="0"/>
        </w:numPr>
        <w:spacing w:after="40"/>
        <w:ind w:left="1446" w:hanging="1446"/>
        <w:rPr>
          <w:lang w:eastAsia="cs-CZ"/>
        </w:rPr>
      </w:pPr>
      <w:r>
        <w:rPr>
          <w:lang w:eastAsia="cs-CZ"/>
        </w:rPr>
        <w:lastRenderedPageBreak/>
        <w:t xml:space="preserve">Tabulka č. 22: </w:t>
      </w:r>
      <w:r>
        <w:rPr>
          <w:lang w:eastAsia="cs-CZ"/>
        </w:rPr>
        <w:tab/>
      </w:r>
      <w:r w:rsidR="00DD54E5" w:rsidRPr="003A0D22">
        <w:rPr>
          <w:lang w:eastAsia="cs-CZ"/>
        </w:rPr>
        <w:t>Vývoj celkové spotřeby paliv v dopravě v ČR v letech 2015</w:t>
      </w:r>
      <w:r w:rsidR="00812987">
        <w:rPr>
          <w:lang w:eastAsia="cs-CZ"/>
        </w:rPr>
        <w:t>–</w:t>
      </w:r>
      <w:r w:rsidR="00DD54E5" w:rsidRPr="003A0D22">
        <w:rPr>
          <w:lang w:eastAsia="cs-CZ"/>
        </w:rPr>
        <w:t xml:space="preserve">2017 </w:t>
      </w:r>
      <w:r w:rsidR="00F76295">
        <w:rPr>
          <w:lang w:eastAsia="cs-CZ"/>
        </w:rPr>
        <w:br/>
      </w:r>
      <w:r w:rsidR="00DD54E5" w:rsidRPr="003A0D22">
        <w:rPr>
          <w:lang w:eastAsia="cs-CZ"/>
        </w:rPr>
        <w:t>(na 1</w:t>
      </w:r>
      <w:r w:rsidR="00F76295">
        <w:rPr>
          <w:lang w:eastAsia="cs-CZ"/>
        </w:rPr>
        <w:t> </w:t>
      </w:r>
      <w:r w:rsidR="00DD54E5" w:rsidRPr="003A0D22">
        <w:rPr>
          <w:lang w:eastAsia="cs-CZ"/>
        </w:rPr>
        <w:t>000 obyvatel)</w:t>
      </w:r>
    </w:p>
    <w:tbl>
      <w:tblPr>
        <w:tblW w:w="5000" w:type="pct"/>
        <w:tblCellMar>
          <w:left w:w="70" w:type="dxa"/>
          <w:right w:w="70" w:type="dxa"/>
        </w:tblCellMar>
        <w:tblLook w:val="04A0" w:firstRow="1" w:lastRow="0" w:firstColumn="1" w:lastColumn="0" w:noHBand="0" w:noVBand="1"/>
      </w:tblPr>
      <w:tblGrid>
        <w:gridCol w:w="2625"/>
        <w:gridCol w:w="2145"/>
        <w:gridCol w:w="2145"/>
        <w:gridCol w:w="2145"/>
      </w:tblGrid>
      <w:tr w:rsidR="00DD54E5" w14:paraId="1E4D4B57" w14:textId="77777777" w:rsidTr="00F33CC2">
        <w:trPr>
          <w:trHeight w:val="227"/>
        </w:trPr>
        <w:tc>
          <w:tcPr>
            <w:tcW w:w="1448" w:type="pct"/>
            <w:tcBorders>
              <w:top w:val="single" w:sz="4" w:space="0" w:color="auto"/>
              <w:left w:val="single" w:sz="4" w:space="0" w:color="auto"/>
              <w:bottom w:val="single" w:sz="4" w:space="0" w:color="auto"/>
              <w:right w:val="single" w:sz="4" w:space="0" w:color="auto"/>
            </w:tcBorders>
            <w:shd w:val="clear" w:color="auto" w:fill="E5F1FF"/>
            <w:noWrap/>
            <w:vAlign w:val="bottom"/>
            <w:hideMark/>
          </w:tcPr>
          <w:p w14:paraId="6B69CA58"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Druh paliva</w:t>
            </w:r>
          </w:p>
        </w:tc>
        <w:tc>
          <w:tcPr>
            <w:tcW w:w="1184" w:type="pct"/>
            <w:tcBorders>
              <w:top w:val="single" w:sz="4" w:space="0" w:color="auto"/>
              <w:left w:val="nil"/>
              <w:bottom w:val="single" w:sz="4" w:space="0" w:color="auto"/>
              <w:right w:val="single" w:sz="4" w:space="0" w:color="auto"/>
            </w:tcBorders>
            <w:shd w:val="clear" w:color="auto" w:fill="E5F1FF"/>
            <w:noWrap/>
            <w:vAlign w:val="center"/>
            <w:hideMark/>
          </w:tcPr>
          <w:p w14:paraId="548472B3"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2015</w:t>
            </w:r>
          </w:p>
        </w:tc>
        <w:tc>
          <w:tcPr>
            <w:tcW w:w="1184" w:type="pct"/>
            <w:tcBorders>
              <w:top w:val="single" w:sz="4" w:space="0" w:color="auto"/>
              <w:left w:val="nil"/>
              <w:bottom w:val="single" w:sz="4" w:space="0" w:color="auto"/>
              <w:right w:val="single" w:sz="4" w:space="0" w:color="auto"/>
            </w:tcBorders>
            <w:shd w:val="clear" w:color="auto" w:fill="E5F1FF"/>
            <w:noWrap/>
            <w:vAlign w:val="center"/>
            <w:hideMark/>
          </w:tcPr>
          <w:p w14:paraId="78312A0B"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2016</w:t>
            </w:r>
          </w:p>
        </w:tc>
        <w:tc>
          <w:tcPr>
            <w:tcW w:w="1184" w:type="pct"/>
            <w:tcBorders>
              <w:top w:val="single" w:sz="4" w:space="0" w:color="auto"/>
              <w:left w:val="nil"/>
              <w:bottom w:val="single" w:sz="4" w:space="0" w:color="auto"/>
              <w:right w:val="single" w:sz="4" w:space="0" w:color="auto"/>
            </w:tcBorders>
            <w:shd w:val="clear" w:color="auto" w:fill="E5F1FF"/>
            <w:noWrap/>
            <w:vAlign w:val="center"/>
            <w:hideMark/>
          </w:tcPr>
          <w:p w14:paraId="1126F337" w14:textId="77777777" w:rsidR="00DD54E5" w:rsidRPr="003A0D22" w:rsidRDefault="00DD54E5" w:rsidP="00126238">
            <w:pPr>
              <w:spacing w:after="0"/>
              <w:jc w:val="center"/>
              <w:rPr>
                <w:rFonts w:eastAsia="Times New Roman" w:cs="Calibri"/>
                <w:b/>
                <w:bCs/>
                <w:color w:val="000000"/>
                <w:sz w:val="20"/>
                <w:szCs w:val="20"/>
                <w:lang w:eastAsia="cs-CZ"/>
              </w:rPr>
            </w:pPr>
            <w:r w:rsidRPr="003A0D22">
              <w:rPr>
                <w:rFonts w:eastAsia="Times New Roman" w:cs="Calibri"/>
                <w:b/>
                <w:bCs/>
                <w:color w:val="000000"/>
                <w:sz w:val="20"/>
                <w:szCs w:val="20"/>
                <w:lang w:eastAsia="cs-CZ"/>
              </w:rPr>
              <w:t>2017</w:t>
            </w:r>
          </w:p>
        </w:tc>
      </w:tr>
      <w:tr w:rsidR="00DD54E5" w14:paraId="797F01BE" w14:textId="77777777" w:rsidTr="00F33CC2">
        <w:trPr>
          <w:trHeight w:val="227"/>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14:paraId="16501197" w14:textId="77777777" w:rsidR="00DD54E5" w:rsidRPr="003A0D22" w:rsidRDefault="00DD54E5" w:rsidP="00F33CC2">
            <w:pPr>
              <w:spacing w:after="0"/>
              <w:jc w:val="left"/>
              <w:rPr>
                <w:rFonts w:eastAsia="Times New Roman" w:cs="Calibri"/>
                <w:sz w:val="20"/>
                <w:szCs w:val="20"/>
                <w:lang w:eastAsia="cs-CZ"/>
              </w:rPr>
            </w:pPr>
            <w:r w:rsidRPr="003A0D22">
              <w:rPr>
                <w:rFonts w:eastAsia="Times New Roman" w:cs="Calibri"/>
                <w:sz w:val="20"/>
                <w:szCs w:val="20"/>
                <w:lang w:eastAsia="cs-CZ"/>
              </w:rPr>
              <w:t>Benzín (t)</w:t>
            </w:r>
          </w:p>
        </w:tc>
        <w:tc>
          <w:tcPr>
            <w:tcW w:w="1184" w:type="pct"/>
            <w:tcBorders>
              <w:top w:val="nil"/>
              <w:left w:val="nil"/>
              <w:bottom w:val="single" w:sz="4" w:space="0" w:color="auto"/>
              <w:right w:val="single" w:sz="4" w:space="0" w:color="auto"/>
            </w:tcBorders>
            <w:shd w:val="clear" w:color="auto" w:fill="auto"/>
            <w:noWrap/>
            <w:vAlign w:val="center"/>
            <w:hideMark/>
          </w:tcPr>
          <w:p w14:paraId="18BF7E30"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148</w:t>
            </w:r>
          </w:p>
        </w:tc>
        <w:tc>
          <w:tcPr>
            <w:tcW w:w="1184" w:type="pct"/>
            <w:tcBorders>
              <w:top w:val="nil"/>
              <w:left w:val="nil"/>
              <w:bottom w:val="single" w:sz="4" w:space="0" w:color="auto"/>
              <w:right w:val="single" w:sz="4" w:space="0" w:color="auto"/>
            </w:tcBorders>
            <w:shd w:val="clear" w:color="auto" w:fill="auto"/>
            <w:noWrap/>
            <w:vAlign w:val="center"/>
            <w:hideMark/>
          </w:tcPr>
          <w:p w14:paraId="0558B0FD"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151</w:t>
            </w:r>
          </w:p>
        </w:tc>
        <w:tc>
          <w:tcPr>
            <w:tcW w:w="1184" w:type="pct"/>
            <w:tcBorders>
              <w:top w:val="nil"/>
              <w:left w:val="nil"/>
              <w:bottom w:val="single" w:sz="4" w:space="0" w:color="auto"/>
              <w:right w:val="single" w:sz="4" w:space="0" w:color="auto"/>
            </w:tcBorders>
            <w:shd w:val="clear" w:color="auto" w:fill="auto"/>
            <w:noWrap/>
            <w:vAlign w:val="center"/>
            <w:hideMark/>
          </w:tcPr>
          <w:p w14:paraId="368A7A35"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150</w:t>
            </w:r>
          </w:p>
        </w:tc>
      </w:tr>
      <w:tr w:rsidR="00DD54E5" w14:paraId="59366FA6" w14:textId="77777777" w:rsidTr="00F33CC2">
        <w:trPr>
          <w:trHeight w:val="227"/>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14:paraId="1872C299" w14:textId="77777777" w:rsidR="00DD54E5" w:rsidRPr="003A0D22" w:rsidRDefault="00DD54E5" w:rsidP="00F33CC2">
            <w:pPr>
              <w:spacing w:after="0"/>
              <w:jc w:val="left"/>
              <w:rPr>
                <w:rFonts w:eastAsia="Times New Roman" w:cs="Calibri"/>
                <w:sz w:val="20"/>
                <w:szCs w:val="20"/>
                <w:lang w:eastAsia="cs-CZ"/>
              </w:rPr>
            </w:pPr>
            <w:r w:rsidRPr="003A0D22">
              <w:rPr>
                <w:rFonts w:eastAsia="Times New Roman" w:cs="Calibri"/>
                <w:sz w:val="20"/>
                <w:szCs w:val="20"/>
                <w:lang w:eastAsia="cs-CZ"/>
              </w:rPr>
              <w:t>Nafta (t)</w:t>
            </w:r>
          </w:p>
        </w:tc>
        <w:tc>
          <w:tcPr>
            <w:tcW w:w="1184" w:type="pct"/>
            <w:tcBorders>
              <w:top w:val="nil"/>
              <w:left w:val="nil"/>
              <w:bottom w:val="single" w:sz="4" w:space="0" w:color="auto"/>
              <w:right w:val="single" w:sz="4" w:space="0" w:color="auto"/>
            </w:tcBorders>
            <w:shd w:val="clear" w:color="auto" w:fill="auto"/>
            <w:noWrap/>
            <w:vAlign w:val="center"/>
            <w:hideMark/>
          </w:tcPr>
          <w:p w14:paraId="05A022B4"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393</w:t>
            </w:r>
          </w:p>
        </w:tc>
        <w:tc>
          <w:tcPr>
            <w:tcW w:w="1184" w:type="pct"/>
            <w:tcBorders>
              <w:top w:val="nil"/>
              <w:left w:val="nil"/>
              <w:bottom w:val="single" w:sz="4" w:space="0" w:color="auto"/>
              <w:right w:val="single" w:sz="4" w:space="0" w:color="auto"/>
            </w:tcBorders>
            <w:shd w:val="clear" w:color="auto" w:fill="auto"/>
            <w:noWrap/>
            <w:vAlign w:val="center"/>
            <w:hideMark/>
          </w:tcPr>
          <w:p w14:paraId="6B6012ED"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410</w:t>
            </w:r>
          </w:p>
        </w:tc>
        <w:tc>
          <w:tcPr>
            <w:tcW w:w="1184" w:type="pct"/>
            <w:tcBorders>
              <w:top w:val="nil"/>
              <w:left w:val="nil"/>
              <w:bottom w:val="single" w:sz="4" w:space="0" w:color="auto"/>
              <w:right w:val="single" w:sz="4" w:space="0" w:color="auto"/>
            </w:tcBorders>
            <w:shd w:val="clear" w:color="auto" w:fill="auto"/>
            <w:noWrap/>
            <w:vAlign w:val="center"/>
            <w:hideMark/>
          </w:tcPr>
          <w:p w14:paraId="5FC30F7F"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425</w:t>
            </w:r>
          </w:p>
        </w:tc>
      </w:tr>
      <w:tr w:rsidR="00DD54E5" w14:paraId="45314325" w14:textId="77777777" w:rsidTr="00F33CC2">
        <w:trPr>
          <w:trHeight w:val="227"/>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14:paraId="18661E74" w14:textId="77777777" w:rsidR="00DD54E5" w:rsidRPr="003A0D22" w:rsidRDefault="00DD54E5" w:rsidP="00F33CC2">
            <w:pPr>
              <w:spacing w:after="0"/>
              <w:jc w:val="left"/>
              <w:rPr>
                <w:rFonts w:eastAsia="Times New Roman" w:cs="Calibri"/>
                <w:sz w:val="20"/>
                <w:szCs w:val="20"/>
                <w:lang w:eastAsia="cs-CZ"/>
              </w:rPr>
            </w:pPr>
            <w:r w:rsidRPr="003A0D22">
              <w:rPr>
                <w:rFonts w:eastAsia="Times New Roman" w:cs="Calibri"/>
                <w:sz w:val="20"/>
                <w:szCs w:val="20"/>
                <w:lang w:eastAsia="cs-CZ"/>
              </w:rPr>
              <w:t>LPG (t)</w:t>
            </w:r>
          </w:p>
        </w:tc>
        <w:tc>
          <w:tcPr>
            <w:tcW w:w="1184" w:type="pct"/>
            <w:tcBorders>
              <w:top w:val="nil"/>
              <w:left w:val="nil"/>
              <w:bottom w:val="single" w:sz="4" w:space="0" w:color="auto"/>
              <w:right w:val="single" w:sz="4" w:space="0" w:color="auto"/>
            </w:tcBorders>
            <w:shd w:val="clear" w:color="auto" w:fill="auto"/>
            <w:noWrap/>
            <w:vAlign w:val="center"/>
            <w:hideMark/>
          </w:tcPr>
          <w:p w14:paraId="20AB183E"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9</w:t>
            </w:r>
          </w:p>
        </w:tc>
        <w:tc>
          <w:tcPr>
            <w:tcW w:w="1184" w:type="pct"/>
            <w:tcBorders>
              <w:top w:val="nil"/>
              <w:left w:val="nil"/>
              <w:bottom w:val="single" w:sz="4" w:space="0" w:color="auto"/>
              <w:right w:val="single" w:sz="4" w:space="0" w:color="auto"/>
            </w:tcBorders>
            <w:shd w:val="clear" w:color="auto" w:fill="auto"/>
            <w:noWrap/>
            <w:vAlign w:val="center"/>
            <w:hideMark/>
          </w:tcPr>
          <w:p w14:paraId="5ECDBCAB"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9</w:t>
            </w:r>
          </w:p>
        </w:tc>
        <w:tc>
          <w:tcPr>
            <w:tcW w:w="1184" w:type="pct"/>
            <w:tcBorders>
              <w:top w:val="nil"/>
              <w:left w:val="nil"/>
              <w:bottom w:val="single" w:sz="4" w:space="0" w:color="auto"/>
              <w:right w:val="single" w:sz="4" w:space="0" w:color="auto"/>
            </w:tcBorders>
            <w:shd w:val="clear" w:color="auto" w:fill="auto"/>
            <w:noWrap/>
            <w:vAlign w:val="center"/>
            <w:hideMark/>
          </w:tcPr>
          <w:p w14:paraId="15CBC42A"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9</w:t>
            </w:r>
          </w:p>
        </w:tc>
      </w:tr>
      <w:tr w:rsidR="00DD54E5" w14:paraId="346D3990" w14:textId="77777777" w:rsidTr="00F33CC2">
        <w:trPr>
          <w:trHeight w:val="227"/>
        </w:trPr>
        <w:tc>
          <w:tcPr>
            <w:tcW w:w="1448" w:type="pct"/>
            <w:tcBorders>
              <w:top w:val="nil"/>
              <w:left w:val="single" w:sz="4" w:space="0" w:color="auto"/>
              <w:bottom w:val="single" w:sz="4" w:space="0" w:color="auto"/>
              <w:right w:val="single" w:sz="4" w:space="0" w:color="auto"/>
            </w:tcBorders>
            <w:shd w:val="clear" w:color="auto" w:fill="auto"/>
            <w:noWrap/>
            <w:vAlign w:val="center"/>
            <w:hideMark/>
          </w:tcPr>
          <w:p w14:paraId="0DE9ABA6" w14:textId="0D698681" w:rsidR="00DD54E5" w:rsidRPr="003A0D22" w:rsidRDefault="00DD54E5" w:rsidP="00F76295">
            <w:pPr>
              <w:spacing w:after="0"/>
              <w:jc w:val="left"/>
              <w:rPr>
                <w:rFonts w:eastAsia="Times New Roman" w:cs="Calibri"/>
                <w:sz w:val="20"/>
                <w:szCs w:val="20"/>
                <w:lang w:eastAsia="cs-CZ"/>
              </w:rPr>
            </w:pPr>
            <w:r w:rsidRPr="003A0D22">
              <w:rPr>
                <w:rFonts w:eastAsia="Times New Roman" w:cs="Calibri"/>
                <w:sz w:val="20"/>
                <w:szCs w:val="20"/>
                <w:lang w:eastAsia="cs-CZ"/>
              </w:rPr>
              <w:t xml:space="preserve">CNG </w:t>
            </w:r>
            <w:r w:rsidR="00F76295">
              <w:rPr>
                <w:rFonts w:eastAsia="Times New Roman" w:cs="Calibri"/>
                <w:sz w:val="20"/>
                <w:szCs w:val="20"/>
                <w:lang w:eastAsia="cs-CZ"/>
              </w:rPr>
              <w:t>(</w:t>
            </w:r>
            <w:r w:rsidRPr="003A0D22">
              <w:rPr>
                <w:rFonts w:eastAsia="Times New Roman" w:cs="Calibri"/>
                <w:sz w:val="20"/>
                <w:szCs w:val="20"/>
                <w:lang w:eastAsia="cs-CZ"/>
              </w:rPr>
              <w:t>m</w:t>
            </w:r>
            <w:r w:rsidRPr="00536672">
              <w:rPr>
                <w:rFonts w:eastAsia="Times New Roman" w:cs="Calibri"/>
                <w:sz w:val="20"/>
                <w:szCs w:val="20"/>
                <w:vertAlign w:val="superscript"/>
                <w:lang w:eastAsia="cs-CZ"/>
              </w:rPr>
              <w:t>3</w:t>
            </w:r>
            <w:r w:rsidR="00F76295">
              <w:rPr>
                <w:rFonts w:eastAsia="Times New Roman" w:cs="Calibri"/>
                <w:sz w:val="20"/>
                <w:szCs w:val="20"/>
                <w:lang w:eastAsia="cs-CZ"/>
              </w:rPr>
              <w:t>)</w:t>
            </w:r>
          </w:p>
        </w:tc>
        <w:tc>
          <w:tcPr>
            <w:tcW w:w="1184" w:type="pct"/>
            <w:tcBorders>
              <w:top w:val="nil"/>
              <w:left w:val="nil"/>
              <w:bottom w:val="single" w:sz="4" w:space="0" w:color="auto"/>
              <w:right w:val="single" w:sz="4" w:space="0" w:color="auto"/>
            </w:tcBorders>
            <w:shd w:val="clear" w:color="auto" w:fill="auto"/>
            <w:noWrap/>
            <w:vAlign w:val="center"/>
            <w:hideMark/>
          </w:tcPr>
          <w:p w14:paraId="586AC48A"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4 134</w:t>
            </w:r>
          </w:p>
        </w:tc>
        <w:tc>
          <w:tcPr>
            <w:tcW w:w="1184" w:type="pct"/>
            <w:tcBorders>
              <w:top w:val="nil"/>
              <w:left w:val="nil"/>
              <w:bottom w:val="single" w:sz="4" w:space="0" w:color="auto"/>
              <w:right w:val="single" w:sz="4" w:space="0" w:color="auto"/>
            </w:tcBorders>
            <w:shd w:val="clear" w:color="auto" w:fill="auto"/>
            <w:noWrap/>
            <w:vAlign w:val="center"/>
            <w:hideMark/>
          </w:tcPr>
          <w:p w14:paraId="1302B5AE"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5 617</w:t>
            </w:r>
          </w:p>
        </w:tc>
        <w:tc>
          <w:tcPr>
            <w:tcW w:w="1184" w:type="pct"/>
            <w:tcBorders>
              <w:top w:val="nil"/>
              <w:left w:val="nil"/>
              <w:bottom w:val="single" w:sz="4" w:space="0" w:color="auto"/>
              <w:right w:val="single" w:sz="4" w:space="0" w:color="auto"/>
            </w:tcBorders>
            <w:shd w:val="clear" w:color="auto" w:fill="auto"/>
            <w:noWrap/>
            <w:vAlign w:val="center"/>
            <w:hideMark/>
          </w:tcPr>
          <w:p w14:paraId="6A009BFD" w14:textId="77777777" w:rsidR="00DD54E5" w:rsidRPr="003A0D22" w:rsidRDefault="00DD54E5" w:rsidP="00F33CC2">
            <w:pPr>
              <w:spacing w:after="0"/>
              <w:ind w:right="739"/>
              <w:jc w:val="right"/>
              <w:rPr>
                <w:rFonts w:eastAsia="Times New Roman" w:cs="Calibri"/>
                <w:color w:val="000000"/>
                <w:sz w:val="20"/>
                <w:szCs w:val="20"/>
                <w:lang w:eastAsia="cs-CZ"/>
              </w:rPr>
            </w:pPr>
            <w:r w:rsidRPr="003A0D22">
              <w:rPr>
                <w:rFonts w:eastAsia="Times New Roman" w:cs="Calibri"/>
                <w:color w:val="000000"/>
                <w:sz w:val="20"/>
                <w:szCs w:val="20"/>
                <w:lang w:eastAsia="cs-CZ"/>
              </w:rPr>
              <w:t>6 384</w:t>
            </w:r>
          </w:p>
        </w:tc>
      </w:tr>
    </w:tbl>
    <w:p w14:paraId="5D461E6E" w14:textId="2459C6E6" w:rsidR="00DD54E5" w:rsidRDefault="00DD54E5" w:rsidP="00357C66">
      <w:pPr>
        <w:spacing w:before="40" w:after="0"/>
        <w:ind w:left="567" w:hanging="567"/>
        <w:jc w:val="left"/>
        <w:rPr>
          <w:sz w:val="20"/>
          <w:szCs w:val="20"/>
          <w:lang w:eastAsia="cs-CZ"/>
        </w:rPr>
      </w:pPr>
      <w:r w:rsidRPr="00536672">
        <w:rPr>
          <w:b/>
          <w:sz w:val="20"/>
          <w:szCs w:val="20"/>
          <w:lang w:eastAsia="cs-CZ"/>
        </w:rPr>
        <w:t>Zdroj:</w:t>
      </w:r>
      <w:r w:rsidRPr="003A0D22">
        <w:rPr>
          <w:sz w:val="20"/>
          <w:szCs w:val="20"/>
          <w:lang w:eastAsia="cs-CZ"/>
        </w:rPr>
        <w:t xml:space="preserve"> </w:t>
      </w:r>
      <w:r w:rsidR="00C425D6">
        <w:rPr>
          <w:sz w:val="20"/>
          <w:szCs w:val="20"/>
          <w:lang w:eastAsia="cs-CZ"/>
        </w:rPr>
        <w:tab/>
      </w:r>
      <w:hyperlink r:id="rId65" w:history="1">
        <w:r w:rsidR="00C425D6" w:rsidRPr="00C425D6">
          <w:rPr>
            <w:rStyle w:val="Hypertextovodkaz"/>
            <w:sz w:val="20"/>
            <w:szCs w:val="20"/>
            <w:u w:val="none"/>
            <w:lang w:eastAsia="cs-CZ"/>
          </w:rPr>
          <w:t>https://www.sydos.cz/cs/rocenka-2017/rocenka/htm_cz/cz17_715000.html</w:t>
        </w:r>
      </w:hyperlink>
      <w:r w:rsidRPr="003A0D22">
        <w:rPr>
          <w:sz w:val="20"/>
          <w:szCs w:val="20"/>
          <w:lang w:eastAsia="cs-CZ"/>
        </w:rPr>
        <w:t xml:space="preserve">; </w:t>
      </w:r>
      <w:hyperlink r:id="rId66" w:history="1">
        <w:r w:rsidR="00C425D6" w:rsidRPr="00C425D6">
          <w:rPr>
            <w:rStyle w:val="Hypertextovodkaz"/>
            <w:sz w:val="20"/>
            <w:szCs w:val="20"/>
            <w:u w:val="none"/>
            <w:lang w:eastAsia="cs-CZ"/>
          </w:rPr>
          <w:t>http://www.cng4you.cz/cng-info/statistiky.html</w:t>
        </w:r>
      </w:hyperlink>
      <w:r>
        <w:rPr>
          <w:sz w:val="20"/>
          <w:szCs w:val="20"/>
          <w:lang w:eastAsia="cs-CZ"/>
        </w:rPr>
        <w:t>;</w:t>
      </w:r>
      <w:r w:rsidRPr="00067722">
        <w:rPr>
          <w:lang w:eastAsia="cs-CZ"/>
        </w:rPr>
        <w:t xml:space="preserve"> </w:t>
      </w:r>
      <w:hyperlink r:id="rId67" w:history="1">
        <w:r w:rsidR="00C425D6" w:rsidRPr="00C425D6">
          <w:rPr>
            <w:rStyle w:val="Hypertextovodkaz"/>
            <w:sz w:val="20"/>
            <w:szCs w:val="20"/>
            <w:u w:val="none"/>
            <w:lang w:eastAsia="cs-CZ"/>
          </w:rPr>
          <w:t>https://www.czso.cz/csu/czso/obyvatelstvo_hu</w:t>
        </w:r>
      </w:hyperlink>
      <w:r w:rsidRPr="00067722">
        <w:rPr>
          <w:sz w:val="20"/>
          <w:szCs w:val="20"/>
          <w:lang w:eastAsia="cs-CZ"/>
        </w:rPr>
        <w:t xml:space="preserve">; graf </w:t>
      </w:r>
      <w:r w:rsidR="00F76295">
        <w:rPr>
          <w:sz w:val="20"/>
          <w:szCs w:val="20"/>
          <w:lang w:eastAsia="cs-CZ"/>
        </w:rPr>
        <w:t>č. </w:t>
      </w:r>
      <w:r w:rsidRPr="00067722">
        <w:rPr>
          <w:sz w:val="20"/>
          <w:szCs w:val="20"/>
          <w:lang w:eastAsia="cs-CZ"/>
        </w:rPr>
        <w:t>1: Počet obyvatel, 1785</w:t>
      </w:r>
      <w:r w:rsidR="00F76295">
        <w:rPr>
          <w:sz w:val="20"/>
          <w:szCs w:val="20"/>
          <w:lang w:eastAsia="cs-CZ"/>
        </w:rPr>
        <w:t>–</w:t>
      </w:r>
      <w:r w:rsidRPr="00067722">
        <w:rPr>
          <w:sz w:val="20"/>
          <w:szCs w:val="20"/>
          <w:lang w:eastAsia="cs-CZ"/>
        </w:rPr>
        <w:t>2017, aktualizace k 5.</w:t>
      </w:r>
      <w:r>
        <w:rPr>
          <w:sz w:val="20"/>
          <w:szCs w:val="20"/>
          <w:lang w:eastAsia="cs-CZ"/>
        </w:rPr>
        <w:t xml:space="preserve"> </w:t>
      </w:r>
      <w:r w:rsidRPr="00067722">
        <w:rPr>
          <w:sz w:val="20"/>
          <w:szCs w:val="20"/>
          <w:lang w:eastAsia="cs-CZ"/>
        </w:rPr>
        <w:t>6.</w:t>
      </w:r>
      <w:r>
        <w:rPr>
          <w:sz w:val="20"/>
          <w:szCs w:val="20"/>
          <w:lang w:eastAsia="cs-CZ"/>
        </w:rPr>
        <w:t xml:space="preserve"> </w:t>
      </w:r>
      <w:r w:rsidRPr="00067722">
        <w:rPr>
          <w:sz w:val="20"/>
          <w:szCs w:val="20"/>
          <w:lang w:eastAsia="cs-CZ"/>
        </w:rPr>
        <w:t>2018</w:t>
      </w:r>
      <w:r>
        <w:rPr>
          <w:sz w:val="20"/>
          <w:szCs w:val="20"/>
          <w:lang w:eastAsia="cs-CZ"/>
        </w:rPr>
        <w:t>.</w:t>
      </w:r>
    </w:p>
    <w:p w14:paraId="660A48FC" w14:textId="77777777" w:rsidR="00357C66" w:rsidRDefault="00357C66" w:rsidP="00357C66">
      <w:pPr>
        <w:spacing w:after="0"/>
        <w:rPr>
          <w:sz w:val="20"/>
          <w:szCs w:val="20"/>
          <w:lang w:eastAsia="cs-CZ"/>
        </w:rPr>
      </w:pPr>
    </w:p>
    <w:p w14:paraId="339EE262" w14:textId="23303CB3" w:rsidR="00DD54E5" w:rsidRDefault="00F33CC2" w:rsidP="00F33CC2">
      <w:pPr>
        <w:pStyle w:val="Tabulka"/>
        <w:numPr>
          <w:ilvl w:val="0"/>
          <w:numId w:val="0"/>
        </w:numPr>
        <w:spacing w:after="40"/>
        <w:ind w:left="1446" w:hanging="1446"/>
        <w:rPr>
          <w:lang w:eastAsia="cs-CZ"/>
        </w:rPr>
      </w:pPr>
      <w:r>
        <w:rPr>
          <w:lang w:eastAsia="cs-CZ"/>
        </w:rPr>
        <w:t xml:space="preserve">Tabulka č. 23: </w:t>
      </w:r>
      <w:r>
        <w:rPr>
          <w:lang w:eastAsia="cs-CZ"/>
        </w:rPr>
        <w:tab/>
      </w:r>
      <w:r w:rsidR="00DD54E5" w:rsidRPr="0014437D">
        <w:rPr>
          <w:lang w:eastAsia="cs-CZ"/>
        </w:rPr>
        <w:t>Vývoj vybraných daní a jiných příjmů s environmen</w:t>
      </w:r>
      <w:r w:rsidR="00DD54E5">
        <w:rPr>
          <w:lang w:eastAsia="cs-CZ"/>
        </w:rPr>
        <w:t>tálním dopadem v letech 2013–</w:t>
      </w:r>
      <w:r w:rsidR="00DD54E5" w:rsidRPr="0014437D">
        <w:rPr>
          <w:lang w:eastAsia="cs-CZ"/>
        </w:rPr>
        <w:t xml:space="preserve">2018 (v </w:t>
      </w:r>
      <w:r w:rsidR="00F76295">
        <w:rPr>
          <w:lang w:eastAsia="cs-CZ"/>
        </w:rPr>
        <w:t>€</w:t>
      </w:r>
      <w:r w:rsidR="00DD54E5" w:rsidRPr="0014437D">
        <w:rPr>
          <w:lang w:eastAsia="cs-CZ"/>
        </w:rPr>
        <w:t>)</w:t>
      </w:r>
    </w:p>
    <w:tbl>
      <w:tblPr>
        <w:tblStyle w:val="Mkatabulky"/>
        <w:tblW w:w="9074" w:type="dxa"/>
        <w:tblLayout w:type="fixed"/>
        <w:tblLook w:val="04A0" w:firstRow="1" w:lastRow="0" w:firstColumn="1" w:lastColumn="0" w:noHBand="0" w:noVBand="1"/>
      </w:tblPr>
      <w:tblGrid>
        <w:gridCol w:w="2438"/>
        <w:gridCol w:w="1106"/>
        <w:gridCol w:w="1106"/>
        <w:gridCol w:w="1106"/>
        <w:gridCol w:w="1106"/>
        <w:gridCol w:w="1106"/>
        <w:gridCol w:w="1106"/>
      </w:tblGrid>
      <w:tr w:rsidR="00DD54E5" w:rsidRPr="00E82C73" w14:paraId="52EE8AAF" w14:textId="77777777" w:rsidTr="00FA7946">
        <w:trPr>
          <w:trHeight w:val="255"/>
        </w:trPr>
        <w:tc>
          <w:tcPr>
            <w:tcW w:w="2438" w:type="dxa"/>
            <w:shd w:val="clear" w:color="auto" w:fill="E5F1FF"/>
            <w:noWrap/>
            <w:vAlign w:val="center"/>
            <w:hideMark/>
          </w:tcPr>
          <w:p w14:paraId="715FA696" w14:textId="77777777" w:rsidR="00DD54E5" w:rsidRPr="00E82C73" w:rsidRDefault="00C54F4B" w:rsidP="00F76295">
            <w:pPr>
              <w:spacing w:after="0"/>
              <w:ind w:left="-57" w:right="-113"/>
              <w:jc w:val="center"/>
              <w:rPr>
                <w:rFonts w:asciiTheme="minorHAnsi" w:hAnsiTheme="minorHAnsi" w:cstheme="minorHAnsi"/>
                <w:b/>
                <w:bCs/>
                <w:sz w:val="20"/>
                <w:szCs w:val="20"/>
                <w:lang w:eastAsia="cs-CZ"/>
              </w:rPr>
            </w:pPr>
            <w:r>
              <w:rPr>
                <w:rFonts w:asciiTheme="minorHAnsi" w:hAnsiTheme="minorHAnsi" w:cstheme="minorHAnsi"/>
                <w:b/>
                <w:bCs/>
                <w:sz w:val="20"/>
                <w:szCs w:val="20"/>
                <w:lang w:eastAsia="cs-CZ"/>
              </w:rPr>
              <w:t>Daně s </w:t>
            </w:r>
            <w:r w:rsidR="00DD54E5" w:rsidRPr="00E82C73">
              <w:rPr>
                <w:rFonts w:asciiTheme="minorHAnsi" w:hAnsiTheme="minorHAnsi" w:cstheme="minorHAnsi"/>
                <w:b/>
                <w:bCs/>
                <w:sz w:val="20"/>
                <w:szCs w:val="20"/>
                <w:lang w:eastAsia="cs-CZ"/>
              </w:rPr>
              <w:t>environmentálním dopadem</w:t>
            </w:r>
          </w:p>
        </w:tc>
        <w:tc>
          <w:tcPr>
            <w:tcW w:w="1106" w:type="dxa"/>
            <w:shd w:val="clear" w:color="auto" w:fill="E5F1FF"/>
            <w:noWrap/>
            <w:vAlign w:val="center"/>
            <w:hideMark/>
          </w:tcPr>
          <w:p w14:paraId="7D86B24A" w14:textId="77777777" w:rsidR="00DD54E5" w:rsidRPr="00E82C73" w:rsidRDefault="00DD54E5" w:rsidP="00F33CC2">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2013</w:t>
            </w:r>
          </w:p>
        </w:tc>
        <w:tc>
          <w:tcPr>
            <w:tcW w:w="1106" w:type="dxa"/>
            <w:shd w:val="clear" w:color="auto" w:fill="E5F1FF"/>
            <w:noWrap/>
            <w:vAlign w:val="center"/>
            <w:hideMark/>
          </w:tcPr>
          <w:p w14:paraId="3372AD01" w14:textId="77777777" w:rsidR="00DD54E5" w:rsidRPr="00E82C73" w:rsidRDefault="00DD54E5" w:rsidP="00F76295">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2014</w:t>
            </w:r>
          </w:p>
        </w:tc>
        <w:tc>
          <w:tcPr>
            <w:tcW w:w="1106" w:type="dxa"/>
            <w:shd w:val="clear" w:color="auto" w:fill="E5F1FF"/>
            <w:noWrap/>
            <w:vAlign w:val="center"/>
            <w:hideMark/>
          </w:tcPr>
          <w:p w14:paraId="5163DD66" w14:textId="77777777" w:rsidR="00DD54E5" w:rsidRPr="00E82C73" w:rsidRDefault="00DD54E5" w:rsidP="00F33CC2">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2015</w:t>
            </w:r>
          </w:p>
        </w:tc>
        <w:tc>
          <w:tcPr>
            <w:tcW w:w="1106" w:type="dxa"/>
            <w:shd w:val="clear" w:color="auto" w:fill="E5F1FF"/>
            <w:noWrap/>
            <w:vAlign w:val="center"/>
            <w:hideMark/>
          </w:tcPr>
          <w:p w14:paraId="7F316A51" w14:textId="77777777" w:rsidR="00DD54E5" w:rsidRPr="00E82C73" w:rsidRDefault="00DD54E5" w:rsidP="00F33CC2">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2016</w:t>
            </w:r>
          </w:p>
        </w:tc>
        <w:tc>
          <w:tcPr>
            <w:tcW w:w="1106" w:type="dxa"/>
            <w:shd w:val="clear" w:color="auto" w:fill="E5F1FF"/>
            <w:noWrap/>
            <w:vAlign w:val="center"/>
            <w:hideMark/>
          </w:tcPr>
          <w:p w14:paraId="25C8A495" w14:textId="77777777" w:rsidR="00DD54E5" w:rsidRPr="00E82C73" w:rsidRDefault="00DD54E5" w:rsidP="00F33CC2">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2017</w:t>
            </w:r>
          </w:p>
        </w:tc>
        <w:tc>
          <w:tcPr>
            <w:tcW w:w="1106" w:type="dxa"/>
            <w:shd w:val="clear" w:color="auto" w:fill="E5F1FF"/>
            <w:noWrap/>
            <w:vAlign w:val="center"/>
            <w:hideMark/>
          </w:tcPr>
          <w:p w14:paraId="1D5EA50C" w14:textId="77777777" w:rsidR="00DD54E5" w:rsidRPr="00E82C73" w:rsidRDefault="00DD54E5" w:rsidP="00F33CC2">
            <w:pPr>
              <w:spacing w:after="0"/>
              <w:ind w:left="-57" w:right="-57"/>
              <w:jc w:val="center"/>
              <w:rPr>
                <w:rFonts w:asciiTheme="minorHAnsi" w:hAnsiTheme="minorHAnsi" w:cstheme="minorHAnsi"/>
                <w:b/>
                <w:bCs/>
                <w:sz w:val="20"/>
                <w:szCs w:val="20"/>
                <w:lang w:eastAsia="cs-CZ"/>
              </w:rPr>
            </w:pPr>
            <w:r w:rsidRPr="00E82C73">
              <w:rPr>
                <w:rFonts w:asciiTheme="minorHAnsi" w:hAnsiTheme="minorHAnsi" w:cstheme="minorHAnsi"/>
                <w:b/>
                <w:bCs/>
                <w:sz w:val="20"/>
                <w:szCs w:val="20"/>
                <w:lang w:eastAsia="cs-CZ"/>
              </w:rPr>
              <w:t>2018</w:t>
            </w:r>
          </w:p>
        </w:tc>
      </w:tr>
      <w:tr w:rsidR="00DD54E5" w14:paraId="456CD2C8" w14:textId="77777777" w:rsidTr="00FA7946">
        <w:trPr>
          <w:trHeight w:val="255"/>
        </w:trPr>
        <w:tc>
          <w:tcPr>
            <w:tcW w:w="2438" w:type="dxa"/>
            <w:noWrap/>
            <w:vAlign w:val="center"/>
            <w:hideMark/>
          </w:tcPr>
          <w:p w14:paraId="244B46CC" w14:textId="77777777" w:rsidR="00DD54E5" w:rsidRPr="006B55A2" w:rsidRDefault="00DD54E5" w:rsidP="00F76295">
            <w:pPr>
              <w:spacing w:after="0"/>
              <w:ind w:left="-57" w:right="-113"/>
              <w:jc w:val="lef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 xml:space="preserve">Daně z energií celkem </w:t>
            </w:r>
          </w:p>
        </w:tc>
        <w:tc>
          <w:tcPr>
            <w:tcW w:w="1106" w:type="dxa"/>
            <w:noWrap/>
            <w:vAlign w:val="center"/>
            <w:hideMark/>
          </w:tcPr>
          <w:p w14:paraId="76E7D72C"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3 313 215 248</w:t>
            </w:r>
          </w:p>
        </w:tc>
        <w:tc>
          <w:tcPr>
            <w:tcW w:w="1106" w:type="dxa"/>
            <w:noWrap/>
            <w:vAlign w:val="center"/>
            <w:hideMark/>
          </w:tcPr>
          <w:p w14:paraId="3736B5BC" w14:textId="77777777" w:rsidR="00DD54E5" w:rsidRPr="006B55A2" w:rsidRDefault="00DD54E5" w:rsidP="00F76295">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3 332 016 721</w:t>
            </w:r>
          </w:p>
        </w:tc>
        <w:tc>
          <w:tcPr>
            <w:tcW w:w="1106" w:type="dxa"/>
            <w:noWrap/>
            <w:vAlign w:val="center"/>
            <w:hideMark/>
          </w:tcPr>
          <w:p w14:paraId="48E6C5C9"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3 532 319 476</w:t>
            </w:r>
          </w:p>
        </w:tc>
        <w:tc>
          <w:tcPr>
            <w:tcW w:w="1106" w:type="dxa"/>
            <w:noWrap/>
            <w:vAlign w:val="center"/>
            <w:hideMark/>
          </w:tcPr>
          <w:p w14:paraId="583E9DB7"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3 712 836 155</w:t>
            </w:r>
          </w:p>
        </w:tc>
        <w:tc>
          <w:tcPr>
            <w:tcW w:w="1106" w:type="dxa"/>
            <w:noWrap/>
            <w:vAlign w:val="center"/>
            <w:hideMark/>
          </w:tcPr>
          <w:p w14:paraId="75354C52"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3 873 292 961</w:t>
            </w:r>
          </w:p>
        </w:tc>
        <w:tc>
          <w:tcPr>
            <w:tcW w:w="1106" w:type="dxa"/>
            <w:noWrap/>
            <w:vAlign w:val="center"/>
            <w:hideMark/>
          </w:tcPr>
          <w:p w14:paraId="18BDD3A3"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4 107 824 825</w:t>
            </w:r>
          </w:p>
        </w:tc>
      </w:tr>
      <w:tr w:rsidR="00DD54E5" w14:paraId="199B8F78" w14:textId="77777777" w:rsidTr="00FA7946">
        <w:trPr>
          <w:trHeight w:val="255"/>
        </w:trPr>
        <w:tc>
          <w:tcPr>
            <w:tcW w:w="2438" w:type="dxa"/>
            <w:noWrap/>
            <w:vAlign w:val="center"/>
            <w:hideMark/>
          </w:tcPr>
          <w:p w14:paraId="7ADF0FD4" w14:textId="0C955C06"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V</w:t>
            </w:r>
            <w:r w:rsidR="00DD54E5" w:rsidRPr="006B55A2">
              <w:rPr>
                <w:rFonts w:asciiTheme="minorHAnsi" w:hAnsiTheme="minorHAnsi" w:cstheme="minorHAnsi"/>
                <w:sz w:val="16"/>
                <w:szCs w:val="16"/>
                <w:lang w:eastAsia="cs-CZ"/>
              </w:rPr>
              <w:t>yměřená daň z minerálních olejů*</w:t>
            </w:r>
          </w:p>
        </w:tc>
        <w:tc>
          <w:tcPr>
            <w:tcW w:w="1106" w:type="dxa"/>
            <w:noWrap/>
            <w:vAlign w:val="center"/>
            <w:hideMark/>
          </w:tcPr>
          <w:p w14:paraId="5A6F3BAA"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3 109 742 041</w:t>
            </w:r>
          </w:p>
        </w:tc>
        <w:tc>
          <w:tcPr>
            <w:tcW w:w="1106" w:type="dxa"/>
            <w:noWrap/>
            <w:vAlign w:val="center"/>
            <w:hideMark/>
          </w:tcPr>
          <w:p w14:paraId="7850C823"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3 165 485 017</w:t>
            </w:r>
          </w:p>
        </w:tc>
        <w:tc>
          <w:tcPr>
            <w:tcW w:w="1106" w:type="dxa"/>
            <w:noWrap/>
            <w:vAlign w:val="center"/>
            <w:hideMark/>
          </w:tcPr>
          <w:p w14:paraId="4E1AEFAF"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3 308 046 908</w:t>
            </w:r>
          </w:p>
        </w:tc>
        <w:tc>
          <w:tcPr>
            <w:tcW w:w="1106" w:type="dxa"/>
            <w:noWrap/>
            <w:vAlign w:val="center"/>
            <w:hideMark/>
          </w:tcPr>
          <w:p w14:paraId="7A69E7E9"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3 469 856 812</w:t>
            </w:r>
          </w:p>
        </w:tc>
        <w:tc>
          <w:tcPr>
            <w:tcW w:w="1106" w:type="dxa"/>
            <w:noWrap/>
            <w:vAlign w:val="center"/>
            <w:hideMark/>
          </w:tcPr>
          <w:p w14:paraId="4BF2BF98"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3 545 031 770</w:t>
            </w:r>
          </w:p>
        </w:tc>
        <w:tc>
          <w:tcPr>
            <w:tcW w:w="1106" w:type="dxa"/>
            <w:noWrap/>
            <w:vAlign w:val="center"/>
            <w:hideMark/>
          </w:tcPr>
          <w:p w14:paraId="3AACFE10"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3 598 290 621</w:t>
            </w:r>
          </w:p>
        </w:tc>
      </w:tr>
      <w:tr w:rsidR="00DD54E5" w14:paraId="27A84E67" w14:textId="77777777" w:rsidTr="00FA7946">
        <w:trPr>
          <w:trHeight w:val="255"/>
        </w:trPr>
        <w:tc>
          <w:tcPr>
            <w:tcW w:w="2438" w:type="dxa"/>
            <w:noWrap/>
            <w:vAlign w:val="center"/>
            <w:hideMark/>
          </w:tcPr>
          <w:p w14:paraId="7FDBB865" w14:textId="58F8001C"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V</w:t>
            </w:r>
            <w:r w:rsidR="00DD54E5" w:rsidRPr="006B55A2">
              <w:rPr>
                <w:rFonts w:asciiTheme="minorHAnsi" w:hAnsiTheme="minorHAnsi" w:cstheme="minorHAnsi"/>
                <w:sz w:val="16"/>
                <w:szCs w:val="16"/>
                <w:lang w:eastAsia="cs-CZ"/>
              </w:rPr>
              <w:t>yměřená daň z elektřiny</w:t>
            </w:r>
          </w:p>
        </w:tc>
        <w:tc>
          <w:tcPr>
            <w:tcW w:w="1106" w:type="dxa"/>
            <w:noWrap/>
            <w:vAlign w:val="center"/>
            <w:hideMark/>
          </w:tcPr>
          <w:p w14:paraId="2B3DF7AC"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50 311 576</w:t>
            </w:r>
          </w:p>
        </w:tc>
        <w:tc>
          <w:tcPr>
            <w:tcW w:w="1106" w:type="dxa"/>
            <w:noWrap/>
            <w:vAlign w:val="center"/>
            <w:hideMark/>
          </w:tcPr>
          <w:p w14:paraId="03535A6E"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48 400 182</w:t>
            </w:r>
          </w:p>
        </w:tc>
        <w:tc>
          <w:tcPr>
            <w:tcW w:w="1106" w:type="dxa"/>
            <w:noWrap/>
            <w:vAlign w:val="center"/>
            <w:hideMark/>
          </w:tcPr>
          <w:p w14:paraId="2FC0D261"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47 387 986</w:t>
            </w:r>
          </w:p>
        </w:tc>
        <w:tc>
          <w:tcPr>
            <w:tcW w:w="1106" w:type="dxa"/>
            <w:noWrap/>
            <w:vAlign w:val="center"/>
            <w:hideMark/>
          </w:tcPr>
          <w:p w14:paraId="1353915C"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57 333 030</w:t>
            </w:r>
          </w:p>
        </w:tc>
        <w:tc>
          <w:tcPr>
            <w:tcW w:w="1106" w:type="dxa"/>
            <w:noWrap/>
            <w:vAlign w:val="center"/>
            <w:hideMark/>
          </w:tcPr>
          <w:p w14:paraId="07FC30CB"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59 370 135</w:t>
            </w:r>
          </w:p>
        </w:tc>
        <w:tc>
          <w:tcPr>
            <w:tcW w:w="1106" w:type="dxa"/>
            <w:noWrap/>
            <w:vAlign w:val="center"/>
            <w:hideMark/>
          </w:tcPr>
          <w:p w14:paraId="70E8A253"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58 953 788</w:t>
            </w:r>
          </w:p>
        </w:tc>
      </w:tr>
      <w:tr w:rsidR="00DD54E5" w14:paraId="2AE975AA" w14:textId="77777777" w:rsidTr="00FA7946">
        <w:trPr>
          <w:trHeight w:val="255"/>
        </w:trPr>
        <w:tc>
          <w:tcPr>
            <w:tcW w:w="2438" w:type="dxa"/>
            <w:noWrap/>
            <w:vAlign w:val="center"/>
            <w:hideMark/>
          </w:tcPr>
          <w:p w14:paraId="7ED48FD1" w14:textId="3D291946"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V</w:t>
            </w:r>
            <w:r w:rsidR="00DD54E5" w:rsidRPr="006B55A2">
              <w:rPr>
                <w:rFonts w:asciiTheme="minorHAnsi" w:hAnsiTheme="minorHAnsi" w:cstheme="minorHAnsi"/>
                <w:sz w:val="16"/>
                <w:szCs w:val="16"/>
                <w:lang w:eastAsia="cs-CZ"/>
              </w:rPr>
              <w:t>yměřená daň z pevných paliv</w:t>
            </w:r>
          </w:p>
        </w:tc>
        <w:tc>
          <w:tcPr>
            <w:tcW w:w="1106" w:type="dxa"/>
            <w:noWrap/>
            <w:vAlign w:val="center"/>
            <w:hideMark/>
          </w:tcPr>
          <w:p w14:paraId="3B9E534A"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18 092 887</w:t>
            </w:r>
          </w:p>
        </w:tc>
        <w:tc>
          <w:tcPr>
            <w:tcW w:w="1106" w:type="dxa"/>
            <w:noWrap/>
            <w:vAlign w:val="center"/>
            <w:hideMark/>
          </w:tcPr>
          <w:p w14:paraId="43EE1C38"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15 483 643</w:t>
            </w:r>
          </w:p>
        </w:tc>
        <w:tc>
          <w:tcPr>
            <w:tcW w:w="1106" w:type="dxa"/>
            <w:noWrap/>
            <w:vAlign w:val="center"/>
            <w:hideMark/>
          </w:tcPr>
          <w:p w14:paraId="20BD5E1F"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15 970 852</w:t>
            </w:r>
          </w:p>
        </w:tc>
        <w:tc>
          <w:tcPr>
            <w:tcW w:w="1106" w:type="dxa"/>
            <w:noWrap/>
            <w:vAlign w:val="center"/>
            <w:hideMark/>
          </w:tcPr>
          <w:p w14:paraId="1BD09392"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16 735 962</w:t>
            </w:r>
          </w:p>
        </w:tc>
        <w:tc>
          <w:tcPr>
            <w:tcW w:w="1106" w:type="dxa"/>
            <w:noWrap/>
            <w:vAlign w:val="center"/>
            <w:hideMark/>
          </w:tcPr>
          <w:p w14:paraId="2BBA0662"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17 460 409</w:t>
            </w:r>
          </w:p>
        </w:tc>
        <w:tc>
          <w:tcPr>
            <w:tcW w:w="1106" w:type="dxa"/>
            <w:noWrap/>
            <w:vAlign w:val="center"/>
            <w:hideMark/>
          </w:tcPr>
          <w:p w14:paraId="1A9395E0"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15 367 124</w:t>
            </w:r>
          </w:p>
        </w:tc>
      </w:tr>
      <w:tr w:rsidR="00DD54E5" w14:paraId="42C0013D" w14:textId="77777777" w:rsidTr="00FA7946">
        <w:trPr>
          <w:trHeight w:val="255"/>
        </w:trPr>
        <w:tc>
          <w:tcPr>
            <w:tcW w:w="2438" w:type="dxa"/>
            <w:noWrap/>
            <w:vAlign w:val="center"/>
            <w:hideMark/>
          </w:tcPr>
          <w:p w14:paraId="5953B294" w14:textId="6CBB69DE"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V</w:t>
            </w:r>
            <w:r w:rsidR="00DD54E5" w:rsidRPr="006B55A2">
              <w:rPr>
                <w:rFonts w:asciiTheme="minorHAnsi" w:hAnsiTheme="minorHAnsi" w:cstheme="minorHAnsi"/>
                <w:sz w:val="16"/>
                <w:szCs w:val="16"/>
                <w:lang w:eastAsia="cs-CZ"/>
              </w:rPr>
              <w:t>yměřená daň ze zemního plynu a</w:t>
            </w:r>
            <w:r w:rsidR="00357C66">
              <w:rPr>
                <w:rFonts w:asciiTheme="minorHAnsi" w:hAnsiTheme="minorHAnsi" w:cstheme="minorHAnsi"/>
                <w:sz w:val="16"/>
                <w:szCs w:val="16"/>
                <w:lang w:eastAsia="cs-CZ"/>
              </w:rPr>
              <w:t> </w:t>
            </w:r>
            <w:r w:rsidR="00DD54E5" w:rsidRPr="006B55A2">
              <w:rPr>
                <w:rFonts w:asciiTheme="minorHAnsi" w:hAnsiTheme="minorHAnsi" w:cstheme="minorHAnsi"/>
                <w:sz w:val="16"/>
                <w:szCs w:val="16"/>
                <w:lang w:eastAsia="cs-CZ"/>
              </w:rPr>
              <w:t>ostatních plynů</w:t>
            </w:r>
          </w:p>
        </w:tc>
        <w:tc>
          <w:tcPr>
            <w:tcW w:w="1106" w:type="dxa"/>
            <w:noWrap/>
            <w:vAlign w:val="center"/>
            <w:hideMark/>
          </w:tcPr>
          <w:p w14:paraId="7AF6BDF7"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48 485 123</w:t>
            </w:r>
          </w:p>
        </w:tc>
        <w:tc>
          <w:tcPr>
            <w:tcW w:w="1106" w:type="dxa"/>
            <w:noWrap/>
            <w:vAlign w:val="center"/>
            <w:hideMark/>
          </w:tcPr>
          <w:p w14:paraId="66E2A3A4"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43 852 047</w:t>
            </w:r>
          </w:p>
        </w:tc>
        <w:tc>
          <w:tcPr>
            <w:tcW w:w="1106" w:type="dxa"/>
            <w:noWrap/>
            <w:vAlign w:val="center"/>
            <w:hideMark/>
          </w:tcPr>
          <w:p w14:paraId="1FACAE9C"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44 006 328</w:t>
            </w:r>
          </w:p>
        </w:tc>
        <w:tc>
          <w:tcPr>
            <w:tcW w:w="1106" w:type="dxa"/>
            <w:noWrap/>
            <w:vAlign w:val="center"/>
            <w:hideMark/>
          </w:tcPr>
          <w:p w14:paraId="3EB35CF4"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46 306 163</w:t>
            </w:r>
          </w:p>
        </w:tc>
        <w:tc>
          <w:tcPr>
            <w:tcW w:w="1106" w:type="dxa"/>
            <w:noWrap/>
            <w:vAlign w:val="center"/>
            <w:hideMark/>
          </w:tcPr>
          <w:p w14:paraId="0201E505"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49 717 917</w:t>
            </w:r>
          </w:p>
        </w:tc>
        <w:tc>
          <w:tcPr>
            <w:tcW w:w="1106" w:type="dxa"/>
            <w:noWrap/>
            <w:vAlign w:val="center"/>
            <w:hideMark/>
          </w:tcPr>
          <w:p w14:paraId="1DBBA545"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49 985 307</w:t>
            </w:r>
          </w:p>
        </w:tc>
      </w:tr>
      <w:tr w:rsidR="00DD54E5" w14:paraId="6CB8D6F1" w14:textId="77777777" w:rsidTr="00FA7946">
        <w:trPr>
          <w:trHeight w:val="255"/>
        </w:trPr>
        <w:tc>
          <w:tcPr>
            <w:tcW w:w="2438" w:type="dxa"/>
            <w:noWrap/>
            <w:vAlign w:val="center"/>
            <w:hideMark/>
          </w:tcPr>
          <w:p w14:paraId="5AFC6257" w14:textId="6CD968E0"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E</w:t>
            </w:r>
            <w:r w:rsidR="00DD54E5" w:rsidRPr="006B55A2">
              <w:rPr>
                <w:rFonts w:asciiTheme="minorHAnsi" w:hAnsiTheme="minorHAnsi" w:cstheme="minorHAnsi"/>
                <w:sz w:val="16"/>
                <w:szCs w:val="16"/>
                <w:lang w:eastAsia="cs-CZ"/>
              </w:rPr>
              <w:t>misní povolenky</w:t>
            </w:r>
          </w:p>
        </w:tc>
        <w:tc>
          <w:tcPr>
            <w:tcW w:w="1106" w:type="dxa"/>
            <w:noWrap/>
            <w:vAlign w:val="center"/>
            <w:hideMark/>
          </w:tcPr>
          <w:p w14:paraId="1F559400"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86 583 622</w:t>
            </w:r>
          </w:p>
        </w:tc>
        <w:tc>
          <w:tcPr>
            <w:tcW w:w="1106" w:type="dxa"/>
            <w:noWrap/>
            <w:vAlign w:val="center"/>
            <w:hideMark/>
          </w:tcPr>
          <w:p w14:paraId="311B8929"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58 795 833</w:t>
            </w:r>
          </w:p>
        </w:tc>
        <w:tc>
          <w:tcPr>
            <w:tcW w:w="1106" w:type="dxa"/>
            <w:noWrap/>
            <w:vAlign w:val="center"/>
            <w:hideMark/>
          </w:tcPr>
          <w:p w14:paraId="0869B67A"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116 907 401</w:t>
            </w:r>
          </w:p>
        </w:tc>
        <w:tc>
          <w:tcPr>
            <w:tcW w:w="1106" w:type="dxa"/>
            <w:noWrap/>
            <w:vAlign w:val="center"/>
            <w:hideMark/>
          </w:tcPr>
          <w:p w14:paraId="5A8A0BDC"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122 604 187</w:t>
            </w:r>
          </w:p>
        </w:tc>
        <w:tc>
          <w:tcPr>
            <w:tcW w:w="1106" w:type="dxa"/>
            <w:noWrap/>
            <w:vAlign w:val="center"/>
            <w:hideMark/>
          </w:tcPr>
          <w:p w14:paraId="7CF5D0D5"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201 712 729</w:t>
            </w:r>
          </w:p>
        </w:tc>
        <w:tc>
          <w:tcPr>
            <w:tcW w:w="1106" w:type="dxa"/>
            <w:noWrap/>
            <w:vAlign w:val="center"/>
            <w:hideMark/>
          </w:tcPr>
          <w:p w14:paraId="7D597A61"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385 227 985</w:t>
            </w:r>
          </w:p>
        </w:tc>
      </w:tr>
      <w:tr w:rsidR="00DD54E5" w14:paraId="511BAFB3" w14:textId="77777777" w:rsidTr="00FA7946">
        <w:trPr>
          <w:trHeight w:val="255"/>
        </w:trPr>
        <w:tc>
          <w:tcPr>
            <w:tcW w:w="2438" w:type="dxa"/>
            <w:noWrap/>
            <w:vAlign w:val="center"/>
            <w:hideMark/>
          </w:tcPr>
          <w:p w14:paraId="0A1AD790" w14:textId="77777777" w:rsidR="00DD54E5" w:rsidRPr="006B55A2" w:rsidRDefault="00DD54E5" w:rsidP="00F76295">
            <w:pPr>
              <w:spacing w:after="0"/>
              <w:ind w:left="-57" w:right="-113"/>
              <w:jc w:val="lef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Daně z dopravy celkem</w:t>
            </w:r>
          </w:p>
        </w:tc>
        <w:tc>
          <w:tcPr>
            <w:tcW w:w="1106" w:type="dxa"/>
            <w:noWrap/>
            <w:vAlign w:val="center"/>
            <w:hideMark/>
          </w:tcPr>
          <w:p w14:paraId="42CC541A"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544 561 903</w:t>
            </w:r>
          </w:p>
        </w:tc>
        <w:tc>
          <w:tcPr>
            <w:tcW w:w="1106" w:type="dxa"/>
            <w:noWrap/>
            <w:vAlign w:val="center"/>
            <w:hideMark/>
          </w:tcPr>
          <w:p w14:paraId="33C34A67" w14:textId="77777777" w:rsidR="00DD54E5" w:rsidRPr="006B55A2" w:rsidRDefault="00DD54E5" w:rsidP="00F76295">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561 986 018</w:t>
            </w:r>
          </w:p>
        </w:tc>
        <w:tc>
          <w:tcPr>
            <w:tcW w:w="1106" w:type="dxa"/>
            <w:noWrap/>
            <w:vAlign w:val="center"/>
            <w:hideMark/>
          </w:tcPr>
          <w:p w14:paraId="660A2CE7"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615 843 004</w:t>
            </w:r>
          </w:p>
        </w:tc>
        <w:tc>
          <w:tcPr>
            <w:tcW w:w="1106" w:type="dxa"/>
            <w:noWrap/>
            <w:vAlign w:val="center"/>
            <w:hideMark/>
          </w:tcPr>
          <w:p w14:paraId="2F6991CE"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621 753 973</w:t>
            </w:r>
          </w:p>
        </w:tc>
        <w:tc>
          <w:tcPr>
            <w:tcW w:w="1106" w:type="dxa"/>
            <w:noWrap/>
            <w:vAlign w:val="center"/>
            <w:hideMark/>
          </w:tcPr>
          <w:p w14:paraId="000B574B"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649 129 891</w:t>
            </w:r>
          </w:p>
        </w:tc>
        <w:tc>
          <w:tcPr>
            <w:tcW w:w="1106" w:type="dxa"/>
            <w:noWrap/>
            <w:vAlign w:val="center"/>
            <w:hideMark/>
          </w:tcPr>
          <w:p w14:paraId="4E208859"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660 016 946</w:t>
            </w:r>
          </w:p>
        </w:tc>
      </w:tr>
      <w:tr w:rsidR="00DD54E5" w14:paraId="332D649F" w14:textId="77777777" w:rsidTr="00FA7946">
        <w:trPr>
          <w:trHeight w:val="255"/>
        </w:trPr>
        <w:tc>
          <w:tcPr>
            <w:tcW w:w="2438" w:type="dxa"/>
            <w:noWrap/>
            <w:vAlign w:val="center"/>
            <w:hideMark/>
          </w:tcPr>
          <w:p w14:paraId="2E3046B0" w14:textId="797C3DF2"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I</w:t>
            </w:r>
            <w:r w:rsidR="00DD54E5" w:rsidRPr="006B55A2">
              <w:rPr>
                <w:rFonts w:asciiTheme="minorHAnsi" w:hAnsiTheme="minorHAnsi" w:cstheme="minorHAnsi"/>
                <w:sz w:val="16"/>
                <w:szCs w:val="16"/>
                <w:lang w:eastAsia="cs-CZ"/>
              </w:rPr>
              <w:t>nkaso da</w:t>
            </w:r>
            <w:r>
              <w:rPr>
                <w:rFonts w:asciiTheme="minorHAnsi" w:hAnsiTheme="minorHAnsi" w:cstheme="minorHAnsi"/>
                <w:sz w:val="16"/>
                <w:szCs w:val="16"/>
                <w:lang w:eastAsia="cs-CZ"/>
              </w:rPr>
              <w:t>ně</w:t>
            </w:r>
            <w:r w:rsidR="00DD54E5" w:rsidRPr="006B55A2">
              <w:rPr>
                <w:rFonts w:asciiTheme="minorHAnsi" w:hAnsiTheme="minorHAnsi" w:cstheme="minorHAnsi"/>
                <w:sz w:val="16"/>
                <w:szCs w:val="16"/>
                <w:lang w:eastAsia="cs-CZ"/>
              </w:rPr>
              <w:t xml:space="preserve"> z motorových vozidel</w:t>
            </w:r>
            <w:r w:rsidR="00357C66">
              <w:rPr>
                <w:rFonts w:asciiTheme="minorHAnsi" w:hAnsiTheme="minorHAnsi" w:cstheme="minorHAnsi"/>
                <w:sz w:val="16"/>
                <w:szCs w:val="16"/>
                <w:lang w:eastAsia="cs-CZ"/>
              </w:rPr>
              <w:t> </w:t>
            </w:r>
            <w:r>
              <w:rPr>
                <w:rFonts w:asciiTheme="minorHAnsi" w:hAnsiTheme="minorHAnsi" w:cstheme="minorHAnsi"/>
                <w:sz w:val="16"/>
                <w:szCs w:val="16"/>
                <w:lang w:eastAsia="cs-CZ"/>
              </w:rPr>
              <w:t>–</w:t>
            </w:r>
            <w:r w:rsidR="00DD54E5" w:rsidRPr="006B55A2">
              <w:rPr>
                <w:rFonts w:asciiTheme="minorHAnsi" w:hAnsiTheme="minorHAnsi" w:cstheme="minorHAnsi"/>
                <w:sz w:val="16"/>
                <w:szCs w:val="16"/>
                <w:lang w:eastAsia="cs-CZ"/>
              </w:rPr>
              <w:t xml:space="preserve"> silniční daň</w:t>
            </w:r>
          </w:p>
        </w:tc>
        <w:tc>
          <w:tcPr>
            <w:tcW w:w="1106" w:type="dxa"/>
            <w:noWrap/>
            <w:vAlign w:val="center"/>
            <w:hideMark/>
          </w:tcPr>
          <w:p w14:paraId="0D148D8E"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203 748 068</w:t>
            </w:r>
          </w:p>
        </w:tc>
        <w:tc>
          <w:tcPr>
            <w:tcW w:w="1106" w:type="dxa"/>
            <w:noWrap/>
            <w:vAlign w:val="center"/>
            <w:hideMark/>
          </w:tcPr>
          <w:p w14:paraId="68873C3A"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214 026 275</w:t>
            </w:r>
          </w:p>
        </w:tc>
        <w:tc>
          <w:tcPr>
            <w:tcW w:w="1106" w:type="dxa"/>
            <w:noWrap/>
            <w:vAlign w:val="center"/>
            <w:hideMark/>
          </w:tcPr>
          <w:p w14:paraId="271E6D64"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224 652 241</w:t>
            </w:r>
          </w:p>
        </w:tc>
        <w:tc>
          <w:tcPr>
            <w:tcW w:w="1106" w:type="dxa"/>
            <w:noWrap/>
            <w:vAlign w:val="center"/>
            <w:hideMark/>
          </w:tcPr>
          <w:p w14:paraId="55575385"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230 680 062</w:t>
            </w:r>
          </w:p>
        </w:tc>
        <w:tc>
          <w:tcPr>
            <w:tcW w:w="1106" w:type="dxa"/>
            <w:noWrap/>
            <w:vAlign w:val="center"/>
            <w:hideMark/>
          </w:tcPr>
          <w:p w14:paraId="122BE604"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239 219 474</w:t>
            </w:r>
          </w:p>
        </w:tc>
        <w:tc>
          <w:tcPr>
            <w:tcW w:w="1106" w:type="dxa"/>
            <w:noWrap/>
            <w:vAlign w:val="center"/>
            <w:hideMark/>
          </w:tcPr>
          <w:p w14:paraId="3923F2FB"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242 503 864</w:t>
            </w:r>
          </w:p>
        </w:tc>
      </w:tr>
      <w:tr w:rsidR="00DD54E5" w14:paraId="36593267" w14:textId="77777777" w:rsidTr="00FA7946">
        <w:trPr>
          <w:trHeight w:val="255"/>
        </w:trPr>
        <w:tc>
          <w:tcPr>
            <w:tcW w:w="2438" w:type="dxa"/>
            <w:noWrap/>
            <w:vAlign w:val="center"/>
            <w:hideMark/>
          </w:tcPr>
          <w:p w14:paraId="6F79EEA4" w14:textId="2E616A1F"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P</w:t>
            </w:r>
            <w:r w:rsidR="00DD54E5" w:rsidRPr="006B55A2">
              <w:rPr>
                <w:rFonts w:asciiTheme="minorHAnsi" w:hAnsiTheme="minorHAnsi" w:cstheme="minorHAnsi"/>
                <w:sz w:val="16"/>
                <w:szCs w:val="16"/>
                <w:lang w:eastAsia="cs-CZ"/>
              </w:rPr>
              <w:t>ředpis projetého mýta</w:t>
            </w:r>
          </w:p>
        </w:tc>
        <w:tc>
          <w:tcPr>
            <w:tcW w:w="1106" w:type="dxa"/>
            <w:noWrap/>
            <w:vAlign w:val="center"/>
            <w:hideMark/>
          </w:tcPr>
          <w:p w14:paraId="33C50356"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330 682 460</w:t>
            </w:r>
          </w:p>
        </w:tc>
        <w:tc>
          <w:tcPr>
            <w:tcW w:w="1106" w:type="dxa"/>
            <w:noWrap/>
            <w:vAlign w:val="center"/>
            <w:hideMark/>
          </w:tcPr>
          <w:p w14:paraId="281DDA87"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337 469 016</w:t>
            </w:r>
          </w:p>
        </w:tc>
        <w:tc>
          <w:tcPr>
            <w:tcW w:w="1106" w:type="dxa"/>
            <w:noWrap/>
            <w:vAlign w:val="center"/>
            <w:hideMark/>
          </w:tcPr>
          <w:p w14:paraId="1C55302E"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376 217 811</w:t>
            </w:r>
          </w:p>
        </w:tc>
        <w:tc>
          <w:tcPr>
            <w:tcW w:w="1106" w:type="dxa"/>
            <w:noWrap/>
            <w:vAlign w:val="center"/>
            <w:hideMark/>
          </w:tcPr>
          <w:p w14:paraId="0B2624F6"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382 167 420</w:t>
            </w:r>
          </w:p>
        </w:tc>
        <w:tc>
          <w:tcPr>
            <w:tcW w:w="1106" w:type="dxa"/>
            <w:noWrap/>
            <w:vAlign w:val="center"/>
            <w:hideMark/>
          </w:tcPr>
          <w:p w14:paraId="5164B973"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402 101 298</w:t>
            </w:r>
          </w:p>
        </w:tc>
        <w:tc>
          <w:tcPr>
            <w:tcW w:w="1106" w:type="dxa"/>
            <w:noWrap/>
            <w:vAlign w:val="center"/>
            <w:hideMark/>
          </w:tcPr>
          <w:p w14:paraId="202B4094"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417 513 082</w:t>
            </w:r>
          </w:p>
        </w:tc>
      </w:tr>
      <w:tr w:rsidR="00DD54E5" w14:paraId="326D637D" w14:textId="77777777" w:rsidTr="00FA7946">
        <w:trPr>
          <w:trHeight w:val="255"/>
        </w:trPr>
        <w:tc>
          <w:tcPr>
            <w:tcW w:w="2438" w:type="dxa"/>
            <w:vAlign w:val="center"/>
            <w:hideMark/>
          </w:tcPr>
          <w:p w14:paraId="16EF5B95" w14:textId="6A30EED1" w:rsidR="00DD54E5" w:rsidRPr="006B55A2" w:rsidRDefault="00F76295" w:rsidP="00F76295">
            <w:pPr>
              <w:spacing w:after="0"/>
              <w:ind w:left="-57" w:right="-113"/>
              <w:jc w:val="left"/>
              <w:rPr>
                <w:rFonts w:asciiTheme="minorHAnsi" w:hAnsiTheme="minorHAnsi" w:cstheme="minorHAnsi"/>
                <w:sz w:val="16"/>
                <w:szCs w:val="16"/>
                <w:lang w:eastAsia="cs-CZ"/>
              </w:rPr>
            </w:pPr>
            <w:r>
              <w:rPr>
                <w:rFonts w:asciiTheme="minorHAnsi" w:hAnsiTheme="minorHAnsi" w:cstheme="minorHAnsi"/>
                <w:sz w:val="16"/>
                <w:szCs w:val="16"/>
                <w:lang w:eastAsia="cs-CZ"/>
              </w:rPr>
              <w:t>P</w:t>
            </w:r>
            <w:r w:rsidR="00DD54E5" w:rsidRPr="006B55A2">
              <w:rPr>
                <w:rFonts w:asciiTheme="minorHAnsi" w:hAnsiTheme="minorHAnsi" w:cstheme="minorHAnsi"/>
                <w:sz w:val="16"/>
                <w:szCs w:val="16"/>
                <w:lang w:eastAsia="cs-CZ"/>
              </w:rPr>
              <w:t xml:space="preserve">oplatek za přeregistraci motorového vozidla </w:t>
            </w:r>
          </w:p>
        </w:tc>
        <w:tc>
          <w:tcPr>
            <w:tcW w:w="1106" w:type="dxa"/>
            <w:noWrap/>
            <w:vAlign w:val="center"/>
            <w:hideMark/>
          </w:tcPr>
          <w:p w14:paraId="77992583"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10 131 376</w:t>
            </w:r>
          </w:p>
        </w:tc>
        <w:tc>
          <w:tcPr>
            <w:tcW w:w="1106" w:type="dxa"/>
            <w:noWrap/>
            <w:vAlign w:val="center"/>
            <w:hideMark/>
          </w:tcPr>
          <w:p w14:paraId="4941103F" w14:textId="77777777" w:rsidR="00DD54E5" w:rsidRPr="006B55A2" w:rsidRDefault="00DD54E5" w:rsidP="00F76295">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10 490 726</w:t>
            </w:r>
          </w:p>
        </w:tc>
        <w:tc>
          <w:tcPr>
            <w:tcW w:w="1106" w:type="dxa"/>
            <w:noWrap/>
            <w:vAlign w:val="center"/>
            <w:hideMark/>
          </w:tcPr>
          <w:p w14:paraId="60190BE3"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14 972 952</w:t>
            </w:r>
          </w:p>
        </w:tc>
        <w:tc>
          <w:tcPr>
            <w:tcW w:w="1106" w:type="dxa"/>
            <w:noWrap/>
            <w:vAlign w:val="center"/>
            <w:hideMark/>
          </w:tcPr>
          <w:p w14:paraId="3BE9FCD9"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8 906 491</w:t>
            </w:r>
          </w:p>
        </w:tc>
        <w:tc>
          <w:tcPr>
            <w:tcW w:w="1106" w:type="dxa"/>
            <w:noWrap/>
            <w:vAlign w:val="center"/>
            <w:hideMark/>
          </w:tcPr>
          <w:p w14:paraId="1A95F490"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7 809 119</w:t>
            </w:r>
          </w:p>
        </w:tc>
        <w:tc>
          <w:tcPr>
            <w:tcW w:w="1106" w:type="dxa"/>
            <w:noWrap/>
            <w:vAlign w:val="center"/>
            <w:hideMark/>
          </w:tcPr>
          <w:p w14:paraId="05D40917" w14:textId="77777777" w:rsidR="00DD54E5" w:rsidRPr="006B55A2" w:rsidRDefault="00DD54E5" w:rsidP="00F33CC2">
            <w:pPr>
              <w:spacing w:after="0"/>
              <w:ind w:left="-57" w:right="-57"/>
              <w:jc w:val="right"/>
              <w:rPr>
                <w:rFonts w:asciiTheme="minorHAnsi" w:hAnsiTheme="minorHAnsi" w:cstheme="minorHAnsi"/>
                <w:sz w:val="16"/>
                <w:szCs w:val="16"/>
                <w:lang w:eastAsia="cs-CZ"/>
              </w:rPr>
            </w:pPr>
            <w:r w:rsidRPr="006B55A2">
              <w:rPr>
                <w:rFonts w:asciiTheme="minorHAnsi" w:hAnsiTheme="minorHAnsi" w:cstheme="minorHAnsi"/>
                <w:sz w:val="16"/>
                <w:szCs w:val="16"/>
                <w:lang w:eastAsia="cs-CZ"/>
              </w:rPr>
              <w:t>0</w:t>
            </w:r>
          </w:p>
        </w:tc>
      </w:tr>
      <w:tr w:rsidR="00DD54E5" w14:paraId="127BB432" w14:textId="77777777" w:rsidTr="00FA7946">
        <w:trPr>
          <w:trHeight w:val="255"/>
        </w:trPr>
        <w:tc>
          <w:tcPr>
            <w:tcW w:w="2438" w:type="dxa"/>
            <w:noWrap/>
            <w:vAlign w:val="center"/>
            <w:hideMark/>
          </w:tcPr>
          <w:p w14:paraId="298E8BBA" w14:textId="77777777" w:rsidR="00DD54E5" w:rsidRPr="006B55A2" w:rsidRDefault="00DD54E5" w:rsidP="00F76295">
            <w:pPr>
              <w:spacing w:after="0"/>
              <w:ind w:left="-57" w:right="-113"/>
              <w:jc w:val="lef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Daně s environmentálním dopadem celkem</w:t>
            </w:r>
          </w:p>
        </w:tc>
        <w:tc>
          <w:tcPr>
            <w:tcW w:w="1106" w:type="dxa"/>
            <w:noWrap/>
            <w:vAlign w:val="center"/>
            <w:hideMark/>
          </w:tcPr>
          <w:p w14:paraId="5C9325D3"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3 857 777 152</w:t>
            </w:r>
          </w:p>
        </w:tc>
        <w:tc>
          <w:tcPr>
            <w:tcW w:w="1106" w:type="dxa"/>
            <w:noWrap/>
            <w:vAlign w:val="center"/>
            <w:hideMark/>
          </w:tcPr>
          <w:p w14:paraId="141F05E4" w14:textId="77777777" w:rsidR="00DD54E5" w:rsidRPr="006B55A2" w:rsidRDefault="00DD54E5" w:rsidP="00F76295">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3 894 002 739</w:t>
            </w:r>
          </w:p>
        </w:tc>
        <w:tc>
          <w:tcPr>
            <w:tcW w:w="1106" w:type="dxa"/>
            <w:noWrap/>
            <w:vAlign w:val="center"/>
            <w:hideMark/>
          </w:tcPr>
          <w:p w14:paraId="0531C76F"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4 148 162 480</w:t>
            </w:r>
          </w:p>
        </w:tc>
        <w:tc>
          <w:tcPr>
            <w:tcW w:w="1106" w:type="dxa"/>
            <w:noWrap/>
            <w:vAlign w:val="center"/>
            <w:hideMark/>
          </w:tcPr>
          <w:p w14:paraId="61BCAB5D"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4 334 590 128</w:t>
            </w:r>
          </w:p>
        </w:tc>
        <w:tc>
          <w:tcPr>
            <w:tcW w:w="1106" w:type="dxa"/>
            <w:noWrap/>
            <w:vAlign w:val="center"/>
            <w:hideMark/>
          </w:tcPr>
          <w:p w14:paraId="1E06F7E9"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4 522 422 852</w:t>
            </w:r>
          </w:p>
        </w:tc>
        <w:tc>
          <w:tcPr>
            <w:tcW w:w="1106" w:type="dxa"/>
            <w:noWrap/>
            <w:vAlign w:val="center"/>
            <w:hideMark/>
          </w:tcPr>
          <w:p w14:paraId="0C61796B" w14:textId="77777777" w:rsidR="00DD54E5" w:rsidRPr="006B55A2" w:rsidRDefault="00DD54E5" w:rsidP="00F33CC2">
            <w:pPr>
              <w:spacing w:after="0"/>
              <w:ind w:left="-57" w:right="-57"/>
              <w:jc w:val="right"/>
              <w:rPr>
                <w:rFonts w:asciiTheme="minorHAnsi" w:hAnsiTheme="minorHAnsi" w:cstheme="minorHAnsi"/>
                <w:b/>
                <w:bCs/>
                <w:sz w:val="16"/>
                <w:szCs w:val="16"/>
                <w:lang w:eastAsia="cs-CZ"/>
              </w:rPr>
            </w:pPr>
            <w:r w:rsidRPr="006B55A2">
              <w:rPr>
                <w:rFonts w:asciiTheme="minorHAnsi" w:hAnsiTheme="minorHAnsi" w:cstheme="minorHAnsi"/>
                <w:b/>
                <w:bCs/>
                <w:sz w:val="16"/>
                <w:szCs w:val="16"/>
                <w:lang w:eastAsia="cs-CZ"/>
              </w:rPr>
              <w:t>4 767 841 771</w:t>
            </w:r>
          </w:p>
        </w:tc>
      </w:tr>
    </w:tbl>
    <w:p w14:paraId="2EBCB017" w14:textId="2DB01FB6" w:rsidR="00DD54E5" w:rsidRDefault="00DD54E5" w:rsidP="00F33CC2">
      <w:pPr>
        <w:spacing w:before="40" w:after="0"/>
        <w:ind w:left="567" w:hanging="567"/>
        <w:jc w:val="left"/>
        <w:rPr>
          <w:sz w:val="20"/>
          <w:szCs w:val="20"/>
          <w:lang w:eastAsia="cs-CZ"/>
        </w:rPr>
      </w:pPr>
      <w:r w:rsidRPr="00C425D6">
        <w:rPr>
          <w:b/>
          <w:sz w:val="20"/>
          <w:szCs w:val="20"/>
          <w:lang w:eastAsia="cs-CZ"/>
        </w:rPr>
        <w:t>Zdroj:</w:t>
      </w:r>
      <w:r w:rsidRPr="00C425D6">
        <w:rPr>
          <w:sz w:val="20"/>
          <w:szCs w:val="20"/>
          <w:lang w:eastAsia="cs-CZ"/>
        </w:rPr>
        <w:t xml:space="preserve"> </w:t>
      </w:r>
      <w:r w:rsidR="00F33CC2">
        <w:rPr>
          <w:sz w:val="20"/>
          <w:szCs w:val="20"/>
          <w:lang w:eastAsia="cs-CZ"/>
        </w:rPr>
        <w:tab/>
      </w:r>
      <w:hyperlink r:id="rId68" w:history="1">
        <w:r w:rsidR="007048CB" w:rsidRPr="007048CB">
          <w:rPr>
            <w:rStyle w:val="Hypertextovodkaz"/>
            <w:sz w:val="20"/>
            <w:szCs w:val="20"/>
            <w:u w:val="none"/>
            <w:lang w:eastAsia="cs-CZ"/>
          </w:rPr>
          <w:t>https://www.sfzp.cz/o-sfzp-cr/vyrocni-zpravy/</w:t>
        </w:r>
      </w:hyperlink>
      <w:r w:rsidRPr="00FF5834">
        <w:rPr>
          <w:sz w:val="20"/>
          <w:szCs w:val="20"/>
          <w:lang w:eastAsia="cs-CZ"/>
        </w:rPr>
        <w:t xml:space="preserve">; </w:t>
      </w:r>
      <w:hyperlink r:id="rId69" w:history="1">
        <w:r w:rsidR="007048CB" w:rsidRPr="007048CB">
          <w:rPr>
            <w:rStyle w:val="Hypertextovodkaz"/>
            <w:sz w:val="20"/>
            <w:szCs w:val="20"/>
            <w:u w:val="none"/>
            <w:lang w:eastAsia="cs-CZ"/>
          </w:rPr>
          <w:t>https://www.celnisprava.cz/cz/dane/statistiky/Stranky/komentary.aspx</w:t>
        </w:r>
      </w:hyperlink>
      <w:r w:rsidRPr="00FF5834">
        <w:rPr>
          <w:sz w:val="20"/>
          <w:szCs w:val="20"/>
          <w:lang w:eastAsia="cs-CZ"/>
        </w:rPr>
        <w:t xml:space="preserve"> (statistiky z oblasti spotřební daně z minerálních olejů vč. biopaliv, statistiky z oblasti ekologických daní); </w:t>
      </w:r>
      <w:hyperlink r:id="rId70" w:history="1">
        <w:r w:rsidR="007048CB" w:rsidRPr="007048CB">
          <w:rPr>
            <w:rStyle w:val="Hypertextovodkaz"/>
            <w:sz w:val="20"/>
            <w:szCs w:val="20"/>
            <w:u w:val="none"/>
            <w:lang w:eastAsia="cs-CZ"/>
          </w:rPr>
          <w:t>http://monitor.statnipokladna.cz/analyza/?query=4</w:t>
        </w:r>
      </w:hyperlink>
      <w:r w:rsidRPr="00FF5834">
        <w:rPr>
          <w:sz w:val="20"/>
          <w:szCs w:val="20"/>
          <w:lang w:eastAsia="cs-CZ"/>
        </w:rPr>
        <w:t xml:space="preserve">, datum 27.03.2019, kód položky 3114; </w:t>
      </w:r>
      <w:hyperlink r:id="rId71" w:history="1">
        <w:r w:rsidR="007048CB" w:rsidRPr="007048CB">
          <w:rPr>
            <w:rStyle w:val="Hypertextovodkaz"/>
            <w:sz w:val="20"/>
            <w:szCs w:val="20"/>
            <w:u w:val="none"/>
            <w:lang w:eastAsia="cs-CZ"/>
          </w:rPr>
          <w:t>http://www.vyrocenky.cz/</w:t>
        </w:r>
      </w:hyperlink>
      <w:r w:rsidRPr="00FF5834">
        <w:rPr>
          <w:sz w:val="20"/>
          <w:szCs w:val="20"/>
          <w:lang w:eastAsia="cs-CZ"/>
        </w:rPr>
        <w:t xml:space="preserve"> (instituce ŘSD</w:t>
      </w:r>
      <w:r w:rsidR="007048CB">
        <w:rPr>
          <w:sz w:val="20"/>
          <w:szCs w:val="20"/>
          <w:lang w:eastAsia="cs-CZ"/>
        </w:rPr>
        <w:t>)</w:t>
      </w:r>
      <w:r w:rsidRPr="00FF5834">
        <w:rPr>
          <w:sz w:val="20"/>
          <w:szCs w:val="20"/>
          <w:lang w:eastAsia="cs-CZ"/>
        </w:rPr>
        <w:t xml:space="preserve">; </w:t>
      </w:r>
      <w:hyperlink r:id="rId72" w:history="1">
        <w:r w:rsidR="007048CB" w:rsidRPr="007048CB">
          <w:rPr>
            <w:rStyle w:val="Hypertextovodkaz"/>
            <w:sz w:val="20"/>
            <w:szCs w:val="20"/>
            <w:u w:val="none"/>
            <w:lang w:eastAsia="cs-CZ"/>
          </w:rPr>
          <w:t>https://www.financnisprava.cz/cs/dane/analyzy-a-statistiky/udaje-z-vyberu-dani</w:t>
        </w:r>
      </w:hyperlink>
      <w:r w:rsidRPr="00FF5834">
        <w:rPr>
          <w:sz w:val="20"/>
          <w:szCs w:val="20"/>
          <w:lang w:eastAsia="cs-CZ"/>
        </w:rPr>
        <w:t>.</w:t>
      </w:r>
      <w:r w:rsidR="00FA7946">
        <w:rPr>
          <w:sz w:val="20"/>
          <w:szCs w:val="20"/>
          <w:lang w:eastAsia="cs-CZ"/>
        </w:rPr>
        <w:t xml:space="preserve"> </w:t>
      </w:r>
      <w:r w:rsidR="00FA7946" w:rsidRPr="003B2EAC">
        <w:rPr>
          <w:sz w:val="20"/>
          <w:szCs w:val="20"/>
          <w:lang w:eastAsia="cs-CZ"/>
        </w:rPr>
        <w:t>Kurz</w:t>
      </w:r>
      <w:r w:rsidR="00FA7946">
        <w:rPr>
          <w:sz w:val="20"/>
          <w:szCs w:val="20"/>
          <w:lang w:eastAsia="cs-CZ"/>
        </w:rPr>
        <w:t xml:space="preserve"> ČNB</w:t>
      </w:r>
      <w:r w:rsidR="00FA7946" w:rsidRPr="003B2EAC">
        <w:rPr>
          <w:sz w:val="20"/>
          <w:szCs w:val="20"/>
          <w:lang w:eastAsia="cs-CZ"/>
        </w:rPr>
        <w:t xml:space="preserve"> ke dni 17. 9. 2019</w:t>
      </w:r>
      <w:r w:rsidR="00FA7946">
        <w:rPr>
          <w:sz w:val="20"/>
          <w:szCs w:val="20"/>
          <w:lang w:eastAsia="cs-CZ"/>
        </w:rPr>
        <w:t>:</w:t>
      </w:r>
      <w:r w:rsidR="00FA7946" w:rsidRPr="003B2EAC">
        <w:rPr>
          <w:sz w:val="20"/>
          <w:szCs w:val="20"/>
          <w:lang w:eastAsia="cs-CZ"/>
        </w:rPr>
        <w:t xml:space="preserve"> 1 </w:t>
      </w:r>
      <w:r w:rsidR="00FA7946">
        <w:rPr>
          <w:sz w:val="20"/>
          <w:szCs w:val="20"/>
          <w:lang w:eastAsia="cs-CZ"/>
        </w:rPr>
        <w:t>€</w:t>
      </w:r>
      <w:r w:rsidR="00FA7946" w:rsidRPr="003B2EAC">
        <w:rPr>
          <w:sz w:val="20"/>
          <w:szCs w:val="20"/>
          <w:lang w:eastAsia="cs-CZ"/>
        </w:rPr>
        <w:t xml:space="preserve"> = 25,88 Kč.</w:t>
      </w:r>
    </w:p>
    <w:p w14:paraId="17BC389A" w14:textId="4C01ACB2" w:rsidR="00DD54E5" w:rsidRDefault="00DD54E5" w:rsidP="00F33CC2">
      <w:pPr>
        <w:spacing w:after="0"/>
        <w:ind w:left="284" w:hanging="284"/>
        <w:rPr>
          <w:sz w:val="20"/>
          <w:szCs w:val="20"/>
          <w:lang w:eastAsia="cs-CZ"/>
        </w:rPr>
      </w:pPr>
      <w:r w:rsidRPr="00FF5834">
        <w:rPr>
          <w:sz w:val="20"/>
          <w:szCs w:val="20"/>
          <w:lang w:eastAsia="cs-CZ"/>
        </w:rPr>
        <w:t xml:space="preserve">* </w:t>
      </w:r>
      <w:r w:rsidR="00F33CC2">
        <w:rPr>
          <w:sz w:val="20"/>
          <w:szCs w:val="20"/>
          <w:lang w:eastAsia="cs-CZ"/>
        </w:rPr>
        <w:tab/>
      </w:r>
      <w:r w:rsidRPr="00FF5834">
        <w:rPr>
          <w:sz w:val="20"/>
          <w:szCs w:val="20"/>
          <w:lang w:eastAsia="cs-CZ"/>
        </w:rPr>
        <w:t>vyměřená daň z mine</w:t>
      </w:r>
      <w:r>
        <w:rPr>
          <w:sz w:val="20"/>
          <w:szCs w:val="20"/>
          <w:lang w:eastAsia="cs-CZ"/>
        </w:rPr>
        <w:t>rálních olejů zahrnuje PHM, top</w:t>
      </w:r>
      <w:r w:rsidRPr="00FF5834">
        <w:rPr>
          <w:sz w:val="20"/>
          <w:szCs w:val="20"/>
          <w:lang w:eastAsia="cs-CZ"/>
        </w:rPr>
        <w:t xml:space="preserve">né oleje, zkapalněné ropné plyny a </w:t>
      </w:r>
      <w:r w:rsidR="00F76295">
        <w:rPr>
          <w:sz w:val="20"/>
          <w:szCs w:val="20"/>
          <w:lang w:eastAsia="cs-CZ"/>
        </w:rPr>
        <w:t>„</w:t>
      </w:r>
      <w:r w:rsidRPr="00FF5834">
        <w:rPr>
          <w:sz w:val="20"/>
          <w:szCs w:val="20"/>
          <w:lang w:eastAsia="cs-CZ"/>
        </w:rPr>
        <w:t>ostatní minerální oleje</w:t>
      </w:r>
      <w:r w:rsidR="00F76295">
        <w:rPr>
          <w:sz w:val="20"/>
          <w:szCs w:val="20"/>
          <w:lang w:eastAsia="cs-CZ"/>
        </w:rPr>
        <w:t>“.</w:t>
      </w:r>
      <w:r>
        <w:rPr>
          <w:sz w:val="20"/>
          <w:szCs w:val="20"/>
          <w:lang w:eastAsia="cs-CZ"/>
        </w:rPr>
        <w:t xml:space="preserve"> </w:t>
      </w:r>
    </w:p>
    <w:p w14:paraId="2AD4220C" w14:textId="77777777" w:rsidR="00357C66" w:rsidRDefault="00357C66" w:rsidP="00357C66">
      <w:pPr>
        <w:spacing w:after="0"/>
        <w:rPr>
          <w:sz w:val="20"/>
          <w:szCs w:val="20"/>
          <w:lang w:eastAsia="cs-CZ"/>
        </w:rPr>
      </w:pPr>
    </w:p>
    <w:p w14:paraId="272ADF62" w14:textId="77777777" w:rsidR="00DD54E5" w:rsidRDefault="00F33CC2" w:rsidP="00F33CC2">
      <w:pPr>
        <w:pStyle w:val="Tabulka"/>
        <w:numPr>
          <w:ilvl w:val="0"/>
          <w:numId w:val="0"/>
        </w:numPr>
        <w:spacing w:after="40"/>
        <w:ind w:left="1446" w:hanging="1446"/>
        <w:rPr>
          <w:lang w:eastAsia="cs-CZ"/>
        </w:rPr>
      </w:pPr>
      <w:r>
        <w:rPr>
          <w:lang w:eastAsia="cs-CZ"/>
        </w:rPr>
        <w:t xml:space="preserve">Tabulka č. 24: </w:t>
      </w:r>
      <w:r>
        <w:rPr>
          <w:lang w:eastAsia="cs-CZ"/>
        </w:rPr>
        <w:tab/>
      </w:r>
      <w:r w:rsidR="00DD54E5" w:rsidRPr="00BE7E58">
        <w:rPr>
          <w:lang w:eastAsia="cs-CZ"/>
        </w:rPr>
        <w:t>Vývoj podílu daní s environmen</w:t>
      </w:r>
      <w:r w:rsidR="00DD54E5">
        <w:rPr>
          <w:lang w:eastAsia="cs-CZ"/>
        </w:rPr>
        <w:t>tální</w:t>
      </w:r>
      <w:r w:rsidR="00DD54E5" w:rsidRPr="00BE7E58">
        <w:rPr>
          <w:lang w:eastAsia="cs-CZ"/>
        </w:rPr>
        <w:t xml:space="preserve">m </w:t>
      </w:r>
      <w:r w:rsidR="00DD54E5">
        <w:rPr>
          <w:lang w:eastAsia="cs-CZ"/>
        </w:rPr>
        <w:t>aspek</w:t>
      </w:r>
      <w:r w:rsidR="00DD54E5" w:rsidRPr="00BE7E58">
        <w:rPr>
          <w:lang w:eastAsia="cs-CZ"/>
        </w:rPr>
        <w:t>tem na HDP a na celko</w:t>
      </w:r>
      <w:r w:rsidR="00DD54E5">
        <w:rPr>
          <w:lang w:eastAsia="cs-CZ"/>
        </w:rPr>
        <w:t>vé daňové příjmy za roky 2015–</w:t>
      </w:r>
      <w:r w:rsidR="00DD54E5" w:rsidRPr="00BE7E58">
        <w:rPr>
          <w:lang w:eastAsia="cs-CZ"/>
        </w:rPr>
        <w:t>2018 v % (v EUR)</w:t>
      </w:r>
    </w:p>
    <w:tbl>
      <w:tblPr>
        <w:tblStyle w:val="Mkatabulky"/>
        <w:tblW w:w="5035" w:type="pct"/>
        <w:jc w:val="center"/>
        <w:tblLayout w:type="fixed"/>
        <w:tblLook w:val="04A0" w:firstRow="1" w:lastRow="0" w:firstColumn="1" w:lastColumn="0" w:noHBand="0" w:noVBand="1"/>
      </w:tblPr>
      <w:tblGrid>
        <w:gridCol w:w="4451"/>
        <w:gridCol w:w="1558"/>
        <w:gridCol w:w="1558"/>
        <w:gridCol w:w="1556"/>
      </w:tblGrid>
      <w:tr w:rsidR="00C54F4B" w14:paraId="6B041F32" w14:textId="77777777" w:rsidTr="00357C66">
        <w:trPr>
          <w:trHeight w:val="255"/>
          <w:jc w:val="center"/>
        </w:trPr>
        <w:tc>
          <w:tcPr>
            <w:tcW w:w="2439" w:type="pct"/>
            <w:shd w:val="clear" w:color="auto" w:fill="E5F1FF"/>
            <w:noWrap/>
            <w:hideMark/>
          </w:tcPr>
          <w:p w14:paraId="32C86ED8" w14:textId="77777777" w:rsidR="00DD54E5" w:rsidRPr="00BE7E58" w:rsidRDefault="00DD54E5" w:rsidP="00C54F4B">
            <w:pPr>
              <w:spacing w:after="0"/>
              <w:ind w:left="-57" w:right="-57"/>
              <w:jc w:val="center"/>
              <w:rPr>
                <w:b/>
                <w:sz w:val="20"/>
                <w:szCs w:val="20"/>
                <w:lang w:eastAsia="cs-CZ"/>
              </w:rPr>
            </w:pPr>
            <w:r w:rsidRPr="00BE7E58">
              <w:rPr>
                <w:b/>
                <w:sz w:val="20"/>
                <w:szCs w:val="20"/>
                <w:lang w:eastAsia="cs-CZ"/>
              </w:rPr>
              <w:t>Rok</w:t>
            </w:r>
          </w:p>
        </w:tc>
        <w:tc>
          <w:tcPr>
            <w:tcW w:w="854" w:type="pct"/>
            <w:shd w:val="clear" w:color="auto" w:fill="E5F1FF"/>
            <w:noWrap/>
            <w:vAlign w:val="center"/>
            <w:hideMark/>
          </w:tcPr>
          <w:p w14:paraId="4E512FCE" w14:textId="77777777" w:rsidR="00DD54E5" w:rsidRPr="00BE7E58" w:rsidRDefault="00DD54E5" w:rsidP="00C54F4B">
            <w:pPr>
              <w:spacing w:after="0"/>
              <w:ind w:left="-28" w:right="-28"/>
              <w:jc w:val="center"/>
              <w:rPr>
                <w:b/>
                <w:bCs/>
                <w:sz w:val="20"/>
                <w:szCs w:val="20"/>
                <w:lang w:eastAsia="cs-CZ"/>
              </w:rPr>
            </w:pPr>
            <w:r w:rsidRPr="00BE7E58">
              <w:rPr>
                <w:b/>
                <w:bCs/>
                <w:sz w:val="20"/>
                <w:szCs w:val="20"/>
                <w:lang w:eastAsia="cs-CZ"/>
              </w:rPr>
              <w:t>2015</w:t>
            </w:r>
          </w:p>
        </w:tc>
        <w:tc>
          <w:tcPr>
            <w:tcW w:w="854" w:type="pct"/>
            <w:shd w:val="clear" w:color="auto" w:fill="E5F1FF"/>
            <w:noWrap/>
            <w:vAlign w:val="center"/>
            <w:hideMark/>
          </w:tcPr>
          <w:p w14:paraId="1BA3DBC9" w14:textId="77777777" w:rsidR="00DD54E5" w:rsidRPr="00BE7E58" w:rsidRDefault="00DD54E5" w:rsidP="00C54F4B">
            <w:pPr>
              <w:spacing w:after="0"/>
              <w:ind w:left="-28" w:right="-28"/>
              <w:jc w:val="center"/>
              <w:rPr>
                <w:b/>
                <w:bCs/>
                <w:sz w:val="20"/>
                <w:szCs w:val="20"/>
                <w:lang w:eastAsia="cs-CZ"/>
              </w:rPr>
            </w:pPr>
            <w:r w:rsidRPr="00BE7E58">
              <w:rPr>
                <w:b/>
                <w:bCs/>
                <w:sz w:val="20"/>
                <w:szCs w:val="20"/>
                <w:lang w:eastAsia="cs-CZ"/>
              </w:rPr>
              <w:t>2016</w:t>
            </w:r>
          </w:p>
        </w:tc>
        <w:tc>
          <w:tcPr>
            <w:tcW w:w="854" w:type="pct"/>
            <w:shd w:val="clear" w:color="auto" w:fill="E5F1FF"/>
            <w:noWrap/>
            <w:vAlign w:val="center"/>
            <w:hideMark/>
          </w:tcPr>
          <w:p w14:paraId="783381B6" w14:textId="77777777" w:rsidR="00DD54E5" w:rsidRPr="00BE7E58" w:rsidRDefault="00DD54E5" w:rsidP="00C54F4B">
            <w:pPr>
              <w:spacing w:after="0"/>
              <w:ind w:left="-28" w:right="-28"/>
              <w:jc w:val="center"/>
              <w:rPr>
                <w:b/>
                <w:bCs/>
                <w:sz w:val="20"/>
                <w:szCs w:val="20"/>
                <w:lang w:eastAsia="cs-CZ"/>
              </w:rPr>
            </w:pPr>
            <w:r w:rsidRPr="00BE7E58">
              <w:rPr>
                <w:b/>
                <w:bCs/>
                <w:sz w:val="20"/>
                <w:szCs w:val="20"/>
                <w:lang w:eastAsia="cs-CZ"/>
              </w:rPr>
              <w:t>2017</w:t>
            </w:r>
          </w:p>
        </w:tc>
      </w:tr>
      <w:tr w:rsidR="00C54F4B" w14:paraId="4330D044" w14:textId="77777777" w:rsidTr="00357C66">
        <w:trPr>
          <w:trHeight w:val="255"/>
          <w:jc w:val="center"/>
        </w:trPr>
        <w:tc>
          <w:tcPr>
            <w:tcW w:w="2439" w:type="pct"/>
            <w:vAlign w:val="center"/>
            <w:hideMark/>
          </w:tcPr>
          <w:p w14:paraId="182DB994" w14:textId="77777777" w:rsidR="00DD54E5" w:rsidRPr="00BE7E58" w:rsidRDefault="00DD54E5" w:rsidP="00C54F4B">
            <w:pPr>
              <w:spacing w:after="0"/>
              <w:ind w:left="-57" w:right="-57"/>
              <w:jc w:val="left"/>
              <w:rPr>
                <w:b/>
                <w:bCs/>
                <w:sz w:val="20"/>
                <w:szCs w:val="20"/>
                <w:lang w:eastAsia="cs-CZ"/>
              </w:rPr>
            </w:pPr>
            <w:r w:rsidRPr="00BE7E58">
              <w:rPr>
                <w:b/>
                <w:bCs/>
                <w:sz w:val="20"/>
                <w:szCs w:val="20"/>
                <w:lang w:eastAsia="cs-CZ"/>
              </w:rPr>
              <w:t>Vybrané daně s environmentálním dopadem celkem</w:t>
            </w:r>
          </w:p>
        </w:tc>
        <w:tc>
          <w:tcPr>
            <w:tcW w:w="854" w:type="pct"/>
            <w:noWrap/>
            <w:vAlign w:val="center"/>
            <w:hideMark/>
          </w:tcPr>
          <w:p w14:paraId="2D351259"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3 771 944 669</w:t>
            </w:r>
          </w:p>
        </w:tc>
        <w:tc>
          <w:tcPr>
            <w:tcW w:w="854" w:type="pct"/>
            <w:noWrap/>
            <w:vAlign w:val="center"/>
            <w:hideMark/>
          </w:tcPr>
          <w:p w14:paraId="680DA0EB"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3 952 422 709</w:t>
            </w:r>
          </w:p>
        </w:tc>
        <w:tc>
          <w:tcPr>
            <w:tcW w:w="854" w:type="pct"/>
            <w:noWrap/>
            <w:vAlign w:val="center"/>
            <w:hideMark/>
          </w:tcPr>
          <w:p w14:paraId="6DE3473D"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4 120 321 554</w:t>
            </w:r>
          </w:p>
        </w:tc>
      </w:tr>
      <w:tr w:rsidR="00C54F4B" w14:paraId="71E163ED" w14:textId="77777777" w:rsidTr="00357C66">
        <w:trPr>
          <w:trHeight w:val="255"/>
          <w:jc w:val="center"/>
        </w:trPr>
        <w:tc>
          <w:tcPr>
            <w:tcW w:w="2439" w:type="pct"/>
            <w:noWrap/>
            <w:vAlign w:val="center"/>
            <w:hideMark/>
          </w:tcPr>
          <w:p w14:paraId="42B2AA21" w14:textId="77777777" w:rsidR="00DD54E5" w:rsidRPr="00BE7E58" w:rsidRDefault="00DD54E5" w:rsidP="00C54F4B">
            <w:pPr>
              <w:spacing w:after="0"/>
              <w:ind w:left="-57" w:right="-57"/>
              <w:jc w:val="left"/>
              <w:rPr>
                <w:sz w:val="20"/>
                <w:szCs w:val="20"/>
                <w:lang w:eastAsia="cs-CZ"/>
              </w:rPr>
            </w:pPr>
            <w:r w:rsidRPr="00BE7E58">
              <w:rPr>
                <w:sz w:val="20"/>
                <w:szCs w:val="20"/>
                <w:lang w:eastAsia="cs-CZ"/>
              </w:rPr>
              <w:t xml:space="preserve">Celkové daňové příjmy </w:t>
            </w:r>
          </w:p>
        </w:tc>
        <w:tc>
          <w:tcPr>
            <w:tcW w:w="854" w:type="pct"/>
            <w:noWrap/>
            <w:vAlign w:val="bottom"/>
            <w:hideMark/>
          </w:tcPr>
          <w:p w14:paraId="5B357D44"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38 722 219 165</w:t>
            </w:r>
          </w:p>
        </w:tc>
        <w:tc>
          <w:tcPr>
            <w:tcW w:w="854" w:type="pct"/>
            <w:noWrap/>
            <w:vAlign w:val="bottom"/>
            <w:hideMark/>
          </w:tcPr>
          <w:p w14:paraId="2E138C45"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41 402 148 068</w:t>
            </w:r>
          </w:p>
        </w:tc>
        <w:tc>
          <w:tcPr>
            <w:tcW w:w="854" w:type="pct"/>
            <w:noWrap/>
            <w:vAlign w:val="bottom"/>
            <w:hideMark/>
          </w:tcPr>
          <w:p w14:paraId="3EF9027E"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44 652 789 799</w:t>
            </w:r>
          </w:p>
        </w:tc>
      </w:tr>
      <w:tr w:rsidR="00C54F4B" w14:paraId="61C47FE0" w14:textId="77777777" w:rsidTr="00357C66">
        <w:trPr>
          <w:trHeight w:val="255"/>
          <w:jc w:val="center"/>
        </w:trPr>
        <w:tc>
          <w:tcPr>
            <w:tcW w:w="2439" w:type="pct"/>
            <w:noWrap/>
            <w:vAlign w:val="center"/>
            <w:hideMark/>
          </w:tcPr>
          <w:p w14:paraId="6EC3783A" w14:textId="136DDCCE" w:rsidR="00DD54E5" w:rsidRPr="00BE7E58" w:rsidRDefault="00DD54E5" w:rsidP="00FA7946">
            <w:pPr>
              <w:spacing w:after="0"/>
              <w:ind w:left="-57" w:right="-57"/>
              <w:jc w:val="left"/>
              <w:rPr>
                <w:sz w:val="20"/>
                <w:szCs w:val="20"/>
                <w:lang w:eastAsia="cs-CZ"/>
              </w:rPr>
            </w:pPr>
            <w:r w:rsidRPr="00BE7E58">
              <w:rPr>
                <w:sz w:val="20"/>
                <w:szCs w:val="20"/>
                <w:lang w:eastAsia="cs-CZ"/>
              </w:rPr>
              <w:t>Celkové kapitálové příjmy*</w:t>
            </w:r>
          </w:p>
        </w:tc>
        <w:tc>
          <w:tcPr>
            <w:tcW w:w="854" w:type="pct"/>
            <w:noWrap/>
            <w:vAlign w:val="bottom"/>
            <w:hideMark/>
          </w:tcPr>
          <w:p w14:paraId="5BE83018"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305 679 946</w:t>
            </w:r>
          </w:p>
        </w:tc>
        <w:tc>
          <w:tcPr>
            <w:tcW w:w="854" w:type="pct"/>
            <w:noWrap/>
            <w:vAlign w:val="bottom"/>
            <w:hideMark/>
          </w:tcPr>
          <w:p w14:paraId="7589FFA1"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252 139 529</w:t>
            </w:r>
          </w:p>
        </w:tc>
        <w:tc>
          <w:tcPr>
            <w:tcW w:w="854" w:type="pct"/>
            <w:noWrap/>
            <w:vAlign w:val="bottom"/>
            <w:hideMark/>
          </w:tcPr>
          <w:p w14:paraId="4A20A771" w14:textId="77777777" w:rsidR="00DD54E5" w:rsidRPr="00CC1803" w:rsidRDefault="00DD54E5" w:rsidP="00C54F4B">
            <w:pPr>
              <w:spacing w:after="0"/>
              <w:ind w:left="-28" w:right="-28"/>
              <w:jc w:val="right"/>
              <w:rPr>
                <w:rFonts w:cs="Calibri"/>
                <w:color w:val="000000"/>
                <w:sz w:val="20"/>
                <w:szCs w:val="20"/>
              </w:rPr>
            </w:pPr>
            <w:r w:rsidRPr="00CC1803">
              <w:rPr>
                <w:rFonts w:cs="Calibri"/>
                <w:color w:val="000000"/>
                <w:sz w:val="20"/>
                <w:szCs w:val="20"/>
              </w:rPr>
              <w:t>323 255 526</w:t>
            </w:r>
          </w:p>
        </w:tc>
      </w:tr>
      <w:tr w:rsidR="00C54F4B" w14:paraId="0E388031" w14:textId="77777777" w:rsidTr="00357C66">
        <w:trPr>
          <w:trHeight w:val="255"/>
          <w:jc w:val="center"/>
        </w:trPr>
        <w:tc>
          <w:tcPr>
            <w:tcW w:w="2439" w:type="pct"/>
            <w:noWrap/>
            <w:vAlign w:val="center"/>
            <w:hideMark/>
          </w:tcPr>
          <w:p w14:paraId="4A6AAECF" w14:textId="77777777" w:rsidR="00DD54E5" w:rsidRPr="00BE7E58" w:rsidRDefault="00DD54E5" w:rsidP="00C54F4B">
            <w:pPr>
              <w:spacing w:after="0"/>
              <w:ind w:left="-57" w:right="-57"/>
              <w:jc w:val="left"/>
              <w:rPr>
                <w:b/>
                <w:bCs/>
                <w:sz w:val="20"/>
                <w:szCs w:val="20"/>
                <w:lang w:eastAsia="cs-CZ"/>
              </w:rPr>
            </w:pPr>
            <w:r w:rsidRPr="00BE7E58">
              <w:rPr>
                <w:b/>
                <w:bCs/>
                <w:sz w:val="20"/>
                <w:szCs w:val="20"/>
                <w:lang w:eastAsia="cs-CZ"/>
              </w:rPr>
              <w:t xml:space="preserve">Celkové daňové a kapitálové příjmy </w:t>
            </w:r>
          </w:p>
        </w:tc>
        <w:tc>
          <w:tcPr>
            <w:tcW w:w="854" w:type="pct"/>
            <w:noWrap/>
            <w:vAlign w:val="bottom"/>
            <w:hideMark/>
          </w:tcPr>
          <w:p w14:paraId="79C10D64"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39 027 899 111</w:t>
            </w:r>
          </w:p>
        </w:tc>
        <w:tc>
          <w:tcPr>
            <w:tcW w:w="854" w:type="pct"/>
            <w:noWrap/>
            <w:vAlign w:val="bottom"/>
            <w:hideMark/>
          </w:tcPr>
          <w:p w14:paraId="7E2BBF7E"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41 654 287 597</w:t>
            </w:r>
          </w:p>
        </w:tc>
        <w:tc>
          <w:tcPr>
            <w:tcW w:w="854" w:type="pct"/>
            <w:noWrap/>
            <w:vAlign w:val="bottom"/>
            <w:hideMark/>
          </w:tcPr>
          <w:p w14:paraId="6F5E42E0" w14:textId="77777777" w:rsidR="00DD54E5" w:rsidRPr="00CC1803" w:rsidRDefault="00DD54E5" w:rsidP="00C54F4B">
            <w:pPr>
              <w:spacing w:after="0"/>
              <w:ind w:left="-28" w:right="-28"/>
              <w:jc w:val="right"/>
              <w:rPr>
                <w:rFonts w:cs="Calibri"/>
                <w:b/>
                <w:bCs/>
                <w:color w:val="000000"/>
                <w:sz w:val="20"/>
                <w:szCs w:val="20"/>
              </w:rPr>
            </w:pPr>
            <w:r w:rsidRPr="00CC1803">
              <w:rPr>
                <w:rFonts w:cs="Calibri"/>
                <w:b/>
                <w:bCs/>
                <w:color w:val="000000"/>
                <w:sz w:val="20"/>
                <w:szCs w:val="20"/>
              </w:rPr>
              <w:t>44 976 045 325</w:t>
            </w:r>
          </w:p>
        </w:tc>
      </w:tr>
      <w:tr w:rsidR="00C54F4B" w14:paraId="0AB6FA9D" w14:textId="77777777" w:rsidTr="00357C66">
        <w:trPr>
          <w:trHeight w:val="255"/>
          <w:jc w:val="center"/>
        </w:trPr>
        <w:tc>
          <w:tcPr>
            <w:tcW w:w="2439" w:type="pct"/>
            <w:noWrap/>
            <w:vAlign w:val="center"/>
            <w:hideMark/>
          </w:tcPr>
          <w:p w14:paraId="289A922C" w14:textId="77777777" w:rsidR="00DD54E5" w:rsidRPr="00BE7E58" w:rsidRDefault="00DD54E5" w:rsidP="00C54F4B">
            <w:pPr>
              <w:spacing w:after="0"/>
              <w:ind w:left="-57" w:right="-57"/>
              <w:jc w:val="left"/>
              <w:rPr>
                <w:b/>
                <w:bCs/>
                <w:sz w:val="20"/>
                <w:szCs w:val="20"/>
                <w:lang w:eastAsia="cs-CZ"/>
              </w:rPr>
            </w:pPr>
            <w:r w:rsidRPr="00BE7E58">
              <w:rPr>
                <w:b/>
                <w:bCs/>
                <w:sz w:val="20"/>
                <w:szCs w:val="20"/>
                <w:lang w:eastAsia="cs-CZ"/>
              </w:rPr>
              <w:t>Výše HDP</w:t>
            </w:r>
          </w:p>
        </w:tc>
        <w:tc>
          <w:tcPr>
            <w:tcW w:w="854" w:type="pct"/>
            <w:noWrap/>
            <w:vAlign w:val="bottom"/>
            <w:hideMark/>
          </w:tcPr>
          <w:p w14:paraId="4CE66891" w14:textId="77777777" w:rsidR="00DD54E5" w:rsidRPr="00CC1803" w:rsidRDefault="00DD54E5" w:rsidP="00C54F4B">
            <w:pPr>
              <w:spacing w:after="0"/>
              <w:ind w:left="-28" w:right="-28"/>
              <w:jc w:val="right"/>
              <w:rPr>
                <w:rFonts w:cs="Calibri"/>
                <w:b/>
                <w:bCs/>
                <w:sz w:val="20"/>
                <w:szCs w:val="20"/>
              </w:rPr>
            </w:pPr>
            <w:r w:rsidRPr="00CC1803">
              <w:rPr>
                <w:rFonts w:cs="Calibri"/>
                <w:b/>
                <w:bCs/>
                <w:sz w:val="20"/>
                <w:szCs w:val="20"/>
              </w:rPr>
              <w:t>177 580 486 862</w:t>
            </w:r>
          </w:p>
        </w:tc>
        <w:tc>
          <w:tcPr>
            <w:tcW w:w="854" w:type="pct"/>
            <w:noWrap/>
            <w:vAlign w:val="bottom"/>
            <w:hideMark/>
          </w:tcPr>
          <w:p w14:paraId="3E466090" w14:textId="77777777" w:rsidR="00DD54E5" w:rsidRPr="00CC1803" w:rsidRDefault="00DD54E5" w:rsidP="00C54F4B">
            <w:pPr>
              <w:spacing w:after="0"/>
              <w:ind w:left="-28" w:right="-28"/>
              <w:jc w:val="right"/>
              <w:rPr>
                <w:rFonts w:cs="Calibri"/>
                <w:b/>
                <w:bCs/>
                <w:sz w:val="20"/>
                <w:szCs w:val="20"/>
              </w:rPr>
            </w:pPr>
            <w:r w:rsidRPr="00CC1803">
              <w:rPr>
                <w:rFonts w:cs="Calibri"/>
                <w:b/>
                <w:bCs/>
                <w:sz w:val="20"/>
                <w:szCs w:val="20"/>
              </w:rPr>
              <w:t>184 234 544 049</w:t>
            </w:r>
          </w:p>
        </w:tc>
        <w:tc>
          <w:tcPr>
            <w:tcW w:w="854" w:type="pct"/>
            <w:noWrap/>
            <w:vAlign w:val="bottom"/>
            <w:hideMark/>
          </w:tcPr>
          <w:p w14:paraId="2CF33EA5" w14:textId="77777777" w:rsidR="00DD54E5" w:rsidRPr="00CC1803" w:rsidRDefault="00DD54E5" w:rsidP="00C54F4B">
            <w:pPr>
              <w:spacing w:after="0"/>
              <w:ind w:left="-28" w:right="-28"/>
              <w:jc w:val="right"/>
              <w:rPr>
                <w:rFonts w:cs="Calibri"/>
                <w:b/>
                <w:bCs/>
                <w:sz w:val="20"/>
                <w:szCs w:val="20"/>
              </w:rPr>
            </w:pPr>
            <w:r w:rsidRPr="00CC1803">
              <w:rPr>
                <w:rFonts w:cs="Calibri"/>
                <w:b/>
                <w:bCs/>
                <w:sz w:val="20"/>
                <w:szCs w:val="20"/>
              </w:rPr>
              <w:t>195 025 772 798</w:t>
            </w:r>
          </w:p>
        </w:tc>
      </w:tr>
      <w:tr w:rsidR="00C54F4B" w14:paraId="6790FA14" w14:textId="77777777" w:rsidTr="00357C66">
        <w:trPr>
          <w:trHeight w:val="255"/>
          <w:jc w:val="center"/>
        </w:trPr>
        <w:tc>
          <w:tcPr>
            <w:tcW w:w="2439" w:type="pct"/>
            <w:noWrap/>
            <w:vAlign w:val="center"/>
            <w:hideMark/>
          </w:tcPr>
          <w:p w14:paraId="28B91521" w14:textId="77777777" w:rsidR="00DD54E5" w:rsidRPr="00BE7E58" w:rsidRDefault="00DD54E5" w:rsidP="00C54F4B">
            <w:pPr>
              <w:spacing w:after="0"/>
              <w:ind w:left="-57" w:right="-57"/>
              <w:jc w:val="left"/>
              <w:rPr>
                <w:sz w:val="20"/>
                <w:szCs w:val="20"/>
                <w:lang w:eastAsia="cs-CZ"/>
              </w:rPr>
            </w:pPr>
            <w:r w:rsidRPr="00BE7E58">
              <w:rPr>
                <w:sz w:val="20"/>
                <w:szCs w:val="20"/>
                <w:lang w:eastAsia="cs-CZ"/>
              </w:rPr>
              <w:t>Podíl na celkových d</w:t>
            </w:r>
            <w:r w:rsidR="00C54F4B">
              <w:rPr>
                <w:sz w:val="20"/>
                <w:szCs w:val="20"/>
                <w:lang w:eastAsia="cs-CZ"/>
              </w:rPr>
              <w:t>aňových a kapitálových příjmech</w:t>
            </w:r>
          </w:p>
        </w:tc>
        <w:tc>
          <w:tcPr>
            <w:tcW w:w="854" w:type="pct"/>
            <w:noWrap/>
            <w:vAlign w:val="center"/>
            <w:hideMark/>
          </w:tcPr>
          <w:p w14:paraId="5F6C6063"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9,66%</w:t>
            </w:r>
          </w:p>
        </w:tc>
        <w:tc>
          <w:tcPr>
            <w:tcW w:w="854" w:type="pct"/>
            <w:noWrap/>
            <w:vAlign w:val="center"/>
            <w:hideMark/>
          </w:tcPr>
          <w:p w14:paraId="5BBAA827"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9,49%</w:t>
            </w:r>
          </w:p>
        </w:tc>
        <w:tc>
          <w:tcPr>
            <w:tcW w:w="854" w:type="pct"/>
            <w:noWrap/>
            <w:vAlign w:val="center"/>
            <w:hideMark/>
          </w:tcPr>
          <w:p w14:paraId="22D1D97B"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9,16%</w:t>
            </w:r>
          </w:p>
        </w:tc>
      </w:tr>
      <w:tr w:rsidR="00C54F4B" w14:paraId="22851351" w14:textId="77777777" w:rsidTr="00357C66">
        <w:trPr>
          <w:trHeight w:val="255"/>
          <w:jc w:val="center"/>
        </w:trPr>
        <w:tc>
          <w:tcPr>
            <w:tcW w:w="2439" w:type="pct"/>
            <w:noWrap/>
            <w:vAlign w:val="center"/>
            <w:hideMark/>
          </w:tcPr>
          <w:p w14:paraId="3FD6CC86" w14:textId="77777777" w:rsidR="00DD54E5" w:rsidRPr="00BE7E58" w:rsidRDefault="00DD54E5" w:rsidP="00C54F4B">
            <w:pPr>
              <w:spacing w:after="0"/>
              <w:ind w:left="-57" w:right="-57"/>
              <w:jc w:val="left"/>
              <w:rPr>
                <w:sz w:val="20"/>
                <w:szCs w:val="20"/>
                <w:lang w:eastAsia="cs-CZ"/>
              </w:rPr>
            </w:pPr>
            <w:r w:rsidRPr="00BE7E58">
              <w:rPr>
                <w:sz w:val="20"/>
                <w:szCs w:val="20"/>
                <w:lang w:eastAsia="cs-CZ"/>
              </w:rPr>
              <w:t>Podíl na HDP</w:t>
            </w:r>
          </w:p>
        </w:tc>
        <w:tc>
          <w:tcPr>
            <w:tcW w:w="854" w:type="pct"/>
            <w:noWrap/>
            <w:vAlign w:val="center"/>
            <w:hideMark/>
          </w:tcPr>
          <w:p w14:paraId="2E7102CD"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2,12%</w:t>
            </w:r>
          </w:p>
        </w:tc>
        <w:tc>
          <w:tcPr>
            <w:tcW w:w="854" w:type="pct"/>
            <w:noWrap/>
            <w:vAlign w:val="center"/>
            <w:hideMark/>
          </w:tcPr>
          <w:p w14:paraId="40854F4F"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2,15%</w:t>
            </w:r>
          </w:p>
        </w:tc>
        <w:tc>
          <w:tcPr>
            <w:tcW w:w="854" w:type="pct"/>
            <w:noWrap/>
            <w:vAlign w:val="center"/>
            <w:hideMark/>
          </w:tcPr>
          <w:p w14:paraId="5540658F" w14:textId="77777777" w:rsidR="00DD54E5" w:rsidRPr="00BE7E58" w:rsidRDefault="00DD54E5" w:rsidP="00C54F4B">
            <w:pPr>
              <w:spacing w:after="0"/>
              <w:ind w:left="-28" w:right="-28"/>
              <w:jc w:val="center"/>
              <w:rPr>
                <w:sz w:val="20"/>
                <w:szCs w:val="20"/>
                <w:lang w:eastAsia="cs-CZ"/>
              </w:rPr>
            </w:pPr>
            <w:r w:rsidRPr="00BE7E58">
              <w:rPr>
                <w:sz w:val="20"/>
                <w:szCs w:val="20"/>
                <w:lang w:eastAsia="cs-CZ"/>
              </w:rPr>
              <w:t>2,11%</w:t>
            </w:r>
          </w:p>
        </w:tc>
      </w:tr>
    </w:tbl>
    <w:p w14:paraId="6642C145" w14:textId="20688CC0" w:rsidR="00DD54E5" w:rsidRPr="00BE7E58" w:rsidRDefault="00DD54E5" w:rsidP="00F33CC2">
      <w:pPr>
        <w:spacing w:before="40" w:after="0"/>
        <w:ind w:left="567" w:hanging="567"/>
        <w:rPr>
          <w:sz w:val="20"/>
          <w:szCs w:val="20"/>
          <w:lang w:eastAsia="cs-CZ"/>
        </w:rPr>
      </w:pPr>
      <w:r w:rsidRPr="003B148A">
        <w:rPr>
          <w:b/>
          <w:sz w:val="20"/>
          <w:szCs w:val="20"/>
          <w:lang w:eastAsia="cs-CZ"/>
        </w:rPr>
        <w:t>Zdroj:</w:t>
      </w:r>
      <w:r w:rsidRPr="00BE7E58">
        <w:rPr>
          <w:sz w:val="20"/>
          <w:szCs w:val="20"/>
          <w:lang w:eastAsia="cs-CZ"/>
        </w:rPr>
        <w:t xml:space="preserve"> </w:t>
      </w:r>
      <w:hyperlink r:id="rId73" w:anchor="rozpocet-prijmy-druhovy" w:history="1">
        <w:r w:rsidR="007048CB" w:rsidRPr="007048CB">
          <w:rPr>
            <w:rStyle w:val="Hypertextovodkaz"/>
            <w:sz w:val="20"/>
            <w:szCs w:val="20"/>
            <w:u w:val="none"/>
            <w:lang w:eastAsia="cs-CZ"/>
          </w:rPr>
          <w:t>https://monitor.statnipokladna.cz/2015/statni-rozpocet/#rozpocet-prijmy-druhovy</w:t>
        </w:r>
      </w:hyperlink>
      <w:r w:rsidRPr="00BE7E58">
        <w:rPr>
          <w:sz w:val="20"/>
          <w:szCs w:val="20"/>
          <w:lang w:eastAsia="cs-CZ"/>
        </w:rPr>
        <w:t xml:space="preserve"> (za jednotlivé roky 2015, 2016, 2017 a 2018); </w:t>
      </w:r>
      <w:hyperlink r:id="rId74" w:history="1">
        <w:r w:rsidR="007048CB" w:rsidRPr="007048CB">
          <w:rPr>
            <w:rStyle w:val="Hypertextovodkaz"/>
            <w:sz w:val="20"/>
            <w:szCs w:val="20"/>
            <w:u w:val="none"/>
            <w:lang w:eastAsia="cs-CZ"/>
          </w:rPr>
          <w:t>https://www.czso.cz/csu/czso/hmu_cr</w:t>
        </w:r>
      </w:hyperlink>
      <w:r w:rsidRPr="00BE7E58">
        <w:rPr>
          <w:sz w:val="20"/>
          <w:szCs w:val="20"/>
          <w:lang w:eastAsia="cs-CZ"/>
        </w:rPr>
        <w:t xml:space="preserve"> (hlavní makroekonomické ukazatele: HDP za jednotlivé roky 2015, 2016, 2017 a 2018).</w:t>
      </w:r>
      <w:r w:rsidR="00FA7946">
        <w:rPr>
          <w:sz w:val="20"/>
          <w:szCs w:val="20"/>
          <w:lang w:eastAsia="cs-CZ"/>
        </w:rPr>
        <w:t xml:space="preserve"> </w:t>
      </w:r>
      <w:r w:rsidR="00FA7946" w:rsidRPr="003B2EAC">
        <w:rPr>
          <w:sz w:val="20"/>
          <w:szCs w:val="20"/>
          <w:lang w:eastAsia="cs-CZ"/>
        </w:rPr>
        <w:t>Kurz ČNB ke dni 17. 9. 2019</w:t>
      </w:r>
      <w:r w:rsidR="00FA7946">
        <w:rPr>
          <w:sz w:val="20"/>
          <w:szCs w:val="20"/>
          <w:lang w:eastAsia="cs-CZ"/>
        </w:rPr>
        <w:t>:</w:t>
      </w:r>
      <w:r w:rsidR="00FA7946" w:rsidRPr="003B2EAC">
        <w:rPr>
          <w:sz w:val="20"/>
          <w:szCs w:val="20"/>
          <w:lang w:eastAsia="cs-CZ"/>
        </w:rPr>
        <w:t xml:space="preserve"> 1 </w:t>
      </w:r>
      <w:r w:rsidR="00FA7946">
        <w:rPr>
          <w:sz w:val="20"/>
          <w:szCs w:val="20"/>
          <w:lang w:eastAsia="cs-CZ"/>
        </w:rPr>
        <w:t>€</w:t>
      </w:r>
      <w:r w:rsidR="00FA7946" w:rsidRPr="003B2EAC">
        <w:rPr>
          <w:sz w:val="20"/>
          <w:szCs w:val="20"/>
          <w:lang w:eastAsia="cs-CZ"/>
        </w:rPr>
        <w:t xml:space="preserve"> = 25,88 Kč.</w:t>
      </w:r>
    </w:p>
    <w:p w14:paraId="29FD72C6" w14:textId="23C23A05" w:rsidR="00DD54E5" w:rsidRDefault="00DD54E5" w:rsidP="00F33CC2">
      <w:pPr>
        <w:spacing w:after="0"/>
        <w:ind w:left="284" w:hanging="284"/>
        <w:rPr>
          <w:sz w:val="20"/>
          <w:szCs w:val="20"/>
          <w:lang w:eastAsia="cs-CZ"/>
        </w:rPr>
      </w:pPr>
      <w:r w:rsidRPr="00BE7E58">
        <w:rPr>
          <w:sz w:val="20"/>
          <w:szCs w:val="20"/>
          <w:lang w:eastAsia="cs-CZ"/>
        </w:rPr>
        <w:t xml:space="preserve">* </w:t>
      </w:r>
      <w:r w:rsidR="00F33CC2">
        <w:rPr>
          <w:sz w:val="20"/>
          <w:szCs w:val="20"/>
          <w:lang w:eastAsia="cs-CZ"/>
        </w:rPr>
        <w:tab/>
      </w:r>
      <w:r w:rsidRPr="00BE7E58">
        <w:rPr>
          <w:sz w:val="20"/>
          <w:szCs w:val="20"/>
          <w:lang w:eastAsia="cs-CZ"/>
        </w:rPr>
        <w:t>kapitálové příjmy jsou do výpočtu zahrnuty kvůli emisní</w:t>
      </w:r>
      <w:r>
        <w:rPr>
          <w:sz w:val="20"/>
          <w:szCs w:val="20"/>
          <w:lang w:eastAsia="cs-CZ"/>
        </w:rPr>
        <w:t>m</w:t>
      </w:r>
      <w:r w:rsidRPr="00BE7E58">
        <w:rPr>
          <w:sz w:val="20"/>
          <w:szCs w:val="20"/>
          <w:lang w:eastAsia="cs-CZ"/>
        </w:rPr>
        <w:t xml:space="preserve"> povolenkám, které jsou zahrnuty mezi daně s</w:t>
      </w:r>
      <w:r w:rsidR="00F33CC2">
        <w:rPr>
          <w:sz w:val="20"/>
          <w:szCs w:val="20"/>
          <w:lang w:eastAsia="cs-CZ"/>
        </w:rPr>
        <w:t> </w:t>
      </w:r>
      <w:r w:rsidRPr="00BE7E58">
        <w:rPr>
          <w:sz w:val="20"/>
          <w:szCs w:val="20"/>
          <w:lang w:eastAsia="cs-CZ"/>
        </w:rPr>
        <w:t>environmentálním dopadem.</w:t>
      </w:r>
      <w:r>
        <w:rPr>
          <w:sz w:val="20"/>
          <w:szCs w:val="20"/>
          <w:lang w:eastAsia="cs-CZ"/>
        </w:rPr>
        <w:t xml:space="preserve"> </w:t>
      </w:r>
    </w:p>
    <w:p w14:paraId="7B28CF52" w14:textId="590AC535" w:rsidR="00DD54E5" w:rsidRPr="00E174D1" w:rsidRDefault="00F33CC2" w:rsidP="00C54F4B">
      <w:pPr>
        <w:pStyle w:val="Tabulka"/>
        <w:numPr>
          <w:ilvl w:val="0"/>
          <w:numId w:val="0"/>
        </w:numPr>
        <w:spacing w:after="40"/>
        <w:ind w:left="1418" w:hanging="1418"/>
        <w:rPr>
          <w:lang w:eastAsia="cs-CZ"/>
        </w:rPr>
      </w:pPr>
      <w:r>
        <w:rPr>
          <w:lang w:eastAsia="cs-CZ"/>
        </w:rPr>
        <w:lastRenderedPageBreak/>
        <w:t xml:space="preserve">Tabulka č. 25: </w:t>
      </w:r>
      <w:r w:rsidR="00DD54E5" w:rsidRPr="00E174D1">
        <w:rPr>
          <w:lang w:eastAsia="cs-CZ"/>
        </w:rPr>
        <w:t>Přehled vývoje spotřební daně z CNG a LPG v letech 2015</w:t>
      </w:r>
      <w:r w:rsidR="00FA7946">
        <w:rPr>
          <w:lang w:eastAsia="cs-CZ"/>
        </w:rPr>
        <w:t>–</w:t>
      </w:r>
      <w:r w:rsidR="00DD54E5" w:rsidRPr="00E174D1">
        <w:rPr>
          <w:lang w:eastAsia="cs-CZ"/>
        </w:rPr>
        <w:t xml:space="preserve">2018 </w:t>
      </w:r>
      <w:r w:rsidR="00DD54E5" w:rsidRPr="004C23CF">
        <w:rPr>
          <w:lang w:eastAsia="cs-CZ"/>
        </w:rPr>
        <w:t xml:space="preserve">(v </w:t>
      </w:r>
      <w:r w:rsidR="00FA7946">
        <w:rPr>
          <w:lang w:eastAsia="cs-CZ"/>
        </w:rPr>
        <w:t>€</w:t>
      </w:r>
      <w:r w:rsidR="00DD54E5" w:rsidRPr="004C23CF">
        <w:rPr>
          <w:lang w:eastAsia="cs-CZ"/>
        </w:rPr>
        <w:t>)</w:t>
      </w:r>
    </w:p>
    <w:tbl>
      <w:tblPr>
        <w:tblStyle w:val="Mkatabulky"/>
        <w:tblW w:w="5000" w:type="pct"/>
        <w:tblLook w:val="04A0" w:firstRow="1" w:lastRow="0" w:firstColumn="1" w:lastColumn="0" w:noHBand="0" w:noVBand="1"/>
      </w:tblPr>
      <w:tblGrid>
        <w:gridCol w:w="3200"/>
        <w:gridCol w:w="1466"/>
        <w:gridCol w:w="1466"/>
        <w:gridCol w:w="1466"/>
        <w:gridCol w:w="1462"/>
      </w:tblGrid>
      <w:tr w:rsidR="00DD54E5" w14:paraId="5B836279" w14:textId="77777777" w:rsidTr="00AF1094">
        <w:trPr>
          <w:trHeight w:val="227"/>
        </w:trPr>
        <w:tc>
          <w:tcPr>
            <w:tcW w:w="1766" w:type="pct"/>
            <w:shd w:val="clear" w:color="auto" w:fill="E5F1FF"/>
            <w:noWrap/>
            <w:vAlign w:val="center"/>
            <w:hideMark/>
          </w:tcPr>
          <w:p w14:paraId="67A6823C" w14:textId="77777777" w:rsidR="00DD54E5" w:rsidRPr="004C23CF" w:rsidRDefault="00DD54E5" w:rsidP="00AF1094">
            <w:pPr>
              <w:spacing w:after="0"/>
              <w:jc w:val="center"/>
              <w:rPr>
                <w:b/>
                <w:sz w:val="20"/>
                <w:szCs w:val="20"/>
                <w:lang w:eastAsia="cs-CZ"/>
              </w:rPr>
            </w:pPr>
            <w:r w:rsidRPr="004C23CF">
              <w:rPr>
                <w:b/>
                <w:sz w:val="20"/>
                <w:szCs w:val="20"/>
                <w:lang w:eastAsia="cs-CZ"/>
              </w:rPr>
              <w:t>Rok</w:t>
            </w:r>
          </w:p>
        </w:tc>
        <w:tc>
          <w:tcPr>
            <w:tcW w:w="809" w:type="pct"/>
            <w:shd w:val="clear" w:color="auto" w:fill="E5F1FF"/>
            <w:noWrap/>
            <w:vAlign w:val="center"/>
            <w:hideMark/>
          </w:tcPr>
          <w:p w14:paraId="79DF24F7" w14:textId="77777777" w:rsidR="00DD54E5" w:rsidRPr="004C23CF" w:rsidRDefault="00DD54E5" w:rsidP="00AF1094">
            <w:pPr>
              <w:spacing w:after="0"/>
              <w:jc w:val="center"/>
              <w:rPr>
                <w:b/>
                <w:bCs/>
                <w:sz w:val="20"/>
                <w:szCs w:val="20"/>
                <w:lang w:eastAsia="cs-CZ"/>
              </w:rPr>
            </w:pPr>
            <w:r w:rsidRPr="004C23CF">
              <w:rPr>
                <w:b/>
                <w:bCs/>
                <w:sz w:val="20"/>
                <w:szCs w:val="20"/>
                <w:lang w:eastAsia="cs-CZ"/>
              </w:rPr>
              <w:t>2015</w:t>
            </w:r>
          </w:p>
        </w:tc>
        <w:tc>
          <w:tcPr>
            <w:tcW w:w="809" w:type="pct"/>
            <w:shd w:val="clear" w:color="auto" w:fill="E5F1FF"/>
            <w:noWrap/>
            <w:vAlign w:val="center"/>
            <w:hideMark/>
          </w:tcPr>
          <w:p w14:paraId="009A0A86" w14:textId="77777777" w:rsidR="00DD54E5" w:rsidRPr="004C23CF" w:rsidRDefault="00DD54E5" w:rsidP="00AF1094">
            <w:pPr>
              <w:spacing w:after="0"/>
              <w:jc w:val="center"/>
              <w:rPr>
                <w:b/>
                <w:bCs/>
                <w:sz w:val="20"/>
                <w:szCs w:val="20"/>
                <w:lang w:eastAsia="cs-CZ"/>
              </w:rPr>
            </w:pPr>
            <w:r w:rsidRPr="004C23CF">
              <w:rPr>
                <w:b/>
                <w:bCs/>
                <w:sz w:val="20"/>
                <w:szCs w:val="20"/>
                <w:lang w:eastAsia="cs-CZ"/>
              </w:rPr>
              <w:t>2016</w:t>
            </w:r>
          </w:p>
        </w:tc>
        <w:tc>
          <w:tcPr>
            <w:tcW w:w="809" w:type="pct"/>
            <w:shd w:val="clear" w:color="auto" w:fill="E5F1FF"/>
            <w:noWrap/>
            <w:vAlign w:val="center"/>
            <w:hideMark/>
          </w:tcPr>
          <w:p w14:paraId="309274A6" w14:textId="77777777" w:rsidR="00DD54E5" w:rsidRPr="004C23CF" w:rsidRDefault="00DD54E5" w:rsidP="00AF1094">
            <w:pPr>
              <w:spacing w:after="0"/>
              <w:jc w:val="center"/>
              <w:rPr>
                <w:b/>
                <w:bCs/>
                <w:sz w:val="20"/>
                <w:szCs w:val="20"/>
                <w:lang w:eastAsia="cs-CZ"/>
              </w:rPr>
            </w:pPr>
            <w:r w:rsidRPr="004C23CF">
              <w:rPr>
                <w:b/>
                <w:bCs/>
                <w:sz w:val="20"/>
                <w:szCs w:val="20"/>
                <w:lang w:eastAsia="cs-CZ"/>
              </w:rPr>
              <w:t>2017</w:t>
            </w:r>
          </w:p>
        </w:tc>
        <w:tc>
          <w:tcPr>
            <w:tcW w:w="808" w:type="pct"/>
            <w:shd w:val="clear" w:color="auto" w:fill="E5F1FF"/>
            <w:noWrap/>
            <w:vAlign w:val="center"/>
            <w:hideMark/>
          </w:tcPr>
          <w:p w14:paraId="7D91C018" w14:textId="77777777" w:rsidR="00DD54E5" w:rsidRPr="004C23CF" w:rsidRDefault="00DD54E5" w:rsidP="00AF1094">
            <w:pPr>
              <w:spacing w:after="0"/>
              <w:jc w:val="center"/>
              <w:rPr>
                <w:b/>
                <w:bCs/>
                <w:sz w:val="20"/>
                <w:szCs w:val="20"/>
                <w:lang w:eastAsia="cs-CZ"/>
              </w:rPr>
            </w:pPr>
            <w:r w:rsidRPr="004C23CF">
              <w:rPr>
                <w:b/>
                <w:bCs/>
                <w:sz w:val="20"/>
                <w:szCs w:val="20"/>
                <w:lang w:eastAsia="cs-CZ"/>
              </w:rPr>
              <w:t>2018</w:t>
            </w:r>
          </w:p>
        </w:tc>
      </w:tr>
      <w:tr w:rsidR="00DD54E5" w14:paraId="4FF18F6B" w14:textId="77777777" w:rsidTr="00AF1094">
        <w:trPr>
          <w:trHeight w:val="227"/>
        </w:trPr>
        <w:tc>
          <w:tcPr>
            <w:tcW w:w="1766" w:type="pct"/>
            <w:vAlign w:val="center"/>
            <w:hideMark/>
          </w:tcPr>
          <w:p w14:paraId="5A65A707" w14:textId="77777777" w:rsidR="00DD54E5" w:rsidRPr="004C23CF" w:rsidRDefault="00DD54E5" w:rsidP="00AF1094">
            <w:pPr>
              <w:spacing w:after="0"/>
              <w:jc w:val="left"/>
              <w:rPr>
                <w:sz w:val="20"/>
                <w:szCs w:val="20"/>
                <w:lang w:eastAsia="cs-CZ"/>
              </w:rPr>
            </w:pPr>
            <w:r w:rsidRPr="004C23CF">
              <w:rPr>
                <w:sz w:val="20"/>
                <w:szCs w:val="20"/>
                <w:lang w:eastAsia="cs-CZ"/>
              </w:rPr>
              <w:t>Vyměřená spotřební daň z CNG</w:t>
            </w:r>
          </w:p>
        </w:tc>
        <w:tc>
          <w:tcPr>
            <w:tcW w:w="809" w:type="pct"/>
            <w:noWrap/>
            <w:vAlign w:val="center"/>
            <w:hideMark/>
          </w:tcPr>
          <w:p w14:paraId="08C5A70A" w14:textId="77777777" w:rsidR="00DD54E5" w:rsidRPr="004C23CF" w:rsidRDefault="00DD54E5" w:rsidP="00AF1094">
            <w:pPr>
              <w:spacing w:after="0"/>
              <w:ind w:right="57"/>
              <w:jc w:val="right"/>
              <w:rPr>
                <w:sz w:val="20"/>
                <w:szCs w:val="20"/>
                <w:lang w:eastAsia="cs-CZ"/>
              </w:rPr>
            </w:pPr>
            <w:r w:rsidRPr="004C23CF">
              <w:rPr>
                <w:sz w:val="20"/>
                <w:szCs w:val="20"/>
                <w:lang w:eastAsia="cs-CZ"/>
              </w:rPr>
              <w:t>1 089 154,33</w:t>
            </w:r>
          </w:p>
        </w:tc>
        <w:tc>
          <w:tcPr>
            <w:tcW w:w="809" w:type="pct"/>
            <w:noWrap/>
            <w:vAlign w:val="center"/>
            <w:hideMark/>
          </w:tcPr>
          <w:p w14:paraId="21A5E8E7" w14:textId="77777777" w:rsidR="00DD54E5" w:rsidRPr="004C23CF" w:rsidRDefault="00DD54E5" w:rsidP="00AF1094">
            <w:pPr>
              <w:spacing w:after="0"/>
              <w:ind w:right="57"/>
              <w:jc w:val="right"/>
              <w:rPr>
                <w:sz w:val="20"/>
                <w:szCs w:val="20"/>
                <w:lang w:eastAsia="cs-CZ"/>
              </w:rPr>
            </w:pPr>
            <w:r w:rsidRPr="004C23CF">
              <w:rPr>
                <w:sz w:val="20"/>
                <w:szCs w:val="20"/>
                <w:lang w:eastAsia="cs-CZ"/>
              </w:rPr>
              <w:t>1 595 004,87</w:t>
            </w:r>
          </w:p>
        </w:tc>
        <w:tc>
          <w:tcPr>
            <w:tcW w:w="809" w:type="pct"/>
            <w:noWrap/>
            <w:vAlign w:val="center"/>
            <w:hideMark/>
          </w:tcPr>
          <w:p w14:paraId="74E49738" w14:textId="77777777" w:rsidR="00DD54E5" w:rsidRPr="004C23CF" w:rsidRDefault="00DD54E5" w:rsidP="00AF1094">
            <w:pPr>
              <w:spacing w:after="0"/>
              <w:ind w:right="57"/>
              <w:jc w:val="right"/>
              <w:rPr>
                <w:sz w:val="20"/>
                <w:szCs w:val="20"/>
                <w:lang w:eastAsia="cs-CZ"/>
              </w:rPr>
            </w:pPr>
            <w:r w:rsidRPr="004C23CF">
              <w:rPr>
                <w:sz w:val="20"/>
                <w:szCs w:val="20"/>
                <w:lang w:eastAsia="cs-CZ"/>
              </w:rPr>
              <w:t>1 880 326,43</w:t>
            </w:r>
          </w:p>
        </w:tc>
        <w:tc>
          <w:tcPr>
            <w:tcW w:w="808" w:type="pct"/>
            <w:noWrap/>
            <w:vAlign w:val="center"/>
            <w:hideMark/>
          </w:tcPr>
          <w:p w14:paraId="008A2D1E" w14:textId="77777777" w:rsidR="00DD54E5" w:rsidRPr="004C23CF" w:rsidRDefault="00DD54E5" w:rsidP="00AF1094">
            <w:pPr>
              <w:spacing w:after="0"/>
              <w:ind w:right="57"/>
              <w:jc w:val="right"/>
              <w:rPr>
                <w:sz w:val="20"/>
                <w:szCs w:val="20"/>
                <w:lang w:eastAsia="cs-CZ"/>
              </w:rPr>
            </w:pPr>
            <w:r w:rsidRPr="004C23CF">
              <w:rPr>
                <w:sz w:val="20"/>
                <w:szCs w:val="20"/>
                <w:lang w:eastAsia="cs-CZ"/>
              </w:rPr>
              <w:t>3 942 453,75</w:t>
            </w:r>
          </w:p>
        </w:tc>
      </w:tr>
      <w:tr w:rsidR="00DD54E5" w14:paraId="304162C0" w14:textId="77777777" w:rsidTr="00AF1094">
        <w:trPr>
          <w:trHeight w:val="227"/>
        </w:trPr>
        <w:tc>
          <w:tcPr>
            <w:tcW w:w="1766" w:type="pct"/>
            <w:vAlign w:val="center"/>
            <w:hideMark/>
          </w:tcPr>
          <w:p w14:paraId="0117EC92" w14:textId="77777777" w:rsidR="00DD54E5" w:rsidRPr="004C23CF" w:rsidRDefault="00DD54E5" w:rsidP="00AF1094">
            <w:pPr>
              <w:spacing w:after="0"/>
              <w:jc w:val="left"/>
              <w:rPr>
                <w:sz w:val="20"/>
                <w:szCs w:val="20"/>
                <w:lang w:eastAsia="cs-CZ"/>
              </w:rPr>
            </w:pPr>
            <w:r w:rsidRPr="004C23CF">
              <w:rPr>
                <w:sz w:val="20"/>
                <w:szCs w:val="20"/>
                <w:lang w:eastAsia="cs-CZ"/>
              </w:rPr>
              <w:t>Vyměřená spotřební daň z LPG</w:t>
            </w:r>
          </w:p>
        </w:tc>
        <w:tc>
          <w:tcPr>
            <w:tcW w:w="809" w:type="pct"/>
            <w:noWrap/>
            <w:vAlign w:val="center"/>
            <w:hideMark/>
          </w:tcPr>
          <w:p w14:paraId="0DDB3CD0" w14:textId="77777777" w:rsidR="00DD54E5" w:rsidRPr="004C23CF" w:rsidRDefault="00DD54E5" w:rsidP="00AF1094">
            <w:pPr>
              <w:spacing w:after="0"/>
              <w:ind w:right="57"/>
              <w:jc w:val="right"/>
              <w:rPr>
                <w:sz w:val="20"/>
                <w:szCs w:val="20"/>
                <w:lang w:eastAsia="cs-CZ"/>
              </w:rPr>
            </w:pPr>
            <w:r w:rsidRPr="004C23CF">
              <w:rPr>
                <w:sz w:val="20"/>
                <w:szCs w:val="20"/>
                <w:lang w:eastAsia="cs-CZ"/>
              </w:rPr>
              <w:t>15 038 268,16</w:t>
            </w:r>
          </w:p>
        </w:tc>
        <w:tc>
          <w:tcPr>
            <w:tcW w:w="809" w:type="pct"/>
            <w:noWrap/>
            <w:vAlign w:val="center"/>
            <w:hideMark/>
          </w:tcPr>
          <w:p w14:paraId="2EB8ABA4" w14:textId="77777777" w:rsidR="00DD54E5" w:rsidRPr="004C23CF" w:rsidRDefault="00DD54E5" w:rsidP="00AF1094">
            <w:pPr>
              <w:spacing w:after="0"/>
              <w:ind w:right="57"/>
              <w:jc w:val="right"/>
              <w:rPr>
                <w:sz w:val="20"/>
                <w:szCs w:val="20"/>
                <w:lang w:eastAsia="cs-CZ"/>
              </w:rPr>
            </w:pPr>
            <w:r w:rsidRPr="004C23CF">
              <w:rPr>
                <w:sz w:val="20"/>
                <w:szCs w:val="20"/>
                <w:lang w:eastAsia="cs-CZ"/>
              </w:rPr>
              <w:t>15 094 290,11</w:t>
            </w:r>
          </w:p>
        </w:tc>
        <w:tc>
          <w:tcPr>
            <w:tcW w:w="809" w:type="pct"/>
            <w:noWrap/>
            <w:vAlign w:val="center"/>
            <w:hideMark/>
          </w:tcPr>
          <w:p w14:paraId="7D9D7AC5" w14:textId="77777777" w:rsidR="00DD54E5" w:rsidRPr="004C23CF" w:rsidRDefault="00DD54E5" w:rsidP="00AF1094">
            <w:pPr>
              <w:spacing w:after="0"/>
              <w:ind w:right="57"/>
              <w:jc w:val="right"/>
              <w:rPr>
                <w:sz w:val="20"/>
                <w:szCs w:val="20"/>
                <w:lang w:eastAsia="cs-CZ"/>
              </w:rPr>
            </w:pPr>
            <w:r w:rsidRPr="004C23CF">
              <w:rPr>
                <w:sz w:val="20"/>
                <w:szCs w:val="20"/>
                <w:lang w:eastAsia="cs-CZ"/>
              </w:rPr>
              <w:t>14 492 997,06</w:t>
            </w:r>
          </w:p>
        </w:tc>
        <w:tc>
          <w:tcPr>
            <w:tcW w:w="808" w:type="pct"/>
            <w:noWrap/>
            <w:vAlign w:val="center"/>
            <w:hideMark/>
          </w:tcPr>
          <w:p w14:paraId="1D7BC500" w14:textId="77777777" w:rsidR="00DD54E5" w:rsidRPr="004C23CF" w:rsidRDefault="00DD54E5" w:rsidP="00AF1094">
            <w:pPr>
              <w:spacing w:after="0"/>
              <w:ind w:right="57"/>
              <w:jc w:val="right"/>
              <w:rPr>
                <w:sz w:val="20"/>
                <w:szCs w:val="20"/>
                <w:lang w:eastAsia="cs-CZ"/>
              </w:rPr>
            </w:pPr>
            <w:r w:rsidRPr="004C23CF">
              <w:rPr>
                <w:sz w:val="20"/>
                <w:szCs w:val="20"/>
                <w:lang w:eastAsia="cs-CZ"/>
              </w:rPr>
              <w:t>13 887 437,33</w:t>
            </w:r>
          </w:p>
        </w:tc>
      </w:tr>
    </w:tbl>
    <w:p w14:paraId="577619BE" w14:textId="607AA3D2" w:rsidR="00DD54E5" w:rsidRDefault="00DD54E5" w:rsidP="000D204D">
      <w:pPr>
        <w:spacing w:before="40"/>
        <w:ind w:left="567" w:hanging="567"/>
        <w:jc w:val="left"/>
        <w:rPr>
          <w:sz w:val="20"/>
          <w:szCs w:val="20"/>
          <w:lang w:eastAsia="cs-CZ"/>
        </w:rPr>
      </w:pPr>
      <w:r w:rsidRPr="003B148A">
        <w:rPr>
          <w:b/>
          <w:sz w:val="20"/>
          <w:szCs w:val="20"/>
          <w:lang w:eastAsia="cs-CZ"/>
        </w:rPr>
        <w:t>Zdroj:</w:t>
      </w:r>
      <w:r w:rsidRPr="004C23CF">
        <w:rPr>
          <w:sz w:val="20"/>
          <w:szCs w:val="20"/>
          <w:lang w:eastAsia="cs-CZ"/>
        </w:rPr>
        <w:t xml:space="preserve"> </w:t>
      </w:r>
      <w:r w:rsidR="000D204D">
        <w:rPr>
          <w:sz w:val="20"/>
          <w:szCs w:val="20"/>
          <w:lang w:eastAsia="cs-CZ"/>
        </w:rPr>
        <w:tab/>
      </w:r>
      <w:r w:rsidRPr="004C23CF">
        <w:rPr>
          <w:sz w:val="20"/>
          <w:szCs w:val="20"/>
          <w:lang w:eastAsia="cs-CZ"/>
        </w:rPr>
        <w:t xml:space="preserve">do roku 2018 statistiky celní správy, dostupné z </w:t>
      </w:r>
      <w:hyperlink r:id="rId75" w:history="1">
        <w:r w:rsidR="000D204D" w:rsidRPr="000D204D">
          <w:rPr>
            <w:rStyle w:val="Hypertextovodkaz"/>
            <w:sz w:val="20"/>
            <w:szCs w:val="20"/>
            <w:u w:val="none"/>
            <w:lang w:eastAsia="cs-CZ"/>
          </w:rPr>
          <w:t>https://www.celnisprava.cz/cz/dane/statistiky/Stranky/mineraly.aspx?Paged=TRUE&amp;p_SortBehavior=0&amp;p_FileLeafRef=Vymer_SPD_MO_2018_SK_01%2epdf&amp;p_Modified=20181126%2010%3a19%3a24&amp;p_ID=52&amp;PageFirstRow=6&amp;&amp;View={460D060C-4790-45DF-85E4-B9E846D4F2BC}</w:t>
        </w:r>
      </w:hyperlink>
      <w:r>
        <w:rPr>
          <w:sz w:val="20"/>
          <w:szCs w:val="20"/>
          <w:lang w:eastAsia="cs-CZ"/>
        </w:rPr>
        <w:t xml:space="preserve">; </w:t>
      </w:r>
      <w:hyperlink r:id="rId76" w:history="1">
        <w:r w:rsidR="000D204D" w:rsidRPr="000D204D">
          <w:rPr>
            <w:rStyle w:val="Hypertextovodkaz"/>
            <w:sz w:val="20"/>
            <w:szCs w:val="20"/>
            <w:u w:val="none"/>
            <w:lang w:eastAsia="cs-CZ"/>
          </w:rPr>
          <w:t>https://www.celnisprava.cz/cz/dane/statistiky/Stranky/ekodane.aspx</w:t>
        </w:r>
      </w:hyperlink>
      <w:r w:rsidRPr="004C23CF">
        <w:rPr>
          <w:sz w:val="20"/>
          <w:szCs w:val="20"/>
          <w:lang w:eastAsia="cs-CZ"/>
        </w:rPr>
        <w:t>, daně ze zemního plynu za jednotlivé roky</w:t>
      </w:r>
      <w:r>
        <w:rPr>
          <w:sz w:val="20"/>
          <w:szCs w:val="20"/>
          <w:lang w:eastAsia="cs-CZ"/>
        </w:rPr>
        <w:t xml:space="preserve">. </w:t>
      </w:r>
      <w:r w:rsidRPr="003B2EAC">
        <w:rPr>
          <w:sz w:val="20"/>
          <w:szCs w:val="20"/>
          <w:lang w:eastAsia="cs-CZ"/>
        </w:rPr>
        <w:t xml:space="preserve">Kurz </w:t>
      </w:r>
      <w:r w:rsidR="00FA7946" w:rsidRPr="003B2EAC">
        <w:rPr>
          <w:sz w:val="20"/>
          <w:szCs w:val="20"/>
          <w:lang w:eastAsia="cs-CZ"/>
        </w:rPr>
        <w:t xml:space="preserve">ČNB </w:t>
      </w:r>
      <w:r w:rsidRPr="003B2EAC">
        <w:rPr>
          <w:sz w:val="20"/>
          <w:szCs w:val="20"/>
          <w:lang w:eastAsia="cs-CZ"/>
        </w:rPr>
        <w:t>ke dni 17. 9. 2019</w:t>
      </w:r>
      <w:r w:rsidR="00FA7946">
        <w:rPr>
          <w:sz w:val="20"/>
          <w:szCs w:val="20"/>
          <w:lang w:eastAsia="cs-CZ"/>
        </w:rPr>
        <w:t>:</w:t>
      </w:r>
      <w:r w:rsidRPr="003B2EAC">
        <w:rPr>
          <w:sz w:val="20"/>
          <w:szCs w:val="20"/>
          <w:lang w:eastAsia="cs-CZ"/>
        </w:rPr>
        <w:t xml:space="preserve"> 1 </w:t>
      </w:r>
      <w:r w:rsidR="00FA7946">
        <w:rPr>
          <w:sz w:val="20"/>
          <w:szCs w:val="20"/>
          <w:lang w:eastAsia="cs-CZ"/>
        </w:rPr>
        <w:t>€</w:t>
      </w:r>
      <w:r w:rsidRPr="003B2EAC">
        <w:rPr>
          <w:sz w:val="20"/>
          <w:szCs w:val="20"/>
          <w:lang w:eastAsia="cs-CZ"/>
        </w:rPr>
        <w:t xml:space="preserve"> = 25,88 Kč.</w:t>
      </w:r>
    </w:p>
    <w:p w14:paraId="68C67E7D" w14:textId="7A95F381" w:rsidR="00DD54E5" w:rsidRDefault="007C35AC" w:rsidP="000D204D">
      <w:pPr>
        <w:pStyle w:val="Tabulka"/>
        <w:numPr>
          <w:ilvl w:val="0"/>
          <w:numId w:val="0"/>
        </w:numPr>
        <w:spacing w:after="40"/>
        <w:ind w:left="1446" w:hanging="1446"/>
        <w:rPr>
          <w:lang w:eastAsia="cs-CZ"/>
        </w:rPr>
      </w:pPr>
      <w:r>
        <w:rPr>
          <w:lang w:eastAsia="cs-CZ"/>
        </w:rPr>
        <w:t xml:space="preserve">Tabulka č. 26: </w:t>
      </w:r>
      <w:r>
        <w:rPr>
          <w:lang w:eastAsia="cs-CZ"/>
        </w:rPr>
        <w:tab/>
      </w:r>
      <w:r w:rsidR="00DD54E5" w:rsidRPr="00232643">
        <w:rPr>
          <w:lang w:eastAsia="cs-CZ"/>
        </w:rPr>
        <w:t>Podíl spotřební daně z CNG na celkové spotřební dan</w:t>
      </w:r>
      <w:r w:rsidR="00DD54E5">
        <w:rPr>
          <w:lang w:eastAsia="cs-CZ"/>
        </w:rPr>
        <w:t>i ze zemního plynu za roky 2015–</w:t>
      </w:r>
      <w:r w:rsidR="00DD54E5" w:rsidRPr="00232643">
        <w:rPr>
          <w:lang w:eastAsia="cs-CZ"/>
        </w:rPr>
        <w:t xml:space="preserve">2018 (v </w:t>
      </w:r>
      <w:r w:rsidR="00FA7946">
        <w:rPr>
          <w:lang w:eastAsia="cs-CZ"/>
        </w:rPr>
        <w:t>€</w:t>
      </w:r>
      <w:r w:rsidR="00DD54E5" w:rsidRPr="00232643">
        <w:rPr>
          <w:lang w:eastAsia="cs-CZ"/>
        </w:rPr>
        <w:t>)</w:t>
      </w:r>
    </w:p>
    <w:tbl>
      <w:tblPr>
        <w:tblStyle w:val="Mkatabulky"/>
        <w:tblW w:w="5000" w:type="pct"/>
        <w:tblLook w:val="04A0" w:firstRow="1" w:lastRow="0" w:firstColumn="1" w:lastColumn="0" w:noHBand="0" w:noVBand="1"/>
      </w:tblPr>
      <w:tblGrid>
        <w:gridCol w:w="3596"/>
        <w:gridCol w:w="1366"/>
        <w:gridCol w:w="1366"/>
        <w:gridCol w:w="1366"/>
        <w:gridCol w:w="1366"/>
      </w:tblGrid>
      <w:tr w:rsidR="00DD54E5" w14:paraId="3C6F3F68" w14:textId="77777777" w:rsidTr="00AF1094">
        <w:trPr>
          <w:trHeight w:val="227"/>
        </w:trPr>
        <w:tc>
          <w:tcPr>
            <w:tcW w:w="2010" w:type="pct"/>
            <w:shd w:val="clear" w:color="auto" w:fill="E5F1FF"/>
            <w:noWrap/>
            <w:vAlign w:val="center"/>
            <w:hideMark/>
          </w:tcPr>
          <w:p w14:paraId="21EF73E7" w14:textId="77777777" w:rsidR="00DD54E5" w:rsidRPr="00232643" w:rsidRDefault="00DD54E5" w:rsidP="00AF1094">
            <w:pPr>
              <w:spacing w:after="0"/>
              <w:ind w:left="-57" w:right="-57"/>
              <w:jc w:val="center"/>
              <w:rPr>
                <w:b/>
                <w:bCs/>
                <w:sz w:val="20"/>
                <w:szCs w:val="20"/>
                <w:lang w:eastAsia="cs-CZ"/>
              </w:rPr>
            </w:pPr>
            <w:r>
              <w:rPr>
                <w:b/>
                <w:bCs/>
                <w:sz w:val="20"/>
                <w:szCs w:val="20"/>
                <w:lang w:eastAsia="cs-CZ"/>
              </w:rPr>
              <w:t>Rok</w:t>
            </w:r>
          </w:p>
        </w:tc>
        <w:tc>
          <w:tcPr>
            <w:tcW w:w="747" w:type="pct"/>
            <w:shd w:val="clear" w:color="auto" w:fill="E5F1FF"/>
            <w:noWrap/>
            <w:vAlign w:val="center"/>
            <w:hideMark/>
          </w:tcPr>
          <w:p w14:paraId="7A3E2D5F" w14:textId="77777777" w:rsidR="00DD54E5" w:rsidRPr="00232643" w:rsidRDefault="00DD54E5" w:rsidP="00AF1094">
            <w:pPr>
              <w:spacing w:after="0"/>
              <w:jc w:val="center"/>
              <w:rPr>
                <w:b/>
                <w:bCs/>
                <w:sz w:val="20"/>
                <w:szCs w:val="20"/>
                <w:lang w:eastAsia="cs-CZ"/>
              </w:rPr>
            </w:pPr>
            <w:r w:rsidRPr="00232643">
              <w:rPr>
                <w:b/>
                <w:bCs/>
                <w:sz w:val="20"/>
                <w:szCs w:val="20"/>
                <w:lang w:eastAsia="cs-CZ"/>
              </w:rPr>
              <w:t>2015</w:t>
            </w:r>
          </w:p>
        </w:tc>
        <w:tc>
          <w:tcPr>
            <w:tcW w:w="748" w:type="pct"/>
            <w:shd w:val="clear" w:color="auto" w:fill="E5F1FF"/>
            <w:noWrap/>
            <w:vAlign w:val="center"/>
            <w:hideMark/>
          </w:tcPr>
          <w:p w14:paraId="3E5F8827" w14:textId="77777777" w:rsidR="00DD54E5" w:rsidRPr="00232643" w:rsidRDefault="00DD54E5" w:rsidP="00AF1094">
            <w:pPr>
              <w:spacing w:after="0"/>
              <w:jc w:val="center"/>
              <w:rPr>
                <w:b/>
                <w:bCs/>
                <w:sz w:val="20"/>
                <w:szCs w:val="20"/>
                <w:lang w:eastAsia="cs-CZ"/>
              </w:rPr>
            </w:pPr>
            <w:r w:rsidRPr="00232643">
              <w:rPr>
                <w:b/>
                <w:bCs/>
                <w:sz w:val="20"/>
                <w:szCs w:val="20"/>
                <w:lang w:eastAsia="cs-CZ"/>
              </w:rPr>
              <w:t>2016</w:t>
            </w:r>
          </w:p>
        </w:tc>
        <w:tc>
          <w:tcPr>
            <w:tcW w:w="748" w:type="pct"/>
            <w:shd w:val="clear" w:color="auto" w:fill="E5F1FF"/>
            <w:noWrap/>
            <w:vAlign w:val="center"/>
            <w:hideMark/>
          </w:tcPr>
          <w:p w14:paraId="71F716B5" w14:textId="77777777" w:rsidR="00DD54E5" w:rsidRPr="00232643" w:rsidRDefault="00DD54E5" w:rsidP="00AF1094">
            <w:pPr>
              <w:spacing w:after="0"/>
              <w:jc w:val="center"/>
              <w:rPr>
                <w:b/>
                <w:bCs/>
                <w:sz w:val="20"/>
                <w:szCs w:val="20"/>
                <w:lang w:eastAsia="cs-CZ"/>
              </w:rPr>
            </w:pPr>
            <w:r w:rsidRPr="00232643">
              <w:rPr>
                <w:b/>
                <w:bCs/>
                <w:sz w:val="20"/>
                <w:szCs w:val="20"/>
                <w:lang w:eastAsia="cs-CZ"/>
              </w:rPr>
              <w:t>2017</w:t>
            </w:r>
          </w:p>
        </w:tc>
        <w:tc>
          <w:tcPr>
            <w:tcW w:w="748" w:type="pct"/>
            <w:shd w:val="clear" w:color="auto" w:fill="E5F1FF"/>
            <w:noWrap/>
            <w:vAlign w:val="center"/>
            <w:hideMark/>
          </w:tcPr>
          <w:p w14:paraId="2F2F1617" w14:textId="77777777" w:rsidR="00DD54E5" w:rsidRPr="00232643" w:rsidRDefault="00DD54E5" w:rsidP="00AF1094">
            <w:pPr>
              <w:spacing w:after="0"/>
              <w:jc w:val="center"/>
              <w:rPr>
                <w:b/>
                <w:bCs/>
                <w:sz w:val="20"/>
                <w:szCs w:val="20"/>
                <w:lang w:eastAsia="cs-CZ"/>
              </w:rPr>
            </w:pPr>
            <w:r w:rsidRPr="00232643">
              <w:rPr>
                <w:b/>
                <w:bCs/>
                <w:sz w:val="20"/>
                <w:szCs w:val="20"/>
                <w:lang w:eastAsia="cs-CZ"/>
              </w:rPr>
              <w:t>2018</w:t>
            </w:r>
          </w:p>
        </w:tc>
      </w:tr>
      <w:tr w:rsidR="00DD54E5" w14:paraId="2747D0E3" w14:textId="77777777" w:rsidTr="00AF1094">
        <w:trPr>
          <w:trHeight w:val="227"/>
        </w:trPr>
        <w:tc>
          <w:tcPr>
            <w:tcW w:w="2010" w:type="pct"/>
            <w:noWrap/>
            <w:vAlign w:val="center"/>
            <w:hideMark/>
          </w:tcPr>
          <w:p w14:paraId="12E04476" w14:textId="77777777" w:rsidR="00DD54E5" w:rsidRPr="00232643" w:rsidRDefault="00DD54E5" w:rsidP="00AF1094">
            <w:pPr>
              <w:spacing w:after="0"/>
              <w:ind w:left="-57" w:right="-57"/>
              <w:jc w:val="left"/>
              <w:rPr>
                <w:sz w:val="20"/>
                <w:szCs w:val="20"/>
                <w:lang w:eastAsia="cs-CZ"/>
              </w:rPr>
            </w:pPr>
            <w:r w:rsidRPr="00232643">
              <w:rPr>
                <w:sz w:val="20"/>
                <w:szCs w:val="20"/>
                <w:lang w:eastAsia="cs-CZ"/>
              </w:rPr>
              <w:t>Vyměřená spotřební daň ze zemního plynu</w:t>
            </w:r>
          </w:p>
        </w:tc>
        <w:tc>
          <w:tcPr>
            <w:tcW w:w="747" w:type="pct"/>
            <w:noWrap/>
            <w:vAlign w:val="center"/>
            <w:hideMark/>
          </w:tcPr>
          <w:p w14:paraId="40AF27E0" w14:textId="77777777" w:rsidR="00DD54E5" w:rsidRPr="00232643" w:rsidRDefault="00DD54E5" w:rsidP="00AF1094">
            <w:pPr>
              <w:spacing w:after="0"/>
              <w:ind w:left="-57"/>
              <w:jc w:val="right"/>
              <w:rPr>
                <w:sz w:val="20"/>
                <w:szCs w:val="20"/>
                <w:lang w:eastAsia="cs-CZ"/>
              </w:rPr>
            </w:pPr>
            <w:r w:rsidRPr="00232643">
              <w:rPr>
                <w:sz w:val="20"/>
                <w:szCs w:val="20"/>
                <w:lang w:eastAsia="cs-CZ"/>
              </w:rPr>
              <w:t>44 006 327,90</w:t>
            </w:r>
          </w:p>
        </w:tc>
        <w:tc>
          <w:tcPr>
            <w:tcW w:w="748" w:type="pct"/>
            <w:noWrap/>
            <w:vAlign w:val="center"/>
            <w:hideMark/>
          </w:tcPr>
          <w:p w14:paraId="1A99A162" w14:textId="77777777" w:rsidR="00DD54E5" w:rsidRPr="00232643" w:rsidRDefault="00DD54E5" w:rsidP="00AF1094">
            <w:pPr>
              <w:spacing w:after="0"/>
              <w:ind w:left="-57"/>
              <w:jc w:val="right"/>
              <w:rPr>
                <w:sz w:val="20"/>
                <w:szCs w:val="20"/>
                <w:lang w:eastAsia="cs-CZ"/>
              </w:rPr>
            </w:pPr>
            <w:r w:rsidRPr="00232643">
              <w:rPr>
                <w:sz w:val="20"/>
                <w:szCs w:val="20"/>
                <w:lang w:eastAsia="cs-CZ"/>
              </w:rPr>
              <w:t>46 306 163,33</w:t>
            </w:r>
          </w:p>
        </w:tc>
        <w:tc>
          <w:tcPr>
            <w:tcW w:w="748" w:type="pct"/>
            <w:noWrap/>
            <w:vAlign w:val="center"/>
            <w:hideMark/>
          </w:tcPr>
          <w:p w14:paraId="12D0DA63" w14:textId="77777777" w:rsidR="00DD54E5" w:rsidRPr="00232643" w:rsidRDefault="00DD54E5" w:rsidP="00AF1094">
            <w:pPr>
              <w:spacing w:after="0"/>
              <w:ind w:left="-57"/>
              <w:jc w:val="right"/>
              <w:rPr>
                <w:sz w:val="20"/>
                <w:szCs w:val="20"/>
                <w:lang w:eastAsia="cs-CZ"/>
              </w:rPr>
            </w:pPr>
            <w:r w:rsidRPr="00232643">
              <w:rPr>
                <w:sz w:val="20"/>
                <w:szCs w:val="20"/>
                <w:lang w:eastAsia="cs-CZ"/>
              </w:rPr>
              <w:t>49 717 917,19</w:t>
            </w:r>
          </w:p>
        </w:tc>
        <w:tc>
          <w:tcPr>
            <w:tcW w:w="748" w:type="pct"/>
            <w:noWrap/>
            <w:vAlign w:val="center"/>
            <w:hideMark/>
          </w:tcPr>
          <w:p w14:paraId="7156BAC3" w14:textId="77777777" w:rsidR="00DD54E5" w:rsidRPr="00232643" w:rsidRDefault="00DD54E5" w:rsidP="00AF1094">
            <w:pPr>
              <w:spacing w:after="0"/>
              <w:ind w:left="-57"/>
              <w:jc w:val="right"/>
              <w:rPr>
                <w:sz w:val="20"/>
                <w:szCs w:val="20"/>
                <w:lang w:eastAsia="cs-CZ"/>
              </w:rPr>
            </w:pPr>
            <w:r w:rsidRPr="00232643">
              <w:rPr>
                <w:sz w:val="20"/>
                <w:szCs w:val="20"/>
                <w:lang w:eastAsia="cs-CZ"/>
              </w:rPr>
              <w:t>49 985 306,53</w:t>
            </w:r>
          </w:p>
        </w:tc>
      </w:tr>
      <w:tr w:rsidR="00DD54E5" w14:paraId="4E87E509" w14:textId="77777777" w:rsidTr="00AF1094">
        <w:trPr>
          <w:trHeight w:val="227"/>
        </w:trPr>
        <w:tc>
          <w:tcPr>
            <w:tcW w:w="2010" w:type="pct"/>
            <w:noWrap/>
            <w:vAlign w:val="center"/>
            <w:hideMark/>
          </w:tcPr>
          <w:p w14:paraId="09256CA9" w14:textId="77777777" w:rsidR="00DD54E5" w:rsidRPr="00232643" w:rsidRDefault="00DD54E5" w:rsidP="00AF1094">
            <w:pPr>
              <w:spacing w:after="0"/>
              <w:ind w:left="-57" w:right="-57"/>
              <w:jc w:val="left"/>
              <w:rPr>
                <w:sz w:val="20"/>
                <w:szCs w:val="20"/>
                <w:lang w:eastAsia="cs-CZ"/>
              </w:rPr>
            </w:pPr>
            <w:r w:rsidRPr="00232643">
              <w:rPr>
                <w:sz w:val="20"/>
                <w:szCs w:val="20"/>
                <w:lang w:eastAsia="cs-CZ"/>
              </w:rPr>
              <w:t>Vyměřená spotřební daň z CNG</w:t>
            </w:r>
          </w:p>
        </w:tc>
        <w:tc>
          <w:tcPr>
            <w:tcW w:w="747" w:type="pct"/>
            <w:noWrap/>
            <w:vAlign w:val="center"/>
            <w:hideMark/>
          </w:tcPr>
          <w:p w14:paraId="7BC63ADA" w14:textId="77777777" w:rsidR="00DD54E5" w:rsidRPr="00232643" w:rsidRDefault="00DD54E5" w:rsidP="00AF1094">
            <w:pPr>
              <w:spacing w:after="0"/>
              <w:ind w:left="-57"/>
              <w:jc w:val="right"/>
              <w:rPr>
                <w:sz w:val="20"/>
                <w:szCs w:val="20"/>
                <w:lang w:eastAsia="cs-CZ"/>
              </w:rPr>
            </w:pPr>
            <w:r w:rsidRPr="00232643">
              <w:rPr>
                <w:sz w:val="20"/>
                <w:szCs w:val="20"/>
                <w:lang w:eastAsia="cs-CZ"/>
              </w:rPr>
              <w:t>1 089 154,33</w:t>
            </w:r>
          </w:p>
        </w:tc>
        <w:tc>
          <w:tcPr>
            <w:tcW w:w="748" w:type="pct"/>
            <w:noWrap/>
            <w:vAlign w:val="center"/>
            <w:hideMark/>
          </w:tcPr>
          <w:p w14:paraId="7ECCA485" w14:textId="77777777" w:rsidR="00DD54E5" w:rsidRPr="00232643" w:rsidRDefault="00DD54E5" w:rsidP="00AF1094">
            <w:pPr>
              <w:spacing w:after="0"/>
              <w:ind w:left="-57"/>
              <w:jc w:val="right"/>
              <w:rPr>
                <w:sz w:val="20"/>
                <w:szCs w:val="20"/>
                <w:lang w:eastAsia="cs-CZ"/>
              </w:rPr>
            </w:pPr>
            <w:r w:rsidRPr="00232643">
              <w:rPr>
                <w:sz w:val="20"/>
                <w:szCs w:val="20"/>
                <w:lang w:eastAsia="cs-CZ"/>
              </w:rPr>
              <w:t>1 595 004,87</w:t>
            </w:r>
          </w:p>
        </w:tc>
        <w:tc>
          <w:tcPr>
            <w:tcW w:w="748" w:type="pct"/>
            <w:noWrap/>
            <w:vAlign w:val="center"/>
            <w:hideMark/>
          </w:tcPr>
          <w:p w14:paraId="0BD06EBE" w14:textId="77777777" w:rsidR="00DD54E5" w:rsidRPr="00232643" w:rsidRDefault="00DD54E5" w:rsidP="00AF1094">
            <w:pPr>
              <w:spacing w:after="0"/>
              <w:ind w:left="-57"/>
              <w:jc w:val="right"/>
              <w:rPr>
                <w:sz w:val="20"/>
                <w:szCs w:val="20"/>
                <w:lang w:eastAsia="cs-CZ"/>
              </w:rPr>
            </w:pPr>
            <w:r w:rsidRPr="00232643">
              <w:rPr>
                <w:sz w:val="20"/>
                <w:szCs w:val="20"/>
                <w:lang w:eastAsia="cs-CZ"/>
              </w:rPr>
              <w:t>1 880 326,43</w:t>
            </w:r>
          </w:p>
        </w:tc>
        <w:tc>
          <w:tcPr>
            <w:tcW w:w="748" w:type="pct"/>
            <w:noWrap/>
            <w:vAlign w:val="center"/>
            <w:hideMark/>
          </w:tcPr>
          <w:p w14:paraId="56351C34" w14:textId="77777777" w:rsidR="00DD54E5" w:rsidRPr="00232643" w:rsidRDefault="00DD54E5" w:rsidP="00AF1094">
            <w:pPr>
              <w:spacing w:after="0"/>
              <w:ind w:left="-57"/>
              <w:jc w:val="right"/>
              <w:rPr>
                <w:sz w:val="20"/>
                <w:szCs w:val="20"/>
                <w:lang w:eastAsia="cs-CZ"/>
              </w:rPr>
            </w:pPr>
            <w:r w:rsidRPr="00232643">
              <w:rPr>
                <w:sz w:val="20"/>
                <w:szCs w:val="20"/>
                <w:lang w:eastAsia="cs-CZ"/>
              </w:rPr>
              <w:t>3 942 453,75</w:t>
            </w:r>
          </w:p>
        </w:tc>
      </w:tr>
      <w:tr w:rsidR="00DD54E5" w14:paraId="70CCC45D" w14:textId="77777777" w:rsidTr="00AF1094">
        <w:trPr>
          <w:trHeight w:val="227"/>
        </w:trPr>
        <w:tc>
          <w:tcPr>
            <w:tcW w:w="2010" w:type="pct"/>
            <w:noWrap/>
            <w:vAlign w:val="center"/>
            <w:hideMark/>
          </w:tcPr>
          <w:p w14:paraId="4E6A648F" w14:textId="77777777" w:rsidR="00DD54E5" w:rsidRPr="00232643" w:rsidRDefault="00DD54E5" w:rsidP="00AF1094">
            <w:pPr>
              <w:spacing w:after="0"/>
              <w:ind w:left="-57" w:right="-57"/>
              <w:jc w:val="left"/>
              <w:rPr>
                <w:b/>
                <w:bCs/>
                <w:sz w:val="20"/>
                <w:szCs w:val="20"/>
                <w:lang w:eastAsia="cs-CZ"/>
              </w:rPr>
            </w:pPr>
            <w:r w:rsidRPr="00232643">
              <w:rPr>
                <w:b/>
                <w:bCs/>
                <w:sz w:val="20"/>
                <w:szCs w:val="20"/>
                <w:lang w:eastAsia="cs-CZ"/>
              </w:rPr>
              <w:t>Podíl v %</w:t>
            </w:r>
          </w:p>
        </w:tc>
        <w:tc>
          <w:tcPr>
            <w:tcW w:w="747" w:type="pct"/>
            <w:noWrap/>
            <w:vAlign w:val="center"/>
            <w:hideMark/>
          </w:tcPr>
          <w:p w14:paraId="62A09711" w14:textId="77777777" w:rsidR="00DD54E5" w:rsidRPr="00232643" w:rsidRDefault="00DD54E5" w:rsidP="00AF1094">
            <w:pPr>
              <w:spacing w:after="0"/>
              <w:jc w:val="center"/>
              <w:rPr>
                <w:b/>
                <w:bCs/>
                <w:sz w:val="20"/>
                <w:szCs w:val="20"/>
                <w:lang w:eastAsia="cs-CZ"/>
              </w:rPr>
            </w:pPr>
            <w:r w:rsidRPr="00232643">
              <w:rPr>
                <w:b/>
                <w:bCs/>
                <w:sz w:val="20"/>
                <w:szCs w:val="20"/>
                <w:lang w:eastAsia="cs-CZ"/>
              </w:rPr>
              <w:t>2,47</w:t>
            </w:r>
          </w:p>
        </w:tc>
        <w:tc>
          <w:tcPr>
            <w:tcW w:w="748" w:type="pct"/>
            <w:noWrap/>
            <w:vAlign w:val="center"/>
            <w:hideMark/>
          </w:tcPr>
          <w:p w14:paraId="45D04E34" w14:textId="77777777" w:rsidR="00DD54E5" w:rsidRPr="00232643" w:rsidRDefault="00DD54E5" w:rsidP="00AF1094">
            <w:pPr>
              <w:spacing w:after="0"/>
              <w:jc w:val="center"/>
              <w:rPr>
                <w:b/>
                <w:bCs/>
                <w:sz w:val="20"/>
                <w:szCs w:val="20"/>
                <w:lang w:eastAsia="cs-CZ"/>
              </w:rPr>
            </w:pPr>
            <w:r w:rsidRPr="00232643">
              <w:rPr>
                <w:b/>
                <w:bCs/>
                <w:sz w:val="20"/>
                <w:szCs w:val="20"/>
                <w:lang w:eastAsia="cs-CZ"/>
              </w:rPr>
              <w:t>3,44</w:t>
            </w:r>
          </w:p>
        </w:tc>
        <w:tc>
          <w:tcPr>
            <w:tcW w:w="748" w:type="pct"/>
            <w:noWrap/>
            <w:vAlign w:val="center"/>
            <w:hideMark/>
          </w:tcPr>
          <w:p w14:paraId="6354F15D" w14:textId="77777777" w:rsidR="00DD54E5" w:rsidRPr="00232643" w:rsidRDefault="00DD54E5" w:rsidP="00AF1094">
            <w:pPr>
              <w:spacing w:after="0"/>
              <w:jc w:val="center"/>
              <w:rPr>
                <w:b/>
                <w:bCs/>
                <w:sz w:val="20"/>
                <w:szCs w:val="20"/>
                <w:lang w:eastAsia="cs-CZ"/>
              </w:rPr>
            </w:pPr>
            <w:r w:rsidRPr="00232643">
              <w:rPr>
                <w:b/>
                <w:bCs/>
                <w:sz w:val="20"/>
                <w:szCs w:val="20"/>
                <w:lang w:eastAsia="cs-CZ"/>
              </w:rPr>
              <w:t>3,78</w:t>
            </w:r>
          </w:p>
        </w:tc>
        <w:tc>
          <w:tcPr>
            <w:tcW w:w="748" w:type="pct"/>
            <w:noWrap/>
            <w:vAlign w:val="center"/>
            <w:hideMark/>
          </w:tcPr>
          <w:p w14:paraId="4CBC59C5" w14:textId="77777777" w:rsidR="00DD54E5" w:rsidRPr="00232643" w:rsidRDefault="00DD54E5" w:rsidP="00AF1094">
            <w:pPr>
              <w:spacing w:after="0"/>
              <w:jc w:val="center"/>
              <w:rPr>
                <w:b/>
                <w:bCs/>
                <w:sz w:val="20"/>
                <w:szCs w:val="20"/>
                <w:lang w:eastAsia="cs-CZ"/>
              </w:rPr>
            </w:pPr>
            <w:r w:rsidRPr="00232643">
              <w:rPr>
                <w:b/>
                <w:bCs/>
                <w:sz w:val="20"/>
                <w:szCs w:val="20"/>
                <w:lang w:eastAsia="cs-CZ"/>
              </w:rPr>
              <w:t>7,89</w:t>
            </w:r>
          </w:p>
        </w:tc>
      </w:tr>
    </w:tbl>
    <w:p w14:paraId="7A960FE7" w14:textId="60A54E4B" w:rsidR="00DD54E5" w:rsidRPr="00232643" w:rsidRDefault="00DD54E5" w:rsidP="007C35AC">
      <w:pPr>
        <w:spacing w:before="40"/>
        <w:ind w:left="567" w:hanging="567"/>
        <w:jc w:val="left"/>
        <w:rPr>
          <w:sz w:val="20"/>
          <w:szCs w:val="20"/>
          <w:lang w:eastAsia="cs-CZ"/>
        </w:rPr>
      </w:pPr>
      <w:r w:rsidRPr="003B148A">
        <w:rPr>
          <w:b/>
          <w:sz w:val="20"/>
          <w:szCs w:val="20"/>
          <w:lang w:eastAsia="cs-CZ"/>
        </w:rPr>
        <w:t>Zdroj:</w:t>
      </w:r>
      <w:r w:rsidRPr="007C35AC">
        <w:rPr>
          <w:sz w:val="20"/>
          <w:szCs w:val="20"/>
          <w:lang w:eastAsia="cs-CZ"/>
        </w:rPr>
        <w:t xml:space="preserve"> </w:t>
      </w:r>
      <w:hyperlink r:id="rId77" w:history="1">
        <w:r w:rsidR="007C35AC" w:rsidRPr="007C35AC">
          <w:rPr>
            <w:rStyle w:val="Hypertextovodkaz"/>
            <w:sz w:val="20"/>
            <w:szCs w:val="20"/>
            <w:u w:val="none"/>
            <w:lang w:eastAsia="cs-CZ"/>
          </w:rPr>
          <w:t>https://www.celnisprava.cz/cz/dane/statistiky/Stranky/ekodane.aspx</w:t>
        </w:r>
      </w:hyperlink>
      <w:r w:rsidRPr="00232643">
        <w:rPr>
          <w:sz w:val="20"/>
          <w:szCs w:val="20"/>
          <w:lang w:eastAsia="cs-CZ"/>
        </w:rPr>
        <w:t xml:space="preserve">. Kurz </w:t>
      </w:r>
      <w:r w:rsidR="00FA7946" w:rsidRPr="003B2EAC">
        <w:rPr>
          <w:sz w:val="20"/>
          <w:szCs w:val="20"/>
          <w:lang w:eastAsia="cs-CZ"/>
        </w:rPr>
        <w:t>ČNB</w:t>
      </w:r>
      <w:r w:rsidR="00FA7946" w:rsidRPr="00232643">
        <w:rPr>
          <w:sz w:val="20"/>
          <w:szCs w:val="20"/>
          <w:lang w:eastAsia="cs-CZ"/>
        </w:rPr>
        <w:t xml:space="preserve"> </w:t>
      </w:r>
      <w:r w:rsidRPr="00232643">
        <w:rPr>
          <w:sz w:val="20"/>
          <w:szCs w:val="20"/>
          <w:lang w:eastAsia="cs-CZ"/>
        </w:rPr>
        <w:t>ke dni 17. 9. 2019</w:t>
      </w:r>
      <w:r w:rsidR="00FA7946">
        <w:rPr>
          <w:sz w:val="20"/>
          <w:szCs w:val="20"/>
          <w:lang w:eastAsia="cs-CZ"/>
        </w:rPr>
        <w:t>:</w:t>
      </w:r>
      <w:r w:rsidRPr="00232643">
        <w:rPr>
          <w:sz w:val="20"/>
          <w:szCs w:val="20"/>
          <w:lang w:eastAsia="cs-CZ"/>
        </w:rPr>
        <w:t xml:space="preserve"> 1</w:t>
      </w:r>
      <w:r w:rsidR="007C35AC">
        <w:rPr>
          <w:sz w:val="20"/>
          <w:szCs w:val="20"/>
          <w:lang w:eastAsia="cs-CZ"/>
        </w:rPr>
        <w:t> </w:t>
      </w:r>
      <w:r w:rsidR="00FA7946">
        <w:rPr>
          <w:sz w:val="20"/>
          <w:szCs w:val="20"/>
          <w:lang w:eastAsia="cs-CZ"/>
        </w:rPr>
        <w:t>€</w:t>
      </w:r>
      <w:r w:rsidRPr="00232643">
        <w:rPr>
          <w:sz w:val="20"/>
          <w:szCs w:val="20"/>
          <w:lang w:eastAsia="cs-CZ"/>
        </w:rPr>
        <w:t xml:space="preserve"> = 25,88 Kč.</w:t>
      </w:r>
    </w:p>
    <w:p w14:paraId="69ED1550" w14:textId="72B0B3CD" w:rsidR="00DD54E5" w:rsidRDefault="007C35AC" w:rsidP="007C35AC">
      <w:pPr>
        <w:pStyle w:val="Tabulka"/>
        <w:numPr>
          <w:ilvl w:val="0"/>
          <w:numId w:val="0"/>
        </w:numPr>
        <w:spacing w:after="40"/>
        <w:ind w:left="1446" w:hanging="1446"/>
        <w:rPr>
          <w:lang w:eastAsia="cs-CZ"/>
        </w:rPr>
      </w:pPr>
      <w:r>
        <w:rPr>
          <w:lang w:eastAsia="cs-CZ"/>
        </w:rPr>
        <w:t xml:space="preserve">Tabulka č. 27: </w:t>
      </w:r>
      <w:r>
        <w:rPr>
          <w:lang w:eastAsia="cs-CZ"/>
        </w:rPr>
        <w:tab/>
      </w:r>
      <w:r w:rsidR="00DD54E5" w:rsidRPr="00C217F2">
        <w:rPr>
          <w:lang w:eastAsia="cs-CZ"/>
        </w:rPr>
        <w:t>Podíl spotřební daně z LPG na celkové spotře</w:t>
      </w:r>
      <w:r w:rsidR="00DD54E5">
        <w:rPr>
          <w:lang w:eastAsia="cs-CZ"/>
        </w:rPr>
        <w:t>bní dani z minerálních olejů v </w:t>
      </w:r>
      <w:r w:rsidR="00DD54E5" w:rsidRPr="00C217F2">
        <w:rPr>
          <w:lang w:eastAsia="cs-CZ"/>
        </w:rPr>
        <w:t xml:space="preserve">dopravě (v </w:t>
      </w:r>
      <w:r w:rsidR="00FA7946">
        <w:rPr>
          <w:lang w:eastAsia="cs-CZ"/>
        </w:rPr>
        <w:t>€</w:t>
      </w:r>
      <w:r w:rsidR="00DD54E5" w:rsidRPr="00C217F2">
        <w:rPr>
          <w:lang w:eastAsia="cs-CZ"/>
        </w:rPr>
        <w:t>)</w:t>
      </w:r>
    </w:p>
    <w:tbl>
      <w:tblPr>
        <w:tblStyle w:val="Mkatabulky"/>
        <w:tblW w:w="4975" w:type="pct"/>
        <w:jc w:val="center"/>
        <w:tblLayout w:type="fixed"/>
        <w:tblLook w:val="04A0" w:firstRow="1" w:lastRow="0" w:firstColumn="1" w:lastColumn="0" w:noHBand="0" w:noVBand="1"/>
      </w:tblPr>
      <w:tblGrid>
        <w:gridCol w:w="2891"/>
        <w:gridCol w:w="1531"/>
        <w:gridCol w:w="1531"/>
        <w:gridCol w:w="1531"/>
        <w:gridCol w:w="1531"/>
      </w:tblGrid>
      <w:tr w:rsidR="007C35AC" w:rsidRPr="00AF1094" w14:paraId="6FEE2FD4" w14:textId="77777777" w:rsidTr="00AF1094">
        <w:trPr>
          <w:trHeight w:val="227"/>
          <w:jc w:val="center"/>
        </w:trPr>
        <w:tc>
          <w:tcPr>
            <w:tcW w:w="1604" w:type="pct"/>
            <w:shd w:val="clear" w:color="auto" w:fill="E5F1FF"/>
            <w:noWrap/>
            <w:hideMark/>
          </w:tcPr>
          <w:p w14:paraId="47579CC4" w14:textId="77777777" w:rsidR="00DD54E5" w:rsidRPr="00AF1094" w:rsidRDefault="00DD54E5" w:rsidP="00AF1094">
            <w:pPr>
              <w:spacing w:after="0"/>
              <w:ind w:left="-57" w:right="-57"/>
              <w:jc w:val="center"/>
              <w:rPr>
                <w:b/>
                <w:bCs/>
                <w:sz w:val="18"/>
                <w:szCs w:val="18"/>
                <w:lang w:eastAsia="cs-CZ"/>
              </w:rPr>
            </w:pPr>
            <w:r w:rsidRPr="00AF1094">
              <w:rPr>
                <w:b/>
                <w:bCs/>
                <w:sz w:val="18"/>
                <w:szCs w:val="18"/>
                <w:lang w:eastAsia="cs-CZ"/>
              </w:rPr>
              <w:t>Rok</w:t>
            </w:r>
          </w:p>
        </w:tc>
        <w:tc>
          <w:tcPr>
            <w:tcW w:w="849" w:type="pct"/>
            <w:shd w:val="clear" w:color="auto" w:fill="E5F1FF"/>
            <w:noWrap/>
            <w:hideMark/>
          </w:tcPr>
          <w:p w14:paraId="0725EAF7" w14:textId="77777777" w:rsidR="00DD54E5" w:rsidRPr="00AF1094" w:rsidRDefault="00DD54E5" w:rsidP="00AF1094">
            <w:pPr>
              <w:spacing w:after="0"/>
              <w:jc w:val="center"/>
              <w:rPr>
                <w:b/>
                <w:bCs/>
                <w:sz w:val="18"/>
                <w:szCs w:val="18"/>
                <w:lang w:eastAsia="cs-CZ"/>
              </w:rPr>
            </w:pPr>
            <w:r w:rsidRPr="00AF1094">
              <w:rPr>
                <w:b/>
                <w:bCs/>
                <w:sz w:val="18"/>
                <w:szCs w:val="18"/>
                <w:lang w:eastAsia="cs-CZ"/>
              </w:rPr>
              <w:t>2015</w:t>
            </w:r>
          </w:p>
        </w:tc>
        <w:tc>
          <w:tcPr>
            <w:tcW w:w="849" w:type="pct"/>
            <w:shd w:val="clear" w:color="auto" w:fill="E5F1FF"/>
            <w:noWrap/>
            <w:hideMark/>
          </w:tcPr>
          <w:p w14:paraId="54B3BE73" w14:textId="77777777" w:rsidR="00DD54E5" w:rsidRPr="00AF1094" w:rsidRDefault="00DD54E5" w:rsidP="00AF1094">
            <w:pPr>
              <w:spacing w:after="0"/>
              <w:jc w:val="center"/>
              <w:rPr>
                <w:b/>
                <w:bCs/>
                <w:sz w:val="18"/>
                <w:szCs w:val="18"/>
                <w:lang w:eastAsia="cs-CZ"/>
              </w:rPr>
            </w:pPr>
            <w:r w:rsidRPr="00AF1094">
              <w:rPr>
                <w:b/>
                <w:bCs/>
                <w:sz w:val="18"/>
                <w:szCs w:val="18"/>
                <w:lang w:eastAsia="cs-CZ"/>
              </w:rPr>
              <w:t>2016</w:t>
            </w:r>
          </w:p>
        </w:tc>
        <w:tc>
          <w:tcPr>
            <w:tcW w:w="849" w:type="pct"/>
            <w:shd w:val="clear" w:color="auto" w:fill="E5F1FF"/>
            <w:noWrap/>
            <w:hideMark/>
          </w:tcPr>
          <w:p w14:paraId="0E9E2EE0" w14:textId="77777777" w:rsidR="00DD54E5" w:rsidRPr="00AF1094" w:rsidRDefault="00DD54E5" w:rsidP="00AF1094">
            <w:pPr>
              <w:spacing w:after="0"/>
              <w:jc w:val="center"/>
              <w:rPr>
                <w:b/>
                <w:bCs/>
                <w:sz w:val="18"/>
                <w:szCs w:val="18"/>
                <w:lang w:eastAsia="cs-CZ"/>
              </w:rPr>
            </w:pPr>
            <w:r w:rsidRPr="00AF1094">
              <w:rPr>
                <w:b/>
                <w:bCs/>
                <w:sz w:val="18"/>
                <w:szCs w:val="18"/>
                <w:lang w:eastAsia="cs-CZ"/>
              </w:rPr>
              <w:t>2017</w:t>
            </w:r>
          </w:p>
        </w:tc>
        <w:tc>
          <w:tcPr>
            <w:tcW w:w="849" w:type="pct"/>
            <w:shd w:val="clear" w:color="auto" w:fill="E5F1FF"/>
            <w:noWrap/>
            <w:hideMark/>
          </w:tcPr>
          <w:p w14:paraId="65790CD5" w14:textId="77777777" w:rsidR="00DD54E5" w:rsidRPr="00AF1094" w:rsidRDefault="00DD54E5" w:rsidP="00AF1094">
            <w:pPr>
              <w:spacing w:after="0"/>
              <w:jc w:val="center"/>
              <w:rPr>
                <w:b/>
                <w:bCs/>
                <w:sz w:val="18"/>
                <w:szCs w:val="18"/>
                <w:lang w:eastAsia="cs-CZ"/>
              </w:rPr>
            </w:pPr>
            <w:r w:rsidRPr="00AF1094">
              <w:rPr>
                <w:b/>
                <w:bCs/>
                <w:sz w:val="18"/>
                <w:szCs w:val="18"/>
                <w:lang w:eastAsia="cs-CZ"/>
              </w:rPr>
              <w:t>2018</w:t>
            </w:r>
          </w:p>
        </w:tc>
      </w:tr>
      <w:tr w:rsidR="007C35AC" w:rsidRPr="00AF1094" w14:paraId="3E98FC34" w14:textId="77777777" w:rsidTr="00AF1094">
        <w:trPr>
          <w:trHeight w:val="227"/>
          <w:jc w:val="center"/>
        </w:trPr>
        <w:tc>
          <w:tcPr>
            <w:tcW w:w="1604" w:type="pct"/>
            <w:noWrap/>
            <w:vAlign w:val="center"/>
            <w:hideMark/>
          </w:tcPr>
          <w:p w14:paraId="1FADB9CD" w14:textId="77777777" w:rsidR="00DD54E5" w:rsidRPr="00AF1094" w:rsidRDefault="00DD54E5" w:rsidP="00AF1094">
            <w:pPr>
              <w:spacing w:after="0"/>
              <w:ind w:left="-57" w:right="-57"/>
              <w:jc w:val="left"/>
              <w:rPr>
                <w:sz w:val="18"/>
                <w:szCs w:val="18"/>
                <w:lang w:eastAsia="cs-CZ"/>
              </w:rPr>
            </w:pPr>
            <w:r w:rsidRPr="00AF1094">
              <w:rPr>
                <w:sz w:val="18"/>
                <w:szCs w:val="18"/>
                <w:lang w:eastAsia="cs-CZ"/>
              </w:rPr>
              <w:t>Vyměřená spotřební daň z</w:t>
            </w:r>
            <w:r w:rsidR="007C35AC" w:rsidRPr="00AF1094">
              <w:rPr>
                <w:sz w:val="18"/>
                <w:szCs w:val="18"/>
                <w:lang w:eastAsia="cs-CZ"/>
              </w:rPr>
              <w:t> </w:t>
            </w:r>
            <w:r w:rsidRPr="00AF1094">
              <w:rPr>
                <w:sz w:val="18"/>
                <w:szCs w:val="18"/>
                <w:lang w:eastAsia="cs-CZ"/>
              </w:rPr>
              <w:t>minerálních olejů</w:t>
            </w:r>
          </w:p>
        </w:tc>
        <w:tc>
          <w:tcPr>
            <w:tcW w:w="849" w:type="pct"/>
            <w:noWrap/>
            <w:vAlign w:val="center"/>
            <w:hideMark/>
          </w:tcPr>
          <w:p w14:paraId="66BDA298" w14:textId="77777777" w:rsidR="00DD54E5" w:rsidRPr="00AF1094" w:rsidRDefault="00DD54E5" w:rsidP="00AF1094">
            <w:pPr>
              <w:spacing w:after="0"/>
              <w:jc w:val="right"/>
              <w:rPr>
                <w:sz w:val="18"/>
                <w:szCs w:val="18"/>
                <w:lang w:eastAsia="cs-CZ"/>
              </w:rPr>
            </w:pPr>
            <w:r w:rsidRPr="00AF1094">
              <w:rPr>
                <w:sz w:val="18"/>
                <w:szCs w:val="18"/>
                <w:lang w:eastAsia="cs-CZ"/>
              </w:rPr>
              <w:t>3 283 437 407,69</w:t>
            </w:r>
          </w:p>
        </w:tc>
        <w:tc>
          <w:tcPr>
            <w:tcW w:w="849" w:type="pct"/>
            <w:noWrap/>
            <w:vAlign w:val="center"/>
            <w:hideMark/>
          </w:tcPr>
          <w:p w14:paraId="1413991B" w14:textId="77777777" w:rsidR="00DD54E5" w:rsidRPr="00AF1094" w:rsidRDefault="00DD54E5" w:rsidP="00AF1094">
            <w:pPr>
              <w:spacing w:after="0"/>
              <w:jc w:val="right"/>
              <w:rPr>
                <w:sz w:val="18"/>
                <w:szCs w:val="18"/>
                <w:lang w:eastAsia="cs-CZ"/>
              </w:rPr>
            </w:pPr>
            <w:r w:rsidRPr="00AF1094">
              <w:rPr>
                <w:sz w:val="18"/>
                <w:szCs w:val="18"/>
                <w:lang w:eastAsia="cs-CZ"/>
              </w:rPr>
              <w:t>3 445 996 860,47</w:t>
            </w:r>
          </w:p>
        </w:tc>
        <w:tc>
          <w:tcPr>
            <w:tcW w:w="849" w:type="pct"/>
            <w:noWrap/>
            <w:vAlign w:val="center"/>
            <w:hideMark/>
          </w:tcPr>
          <w:p w14:paraId="4EE56C43" w14:textId="77777777" w:rsidR="00DD54E5" w:rsidRPr="00AF1094" w:rsidRDefault="00DD54E5" w:rsidP="00AF1094">
            <w:pPr>
              <w:spacing w:after="0"/>
              <w:jc w:val="right"/>
              <w:rPr>
                <w:sz w:val="18"/>
                <w:szCs w:val="18"/>
                <w:lang w:eastAsia="cs-CZ"/>
              </w:rPr>
            </w:pPr>
            <w:r w:rsidRPr="00AF1094">
              <w:rPr>
                <w:sz w:val="18"/>
                <w:szCs w:val="18"/>
                <w:lang w:eastAsia="cs-CZ"/>
              </w:rPr>
              <w:t>3 516 872 359,85</w:t>
            </w:r>
          </w:p>
        </w:tc>
        <w:tc>
          <w:tcPr>
            <w:tcW w:w="849" w:type="pct"/>
            <w:noWrap/>
            <w:vAlign w:val="center"/>
            <w:hideMark/>
          </w:tcPr>
          <w:p w14:paraId="52771CCE" w14:textId="77777777" w:rsidR="00DD54E5" w:rsidRPr="00AF1094" w:rsidRDefault="00DD54E5" w:rsidP="00AF1094">
            <w:pPr>
              <w:spacing w:after="0"/>
              <w:jc w:val="right"/>
              <w:rPr>
                <w:sz w:val="18"/>
                <w:szCs w:val="18"/>
                <w:lang w:eastAsia="cs-CZ"/>
              </w:rPr>
            </w:pPr>
            <w:r w:rsidRPr="00AF1094">
              <w:rPr>
                <w:sz w:val="18"/>
                <w:szCs w:val="18"/>
                <w:lang w:eastAsia="cs-CZ"/>
              </w:rPr>
              <w:t>3 567 994 162,48</w:t>
            </w:r>
          </w:p>
        </w:tc>
      </w:tr>
      <w:tr w:rsidR="007C35AC" w:rsidRPr="00AF1094" w14:paraId="23E29DA4" w14:textId="77777777" w:rsidTr="00AF1094">
        <w:trPr>
          <w:trHeight w:val="227"/>
          <w:jc w:val="center"/>
        </w:trPr>
        <w:tc>
          <w:tcPr>
            <w:tcW w:w="1604" w:type="pct"/>
            <w:noWrap/>
            <w:vAlign w:val="center"/>
            <w:hideMark/>
          </w:tcPr>
          <w:p w14:paraId="0E1029EA" w14:textId="77777777" w:rsidR="00DD54E5" w:rsidRPr="00AF1094" w:rsidRDefault="00DD54E5" w:rsidP="00AF1094">
            <w:pPr>
              <w:spacing w:after="0"/>
              <w:ind w:left="-57" w:right="-57"/>
              <w:jc w:val="left"/>
              <w:rPr>
                <w:sz w:val="18"/>
                <w:szCs w:val="18"/>
                <w:lang w:eastAsia="cs-CZ"/>
              </w:rPr>
            </w:pPr>
            <w:r w:rsidRPr="00AF1094">
              <w:rPr>
                <w:sz w:val="18"/>
                <w:szCs w:val="18"/>
                <w:lang w:eastAsia="cs-CZ"/>
              </w:rPr>
              <w:t>Vyměřená spotřební daň z</w:t>
            </w:r>
            <w:r w:rsidR="007C35AC" w:rsidRPr="00AF1094">
              <w:rPr>
                <w:sz w:val="18"/>
                <w:szCs w:val="18"/>
                <w:lang w:eastAsia="cs-CZ"/>
              </w:rPr>
              <w:t> </w:t>
            </w:r>
            <w:r w:rsidRPr="00AF1094">
              <w:rPr>
                <w:sz w:val="18"/>
                <w:szCs w:val="18"/>
                <w:lang w:eastAsia="cs-CZ"/>
              </w:rPr>
              <w:t>LPG</w:t>
            </w:r>
          </w:p>
        </w:tc>
        <w:tc>
          <w:tcPr>
            <w:tcW w:w="849" w:type="pct"/>
            <w:noWrap/>
            <w:vAlign w:val="center"/>
            <w:hideMark/>
          </w:tcPr>
          <w:p w14:paraId="1D24B360" w14:textId="77777777" w:rsidR="00DD54E5" w:rsidRPr="00AF1094" w:rsidRDefault="00DD54E5" w:rsidP="00AF1094">
            <w:pPr>
              <w:spacing w:after="0"/>
              <w:jc w:val="right"/>
              <w:rPr>
                <w:sz w:val="18"/>
                <w:szCs w:val="18"/>
                <w:lang w:eastAsia="cs-CZ"/>
              </w:rPr>
            </w:pPr>
            <w:r w:rsidRPr="00AF1094">
              <w:rPr>
                <w:sz w:val="18"/>
                <w:szCs w:val="18"/>
                <w:lang w:eastAsia="cs-CZ"/>
              </w:rPr>
              <w:t>15 038 268,16</w:t>
            </w:r>
          </w:p>
        </w:tc>
        <w:tc>
          <w:tcPr>
            <w:tcW w:w="849" w:type="pct"/>
            <w:noWrap/>
            <w:vAlign w:val="center"/>
            <w:hideMark/>
          </w:tcPr>
          <w:p w14:paraId="24023AA6" w14:textId="77777777" w:rsidR="00DD54E5" w:rsidRPr="00AF1094" w:rsidRDefault="00DD54E5" w:rsidP="00AF1094">
            <w:pPr>
              <w:spacing w:after="0"/>
              <w:jc w:val="right"/>
              <w:rPr>
                <w:sz w:val="18"/>
                <w:szCs w:val="18"/>
                <w:lang w:eastAsia="cs-CZ"/>
              </w:rPr>
            </w:pPr>
            <w:r w:rsidRPr="00AF1094">
              <w:rPr>
                <w:sz w:val="18"/>
                <w:szCs w:val="18"/>
                <w:lang w:eastAsia="cs-CZ"/>
              </w:rPr>
              <w:t>15 094 290,11</w:t>
            </w:r>
          </w:p>
        </w:tc>
        <w:tc>
          <w:tcPr>
            <w:tcW w:w="849" w:type="pct"/>
            <w:noWrap/>
            <w:vAlign w:val="center"/>
            <w:hideMark/>
          </w:tcPr>
          <w:p w14:paraId="0490C4CE" w14:textId="77777777" w:rsidR="00DD54E5" w:rsidRPr="00AF1094" w:rsidRDefault="00DD54E5" w:rsidP="00AF1094">
            <w:pPr>
              <w:spacing w:after="0"/>
              <w:jc w:val="right"/>
              <w:rPr>
                <w:sz w:val="18"/>
                <w:szCs w:val="18"/>
                <w:lang w:eastAsia="cs-CZ"/>
              </w:rPr>
            </w:pPr>
            <w:r w:rsidRPr="00AF1094">
              <w:rPr>
                <w:sz w:val="18"/>
                <w:szCs w:val="18"/>
                <w:lang w:eastAsia="cs-CZ"/>
              </w:rPr>
              <w:t>14 492 997,06</w:t>
            </w:r>
          </w:p>
        </w:tc>
        <w:tc>
          <w:tcPr>
            <w:tcW w:w="849" w:type="pct"/>
            <w:noWrap/>
            <w:vAlign w:val="center"/>
            <w:hideMark/>
          </w:tcPr>
          <w:p w14:paraId="40DAC5CA" w14:textId="77777777" w:rsidR="00DD54E5" w:rsidRPr="00AF1094" w:rsidRDefault="00DD54E5" w:rsidP="00AF1094">
            <w:pPr>
              <w:spacing w:after="0"/>
              <w:jc w:val="right"/>
              <w:rPr>
                <w:sz w:val="18"/>
                <w:szCs w:val="18"/>
                <w:lang w:eastAsia="cs-CZ"/>
              </w:rPr>
            </w:pPr>
            <w:r w:rsidRPr="00AF1094">
              <w:rPr>
                <w:sz w:val="18"/>
                <w:szCs w:val="18"/>
                <w:lang w:eastAsia="cs-CZ"/>
              </w:rPr>
              <w:t>13 887 437,33</w:t>
            </w:r>
          </w:p>
        </w:tc>
      </w:tr>
      <w:tr w:rsidR="007C35AC" w:rsidRPr="00AF1094" w14:paraId="19A76782" w14:textId="77777777" w:rsidTr="00AF1094">
        <w:trPr>
          <w:trHeight w:val="227"/>
          <w:jc w:val="center"/>
        </w:trPr>
        <w:tc>
          <w:tcPr>
            <w:tcW w:w="1604" w:type="pct"/>
            <w:noWrap/>
            <w:vAlign w:val="center"/>
            <w:hideMark/>
          </w:tcPr>
          <w:p w14:paraId="47C66C74" w14:textId="77777777" w:rsidR="00DD54E5" w:rsidRPr="00AF1094" w:rsidRDefault="00DD54E5" w:rsidP="00AF1094">
            <w:pPr>
              <w:spacing w:after="0"/>
              <w:ind w:left="-57" w:right="-57"/>
              <w:jc w:val="left"/>
              <w:rPr>
                <w:b/>
                <w:bCs/>
                <w:sz w:val="18"/>
                <w:szCs w:val="18"/>
                <w:lang w:eastAsia="cs-CZ"/>
              </w:rPr>
            </w:pPr>
            <w:r w:rsidRPr="00AF1094">
              <w:rPr>
                <w:b/>
                <w:bCs/>
                <w:sz w:val="18"/>
                <w:szCs w:val="18"/>
                <w:lang w:eastAsia="cs-CZ"/>
              </w:rPr>
              <w:t>Podíl v %</w:t>
            </w:r>
          </w:p>
        </w:tc>
        <w:tc>
          <w:tcPr>
            <w:tcW w:w="849" w:type="pct"/>
            <w:noWrap/>
            <w:vAlign w:val="center"/>
            <w:hideMark/>
          </w:tcPr>
          <w:p w14:paraId="223B69BF" w14:textId="77777777" w:rsidR="00DD54E5" w:rsidRPr="00AF1094" w:rsidRDefault="00DD54E5" w:rsidP="00AF1094">
            <w:pPr>
              <w:spacing w:after="0"/>
              <w:jc w:val="center"/>
              <w:rPr>
                <w:b/>
                <w:bCs/>
                <w:sz w:val="18"/>
                <w:szCs w:val="18"/>
                <w:lang w:eastAsia="cs-CZ"/>
              </w:rPr>
            </w:pPr>
            <w:r w:rsidRPr="00AF1094">
              <w:rPr>
                <w:b/>
                <w:bCs/>
                <w:sz w:val="18"/>
                <w:szCs w:val="18"/>
                <w:lang w:eastAsia="cs-CZ"/>
              </w:rPr>
              <w:t>0,46</w:t>
            </w:r>
          </w:p>
        </w:tc>
        <w:tc>
          <w:tcPr>
            <w:tcW w:w="849" w:type="pct"/>
            <w:noWrap/>
            <w:vAlign w:val="center"/>
            <w:hideMark/>
          </w:tcPr>
          <w:p w14:paraId="5C54826D" w14:textId="77777777" w:rsidR="00DD54E5" w:rsidRPr="00AF1094" w:rsidRDefault="00DD54E5" w:rsidP="00AF1094">
            <w:pPr>
              <w:spacing w:after="0"/>
              <w:jc w:val="center"/>
              <w:rPr>
                <w:b/>
                <w:bCs/>
                <w:sz w:val="18"/>
                <w:szCs w:val="18"/>
                <w:lang w:eastAsia="cs-CZ"/>
              </w:rPr>
            </w:pPr>
            <w:r w:rsidRPr="00AF1094">
              <w:rPr>
                <w:b/>
                <w:bCs/>
                <w:sz w:val="18"/>
                <w:szCs w:val="18"/>
                <w:lang w:eastAsia="cs-CZ"/>
              </w:rPr>
              <w:t>0,44</w:t>
            </w:r>
          </w:p>
        </w:tc>
        <w:tc>
          <w:tcPr>
            <w:tcW w:w="849" w:type="pct"/>
            <w:noWrap/>
            <w:vAlign w:val="center"/>
            <w:hideMark/>
          </w:tcPr>
          <w:p w14:paraId="311C78B9" w14:textId="77777777" w:rsidR="00DD54E5" w:rsidRPr="00AF1094" w:rsidRDefault="00DD54E5" w:rsidP="00AF1094">
            <w:pPr>
              <w:spacing w:after="0"/>
              <w:jc w:val="center"/>
              <w:rPr>
                <w:b/>
                <w:bCs/>
                <w:sz w:val="18"/>
                <w:szCs w:val="18"/>
                <w:lang w:eastAsia="cs-CZ"/>
              </w:rPr>
            </w:pPr>
            <w:r w:rsidRPr="00AF1094">
              <w:rPr>
                <w:b/>
                <w:bCs/>
                <w:sz w:val="18"/>
                <w:szCs w:val="18"/>
                <w:lang w:eastAsia="cs-CZ"/>
              </w:rPr>
              <w:t>0,41</w:t>
            </w:r>
          </w:p>
        </w:tc>
        <w:tc>
          <w:tcPr>
            <w:tcW w:w="849" w:type="pct"/>
            <w:noWrap/>
            <w:vAlign w:val="center"/>
            <w:hideMark/>
          </w:tcPr>
          <w:p w14:paraId="2C5024FA" w14:textId="77777777" w:rsidR="00DD54E5" w:rsidRPr="00AF1094" w:rsidRDefault="00DD54E5" w:rsidP="00AF1094">
            <w:pPr>
              <w:spacing w:after="0"/>
              <w:jc w:val="center"/>
              <w:rPr>
                <w:b/>
                <w:bCs/>
                <w:sz w:val="18"/>
                <w:szCs w:val="18"/>
                <w:lang w:eastAsia="cs-CZ"/>
              </w:rPr>
            </w:pPr>
            <w:r w:rsidRPr="00AF1094">
              <w:rPr>
                <w:b/>
                <w:bCs/>
                <w:sz w:val="18"/>
                <w:szCs w:val="18"/>
                <w:lang w:eastAsia="cs-CZ"/>
              </w:rPr>
              <w:t>0,39</w:t>
            </w:r>
          </w:p>
        </w:tc>
      </w:tr>
    </w:tbl>
    <w:p w14:paraId="463AB427" w14:textId="061C5783" w:rsidR="00DD54E5" w:rsidRPr="00C217F2" w:rsidRDefault="00DD54E5" w:rsidP="007C35AC">
      <w:pPr>
        <w:spacing w:before="40" w:after="0"/>
        <w:ind w:left="567" w:hanging="567"/>
        <w:jc w:val="left"/>
        <w:rPr>
          <w:sz w:val="20"/>
          <w:szCs w:val="20"/>
          <w:lang w:eastAsia="cs-CZ"/>
        </w:rPr>
      </w:pPr>
      <w:r w:rsidRPr="003B148A">
        <w:rPr>
          <w:b/>
          <w:sz w:val="20"/>
          <w:szCs w:val="20"/>
          <w:lang w:eastAsia="cs-CZ"/>
        </w:rPr>
        <w:t>Zdroj:</w:t>
      </w:r>
      <w:r w:rsidRPr="00C217F2">
        <w:rPr>
          <w:sz w:val="20"/>
          <w:szCs w:val="20"/>
          <w:lang w:eastAsia="cs-CZ"/>
        </w:rPr>
        <w:t xml:space="preserve"> </w:t>
      </w:r>
      <w:r w:rsidR="007C35AC">
        <w:rPr>
          <w:sz w:val="20"/>
          <w:szCs w:val="20"/>
          <w:lang w:eastAsia="cs-CZ"/>
        </w:rPr>
        <w:tab/>
      </w:r>
      <w:r w:rsidR="00FA7946">
        <w:rPr>
          <w:sz w:val="20"/>
          <w:szCs w:val="20"/>
          <w:lang w:eastAsia="cs-CZ"/>
        </w:rPr>
        <w:t>d</w:t>
      </w:r>
      <w:r w:rsidRPr="00C217F2">
        <w:rPr>
          <w:sz w:val="20"/>
          <w:szCs w:val="20"/>
          <w:lang w:eastAsia="cs-CZ"/>
        </w:rPr>
        <w:t xml:space="preserve">o roku 2018 statistické přehledy Celní správy, dostupné z: </w:t>
      </w:r>
      <w:hyperlink r:id="rId78" w:history="1">
        <w:r w:rsidR="007C35AC" w:rsidRPr="007C35AC">
          <w:rPr>
            <w:rStyle w:val="Hypertextovodkaz"/>
            <w:sz w:val="20"/>
            <w:szCs w:val="20"/>
            <w:u w:val="none"/>
            <w:lang w:eastAsia="cs-CZ"/>
          </w:rPr>
          <w:t>https://www.celnisprava.cz/cz/dane/statistiky/Stranky/mineraly.aspx?Paged=TRUE&amp;p_SortBehavior=0&amp;p_FileLeafRef=Vymer_SPD_MO_2018_SK_01%2epdf&amp;p_Modified=20181126%2010%3a19%3a24&amp;p_ID=52&amp;PageFirstRow=6&amp;&amp;View={460D060C-4790-45DF-85E4-B9E846D4F2BC}</w:t>
        </w:r>
      </w:hyperlink>
      <w:r w:rsidRPr="00C217F2">
        <w:rPr>
          <w:sz w:val="20"/>
          <w:szCs w:val="20"/>
          <w:lang w:eastAsia="cs-CZ"/>
        </w:rPr>
        <w:t>.</w:t>
      </w:r>
      <w:r w:rsidR="00FA7946">
        <w:rPr>
          <w:sz w:val="20"/>
          <w:szCs w:val="20"/>
          <w:lang w:eastAsia="cs-CZ"/>
        </w:rPr>
        <w:t xml:space="preserve"> </w:t>
      </w:r>
      <w:r w:rsidR="00FA7946" w:rsidRPr="00232643">
        <w:rPr>
          <w:sz w:val="20"/>
          <w:szCs w:val="20"/>
          <w:lang w:eastAsia="cs-CZ"/>
        </w:rPr>
        <w:t>Kurz ČNB ke dni 17.</w:t>
      </w:r>
      <w:r w:rsidR="00FA7946">
        <w:rPr>
          <w:sz w:val="20"/>
          <w:szCs w:val="20"/>
          <w:lang w:eastAsia="cs-CZ"/>
        </w:rPr>
        <w:t> 9. </w:t>
      </w:r>
      <w:r w:rsidR="00FA7946" w:rsidRPr="00232643">
        <w:rPr>
          <w:sz w:val="20"/>
          <w:szCs w:val="20"/>
          <w:lang w:eastAsia="cs-CZ"/>
        </w:rPr>
        <w:t>2019</w:t>
      </w:r>
      <w:r w:rsidR="00FA7946">
        <w:rPr>
          <w:sz w:val="20"/>
          <w:szCs w:val="20"/>
          <w:lang w:eastAsia="cs-CZ"/>
        </w:rPr>
        <w:t>:</w:t>
      </w:r>
      <w:r w:rsidR="00FA7946" w:rsidRPr="00232643">
        <w:rPr>
          <w:sz w:val="20"/>
          <w:szCs w:val="20"/>
          <w:lang w:eastAsia="cs-CZ"/>
        </w:rPr>
        <w:t>1</w:t>
      </w:r>
      <w:r w:rsidR="00FA7946">
        <w:rPr>
          <w:sz w:val="20"/>
          <w:szCs w:val="20"/>
          <w:lang w:eastAsia="cs-CZ"/>
        </w:rPr>
        <w:t> €</w:t>
      </w:r>
      <w:r w:rsidR="00FA7946" w:rsidRPr="00232643">
        <w:rPr>
          <w:sz w:val="20"/>
          <w:szCs w:val="20"/>
          <w:lang w:eastAsia="cs-CZ"/>
        </w:rPr>
        <w:t xml:space="preserve"> = 25,88 Kč.</w:t>
      </w:r>
    </w:p>
    <w:p w14:paraId="551E1269" w14:textId="6FD1FE70" w:rsidR="00DD54E5" w:rsidRDefault="00DD54E5" w:rsidP="007C35AC">
      <w:pPr>
        <w:ind w:left="284" w:hanging="284"/>
        <w:jc w:val="left"/>
        <w:rPr>
          <w:sz w:val="20"/>
          <w:szCs w:val="20"/>
          <w:lang w:eastAsia="cs-CZ"/>
        </w:rPr>
      </w:pPr>
      <w:r w:rsidRPr="000D204D">
        <w:rPr>
          <w:b/>
          <w:sz w:val="20"/>
          <w:szCs w:val="20"/>
          <w:lang w:eastAsia="cs-CZ"/>
        </w:rPr>
        <w:t xml:space="preserve">Pozn.: </w:t>
      </w:r>
      <w:r w:rsidRPr="00C217F2">
        <w:rPr>
          <w:sz w:val="20"/>
          <w:szCs w:val="20"/>
          <w:lang w:eastAsia="cs-CZ"/>
        </w:rPr>
        <w:t xml:space="preserve">* </w:t>
      </w:r>
      <w:r w:rsidR="007C35AC">
        <w:rPr>
          <w:sz w:val="20"/>
          <w:szCs w:val="20"/>
          <w:lang w:eastAsia="cs-CZ"/>
        </w:rPr>
        <w:tab/>
      </w:r>
      <w:r w:rsidRPr="00C217F2">
        <w:rPr>
          <w:sz w:val="20"/>
          <w:szCs w:val="20"/>
          <w:lang w:eastAsia="cs-CZ"/>
        </w:rPr>
        <w:t>Výpočet vyměřené spotřební daně z minerálních olejů: daň celkem z vybraných minerální olejů (pohonných hmot) + daň ze zkapalněných ropných plynů (pouze LPG).</w:t>
      </w:r>
      <w:r>
        <w:rPr>
          <w:sz w:val="20"/>
          <w:szCs w:val="20"/>
          <w:lang w:eastAsia="cs-CZ"/>
        </w:rPr>
        <w:t xml:space="preserve"> </w:t>
      </w:r>
    </w:p>
    <w:p w14:paraId="7DB5229A" w14:textId="77777777" w:rsidR="00DD54E5" w:rsidRDefault="007C35AC" w:rsidP="007C35AC">
      <w:pPr>
        <w:pStyle w:val="Tabulka"/>
        <w:numPr>
          <w:ilvl w:val="0"/>
          <w:numId w:val="0"/>
        </w:numPr>
        <w:spacing w:after="40"/>
        <w:ind w:left="1446" w:hanging="1446"/>
        <w:rPr>
          <w:lang w:eastAsia="cs-CZ"/>
        </w:rPr>
      </w:pPr>
      <w:r>
        <w:rPr>
          <w:lang w:eastAsia="cs-CZ"/>
        </w:rPr>
        <w:t xml:space="preserve">Tabulka č. 28: </w:t>
      </w:r>
      <w:r>
        <w:rPr>
          <w:lang w:eastAsia="cs-CZ"/>
        </w:rPr>
        <w:tab/>
      </w:r>
      <w:r w:rsidR="00DD54E5" w:rsidRPr="00386303">
        <w:rPr>
          <w:lang w:eastAsia="cs-CZ"/>
        </w:rPr>
        <w:t>Podíl vyměřené spotřební daně za jednotlivé druhy paliv na celkové spotřební dani z</w:t>
      </w:r>
      <w:r w:rsidR="000D204D">
        <w:rPr>
          <w:lang w:eastAsia="cs-CZ"/>
        </w:rPr>
        <w:t> </w:t>
      </w:r>
      <w:r w:rsidR="00DD54E5" w:rsidRPr="00386303">
        <w:rPr>
          <w:lang w:eastAsia="cs-CZ"/>
        </w:rPr>
        <w:t xml:space="preserve">minerálních </w:t>
      </w:r>
      <w:r w:rsidR="00DD54E5">
        <w:rPr>
          <w:lang w:eastAsia="cs-CZ"/>
        </w:rPr>
        <w:t>olejů v dopravě v letech 2015–</w:t>
      </w:r>
      <w:r w:rsidR="00DD54E5" w:rsidRPr="00386303">
        <w:rPr>
          <w:lang w:eastAsia="cs-CZ"/>
        </w:rPr>
        <w:t>2018 (v EUR)</w:t>
      </w:r>
    </w:p>
    <w:tbl>
      <w:tblPr>
        <w:tblStyle w:val="Mkatabulky"/>
        <w:tblW w:w="8959" w:type="dxa"/>
        <w:jc w:val="center"/>
        <w:tblLook w:val="04A0" w:firstRow="1" w:lastRow="0" w:firstColumn="1" w:lastColumn="0" w:noHBand="0" w:noVBand="1"/>
      </w:tblPr>
      <w:tblGrid>
        <w:gridCol w:w="3515"/>
        <w:gridCol w:w="1361"/>
        <w:gridCol w:w="1361"/>
        <w:gridCol w:w="1361"/>
        <w:gridCol w:w="1361"/>
      </w:tblGrid>
      <w:tr w:rsidR="00DD54E5" w:rsidRPr="007C35AC" w14:paraId="64E5E480" w14:textId="77777777" w:rsidTr="00AF1094">
        <w:trPr>
          <w:trHeight w:val="227"/>
          <w:jc w:val="center"/>
        </w:trPr>
        <w:tc>
          <w:tcPr>
            <w:tcW w:w="3515" w:type="dxa"/>
            <w:shd w:val="clear" w:color="auto" w:fill="E5F1FF"/>
            <w:noWrap/>
            <w:hideMark/>
          </w:tcPr>
          <w:p w14:paraId="28FD73B2" w14:textId="77777777" w:rsidR="00DD54E5" w:rsidRPr="007C35AC" w:rsidRDefault="00DD54E5" w:rsidP="00AF1094">
            <w:pPr>
              <w:spacing w:after="0"/>
              <w:ind w:left="-57" w:right="-57"/>
              <w:jc w:val="center"/>
              <w:rPr>
                <w:rFonts w:cs="Calibri"/>
                <w:b/>
                <w:bCs/>
                <w:sz w:val="18"/>
                <w:szCs w:val="18"/>
                <w:lang w:eastAsia="cs-CZ"/>
              </w:rPr>
            </w:pPr>
            <w:r w:rsidRPr="007C35AC">
              <w:rPr>
                <w:rFonts w:cs="Calibri"/>
                <w:b/>
                <w:bCs/>
                <w:sz w:val="18"/>
                <w:szCs w:val="18"/>
                <w:lang w:eastAsia="cs-CZ"/>
              </w:rPr>
              <w:t>Rok</w:t>
            </w:r>
          </w:p>
        </w:tc>
        <w:tc>
          <w:tcPr>
            <w:tcW w:w="1361" w:type="dxa"/>
            <w:shd w:val="clear" w:color="auto" w:fill="E5F1FF"/>
            <w:noWrap/>
            <w:hideMark/>
          </w:tcPr>
          <w:p w14:paraId="1E4C2FFC" w14:textId="77777777" w:rsidR="00DD54E5" w:rsidRPr="007C35AC" w:rsidRDefault="00DD54E5" w:rsidP="007C35AC">
            <w:pPr>
              <w:spacing w:after="0"/>
              <w:jc w:val="center"/>
              <w:rPr>
                <w:rFonts w:cs="Calibri"/>
                <w:b/>
                <w:bCs/>
                <w:sz w:val="18"/>
                <w:szCs w:val="18"/>
                <w:lang w:eastAsia="cs-CZ"/>
              </w:rPr>
            </w:pPr>
            <w:r w:rsidRPr="007C35AC">
              <w:rPr>
                <w:rFonts w:cs="Calibri"/>
                <w:b/>
                <w:bCs/>
                <w:sz w:val="18"/>
                <w:szCs w:val="18"/>
                <w:lang w:eastAsia="cs-CZ"/>
              </w:rPr>
              <w:t>2015</w:t>
            </w:r>
          </w:p>
        </w:tc>
        <w:tc>
          <w:tcPr>
            <w:tcW w:w="1361" w:type="dxa"/>
            <w:shd w:val="clear" w:color="auto" w:fill="E5F1FF"/>
            <w:noWrap/>
            <w:hideMark/>
          </w:tcPr>
          <w:p w14:paraId="6BD9927D" w14:textId="77777777" w:rsidR="00DD54E5" w:rsidRPr="007C35AC" w:rsidRDefault="00DD54E5" w:rsidP="007C35AC">
            <w:pPr>
              <w:spacing w:after="0"/>
              <w:jc w:val="center"/>
              <w:rPr>
                <w:rFonts w:cs="Calibri"/>
                <w:b/>
                <w:bCs/>
                <w:sz w:val="18"/>
                <w:szCs w:val="18"/>
                <w:lang w:eastAsia="cs-CZ"/>
              </w:rPr>
            </w:pPr>
            <w:r w:rsidRPr="007C35AC">
              <w:rPr>
                <w:rFonts w:cs="Calibri"/>
                <w:b/>
                <w:bCs/>
                <w:sz w:val="18"/>
                <w:szCs w:val="18"/>
                <w:lang w:eastAsia="cs-CZ"/>
              </w:rPr>
              <w:t>2016</w:t>
            </w:r>
          </w:p>
        </w:tc>
        <w:tc>
          <w:tcPr>
            <w:tcW w:w="1361" w:type="dxa"/>
            <w:shd w:val="clear" w:color="auto" w:fill="E5F1FF"/>
            <w:noWrap/>
            <w:hideMark/>
          </w:tcPr>
          <w:p w14:paraId="14D5AB3E" w14:textId="77777777" w:rsidR="00DD54E5" w:rsidRPr="007C35AC" w:rsidRDefault="00DD54E5" w:rsidP="007C35AC">
            <w:pPr>
              <w:spacing w:after="0"/>
              <w:jc w:val="center"/>
              <w:rPr>
                <w:rFonts w:cs="Calibri"/>
                <w:b/>
                <w:bCs/>
                <w:sz w:val="18"/>
                <w:szCs w:val="18"/>
                <w:lang w:eastAsia="cs-CZ"/>
              </w:rPr>
            </w:pPr>
            <w:r w:rsidRPr="007C35AC">
              <w:rPr>
                <w:rFonts w:cs="Calibri"/>
                <w:b/>
                <w:bCs/>
                <w:sz w:val="18"/>
                <w:szCs w:val="18"/>
                <w:lang w:eastAsia="cs-CZ"/>
              </w:rPr>
              <w:t>2017</w:t>
            </w:r>
          </w:p>
        </w:tc>
        <w:tc>
          <w:tcPr>
            <w:tcW w:w="1361" w:type="dxa"/>
            <w:shd w:val="clear" w:color="auto" w:fill="E5F1FF"/>
            <w:noWrap/>
            <w:hideMark/>
          </w:tcPr>
          <w:p w14:paraId="6417174E" w14:textId="77777777" w:rsidR="00DD54E5" w:rsidRPr="007C35AC" w:rsidRDefault="00DD54E5" w:rsidP="007C35AC">
            <w:pPr>
              <w:spacing w:after="0"/>
              <w:jc w:val="center"/>
              <w:rPr>
                <w:rFonts w:cs="Calibri"/>
                <w:b/>
                <w:bCs/>
                <w:sz w:val="18"/>
                <w:szCs w:val="18"/>
                <w:lang w:eastAsia="cs-CZ"/>
              </w:rPr>
            </w:pPr>
            <w:r w:rsidRPr="007C35AC">
              <w:rPr>
                <w:rFonts w:cs="Calibri"/>
                <w:b/>
                <w:bCs/>
                <w:sz w:val="18"/>
                <w:szCs w:val="18"/>
                <w:lang w:eastAsia="cs-CZ"/>
              </w:rPr>
              <w:t>2018</w:t>
            </w:r>
          </w:p>
        </w:tc>
      </w:tr>
      <w:tr w:rsidR="00DD54E5" w:rsidRPr="007C35AC" w14:paraId="6921383F" w14:textId="77777777" w:rsidTr="00AF1094">
        <w:trPr>
          <w:trHeight w:val="227"/>
          <w:jc w:val="center"/>
        </w:trPr>
        <w:tc>
          <w:tcPr>
            <w:tcW w:w="3515" w:type="dxa"/>
            <w:noWrap/>
            <w:vAlign w:val="center"/>
            <w:hideMark/>
          </w:tcPr>
          <w:p w14:paraId="627BE22F" w14:textId="77777777" w:rsidR="00DD54E5" w:rsidRPr="007C35AC" w:rsidRDefault="00DD54E5" w:rsidP="00AF1094">
            <w:pPr>
              <w:spacing w:after="0"/>
              <w:ind w:left="-57" w:right="-57"/>
              <w:jc w:val="left"/>
              <w:rPr>
                <w:rFonts w:cs="Calibri"/>
                <w:sz w:val="18"/>
                <w:szCs w:val="18"/>
                <w:lang w:eastAsia="cs-CZ"/>
              </w:rPr>
            </w:pPr>
            <w:r w:rsidRPr="007C35AC">
              <w:rPr>
                <w:rFonts w:cs="Calibri"/>
                <w:sz w:val="18"/>
                <w:szCs w:val="18"/>
                <w:lang w:eastAsia="cs-CZ"/>
              </w:rPr>
              <w:t>Vyměřená spotřební daň z minerálních olejů*</w:t>
            </w:r>
          </w:p>
        </w:tc>
        <w:tc>
          <w:tcPr>
            <w:tcW w:w="1361" w:type="dxa"/>
            <w:noWrap/>
            <w:vAlign w:val="center"/>
            <w:hideMark/>
          </w:tcPr>
          <w:p w14:paraId="45A0FD31"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3 284 526 562</w:t>
            </w:r>
          </w:p>
        </w:tc>
        <w:tc>
          <w:tcPr>
            <w:tcW w:w="1361" w:type="dxa"/>
            <w:noWrap/>
            <w:vAlign w:val="center"/>
            <w:hideMark/>
          </w:tcPr>
          <w:p w14:paraId="4C1E0BA7"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3 445 996 860</w:t>
            </w:r>
          </w:p>
        </w:tc>
        <w:tc>
          <w:tcPr>
            <w:tcW w:w="1361" w:type="dxa"/>
            <w:noWrap/>
            <w:vAlign w:val="center"/>
            <w:hideMark/>
          </w:tcPr>
          <w:p w14:paraId="37B1F11E"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3 516 872 360</w:t>
            </w:r>
          </w:p>
        </w:tc>
        <w:tc>
          <w:tcPr>
            <w:tcW w:w="1361" w:type="dxa"/>
            <w:noWrap/>
            <w:vAlign w:val="center"/>
            <w:hideMark/>
          </w:tcPr>
          <w:p w14:paraId="407BD182"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3 567 994 162</w:t>
            </w:r>
          </w:p>
        </w:tc>
      </w:tr>
      <w:tr w:rsidR="00DD54E5" w:rsidRPr="007C35AC" w14:paraId="58F6F7AC" w14:textId="77777777" w:rsidTr="00AF1094">
        <w:trPr>
          <w:trHeight w:val="227"/>
          <w:jc w:val="center"/>
        </w:trPr>
        <w:tc>
          <w:tcPr>
            <w:tcW w:w="3515" w:type="dxa"/>
            <w:noWrap/>
            <w:vAlign w:val="center"/>
            <w:hideMark/>
          </w:tcPr>
          <w:p w14:paraId="3A77C8CA" w14:textId="77777777" w:rsidR="00DD54E5" w:rsidRPr="007C35AC" w:rsidRDefault="00DD54E5" w:rsidP="00AF1094">
            <w:pPr>
              <w:spacing w:after="0"/>
              <w:ind w:left="-57" w:right="-57"/>
              <w:jc w:val="left"/>
              <w:rPr>
                <w:rFonts w:cs="Calibri"/>
                <w:sz w:val="18"/>
                <w:szCs w:val="18"/>
                <w:lang w:eastAsia="cs-CZ"/>
              </w:rPr>
            </w:pPr>
            <w:r w:rsidRPr="007C35AC">
              <w:rPr>
                <w:rFonts w:cs="Calibri"/>
                <w:sz w:val="18"/>
                <w:szCs w:val="18"/>
                <w:lang w:eastAsia="cs-CZ"/>
              </w:rPr>
              <w:t>Vyměřená spotřební daň z benzínu</w:t>
            </w:r>
          </w:p>
        </w:tc>
        <w:tc>
          <w:tcPr>
            <w:tcW w:w="1361" w:type="dxa"/>
            <w:noWrap/>
            <w:vAlign w:val="center"/>
            <w:hideMark/>
          </w:tcPr>
          <w:p w14:paraId="205EC98C"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1 019 383 956</w:t>
            </w:r>
          </w:p>
        </w:tc>
        <w:tc>
          <w:tcPr>
            <w:tcW w:w="1361" w:type="dxa"/>
            <w:noWrap/>
            <w:vAlign w:val="center"/>
            <w:hideMark/>
          </w:tcPr>
          <w:p w14:paraId="6F66C35E"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994 732 021</w:t>
            </w:r>
          </w:p>
        </w:tc>
        <w:tc>
          <w:tcPr>
            <w:tcW w:w="1361" w:type="dxa"/>
            <w:noWrap/>
            <w:vAlign w:val="center"/>
            <w:hideMark/>
          </w:tcPr>
          <w:p w14:paraId="5461E03D"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1 034 314 123</w:t>
            </w:r>
          </w:p>
        </w:tc>
        <w:tc>
          <w:tcPr>
            <w:tcW w:w="1361" w:type="dxa"/>
            <w:noWrap/>
            <w:vAlign w:val="center"/>
            <w:hideMark/>
          </w:tcPr>
          <w:p w14:paraId="49E45E00"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1 045 668 091</w:t>
            </w:r>
          </w:p>
        </w:tc>
      </w:tr>
      <w:tr w:rsidR="00DD54E5" w:rsidRPr="007C35AC" w14:paraId="62ADE367" w14:textId="77777777" w:rsidTr="00AF1094">
        <w:trPr>
          <w:trHeight w:val="227"/>
          <w:jc w:val="center"/>
        </w:trPr>
        <w:tc>
          <w:tcPr>
            <w:tcW w:w="3515" w:type="dxa"/>
            <w:noWrap/>
            <w:vAlign w:val="center"/>
            <w:hideMark/>
          </w:tcPr>
          <w:p w14:paraId="15885AE0" w14:textId="77777777" w:rsidR="00DD54E5" w:rsidRPr="007C35AC" w:rsidRDefault="00DD54E5" w:rsidP="00AF1094">
            <w:pPr>
              <w:spacing w:after="0"/>
              <w:ind w:left="-57" w:right="-57"/>
              <w:jc w:val="left"/>
              <w:rPr>
                <w:rFonts w:cs="Calibri"/>
                <w:b/>
                <w:bCs/>
                <w:sz w:val="18"/>
                <w:szCs w:val="18"/>
                <w:lang w:eastAsia="cs-CZ"/>
              </w:rPr>
            </w:pPr>
            <w:r w:rsidRPr="007C35AC">
              <w:rPr>
                <w:rFonts w:cs="Calibri"/>
                <w:b/>
                <w:bCs/>
                <w:sz w:val="18"/>
                <w:szCs w:val="18"/>
                <w:lang w:eastAsia="cs-CZ"/>
              </w:rPr>
              <w:t>Podíl na SPD z PHM</w:t>
            </w:r>
          </w:p>
        </w:tc>
        <w:tc>
          <w:tcPr>
            <w:tcW w:w="1361" w:type="dxa"/>
            <w:noWrap/>
            <w:vAlign w:val="center"/>
            <w:hideMark/>
          </w:tcPr>
          <w:p w14:paraId="2B13119A"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31,04%</w:t>
            </w:r>
          </w:p>
        </w:tc>
        <w:tc>
          <w:tcPr>
            <w:tcW w:w="1361" w:type="dxa"/>
            <w:noWrap/>
            <w:vAlign w:val="center"/>
            <w:hideMark/>
          </w:tcPr>
          <w:p w14:paraId="15970CB3"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28,87%</w:t>
            </w:r>
          </w:p>
        </w:tc>
        <w:tc>
          <w:tcPr>
            <w:tcW w:w="1361" w:type="dxa"/>
            <w:noWrap/>
            <w:vAlign w:val="center"/>
            <w:hideMark/>
          </w:tcPr>
          <w:p w14:paraId="5ECEFB01"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29,41%</w:t>
            </w:r>
          </w:p>
        </w:tc>
        <w:tc>
          <w:tcPr>
            <w:tcW w:w="1361" w:type="dxa"/>
            <w:noWrap/>
            <w:vAlign w:val="center"/>
            <w:hideMark/>
          </w:tcPr>
          <w:p w14:paraId="4580363F"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29,31%</w:t>
            </w:r>
          </w:p>
        </w:tc>
      </w:tr>
      <w:tr w:rsidR="00DD54E5" w:rsidRPr="007C35AC" w14:paraId="19C69772" w14:textId="77777777" w:rsidTr="00AF1094">
        <w:trPr>
          <w:trHeight w:val="227"/>
          <w:jc w:val="center"/>
        </w:trPr>
        <w:tc>
          <w:tcPr>
            <w:tcW w:w="3515" w:type="dxa"/>
            <w:noWrap/>
            <w:vAlign w:val="center"/>
            <w:hideMark/>
          </w:tcPr>
          <w:p w14:paraId="43F9E26D" w14:textId="77777777" w:rsidR="00DD54E5" w:rsidRPr="007C35AC" w:rsidRDefault="00DD54E5" w:rsidP="00AF1094">
            <w:pPr>
              <w:spacing w:after="0"/>
              <w:ind w:left="-57" w:right="-57"/>
              <w:jc w:val="left"/>
              <w:rPr>
                <w:rFonts w:cs="Calibri"/>
                <w:sz w:val="18"/>
                <w:szCs w:val="18"/>
                <w:lang w:eastAsia="cs-CZ"/>
              </w:rPr>
            </w:pPr>
            <w:r w:rsidRPr="007C35AC">
              <w:rPr>
                <w:rFonts w:cs="Calibri"/>
                <w:sz w:val="18"/>
                <w:szCs w:val="18"/>
                <w:lang w:eastAsia="cs-CZ"/>
              </w:rPr>
              <w:t>Vyměřená spotřební daň z nafty</w:t>
            </w:r>
          </w:p>
        </w:tc>
        <w:tc>
          <w:tcPr>
            <w:tcW w:w="1361" w:type="dxa"/>
            <w:noWrap/>
            <w:vAlign w:val="center"/>
            <w:hideMark/>
          </w:tcPr>
          <w:p w14:paraId="64703AAD"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2 232 982 426</w:t>
            </w:r>
          </w:p>
        </w:tc>
        <w:tc>
          <w:tcPr>
            <w:tcW w:w="1361" w:type="dxa"/>
            <w:noWrap/>
            <w:vAlign w:val="center"/>
            <w:hideMark/>
          </w:tcPr>
          <w:p w14:paraId="4087D8D6"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2 386 739 020</w:t>
            </w:r>
          </w:p>
        </w:tc>
        <w:tc>
          <w:tcPr>
            <w:tcW w:w="1361" w:type="dxa"/>
            <w:noWrap/>
            <w:vAlign w:val="center"/>
            <w:hideMark/>
          </w:tcPr>
          <w:p w14:paraId="3696695A"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2 459 980 661</w:t>
            </w:r>
          </w:p>
        </w:tc>
        <w:tc>
          <w:tcPr>
            <w:tcW w:w="1361" w:type="dxa"/>
            <w:noWrap/>
            <w:vAlign w:val="center"/>
            <w:hideMark/>
          </w:tcPr>
          <w:p w14:paraId="435472D8"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2 500 429 490</w:t>
            </w:r>
          </w:p>
        </w:tc>
      </w:tr>
      <w:tr w:rsidR="00DD54E5" w:rsidRPr="007C35AC" w14:paraId="24633B91" w14:textId="77777777" w:rsidTr="00AF1094">
        <w:trPr>
          <w:trHeight w:val="227"/>
          <w:jc w:val="center"/>
        </w:trPr>
        <w:tc>
          <w:tcPr>
            <w:tcW w:w="3515" w:type="dxa"/>
            <w:noWrap/>
            <w:vAlign w:val="center"/>
            <w:hideMark/>
          </w:tcPr>
          <w:p w14:paraId="72ACB51F" w14:textId="77777777" w:rsidR="00DD54E5" w:rsidRPr="007C35AC" w:rsidRDefault="00DD54E5" w:rsidP="00AF1094">
            <w:pPr>
              <w:spacing w:after="0"/>
              <w:ind w:left="-57" w:right="-57"/>
              <w:jc w:val="left"/>
              <w:rPr>
                <w:rFonts w:cs="Calibri"/>
                <w:b/>
                <w:bCs/>
                <w:sz w:val="18"/>
                <w:szCs w:val="18"/>
                <w:lang w:eastAsia="cs-CZ"/>
              </w:rPr>
            </w:pPr>
            <w:r w:rsidRPr="007C35AC">
              <w:rPr>
                <w:rFonts w:cs="Calibri"/>
                <w:b/>
                <w:bCs/>
                <w:sz w:val="18"/>
                <w:szCs w:val="18"/>
                <w:lang w:eastAsia="cs-CZ"/>
              </w:rPr>
              <w:t>Podíl na SPD z PHM</w:t>
            </w:r>
          </w:p>
        </w:tc>
        <w:tc>
          <w:tcPr>
            <w:tcW w:w="1361" w:type="dxa"/>
            <w:noWrap/>
            <w:vAlign w:val="center"/>
            <w:hideMark/>
          </w:tcPr>
          <w:p w14:paraId="66AD55C1"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67,98%</w:t>
            </w:r>
          </w:p>
        </w:tc>
        <w:tc>
          <w:tcPr>
            <w:tcW w:w="1361" w:type="dxa"/>
            <w:noWrap/>
            <w:vAlign w:val="center"/>
            <w:hideMark/>
          </w:tcPr>
          <w:p w14:paraId="22BFB1BE"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69,26%</w:t>
            </w:r>
          </w:p>
        </w:tc>
        <w:tc>
          <w:tcPr>
            <w:tcW w:w="1361" w:type="dxa"/>
            <w:noWrap/>
            <w:vAlign w:val="center"/>
            <w:hideMark/>
          </w:tcPr>
          <w:p w14:paraId="2F129DB1"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69,95%</w:t>
            </w:r>
          </w:p>
        </w:tc>
        <w:tc>
          <w:tcPr>
            <w:tcW w:w="1361" w:type="dxa"/>
            <w:noWrap/>
            <w:vAlign w:val="center"/>
            <w:hideMark/>
          </w:tcPr>
          <w:p w14:paraId="783856B4"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70,08%</w:t>
            </w:r>
          </w:p>
        </w:tc>
      </w:tr>
      <w:tr w:rsidR="00DD54E5" w:rsidRPr="007C35AC" w14:paraId="4239282B" w14:textId="77777777" w:rsidTr="00AF1094">
        <w:trPr>
          <w:trHeight w:val="227"/>
          <w:jc w:val="center"/>
        </w:trPr>
        <w:tc>
          <w:tcPr>
            <w:tcW w:w="3515" w:type="dxa"/>
            <w:noWrap/>
            <w:vAlign w:val="center"/>
            <w:hideMark/>
          </w:tcPr>
          <w:p w14:paraId="0DF0ED0A" w14:textId="77777777" w:rsidR="00DD54E5" w:rsidRPr="007C35AC" w:rsidRDefault="00DD54E5" w:rsidP="00AF1094">
            <w:pPr>
              <w:spacing w:after="0"/>
              <w:ind w:left="-57" w:right="-57"/>
              <w:jc w:val="left"/>
              <w:rPr>
                <w:rFonts w:cs="Calibri"/>
                <w:sz w:val="18"/>
                <w:szCs w:val="18"/>
                <w:lang w:eastAsia="cs-CZ"/>
              </w:rPr>
            </w:pPr>
            <w:r w:rsidRPr="007C35AC">
              <w:rPr>
                <w:rFonts w:cs="Calibri"/>
                <w:sz w:val="18"/>
                <w:szCs w:val="18"/>
                <w:lang w:eastAsia="cs-CZ"/>
              </w:rPr>
              <w:t>Vyměřená spotřební daň z LPG</w:t>
            </w:r>
          </w:p>
        </w:tc>
        <w:tc>
          <w:tcPr>
            <w:tcW w:w="1361" w:type="dxa"/>
            <w:noWrap/>
            <w:vAlign w:val="center"/>
            <w:hideMark/>
          </w:tcPr>
          <w:p w14:paraId="6EC2576C"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15 038 268</w:t>
            </w:r>
          </w:p>
        </w:tc>
        <w:tc>
          <w:tcPr>
            <w:tcW w:w="1361" w:type="dxa"/>
            <w:noWrap/>
            <w:vAlign w:val="center"/>
            <w:hideMark/>
          </w:tcPr>
          <w:p w14:paraId="30A0AC51"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15 094 290</w:t>
            </w:r>
          </w:p>
        </w:tc>
        <w:tc>
          <w:tcPr>
            <w:tcW w:w="1361" w:type="dxa"/>
            <w:noWrap/>
            <w:vAlign w:val="center"/>
            <w:hideMark/>
          </w:tcPr>
          <w:p w14:paraId="1EFF706D"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14 492 997</w:t>
            </w:r>
          </w:p>
        </w:tc>
        <w:tc>
          <w:tcPr>
            <w:tcW w:w="1361" w:type="dxa"/>
            <w:noWrap/>
            <w:vAlign w:val="center"/>
            <w:hideMark/>
          </w:tcPr>
          <w:p w14:paraId="4888C6A3"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13 887 437</w:t>
            </w:r>
          </w:p>
        </w:tc>
      </w:tr>
      <w:tr w:rsidR="00DD54E5" w:rsidRPr="007C35AC" w14:paraId="24DC5BEB" w14:textId="77777777" w:rsidTr="00AF1094">
        <w:trPr>
          <w:trHeight w:val="227"/>
          <w:jc w:val="center"/>
        </w:trPr>
        <w:tc>
          <w:tcPr>
            <w:tcW w:w="3515" w:type="dxa"/>
            <w:noWrap/>
            <w:vAlign w:val="center"/>
            <w:hideMark/>
          </w:tcPr>
          <w:p w14:paraId="25C6C201" w14:textId="77777777" w:rsidR="00DD54E5" w:rsidRPr="007C35AC" w:rsidRDefault="00DD54E5" w:rsidP="00AF1094">
            <w:pPr>
              <w:spacing w:after="0"/>
              <w:ind w:left="-57" w:right="-57"/>
              <w:jc w:val="left"/>
              <w:rPr>
                <w:rFonts w:cs="Calibri"/>
                <w:b/>
                <w:bCs/>
                <w:sz w:val="18"/>
                <w:szCs w:val="18"/>
                <w:lang w:eastAsia="cs-CZ"/>
              </w:rPr>
            </w:pPr>
            <w:r w:rsidRPr="007C35AC">
              <w:rPr>
                <w:rFonts w:cs="Calibri"/>
                <w:b/>
                <w:bCs/>
                <w:sz w:val="18"/>
                <w:szCs w:val="18"/>
                <w:lang w:eastAsia="cs-CZ"/>
              </w:rPr>
              <w:t>Podíl na SPD z PHM</w:t>
            </w:r>
          </w:p>
        </w:tc>
        <w:tc>
          <w:tcPr>
            <w:tcW w:w="1361" w:type="dxa"/>
            <w:noWrap/>
            <w:vAlign w:val="center"/>
            <w:hideMark/>
          </w:tcPr>
          <w:p w14:paraId="550D65AC"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0,46%</w:t>
            </w:r>
          </w:p>
        </w:tc>
        <w:tc>
          <w:tcPr>
            <w:tcW w:w="1361" w:type="dxa"/>
            <w:noWrap/>
            <w:vAlign w:val="center"/>
            <w:hideMark/>
          </w:tcPr>
          <w:p w14:paraId="7E0251FF"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0,44%</w:t>
            </w:r>
          </w:p>
        </w:tc>
        <w:tc>
          <w:tcPr>
            <w:tcW w:w="1361" w:type="dxa"/>
            <w:noWrap/>
            <w:vAlign w:val="center"/>
            <w:hideMark/>
          </w:tcPr>
          <w:p w14:paraId="3A108DA9"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0,41%</w:t>
            </w:r>
          </w:p>
        </w:tc>
        <w:tc>
          <w:tcPr>
            <w:tcW w:w="1361" w:type="dxa"/>
            <w:noWrap/>
            <w:vAlign w:val="center"/>
            <w:hideMark/>
          </w:tcPr>
          <w:p w14:paraId="28176722"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0,39%</w:t>
            </w:r>
          </w:p>
        </w:tc>
      </w:tr>
      <w:tr w:rsidR="00DD54E5" w:rsidRPr="007C35AC" w14:paraId="1B242F68" w14:textId="77777777" w:rsidTr="00AF1094">
        <w:trPr>
          <w:trHeight w:val="227"/>
          <w:jc w:val="center"/>
        </w:trPr>
        <w:tc>
          <w:tcPr>
            <w:tcW w:w="3515" w:type="dxa"/>
            <w:noWrap/>
            <w:vAlign w:val="center"/>
            <w:hideMark/>
          </w:tcPr>
          <w:p w14:paraId="34BF14AC" w14:textId="77777777" w:rsidR="00DD54E5" w:rsidRPr="007C35AC" w:rsidRDefault="00DD54E5" w:rsidP="00AF1094">
            <w:pPr>
              <w:spacing w:after="0"/>
              <w:ind w:left="-57" w:right="-57"/>
              <w:jc w:val="left"/>
              <w:rPr>
                <w:rFonts w:cs="Calibri"/>
                <w:sz w:val="18"/>
                <w:szCs w:val="18"/>
                <w:lang w:eastAsia="cs-CZ"/>
              </w:rPr>
            </w:pPr>
            <w:r w:rsidRPr="007C35AC">
              <w:rPr>
                <w:rFonts w:cs="Calibri"/>
                <w:sz w:val="18"/>
                <w:szCs w:val="18"/>
                <w:lang w:eastAsia="cs-CZ"/>
              </w:rPr>
              <w:t>Vyměřená SPD z CNG</w:t>
            </w:r>
          </w:p>
        </w:tc>
        <w:tc>
          <w:tcPr>
            <w:tcW w:w="1361" w:type="dxa"/>
            <w:noWrap/>
            <w:vAlign w:val="center"/>
            <w:hideMark/>
          </w:tcPr>
          <w:p w14:paraId="2188DD35"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1 089 154</w:t>
            </w:r>
          </w:p>
        </w:tc>
        <w:tc>
          <w:tcPr>
            <w:tcW w:w="1361" w:type="dxa"/>
            <w:noWrap/>
            <w:vAlign w:val="center"/>
            <w:hideMark/>
          </w:tcPr>
          <w:p w14:paraId="1A9B021D"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1 595 005</w:t>
            </w:r>
          </w:p>
        </w:tc>
        <w:tc>
          <w:tcPr>
            <w:tcW w:w="1361" w:type="dxa"/>
            <w:noWrap/>
            <w:vAlign w:val="center"/>
            <w:hideMark/>
          </w:tcPr>
          <w:p w14:paraId="47ACCD6E"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1 880 326</w:t>
            </w:r>
          </w:p>
        </w:tc>
        <w:tc>
          <w:tcPr>
            <w:tcW w:w="1361" w:type="dxa"/>
            <w:noWrap/>
            <w:vAlign w:val="center"/>
            <w:hideMark/>
          </w:tcPr>
          <w:p w14:paraId="4B51C5F5" w14:textId="77777777" w:rsidR="00DD54E5" w:rsidRPr="007C35AC" w:rsidRDefault="00DD54E5" w:rsidP="007C35AC">
            <w:pPr>
              <w:spacing w:after="0"/>
              <w:jc w:val="right"/>
              <w:rPr>
                <w:rFonts w:cs="Calibri"/>
                <w:sz w:val="18"/>
                <w:szCs w:val="18"/>
                <w:lang w:eastAsia="cs-CZ"/>
              </w:rPr>
            </w:pPr>
            <w:r w:rsidRPr="007C35AC">
              <w:rPr>
                <w:rFonts w:cs="Calibri"/>
                <w:sz w:val="18"/>
                <w:szCs w:val="18"/>
                <w:lang w:eastAsia="cs-CZ"/>
              </w:rPr>
              <w:t>3 942 454</w:t>
            </w:r>
          </w:p>
        </w:tc>
      </w:tr>
      <w:tr w:rsidR="00DD54E5" w:rsidRPr="007C35AC" w14:paraId="68BDB24B" w14:textId="77777777" w:rsidTr="00AF1094">
        <w:trPr>
          <w:trHeight w:val="227"/>
          <w:jc w:val="center"/>
        </w:trPr>
        <w:tc>
          <w:tcPr>
            <w:tcW w:w="3515" w:type="dxa"/>
            <w:noWrap/>
            <w:vAlign w:val="center"/>
            <w:hideMark/>
          </w:tcPr>
          <w:p w14:paraId="563B75BB" w14:textId="77777777" w:rsidR="00DD54E5" w:rsidRPr="007C35AC" w:rsidRDefault="00DD54E5" w:rsidP="00AF1094">
            <w:pPr>
              <w:spacing w:after="0"/>
              <w:ind w:left="-57" w:right="-57"/>
              <w:jc w:val="left"/>
              <w:rPr>
                <w:rFonts w:cs="Calibri"/>
                <w:b/>
                <w:bCs/>
                <w:sz w:val="18"/>
                <w:szCs w:val="18"/>
                <w:lang w:eastAsia="cs-CZ"/>
              </w:rPr>
            </w:pPr>
            <w:r w:rsidRPr="007C35AC">
              <w:rPr>
                <w:rFonts w:cs="Calibri"/>
                <w:b/>
                <w:bCs/>
                <w:sz w:val="18"/>
                <w:szCs w:val="18"/>
                <w:lang w:eastAsia="cs-CZ"/>
              </w:rPr>
              <w:t>Podíl na SPD z PHM</w:t>
            </w:r>
          </w:p>
        </w:tc>
        <w:tc>
          <w:tcPr>
            <w:tcW w:w="1361" w:type="dxa"/>
            <w:noWrap/>
            <w:vAlign w:val="center"/>
            <w:hideMark/>
          </w:tcPr>
          <w:p w14:paraId="422075AE"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0,03%</w:t>
            </w:r>
          </w:p>
        </w:tc>
        <w:tc>
          <w:tcPr>
            <w:tcW w:w="1361" w:type="dxa"/>
            <w:noWrap/>
            <w:vAlign w:val="center"/>
            <w:hideMark/>
          </w:tcPr>
          <w:p w14:paraId="724F5984"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0,05%</w:t>
            </w:r>
          </w:p>
        </w:tc>
        <w:tc>
          <w:tcPr>
            <w:tcW w:w="1361" w:type="dxa"/>
            <w:noWrap/>
            <w:vAlign w:val="center"/>
            <w:hideMark/>
          </w:tcPr>
          <w:p w14:paraId="692A1DD4"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0,05%</w:t>
            </w:r>
          </w:p>
        </w:tc>
        <w:tc>
          <w:tcPr>
            <w:tcW w:w="1361" w:type="dxa"/>
            <w:noWrap/>
            <w:vAlign w:val="center"/>
            <w:hideMark/>
          </w:tcPr>
          <w:p w14:paraId="0FC7380B" w14:textId="77777777" w:rsidR="00DD54E5" w:rsidRPr="007C35AC" w:rsidRDefault="00DD54E5" w:rsidP="007C35AC">
            <w:pPr>
              <w:spacing w:after="0"/>
              <w:jc w:val="right"/>
              <w:rPr>
                <w:rFonts w:cs="Calibri"/>
                <w:b/>
                <w:bCs/>
                <w:sz w:val="18"/>
                <w:szCs w:val="18"/>
                <w:lang w:eastAsia="cs-CZ"/>
              </w:rPr>
            </w:pPr>
            <w:r w:rsidRPr="007C35AC">
              <w:rPr>
                <w:rFonts w:cs="Calibri"/>
                <w:b/>
                <w:bCs/>
                <w:sz w:val="18"/>
                <w:szCs w:val="18"/>
                <w:lang w:eastAsia="cs-CZ"/>
              </w:rPr>
              <w:t>0,11%</w:t>
            </w:r>
          </w:p>
        </w:tc>
      </w:tr>
    </w:tbl>
    <w:p w14:paraId="506DDF35" w14:textId="3A0AC91E" w:rsidR="00DD54E5" w:rsidRPr="00DB60D3" w:rsidRDefault="00DD54E5" w:rsidP="00A94BD7">
      <w:pPr>
        <w:spacing w:before="40" w:after="0"/>
        <w:ind w:left="567" w:hanging="567"/>
        <w:jc w:val="left"/>
        <w:rPr>
          <w:sz w:val="20"/>
          <w:szCs w:val="20"/>
          <w:lang w:eastAsia="cs-CZ"/>
        </w:rPr>
      </w:pPr>
      <w:r w:rsidRPr="003B148A">
        <w:rPr>
          <w:b/>
          <w:sz w:val="20"/>
          <w:szCs w:val="20"/>
          <w:lang w:eastAsia="cs-CZ"/>
        </w:rPr>
        <w:t>Zdroj:</w:t>
      </w:r>
      <w:r>
        <w:rPr>
          <w:sz w:val="20"/>
          <w:szCs w:val="20"/>
          <w:lang w:eastAsia="cs-CZ"/>
        </w:rPr>
        <w:t>  </w:t>
      </w:r>
      <w:hyperlink r:id="rId79" w:history="1">
        <w:r w:rsidR="00A94BD7" w:rsidRPr="00A94BD7">
          <w:rPr>
            <w:rStyle w:val="Hypertextovodkaz"/>
            <w:sz w:val="20"/>
            <w:szCs w:val="20"/>
            <w:u w:val="none"/>
            <w:lang w:eastAsia="cs-CZ"/>
          </w:rPr>
          <w:t>https://www.celnisprava.cz/cz/dane/statistiky/Stranky/mineraly.aspx?Paged=TRUE&amp;p_SortBehavior=0&amp;p_FileLeafRef=Vymer%5fSPD%5fMO%5f2016%5fSK%5f01%2epdf&amp;p_Modified=20170329%2011%3a32%3a59&amp;p_ID=41&amp;PageFirstRow=16&amp;&amp;View={460D060C-4790-45DF-85E4-B9E846D4F2BC}</w:t>
        </w:r>
      </w:hyperlink>
      <w:r w:rsidRPr="00DB60D3">
        <w:rPr>
          <w:sz w:val="20"/>
          <w:szCs w:val="20"/>
          <w:lang w:eastAsia="cs-CZ"/>
        </w:rPr>
        <w:t xml:space="preserve"> - tabulky "Daň z minerálních olejů - vnitrostátní vyměřená daň - zkapalněné ropné plyny" (LPG 2015 - 2018) a</w:t>
      </w:r>
      <w:r w:rsidR="00A94BD7">
        <w:rPr>
          <w:sz w:val="20"/>
          <w:szCs w:val="20"/>
          <w:lang w:eastAsia="cs-CZ"/>
        </w:rPr>
        <w:t> </w:t>
      </w:r>
      <w:r w:rsidRPr="00DB60D3">
        <w:rPr>
          <w:sz w:val="20"/>
          <w:szCs w:val="20"/>
          <w:lang w:eastAsia="cs-CZ"/>
        </w:rPr>
        <w:t>tabulky "Daň z minerálních olejů - vnitrostátní vyměřená daň - pohonné hmoty (benzín, nafta 2015 - 2018).</w:t>
      </w:r>
      <w:r w:rsidR="00B06996">
        <w:rPr>
          <w:sz w:val="20"/>
          <w:szCs w:val="20"/>
          <w:lang w:eastAsia="cs-CZ"/>
        </w:rPr>
        <w:t xml:space="preserve"> </w:t>
      </w:r>
      <w:r w:rsidR="00B06996" w:rsidRPr="00232643">
        <w:rPr>
          <w:sz w:val="20"/>
          <w:szCs w:val="20"/>
          <w:lang w:eastAsia="cs-CZ"/>
        </w:rPr>
        <w:t xml:space="preserve">Kurz </w:t>
      </w:r>
      <w:r w:rsidR="00B06996">
        <w:rPr>
          <w:sz w:val="20"/>
          <w:szCs w:val="20"/>
          <w:lang w:eastAsia="cs-CZ"/>
        </w:rPr>
        <w:t xml:space="preserve">ČNB </w:t>
      </w:r>
      <w:r w:rsidR="00B06996" w:rsidRPr="00232643">
        <w:rPr>
          <w:sz w:val="20"/>
          <w:szCs w:val="20"/>
          <w:lang w:eastAsia="cs-CZ"/>
        </w:rPr>
        <w:t>ke dni 17. 9. 2019</w:t>
      </w:r>
      <w:r w:rsidR="00B06996">
        <w:rPr>
          <w:sz w:val="20"/>
          <w:szCs w:val="20"/>
          <w:lang w:eastAsia="cs-CZ"/>
        </w:rPr>
        <w:t>:</w:t>
      </w:r>
      <w:r w:rsidR="00B06996" w:rsidRPr="00232643">
        <w:rPr>
          <w:sz w:val="20"/>
          <w:szCs w:val="20"/>
          <w:lang w:eastAsia="cs-CZ"/>
        </w:rPr>
        <w:t xml:space="preserve"> 1 </w:t>
      </w:r>
      <w:r w:rsidR="00B06996">
        <w:rPr>
          <w:sz w:val="20"/>
          <w:szCs w:val="20"/>
          <w:lang w:eastAsia="cs-CZ"/>
        </w:rPr>
        <w:t>€</w:t>
      </w:r>
      <w:r w:rsidR="00B06996" w:rsidRPr="00232643">
        <w:rPr>
          <w:sz w:val="20"/>
          <w:szCs w:val="20"/>
          <w:lang w:eastAsia="cs-CZ"/>
        </w:rPr>
        <w:t xml:space="preserve"> = 25,88 Kč.</w:t>
      </w:r>
    </w:p>
    <w:p w14:paraId="2218C6AD" w14:textId="0FF1FFED" w:rsidR="00DD54E5" w:rsidRPr="00232643" w:rsidRDefault="00DD54E5" w:rsidP="00A94BD7">
      <w:pPr>
        <w:ind w:left="284" w:hanging="284"/>
        <w:jc w:val="left"/>
        <w:rPr>
          <w:sz w:val="20"/>
          <w:szCs w:val="20"/>
          <w:lang w:eastAsia="cs-CZ"/>
        </w:rPr>
      </w:pPr>
      <w:r w:rsidRPr="00DB60D3">
        <w:rPr>
          <w:sz w:val="20"/>
          <w:szCs w:val="20"/>
          <w:lang w:eastAsia="cs-CZ"/>
        </w:rPr>
        <w:t xml:space="preserve">* </w:t>
      </w:r>
      <w:r w:rsidR="00A94BD7">
        <w:rPr>
          <w:sz w:val="20"/>
          <w:szCs w:val="20"/>
          <w:lang w:eastAsia="cs-CZ"/>
        </w:rPr>
        <w:tab/>
      </w:r>
      <w:r w:rsidRPr="00DB60D3">
        <w:rPr>
          <w:sz w:val="20"/>
          <w:szCs w:val="20"/>
          <w:lang w:eastAsia="cs-CZ"/>
        </w:rPr>
        <w:t>Výpočet vyměřené spotřební daně z minerálních olejů: daň celkem z vybraných minerální olejů (pohonných hmot) + daň ze zkapalněných ropných plynů (pouze LPG) + daň ze zemního plynu CNG.</w:t>
      </w:r>
      <w:r>
        <w:rPr>
          <w:sz w:val="20"/>
          <w:szCs w:val="20"/>
          <w:lang w:eastAsia="cs-CZ"/>
        </w:rPr>
        <w:t xml:space="preserve"> </w:t>
      </w:r>
    </w:p>
    <w:p w14:paraId="2B8AAD32" w14:textId="77777777" w:rsidR="00DD54E5" w:rsidRDefault="00DA7018" w:rsidP="00DA7018">
      <w:pPr>
        <w:pStyle w:val="Tabulka"/>
        <w:numPr>
          <w:ilvl w:val="0"/>
          <w:numId w:val="0"/>
        </w:numPr>
        <w:spacing w:after="40"/>
        <w:ind w:left="1446" w:hanging="1446"/>
        <w:rPr>
          <w:lang w:eastAsia="cs-CZ"/>
        </w:rPr>
      </w:pPr>
      <w:r>
        <w:rPr>
          <w:lang w:eastAsia="cs-CZ"/>
        </w:rPr>
        <w:lastRenderedPageBreak/>
        <w:t xml:space="preserve">Tabulka č. 29: </w:t>
      </w:r>
      <w:r w:rsidR="00DD54E5" w:rsidRPr="00AB7481">
        <w:rPr>
          <w:lang w:eastAsia="cs-CZ"/>
        </w:rPr>
        <w:t>Vývoj počtu veřejných čerpacích stanic na C</w:t>
      </w:r>
      <w:r w:rsidR="00DD54E5">
        <w:rPr>
          <w:lang w:eastAsia="cs-CZ"/>
        </w:rPr>
        <w:t>NG a podíl motorových vozidel s </w:t>
      </w:r>
      <w:r w:rsidR="00DD54E5" w:rsidRPr="00AB7481">
        <w:rPr>
          <w:lang w:eastAsia="cs-CZ"/>
        </w:rPr>
        <w:t>pohonem na CNG na 1 stanici</w:t>
      </w:r>
    </w:p>
    <w:tbl>
      <w:tblPr>
        <w:tblStyle w:val="Mkatabulky"/>
        <w:tblW w:w="5000" w:type="pct"/>
        <w:tblLook w:val="04A0" w:firstRow="1" w:lastRow="0" w:firstColumn="1" w:lastColumn="0" w:noHBand="0" w:noVBand="1"/>
      </w:tblPr>
      <w:tblGrid>
        <w:gridCol w:w="4461"/>
        <w:gridCol w:w="1150"/>
        <w:gridCol w:w="1150"/>
        <w:gridCol w:w="1150"/>
        <w:gridCol w:w="1149"/>
      </w:tblGrid>
      <w:tr w:rsidR="00DD54E5" w14:paraId="68F95A29" w14:textId="77777777" w:rsidTr="00DA7018">
        <w:trPr>
          <w:trHeight w:val="227"/>
        </w:trPr>
        <w:tc>
          <w:tcPr>
            <w:tcW w:w="2461" w:type="pct"/>
            <w:shd w:val="clear" w:color="auto" w:fill="E5F1FF"/>
            <w:noWrap/>
            <w:vAlign w:val="center"/>
            <w:hideMark/>
          </w:tcPr>
          <w:p w14:paraId="0223228C" w14:textId="77777777" w:rsidR="00DD54E5" w:rsidRPr="00AB7481" w:rsidRDefault="00DD54E5" w:rsidP="00DA7018">
            <w:pPr>
              <w:spacing w:after="0"/>
              <w:jc w:val="center"/>
              <w:rPr>
                <w:b/>
                <w:sz w:val="20"/>
                <w:szCs w:val="20"/>
                <w:lang w:eastAsia="cs-CZ"/>
              </w:rPr>
            </w:pPr>
            <w:r w:rsidRPr="00AB7481">
              <w:rPr>
                <w:b/>
                <w:sz w:val="20"/>
                <w:szCs w:val="20"/>
                <w:lang w:eastAsia="cs-CZ"/>
              </w:rPr>
              <w:t>Rok</w:t>
            </w:r>
          </w:p>
        </w:tc>
        <w:tc>
          <w:tcPr>
            <w:tcW w:w="635" w:type="pct"/>
            <w:shd w:val="clear" w:color="auto" w:fill="E5F1FF"/>
            <w:noWrap/>
            <w:vAlign w:val="center"/>
            <w:hideMark/>
          </w:tcPr>
          <w:p w14:paraId="18F0FDFF" w14:textId="77777777" w:rsidR="00DD54E5" w:rsidRPr="00AB7481" w:rsidRDefault="00DD54E5" w:rsidP="00DA7018">
            <w:pPr>
              <w:spacing w:after="0"/>
              <w:jc w:val="center"/>
              <w:rPr>
                <w:b/>
                <w:bCs/>
                <w:sz w:val="20"/>
                <w:szCs w:val="20"/>
                <w:lang w:eastAsia="cs-CZ"/>
              </w:rPr>
            </w:pPr>
            <w:r w:rsidRPr="00AB7481">
              <w:rPr>
                <w:b/>
                <w:bCs/>
                <w:sz w:val="20"/>
                <w:szCs w:val="20"/>
                <w:lang w:eastAsia="cs-CZ"/>
              </w:rPr>
              <w:t>2015</w:t>
            </w:r>
          </w:p>
        </w:tc>
        <w:tc>
          <w:tcPr>
            <w:tcW w:w="635" w:type="pct"/>
            <w:shd w:val="clear" w:color="auto" w:fill="E5F1FF"/>
            <w:noWrap/>
            <w:vAlign w:val="center"/>
            <w:hideMark/>
          </w:tcPr>
          <w:p w14:paraId="704CEEC3" w14:textId="77777777" w:rsidR="00DD54E5" w:rsidRPr="00AB7481" w:rsidRDefault="00DD54E5" w:rsidP="00DA7018">
            <w:pPr>
              <w:spacing w:after="0"/>
              <w:jc w:val="center"/>
              <w:rPr>
                <w:b/>
                <w:bCs/>
                <w:sz w:val="20"/>
                <w:szCs w:val="20"/>
                <w:lang w:eastAsia="cs-CZ"/>
              </w:rPr>
            </w:pPr>
            <w:r w:rsidRPr="00AB7481">
              <w:rPr>
                <w:b/>
                <w:bCs/>
                <w:sz w:val="20"/>
                <w:szCs w:val="20"/>
                <w:lang w:eastAsia="cs-CZ"/>
              </w:rPr>
              <w:t>2016</w:t>
            </w:r>
          </w:p>
        </w:tc>
        <w:tc>
          <w:tcPr>
            <w:tcW w:w="635" w:type="pct"/>
            <w:shd w:val="clear" w:color="auto" w:fill="E5F1FF"/>
            <w:noWrap/>
            <w:vAlign w:val="center"/>
            <w:hideMark/>
          </w:tcPr>
          <w:p w14:paraId="5270987D" w14:textId="77777777" w:rsidR="00DD54E5" w:rsidRPr="00AB7481" w:rsidRDefault="00DD54E5" w:rsidP="00DA7018">
            <w:pPr>
              <w:spacing w:after="0"/>
              <w:jc w:val="center"/>
              <w:rPr>
                <w:b/>
                <w:bCs/>
                <w:sz w:val="20"/>
                <w:szCs w:val="20"/>
                <w:lang w:eastAsia="cs-CZ"/>
              </w:rPr>
            </w:pPr>
            <w:r w:rsidRPr="00AB7481">
              <w:rPr>
                <w:b/>
                <w:bCs/>
                <w:sz w:val="20"/>
                <w:szCs w:val="20"/>
                <w:lang w:eastAsia="cs-CZ"/>
              </w:rPr>
              <w:t>2017</w:t>
            </w:r>
          </w:p>
        </w:tc>
        <w:tc>
          <w:tcPr>
            <w:tcW w:w="635" w:type="pct"/>
            <w:shd w:val="clear" w:color="auto" w:fill="E5F1FF"/>
            <w:noWrap/>
            <w:vAlign w:val="center"/>
            <w:hideMark/>
          </w:tcPr>
          <w:p w14:paraId="4496D1BF" w14:textId="77777777" w:rsidR="00DD54E5" w:rsidRPr="00AB7481" w:rsidRDefault="00DD54E5" w:rsidP="00DA7018">
            <w:pPr>
              <w:spacing w:after="0"/>
              <w:jc w:val="center"/>
              <w:rPr>
                <w:b/>
                <w:bCs/>
                <w:sz w:val="20"/>
                <w:szCs w:val="20"/>
                <w:lang w:eastAsia="cs-CZ"/>
              </w:rPr>
            </w:pPr>
            <w:r w:rsidRPr="00AB7481">
              <w:rPr>
                <w:b/>
                <w:bCs/>
                <w:sz w:val="20"/>
                <w:szCs w:val="20"/>
                <w:lang w:eastAsia="cs-CZ"/>
              </w:rPr>
              <w:t>2018</w:t>
            </w:r>
          </w:p>
        </w:tc>
      </w:tr>
      <w:tr w:rsidR="00DD54E5" w14:paraId="6998B4EE" w14:textId="77777777" w:rsidTr="00DA7018">
        <w:trPr>
          <w:trHeight w:val="227"/>
        </w:trPr>
        <w:tc>
          <w:tcPr>
            <w:tcW w:w="2461" w:type="pct"/>
            <w:noWrap/>
            <w:vAlign w:val="center"/>
            <w:hideMark/>
          </w:tcPr>
          <w:p w14:paraId="4104C590" w14:textId="77777777" w:rsidR="00DD54E5" w:rsidRPr="00AB7481" w:rsidRDefault="00DD54E5" w:rsidP="00DA7018">
            <w:pPr>
              <w:spacing w:after="0"/>
              <w:jc w:val="left"/>
              <w:rPr>
                <w:sz w:val="20"/>
                <w:szCs w:val="20"/>
                <w:lang w:eastAsia="cs-CZ"/>
              </w:rPr>
            </w:pPr>
            <w:r w:rsidRPr="00AB7481">
              <w:rPr>
                <w:sz w:val="20"/>
                <w:szCs w:val="20"/>
                <w:lang w:eastAsia="cs-CZ"/>
              </w:rPr>
              <w:t>Počet veřejných čerpacích stanic</w:t>
            </w:r>
          </w:p>
        </w:tc>
        <w:tc>
          <w:tcPr>
            <w:tcW w:w="635" w:type="pct"/>
            <w:noWrap/>
            <w:vAlign w:val="center"/>
            <w:hideMark/>
          </w:tcPr>
          <w:p w14:paraId="6F1C0A03" w14:textId="77777777" w:rsidR="00DD54E5" w:rsidRPr="00AB7481" w:rsidRDefault="00DD54E5" w:rsidP="00DA7018">
            <w:pPr>
              <w:spacing w:after="0"/>
              <w:ind w:right="255"/>
              <w:jc w:val="right"/>
              <w:rPr>
                <w:sz w:val="20"/>
                <w:szCs w:val="20"/>
                <w:lang w:eastAsia="cs-CZ"/>
              </w:rPr>
            </w:pPr>
            <w:r w:rsidRPr="00AB7481">
              <w:rPr>
                <w:sz w:val="20"/>
                <w:szCs w:val="20"/>
                <w:lang w:eastAsia="cs-CZ"/>
              </w:rPr>
              <w:t>108</w:t>
            </w:r>
          </w:p>
        </w:tc>
        <w:tc>
          <w:tcPr>
            <w:tcW w:w="635" w:type="pct"/>
            <w:noWrap/>
            <w:vAlign w:val="center"/>
            <w:hideMark/>
          </w:tcPr>
          <w:p w14:paraId="21B91A17" w14:textId="77777777" w:rsidR="00DD54E5" w:rsidRPr="00AB7481" w:rsidRDefault="00DD54E5" w:rsidP="00DA7018">
            <w:pPr>
              <w:spacing w:after="0"/>
              <w:ind w:right="255"/>
              <w:jc w:val="right"/>
              <w:rPr>
                <w:sz w:val="20"/>
                <w:szCs w:val="20"/>
                <w:lang w:eastAsia="cs-CZ"/>
              </w:rPr>
            </w:pPr>
            <w:r w:rsidRPr="00AB7481">
              <w:rPr>
                <w:sz w:val="20"/>
                <w:szCs w:val="20"/>
                <w:lang w:eastAsia="cs-CZ"/>
              </w:rPr>
              <w:t>143</w:t>
            </w:r>
          </w:p>
        </w:tc>
        <w:tc>
          <w:tcPr>
            <w:tcW w:w="635" w:type="pct"/>
            <w:noWrap/>
            <w:vAlign w:val="center"/>
            <w:hideMark/>
          </w:tcPr>
          <w:p w14:paraId="552AA7B7" w14:textId="77777777" w:rsidR="00DD54E5" w:rsidRPr="00AB7481" w:rsidRDefault="00DD54E5" w:rsidP="00DA7018">
            <w:pPr>
              <w:spacing w:after="0"/>
              <w:ind w:right="255"/>
              <w:jc w:val="right"/>
              <w:rPr>
                <w:sz w:val="20"/>
                <w:szCs w:val="20"/>
                <w:lang w:eastAsia="cs-CZ"/>
              </w:rPr>
            </w:pPr>
            <w:r w:rsidRPr="00AB7481">
              <w:rPr>
                <w:sz w:val="20"/>
                <w:szCs w:val="20"/>
                <w:lang w:eastAsia="cs-CZ"/>
              </w:rPr>
              <w:t>164</w:t>
            </w:r>
          </w:p>
        </w:tc>
        <w:tc>
          <w:tcPr>
            <w:tcW w:w="635" w:type="pct"/>
            <w:noWrap/>
            <w:vAlign w:val="center"/>
            <w:hideMark/>
          </w:tcPr>
          <w:p w14:paraId="6070FCA2" w14:textId="77777777" w:rsidR="00DD54E5" w:rsidRPr="00AB7481" w:rsidRDefault="00DD54E5" w:rsidP="00DA7018">
            <w:pPr>
              <w:spacing w:after="0"/>
              <w:ind w:right="255"/>
              <w:jc w:val="right"/>
              <w:rPr>
                <w:sz w:val="20"/>
                <w:szCs w:val="20"/>
                <w:lang w:eastAsia="cs-CZ"/>
              </w:rPr>
            </w:pPr>
            <w:r w:rsidRPr="00AB7481">
              <w:rPr>
                <w:sz w:val="20"/>
                <w:szCs w:val="20"/>
                <w:lang w:eastAsia="cs-CZ"/>
              </w:rPr>
              <w:t>185</w:t>
            </w:r>
          </w:p>
        </w:tc>
      </w:tr>
      <w:tr w:rsidR="00DD54E5" w14:paraId="2EEB4686" w14:textId="77777777" w:rsidTr="00DA7018">
        <w:trPr>
          <w:trHeight w:val="227"/>
        </w:trPr>
        <w:tc>
          <w:tcPr>
            <w:tcW w:w="2461" w:type="pct"/>
            <w:noWrap/>
            <w:vAlign w:val="center"/>
            <w:hideMark/>
          </w:tcPr>
          <w:p w14:paraId="226205C0" w14:textId="77777777" w:rsidR="00DD54E5" w:rsidRPr="00AB7481" w:rsidRDefault="00DD54E5" w:rsidP="00DA7018">
            <w:pPr>
              <w:spacing w:after="0"/>
              <w:jc w:val="left"/>
              <w:rPr>
                <w:sz w:val="20"/>
                <w:szCs w:val="20"/>
                <w:lang w:eastAsia="cs-CZ"/>
              </w:rPr>
            </w:pPr>
            <w:r w:rsidRPr="00AB7481">
              <w:rPr>
                <w:sz w:val="20"/>
                <w:szCs w:val="20"/>
                <w:lang w:eastAsia="cs-CZ"/>
              </w:rPr>
              <w:t>Počet motorových vozidel na CNG celkem</w:t>
            </w:r>
          </w:p>
        </w:tc>
        <w:tc>
          <w:tcPr>
            <w:tcW w:w="635" w:type="pct"/>
            <w:noWrap/>
            <w:vAlign w:val="center"/>
            <w:hideMark/>
          </w:tcPr>
          <w:p w14:paraId="258350D2" w14:textId="77777777" w:rsidR="00DD54E5" w:rsidRPr="00AB7481" w:rsidRDefault="00DD54E5" w:rsidP="00DA7018">
            <w:pPr>
              <w:spacing w:after="0"/>
              <w:ind w:right="255"/>
              <w:jc w:val="right"/>
              <w:rPr>
                <w:sz w:val="20"/>
                <w:szCs w:val="20"/>
                <w:lang w:eastAsia="cs-CZ"/>
              </w:rPr>
            </w:pPr>
            <w:r w:rsidRPr="00AB7481">
              <w:rPr>
                <w:sz w:val="20"/>
                <w:szCs w:val="20"/>
                <w:lang w:eastAsia="cs-CZ"/>
              </w:rPr>
              <w:t>12000</w:t>
            </w:r>
          </w:p>
        </w:tc>
        <w:tc>
          <w:tcPr>
            <w:tcW w:w="635" w:type="pct"/>
            <w:noWrap/>
            <w:vAlign w:val="center"/>
            <w:hideMark/>
          </w:tcPr>
          <w:p w14:paraId="39C0595D" w14:textId="77777777" w:rsidR="00DD54E5" w:rsidRPr="00AB7481" w:rsidRDefault="00DD54E5" w:rsidP="00DA7018">
            <w:pPr>
              <w:spacing w:after="0"/>
              <w:ind w:right="255"/>
              <w:jc w:val="right"/>
              <w:rPr>
                <w:sz w:val="20"/>
                <w:szCs w:val="20"/>
                <w:lang w:eastAsia="cs-CZ"/>
              </w:rPr>
            </w:pPr>
            <w:r w:rsidRPr="00AB7481">
              <w:rPr>
                <w:sz w:val="20"/>
                <w:szCs w:val="20"/>
                <w:lang w:eastAsia="cs-CZ"/>
              </w:rPr>
              <w:t>15500</w:t>
            </w:r>
          </w:p>
        </w:tc>
        <w:tc>
          <w:tcPr>
            <w:tcW w:w="635" w:type="pct"/>
            <w:noWrap/>
            <w:vAlign w:val="center"/>
            <w:hideMark/>
          </w:tcPr>
          <w:p w14:paraId="23310CCB" w14:textId="77777777" w:rsidR="00DD54E5" w:rsidRPr="00AB7481" w:rsidRDefault="00DD54E5" w:rsidP="00DA7018">
            <w:pPr>
              <w:spacing w:after="0"/>
              <w:ind w:right="255"/>
              <w:jc w:val="right"/>
              <w:rPr>
                <w:sz w:val="20"/>
                <w:szCs w:val="20"/>
                <w:lang w:eastAsia="cs-CZ"/>
              </w:rPr>
            </w:pPr>
            <w:r w:rsidRPr="00AB7481">
              <w:rPr>
                <w:sz w:val="20"/>
                <w:szCs w:val="20"/>
                <w:lang w:eastAsia="cs-CZ"/>
              </w:rPr>
              <w:t>18900</w:t>
            </w:r>
          </w:p>
        </w:tc>
        <w:tc>
          <w:tcPr>
            <w:tcW w:w="635" w:type="pct"/>
            <w:noWrap/>
            <w:vAlign w:val="center"/>
            <w:hideMark/>
          </w:tcPr>
          <w:p w14:paraId="2BC49094" w14:textId="77777777" w:rsidR="00DD54E5" w:rsidRPr="00AB7481" w:rsidRDefault="00DD54E5" w:rsidP="00DA7018">
            <w:pPr>
              <w:spacing w:after="0"/>
              <w:ind w:right="255"/>
              <w:jc w:val="right"/>
              <w:rPr>
                <w:sz w:val="20"/>
                <w:szCs w:val="20"/>
                <w:lang w:eastAsia="cs-CZ"/>
              </w:rPr>
            </w:pPr>
            <w:r w:rsidRPr="00AB7481">
              <w:rPr>
                <w:sz w:val="20"/>
                <w:szCs w:val="20"/>
                <w:lang w:eastAsia="cs-CZ"/>
              </w:rPr>
              <w:t>22600</w:t>
            </w:r>
          </w:p>
        </w:tc>
      </w:tr>
      <w:tr w:rsidR="00DD54E5" w14:paraId="6108632A" w14:textId="77777777" w:rsidTr="00DA7018">
        <w:trPr>
          <w:trHeight w:val="227"/>
        </w:trPr>
        <w:tc>
          <w:tcPr>
            <w:tcW w:w="2461" w:type="pct"/>
            <w:noWrap/>
            <w:vAlign w:val="center"/>
            <w:hideMark/>
          </w:tcPr>
          <w:p w14:paraId="12FD4478" w14:textId="77777777" w:rsidR="00DD54E5" w:rsidRPr="00AB7481" w:rsidRDefault="00DD54E5" w:rsidP="00DA7018">
            <w:pPr>
              <w:spacing w:after="0"/>
              <w:jc w:val="left"/>
              <w:rPr>
                <w:b/>
                <w:bCs/>
                <w:sz w:val="20"/>
                <w:szCs w:val="20"/>
                <w:lang w:eastAsia="cs-CZ"/>
              </w:rPr>
            </w:pPr>
            <w:r w:rsidRPr="00AB7481">
              <w:rPr>
                <w:b/>
                <w:bCs/>
                <w:sz w:val="20"/>
                <w:szCs w:val="20"/>
                <w:lang w:eastAsia="cs-CZ"/>
              </w:rPr>
              <w:t>Podíl počtu motorových vozidel na 1 čerpací stanici</w:t>
            </w:r>
          </w:p>
        </w:tc>
        <w:tc>
          <w:tcPr>
            <w:tcW w:w="635" w:type="pct"/>
            <w:noWrap/>
            <w:vAlign w:val="center"/>
            <w:hideMark/>
          </w:tcPr>
          <w:p w14:paraId="19387581" w14:textId="77777777" w:rsidR="00DD54E5" w:rsidRPr="00AB7481" w:rsidRDefault="00DD54E5" w:rsidP="00DA7018">
            <w:pPr>
              <w:spacing w:after="0"/>
              <w:jc w:val="right"/>
              <w:rPr>
                <w:b/>
                <w:bCs/>
                <w:sz w:val="20"/>
                <w:szCs w:val="20"/>
                <w:lang w:eastAsia="cs-CZ"/>
              </w:rPr>
            </w:pPr>
            <w:r w:rsidRPr="00AB7481">
              <w:rPr>
                <w:b/>
                <w:bCs/>
                <w:sz w:val="20"/>
                <w:szCs w:val="20"/>
                <w:lang w:eastAsia="cs-CZ"/>
              </w:rPr>
              <w:t>111,11</w:t>
            </w:r>
          </w:p>
        </w:tc>
        <w:tc>
          <w:tcPr>
            <w:tcW w:w="635" w:type="pct"/>
            <w:noWrap/>
            <w:vAlign w:val="center"/>
            <w:hideMark/>
          </w:tcPr>
          <w:p w14:paraId="26009B66" w14:textId="77777777" w:rsidR="00DD54E5" w:rsidRPr="00AB7481" w:rsidRDefault="00DD54E5" w:rsidP="00DA7018">
            <w:pPr>
              <w:spacing w:after="0"/>
              <w:jc w:val="right"/>
              <w:rPr>
                <w:b/>
                <w:bCs/>
                <w:sz w:val="20"/>
                <w:szCs w:val="20"/>
                <w:lang w:eastAsia="cs-CZ"/>
              </w:rPr>
            </w:pPr>
            <w:r w:rsidRPr="00AB7481">
              <w:rPr>
                <w:b/>
                <w:bCs/>
                <w:sz w:val="20"/>
                <w:szCs w:val="20"/>
                <w:lang w:eastAsia="cs-CZ"/>
              </w:rPr>
              <w:t>108,39</w:t>
            </w:r>
          </w:p>
        </w:tc>
        <w:tc>
          <w:tcPr>
            <w:tcW w:w="635" w:type="pct"/>
            <w:noWrap/>
            <w:vAlign w:val="center"/>
            <w:hideMark/>
          </w:tcPr>
          <w:p w14:paraId="0056611D" w14:textId="77777777" w:rsidR="00DD54E5" w:rsidRPr="00AB7481" w:rsidRDefault="00DD54E5" w:rsidP="00DA7018">
            <w:pPr>
              <w:spacing w:after="0"/>
              <w:jc w:val="right"/>
              <w:rPr>
                <w:b/>
                <w:bCs/>
                <w:sz w:val="20"/>
                <w:szCs w:val="20"/>
                <w:lang w:eastAsia="cs-CZ"/>
              </w:rPr>
            </w:pPr>
            <w:r w:rsidRPr="00AB7481">
              <w:rPr>
                <w:b/>
                <w:bCs/>
                <w:sz w:val="20"/>
                <w:szCs w:val="20"/>
                <w:lang w:eastAsia="cs-CZ"/>
              </w:rPr>
              <w:t>115,24</w:t>
            </w:r>
          </w:p>
        </w:tc>
        <w:tc>
          <w:tcPr>
            <w:tcW w:w="635" w:type="pct"/>
            <w:noWrap/>
            <w:vAlign w:val="center"/>
            <w:hideMark/>
          </w:tcPr>
          <w:p w14:paraId="0CD84CD6" w14:textId="77777777" w:rsidR="00DD54E5" w:rsidRPr="00AB7481" w:rsidRDefault="00DD54E5" w:rsidP="00DA7018">
            <w:pPr>
              <w:spacing w:after="0"/>
              <w:jc w:val="right"/>
              <w:rPr>
                <w:b/>
                <w:bCs/>
                <w:sz w:val="20"/>
                <w:szCs w:val="20"/>
                <w:lang w:eastAsia="cs-CZ"/>
              </w:rPr>
            </w:pPr>
            <w:r w:rsidRPr="00AB7481">
              <w:rPr>
                <w:b/>
                <w:bCs/>
                <w:sz w:val="20"/>
                <w:szCs w:val="20"/>
                <w:lang w:eastAsia="cs-CZ"/>
              </w:rPr>
              <w:t>122,16</w:t>
            </w:r>
          </w:p>
        </w:tc>
      </w:tr>
    </w:tbl>
    <w:p w14:paraId="19D13E08" w14:textId="4D71A5B7" w:rsidR="00DD54E5" w:rsidRDefault="00DD54E5" w:rsidP="00DA7018">
      <w:pPr>
        <w:spacing w:before="40" w:after="0"/>
        <w:rPr>
          <w:sz w:val="20"/>
          <w:szCs w:val="20"/>
          <w:lang w:eastAsia="cs-CZ"/>
        </w:rPr>
      </w:pPr>
      <w:r w:rsidRPr="007803A8">
        <w:rPr>
          <w:b/>
          <w:sz w:val="20"/>
          <w:szCs w:val="20"/>
          <w:lang w:eastAsia="cs-CZ"/>
        </w:rPr>
        <w:t>Zdroj:</w:t>
      </w:r>
      <w:r w:rsidRPr="00AB7481">
        <w:rPr>
          <w:sz w:val="20"/>
          <w:szCs w:val="20"/>
          <w:lang w:eastAsia="cs-CZ"/>
        </w:rPr>
        <w:t xml:space="preserve"> </w:t>
      </w:r>
      <w:hyperlink r:id="rId80" w:history="1">
        <w:r w:rsidR="00DA7018" w:rsidRPr="00DA7018">
          <w:rPr>
            <w:rStyle w:val="Hypertextovodkaz"/>
            <w:sz w:val="20"/>
            <w:szCs w:val="20"/>
            <w:u w:val="none"/>
            <w:lang w:eastAsia="cs-CZ"/>
          </w:rPr>
          <w:t>http://www.cng4you.cz/cng-info/statistiky.html</w:t>
        </w:r>
      </w:hyperlink>
      <w:r w:rsidRPr="00AB7481">
        <w:rPr>
          <w:sz w:val="20"/>
          <w:szCs w:val="20"/>
          <w:lang w:eastAsia="cs-CZ"/>
        </w:rPr>
        <w:t xml:space="preserve">; tabulka </w:t>
      </w:r>
      <w:r w:rsidR="00B06996">
        <w:rPr>
          <w:sz w:val="20"/>
          <w:szCs w:val="20"/>
          <w:lang w:eastAsia="cs-CZ"/>
        </w:rPr>
        <w:t>s</w:t>
      </w:r>
      <w:r w:rsidRPr="00AB7481">
        <w:rPr>
          <w:sz w:val="20"/>
          <w:szCs w:val="20"/>
          <w:lang w:eastAsia="cs-CZ"/>
        </w:rPr>
        <w:t>tatistik NGV v ČR 2004 až 2018.</w:t>
      </w:r>
    </w:p>
    <w:p w14:paraId="0B458629" w14:textId="77777777" w:rsidR="00DA7018" w:rsidRDefault="00DA7018" w:rsidP="00DA7018">
      <w:pPr>
        <w:spacing w:after="0"/>
        <w:rPr>
          <w:sz w:val="20"/>
          <w:szCs w:val="20"/>
          <w:lang w:eastAsia="cs-CZ"/>
        </w:rPr>
      </w:pPr>
    </w:p>
    <w:p w14:paraId="053890CA" w14:textId="1BEF3F0A" w:rsidR="00DD54E5" w:rsidRDefault="00EF26C0" w:rsidP="00EF26C0">
      <w:pPr>
        <w:pStyle w:val="Tabulka"/>
        <w:numPr>
          <w:ilvl w:val="0"/>
          <w:numId w:val="0"/>
        </w:numPr>
        <w:spacing w:after="40"/>
        <w:rPr>
          <w:lang w:eastAsia="cs-CZ"/>
        </w:rPr>
      </w:pPr>
      <w:r>
        <w:rPr>
          <w:lang w:eastAsia="cs-CZ"/>
        </w:rPr>
        <w:t xml:space="preserve">Tabulka č. 30: </w:t>
      </w:r>
      <w:r w:rsidR="00DD54E5" w:rsidRPr="0042434E">
        <w:rPr>
          <w:lang w:eastAsia="cs-CZ"/>
        </w:rPr>
        <w:t>Přehled registrací nových vozidel dle druhu paliva v letech 2015</w:t>
      </w:r>
      <w:r w:rsidR="00B06996">
        <w:rPr>
          <w:lang w:eastAsia="cs-CZ"/>
        </w:rPr>
        <w:t>–</w:t>
      </w:r>
      <w:r w:rsidR="00DD54E5" w:rsidRPr="0042434E">
        <w:rPr>
          <w:lang w:eastAsia="cs-CZ"/>
        </w:rPr>
        <w:t>2018</w:t>
      </w:r>
    </w:p>
    <w:tbl>
      <w:tblPr>
        <w:tblStyle w:val="Mkatabulky"/>
        <w:tblW w:w="5000" w:type="pct"/>
        <w:tblLook w:val="04A0" w:firstRow="1" w:lastRow="0" w:firstColumn="1" w:lastColumn="0" w:noHBand="0" w:noVBand="1"/>
      </w:tblPr>
      <w:tblGrid>
        <w:gridCol w:w="2546"/>
        <w:gridCol w:w="1627"/>
        <w:gridCol w:w="1629"/>
        <w:gridCol w:w="1629"/>
        <w:gridCol w:w="1629"/>
      </w:tblGrid>
      <w:tr w:rsidR="00DD54E5" w:rsidRPr="00EF26C0" w14:paraId="7324ACFD" w14:textId="77777777" w:rsidTr="00EF26C0">
        <w:trPr>
          <w:trHeight w:val="62"/>
        </w:trPr>
        <w:tc>
          <w:tcPr>
            <w:tcW w:w="1405" w:type="pct"/>
            <w:shd w:val="clear" w:color="auto" w:fill="E5F1FF"/>
            <w:noWrap/>
            <w:vAlign w:val="center"/>
            <w:hideMark/>
          </w:tcPr>
          <w:p w14:paraId="66174A35" w14:textId="77777777" w:rsidR="00DD54E5" w:rsidRPr="00EF26C0" w:rsidRDefault="00DD54E5" w:rsidP="00EF26C0">
            <w:pPr>
              <w:spacing w:after="0"/>
              <w:jc w:val="center"/>
              <w:rPr>
                <w:rFonts w:cs="Calibri"/>
                <w:b/>
                <w:bCs/>
                <w:sz w:val="20"/>
                <w:szCs w:val="20"/>
                <w:lang w:eastAsia="cs-CZ"/>
              </w:rPr>
            </w:pPr>
            <w:r w:rsidRPr="00EF26C0">
              <w:rPr>
                <w:rFonts w:cs="Calibri"/>
                <w:b/>
                <w:bCs/>
                <w:sz w:val="20"/>
                <w:szCs w:val="20"/>
                <w:lang w:eastAsia="cs-CZ"/>
              </w:rPr>
              <w:t>Rok</w:t>
            </w:r>
          </w:p>
        </w:tc>
        <w:tc>
          <w:tcPr>
            <w:tcW w:w="898" w:type="pct"/>
            <w:shd w:val="clear" w:color="auto" w:fill="E5F1FF"/>
            <w:noWrap/>
            <w:vAlign w:val="center"/>
            <w:hideMark/>
          </w:tcPr>
          <w:p w14:paraId="2686AF45" w14:textId="77777777" w:rsidR="00DD54E5" w:rsidRPr="00EF26C0" w:rsidRDefault="00DD54E5" w:rsidP="00EF26C0">
            <w:pPr>
              <w:spacing w:after="0"/>
              <w:jc w:val="center"/>
              <w:rPr>
                <w:rFonts w:cs="Calibri"/>
                <w:b/>
                <w:bCs/>
                <w:sz w:val="20"/>
                <w:szCs w:val="20"/>
                <w:lang w:eastAsia="cs-CZ"/>
              </w:rPr>
            </w:pPr>
            <w:r w:rsidRPr="00EF26C0">
              <w:rPr>
                <w:rFonts w:cs="Calibri"/>
                <w:b/>
                <w:bCs/>
                <w:sz w:val="20"/>
                <w:szCs w:val="20"/>
                <w:lang w:eastAsia="cs-CZ"/>
              </w:rPr>
              <w:t>2015</w:t>
            </w:r>
          </w:p>
        </w:tc>
        <w:tc>
          <w:tcPr>
            <w:tcW w:w="899" w:type="pct"/>
            <w:shd w:val="clear" w:color="auto" w:fill="E5F1FF"/>
            <w:noWrap/>
            <w:vAlign w:val="center"/>
            <w:hideMark/>
          </w:tcPr>
          <w:p w14:paraId="17FE9FA5" w14:textId="77777777" w:rsidR="00DD54E5" w:rsidRPr="00EF26C0" w:rsidRDefault="00DD54E5" w:rsidP="00EF26C0">
            <w:pPr>
              <w:spacing w:after="0"/>
              <w:jc w:val="center"/>
              <w:rPr>
                <w:rFonts w:cs="Calibri"/>
                <w:b/>
                <w:bCs/>
                <w:sz w:val="20"/>
                <w:szCs w:val="20"/>
                <w:lang w:eastAsia="cs-CZ"/>
              </w:rPr>
            </w:pPr>
            <w:r w:rsidRPr="00EF26C0">
              <w:rPr>
                <w:rFonts w:cs="Calibri"/>
                <w:b/>
                <w:bCs/>
                <w:sz w:val="20"/>
                <w:szCs w:val="20"/>
                <w:lang w:eastAsia="cs-CZ"/>
              </w:rPr>
              <w:t>2016</w:t>
            </w:r>
          </w:p>
        </w:tc>
        <w:tc>
          <w:tcPr>
            <w:tcW w:w="899" w:type="pct"/>
            <w:shd w:val="clear" w:color="auto" w:fill="E5F1FF"/>
            <w:noWrap/>
            <w:vAlign w:val="center"/>
            <w:hideMark/>
          </w:tcPr>
          <w:p w14:paraId="1E3F2B8D" w14:textId="77777777" w:rsidR="00DD54E5" w:rsidRPr="00EF26C0" w:rsidRDefault="00DD54E5" w:rsidP="00EF26C0">
            <w:pPr>
              <w:spacing w:after="0"/>
              <w:jc w:val="center"/>
              <w:rPr>
                <w:rFonts w:cs="Calibri"/>
                <w:b/>
                <w:bCs/>
                <w:sz w:val="20"/>
                <w:szCs w:val="20"/>
                <w:lang w:eastAsia="cs-CZ"/>
              </w:rPr>
            </w:pPr>
            <w:r w:rsidRPr="00EF26C0">
              <w:rPr>
                <w:rFonts w:cs="Calibri"/>
                <w:b/>
                <w:bCs/>
                <w:sz w:val="20"/>
                <w:szCs w:val="20"/>
                <w:lang w:eastAsia="cs-CZ"/>
              </w:rPr>
              <w:t>2017</w:t>
            </w:r>
          </w:p>
        </w:tc>
        <w:tc>
          <w:tcPr>
            <w:tcW w:w="899" w:type="pct"/>
            <w:shd w:val="clear" w:color="auto" w:fill="E5F1FF"/>
            <w:noWrap/>
            <w:vAlign w:val="center"/>
            <w:hideMark/>
          </w:tcPr>
          <w:p w14:paraId="787672F2" w14:textId="77777777" w:rsidR="00DD54E5" w:rsidRPr="00EF26C0" w:rsidRDefault="00DD54E5" w:rsidP="00EF26C0">
            <w:pPr>
              <w:spacing w:after="0"/>
              <w:jc w:val="center"/>
              <w:rPr>
                <w:rFonts w:cs="Calibri"/>
                <w:b/>
                <w:bCs/>
                <w:sz w:val="20"/>
                <w:szCs w:val="20"/>
                <w:lang w:eastAsia="cs-CZ"/>
              </w:rPr>
            </w:pPr>
            <w:r w:rsidRPr="00EF26C0">
              <w:rPr>
                <w:rFonts w:cs="Calibri"/>
                <w:b/>
                <w:bCs/>
                <w:sz w:val="20"/>
                <w:szCs w:val="20"/>
                <w:lang w:eastAsia="cs-CZ"/>
              </w:rPr>
              <w:t>2018</w:t>
            </w:r>
          </w:p>
        </w:tc>
      </w:tr>
      <w:tr w:rsidR="00DD54E5" w:rsidRPr="00EF26C0" w14:paraId="65E2DE19" w14:textId="77777777" w:rsidTr="00EF26C0">
        <w:trPr>
          <w:trHeight w:val="62"/>
        </w:trPr>
        <w:tc>
          <w:tcPr>
            <w:tcW w:w="1405" w:type="pct"/>
            <w:noWrap/>
            <w:vAlign w:val="center"/>
            <w:hideMark/>
          </w:tcPr>
          <w:p w14:paraId="610D6882"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Benzín</w:t>
            </w:r>
          </w:p>
        </w:tc>
        <w:tc>
          <w:tcPr>
            <w:tcW w:w="898" w:type="pct"/>
            <w:noWrap/>
            <w:vAlign w:val="center"/>
            <w:hideMark/>
          </w:tcPr>
          <w:p w14:paraId="5A6F3424"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124 131</w:t>
            </w:r>
          </w:p>
        </w:tc>
        <w:tc>
          <w:tcPr>
            <w:tcW w:w="899" w:type="pct"/>
            <w:noWrap/>
            <w:vAlign w:val="center"/>
            <w:hideMark/>
          </w:tcPr>
          <w:p w14:paraId="77303F03"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141 691</w:t>
            </w:r>
          </w:p>
        </w:tc>
        <w:tc>
          <w:tcPr>
            <w:tcW w:w="899" w:type="pct"/>
            <w:noWrap/>
            <w:vAlign w:val="center"/>
            <w:hideMark/>
          </w:tcPr>
          <w:p w14:paraId="10EE528D"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158 796</w:t>
            </w:r>
          </w:p>
        </w:tc>
        <w:tc>
          <w:tcPr>
            <w:tcW w:w="899" w:type="pct"/>
            <w:noWrap/>
            <w:vAlign w:val="center"/>
            <w:hideMark/>
          </w:tcPr>
          <w:p w14:paraId="21E1937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175 276</w:t>
            </w:r>
          </w:p>
        </w:tc>
      </w:tr>
      <w:tr w:rsidR="00DD54E5" w:rsidRPr="00EF26C0" w14:paraId="4ABC1CA0" w14:textId="77777777" w:rsidTr="00EF26C0">
        <w:trPr>
          <w:trHeight w:val="62"/>
        </w:trPr>
        <w:tc>
          <w:tcPr>
            <w:tcW w:w="1405" w:type="pct"/>
            <w:noWrap/>
            <w:vAlign w:val="center"/>
            <w:hideMark/>
          </w:tcPr>
          <w:p w14:paraId="4B6F42D1"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Nafta</w:t>
            </w:r>
          </w:p>
        </w:tc>
        <w:tc>
          <w:tcPr>
            <w:tcW w:w="898" w:type="pct"/>
            <w:noWrap/>
            <w:vAlign w:val="center"/>
            <w:hideMark/>
          </w:tcPr>
          <w:p w14:paraId="06632EAF"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99 298</w:t>
            </w:r>
          </w:p>
        </w:tc>
        <w:tc>
          <w:tcPr>
            <w:tcW w:w="899" w:type="pct"/>
            <w:noWrap/>
            <w:vAlign w:val="center"/>
            <w:hideMark/>
          </w:tcPr>
          <w:p w14:paraId="2602B27D"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110 575</w:t>
            </w:r>
          </w:p>
        </w:tc>
        <w:tc>
          <w:tcPr>
            <w:tcW w:w="899" w:type="pct"/>
            <w:noWrap/>
            <w:vAlign w:val="center"/>
            <w:hideMark/>
          </w:tcPr>
          <w:p w14:paraId="508620C1"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102 641</w:t>
            </w:r>
          </w:p>
        </w:tc>
        <w:tc>
          <w:tcPr>
            <w:tcW w:w="899" w:type="pct"/>
            <w:noWrap/>
            <w:vAlign w:val="center"/>
            <w:hideMark/>
          </w:tcPr>
          <w:p w14:paraId="44A3608F"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78 991</w:t>
            </w:r>
          </w:p>
        </w:tc>
      </w:tr>
      <w:tr w:rsidR="00DD54E5" w:rsidRPr="00EF26C0" w14:paraId="596533F5" w14:textId="77777777" w:rsidTr="00EF26C0">
        <w:trPr>
          <w:trHeight w:val="62"/>
        </w:trPr>
        <w:tc>
          <w:tcPr>
            <w:tcW w:w="1405" w:type="pct"/>
            <w:noWrap/>
            <w:vAlign w:val="center"/>
            <w:hideMark/>
          </w:tcPr>
          <w:p w14:paraId="2DA2F553"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CNG</w:t>
            </w:r>
          </w:p>
        </w:tc>
        <w:tc>
          <w:tcPr>
            <w:tcW w:w="898" w:type="pct"/>
            <w:vMerge w:val="restart"/>
            <w:noWrap/>
            <w:vAlign w:val="center"/>
            <w:hideMark/>
          </w:tcPr>
          <w:p w14:paraId="5FAA4AC4"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2 751</w:t>
            </w:r>
          </w:p>
        </w:tc>
        <w:tc>
          <w:tcPr>
            <w:tcW w:w="899" w:type="pct"/>
            <w:vMerge w:val="restart"/>
            <w:noWrap/>
            <w:vAlign w:val="center"/>
            <w:hideMark/>
          </w:tcPr>
          <w:p w14:paraId="2303245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2 843</w:t>
            </w:r>
          </w:p>
        </w:tc>
        <w:tc>
          <w:tcPr>
            <w:tcW w:w="899" w:type="pct"/>
            <w:vMerge w:val="restart"/>
            <w:noWrap/>
            <w:vAlign w:val="center"/>
            <w:hideMark/>
          </w:tcPr>
          <w:p w14:paraId="4A95B6A2"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2 890</w:t>
            </w:r>
          </w:p>
        </w:tc>
        <w:tc>
          <w:tcPr>
            <w:tcW w:w="899" w:type="pct"/>
            <w:noWrap/>
            <w:vAlign w:val="center"/>
            <w:hideMark/>
          </w:tcPr>
          <w:p w14:paraId="6C8C31F3"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408</w:t>
            </w:r>
          </w:p>
        </w:tc>
      </w:tr>
      <w:tr w:rsidR="00DD54E5" w:rsidRPr="00EF26C0" w14:paraId="61E11BFF" w14:textId="77777777" w:rsidTr="00EF26C0">
        <w:trPr>
          <w:trHeight w:val="62"/>
        </w:trPr>
        <w:tc>
          <w:tcPr>
            <w:tcW w:w="1405" w:type="pct"/>
            <w:noWrap/>
            <w:vAlign w:val="center"/>
            <w:hideMark/>
          </w:tcPr>
          <w:p w14:paraId="1A872170"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Nafta+CNG</w:t>
            </w:r>
          </w:p>
        </w:tc>
        <w:tc>
          <w:tcPr>
            <w:tcW w:w="898" w:type="pct"/>
            <w:vMerge/>
            <w:vAlign w:val="center"/>
            <w:hideMark/>
          </w:tcPr>
          <w:p w14:paraId="4D1A7A96" w14:textId="77777777" w:rsidR="00DD54E5" w:rsidRPr="00EF26C0" w:rsidRDefault="00DD54E5" w:rsidP="00EF26C0">
            <w:pPr>
              <w:spacing w:after="0"/>
              <w:ind w:right="101"/>
              <w:jc w:val="right"/>
              <w:rPr>
                <w:rFonts w:cs="Calibri"/>
                <w:sz w:val="20"/>
                <w:szCs w:val="20"/>
                <w:lang w:eastAsia="cs-CZ"/>
              </w:rPr>
            </w:pPr>
          </w:p>
        </w:tc>
        <w:tc>
          <w:tcPr>
            <w:tcW w:w="899" w:type="pct"/>
            <w:vMerge/>
            <w:vAlign w:val="center"/>
            <w:hideMark/>
          </w:tcPr>
          <w:p w14:paraId="0BDDAF7A" w14:textId="77777777" w:rsidR="00DD54E5" w:rsidRPr="00EF26C0" w:rsidRDefault="00DD54E5" w:rsidP="00EF26C0">
            <w:pPr>
              <w:spacing w:after="0"/>
              <w:ind w:right="101"/>
              <w:jc w:val="right"/>
              <w:rPr>
                <w:rFonts w:cs="Calibri"/>
                <w:sz w:val="20"/>
                <w:szCs w:val="20"/>
                <w:lang w:eastAsia="cs-CZ"/>
              </w:rPr>
            </w:pPr>
          </w:p>
        </w:tc>
        <w:tc>
          <w:tcPr>
            <w:tcW w:w="899" w:type="pct"/>
            <w:vMerge/>
            <w:vAlign w:val="center"/>
            <w:hideMark/>
          </w:tcPr>
          <w:p w14:paraId="52A18CC6" w14:textId="77777777" w:rsidR="00DD54E5" w:rsidRPr="00EF26C0" w:rsidRDefault="00DD54E5" w:rsidP="00EF26C0">
            <w:pPr>
              <w:spacing w:after="0"/>
              <w:ind w:right="101"/>
              <w:jc w:val="right"/>
              <w:rPr>
                <w:rFonts w:cs="Calibri"/>
                <w:sz w:val="20"/>
                <w:szCs w:val="20"/>
                <w:lang w:eastAsia="cs-CZ"/>
              </w:rPr>
            </w:pPr>
          </w:p>
        </w:tc>
        <w:tc>
          <w:tcPr>
            <w:tcW w:w="899" w:type="pct"/>
            <w:noWrap/>
            <w:vAlign w:val="center"/>
            <w:hideMark/>
          </w:tcPr>
          <w:p w14:paraId="1AA25D47"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r>
      <w:tr w:rsidR="00DD54E5" w:rsidRPr="00EF26C0" w14:paraId="7D41762D" w14:textId="77777777" w:rsidTr="00EF26C0">
        <w:trPr>
          <w:trHeight w:val="62"/>
        </w:trPr>
        <w:tc>
          <w:tcPr>
            <w:tcW w:w="1405" w:type="pct"/>
            <w:noWrap/>
            <w:vAlign w:val="center"/>
            <w:hideMark/>
          </w:tcPr>
          <w:p w14:paraId="13FBF01D"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Benzín+CNG</w:t>
            </w:r>
          </w:p>
        </w:tc>
        <w:tc>
          <w:tcPr>
            <w:tcW w:w="898" w:type="pct"/>
            <w:vMerge/>
            <w:vAlign w:val="center"/>
            <w:hideMark/>
          </w:tcPr>
          <w:p w14:paraId="43374048" w14:textId="77777777" w:rsidR="00DD54E5" w:rsidRPr="00EF26C0" w:rsidRDefault="00DD54E5" w:rsidP="00EF26C0">
            <w:pPr>
              <w:spacing w:after="0"/>
              <w:ind w:right="101"/>
              <w:jc w:val="right"/>
              <w:rPr>
                <w:rFonts w:cs="Calibri"/>
                <w:sz w:val="20"/>
                <w:szCs w:val="20"/>
                <w:lang w:eastAsia="cs-CZ"/>
              </w:rPr>
            </w:pPr>
          </w:p>
        </w:tc>
        <w:tc>
          <w:tcPr>
            <w:tcW w:w="899" w:type="pct"/>
            <w:vMerge/>
            <w:vAlign w:val="center"/>
            <w:hideMark/>
          </w:tcPr>
          <w:p w14:paraId="39A9E964" w14:textId="77777777" w:rsidR="00DD54E5" w:rsidRPr="00EF26C0" w:rsidRDefault="00DD54E5" w:rsidP="00EF26C0">
            <w:pPr>
              <w:spacing w:after="0"/>
              <w:ind w:right="101"/>
              <w:jc w:val="right"/>
              <w:rPr>
                <w:rFonts w:cs="Calibri"/>
                <w:sz w:val="20"/>
                <w:szCs w:val="20"/>
                <w:lang w:eastAsia="cs-CZ"/>
              </w:rPr>
            </w:pPr>
          </w:p>
        </w:tc>
        <w:tc>
          <w:tcPr>
            <w:tcW w:w="899" w:type="pct"/>
            <w:vMerge/>
            <w:vAlign w:val="center"/>
            <w:hideMark/>
          </w:tcPr>
          <w:p w14:paraId="466B75FF" w14:textId="77777777" w:rsidR="00DD54E5" w:rsidRPr="00EF26C0" w:rsidRDefault="00DD54E5" w:rsidP="00EF26C0">
            <w:pPr>
              <w:spacing w:after="0"/>
              <w:ind w:right="101"/>
              <w:jc w:val="right"/>
              <w:rPr>
                <w:rFonts w:cs="Calibri"/>
                <w:sz w:val="20"/>
                <w:szCs w:val="20"/>
                <w:lang w:eastAsia="cs-CZ"/>
              </w:rPr>
            </w:pPr>
          </w:p>
        </w:tc>
        <w:tc>
          <w:tcPr>
            <w:tcW w:w="899" w:type="pct"/>
            <w:noWrap/>
            <w:vAlign w:val="center"/>
            <w:hideMark/>
          </w:tcPr>
          <w:p w14:paraId="239A9B38"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1 528</w:t>
            </w:r>
          </w:p>
        </w:tc>
      </w:tr>
      <w:tr w:rsidR="00DD54E5" w:rsidRPr="00EF26C0" w14:paraId="641969C9" w14:textId="77777777" w:rsidTr="00EF26C0">
        <w:trPr>
          <w:trHeight w:val="62"/>
        </w:trPr>
        <w:tc>
          <w:tcPr>
            <w:tcW w:w="1405" w:type="pct"/>
            <w:noWrap/>
            <w:vAlign w:val="center"/>
            <w:hideMark/>
          </w:tcPr>
          <w:p w14:paraId="535F9D73"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LPG (Benzín+LPG)</w:t>
            </w:r>
          </w:p>
        </w:tc>
        <w:tc>
          <w:tcPr>
            <w:tcW w:w="898" w:type="pct"/>
            <w:noWrap/>
            <w:vAlign w:val="center"/>
            <w:hideMark/>
          </w:tcPr>
          <w:p w14:paraId="16281D6C"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1 279</w:t>
            </w:r>
          </w:p>
        </w:tc>
        <w:tc>
          <w:tcPr>
            <w:tcW w:w="899" w:type="pct"/>
            <w:noWrap/>
            <w:vAlign w:val="center"/>
            <w:hideMark/>
          </w:tcPr>
          <w:p w14:paraId="1BFD6724"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498</w:t>
            </w:r>
          </w:p>
        </w:tc>
        <w:tc>
          <w:tcPr>
            <w:tcW w:w="899" w:type="pct"/>
            <w:noWrap/>
            <w:vAlign w:val="center"/>
            <w:hideMark/>
          </w:tcPr>
          <w:p w14:paraId="636A9EAD"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1 200</w:t>
            </w:r>
          </w:p>
        </w:tc>
        <w:tc>
          <w:tcPr>
            <w:tcW w:w="899" w:type="pct"/>
            <w:noWrap/>
            <w:vAlign w:val="center"/>
            <w:hideMark/>
          </w:tcPr>
          <w:p w14:paraId="0C564172"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816</w:t>
            </w:r>
          </w:p>
        </w:tc>
      </w:tr>
      <w:tr w:rsidR="00DD54E5" w:rsidRPr="00EF26C0" w14:paraId="34C5237D" w14:textId="77777777" w:rsidTr="00EF26C0">
        <w:trPr>
          <w:trHeight w:val="62"/>
        </w:trPr>
        <w:tc>
          <w:tcPr>
            <w:tcW w:w="1405" w:type="pct"/>
            <w:noWrap/>
            <w:vAlign w:val="center"/>
            <w:hideMark/>
          </w:tcPr>
          <w:p w14:paraId="3DFC26C7"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E85</w:t>
            </w:r>
          </w:p>
        </w:tc>
        <w:tc>
          <w:tcPr>
            <w:tcW w:w="898" w:type="pct"/>
            <w:noWrap/>
            <w:vAlign w:val="center"/>
            <w:hideMark/>
          </w:tcPr>
          <w:p w14:paraId="0D686335"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16</w:t>
            </w:r>
          </w:p>
        </w:tc>
        <w:tc>
          <w:tcPr>
            <w:tcW w:w="899" w:type="pct"/>
            <w:noWrap/>
            <w:vAlign w:val="center"/>
            <w:hideMark/>
          </w:tcPr>
          <w:p w14:paraId="78B2A398"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8</w:t>
            </w:r>
          </w:p>
        </w:tc>
        <w:tc>
          <w:tcPr>
            <w:tcW w:w="899" w:type="pct"/>
            <w:noWrap/>
            <w:vAlign w:val="center"/>
            <w:hideMark/>
          </w:tcPr>
          <w:p w14:paraId="783AF90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c>
          <w:tcPr>
            <w:tcW w:w="899" w:type="pct"/>
            <w:noWrap/>
            <w:vAlign w:val="center"/>
            <w:hideMark/>
          </w:tcPr>
          <w:p w14:paraId="0970504C"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r>
      <w:tr w:rsidR="00DD54E5" w:rsidRPr="00EF26C0" w14:paraId="455FB1FB" w14:textId="77777777" w:rsidTr="00EF26C0">
        <w:trPr>
          <w:trHeight w:val="62"/>
        </w:trPr>
        <w:tc>
          <w:tcPr>
            <w:tcW w:w="1405" w:type="pct"/>
            <w:noWrap/>
            <w:vAlign w:val="center"/>
            <w:hideMark/>
          </w:tcPr>
          <w:p w14:paraId="09EF4EE0"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BioNafta</w:t>
            </w:r>
          </w:p>
        </w:tc>
        <w:tc>
          <w:tcPr>
            <w:tcW w:w="898" w:type="pct"/>
            <w:noWrap/>
            <w:vAlign w:val="center"/>
            <w:hideMark/>
          </w:tcPr>
          <w:p w14:paraId="3CB1A065"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c>
          <w:tcPr>
            <w:tcW w:w="899" w:type="pct"/>
            <w:noWrap/>
            <w:vAlign w:val="center"/>
            <w:hideMark/>
          </w:tcPr>
          <w:p w14:paraId="0563254D"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c>
          <w:tcPr>
            <w:tcW w:w="899" w:type="pct"/>
            <w:noWrap/>
            <w:vAlign w:val="center"/>
            <w:hideMark/>
          </w:tcPr>
          <w:p w14:paraId="479AAFF2"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c>
          <w:tcPr>
            <w:tcW w:w="899" w:type="pct"/>
            <w:noWrap/>
            <w:vAlign w:val="center"/>
            <w:hideMark/>
          </w:tcPr>
          <w:p w14:paraId="145CC0DE"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w:t>
            </w:r>
          </w:p>
        </w:tc>
      </w:tr>
      <w:tr w:rsidR="00DD54E5" w:rsidRPr="00EF26C0" w14:paraId="32317324" w14:textId="77777777" w:rsidTr="00EF26C0">
        <w:trPr>
          <w:trHeight w:val="62"/>
        </w:trPr>
        <w:tc>
          <w:tcPr>
            <w:tcW w:w="1405" w:type="pct"/>
            <w:noWrap/>
            <w:vAlign w:val="center"/>
            <w:hideMark/>
          </w:tcPr>
          <w:p w14:paraId="033BBFE8"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BEV</w:t>
            </w:r>
          </w:p>
        </w:tc>
        <w:tc>
          <w:tcPr>
            <w:tcW w:w="898" w:type="pct"/>
            <w:noWrap/>
            <w:vAlign w:val="center"/>
            <w:hideMark/>
          </w:tcPr>
          <w:p w14:paraId="263DD2F7"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268</w:t>
            </w:r>
          </w:p>
        </w:tc>
        <w:tc>
          <w:tcPr>
            <w:tcW w:w="899" w:type="pct"/>
            <w:noWrap/>
            <w:vAlign w:val="center"/>
            <w:hideMark/>
          </w:tcPr>
          <w:p w14:paraId="2CD3239A"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200</w:t>
            </w:r>
          </w:p>
        </w:tc>
        <w:tc>
          <w:tcPr>
            <w:tcW w:w="899" w:type="pct"/>
            <w:noWrap/>
            <w:vAlign w:val="center"/>
            <w:hideMark/>
          </w:tcPr>
          <w:p w14:paraId="3B099B92"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307</w:t>
            </w:r>
          </w:p>
        </w:tc>
        <w:tc>
          <w:tcPr>
            <w:tcW w:w="899" w:type="pct"/>
            <w:noWrap/>
            <w:vAlign w:val="center"/>
            <w:hideMark/>
          </w:tcPr>
          <w:p w14:paraId="7AA1F498"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618</w:t>
            </w:r>
          </w:p>
        </w:tc>
      </w:tr>
      <w:tr w:rsidR="00DD54E5" w:rsidRPr="00EF26C0" w14:paraId="2F301B97" w14:textId="77777777" w:rsidTr="00EF26C0">
        <w:trPr>
          <w:trHeight w:val="62"/>
        </w:trPr>
        <w:tc>
          <w:tcPr>
            <w:tcW w:w="1405" w:type="pct"/>
            <w:noWrap/>
            <w:vAlign w:val="center"/>
            <w:hideMark/>
          </w:tcPr>
          <w:p w14:paraId="2E1AF2BD"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PHEV</w:t>
            </w:r>
          </w:p>
        </w:tc>
        <w:tc>
          <w:tcPr>
            <w:tcW w:w="898" w:type="pct"/>
            <w:noWrap/>
            <w:vAlign w:val="center"/>
            <w:hideMark/>
          </w:tcPr>
          <w:p w14:paraId="5ADEFB2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1 024</w:t>
            </w:r>
          </w:p>
        </w:tc>
        <w:tc>
          <w:tcPr>
            <w:tcW w:w="899" w:type="pct"/>
            <w:noWrap/>
            <w:vAlign w:val="center"/>
            <w:hideMark/>
          </w:tcPr>
          <w:p w14:paraId="3755CD60"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1 541</w:t>
            </w:r>
          </w:p>
        </w:tc>
        <w:tc>
          <w:tcPr>
            <w:tcW w:w="899" w:type="pct"/>
            <w:noWrap/>
            <w:vAlign w:val="center"/>
            <w:hideMark/>
          </w:tcPr>
          <w:p w14:paraId="71B4BD47"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2 826</w:t>
            </w:r>
          </w:p>
        </w:tc>
        <w:tc>
          <w:tcPr>
            <w:tcW w:w="899" w:type="pct"/>
            <w:noWrap/>
            <w:vAlign w:val="center"/>
            <w:hideMark/>
          </w:tcPr>
          <w:p w14:paraId="3DCE5217"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278</w:t>
            </w:r>
          </w:p>
        </w:tc>
      </w:tr>
      <w:tr w:rsidR="00DD54E5" w:rsidRPr="00EF26C0" w14:paraId="575DDE66" w14:textId="77777777" w:rsidTr="00EF26C0">
        <w:trPr>
          <w:trHeight w:val="62"/>
        </w:trPr>
        <w:tc>
          <w:tcPr>
            <w:tcW w:w="1405" w:type="pct"/>
            <w:noWrap/>
            <w:vAlign w:val="center"/>
            <w:hideMark/>
          </w:tcPr>
          <w:p w14:paraId="639F4486" w14:textId="77777777" w:rsidR="00DD54E5" w:rsidRPr="00EF26C0" w:rsidRDefault="00DD54E5" w:rsidP="00EF26C0">
            <w:pPr>
              <w:spacing w:after="0"/>
              <w:jc w:val="left"/>
              <w:rPr>
                <w:rFonts w:cs="Calibri"/>
                <w:bCs/>
                <w:sz w:val="20"/>
                <w:szCs w:val="20"/>
                <w:lang w:eastAsia="cs-CZ"/>
              </w:rPr>
            </w:pPr>
            <w:r w:rsidRPr="00EF26C0">
              <w:rPr>
                <w:rFonts w:cs="Calibri"/>
                <w:bCs/>
                <w:sz w:val="20"/>
                <w:szCs w:val="20"/>
                <w:lang w:eastAsia="cs-CZ"/>
              </w:rPr>
              <w:t>Ostatní</w:t>
            </w:r>
          </w:p>
        </w:tc>
        <w:tc>
          <w:tcPr>
            <w:tcW w:w="898" w:type="pct"/>
            <w:noWrap/>
            <w:vAlign w:val="center"/>
            <w:hideMark/>
          </w:tcPr>
          <w:p w14:paraId="7014AC42"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2 090</w:t>
            </w:r>
          </w:p>
        </w:tc>
        <w:tc>
          <w:tcPr>
            <w:tcW w:w="899" w:type="pct"/>
            <w:noWrap/>
            <w:vAlign w:val="center"/>
            <w:hideMark/>
          </w:tcPr>
          <w:p w14:paraId="6421492D"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2 337</w:t>
            </w:r>
          </w:p>
        </w:tc>
        <w:tc>
          <w:tcPr>
            <w:tcW w:w="899" w:type="pct"/>
            <w:noWrap/>
            <w:vAlign w:val="center"/>
            <w:hideMark/>
          </w:tcPr>
          <w:p w14:paraId="6C011E15"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2 935</w:t>
            </w:r>
          </w:p>
        </w:tc>
        <w:tc>
          <w:tcPr>
            <w:tcW w:w="899" w:type="pct"/>
            <w:noWrap/>
            <w:vAlign w:val="center"/>
            <w:hideMark/>
          </w:tcPr>
          <w:p w14:paraId="01EC0A90"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3 522</w:t>
            </w:r>
          </w:p>
        </w:tc>
      </w:tr>
      <w:tr w:rsidR="00DD54E5" w:rsidRPr="00EF26C0" w14:paraId="4E752BC7" w14:textId="77777777" w:rsidTr="00EF26C0">
        <w:trPr>
          <w:trHeight w:val="62"/>
        </w:trPr>
        <w:tc>
          <w:tcPr>
            <w:tcW w:w="1405" w:type="pct"/>
            <w:noWrap/>
            <w:vAlign w:val="center"/>
            <w:hideMark/>
          </w:tcPr>
          <w:p w14:paraId="4729CFB7" w14:textId="77777777" w:rsidR="00DD54E5" w:rsidRPr="00EF26C0" w:rsidRDefault="00DD54E5" w:rsidP="00EF26C0">
            <w:pPr>
              <w:spacing w:after="0"/>
              <w:jc w:val="left"/>
              <w:rPr>
                <w:rFonts w:cs="Calibri"/>
                <w:b/>
                <w:bCs/>
                <w:sz w:val="20"/>
                <w:szCs w:val="20"/>
                <w:lang w:eastAsia="cs-CZ"/>
              </w:rPr>
            </w:pPr>
            <w:r w:rsidRPr="00EF26C0">
              <w:rPr>
                <w:rFonts w:cs="Calibri"/>
                <w:b/>
                <w:bCs/>
                <w:sz w:val="20"/>
                <w:szCs w:val="20"/>
                <w:lang w:eastAsia="cs-CZ"/>
              </w:rPr>
              <w:t>Celkem</w:t>
            </w:r>
          </w:p>
        </w:tc>
        <w:tc>
          <w:tcPr>
            <w:tcW w:w="898" w:type="pct"/>
            <w:noWrap/>
            <w:vAlign w:val="center"/>
            <w:hideMark/>
          </w:tcPr>
          <w:p w14:paraId="2A127619"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230 857</w:t>
            </w:r>
          </w:p>
        </w:tc>
        <w:tc>
          <w:tcPr>
            <w:tcW w:w="899" w:type="pct"/>
            <w:noWrap/>
            <w:vAlign w:val="center"/>
            <w:hideMark/>
          </w:tcPr>
          <w:p w14:paraId="2149760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259 693</w:t>
            </w:r>
          </w:p>
        </w:tc>
        <w:tc>
          <w:tcPr>
            <w:tcW w:w="899" w:type="pct"/>
            <w:noWrap/>
            <w:vAlign w:val="center"/>
            <w:hideMark/>
          </w:tcPr>
          <w:p w14:paraId="1A418EF6"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271 595</w:t>
            </w:r>
          </w:p>
        </w:tc>
        <w:tc>
          <w:tcPr>
            <w:tcW w:w="899" w:type="pct"/>
            <w:noWrap/>
            <w:vAlign w:val="center"/>
            <w:hideMark/>
          </w:tcPr>
          <w:p w14:paraId="6016317B" w14:textId="77777777" w:rsidR="00DD54E5" w:rsidRPr="00EF26C0" w:rsidRDefault="00DD54E5" w:rsidP="00EF26C0">
            <w:pPr>
              <w:spacing w:after="0"/>
              <w:ind w:right="101"/>
              <w:jc w:val="right"/>
              <w:rPr>
                <w:rFonts w:cs="Calibri"/>
                <w:sz w:val="20"/>
                <w:szCs w:val="20"/>
                <w:lang w:eastAsia="cs-CZ"/>
              </w:rPr>
            </w:pPr>
            <w:r w:rsidRPr="00EF26C0">
              <w:rPr>
                <w:rFonts w:cs="Calibri"/>
                <w:sz w:val="20"/>
                <w:szCs w:val="20"/>
                <w:lang w:eastAsia="cs-CZ"/>
              </w:rPr>
              <w:t>261 437</w:t>
            </w:r>
          </w:p>
        </w:tc>
      </w:tr>
    </w:tbl>
    <w:p w14:paraId="001D40F2" w14:textId="77777777" w:rsidR="00DA7018" w:rsidRDefault="00DD54E5" w:rsidP="00EF26C0">
      <w:pPr>
        <w:spacing w:before="40" w:after="0"/>
        <w:rPr>
          <w:sz w:val="20"/>
          <w:szCs w:val="20"/>
          <w:lang w:eastAsia="cs-CZ"/>
        </w:rPr>
      </w:pPr>
      <w:r w:rsidRPr="007803A8">
        <w:rPr>
          <w:b/>
          <w:sz w:val="20"/>
          <w:szCs w:val="20"/>
          <w:lang w:eastAsia="cs-CZ"/>
        </w:rPr>
        <w:t>Zdroj:</w:t>
      </w:r>
      <w:r w:rsidRPr="00F47603">
        <w:rPr>
          <w:sz w:val="20"/>
          <w:szCs w:val="20"/>
          <w:lang w:eastAsia="cs-CZ"/>
        </w:rPr>
        <w:t xml:space="preserve"> SDA.</w:t>
      </w:r>
      <w:r w:rsidR="00DA7018" w:rsidRPr="00DA7018">
        <w:rPr>
          <w:sz w:val="20"/>
          <w:szCs w:val="20"/>
          <w:lang w:eastAsia="cs-CZ"/>
        </w:rPr>
        <w:t xml:space="preserve"> </w:t>
      </w:r>
    </w:p>
    <w:p w14:paraId="7D513A9C" w14:textId="77777777" w:rsidR="00DD54E5" w:rsidRDefault="00DD54E5" w:rsidP="00EF26C0">
      <w:pPr>
        <w:spacing w:after="0"/>
        <w:rPr>
          <w:sz w:val="20"/>
          <w:szCs w:val="20"/>
          <w:lang w:eastAsia="cs-CZ"/>
        </w:rPr>
      </w:pPr>
    </w:p>
    <w:p w14:paraId="30426371" w14:textId="44522924" w:rsidR="00DD54E5" w:rsidRDefault="00EF26C0" w:rsidP="00D25C25">
      <w:pPr>
        <w:pStyle w:val="Graf"/>
      </w:pPr>
      <w:r>
        <w:t xml:space="preserve">Graf č. 3: </w:t>
      </w:r>
      <w:r>
        <w:tab/>
      </w:r>
      <w:r w:rsidR="00DD54E5" w:rsidRPr="00CE6B47">
        <w:t>Celková výše vyměřených ochranných opatření prostřednictvím antidumpingového a</w:t>
      </w:r>
      <w:r>
        <w:t> </w:t>
      </w:r>
      <w:r w:rsidR="00DD54E5" w:rsidRPr="00CE6B47">
        <w:t>antisubvenčního cla za dovozy všech výrobků ze třetích zemí za roky 2015</w:t>
      </w:r>
      <w:r w:rsidR="00B06996">
        <w:t>–</w:t>
      </w:r>
      <w:r w:rsidR="00DD54E5" w:rsidRPr="00CE6B47">
        <w:t>2018</w:t>
      </w:r>
    </w:p>
    <w:p w14:paraId="7DEDB625" w14:textId="77777777" w:rsidR="00DD54E5" w:rsidRDefault="00DD54E5" w:rsidP="00DD54E5">
      <w:pPr>
        <w:rPr>
          <w:lang w:eastAsia="cs-CZ"/>
        </w:rPr>
      </w:pPr>
      <w:r>
        <w:rPr>
          <w:noProof/>
          <w:lang w:eastAsia="cs-CZ"/>
        </w:rPr>
        <w:drawing>
          <wp:inline distT="0" distB="0" distL="0" distR="0" wp14:anchorId="27E48B44" wp14:editId="05BF777D">
            <wp:extent cx="5772150" cy="203553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2371B050" w14:textId="6F20CE75" w:rsidR="00DD54E5" w:rsidRDefault="00DD54E5" w:rsidP="00EF26C0">
      <w:pPr>
        <w:spacing w:after="0"/>
        <w:jc w:val="left"/>
        <w:rPr>
          <w:sz w:val="20"/>
          <w:szCs w:val="20"/>
          <w:lang w:eastAsia="cs-CZ"/>
        </w:rPr>
      </w:pPr>
      <w:r w:rsidRPr="007803A8">
        <w:rPr>
          <w:b/>
          <w:sz w:val="20"/>
          <w:szCs w:val="20"/>
          <w:lang w:eastAsia="cs-CZ"/>
        </w:rPr>
        <w:t>Zdroj:</w:t>
      </w:r>
      <w:r w:rsidRPr="007128A5">
        <w:rPr>
          <w:sz w:val="20"/>
          <w:szCs w:val="20"/>
          <w:lang w:eastAsia="cs-CZ"/>
        </w:rPr>
        <w:t xml:space="preserve"> GŘC.</w:t>
      </w:r>
      <w:r>
        <w:rPr>
          <w:sz w:val="20"/>
          <w:szCs w:val="20"/>
          <w:lang w:eastAsia="cs-CZ"/>
        </w:rPr>
        <w:t xml:space="preserve"> </w:t>
      </w:r>
      <w:r w:rsidRPr="00232643">
        <w:rPr>
          <w:sz w:val="20"/>
          <w:szCs w:val="20"/>
          <w:lang w:eastAsia="cs-CZ"/>
        </w:rPr>
        <w:t xml:space="preserve">Kurz </w:t>
      </w:r>
      <w:r w:rsidR="00B06996">
        <w:rPr>
          <w:sz w:val="20"/>
          <w:szCs w:val="20"/>
          <w:lang w:eastAsia="cs-CZ"/>
        </w:rPr>
        <w:t xml:space="preserve">ČNB </w:t>
      </w:r>
      <w:r w:rsidRPr="00232643">
        <w:rPr>
          <w:sz w:val="20"/>
          <w:szCs w:val="20"/>
          <w:lang w:eastAsia="cs-CZ"/>
        </w:rPr>
        <w:t>ke dni 17. 9. 2019</w:t>
      </w:r>
      <w:r w:rsidR="00B06996">
        <w:rPr>
          <w:sz w:val="20"/>
          <w:szCs w:val="20"/>
          <w:lang w:eastAsia="cs-CZ"/>
        </w:rPr>
        <w:t>:</w:t>
      </w:r>
      <w:r w:rsidRPr="00232643">
        <w:rPr>
          <w:sz w:val="20"/>
          <w:szCs w:val="20"/>
          <w:lang w:eastAsia="cs-CZ"/>
        </w:rPr>
        <w:t xml:space="preserve"> 1 </w:t>
      </w:r>
      <w:r w:rsidR="00B06996">
        <w:rPr>
          <w:sz w:val="20"/>
          <w:szCs w:val="20"/>
          <w:lang w:eastAsia="cs-CZ"/>
        </w:rPr>
        <w:t>€</w:t>
      </w:r>
      <w:r w:rsidRPr="00232643">
        <w:rPr>
          <w:sz w:val="20"/>
          <w:szCs w:val="20"/>
          <w:lang w:eastAsia="cs-CZ"/>
        </w:rPr>
        <w:t xml:space="preserve"> = 25,88 Kč.</w:t>
      </w:r>
    </w:p>
    <w:p w14:paraId="5B85C51A" w14:textId="77777777" w:rsidR="00EF26C0" w:rsidRPr="00232643" w:rsidRDefault="00EF26C0" w:rsidP="00EF26C0">
      <w:pPr>
        <w:spacing w:after="0"/>
        <w:jc w:val="left"/>
        <w:rPr>
          <w:sz w:val="20"/>
          <w:szCs w:val="20"/>
          <w:lang w:eastAsia="cs-CZ"/>
        </w:rPr>
      </w:pPr>
    </w:p>
    <w:p w14:paraId="35E760B2" w14:textId="27DF9C29" w:rsidR="00DD54E5" w:rsidRPr="007128A5" w:rsidRDefault="00EF26C0" w:rsidP="00EF26C0">
      <w:pPr>
        <w:pStyle w:val="Tabulka"/>
        <w:numPr>
          <w:ilvl w:val="0"/>
          <w:numId w:val="0"/>
        </w:numPr>
        <w:ind w:left="1446" w:hanging="1446"/>
        <w:rPr>
          <w:lang w:eastAsia="cs-CZ"/>
        </w:rPr>
      </w:pPr>
      <w:r>
        <w:rPr>
          <w:lang w:eastAsia="cs-CZ"/>
        </w:rPr>
        <w:t xml:space="preserve">Tabulka č. 31: </w:t>
      </w:r>
      <w:r>
        <w:rPr>
          <w:lang w:eastAsia="cs-CZ"/>
        </w:rPr>
        <w:tab/>
      </w:r>
      <w:r w:rsidR="00DD54E5" w:rsidRPr="0037509E">
        <w:rPr>
          <w:lang w:eastAsia="cs-CZ"/>
        </w:rPr>
        <w:t>Celková výše AD a AS cla za dovoz fotovoltaických článků a biopaliv za roky 2015</w:t>
      </w:r>
      <w:r w:rsidR="00B06996">
        <w:rPr>
          <w:lang w:eastAsia="cs-CZ"/>
        </w:rPr>
        <w:t>–</w:t>
      </w:r>
      <w:r w:rsidR="00DD54E5" w:rsidRPr="0037509E">
        <w:rPr>
          <w:lang w:eastAsia="cs-CZ"/>
        </w:rPr>
        <w:t>2018</w:t>
      </w:r>
    </w:p>
    <w:tbl>
      <w:tblPr>
        <w:tblStyle w:val="Mkatabulky"/>
        <w:tblW w:w="0" w:type="auto"/>
        <w:tblLook w:val="04A0" w:firstRow="1" w:lastRow="0" w:firstColumn="1" w:lastColumn="0" w:noHBand="0" w:noVBand="1"/>
      </w:tblPr>
      <w:tblGrid>
        <w:gridCol w:w="2256"/>
        <w:gridCol w:w="1701"/>
        <w:gridCol w:w="1701"/>
        <w:gridCol w:w="1701"/>
        <w:gridCol w:w="1701"/>
      </w:tblGrid>
      <w:tr w:rsidR="00DD54E5" w14:paraId="0D529134" w14:textId="77777777" w:rsidTr="00EF26C0">
        <w:trPr>
          <w:trHeight w:val="227"/>
        </w:trPr>
        <w:tc>
          <w:tcPr>
            <w:tcW w:w="2636" w:type="dxa"/>
            <w:shd w:val="clear" w:color="auto" w:fill="E5F1FF"/>
            <w:noWrap/>
            <w:hideMark/>
          </w:tcPr>
          <w:p w14:paraId="087555DF" w14:textId="77777777" w:rsidR="00DD54E5" w:rsidRPr="0037509E" w:rsidRDefault="00DD54E5" w:rsidP="00EF26C0">
            <w:pPr>
              <w:spacing w:after="0"/>
              <w:jc w:val="center"/>
              <w:rPr>
                <w:b/>
                <w:sz w:val="20"/>
                <w:szCs w:val="20"/>
                <w:lang w:eastAsia="cs-CZ"/>
              </w:rPr>
            </w:pPr>
            <w:r w:rsidRPr="0037509E">
              <w:rPr>
                <w:b/>
                <w:sz w:val="20"/>
                <w:szCs w:val="20"/>
                <w:lang w:eastAsia="cs-CZ"/>
              </w:rPr>
              <w:t>Rok</w:t>
            </w:r>
          </w:p>
        </w:tc>
        <w:tc>
          <w:tcPr>
            <w:tcW w:w="1976" w:type="dxa"/>
            <w:shd w:val="clear" w:color="auto" w:fill="E5F1FF"/>
            <w:noWrap/>
            <w:vAlign w:val="center"/>
            <w:hideMark/>
          </w:tcPr>
          <w:p w14:paraId="186C1140" w14:textId="77777777" w:rsidR="00DD54E5" w:rsidRPr="0037509E" w:rsidRDefault="00DD54E5" w:rsidP="00EF26C0">
            <w:pPr>
              <w:spacing w:after="0"/>
              <w:jc w:val="center"/>
              <w:rPr>
                <w:b/>
                <w:bCs/>
                <w:sz w:val="20"/>
                <w:szCs w:val="20"/>
                <w:lang w:eastAsia="cs-CZ"/>
              </w:rPr>
            </w:pPr>
            <w:r w:rsidRPr="0037509E">
              <w:rPr>
                <w:b/>
                <w:bCs/>
                <w:sz w:val="20"/>
                <w:szCs w:val="20"/>
                <w:lang w:eastAsia="cs-CZ"/>
              </w:rPr>
              <w:t>2015</w:t>
            </w:r>
          </w:p>
        </w:tc>
        <w:tc>
          <w:tcPr>
            <w:tcW w:w="1976" w:type="dxa"/>
            <w:shd w:val="clear" w:color="auto" w:fill="E5F1FF"/>
            <w:noWrap/>
            <w:vAlign w:val="center"/>
            <w:hideMark/>
          </w:tcPr>
          <w:p w14:paraId="04DE7170" w14:textId="77777777" w:rsidR="00DD54E5" w:rsidRPr="0037509E" w:rsidRDefault="00DD54E5" w:rsidP="00EF26C0">
            <w:pPr>
              <w:spacing w:after="0"/>
              <w:jc w:val="center"/>
              <w:rPr>
                <w:b/>
                <w:bCs/>
                <w:sz w:val="20"/>
                <w:szCs w:val="20"/>
                <w:lang w:eastAsia="cs-CZ"/>
              </w:rPr>
            </w:pPr>
            <w:r w:rsidRPr="0037509E">
              <w:rPr>
                <w:b/>
                <w:bCs/>
                <w:sz w:val="20"/>
                <w:szCs w:val="20"/>
                <w:lang w:eastAsia="cs-CZ"/>
              </w:rPr>
              <w:t>2016</w:t>
            </w:r>
          </w:p>
        </w:tc>
        <w:tc>
          <w:tcPr>
            <w:tcW w:w="1976" w:type="dxa"/>
            <w:shd w:val="clear" w:color="auto" w:fill="E5F1FF"/>
            <w:noWrap/>
            <w:vAlign w:val="center"/>
            <w:hideMark/>
          </w:tcPr>
          <w:p w14:paraId="64B2771B" w14:textId="77777777" w:rsidR="00DD54E5" w:rsidRPr="0037509E" w:rsidRDefault="00DD54E5" w:rsidP="00EF26C0">
            <w:pPr>
              <w:spacing w:after="0"/>
              <w:jc w:val="center"/>
              <w:rPr>
                <w:b/>
                <w:bCs/>
                <w:sz w:val="20"/>
                <w:szCs w:val="20"/>
                <w:lang w:eastAsia="cs-CZ"/>
              </w:rPr>
            </w:pPr>
            <w:r w:rsidRPr="0037509E">
              <w:rPr>
                <w:b/>
                <w:bCs/>
                <w:sz w:val="20"/>
                <w:szCs w:val="20"/>
                <w:lang w:eastAsia="cs-CZ"/>
              </w:rPr>
              <w:t>2017</w:t>
            </w:r>
          </w:p>
        </w:tc>
        <w:tc>
          <w:tcPr>
            <w:tcW w:w="1976" w:type="dxa"/>
            <w:shd w:val="clear" w:color="auto" w:fill="E5F1FF"/>
            <w:noWrap/>
            <w:vAlign w:val="center"/>
            <w:hideMark/>
          </w:tcPr>
          <w:p w14:paraId="2D902119" w14:textId="77777777" w:rsidR="00DD54E5" w:rsidRPr="0037509E" w:rsidRDefault="00DD54E5" w:rsidP="00EF26C0">
            <w:pPr>
              <w:spacing w:after="0"/>
              <w:jc w:val="center"/>
              <w:rPr>
                <w:b/>
                <w:bCs/>
                <w:sz w:val="20"/>
                <w:szCs w:val="20"/>
                <w:lang w:eastAsia="cs-CZ"/>
              </w:rPr>
            </w:pPr>
            <w:r w:rsidRPr="0037509E">
              <w:rPr>
                <w:b/>
                <w:bCs/>
                <w:sz w:val="20"/>
                <w:szCs w:val="20"/>
                <w:lang w:eastAsia="cs-CZ"/>
              </w:rPr>
              <w:t>2018</w:t>
            </w:r>
          </w:p>
        </w:tc>
      </w:tr>
      <w:tr w:rsidR="00DD54E5" w14:paraId="3C3422A3" w14:textId="77777777" w:rsidTr="00EF26C0">
        <w:trPr>
          <w:trHeight w:val="227"/>
        </w:trPr>
        <w:tc>
          <w:tcPr>
            <w:tcW w:w="2636" w:type="dxa"/>
            <w:noWrap/>
            <w:hideMark/>
          </w:tcPr>
          <w:p w14:paraId="3399388E" w14:textId="77777777" w:rsidR="00DD54E5" w:rsidRPr="0037509E" w:rsidRDefault="00DD54E5" w:rsidP="00EF26C0">
            <w:pPr>
              <w:spacing w:after="0"/>
              <w:rPr>
                <w:bCs/>
                <w:sz w:val="20"/>
                <w:szCs w:val="20"/>
                <w:lang w:eastAsia="cs-CZ"/>
              </w:rPr>
            </w:pPr>
            <w:r w:rsidRPr="0037509E">
              <w:rPr>
                <w:bCs/>
                <w:sz w:val="20"/>
                <w:szCs w:val="20"/>
                <w:lang w:eastAsia="cs-CZ"/>
              </w:rPr>
              <w:t>AD a AS clo na FVE</w:t>
            </w:r>
          </w:p>
        </w:tc>
        <w:tc>
          <w:tcPr>
            <w:tcW w:w="1976" w:type="dxa"/>
            <w:noWrap/>
            <w:vAlign w:val="center"/>
            <w:hideMark/>
          </w:tcPr>
          <w:p w14:paraId="181B7010" w14:textId="77777777" w:rsidR="00DD54E5" w:rsidRPr="0037509E" w:rsidRDefault="00DD54E5" w:rsidP="00EF26C0">
            <w:pPr>
              <w:spacing w:after="0"/>
              <w:jc w:val="right"/>
              <w:rPr>
                <w:sz w:val="20"/>
                <w:szCs w:val="20"/>
                <w:lang w:eastAsia="cs-CZ"/>
              </w:rPr>
            </w:pPr>
            <w:r w:rsidRPr="0037509E">
              <w:rPr>
                <w:sz w:val="20"/>
                <w:szCs w:val="20"/>
                <w:lang w:eastAsia="cs-CZ"/>
              </w:rPr>
              <w:t>1 095 087,21</w:t>
            </w:r>
          </w:p>
        </w:tc>
        <w:tc>
          <w:tcPr>
            <w:tcW w:w="1976" w:type="dxa"/>
            <w:noWrap/>
            <w:vAlign w:val="center"/>
            <w:hideMark/>
          </w:tcPr>
          <w:p w14:paraId="6FA6CC6F" w14:textId="77777777" w:rsidR="00DD54E5" w:rsidRPr="0037509E" w:rsidRDefault="00DD54E5" w:rsidP="00EF26C0">
            <w:pPr>
              <w:spacing w:after="0"/>
              <w:jc w:val="right"/>
              <w:rPr>
                <w:sz w:val="20"/>
                <w:szCs w:val="20"/>
                <w:lang w:eastAsia="cs-CZ"/>
              </w:rPr>
            </w:pPr>
            <w:r w:rsidRPr="0037509E">
              <w:rPr>
                <w:sz w:val="20"/>
                <w:szCs w:val="20"/>
                <w:lang w:eastAsia="cs-CZ"/>
              </w:rPr>
              <w:t>570 580,29</w:t>
            </w:r>
          </w:p>
        </w:tc>
        <w:tc>
          <w:tcPr>
            <w:tcW w:w="1976" w:type="dxa"/>
            <w:noWrap/>
            <w:vAlign w:val="center"/>
            <w:hideMark/>
          </w:tcPr>
          <w:p w14:paraId="6CFDA81F" w14:textId="77777777" w:rsidR="00DD54E5" w:rsidRPr="0037509E" w:rsidRDefault="00DD54E5" w:rsidP="00EF26C0">
            <w:pPr>
              <w:spacing w:after="0"/>
              <w:jc w:val="right"/>
              <w:rPr>
                <w:sz w:val="20"/>
                <w:szCs w:val="20"/>
                <w:lang w:eastAsia="cs-CZ"/>
              </w:rPr>
            </w:pPr>
            <w:r w:rsidRPr="0037509E">
              <w:rPr>
                <w:sz w:val="20"/>
                <w:szCs w:val="20"/>
                <w:lang w:eastAsia="cs-CZ"/>
              </w:rPr>
              <w:t>596 393,62</w:t>
            </w:r>
          </w:p>
        </w:tc>
        <w:tc>
          <w:tcPr>
            <w:tcW w:w="1976" w:type="dxa"/>
            <w:noWrap/>
            <w:vAlign w:val="center"/>
            <w:hideMark/>
          </w:tcPr>
          <w:p w14:paraId="5A279962" w14:textId="77777777" w:rsidR="00DD54E5" w:rsidRPr="0037509E" w:rsidRDefault="00DD54E5" w:rsidP="00EF26C0">
            <w:pPr>
              <w:spacing w:after="0"/>
              <w:jc w:val="right"/>
              <w:rPr>
                <w:sz w:val="20"/>
                <w:szCs w:val="20"/>
                <w:lang w:eastAsia="cs-CZ"/>
              </w:rPr>
            </w:pPr>
            <w:r w:rsidRPr="0037509E">
              <w:rPr>
                <w:sz w:val="20"/>
                <w:szCs w:val="20"/>
                <w:lang w:eastAsia="cs-CZ"/>
              </w:rPr>
              <w:t>47 246,29</w:t>
            </w:r>
          </w:p>
        </w:tc>
      </w:tr>
      <w:tr w:rsidR="00DD54E5" w14:paraId="2EE4D9EF" w14:textId="77777777" w:rsidTr="00EF26C0">
        <w:trPr>
          <w:trHeight w:val="227"/>
        </w:trPr>
        <w:tc>
          <w:tcPr>
            <w:tcW w:w="2636" w:type="dxa"/>
            <w:noWrap/>
            <w:hideMark/>
          </w:tcPr>
          <w:p w14:paraId="37219F7B" w14:textId="77777777" w:rsidR="00DD54E5" w:rsidRPr="0037509E" w:rsidRDefault="00DD54E5" w:rsidP="00EF26C0">
            <w:pPr>
              <w:spacing w:after="0"/>
              <w:rPr>
                <w:bCs/>
                <w:sz w:val="20"/>
                <w:szCs w:val="20"/>
                <w:lang w:eastAsia="cs-CZ"/>
              </w:rPr>
            </w:pPr>
            <w:r w:rsidRPr="0037509E">
              <w:rPr>
                <w:bCs/>
                <w:sz w:val="20"/>
                <w:szCs w:val="20"/>
                <w:lang w:eastAsia="cs-CZ"/>
              </w:rPr>
              <w:t>AD a AS clo na biopaliva</w:t>
            </w:r>
          </w:p>
        </w:tc>
        <w:tc>
          <w:tcPr>
            <w:tcW w:w="1976" w:type="dxa"/>
            <w:noWrap/>
            <w:vAlign w:val="center"/>
            <w:hideMark/>
          </w:tcPr>
          <w:p w14:paraId="1FF00A7A" w14:textId="77777777" w:rsidR="00DD54E5" w:rsidRPr="0037509E" w:rsidRDefault="00DD54E5" w:rsidP="00EF26C0">
            <w:pPr>
              <w:spacing w:after="0"/>
              <w:jc w:val="right"/>
              <w:rPr>
                <w:sz w:val="20"/>
                <w:szCs w:val="20"/>
                <w:lang w:eastAsia="cs-CZ"/>
              </w:rPr>
            </w:pPr>
            <w:r w:rsidRPr="0037509E">
              <w:rPr>
                <w:sz w:val="20"/>
                <w:szCs w:val="20"/>
                <w:lang w:eastAsia="cs-CZ"/>
              </w:rPr>
              <w:t>0,00</w:t>
            </w:r>
          </w:p>
        </w:tc>
        <w:tc>
          <w:tcPr>
            <w:tcW w:w="1976" w:type="dxa"/>
            <w:noWrap/>
            <w:vAlign w:val="center"/>
            <w:hideMark/>
          </w:tcPr>
          <w:p w14:paraId="56CEA729" w14:textId="77777777" w:rsidR="00DD54E5" w:rsidRPr="0037509E" w:rsidRDefault="00DD54E5" w:rsidP="00EF26C0">
            <w:pPr>
              <w:spacing w:after="0"/>
              <w:jc w:val="right"/>
              <w:rPr>
                <w:sz w:val="20"/>
                <w:szCs w:val="20"/>
                <w:lang w:eastAsia="cs-CZ"/>
              </w:rPr>
            </w:pPr>
            <w:r w:rsidRPr="0037509E">
              <w:rPr>
                <w:sz w:val="20"/>
                <w:szCs w:val="20"/>
                <w:lang w:eastAsia="cs-CZ"/>
              </w:rPr>
              <w:t>0,00</w:t>
            </w:r>
          </w:p>
        </w:tc>
        <w:tc>
          <w:tcPr>
            <w:tcW w:w="1976" w:type="dxa"/>
            <w:noWrap/>
            <w:vAlign w:val="center"/>
            <w:hideMark/>
          </w:tcPr>
          <w:p w14:paraId="50EFBC9D" w14:textId="77777777" w:rsidR="00DD54E5" w:rsidRPr="0037509E" w:rsidRDefault="00DD54E5" w:rsidP="00EF26C0">
            <w:pPr>
              <w:spacing w:after="0"/>
              <w:jc w:val="right"/>
              <w:rPr>
                <w:sz w:val="20"/>
                <w:szCs w:val="20"/>
                <w:lang w:eastAsia="cs-CZ"/>
              </w:rPr>
            </w:pPr>
            <w:r w:rsidRPr="0037509E">
              <w:rPr>
                <w:sz w:val="20"/>
                <w:szCs w:val="20"/>
                <w:lang w:eastAsia="cs-CZ"/>
              </w:rPr>
              <w:t>0,00</w:t>
            </w:r>
          </w:p>
        </w:tc>
        <w:tc>
          <w:tcPr>
            <w:tcW w:w="1976" w:type="dxa"/>
            <w:noWrap/>
            <w:vAlign w:val="center"/>
            <w:hideMark/>
          </w:tcPr>
          <w:p w14:paraId="1823C262" w14:textId="77777777" w:rsidR="00DD54E5" w:rsidRPr="0037509E" w:rsidRDefault="00DD54E5" w:rsidP="00EF26C0">
            <w:pPr>
              <w:spacing w:after="0"/>
              <w:jc w:val="right"/>
              <w:rPr>
                <w:sz w:val="20"/>
                <w:szCs w:val="20"/>
                <w:lang w:eastAsia="cs-CZ"/>
              </w:rPr>
            </w:pPr>
            <w:r w:rsidRPr="0037509E">
              <w:rPr>
                <w:sz w:val="20"/>
                <w:szCs w:val="20"/>
                <w:lang w:eastAsia="cs-CZ"/>
              </w:rPr>
              <w:t>0,00</w:t>
            </w:r>
          </w:p>
        </w:tc>
      </w:tr>
    </w:tbl>
    <w:p w14:paraId="1C895F5F" w14:textId="45B90C80" w:rsidR="00DD54E5" w:rsidRDefault="00DD54E5" w:rsidP="00EF26C0">
      <w:pPr>
        <w:spacing w:before="40" w:after="0"/>
      </w:pPr>
      <w:r w:rsidRPr="007803A8">
        <w:rPr>
          <w:b/>
          <w:sz w:val="20"/>
          <w:szCs w:val="20"/>
          <w:lang w:eastAsia="cs-CZ"/>
        </w:rPr>
        <w:t>Zdroj:</w:t>
      </w:r>
      <w:r w:rsidRPr="0037509E">
        <w:rPr>
          <w:sz w:val="20"/>
          <w:szCs w:val="20"/>
          <w:lang w:eastAsia="cs-CZ"/>
        </w:rPr>
        <w:t xml:space="preserve"> GŘC. Kurz </w:t>
      </w:r>
      <w:r w:rsidR="00B06996">
        <w:rPr>
          <w:sz w:val="20"/>
          <w:szCs w:val="20"/>
          <w:lang w:eastAsia="cs-CZ"/>
        </w:rPr>
        <w:t xml:space="preserve">ČNB </w:t>
      </w:r>
      <w:r w:rsidRPr="0037509E">
        <w:rPr>
          <w:sz w:val="20"/>
          <w:szCs w:val="20"/>
          <w:lang w:eastAsia="cs-CZ"/>
        </w:rPr>
        <w:t>ke dni 17. 9. 2019</w:t>
      </w:r>
      <w:r w:rsidR="00B06996">
        <w:rPr>
          <w:sz w:val="20"/>
          <w:szCs w:val="20"/>
          <w:lang w:eastAsia="cs-CZ"/>
        </w:rPr>
        <w:t>:</w:t>
      </w:r>
      <w:r w:rsidRPr="0037509E">
        <w:rPr>
          <w:sz w:val="20"/>
          <w:szCs w:val="20"/>
          <w:lang w:eastAsia="cs-CZ"/>
        </w:rPr>
        <w:t xml:space="preserve"> 1 </w:t>
      </w:r>
      <w:r w:rsidR="00B06996">
        <w:rPr>
          <w:sz w:val="20"/>
          <w:szCs w:val="20"/>
          <w:lang w:eastAsia="cs-CZ"/>
        </w:rPr>
        <w:t>€</w:t>
      </w:r>
      <w:r w:rsidRPr="0037509E">
        <w:rPr>
          <w:sz w:val="20"/>
          <w:szCs w:val="20"/>
          <w:lang w:eastAsia="cs-CZ"/>
        </w:rPr>
        <w:t xml:space="preserve"> = 25,88 Kč. AD – antidumping</w:t>
      </w:r>
      <w:r>
        <w:rPr>
          <w:sz w:val="20"/>
          <w:szCs w:val="20"/>
          <w:lang w:eastAsia="cs-CZ"/>
        </w:rPr>
        <w:t>ové</w:t>
      </w:r>
      <w:r w:rsidRPr="0037509E">
        <w:rPr>
          <w:sz w:val="20"/>
          <w:szCs w:val="20"/>
          <w:lang w:eastAsia="cs-CZ"/>
        </w:rPr>
        <w:t>, AS –</w:t>
      </w:r>
      <w:r>
        <w:rPr>
          <w:sz w:val="20"/>
          <w:szCs w:val="20"/>
          <w:lang w:eastAsia="cs-CZ"/>
        </w:rPr>
        <w:t xml:space="preserve"> antisubvenční</w:t>
      </w:r>
      <w:r w:rsidRPr="0037509E">
        <w:rPr>
          <w:sz w:val="20"/>
          <w:szCs w:val="20"/>
          <w:lang w:eastAsia="cs-CZ"/>
        </w:rPr>
        <w:t>.</w:t>
      </w:r>
    </w:p>
    <w:sectPr w:rsidR="00DD54E5" w:rsidSect="00703609">
      <w:headerReference w:type="first" r:id="rId82"/>
      <w:endnotePr>
        <w:numFmt w:val="decimal"/>
      </w:endnotePr>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F3C0" w14:textId="77777777" w:rsidR="008034B0" w:rsidRDefault="008034B0">
      <w:pPr>
        <w:spacing w:after="0"/>
      </w:pPr>
      <w:r>
        <w:separator/>
      </w:r>
    </w:p>
  </w:endnote>
  <w:endnote w:type="continuationSeparator" w:id="0">
    <w:p w14:paraId="0A049A11" w14:textId="77777777" w:rsidR="008034B0" w:rsidRDefault="008034B0">
      <w:pPr>
        <w:spacing w:after="0"/>
      </w:pPr>
      <w:r>
        <w:continuationSeparator/>
      </w:r>
    </w:p>
  </w:endnote>
  <w:endnote w:type="continuationNotice" w:id="1">
    <w:p w14:paraId="664C353D" w14:textId="77777777" w:rsidR="008034B0" w:rsidRDefault="008034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97D2" w14:textId="77777777" w:rsidR="008034B0" w:rsidRDefault="008034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CF50C3B" w14:textId="77777777" w:rsidR="008034B0" w:rsidRDefault="008034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03714"/>
      <w:docPartObj>
        <w:docPartGallery w:val="Page Numbers (Bottom of Page)"/>
        <w:docPartUnique/>
      </w:docPartObj>
    </w:sdtPr>
    <w:sdtEndPr>
      <w:rPr>
        <w:rFonts w:ascii="Calibri" w:hAnsi="Calibri" w:cs="Calibri"/>
      </w:rPr>
    </w:sdtEndPr>
    <w:sdtContent>
      <w:p w14:paraId="1A85C2DC" w14:textId="6B1C9DEA" w:rsidR="008034B0" w:rsidRPr="00DA1ECF" w:rsidRDefault="008034B0" w:rsidP="00DA1ECF">
        <w:pPr>
          <w:pStyle w:val="Zpat"/>
          <w:jc w:val="center"/>
          <w:rPr>
            <w:rFonts w:ascii="Calibri" w:hAnsi="Calibri" w:cs="Calibri"/>
          </w:rPr>
        </w:pPr>
        <w:r w:rsidRPr="00DA1ECF">
          <w:rPr>
            <w:rFonts w:ascii="Calibri" w:hAnsi="Calibri" w:cs="Calibri"/>
          </w:rPr>
          <w:fldChar w:fldCharType="begin"/>
        </w:r>
        <w:r w:rsidRPr="00DA1ECF">
          <w:rPr>
            <w:rFonts w:ascii="Calibri" w:hAnsi="Calibri" w:cs="Calibri"/>
          </w:rPr>
          <w:instrText>PAGE   \* MERGEFORMAT</w:instrText>
        </w:r>
        <w:r w:rsidRPr="00DA1ECF">
          <w:rPr>
            <w:rFonts w:ascii="Calibri" w:hAnsi="Calibri" w:cs="Calibri"/>
          </w:rPr>
          <w:fldChar w:fldCharType="separate"/>
        </w:r>
        <w:r w:rsidR="006D34AF" w:rsidRPr="006D34AF">
          <w:rPr>
            <w:rFonts w:ascii="Calibri" w:hAnsi="Calibri" w:cs="Calibri"/>
            <w:noProof/>
            <w:lang w:val="cs-CZ"/>
          </w:rPr>
          <w:t>2</w:t>
        </w:r>
        <w:r w:rsidRPr="00DA1ECF">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614" w14:textId="77777777" w:rsidR="008034B0" w:rsidRDefault="008034B0" w:rsidP="009155A4">
      <w:pPr>
        <w:spacing w:after="0"/>
      </w:pPr>
      <w:r>
        <w:separator/>
      </w:r>
    </w:p>
  </w:footnote>
  <w:footnote w:type="continuationSeparator" w:id="0">
    <w:p w14:paraId="55FA8382" w14:textId="77777777" w:rsidR="008034B0" w:rsidRDefault="008034B0" w:rsidP="009155A4">
      <w:pPr>
        <w:spacing w:after="0"/>
      </w:pPr>
      <w:r>
        <w:continuationSeparator/>
      </w:r>
    </w:p>
  </w:footnote>
  <w:footnote w:type="continuationNotice" w:id="1">
    <w:p w14:paraId="7D3244A0" w14:textId="77777777" w:rsidR="008034B0" w:rsidRDefault="008034B0">
      <w:pPr>
        <w:spacing w:after="0"/>
      </w:pPr>
    </w:p>
  </w:footnote>
  <w:footnote w:id="2">
    <w:p w14:paraId="5CFEC9C7" w14:textId="77777777" w:rsidR="008034B0" w:rsidRPr="00632E37" w:rsidRDefault="008034B0" w:rsidP="00632E37">
      <w:pPr>
        <w:pStyle w:val="Textpoznpodarou"/>
        <w:ind w:left="284" w:hanging="284"/>
      </w:pPr>
      <w:r w:rsidRPr="00632E37">
        <w:rPr>
          <w:rStyle w:val="Znakapoznpodarou"/>
        </w:rPr>
        <w:footnoteRef/>
      </w:r>
      <w:r w:rsidRPr="00632E37">
        <w:t xml:space="preserve"> </w:t>
      </w:r>
      <w:r>
        <w:tab/>
      </w:r>
      <w:r w:rsidRPr="00632E37">
        <w:t>Uhlíková cenová mezera udává rozdíl mezi referenční hodnotou (30 eur/t CO</w:t>
      </w:r>
      <w:r w:rsidRPr="00632E37">
        <w:rPr>
          <w:vertAlign w:val="subscript"/>
        </w:rPr>
        <w:t>2</w:t>
      </w:r>
      <w:r w:rsidRPr="00632E37">
        <w:t>) a skutečnou efektivní sazbou uhlíkové daně a určuje schopnost této daně pokrýt náklady na odstranění následků znečištění CO</w:t>
      </w:r>
      <w:r w:rsidRPr="00632E37">
        <w:rPr>
          <w:vertAlign w:val="subscript"/>
        </w:rPr>
        <w:t>2</w:t>
      </w:r>
      <w:r w:rsidRPr="00632E37">
        <w:t xml:space="preserve">. </w:t>
      </w:r>
      <w:r w:rsidRPr="00AF08BF">
        <w:t xml:space="preserve">Zdroj: </w:t>
      </w:r>
      <w:r w:rsidRPr="00344B39">
        <w:rPr>
          <w:i/>
        </w:rPr>
        <w:t>Effective Carbon Rates 2018 – Pricing Carbon Emissinos Through Taxes and Emissions Trading</w:t>
      </w:r>
      <w:r w:rsidRPr="00632E37">
        <w:t>, OECD.</w:t>
      </w:r>
    </w:p>
  </w:footnote>
  <w:footnote w:id="3">
    <w:p w14:paraId="358FAD16" w14:textId="77777777" w:rsidR="008034B0" w:rsidRPr="00632E37" w:rsidRDefault="008034B0" w:rsidP="00632E37">
      <w:pPr>
        <w:spacing w:after="0"/>
        <w:ind w:left="284" w:right="-426" w:hanging="284"/>
        <w:jc w:val="left"/>
        <w:rPr>
          <w:sz w:val="20"/>
          <w:szCs w:val="20"/>
        </w:rPr>
      </w:pPr>
      <w:r w:rsidRPr="00632E37">
        <w:rPr>
          <w:rStyle w:val="Znakapoznpodarou"/>
          <w:sz w:val="20"/>
          <w:szCs w:val="20"/>
        </w:rPr>
        <w:footnoteRef/>
      </w:r>
      <w:r w:rsidRPr="00632E37">
        <w:rPr>
          <w:sz w:val="20"/>
          <w:szCs w:val="20"/>
        </w:rPr>
        <w:t xml:space="preserve"> </w:t>
      </w:r>
      <w:r>
        <w:rPr>
          <w:sz w:val="20"/>
          <w:szCs w:val="20"/>
        </w:rPr>
        <w:tab/>
      </w:r>
      <w:r w:rsidRPr="00AF08BF">
        <w:rPr>
          <w:sz w:val="20"/>
          <w:szCs w:val="20"/>
        </w:rPr>
        <w:t>Zdroj:</w:t>
      </w:r>
      <w:r w:rsidRPr="00632E37">
        <w:rPr>
          <w:sz w:val="20"/>
          <w:szCs w:val="20"/>
        </w:rPr>
        <w:t xml:space="preserve"> </w:t>
      </w:r>
      <w:hyperlink r:id="rId1" w:history="1">
        <w:r w:rsidRPr="00632E37">
          <w:rPr>
            <w:rStyle w:val="Hypertextovodkaz"/>
            <w:sz w:val="20"/>
            <w:szCs w:val="20"/>
            <w:u w:val="none"/>
          </w:rPr>
          <w:t>http://scitani2016.rsd.cz/pages/informations/default.aspx</w:t>
        </w:r>
      </w:hyperlink>
      <w:r w:rsidRPr="00632E37">
        <w:rPr>
          <w:sz w:val="20"/>
          <w:szCs w:val="20"/>
        </w:rPr>
        <w:t xml:space="preserve">, </w:t>
      </w:r>
      <w:hyperlink r:id="rId2" w:history="1">
        <w:r w:rsidRPr="00632E37">
          <w:rPr>
            <w:rStyle w:val="Hypertextovodkaz"/>
            <w:sz w:val="20"/>
            <w:szCs w:val="20"/>
            <w:u w:val="none"/>
          </w:rPr>
          <w:t>http://scitani2010.rsd.cz/pages/informations/default.aspx</w:t>
        </w:r>
      </w:hyperlink>
      <w:r w:rsidRPr="00632E37">
        <w:rPr>
          <w:sz w:val="20"/>
          <w:szCs w:val="20"/>
        </w:rPr>
        <w:t>.</w:t>
      </w:r>
    </w:p>
  </w:footnote>
  <w:footnote w:id="4">
    <w:p w14:paraId="63EFFE01" w14:textId="77777777" w:rsidR="008034B0" w:rsidRDefault="008034B0" w:rsidP="00DA1ECF">
      <w:pPr>
        <w:pStyle w:val="Textpoznpodarou"/>
        <w:ind w:left="284" w:hanging="284"/>
      </w:pPr>
      <w:r>
        <w:rPr>
          <w:rStyle w:val="Znakapoznpodarou"/>
        </w:rPr>
        <w:footnoteRef/>
      </w:r>
      <w:r>
        <w:t xml:space="preserve"> </w:t>
      </w:r>
      <w:r>
        <w:tab/>
      </w:r>
      <w:r w:rsidRPr="00AF08BF">
        <w:t xml:space="preserve">Zdroj: </w:t>
      </w:r>
      <w:r w:rsidRPr="00344B39">
        <w:rPr>
          <w:i/>
        </w:rPr>
        <w:t>Národní akční plán čisté mobility</w:t>
      </w:r>
      <w:r>
        <w:t xml:space="preserve"> (dále také „NAP CM“) – přijatý usnesením vlády ČR ze dne 20. listopadu 2015</w:t>
      </w:r>
      <w:r w:rsidRPr="00916AF6">
        <w:t xml:space="preserve"> </w:t>
      </w:r>
      <w:r>
        <w:t xml:space="preserve">č. 941.  </w:t>
      </w:r>
    </w:p>
  </w:footnote>
  <w:footnote w:id="5">
    <w:p w14:paraId="08F0647A" w14:textId="77777777" w:rsidR="008034B0" w:rsidRDefault="008034B0" w:rsidP="00DA1ECF">
      <w:pPr>
        <w:pStyle w:val="Textpoznpodarou"/>
        <w:ind w:left="284" w:hanging="284"/>
      </w:pPr>
      <w:r>
        <w:rPr>
          <w:rStyle w:val="Znakapoznpodarou"/>
        </w:rPr>
        <w:footnoteRef/>
      </w:r>
      <w:r>
        <w:t xml:space="preserve">  </w:t>
      </w:r>
      <w:r>
        <w:tab/>
        <w:t xml:space="preserve">Není-li v tomto kontrolním závěru uvedeno jinak, podporou se rozumí daň, poplatek, clo, mýtné a jiná platba vybíraná na základě zákona ve prospěch veřejných příjmů. </w:t>
      </w:r>
    </w:p>
  </w:footnote>
  <w:footnote w:id="6">
    <w:p w14:paraId="094B5652" w14:textId="379F2990" w:rsidR="008034B0" w:rsidRDefault="008034B0" w:rsidP="00DA1ECF">
      <w:pPr>
        <w:pStyle w:val="Textpoznpodarou"/>
        <w:ind w:left="284" w:hanging="284"/>
      </w:pPr>
      <w:r>
        <w:rPr>
          <w:rStyle w:val="Znakapoznpodarou"/>
        </w:rPr>
        <w:footnoteRef/>
      </w:r>
      <w:r>
        <w:t xml:space="preserve"> </w:t>
      </w:r>
      <w:r>
        <w:tab/>
        <w:t>K</w:t>
      </w:r>
      <w:r w:rsidRPr="00A74731">
        <w:t>apalné nebo plynné palivo</w:t>
      </w:r>
      <w:r>
        <w:t>, jako je např.</w:t>
      </w:r>
      <w:r w:rsidRPr="00A74731">
        <w:t xml:space="preserve"> </w:t>
      </w:r>
      <w:r w:rsidRPr="00261C8B">
        <w:rPr>
          <w:rFonts w:cs="Arial"/>
          <w:color w:val="000000"/>
          <w:shd w:val="clear" w:color="auto" w:fill="FFFFFF"/>
        </w:rPr>
        <w:t xml:space="preserve">bioetanol, vyrobený z obilí, cukrové řepy, cukrové třtiny, kukuřice, škrobu, rostlinných odpadů kvašením a rafinací, </w:t>
      </w:r>
      <w:r>
        <w:rPr>
          <w:rFonts w:cs="Arial"/>
          <w:color w:val="000000"/>
          <w:shd w:val="clear" w:color="auto" w:fill="FFFFFF"/>
        </w:rPr>
        <w:t xml:space="preserve">dále </w:t>
      </w:r>
      <w:r w:rsidRPr="00261C8B">
        <w:rPr>
          <w:rFonts w:cs="Arial"/>
          <w:color w:val="000000"/>
          <w:shd w:val="clear" w:color="auto" w:fill="FFFFFF"/>
        </w:rPr>
        <w:t>metylester řepkového oleje (MEŘO, RME), vyrobený z</w:t>
      </w:r>
      <w:r>
        <w:rPr>
          <w:rFonts w:cs="Arial"/>
          <w:color w:val="000000"/>
          <w:shd w:val="clear" w:color="auto" w:fill="FFFFFF"/>
        </w:rPr>
        <w:t> </w:t>
      </w:r>
      <w:r w:rsidRPr="00261C8B">
        <w:rPr>
          <w:rFonts w:cs="Arial"/>
          <w:color w:val="000000"/>
          <w:shd w:val="clear" w:color="auto" w:fill="FFFFFF"/>
        </w:rPr>
        <w:t xml:space="preserve">vylisované řepky olejné esterifikací, resp. jeho modifikace etylester řepkového oleje (EEŘO), </w:t>
      </w:r>
      <w:r>
        <w:rPr>
          <w:rFonts w:cs="Arial"/>
          <w:color w:val="000000"/>
          <w:shd w:val="clear" w:color="auto" w:fill="FFFFFF"/>
        </w:rPr>
        <w:t>a také</w:t>
      </w:r>
      <w:r w:rsidRPr="00261C8B">
        <w:rPr>
          <w:rFonts w:cs="Arial"/>
          <w:color w:val="000000"/>
          <w:shd w:val="clear" w:color="auto" w:fill="FFFFFF"/>
        </w:rPr>
        <w:t xml:space="preserve"> metylester mastných kyselin (FAME), vyrobený z vylisovaných olejnatých rostlin (palmový olej, slunečnicový olej aj.) či biobutanol vyrobený katalytickou konverzí bioetanolu.</w:t>
      </w:r>
    </w:p>
  </w:footnote>
  <w:footnote w:id="7">
    <w:p w14:paraId="2A3B2B88" w14:textId="77777777" w:rsidR="008034B0" w:rsidRPr="00DA1ECF" w:rsidRDefault="008034B0" w:rsidP="00DA1ECF">
      <w:pPr>
        <w:spacing w:after="0"/>
        <w:ind w:left="284" w:hanging="284"/>
        <w:rPr>
          <w:rFonts w:cs="Calibri"/>
          <w:sz w:val="20"/>
          <w:szCs w:val="20"/>
        </w:rPr>
      </w:pPr>
      <w:r w:rsidRPr="00DA1ECF">
        <w:rPr>
          <w:rStyle w:val="Znakapoznpodarou"/>
          <w:rFonts w:cs="Calibri"/>
          <w:sz w:val="20"/>
          <w:szCs w:val="20"/>
        </w:rPr>
        <w:footnoteRef/>
      </w:r>
      <w:r w:rsidRPr="00DA1ECF">
        <w:rPr>
          <w:rFonts w:cs="Calibri"/>
          <w:sz w:val="20"/>
          <w:szCs w:val="20"/>
        </w:rPr>
        <w:t xml:space="preserve"> </w:t>
      </w:r>
      <w:r>
        <w:rPr>
          <w:rFonts w:cs="Calibri"/>
          <w:sz w:val="20"/>
          <w:szCs w:val="20"/>
        </w:rPr>
        <w:tab/>
      </w:r>
      <w:r w:rsidRPr="00DA1ECF">
        <w:rPr>
          <w:rFonts w:cs="Calibri"/>
          <w:sz w:val="20"/>
          <w:szCs w:val="20"/>
        </w:rPr>
        <w:t>Tj. ten</w:t>
      </w:r>
      <w:r>
        <w:rPr>
          <w:rFonts w:cs="Calibri"/>
          <w:sz w:val="20"/>
          <w:szCs w:val="20"/>
        </w:rPr>
        <w:t>,</w:t>
      </w:r>
      <w:r w:rsidRPr="00DA1ECF">
        <w:rPr>
          <w:rFonts w:cs="Calibri"/>
          <w:sz w:val="20"/>
          <w:szCs w:val="20"/>
        </w:rPr>
        <w:t xml:space="preserve"> kdo samostatně vykonává na vlastní účet a odpovědnost výdělečnou činnost živnostenským nebo obdobným způsobem se záměrem činit tak soustavně za účelem dosažení zisku.</w:t>
      </w:r>
    </w:p>
  </w:footnote>
  <w:footnote w:id="8">
    <w:p w14:paraId="3B01CC89" w14:textId="77777777" w:rsidR="008034B0" w:rsidRPr="00DA1ECF" w:rsidRDefault="008034B0" w:rsidP="00DA1ECF">
      <w:pPr>
        <w:pStyle w:val="Textpoznpodarou"/>
        <w:ind w:left="284" w:hanging="284"/>
        <w:rPr>
          <w:rFonts w:cs="Calibri"/>
        </w:rPr>
      </w:pPr>
      <w:r w:rsidRPr="00DA1ECF">
        <w:rPr>
          <w:rStyle w:val="Znakapoznpodarou"/>
          <w:rFonts w:cs="Calibri"/>
        </w:rPr>
        <w:footnoteRef/>
      </w:r>
      <w:r w:rsidRPr="00DA1ECF">
        <w:rPr>
          <w:rFonts w:cs="Calibri"/>
        </w:rPr>
        <w:t xml:space="preserve"> </w:t>
      </w:r>
      <w:r>
        <w:rPr>
          <w:rFonts w:cs="Calibri"/>
        </w:rPr>
        <w:tab/>
      </w:r>
      <w:r w:rsidRPr="00DA1ECF">
        <w:rPr>
          <w:rFonts w:cs="Calibri"/>
        </w:rPr>
        <w:t xml:space="preserve">Např. stát, obce, kraje a jimi zřízené právnické osoby. </w:t>
      </w:r>
    </w:p>
  </w:footnote>
  <w:footnote w:id="9">
    <w:p w14:paraId="4F106C39" w14:textId="77777777" w:rsidR="008034B0" w:rsidRPr="00DA1ECF" w:rsidRDefault="008034B0" w:rsidP="00DA1ECF">
      <w:pPr>
        <w:pStyle w:val="Textpoznpodarou"/>
        <w:ind w:left="284" w:hanging="284"/>
        <w:rPr>
          <w:rFonts w:cs="Calibri"/>
        </w:rPr>
      </w:pPr>
      <w:r w:rsidRPr="00DA1ECF">
        <w:rPr>
          <w:rStyle w:val="Znakapoznpodarou"/>
          <w:rFonts w:cs="Calibri"/>
        </w:rPr>
        <w:footnoteRef/>
      </w:r>
      <w:r w:rsidRPr="00DA1ECF">
        <w:rPr>
          <w:rFonts w:cs="Calibri"/>
        </w:rPr>
        <w:t xml:space="preserve"> </w:t>
      </w:r>
      <w:r>
        <w:rPr>
          <w:rFonts w:cs="Calibri"/>
        </w:rPr>
        <w:tab/>
      </w:r>
      <w:r w:rsidRPr="00DA1ECF">
        <w:rPr>
          <w:rFonts w:cs="Calibri"/>
        </w:rPr>
        <w:t xml:space="preserve">Fyzické osoby, nevykonávají podnikatelskou činnost. </w:t>
      </w:r>
    </w:p>
  </w:footnote>
  <w:footnote w:id="10">
    <w:p w14:paraId="4414B959" w14:textId="281C5A01" w:rsidR="008034B0" w:rsidRPr="00DA1ECF" w:rsidRDefault="008034B0" w:rsidP="00DA1ECF">
      <w:pPr>
        <w:pStyle w:val="Textpoznpodarou"/>
        <w:ind w:left="284" w:hanging="284"/>
        <w:rPr>
          <w:rFonts w:cs="Calibri"/>
        </w:rPr>
      </w:pPr>
      <w:r w:rsidRPr="00DA1ECF">
        <w:rPr>
          <w:rStyle w:val="Znakapoznpodarou"/>
          <w:rFonts w:cs="Calibri"/>
        </w:rPr>
        <w:footnoteRef/>
      </w:r>
      <w:r w:rsidRPr="00DA1ECF">
        <w:rPr>
          <w:rFonts w:cs="Calibri"/>
        </w:rPr>
        <w:t xml:space="preserve"> </w:t>
      </w:r>
      <w:r>
        <w:rPr>
          <w:rFonts w:cs="Calibri"/>
        </w:rPr>
        <w:tab/>
      </w:r>
      <w:r w:rsidRPr="00DA1ECF">
        <w:rPr>
          <w:rFonts w:cs="Calibri"/>
        </w:rPr>
        <w:t xml:space="preserve">Paliva nebo zdroje energie, které slouží alespoň zčásti jako náhrada zdrojů fosilní ropy v dodávkách energie pro dopravu a které mají potenciál přispět k její dekarbonizaci a zvýšit environmentální výkonnost odvětví dopravy. Např. elektřina, vodík, biopaliva, syntetická a parafínová paliva, zemní plyn, zkapalněný ropný plyn.  </w:t>
      </w:r>
    </w:p>
  </w:footnote>
  <w:footnote w:id="11">
    <w:p w14:paraId="6A1761B9" w14:textId="77777777" w:rsidR="008034B0" w:rsidRPr="00DA1ECF" w:rsidRDefault="008034B0" w:rsidP="00DA1ECF">
      <w:pPr>
        <w:pStyle w:val="Textpoznpodarou"/>
        <w:ind w:left="284" w:hanging="284"/>
        <w:rPr>
          <w:rFonts w:cs="Calibri"/>
        </w:rPr>
      </w:pPr>
      <w:r w:rsidRPr="00DA1ECF">
        <w:rPr>
          <w:rStyle w:val="Znakapoznpodarou"/>
          <w:rFonts w:cs="Calibri"/>
        </w:rPr>
        <w:footnoteRef/>
      </w:r>
      <w:r w:rsidRPr="00DA1ECF">
        <w:rPr>
          <w:rFonts w:cs="Calibri"/>
        </w:rPr>
        <w:t xml:space="preserve"> </w:t>
      </w:r>
      <w:r>
        <w:rPr>
          <w:rFonts w:cs="Calibri"/>
        </w:rPr>
        <w:tab/>
      </w:r>
      <w:r w:rsidRPr="00DA1ECF">
        <w:rPr>
          <w:rFonts w:cs="Calibri"/>
        </w:rPr>
        <w:t>Zákon č. 16/1993 Sb., o dani silniční.</w:t>
      </w:r>
    </w:p>
  </w:footnote>
  <w:footnote w:id="12">
    <w:p w14:paraId="1E0CE09C" w14:textId="77777777" w:rsidR="008034B0" w:rsidRPr="00DA1ECF" w:rsidRDefault="008034B0" w:rsidP="00DA1ECF">
      <w:pPr>
        <w:widowControl w:val="0"/>
        <w:autoSpaceDE w:val="0"/>
        <w:autoSpaceDN w:val="0"/>
        <w:adjustRightInd w:val="0"/>
        <w:spacing w:after="0"/>
        <w:ind w:left="284" w:hanging="284"/>
        <w:rPr>
          <w:rFonts w:cs="Calibri"/>
          <w:i/>
          <w:sz w:val="20"/>
          <w:szCs w:val="20"/>
        </w:rPr>
      </w:pPr>
      <w:r w:rsidRPr="00DA1ECF">
        <w:rPr>
          <w:rStyle w:val="Znakapoznpodarou"/>
          <w:rFonts w:cs="Calibri"/>
          <w:sz w:val="20"/>
          <w:szCs w:val="20"/>
        </w:rPr>
        <w:footnoteRef/>
      </w:r>
      <w:r w:rsidRPr="00DA1ECF">
        <w:rPr>
          <w:rFonts w:cs="Calibri"/>
          <w:sz w:val="20"/>
          <w:szCs w:val="20"/>
        </w:rPr>
        <w:t xml:space="preserve"> </w:t>
      </w:r>
      <w:r>
        <w:rPr>
          <w:rFonts w:cs="Calibri"/>
          <w:sz w:val="20"/>
          <w:szCs w:val="20"/>
        </w:rPr>
        <w:tab/>
      </w:r>
      <w:r w:rsidRPr="00DA1ECF">
        <w:rPr>
          <w:rFonts w:cs="Calibri"/>
          <w:sz w:val="20"/>
          <w:szCs w:val="20"/>
        </w:rPr>
        <w:t>Dle ustanovení § 3 písm. f) zákona č. 16/1993 Sb., o dani silniční</w:t>
      </w:r>
      <w:r>
        <w:rPr>
          <w:rFonts w:cs="Calibri"/>
          <w:sz w:val="20"/>
          <w:szCs w:val="20"/>
        </w:rPr>
        <w:t>,</w:t>
      </w:r>
      <w:r w:rsidRPr="00DA1ECF">
        <w:rPr>
          <w:rFonts w:cs="Calibri"/>
          <w:sz w:val="20"/>
          <w:szCs w:val="20"/>
        </w:rPr>
        <w:t xml:space="preserve"> jsou od daně osvobozena „</w:t>
      </w:r>
      <w:r w:rsidRPr="00DA1ECF">
        <w:rPr>
          <w:rFonts w:cs="Calibri"/>
          <w:i/>
          <w:sz w:val="20"/>
          <w:szCs w:val="20"/>
        </w:rPr>
        <w:t xml:space="preserve">vozidla pro dopravu osob nebo vozidla pro dopravu nákladů s největší povolenou hmotností méně než 12 tun, která </w:t>
      </w:r>
    </w:p>
    <w:p w14:paraId="6F117173" w14:textId="77777777" w:rsidR="008034B0" w:rsidRPr="00DA1ECF" w:rsidRDefault="008034B0" w:rsidP="00DA1ECF">
      <w:pPr>
        <w:widowControl w:val="0"/>
        <w:autoSpaceDE w:val="0"/>
        <w:autoSpaceDN w:val="0"/>
        <w:adjustRightInd w:val="0"/>
        <w:spacing w:after="0"/>
        <w:ind w:left="284"/>
        <w:rPr>
          <w:rFonts w:cs="Calibri"/>
          <w:i/>
          <w:sz w:val="20"/>
          <w:szCs w:val="20"/>
        </w:rPr>
      </w:pPr>
      <w:r w:rsidRPr="00DA1ECF">
        <w:rPr>
          <w:rFonts w:cs="Calibri"/>
          <w:i/>
          <w:sz w:val="20"/>
          <w:szCs w:val="20"/>
        </w:rPr>
        <w:t xml:space="preserve">1. mají elektrický pohon, </w:t>
      </w:r>
    </w:p>
    <w:p w14:paraId="0B3A2C23" w14:textId="77777777" w:rsidR="008034B0" w:rsidRPr="00DA1ECF" w:rsidRDefault="008034B0" w:rsidP="00DA1ECF">
      <w:pPr>
        <w:widowControl w:val="0"/>
        <w:autoSpaceDE w:val="0"/>
        <w:autoSpaceDN w:val="0"/>
        <w:adjustRightInd w:val="0"/>
        <w:spacing w:after="0"/>
        <w:ind w:left="284"/>
        <w:rPr>
          <w:rFonts w:cs="Calibri"/>
          <w:i/>
          <w:sz w:val="20"/>
          <w:szCs w:val="20"/>
        </w:rPr>
      </w:pPr>
      <w:r w:rsidRPr="00DA1ECF">
        <w:rPr>
          <w:rFonts w:cs="Calibri"/>
          <w:i/>
          <w:sz w:val="20"/>
          <w:szCs w:val="20"/>
        </w:rPr>
        <w:t xml:space="preserve">2. mají hybridní pohon kombinující spalovací motor a elektromotor, </w:t>
      </w:r>
    </w:p>
    <w:p w14:paraId="51BBE8CC" w14:textId="77777777" w:rsidR="008034B0" w:rsidRPr="00DA1ECF" w:rsidRDefault="008034B0" w:rsidP="00DA1ECF">
      <w:pPr>
        <w:widowControl w:val="0"/>
        <w:autoSpaceDE w:val="0"/>
        <w:autoSpaceDN w:val="0"/>
        <w:adjustRightInd w:val="0"/>
        <w:spacing w:after="0"/>
        <w:ind w:left="284"/>
        <w:rPr>
          <w:rFonts w:cs="Calibri"/>
          <w:i/>
          <w:sz w:val="20"/>
          <w:szCs w:val="20"/>
        </w:rPr>
      </w:pPr>
      <w:r w:rsidRPr="00DA1ECF">
        <w:rPr>
          <w:rFonts w:cs="Calibri"/>
          <w:i/>
          <w:sz w:val="20"/>
          <w:szCs w:val="20"/>
        </w:rPr>
        <w:t xml:space="preserve">3. používají jako palivo zkapalněný ropný plyn nebo stlačený zemní plyn, nebo </w:t>
      </w:r>
    </w:p>
    <w:p w14:paraId="30DEA8C9" w14:textId="62B59787" w:rsidR="008034B0" w:rsidRPr="00DA1ECF" w:rsidRDefault="008034B0" w:rsidP="00DA1ECF">
      <w:pPr>
        <w:pStyle w:val="Textpoznpodarou"/>
        <w:ind w:left="284"/>
        <w:rPr>
          <w:rFonts w:cs="Calibri"/>
        </w:rPr>
      </w:pPr>
      <w:r w:rsidRPr="00DA1ECF">
        <w:rPr>
          <w:rFonts w:cs="Calibri"/>
          <w:i/>
        </w:rPr>
        <w:t>4. jsou vybavena motorem určeným jeho výrobcem ke spalování automobilového benzínu a ethanolu 85</w:t>
      </w:r>
      <w:r>
        <w:rPr>
          <w:rFonts w:cs="Calibri"/>
        </w:rPr>
        <w:t>.</w:t>
      </w:r>
      <w:r w:rsidRPr="00DA1ECF">
        <w:rPr>
          <w:rFonts w:cs="Calibri"/>
        </w:rPr>
        <w:t>“</w:t>
      </w:r>
    </w:p>
  </w:footnote>
  <w:footnote w:id="13">
    <w:p w14:paraId="68FDF637" w14:textId="77777777" w:rsidR="008034B0" w:rsidRDefault="008034B0" w:rsidP="00DA1ECF">
      <w:pPr>
        <w:pStyle w:val="Textpoznpodarou"/>
        <w:ind w:left="284" w:hanging="284"/>
      </w:pPr>
      <w:r>
        <w:rPr>
          <w:rStyle w:val="Znakapoznpodarou"/>
        </w:rPr>
        <w:footnoteRef/>
      </w:r>
      <w:r>
        <w:t xml:space="preserve"> </w:t>
      </w:r>
      <w:r>
        <w:tab/>
        <w:t>Dle zákona č.</w:t>
      </w:r>
      <w:r>
        <w:rPr>
          <w:rFonts w:asciiTheme="minorHAnsi" w:hAnsiTheme="minorHAnsi" w:cstheme="minorHAnsi"/>
        </w:rPr>
        <w:t xml:space="preserve"> 634/2004 Sb., </w:t>
      </w:r>
      <w:r>
        <w:t xml:space="preserve">o správních poplatcích. </w:t>
      </w:r>
    </w:p>
  </w:footnote>
  <w:footnote w:id="14">
    <w:p w14:paraId="71DB9BF5" w14:textId="77777777" w:rsidR="008034B0" w:rsidRDefault="008034B0" w:rsidP="00DA1ECF">
      <w:pPr>
        <w:pStyle w:val="Textpoznpodarou"/>
        <w:ind w:left="284" w:hanging="284"/>
      </w:pPr>
      <w:r>
        <w:rPr>
          <w:rStyle w:val="Znakapoznpodarou"/>
        </w:rPr>
        <w:footnoteRef/>
      </w:r>
      <w:r>
        <w:t xml:space="preserve"> </w:t>
      </w:r>
      <w:r>
        <w:tab/>
        <w:t>Dle zákona č. 13/1997 Sb., o pozemních komunikacích.</w:t>
      </w:r>
    </w:p>
  </w:footnote>
  <w:footnote w:id="15">
    <w:p w14:paraId="10FAE923" w14:textId="77777777" w:rsidR="008034B0" w:rsidRDefault="008034B0" w:rsidP="00DA1ECF">
      <w:pPr>
        <w:pStyle w:val="Textpoznpodarou"/>
        <w:ind w:left="284" w:hanging="284"/>
      </w:pPr>
      <w:r>
        <w:rPr>
          <w:rStyle w:val="Znakapoznpodarou"/>
        </w:rPr>
        <w:footnoteRef/>
      </w:r>
      <w:r>
        <w:t> </w:t>
      </w:r>
      <w:r>
        <w:tab/>
        <w:t>Směrnice Evropského parlamentu a Rady 2006/38/ES ze dne 17. května 2006, kterou se mění směrnice 1999/62/ES o výběru poplatků za užívání určitých pozemních komunikací těžkými nákladními vozidly.</w:t>
      </w:r>
    </w:p>
  </w:footnote>
  <w:footnote w:id="16">
    <w:p w14:paraId="04CEA32F" w14:textId="77777777" w:rsidR="008034B0" w:rsidRDefault="008034B0" w:rsidP="007C0A9B">
      <w:pPr>
        <w:pStyle w:val="Textpoznpodarou"/>
        <w:ind w:left="284" w:hanging="284"/>
      </w:pPr>
      <w:r>
        <w:rPr>
          <w:rStyle w:val="Znakapoznpodarou"/>
        </w:rPr>
        <w:footnoteRef/>
      </w:r>
      <w:r>
        <w:t xml:space="preserve"> </w:t>
      </w:r>
      <w:r>
        <w:tab/>
        <w:t>Zákon č. 297/2009 Sb., kterým se mění zákon č. 185/2001 Sb., o odpadech a o změně některých dalších zákonů, ve znění pozdějších předpisů, a zákon č. 56/2001 Sb., o pojištění odpovědnosti za škodu způsobenou provozem vozidla a o změně některých souvisejících zákonů (zákon o pojištění odpovědnosti z provozu vozidla), ve znění zákona č. 307/1999 Sb.</w:t>
      </w:r>
    </w:p>
  </w:footnote>
  <w:footnote w:id="17">
    <w:p w14:paraId="0656EFC9" w14:textId="77777777" w:rsidR="008034B0" w:rsidRPr="007643B4" w:rsidRDefault="008034B0" w:rsidP="007C0A9B">
      <w:pPr>
        <w:pStyle w:val="Textpoznpodarou"/>
        <w:ind w:left="284" w:hanging="284"/>
        <w:rPr>
          <w:rFonts w:cs="Calibri"/>
          <w:color w:val="000000" w:themeColor="text1"/>
        </w:rPr>
      </w:pPr>
      <w:r w:rsidRPr="004C3BE5">
        <w:rPr>
          <w:rFonts w:cs="Calibri"/>
          <w:color w:val="000000" w:themeColor="text1"/>
          <w:vertAlign w:val="superscript"/>
        </w:rPr>
        <w:t xml:space="preserve">15 </w:t>
      </w:r>
      <w:r w:rsidRPr="004C3BE5">
        <w:rPr>
          <w:rFonts w:cs="Calibri"/>
          <w:color w:val="000000" w:themeColor="text1"/>
          <w:vertAlign w:val="superscript"/>
        </w:rPr>
        <w:tab/>
      </w:r>
      <w:r>
        <w:rPr>
          <w:rFonts w:cs="Calibri"/>
          <w:color w:val="000000" w:themeColor="text1"/>
        </w:rPr>
        <w:t xml:space="preserve">Viz </w:t>
      </w:r>
      <w:hyperlink r:id="rId3" w:anchor="/CZE" w:history="1">
        <w:r w:rsidRPr="004C3BE5">
          <w:rPr>
            <w:rStyle w:val="Hypertextovodkaz"/>
            <w:rFonts w:cs="Calibri"/>
            <w:u w:val="none"/>
          </w:rPr>
          <w:t>https://dashboards.sdgindex.org/#/CZE</w:t>
        </w:r>
      </w:hyperlink>
      <w:r>
        <w:rPr>
          <w:rStyle w:val="Hypertextovodkaz"/>
          <w:rFonts w:cs="Calibri"/>
          <w:color w:val="000000" w:themeColor="text1"/>
          <w:u w:val="none"/>
        </w:rPr>
        <w:t>.</w:t>
      </w:r>
    </w:p>
  </w:footnote>
  <w:footnote w:id="18">
    <w:p w14:paraId="50399DDA" w14:textId="77777777" w:rsidR="008034B0" w:rsidRDefault="008034B0" w:rsidP="007C0A9B">
      <w:pPr>
        <w:pStyle w:val="Textpoznpodarou"/>
        <w:tabs>
          <w:tab w:val="left" w:pos="426"/>
        </w:tabs>
        <w:ind w:left="284" w:hanging="284"/>
        <w:rPr>
          <w:rFonts w:cs="Calibri"/>
          <w:color w:val="000000" w:themeColor="text1"/>
        </w:rPr>
      </w:pPr>
      <w:r w:rsidRPr="004C3BE5">
        <w:rPr>
          <w:rStyle w:val="Znakapoznpodarou"/>
          <w:rFonts w:cs="Calibri"/>
          <w:color w:val="000000" w:themeColor="text1"/>
        </w:rPr>
        <w:footnoteRef/>
      </w:r>
      <w:r w:rsidRPr="004C3BE5">
        <w:rPr>
          <w:rFonts w:cs="Calibri"/>
          <w:color w:val="000000" w:themeColor="text1"/>
        </w:rPr>
        <w:t xml:space="preserve"> </w:t>
      </w:r>
      <w:r w:rsidRPr="004C3BE5">
        <w:rPr>
          <w:rFonts w:cs="Calibri"/>
          <w:color w:val="000000" w:themeColor="text1"/>
        </w:rPr>
        <w:tab/>
      </w:r>
      <w:r>
        <w:rPr>
          <w:rFonts w:cs="Calibri"/>
          <w:color w:val="000000" w:themeColor="text1"/>
        </w:rPr>
        <w:t>Usnesení vlády ČR:</w:t>
      </w:r>
    </w:p>
    <w:p w14:paraId="4D699800" w14:textId="77777777" w:rsidR="008034B0" w:rsidRPr="004C3BE5" w:rsidRDefault="008034B0" w:rsidP="006D5DFC">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20. listopadu 2015 č. 941, </w:t>
      </w:r>
      <w:r w:rsidRPr="00796432">
        <w:rPr>
          <w:rFonts w:cs="Calibri"/>
          <w:i/>
          <w:color w:val="000000" w:themeColor="text1"/>
        </w:rPr>
        <w:t>Národní akční plán čisté mobility</w:t>
      </w:r>
      <w:r w:rsidRPr="004C3BE5">
        <w:rPr>
          <w:rFonts w:cs="Calibri"/>
          <w:color w:val="000000" w:themeColor="text1"/>
        </w:rPr>
        <w:t>;</w:t>
      </w:r>
    </w:p>
    <w:p w14:paraId="66F90FBD"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11. dubna 2018 č. 225, </w:t>
      </w:r>
      <w:r w:rsidRPr="00796432">
        <w:rPr>
          <w:rFonts w:cs="Calibri"/>
          <w:i/>
          <w:color w:val="000000" w:themeColor="text1"/>
        </w:rPr>
        <w:t>o Memorandu o dlouhodobé spolupráci v oblasti rozvoje vozidel na zemní plyn pro období do roku 2025</w:t>
      </w:r>
      <w:r w:rsidRPr="004C3BE5">
        <w:rPr>
          <w:rFonts w:cs="Calibri"/>
          <w:color w:val="000000" w:themeColor="text1"/>
        </w:rPr>
        <w:t>;</w:t>
      </w:r>
    </w:p>
    <w:p w14:paraId="7BDDBA65"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25. září 2017 č. 686, </w:t>
      </w:r>
      <w:r w:rsidRPr="00796432">
        <w:rPr>
          <w:rFonts w:cs="Calibri"/>
          <w:i/>
          <w:color w:val="000000" w:themeColor="text1"/>
        </w:rPr>
        <w:t>o Memorandu o budoucnosti automobilového průmyslu v České republice a Akčním plánu o budoucnosti automobilového průmyslu v České republice Český automobilový průmysl 2025</w:t>
      </w:r>
      <w:r w:rsidRPr="004C3BE5">
        <w:rPr>
          <w:rFonts w:cs="Calibri"/>
          <w:color w:val="000000" w:themeColor="text1"/>
        </w:rPr>
        <w:t>;</w:t>
      </w:r>
    </w:p>
    <w:p w14:paraId="0444B4BF"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2. prosince 2015 č. 978, </w:t>
      </w:r>
      <w:r w:rsidRPr="00796432">
        <w:rPr>
          <w:rFonts w:cs="Calibri"/>
          <w:i/>
          <w:color w:val="000000" w:themeColor="text1"/>
        </w:rPr>
        <w:t>o Národním programu snižování emisí</w:t>
      </w:r>
      <w:r w:rsidRPr="004C3BE5">
        <w:rPr>
          <w:rFonts w:cs="Calibri"/>
          <w:color w:val="000000" w:themeColor="text1"/>
        </w:rPr>
        <w:t>;</w:t>
      </w:r>
    </w:p>
    <w:p w14:paraId="5AD6C732"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23. listopadu 2016 č. 1026, </w:t>
      </w:r>
      <w:r w:rsidRPr="00796432">
        <w:rPr>
          <w:rFonts w:cs="Calibri"/>
          <w:i/>
          <w:color w:val="000000" w:themeColor="text1"/>
        </w:rPr>
        <w:t>k aktualizaci Státní politiky životního prostředí České republiky</w:t>
      </w:r>
      <w:r w:rsidRPr="00796432">
        <w:rPr>
          <w:rFonts w:cs="Calibri"/>
          <w:i/>
          <w:color w:val="000000" w:themeColor="text1"/>
        </w:rPr>
        <w:br/>
        <w:t>2012–2020</w:t>
      </w:r>
      <w:r w:rsidRPr="004C3BE5">
        <w:rPr>
          <w:rFonts w:cs="Calibri"/>
          <w:color w:val="000000" w:themeColor="text1"/>
        </w:rPr>
        <w:t>;</w:t>
      </w:r>
    </w:p>
    <w:p w14:paraId="7CA4B1C3"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17. října 2018 č. 670, </w:t>
      </w:r>
      <w:r w:rsidRPr="00796432">
        <w:rPr>
          <w:rFonts w:cs="Calibri"/>
          <w:i/>
          <w:color w:val="000000" w:themeColor="text1"/>
        </w:rPr>
        <w:t>k Implementaci Agendy 2030 pro udržitelný rozvoj (Cílů udržitelného rozvoje OSN) v České republice</w:t>
      </w:r>
      <w:r w:rsidRPr="004C3BE5">
        <w:rPr>
          <w:rFonts w:cs="Calibri"/>
          <w:color w:val="000000" w:themeColor="text1"/>
        </w:rPr>
        <w:t>;</w:t>
      </w:r>
    </w:p>
    <w:p w14:paraId="5544758F"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17. října 2018 č. 669, </w:t>
      </w:r>
      <w:r w:rsidRPr="00796432">
        <w:rPr>
          <w:rFonts w:cs="Calibri"/>
          <w:i/>
          <w:color w:val="000000" w:themeColor="text1"/>
        </w:rPr>
        <w:t>Implementační plán Strategického rámce Česká republika 2030</w:t>
      </w:r>
      <w:r w:rsidRPr="004C3BE5">
        <w:rPr>
          <w:rFonts w:cs="Calibri"/>
          <w:color w:val="000000" w:themeColor="text1"/>
        </w:rPr>
        <w:t>;</w:t>
      </w:r>
    </w:p>
    <w:p w14:paraId="3E5EC232" w14:textId="77777777" w:rsidR="008034B0" w:rsidRPr="004C3BE5" w:rsidRDefault="008034B0" w:rsidP="007C0A9B">
      <w:pPr>
        <w:pStyle w:val="Textpoznpodarou"/>
        <w:tabs>
          <w:tab w:val="left" w:pos="426"/>
        </w:tabs>
        <w:ind w:left="284"/>
        <w:rPr>
          <w:rFonts w:cs="Calibri"/>
          <w:color w:val="000000" w:themeColor="text1"/>
        </w:rPr>
      </w:pPr>
      <w:r w:rsidRPr="004C3BE5">
        <w:rPr>
          <w:rFonts w:cs="Calibri"/>
          <w:color w:val="000000" w:themeColor="text1"/>
        </w:rPr>
        <w:t>•</w:t>
      </w:r>
      <w:r w:rsidRPr="004C3BE5">
        <w:rPr>
          <w:rFonts w:cs="Calibri"/>
          <w:color w:val="000000" w:themeColor="text1"/>
        </w:rPr>
        <w:tab/>
        <w:t xml:space="preserve">ze dne 25. ledna 2016 č. 47, </w:t>
      </w:r>
      <w:r w:rsidRPr="00796432">
        <w:rPr>
          <w:rFonts w:cs="Calibri"/>
          <w:i/>
          <w:color w:val="000000" w:themeColor="text1"/>
        </w:rPr>
        <w:t>o Národním akčním plánu České republiky pro energii z obnovitelných zdrojů</w:t>
      </w:r>
      <w:r w:rsidRPr="004C3BE5">
        <w:rPr>
          <w:rFonts w:cs="Calibri"/>
          <w:color w:val="000000" w:themeColor="text1"/>
        </w:rPr>
        <w:t>.</w:t>
      </w:r>
    </w:p>
  </w:footnote>
  <w:footnote w:id="19">
    <w:p w14:paraId="544CCA6F" w14:textId="77777777" w:rsidR="008034B0" w:rsidRPr="004C3BE5" w:rsidRDefault="008034B0" w:rsidP="007C0A9B">
      <w:pPr>
        <w:pStyle w:val="Textpoznpodarou"/>
        <w:ind w:left="284" w:hanging="284"/>
        <w:rPr>
          <w:rFonts w:cs="Calibri"/>
          <w:color w:val="000000" w:themeColor="text1"/>
        </w:rPr>
      </w:pPr>
      <w:r w:rsidRPr="004C3BE5">
        <w:rPr>
          <w:rStyle w:val="Znakapoznpodarou"/>
          <w:rFonts w:cs="Calibri"/>
          <w:color w:val="000000" w:themeColor="text1"/>
        </w:rPr>
        <w:footnoteRef/>
      </w:r>
      <w:r w:rsidRPr="004C3BE5">
        <w:rPr>
          <w:rFonts w:cs="Calibri"/>
          <w:color w:val="000000" w:themeColor="text1"/>
        </w:rPr>
        <w:t xml:space="preserve"> </w:t>
      </w:r>
      <w:r w:rsidRPr="004C3BE5">
        <w:rPr>
          <w:rFonts w:cs="Calibri"/>
          <w:color w:val="000000" w:themeColor="text1"/>
        </w:rPr>
        <w:tab/>
        <w:t>Směrnice evropského parlamentu a rady 2009/28/ES ze dne 23. dubna 2009 o podpoře využívání energie z obnovitelných zdrojů a o změně a následném zrušení směrnic 2001/77/ES a 2003/30/ES.</w:t>
      </w:r>
    </w:p>
  </w:footnote>
  <w:footnote w:id="20">
    <w:p w14:paraId="20FEEF19" w14:textId="77777777" w:rsidR="008034B0" w:rsidRPr="004C3BE5" w:rsidRDefault="008034B0" w:rsidP="007C0A9B">
      <w:pPr>
        <w:pStyle w:val="Textpoznpodarou"/>
        <w:ind w:left="284" w:hanging="284"/>
        <w:rPr>
          <w:rFonts w:cs="Calibri"/>
          <w:color w:val="000000" w:themeColor="text1"/>
        </w:rPr>
      </w:pPr>
      <w:r w:rsidRPr="004C3BE5">
        <w:rPr>
          <w:rStyle w:val="Znakapoznpodarou"/>
          <w:rFonts w:cs="Calibri"/>
          <w:color w:val="000000" w:themeColor="text1"/>
        </w:rPr>
        <w:footnoteRef/>
      </w:r>
      <w:r w:rsidRPr="004C3BE5">
        <w:rPr>
          <w:rFonts w:cs="Calibri"/>
          <w:color w:val="000000" w:themeColor="text1"/>
        </w:rPr>
        <w:t xml:space="preserve"> </w:t>
      </w:r>
      <w:r w:rsidRPr="004C3BE5">
        <w:rPr>
          <w:rFonts w:cs="Calibri"/>
          <w:color w:val="000000" w:themeColor="text1"/>
        </w:rPr>
        <w:tab/>
        <w:t>Směrnice evropského parlamentu a rady 2009/28/ES ze dne 23. dubna 2009 o podpoře využívání energie z obnovitelných zdrojů a o změně a následném zrušení směrnic 2001/77/ES a 2003/30/ES.</w:t>
      </w:r>
    </w:p>
  </w:footnote>
  <w:footnote w:id="21">
    <w:p w14:paraId="6F2765B3" w14:textId="77777777" w:rsidR="008034B0" w:rsidRPr="004C3BE5" w:rsidRDefault="008034B0" w:rsidP="007C0A9B">
      <w:pPr>
        <w:pStyle w:val="doc-ti"/>
        <w:shd w:val="clear" w:color="auto" w:fill="FFFFFF"/>
        <w:spacing w:before="0" w:beforeAutospacing="0" w:after="0" w:afterAutospacing="0"/>
        <w:ind w:left="284" w:hanging="284"/>
        <w:rPr>
          <w:rFonts w:ascii="Calibri" w:hAnsi="Calibri" w:cs="Calibri"/>
          <w:color w:val="000000" w:themeColor="text1"/>
          <w:sz w:val="20"/>
          <w:szCs w:val="20"/>
        </w:rPr>
      </w:pPr>
      <w:r w:rsidRPr="004C3BE5">
        <w:rPr>
          <w:rStyle w:val="Znakapoznpodarou"/>
          <w:rFonts w:ascii="Calibri" w:hAnsi="Calibri" w:cs="Calibri"/>
          <w:color w:val="000000" w:themeColor="text1"/>
          <w:sz w:val="20"/>
          <w:szCs w:val="20"/>
        </w:rPr>
        <w:footnoteRef/>
      </w:r>
      <w:r w:rsidRPr="004C3BE5">
        <w:rPr>
          <w:rFonts w:ascii="Calibri" w:hAnsi="Calibri" w:cs="Calibri"/>
          <w:color w:val="000000" w:themeColor="text1"/>
          <w:sz w:val="20"/>
          <w:szCs w:val="20"/>
        </w:rPr>
        <w:t xml:space="preserve"> </w:t>
      </w:r>
      <w:r w:rsidRPr="004C3BE5">
        <w:rPr>
          <w:rFonts w:ascii="Calibri" w:hAnsi="Calibri" w:cs="Calibri"/>
          <w:color w:val="000000" w:themeColor="text1"/>
          <w:sz w:val="20"/>
          <w:szCs w:val="20"/>
        </w:rPr>
        <w:tab/>
      </w:r>
      <w:r w:rsidRPr="004C3BE5">
        <w:rPr>
          <w:rFonts w:ascii="Calibri" w:hAnsi="Calibri" w:cs="Calibri"/>
          <w:color w:val="000000" w:themeColor="text1"/>
          <w:sz w:val="20"/>
          <w:szCs w:val="20"/>
          <w:lang w:eastAsia="en-US"/>
        </w:rPr>
        <w:t>Směrnice evropského parlamentu a rady (EU) 2018/2001 ze dne 11. prosince 2018 o podpoře využívání energie z obnovitelných zdrojů.</w:t>
      </w:r>
    </w:p>
  </w:footnote>
  <w:footnote w:id="22">
    <w:p w14:paraId="55757924" w14:textId="77777777" w:rsidR="008034B0" w:rsidRPr="007C0A9B" w:rsidRDefault="008034B0" w:rsidP="007C0A9B">
      <w:pPr>
        <w:pStyle w:val="Textpoznpodarou"/>
        <w:ind w:left="284" w:hanging="284"/>
        <w:rPr>
          <w:rFonts w:cs="Calibri"/>
          <w:color w:val="000000" w:themeColor="text1"/>
        </w:rPr>
      </w:pPr>
      <w:r w:rsidRPr="007C0A9B">
        <w:rPr>
          <w:rStyle w:val="Znakapoznpodarou"/>
          <w:rFonts w:cs="Calibri"/>
          <w:color w:val="000000" w:themeColor="text1"/>
        </w:rPr>
        <w:footnoteRef/>
      </w:r>
      <w:r w:rsidRPr="007C0A9B">
        <w:rPr>
          <w:rFonts w:cs="Calibri"/>
          <w:color w:val="000000" w:themeColor="text1"/>
        </w:rPr>
        <w:t xml:space="preserve"> </w:t>
      </w:r>
      <w:r>
        <w:rPr>
          <w:rFonts w:cs="Calibri"/>
          <w:color w:val="000000" w:themeColor="text1"/>
        </w:rPr>
        <w:tab/>
      </w:r>
      <w:r w:rsidRPr="001627A7">
        <w:rPr>
          <w:rFonts w:cs="Calibri"/>
          <w:color w:val="000000" w:themeColor="text1"/>
        </w:rPr>
        <w:t>Zdroj:</w:t>
      </w:r>
      <w:r w:rsidRPr="007C0A9B">
        <w:rPr>
          <w:rFonts w:cs="Calibri"/>
          <w:color w:val="000000" w:themeColor="text1"/>
        </w:rPr>
        <w:t xml:space="preserve"> </w:t>
      </w:r>
      <w:hyperlink r:id="rId4" w:history="1">
        <w:r w:rsidRPr="007C0A9B">
          <w:rPr>
            <w:rStyle w:val="Hypertextovodkaz"/>
            <w:rFonts w:cs="Calibri"/>
            <w:u w:val="none"/>
          </w:rPr>
          <w:t>http://data.consilium.europa.eu/doc/document/ST-169-2014-INIT/cs/pdf</w:t>
        </w:r>
      </w:hyperlink>
      <w:r w:rsidRPr="007C0A9B">
        <w:rPr>
          <w:rFonts w:cs="Calibri"/>
          <w:color w:val="000000" w:themeColor="text1"/>
        </w:rPr>
        <w:t>.</w:t>
      </w:r>
    </w:p>
  </w:footnote>
  <w:footnote w:id="23">
    <w:p w14:paraId="16B53053" w14:textId="77777777" w:rsidR="008034B0" w:rsidRDefault="008034B0" w:rsidP="007C0A9B">
      <w:pPr>
        <w:pStyle w:val="Textpoznpodarou"/>
        <w:ind w:left="284" w:hanging="284"/>
      </w:pPr>
      <w:r w:rsidRPr="007C0A9B">
        <w:rPr>
          <w:rStyle w:val="Znakapoznpodarou"/>
          <w:rFonts w:cs="Calibri"/>
          <w:color w:val="000000" w:themeColor="text1"/>
        </w:rPr>
        <w:footnoteRef/>
      </w:r>
      <w:r w:rsidRPr="007C0A9B">
        <w:rPr>
          <w:rFonts w:cs="Calibri"/>
          <w:color w:val="000000" w:themeColor="text1"/>
        </w:rPr>
        <w:t xml:space="preserve"> </w:t>
      </w:r>
      <w:r>
        <w:rPr>
          <w:rFonts w:cs="Calibri"/>
          <w:color w:val="000000" w:themeColor="text1"/>
        </w:rPr>
        <w:tab/>
        <w:t>N</w:t>
      </w:r>
      <w:r w:rsidRPr="007C0A9B">
        <w:rPr>
          <w:rFonts w:cs="Calibri"/>
          <w:color w:val="000000" w:themeColor="text1"/>
        </w:rPr>
        <w:t>ařízení evropského parlamentu a rady (ES) č. 443/2009 ze dne 23. dubna 2009, kterým se stanoví</w:t>
      </w:r>
      <w:r w:rsidRPr="007C0A9B">
        <w:rPr>
          <w:color w:val="000000" w:themeColor="text1"/>
        </w:rPr>
        <w:t xml:space="preserve"> </w:t>
      </w:r>
      <w:r>
        <w:t>výkonnostní emisní normy pro nové osobní automobily v rámci integrovaného přístupu Společenství ke snižování emisí CO</w:t>
      </w:r>
      <w:r w:rsidRPr="005E51AF">
        <w:rPr>
          <w:vertAlign w:val="subscript"/>
        </w:rPr>
        <w:t>2</w:t>
      </w:r>
      <w:r>
        <w:t xml:space="preserve"> z lehkých užitkových vozidel.</w:t>
      </w:r>
    </w:p>
  </w:footnote>
  <w:footnote w:id="24">
    <w:p w14:paraId="400B9640" w14:textId="77777777" w:rsidR="008034B0" w:rsidRDefault="008034B0" w:rsidP="007C0A9B">
      <w:pPr>
        <w:pStyle w:val="Textpoznpodarou"/>
        <w:ind w:left="284" w:hanging="284"/>
      </w:pPr>
      <w:r>
        <w:rPr>
          <w:rStyle w:val="Znakapoznpodarou"/>
        </w:rPr>
        <w:footnoteRef/>
      </w:r>
      <w:r>
        <w:t xml:space="preserve"> </w:t>
      </w:r>
      <w:r>
        <w:tab/>
        <w:t xml:space="preserve">Zdroj: </w:t>
      </w:r>
      <w:hyperlink r:id="rId5" w:anchor="title1" w:history="1">
        <w:r w:rsidRPr="006D5DFC">
          <w:rPr>
            <w:rStyle w:val="Hypertextovodkaz"/>
            <w:u w:val="none"/>
          </w:rPr>
          <w:t>http://www.europarl.europa.eu/doceo/document/TA-8-2019-0304_CS.html#title1</w:t>
        </w:r>
      </w:hyperlink>
      <w:r>
        <w:t>.</w:t>
      </w:r>
    </w:p>
  </w:footnote>
  <w:footnote w:id="25">
    <w:p w14:paraId="178FF4A3" w14:textId="77777777" w:rsidR="008034B0" w:rsidRDefault="008034B0" w:rsidP="007C0A9B">
      <w:pPr>
        <w:pStyle w:val="Textpoznpodarou"/>
        <w:ind w:left="284" w:hanging="284"/>
      </w:pPr>
      <w:r>
        <w:rPr>
          <w:rStyle w:val="Znakapoznpodarou"/>
        </w:rPr>
        <w:footnoteRef/>
      </w:r>
      <w:r>
        <w:t xml:space="preserve"> </w:t>
      </w:r>
      <w:r>
        <w:tab/>
        <w:t>Směrnice evropského parlamentu a rady 2006/38/ES ze dne 17. května 2006, kterou se mění směrnice 1999/62/ES o výběru poplatků za užívání určitých pozemních komunikací těžkými nákladními vozidly.</w:t>
      </w:r>
    </w:p>
  </w:footnote>
  <w:footnote w:id="26">
    <w:p w14:paraId="08A8CD76" w14:textId="77777777" w:rsidR="008034B0" w:rsidRDefault="008034B0" w:rsidP="007C0A9B">
      <w:pPr>
        <w:pStyle w:val="Textpoznpodarou"/>
        <w:ind w:left="284" w:hanging="284"/>
      </w:pPr>
      <w:r>
        <w:rPr>
          <w:rStyle w:val="Znakapoznpodarou"/>
        </w:rPr>
        <w:footnoteRef/>
      </w:r>
      <w:r>
        <w:t xml:space="preserve"> </w:t>
      </w:r>
      <w:r>
        <w:tab/>
        <w:t xml:space="preserve">Ustanovení § 22 a § 24 zákona č. 2/1969 Sb., </w:t>
      </w:r>
      <w:r w:rsidRPr="0004232A">
        <w:t>o zřízení ministerstev a jiných ústředních orgánů státní správy České republiky</w:t>
      </w:r>
      <w:r>
        <w:t>.</w:t>
      </w:r>
    </w:p>
  </w:footnote>
  <w:footnote w:id="27">
    <w:p w14:paraId="4EDEDCD7" w14:textId="77777777" w:rsidR="008034B0" w:rsidRDefault="008034B0" w:rsidP="007C0A9B">
      <w:pPr>
        <w:pStyle w:val="Textpoznpodarou"/>
        <w:ind w:left="284" w:hanging="284"/>
      </w:pPr>
      <w:r>
        <w:rPr>
          <w:rStyle w:val="Znakapoznpodarou"/>
        </w:rPr>
        <w:footnoteRef/>
      </w:r>
      <w:r>
        <w:t xml:space="preserve"> </w:t>
      </w:r>
      <w:r>
        <w:tab/>
        <w:t xml:space="preserve">Zákon č. </w:t>
      </w:r>
      <w:r w:rsidRPr="0004232A">
        <w:t>23/2017 Sb.</w:t>
      </w:r>
      <w:r>
        <w:t>,</w:t>
      </w:r>
      <w:r w:rsidRPr="0004232A">
        <w:t xml:space="preserve"> o pravidlech rozpočtové odpovědnosti</w:t>
      </w:r>
      <w:r>
        <w:t>.</w:t>
      </w:r>
    </w:p>
  </w:footnote>
  <w:footnote w:id="28">
    <w:p w14:paraId="56CB0E0E" w14:textId="77777777" w:rsidR="008034B0" w:rsidRDefault="008034B0" w:rsidP="007C0A9B">
      <w:pPr>
        <w:pStyle w:val="Textpoznpodarou"/>
        <w:ind w:left="284" w:hanging="284"/>
      </w:pPr>
      <w:r>
        <w:rPr>
          <w:rStyle w:val="Znakapoznpodarou"/>
        </w:rPr>
        <w:footnoteRef/>
      </w:r>
      <w:r>
        <w:t xml:space="preserve"> </w:t>
      </w:r>
      <w:r>
        <w:tab/>
        <w:t xml:space="preserve">Řecko, Dánsko, Finsko, Bulharsko, Německo, Estonsko, Slovensko, Lotyšsko, Rakousko, Nizozemsko, Lucembursko a </w:t>
      </w:r>
      <w:r w:rsidRPr="002D3906">
        <w:t>Belgie</w:t>
      </w:r>
      <w:r>
        <w:t>.</w:t>
      </w:r>
    </w:p>
  </w:footnote>
  <w:footnote w:id="29">
    <w:p w14:paraId="46E702C8" w14:textId="18570144" w:rsidR="008034B0" w:rsidRDefault="008034B0" w:rsidP="00A05A6F">
      <w:pPr>
        <w:pStyle w:val="Textpoznpodarou"/>
        <w:ind w:left="284" w:hanging="284"/>
        <w:jc w:val="left"/>
      </w:pPr>
      <w:r>
        <w:rPr>
          <w:rStyle w:val="Znakapoznpodarou"/>
        </w:rPr>
        <w:footnoteRef/>
      </w:r>
      <w:r>
        <w:t xml:space="preserve"> </w:t>
      </w:r>
      <w:r>
        <w:tab/>
        <w:t xml:space="preserve">Studie </w:t>
      </w:r>
      <w:r w:rsidRPr="00CA6C6D">
        <w:rPr>
          <w:i/>
        </w:rPr>
        <w:t>Using vehicle taxation policy to lower transport emissions – an overview for passanger cars in Europe</w:t>
      </w:r>
      <w:r>
        <w:t xml:space="preserve"> dostupná z: </w:t>
      </w:r>
      <w:hyperlink r:id="rId6" w:history="1">
        <w:r w:rsidRPr="00A05A6F">
          <w:rPr>
            <w:rStyle w:val="Hypertextovodkaz"/>
            <w:u w:val="none"/>
          </w:rPr>
          <w:t>https://www.theicct.org/sites/default/files/publications/EU_vehicle_taxation_Report_20181214_0.pdf</w:t>
        </w:r>
      </w:hyperlink>
      <w:r>
        <w:t xml:space="preserve">. </w:t>
      </w:r>
    </w:p>
  </w:footnote>
  <w:footnote w:id="30">
    <w:p w14:paraId="27628860" w14:textId="77777777" w:rsidR="008034B0" w:rsidRDefault="008034B0" w:rsidP="004C3BE5">
      <w:pPr>
        <w:pStyle w:val="Textpoznpodarou"/>
        <w:ind w:left="284" w:hanging="284"/>
      </w:pPr>
      <w:r>
        <w:rPr>
          <w:rStyle w:val="Znakapoznpodarou"/>
        </w:rPr>
        <w:footnoteRef/>
      </w:r>
      <w:r>
        <w:t xml:space="preserve"> </w:t>
      </w:r>
      <w:r>
        <w:tab/>
        <w:t>Za rok 2018 jsou obsažena i osobní vozidla na etha</w:t>
      </w:r>
      <w:r w:rsidRPr="00E136AF">
        <w:t>nol (E85)</w:t>
      </w:r>
      <w:r>
        <w:t>.</w:t>
      </w:r>
    </w:p>
  </w:footnote>
  <w:footnote w:id="31">
    <w:p w14:paraId="0A169CED" w14:textId="2A9E5BFF" w:rsidR="008034B0" w:rsidRDefault="008034B0" w:rsidP="004C3BE5">
      <w:pPr>
        <w:pStyle w:val="Textpoznpodarou"/>
        <w:ind w:left="284" w:hanging="284"/>
      </w:pPr>
      <w:r>
        <w:rPr>
          <w:rStyle w:val="Znakapoznpodarou"/>
        </w:rPr>
        <w:footnoteRef/>
      </w:r>
      <w:r>
        <w:t xml:space="preserve"> </w:t>
      </w:r>
      <w:r>
        <w:tab/>
        <w:t>Směrnice Rady 2003/96/ES ze dne 27. 10. 2003, kterou se mění struktura rámcových předpisů Společenství o zdanění energetických produktů a elektřiny.</w:t>
      </w:r>
    </w:p>
  </w:footnote>
  <w:footnote w:id="32">
    <w:p w14:paraId="208EDF9B" w14:textId="77777777" w:rsidR="008034B0" w:rsidRDefault="008034B0" w:rsidP="004C3BE5">
      <w:pPr>
        <w:pStyle w:val="Textpoznpodarou"/>
        <w:ind w:left="284" w:hanging="284"/>
      </w:pPr>
      <w:r>
        <w:rPr>
          <w:rStyle w:val="Znakapoznpodarou"/>
        </w:rPr>
        <w:footnoteRef/>
      </w:r>
      <w:r>
        <w:t xml:space="preserve"> </w:t>
      </w:r>
      <w:r>
        <w:tab/>
        <w:t>U LPG pouze podíl daně na hodinové mediánové hrubé mzdě ve standardu kupní síly.</w:t>
      </w:r>
    </w:p>
  </w:footnote>
  <w:footnote w:id="33">
    <w:p w14:paraId="2424F6EE" w14:textId="77777777" w:rsidR="008034B0" w:rsidRDefault="008034B0" w:rsidP="001C20FD">
      <w:pPr>
        <w:pStyle w:val="Textpoznpodarou"/>
        <w:ind w:left="284" w:hanging="284"/>
      </w:pPr>
      <w:r>
        <w:rPr>
          <w:rStyle w:val="Znakapoznpodarou"/>
        </w:rPr>
        <w:footnoteRef/>
      </w:r>
      <w:r>
        <w:t xml:space="preserve"> </w:t>
      </w:r>
      <w:r>
        <w:tab/>
        <w:t xml:space="preserve">Dle ustanovení § 3 odst. f) a ustanovení </w:t>
      </w:r>
      <w:r w:rsidRPr="00F13282">
        <w:t xml:space="preserve">§ 6 </w:t>
      </w:r>
      <w:r>
        <w:t>zákona č. 16/1993 Sb., o dani silniční.</w:t>
      </w:r>
    </w:p>
  </w:footnote>
  <w:footnote w:id="34">
    <w:p w14:paraId="3921D616" w14:textId="77777777" w:rsidR="008034B0" w:rsidRDefault="008034B0" w:rsidP="001C20FD">
      <w:pPr>
        <w:pStyle w:val="Textpoznpodarou"/>
        <w:ind w:left="284" w:hanging="284"/>
      </w:pPr>
      <w:r>
        <w:rPr>
          <w:rStyle w:val="Znakapoznpodarou"/>
        </w:rPr>
        <w:footnoteRef/>
      </w:r>
      <w:r>
        <w:t xml:space="preserve"> </w:t>
      </w:r>
      <w:r>
        <w:tab/>
        <w:t>Směrnice Evropského parlamentu a Rady 1999/62/ES ze dne 17. června 1999 o výběru poplatků za užívání určitých pozemních komunikací těžkými nákladními vozidly.</w:t>
      </w:r>
    </w:p>
  </w:footnote>
  <w:footnote w:id="35">
    <w:p w14:paraId="621EEAB9" w14:textId="77777777" w:rsidR="008034B0" w:rsidRDefault="008034B0" w:rsidP="00BB24A9">
      <w:pPr>
        <w:pStyle w:val="Textpoznpodarou"/>
        <w:ind w:left="284" w:hanging="284"/>
      </w:pPr>
      <w:r>
        <w:rPr>
          <w:rStyle w:val="Znakapoznpodarou"/>
        </w:rPr>
        <w:footnoteRef/>
      </w:r>
      <w:r>
        <w:t xml:space="preserve"> </w:t>
      </w:r>
      <w:r>
        <w:tab/>
        <w:t xml:space="preserve">Dle ustanovení § 6 odst. 6 a odst. 8 zákona č. 16/1993 Sb., o dani silniční. </w:t>
      </w:r>
    </w:p>
  </w:footnote>
  <w:footnote w:id="36">
    <w:p w14:paraId="571FA827" w14:textId="5CCE16ED" w:rsidR="008034B0" w:rsidRPr="006C3A4B" w:rsidRDefault="008034B0" w:rsidP="00BB24A9">
      <w:pPr>
        <w:spacing w:after="0"/>
        <w:ind w:left="284" w:hanging="284"/>
        <w:jc w:val="left"/>
        <w:rPr>
          <w:color w:val="000000" w:themeColor="text1"/>
          <w:sz w:val="20"/>
          <w:szCs w:val="20"/>
        </w:rPr>
      </w:pPr>
      <w:r w:rsidRPr="007266FD">
        <w:rPr>
          <w:rStyle w:val="Znakapoznpodarou"/>
          <w:sz w:val="20"/>
          <w:szCs w:val="20"/>
        </w:rPr>
        <w:footnoteRef/>
      </w:r>
      <w:r w:rsidRPr="007266FD">
        <w:rPr>
          <w:sz w:val="20"/>
          <w:szCs w:val="20"/>
        </w:rPr>
        <w:t xml:space="preserve"> </w:t>
      </w:r>
      <w:r>
        <w:rPr>
          <w:sz w:val="20"/>
          <w:szCs w:val="20"/>
        </w:rPr>
        <w:tab/>
      </w:r>
      <w:r w:rsidRPr="007266FD">
        <w:rPr>
          <w:sz w:val="20"/>
          <w:szCs w:val="20"/>
        </w:rPr>
        <w:t>European Automobile Manufacturers' Association</w:t>
      </w:r>
      <w:r>
        <w:rPr>
          <w:sz w:val="20"/>
          <w:szCs w:val="20"/>
        </w:rPr>
        <w:t>:</w:t>
      </w:r>
      <w:r w:rsidRPr="007266FD">
        <w:rPr>
          <w:sz w:val="20"/>
          <w:szCs w:val="20"/>
        </w:rPr>
        <w:t xml:space="preserve"> </w:t>
      </w:r>
      <w:r w:rsidRPr="00D267C1">
        <w:rPr>
          <w:i/>
          <w:sz w:val="20"/>
          <w:szCs w:val="20"/>
        </w:rPr>
        <w:t>ACEA Report Vehicles in use Europe 2018</w:t>
      </w:r>
      <w:r>
        <w:rPr>
          <w:sz w:val="20"/>
          <w:szCs w:val="20"/>
        </w:rPr>
        <w:t>,</w:t>
      </w:r>
      <w:r w:rsidRPr="007266FD">
        <w:rPr>
          <w:sz w:val="20"/>
          <w:szCs w:val="20"/>
        </w:rPr>
        <w:t xml:space="preserve"> </w:t>
      </w:r>
      <w:r>
        <w:rPr>
          <w:sz w:val="20"/>
          <w:szCs w:val="20"/>
        </w:rPr>
        <w:t xml:space="preserve">dostupné na </w:t>
      </w:r>
      <w:hyperlink r:id="rId7" w:history="1">
        <w:r w:rsidRPr="00BB24A9">
          <w:rPr>
            <w:rStyle w:val="Hypertextovodkaz"/>
            <w:sz w:val="20"/>
            <w:szCs w:val="20"/>
            <w:u w:val="none"/>
          </w:rPr>
          <w:t>https://www.acea.be/statistics/tag/category/report-vehicles-in-use</w:t>
        </w:r>
      </w:hyperlink>
      <w:r>
        <w:rPr>
          <w:rStyle w:val="Hypertextovodkaz"/>
          <w:color w:val="000000" w:themeColor="text1"/>
          <w:sz w:val="20"/>
          <w:szCs w:val="20"/>
          <w:u w:val="none"/>
        </w:rPr>
        <w:t>.</w:t>
      </w:r>
    </w:p>
  </w:footnote>
  <w:footnote w:id="37">
    <w:p w14:paraId="7482BE0D" w14:textId="77777777" w:rsidR="008034B0" w:rsidRDefault="008034B0" w:rsidP="00884ED2">
      <w:pPr>
        <w:pStyle w:val="Textpoznpodarou"/>
        <w:ind w:left="284" w:hanging="284"/>
      </w:pPr>
      <w:r>
        <w:rPr>
          <w:rStyle w:val="Znakapoznpodarou"/>
        </w:rPr>
        <w:footnoteRef/>
      </w:r>
      <w:r>
        <w:t xml:space="preserve"> </w:t>
      </w:r>
      <w:r>
        <w:tab/>
        <w:t>Směrnice Rady 2006/112/ES ze dne 28. 11. 2006, o společném systému daně z přidané hodnoty.</w:t>
      </w:r>
    </w:p>
  </w:footnote>
  <w:footnote w:id="38">
    <w:p w14:paraId="56C1E96A" w14:textId="1FA092A3" w:rsidR="008034B0" w:rsidRPr="00726001" w:rsidRDefault="008034B0" w:rsidP="00D12722">
      <w:pPr>
        <w:spacing w:after="0"/>
        <w:ind w:left="284" w:hanging="284"/>
        <w:jc w:val="left"/>
        <w:rPr>
          <w:color w:val="000000" w:themeColor="text1"/>
          <w:sz w:val="20"/>
          <w:szCs w:val="20"/>
        </w:rPr>
      </w:pPr>
      <w:r w:rsidRPr="00294DD6">
        <w:rPr>
          <w:rStyle w:val="Znakapoznpodarou"/>
          <w:sz w:val="20"/>
          <w:szCs w:val="20"/>
        </w:rPr>
        <w:footnoteRef/>
      </w:r>
      <w:r w:rsidRPr="00294DD6">
        <w:rPr>
          <w:sz w:val="20"/>
          <w:szCs w:val="20"/>
        </w:rPr>
        <w:t xml:space="preserve"> </w:t>
      </w:r>
      <w:r>
        <w:rPr>
          <w:sz w:val="20"/>
          <w:szCs w:val="20"/>
        </w:rPr>
        <w:tab/>
      </w:r>
      <w:r w:rsidRPr="004260CF">
        <w:rPr>
          <w:b/>
          <w:sz w:val="20"/>
          <w:szCs w:val="20"/>
        </w:rPr>
        <w:t>Ze zdrojů:</w:t>
      </w:r>
      <w:r>
        <w:rPr>
          <w:sz w:val="20"/>
          <w:szCs w:val="20"/>
        </w:rPr>
        <w:t xml:space="preserve"> </w:t>
      </w:r>
      <w:r>
        <w:rPr>
          <w:i/>
          <w:sz w:val="20"/>
          <w:szCs w:val="20"/>
        </w:rPr>
        <w:t>1) </w:t>
      </w:r>
      <w:r w:rsidRPr="00294DD6">
        <w:rPr>
          <w:i/>
          <w:sz w:val="20"/>
          <w:szCs w:val="20"/>
        </w:rPr>
        <w:t>The International Council on Clean Transportation: „Using vehicle taxation policy to lower transport emissions – an overview for passanger cars in Europe“</w:t>
      </w:r>
      <w:r w:rsidRPr="009C76A3">
        <w:rPr>
          <w:sz w:val="20"/>
          <w:szCs w:val="20"/>
        </w:rPr>
        <w:t xml:space="preserve">, Sandra Wappelhorst, Peter Mock, Zifei Yang, 2018, dostupné online z: </w:t>
      </w:r>
      <w:hyperlink r:id="rId8" w:history="1">
        <w:r w:rsidRPr="009C76A3">
          <w:rPr>
            <w:rStyle w:val="Hypertextovodkaz"/>
            <w:sz w:val="20"/>
            <w:szCs w:val="20"/>
            <w:u w:val="none"/>
          </w:rPr>
          <w:t>https://theicct.org/sites/default/files/publications/EU_vehicle_taxation_Report_20181214_0.pdf</w:t>
        </w:r>
      </w:hyperlink>
      <w:r>
        <w:rPr>
          <w:rStyle w:val="Hypertextovodkaz"/>
          <w:color w:val="000000" w:themeColor="text1"/>
          <w:sz w:val="20"/>
          <w:szCs w:val="20"/>
          <w:u w:val="none"/>
        </w:rPr>
        <w:t>;</w:t>
      </w:r>
    </w:p>
    <w:p w14:paraId="6824688A" w14:textId="41DF2588" w:rsidR="008034B0" w:rsidRPr="009C76A3" w:rsidRDefault="008034B0" w:rsidP="009C76A3">
      <w:pPr>
        <w:spacing w:after="0"/>
        <w:ind w:left="284"/>
        <w:jc w:val="left"/>
        <w:rPr>
          <w:sz w:val="20"/>
          <w:szCs w:val="20"/>
        </w:rPr>
      </w:pPr>
      <w:r>
        <w:rPr>
          <w:i/>
          <w:sz w:val="20"/>
          <w:szCs w:val="20"/>
        </w:rPr>
        <w:t>2) </w:t>
      </w:r>
      <w:r w:rsidRPr="00294DD6">
        <w:rPr>
          <w:i/>
          <w:sz w:val="20"/>
          <w:szCs w:val="20"/>
        </w:rPr>
        <w:t>Austrian Vehicle Industry Association</w:t>
      </w:r>
      <w:r w:rsidRPr="009C76A3">
        <w:rPr>
          <w:sz w:val="20"/>
          <w:szCs w:val="20"/>
        </w:rPr>
        <w:t xml:space="preserve">, Walter Linszbauer, 2018, dostupné online z: </w:t>
      </w:r>
      <w:hyperlink r:id="rId9" w:history="1">
        <w:r w:rsidRPr="009C76A3">
          <w:rPr>
            <w:rStyle w:val="Hypertextovodkaz"/>
            <w:sz w:val="20"/>
            <w:szCs w:val="20"/>
            <w:u w:val="none"/>
          </w:rPr>
          <w:t>https://www.fahrzeugindustrie.at/fileadmin/content/Zahlen___Fakten/Steuern/Austria_2017NEW.pdf</w:t>
        </w:r>
      </w:hyperlink>
      <w:r>
        <w:rPr>
          <w:color w:val="000000" w:themeColor="text1"/>
          <w:sz w:val="20"/>
          <w:szCs w:val="20"/>
        </w:rPr>
        <w:t>;</w:t>
      </w:r>
      <w:r>
        <w:rPr>
          <w:sz w:val="20"/>
          <w:szCs w:val="20"/>
        </w:rPr>
        <w:t xml:space="preserve"> </w:t>
      </w:r>
    </w:p>
    <w:p w14:paraId="57CB5896" w14:textId="384CAB8A" w:rsidR="008034B0" w:rsidRPr="009C76A3" w:rsidRDefault="008034B0" w:rsidP="009C76A3">
      <w:pPr>
        <w:spacing w:after="0"/>
        <w:ind w:left="284"/>
        <w:jc w:val="left"/>
        <w:rPr>
          <w:sz w:val="20"/>
          <w:szCs w:val="20"/>
        </w:rPr>
      </w:pPr>
      <w:r>
        <w:rPr>
          <w:i/>
          <w:sz w:val="20"/>
          <w:szCs w:val="20"/>
        </w:rPr>
        <w:t>3)</w:t>
      </w:r>
      <w:r w:rsidRPr="009C76A3">
        <w:rPr>
          <w:sz w:val="20"/>
          <w:szCs w:val="20"/>
        </w:rPr>
        <w:t> ACEA,</w:t>
      </w:r>
      <w:r w:rsidRPr="00294DD6">
        <w:rPr>
          <w:i/>
          <w:sz w:val="20"/>
          <w:szCs w:val="20"/>
        </w:rPr>
        <w:t xml:space="preserve"> Tax Guide</w:t>
      </w:r>
      <w:r w:rsidRPr="009C76A3">
        <w:rPr>
          <w:sz w:val="20"/>
          <w:szCs w:val="20"/>
        </w:rPr>
        <w:t xml:space="preserve">, 2018, dostupné online z: </w:t>
      </w:r>
      <w:hyperlink r:id="rId10" w:history="1">
        <w:r w:rsidRPr="009C76A3">
          <w:rPr>
            <w:rStyle w:val="Hypertextovodkaz"/>
            <w:sz w:val="20"/>
            <w:szCs w:val="20"/>
            <w:u w:val="none"/>
          </w:rPr>
          <w:t>https://www.acea.be/uploads/news_documents/ACEA_Tax_Guide_2018.pdf</w:t>
        </w:r>
      </w:hyperlink>
      <w:r>
        <w:rPr>
          <w:sz w:val="20"/>
          <w:szCs w:val="20"/>
        </w:rPr>
        <w:t xml:space="preserve">; </w:t>
      </w:r>
    </w:p>
    <w:p w14:paraId="2F126642" w14:textId="7E65330F" w:rsidR="008034B0" w:rsidRPr="009C76A3" w:rsidRDefault="008034B0" w:rsidP="009C76A3">
      <w:pPr>
        <w:spacing w:after="0"/>
        <w:ind w:left="284"/>
        <w:jc w:val="left"/>
        <w:rPr>
          <w:sz w:val="20"/>
          <w:szCs w:val="20"/>
        </w:rPr>
      </w:pPr>
      <w:r w:rsidRPr="009C76A3">
        <w:rPr>
          <w:sz w:val="20"/>
          <w:szCs w:val="20"/>
        </w:rPr>
        <w:t>4) </w:t>
      </w:r>
      <w:r>
        <w:rPr>
          <w:sz w:val="20"/>
          <w:szCs w:val="20"/>
        </w:rPr>
        <w:t>d</w:t>
      </w:r>
      <w:r w:rsidRPr="009C76A3">
        <w:rPr>
          <w:sz w:val="20"/>
          <w:szCs w:val="20"/>
        </w:rPr>
        <w:t>otazník NKÚ.</w:t>
      </w:r>
    </w:p>
  </w:footnote>
  <w:footnote w:id="39">
    <w:p w14:paraId="6FE9BDCD" w14:textId="77777777" w:rsidR="008034B0" w:rsidRDefault="008034B0" w:rsidP="00D12722">
      <w:pPr>
        <w:pStyle w:val="Textpoznpodarou"/>
        <w:ind w:left="284" w:hanging="284"/>
      </w:pPr>
      <w:r>
        <w:rPr>
          <w:rStyle w:val="Znakapoznpodarou"/>
        </w:rPr>
        <w:footnoteRef/>
      </w:r>
      <w:r>
        <w:t xml:space="preserve"> </w:t>
      </w:r>
      <w:r>
        <w:tab/>
        <w:t>Zákon č. 586/1992 Sb., o daních z příjmů.</w:t>
      </w:r>
    </w:p>
  </w:footnote>
  <w:footnote w:id="40">
    <w:p w14:paraId="75235AC7" w14:textId="58A89A06" w:rsidR="008034B0" w:rsidRPr="00D12722" w:rsidRDefault="008034B0" w:rsidP="001B4B66">
      <w:pPr>
        <w:spacing w:after="0"/>
        <w:ind w:left="284" w:hanging="284"/>
        <w:jc w:val="left"/>
        <w:rPr>
          <w:sz w:val="20"/>
          <w:szCs w:val="20"/>
        </w:rPr>
      </w:pPr>
      <w:r w:rsidRPr="00254B67">
        <w:rPr>
          <w:rStyle w:val="Znakapoznpodarou"/>
          <w:sz w:val="20"/>
          <w:szCs w:val="20"/>
        </w:rPr>
        <w:footnoteRef/>
      </w:r>
      <w:r w:rsidRPr="00254B67">
        <w:rPr>
          <w:sz w:val="20"/>
          <w:szCs w:val="20"/>
        </w:rPr>
        <w:t xml:space="preserve"> </w:t>
      </w:r>
      <w:r>
        <w:rPr>
          <w:sz w:val="20"/>
          <w:szCs w:val="20"/>
        </w:rPr>
        <w:tab/>
      </w:r>
      <w:r w:rsidRPr="00925464">
        <w:rPr>
          <w:b/>
          <w:sz w:val="20"/>
          <w:szCs w:val="20"/>
        </w:rPr>
        <w:t xml:space="preserve">Ze zdrojů: </w:t>
      </w:r>
      <w:hyperlink r:id="rId11" w:history="1">
        <w:r w:rsidRPr="00254B67">
          <w:rPr>
            <w:rStyle w:val="mainheaderlogotext"/>
            <w:i/>
            <w:color w:val="303030"/>
            <w:sz w:val="20"/>
            <w:szCs w:val="20"/>
            <w:shd w:val="clear" w:color="auto" w:fill="FFFFFF"/>
          </w:rPr>
          <w:t>European Alternative Fuels Observatory</w:t>
        </w:r>
      </w:hyperlink>
      <w:r w:rsidRPr="00D12722">
        <w:rPr>
          <w:sz w:val="20"/>
          <w:szCs w:val="20"/>
        </w:rPr>
        <w:t xml:space="preserve">, 2018, dostupné online z: </w:t>
      </w:r>
      <w:hyperlink r:id="rId12" w:history="1">
        <w:r w:rsidRPr="00D12722">
          <w:rPr>
            <w:rStyle w:val="Hypertextovodkaz"/>
            <w:sz w:val="20"/>
            <w:szCs w:val="20"/>
            <w:u w:val="none"/>
          </w:rPr>
          <w:t>https://www.eafo.eu/</w:t>
        </w:r>
      </w:hyperlink>
      <w:r>
        <w:rPr>
          <w:rStyle w:val="Hypertextovodkaz"/>
          <w:color w:val="000000" w:themeColor="text1"/>
          <w:sz w:val="20"/>
          <w:szCs w:val="20"/>
          <w:u w:val="none"/>
        </w:rPr>
        <w:t>;</w:t>
      </w:r>
      <w:r w:rsidRPr="001B4B66">
        <w:rPr>
          <w:rStyle w:val="Hypertextovodkaz"/>
          <w:color w:val="000000" w:themeColor="text1"/>
          <w:sz w:val="20"/>
          <w:szCs w:val="20"/>
          <w:u w:val="none"/>
        </w:rPr>
        <w:t xml:space="preserve"> </w:t>
      </w:r>
      <w:r>
        <w:rPr>
          <w:rStyle w:val="Hypertextovodkaz"/>
          <w:color w:val="000000" w:themeColor="text1"/>
          <w:sz w:val="20"/>
          <w:szCs w:val="20"/>
          <w:u w:val="none"/>
        </w:rPr>
        <w:br/>
      </w:r>
      <w:r w:rsidRPr="00254B67">
        <w:rPr>
          <w:i/>
          <w:sz w:val="20"/>
          <w:szCs w:val="20"/>
        </w:rPr>
        <w:t>The International Council on Clean Transportation: „Using vehicle taxation policy to lower transport emissions – an overview for passanger cars in Europe“</w:t>
      </w:r>
      <w:r w:rsidRPr="00D12722">
        <w:rPr>
          <w:sz w:val="20"/>
          <w:szCs w:val="20"/>
        </w:rPr>
        <w:t xml:space="preserve">, Sandra Wappelhorst, Peter Mock, Zifei Yang, 2018, dostupné online z: </w:t>
      </w:r>
      <w:hyperlink r:id="rId13" w:history="1">
        <w:r w:rsidRPr="00D12722">
          <w:rPr>
            <w:rStyle w:val="Hypertextovodkaz"/>
            <w:sz w:val="20"/>
            <w:szCs w:val="20"/>
            <w:u w:val="none"/>
          </w:rPr>
          <w:t>https://theicct.org/sites/default/files/publications/EU_vehicle_taxation_Report_20181214_0.pdf</w:t>
        </w:r>
      </w:hyperlink>
      <w:r>
        <w:rPr>
          <w:rStyle w:val="Hypertextovodkaz"/>
          <w:color w:val="000000" w:themeColor="text1"/>
          <w:sz w:val="20"/>
          <w:szCs w:val="20"/>
          <w:u w:val="none"/>
        </w:rPr>
        <w:t>;</w:t>
      </w:r>
      <w:r w:rsidRPr="00D12722">
        <w:rPr>
          <w:rStyle w:val="Hypertextovodkaz"/>
          <w:color w:val="000000" w:themeColor="text1"/>
          <w:sz w:val="20"/>
          <w:szCs w:val="20"/>
          <w:u w:val="none"/>
        </w:rPr>
        <w:t xml:space="preserve"> </w:t>
      </w:r>
      <w:r>
        <w:rPr>
          <w:i/>
          <w:sz w:val="20"/>
          <w:szCs w:val="20"/>
        </w:rPr>
        <w:br/>
      </w:r>
      <w:r w:rsidRPr="00254B67">
        <w:rPr>
          <w:i/>
          <w:sz w:val="20"/>
          <w:szCs w:val="20"/>
        </w:rPr>
        <w:t>Austrian Vehicle Industry Association</w:t>
      </w:r>
      <w:r w:rsidRPr="00D12722">
        <w:rPr>
          <w:sz w:val="20"/>
          <w:szCs w:val="20"/>
        </w:rPr>
        <w:t xml:space="preserve">, Walter Linszbauer, 2018, dostupné online z: </w:t>
      </w:r>
      <w:hyperlink r:id="rId14" w:history="1">
        <w:r w:rsidRPr="00D12722">
          <w:rPr>
            <w:rStyle w:val="Hypertextovodkaz"/>
            <w:i/>
            <w:sz w:val="20"/>
            <w:szCs w:val="20"/>
            <w:u w:val="none"/>
          </w:rPr>
          <w:t>https://www.fahrzeugindustrie.at/fileadmin/content/Zahlen___Fakten/Steuern/Austria_2017NEW.pdf</w:t>
        </w:r>
      </w:hyperlink>
      <w:r>
        <w:rPr>
          <w:rStyle w:val="Hypertextovodkaz"/>
          <w:color w:val="000000" w:themeColor="text1"/>
          <w:sz w:val="20"/>
          <w:szCs w:val="20"/>
          <w:u w:val="none"/>
        </w:rPr>
        <w:t xml:space="preserve">; </w:t>
      </w:r>
      <w:r>
        <w:rPr>
          <w:rStyle w:val="Hypertextovodkaz"/>
          <w:color w:val="000000" w:themeColor="text1"/>
          <w:sz w:val="20"/>
          <w:szCs w:val="20"/>
          <w:u w:val="none"/>
        </w:rPr>
        <w:br/>
      </w:r>
      <w:r w:rsidRPr="00254B67">
        <w:rPr>
          <w:i/>
          <w:sz w:val="20"/>
          <w:szCs w:val="20"/>
        </w:rPr>
        <w:t>Rodl a Partner, Cost accounting – cars</w:t>
      </w:r>
      <w:r w:rsidRPr="00D12722">
        <w:rPr>
          <w:sz w:val="20"/>
          <w:szCs w:val="20"/>
        </w:rPr>
        <w:t xml:space="preserve">, Maciej Wilczkiewicz  2018, dostupné online z: </w:t>
      </w:r>
      <w:hyperlink r:id="rId15" w:history="1">
        <w:r w:rsidRPr="00D12722">
          <w:rPr>
            <w:rStyle w:val="Hypertextovodkaz"/>
            <w:sz w:val="20"/>
            <w:szCs w:val="20"/>
            <w:u w:val="none"/>
          </w:rPr>
          <w:t>http://www.roedl.net/pl/en/hot_news/corporate_income_tax_cit_in_poland/cost_accounting_cars.html</w:t>
        </w:r>
      </w:hyperlink>
      <w:r>
        <w:rPr>
          <w:rStyle w:val="Hypertextovodkaz"/>
          <w:color w:val="000000" w:themeColor="text1"/>
          <w:sz w:val="20"/>
          <w:szCs w:val="20"/>
          <w:u w:val="none"/>
        </w:rPr>
        <w:t>;</w:t>
      </w:r>
      <w:r w:rsidRPr="00D12722">
        <w:rPr>
          <w:rStyle w:val="Hypertextovodkaz"/>
          <w:color w:val="000000" w:themeColor="text1"/>
          <w:sz w:val="20"/>
          <w:szCs w:val="20"/>
          <w:u w:val="none"/>
        </w:rPr>
        <w:t xml:space="preserve"> </w:t>
      </w:r>
      <w:r>
        <w:rPr>
          <w:sz w:val="20"/>
          <w:szCs w:val="20"/>
        </w:rPr>
        <w:t>d</w:t>
      </w:r>
      <w:r w:rsidRPr="00D12722">
        <w:rPr>
          <w:sz w:val="20"/>
          <w:szCs w:val="20"/>
        </w:rPr>
        <w:t>otazník NKÚ.</w:t>
      </w:r>
    </w:p>
  </w:footnote>
  <w:footnote w:id="41">
    <w:p w14:paraId="685E877E" w14:textId="77777777" w:rsidR="008034B0" w:rsidRDefault="008034B0" w:rsidP="00D12722">
      <w:pPr>
        <w:pStyle w:val="Textpoznpodarou"/>
        <w:ind w:left="284" w:hanging="284"/>
      </w:pPr>
      <w:r>
        <w:rPr>
          <w:rStyle w:val="Znakapoznpodarou"/>
        </w:rPr>
        <w:footnoteRef/>
      </w:r>
      <w:r>
        <w:t xml:space="preserve"> </w:t>
      </w:r>
      <w:r>
        <w:tab/>
        <w:t>Zákon č. 634/2004 Sb., o správních poplatcích.</w:t>
      </w:r>
    </w:p>
  </w:footnote>
  <w:footnote w:id="42">
    <w:p w14:paraId="0D80C8B7" w14:textId="71D6A25C" w:rsidR="008034B0" w:rsidRDefault="008034B0" w:rsidP="00D12722">
      <w:pPr>
        <w:pStyle w:val="Textpoznpodarou"/>
        <w:ind w:left="284" w:hanging="284"/>
      </w:pPr>
      <w:r>
        <w:rPr>
          <w:rStyle w:val="Znakapoznpodarou"/>
        </w:rPr>
        <w:footnoteRef/>
      </w:r>
      <w:r>
        <w:t xml:space="preserve"> </w:t>
      </w:r>
      <w:r>
        <w:tab/>
      </w:r>
      <w:r w:rsidRPr="008E507B">
        <w:rPr>
          <w:i/>
        </w:rPr>
        <w:t>Analýza zpoplatnění a zdanění vozidel</w:t>
      </w:r>
      <w:r>
        <w:t xml:space="preserve"> ze dne 10. 12. 2018 zpracovaná pro MD</w:t>
      </w:r>
      <w:r w:rsidRPr="00062555">
        <w:t xml:space="preserve"> Centrem dopravního výzkumu, v.</w:t>
      </w:r>
      <w:r>
        <w:t xml:space="preserve"> </w:t>
      </w:r>
      <w:r w:rsidRPr="00062555">
        <w:t>v.</w:t>
      </w:r>
      <w:r>
        <w:t xml:space="preserve"> </w:t>
      </w:r>
      <w:r w:rsidRPr="00062555">
        <w:t>i.</w:t>
      </w:r>
      <w:r>
        <w:t>,</w:t>
      </w:r>
      <w:r w:rsidRPr="00062555">
        <w:t xml:space="preserve"> na zákla</w:t>
      </w:r>
      <w:r>
        <w:t>dě projektu 22 202, realizovaná</w:t>
      </w:r>
      <w:r w:rsidRPr="00062555">
        <w:t xml:space="preserve"> v období od 1. 3. 2018 do 31. 12. 2018</w:t>
      </w:r>
      <w:r>
        <w:t>.</w:t>
      </w:r>
    </w:p>
  </w:footnote>
  <w:footnote w:id="43">
    <w:p w14:paraId="20A0C317" w14:textId="1E3A77E6" w:rsidR="008034B0" w:rsidRPr="00062555" w:rsidRDefault="008034B0" w:rsidP="00D12722">
      <w:pPr>
        <w:pStyle w:val="Textpoznpodarou"/>
        <w:ind w:left="284" w:hanging="284"/>
      </w:pPr>
      <w:r>
        <w:rPr>
          <w:rStyle w:val="Znakapoznpodarou"/>
        </w:rPr>
        <w:footnoteRef/>
      </w:r>
      <w:r>
        <w:t xml:space="preserve"> </w:t>
      </w:r>
      <w:r>
        <w:tab/>
      </w:r>
      <w:r w:rsidRPr="008E507B">
        <w:rPr>
          <w:i/>
        </w:rPr>
        <w:t>Analýza zavedení opatření k podpoře nákupu osobních vozidel šetrných k životnímu prostředí (bonus/malus)</w:t>
      </w:r>
      <w:r>
        <w:t xml:space="preserve"> zpracovaná </w:t>
      </w:r>
      <w:r w:rsidRPr="00062555">
        <w:t>Univerzit</w:t>
      </w:r>
      <w:r>
        <w:t>o</w:t>
      </w:r>
      <w:r w:rsidRPr="00062555">
        <w:t>u Karlov</w:t>
      </w:r>
      <w:r>
        <w:t>ou – Centre</w:t>
      </w:r>
      <w:r w:rsidRPr="00062555">
        <w:t>m pro otázky životního prostředí</w:t>
      </w:r>
      <w:r>
        <w:t>.</w:t>
      </w:r>
    </w:p>
  </w:footnote>
  <w:footnote w:id="44">
    <w:p w14:paraId="5268FC15" w14:textId="7C2B3885" w:rsidR="008034B0" w:rsidRDefault="008034B0" w:rsidP="00D12722">
      <w:pPr>
        <w:pStyle w:val="Textpoznpodarou"/>
        <w:ind w:left="284" w:hanging="284"/>
      </w:pPr>
      <w:r>
        <w:rPr>
          <w:rStyle w:val="Znakapoznpodarou"/>
        </w:rPr>
        <w:footnoteRef/>
      </w:r>
      <w:r>
        <w:t xml:space="preserve"> </w:t>
      </w:r>
      <w:r>
        <w:tab/>
        <w:t>Zákon č. 634/2004 Sb., o správních poplatcích, příloha, část II, položka 26.</w:t>
      </w:r>
    </w:p>
  </w:footnote>
  <w:footnote w:id="45">
    <w:p w14:paraId="209B8A59" w14:textId="77777777" w:rsidR="008034B0" w:rsidRDefault="008034B0" w:rsidP="00D12722">
      <w:pPr>
        <w:pStyle w:val="Textpoznpodarou"/>
        <w:ind w:left="284" w:hanging="284"/>
      </w:pPr>
      <w:r>
        <w:rPr>
          <w:rStyle w:val="Znakapoznpodarou"/>
        </w:rPr>
        <w:footnoteRef/>
      </w:r>
      <w:r>
        <w:t xml:space="preserve"> </w:t>
      </w:r>
      <w:r>
        <w:tab/>
        <w:t>Návrh na změnu zákona č. 13/1997 Sb., o pozemních komunikacích, sněmovní tisk č. 409/0, část č. 1/8, rozeslán poslancům dne 20. 2. 2019.</w:t>
      </w:r>
    </w:p>
  </w:footnote>
  <w:footnote w:id="46">
    <w:p w14:paraId="0A172E36" w14:textId="77777777" w:rsidR="008034B0" w:rsidRDefault="008034B0" w:rsidP="00D12722">
      <w:pPr>
        <w:pStyle w:val="Textpoznpodarou"/>
        <w:ind w:left="284" w:hanging="284"/>
      </w:pPr>
      <w:r>
        <w:rPr>
          <w:rStyle w:val="Znakapoznpodarou"/>
        </w:rPr>
        <w:footnoteRef/>
      </w:r>
      <w:r>
        <w:t xml:space="preserve"> </w:t>
      </w:r>
      <w:r>
        <w:tab/>
        <w:t xml:space="preserve">Směrnice Evropského parlamentu a Rady </w:t>
      </w:r>
      <w:r w:rsidRPr="00D6542C">
        <w:t>1999/62/ES ze dne 17. června 1999 o výběru poplatků za užívání určitých pozemních komunikací těžkými nákladními vozidly</w:t>
      </w:r>
      <w:r>
        <w:t>.</w:t>
      </w:r>
    </w:p>
  </w:footnote>
  <w:footnote w:id="47">
    <w:p w14:paraId="365471BC" w14:textId="1BBF0C6C" w:rsidR="008034B0" w:rsidRPr="00745F7C" w:rsidRDefault="008034B0" w:rsidP="00D25C25">
      <w:pPr>
        <w:pStyle w:val="Textpoznpodarou"/>
        <w:ind w:left="284" w:hanging="284"/>
      </w:pPr>
      <w:r>
        <w:rPr>
          <w:rStyle w:val="Znakapoznpodarou"/>
        </w:rPr>
        <w:footnoteRef/>
      </w:r>
      <w:r>
        <w:t xml:space="preserve"> </w:t>
      </w:r>
      <w:r>
        <w:tab/>
      </w:r>
      <w:r w:rsidRPr="00745F7C">
        <w:t>NKÚ vycházel z</w:t>
      </w:r>
      <w:r>
        <w:t> </w:t>
      </w:r>
      <w:r w:rsidRPr="00745F7C">
        <w:t>oficiálních</w:t>
      </w:r>
      <w:r>
        <w:t xml:space="preserve"> webových</w:t>
      </w:r>
      <w:r w:rsidRPr="00745F7C">
        <w:t xml:space="preserve"> stránek mýtných systémů jednotlivých zemí</w:t>
      </w:r>
      <w:r>
        <w:t xml:space="preserve"> (Německo, Rakousko, Polsko, Slovensko)</w:t>
      </w:r>
      <w:r w:rsidRPr="00745F7C">
        <w:t xml:space="preserve"> k 1. 1. 2019. K přepočtu národní měny na eur</w:t>
      </w:r>
      <w:r>
        <w:t>a</w:t>
      </w:r>
      <w:r w:rsidRPr="00745F7C">
        <w:t xml:space="preserve"> použil NKÚ kurz ECB k 6. 3. 2019. Nejvýznamnější příjem z mýta je v ČR tvořen nákladními vozidly s nejvyšším p</w:t>
      </w:r>
      <w:r>
        <w:t>očtem náprav (4+)</w:t>
      </w:r>
      <w:r w:rsidRPr="00745F7C">
        <w:t>, proto NKÚ pro srovnání použil tuto kategorii vozidel.</w:t>
      </w:r>
    </w:p>
  </w:footnote>
  <w:footnote w:id="48">
    <w:p w14:paraId="609C01E7" w14:textId="77777777" w:rsidR="008034B0" w:rsidRDefault="008034B0" w:rsidP="003D3EB8">
      <w:pPr>
        <w:pStyle w:val="Textpoznpodarou"/>
        <w:ind w:left="284" w:hanging="284"/>
      </w:pPr>
      <w:r>
        <w:rPr>
          <w:rStyle w:val="Znakapoznpodarou"/>
        </w:rPr>
        <w:footnoteRef/>
      </w:r>
      <w:r>
        <w:t xml:space="preserve"> </w:t>
      </w:r>
      <w:r>
        <w:tab/>
        <w:t>Dle č</w:t>
      </w:r>
      <w:r>
        <w:rPr>
          <w:rFonts w:cs="Calibri"/>
        </w:rPr>
        <w:t xml:space="preserve">l. 7g odst. 1 směrnice Evropského parlamentu a Rady </w:t>
      </w:r>
      <w:r w:rsidRPr="00760A0A">
        <w:rPr>
          <w:rFonts w:asciiTheme="minorHAnsi" w:hAnsiTheme="minorHAnsi" w:cstheme="minorHAnsi"/>
        </w:rPr>
        <w:t>1999/62/ES</w:t>
      </w:r>
      <w:r>
        <w:rPr>
          <w:rFonts w:asciiTheme="minorHAnsi" w:hAnsiTheme="minorHAnsi" w:cstheme="minorHAnsi"/>
        </w:rPr>
        <w:t xml:space="preserve"> ve znění směrnice</w:t>
      </w:r>
      <w:r w:rsidRPr="00D51288">
        <w:rPr>
          <w:rFonts w:asciiTheme="minorHAnsi" w:hAnsiTheme="minorHAnsi" w:cstheme="minorHAnsi"/>
        </w:rPr>
        <w:t xml:space="preserve"> Evropského parlamentu a Rady 2011/76/EU</w:t>
      </w:r>
      <w:r>
        <w:rPr>
          <w:rFonts w:asciiTheme="minorHAnsi" w:hAnsiTheme="minorHAnsi" w:cstheme="minorHAnsi"/>
        </w:rPr>
        <w:t xml:space="preserve"> z</w:t>
      </w:r>
      <w:r w:rsidRPr="00D51288">
        <w:rPr>
          <w:rFonts w:asciiTheme="minorHAnsi" w:hAnsiTheme="minorHAnsi" w:cstheme="minorHAnsi"/>
        </w:rPr>
        <w:t>e dne 27. září 2011,</w:t>
      </w:r>
      <w:r>
        <w:rPr>
          <w:rFonts w:asciiTheme="minorHAnsi" w:hAnsiTheme="minorHAnsi" w:cstheme="minorHAnsi"/>
        </w:rPr>
        <w:t xml:space="preserve"> k</w:t>
      </w:r>
      <w:r w:rsidRPr="00D51288">
        <w:rPr>
          <w:rFonts w:asciiTheme="minorHAnsi" w:hAnsiTheme="minorHAnsi" w:cstheme="minorHAnsi"/>
        </w:rPr>
        <w:t>terou se mění směrnice 1999/62/ES o výběru poplatků za užívání určitých pozemních komunikací těžkými nákladními vozidly</w:t>
      </w:r>
      <w:r>
        <w:rPr>
          <w:rFonts w:asciiTheme="minorHAnsi" w:hAnsiTheme="minorHAnsi" w:cstheme="minorHAnsi"/>
        </w:rPr>
        <w:t>.</w:t>
      </w:r>
    </w:p>
  </w:footnote>
  <w:footnote w:id="49">
    <w:p w14:paraId="5C01D521" w14:textId="6A6E12F8" w:rsidR="008034B0" w:rsidRDefault="008034B0" w:rsidP="003D3EB8">
      <w:pPr>
        <w:pStyle w:val="Textpoznpodarou"/>
        <w:ind w:left="284" w:hanging="284"/>
      </w:pPr>
      <w:r>
        <w:rPr>
          <w:rStyle w:val="Znakapoznpodarou"/>
        </w:rPr>
        <w:footnoteRef/>
      </w:r>
      <w:r>
        <w:t xml:space="preserve"> </w:t>
      </w:r>
      <w:r>
        <w:tab/>
        <w:t xml:space="preserve">Směrnice Evropského parlamentu a Rady 2011/76/EU ze dne 27. září 2011, kterou se mění směrnice 1999/62/ES o výběru poplatků za užívání určitých pozemních komunikací těžkými nákladními vozidly. Preambule bod 10 uvádí: </w:t>
      </w:r>
      <w:r w:rsidRPr="00641163">
        <w:t>„</w:t>
      </w:r>
      <w:r w:rsidRPr="00CB2E6F">
        <w:rPr>
          <w:i/>
        </w:rPr>
        <w:t>Náklady v důsledku znečištění ovzduší provozem a hluku z provozu, jako jsou zdravotní náklady včetně lékařské péče, ztráta na úrodě a jiné výpadky v oblasti produkce, jakož i sociální náklady vznikají na území státu, ve kterém se doprava uskutečňuje. Zásada „znečišťovatel platí“ se uplatní tím, že se uloží náhrada externích nákladů, což přispěje k jejich omezení.</w:t>
      </w:r>
      <w:r w:rsidRPr="00641163">
        <w:t>“</w:t>
      </w:r>
    </w:p>
  </w:footnote>
  <w:footnote w:id="50">
    <w:p w14:paraId="4D5A4780" w14:textId="77777777" w:rsidR="008034B0" w:rsidRDefault="008034B0" w:rsidP="003D3EB8">
      <w:pPr>
        <w:pStyle w:val="Textpoznpodarou"/>
        <w:ind w:left="284" w:hanging="284"/>
        <w:jc w:val="left"/>
      </w:pPr>
      <w:r>
        <w:rPr>
          <w:rStyle w:val="Znakapoznpodarou"/>
        </w:rPr>
        <w:footnoteRef/>
      </w:r>
      <w:r>
        <w:t xml:space="preserve"> </w:t>
      </w:r>
      <w:r>
        <w:tab/>
      </w:r>
      <w:r w:rsidRPr="003D3EB8">
        <w:t xml:space="preserve">Zdroj: </w:t>
      </w:r>
      <w:hyperlink r:id="rId16" w:history="1">
        <w:r w:rsidRPr="003D3EB8">
          <w:rPr>
            <w:rStyle w:val="Hypertextovodkaz"/>
            <w:u w:val="none"/>
          </w:rPr>
          <w:t>https://ec.europa.eu/transport/sites/transport/files/handbook_on_external_costs_of_transport_2014_0.pdf</w:t>
        </w:r>
      </w:hyperlink>
      <w:r w:rsidRPr="00641163">
        <w:rPr>
          <w:color w:val="000000" w:themeColor="text1"/>
        </w:rPr>
        <w:t>.</w:t>
      </w:r>
    </w:p>
  </w:footnote>
  <w:footnote w:id="51">
    <w:p w14:paraId="1B75E4A6" w14:textId="77777777" w:rsidR="008034B0" w:rsidRDefault="008034B0" w:rsidP="003D3EB8">
      <w:pPr>
        <w:pStyle w:val="Textpoznpodarou"/>
        <w:ind w:left="284" w:hanging="284"/>
      </w:pPr>
      <w:r>
        <w:rPr>
          <w:rStyle w:val="Znakapoznpodarou"/>
        </w:rPr>
        <w:footnoteRef/>
      </w:r>
      <w:r>
        <w:t xml:space="preserve"> </w:t>
      </w:r>
      <w:r>
        <w:tab/>
        <w:t>Ustanovení § 37e zákona č. 185/2001 Sb., o odpadech a o změně některých dalších zákonů.</w:t>
      </w:r>
    </w:p>
  </w:footnote>
  <w:footnote w:id="52">
    <w:p w14:paraId="14D18468" w14:textId="77777777" w:rsidR="008034B0" w:rsidRDefault="008034B0" w:rsidP="00935637">
      <w:pPr>
        <w:pStyle w:val="Textpoznpodarou"/>
        <w:ind w:left="284" w:hanging="284"/>
      </w:pPr>
      <w:r>
        <w:rPr>
          <w:rStyle w:val="Znakapoznpodarou"/>
        </w:rPr>
        <w:footnoteRef/>
      </w:r>
      <w:r>
        <w:t xml:space="preserve"> </w:t>
      </w:r>
      <w:r>
        <w:tab/>
        <w:t>Ustanovení § 37d zákona č. 185/2001 Sb., o odpadech a o změně některých dalších zákonů.</w:t>
      </w:r>
    </w:p>
  </w:footnote>
  <w:footnote w:id="53">
    <w:p w14:paraId="44D143ED" w14:textId="77777777" w:rsidR="008034B0" w:rsidRDefault="008034B0" w:rsidP="00935637">
      <w:pPr>
        <w:pStyle w:val="Textpoznpodarou"/>
        <w:ind w:left="284" w:hanging="284"/>
      </w:pPr>
      <w:r>
        <w:rPr>
          <w:rStyle w:val="Znakapoznpodarou"/>
        </w:rPr>
        <w:footnoteRef/>
      </w:r>
      <w:r>
        <w:t xml:space="preserve"> </w:t>
      </w:r>
      <w:r>
        <w:tab/>
        <w:t>Zákon č. 185/2001 Sb., o odpadech a o změně některých dalších zákonů.</w:t>
      </w:r>
    </w:p>
  </w:footnote>
  <w:footnote w:id="54">
    <w:p w14:paraId="2B27B324" w14:textId="5C4EE11B" w:rsidR="008034B0" w:rsidRPr="00D71D9D" w:rsidRDefault="008034B0" w:rsidP="00935637">
      <w:pPr>
        <w:spacing w:after="0"/>
        <w:ind w:left="284" w:hanging="284"/>
        <w:rPr>
          <w:sz w:val="20"/>
          <w:szCs w:val="20"/>
        </w:rPr>
      </w:pPr>
      <w:r w:rsidRPr="00D71D9D">
        <w:rPr>
          <w:rStyle w:val="Znakapoznpodarou"/>
          <w:sz w:val="20"/>
          <w:szCs w:val="20"/>
        </w:rPr>
        <w:footnoteRef/>
      </w:r>
      <w:r w:rsidRPr="00D71D9D">
        <w:rPr>
          <w:sz w:val="20"/>
          <w:szCs w:val="20"/>
        </w:rPr>
        <w:t xml:space="preserve"> </w:t>
      </w:r>
      <w:r>
        <w:rPr>
          <w:sz w:val="20"/>
          <w:szCs w:val="20"/>
        </w:rPr>
        <w:tab/>
        <w:t xml:space="preserve">Ustanovení </w:t>
      </w:r>
      <w:r w:rsidRPr="00D71D9D">
        <w:rPr>
          <w:rFonts w:cstheme="minorHAnsi"/>
          <w:sz w:val="20"/>
          <w:szCs w:val="20"/>
        </w:rPr>
        <w:t>§ 7a</w:t>
      </w:r>
      <w:r w:rsidRPr="00D71D9D">
        <w:rPr>
          <w:sz w:val="20"/>
          <w:szCs w:val="20"/>
        </w:rPr>
        <w:t xml:space="preserve"> zákona č. 86/2002 Sb., o ochraně ovzduší a o změně ně</w:t>
      </w:r>
      <w:r>
        <w:rPr>
          <w:sz w:val="20"/>
          <w:szCs w:val="20"/>
        </w:rPr>
        <w:t>kterých dalších zákonů (zákon o </w:t>
      </w:r>
      <w:r w:rsidRPr="00D71D9D">
        <w:rPr>
          <w:sz w:val="20"/>
          <w:szCs w:val="20"/>
        </w:rPr>
        <w:t>ochraně ovzduší)</w:t>
      </w:r>
      <w:r>
        <w:rPr>
          <w:sz w:val="20"/>
          <w:szCs w:val="20"/>
        </w:rPr>
        <w:t>,</w:t>
      </w:r>
      <w:r w:rsidRPr="00D71D9D">
        <w:rPr>
          <w:sz w:val="20"/>
          <w:szCs w:val="20"/>
        </w:rPr>
        <w:t xml:space="preserve"> a následně </w:t>
      </w:r>
      <w:r>
        <w:rPr>
          <w:sz w:val="20"/>
          <w:szCs w:val="20"/>
        </w:rPr>
        <w:t xml:space="preserve">ustanovení </w:t>
      </w:r>
      <w:r w:rsidRPr="00D71D9D">
        <w:rPr>
          <w:sz w:val="20"/>
          <w:szCs w:val="20"/>
        </w:rPr>
        <w:t>§ 14 zákona č. 201/2012 Sb.,</w:t>
      </w:r>
      <w:r w:rsidRPr="00D71D9D">
        <w:rPr>
          <w:rStyle w:val="Znakapoznpodarou"/>
          <w:sz w:val="20"/>
          <w:szCs w:val="20"/>
        </w:rPr>
        <w:t xml:space="preserve"> </w:t>
      </w:r>
      <w:r w:rsidRPr="00D71D9D">
        <w:rPr>
          <w:sz w:val="20"/>
          <w:szCs w:val="20"/>
        </w:rPr>
        <w:t xml:space="preserve"> o ochraně ovzduší</w:t>
      </w:r>
      <w:r>
        <w:rPr>
          <w:sz w:val="20"/>
          <w:szCs w:val="20"/>
        </w:rPr>
        <w:t>.</w:t>
      </w:r>
    </w:p>
  </w:footnote>
  <w:footnote w:id="55">
    <w:p w14:paraId="2D102FF7" w14:textId="77777777" w:rsidR="008034B0" w:rsidRDefault="008034B0" w:rsidP="007D751F">
      <w:pPr>
        <w:pStyle w:val="Textpoznpodarou"/>
        <w:ind w:left="284" w:hanging="284"/>
      </w:pPr>
      <w:r>
        <w:rPr>
          <w:rStyle w:val="Znakapoznpodarou"/>
        </w:rPr>
        <w:footnoteRef/>
      </w:r>
      <w:r>
        <w:t xml:space="preserve"> </w:t>
      </w:r>
      <w:r>
        <w:tab/>
        <w:t xml:space="preserve">Směrnice Rady 2003/96/ES ze dne 27. října 2003, kterou se mění struktura rámcových předpisů Společenství o zdanění energetických produktů a elektřiny. </w:t>
      </w:r>
    </w:p>
  </w:footnote>
  <w:footnote w:id="56">
    <w:p w14:paraId="610CDFEF" w14:textId="77777777" w:rsidR="008034B0" w:rsidRDefault="008034B0" w:rsidP="005D760D">
      <w:pPr>
        <w:pStyle w:val="Textpoznpodarou"/>
        <w:ind w:left="284" w:hanging="284"/>
      </w:pPr>
      <w:r>
        <w:rPr>
          <w:rStyle w:val="Znakapoznpodarou"/>
        </w:rPr>
        <w:footnoteRef/>
      </w:r>
      <w:r>
        <w:t xml:space="preserve"> </w:t>
      </w:r>
      <w:r>
        <w:tab/>
        <w:t>Podle čl. 15 odst. 1 písm. b) směrnice Rady č. 2003/96/ES členské státy mohou uplatňovat pod finanční kontrolou plné nebo částečné osvobození od daně nebo sníženou úroveň zdanění mimo jiné na elektřinu:</w:t>
      </w:r>
    </w:p>
    <w:p w14:paraId="45F7BF6C" w14:textId="77777777" w:rsidR="008034B0" w:rsidRDefault="008034B0" w:rsidP="005D760D">
      <w:pPr>
        <w:pStyle w:val="Textpoznpodarou"/>
        <w:ind w:left="567" w:hanging="283"/>
      </w:pPr>
      <w:r>
        <w:t>•</w:t>
      </w:r>
      <w:r>
        <w:tab/>
        <w:t>pocházející ze sluneční energie, větrné energie, energie vln a přílivu nebo geotermální energie,</w:t>
      </w:r>
    </w:p>
    <w:p w14:paraId="4C7765C7" w14:textId="77777777" w:rsidR="008034B0" w:rsidRDefault="008034B0" w:rsidP="005D760D">
      <w:pPr>
        <w:pStyle w:val="Textpoznpodarou"/>
        <w:ind w:left="567" w:hanging="283"/>
      </w:pPr>
      <w:r>
        <w:t>•</w:t>
      </w:r>
      <w:r>
        <w:tab/>
        <w:t>vyrobenou ve vodních elektrárnách,</w:t>
      </w:r>
    </w:p>
    <w:p w14:paraId="1B887171" w14:textId="77777777" w:rsidR="008034B0" w:rsidRDefault="008034B0" w:rsidP="005D760D">
      <w:pPr>
        <w:pStyle w:val="Textpoznpodarou"/>
        <w:ind w:left="567" w:hanging="283"/>
      </w:pPr>
      <w:r>
        <w:t>•</w:t>
      </w:r>
      <w:r>
        <w:tab/>
        <w:t>vyrobenou z biomasy nebo produktů vyrobených z biomasy,</w:t>
      </w:r>
    </w:p>
    <w:p w14:paraId="5C74AFFA" w14:textId="77777777" w:rsidR="008034B0" w:rsidRDefault="008034B0" w:rsidP="005D760D">
      <w:pPr>
        <w:pStyle w:val="Textpoznpodarou"/>
        <w:ind w:left="567" w:hanging="283"/>
      </w:pPr>
      <w:r>
        <w:t>•</w:t>
      </w:r>
      <w:r>
        <w:tab/>
        <w:t>vyrobenou z emisí metanu z opuštěných uhelných dolů,</w:t>
      </w:r>
    </w:p>
    <w:p w14:paraId="038FDEF1" w14:textId="77777777" w:rsidR="008034B0" w:rsidRDefault="008034B0" w:rsidP="005D760D">
      <w:pPr>
        <w:pStyle w:val="Textpoznpodarou"/>
        <w:ind w:left="567" w:hanging="283"/>
      </w:pPr>
      <w:r>
        <w:t>•</w:t>
      </w:r>
      <w:r>
        <w:tab/>
        <w:t>vyrobenou z palivových článků.</w:t>
      </w:r>
    </w:p>
  </w:footnote>
  <w:footnote w:id="57">
    <w:p w14:paraId="41688437" w14:textId="77777777" w:rsidR="008034B0" w:rsidRDefault="008034B0" w:rsidP="005D760D">
      <w:pPr>
        <w:pStyle w:val="Textpoznpodarou"/>
        <w:ind w:left="284" w:hanging="284"/>
      </w:pPr>
      <w:r>
        <w:rPr>
          <w:rStyle w:val="Znakapoznpodarou"/>
        </w:rPr>
        <w:footnoteRef/>
      </w:r>
      <w:r>
        <w:t xml:space="preserve"> </w:t>
      </w:r>
      <w:r>
        <w:tab/>
        <w:t xml:space="preserve">Čl. 102 směrnice Rady 2006/112/ES ze dne 28. listopadu 2006 o společném systému daně z přidané hodnoty.  </w:t>
      </w:r>
    </w:p>
  </w:footnote>
  <w:footnote w:id="58">
    <w:p w14:paraId="61A50274" w14:textId="77777777" w:rsidR="008034B0" w:rsidRDefault="008034B0" w:rsidP="005D760D">
      <w:pPr>
        <w:pStyle w:val="Textpoznpodarou"/>
        <w:ind w:left="284" w:hanging="284"/>
      </w:pPr>
      <w:r>
        <w:rPr>
          <w:rStyle w:val="Znakapoznpodarou"/>
        </w:rPr>
        <w:footnoteRef/>
      </w:r>
      <w:r>
        <w:t xml:space="preserve"> </w:t>
      </w:r>
      <w:r>
        <w:tab/>
        <w:t>Důvodová zpráva k zákonu č. 165/2012 Sb., o podporovaných zdrojích energie a o změně některých zákonů.</w:t>
      </w:r>
    </w:p>
  </w:footnote>
  <w:footnote w:id="59">
    <w:p w14:paraId="125BF921" w14:textId="77777777" w:rsidR="008034B0" w:rsidRDefault="008034B0" w:rsidP="005D760D">
      <w:pPr>
        <w:pStyle w:val="Textpoznpodarou"/>
        <w:ind w:left="284" w:hanging="284"/>
      </w:pPr>
      <w:r>
        <w:rPr>
          <w:rStyle w:val="Znakapoznpodarou"/>
        </w:rPr>
        <w:footnoteRef/>
      </w:r>
      <w:r>
        <w:t xml:space="preserve"> </w:t>
      </w:r>
      <w:r>
        <w:tab/>
        <w:t xml:space="preserve">Ustanovení </w:t>
      </w:r>
      <w:r w:rsidRPr="003C1D69">
        <w:t xml:space="preserve">§ 4 odst. 5 písm. d) </w:t>
      </w:r>
      <w:r>
        <w:t>zákona č. 165/2012 Sb., o podporovaných zdrojích energie a o změně některých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17ADD" w14:textId="77777777" w:rsidR="008034B0" w:rsidRPr="00632E37" w:rsidRDefault="008034B0">
    <w:pPr>
      <w:pStyle w:val="Zhlav"/>
      <w:rPr>
        <w:rFonts w:ascii="Calibri" w:hAnsi="Calibri" w:cs="Calibri"/>
        <w:color w:val="FFFFFF" w:themeColor="background1"/>
      </w:rPr>
    </w:pPr>
  </w:p>
  <w:p w14:paraId="34135537" w14:textId="77777777" w:rsidR="008034B0" w:rsidRPr="000546D5" w:rsidRDefault="008034B0" w:rsidP="00787C30">
    <w:pPr>
      <w:pStyle w:val="Zhlav"/>
      <w:tabs>
        <w:tab w:val="clear" w:pos="4536"/>
        <w:tab w:val="clear" w:pos="9072"/>
        <w:tab w:val="left" w:pos="1803"/>
      </w:tabs>
      <w:rPr>
        <w:rFonts w:ascii="Calibri" w:hAnsi="Calibri" w:cs="Calibri"/>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848B" w14:textId="77777777" w:rsidR="008034B0" w:rsidRPr="00632E37" w:rsidRDefault="008034B0" w:rsidP="004E4B6D">
    <w:pPr>
      <w:pStyle w:val="Zhlav"/>
      <w:rPr>
        <w:rFonts w:ascii="Calibri" w:hAnsi="Calibri" w:cs="Calibri"/>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artD6C8"/>
      </v:shape>
    </w:pict>
  </w:numPicBullet>
  <w:abstractNum w:abstractNumId="0" w15:restartNumberingAfterBreak="0">
    <w:nsid w:val="00666E4E"/>
    <w:multiLevelType w:val="hybridMultilevel"/>
    <w:tmpl w:val="DFCE86E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 w15:restartNumberingAfterBreak="0">
    <w:nsid w:val="01B05B82"/>
    <w:multiLevelType w:val="hybridMultilevel"/>
    <w:tmpl w:val="78FE096E"/>
    <w:lvl w:ilvl="0" w:tplc="01486066">
      <w:start w:val="1"/>
      <w:numFmt w:val="bullet"/>
      <w:lvlText w:val=""/>
      <w:lvlJc w:val="left"/>
      <w:pPr>
        <w:ind w:left="1997" w:hanging="360"/>
      </w:pPr>
      <w:rPr>
        <w:rFonts w:ascii="Symbol" w:hAnsi="Symbol" w:hint="default"/>
      </w:rPr>
    </w:lvl>
    <w:lvl w:ilvl="1" w:tplc="A6A81346" w:tentative="1">
      <w:start w:val="1"/>
      <w:numFmt w:val="bullet"/>
      <w:lvlText w:val="o"/>
      <w:lvlJc w:val="left"/>
      <w:pPr>
        <w:ind w:left="2717" w:hanging="360"/>
      </w:pPr>
      <w:rPr>
        <w:rFonts w:ascii="Courier New" w:hAnsi="Courier New" w:cs="Courier New" w:hint="default"/>
      </w:rPr>
    </w:lvl>
    <w:lvl w:ilvl="2" w:tplc="B8843000" w:tentative="1">
      <w:start w:val="1"/>
      <w:numFmt w:val="bullet"/>
      <w:lvlText w:val=""/>
      <w:lvlJc w:val="left"/>
      <w:pPr>
        <w:ind w:left="3437" w:hanging="360"/>
      </w:pPr>
      <w:rPr>
        <w:rFonts w:ascii="Wingdings" w:hAnsi="Wingdings" w:hint="default"/>
      </w:rPr>
    </w:lvl>
    <w:lvl w:ilvl="3" w:tplc="E6E0CA34" w:tentative="1">
      <w:start w:val="1"/>
      <w:numFmt w:val="bullet"/>
      <w:lvlText w:val=""/>
      <w:lvlJc w:val="left"/>
      <w:pPr>
        <w:ind w:left="4157" w:hanging="360"/>
      </w:pPr>
      <w:rPr>
        <w:rFonts w:ascii="Symbol" w:hAnsi="Symbol" w:hint="default"/>
      </w:rPr>
    </w:lvl>
    <w:lvl w:ilvl="4" w:tplc="BA0CE5AE" w:tentative="1">
      <w:start w:val="1"/>
      <w:numFmt w:val="bullet"/>
      <w:lvlText w:val="o"/>
      <w:lvlJc w:val="left"/>
      <w:pPr>
        <w:ind w:left="4877" w:hanging="360"/>
      </w:pPr>
      <w:rPr>
        <w:rFonts w:ascii="Courier New" w:hAnsi="Courier New" w:cs="Courier New" w:hint="default"/>
      </w:rPr>
    </w:lvl>
    <w:lvl w:ilvl="5" w:tplc="C88E74BC" w:tentative="1">
      <w:start w:val="1"/>
      <w:numFmt w:val="bullet"/>
      <w:lvlText w:val=""/>
      <w:lvlJc w:val="left"/>
      <w:pPr>
        <w:ind w:left="5597" w:hanging="360"/>
      </w:pPr>
      <w:rPr>
        <w:rFonts w:ascii="Wingdings" w:hAnsi="Wingdings" w:hint="default"/>
      </w:rPr>
    </w:lvl>
    <w:lvl w:ilvl="6" w:tplc="BF4E933E" w:tentative="1">
      <w:start w:val="1"/>
      <w:numFmt w:val="bullet"/>
      <w:lvlText w:val=""/>
      <w:lvlJc w:val="left"/>
      <w:pPr>
        <w:ind w:left="6317" w:hanging="360"/>
      </w:pPr>
      <w:rPr>
        <w:rFonts w:ascii="Symbol" w:hAnsi="Symbol" w:hint="default"/>
      </w:rPr>
    </w:lvl>
    <w:lvl w:ilvl="7" w:tplc="1B9CAFDA" w:tentative="1">
      <w:start w:val="1"/>
      <w:numFmt w:val="bullet"/>
      <w:lvlText w:val="o"/>
      <w:lvlJc w:val="left"/>
      <w:pPr>
        <w:ind w:left="7037" w:hanging="360"/>
      </w:pPr>
      <w:rPr>
        <w:rFonts w:ascii="Courier New" w:hAnsi="Courier New" w:cs="Courier New" w:hint="default"/>
      </w:rPr>
    </w:lvl>
    <w:lvl w:ilvl="8" w:tplc="B18E1EDC" w:tentative="1">
      <w:start w:val="1"/>
      <w:numFmt w:val="bullet"/>
      <w:lvlText w:val=""/>
      <w:lvlJc w:val="left"/>
      <w:pPr>
        <w:ind w:left="7757" w:hanging="360"/>
      </w:pPr>
      <w:rPr>
        <w:rFonts w:ascii="Wingdings" w:hAnsi="Wingdings" w:hint="default"/>
      </w:rPr>
    </w:lvl>
  </w:abstractNum>
  <w:abstractNum w:abstractNumId="2" w15:restartNumberingAfterBreak="0">
    <w:nsid w:val="0E190052"/>
    <w:multiLevelType w:val="hybridMultilevel"/>
    <w:tmpl w:val="11B6E9E0"/>
    <w:lvl w:ilvl="0" w:tplc="40F4546A">
      <w:start w:val="1"/>
      <w:numFmt w:val="bullet"/>
      <w:lvlText w:val=""/>
      <w:lvlJc w:val="left"/>
      <w:pPr>
        <w:ind w:left="720" w:hanging="360"/>
      </w:pPr>
      <w:rPr>
        <w:rFonts w:ascii="Symbol" w:hAnsi="Symbol" w:hint="default"/>
      </w:rPr>
    </w:lvl>
    <w:lvl w:ilvl="1" w:tplc="DFA2EA2C" w:tentative="1">
      <w:start w:val="1"/>
      <w:numFmt w:val="bullet"/>
      <w:lvlText w:val="o"/>
      <w:lvlJc w:val="left"/>
      <w:pPr>
        <w:ind w:left="1440" w:hanging="360"/>
      </w:pPr>
      <w:rPr>
        <w:rFonts w:ascii="Courier New" w:hAnsi="Courier New" w:cs="Courier New" w:hint="default"/>
      </w:rPr>
    </w:lvl>
    <w:lvl w:ilvl="2" w:tplc="290ADC48" w:tentative="1">
      <w:start w:val="1"/>
      <w:numFmt w:val="bullet"/>
      <w:lvlText w:val=""/>
      <w:lvlJc w:val="left"/>
      <w:pPr>
        <w:ind w:left="2160" w:hanging="360"/>
      </w:pPr>
      <w:rPr>
        <w:rFonts w:ascii="Wingdings" w:hAnsi="Wingdings" w:hint="default"/>
      </w:rPr>
    </w:lvl>
    <w:lvl w:ilvl="3" w:tplc="35985A1E" w:tentative="1">
      <w:start w:val="1"/>
      <w:numFmt w:val="bullet"/>
      <w:lvlText w:val=""/>
      <w:lvlJc w:val="left"/>
      <w:pPr>
        <w:ind w:left="2880" w:hanging="360"/>
      </w:pPr>
      <w:rPr>
        <w:rFonts w:ascii="Symbol" w:hAnsi="Symbol" w:hint="default"/>
      </w:rPr>
    </w:lvl>
    <w:lvl w:ilvl="4" w:tplc="C2ACE686" w:tentative="1">
      <w:start w:val="1"/>
      <w:numFmt w:val="bullet"/>
      <w:lvlText w:val="o"/>
      <w:lvlJc w:val="left"/>
      <w:pPr>
        <w:ind w:left="3600" w:hanging="360"/>
      </w:pPr>
      <w:rPr>
        <w:rFonts w:ascii="Courier New" w:hAnsi="Courier New" w:cs="Courier New" w:hint="default"/>
      </w:rPr>
    </w:lvl>
    <w:lvl w:ilvl="5" w:tplc="69D2231C" w:tentative="1">
      <w:start w:val="1"/>
      <w:numFmt w:val="bullet"/>
      <w:lvlText w:val=""/>
      <w:lvlJc w:val="left"/>
      <w:pPr>
        <w:ind w:left="4320" w:hanging="360"/>
      </w:pPr>
      <w:rPr>
        <w:rFonts w:ascii="Wingdings" w:hAnsi="Wingdings" w:hint="default"/>
      </w:rPr>
    </w:lvl>
    <w:lvl w:ilvl="6" w:tplc="73005718" w:tentative="1">
      <w:start w:val="1"/>
      <w:numFmt w:val="bullet"/>
      <w:lvlText w:val=""/>
      <w:lvlJc w:val="left"/>
      <w:pPr>
        <w:ind w:left="5040" w:hanging="360"/>
      </w:pPr>
      <w:rPr>
        <w:rFonts w:ascii="Symbol" w:hAnsi="Symbol" w:hint="default"/>
      </w:rPr>
    </w:lvl>
    <w:lvl w:ilvl="7" w:tplc="C788305A" w:tentative="1">
      <w:start w:val="1"/>
      <w:numFmt w:val="bullet"/>
      <w:lvlText w:val="o"/>
      <w:lvlJc w:val="left"/>
      <w:pPr>
        <w:ind w:left="5760" w:hanging="360"/>
      </w:pPr>
      <w:rPr>
        <w:rFonts w:ascii="Courier New" w:hAnsi="Courier New" w:cs="Courier New" w:hint="default"/>
      </w:rPr>
    </w:lvl>
    <w:lvl w:ilvl="8" w:tplc="433CDCA8" w:tentative="1">
      <w:start w:val="1"/>
      <w:numFmt w:val="bullet"/>
      <w:lvlText w:val=""/>
      <w:lvlJc w:val="left"/>
      <w:pPr>
        <w:ind w:left="6480" w:hanging="360"/>
      </w:pPr>
      <w:rPr>
        <w:rFonts w:ascii="Wingdings" w:hAnsi="Wingdings" w:hint="default"/>
      </w:rPr>
    </w:lvl>
  </w:abstractNum>
  <w:abstractNum w:abstractNumId="3" w15:restartNumberingAfterBreak="0">
    <w:nsid w:val="11104EBE"/>
    <w:multiLevelType w:val="multilevel"/>
    <w:tmpl w:val="87AC5FC8"/>
    <w:lvl w:ilvl="0">
      <w:start w:val="1"/>
      <w:numFmt w:val="decimal"/>
      <w:pStyle w:val="1rove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pStyle w:val="111rove"/>
      <w:lvlText w:val="%1.%2.%3."/>
      <w:lvlJc w:val="left"/>
      <w:pPr>
        <w:ind w:left="192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43530"/>
    <w:multiLevelType w:val="hybridMultilevel"/>
    <w:tmpl w:val="62467086"/>
    <w:lvl w:ilvl="0" w:tplc="6E46D95C">
      <w:start w:val="150"/>
      <w:numFmt w:val="bullet"/>
      <w:lvlText w:val=""/>
      <w:lvlJc w:val="left"/>
      <w:pPr>
        <w:ind w:left="720" w:hanging="360"/>
      </w:pPr>
      <w:rPr>
        <w:rFonts w:ascii="Symbol" w:eastAsiaTheme="minorHAnsi" w:hAnsi="Symbol" w:cstheme="minorBidi" w:hint="default"/>
      </w:rPr>
    </w:lvl>
    <w:lvl w:ilvl="1" w:tplc="1D9420BC" w:tentative="1">
      <w:start w:val="1"/>
      <w:numFmt w:val="bullet"/>
      <w:lvlText w:val="o"/>
      <w:lvlJc w:val="left"/>
      <w:pPr>
        <w:ind w:left="1440" w:hanging="360"/>
      </w:pPr>
      <w:rPr>
        <w:rFonts w:ascii="Courier New" w:hAnsi="Courier New" w:cs="Courier New" w:hint="default"/>
      </w:rPr>
    </w:lvl>
    <w:lvl w:ilvl="2" w:tplc="2BBC3EC6" w:tentative="1">
      <w:start w:val="1"/>
      <w:numFmt w:val="bullet"/>
      <w:lvlText w:val=""/>
      <w:lvlJc w:val="left"/>
      <w:pPr>
        <w:ind w:left="2160" w:hanging="360"/>
      </w:pPr>
      <w:rPr>
        <w:rFonts w:ascii="Wingdings" w:hAnsi="Wingdings" w:hint="default"/>
      </w:rPr>
    </w:lvl>
    <w:lvl w:ilvl="3" w:tplc="97481ED2" w:tentative="1">
      <w:start w:val="1"/>
      <w:numFmt w:val="bullet"/>
      <w:lvlText w:val=""/>
      <w:lvlJc w:val="left"/>
      <w:pPr>
        <w:ind w:left="2880" w:hanging="360"/>
      </w:pPr>
      <w:rPr>
        <w:rFonts w:ascii="Symbol" w:hAnsi="Symbol" w:hint="default"/>
      </w:rPr>
    </w:lvl>
    <w:lvl w:ilvl="4" w:tplc="C61E1CB8" w:tentative="1">
      <w:start w:val="1"/>
      <w:numFmt w:val="bullet"/>
      <w:lvlText w:val="o"/>
      <w:lvlJc w:val="left"/>
      <w:pPr>
        <w:ind w:left="3600" w:hanging="360"/>
      </w:pPr>
      <w:rPr>
        <w:rFonts w:ascii="Courier New" w:hAnsi="Courier New" w:cs="Courier New" w:hint="default"/>
      </w:rPr>
    </w:lvl>
    <w:lvl w:ilvl="5" w:tplc="44B09B80" w:tentative="1">
      <w:start w:val="1"/>
      <w:numFmt w:val="bullet"/>
      <w:lvlText w:val=""/>
      <w:lvlJc w:val="left"/>
      <w:pPr>
        <w:ind w:left="4320" w:hanging="360"/>
      </w:pPr>
      <w:rPr>
        <w:rFonts w:ascii="Wingdings" w:hAnsi="Wingdings" w:hint="default"/>
      </w:rPr>
    </w:lvl>
    <w:lvl w:ilvl="6" w:tplc="20A0E01C" w:tentative="1">
      <w:start w:val="1"/>
      <w:numFmt w:val="bullet"/>
      <w:lvlText w:val=""/>
      <w:lvlJc w:val="left"/>
      <w:pPr>
        <w:ind w:left="5040" w:hanging="360"/>
      </w:pPr>
      <w:rPr>
        <w:rFonts w:ascii="Symbol" w:hAnsi="Symbol" w:hint="default"/>
      </w:rPr>
    </w:lvl>
    <w:lvl w:ilvl="7" w:tplc="443C17E8" w:tentative="1">
      <w:start w:val="1"/>
      <w:numFmt w:val="bullet"/>
      <w:lvlText w:val="o"/>
      <w:lvlJc w:val="left"/>
      <w:pPr>
        <w:ind w:left="5760" w:hanging="360"/>
      </w:pPr>
      <w:rPr>
        <w:rFonts w:ascii="Courier New" w:hAnsi="Courier New" w:cs="Courier New" w:hint="default"/>
      </w:rPr>
    </w:lvl>
    <w:lvl w:ilvl="8" w:tplc="7ED2BC74" w:tentative="1">
      <w:start w:val="1"/>
      <w:numFmt w:val="bullet"/>
      <w:lvlText w:val=""/>
      <w:lvlJc w:val="left"/>
      <w:pPr>
        <w:ind w:left="6480" w:hanging="360"/>
      </w:pPr>
      <w:rPr>
        <w:rFonts w:ascii="Wingdings" w:hAnsi="Wingdings" w:hint="default"/>
      </w:rPr>
    </w:lvl>
  </w:abstractNum>
  <w:abstractNum w:abstractNumId="5" w15:restartNumberingAfterBreak="0">
    <w:nsid w:val="17D9142B"/>
    <w:multiLevelType w:val="hybridMultilevel"/>
    <w:tmpl w:val="C3FE6792"/>
    <w:lvl w:ilvl="0" w:tplc="FC4A5EA0">
      <w:start w:val="1"/>
      <w:numFmt w:val="bullet"/>
      <w:pStyle w:val="Odrka2"/>
      <w:lvlText w:val="o"/>
      <w:lvlJc w:val="left"/>
      <w:pPr>
        <w:ind w:left="1068" w:hanging="360"/>
      </w:pPr>
      <w:rPr>
        <w:rFonts w:ascii="Courier New" w:hAnsi="Courier New" w:cs="Courier New" w:hint="default"/>
      </w:rPr>
    </w:lvl>
    <w:lvl w:ilvl="1" w:tplc="A1560D12" w:tentative="1">
      <w:start w:val="1"/>
      <w:numFmt w:val="bullet"/>
      <w:lvlText w:val="o"/>
      <w:lvlJc w:val="left"/>
      <w:pPr>
        <w:ind w:left="1788" w:hanging="360"/>
      </w:pPr>
      <w:rPr>
        <w:rFonts w:ascii="Courier New" w:hAnsi="Courier New" w:cs="Courier New" w:hint="default"/>
      </w:rPr>
    </w:lvl>
    <w:lvl w:ilvl="2" w:tplc="B2C0EB0C" w:tentative="1">
      <w:start w:val="1"/>
      <w:numFmt w:val="bullet"/>
      <w:lvlText w:val=""/>
      <w:lvlJc w:val="left"/>
      <w:pPr>
        <w:ind w:left="2508" w:hanging="360"/>
      </w:pPr>
      <w:rPr>
        <w:rFonts w:ascii="Wingdings" w:hAnsi="Wingdings" w:hint="default"/>
      </w:rPr>
    </w:lvl>
    <w:lvl w:ilvl="3" w:tplc="F168D454" w:tentative="1">
      <w:start w:val="1"/>
      <w:numFmt w:val="bullet"/>
      <w:lvlText w:val=""/>
      <w:lvlJc w:val="left"/>
      <w:pPr>
        <w:ind w:left="3228" w:hanging="360"/>
      </w:pPr>
      <w:rPr>
        <w:rFonts w:ascii="Symbol" w:hAnsi="Symbol" w:hint="default"/>
      </w:rPr>
    </w:lvl>
    <w:lvl w:ilvl="4" w:tplc="138C4A40" w:tentative="1">
      <w:start w:val="1"/>
      <w:numFmt w:val="bullet"/>
      <w:lvlText w:val="o"/>
      <w:lvlJc w:val="left"/>
      <w:pPr>
        <w:ind w:left="3948" w:hanging="360"/>
      </w:pPr>
      <w:rPr>
        <w:rFonts w:ascii="Courier New" w:hAnsi="Courier New" w:cs="Courier New" w:hint="default"/>
      </w:rPr>
    </w:lvl>
    <w:lvl w:ilvl="5" w:tplc="CC7ADBB0" w:tentative="1">
      <w:start w:val="1"/>
      <w:numFmt w:val="bullet"/>
      <w:lvlText w:val=""/>
      <w:lvlJc w:val="left"/>
      <w:pPr>
        <w:ind w:left="4668" w:hanging="360"/>
      </w:pPr>
      <w:rPr>
        <w:rFonts w:ascii="Wingdings" w:hAnsi="Wingdings" w:hint="default"/>
      </w:rPr>
    </w:lvl>
    <w:lvl w:ilvl="6" w:tplc="68DC4288" w:tentative="1">
      <w:start w:val="1"/>
      <w:numFmt w:val="bullet"/>
      <w:lvlText w:val=""/>
      <w:lvlJc w:val="left"/>
      <w:pPr>
        <w:ind w:left="5388" w:hanging="360"/>
      </w:pPr>
      <w:rPr>
        <w:rFonts w:ascii="Symbol" w:hAnsi="Symbol" w:hint="default"/>
      </w:rPr>
    </w:lvl>
    <w:lvl w:ilvl="7" w:tplc="B9E8A4E6" w:tentative="1">
      <w:start w:val="1"/>
      <w:numFmt w:val="bullet"/>
      <w:lvlText w:val="o"/>
      <w:lvlJc w:val="left"/>
      <w:pPr>
        <w:ind w:left="6108" w:hanging="360"/>
      </w:pPr>
      <w:rPr>
        <w:rFonts w:ascii="Courier New" w:hAnsi="Courier New" w:cs="Courier New" w:hint="default"/>
      </w:rPr>
    </w:lvl>
    <w:lvl w:ilvl="8" w:tplc="8C42309E" w:tentative="1">
      <w:start w:val="1"/>
      <w:numFmt w:val="bullet"/>
      <w:lvlText w:val=""/>
      <w:lvlJc w:val="left"/>
      <w:pPr>
        <w:ind w:left="6828" w:hanging="360"/>
      </w:pPr>
      <w:rPr>
        <w:rFonts w:ascii="Wingdings" w:hAnsi="Wingdings" w:hint="default"/>
      </w:rPr>
    </w:lvl>
  </w:abstractNum>
  <w:abstractNum w:abstractNumId="6" w15:restartNumberingAfterBreak="0">
    <w:nsid w:val="17E4330E"/>
    <w:multiLevelType w:val="multilevel"/>
    <w:tmpl w:val="D6CAAABA"/>
    <w:lvl w:ilvl="0">
      <w:start w:val="1"/>
      <w:numFmt w:val="decimal"/>
      <w:lvlText w:val="%1."/>
      <w:lvlJc w:val="left"/>
      <w:pPr>
        <w:ind w:left="360" w:hanging="360"/>
      </w:pPr>
    </w:lvl>
    <w:lvl w:ilvl="1">
      <w:start w:val="1"/>
      <w:numFmt w:val="decimal"/>
      <w:pStyle w:val="11rove"/>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3175A"/>
    <w:multiLevelType w:val="hybridMultilevel"/>
    <w:tmpl w:val="738C5360"/>
    <w:lvl w:ilvl="0" w:tplc="C2AA70A8">
      <w:start w:val="1"/>
      <w:numFmt w:val="decimal"/>
      <w:pStyle w:val="Tabulka"/>
      <w:lvlText w:val="Tabulka č.%1-"/>
      <w:lvlJc w:val="left"/>
      <w:pPr>
        <w:ind w:left="291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7C6E36C" w:tentative="1">
      <w:start w:val="1"/>
      <w:numFmt w:val="lowerLetter"/>
      <w:lvlText w:val="%2."/>
      <w:lvlJc w:val="left"/>
      <w:pPr>
        <w:ind w:left="2857" w:hanging="360"/>
      </w:pPr>
    </w:lvl>
    <w:lvl w:ilvl="2" w:tplc="5002C342" w:tentative="1">
      <w:start w:val="1"/>
      <w:numFmt w:val="lowerRoman"/>
      <w:lvlText w:val="%3."/>
      <w:lvlJc w:val="right"/>
      <w:pPr>
        <w:ind w:left="3577" w:hanging="180"/>
      </w:pPr>
    </w:lvl>
    <w:lvl w:ilvl="3" w:tplc="4292512C" w:tentative="1">
      <w:start w:val="1"/>
      <w:numFmt w:val="decimal"/>
      <w:lvlText w:val="%4."/>
      <w:lvlJc w:val="left"/>
      <w:pPr>
        <w:ind w:left="4297" w:hanging="360"/>
      </w:pPr>
    </w:lvl>
    <w:lvl w:ilvl="4" w:tplc="5CDCDAE0" w:tentative="1">
      <w:start w:val="1"/>
      <w:numFmt w:val="lowerLetter"/>
      <w:lvlText w:val="%5."/>
      <w:lvlJc w:val="left"/>
      <w:pPr>
        <w:ind w:left="5017" w:hanging="360"/>
      </w:pPr>
    </w:lvl>
    <w:lvl w:ilvl="5" w:tplc="707A50D8" w:tentative="1">
      <w:start w:val="1"/>
      <w:numFmt w:val="lowerRoman"/>
      <w:lvlText w:val="%6."/>
      <w:lvlJc w:val="right"/>
      <w:pPr>
        <w:ind w:left="5737" w:hanging="180"/>
      </w:pPr>
    </w:lvl>
    <w:lvl w:ilvl="6" w:tplc="F93633C0" w:tentative="1">
      <w:start w:val="1"/>
      <w:numFmt w:val="decimal"/>
      <w:lvlText w:val="%7."/>
      <w:lvlJc w:val="left"/>
      <w:pPr>
        <w:ind w:left="6457" w:hanging="360"/>
      </w:pPr>
    </w:lvl>
    <w:lvl w:ilvl="7" w:tplc="BD4C83C6" w:tentative="1">
      <w:start w:val="1"/>
      <w:numFmt w:val="lowerLetter"/>
      <w:lvlText w:val="%8."/>
      <w:lvlJc w:val="left"/>
      <w:pPr>
        <w:ind w:left="7177" w:hanging="360"/>
      </w:pPr>
    </w:lvl>
    <w:lvl w:ilvl="8" w:tplc="B0E4CEE8" w:tentative="1">
      <w:start w:val="1"/>
      <w:numFmt w:val="lowerRoman"/>
      <w:lvlText w:val="%9."/>
      <w:lvlJc w:val="right"/>
      <w:pPr>
        <w:ind w:left="7897" w:hanging="180"/>
      </w:pPr>
    </w:lvl>
  </w:abstractNum>
  <w:abstractNum w:abstractNumId="8" w15:restartNumberingAfterBreak="0">
    <w:nsid w:val="1AB66145"/>
    <w:multiLevelType w:val="hybridMultilevel"/>
    <w:tmpl w:val="D75207E4"/>
    <w:lvl w:ilvl="0" w:tplc="87C4E36A">
      <w:start w:val="1"/>
      <w:numFmt w:val="bullet"/>
      <w:lvlText w:val=""/>
      <w:lvlPicBulletId w:val="0"/>
      <w:lvlJc w:val="left"/>
      <w:pPr>
        <w:ind w:left="720" w:hanging="360"/>
      </w:pPr>
      <w:rPr>
        <w:rFonts w:ascii="Symbol" w:hAnsi="Symbol" w:hint="default"/>
      </w:rPr>
    </w:lvl>
    <w:lvl w:ilvl="1" w:tplc="201070BC" w:tentative="1">
      <w:start w:val="1"/>
      <w:numFmt w:val="bullet"/>
      <w:lvlText w:val="o"/>
      <w:lvlJc w:val="left"/>
      <w:pPr>
        <w:ind w:left="1440" w:hanging="360"/>
      </w:pPr>
      <w:rPr>
        <w:rFonts w:ascii="Courier New" w:hAnsi="Courier New" w:cs="Courier New" w:hint="default"/>
      </w:rPr>
    </w:lvl>
    <w:lvl w:ilvl="2" w:tplc="3A6804E4" w:tentative="1">
      <w:start w:val="1"/>
      <w:numFmt w:val="bullet"/>
      <w:lvlText w:val=""/>
      <w:lvlJc w:val="left"/>
      <w:pPr>
        <w:ind w:left="2160" w:hanging="360"/>
      </w:pPr>
      <w:rPr>
        <w:rFonts w:ascii="Wingdings" w:hAnsi="Wingdings" w:hint="default"/>
      </w:rPr>
    </w:lvl>
    <w:lvl w:ilvl="3" w:tplc="11681454" w:tentative="1">
      <w:start w:val="1"/>
      <w:numFmt w:val="bullet"/>
      <w:lvlText w:val=""/>
      <w:lvlJc w:val="left"/>
      <w:pPr>
        <w:ind w:left="2880" w:hanging="360"/>
      </w:pPr>
      <w:rPr>
        <w:rFonts w:ascii="Symbol" w:hAnsi="Symbol" w:hint="default"/>
      </w:rPr>
    </w:lvl>
    <w:lvl w:ilvl="4" w:tplc="459A9B6C" w:tentative="1">
      <w:start w:val="1"/>
      <w:numFmt w:val="bullet"/>
      <w:lvlText w:val="o"/>
      <w:lvlJc w:val="left"/>
      <w:pPr>
        <w:ind w:left="3600" w:hanging="360"/>
      </w:pPr>
      <w:rPr>
        <w:rFonts w:ascii="Courier New" w:hAnsi="Courier New" w:cs="Courier New" w:hint="default"/>
      </w:rPr>
    </w:lvl>
    <w:lvl w:ilvl="5" w:tplc="091CE38C" w:tentative="1">
      <w:start w:val="1"/>
      <w:numFmt w:val="bullet"/>
      <w:lvlText w:val=""/>
      <w:lvlJc w:val="left"/>
      <w:pPr>
        <w:ind w:left="4320" w:hanging="360"/>
      </w:pPr>
      <w:rPr>
        <w:rFonts w:ascii="Wingdings" w:hAnsi="Wingdings" w:hint="default"/>
      </w:rPr>
    </w:lvl>
    <w:lvl w:ilvl="6" w:tplc="1A661B46" w:tentative="1">
      <w:start w:val="1"/>
      <w:numFmt w:val="bullet"/>
      <w:lvlText w:val=""/>
      <w:lvlJc w:val="left"/>
      <w:pPr>
        <w:ind w:left="5040" w:hanging="360"/>
      </w:pPr>
      <w:rPr>
        <w:rFonts w:ascii="Symbol" w:hAnsi="Symbol" w:hint="default"/>
      </w:rPr>
    </w:lvl>
    <w:lvl w:ilvl="7" w:tplc="C874C296" w:tentative="1">
      <w:start w:val="1"/>
      <w:numFmt w:val="bullet"/>
      <w:lvlText w:val="o"/>
      <w:lvlJc w:val="left"/>
      <w:pPr>
        <w:ind w:left="5760" w:hanging="360"/>
      </w:pPr>
      <w:rPr>
        <w:rFonts w:ascii="Courier New" w:hAnsi="Courier New" w:cs="Courier New" w:hint="default"/>
      </w:rPr>
    </w:lvl>
    <w:lvl w:ilvl="8" w:tplc="82A0D3D4" w:tentative="1">
      <w:start w:val="1"/>
      <w:numFmt w:val="bullet"/>
      <w:lvlText w:val=""/>
      <w:lvlJc w:val="left"/>
      <w:pPr>
        <w:ind w:left="6480" w:hanging="360"/>
      </w:pPr>
      <w:rPr>
        <w:rFonts w:ascii="Wingdings" w:hAnsi="Wingdings" w:hint="default"/>
      </w:rPr>
    </w:lvl>
  </w:abstractNum>
  <w:abstractNum w:abstractNumId="9" w15:restartNumberingAfterBreak="0">
    <w:nsid w:val="2B57590D"/>
    <w:multiLevelType w:val="hybridMultilevel"/>
    <w:tmpl w:val="223CBDF4"/>
    <w:lvl w:ilvl="0" w:tplc="555E594A">
      <w:start w:val="1"/>
      <w:numFmt w:val="bullet"/>
      <w:lvlText w:val=""/>
      <w:lvlJc w:val="left"/>
      <w:pPr>
        <w:ind w:left="720" w:hanging="360"/>
      </w:pPr>
      <w:rPr>
        <w:rFonts w:ascii="Symbol" w:hAnsi="Symbol" w:hint="default"/>
      </w:rPr>
    </w:lvl>
    <w:lvl w:ilvl="1" w:tplc="CBFAF0D4" w:tentative="1">
      <w:start w:val="1"/>
      <w:numFmt w:val="bullet"/>
      <w:lvlText w:val="o"/>
      <w:lvlJc w:val="left"/>
      <w:pPr>
        <w:ind w:left="1440" w:hanging="360"/>
      </w:pPr>
      <w:rPr>
        <w:rFonts w:ascii="Courier New" w:hAnsi="Courier New" w:cs="Courier New" w:hint="default"/>
      </w:rPr>
    </w:lvl>
    <w:lvl w:ilvl="2" w:tplc="9FF6515E" w:tentative="1">
      <w:start w:val="1"/>
      <w:numFmt w:val="bullet"/>
      <w:lvlText w:val=""/>
      <w:lvlJc w:val="left"/>
      <w:pPr>
        <w:ind w:left="2160" w:hanging="360"/>
      </w:pPr>
      <w:rPr>
        <w:rFonts w:ascii="Wingdings" w:hAnsi="Wingdings" w:hint="default"/>
      </w:rPr>
    </w:lvl>
    <w:lvl w:ilvl="3" w:tplc="F1CCD844" w:tentative="1">
      <w:start w:val="1"/>
      <w:numFmt w:val="bullet"/>
      <w:lvlText w:val=""/>
      <w:lvlJc w:val="left"/>
      <w:pPr>
        <w:ind w:left="2880" w:hanging="360"/>
      </w:pPr>
      <w:rPr>
        <w:rFonts w:ascii="Symbol" w:hAnsi="Symbol" w:hint="default"/>
      </w:rPr>
    </w:lvl>
    <w:lvl w:ilvl="4" w:tplc="549A25A4" w:tentative="1">
      <w:start w:val="1"/>
      <w:numFmt w:val="bullet"/>
      <w:lvlText w:val="o"/>
      <w:lvlJc w:val="left"/>
      <w:pPr>
        <w:ind w:left="3600" w:hanging="360"/>
      </w:pPr>
      <w:rPr>
        <w:rFonts w:ascii="Courier New" w:hAnsi="Courier New" w:cs="Courier New" w:hint="default"/>
      </w:rPr>
    </w:lvl>
    <w:lvl w:ilvl="5" w:tplc="54664A1A" w:tentative="1">
      <w:start w:val="1"/>
      <w:numFmt w:val="bullet"/>
      <w:lvlText w:val=""/>
      <w:lvlJc w:val="left"/>
      <w:pPr>
        <w:ind w:left="4320" w:hanging="360"/>
      </w:pPr>
      <w:rPr>
        <w:rFonts w:ascii="Wingdings" w:hAnsi="Wingdings" w:hint="default"/>
      </w:rPr>
    </w:lvl>
    <w:lvl w:ilvl="6" w:tplc="1D68856A" w:tentative="1">
      <w:start w:val="1"/>
      <w:numFmt w:val="bullet"/>
      <w:lvlText w:val=""/>
      <w:lvlJc w:val="left"/>
      <w:pPr>
        <w:ind w:left="5040" w:hanging="360"/>
      </w:pPr>
      <w:rPr>
        <w:rFonts w:ascii="Symbol" w:hAnsi="Symbol" w:hint="default"/>
      </w:rPr>
    </w:lvl>
    <w:lvl w:ilvl="7" w:tplc="B92C5E62" w:tentative="1">
      <w:start w:val="1"/>
      <w:numFmt w:val="bullet"/>
      <w:lvlText w:val="o"/>
      <w:lvlJc w:val="left"/>
      <w:pPr>
        <w:ind w:left="5760" w:hanging="360"/>
      </w:pPr>
      <w:rPr>
        <w:rFonts w:ascii="Courier New" w:hAnsi="Courier New" w:cs="Courier New" w:hint="default"/>
      </w:rPr>
    </w:lvl>
    <w:lvl w:ilvl="8" w:tplc="50927A2C" w:tentative="1">
      <w:start w:val="1"/>
      <w:numFmt w:val="bullet"/>
      <w:lvlText w:val=""/>
      <w:lvlJc w:val="left"/>
      <w:pPr>
        <w:ind w:left="6480" w:hanging="360"/>
      </w:pPr>
      <w:rPr>
        <w:rFonts w:ascii="Wingdings" w:hAnsi="Wingdings" w:hint="default"/>
      </w:rPr>
    </w:lvl>
  </w:abstractNum>
  <w:abstractNum w:abstractNumId="10" w15:restartNumberingAfterBreak="0">
    <w:nsid w:val="396F2595"/>
    <w:multiLevelType w:val="hybridMultilevel"/>
    <w:tmpl w:val="8146F420"/>
    <w:lvl w:ilvl="0" w:tplc="072EE284">
      <w:start w:val="1"/>
      <w:numFmt w:val="decimal"/>
      <w:lvlText w:val="Graf č.%1 - "/>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76C8E20" w:tentative="1">
      <w:start w:val="1"/>
      <w:numFmt w:val="lowerLetter"/>
      <w:lvlText w:val="%2."/>
      <w:lvlJc w:val="left"/>
      <w:pPr>
        <w:ind w:left="1440" w:hanging="360"/>
      </w:pPr>
    </w:lvl>
    <w:lvl w:ilvl="2" w:tplc="D7E05084" w:tentative="1">
      <w:start w:val="1"/>
      <w:numFmt w:val="lowerRoman"/>
      <w:lvlText w:val="%3."/>
      <w:lvlJc w:val="right"/>
      <w:pPr>
        <w:ind w:left="2160" w:hanging="180"/>
      </w:pPr>
    </w:lvl>
    <w:lvl w:ilvl="3" w:tplc="3D3A42A4" w:tentative="1">
      <w:start w:val="1"/>
      <w:numFmt w:val="decimal"/>
      <w:lvlText w:val="%4."/>
      <w:lvlJc w:val="left"/>
      <w:pPr>
        <w:ind w:left="2880" w:hanging="360"/>
      </w:pPr>
    </w:lvl>
    <w:lvl w:ilvl="4" w:tplc="1D441972" w:tentative="1">
      <w:start w:val="1"/>
      <w:numFmt w:val="lowerLetter"/>
      <w:lvlText w:val="%5."/>
      <w:lvlJc w:val="left"/>
      <w:pPr>
        <w:ind w:left="3600" w:hanging="360"/>
      </w:pPr>
    </w:lvl>
    <w:lvl w:ilvl="5" w:tplc="9546474A" w:tentative="1">
      <w:start w:val="1"/>
      <w:numFmt w:val="lowerRoman"/>
      <w:lvlText w:val="%6."/>
      <w:lvlJc w:val="right"/>
      <w:pPr>
        <w:ind w:left="4320" w:hanging="180"/>
      </w:pPr>
    </w:lvl>
    <w:lvl w:ilvl="6" w:tplc="6F0C9948" w:tentative="1">
      <w:start w:val="1"/>
      <w:numFmt w:val="decimal"/>
      <w:lvlText w:val="%7."/>
      <w:lvlJc w:val="left"/>
      <w:pPr>
        <w:ind w:left="5040" w:hanging="360"/>
      </w:pPr>
    </w:lvl>
    <w:lvl w:ilvl="7" w:tplc="E94816FA" w:tentative="1">
      <w:start w:val="1"/>
      <w:numFmt w:val="lowerLetter"/>
      <w:lvlText w:val="%8."/>
      <w:lvlJc w:val="left"/>
      <w:pPr>
        <w:ind w:left="5760" w:hanging="360"/>
      </w:pPr>
    </w:lvl>
    <w:lvl w:ilvl="8" w:tplc="BC2EDAC8" w:tentative="1">
      <w:start w:val="1"/>
      <w:numFmt w:val="lowerRoman"/>
      <w:lvlText w:val="%9."/>
      <w:lvlJc w:val="right"/>
      <w:pPr>
        <w:ind w:left="6480" w:hanging="180"/>
      </w:pPr>
    </w:lvl>
  </w:abstractNum>
  <w:abstractNum w:abstractNumId="11" w15:restartNumberingAfterBreak="0">
    <w:nsid w:val="3BC94A3D"/>
    <w:multiLevelType w:val="hybridMultilevel"/>
    <w:tmpl w:val="A934A912"/>
    <w:lvl w:ilvl="0" w:tplc="032E37B6">
      <w:start w:val="1"/>
      <w:numFmt w:val="bullet"/>
      <w:lvlText w:val=""/>
      <w:lvlJc w:val="left"/>
      <w:pPr>
        <w:ind w:left="776" w:hanging="360"/>
      </w:pPr>
      <w:rPr>
        <w:rFonts w:ascii="Symbol" w:hAnsi="Symbol" w:hint="default"/>
      </w:rPr>
    </w:lvl>
    <w:lvl w:ilvl="1" w:tplc="A94680E2" w:tentative="1">
      <w:start w:val="1"/>
      <w:numFmt w:val="bullet"/>
      <w:lvlText w:val="o"/>
      <w:lvlJc w:val="left"/>
      <w:pPr>
        <w:ind w:left="1496" w:hanging="360"/>
      </w:pPr>
      <w:rPr>
        <w:rFonts w:ascii="Courier New" w:hAnsi="Courier New" w:cs="Courier New" w:hint="default"/>
      </w:rPr>
    </w:lvl>
    <w:lvl w:ilvl="2" w:tplc="05FE63CE" w:tentative="1">
      <w:start w:val="1"/>
      <w:numFmt w:val="bullet"/>
      <w:lvlText w:val=""/>
      <w:lvlJc w:val="left"/>
      <w:pPr>
        <w:ind w:left="2216" w:hanging="360"/>
      </w:pPr>
      <w:rPr>
        <w:rFonts w:ascii="Wingdings" w:hAnsi="Wingdings" w:hint="default"/>
      </w:rPr>
    </w:lvl>
    <w:lvl w:ilvl="3" w:tplc="3D8CAD2A" w:tentative="1">
      <w:start w:val="1"/>
      <w:numFmt w:val="bullet"/>
      <w:lvlText w:val=""/>
      <w:lvlJc w:val="left"/>
      <w:pPr>
        <w:ind w:left="2936" w:hanging="360"/>
      </w:pPr>
      <w:rPr>
        <w:rFonts w:ascii="Symbol" w:hAnsi="Symbol" w:hint="default"/>
      </w:rPr>
    </w:lvl>
    <w:lvl w:ilvl="4" w:tplc="C4A81D1E" w:tentative="1">
      <w:start w:val="1"/>
      <w:numFmt w:val="bullet"/>
      <w:lvlText w:val="o"/>
      <w:lvlJc w:val="left"/>
      <w:pPr>
        <w:ind w:left="3656" w:hanging="360"/>
      </w:pPr>
      <w:rPr>
        <w:rFonts w:ascii="Courier New" w:hAnsi="Courier New" w:cs="Courier New" w:hint="default"/>
      </w:rPr>
    </w:lvl>
    <w:lvl w:ilvl="5" w:tplc="4DD8B8A8" w:tentative="1">
      <w:start w:val="1"/>
      <w:numFmt w:val="bullet"/>
      <w:lvlText w:val=""/>
      <w:lvlJc w:val="left"/>
      <w:pPr>
        <w:ind w:left="4376" w:hanging="360"/>
      </w:pPr>
      <w:rPr>
        <w:rFonts w:ascii="Wingdings" w:hAnsi="Wingdings" w:hint="default"/>
      </w:rPr>
    </w:lvl>
    <w:lvl w:ilvl="6" w:tplc="B3F65FF0" w:tentative="1">
      <w:start w:val="1"/>
      <w:numFmt w:val="bullet"/>
      <w:lvlText w:val=""/>
      <w:lvlJc w:val="left"/>
      <w:pPr>
        <w:ind w:left="5096" w:hanging="360"/>
      </w:pPr>
      <w:rPr>
        <w:rFonts w:ascii="Symbol" w:hAnsi="Symbol" w:hint="default"/>
      </w:rPr>
    </w:lvl>
    <w:lvl w:ilvl="7" w:tplc="EE280E08" w:tentative="1">
      <w:start w:val="1"/>
      <w:numFmt w:val="bullet"/>
      <w:lvlText w:val="o"/>
      <w:lvlJc w:val="left"/>
      <w:pPr>
        <w:ind w:left="5816" w:hanging="360"/>
      </w:pPr>
      <w:rPr>
        <w:rFonts w:ascii="Courier New" w:hAnsi="Courier New" w:cs="Courier New" w:hint="default"/>
      </w:rPr>
    </w:lvl>
    <w:lvl w:ilvl="8" w:tplc="C9684218" w:tentative="1">
      <w:start w:val="1"/>
      <w:numFmt w:val="bullet"/>
      <w:lvlText w:val=""/>
      <w:lvlJc w:val="left"/>
      <w:pPr>
        <w:ind w:left="6536" w:hanging="360"/>
      </w:pPr>
      <w:rPr>
        <w:rFonts w:ascii="Wingdings" w:hAnsi="Wingdings" w:hint="default"/>
      </w:rPr>
    </w:lvl>
  </w:abstractNum>
  <w:abstractNum w:abstractNumId="12" w15:restartNumberingAfterBreak="0">
    <w:nsid w:val="3CE13E42"/>
    <w:multiLevelType w:val="hybridMultilevel"/>
    <w:tmpl w:val="36AE3800"/>
    <w:lvl w:ilvl="0" w:tplc="F69A29BA">
      <w:start w:val="1"/>
      <w:numFmt w:val="upperRoman"/>
      <w:lvlText w:val="%1."/>
      <w:lvlJc w:val="right"/>
      <w:pPr>
        <w:ind w:left="720" w:hanging="360"/>
      </w:pPr>
      <w:rPr>
        <w:rFonts w:hint="default"/>
      </w:rPr>
    </w:lvl>
    <w:lvl w:ilvl="1" w:tplc="0C48AC80" w:tentative="1">
      <w:start w:val="1"/>
      <w:numFmt w:val="lowerLetter"/>
      <w:lvlText w:val="%2."/>
      <w:lvlJc w:val="left"/>
      <w:pPr>
        <w:ind w:left="1440" w:hanging="360"/>
      </w:pPr>
    </w:lvl>
    <w:lvl w:ilvl="2" w:tplc="26BEA092" w:tentative="1">
      <w:start w:val="1"/>
      <w:numFmt w:val="lowerRoman"/>
      <w:lvlText w:val="%3."/>
      <w:lvlJc w:val="right"/>
      <w:pPr>
        <w:ind w:left="2160" w:hanging="180"/>
      </w:pPr>
    </w:lvl>
    <w:lvl w:ilvl="3" w:tplc="89F4C7E4" w:tentative="1">
      <w:start w:val="1"/>
      <w:numFmt w:val="decimal"/>
      <w:lvlText w:val="%4."/>
      <w:lvlJc w:val="left"/>
      <w:pPr>
        <w:ind w:left="2880" w:hanging="360"/>
      </w:pPr>
    </w:lvl>
    <w:lvl w:ilvl="4" w:tplc="2F10F01E" w:tentative="1">
      <w:start w:val="1"/>
      <w:numFmt w:val="lowerLetter"/>
      <w:lvlText w:val="%5."/>
      <w:lvlJc w:val="left"/>
      <w:pPr>
        <w:ind w:left="3600" w:hanging="360"/>
      </w:pPr>
    </w:lvl>
    <w:lvl w:ilvl="5" w:tplc="36ACE6CE" w:tentative="1">
      <w:start w:val="1"/>
      <w:numFmt w:val="lowerRoman"/>
      <w:lvlText w:val="%6."/>
      <w:lvlJc w:val="right"/>
      <w:pPr>
        <w:ind w:left="4320" w:hanging="180"/>
      </w:pPr>
    </w:lvl>
    <w:lvl w:ilvl="6" w:tplc="305C9F2C" w:tentative="1">
      <w:start w:val="1"/>
      <w:numFmt w:val="decimal"/>
      <w:lvlText w:val="%7."/>
      <w:lvlJc w:val="left"/>
      <w:pPr>
        <w:ind w:left="5040" w:hanging="360"/>
      </w:pPr>
    </w:lvl>
    <w:lvl w:ilvl="7" w:tplc="ED16F6FA" w:tentative="1">
      <w:start w:val="1"/>
      <w:numFmt w:val="lowerLetter"/>
      <w:lvlText w:val="%8."/>
      <w:lvlJc w:val="left"/>
      <w:pPr>
        <w:ind w:left="5760" w:hanging="360"/>
      </w:pPr>
    </w:lvl>
    <w:lvl w:ilvl="8" w:tplc="727C89BA" w:tentative="1">
      <w:start w:val="1"/>
      <w:numFmt w:val="lowerRoman"/>
      <w:lvlText w:val="%9."/>
      <w:lvlJc w:val="right"/>
      <w:pPr>
        <w:ind w:left="6480" w:hanging="180"/>
      </w:pPr>
    </w:lvl>
  </w:abstractNum>
  <w:abstractNum w:abstractNumId="13" w15:restartNumberingAfterBreak="0">
    <w:nsid w:val="47902D72"/>
    <w:multiLevelType w:val="hybridMultilevel"/>
    <w:tmpl w:val="45FE7404"/>
    <w:lvl w:ilvl="0" w:tplc="ADA64C2A">
      <w:start w:val="1"/>
      <w:numFmt w:val="bullet"/>
      <w:lvlText w:val=""/>
      <w:lvlJc w:val="left"/>
      <w:pPr>
        <w:ind w:left="720" w:hanging="360"/>
      </w:pPr>
      <w:rPr>
        <w:rFonts w:ascii="Symbol" w:hAnsi="Symbol" w:hint="default"/>
      </w:rPr>
    </w:lvl>
    <w:lvl w:ilvl="1" w:tplc="5AB8DA14" w:tentative="1">
      <w:start w:val="1"/>
      <w:numFmt w:val="lowerLetter"/>
      <w:lvlText w:val="%2."/>
      <w:lvlJc w:val="left"/>
      <w:pPr>
        <w:ind w:left="1440" w:hanging="360"/>
      </w:pPr>
    </w:lvl>
    <w:lvl w:ilvl="2" w:tplc="AAEA6134" w:tentative="1">
      <w:start w:val="1"/>
      <w:numFmt w:val="lowerRoman"/>
      <w:lvlText w:val="%3."/>
      <w:lvlJc w:val="right"/>
      <w:pPr>
        <w:ind w:left="2160" w:hanging="180"/>
      </w:pPr>
    </w:lvl>
    <w:lvl w:ilvl="3" w:tplc="7B748CD2" w:tentative="1">
      <w:start w:val="1"/>
      <w:numFmt w:val="decimal"/>
      <w:lvlText w:val="%4."/>
      <w:lvlJc w:val="left"/>
      <w:pPr>
        <w:ind w:left="2880" w:hanging="360"/>
      </w:pPr>
    </w:lvl>
    <w:lvl w:ilvl="4" w:tplc="EB9EB29A" w:tentative="1">
      <w:start w:val="1"/>
      <w:numFmt w:val="lowerLetter"/>
      <w:lvlText w:val="%5."/>
      <w:lvlJc w:val="left"/>
      <w:pPr>
        <w:ind w:left="3600" w:hanging="360"/>
      </w:pPr>
    </w:lvl>
    <w:lvl w:ilvl="5" w:tplc="639CF13E" w:tentative="1">
      <w:start w:val="1"/>
      <w:numFmt w:val="lowerRoman"/>
      <w:lvlText w:val="%6."/>
      <w:lvlJc w:val="right"/>
      <w:pPr>
        <w:ind w:left="4320" w:hanging="180"/>
      </w:pPr>
    </w:lvl>
    <w:lvl w:ilvl="6" w:tplc="66C63202" w:tentative="1">
      <w:start w:val="1"/>
      <w:numFmt w:val="decimal"/>
      <w:lvlText w:val="%7."/>
      <w:lvlJc w:val="left"/>
      <w:pPr>
        <w:ind w:left="5040" w:hanging="360"/>
      </w:pPr>
    </w:lvl>
    <w:lvl w:ilvl="7" w:tplc="D6BEB15C" w:tentative="1">
      <w:start w:val="1"/>
      <w:numFmt w:val="lowerLetter"/>
      <w:lvlText w:val="%8."/>
      <w:lvlJc w:val="left"/>
      <w:pPr>
        <w:ind w:left="5760" w:hanging="360"/>
      </w:pPr>
    </w:lvl>
    <w:lvl w:ilvl="8" w:tplc="9850BCDE" w:tentative="1">
      <w:start w:val="1"/>
      <w:numFmt w:val="lowerRoman"/>
      <w:lvlText w:val="%9."/>
      <w:lvlJc w:val="right"/>
      <w:pPr>
        <w:ind w:left="6480" w:hanging="180"/>
      </w:pPr>
    </w:lvl>
  </w:abstractNum>
  <w:abstractNum w:abstractNumId="14" w15:restartNumberingAfterBreak="0">
    <w:nsid w:val="50977BF7"/>
    <w:multiLevelType w:val="hybridMultilevel"/>
    <w:tmpl w:val="03DC85F0"/>
    <w:lvl w:ilvl="0" w:tplc="9746E54C">
      <w:start w:val="1"/>
      <w:numFmt w:val="lowerLetter"/>
      <w:lvlText w:val="%1)"/>
      <w:lvlJc w:val="left"/>
      <w:pPr>
        <w:ind w:left="720" w:hanging="360"/>
      </w:pPr>
    </w:lvl>
    <w:lvl w:ilvl="1" w:tplc="593845FC" w:tentative="1">
      <w:start w:val="1"/>
      <w:numFmt w:val="lowerLetter"/>
      <w:lvlText w:val="%2."/>
      <w:lvlJc w:val="left"/>
      <w:pPr>
        <w:ind w:left="1440" w:hanging="360"/>
      </w:pPr>
    </w:lvl>
    <w:lvl w:ilvl="2" w:tplc="33C0D652" w:tentative="1">
      <w:start w:val="1"/>
      <w:numFmt w:val="lowerRoman"/>
      <w:lvlText w:val="%3."/>
      <w:lvlJc w:val="right"/>
      <w:pPr>
        <w:ind w:left="2160" w:hanging="180"/>
      </w:pPr>
    </w:lvl>
    <w:lvl w:ilvl="3" w:tplc="9604A1AA" w:tentative="1">
      <w:start w:val="1"/>
      <w:numFmt w:val="decimal"/>
      <w:lvlText w:val="%4."/>
      <w:lvlJc w:val="left"/>
      <w:pPr>
        <w:ind w:left="2880" w:hanging="360"/>
      </w:pPr>
    </w:lvl>
    <w:lvl w:ilvl="4" w:tplc="82B60BD4" w:tentative="1">
      <w:start w:val="1"/>
      <w:numFmt w:val="lowerLetter"/>
      <w:lvlText w:val="%5."/>
      <w:lvlJc w:val="left"/>
      <w:pPr>
        <w:ind w:left="3600" w:hanging="360"/>
      </w:pPr>
    </w:lvl>
    <w:lvl w:ilvl="5" w:tplc="3B48B762" w:tentative="1">
      <w:start w:val="1"/>
      <w:numFmt w:val="lowerRoman"/>
      <w:lvlText w:val="%6."/>
      <w:lvlJc w:val="right"/>
      <w:pPr>
        <w:ind w:left="4320" w:hanging="180"/>
      </w:pPr>
    </w:lvl>
    <w:lvl w:ilvl="6" w:tplc="C7602A20" w:tentative="1">
      <w:start w:val="1"/>
      <w:numFmt w:val="decimal"/>
      <w:lvlText w:val="%7."/>
      <w:lvlJc w:val="left"/>
      <w:pPr>
        <w:ind w:left="5040" w:hanging="360"/>
      </w:pPr>
    </w:lvl>
    <w:lvl w:ilvl="7" w:tplc="7402D226" w:tentative="1">
      <w:start w:val="1"/>
      <w:numFmt w:val="lowerLetter"/>
      <w:lvlText w:val="%8."/>
      <w:lvlJc w:val="left"/>
      <w:pPr>
        <w:ind w:left="5760" w:hanging="360"/>
      </w:pPr>
    </w:lvl>
    <w:lvl w:ilvl="8" w:tplc="9A6813A6" w:tentative="1">
      <w:start w:val="1"/>
      <w:numFmt w:val="lowerRoman"/>
      <w:lvlText w:val="%9."/>
      <w:lvlJc w:val="right"/>
      <w:pPr>
        <w:ind w:left="6480" w:hanging="180"/>
      </w:pPr>
    </w:lvl>
  </w:abstractNum>
  <w:abstractNum w:abstractNumId="15" w15:restartNumberingAfterBreak="0">
    <w:nsid w:val="536C1FDC"/>
    <w:multiLevelType w:val="hybridMultilevel"/>
    <w:tmpl w:val="ECDA05AC"/>
    <w:lvl w:ilvl="0" w:tplc="6E145E0E">
      <w:start w:val="1"/>
      <w:numFmt w:val="decimal"/>
      <w:lvlText w:val="%1)"/>
      <w:lvlJc w:val="left"/>
      <w:pPr>
        <w:ind w:left="720" w:hanging="360"/>
      </w:pPr>
      <w:rPr>
        <w:rFonts w:cs="Times New Roman"/>
      </w:rPr>
    </w:lvl>
    <w:lvl w:ilvl="1" w:tplc="A09AC09E" w:tentative="1">
      <w:start w:val="1"/>
      <w:numFmt w:val="lowerLetter"/>
      <w:lvlText w:val="%2."/>
      <w:lvlJc w:val="left"/>
      <w:pPr>
        <w:ind w:left="1440" w:hanging="360"/>
      </w:pPr>
    </w:lvl>
    <w:lvl w:ilvl="2" w:tplc="24B8FF9A" w:tentative="1">
      <w:start w:val="1"/>
      <w:numFmt w:val="lowerRoman"/>
      <w:lvlText w:val="%3."/>
      <w:lvlJc w:val="right"/>
      <w:pPr>
        <w:ind w:left="2160" w:hanging="180"/>
      </w:pPr>
    </w:lvl>
    <w:lvl w:ilvl="3" w:tplc="86248E80" w:tentative="1">
      <w:start w:val="1"/>
      <w:numFmt w:val="decimal"/>
      <w:lvlText w:val="%4."/>
      <w:lvlJc w:val="left"/>
      <w:pPr>
        <w:ind w:left="2880" w:hanging="360"/>
      </w:pPr>
    </w:lvl>
    <w:lvl w:ilvl="4" w:tplc="6030735A" w:tentative="1">
      <w:start w:val="1"/>
      <w:numFmt w:val="lowerLetter"/>
      <w:lvlText w:val="%5."/>
      <w:lvlJc w:val="left"/>
      <w:pPr>
        <w:ind w:left="3600" w:hanging="360"/>
      </w:pPr>
    </w:lvl>
    <w:lvl w:ilvl="5" w:tplc="D0E0A5E4" w:tentative="1">
      <w:start w:val="1"/>
      <w:numFmt w:val="lowerRoman"/>
      <w:lvlText w:val="%6."/>
      <w:lvlJc w:val="right"/>
      <w:pPr>
        <w:ind w:left="4320" w:hanging="180"/>
      </w:pPr>
    </w:lvl>
    <w:lvl w:ilvl="6" w:tplc="B420B942" w:tentative="1">
      <w:start w:val="1"/>
      <w:numFmt w:val="decimal"/>
      <w:lvlText w:val="%7."/>
      <w:lvlJc w:val="left"/>
      <w:pPr>
        <w:ind w:left="5040" w:hanging="360"/>
      </w:pPr>
    </w:lvl>
    <w:lvl w:ilvl="7" w:tplc="8E420470" w:tentative="1">
      <w:start w:val="1"/>
      <w:numFmt w:val="lowerLetter"/>
      <w:lvlText w:val="%8."/>
      <w:lvlJc w:val="left"/>
      <w:pPr>
        <w:ind w:left="5760" w:hanging="360"/>
      </w:pPr>
    </w:lvl>
    <w:lvl w:ilvl="8" w:tplc="96888972" w:tentative="1">
      <w:start w:val="1"/>
      <w:numFmt w:val="lowerRoman"/>
      <w:lvlText w:val="%9."/>
      <w:lvlJc w:val="right"/>
      <w:pPr>
        <w:ind w:left="6480" w:hanging="180"/>
      </w:pPr>
    </w:lvl>
  </w:abstractNum>
  <w:abstractNum w:abstractNumId="16" w15:restartNumberingAfterBreak="0">
    <w:nsid w:val="54213A0C"/>
    <w:multiLevelType w:val="hybridMultilevel"/>
    <w:tmpl w:val="8118DC24"/>
    <w:lvl w:ilvl="0" w:tplc="DE4CCCA8">
      <w:start w:val="1"/>
      <w:numFmt w:val="decimal"/>
      <w:lvlText w:val="%1)"/>
      <w:lvlJc w:val="left"/>
      <w:pPr>
        <w:ind w:left="720" w:hanging="360"/>
      </w:pPr>
      <w:rPr>
        <w:rFonts w:cs="Times New Roman"/>
      </w:rPr>
    </w:lvl>
    <w:lvl w:ilvl="1" w:tplc="ECBA5EE6">
      <w:start w:val="1"/>
      <w:numFmt w:val="lowerLetter"/>
      <w:lvlText w:val="%2."/>
      <w:lvlJc w:val="left"/>
      <w:pPr>
        <w:ind w:left="1440" w:hanging="360"/>
      </w:pPr>
    </w:lvl>
    <w:lvl w:ilvl="2" w:tplc="075491D2">
      <w:start w:val="1"/>
      <w:numFmt w:val="lowerRoman"/>
      <w:lvlText w:val="%3."/>
      <w:lvlJc w:val="right"/>
      <w:pPr>
        <w:ind w:left="2160" w:hanging="180"/>
      </w:pPr>
    </w:lvl>
    <w:lvl w:ilvl="3" w:tplc="87286CC0">
      <w:start w:val="1"/>
      <w:numFmt w:val="decimal"/>
      <w:lvlText w:val="%4."/>
      <w:lvlJc w:val="left"/>
      <w:pPr>
        <w:ind w:left="2880" w:hanging="360"/>
      </w:pPr>
    </w:lvl>
    <w:lvl w:ilvl="4" w:tplc="9D460FA4">
      <w:start w:val="1"/>
      <w:numFmt w:val="lowerLetter"/>
      <w:lvlText w:val="%5."/>
      <w:lvlJc w:val="left"/>
      <w:pPr>
        <w:ind w:left="3600" w:hanging="360"/>
      </w:pPr>
    </w:lvl>
    <w:lvl w:ilvl="5" w:tplc="593838E8">
      <w:start w:val="1"/>
      <w:numFmt w:val="lowerRoman"/>
      <w:lvlText w:val="%6."/>
      <w:lvlJc w:val="right"/>
      <w:pPr>
        <w:ind w:left="4320" w:hanging="180"/>
      </w:pPr>
    </w:lvl>
    <w:lvl w:ilvl="6" w:tplc="AA8E8A20">
      <w:start w:val="1"/>
      <w:numFmt w:val="decimal"/>
      <w:lvlText w:val="%7."/>
      <w:lvlJc w:val="left"/>
      <w:pPr>
        <w:ind w:left="5040" w:hanging="360"/>
      </w:pPr>
    </w:lvl>
    <w:lvl w:ilvl="7" w:tplc="8BB04448">
      <w:start w:val="1"/>
      <w:numFmt w:val="lowerLetter"/>
      <w:lvlText w:val="%8."/>
      <w:lvlJc w:val="left"/>
      <w:pPr>
        <w:ind w:left="5760" w:hanging="360"/>
      </w:pPr>
    </w:lvl>
    <w:lvl w:ilvl="8" w:tplc="D91C8EFC">
      <w:start w:val="1"/>
      <w:numFmt w:val="lowerRoman"/>
      <w:lvlText w:val="%9."/>
      <w:lvlJc w:val="right"/>
      <w:pPr>
        <w:ind w:left="6480" w:hanging="180"/>
      </w:pPr>
    </w:lvl>
  </w:abstractNum>
  <w:abstractNum w:abstractNumId="17" w15:restartNumberingAfterBreak="0">
    <w:nsid w:val="54650044"/>
    <w:multiLevelType w:val="hybridMultilevel"/>
    <w:tmpl w:val="A64ADF72"/>
    <w:lvl w:ilvl="0" w:tplc="09708B74">
      <w:start w:val="1"/>
      <w:numFmt w:val="bullet"/>
      <w:pStyle w:val="Odrka1"/>
      <w:lvlText w:val=""/>
      <w:lvlJc w:val="left"/>
      <w:pPr>
        <w:ind w:left="720" w:hanging="360"/>
      </w:pPr>
      <w:rPr>
        <w:rFonts w:ascii="Symbol" w:hAnsi="Symbol" w:hint="default"/>
      </w:rPr>
    </w:lvl>
    <w:lvl w:ilvl="1" w:tplc="5FEC540A" w:tentative="1">
      <w:start w:val="1"/>
      <w:numFmt w:val="bullet"/>
      <w:lvlText w:val="o"/>
      <w:lvlJc w:val="left"/>
      <w:pPr>
        <w:ind w:left="1440" w:hanging="360"/>
      </w:pPr>
      <w:rPr>
        <w:rFonts w:ascii="Courier New" w:hAnsi="Courier New" w:cs="Courier New" w:hint="default"/>
      </w:rPr>
    </w:lvl>
    <w:lvl w:ilvl="2" w:tplc="773A67C4" w:tentative="1">
      <w:start w:val="1"/>
      <w:numFmt w:val="bullet"/>
      <w:lvlText w:val=""/>
      <w:lvlJc w:val="left"/>
      <w:pPr>
        <w:ind w:left="2160" w:hanging="360"/>
      </w:pPr>
      <w:rPr>
        <w:rFonts w:ascii="Wingdings" w:hAnsi="Wingdings" w:hint="default"/>
      </w:rPr>
    </w:lvl>
    <w:lvl w:ilvl="3" w:tplc="4C1C338E" w:tentative="1">
      <w:start w:val="1"/>
      <w:numFmt w:val="bullet"/>
      <w:lvlText w:val=""/>
      <w:lvlJc w:val="left"/>
      <w:pPr>
        <w:ind w:left="2880" w:hanging="360"/>
      </w:pPr>
      <w:rPr>
        <w:rFonts w:ascii="Symbol" w:hAnsi="Symbol" w:hint="default"/>
      </w:rPr>
    </w:lvl>
    <w:lvl w:ilvl="4" w:tplc="1550DEEA" w:tentative="1">
      <w:start w:val="1"/>
      <w:numFmt w:val="bullet"/>
      <w:lvlText w:val="o"/>
      <w:lvlJc w:val="left"/>
      <w:pPr>
        <w:ind w:left="3600" w:hanging="360"/>
      </w:pPr>
      <w:rPr>
        <w:rFonts w:ascii="Courier New" w:hAnsi="Courier New" w:cs="Courier New" w:hint="default"/>
      </w:rPr>
    </w:lvl>
    <w:lvl w:ilvl="5" w:tplc="4964FFB8" w:tentative="1">
      <w:start w:val="1"/>
      <w:numFmt w:val="bullet"/>
      <w:lvlText w:val=""/>
      <w:lvlJc w:val="left"/>
      <w:pPr>
        <w:ind w:left="4320" w:hanging="360"/>
      </w:pPr>
      <w:rPr>
        <w:rFonts w:ascii="Wingdings" w:hAnsi="Wingdings" w:hint="default"/>
      </w:rPr>
    </w:lvl>
    <w:lvl w:ilvl="6" w:tplc="BAFA9B00" w:tentative="1">
      <w:start w:val="1"/>
      <w:numFmt w:val="bullet"/>
      <w:lvlText w:val=""/>
      <w:lvlJc w:val="left"/>
      <w:pPr>
        <w:ind w:left="5040" w:hanging="360"/>
      </w:pPr>
      <w:rPr>
        <w:rFonts w:ascii="Symbol" w:hAnsi="Symbol" w:hint="default"/>
      </w:rPr>
    </w:lvl>
    <w:lvl w:ilvl="7" w:tplc="D1B00DD4" w:tentative="1">
      <w:start w:val="1"/>
      <w:numFmt w:val="bullet"/>
      <w:lvlText w:val="o"/>
      <w:lvlJc w:val="left"/>
      <w:pPr>
        <w:ind w:left="5760" w:hanging="360"/>
      </w:pPr>
      <w:rPr>
        <w:rFonts w:ascii="Courier New" w:hAnsi="Courier New" w:cs="Courier New" w:hint="default"/>
      </w:rPr>
    </w:lvl>
    <w:lvl w:ilvl="8" w:tplc="E88E2F48" w:tentative="1">
      <w:start w:val="1"/>
      <w:numFmt w:val="bullet"/>
      <w:lvlText w:val=""/>
      <w:lvlJc w:val="left"/>
      <w:pPr>
        <w:ind w:left="6480" w:hanging="360"/>
      </w:pPr>
      <w:rPr>
        <w:rFonts w:ascii="Wingdings" w:hAnsi="Wingdings" w:hint="default"/>
      </w:rPr>
    </w:lvl>
  </w:abstractNum>
  <w:abstractNum w:abstractNumId="18" w15:restartNumberingAfterBreak="0">
    <w:nsid w:val="586B4DF6"/>
    <w:multiLevelType w:val="hybridMultilevel"/>
    <w:tmpl w:val="125A8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572245"/>
    <w:multiLevelType w:val="hybridMultilevel"/>
    <w:tmpl w:val="B1DE26B6"/>
    <w:lvl w:ilvl="0" w:tplc="F9F01C1E">
      <w:start w:val="1"/>
      <w:numFmt w:val="bullet"/>
      <w:lvlText w:val=""/>
      <w:lvlJc w:val="left"/>
      <w:pPr>
        <w:ind w:left="720" w:hanging="360"/>
      </w:pPr>
      <w:rPr>
        <w:rFonts w:ascii="Symbol" w:hAnsi="Symbol" w:hint="default"/>
      </w:rPr>
    </w:lvl>
    <w:lvl w:ilvl="1" w:tplc="F63AD246" w:tentative="1">
      <w:start w:val="1"/>
      <w:numFmt w:val="bullet"/>
      <w:lvlText w:val="o"/>
      <w:lvlJc w:val="left"/>
      <w:pPr>
        <w:ind w:left="1440" w:hanging="360"/>
      </w:pPr>
      <w:rPr>
        <w:rFonts w:ascii="Courier New" w:hAnsi="Courier New" w:cs="Courier New" w:hint="default"/>
      </w:rPr>
    </w:lvl>
    <w:lvl w:ilvl="2" w:tplc="434C1496" w:tentative="1">
      <w:start w:val="1"/>
      <w:numFmt w:val="bullet"/>
      <w:lvlText w:val=""/>
      <w:lvlJc w:val="left"/>
      <w:pPr>
        <w:ind w:left="2160" w:hanging="360"/>
      </w:pPr>
      <w:rPr>
        <w:rFonts w:ascii="Wingdings" w:hAnsi="Wingdings" w:hint="default"/>
      </w:rPr>
    </w:lvl>
    <w:lvl w:ilvl="3" w:tplc="01742942" w:tentative="1">
      <w:start w:val="1"/>
      <w:numFmt w:val="bullet"/>
      <w:lvlText w:val=""/>
      <w:lvlJc w:val="left"/>
      <w:pPr>
        <w:ind w:left="2880" w:hanging="360"/>
      </w:pPr>
      <w:rPr>
        <w:rFonts w:ascii="Symbol" w:hAnsi="Symbol" w:hint="default"/>
      </w:rPr>
    </w:lvl>
    <w:lvl w:ilvl="4" w:tplc="351E23AC" w:tentative="1">
      <w:start w:val="1"/>
      <w:numFmt w:val="bullet"/>
      <w:lvlText w:val="o"/>
      <w:lvlJc w:val="left"/>
      <w:pPr>
        <w:ind w:left="3600" w:hanging="360"/>
      </w:pPr>
      <w:rPr>
        <w:rFonts w:ascii="Courier New" w:hAnsi="Courier New" w:cs="Courier New" w:hint="default"/>
      </w:rPr>
    </w:lvl>
    <w:lvl w:ilvl="5" w:tplc="FA36A942" w:tentative="1">
      <w:start w:val="1"/>
      <w:numFmt w:val="bullet"/>
      <w:lvlText w:val=""/>
      <w:lvlJc w:val="left"/>
      <w:pPr>
        <w:ind w:left="4320" w:hanging="360"/>
      </w:pPr>
      <w:rPr>
        <w:rFonts w:ascii="Wingdings" w:hAnsi="Wingdings" w:hint="default"/>
      </w:rPr>
    </w:lvl>
    <w:lvl w:ilvl="6" w:tplc="E5627E62" w:tentative="1">
      <w:start w:val="1"/>
      <w:numFmt w:val="bullet"/>
      <w:lvlText w:val=""/>
      <w:lvlJc w:val="left"/>
      <w:pPr>
        <w:ind w:left="5040" w:hanging="360"/>
      </w:pPr>
      <w:rPr>
        <w:rFonts w:ascii="Symbol" w:hAnsi="Symbol" w:hint="default"/>
      </w:rPr>
    </w:lvl>
    <w:lvl w:ilvl="7" w:tplc="EE9450CA" w:tentative="1">
      <w:start w:val="1"/>
      <w:numFmt w:val="bullet"/>
      <w:lvlText w:val="o"/>
      <w:lvlJc w:val="left"/>
      <w:pPr>
        <w:ind w:left="5760" w:hanging="360"/>
      </w:pPr>
      <w:rPr>
        <w:rFonts w:ascii="Courier New" w:hAnsi="Courier New" w:cs="Courier New" w:hint="default"/>
      </w:rPr>
    </w:lvl>
    <w:lvl w:ilvl="8" w:tplc="AB86D67A" w:tentative="1">
      <w:start w:val="1"/>
      <w:numFmt w:val="bullet"/>
      <w:lvlText w:val=""/>
      <w:lvlJc w:val="left"/>
      <w:pPr>
        <w:ind w:left="6480" w:hanging="360"/>
      </w:pPr>
      <w:rPr>
        <w:rFonts w:ascii="Wingdings" w:hAnsi="Wingdings" w:hint="default"/>
      </w:rPr>
    </w:lvl>
  </w:abstractNum>
  <w:abstractNum w:abstractNumId="20" w15:restartNumberingAfterBreak="0">
    <w:nsid w:val="5A4E1D4D"/>
    <w:multiLevelType w:val="hybridMultilevel"/>
    <w:tmpl w:val="1C38E314"/>
    <w:lvl w:ilvl="0" w:tplc="23AA8608">
      <w:start w:val="1"/>
      <w:numFmt w:val="decimal"/>
      <w:lvlText w:val="%1."/>
      <w:lvlJc w:val="left"/>
      <w:pPr>
        <w:ind w:left="1065" w:hanging="705"/>
      </w:pPr>
      <w:rPr>
        <w:rFonts w:hint="default"/>
      </w:rPr>
    </w:lvl>
    <w:lvl w:ilvl="1" w:tplc="6E009246" w:tentative="1">
      <w:start w:val="1"/>
      <w:numFmt w:val="lowerLetter"/>
      <w:lvlText w:val="%2."/>
      <w:lvlJc w:val="left"/>
      <w:pPr>
        <w:ind w:left="1440" w:hanging="360"/>
      </w:pPr>
    </w:lvl>
    <w:lvl w:ilvl="2" w:tplc="2C2E418A" w:tentative="1">
      <w:start w:val="1"/>
      <w:numFmt w:val="lowerRoman"/>
      <w:lvlText w:val="%3."/>
      <w:lvlJc w:val="right"/>
      <w:pPr>
        <w:ind w:left="2160" w:hanging="180"/>
      </w:pPr>
    </w:lvl>
    <w:lvl w:ilvl="3" w:tplc="CE54FB9C" w:tentative="1">
      <w:start w:val="1"/>
      <w:numFmt w:val="decimal"/>
      <w:lvlText w:val="%4."/>
      <w:lvlJc w:val="left"/>
      <w:pPr>
        <w:ind w:left="2880" w:hanging="360"/>
      </w:pPr>
    </w:lvl>
    <w:lvl w:ilvl="4" w:tplc="54C6B922" w:tentative="1">
      <w:start w:val="1"/>
      <w:numFmt w:val="lowerLetter"/>
      <w:lvlText w:val="%5."/>
      <w:lvlJc w:val="left"/>
      <w:pPr>
        <w:ind w:left="3600" w:hanging="360"/>
      </w:pPr>
    </w:lvl>
    <w:lvl w:ilvl="5" w:tplc="E366461E" w:tentative="1">
      <w:start w:val="1"/>
      <w:numFmt w:val="lowerRoman"/>
      <w:lvlText w:val="%6."/>
      <w:lvlJc w:val="right"/>
      <w:pPr>
        <w:ind w:left="4320" w:hanging="180"/>
      </w:pPr>
    </w:lvl>
    <w:lvl w:ilvl="6" w:tplc="48A2EE2C" w:tentative="1">
      <w:start w:val="1"/>
      <w:numFmt w:val="decimal"/>
      <w:lvlText w:val="%7."/>
      <w:lvlJc w:val="left"/>
      <w:pPr>
        <w:ind w:left="5040" w:hanging="360"/>
      </w:pPr>
    </w:lvl>
    <w:lvl w:ilvl="7" w:tplc="982ECB18" w:tentative="1">
      <w:start w:val="1"/>
      <w:numFmt w:val="lowerLetter"/>
      <w:lvlText w:val="%8."/>
      <w:lvlJc w:val="left"/>
      <w:pPr>
        <w:ind w:left="5760" w:hanging="360"/>
      </w:pPr>
    </w:lvl>
    <w:lvl w:ilvl="8" w:tplc="F11098A4" w:tentative="1">
      <w:start w:val="1"/>
      <w:numFmt w:val="lowerRoman"/>
      <w:lvlText w:val="%9."/>
      <w:lvlJc w:val="right"/>
      <w:pPr>
        <w:ind w:left="6480" w:hanging="180"/>
      </w:pPr>
    </w:lvl>
  </w:abstractNum>
  <w:abstractNum w:abstractNumId="21" w15:restartNumberingAfterBreak="0">
    <w:nsid w:val="5E3437F5"/>
    <w:multiLevelType w:val="hybridMultilevel"/>
    <w:tmpl w:val="EB4E93C4"/>
    <w:lvl w:ilvl="0" w:tplc="D78CA0DA">
      <w:start w:val="1"/>
      <w:numFmt w:val="bullet"/>
      <w:lvlText w:val=""/>
      <w:lvlJc w:val="left"/>
      <w:pPr>
        <w:ind w:left="720" w:hanging="360"/>
      </w:pPr>
      <w:rPr>
        <w:rFonts w:ascii="Symbol" w:hAnsi="Symbol" w:hint="default"/>
      </w:rPr>
    </w:lvl>
    <w:lvl w:ilvl="1" w:tplc="7A84B758" w:tentative="1">
      <w:start w:val="1"/>
      <w:numFmt w:val="bullet"/>
      <w:lvlText w:val="o"/>
      <w:lvlJc w:val="left"/>
      <w:pPr>
        <w:ind w:left="1440" w:hanging="360"/>
      </w:pPr>
      <w:rPr>
        <w:rFonts w:ascii="Courier New" w:hAnsi="Courier New" w:cs="Courier New" w:hint="default"/>
      </w:rPr>
    </w:lvl>
    <w:lvl w:ilvl="2" w:tplc="1A4C372A" w:tentative="1">
      <w:start w:val="1"/>
      <w:numFmt w:val="bullet"/>
      <w:lvlText w:val=""/>
      <w:lvlJc w:val="left"/>
      <w:pPr>
        <w:ind w:left="2160" w:hanging="360"/>
      </w:pPr>
      <w:rPr>
        <w:rFonts w:ascii="Wingdings" w:hAnsi="Wingdings" w:hint="default"/>
      </w:rPr>
    </w:lvl>
    <w:lvl w:ilvl="3" w:tplc="A062611C" w:tentative="1">
      <w:start w:val="1"/>
      <w:numFmt w:val="bullet"/>
      <w:lvlText w:val=""/>
      <w:lvlJc w:val="left"/>
      <w:pPr>
        <w:ind w:left="2880" w:hanging="360"/>
      </w:pPr>
      <w:rPr>
        <w:rFonts w:ascii="Symbol" w:hAnsi="Symbol" w:hint="default"/>
      </w:rPr>
    </w:lvl>
    <w:lvl w:ilvl="4" w:tplc="CB066106" w:tentative="1">
      <w:start w:val="1"/>
      <w:numFmt w:val="bullet"/>
      <w:lvlText w:val="o"/>
      <w:lvlJc w:val="left"/>
      <w:pPr>
        <w:ind w:left="3600" w:hanging="360"/>
      </w:pPr>
      <w:rPr>
        <w:rFonts w:ascii="Courier New" w:hAnsi="Courier New" w:cs="Courier New" w:hint="default"/>
      </w:rPr>
    </w:lvl>
    <w:lvl w:ilvl="5" w:tplc="9A18F7BE" w:tentative="1">
      <w:start w:val="1"/>
      <w:numFmt w:val="bullet"/>
      <w:lvlText w:val=""/>
      <w:lvlJc w:val="left"/>
      <w:pPr>
        <w:ind w:left="4320" w:hanging="360"/>
      </w:pPr>
      <w:rPr>
        <w:rFonts w:ascii="Wingdings" w:hAnsi="Wingdings" w:hint="default"/>
      </w:rPr>
    </w:lvl>
    <w:lvl w:ilvl="6" w:tplc="DEBC97AA" w:tentative="1">
      <w:start w:val="1"/>
      <w:numFmt w:val="bullet"/>
      <w:lvlText w:val=""/>
      <w:lvlJc w:val="left"/>
      <w:pPr>
        <w:ind w:left="5040" w:hanging="360"/>
      </w:pPr>
      <w:rPr>
        <w:rFonts w:ascii="Symbol" w:hAnsi="Symbol" w:hint="default"/>
      </w:rPr>
    </w:lvl>
    <w:lvl w:ilvl="7" w:tplc="D286DD92" w:tentative="1">
      <w:start w:val="1"/>
      <w:numFmt w:val="bullet"/>
      <w:lvlText w:val="o"/>
      <w:lvlJc w:val="left"/>
      <w:pPr>
        <w:ind w:left="5760" w:hanging="360"/>
      </w:pPr>
      <w:rPr>
        <w:rFonts w:ascii="Courier New" w:hAnsi="Courier New" w:cs="Courier New" w:hint="default"/>
      </w:rPr>
    </w:lvl>
    <w:lvl w:ilvl="8" w:tplc="B9EC0B90" w:tentative="1">
      <w:start w:val="1"/>
      <w:numFmt w:val="bullet"/>
      <w:lvlText w:val=""/>
      <w:lvlJc w:val="left"/>
      <w:pPr>
        <w:ind w:left="6480" w:hanging="360"/>
      </w:pPr>
      <w:rPr>
        <w:rFonts w:ascii="Wingdings" w:hAnsi="Wingdings" w:hint="default"/>
      </w:rPr>
    </w:lvl>
  </w:abstractNum>
  <w:abstractNum w:abstractNumId="22" w15:restartNumberingAfterBreak="0">
    <w:nsid w:val="60EB5FF8"/>
    <w:multiLevelType w:val="hybridMultilevel"/>
    <w:tmpl w:val="FE3E2920"/>
    <w:lvl w:ilvl="0" w:tplc="99B673AC">
      <w:start w:val="1"/>
      <w:numFmt w:val="bullet"/>
      <w:lvlText w:val=""/>
      <w:lvlJc w:val="left"/>
      <w:pPr>
        <w:ind w:left="773" w:hanging="360"/>
      </w:pPr>
      <w:rPr>
        <w:rFonts w:ascii="Symbol" w:hAnsi="Symbol" w:hint="default"/>
      </w:rPr>
    </w:lvl>
    <w:lvl w:ilvl="1" w:tplc="223814D6" w:tentative="1">
      <w:start w:val="1"/>
      <w:numFmt w:val="bullet"/>
      <w:lvlText w:val="o"/>
      <w:lvlJc w:val="left"/>
      <w:pPr>
        <w:ind w:left="1493" w:hanging="360"/>
      </w:pPr>
      <w:rPr>
        <w:rFonts w:ascii="Courier New" w:hAnsi="Courier New" w:cs="Courier New" w:hint="default"/>
      </w:rPr>
    </w:lvl>
    <w:lvl w:ilvl="2" w:tplc="D11A8B34" w:tentative="1">
      <w:start w:val="1"/>
      <w:numFmt w:val="bullet"/>
      <w:lvlText w:val=""/>
      <w:lvlJc w:val="left"/>
      <w:pPr>
        <w:ind w:left="2213" w:hanging="360"/>
      </w:pPr>
      <w:rPr>
        <w:rFonts w:ascii="Wingdings" w:hAnsi="Wingdings" w:hint="default"/>
      </w:rPr>
    </w:lvl>
    <w:lvl w:ilvl="3" w:tplc="F1260668" w:tentative="1">
      <w:start w:val="1"/>
      <w:numFmt w:val="bullet"/>
      <w:lvlText w:val=""/>
      <w:lvlJc w:val="left"/>
      <w:pPr>
        <w:ind w:left="2933" w:hanging="360"/>
      </w:pPr>
      <w:rPr>
        <w:rFonts w:ascii="Symbol" w:hAnsi="Symbol" w:hint="default"/>
      </w:rPr>
    </w:lvl>
    <w:lvl w:ilvl="4" w:tplc="220CA15C" w:tentative="1">
      <w:start w:val="1"/>
      <w:numFmt w:val="bullet"/>
      <w:lvlText w:val="o"/>
      <w:lvlJc w:val="left"/>
      <w:pPr>
        <w:ind w:left="3653" w:hanging="360"/>
      </w:pPr>
      <w:rPr>
        <w:rFonts w:ascii="Courier New" w:hAnsi="Courier New" w:cs="Courier New" w:hint="default"/>
      </w:rPr>
    </w:lvl>
    <w:lvl w:ilvl="5" w:tplc="B3D4778E" w:tentative="1">
      <w:start w:val="1"/>
      <w:numFmt w:val="bullet"/>
      <w:lvlText w:val=""/>
      <w:lvlJc w:val="left"/>
      <w:pPr>
        <w:ind w:left="4373" w:hanging="360"/>
      </w:pPr>
      <w:rPr>
        <w:rFonts w:ascii="Wingdings" w:hAnsi="Wingdings" w:hint="default"/>
      </w:rPr>
    </w:lvl>
    <w:lvl w:ilvl="6" w:tplc="0756B24E" w:tentative="1">
      <w:start w:val="1"/>
      <w:numFmt w:val="bullet"/>
      <w:lvlText w:val=""/>
      <w:lvlJc w:val="left"/>
      <w:pPr>
        <w:ind w:left="5093" w:hanging="360"/>
      </w:pPr>
      <w:rPr>
        <w:rFonts w:ascii="Symbol" w:hAnsi="Symbol" w:hint="default"/>
      </w:rPr>
    </w:lvl>
    <w:lvl w:ilvl="7" w:tplc="D006FF08" w:tentative="1">
      <w:start w:val="1"/>
      <w:numFmt w:val="bullet"/>
      <w:lvlText w:val="o"/>
      <w:lvlJc w:val="left"/>
      <w:pPr>
        <w:ind w:left="5813" w:hanging="360"/>
      </w:pPr>
      <w:rPr>
        <w:rFonts w:ascii="Courier New" w:hAnsi="Courier New" w:cs="Courier New" w:hint="default"/>
      </w:rPr>
    </w:lvl>
    <w:lvl w:ilvl="8" w:tplc="924A982A" w:tentative="1">
      <w:start w:val="1"/>
      <w:numFmt w:val="bullet"/>
      <w:lvlText w:val=""/>
      <w:lvlJc w:val="left"/>
      <w:pPr>
        <w:ind w:left="6533" w:hanging="360"/>
      </w:pPr>
      <w:rPr>
        <w:rFonts w:ascii="Wingdings" w:hAnsi="Wingdings" w:hint="default"/>
      </w:rPr>
    </w:lvl>
  </w:abstractNum>
  <w:abstractNum w:abstractNumId="23" w15:restartNumberingAfterBreak="0">
    <w:nsid w:val="65D60213"/>
    <w:multiLevelType w:val="hybridMultilevel"/>
    <w:tmpl w:val="2230F964"/>
    <w:lvl w:ilvl="0" w:tplc="D6C28370">
      <w:start w:val="1"/>
      <w:numFmt w:val="upperLetter"/>
      <w:pStyle w:val="Nadpiskapitoly2"/>
      <w:lvlText w:val="%1."/>
      <w:lvlJc w:val="left"/>
      <w:pPr>
        <w:ind w:left="1080" w:hanging="360"/>
      </w:pPr>
    </w:lvl>
    <w:lvl w:ilvl="1" w:tplc="DD1ABCE6" w:tentative="1">
      <w:start w:val="1"/>
      <w:numFmt w:val="lowerLetter"/>
      <w:lvlText w:val="%2."/>
      <w:lvlJc w:val="left"/>
      <w:pPr>
        <w:ind w:left="1800" w:hanging="360"/>
      </w:pPr>
    </w:lvl>
    <w:lvl w:ilvl="2" w:tplc="58C88BD4" w:tentative="1">
      <w:start w:val="1"/>
      <w:numFmt w:val="lowerRoman"/>
      <w:lvlText w:val="%3."/>
      <w:lvlJc w:val="right"/>
      <w:pPr>
        <w:ind w:left="2520" w:hanging="180"/>
      </w:pPr>
    </w:lvl>
    <w:lvl w:ilvl="3" w:tplc="A9B291E0" w:tentative="1">
      <w:start w:val="1"/>
      <w:numFmt w:val="decimal"/>
      <w:lvlText w:val="%4."/>
      <w:lvlJc w:val="left"/>
      <w:pPr>
        <w:ind w:left="3240" w:hanging="360"/>
      </w:pPr>
    </w:lvl>
    <w:lvl w:ilvl="4" w:tplc="DEA893CE" w:tentative="1">
      <w:start w:val="1"/>
      <w:numFmt w:val="lowerLetter"/>
      <w:lvlText w:val="%5."/>
      <w:lvlJc w:val="left"/>
      <w:pPr>
        <w:ind w:left="3960" w:hanging="360"/>
      </w:pPr>
    </w:lvl>
    <w:lvl w:ilvl="5" w:tplc="C7F48D5E" w:tentative="1">
      <w:start w:val="1"/>
      <w:numFmt w:val="lowerRoman"/>
      <w:lvlText w:val="%6."/>
      <w:lvlJc w:val="right"/>
      <w:pPr>
        <w:ind w:left="4680" w:hanging="180"/>
      </w:pPr>
    </w:lvl>
    <w:lvl w:ilvl="6" w:tplc="CA165A30" w:tentative="1">
      <w:start w:val="1"/>
      <w:numFmt w:val="decimal"/>
      <w:lvlText w:val="%7."/>
      <w:lvlJc w:val="left"/>
      <w:pPr>
        <w:ind w:left="5400" w:hanging="360"/>
      </w:pPr>
    </w:lvl>
    <w:lvl w:ilvl="7" w:tplc="634CEB7E" w:tentative="1">
      <w:start w:val="1"/>
      <w:numFmt w:val="lowerLetter"/>
      <w:lvlText w:val="%8."/>
      <w:lvlJc w:val="left"/>
      <w:pPr>
        <w:ind w:left="6120" w:hanging="360"/>
      </w:pPr>
    </w:lvl>
    <w:lvl w:ilvl="8" w:tplc="BFAA623E" w:tentative="1">
      <w:start w:val="1"/>
      <w:numFmt w:val="lowerRoman"/>
      <w:lvlText w:val="%9."/>
      <w:lvlJc w:val="right"/>
      <w:pPr>
        <w:ind w:left="6840" w:hanging="180"/>
      </w:pPr>
    </w:lvl>
  </w:abstractNum>
  <w:abstractNum w:abstractNumId="24" w15:restartNumberingAfterBreak="0">
    <w:nsid w:val="68E2700E"/>
    <w:multiLevelType w:val="hybridMultilevel"/>
    <w:tmpl w:val="9692C46E"/>
    <w:lvl w:ilvl="0" w:tplc="6E2AAEB2">
      <w:start w:val="1"/>
      <w:numFmt w:val="bullet"/>
      <w:lvlText w:val=""/>
      <w:lvlJc w:val="left"/>
      <w:pPr>
        <w:ind w:left="720" w:hanging="360"/>
      </w:pPr>
      <w:rPr>
        <w:rFonts w:ascii="Symbol" w:hAnsi="Symbol" w:hint="default"/>
      </w:rPr>
    </w:lvl>
    <w:lvl w:ilvl="1" w:tplc="567A1C4C" w:tentative="1">
      <w:start w:val="1"/>
      <w:numFmt w:val="bullet"/>
      <w:lvlText w:val="o"/>
      <w:lvlJc w:val="left"/>
      <w:pPr>
        <w:ind w:left="1440" w:hanging="360"/>
      </w:pPr>
      <w:rPr>
        <w:rFonts w:ascii="Courier New" w:hAnsi="Courier New" w:cs="Courier New" w:hint="default"/>
      </w:rPr>
    </w:lvl>
    <w:lvl w:ilvl="2" w:tplc="FAF4E57E" w:tentative="1">
      <w:start w:val="1"/>
      <w:numFmt w:val="bullet"/>
      <w:lvlText w:val=""/>
      <w:lvlJc w:val="left"/>
      <w:pPr>
        <w:ind w:left="2160" w:hanging="360"/>
      </w:pPr>
      <w:rPr>
        <w:rFonts w:ascii="Wingdings" w:hAnsi="Wingdings" w:hint="default"/>
      </w:rPr>
    </w:lvl>
    <w:lvl w:ilvl="3" w:tplc="D70A1C76" w:tentative="1">
      <w:start w:val="1"/>
      <w:numFmt w:val="bullet"/>
      <w:lvlText w:val=""/>
      <w:lvlJc w:val="left"/>
      <w:pPr>
        <w:ind w:left="2880" w:hanging="360"/>
      </w:pPr>
      <w:rPr>
        <w:rFonts w:ascii="Symbol" w:hAnsi="Symbol" w:hint="default"/>
      </w:rPr>
    </w:lvl>
    <w:lvl w:ilvl="4" w:tplc="22103B6A" w:tentative="1">
      <w:start w:val="1"/>
      <w:numFmt w:val="bullet"/>
      <w:lvlText w:val="o"/>
      <w:lvlJc w:val="left"/>
      <w:pPr>
        <w:ind w:left="3600" w:hanging="360"/>
      </w:pPr>
      <w:rPr>
        <w:rFonts w:ascii="Courier New" w:hAnsi="Courier New" w:cs="Courier New" w:hint="default"/>
      </w:rPr>
    </w:lvl>
    <w:lvl w:ilvl="5" w:tplc="C6A2E6E6" w:tentative="1">
      <w:start w:val="1"/>
      <w:numFmt w:val="bullet"/>
      <w:lvlText w:val=""/>
      <w:lvlJc w:val="left"/>
      <w:pPr>
        <w:ind w:left="4320" w:hanging="360"/>
      </w:pPr>
      <w:rPr>
        <w:rFonts w:ascii="Wingdings" w:hAnsi="Wingdings" w:hint="default"/>
      </w:rPr>
    </w:lvl>
    <w:lvl w:ilvl="6" w:tplc="9946A5D4" w:tentative="1">
      <w:start w:val="1"/>
      <w:numFmt w:val="bullet"/>
      <w:lvlText w:val=""/>
      <w:lvlJc w:val="left"/>
      <w:pPr>
        <w:ind w:left="5040" w:hanging="360"/>
      </w:pPr>
      <w:rPr>
        <w:rFonts w:ascii="Symbol" w:hAnsi="Symbol" w:hint="default"/>
      </w:rPr>
    </w:lvl>
    <w:lvl w:ilvl="7" w:tplc="1EF05712" w:tentative="1">
      <w:start w:val="1"/>
      <w:numFmt w:val="bullet"/>
      <w:lvlText w:val="o"/>
      <w:lvlJc w:val="left"/>
      <w:pPr>
        <w:ind w:left="5760" w:hanging="360"/>
      </w:pPr>
      <w:rPr>
        <w:rFonts w:ascii="Courier New" w:hAnsi="Courier New" w:cs="Courier New" w:hint="default"/>
      </w:rPr>
    </w:lvl>
    <w:lvl w:ilvl="8" w:tplc="9F866DB0" w:tentative="1">
      <w:start w:val="1"/>
      <w:numFmt w:val="bullet"/>
      <w:lvlText w:val=""/>
      <w:lvlJc w:val="left"/>
      <w:pPr>
        <w:ind w:left="6480" w:hanging="360"/>
      </w:pPr>
      <w:rPr>
        <w:rFonts w:ascii="Wingdings" w:hAnsi="Wingdings" w:hint="default"/>
      </w:rPr>
    </w:lvl>
  </w:abstractNum>
  <w:abstractNum w:abstractNumId="25" w15:restartNumberingAfterBreak="0">
    <w:nsid w:val="6A6E3ADD"/>
    <w:multiLevelType w:val="hybridMultilevel"/>
    <w:tmpl w:val="48DC6E96"/>
    <w:lvl w:ilvl="0" w:tplc="A30EE7CC">
      <w:start w:val="1"/>
      <w:numFmt w:val="decimal"/>
      <w:pStyle w:val="Podnadpis"/>
      <w:lvlText w:val="%1)"/>
      <w:lvlJc w:val="left"/>
      <w:pPr>
        <w:ind w:left="720" w:hanging="360"/>
      </w:pPr>
      <w:rPr>
        <w:rFonts w:hint="default"/>
      </w:rPr>
    </w:lvl>
    <w:lvl w:ilvl="1" w:tplc="395248E0" w:tentative="1">
      <w:start w:val="1"/>
      <w:numFmt w:val="lowerLetter"/>
      <w:lvlText w:val="%2."/>
      <w:lvlJc w:val="left"/>
      <w:pPr>
        <w:ind w:left="1440" w:hanging="360"/>
      </w:pPr>
    </w:lvl>
    <w:lvl w:ilvl="2" w:tplc="1DB629CA" w:tentative="1">
      <w:start w:val="1"/>
      <w:numFmt w:val="lowerRoman"/>
      <w:lvlText w:val="%3."/>
      <w:lvlJc w:val="right"/>
      <w:pPr>
        <w:ind w:left="2160" w:hanging="180"/>
      </w:pPr>
    </w:lvl>
    <w:lvl w:ilvl="3" w:tplc="AB44E942" w:tentative="1">
      <w:start w:val="1"/>
      <w:numFmt w:val="decimal"/>
      <w:lvlText w:val="%4."/>
      <w:lvlJc w:val="left"/>
      <w:pPr>
        <w:ind w:left="2880" w:hanging="360"/>
      </w:pPr>
    </w:lvl>
    <w:lvl w:ilvl="4" w:tplc="33F22C3E" w:tentative="1">
      <w:start w:val="1"/>
      <w:numFmt w:val="lowerLetter"/>
      <w:lvlText w:val="%5."/>
      <w:lvlJc w:val="left"/>
      <w:pPr>
        <w:ind w:left="3600" w:hanging="360"/>
      </w:pPr>
    </w:lvl>
    <w:lvl w:ilvl="5" w:tplc="AACE54E4" w:tentative="1">
      <w:start w:val="1"/>
      <w:numFmt w:val="lowerRoman"/>
      <w:lvlText w:val="%6."/>
      <w:lvlJc w:val="right"/>
      <w:pPr>
        <w:ind w:left="4320" w:hanging="180"/>
      </w:pPr>
    </w:lvl>
    <w:lvl w:ilvl="6" w:tplc="352EAD36" w:tentative="1">
      <w:start w:val="1"/>
      <w:numFmt w:val="decimal"/>
      <w:lvlText w:val="%7."/>
      <w:lvlJc w:val="left"/>
      <w:pPr>
        <w:ind w:left="5040" w:hanging="360"/>
      </w:pPr>
    </w:lvl>
    <w:lvl w:ilvl="7" w:tplc="5EF08936" w:tentative="1">
      <w:start w:val="1"/>
      <w:numFmt w:val="lowerLetter"/>
      <w:lvlText w:val="%8."/>
      <w:lvlJc w:val="left"/>
      <w:pPr>
        <w:ind w:left="5760" w:hanging="360"/>
      </w:pPr>
    </w:lvl>
    <w:lvl w:ilvl="8" w:tplc="73922074" w:tentative="1">
      <w:start w:val="1"/>
      <w:numFmt w:val="lowerRoman"/>
      <w:lvlText w:val="%9."/>
      <w:lvlJc w:val="right"/>
      <w:pPr>
        <w:ind w:left="6480" w:hanging="180"/>
      </w:pPr>
    </w:lvl>
  </w:abstractNum>
  <w:abstractNum w:abstractNumId="26" w15:restartNumberingAfterBreak="0">
    <w:nsid w:val="6C9321BE"/>
    <w:multiLevelType w:val="hybridMultilevel"/>
    <w:tmpl w:val="AF4ECBBE"/>
    <w:lvl w:ilvl="0" w:tplc="B686A838">
      <w:start w:val="1"/>
      <w:numFmt w:val="decimal"/>
      <w:lvlText w:val="Tabulka č.%1 -"/>
      <w:lvlJc w:val="left"/>
      <w:pPr>
        <w:ind w:left="360" w:hanging="360"/>
      </w:pPr>
      <w:rPr>
        <w:rFonts w:hint="default"/>
        <w:sz w:val="24"/>
        <w:szCs w:val="24"/>
      </w:rPr>
    </w:lvl>
    <w:lvl w:ilvl="1" w:tplc="FCE4395A" w:tentative="1">
      <w:start w:val="1"/>
      <w:numFmt w:val="lowerLetter"/>
      <w:lvlText w:val="%2."/>
      <w:lvlJc w:val="left"/>
      <w:pPr>
        <w:ind w:left="1440" w:hanging="360"/>
      </w:pPr>
    </w:lvl>
    <w:lvl w:ilvl="2" w:tplc="C19E5936" w:tentative="1">
      <w:start w:val="1"/>
      <w:numFmt w:val="lowerRoman"/>
      <w:lvlText w:val="%3."/>
      <w:lvlJc w:val="right"/>
      <w:pPr>
        <w:ind w:left="2160" w:hanging="180"/>
      </w:pPr>
    </w:lvl>
    <w:lvl w:ilvl="3" w:tplc="D0ACEE90" w:tentative="1">
      <w:start w:val="1"/>
      <w:numFmt w:val="decimal"/>
      <w:lvlText w:val="%4."/>
      <w:lvlJc w:val="left"/>
      <w:pPr>
        <w:ind w:left="2880" w:hanging="360"/>
      </w:pPr>
    </w:lvl>
    <w:lvl w:ilvl="4" w:tplc="BB7C1AF6" w:tentative="1">
      <w:start w:val="1"/>
      <w:numFmt w:val="lowerLetter"/>
      <w:lvlText w:val="%5."/>
      <w:lvlJc w:val="left"/>
      <w:pPr>
        <w:ind w:left="3600" w:hanging="360"/>
      </w:pPr>
    </w:lvl>
    <w:lvl w:ilvl="5" w:tplc="D866410E" w:tentative="1">
      <w:start w:val="1"/>
      <w:numFmt w:val="lowerRoman"/>
      <w:lvlText w:val="%6."/>
      <w:lvlJc w:val="right"/>
      <w:pPr>
        <w:ind w:left="4320" w:hanging="180"/>
      </w:pPr>
    </w:lvl>
    <w:lvl w:ilvl="6" w:tplc="30185D30" w:tentative="1">
      <w:start w:val="1"/>
      <w:numFmt w:val="decimal"/>
      <w:lvlText w:val="%7."/>
      <w:lvlJc w:val="left"/>
      <w:pPr>
        <w:ind w:left="5040" w:hanging="360"/>
      </w:pPr>
    </w:lvl>
    <w:lvl w:ilvl="7" w:tplc="5CE8C9CC" w:tentative="1">
      <w:start w:val="1"/>
      <w:numFmt w:val="lowerLetter"/>
      <w:lvlText w:val="%8."/>
      <w:lvlJc w:val="left"/>
      <w:pPr>
        <w:ind w:left="5760" w:hanging="360"/>
      </w:pPr>
    </w:lvl>
    <w:lvl w:ilvl="8" w:tplc="2932C974" w:tentative="1">
      <w:start w:val="1"/>
      <w:numFmt w:val="lowerRoman"/>
      <w:lvlText w:val="%9."/>
      <w:lvlJc w:val="right"/>
      <w:pPr>
        <w:ind w:left="6480" w:hanging="180"/>
      </w:pPr>
    </w:lvl>
  </w:abstractNum>
  <w:abstractNum w:abstractNumId="27" w15:restartNumberingAfterBreak="0">
    <w:nsid w:val="781876EA"/>
    <w:multiLevelType w:val="hybridMultilevel"/>
    <w:tmpl w:val="4F58719A"/>
    <w:lvl w:ilvl="0" w:tplc="893E92B2">
      <w:start w:val="1"/>
      <w:numFmt w:val="upperRoman"/>
      <w:lvlText w:val="%1."/>
      <w:lvlJc w:val="right"/>
      <w:pPr>
        <w:ind w:left="720" w:hanging="360"/>
      </w:pPr>
    </w:lvl>
    <w:lvl w:ilvl="1" w:tplc="D7B8579E" w:tentative="1">
      <w:start w:val="1"/>
      <w:numFmt w:val="lowerLetter"/>
      <w:lvlText w:val="%2."/>
      <w:lvlJc w:val="left"/>
      <w:pPr>
        <w:ind w:left="1440" w:hanging="360"/>
      </w:pPr>
    </w:lvl>
    <w:lvl w:ilvl="2" w:tplc="B06A4452" w:tentative="1">
      <w:start w:val="1"/>
      <w:numFmt w:val="lowerRoman"/>
      <w:lvlText w:val="%3."/>
      <w:lvlJc w:val="right"/>
      <w:pPr>
        <w:ind w:left="2160" w:hanging="180"/>
      </w:pPr>
    </w:lvl>
    <w:lvl w:ilvl="3" w:tplc="5176B4F6" w:tentative="1">
      <w:start w:val="1"/>
      <w:numFmt w:val="decimal"/>
      <w:lvlText w:val="%4."/>
      <w:lvlJc w:val="left"/>
      <w:pPr>
        <w:ind w:left="2880" w:hanging="360"/>
      </w:pPr>
    </w:lvl>
    <w:lvl w:ilvl="4" w:tplc="B08443D0" w:tentative="1">
      <w:start w:val="1"/>
      <w:numFmt w:val="lowerLetter"/>
      <w:lvlText w:val="%5."/>
      <w:lvlJc w:val="left"/>
      <w:pPr>
        <w:ind w:left="3600" w:hanging="360"/>
      </w:pPr>
    </w:lvl>
    <w:lvl w:ilvl="5" w:tplc="DC66C5EE" w:tentative="1">
      <w:start w:val="1"/>
      <w:numFmt w:val="lowerRoman"/>
      <w:lvlText w:val="%6."/>
      <w:lvlJc w:val="right"/>
      <w:pPr>
        <w:ind w:left="4320" w:hanging="180"/>
      </w:pPr>
    </w:lvl>
    <w:lvl w:ilvl="6" w:tplc="EDB28A22" w:tentative="1">
      <w:start w:val="1"/>
      <w:numFmt w:val="decimal"/>
      <w:lvlText w:val="%7."/>
      <w:lvlJc w:val="left"/>
      <w:pPr>
        <w:ind w:left="5040" w:hanging="360"/>
      </w:pPr>
    </w:lvl>
    <w:lvl w:ilvl="7" w:tplc="9C3ADB5C" w:tentative="1">
      <w:start w:val="1"/>
      <w:numFmt w:val="lowerLetter"/>
      <w:lvlText w:val="%8."/>
      <w:lvlJc w:val="left"/>
      <w:pPr>
        <w:ind w:left="5760" w:hanging="360"/>
      </w:pPr>
    </w:lvl>
    <w:lvl w:ilvl="8" w:tplc="ED6C1094" w:tentative="1">
      <w:start w:val="1"/>
      <w:numFmt w:val="lowerRoman"/>
      <w:lvlText w:val="%9."/>
      <w:lvlJc w:val="right"/>
      <w:pPr>
        <w:ind w:left="6480" w:hanging="180"/>
      </w:pPr>
    </w:lvl>
  </w:abstractNum>
  <w:abstractNum w:abstractNumId="28" w15:restartNumberingAfterBreak="0">
    <w:nsid w:val="7B1234FE"/>
    <w:multiLevelType w:val="hybridMultilevel"/>
    <w:tmpl w:val="02826EC0"/>
    <w:lvl w:ilvl="0" w:tplc="FD8CB252">
      <w:start w:val="1"/>
      <w:numFmt w:val="bullet"/>
      <w:lvlText w:val=""/>
      <w:lvlJc w:val="left"/>
      <w:pPr>
        <w:ind w:left="720" w:hanging="360"/>
      </w:pPr>
      <w:rPr>
        <w:rFonts w:ascii="Symbol" w:hAnsi="Symbol" w:hint="default"/>
      </w:rPr>
    </w:lvl>
    <w:lvl w:ilvl="1" w:tplc="A34868E4" w:tentative="1">
      <w:start w:val="1"/>
      <w:numFmt w:val="bullet"/>
      <w:lvlText w:val="o"/>
      <w:lvlJc w:val="left"/>
      <w:pPr>
        <w:ind w:left="1440" w:hanging="360"/>
      </w:pPr>
      <w:rPr>
        <w:rFonts w:ascii="Courier New" w:hAnsi="Courier New" w:cs="Courier New" w:hint="default"/>
      </w:rPr>
    </w:lvl>
    <w:lvl w:ilvl="2" w:tplc="7430EF00" w:tentative="1">
      <w:start w:val="1"/>
      <w:numFmt w:val="bullet"/>
      <w:lvlText w:val=""/>
      <w:lvlJc w:val="left"/>
      <w:pPr>
        <w:ind w:left="2160" w:hanging="360"/>
      </w:pPr>
      <w:rPr>
        <w:rFonts w:ascii="Wingdings" w:hAnsi="Wingdings" w:hint="default"/>
      </w:rPr>
    </w:lvl>
    <w:lvl w:ilvl="3" w:tplc="84CE33CC" w:tentative="1">
      <w:start w:val="1"/>
      <w:numFmt w:val="bullet"/>
      <w:lvlText w:val=""/>
      <w:lvlJc w:val="left"/>
      <w:pPr>
        <w:ind w:left="2880" w:hanging="360"/>
      </w:pPr>
      <w:rPr>
        <w:rFonts w:ascii="Symbol" w:hAnsi="Symbol" w:hint="default"/>
      </w:rPr>
    </w:lvl>
    <w:lvl w:ilvl="4" w:tplc="87E87A88" w:tentative="1">
      <w:start w:val="1"/>
      <w:numFmt w:val="bullet"/>
      <w:lvlText w:val="o"/>
      <w:lvlJc w:val="left"/>
      <w:pPr>
        <w:ind w:left="3600" w:hanging="360"/>
      </w:pPr>
      <w:rPr>
        <w:rFonts w:ascii="Courier New" w:hAnsi="Courier New" w:cs="Courier New" w:hint="default"/>
      </w:rPr>
    </w:lvl>
    <w:lvl w:ilvl="5" w:tplc="3A68F088" w:tentative="1">
      <w:start w:val="1"/>
      <w:numFmt w:val="bullet"/>
      <w:lvlText w:val=""/>
      <w:lvlJc w:val="left"/>
      <w:pPr>
        <w:ind w:left="4320" w:hanging="360"/>
      </w:pPr>
      <w:rPr>
        <w:rFonts w:ascii="Wingdings" w:hAnsi="Wingdings" w:hint="default"/>
      </w:rPr>
    </w:lvl>
    <w:lvl w:ilvl="6" w:tplc="58400ADA" w:tentative="1">
      <w:start w:val="1"/>
      <w:numFmt w:val="bullet"/>
      <w:lvlText w:val=""/>
      <w:lvlJc w:val="left"/>
      <w:pPr>
        <w:ind w:left="5040" w:hanging="360"/>
      </w:pPr>
      <w:rPr>
        <w:rFonts w:ascii="Symbol" w:hAnsi="Symbol" w:hint="default"/>
      </w:rPr>
    </w:lvl>
    <w:lvl w:ilvl="7" w:tplc="B5E809A2" w:tentative="1">
      <w:start w:val="1"/>
      <w:numFmt w:val="bullet"/>
      <w:lvlText w:val="o"/>
      <w:lvlJc w:val="left"/>
      <w:pPr>
        <w:ind w:left="5760" w:hanging="360"/>
      </w:pPr>
      <w:rPr>
        <w:rFonts w:ascii="Courier New" w:hAnsi="Courier New" w:cs="Courier New" w:hint="default"/>
      </w:rPr>
    </w:lvl>
    <w:lvl w:ilvl="8" w:tplc="E6C46D62" w:tentative="1">
      <w:start w:val="1"/>
      <w:numFmt w:val="bullet"/>
      <w:lvlText w:val=""/>
      <w:lvlJc w:val="left"/>
      <w:pPr>
        <w:ind w:left="6480" w:hanging="360"/>
      </w:pPr>
      <w:rPr>
        <w:rFonts w:ascii="Wingdings" w:hAnsi="Wingdings" w:hint="default"/>
      </w:rPr>
    </w:lvl>
  </w:abstractNum>
  <w:abstractNum w:abstractNumId="29" w15:restartNumberingAfterBreak="0">
    <w:nsid w:val="7CA47118"/>
    <w:multiLevelType w:val="hybridMultilevel"/>
    <w:tmpl w:val="5582CB1C"/>
    <w:lvl w:ilvl="0" w:tplc="BFF21B1E">
      <w:start w:val="1"/>
      <w:numFmt w:val="bullet"/>
      <w:lvlText w:val=""/>
      <w:lvlJc w:val="left"/>
      <w:pPr>
        <w:ind w:left="720" w:hanging="360"/>
      </w:pPr>
      <w:rPr>
        <w:rFonts w:ascii="Symbol" w:hAnsi="Symbol" w:hint="default"/>
      </w:rPr>
    </w:lvl>
    <w:lvl w:ilvl="1" w:tplc="D68E8DB0" w:tentative="1">
      <w:start w:val="1"/>
      <w:numFmt w:val="bullet"/>
      <w:lvlText w:val="o"/>
      <w:lvlJc w:val="left"/>
      <w:pPr>
        <w:ind w:left="1440" w:hanging="360"/>
      </w:pPr>
      <w:rPr>
        <w:rFonts w:ascii="Courier New" w:hAnsi="Courier New" w:cs="Courier New" w:hint="default"/>
      </w:rPr>
    </w:lvl>
    <w:lvl w:ilvl="2" w:tplc="1FA44674" w:tentative="1">
      <w:start w:val="1"/>
      <w:numFmt w:val="bullet"/>
      <w:lvlText w:val=""/>
      <w:lvlJc w:val="left"/>
      <w:pPr>
        <w:ind w:left="2160" w:hanging="360"/>
      </w:pPr>
      <w:rPr>
        <w:rFonts w:ascii="Wingdings" w:hAnsi="Wingdings" w:hint="default"/>
      </w:rPr>
    </w:lvl>
    <w:lvl w:ilvl="3" w:tplc="3D706228" w:tentative="1">
      <w:start w:val="1"/>
      <w:numFmt w:val="bullet"/>
      <w:lvlText w:val=""/>
      <w:lvlJc w:val="left"/>
      <w:pPr>
        <w:ind w:left="2880" w:hanging="360"/>
      </w:pPr>
      <w:rPr>
        <w:rFonts w:ascii="Symbol" w:hAnsi="Symbol" w:hint="default"/>
      </w:rPr>
    </w:lvl>
    <w:lvl w:ilvl="4" w:tplc="ECC4E2FA" w:tentative="1">
      <w:start w:val="1"/>
      <w:numFmt w:val="bullet"/>
      <w:lvlText w:val="o"/>
      <w:lvlJc w:val="left"/>
      <w:pPr>
        <w:ind w:left="3600" w:hanging="360"/>
      </w:pPr>
      <w:rPr>
        <w:rFonts w:ascii="Courier New" w:hAnsi="Courier New" w:cs="Courier New" w:hint="default"/>
      </w:rPr>
    </w:lvl>
    <w:lvl w:ilvl="5" w:tplc="20D4B2B0" w:tentative="1">
      <w:start w:val="1"/>
      <w:numFmt w:val="bullet"/>
      <w:lvlText w:val=""/>
      <w:lvlJc w:val="left"/>
      <w:pPr>
        <w:ind w:left="4320" w:hanging="360"/>
      </w:pPr>
      <w:rPr>
        <w:rFonts w:ascii="Wingdings" w:hAnsi="Wingdings" w:hint="default"/>
      </w:rPr>
    </w:lvl>
    <w:lvl w:ilvl="6" w:tplc="7F9E4812" w:tentative="1">
      <w:start w:val="1"/>
      <w:numFmt w:val="bullet"/>
      <w:lvlText w:val=""/>
      <w:lvlJc w:val="left"/>
      <w:pPr>
        <w:ind w:left="5040" w:hanging="360"/>
      </w:pPr>
      <w:rPr>
        <w:rFonts w:ascii="Symbol" w:hAnsi="Symbol" w:hint="default"/>
      </w:rPr>
    </w:lvl>
    <w:lvl w:ilvl="7" w:tplc="3FA894E0" w:tentative="1">
      <w:start w:val="1"/>
      <w:numFmt w:val="bullet"/>
      <w:lvlText w:val="o"/>
      <w:lvlJc w:val="left"/>
      <w:pPr>
        <w:ind w:left="5760" w:hanging="360"/>
      </w:pPr>
      <w:rPr>
        <w:rFonts w:ascii="Courier New" w:hAnsi="Courier New" w:cs="Courier New" w:hint="default"/>
      </w:rPr>
    </w:lvl>
    <w:lvl w:ilvl="8" w:tplc="E5BC1B9E" w:tentative="1">
      <w:start w:val="1"/>
      <w:numFmt w:val="bullet"/>
      <w:lvlText w:val=""/>
      <w:lvlJc w:val="left"/>
      <w:pPr>
        <w:ind w:left="6480" w:hanging="360"/>
      </w:pPr>
      <w:rPr>
        <w:rFonts w:ascii="Wingdings" w:hAnsi="Wingdings" w:hint="default"/>
      </w:rPr>
    </w:lvl>
  </w:abstractNum>
  <w:abstractNum w:abstractNumId="30" w15:restartNumberingAfterBreak="0">
    <w:nsid w:val="7D1B3E42"/>
    <w:multiLevelType w:val="hybridMultilevel"/>
    <w:tmpl w:val="5CC69188"/>
    <w:lvl w:ilvl="0" w:tplc="FCC4741C">
      <w:start w:val="1"/>
      <w:numFmt w:val="bullet"/>
      <w:lvlText w:val=""/>
      <w:lvlJc w:val="left"/>
      <w:pPr>
        <w:ind w:left="720" w:hanging="360"/>
      </w:pPr>
      <w:rPr>
        <w:rFonts w:ascii="Symbol" w:hAnsi="Symbol" w:hint="default"/>
      </w:rPr>
    </w:lvl>
    <w:lvl w:ilvl="1" w:tplc="CFCEA954">
      <w:start w:val="1"/>
      <w:numFmt w:val="lowerLetter"/>
      <w:lvlText w:val="%2."/>
      <w:lvlJc w:val="left"/>
      <w:pPr>
        <w:ind w:left="1440" w:hanging="360"/>
      </w:pPr>
    </w:lvl>
    <w:lvl w:ilvl="2" w:tplc="9E6E6744">
      <w:start w:val="1"/>
      <w:numFmt w:val="lowerRoman"/>
      <w:lvlText w:val="%3."/>
      <w:lvlJc w:val="right"/>
      <w:pPr>
        <w:ind w:left="2160" w:hanging="180"/>
      </w:pPr>
    </w:lvl>
    <w:lvl w:ilvl="3" w:tplc="F1E46AA0">
      <w:start w:val="1"/>
      <w:numFmt w:val="decimal"/>
      <w:lvlText w:val="%4."/>
      <w:lvlJc w:val="left"/>
      <w:pPr>
        <w:ind w:left="2880" w:hanging="360"/>
      </w:pPr>
    </w:lvl>
    <w:lvl w:ilvl="4" w:tplc="0A106FE0" w:tentative="1">
      <w:start w:val="1"/>
      <w:numFmt w:val="lowerLetter"/>
      <w:lvlText w:val="%5."/>
      <w:lvlJc w:val="left"/>
      <w:pPr>
        <w:ind w:left="3600" w:hanging="360"/>
      </w:pPr>
    </w:lvl>
    <w:lvl w:ilvl="5" w:tplc="4A505BDE" w:tentative="1">
      <w:start w:val="1"/>
      <w:numFmt w:val="lowerRoman"/>
      <w:lvlText w:val="%6."/>
      <w:lvlJc w:val="right"/>
      <w:pPr>
        <w:ind w:left="4320" w:hanging="180"/>
      </w:pPr>
    </w:lvl>
    <w:lvl w:ilvl="6" w:tplc="D6B0C710" w:tentative="1">
      <w:start w:val="1"/>
      <w:numFmt w:val="decimal"/>
      <w:lvlText w:val="%7."/>
      <w:lvlJc w:val="left"/>
      <w:pPr>
        <w:ind w:left="5040" w:hanging="360"/>
      </w:pPr>
    </w:lvl>
    <w:lvl w:ilvl="7" w:tplc="541C3562" w:tentative="1">
      <w:start w:val="1"/>
      <w:numFmt w:val="lowerLetter"/>
      <w:lvlText w:val="%8."/>
      <w:lvlJc w:val="left"/>
      <w:pPr>
        <w:ind w:left="5760" w:hanging="360"/>
      </w:pPr>
    </w:lvl>
    <w:lvl w:ilvl="8" w:tplc="387AFAC4" w:tentative="1">
      <w:start w:val="1"/>
      <w:numFmt w:val="lowerRoman"/>
      <w:lvlText w:val="%9."/>
      <w:lvlJc w:val="right"/>
      <w:pPr>
        <w:ind w:left="6480" w:hanging="180"/>
      </w:pPr>
    </w:lvl>
  </w:abstractNum>
  <w:abstractNum w:abstractNumId="31" w15:restartNumberingAfterBreak="0">
    <w:nsid w:val="7D5027E3"/>
    <w:multiLevelType w:val="hybridMultilevel"/>
    <w:tmpl w:val="6E54231A"/>
    <w:lvl w:ilvl="0" w:tplc="E1BA3774">
      <w:start w:val="1"/>
      <w:numFmt w:val="decimal"/>
      <w:lvlText w:val="%1."/>
      <w:lvlJc w:val="left"/>
      <w:pPr>
        <w:ind w:left="720" w:hanging="360"/>
      </w:pPr>
    </w:lvl>
    <w:lvl w:ilvl="1" w:tplc="E106615A">
      <w:start w:val="1"/>
      <w:numFmt w:val="lowerLetter"/>
      <w:lvlText w:val="%2."/>
      <w:lvlJc w:val="left"/>
      <w:pPr>
        <w:ind w:left="1440" w:hanging="360"/>
      </w:pPr>
    </w:lvl>
    <w:lvl w:ilvl="2" w:tplc="52F2982C">
      <w:start w:val="1"/>
      <w:numFmt w:val="lowerRoman"/>
      <w:lvlText w:val="%3."/>
      <w:lvlJc w:val="right"/>
      <w:pPr>
        <w:ind w:left="2160" w:hanging="180"/>
      </w:pPr>
    </w:lvl>
    <w:lvl w:ilvl="3" w:tplc="35205686">
      <w:start w:val="1"/>
      <w:numFmt w:val="decimal"/>
      <w:lvlText w:val="%4."/>
      <w:lvlJc w:val="left"/>
      <w:pPr>
        <w:ind w:left="2880" w:hanging="360"/>
      </w:pPr>
    </w:lvl>
    <w:lvl w:ilvl="4" w:tplc="E4CE6ED8" w:tentative="1">
      <w:start w:val="1"/>
      <w:numFmt w:val="lowerLetter"/>
      <w:lvlText w:val="%5."/>
      <w:lvlJc w:val="left"/>
      <w:pPr>
        <w:ind w:left="3600" w:hanging="360"/>
      </w:pPr>
    </w:lvl>
    <w:lvl w:ilvl="5" w:tplc="DF14C0BC" w:tentative="1">
      <w:start w:val="1"/>
      <w:numFmt w:val="lowerRoman"/>
      <w:lvlText w:val="%6."/>
      <w:lvlJc w:val="right"/>
      <w:pPr>
        <w:ind w:left="4320" w:hanging="180"/>
      </w:pPr>
    </w:lvl>
    <w:lvl w:ilvl="6" w:tplc="6B9236E6" w:tentative="1">
      <w:start w:val="1"/>
      <w:numFmt w:val="decimal"/>
      <w:lvlText w:val="%7."/>
      <w:lvlJc w:val="left"/>
      <w:pPr>
        <w:ind w:left="5040" w:hanging="360"/>
      </w:pPr>
    </w:lvl>
    <w:lvl w:ilvl="7" w:tplc="70C80EE6" w:tentative="1">
      <w:start w:val="1"/>
      <w:numFmt w:val="lowerLetter"/>
      <w:lvlText w:val="%8."/>
      <w:lvlJc w:val="left"/>
      <w:pPr>
        <w:ind w:left="5760" w:hanging="360"/>
      </w:pPr>
    </w:lvl>
    <w:lvl w:ilvl="8" w:tplc="DE82E174"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20"/>
  </w:num>
  <w:num w:numId="5">
    <w:abstractNumId w:val="14"/>
  </w:num>
  <w:num w:numId="6">
    <w:abstractNumId w:val="31"/>
  </w:num>
  <w:num w:numId="7">
    <w:abstractNumId w:val="3"/>
  </w:num>
  <w:num w:numId="8">
    <w:abstractNumId w:val="6"/>
  </w:num>
  <w:num w:numId="9">
    <w:abstractNumId w:val="11"/>
  </w:num>
  <w:num w:numId="10">
    <w:abstractNumId w:val="9"/>
  </w:num>
  <w:num w:numId="11">
    <w:abstractNumId w:val="10"/>
  </w:num>
  <w:num w:numId="12">
    <w:abstractNumId w:val="12"/>
  </w:num>
  <w:num w:numId="13">
    <w:abstractNumId w:val="1"/>
  </w:num>
  <w:num w:numId="14">
    <w:abstractNumId w:val="24"/>
  </w:num>
  <w:num w:numId="15">
    <w:abstractNumId w:val="19"/>
  </w:num>
  <w:num w:numId="16">
    <w:abstractNumId w:val="28"/>
  </w:num>
  <w:num w:numId="17">
    <w:abstractNumId w:val="25"/>
  </w:num>
  <w:num w:numId="18">
    <w:abstractNumId w:val="21"/>
  </w:num>
  <w:num w:numId="19">
    <w:abstractNumId w:val="2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7"/>
  </w:num>
  <w:num w:numId="24">
    <w:abstractNumId w:val="2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0"/>
    <w:lvlOverride w:ilvl="0">
      <w:startOverride w:val="1"/>
    </w:lvlOverride>
  </w:num>
  <w:num w:numId="31">
    <w:abstractNumId w:val="20"/>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27"/>
  </w:num>
  <w:num w:numId="36">
    <w:abstractNumId w:val="30"/>
  </w:num>
  <w:num w:numId="37">
    <w:abstractNumId w:val="7"/>
  </w:num>
  <w:num w:numId="38">
    <w:abstractNumId w:val="22"/>
  </w:num>
  <w:num w:numId="39">
    <w:abstractNumId w:val="0"/>
  </w:num>
  <w:num w:numId="40">
    <w:abstractNumId w:val="29"/>
  </w:num>
  <w:num w:numId="41">
    <w:abstractNumId w:val="2"/>
  </w:num>
  <w:num w:numId="42">
    <w:abstractNumId w:val="4"/>
  </w:num>
  <w:num w:numId="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01"/>
    <w:rsid w:val="000006C8"/>
    <w:rsid w:val="00003324"/>
    <w:rsid w:val="00003411"/>
    <w:rsid w:val="00003914"/>
    <w:rsid w:val="00004FC9"/>
    <w:rsid w:val="000117C0"/>
    <w:rsid w:val="00011FE2"/>
    <w:rsid w:val="00014FF2"/>
    <w:rsid w:val="00016207"/>
    <w:rsid w:val="00020C85"/>
    <w:rsid w:val="00022330"/>
    <w:rsid w:val="0002292A"/>
    <w:rsid w:val="00022ABB"/>
    <w:rsid w:val="00023E99"/>
    <w:rsid w:val="0002614B"/>
    <w:rsid w:val="00031135"/>
    <w:rsid w:val="00034B88"/>
    <w:rsid w:val="00036DCE"/>
    <w:rsid w:val="00040B79"/>
    <w:rsid w:val="00042062"/>
    <w:rsid w:val="0004232A"/>
    <w:rsid w:val="00042CFC"/>
    <w:rsid w:val="00043277"/>
    <w:rsid w:val="000432DA"/>
    <w:rsid w:val="000443EC"/>
    <w:rsid w:val="000456D3"/>
    <w:rsid w:val="000470F2"/>
    <w:rsid w:val="000518EA"/>
    <w:rsid w:val="000524C3"/>
    <w:rsid w:val="000546D5"/>
    <w:rsid w:val="00056038"/>
    <w:rsid w:val="00056938"/>
    <w:rsid w:val="00057DAC"/>
    <w:rsid w:val="00060B95"/>
    <w:rsid w:val="00061040"/>
    <w:rsid w:val="00062555"/>
    <w:rsid w:val="00062E37"/>
    <w:rsid w:val="00063395"/>
    <w:rsid w:val="00064674"/>
    <w:rsid w:val="00066B31"/>
    <w:rsid w:val="00066C76"/>
    <w:rsid w:val="00071367"/>
    <w:rsid w:val="00074A67"/>
    <w:rsid w:val="00075B36"/>
    <w:rsid w:val="00076817"/>
    <w:rsid w:val="00081343"/>
    <w:rsid w:val="0008159A"/>
    <w:rsid w:val="00081F81"/>
    <w:rsid w:val="0008334E"/>
    <w:rsid w:val="000836F4"/>
    <w:rsid w:val="00091A01"/>
    <w:rsid w:val="00091FDB"/>
    <w:rsid w:val="00094966"/>
    <w:rsid w:val="00094CDC"/>
    <w:rsid w:val="00094F84"/>
    <w:rsid w:val="00095A07"/>
    <w:rsid w:val="00095FB3"/>
    <w:rsid w:val="0009644C"/>
    <w:rsid w:val="0009751F"/>
    <w:rsid w:val="0009760B"/>
    <w:rsid w:val="00097D8B"/>
    <w:rsid w:val="000A105B"/>
    <w:rsid w:val="000A1102"/>
    <w:rsid w:val="000A1623"/>
    <w:rsid w:val="000A2E5B"/>
    <w:rsid w:val="000A4A92"/>
    <w:rsid w:val="000A6D99"/>
    <w:rsid w:val="000A75A7"/>
    <w:rsid w:val="000A7912"/>
    <w:rsid w:val="000B005C"/>
    <w:rsid w:val="000B062D"/>
    <w:rsid w:val="000B189E"/>
    <w:rsid w:val="000B2A30"/>
    <w:rsid w:val="000B2B62"/>
    <w:rsid w:val="000B35B3"/>
    <w:rsid w:val="000B5533"/>
    <w:rsid w:val="000B5AF2"/>
    <w:rsid w:val="000B622A"/>
    <w:rsid w:val="000B6447"/>
    <w:rsid w:val="000B64FB"/>
    <w:rsid w:val="000B6F31"/>
    <w:rsid w:val="000C24A9"/>
    <w:rsid w:val="000C2CEA"/>
    <w:rsid w:val="000C5A35"/>
    <w:rsid w:val="000D14E4"/>
    <w:rsid w:val="000D204D"/>
    <w:rsid w:val="000D2245"/>
    <w:rsid w:val="000D237B"/>
    <w:rsid w:val="000D3127"/>
    <w:rsid w:val="000D3938"/>
    <w:rsid w:val="000D46EB"/>
    <w:rsid w:val="000D5881"/>
    <w:rsid w:val="000D6031"/>
    <w:rsid w:val="000D6842"/>
    <w:rsid w:val="000D7C07"/>
    <w:rsid w:val="000E3258"/>
    <w:rsid w:val="000E3761"/>
    <w:rsid w:val="000E70C5"/>
    <w:rsid w:val="000F07E6"/>
    <w:rsid w:val="000F6574"/>
    <w:rsid w:val="0010006C"/>
    <w:rsid w:val="00100AF7"/>
    <w:rsid w:val="00101288"/>
    <w:rsid w:val="00102F57"/>
    <w:rsid w:val="00105106"/>
    <w:rsid w:val="00105846"/>
    <w:rsid w:val="00105F80"/>
    <w:rsid w:val="00106D4A"/>
    <w:rsid w:val="001105A6"/>
    <w:rsid w:val="001124A3"/>
    <w:rsid w:val="00112CB8"/>
    <w:rsid w:val="001211B0"/>
    <w:rsid w:val="00121435"/>
    <w:rsid w:val="00121FA2"/>
    <w:rsid w:val="001227B1"/>
    <w:rsid w:val="001227EC"/>
    <w:rsid w:val="001229C4"/>
    <w:rsid w:val="00124AC0"/>
    <w:rsid w:val="0012545B"/>
    <w:rsid w:val="00125D8C"/>
    <w:rsid w:val="00126238"/>
    <w:rsid w:val="00126322"/>
    <w:rsid w:val="001265A1"/>
    <w:rsid w:val="00127081"/>
    <w:rsid w:val="001274D2"/>
    <w:rsid w:val="001327C3"/>
    <w:rsid w:val="00133926"/>
    <w:rsid w:val="00134B26"/>
    <w:rsid w:val="001357EB"/>
    <w:rsid w:val="00135DDD"/>
    <w:rsid w:val="001416D3"/>
    <w:rsid w:val="0014315D"/>
    <w:rsid w:val="00144FC3"/>
    <w:rsid w:val="00146BFF"/>
    <w:rsid w:val="00147759"/>
    <w:rsid w:val="00151E43"/>
    <w:rsid w:val="001538F6"/>
    <w:rsid w:val="00156FCE"/>
    <w:rsid w:val="001576E8"/>
    <w:rsid w:val="00161E5B"/>
    <w:rsid w:val="001627A7"/>
    <w:rsid w:val="00164D3B"/>
    <w:rsid w:val="00165C94"/>
    <w:rsid w:val="00166EFE"/>
    <w:rsid w:val="00167234"/>
    <w:rsid w:val="001675AB"/>
    <w:rsid w:val="00170D0F"/>
    <w:rsid w:val="00172795"/>
    <w:rsid w:val="00175818"/>
    <w:rsid w:val="00180428"/>
    <w:rsid w:val="00182E9A"/>
    <w:rsid w:val="00184ED2"/>
    <w:rsid w:val="00185BF7"/>
    <w:rsid w:val="001908AA"/>
    <w:rsid w:val="00193998"/>
    <w:rsid w:val="001948A7"/>
    <w:rsid w:val="00195057"/>
    <w:rsid w:val="001A07CE"/>
    <w:rsid w:val="001A1F7A"/>
    <w:rsid w:val="001A4F03"/>
    <w:rsid w:val="001A60E5"/>
    <w:rsid w:val="001A685D"/>
    <w:rsid w:val="001A6BEA"/>
    <w:rsid w:val="001A70D5"/>
    <w:rsid w:val="001B025B"/>
    <w:rsid w:val="001B0695"/>
    <w:rsid w:val="001B1945"/>
    <w:rsid w:val="001B1E73"/>
    <w:rsid w:val="001B40EC"/>
    <w:rsid w:val="001B4B66"/>
    <w:rsid w:val="001B7921"/>
    <w:rsid w:val="001B7C00"/>
    <w:rsid w:val="001C07C8"/>
    <w:rsid w:val="001C20FD"/>
    <w:rsid w:val="001C3F75"/>
    <w:rsid w:val="001C457B"/>
    <w:rsid w:val="001C6C71"/>
    <w:rsid w:val="001C7024"/>
    <w:rsid w:val="001C7993"/>
    <w:rsid w:val="001D03C9"/>
    <w:rsid w:val="001D2305"/>
    <w:rsid w:val="001D4135"/>
    <w:rsid w:val="001D48E8"/>
    <w:rsid w:val="001D710B"/>
    <w:rsid w:val="001D760A"/>
    <w:rsid w:val="001E075D"/>
    <w:rsid w:val="001E10EF"/>
    <w:rsid w:val="001E15A6"/>
    <w:rsid w:val="001E2E91"/>
    <w:rsid w:val="001E3E5B"/>
    <w:rsid w:val="001E6B26"/>
    <w:rsid w:val="001F2837"/>
    <w:rsid w:val="001F4E52"/>
    <w:rsid w:val="001F664B"/>
    <w:rsid w:val="001F6C72"/>
    <w:rsid w:val="0020224F"/>
    <w:rsid w:val="00202397"/>
    <w:rsid w:val="002045D0"/>
    <w:rsid w:val="00204AF4"/>
    <w:rsid w:val="00207703"/>
    <w:rsid w:val="00210714"/>
    <w:rsid w:val="00211AFD"/>
    <w:rsid w:val="00212A5C"/>
    <w:rsid w:val="00214206"/>
    <w:rsid w:val="00216EDB"/>
    <w:rsid w:val="00217675"/>
    <w:rsid w:val="002263CD"/>
    <w:rsid w:val="00230AFB"/>
    <w:rsid w:val="002328AC"/>
    <w:rsid w:val="00236953"/>
    <w:rsid w:val="002372B9"/>
    <w:rsid w:val="00237396"/>
    <w:rsid w:val="002376A8"/>
    <w:rsid w:val="00240186"/>
    <w:rsid w:val="0024349D"/>
    <w:rsid w:val="00243776"/>
    <w:rsid w:val="002443E4"/>
    <w:rsid w:val="002459CF"/>
    <w:rsid w:val="002473AE"/>
    <w:rsid w:val="00251318"/>
    <w:rsid w:val="00251FC4"/>
    <w:rsid w:val="0025303E"/>
    <w:rsid w:val="002536B5"/>
    <w:rsid w:val="00253766"/>
    <w:rsid w:val="00253EDA"/>
    <w:rsid w:val="00254B67"/>
    <w:rsid w:val="00257606"/>
    <w:rsid w:val="0026023B"/>
    <w:rsid w:val="00260E85"/>
    <w:rsid w:val="00261FF8"/>
    <w:rsid w:val="00262C5B"/>
    <w:rsid w:val="00263263"/>
    <w:rsid w:val="00270CE5"/>
    <w:rsid w:val="00271F03"/>
    <w:rsid w:val="00272EFD"/>
    <w:rsid w:val="00274625"/>
    <w:rsid w:val="002748C4"/>
    <w:rsid w:val="002811C4"/>
    <w:rsid w:val="00282A88"/>
    <w:rsid w:val="00284605"/>
    <w:rsid w:val="00286027"/>
    <w:rsid w:val="0028746D"/>
    <w:rsid w:val="0029074E"/>
    <w:rsid w:val="00291298"/>
    <w:rsid w:val="00292B6B"/>
    <w:rsid w:val="00292E65"/>
    <w:rsid w:val="00294DD6"/>
    <w:rsid w:val="002A0AEB"/>
    <w:rsid w:val="002A0C0E"/>
    <w:rsid w:val="002A2793"/>
    <w:rsid w:val="002A30A8"/>
    <w:rsid w:val="002A3EF0"/>
    <w:rsid w:val="002A4C92"/>
    <w:rsid w:val="002A51B8"/>
    <w:rsid w:val="002A51D7"/>
    <w:rsid w:val="002B7DDA"/>
    <w:rsid w:val="002C0A09"/>
    <w:rsid w:val="002C1254"/>
    <w:rsid w:val="002C1955"/>
    <w:rsid w:val="002C2C33"/>
    <w:rsid w:val="002C527F"/>
    <w:rsid w:val="002C551E"/>
    <w:rsid w:val="002C5F5A"/>
    <w:rsid w:val="002C6056"/>
    <w:rsid w:val="002C7191"/>
    <w:rsid w:val="002D2EC5"/>
    <w:rsid w:val="002D2F54"/>
    <w:rsid w:val="002D373A"/>
    <w:rsid w:val="002D3906"/>
    <w:rsid w:val="002D4111"/>
    <w:rsid w:val="002D5F80"/>
    <w:rsid w:val="002E2E75"/>
    <w:rsid w:val="002E310C"/>
    <w:rsid w:val="002E339E"/>
    <w:rsid w:val="002E3659"/>
    <w:rsid w:val="002E3D04"/>
    <w:rsid w:val="002E3E5C"/>
    <w:rsid w:val="002E528F"/>
    <w:rsid w:val="002E595C"/>
    <w:rsid w:val="002F1118"/>
    <w:rsid w:val="002F1A0B"/>
    <w:rsid w:val="002F25B7"/>
    <w:rsid w:val="002F25D0"/>
    <w:rsid w:val="002F3552"/>
    <w:rsid w:val="002F3959"/>
    <w:rsid w:val="002F3C0D"/>
    <w:rsid w:val="002F490C"/>
    <w:rsid w:val="002F54AE"/>
    <w:rsid w:val="002F5510"/>
    <w:rsid w:val="00301B7B"/>
    <w:rsid w:val="00302591"/>
    <w:rsid w:val="003037DB"/>
    <w:rsid w:val="0030479E"/>
    <w:rsid w:val="0030573F"/>
    <w:rsid w:val="003060A4"/>
    <w:rsid w:val="00307CCA"/>
    <w:rsid w:val="003105FA"/>
    <w:rsid w:val="00311375"/>
    <w:rsid w:val="00312837"/>
    <w:rsid w:val="0031316B"/>
    <w:rsid w:val="0031414F"/>
    <w:rsid w:val="003227E8"/>
    <w:rsid w:val="00323678"/>
    <w:rsid w:val="003239A3"/>
    <w:rsid w:val="00324C36"/>
    <w:rsid w:val="0033199A"/>
    <w:rsid w:val="003325B1"/>
    <w:rsid w:val="00333231"/>
    <w:rsid w:val="00333F75"/>
    <w:rsid w:val="00335CB6"/>
    <w:rsid w:val="00344B39"/>
    <w:rsid w:val="003476CB"/>
    <w:rsid w:val="003521BB"/>
    <w:rsid w:val="003526F8"/>
    <w:rsid w:val="00354542"/>
    <w:rsid w:val="00354B91"/>
    <w:rsid w:val="0035515B"/>
    <w:rsid w:val="003556E7"/>
    <w:rsid w:val="003575DE"/>
    <w:rsid w:val="00357C66"/>
    <w:rsid w:val="0036026D"/>
    <w:rsid w:val="00360484"/>
    <w:rsid w:val="003624C3"/>
    <w:rsid w:val="003626E4"/>
    <w:rsid w:val="00364372"/>
    <w:rsid w:val="00364A8F"/>
    <w:rsid w:val="003659EE"/>
    <w:rsid w:val="00365D64"/>
    <w:rsid w:val="00366851"/>
    <w:rsid w:val="003711C8"/>
    <w:rsid w:val="0037299F"/>
    <w:rsid w:val="003745B2"/>
    <w:rsid w:val="00376FB9"/>
    <w:rsid w:val="00377517"/>
    <w:rsid w:val="00377788"/>
    <w:rsid w:val="00380EF4"/>
    <w:rsid w:val="003815E9"/>
    <w:rsid w:val="00381E7E"/>
    <w:rsid w:val="003845C1"/>
    <w:rsid w:val="00387A9B"/>
    <w:rsid w:val="00393FB1"/>
    <w:rsid w:val="0039497D"/>
    <w:rsid w:val="003952AE"/>
    <w:rsid w:val="003963CF"/>
    <w:rsid w:val="00396D77"/>
    <w:rsid w:val="003A0C3A"/>
    <w:rsid w:val="003A3076"/>
    <w:rsid w:val="003A3675"/>
    <w:rsid w:val="003A42A2"/>
    <w:rsid w:val="003A5105"/>
    <w:rsid w:val="003A6699"/>
    <w:rsid w:val="003A6914"/>
    <w:rsid w:val="003A6DA3"/>
    <w:rsid w:val="003B1A4D"/>
    <w:rsid w:val="003B2084"/>
    <w:rsid w:val="003B24C1"/>
    <w:rsid w:val="003B269C"/>
    <w:rsid w:val="003B30E2"/>
    <w:rsid w:val="003B3DA5"/>
    <w:rsid w:val="003B50D2"/>
    <w:rsid w:val="003B5410"/>
    <w:rsid w:val="003B76D1"/>
    <w:rsid w:val="003B7E50"/>
    <w:rsid w:val="003C1D69"/>
    <w:rsid w:val="003C219A"/>
    <w:rsid w:val="003C2F26"/>
    <w:rsid w:val="003C336E"/>
    <w:rsid w:val="003C59A9"/>
    <w:rsid w:val="003C5E85"/>
    <w:rsid w:val="003C7032"/>
    <w:rsid w:val="003C78CC"/>
    <w:rsid w:val="003D01C5"/>
    <w:rsid w:val="003D1FF0"/>
    <w:rsid w:val="003D2ACC"/>
    <w:rsid w:val="003D3EB8"/>
    <w:rsid w:val="003E0085"/>
    <w:rsid w:val="003E0E93"/>
    <w:rsid w:val="003E20E2"/>
    <w:rsid w:val="003E5794"/>
    <w:rsid w:val="003E6E96"/>
    <w:rsid w:val="003F0290"/>
    <w:rsid w:val="003F45A8"/>
    <w:rsid w:val="003F4ACB"/>
    <w:rsid w:val="0040042F"/>
    <w:rsid w:val="00400C1A"/>
    <w:rsid w:val="00401C78"/>
    <w:rsid w:val="004025FD"/>
    <w:rsid w:val="00403D34"/>
    <w:rsid w:val="00404BF8"/>
    <w:rsid w:val="0040567E"/>
    <w:rsid w:val="00405E5F"/>
    <w:rsid w:val="00407528"/>
    <w:rsid w:val="0041026C"/>
    <w:rsid w:val="004118CD"/>
    <w:rsid w:val="00413119"/>
    <w:rsid w:val="00413A79"/>
    <w:rsid w:val="00414961"/>
    <w:rsid w:val="004159D0"/>
    <w:rsid w:val="00417386"/>
    <w:rsid w:val="00417DD3"/>
    <w:rsid w:val="00420D29"/>
    <w:rsid w:val="00420E64"/>
    <w:rsid w:val="00421253"/>
    <w:rsid w:val="004217A9"/>
    <w:rsid w:val="0042332C"/>
    <w:rsid w:val="004260CF"/>
    <w:rsid w:val="0043025D"/>
    <w:rsid w:val="0043150F"/>
    <w:rsid w:val="00432096"/>
    <w:rsid w:val="00433ABB"/>
    <w:rsid w:val="00433F01"/>
    <w:rsid w:val="00436400"/>
    <w:rsid w:val="00437690"/>
    <w:rsid w:val="00440715"/>
    <w:rsid w:val="00441984"/>
    <w:rsid w:val="004427FB"/>
    <w:rsid w:val="0044474C"/>
    <w:rsid w:val="0044605D"/>
    <w:rsid w:val="004466FF"/>
    <w:rsid w:val="00446EDA"/>
    <w:rsid w:val="004475D3"/>
    <w:rsid w:val="00451FC5"/>
    <w:rsid w:val="00452866"/>
    <w:rsid w:val="004531C3"/>
    <w:rsid w:val="00453D2C"/>
    <w:rsid w:val="00453E39"/>
    <w:rsid w:val="00455FD8"/>
    <w:rsid w:val="0045640D"/>
    <w:rsid w:val="004569B7"/>
    <w:rsid w:val="00461E57"/>
    <w:rsid w:val="00462600"/>
    <w:rsid w:val="00462A14"/>
    <w:rsid w:val="004641C5"/>
    <w:rsid w:val="004663F6"/>
    <w:rsid w:val="004673D7"/>
    <w:rsid w:val="004674A1"/>
    <w:rsid w:val="00467F3C"/>
    <w:rsid w:val="00470284"/>
    <w:rsid w:val="004712C3"/>
    <w:rsid w:val="00471A19"/>
    <w:rsid w:val="00472BE7"/>
    <w:rsid w:val="00472FD6"/>
    <w:rsid w:val="004770D7"/>
    <w:rsid w:val="004806FC"/>
    <w:rsid w:val="00482B67"/>
    <w:rsid w:val="00486AA1"/>
    <w:rsid w:val="00487BEC"/>
    <w:rsid w:val="0049032E"/>
    <w:rsid w:val="00492042"/>
    <w:rsid w:val="004927CF"/>
    <w:rsid w:val="00494A0E"/>
    <w:rsid w:val="004977D7"/>
    <w:rsid w:val="00497D70"/>
    <w:rsid w:val="00497EDC"/>
    <w:rsid w:val="004A17DF"/>
    <w:rsid w:val="004A1A67"/>
    <w:rsid w:val="004A253C"/>
    <w:rsid w:val="004A29E0"/>
    <w:rsid w:val="004A2A4F"/>
    <w:rsid w:val="004A2D2D"/>
    <w:rsid w:val="004A30CE"/>
    <w:rsid w:val="004B3FAA"/>
    <w:rsid w:val="004B5DA2"/>
    <w:rsid w:val="004C14CE"/>
    <w:rsid w:val="004C3BE5"/>
    <w:rsid w:val="004C6071"/>
    <w:rsid w:val="004C61CE"/>
    <w:rsid w:val="004C6DA0"/>
    <w:rsid w:val="004D10D7"/>
    <w:rsid w:val="004D187A"/>
    <w:rsid w:val="004D24E7"/>
    <w:rsid w:val="004D253D"/>
    <w:rsid w:val="004D2E7E"/>
    <w:rsid w:val="004D31C6"/>
    <w:rsid w:val="004D4AB8"/>
    <w:rsid w:val="004D5C42"/>
    <w:rsid w:val="004D6724"/>
    <w:rsid w:val="004D76EE"/>
    <w:rsid w:val="004E1D12"/>
    <w:rsid w:val="004E2940"/>
    <w:rsid w:val="004E2CAB"/>
    <w:rsid w:val="004E4B6D"/>
    <w:rsid w:val="004E5B0A"/>
    <w:rsid w:val="004E6742"/>
    <w:rsid w:val="004E72A2"/>
    <w:rsid w:val="004E74AF"/>
    <w:rsid w:val="004E7C24"/>
    <w:rsid w:val="004E7FF5"/>
    <w:rsid w:val="004F1D9D"/>
    <w:rsid w:val="004F201A"/>
    <w:rsid w:val="004F25F2"/>
    <w:rsid w:val="004F4C48"/>
    <w:rsid w:val="004F51A6"/>
    <w:rsid w:val="004F59F1"/>
    <w:rsid w:val="004F6857"/>
    <w:rsid w:val="004F7F91"/>
    <w:rsid w:val="00501616"/>
    <w:rsid w:val="00501D69"/>
    <w:rsid w:val="0050226B"/>
    <w:rsid w:val="00503B11"/>
    <w:rsid w:val="00507001"/>
    <w:rsid w:val="0050723F"/>
    <w:rsid w:val="00507848"/>
    <w:rsid w:val="00510616"/>
    <w:rsid w:val="0051469A"/>
    <w:rsid w:val="00515892"/>
    <w:rsid w:val="00516577"/>
    <w:rsid w:val="00521708"/>
    <w:rsid w:val="0052654E"/>
    <w:rsid w:val="00532531"/>
    <w:rsid w:val="00532A6C"/>
    <w:rsid w:val="00534D3C"/>
    <w:rsid w:val="0053506C"/>
    <w:rsid w:val="005352A4"/>
    <w:rsid w:val="0053582E"/>
    <w:rsid w:val="00536672"/>
    <w:rsid w:val="0053719D"/>
    <w:rsid w:val="005400E4"/>
    <w:rsid w:val="00540BDD"/>
    <w:rsid w:val="00541C1C"/>
    <w:rsid w:val="005420CE"/>
    <w:rsid w:val="00542F32"/>
    <w:rsid w:val="005449EE"/>
    <w:rsid w:val="00546E87"/>
    <w:rsid w:val="00550DFE"/>
    <w:rsid w:val="00551B7D"/>
    <w:rsid w:val="005532FE"/>
    <w:rsid w:val="0055380F"/>
    <w:rsid w:val="00555C68"/>
    <w:rsid w:val="00557245"/>
    <w:rsid w:val="00557C8B"/>
    <w:rsid w:val="00557FA7"/>
    <w:rsid w:val="00560544"/>
    <w:rsid w:val="00560AA3"/>
    <w:rsid w:val="00560C1E"/>
    <w:rsid w:val="00561A78"/>
    <w:rsid w:val="00561BBD"/>
    <w:rsid w:val="00562A7C"/>
    <w:rsid w:val="00563E2A"/>
    <w:rsid w:val="0056517E"/>
    <w:rsid w:val="005658B9"/>
    <w:rsid w:val="00566820"/>
    <w:rsid w:val="005668FE"/>
    <w:rsid w:val="00566FB0"/>
    <w:rsid w:val="00567389"/>
    <w:rsid w:val="005676AF"/>
    <w:rsid w:val="00567786"/>
    <w:rsid w:val="00571E1B"/>
    <w:rsid w:val="00573A75"/>
    <w:rsid w:val="005755FF"/>
    <w:rsid w:val="005766C8"/>
    <w:rsid w:val="0058090E"/>
    <w:rsid w:val="00583824"/>
    <w:rsid w:val="00583A86"/>
    <w:rsid w:val="00583AF8"/>
    <w:rsid w:val="00583EF4"/>
    <w:rsid w:val="0058445D"/>
    <w:rsid w:val="00584C5A"/>
    <w:rsid w:val="00587684"/>
    <w:rsid w:val="00590FE4"/>
    <w:rsid w:val="0059139A"/>
    <w:rsid w:val="00594E9F"/>
    <w:rsid w:val="00595961"/>
    <w:rsid w:val="005964ED"/>
    <w:rsid w:val="00596E11"/>
    <w:rsid w:val="005A02FF"/>
    <w:rsid w:val="005A3B00"/>
    <w:rsid w:val="005A69E0"/>
    <w:rsid w:val="005B0B90"/>
    <w:rsid w:val="005B481C"/>
    <w:rsid w:val="005B674C"/>
    <w:rsid w:val="005B737D"/>
    <w:rsid w:val="005C30DF"/>
    <w:rsid w:val="005C4219"/>
    <w:rsid w:val="005D0C77"/>
    <w:rsid w:val="005D1930"/>
    <w:rsid w:val="005D1942"/>
    <w:rsid w:val="005D1E59"/>
    <w:rsid w:val="005D46CD"/>
    <w:rsid w:val="005D5C6A"/>
    <w:rsid w:val="005D60FD"/>
    <w:rsid w:val="005D6E4F"/>
    <w:rsid w:val="005D7027"/>
    <w:rsid w:val="005D7468"/>
    <w:rsid w:val="005D760D"/>
    <w:rsid w:val="005D7E86"/>
    <w:rsid w:val="005E03B4"/>
    <w:rsid w:val="005E0654"/>
    <w:rsid w:val="005E0AB2"/>
    <w:rsid w:val="005E0F74"/>
    <w:rsid w:val="005E2C38"/>
    <w:rsid w:val="005E3265"/>
    <w:rsid w:val="005E375E"/>
    <w:rsid w:val="005E4032"/>
    <w:rsid w:val="005E7124"/>
    <w:rsid w:val="005E73C4"/>
    <w:rsid w:val="005F1A57"/>
    <w:rsid w:val="005F49AF"/>
    <w:rsid w:val="005F4CB6"/>
    <w:rsid w:val="005F6EE8"/>
    <w:rsid w:val="0060293B"/>
    <w:rsid w:val="00606344"/>
    <w:rsid w:val="0060670E"/>
    <w:rsid w:val="00614233"/>
    <w:rsid w:val="00615793"/>
    <w:rsid w:val="006227F7"/>
    <w:rsid w:val="00622AC8"/>
    <w:rsid w:val="00622FB9"/>
    <w:rsid w:val="006241BB"/>
    <w:rsid w:val="00625134"/>
    <w:rsid w:val="00625B70"/>
    <w:rsid w:val="00626125"/>
    <w:rsid w:val="006302FE"/>
    <w:rsid w:val="00632CD9"/>
    <w:rsid w:val="00632D46"/>
    <w:rsid w:val="00632E37"/>
    <w:rsid w:val="00633049"/>
    <w:rsid w:val="00634C3A"/>
    <w:rsid w:val="006356EB"/>
    <w:rsid w:val="006362A4"/>
    <w:rsid w:val="00636E08"/>
    <w:rsid w:val="006372DD"/>
    <w:rsid w:val="00637BAF"/>
    <w:rsid w:val="00641163"/>
    <w:rsid w:val="00643C08"/>
    <w:rsid w:val="00644470"/>
    <w:rsid w:val="00645A3C"/>
    <w:rsid w:val="00646A55"/>
    <w:rsid w:val="0065006B"/>
    <w:rsid w:val="0065347E"/>
    <w:rsid w:val="00653A67"/>
    <w:rsid w:val="00653C55"/>
    <w:rsid w:val="00657119"/>
    <w:rsid w:val="006573BD"/>
    <w:rsid w:val="0066132A"/>
    <w:rsid w:val="0066224F"/>
    <w:rsid w:val="00662ADB"/>
    <w:rsid w:val="00663686"/>
    <w:rsid w:val="006641B1"/>
    <w:rsid w:val="00664B37"/>
    <w:rsid w:val="006675FA"/>
    <w:rsid w:val="00670356"/>
    <w:rsid w:val="00671B78"/>
    <w:rsid w:val="0067489D"/>
    <w:rsid w:val="00675A01"/>
    <w:rsid w:val="00675B0E"/>
    <w:rsid w:val="00676A2C"/>
    <w:rsid w:val="006771A0"/>
    <w:rsid w:val="006804BE"/>
    <w:rsid w:val="0068421E"/>
    <w:rsid w:val="006851FD"/>
    <w:rsid w:val="00686FBA"/>
    <w:rsid w:val="00690149"/>
    <w:rsid w:val="0069039C"/>
    <w:rsid w:val="00690F97"/>
    <w:rsid w:val="00691125"/>
    <w:rsid w:val="00691BCE"/>
    <w:rsid w:val="00692070"/>
    <w:rsid w:val="0069263A"/>
    <w:rsid w:val="006955FF"/>
    <w:rsid w:val="0069719D"/>
    <w:rsid w:val="006A1CED"/>
    <w:rsid w:val="006A20BA"/>
    <w:rsid w:val="006A2B54"/>
    <w:rsid w:val="006A2D1C"/>
    <w:rsid w:val="006A3E64"/>
    <w:rsid w:val="006A3F83"/>
    <w:rsid w:val="006B06D1"/>
    <w:rsid w:val="006B0901"/>
    <w:rsid w:val="006B1208"/>
    <w:rsid w:val="006B56E4"/>
    <w:rsid w:val="006C0685"/>
    <w:rsid w:val="006C143E"/>
    <w:rsid w:val="006C1524"/>
    <w:rsid w:val="006C1933"/>
    <w:rsid w:val="006C1CA9"/>
    <w:rsid w:val="006C258D"/>
    <w:rsid w:val="006C2E12"/>
    <w:rsid w:val="006C2E21"/>
    <w:rsid w:val="006C317B"/>
    <w:rsid w:val="006C33B6"/>
    <w:rsid w:val="006C3A4B"/>
    <w:rsid w:val="006D1378"/>
    <w:rsid w:val="006D2CAC"/>
    <w:rsid w:val="006D3092"/>
    <w:rsid w:val="006D34AF"/>
    <w:rsid w:val="006D4427"/>
    <w:rsid w:val="006D4949"/>
    <w:rsid w:val="006D4BFC"/>
    <w:rsid w:val="006D5DFC"/>
    <w:rsid w:val="006D69A3"/>
    <w:rsid w:val="006E0249"/>
    <w:rsid w:val="006E02A3"/>
    <w:rsid w:val="006E06AB"/>
    <w:rsid w:val="006E0FE5"/>
    <w:rsid w:val="006E3547"/>
    <w:rsid w:val="006E3E3E"/>
    <w:rsid w:val="006E3FF2"/>
    <w:rsid w:val="006E47AE"/>
    <w:rsid w:val="006E5353"/>
    <w:rsid w:val="006E6ED5"/>
    <w:rsid w:val="006F079B"/>
    <w:rsid w:val="006F1E12"/>
    <w:rsid w:val="006F1E95"/>
    <w:rsid w:val="006F2E60"/>
    <w:rsid w:val="006F30D4"/>
    <w:rsid w:val="006F46DD"/>
    <w:rsid w:val="006F4C8B"/>
    <w:rsid w:val="006F4C8E"/>
    <w:rsid w:val="00702FC8"/>
    <w:rsid w:val="00703609"/>
    <w:rsid w:val="00703CAC"/>
    <w:rsid w:val="00704706"/>
    <w:rsid w:val="007048CB"/>
    <w:rsid w:val="00704D5B"/>
    <w:rsid w:val="00705E3F"/>
    <w:rsid w:val="00706155"/>
    <w:rsid w:val="00706446"/>
    <w:rsid w:val="00707A7E"/>
    <w:rsid w:val="00710859"/>
    <w:rsid w:val="00710C71"/>
    <w:rsid w:val="0071165F"/>
    <w:rsid w:val="00716A46"/>
    <w:rsid w:val="00717134"/>
    <w:rsid w:val="00717F43"/>
    <w:rsid w:val="00720606"/>
    <w:rsid w:val="00726001"/>
    <w:rsid w:val="007265BF"/>
    <w:rsid w:val="007266FD"/>
    <w:rsid w:val="0073200A"/>
    <w:rsid w:val="00732D12"/>
    <w:rsid w:val="00732D92"/>
    <w:rsid w:val="007336F5"/>
    <w:rsid w:val="00735C5E"/>
    <w:rsid w:val="00736BF0"/>
    <w:rsid w:val="0074056D"/>
    <w:rsid w:val="00741278"/>
    <w:rsid w:val="007423AB"/>
    <w:rsid w:val="00742FC8"/>
    <w:rsid w:val="00743C56"/>
    <w:rsid w:val="007459CD"/>
    <w:rsid w:val="00745F7C"/>
    <w:rsid w:val="0074663E"/>
    <w:rsid w:val="007518F8"/>
    <w:rsid w:val="00751F14"/>
    <w:rsid w:val="007536B4"/>
    <w:rsid w:val="0075431C"/>
    <w:rsid w:val="00757AD3"/>
    <w:rsid w:val="00760A0A"/>
    <w:rsid w:val="007643B4"/>
    <w:rsid w:val="00767E99"/>
    <w:rsid w:val="00772D6A"/>
    <w:rsid w:val="007744E5"/>
    <w:rsid w:val="00774760"/>
    <w:rsid w:val="00774C1A"/>
    <w:rsid w:val="00776AAC"/>
    <w:rsid w:val="007806BB"/>
    <w:rsid w:val="007832C8"/>
    <w:rsid w:val="007832E2"/>
    <w:rsid w:val="0078530E"/>
    <w:rsid w:val="007859DC"/>
    <w:rsid w:val="007878C3"/>
    <w:rsid w:val="00787C30"/>
    <w:rsid w:val="00790A25"/>
    <w:rsid w:val="00794E01"/>
    <w:rsid w:val="00795C91"/>
    <w:rsid w:val="00796432"/>
    <w:rsid w:val="00797160"/>
    <w:rsid w:val="007A0549"/>
    <w:rsid w:val="007A14E9"/>
    <w:rsid w:val="007A1FB0"/>
    <w:rsid w:val="007A2E66"/>
    <w:rsid w:val="007B0847"/>
    <w:rsid w:val="007B2D68"/>
    <w:rsid w:val="007B3718"/>
    <w:rsid w:val="007B5056"/>
    <w:rsid w:val="007B735A"/>
    <w:rsid w:val="007B78FA"/>
    <w:rsid w:val="007C0A9B"/>
    <w:rsid w:val="007C1FC2"/>
    <w:rsid w:val="007C26C3"/>
    <w:rsid w:val="007C2D92"/>
    <w:rsid w:val="007C35AC"/>
    <w:rsid w:val="007C4543"/>
    <w:rsid w:val="007C526C"/>
    <w:rsid w:val="007C64DA"/>
    <w:rsid w:val="007C6666"/>
    <w:rsid w:val="007C67E1"/>
    <w:rsid w:val="007C6ADE"/>
    <w:rsid w:val="007C6FB4"/>
    <w:rsid w:val="007D1020"/>
    <w:rsid w:val="007D1FED"/>
    <w:rsid w:val="007D3F43"/>
    <w:rsid w:val="007D408B"/>
    <w:rsid w:val="007D751F"/>
    <w:rsid w:val="007D75B1"/>
    <w:rsid w:val="007E3226"/>
    <w:rsid w:val="007E637D"/>
    <w:rsid w:val="007E6D1A"/>
    <w:rsid w:val="007F0080"/>
    <w:rsid w:val="007F02CA"/>
    <w:rsid w:val="007F3A2D"/>
    <w:rsid w:val="007F4AEE"/>
    <w:rsid w:val="007F4BC3"/>
    <w:rsid w:val="007F7EFE"/>
    <w:rsid w:val="00800930"/>
    <w:rsid w:val="00802836"/>
    <w:rsid w:val="008034B0"/>
    <w:rsid w:val="0080432B"/>
    <w:rsid w:val="0080679D"/>
    <w:rsid w:val="00806BFE"/>
    <w:rsid w:val="00806E1C"/>
    <w:rsid w:val="0081121A"/>
    <w:rsid w:val="008116D8"/>
    <w:rsid w:val="00811B2D"/>
    <w:rsid w:val="00812987"/>
    <w:rsid w:val="0081377C"/>
    <w:rsid w:val="008139E1"/>
    <w:rsid w:val="008165BD"/>
    <w:rsid w:val="008166DF"/>
    <w:rsid w:val="008169E2"/>
    <w:rsid w:val="00816F5E"/>
    <w:rsid w:val="00817DA3"/>
    <w:rsid w:val="008201AC"/>
    <w:rsid w:val="00823354"/>
    <w:rsid w:val="00824E11"/>
    <w:rsid w:val="00825629"/>
    <w:rsid w:val="00825D59"/>
    <w:rsid w:val="008270A5"/>
    <w:rsid w:val="0082766D"/>
    <w:rsid w:val="00832EB7"/>
    <w:rsid w:val="008338C1"/>
    <w:rsid w:val="00835FDA"/>
    <w:rsid w:val="008365F6"/>
    <w:rsid w:val="0083682C"/>
    <w:rsid w:val="008368F8"/>
    <w:rsid w:val="00837E13"/>
    <w:rsid w:val="00840E85"/>
    <w:rsid w:val="00844959"/>
    <w:rsid w:val="00845374"/>
    <w:rsid w:val="00847DF6"/>
    <w:rsid w:val="00851FAB"/>
    <w:rsid w:val="00852166"/>
    <w:rsid w:val="0085463A"/>
    <w:rsid w:val="00854A48"/>
    <w:rsid w:val="008562DA"/>
    <w:rsid w:val="00857F5A"/>
    <w:rsid w:val="0086297E"/>
    <w:rsid w:val="00864D62"/>
    <w:rsid w:val="00865438"/>
    <w:rsid w:val="00865F2F"/>
    <w:rsid w:val="00867E09"/>
    <w:rsid w:val="0087302D"/>
    <w:rsid w:val="008731FF"/>
    <w:rsid w:val="0087369E"/>
    <w:rsid w:val="008738CD"/>
    <w:rsid w:val="00874532"/>
    <w:rsid w:val="00874747"/>
    <w:rsid w:val="00874751"/>
    <w:rsid w:val="0088005E"/>
    <w:rsid w:val="0088104C"/>
    <w:rsid w:val="0088113A"/>
    <w:rsid w:val="00884C94"/>
    <w:rsid w:val="00884ED2"/>
    <w:rsid w:val="00886610"/>
    <w:rsid w:val="008878CC"/>
    <w:rsid w:val="00887AF1"/>
    <w:rsid w:val="00890E89"/>
    <w:rsid w:val="00891EBC"/>
    <w:rsid w:val="00893609"/>
    <w:rsid w:val="008976C2"/>
    <w:rsid w:val="00897AE8"/>
    <w:rsid w:val="008A0861"/>
    <w:rsid w:val="008A1193"/>
    <w:rsid w:val="008A23F6"/>
    <w:rsid w:val="008A3EB1"/>
    <w:rsid w:val="008A4569"/>
    <w:rsid w:val="008A4717"/>
    <w:rsid w:val="008A61AD"/>
    <w:rsid w:val="008A7989"/>
    <w:rsid w:val="008B0609"/>
    <w:rsid w:val="008B2670"/>
    <w:rsid w:val="008B4500"/>
    <w:rsid w:val="008B479E"/>
    <w:rsid w:val="008B50FB"/>
    <w:rsid w:val="008B5865"/>
    <w:rsid w:val="008B58D7"/>
    <w:rsid w:val="008B5CA3"/>
    <w:rsid w:val="008C04F8"/>
    <w:rsid w:val="008C263A"/>
    <w:rsid w:val="008C66F0"/>
    <w:rsid w:val="008C6AC4"/>
    <w:rsid w:val="008C70E1"/>
    <w:rsid w:val="008D17C7"/>
    <w:rsid w:val="008D2EE6"/>
    <w:rsid w:val="008D3C75"/>
    <w:rsid w:val="008D651C"/>
    <w:rsid w:val="008D668B"/>
    <w:rsid w:val="008D6EAF"/>
    <w:rsid w:val="008D707E"/>
    <w:rsid w:val="008E3BB6"/>
    <w:rsid w:val="008E4065"/>
    <w:rsid w:val="008E44E9"/>
    <w:rsid w:val="008E507B"/>
    <w:rsid w:val="008E5407"/>
    <w:rsid w:val="008E5F89"/>
    <w:rsid w:val="008E7818"/>
    <w:rsid w:val="008E7CFC"/>
    <w:rsid w:val="008F1F98"/>
    <w:rsid w:val="008F237F"/>
    <w:rsid w:val="008F25B1"/>
    <w:rsid w:val="008F340C"/>
    <w:rsid w:val="008F4E5F"/>
    <w:rsid w:val="008F623D"/>
    <w:rsid w:val="0090117D"/>
    <w:rsid w:val="00905849"/>
    <w:rsid w:val="00907C40"/>
    <w:rsid w:val="00911A7C"/>
    <w:rsid w:val="00911D95"/>
    <w:rsid w:val="009123BA"/>
    <w:rsid w:val="00914FAF"/>
    <w:rsid w:val="009155A4"/>
    <w:rsid w:val="00915E43"/>
    <w:rsid w:val="00916447"/>
    <w:rsid w:val="00916AF6"/>
    <w:rsid w:val="0091777B"/>
    <w:rsid w:val="009177CD"/>
    <w:rsid w:val="00917973"/>
    <w:rsid w:val="00917FF5"/>
    <w:rsid w:val="00920F3E"/>
    <w:rsid w:val="0092106A"/>
    <w:rsid w:val="00924C6D"/>
    <w:rsid w:val="00924EC4"/>
    <w:rsid w:val="009253A7"/>
    <w:rsid w:val="00925464"/>
    <w:rsid w:val="009307F7"/>
    <w:rsid w:val="00930FAE"/>
    <w:rsid w:val="009320F4"/>
    <w:rsid w:val="009324CA"/>
    <w:rsid w:val="00933884"/>
    <w:rsid w:val="00933CE0"/>
    <w:rsid w:val="00935637"/>
    <w:rsid w:val="009372E6"/>
    <w:rsid w:val="00937CDC"/>
    <w:rsid w:val="00940745"/>
    <w:rsid w:val="00943E29"/>
    <w:rsid w:val="0094413C"/>
    <w:rsid w:val="0094793A"/>
    <w:rsid w:val="00947CB0"/>
    <w:rsid w:val="00950C42"/>
    <w:rsid w:val="009512F7"/>
    <w:rsid w:val="00953EA2"/>
    <w:rsid w:val="00954C54"/>
    <w:rsid w:val="00957828"/>
    <w:rsid w:val="00957E4C"/>
    <w:rsid w:val="00960B44"/>
    <w:rsid w:val="00960CEC"/>
    <w:rsid w:val="00964B96"/>
    <w:rsid w:val="00967D19"/>
    <w:rsid w:val="00973E98"/>
    <w:rsid w:val="00977A40"/>
    <w:rsid w:val="00977BB7"/>
    <w:rsid w:val="00980D73"/>
    <w:rsid w:val="009823FC"/>
    <w:rsid w:val="00983052"/>
    <w:rsid w:val="0098509E"/>
    <w:rsid w:val="00985663"/>
    <w:rsid w:val="00986786"/>
    <w:rsid w:val="00987573"/>
    <w:rsid w:val="00994C07"/>
    <w:rsid w:val="009972B0"/>
    <w:rsid w:val="0099782B"/>
    <w:rsid w:val="009A0182"/>
    <w:rsid w:val="009A0726"/>
    <w:rsid w:val="009A3CAE"/>
    <w:rsid w:val="009A4B1D"/>
    <w:rsid w:val="009A5442"/>
    <w:rsid w:val="009A5E3B"/>
    <w:rsid w:val="009A6BAF"/>
    <w:rsid w:val="009B08D2"/>
    <w:rsid w:val="009B1A83"/>
    <w:rsid w:val="009B1D98"/>
    <w:rsid w:val="009B37B7"/>
    <w:rsid w:val="009B59D9"/>
    <w:rsid w:val="009B6E2F"/>
    <w:rsid w:val="009C15E0"/>
    <w:rsid w:val="009C1E6A"/>
    <w:rsid w:val="009C30AA"/>
    <w:rsid w:val="009C4A77"/>
    <w:rsid w:val="009C51AB"/>
    <w:rsid w:val="009C5727"/>
    <w:rsid w:val="009C76A3"/>
    <w:rsid w:val="009D0398"/>
    <w:rsid w:val="009D14C7"/>
    <w:rsid w:val="009D1768"/>
    <w:rsid w:val="009D26D2"/>
    <w:rsid w:val="009D2A76"/>
    <w:rsid w:val="009D34A5"/>
    <w:rsid w:val="009D615C"/>
    <w:rsid w:val="009E0AD4"/>
    <w:rsid w:val="009E239A"/>
    <w:rsid w:val="009E2D93"/>
    <w:rsid w:val="009E3F3C"/>
    <w:rsid w:val="009E518B"/>
    <w:rsid w:val="009E5A78"/>
    <w:rsid w:val="009E5D6B"/>
    <w:rsid w:val="009E6518"/>
    <w:rsid w:val="009F40A3"/>
    <w:rsid w:val="009F492E"/>
    <w:rsid w:val="009F64F6"/>
    <w:rsid w:val="00A0294E"/>
    <w:rsid w:val="00A0376C"/>
    <w:rsid w:val="00A05A6F"/>
    <w:rsid w:val="00A07E28"/>
    <w:rsid w:val="00A121C3"/>
    <w:rsid w:val="00A12C2A"/>
    <w:rsid w:val="00A12EDE"/>
    <w:rsid w:val="00A13E7D"/>
    <w:rsid w:val="00A14C9D"/>
    <w:rsid w:val="00A205A0"/>
    <w:rsid w:val="00A21D0B"/>
    <w:rsid w:val="00A21E79"/>
    <w:rsid w:val="00A2222A"/>
    <w:rsid w:val="00A23407"/>
    <w:rsid w:val="00A27282"/>
    <w:rsid w:val="00A3418C"/>
    <w:rsid w:val="00A34E8B"/>
    <w:rsid w:val="00A375F1"/>
    <w:rsid w:val="00A417E4"/>
    <w:rsid w:val="00A42716"/>
    <w:rsid w:val="00A430F0"/>
    <w:rsid w:val="00A4535F"/>
    <w:rsid w:val="00A45AD4"/>
    <w:rsid w:val="00A45DC4"/>
    <w:rsid w:val="00A46151"/>
    <w:rsid w:val="00A4616A"/>
    <w:rsid w:val="00A46AA7"/>
    <w:rsid w:val="00A51663"/>
    <w:rsid w:val="00A52361"/>
    <w:rsid w:val="00A53008"/>
    <w:rsid w:val="00A53F5D"/>
    <w:rsid w:val="00A55186"/>
    <w:rsid w:val="00A5640D"/>
    <w:rsid w:val="00A60820"/>
    <w:rsid w:val="00A609E4"/>
    <w:rsid w:val="00A6110D"/>
    <w:rsid w:val="00A615EC"/>
    <w:rsid w:val="00A61AB5"/>
    <w:rsid w:val="00A62AC7"/>
    <w:rsid w:val="00A64C67"/>
    <w:rsid w:val="00A654F1"/>
    <w:rsid w:val="00A65AD2"/>
    <w:rsid w:val="00A66A41"/>
    <w:rsid w:val="00A67471"/>
    <w:rsid w:val="00A70673"/>
    <w:rsid w:val="00A713A4"/>
    <w:rsid w:val="00A74731"/>
    <w:rsid w:val="00A748CD"/>
    <w:rsid w:val="00A765CC"/>
    <w:rsid w:val="00A77F92"/>
    <w:rsid w:val="00A808B7"/>
    <w:rsid w:val="00A81A73"/>
    <w:rsid w:val="00A81C3E"/>
    <w:rsid w:val="00A81D2F"/>
    <w:rsid w:val="00A83F82"/>
    <w:rsid w:val="00A84A84"/>
    <w:rsid w:val="00A84FAD"/>
    <w:rsid w:val="00A87D2A"/>
    <w:rsid w:val="00A87FA1"/>
    <w:rsid w:val="00A917CE"/>
    <w:rsid w:val="00A92860"/>
    <w:rsid w:val="00A93C0A"/>
    <w:rsid w:val="00A94BD7"/>
    <w:rsid w:val="00A97A64"/>
    <w:rsid w:val="00AA041A"/>
    <w:rsid w:val="00AA0FC5"/>
    <w:rsid w:val="00AA240F"/>
    <w:rsid w:val="00AA37F1"/>
    <w:rsid w:val="00AA4945"/>
    <w:rsid w:val="00AA4E02"/>
    <w:rsid w:val="00AA5A2E"/>
    <w:rsid w:val="00AA6C3A"/>
    <w:rsid w:val="00AA7419"/>
    <w:rsid w:val="00AA774D"/>
    <w:rsid w:val="00AB266E"/>
    <w:rsid w:val="00AB3016"/>
    <w:rsid w:val="00AB32DC"/>
    <w:rsid w:val="00AB347C"/>
    <w:rsid w:val="00AB3CB2"/>
    <w:rsid w:val="00AB4050"/>
    <w:rsid w:val="00AB62F9"/>
    <w:rsid w:val="00AB6D06"/>
    <w:rsid w:val="00AB6DB2"/>
    <w:rsid w:val="00AC017B"/>
    <w:rsid w:val="00AC4568"/>
    <w:rsid w:val="00AC5CD1"/>
    <w:rsid w:val="00AC625C"/>
    <w:rsid w:val="00AC62CD"/>
    <w:rsid w:val="00AC6E6A"/>
    <w:rsid w:val="00AC729E"/>
    <w:rsid w:val="00AD271C"/>
    <w:rsid w:val="00AD3496"/>
    <w:rsid w:val="00AD4D5E"/>
    <w:rsid w:val="00AE08A6"/>
    <w:rsid w:val="00AE125D"/>
    <w:rsid w:val="00AE170E"/>
    <w:rsid w:val="00AE474E"/>
    <w:rsid w:val="00AE5D01"/>
    <w:rsid w:val="00AE5D99"/>
    <w:rsid w:val="00AE6B5C"/>
    <w:rsid w:val="00AE7A72"/>
    <w:rsid w:val="00AF0830"/>
    <w:rsid w:val="00AF08BF"/>
    <w:rsid w:val="00AF1094"/>
    <w:rsid w:val="00AF1132"/>
    <w:rsid w:val="00AF4B1B"/>
    <w:rsid w:val="00AF66CB"/>
    <w:rsid w:val="00AF72C9"/>
    <w:rsid w:val="00B01A19"/>
    <w:rsid w:val="00B0459F"/>
    <w:rsid w:val="00B05981"/>
    <w:rsid w:val="00B05F71"/>
    <w:rsid w:val="00B06996"/>
    <w:rsid w:val="00B10C15"/>
    <w:rsid w:val="00B1390F"/>
    <w:rsid w:val="00B14C45"/>
    <w:rsid w:val="00B14DAB"/>
    <w:rsid w:val="00B20297"/>
    <w:rsid w:val="00B21123"/>
    <w:rsid w:val="00B24E11"/>
    <w:rsid w:val="00B24EB6"/>
    <w:rsid w:val="00B262F4"/>
    <w:rsid w:val="00B26FDB"/>
    <w:rsid w:val="00B27A52"/>
    <w:rsid w:val="00B36A1C"/>
    <w:rsid w:val="00B37D37"/>
    <w:rsid w:val="00B37F4E"/>
    <w:rsid w:val="00B47279"/>
    <w:rsid w:val="00B47E1E"/>
    <w:rsid w:val="00B513E6"/>
    <w:rsid w:val="00B53067"/>
    <w:rsid w:val="00B544FD"/>
    <w:rsid w:val="00B54563"/>
    <w:rsid w:val="00B54F95"/>
    <w:rsid w:val="00B6466B"/>
    <w:rsid w:val="00B65A05"/>
    <w:rsid w:val="00B66277"/>
    <w:rsid w:val="00B66B4D"/>
    <w:rsid w:val="00B71256"/>
    <w:rsid w:val="00B7169A"/>
    <w:rsid w:val="00B72EBA"/>
    <w:rsid w:val="00B73A2B"/>
    <w:rsid w:val="00B7408B"/>
    <w:rsid w:val="00B7463F"/>
    <w:rsid w:val="00B751A3"/>
    <w:rsid w:val="00B75B92"/>
    <w:rsid w:val="00B76B86"/>
    <w:rsid w:val="00B775F7"/>
    <w:rsid w:val="00B8224F"/>
    <w:rsid w:val="00B84110"/>
    <w:rsid w:val="00B865C1"/>
    <w:rsid w:val="00B92B30"/>
    <w:rsid w:val="00B937B0"/>
    <w:rsid w:val="00B93BD5"/>
    <w:rsid w:val="00B96482"/>
    <w:rsid w:val="00B96924"/>
    <w:rsid w:val="00B9758A"/>
    <w:rsid w:val="00BA1D3F"/>
    <w:rsid w:val="00BA2ADC"/>
    <w:rsid w:val="00BA55FD"/>
    <w:rsid w:val="00BA6582"/>
    <w:rsid w:val="00BB0C45"/>
    <w:rsid w:val="00BB0CE7"/>
    <w:rsid w:val="00BB24A9"/>
    <w:rsid w:val="00BB2518"/>
    <w:rsid w:val="00BB3077"/>
    <w:rsid w:val="00BB4097"/>
    <w:rsid w:val="00BB428E"/>
    <w:rsid w:val="00BB56B1"/>
    <w:rsid w:val="00BB666D"/>
    <w:rsid w:val="00BC00AA"/>
    <w:rsid w:val="00BC235B"/>
    <w:rsid w:val="00BC2762"/>
    <w:rsid w:val="00BC4270"/>
    <w:rsid w:val="00BC4688"/>
    <w:rsid w:val="00BC6F7D"/>
    <w:rsid w:val="00BC735A"/>
    <w:rsid w:val="00BD4CD3"/>
    <w:rsid w:val="00BD4F62"/>
    <w:rsid w:val="00BD5C2C"/>
    <w:rsid w:val="00BD6344"/>
    <w:rsid w:val="00BD6B7C"/>
    <w:rsid w:val="00BD6E98"/>
    <w:rsid w:val="00BD7B39"/>
    <w:rsid w:val="00BE0747"/>
    <w:rsid w:val="00BE4BEC"/>
    <w:rsid w:val="00BE6380"/>
    <w:rsid w:val="00BF6144"/>
    <w:rsid w:val="00BF6E28"/>
    <w:rsid w:val="00C01BA7"/>
    <w:rsid w:val="00C0250E"/>
    <w:rsid w:val="00C02886"/>
    <w:rsid w:val="00C0743E"/>
    <w:rsid w:val="00C07D6B"/>
    <w:rsid w:val="00C1000E"/>
    <w:rsid w:val="00C1072E"/>
    <w:rsid w:val="00C10742"/>
    <w:rsid w:val="00C11A9B"/>
    <w:rsid w:val="00C12C1D"/>
    <w:rsid w:val="00C1514F"/>
    <w:rsid w:val="00C153D7"/>
    <w:rsid w:val="00C156C5"/>
    <w:rsid w:val="00C17E68"/>
    <w:rsid w:val="00C20EAD"/>
    <w:rsid w:val="00C21053"/>
    <w:rsid w:val="00C22D5C"/>
    <w:rsid w:val="00C241F3"/>
    <w:rsid w:val="00C251C7"/>
    <w:rsid w:val="00C31F94"/>
    <w:rsid w:val="00C33719"/>
    <w:rsid w:val="00C34FB2"/>
    <w:rsid w:val="00C3781C"/>
    <w:rsid w:val="00C41031"/>
    <w:rsid w:val="00C425D6"/>
    <w:rsid w:val="00C43E12"/>
    <w:rsid w:val="00C51DFE"/>
    <w:rsid w:val="00C5293F"/>
    <w:rsid w:val="00C54F4B"/>
    <w:rsid w:val="00C566FF"/>
    <w:rsid w:val="00C57093"/>
    <w:rsid w:val="00C57A92"/>
    <w:rsid w:val="00C57BE9"/>
    <w:rsid w:val="00C57ECC"/>
    <w:rsid w:val="00C6140F"/>
    <w:rsid w:val="00C633FB"/>
    <w:rsid w:val="00C63B9D"/>
    <w:rsid w:val="00C667C4"/>
    <w:rsid w:val="00C7066E"/>
    <w:rsid w:val="00C82F6C"/>
    <w:rsid w:val="00C83A63"/>
    <w:rsid w:val="00C841B0"/>
    <w:rsid w:val="00C85E4E"/>
    <w:rsid w:val="00C93D7B"/>
    <w:rsid w:val="00C951C5"/>
    <w:rsid w:val="00C969B5"/>
    <w:rsid w:val="00C96D93"/>
    <w:rsid w:val="00C97EB4"/>
    <w:rsid w:val="00CA0071"/>
    <w:rsid w:val="00CA011C"/>
    <w:rsid w:val="00CA0A9F"/>
    <w:rsid w:val="00CA38C1"/>
    <w:rsid w:val="00CA53A0"/>
    <w:rsid w:val="00CA5918"/>
    <w:rsid w:val="00CA697B"/>
    <w:rsid w:val="00CA6B69"/>
    <w:rsid w:val="00CA6C6D"/>
    <w:rsid w:val="00CB15BF"/>
    <w:rsid w:val="00CB162B"/>
    <w:rsid w:val="00CB217B"/>
    <w:rsid w:val="00CB2E6F"/>
    <w:rsid w:val="00CB3F70"/>
    <w:rsid w:val="00CB41C5"/>
    <w:rsid w:val="00CB59F8"/>
    <w:rsid w:val="00CB6D42"/>
    <w:rsid w:val="00CC2AAD"/>
    <w:rsid w:val="00CC3306"/>
    <w:rsid w:val="00CC370F"/>
    <w:rsid w:val="00CC4117"/>
    <w:rsid w:val="00CC43B8"/>
    <w:rsid w:val="00CC4506"/>
    <w:rsid w:val="00CC4AA7"/>
    <w:rsid w:val="00CC4BB7"/>
    <w:rsid w:val="00CC5AEF"/>
    <w:rsid w:val="00CC6BB8"/>
    <w:rsid w:val="00CC6CFF"/>
    <w:rsid w:val="00CD22D6"/>
    <w:rsid w:val="00CD285C"/>
    <w:rsid w:val="00CD480D"/>
    <w:rsid w:val="00CD4DA8"/>
    <w:rsid w:val="00CD6F43"/>
    <w:rsid w:val="00CD7E5C"/>
    <w:rsid w:val="00CE3837"/>
    <w:rsid w:val="00CE5BCA"/>
    <w:rsid w:val="00CE5DF7"/>
    <w:rsid w:val="00CE5E52"/>
    <w:rsid w:val="00CE7013"/>
    <w:rsid w:val="00CF03A7"/>
    <w:rsid w:val="00CF202A"/>
    <w:rsid w:val="00CF21D7"/>
    <w:rsid w:val="00CF29D0"/>
    <w:rsid w:val="00CF51AA"/>
    <w:rsid w:val="00CF54D3"/>
    <w:rsid w:val="00CF597D"/>
    <w:rsid w:val="00D0174F"/>
    <w:rsid w:val="00D04241"/>
    <w:rsid w:val="00D044BC"/>
    <w:rsid w:val="00D058D6"/>
    <w:rsid w:val="00D0698D"/>
    <w:rsid w:val="00D071B1"/>
    <w:rsid w:val="00D075CC"/>
    <w:rsid w:val="00D07EBB"/>
    <w:rsid w:val="00D10593"/>
    <w:rsid w:val="00D11934"/>
    <w:rsid w:val="00D11FCB"/>
    <w:rsid w:val="00D12722"/>
    <w:rsid w:val="00D12A31"/>
    <w:rsid w:val="00D12ADB"/>
    <w:rsid w:val="00D13E2D"/>
    <w:rsid w:val="00D162E9"/>
    <w:rsid w:val="00D17F4A"/>
    <w:rsid w:val="00D257FF"/>
    <w:rsid w:val="00D25ABE"/>
    <w:rsid w:val="00D25C25"/>
    <w:rsid w:val="00D267C1"/>
    <w:rsid w:val="00D26A03"/>
    <w:rsid w:val="00D2775E"/>
    <w:rsid w:val="00D319CE"/>
    <w:rsid w:val="00D36FD8"/>
    <w:rsid w:val="00D370FD"/>
    <w:rsid w:val="00D406AB"/>
    <w:rsid w:val="00D41C97"/>
    <w:rsid w:val="00D43F18"/>
    <w:rsid w:val="00D44C5D"/>
    <w:rsid w:val="00D4692E"/>
    <w:rsid w:val="00D51288"/>
    <w:rsid w:val="00D51A92"/>
    <w:rsid w:val="00D51DDB"/>
    <w:rsid w:val="00D529D6"/>
    <w:rsid w:val="00D5385B"/>
    <w:rsid w:val="00D545E4"/>
    <w:rsid w:val="00D602BC"/>
    <w:rsid w:val="00D604B5"/>
    <w:rsid w:val="00D605B5"/>
    <w:rsid w:val="00D60854"/>
    <w:rsid w:val="00D60A67"/>
    <w:rsid w:val="00D60C82"/>
    <w:rsid w:val="00D61287"/>
    <w:rsid w:val="00D647EB"/>
    <w:rsid w:val="00D6542C"/>
    <w:rsid w:val="00D65B26"/>
    <w:rsid w:val="00D65CB3"/>
    <w:rsid w:val="00D67E72"/>
    <w:rsid w:val="00D71D9D"/>
    <w:rsid w:val="00D725E2"/>
    <w:rsid w:val="00D741FA"/>
    <w:rsid w:val="00D7484D"/>
    <w:rsid w:val="00D7638B"/>
    <w:rsid w:val="00D80793"/>
    <w:rsid w:val="00D81413"/>
    <w:rsid w:val="00D8302A"/>
    <w:rsid w:val="00D850A8"/>
    <w:rsid w:val="00D85753"/>
    <w:rsid w:val="00D86E75"/>
    <w:rsid w:val="00D90A50"/>
    <w:rsid w:val="00D91438"/>
    <w:rsid w:val="00D91A17"/>
    <w:rsid w:val="00D91C0A"/>
    <w:rsid w:val="00D91C24"/>
    <w:rsid w:val="00D91F78"/>
    <w:rsid w:val="00D96010"/>
    <w:rsid w:val="00D97C10"/>
    <w:rsid w:val="00DA1ECF"/>
    <w:rsid w:val="00DA266E"/>
    <w:rsid w:val="00DA267E"/>
    <w:rsid w:val="00DA292D"/>
    <w:rsid w:val="00DA2F2D"/>
    <w:rsid w:val="00DA3C43"/>
    <w:rsid w:val="00DA635A"/>
    <w:rsid w:val="00DA6843"/>
    <w:rsid w:val="00DA6F03"/>
    <w:rsid w:val="00DA7018"/>
    <w:rsid w:val="00DA71CE"/>
    <w:rsid w:val="00DA752B"/>
    <w:rsid w:val="00DB035A"/>
    <w:rsid w:val="00DB0F92"/>
    <w:rsid w:val="00DB2CF2"/>
    <w:rsid w:val="00DB385D"/>
    <w:rsid w:val="00DB4189"/>
    <w:rsid w:val="00DB4706"/>
    <w:rsid w:val="00DC1090"/>
    <w:rsid w:val="00DC1975"/>
    <w:rsid w:val="00DC30F8"/>
    <w:rsid w:val="00DC3A67"/>
    <w:rsid w:val="00DC40B9"/>
    <w:rsid w:val="00DC46B5"/>
    <w:rsid w:val="00DC6D4F"/>
    <w:rsid w:val="00DC6D55"/>
    <w:rsid w:val="00DD08A6"/>
    <w:rsid w:val="00DD0D9D"/>
    <w:rsid w:val="00DD16BF"/>
    <w:rsid w:val="00DD1CE5"/>
    <w:rsid w:val="00DD2727"/>
    <w:rsid w:val="00DD35AD"/>
    <w:rsid w:val="00DD38DB"/>
    <w:rsid w:val="00DD4057"/>
    <w:rsid w:val="00DD54E5"/>
    <w:rsid w:val="00DD563F"/>
    <w:rsid w:val="00DD5E6B"/>
    <w:rsid w:val="00DE1A9B"/>
    <w:rsid w:val="00DE5CBE"/>
    <w:rsid w:val="00DE613E"/>
    <w:rsid w:val="00DE65CA"/>
    <w:rsid w:val="00DE67DA"/>
    <w:rsid w:val="00DE6A5D"/>
    <w:rsid w:val="00DE7C6A"/>
    <w:rsid w:val="00DF13A8"/>
    <w:rsid w:val="00DF1D8F"/>
    <w:rsid w:val="00DF29B8"/>
    <w:rsid w:val="00DF395A"/>
    <w:rsid w:val="00DF3CB9"/>
    <w:rsid w:val="00DF6093"/>
    <w:rsid w:val="00DF68C5"/>
    <w:rsid w:val="00DF720C"/>
    <w:rsid w:val="00DF7DA6"/>
    <w:rsid w:val="00E00056"/>
    <w:rsid w:val="00E009EF"/>
    <w:rsid w:val="00E00F63"/>
    <w:rsid w:val="00E02175"/>
    <w:rsid w:val="00E02B34"/>
    <w:rsid w:val="00E04147"/>
    <w:rsid w:val="00E044BF"/>
    <w:rsid w:val="00E0649E"/>
    <w:rsid w:val="00E07429"/>
    <w:rsid w:val="00E07AA7"/>
    <w:rsid w:val="00E07B67"/>
    <w:rsid w:val="00E10379"/>
    <w:rsid w:val="00E124A6"/>
    <w:rsid w:val="00E136AF"/>
    <w:rsid w:val="00E140DB"/>
    <w:rsid w:val="00E17896"/>
    <w:rsid w:val="00E20265"/>
    <w:rsid w:val="00E2134F"/>
    <w:rsid w:val="00E24880"/>
    <w:rsid w:val="00E24CCD"/>
    <w:rsid w:val="00E25382"/>
    <w:rsid w:val="00E26298"/>
    <w:rsid w:val="00E2713D"/>
    <w:rsid w:val="00E30D6F"/>
    <w:rsid w:val="00E31B3F"/>
    <w:rsid w:val="00E326C6"/>
    <w:rsid w:val="00E327F4"/>
    <w:rsid w:val="00E331B9"/>
    <w:rsid w:val="00E33F50"/>
    <w:rsid w:val="00E358C7"/>
    <w:rsid w:val="00E364B0"/>
    <w:rsid w:val="00E3678C"/>
    <w:rsid w:val="00E3731A"/>
    <w:rsid w:val="00E3756F"/>
    <w:rsid w:val="00E424FF"/>
    <w:rsid w:val="00E42FA3"/>
    <w:rsid w:val="00E434CA"/>
    <w:rsid w:val="00E44FFA"/>
    <w:rsid w:val="00E46750"/>
    <w:rsid w:val="00E46968"/>
    <w:rsid w:val="00E564F6"/>
    <w:rsid w:val="00E56979"/>
    <w:rsid w:val="00E60408"/>
    <w:rsid w:val="00E6155E"/>
    <w:rsid w:val="00E617AE"/>
    <w:rsid w:val="00E618E3"/>
    <w:rsid w:val="00E6589A"/>
    <w:rsid w:val="00E66E54"/>
    <w:rsid w:val="00E672E5"/>
    <w:rsid w:val="00E6762A"/>
    <w:rsid w:val="00E714BD"/>
    <w:rsid w:val="00E71EB0"/>
    <w:rsid w:val="00E72E1D"/>
    <w:rsid w:val="00E73506"/>
    <w:rsid w:val="00E73FA0"/>
    <w:rsid w:val="00E74B42"/>
    <w:rsid w:val="00E754F2"/>
    <w:rsid w:val="00E80025"/>
    <w:rsid w:val="00E80130"/>
    <w:rsid w:val="00E86685"/>
    <w:rsid w:val="00E92999"/>
    <w:rsid w:val="00E92F46"/>
    <w:rsid w:val="00E957C0"/>
    <w:rsid w:val="00E96298"/>
    <w:rsid w:val="00EA07FC"/>
    <w:rsid w:val="00EA0923"/>
    <w:rsid w:val="00EA200E"/>
    <w:rsid w:val="00EA2635"/>
    <w:rsid w:val="00EA5AAD"/>
    <w:rsid w:val="00EA6F72"/>
    <w:rsid w:val="00EA73E5"/>
    <w:rsid w:val="00EB153D"/>
    <w:rsid w:val="00EB1D7E"/>
    <w:rsid w:val="00EB2F20"/>
    <w:rsid w:val="00EB7ACF"/>
    <w:rsid w:val="00EC0ECB"/>
    <w:rsid w:val="00EC5757"/>
    <w:rsid w:val="00EC75A1"/>
    <w:rsid w:val="00ED1862"/>
    <w:rsid w:val="00ED1C67"/>
    <w:rsid w:val="00ED1ECF"/>
    <w:rsid w:val="00ED5270"/>
    <w:rsid w:val="00ED786C"/>
    <w:rsid w:val="00EE0BB8"/>
    <w:rsid w:val="00EE2302"/>
    <w:rsid w:val="00EE28C1"/>
    <w:rsid w:val="00EE4B81"/>
    <w:rsid w:val="00EE5653"/>
    <w:rsid w:val="00EF18AD"/>
    <w:rsid w:val="00EF1F8E"/>
    <w:rsid w:val="00EF26C0"/>
    <w:rsid w:val="00EF32AC"/>
    <w:rsid w:val="00EF4288"/>
    <w:rsid w:val="00EF4C72"/>
    <w:rsid w:val="00EF56A2"/>
    <w:rsid w:val="00F00394"/>
    <w:rsid w:val="00F03935"/>
    <w:rsid w:val="00F0469B"/>
    <w:rsid w:val="00F05DC1"/>
    <w:rsid w:val="00F0714E"/>
    <w:rsid w:val="00F077A6"/>
    <w:rsid w:val="00F105AA"/>
    <w:rsid w:val="00F111C2"/>
    <w:rsid w:val="00F11879"/>
    <w:rsid w:val="00F13282"/>
    <w:rsid w:val="00F1581F"/>
    <w:rsid w:val="00F17A3C"/>
    <w:rsid w:val="00F20D3C"/>
    <w:rsid w:val="00F21856"/>
    <w:rsid w:val="00F2381E"/>
    <w:rsid w:val="00F250EF"/>
    <w:rsid w:val="00F2619A"/>
    <w:rsid w:val="00F26919"/>
    <w:rsid w:val="00F27D5F"/>
    <w:rsid w:val="00F31235"/>
    <w:rsid w:val="00F31EE6"/>
    <w:rsid w:val="00F32C9B"/>
    <w:rsid w:val="00F33CC2"/>
    <w:rsid w:val="00F359E0"/>
    <w:rsid w:val="00F40520"/>
    <w:rsid w:val="00F41352"/>
    <w:rsid w:val="00F4145F"/>
    <w:rsid w:val="00F4147D"/>
    <w:rsid w:val="00F422C8"/>
    <w:rsid w:val="00F42BDE"/>
    <w:rsid w:val="00F430FB"/>
    <w:rsid w:val="00F449E1"/>
    <w:rsid w:val="00F5133D"/>
    <w:rsid w:val="00F53512"/>
    <w:rsid w:val="00F54CF2"/>
    <w:rsid w:val="00F54F3B"/>
    <w:rsid w:val="00F573B6"/>
    <w:rsid w:val="00F627F7"/>
    <w:rsid w:val="00F62AEB"/>
    <w:rsid w:val="00F62C9D"/>
    <w:rsid w:val="00F639C9"/>
    <w:rsid w:val="00F64DDC"/>
    <w:rsid w:val="00F6753A"/>
    <w:rsid w:val="00F70699"/>
    <w:rsid w:val="00F70F8C"/>
    <w:rsid w:val="00F713E1"/>
    <w:rsid w:val="00F7412C"/>
    <w:rsid w:val="00F75258"/>
    <w:rsid w:val="00F76295"/>
    <w:rsid w:val="00F8258C"/>
    <w:rsid w:val="00F82EBB"/>
    <w:rsid w:val="00F852B0"/>
    <w:rsid w:val="00F87C09"/>
    <w:rsid w:val="00F91ACB"/>
    <w:rsid w:val="00F92BDC"/>
    <w:rsid w:val="00F93F0A"/>
    <w:rsid w:val="00F95F91"/>
    <w:rsid w:val="00FA0912"/>
    <w:rsid w:val="00FA2322"/>
    <w:rsid w:val="00FA283A"/>
    <w:rsid w:val="00FA5213"/>
    <w:rsid w:val="00FA6A4B"/>
    <w:rsid w:val="00FA7946"/>
    <w:rsid w:val="00FB0498"/>
    <w:rsid w:val="00FB0CC8"/>
    <w:rsid w:val="00FB2BEC"/>
    <w:rsid w:val="00FB6129"/>
    <w:rsid w:val="00FB7D70"/>
    <w:rsid w:val="00FC092F"/>
    <w:rsid w:val="00FC3BCF"/>
    <w:rsid w:val="00FC4FC5"/>
    <w:rsid w:val="00FC7184"/>
    <w:rsid w:val="00FC766B"/>
    <w:rsid w:val="00FC7B08"/>
    <w:rsid w:val="00FD1247"/>
    <w:rsid w:val="00FD1BC3"/>
    <w:rsid w:val="00FD3DCA"/>
    <w:rsid w:val="00FE023A"/>
    <w:rsid w:val="00FE0328"/>
    <w:rsid w:val="00FE0F24"/>
    <w:rsid w:val="00FE0F29"/>
    <w:rsid w:val="00FE18EE"/>
    <w:rsid w:val="00FE1EFA"/>
    <w:rsid w:val="00FE3081"/>
    <w:rsid w:val="00FE3B69"/>
    <w:rsid w:val="00FF46CA"/>
    <w:rsid w:val="00FF4EC0"/>
    <w:rsid w:val="00FF5272"/>
    <w:rsid w:val="00FF7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A54C1"/>
  <w15:chartTrackingRefBased/>
  <w15:docId w15:val="{75DD07CF-3287-455C-B5D1-A9212A81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4C36"/>
    <w:pPr>
      <w:spacing w:after="120" w:line="240" w:lineRule="auto"/>
      <w:jc w:val="both"/>
    </w:pPr>
    <w:rPr>
      <w:rFonts w:ascii="Calibri" w:hAnsi="Calibri"/>
      <w:sz w:val="24"/>
    </w:rPr>
  </w:style>
  <w:style w:type="paragraph" w:styleId="Nadpis1">
    <w:name w:val="heading 1"/>
    <w:aliases w:val="Hlavní nadpis"/>
    <w:basedOn w:val="Normln"/>
    <w:next w:val="Normln"/>
    <w:link w:val="Nadpis1Char"/>
    <w:autoRedefine/>
    <w:uiPriority w:val="9"/>
    <w:qFormat/>
    <w:rsid w:val="00471A19"/>
    <w:pPr>
      <w:keepNext/>
      <w:keepLines/>
      <w:jc w:val="center"/>
      <w:outlineLvl w:val="0"/>
    </w:pPr>
    <w:rPr>
      <w:rFonts w:eastAsiaTheme="majorEastAsia" w:cstheme="majorBidi"/>
      <w:b/>
      <w:sz w:val="28"/>
      <w:szCs w:val="24"/>
    </w:rPr>
  </w:style>
  <w:style w:type="paragraph" w:styleId="Nadpis2">
    <w:name w:val="heading 2"/>
    <w:aliases w:val="Nadpis kapitola"/>
    <w:basedOn w:val="Odstavecseseznamem"/>
    <w:next w:val="Normln"/>
    <w:link w:val="Nadpis2Char"/>
    <w:autoRedefine/>
    <w:uiPriority w:val="9"/>
    <w:unhideWhenUsed/>
    <w:qFormat/>
    <w:rsid w:val="00986786"/>
    <w:pPr>
      <w:keepNext/>
      <w:spacing w:after="120"/>
      <w:ind w:left="0"/>
      <w:contextualSpacing w:val="0"/>
      <w:outlineLvl w:val="1"/>
    </w:pPr>
    <w:rPr>
      <w:b/>
    </w:rPr>
  </w:style>
  <w:style w:type="paragraph" w:styleId="Nadpis3">
    <w:name w:val="heading 3"/>
    <w:basedOn w:val="Normln"/>
    <w:next w:val="Normln"/>
    <w:link w:val="Nadpis3Char"/>
    <w:uiPriority w:val="9"/>
    <w:semiHidden/>
    <w:unhideWhenUsed/>
    <w:rsid w:val="00170D0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semiHidden/>
    <w:unhideWhenUsed/>
    <w:qFormat/>
    <w:rsid w:val="00393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
    <w:rsid w:val="00471A19"/>
    <w:rPr>
      <w:rFonts w:ascii="Calibri" w:eastAsiaTheme="majorEastAsia" w:hAnsi="Calibri" w:cstheme="majorBidi"/>
      <w:b/>
      <w:sz w:val="28"/>
      <w:szCs w:val="24"/>
    </w:rPr>
  </w:style>
  <w:style w:type="character" w:customStyle="1" w:styleId="Nadpis2Char">
    <w:name w:val="Nadpis 2 Char"/>
    <w:aliases w:val="Nadpis kapitola Char"/>
    <w:basedOn w:val="Standardnpsmoodstavce"/>
    <w:link w:val="Nadpis2"/>
    <w:uiPriority w:val="9"/>
    <w:rsid w:val="00986786"/>
    <w:rPr>
      <w:rFonts w:ascii="Calibri" w:eastAsia="Times New Roman" w:hAnsi="Calibri" w:cs="Times New Roman"/>
      <w:b/>
      <w:sz w:val="24"/>
      <w:szCs w:val="24"/>
    </w:rPr>
  </w:style>
  <w:style w:type="paragraph" w:customStyle="1" w:styleId="zvraznnnzvpublikac">
    <w:name w:val="zvýraznění názvů publikací..."/>
    <w:basedOn w:val="Normln"/>
    <w:next w:val="Normln"/>
    <w:link w:val="zvraznnnzvpublikacChar"/>
    <w:autoRedefine/>
    <w:qFormat/>
    <w:rsid w:val="00675B0E"/>
    <w:rPr>
      <w:i/>
    </w:rPr>
  </w:style>
  <w:style w:type="paragraph" w:customStyle="1" w:styleId="Odrka1">
    <w:name w:val="Odrážka 1"/>
    <w:basedOn w:val="Normln"/>
    <w:link w:val="Odrka1Char"/>
    <w:qFormat/>
    <w:rsid w:val="00EA200E"/>
    <w:pPr>
      <w:numPr>
        <w:numId w:val="1"/>
      </w:numPr>
    </w:pPr>
  </w:style>
  <w:style w:type="character" w:customStyle="1" w:styleId="zvraznnnzvpublikacChar">
    <w:name w:val="zvýraznění názvů publikací... Char"/>
    <w:basedOn w:val="Standardnpsmoodstavce"/>
    <w:link w:val="zvraznnnzvpublikac"/>
    <w:rsid w:val="00675B0E"/>
    <w:rPr>
      <w:rFonts w:ascii="Calibri" w:hAnsi="Calibri"/>
      <w:i/>
      <w:sz w:val="24"/>
    </w:rPr>
  </w:style>
  <w:style w:type="paragraph" w:customStyle="1" w:styleId="Odrka2">
    <w:name w:val="Odrážka 2"/>
    <w:basedOn w:val="Normln"/>
    <w:next w:val="Normln"/>
    <w:link w:val="Odrka2Char"/>
    <w:qFormat/>
    <w:rsid w:val="00EA200E"/>
    <w:pPr>
      <w:numPr>
        <w:numId w:val="2"/>
      </w:numPr>
    </w:pPr>
  </w:style>
  <w:style w:type="character" w:customStyle="1" w:styleId="Odrka1Char">
    <w:name w:val="Odrážka 1 Char"/>
    <w:basedOn w:val="Standardnpsmoodstavce"/>
    <w:link w:val="Odrka1"/>
    <w:rsid w:val="00EA200E"/>
    <w:rPr>
      <w:rFonts w:ascii="Calibri" w:hAnsi="Calibri"/>
      <w:sz w:val="24"/>
    </w:rPr>
  </w:style>
  <w:style w:type="character" w:customStyle="1" w:styleId="Odrka2Char">
    <w:name w:val="Odrážka 2 Char"/>
    <w:basedOn w:val="Odrka1Char"/>
    <w:link w:val="Odrka2"/>
    <w:rsid w:val="00EA200E"/>
    <w:rPr>
      <w:rFonts w:ascii="Calibri" w:hAnsi="Calibri"/>
      <w:sz w:val="24"/>
    </w:rPr>
  </w:style>
  <w:style w:type="paragraph" w:styleId="Odstavecseseznamem">
    <w:name w:val="List Paragraph"/>
    <w:aliases w:val="odrážky"/>
    <w:basedOn w:val="Normln"/>
    <w:link w:val="OdstavecseseznamemChar"/>
    <w:uiPriority w:val="34"/>
    <w:qFormat/>
    <w:rsid w:val="00C6140F"/>
    <w:pPr>
      <w:spacing w:after="0"/>
      <w:ind w:left="720"/>
      <w:contextualSpacing/>
    </w:pPr>
    <w:rPr>
      <w:rFonts w:eastAsia="Times New Roman" w:cs="Times New Roman"/>
      <w:szCs w:val="24"/>
    </w:rPr>
  </w:style>
  <w:style w:type="character" w:customStyle="1" w:styleId="OdstavecseseznamemChar">
    <w:name w:val="Odstavec se seznamem Char"/>
    <w:aliases w:val="odrážky Char"/>
    <w:link w:val="Odstavecseseznamem"/>
    <w:uiPriority w:val="34"/>
    <w:locked/>
    <w:rsid w:val="00C6140F"/>
    <w:rPr>
      <w:rFonts w:ascii="Calibri" w:eastAsia="Times New Roman" w:hAnsi="Calibri" w:cs="Times New Roman"/>
      <w:sz w:val="24"/>
      <w:szCs w:val="24"/>
    </w:rPr>
  </w:style>
  <w:style w:type="paragraph" w:styleId="Zpat">
    <w:name w:val="footer"/>
    <w:basedOn w:val="Normln"/>
    <w:link w:val="ZpatChar"/>
    <w:uiPriority w:val="99"/>
    <w:rsid w:val="00C6140F"/>
    <w:pPr>
      <w:tabs>
        <w:tab w:val="center" w:pos="4536"/>
        <w:tab w:val="right" w:pos="9072"/>
      </w:tabs>
      <w:spacing w:after="0"/>
      <w:jc w:val="left"/>
    </w:pPr>
    <w:rPr>
      <w:rFonts w:ascii="Times New Roman" w:eastAsia="Times New Roman" w:hAnsi="Times New Roman" w:cs="Times New Roman"/>
      <w:szCs w:val="24"/>
      <w:lang w:val="en-US"/>
    </w:rPr>
  </w:style>
  <w:style w:type="character" w:customStyle="1" w:styleId="ZpatChar">
    <w:name w:val="Zápatí Char"/>
    <w:basedOn w:val="Standardnpsmoodstavce"/>
    <w:link w:val="Zpat"/>
    <w:uiPriority w:val="99"/>
    <w:rsid w:val="00C6140F"/>
    <w:rPr>
      <w:rFonts w:ascii="Times New Roman" w:eastAsia="Times New Roman" w:hAnsi="Times New Roman" w:cs="Times New Roman"/>
      <w:sz w:val="24"/>
      <w:szCs w:val="24"/>
      <w:lang w:val="en-US"/>
    </w:rPr>
  </w:style>
  <w:style w:type="character" w:styleId="slostrnky">
    <w:name w:val="page number"/>
    <w:basedOn w:val="Standardnpsmoodstavce"/>
    <w:semiHidden/>
    <w:rsid w:val="00C6140F"/>
  </w:style>
  <w:style w:type="paragraph" w:styleId="Zhlav">
    <w:name w:val="header"/>
    <w:basedOn w:val="Normln"/>
    <w:link w:val="ZhlavChar"/>
    <w:uiPriority w:val="99"/>
    <w:rsid w:val="00C6140F"/>
    <w:pPr>
      <w:tabs>
        <w:tab w:val="center" w:pos="4536"/>
        <w:tab w:val="right" w:pos="9072"/>
      </w:tabs>
      <w:spacing w:after="0"/>
      <w:jc w:val="left"/>
    </w:pPr>
    <w:rPr>
      <w:rFonts w:ascii="Times New Roman" w:eastAsia="Times New Roman" w:hAnsi="Times New Roman" w:cs="Times New Roman"/>
      <w:szCs w:val="24"/>
      <w:lang w:val="en-US"/>
    </w:rPr>
  </w:style>
  <w:style w:type="character" w:customStyle="1" w:styleId="ZhlavChar">
    <w:name w:val="Záhlaví Char"/>
    <w:basedOn w:val="Standardnpsmoodstavce"/>
    <w:link w:val="Zhlav"/>
    <w:uiPriority w:val="99"/>
    <w:rsid w:val="00C6140F"/>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unhideWhenUsed/>
    <w:rsid w:val="009155A4"/>
    <w:pPr>
      <w:spacing w:after="0"/>
    </w:pPr>
    <w:rPr>
      <w:sz w:val="20"/>
      <w:szCs w:val="20"/>
    </w:rPr>
  </w:style>
  <w:style w:type="character" w:customStyle="1" w:styleId="TextpoznpodarouChar">
    <w:name w:val="Text pozn. pod čarou Char"/>
    <w:basedOn w:val="Standardnpsmoodstavce"/>
    <w:link w:val="Textpoznpodarou"/>
    <w:uiPriority w:val="99"/>
    <w:rsid w:val="009155A4"/>
    <w:rPr>
      <w:rFonts w:ascii="Calibri" w:hAnsi="Calibri"/>
      <w:sz w:val="20"/>
      <w:szCs w:val="20"/>
    </w:rPr>
  </w:style>
  <w:style w:type="character" w:styleId="Znakapoznpodarou">
    <w:name w:val="footnote reference"/>
    <w:basedOn w:val="Standardnpsmoodstavce"/>
    <w:uiPriority w:val="99"/>
    <w:semiHidden/>
    <w:unhideWhenUsed/>
    <w:rsid w:val="009155A4"/>
    <w:rPr>
      <w:vertAlign w:val="superscript"/>
    </w:rPr>
  </w:style>
  <w:style w:type="paragraph" w:customStyle="1" w:styleId="doc-ti">
    <w:name w:val="doc-ti"/>
    <w:basedOn w:val="Normln"/>
    <w:rsid w:val="00ED1ECF"/>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451FC5"/>
    <w:rPr>
      <w:color w:val="0000FF"/>
      <w:u w:val="single"/>
    </w:rPr>
  </w:style>
  <w:style w:type="paragraph" w:styleId="Normlnweb">
    <w:name w:val="Normal (Web)"/>
    <w:basedOn w:val="Normln"/>
    <w:uiPriority w:val="99"/>
    <w:rsid w:val="00365D64"/>
    <w:pPr>
      <w:spacing w:after="0"/>
      <w:jc w:val="left"/>
    </w:pPr>
    <w:rPr>
      <w:rFonts w:eastAsia="Times New Roman" w:cs="Times New Roman"/>
      <w:szCs w:val="24"/>
    </w:rPr>
  </w:style>
  <w:style w:type="paragraph" w:styleId="Textvysvtlivek">
    <w:name w:val="endnote text"/>
    <w:basedOn w:val="Normln"/>
    <w:link w:val="TextvysvtlivekChar"/>
    <w:uiPriority w:val="99"/>
    <w:semiHidden/>
    <w:unhideWhenUsed/>
    <w:rsid w:val="007E637D"/>
    <w:pPr>
      <w:spacing w:after="0"/>
    </w:pPr>
    <w:rPr>
      <w:sz w:val="20"/>
      <w:szCs w:val="20"/>
    </w:rPr>
  </w:style>
  <w:style w:type="character" w:customStyle="1" w:styleId="TextvysvtlivekChar">
    <w:name w:val="Text vysvětlivek Char"/>
    <w:basedOn w:val="Standardnpsmoodstavce"/>
    <w:link w:val="Textvysvtlivek"/>
    <w:uiPriority w:val="99"/>
    <w:semiHidden/>
    <w:rsid w:val="007E637D"/>
    <w:rPr>
      <w:rFonts w:ascii="Calibri" w:hAnsi="Calibri"/>
      <w:sz w:val="20"/>
      <w:szCs w:val="20"/>
    </w:rPr>
  </w:style>
  <w:style w:type="character" w:styleId="Odkaznavysvtlivky">
    <w:name w:val="endnote reference"/>
    <w:basedOn w:val="Standardnpsmoodstavce"/>
    <w:uiPriority w:val="99"/>
    <w:semiHidden/>
    <w:unhideWhenUsed/>
    <w:rsid w:val="007E637D"/>
    <w:rPr>
      <w:vertAlign w:val="superscript"/>
    </w:rPr>
  </w:style>
  <w:style w:type="paragraph" w:customStyle="1" w:styleId="Tabulka0">
    <w:name w:val="Tabulka"/>
    <w:basedOn w:val="Odrka1"/>
    <w:link w:val="TabulkaChar"/>
    <w:autoRedefine/>
    <w:rsid w:val="007C526C"/>
    <w:pPr>
      <w:numPr>
        <w:numId w:val="0"/>
      </w:numPr>
      <w:spacing w:after="0"/>
    </w:pPr>
    <w:rPr>
      <w:rFonts w:asciiTheme="minorHAnsi" w:hAnsiTheme="minorHAnsi" w:cstheme="minorHAnsi"/>
      <w:b/>
      <w:lang w:eastAsia="cs-CZ"/>
    </w:rPr>
  </w:style>
  <w:style w:type="paragraph" w:customStyle="1" w:styleId="Tabulka">
    <w:name w:val="Tabulka č."/>
    <w:basedOn w:val="Odrka1"/>
    <w:link w:val="TabulkaChar0"/>
    <w:qFormat/>
    <w:rsid w:val="00837E13"/>
    <w:pPr>
      <w:keepNext/>
      <w:numPr>
        <w:numId w:val="23"/>
      </w:numPr>
      <w:spacing w:after="0"/>
      <w:ind w:left="360"/>
    </w:pPr>
    <w:rPr>
      <w:b/>
    </w:rPr>
  </w:style>
  <w:style w:type="character" w:customStyle="1" w:styleId="TabulkaChar">
    <w:name w:val="Tabulka Char"/>
    <w:basedOn w:val="Odrka1Char"/>
    <w:link w:val="Tabulka0"/>
    <w:rsid w:val="007C526C"/>
    <w:rPr>
      <w:rFonts w:ascii="Calibri" w:hAnsi="Calibri" w:cstheme="minorHAnsi"/>
      <w:b/>
      <w:sz w:val="24"/>
      <w:lang w:eastAsia="cs-CZ"/>
    </w:rPr>
  </w:style>
  <w:style w:type="character" w:customStyle="1" w:styleId="TabulkaChar0">
    <w:name w:val="Tabulka č. Char"/>
    <w:basedOn w:val="Odrka1Char"/>
    <w:link w:val="Tabulka"/>
    <w:rsid w:val="00837E13"/>
    <w:rPr>
      <w:rFonts w:ascii="Calibri" w:hAnsi="Calibri"/>
      <w:b/>
      <w:sz w:val="24"/>
    </w:rPr>
  </w:style>
  <w:style w:type="paragraph" w:customStyle="1" w:styleId="Graf">
    <w:name w:val="Graf"/>
    <w:basedOn w:val="Odrka1"/>
    <w:link w:val="GrafChar"/>
    <w:autoRedefine/>
    <w:qFormat/>
    <w:rsid w:val="00D25C25"/>
    <w:pPr>
      <w:keepNext/>
      <w:numPr>
        <w:numId w:val="0"/>
      </w:numPr>
      <w:autoSpaceDE w:val="0"/>
      <w:autoSpaceDN w:val="0"/>
      <w:adjustRightInd w:val="0"/>
      <w:spacing w:after="40"/>
      <w:ind w:left="993" w:hanging="993"/>
    </w:pPr>
    <w:rPr>
      <w:rFonts w:asciiTheme="minorHAnsi" w:hAnsiTheme="minorHAnsi" w:cstheme="minorHAnsi"/>
      <w:b/>
      <w:bCs/>
      <w:lang w:eastAsia="cs-CZ"/>
    </w:rPr>
  </w:style>
  <w:style w:type="character" w:customStyle="1" w:styleId="GrafChar">
    <w:name w:val="Graf Char"/>
    <w:basedOn w:val="Standardnpsmoodstavce"/>
    <w:link w:val="Graf"/>
    <w:rsid w:val="00D25C25"/>
    <w:rPr>
      <w:rFonts w:cstheme="minorHAnsi"/>
      <w:b/>
      <w:bCs/>
      <w:sz w:val="24"/>
      <w:lang w:eastAsia="cs-CZ"/>
    </w:rPr>
  </w:style>
  <w:style w:type="character" w:styleId="Sledovanodkaz">
    <w:name w:val="FollowedHyperlink"/>
    <w:basedOn w:val="Standardnpsmoodstavce"/>
    <w:uiPriority w:val="99"/>
    <w:semiHidden/>
    <w:unhideWhenUsed/>
    <w:rsid w:val="00F573B6"/>
    <w:rPr>
      <w:color w:val="954F72" w:themeColor="followedHyperlink"/>
      <w:u w:val="single"/>
    </w:rPr>
  </w:style>
  <w:style w:type="table" w:styleId="Mkatabulky">
    <w:name w:val="Table Grid"/>
    <w:basedOn w:val="Normlntabulka"/>
    <w:uiPriority w:val="39"/>
    <w:rsid w:val="0084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í text (5)_"/>
    <w:basedOn w:val="Standardnpsmoodstavce"/>
    <w:link w:val="Zkladntext50"/>
    <w:rsid w:val="00845374"/>
    <w:rPr>
      <w:rFonts w:ascii="Arial" w:eastAsia="Arial" w:hAnsi="Arial" w:cs="Arial"/>
      <w:sz w:val="12"/>
      <w:szCs w:val="12"/>
      <w:shd w:val="clear" w:color="auto" w:fill="FFFFFF"/>
    </w:rPr>
  </w:style>
  <w:style w:type="paragraph" w:customStyle="1" w:styleId="Zkladntext50">
    <w:name w:val="Základní text (5)"/>
    <w:basedOn w:val="Normln"/>
    <w:link w:val="Zkladntext5"/>
    <w:rsid w:val="00845374"/>
    <w:pPr>
      <w:widowControl w:val="0"/>
      <w:shd w:val="clear" w:color="auto" w:fill="FFFFFF"/>
      <w:spacing w:after="0" w:line="156" w:lineRule="auto"/>
    </w:pPr>
    <w:rPr>
      <w:rFonts w:ascii="Arial" w:eastAsia="Arial" w:hAnsi="Arial" w:cs="Arial"/>
      <w:sz w:val="12"/>
      <w:szCs w:val="12"/>
    </w:rPr>
  </w:style>
  <w:style w:type="character" w:styleId="Siln">
    <w:name w:val="Strong"/>
    <w:basedOn w:val="Standardnpsmoodstavce"/>
    <w:uiPriority w:val="22"/>
    <w:qFormat/>
    <w:rsid w:val="005A69E0"/>
    <w:rPr>
      <w:b/>
      <w:bCs/>
    </w:rPr>
  </w:style>
  <w:style w:type="paragraph" w:styleId="Textbubliny">
    <w:name w:val="Balloon Text"/>
    <w:basedOn w:val="Normln"/>
    <w:link w:val="TextbublinyChar"/>
    <w:uiPriority w:val="99"/>
    <w:semiHidden/>
    <w:unhideWhenUsed/>
    <w:rsid w:val="00CB59F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59F8"/>
    <w:rPr>
      <w:rFonts w:ascii="Segoe UI" w:hAnsi="Segoe UI" w:cs="Segoe UI"/>
      <w:sz w:val="18"/>
      <w:szCs w:val="18"/>
    </w:rPr>
  </w:style>
  <w:style w:type="paragraph" w:styleId="Podnadpis">
    <w:name w:val="Subtitle"/>
    <w:basedOn w:val="Nadpis2"/>
    <w:next w:val="Normln"/>
    <w:link w:val="PodnadpisChar"/>
    <w:autoRedefine/>
    <w:uiPriority w:val="11"/>
    <w:qFormat/>
    <w:rsid w:val="008562DA"/>
    <w:pPr>
      <w:numPr>
        <w:numId w:val="17"/>
      </w:numPr>
      <w:spacing w:after="160"/>
    </w:pPr>
    <w:rPr>
      <w:rFonts w:eastAsiaTheme="minorEastAsia" w:cstheme="minorBidi"/>
      <w:i/>
      <w:color w:val="2E74B5" w:themeColor="accent1" w:themeShade="BF"/>
      <w:spacing w:val="20"/>
      <w:szCs w:val="20"/>
      <w:u w:val="single"/>
      <w:lang w:eastAsia="cs-CZ"/>
    </w:rPr>
  </w:style>
  <w:style w:type="character" w:customStyle="1" w:styleId="PodnadpisChar">
    <w:name w:val="Podnadpis Char"/>
    <w:basedOn w:val="Standardnpsmoodstavce"/>
    <w:link w:val="Podnadpis"/>
    <w:uiPriority w:val="11"/>
    <w:rsid w:val="008562DA"/>
    <w:rPr>
      <w:rFonts w:ascii="Calibri" w:eastAsiaTheme="minorEastAsia" w:hAnsi="Calibri"/>
      <w:b/>
      <w:i/>
      <w:color w:val="2E74B5" w:themeColor="accent1" w:themeShade="BF"/>
      <w:spacing w:val="20"/>
      <w:sz w:val="24"/>
      <w:szCs w:val="20"/>
      <w:u w:val="single"/>
      <w:lang w:eastAsia="cs-CZ"/>
    </w:rPr>
  </w:style>
  <w:style w:type="character" w:customStyle="1" w:styleId="Nadpis3Char">
    <w:name w:val="Nadpis 3 Char"/>
    <w:basedOn w:val="Standardnpsmoodstavce"/>
    <w:link w:val="Nadpis3"/>
    <w:uiPriority w:val="9"/>
    <w:semiHidden/>
    <w:rsid w:val="00170D0F"/>
    <w:rPr>
      <w:rFonts w:asciiTheme="majorHAnsi" w:eastAsiaTheme="majorEastAsia" w:hAnsiTheme="majorHAnsi" w:cstheme="majorBidi"/>
      <w:color w:val="1F4D78" w:themeColor="accent1" w:themeShade="7F"/>
      <w:sz w:val="24"/>
      <w:szCs w:val="24"/>
    </w:rPr>
  </w:style>
  <w:style w:type="paragraph" w:customStyle="1" w:styleId="Nadpiskapitoly2">
    <w:name w:val="Nadpis kapitoly 2"/>
    <w:basedOn w:val="Nadpis2"/>
    <w:link w:val="Nadpiskapitoly2Char"/>
    <w:qFormat/>
    <w:rsid w:val="004118CD"/>
    <w:pPr>
      <w:numPr>
        <w:numId w:val="19"/>
      </w:numPr>
      <w:ind w:left="1077" w:hanging="652"/>
    </w:pPr>
    <w:rPr>
      <w:sz w:val="32"/>
    </w:rPr>
  </w:style>
  <w:style w:type="paragraph" w:customStyle="1" w:styleId="1rove">
    <w:name w:val="1. úroveň"/>
    <w:basedOn w:val="Odstavecseseznamem"/>
    <w:link w:val="1roveChar"/>
    <w:rsid w:val="00B20297"/>
    <w:pPr>
      <w:ind w:left="360" w:hanging="360"/>
    </w:pPr>
    <w:rPr>
      <w:b/>
    </w:rPr>
  </w:style>
  <w:style w:type="character" w:customStyle="1" w:styleId="Nadpiskapitoly2Char">
    <w:name w:val="Nadpis kapitoly 2 Char"/>
    <w:basedOn w:val="Nadpis2Char"/>
    <w:link w:val="Nadpiskapitoly2"/>
    <w:rsid w:val="004118CD"/>
    <w:rPr>
      <w:rFonts w:ascii="Calibri" w:eastAsia="Times New Roman" w:hAnsi="Calibri" w:cs="Times New Roman"/>
      <w:b/>
      <w:sz w:val="32"/>
      <w:szCs w:val="24"/>
    </w:rPr>
  </w:style>
  <w:style w:type="paragraph" w:customStyle="1" w:styleId="11rove">
    <w:name w:val="1.1 úroveň"/>
    <w:basedOn w:val="Nadpis3"/>
    <w:link w:val="11roveChar"/>
    <w:qFormat/>
    <w:rsid w:val="00A84A84"/>
    <w:pPr>
      <w:numPr>
        <w:ilvl w:val="1"/>
        <w:numId w:val="8"/>
      </w:numPr>
    </w:pPr>
    <w:rPr>
      <w:rFonts w:asciiTheme="minorHAnsi" w:hAnsiTheme="minorHAnsi"/>
      <w:b/>
      <w:color w:val="auto"/>
    </w:rPr>
  </w:style>
  <w:style w:type="character" w:customStyle="1" w:styleId="1roveChar">
    <w:name w:val="1. úroveň Char"/>
    <w:basedOn w:val="Nadpis2Char"/>
    <w:link w:val="1rove"/>
    <w:rsid w:val="00B20297"/>
    <w:rPr>
      <w:rFonts w:ascii="Calibri" w:eastAsia="Times New Roman" w:hAnsi="Calibri" w:cs="Times New Roman"/>
      <w:b/>
      <w:sz w:val="24"/>
      <w:szCs w:val="24"/>
    </w:rPr>
  </w:style>
  <w:style w:type="paragraph" w:customStyle="1" w:styleId="111rove">
    <w:name w:val="1.1.1 úroveň"/>
    <w:basedOn w:val="Nadpis4"/>
    <w:link w:val="111roveChar"/>
    <w:qFormat/>
    <w:rsid w:val="006B06D1"/>
    <w:pPr>
      <w:numPr>
        <w:ilvl w:val="2"/>
        <w:numId w:val="7"/>
      </w:numPr>
      <w:spacing w:after="240"/>
    </w:pPr>
    <w:rPr>
      <w:rFonts w:asciiTheme="minorHAnsi" w:hAnsiTheme="minorHAnsi"/>
      <w:b/>
      <w:i w:val="0"/>
      <w:color w:val="auto"/>
    </w:rPr>
  </w:style>
  <w:style w:type="character" w:customStyle="1" w:styleId="11roveChar">
    <w:name w:val="1.1 úroveň Char"/>
    <w:basedOn w:val="1roveChar"/>
    <w:link w:val="11rove"/>
    <w:rsid w:val="00A84A84"/>
    <w:rPr>
      <w:rFonts w:ascii="Calibri" w:eastAsiaTheme="majorEastAsia" w:hAnsi="Calibri" w:cstheme="majorBidi"/>
      <w:b/>
      <w:sz w:val="24"/>
      <w:szCs w:val="24"/>
    </w:rPr>
  </w:style>
  <w:style w:type="paragraph" w:styleId="Nadpisobsahu">
    <w:name w:val="TOC Heading"/>
    <w:basedOn w:val="Nadpis1"/>
    <w:next w:val="Normln"/>
    <w:uiPriority w:val="39"/>
    <w:unhideWhenUsed/>
    <w:qFormat/>
    <w:rsid w:val="00E124A6"/>
    <w:pPr>
      <w:spacing w:after="0" w:line="259" w:lineRule="auto"/>
      <w:jc w:val="left"/>
      <w:outlineLvl w:val="9"/>
    </w:pPr>
    <w:rPr>
      <w:rFonts w:asciiTheme="majorHAnsi" w:hAnsiTheme="majorHAnsi"/>
      <w:b w:val="0"/>
      <w:color w:val="2E74B5" w:themeColor="accent1" w:themeShade="BF"/>
      <w:sz w:val="32"/>
      <w:lang w:eastAsia="cs-CZ"/>
    </w:rPr>
  </w:style>
  <w:style w:type="character" w:customStyle="1" w:styleId="111roveChar">
    <w:name w:val="1.1.1 úroveň Char"/>
    <w:basedOn w:val="11roveChar"/>
    <w:link w:val="111rove"/>
    <w:rsid w:val="006B06D1"/>
    <w:rPr>
      <w:rFonts w:asciiTheme="majorHAnsi" w:eastAsiaTheme="majorEastAsia" w:hAnsiTheme="majorHAnsi" w:cstheme="majorBidi"/>
      <w:b/>
      <w:iCs/>
      <w:sz w:val="24"/>
      <w:szCs w:val="24"/>
    </w:rPr>
  </w:style>
  <w:style w:type="paragraph" w:styleId="Obsah1">
    <w:name w:val="toc 1"/>
    <w:basedOn w:val="Normln"/>
    <w:next w:val="Normln"/>
    <w:autoRedefine/>
    <w:uiPriority w:val="39"/>
    <w:unhideWhenUsed/>
    <w:rsid w:val="00E124A6"/>
    <w:pPr>
      <w:spacing w:after="100"/>
    </w:pPr>
  </w:style>
  <w:style w:type="paragraph" w:styleId="Obsah2">
    <w:name w:val="toc 2"/>
    <w:basedOn w:val="Normln"/>
    <w:next w:val="Normln"/>
    <w:autoRedefine/>
    <w:uiPriority w:val="39"/>
    <w:unhideWhenUsed/>
    <w:rsid w:val="00E124A6"/>
    <w:pPr>
      <w:spacing w:after="100"/>
      <w:ind w:left="240"/>
    </w:pPr>
  </w:style>
  <w:style w:type="paragraph" w:styleId="Obsah3">
    <w:name w:val="toc 3"/>
    <w:basedOn w:val="Normln"/>
    <w:next w:val="Normln"/>
    <w:autoRedefine/>
    <w:uiPriority w:val="39"/>
    <w:unhideWhenUsed/>
    <w:rsid w:val="00E124A6"/>
    <w:pPr>
      <w:spacing w:after="100" w:line="259" w:lineRule="auto"/>
      <w:ind w:left="440"/>
      <w:jc w:val="left"/>
    </w:pPr>
    <w:rPr>
      <w:rFonts w:asciiTheme="minorHAnsi" w:eastAsiaTheme="minorEastAsia" w:hAnsiTheme="minorHAnsi" w:cs="Times New Roman"/>
      <w:sz w:val="22"/>
      <w:lang w:eastAsia="cs-CZ"/>
    </w:rPr>
  </w:style>
  <w:style w:type="paragraph" w:styleId="Obsah4">
    <w:name w:val="toc 4"/>
    <w:basedOn w:val="Normln"/>
    <w:next w:val="Normln"/>
    <w:autoRedefine/>
    <w:uiPriority w:val="39"/>
    <w:unhideWhenUsed/>
    <w:rsid w:val="00E124A6"/>
    <w:pPr>
      <w:spacing w:after="100"/>
      <w:ind w:left="720"/>
    </w:pPr>
  </w:style>
  <w:style w:type="paragraph" w:styleId="Obsah5">
    <w:name w:val="toc 5"/>
    <w:basedOn w:val="Normln"/>
    <w:next w:val="Normln"/>
    <w:autoRedefine/>
    <w:uiPriority w:val="39"/>
    <w:unhideWhenUsed/>
    <w:rsid w:val="00E66E54"/>
    <w:pPr>
      <w:spacing w:after="100"/>
      <w:ind w:left="960"/>
    </w:pPr>
  </w:style>
  <w:style w:type="paragraph" w:customStyle="1" w:styleId="1rove1">
    <w:name w:val="1. úroveň 1"/>
    <w:basedOn w:val="Nadpis2"/>
    <w:link w:val="1rove1Char"/>
    <w:qFormat/>
    <w:rsid w:val="0043025D"/>
    <w:pPr>
      <w:ind w:left="360" w:hanging="360"/>
    </w:pPr>
  </w:style>
  <w:style w:type="paragraph" w:customStyle="1" w:styleId="1rove2">
    <w:name w:val="1. úroveň 2"/>
    <w:basedOn w:val="1rove1"/>
    <w:link w:val="1rove2Char"/>
    <w:qFormat/>
    <w:rsid w:val="00573A75"/>
    <w:pPr>
      <w:numPr>
        <w:numId w:val="7"/>
      </w:numPr>
      <w:ind w:left="357" w:hanging="357"/>
    </w:pPr>
    <w:rPr>
      <w:lang w:eastAsia="cs-CZ"/>
    </w:rPr>
  </w:style>
  <w:style w:type="character" w:customStyle="1" w:styleId="1rove1Char">
    <w:name w:val="1. úroveň 1 Char"/>
    <w:basedOn w:val="Nadpis2Char"/>
    <w:link w:val="1rove1"/>
    <w:rsid w:val="0043025D"/>
    <w:rPr>
      <w:rFonts w:ascii="Calibri" w:eastAsia="Times New Roman" w:hAnsi="Calibri" w:cs="Times New Roman"/>
      <w:b/>
      <w:sz w:val="24"/>
      <w:szCs w:val="24"/>
    </w:rPr>
  </w:style>
  <w:style w:type="character" w:customStyle="1" w:styleId="1rove2Char">
    <w:name w:val="1. úroveň 2 Char"/>
    <w:basedOn w:val="Nadpis2Char"/>
    <w:link w:val="1rove2"/>
    <w:rsid w:val="00573A75"/>
    <w:rPr>
      <w:rFonts w:ascii="Calibri" w:eastAsia="Times New Roman" w:hAnsi="Calibri" w:cs="Times New Roman"/>
      <w:b/>
      <w:sz w:val="24"/>
      <w:szCs w:val="24"/>
      <w:lang w:eastAsia="cs-CZ"/>
    </w:rPr>
  </w:style>
  <w:style w:type="character" w:customStyle="1" w:styleId="Nadpis4Char">
    <w:name w:val="Nadpis 4 Char"/>
    <w:basedOn w:val="Standardnpsmoodstavce"/>
    <w:link w:val="Nadpis4"/>
    <w:uiPriority w:val="9"/>
    <w:semiHidden/>
    <w:rsid w:val="00393FB1"/>
    <w:rPr>
      <w:rFonts w:asciiTheme="majorHAnsi" w:eastAsiaTheme="majorEastAsia" w:hAnsiTheme="majorHAnsi" w:cstheme="majorBidi"/>
      <w:i/>
      <w:iCs/>
      <w:color w:val="2E74B5" w:themeColor="accent1" w:themeShade="BF"/>
      <w:sz w:val="24"/>
    </w:rPr>
  </w:style>
  <w:style w:type="character" w:styleId="Odkaznakoment">
    <w:name w:val="annotation reference"/>
    <w:basedOn w:val="Standardnpsmoodstavce"/>
    <w:uiPriority w:val="99"/>
    <w:semiHidden/>
    <w:unhideWhenUsed/>
    <w:rsid w:val="00E3678C"/>
    <w:rPr>
      <w:sz w:val="16"/>
      <w:szCs w:val="16"/>
    </w:rPr>
  </w:style>
  <w:style w:type="paragraph" w:styleId="Textkomente">
    <w:name w:val="annotation text"/>
    <w:basedOn w:val="Normln"/>
    <w:link w:val="TextkomenteChar"/>
    <w:uiPriority w:val="99"/>
    <w:semiHidden/>
    <w:unhideWhenUsed/>
    <w:rsid w:val="00E3678C"/>
    <w:rPr>
      <w:sz w:val="20"/>
      <w:szCs w:val="20"/>
    </w:rPr>
  </w:style>
  <w:style w:type="character" w:customStyle="1" w:styleId="TextkomenteChar">
    <w:name w:val="Text komentáře Char"/>
    <w:basedOn w:val="Standardnpsmoodstavce"/>
    <w:link w:val="Textkomente"/>
    <w:uiPriority w:val="99"/>
    <w:semiHidden/>
    <w:rsid w:val="00E3678C"/>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2F490C"/>
    <w:rPr>
      <w:b/>
      <w:bCs/>
    </w:rPr>
  </w:style>
  <w:style w:type="character" w:customStyle="1" w:styleId="PedmtkomenteChar">
    <w:name w:val="Předmět komentáře Char"/>
    <w:basedOn w:val="TextkomenteChar"/>
    <w:link w:val="Pedmtkomente"/>
    <w:uiPriority w:val="99"/>
    <w:semiHidden/>
    <w:rsid w:val="002F490C"/>
    <w:rPr>
      <w:rFonts w:ascii="Calibri" w:hAnsi="Calibri"/>
      <w:b/>
      <w:bCs/>
      <w:sz w:val="20"/>
      <w:szCs w:val="20"/>
    </w:rPr>
  </w:style>
  <w:style w:type="character" w:customStyle="1" w:styleId="mainheaderlogotext">
    <w:name w:val="main__header__logo__text"/>
    <w:basedOn w:val="Standardnpsmoodstavce"/>
    <w:rsid w:val="006A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732">
      <w:bodyDiv w:val="1"/>
      <w:marLeft w:val="0"/>
      <w:marRight w:val="0"/>
      <w:marTop w:val="0"/>
      <w:marBottom w:val="0"/>
      <w:divBdr>
        <w:top w:val="none" w:sz="0" w:space="0" w:color="auto"/>
        <w:left w:val="none" w:sz="0" w:space="0" w:color="auto"/>
        <w:bottom w:val="none" w:sz="0" w:space="0" w:color="auto"/>
        <w:right w:val="none" w:sz="0" w:space="0" w:color="auto"/>
      </w:divBdr>
    </w:div>
    <w:div w:id="9167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lnisprava.cz/cz/dane/statistiky/Stranky/mineraly.aspx" TargetMode="External"/><Relationship Id="rId21" Type="http://schemas.openxmlformats.org/officeDocument/2006/relationships/diagramData" Target="diagrams/data1.xml"/><Relationship Id="rId42" Type="http://schemas.openxmlformats.org/officeDocument/2006/relationships/chart" Target="charts/chart7.xml"/><Relationship Id="rId47" Type="http://schemas.openxmlformats.org/officeDocument/2006/relationships/hyperlink" Target="http://www.eru.cz/documents/10540/462820/Rocni_zprava_provoz_ES_2017.pdf/521bff99-fdcf-4c86-8922-3a346af0bb88" TargetMode="External"/><Relationship Id="rId63" Type="http://schemas.openxmlformats.org/officeDocument/2006/relationships/hyperlink" Target="https://www.sydos.cz/cs/rocenka-2017/rocenka/htm_cz/cz17_715000.html" TargetMode="External"/><Relationship Id="rId68" Type="http://schemas.openxmlformats.org/officeDocument/2006/relationships/hyperlink" Target="https://www.sfzp.cz/o-sfzp-cr/vyrocni-zpravy/" TargetMode="External"/><Relationship Id="rId84"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footer" Target="footer2.xml"/><Relationship Id="rId32" Type="http://schemas.openxmlformats.org/officeDocument/2006/relationships/hyperlink" Target="https://ec.europa.eu/energy/observatory/reports/2019_08_19_with_taxes_1964.pdf" TargetMode="External"/><Relationship Id="rId37" Type="http://schemas.openxmlformats.org/officeDocument/2006/relationships/diagramData" Target="diagrams/data2.xml"/><Relationship Id="rId53" Type="http://schemas.openxmlformats.org/officeDocument/2006/relationships/hyperlink" Target="https://www.ote-cr.cz/cs/statistika/statistika-poze/poskytnuta-podpora-2013-2018" TargetMode="External"/><Relationship Id="rId58" Type="http://schemas.openxmlformats.org/officeDocument/2006/relationships/hyperlink" Target="https://www.celnisprava.cz/cz/dane/statistiky/Stranky/mineraly.aspx" TargetMode="External"/><Relationship Id="rId74" Type="http://schemas.openxmlformats.org/officeDocument/2006/relationships/hyperlink" Target="https://www.czso.cz/csu/czso/hmu_cr" TargetMode="External"/><Relationship Id="rId79" Type="http://schemas.openxmlformats.org/officeDocument/2006/relationships/hyperlink" Target="https://www.celnisprava.cz/cz/dane/statistiky/Stranky/mineraly.aspx?Paged=TRUE&amp;p_SortBehavior=0&amp;p_FileLeafRef=Vymer%5fSPD%5fMO%5f2016%5fSK%5f01%2epdf&amp;p_Modified=20170329%2011%3a32%3a59&amp;p_ID=41&amp;PageFirstRow=16&amp;&amp;View=%7b460D060C-4790-45DF-85E4-B9E846D4F2BC%7d" TargetMode="External"/><Relationship Id="rId5" Type="http://schemas.openxmlformats.org/officeDocument/2006/relationships/webSettings" Target="webSettings.xml"/><Relationship Id="rId61" Type="http://schemas.openxmlformats.org/officeDocument/2006/relationships/hyperlink" Target="https://www.celnisprava.cz/cz/dane/statistiky/Stranky/mineraly.aspx" TargetMode="External"/><Relationship Id="rId82" Type="http://schemas.openxmlformats.org/officeDocument/2006/relationships/header" Target="header2.xml"/><Relationship Id="rId19" Type="http://schemas.openxmlformats.org/officeDocument/2006/relationships/image" Target="media/image7.png"/><Relationship Id="rId14" Type="http://schemas.openxmlformats.org/officeDocument/2006/relationships/chart" Target="charts/chart2.xml"/><Relationship Id="rId22" Type="http://schemas.openxmlformats.org/officeDocument/2006/relationships/diagramLayout" Target="diagrams/layout1.xml"/><Relationship Id="rId27" Type="http://schemas.openxmlformats.org/officeDocument/2006/relationships/chart" Target="charts/chart5.xml"/><Relationship Id="rId30" Type="http://schemas.openxmlformats.org/officeDocument/2006/relationships/hyperlink" Target="https://www.celnisprava.cz/cz/dane/statistiky/Stranky/ekodane.aspx" TargetMode="External"/><Relationship Id="rId35" Type="http://schemas.openxmlformats.org/officeDocument/2006/relationships/chart" Target="charts/chart6.xml"/><Relationship Id="rId43" Type="http://schemas.openxmlformats.org/officeDocument/2006/relationships/chart" Target="charts/chart8.xml"/><Relationship Id="rId48" Type="http://schemas.openxmlformats.org/officeDocument/2006/relationships/chart" Target="charts/chart10.xml"/><Relationship Id="rId56" Type="http://schemas.openxmlformats.org/officeDocument/2006/relationships/hyperlink" Target="https://ec.europa.eu/eurostat/web/energy/data/database" TargetMode="External"/><Relationship Id="rId64" Type="http://schemas.openxmlformats.org/officeDocument/2006/relationships/hyperlink" Target="http://www.cng4you.cz/cng-info/statistiky.html" TargetMode="External"/><Relationship Id="rId69" Type="http://schemas.openxmlformats.org/officeDocument/2006/relationships/hyperlink" Target="https://www.celnisprava.cz/cz/dane/statistiky/Stranky/komentary.aspx" TargetMode="External"/><Relationship Id="rId77" Type="http://schemas.openxmlformats.org/officeDocument/2006/relationships/hyperlink" Target="https://www.celnisprava.cz/cz/dane/statistiky/Stranky/ekodane.aspx" TargetMode="External"/><Relationship Id="rId8" Type="http://schemas.openxmlformats.org/officeDocument/2006/relationships/image" Target="media/image2.png"/><Relationship Id="rId51" Type="http://schemas.openxmlformats.org/officeDocument/2006/relationships/hyperlink" Target="http://www.eru.cz/documents/10540/462820/Rocni_zprava_provoz_ES_2017.pdf/521bff99-fdcf-4c86-8922-3a346af0bb88" TargetMode="External"/><Relationship Id="rId72" Type="http://schemas.openxmlformats.org/officeDocument/2006/relationships/hyperlink" Target="https://www.financnisprava.cz/cs/dane/analyzy-a-statistiky/udaje-z-vyberu-dani" TargetMode="External"/><Relationship Id="rId80" Type="http://schemas.openxmlformats.org/officeDocument/2006/relationships/hyperlink" Target="http://www.cng4you.cz/cng-info/statistiky.html"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microsoft.com/office/2007/relationships/diagramDrawing" Target="diagrams/drawing1.xml"/><Relationship Id="rId33" Type="http://schemas.openxmlformats.org/officeDocument/2006/relationships/hyperlink" Target="https://www.czso.cz/" TargetMode="External"/><Relationship Id="rId38" Type="http://schemas.openxmlformats.org/officeDocument/2006/relationships/diagramLayout" Target="diagrams/layout2.xml"/><Relationship Id="rId46" Type="http://schemas.openxmlformats.org/officeDocument/2006/relationships/hyperlink" Target="http://www.eru.cz/documents/10540/462820/Rocni_zprava_provoz_ES_2017.pdf/521bff99-fdcf-4c86-8922-3a346af0bb88" TargetMode="External"/><Relationship Id="rId59" Type="http://schemas.openxmlformats.org/officeDocument/2006/relationships/hyperlink" Target="https://www.celnisprava.cz/cz/dane/statistiky/Stranky/ekodane.asp" TargetMode="External"/><Relationship Id="rId67" Type="http://schemas.openxmlformats.org/officeDocument/2006/relationships/hyperlink" Target="https://www.czso.cz/csu/czso/obyvatelstvo_hu" TargetMode="External"/><Relationship Id="rId20" Type="http://schemas.openxmlformats.org/officeDocument/2006/relationships/chart" Target="charts/chart4.xml"/><Relationship Id="rId41" Type="http://schemas.microsoft.com/office/2007/relationships/diagramDrawing" Target="diagrams/drawing2.xml"/><Relationship Id="rId54" Type="http://schemas.openxmlformats.org/officeDocument/2006/relationships/hyperlink" Target="https://ec.europa.eu/eurostat/web/energy/data/database" TargetMode="External"/><Relationship Id="rId62" Type="http://schemas.openxmlformats.org/officeDocument/2006/relationships/hyperlink" Target="https://www.sydos.cz/cs/rocenka-2017/rocenka/htm_cz/obsah4.html" TargetMode="External"/><Relationship Id="rId70" Type="http://schemas.openxmlformats.org/officeDocument/2006/relationships/hyperlink" Target="http://monitor.statnipokladna.cz/analyza/?query=4" TargetMode="External"/><Relationship Id="rId75" Type="http://schemas.openxmlformats.org/officeDocument/2006/relationships/hyperlink" Target="https://www.celnisprava.cz/cz/dane/statistiky/Stranky/mineraly.aspx?Paged=TRUE&amp;p_SortBehavior=0&amp;p_FileLeafRef=Vymer_SPD_MO_2018_SK_01%2epdf&amp;p_Modified=20181126%2010%3a19%3a24&amp;p_ID=52&amp;PageFirstRow=6&amp;&amp;View=%7b460D060C-4790-45DF-85E4-B9E846D4F2BC%7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diagramQuickStyle" Target="diagrams/quickStyle1.xml"/><Relationship Id="rId28" Type="http://schemas.openxmlformats.org/officeDocument/2006/relationships/hyperlink" Target="https://www.tolls.eu/cs/europe" TargetMode="External"/><Relationship Id="rId36" Type="http://schemas.openxmlformats.org/officeDocument/2006/relationships/hyperlink" Target="http://www.vyrocenky.cz/silnicni" TargetMode="External"/><Relationship Id="rId49" Type="http://schemas.openxmlformats.org/officeDocument/2006/relationships/hyperlink" Target="http://www.eru.cz/documents/10540/462820/Rocni_zprava_provoz_ES_2017.pdf/521bff99-fdcf-4c86-8922-3a346af0bb88" TargetMode="External"/><Relationship Id="rId57" Type="http://schemas.openxmlformats.org/officeDocument/2006/relationships/hyperlink" Target="https://www.novazelenausporam.cz/nabidka-dotaci/rodinne-domy-zdroje-energie/" TargetMode="External"/><Relationship Id="rId10" Type="http://schemas.openxmlformats.org/officeDocument/2006/relationships/footer" Target="footer1.xml"/><Relationship Id="rId31" Type="http://schemas.openxmlformats.org/officeDocument/2006/relationships/hyperlink" Target="http://www.cng4you.cz/cng-info/statistiky.html" TargetMode="External"/><Relationship Id="rId44" Type="http://schemas.openxmlformats.org/officeDocument/2006/relationships/chart" Target="charts/chart9.xml"/><Relationship Id="rId52" Type="http://schemas.openxmlformats.org/officeDocument/2006/relationships/hyperlink" Target="https://www.ote-cr.cz/cs/statistika/statistika-poze/poskytnuta-podpora-2013-2018" TargetMode="External"/><Relationship Id="rId60" Type="http://schemas.openxmlformats.org/officeDocument/2006/relationships/hyperlink" Target="https://www.celnisprava.cz/cz/dane/statistiky/Stranky/mineraly.aspx" TargetMode="External"/><Relationship Id="rId65" Type="http://schemas.openxmlformats.org/officeDocument/2006/relationships/hyperlink" Target="https://www.sydos.cz/cs/rocenka-2017/rocenka/htm_cz/cz17_715000.html" TargetMode="External"/><Relationship Id="rId73" Type="http://schemas.openxmlformats.org/officeDocument/2006/relationships/hyperlink" Target="https://monitor.statnipokladna.cz/2015/statni-rozpocet/" TargetMode="External"/><Relationship Id="rId78" Type="http://schemas.openxmlformats.org/officeDocument/2006/relationships/hyperlink" Target="https://www.celnisprava.cz/cz/dane/statistiky/Stranky/mineraly.aspx?Paged=TRUE&amp;p_SortBehavior=0&amp;p_FileLeafRef=Vymer_SPD_MO_2018_SK_01%2epdf&amp;p_Modified=20181126%2010%3a19%3a24&amp;p_ID=52&amp;PageFirstRow=6&amp;&amp;View=%7b460D060C-4790-45DF-85E4-B9E846D4F2BC%7d" TargetMode="External"/><Relationship Id="rId8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6.png"/><Relationship Id="rId39" Type="http://schemas.openxmlformats.org/officeDocument/2006/relationships/diagramQuickStyle" Target="diagrams/quickStyle2.xml"/><Relationship Id="rId34" Type="http://schemas.openxmlformats.org/officeDocument/2006/relationships/hyperlink" Target="http://www.vyrocenky.cz/silnicni" TargetMode="External"/><Relationship Id="rId50" Type="http://schemas.openxmlformats.org/officeDocument/2006/relationships/chart" Target="charts/chart11.xml"/><Relationship Id="rId55" Type="http://schemas.openxmlformats.org/officeDocument/2006/relationships/hyperlink" Target="https://ec.europa.eu/eurostat/web/energy/data/database" TargetMode="External"/><Relationship Id="rId76" Type="http://schemas.openxmlformats.org/officeDocument/2006/relationships/hyperlink" Target="https://www.celnisprava.cz/cz/dane/statistiky/Stranky/ekodane.aspx" TargetMode="External"/><Relationship Id="rId7" Type="http://schemas.openxmlformats.org/officeDocument/2006/relationships/endnotes" Target="endnotes.xml"/><Relationship Id="rId71" Type="http://schemas.openxmlformats.org/officeDocument/2006/relationships/hyperlink" Target="http://www.vyrocenky.cz/" TargetMode="External"/><Relationship Id="rId2" Type="http://schemas.openxmlformats.org/officeDocument/2006/relationships/numbering" Target="numbering.xml"/><Relationship Id="rId29" Type="http://schemas.openxmlformats.org/officeDocument/2006/relationships/hyperlink" Target="https://www.celnisprava.cz/cz/dane/statistiky/Stranky/mineraly.aspx" TargetMode="External"/><Relationship Id="rId24" Type="http://schemas.openxmlformats.org/officeDocument/2006/relationships/diagramColors" Target="diagrams/colors1.xml"/><Relationship Id="rId40" Type="http://schemas.openxmlformats.org/officeDocument/2006/relationships/diagramColors" Target="diagrams/colors2.xml"/><Relationship Id="rId45" Type="http://schemas.openxmlformats.org/officeDocument/2006/relationships/hyperlink" Target="https://vytapeni.tzb-info.cz/tabulky-a-vypocty/138-porovnani-nakladu-na-vytapeni-teplou-vodu-a-elektrickou-energii-tzb-info" TargetMode="External"/><Relationship Id="rId66" Type="http://schemas.openxmlformats.org/officeDocument/2006/relationships/hyperlink" Target="http://www.cng4you.cz/cng-info/statistiky.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heicct.org/sites/default/files/publications/EU_vehicle_taxation_Report_20181214_0.pdf" TargetMode="External"/><Relationship Id="rId13" Type="http://schemas.openxmlformats.org/officeDocument/2006/relationships/hyperlink" Target="https://theicct.org/sites/default/files/publications/EU_vehicle_taxation_Report_20181214_0.pdf" TargetMode="External"/><Relationship Id="rId3" Type="http://schemas.openxmlformats.org/officeDocument/2006/relationships/hyperlink" Target="https://dashboards.sdgindex.org/" TargetMode="External"/><Relationship Id="rId7" Type="http://schemas.openxmlformats.org/officeDocument/2006/relationships/hyperlink" Target="https://www.acea.be/statistics/tag/category/report-vehicles-in-use" TargetMode="External"/><Relationship Id="rId12" Type="http://schemas.openxmlformats.org/officeDocument/2006/relationships/hyperlink" Target="https://www.eafo.eu/" TargetMode="External"/><Relationship Id="rId2" Type="http://schemas.openxmlformats.org/officeDocument/2006/relationships/hyperlink" Target="http://scitani2010.rsd.cz/pages/informations/default.aspx" TargetMode="External"/><Relationship Id="rId16" Type="http://schemas.openxmlformats.org/officeDocument/2006/relationships/hyperlink" Target="https://ec.europa.eu/transport/sites/transport/files/handbook_on_external_costs_of_transport_2014_0.pdf" TargetMode="External"/><Relationship Id="rId1" Type="http://schemas.openxmlformats.org/officeDocument/2006/relationships/hyperlink" Target="http://scitani2016.rsd.cz/pages/informations/default.aspx" TargetMode="External"/><Relationship Id="rId6" Type="http://schemas.openxmlformats.org/officeDocument/2006/relationships/hyperlink" Target="https://www.theicct.org/sites/default/files/publications/EU_vehicle_taxation_Report_20181214_0.pdf" TargetMode="External"/><Relationship Id="rId11" Type="http://schemas.openxmlformats.org/officeDocument/2006/relationships/hyperlink" Target="https://www.eafo.eu/" TargetMode="External"/><Relationship Id="rId5" Type="http://schemas.openxmlformats.org/officeDocument/2006/relationships/hyperlink" Target="http://www.europarl.europa.eu/doceo/document/TA-8-2019-0304_CS.html" TargetMode="External"/><Relationship Id="rId15" Type="http://schemas.openxmlformats.org/officeDocument/2006/relationships/hyperlink" Target="http://www.roedl.net/pl/en/hot_news/corporate_income_tax_cit_in_poland/cost_accounting_cars.html" TargetMode="External"/><Relationship Id="rId10" Type="http://schemas.openxmlformats.org/officeDocument/2006/relationships/hyperlink" Target="https://www.acea.be/uploads/news_documents/ACEA_Tax_Guide_2018.pdf" TargetMode="External"/><Relationship Id="rId4" Type="http://schemas.openxmlformats.org/officeDocument/2006/relationships/hyperlink" Target="http://data.consilium.europa.eu/doc/document/ST-169-2014-INIT/cs/pdf" TargetMode="External"/><Relationship Id="rId9" Type="http://schemas.openxmlformats.org/officeDocument/2006/relationships/hyperlink" Target="https://www.fahrzeugindustrie.at/fileadmin/content/Zahlen___Fakten/Steuern/Austria_2017NEW.pdf" TargetMode="External"/><Relationship Id="rId14" Type="http://schemas.openxmlformats.org/officeDocument/2006/relationships/hyperlink" Target="https://www.fahrzeugindustrie.at/fileadmin/content/Zahlen___Fakten/Steuern/Austria_2017NEW.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1\GURAJOVA\00%20NK&#218;\18_22_ENVIRONMENT\Z&#193;V&#282;R\mapk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1\GURAJOVA\00%20NK&#218;\18_22_ENVIRONMENT\SETK&#193;N&#205;%20SE%20SLOVENSKEM\Materi&#225;ly%20ke%20spole&#269;n&#233;%20zpr&#225;v&#283;\SROVN&#193;N&#205;%20SE%20SLOVENSKEM.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1\GURAJOVA\00%20NK&#218;\18_22_ENVIRONMENT\SETK&#193;N&#205;%20SE%20SLOVENSKEM\Materi&#225;ly%20ke%20spole&#269;n&#233;%20zpr&#225;v&#283;\SROVN&#193;N&#205;%20SE%20SLOVENSKEM.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1\GURAJOVA\00%20NK&#218;\18_22_ENVIRONMENT\SETK&#193;N&#205;%20SE%20SLOVENSKEM\Materi&#225;ly%20ke%20spole&#269;n&#233;%20zpr&#225;v&#283;\SROVN&#193;N&#205;%20SE%20SLOVENSKEM.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f1\GURAJOVA\00%20NK&#218;\18_22_ENVIRONMENT\Z&#193;V&#282;R\map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GURAJOVA\00%20NK&#218;\18_22_ENVIRONMENT\Z&#193;V&#282;R\mapk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GURAJOVA\00%20NK&#218;\18_22_ENVIRONMENT\Z&#193;V&#282;R\mapk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1\GURAJOVA\18_22_ENVIRONMENT\MF\P&#345;&#237;loha_VYPLAT&#205;%20SE%20ELEKTROMOBIL%20+%20podnikat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ALIZA\AppData\Local\Microsoft\Windows\INetCache\Content.Outlook\JVKR4Q0R\Data%20pro%20z&#225;v&#283;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1\BUCEKJ\Pr&#225;ce_terminovana\Kontrola_environment\Kontrolni_zaver_Misa_1.1.2\Vytapeni_data_graf.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UCEKJ\AppData\Local\Microsoft\Windows\INetCache\Content.Outlook\Z1YRZCGH\Vytapeni_data_graf.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7325150253658"/>
          <c:y val="0.1739134764893131"/>
          <c:w val="0.6387554044467052"/>
          <c:h val="0.6521730470213738"/>
        </c:manualLayout>
      </c:layout>
      <c:barChart>
        <c:barDir val="col"/>
        <c:grouping val="stacked"/>
        <c:varyColors val="0"/>
        <c:ser>
          <c:idx val="0"/>
          <c:order val="0"/>
          <c:spPr>
            <a:solidFill>
              <a:schemeClr val="accent1"/>
            </a:solidFill>
            <a:ln>
              <a:noFill/>
            </a:ln>
            <a:effectLst/>
            <a:scene3d>
              <a:camera prst="orthographicFront"/>
              <a:lightRig rig="threePt" dir="t"/>
            </a:scene3d>
            <a:sp3d prstMaterial="softEdge">
              <a:bevelT w="50800" h="50800"/>
            </a:sp3d>
          </c:spPr>
          <c:invertIfNegative val="0"/>
          <c:dPt>
            <c:idx val="0"/>
            <c:invertIfNegative val="0"/>
            <c:bubble3D val="0"/>
            <c:spPr>
              <a:solidFill>
                <a:srgbClr val="004595"/>
              </a:solidFill>
              <a:ln>
                <a:noFill/>
              </a:ln>
              <a:effectLst/>
              <a:scene3d>
                <a:camera prst="orthographicFront"/>
                <a:lightRig rig="threePt" dir="t"/>
              </a:scene3d>
              <a:sp3d prstMaterial="softEdge">
                <a:bevelT w="50800" h="50800"/>
              </a:sp3d>
            </c:spPr>
            <c:extLst>
              <c:ext xmlns:c16="http://schemas.microsoft.com/office/drawing/2014/chart" uri="{C3380CC4-5D6E-409C-BE32-E72D297353CC}">
                <c16:uniqueId val="{00000001-24C3-4A2A-BAD2-3C52EBDB4CF7}"/>
              </c:ext>
            </c:extLst>
          </c:dPt>
          <c:dPt>
            <c:idx val="1"/>
            <c:invertIfNegative val="0"/>
            <c:bubble3D val="0"/>
            <c:spPr>
              <a:solidFill>
                <a:srgbClr val="BD2A33"/>
              </a:solidFill>
              <a:ln>
                <a:noFill/>
              </a:ln>
              <a:effectLst/>
              <a:scene3d>
                <a:camera prst="orthographicFront"/>
                <a:lightRig rig="threePt" dir="t"/>
              </a:scene3d>
              <a:sp3d prstMaterial="softEdge">
                <a:bevelT w="50800" h="50800"/>
              </a:sp3d>
            </c:spPr>
            <c:extLst>
              <c:ext xmlns:c16="http://schemas.microsoft.com/office/drawing/2014/chart" uri="{C3380CC4-5D6E-409C-BE32-E72D297353CC}">
                <c16:uniqueId val="{00000003-24C3-4A2A-BAD2-3C52EBDB4CF7}"/>
              </c:ext>
            </c:extLst>
          </c:dPt>
          <c:dLbls>
            <c:dLbl>
              <c:idx val="0"/>
              <c:layout>
                <c:manualLayout>
                  <c:x val="1.0624422744856574E-2"/>
                  <c:y val="-0.107018410926297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a:t>+ </a:t>
                    </a:r>
                    <a:fld id="{75A02307-DE7C-4C67-ADDE-C78AFB24FFFB}" type="VALUE">
                      <a:rPr lang="en-US" sz="700" b="1"/>
                      <a:pPr>
                        <a:defRPr/>
                      </a:pPr>
                      <a:t>[HODNOTA]</a:t>
                    </a:fld>
                    <a:r>
                      <a:rPr lang="en-US" sz="700" b="1"/>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43224028538155723"/>
                      <c:h val="0.16979781469064689"/>
                    </c:manualLayout>
                  </c15:layout>
                  <c15:dlblFieldTable/>
                  <c15:showDataLabelsRange val="0"/>
                </c:ext>
                <c:ext xmlns:c16="http://schemas.microsoft.com/office/drawing/2014/chart" uri="{C3380CC4-5D6E-409C-BE32-E72D297353CC}">
                  <c16:uniqueId val="{00000001-24C3-4A2A-BAD2-3C52EBDB4CF7}"/>
                </c:ext>
              </c:extLst>
            </c:dLbl>
            <c:dLbl>
              <c:idx val="1"/>
              <c:layout>
                <c:manualLayout>
                  <c:x val="9.433101985088314E-3"/>
                  <c:y val="-0.2772787084839151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baseline="0"/>
                      <a:t>+ </a:t>
                    </a:r>
                    <a:fld id="{B4922C54-BB82-4FC0-B32A-9F8D2F2E40B3}" type="VALUE">
                      <a:rPr lang="en-US" sz="700" b="1" baseline="0"/>
                      <a:pPr>
                        <a:defRPr/>
                      </a:pPr>
                      <a:t>[HODNOTA]</a:t>
                    </a:fld>
                    <a:r>
                      <a:rPr lang="en-US" sz="700" b="1" baseline="0"/>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7762837460082815"/>
                      <c:h val="0.11283780505555284"/>
                    </c:manualLayout>
                  </c15:layout>
                  <c15:dlblFieldTable/>
                  <c15:showDataLabelsRange val="0"/>
                </c:ext>
                <c:ext xmlns:c16="http://schemas.microsoft.com/office/drawing/2014/chart" uri="{C3380CC4-5D6E-409C-BE32-E72D297353CC}">
                  <c16:uniqueId val="{00000003-24C3-4A2A-BAD2-3C52EBDB4CF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List1!$G$2:$H$2</c:f>
              <c:strCache>
                <c:ptCount val="2"/>
                <c:pt idx="0">
                  <c:v>+ 12,21 %</c:v>
                </c:pt>
                <c:pt idx="1">
                  <c:v>+ 61,74 %</c:v>
                </c:pt>
              </c:strCache>
            </c:strRef>
          </c:cat>
          <c:val>
            <c:numRef>
              <c:f>List1!$B$2:$C$2</c:f>
              <c:numCache>
                <c:formatCode>General</c:formatCode>
                <c:ptCount val="2"/>
                <c:pt idx="0">
                  <c:v>12.21</c:v>
                </c:pt>
                <c:pt idx="1">
                  <c:v>61.74</c:v>
                </c:pt>
              </c:numCache>
            </c:numRef>
          </c:val>
          <c:extLst>
            <c:ext xmlns:c16="http://schemas.microsoft.com/office/drawing/2014/chart" uri="{C3380CC4-5D6E-409C-BE32-E72D297353CC}">
              <c16:uniqueId val="{00000004-24C3-4A2A-BAD2-3C52EBDB4CF7}"/>
            </c:ext>
          </c:extLst>
        </c:ser>
        <c:dLbls>
          <c:showLegendKey val="0"/>
          <c:showVal val="0"/>
          <c:showCatName val="0"/>
          <c:showSerName val="0"/>
          <c:showPercent val="0"/>
          <c:showBubbleSize val="0"/>
        </c:dLbls>
        <c:gapWidth val="50"/>
        <c:overlap val="100"/>
        <c:axId val="2028306687"/>
        <c:axId val="2028303775"/>
      </c:barChart>
      <c:catAx>
        <c:axId val="2028306687"/>
        <c:scaling>
          <c:orientation val="minMax"/>
        </c:scaling>
        <c:delete val="1"/>
        <c:axPos val="b"/>
        <c:numFmt formatCode="General" sourceLinked="1"/>
        <c:majorTickMark val="none"/>
        <c:minorTickMark val="none"/>
        <c:tickLblPos val="nextTo"/>
        <c:crossAx val="2028303775"/>
        <c:crosses val="autoZero"/>
        <c:auto val="1"/>
        <c:lblAlgn val="ctr"/>
        <c:lblOffset val="0"/>
        <c:noMultiLvlLbl val="0"/>
      </c:catAx>
      <c:valAx>
        <c:axId val="2028303775"/>
        <c:scaling>
          <c:orientation val="minMax"/>
        </c:scaling>
        <c:delete val="1"/>
        <c:axPos val="l"/>
        <c:numFmt formatCode="General" sourceLinked="1"/>
        <c:majorTickMark val="none"/>
        <c:minorTickMark val="none"/>
        <c:tickLblPos val="nextTo"/>
        <c:crossAx val="2028306687"/>
        <c:crosses val="autoZero"/>
        <c:crossBetween val="between"/>
      </c:valAx>
      <c:spPr>
        <a:noFill/>
        <a:ln>
          <a:noFill/>
        </a:ln>
        <a:effectLst>
          <a:glow>
            <a:srgbClr val="BD2A33">
              <a:alpha val="40000"/>
            </a:srgbClr>
          </a:glow>
        </a:effectLst>
      </c:spPr>
    </c:plotArea>
    <c:plotVisOnly val="1"/>
    <c:dispBlanksAs val="gap"/>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577601410934742E-2"/>
          <c:y val="0.10601710705372293"/>
          <c:w val="0.94442239858906529"/>
          <c:h val="0.72464657483473838"/>
        </c:manualLayout>
      </c:layout>
      <c:barChart>
        <c:barDir val="col"/>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rgbClr val="808080"/>
              </a:solidFill>
              <a:ln w="19050">
                <a:solidFill>
                  <a:schemeClr val="lt1"/>
                </a:solidFill>
              </a:ln>
              <a:effectLst/>
            </c:spPr>
            <c:extLst>
              <c:ext xmlns:c16="http://schemas.microsoft.com/office/drawing/2014/chart" uri="{C3380CC4-5D6E-409C-BE32-E72D297353CC}">
                <c16:uniqueId val="{00000001-1F15-45B1-8833-EBDE19B21903}"/>
              </c:ext>
            </c:extLst>
          </c:dPt>
          <c:dPt>
            <c:idx val="1"/>
            <c:invertIfNegative val="0"/>
            <c:bubble3D val="0"/>
            <c:spPr>
              <a:solidFill>
                <a:srgbClr val="004595"/>
              </a:solidFill>
              <a:ln w="19050">
                <a:solidFill>
                  <a:schemeClr val="lt1"/>
                </a:solidFill>
              </a:ln>
              <a:effectLst/>
            </c:spPr>
            <c:extLst>
              <c:ext xmlns:c16="http://schemas.microsoft.com/office/drawing/2014/chart" uri="{C3380CC4-5D6E-409C-BE32-E72D297353CC}">
                <c16:uniqueId val="{00000003-1F15-45B1-8833-EBDE19B21903}"/>
              </c:ext>
            </c:extLst>
          </c:dPt>
          <c:dPt>
            <c:idx val="2"/>
            <c:invertIfNegative val="0"/>
            <c:bubble3D val="0"/>
            <c:spPr>
              <a:solidFill>
                <a:srgbClr val="BD2A33"/>
              </a:solidFill>
              <a:ln w="19050">
                <a:solidFill>
                  <a:schemeClr val="lt1"/>
                </a:solidFill>
              </a:ln>
              <a:effectLst/>
            </c:spPr>
            <c:extLst>
              <c:ext xmlns:c16="http://schemas.microsoft.com/office/drawing/2014/chart" uri="{C3380CC4-5D6E-409C-BE32-E72D297353CC}">
                <c16:uniqueId val="{00000005-1F15-45B1-8833-EBDE19B21903}"/>
              </c:ext>
            </c:extLst>
          </c:dPt>
          <c:cat>
            <c:numRef>
              <c:f>'FVE 1-4 - Energetický mix ČR'!$A$9:$A$11</c:f>
              <c:numCache>
                <c:formatCode>General</c:formatCode>
                <c:ptCount val="3"/>
                <c:pt idx="0">
                  <c:v>2015</c:v>
                </c:pt>
                <c:pt idx="1">
                  <c:v>2016</c:v>
                </c:pt>
                <c:pt idx="2">
                  <c:v>2017</c:v>
                </c:pt>
              </c:numCache>
            </c:numRef>
          </c:cat>
          <c:val>
            <c:numRef>
              <c:f>'FVE 1-4 - Energetický mix ČR'!$Q$9:$Q$11</c:f>
              <c:numCache>
                <c:formatCode>#,##0.00</c:formatCode>
                <c:ptCount val="3"/>
                <c:pt idx="0">
                  <c:v>2.698588480157543</c:v>
                </c:pt>
                <c:pt idx="1">
                  <c:v>2.5587651662206987</c:v>
                </c:pt>
                <c:pt idx="2">
                  <c:v>2.5200602957802145</c:v>
                </c:pt>
              </c:numCache>
            </c:numRef>
          </c:val>
          <c:extLst>
            <c:ext xmlns:c16="http://schemas.microsoft.com/office/drawing/2014/chart" uri="{C3380CC4-5D6E-409C-BE32-E72D297353CC}">
              <c16:uniqueId val="{00000006-1F15-45B1-8833-EBDE19B21903}"/>
            </c:ext>
          </c:extLst>
        </c:ser>
        <c:dLbls>
          <c:showLegendKey val="0"/>
          <c:showVal val="0"/>
          <c:showCatName val="0"/>
          <c:showSerName val="0"/>
          <c:showPercent val="0"/>
          <c:showBubbleSize val="0"/>
        </c:dLbls>
        <c:gapWidth val="100"/>
        <c:axId val="738903119"/>
        <c:axId val="738908111"/>
        <c:extLst>
          <c:ext xmlns:c15="http://schemas.microsoft.com/office/drawing/2012/chart" uri="{02D57815-91ED-43cb-92C2-25804820EDAC}">
            <c15:filteredBarSeries>
              <c15:ser>
                <c:idx val="1"/>
                <c:order val="1"/>
                <c:tx>
                  <c:strRef>
                    <c:extLst>
                      <c:ext uri="{02D57815-91ED-43cb-92C2-25804820EDAC}">
                        <c15:formulaRef>
                          <c15:sqref>'FVE 1-4 - Energetický mix ČR'!$A$9:$A$11</c15:sqref>
                        </c15:formulaRef>
                      </c:ext>
                    </c:extLst>
                    <c:strCache>
                      <c:ptCount val="3"/>
                      <c:pt idx="0">
                        <c:v>2015</c:v>
                      </c:pt>
                      <c:pt idx="1">
                        <c:v>2016</c:v>
                      </c:pt>
                      <c:pt idx="2">
                        <c:v>2017</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8-1F15-45B1-8833-EBDE19B21903}"/>
                    </c:ext>
                  </c:extLst>
                </c:dPt>
                <c:cat>
                  <c:numRef>
                    <c:extLst>
                      <c:ext uri="{02D57815-91ED-43cb-92C2-25804820EDAC}">
                        <c15:formulaRef>
                          <c15:sqref>'FVE 1-4 - Energetický mix ČR'!$A$9:$A$11</c15:sqref>
                        </c15:formulaRef>
                      </c:ext>
                    </c:extLst>
                    <c:numCache>
                      <c:formatCode>General</c:formatCode>
                      <c:ptCount val="3"/>
                      <c:pt idx="0">
                        <c:v>2015</c:v>
                      </c:pt>
                      <c:pt idx="1">
                        <c:v>2016</c:v>
                      </c:pt>
                      <c:pt idx="2">
                        <c:v>2017</c:v>
                      </c:pt>
                    </c:numCache>
                  </c:numRef>
                </c:cat>
                <c:val>
                  <c:numRef>
                    <c:extLst>
                      <c:ext uri="{02D57815-91ED-43cb-92C2-25804820EDAC}">
                        <c15:formulaRef>
                          <c15:sqref>'FVE 1-4 - Energetický mix ČR'!$Q$3</c15:sqref>
                        </c15:formulaRef>
                      </c:ext>
                    </c:extLst>
                    <c:numCache>
                      <c:formatCode>General</c:formatCode>
                      <c:ptCount val="1"/>
                      <c:pt idx="0">
                        <c:v>0</c:v>
                      </c:pt>
                    </c:numCache>
                  </c:numRef>
                </c:val>
                <c:extLst>
                  <c:ext xmlns:c16="http://schemas.microsoft.com/office/drawing/2014/chart" uri="{C3380CC4-5D6E-409C-BE32-E72D297353CC}">
                    <c16:uniqueId val="{00000009-1F15-45B1-8833-EBDE19B21903}"/>
                  </c:ext>
                </c:extLst>
              </c15:ser>
            </c15:filteredBarSeries>
          </c:ext>
        </c:extLst>
      </c:barChart>
      <c:catAx>
        <c:axId val="738903119"/>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8908111"/>
        <c:crosses val="autoZero"/>
        <c:auto val="1"/>
        <c:lblAlgn val="ctr"/>
        <c:lblOffset val="100"/>
        <c:noMultiLvlLbl val="0"/>
      </c:catAx>
      <c:valAx>
        <c:axId val="738908111"/>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38903119"/>
        <c:crosses val="autoZero"/>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57232704402517E-2"/>
          <c:y val="5.128205128205128E-2"/>
          <c:w val="0.94968553459119498"/>
          <c:h val="0.71957197657985061"/>
        </c:manualLayout>
      </c:layout>
      <c:lineChart>
        <c:grouping val="standard"/>
        <c:varyColors val="0"/>
        <c:ser>
          <c:idx val="0"/>
          <c:order val="0"/>
          <c:spPr>
            <a:ln w="22225" cap="rnd">
              <a:solidFill>
                <a:srgbClr val="BD2A33"/>
              </a:solidFill>
              <a:round/>
            </a:ln>
            <a:effectLst/>
          </c:spPr>
          <c:marker>
            <c:symbol val="diamond"/>
            <c:size val="6"/>
            <c:spPr>
              <a:solidFill>
                <a:srgbClr val="BD2A33"/>
              </a:solidFill>
              <a:ln w="9525">
                <a:solidFill>
                  <a:srgbClr val="BD2A33"/>
                </a:solidFill>
                <a:round/>
              </a:ln>
              <a:effectLst/>
            </c:spPr>
          </c:marker>
          <c:dLbls>
            <c:dLbl>
              <c:idx val="0"/>
              <c:layout>
                <c:manualLayout>
                  <c:x val="-9.046773238602767E-3"/>
                  <c:y val="-5.3511705685618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E0-447E-8CAC-7AF2AABFAE93}"/>
                </c:ext>
              </c:extLst>
            </c:dLbl>
            <c:dLbl>
              <c:idx val="1"/>
              <c:layout>
                <c:manualLayout>
                  <c:x val="-7.0621669626998229E-2"/>
                  <c:y val="5.3511705685618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E0-447E-8CAC-7AF2AABFAE93}"/>
                </c:ext>
              </c:extLst>
            </c:dLbl>
            <c:dLbl>
              <c:idx val="2"/>
              <c:layout>
                <c:manualLayout>
                  <c:x val="-7.0621669626998312E-2"/>
                  <c:y val="-4.01337792642140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E0-447E-8CAC-7AF2AABFAE9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'FVE 1-4 - Energetický mix ČR'!$A$9:$A$11</c:f>
              <c:numCache>
                <c:formatCode>General</c:formatCode>
                <c:ptCount val="3"/>
                <c:pt idx="0">
                  <c:v>2015</c:v>
                </c:pt>
                <c:pt idx="1">
                  <c:v>2016</c:v>
                </c:pt>
                <c:pt idx="2">
                  <c:v>2017</c:v>
                </c:pt>
              </c:numCache>
            </c:numRef>
          </c:cat>
          <c:val>
            <c:numRef>
              <c:f>'FVE 1-4 - Energetický mix ČR'!$I$9:$I$11</c:f>
              <c:numCache>
                <c:formatCode>#,##0.00</c:formatCode>
                <c:ptCount val="3"/>
                <c:pt idx="0">
                  <c:v>2263.8000000000002</c:v>
                </c:pt>
                <c:pt idx="1">
                  <c:v>2131.5</c:v>
                </c:pt>
                <c:pt idx="2">
                  <c:v>2193.4</c:v>
                </c:pt>
              </c:numCache>
            </c:numRef>
          </c:val>
          <c:smooth val="0"/>
          <c:extLst>
            <c:ext xmlns:c16="http://schemas.microsoft.com/office/drawing/2014/chart" uri="{C3380CC4-5D6E-409C-BE32-E72D297353CC}">
              <c16:uniqueId val="{00000003-A2E0-447E-8CAC-7AF2AABFAE93}"/>
            </c:ext>
          </c:extLst>
        </c:ser>
        <c:dLbls>
          <c:dLblPos val="ctr"/>
          <c:showLegendKey val="0"/>
          <c:showVal val="1"/>
          <c:showCatName val="0"/>
          <c:showSerName val="0"/>
          <c:showPercent val="0"/>
          <c:showBubbleSize val="0"/>
        </c:dLbls>
        <c:marker val="1"/>
        <c:smooth val="0"/>
        <c:axId val="406492000"/>
        <c:axId val="406502400"/>
      </c:lineChart>
      <c:catAx>
        <c:axId val="4064920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406502400"/>
        <c:crosses val="autoZero"/>
        <c:auto val="1"/>
        <c:lblAlgn val="ctr"/>
        <c:lblOffset val="100"/>
        <c:noMultiLvlLbl val="0"/>
      </c:catAx>
      <c:valAx>
        <c:axId val="406502400"/>
        <c:scaling>
          <c:orientation val="minMax"/>
        </c:scaling>
        <c:delete val="1"/>
        <c:axPos val="l"/>
        <c:numFmt formatCode="#,##0.00" sourceLinked="1"/>
        <c:majorTickMark val="none"/>
        <c:minorTickMark val="none"/>
        <c:tickLblPos val="nextTo"/>
        <c:crossAx val="406492000"/>
        <c:crosses val="autoZero"/>
        <c:crossBetween val="between"/>
      </c:valAx>
      <c:spPr>
        <a:noFill/>
        <a:ln>
          <a:noFill/>
        </a:ln>
        <a:effectLst/>
      </c:spPr>
    </c:plotArea>
    <c:plotVisOnly val="1"/>
    <c:dispBlanksAs val="gap"/>
    <c:showDLblsOverMax val="0"/>
  </c:chart>
  <c:spPr>
    <a:solidFill>
      <a:schemeClr val="lt1"/>
    </a:solidFill>
    <a:ln w="9525">
      <a:no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4595"/>
              </a:solidFill>
              <a:round/>
            </a:ln>
            <a:effectLst/>
          </c:spPr>
          <c:marker>
            <c:symbol val="none"/>
          </c:marker>
          <c:dLbls>
            <c:dLbl>
              <c:idx val="0"/>
              <c:layout>
                <c:manualLayout>
                  <c:x val="-0.05"/>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32-4244-96DF-70E5F4BC0D9D}"/>
                </c:ext>
              </c:extLst>
            </c:dLbl>
            <c:dLbl>
              <c:idx val="1"/>
              <c:layout>
                <c:manualLayout>
                  <c:x val="-6.6666666666666666E-2"/>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32-4244-96DF-70E5F4BC0D9D}"/>
                </c:ext>
              </c:extLst>
            </c:dLbl>
            <c:dLbl>
              <c:idx val="2"/>
              <c:layout>
                <c:manualLayout>
                  <c:x val="0"/>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32-4244-96DF-70E5F4BC0D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ATD_1!$B$3:$E$3</c:f>
              <c:numCache>
                <c:formatCode>General</c:formatCode>
                <c:ptCount val="4"/>
                <c:pt idx="0">
                  <c:v>2015</c:v>
                </c:pt>
                <c:pt idx="1">
                  <c:v>2016</c:v>
                </c:pt>
                <c:pt idx="2">
                  <c:v>2017</c:v>
                </c:pt>
                <c:pt idx="3">
                  <c:v>2018</c:v>
                </c:pt>
              </c:numCache>
            </c:numRef>
          </c:cat>
          <c:val>
            <c:numRef>
              <c:f>ATD_1!$B$4:$E$4</c:f>
              <c:numCache>
                <c:formatCode>#,##0.00</c:formatCode>
                <c:ptCount val="4"/>
                <c:pt idx="0">
                  <c:v>7732711.012364761</c:v>
                </c:pt>
                <c:pt idx="1">
                  <c:v>5621232.3802163834</c:v>
                </c:pt>
                <c:pt idx="2">
                  <c:v>5014605.9505409589</c:v>
                </c:pt>
                <c:pt idx="3">
                  <c:v>6153061.7078825347</c:v>
                </c:pt>
              </c:numCache>
            </c:numRef>
          </c:val>
          <c:smooth val="0"/>
          <c:extLst>
            <c:ext xmlns:c16="http://schemas.microsoft.com/office/drawing/2014/chart" uri="{C3380CC4-5D6E-409C-BE32-E72D297353CC}">
              <c16:uniqueId val="{00000003-F632-4244-96DF-70E5F4BC0D9D}"/>
            </c:ext>
          </c:extLst>
        </c:ser>
        <c:dLbls>
          <c:showLegendKey val="0"/>
          <c:showVal val="0"/>
          <c:showCatName val="0"/>
          <c:showSerName val="0"/>
          <c:showPercent val="0"/>
          <c:showBubbleSize val="0"/>
        </c:dLbls>
        <c:smooth val="0"/>
        <c:axId val="1715093311"/>
        <c:axId val="1715093727"/>
      </c:lineChart>
      <c:catAx>
        <c:axId val="1715093311"/>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15093727"/>
        <c:crosses val="autoZero"/>
        <c:auto val="1"/>
        <c:lblAlgn val="ctr"/>
        <c:lblOffset val="100"/>
        <c:noMultiLvlLbl val="0"/>
      </c:catAx>
      <c:valAx>
        <c:axId val="1715093727"/>
        <c:scaling>
          <c:orientation val="minMax"/>
        </c:scaling>
        <c:delete val="1"/>
        <c:axPos val="l"/>
        <c:numFmt formatCode="#,##0.00" sourceLinked="1"/>
        <c:majorTickMark val="none"/>
        <c:minorTickMark val="none"/>
        <c:tickLblPos val="nextTo"/>
        <c:crossAx val="1715093311"/>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1513646858901"/>
          <c:y val="0.16944835282130902"/>
          <c:w val="0.60888269797500261"/>
          <c:h val="0.66110329435738202"/>
        </c:manualLayout>
      </c:layout>
      <c:barChart>
        <c:barDir val="col"/>
        <c:grouping val="stacked"/>
        <c:varyColors val="0"/>
        <c:ser>
          <c:idx val="0"/>
          <c:order val="0"/>
          <c:spPr>
            <a:solidFill>
              <a:schemeClr val="accent1"/>
            </a:solidFill>
            <a:ln>
              <a:noFill/>
            </a:ln>
            <a:effectLst/>
            <a:scene3d>
              <a:camera prst="orthographicFront"/>
              <a:lightRig rig="threePt" dir="t"/>
            </a:scene3d>
            <a:sp3d>
              <a:bevelT w="50800" h="50800"/>
            </a:sp3d>
          </c:spPr>
          <c:invertIfNegative val="0"/>
          <c:dPt>
            <c:idx val="0"/>
            <c:invertIfNegative val="0"/>
            <c:bubble3D val="0"/>
            <c:spPr>
              <a:solidFill>
                <a:srgbClr val="004595"/>
              </a:solidFill>
              <a:ln>
                <a:noFill/>
              </a:ln>
              <a:effectLst/>
              <a:scene3d>
                <a:camera prst="orthographicFront"/>
                <a:lightRig rig="threePt" dir="t"/>
              </a:scene3d>
              <a:sp3d>
                <a:bevelT w="50800" h="50800"/>
              </a:sp3d>
            </c:spPr>
            <c:extLst>
              <c:ext xmlns:c16="http://schemas.microsoft.com/office/drawing/2014/chart" uri="{C3380CC4-5D6E-409C-BE32-E72D297353CC}">
                <c16:uniqueId val="{00000001-772C-42BF-8A8B-658C119BC617}"/>
              </c:ext>
            </c:extLst>
          </c:dPt>
          <c:dPt>
            <c:idx val="1"/>
            <c:invertIfNegative val="0"/>
            <c:bubble3D val="0"/>
            <c:spPr>
              <a:solidFill>
                <a:srgbClr val="BD2A33"/>
              </a:solidFill>
              <a:ln>
                <a:noFill/>
              </a:ln>
              <a:effectLst/>
              <a:scene3d>
                <a:camera prst="orthographicFront"/>
                <a:lightRig rig="threePt" dir="t"/>
              </a:scene3d>
              <a:sp3d>
                <a:bevelT w="50800" h="50800"/>
              </a:sp3d>
            </c:spPr>
            <c:extLst>
              <c:ext xmlns:c16="http://schemas.microsoft.com/office/drawing/2014/chart" uri="{C3380CC4-5D6E-409C-BE32-E72D297353CC}">
                <c16:uniqueId val="{00000003-772C-42BF-8A8B-658C119BC617}"/>
              </c:ext>
            </c:extLst>
          </c:dPt>
          <c:dLbls>
            <c:dLbl>
              <c:idx val="0"/>
              <c:layout>
                <c:manualLayout>
                  <c:x val="1.5043367983499326E-2"/>
                  <c:y val="-0.1694483528213090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a:t>+ </a:t>
                    </a:r>
                    <a:fld id="{9370D7C0-4D75-42B6-B59C-9A6DA2006D21}" type="VALUE">
                      <a:rPr lang="en-US" sz="700" b="1"/>
                      <a:pPr>
                        <a:defRPr/>
                      </a:pPr>
                      <a:t>[HODNOTA]</a:t>
                    </a:fld>
                    <a:r>
                      <a:rPr lang="en-US" sz="700" b="1"/>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5807329915696173"/>
                      <c:h val="0.1690638494008054"/>
                    </c:manualLayout>
                  </c15:layout>
                  <c15:dlblFieldTable/>
                  <c15:showDataLabelsRange val="0"/>
                </c:ext>
                <c:ext xmlns:c16="http://schemas.microsoft.com/office/drawing/2014/chart" uri="{C3380CC4-5D6E-409C-BE32-E72D297353CC}">
                  <c16:uniqueId val="{00000001-772C-42BF-8A8B-658C119BC617}"/>
                </c:ext>
              </c:extLst>
            </c:dLbl>
            <c:dLbl>
              <c:idx val="1"/>
              <c:layout>
                <c:manualLayout>
                  <c:x val="3.9482869172723338E-7"/>
                  <c:y val="-0.369705497064674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a:t>+ </a:t>
                    </a:r>
                    <a:fld id="{FCC165CC-9AF6-47B3-834F-0942B237814F}" type="VALUE">
                      <a:rPr lang="en-US" sz="700" b="1"/>
                      <a:pPr>
                        <a:defRPr/>
                      </a:pPr>
                      <a:t>[HODNOTA]</a:t>
                    </a:fld>
                    <a:r>
                      <a:rPr lang="en-US" sz="700" b="1"/>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4880824907689045"/>
                      <c:h val="0.12285066226772112"/>
                    </c:manualLayout>
                  </c15:layout>
                  <c15:dlblFieldTable/>
                  <c15:showDataLabelsRange val="0"/>
                </c:ext>
                <c:ext xmlns:c16="http://schemas.microsoft.com/office/drawing/2014/chart" uri="{C3380CC4-5D6E-409C-BE32-E72D297353CC}">
                  <c16:uniqueId val="{00000003-772C-42BF-8A8B-658C119BC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List1!$G$3:$H$3</c:f>
              <c:strCache>
                <c:ptCount val="2"/>
                <c:pt idx="0">
                  <c:v>+ 31,36 %</c:v>
                </c:pt>
                <c:pt idx="1">
                  <c:v>+ 89,32 %</c:v>
                </c:pt>
              </c:strCache>
            </c:strRef>
          </c:cat>
          <c:val>
            <c:numRef>
              <c:f>List1!$B$3:$C$3</c:f>
              <c:numCache>
                <c:formatCode>General</c:formatCode>
                <c:ptCount val="2"/>
                <c:pt idx="0">
                  <c:v>31.36</c:v>
                </c:pt>
                <c:pt idx="1">
                  <c:v>89.32</c:v>
                </c:pt>
              </c:numCache>
            </c:numRef>
          </c:val>
          <c:extLst>
            <c:ext xmlns:c16="http://schemas.microsoft.com/office/drawing/2014/chart" uri="{C3380CC4-5D6E-409C-BE32-E72D297353CC}">
              <c16:uniqueId val="{00000004-772C-42BF-8A8B-658C119BC617}"/>
            </c:ext>
          </c:extLst>
        </c:ser>
        <c:dLbls>
          <c:showLegendKey val="0"/>
          <c:showVal val="0"/>
          <c:showCatName val="0"/>
          <c:showSerName val="0"/>
          <c:showPercent val="0"/>
          <c:showBubbleSize val="0"/>
        </c:dLbls>
        <c:gapWidth val="50"/>
        <c:overlap val="100"/>
        <c:axId val="2028306687"/>
        <c:axId val="2028303775"/>
      </c:barChart>
      <c:catAx>
        <c:axId val="2028306687"/>
        <c:scaling>
          <c:orientation val="minMax"/>
        </c:scaling>
        <c:delete val="1"/>
        <c:axPos val="b"/>
        <c:numFmt formatCode="General" sourceLinked="1"/>
        <c:majorTickMark val="none"/>
        <c:minorTickMark val="none"/>
        <c:tickLblPos val="nextTo"/>
        <c:crossAx val="2028303775"/>
        <c:crosses val="autoZero"/>
        <c:auto val="1"/>
        <c:lblAlgn val="ctr"/>
        <c:lblOffset val="0"/>
        <c:noMultiLvlLbl val="0"/>
      </c:catAx>
      <c:valAx>
        <c:axId val="2028303775"/>
        <c:scaling>
          <c:orientation val="minMax"/>
        </c:scaling>
        <c:delete val="1"/>
        <c:axPos val="l"/>
        <c:numFmt formatCode="General" sourceLinked="1"/>
        <c:majorTickMark val="none"/>
        <c:minorTickMark val="none"/>
        <c:tickLblPos val="nextTo"/>
        <c:crossAx val="2028306687"/>
        <c:crosses val="autoZero"/>
        <c:crossBetween val="between"/>
      </c:valAx>
      <c:spPr>
        <a:noFill/>
        <a:ln>
          <a:noFill/>
        </a:ln>
        <a:effectLst>
          <a:glow rad="63500">
            <a:srgbClr val="BD2A33">
              <a:alpha val="40000"/>
            </a:srgbClr>
          </a:glow>
        </a:effectLst>
      </c:spPr>
    </c:plotArea>
    <c:plotVisOnly val="1"/>
    <c:dispBlanksAs val="gap"/>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1513646858901"/>
          <c:y val="0.16944835282130902"/>
          <c:w val="0.59885404920513097"/>
          <c:h val="0.66110329435738202"/>
        </c:manualLayout>
      </c:layout>
      <c:barChart>
        <c:barDir val="col"/>
        <c:grouping val="stacked"/>
        <c:varyColors val="0"/>
        <c:ser>
          <c:idx val="0"/>
          <c:order val="0"/>
          <c:spPr>
            <a:solidFill>
              <a:srgbClr val="004595"/>
            </a:solidFill>
            <a:ln>
              <a:noFill/>
            </a:ln>
            <a:effectLst/>
            <a:scene3d>
              <a:camera prst="orthographicFront"/>
              <a:lightRig rig="threePt" dir="t"/>
            </a:scene3d>
            <a:sp3d>
              <a:bevelT w="50800" h="50800"/>
            </a:sp3d>
          </c:spPr>
          <c:invertIfNegative val="0"/>
          <c:dPt>
            <c:idx val="1"/>
            <c:invertIfNegative val="0"/>
            <c:bubble3D val="0"/>
            <c:spPr>
              <a:solidFill>
                <a:srgbClr val="BD2A33"/>
              </a:solidFill>
              <a:ln>
                <a:noFill/>
              </a:ln>
              <a:effectLst/>
              <a:scene3d>
                <a:camera prst="orthographicFront"/>
                <a:lightRig rig="threePt" dir="t"/>
              </a:scene3d>
              <a:sp3d>
                <a:bevelT w="50800" h="50800"/>
              </a:sp3d>
            </c:spPr>
            <c:extLst>
              <c:ext xmlns:c16="http://schemas.microsoft.com/office/drawing/2014/chart" uri="{C3380CC4-5D6E-409C-BE32-E72D297353CC}">
                <c16:uniqueId val="{00000001-1C51-4018-8A35-05E1012A50DA}"/>
              </c:ext>
            </c:extLst>
          </c:dPt>
          <c:dLbls>
            <c:dLbl>
              <c:idx val="0"/>
              <c:layout>
                <c:manualLayout>
                  <c:x val="5.01471921362758E-3"/>
                  <c:y val="-0.1078307699771967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a:t>+ </a:t>
                    </a:r>
                    <a:fld id="{AD12D2F9-28E3-4F5F-88D4-009E87BB291C}" type="VALUE">
                      <a:rPr lang="en-US" sz="700" b="1"/>
                      <a:pPr>
                        <a:defRPr/>
                      </a:pPr>
                      <a:t>[HODNOTA]</a:t>
                    </a:fld>
                    <a:r>
                      <a:rPr lang="en-US" sz="700" b="1"/>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5807329915696173"/>
                      <c:h val="0.12285066226772112"/>
                    </c:manualLayout>
                  </c15:layout>
                  <c15:dlblFieldTable/>
                  <c15:showDataLabelsRange val="0"/>
                </c:ext>
                <c:ext xmlns:c16="http://schemas.microsoft.com/office/drawing/2014/chart" uri="{C3380CC4-5D6E-409C-BE32-E72D297353CC}">
                  <c16:uniqueId val="{00000002-1C51-4018-8A35-05E1012A50DA}"/>
                </c:ext>
              </c:extLst>
            </c:dLbl>
            <c:dLbl>
              <c:idx val="1"/>
              <c:layout>
                <c:manualLayout>
                  <c:x val="-5.0143243849358182E-3"/>
                  <c:y val="-0.2772791227985056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700" b="1"/>
                      <a:t>+ </a:t>
                    </a:r>
                    <a:fld id="{6CC17E0F-A7D3-4040-A21D-2DC16E312578}" type="VALUE">
                      <a:rPr lang="en-US" sz="700" b="1"/>
                      <a:pPr>
                        <a:defRPr/>
                      </a:pPr>
                      <a:t>[HODNOTA]</a:t>
                    </a:fld>
                    <a:r>
                      <a:rPr lang="en-US" sz="700" b="1"/>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8815924546657699"/>
                      <c:h val="0.13825505797874921"/>
                    </c:manualLayout>
                  </c15:layout>
                  <c15:dlblFieldTable/>
                  <c15:showDataLabelsRange val="0"/>
                </c:ext>
                <c:ext xmlns:c16="http://schemas.microsoft.com/office/drawing/2014/chart" uri="{C3380CC4-5D6E-409C-BE32-E72D297353CC}">
                  <c16:uniqueId val="{00000001-1C51-4018-8A35-05E1012A50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List1!$G$6:$H$6</c:f>
              <c:strCache>
                <c:ptCount val="2"/>
                <c:pt idx="0">
                  <c:v>+ 12,21 %</c:v>
                </c:pt>
                <c:pt idx="1">
                  <c:v>+ 61,74 %</c:v>
                </c:pt>
              </c:strCache>
            </c:strRef>
          </c:cat>
          <c:val>
            <c:numRef>
              <c:f>List1!$B$6:$C$6</c:f>
              <c:numCache>
                <c:formatCode>General</c:formatCode>
                <c:ptCount val="2"/>
                <c:pt idx="0">
                  <c:v>13.51</c:v>
                </c:pt>
                <c:pt idx="1">
                  <c:v>63.53</c:v>
                </c:pt>
              </c:numCache>
            </c:numRef>
          </c:val>
          <c:extLst>
            <c:ext xmlns:c16="http://schemas.microsoft.com/office/drawing/2014/chart" uri="{C3380CC4-5D6E-409C-BE32-E72D297353CC}">
              <c16:uniqueId val="{00000003-1C51-4018-8A35-05E1012A50DA}"/>
            </c:ext>
          </c:extLst>
        </c:ser>
        <c:dLbls>
          <c:showLegendKey val="0"/>
          <c:showVal val="0"/>
          <c:showCatName val="0"/>
          <c:showSerName val="0"/>
          <c:showPercent val="0"/>
          <c:showBubbleSize val="0"/>
        </c:dLbls>
        <c:gapWidth val="50"/>
        <c:overlap val="100"/>
        <c:axId val="2028306687"/>
        <c:axId val="2028303775"/>
      </c:barChart>
      <c:catAx>
        <c:axId val="2028306687"/>
        <c:scaling>
          <c:orientation val="minMax"/>
        </c:scaling>
        <c:delete val="1"/>
        <c:axPos val="b"/>
        <c:numFmt formatCode="General" sourceLinked="1"/>
        <c:majorTickMark val="none"/>
        <c:minorTickMark val="none"/>
        <c:tickLblPos val="nextTo"/>
        <c:crossAx val="2028303775"/>
        <c:crosses val="autoZero"/>
        <c:auto val="1"/>
        <c:lblAlgn val="ctr"/>
        <c:lblOffset val="0"/>
        <c:noMultiLvlLbl val="0"/>
      </c:catAx>
      <c:valAx>
        <c:axId val="2028303775"/>
        <c:scaling>
          <c:orientation val="minMax"/>
        </c:scaling>
        <c:delete val="1"/>
        <c:axPos val="l"/>
        <c:numFmt formatCode="General" sourceLinked="1"/>
        <c:majorTickMark val="none"/>
        <c:minorTickMark val="none"/>
        <c:tickLblPos val="nextTo"/>
        <c:crossAx val="2028306687"/>
        <c:crosses val="autoZero"/>
        <c:crossBetween val="between"/>
      </c:valAx>
      <c:spPr>
        <a:noFill/>
        <a:ln>
          <a:noFill/>
        </a:ln>
        <a:effectLst>
          <a:glow rad="63500">
            <a:srgbClr val="BD2A33">
              <a:alpha val="40000"/>
            </a:srgbClr>
          </a:glow>
        </a:effectLst>
      </c:spPr>
    </c:plotArea>
    <c:plotVisOnly val="1"/>
    <c:dispBlanksAs val="gap"/>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1513646858901"/>
          <c:y val="0.16944835282130902"/>
          <c:w val="0.55873945412564396"/>
          <c:h val="0.66110329435738202"/>
        </c:manualLayout>
      </c:layout>
      <c:barChart>
        <c:barDir val="col"/>
        <c:grouping val="stacked"/>
        <c:varyColors val="0"/>
        <c:ser>
          <c:idx val="0"/>
          <c:order val="0"/>
          <c:spPr>
            <a:solidFill>
              <a:schemeClr val="accent1"/>
            </a:solidFill>
            <a:ln>
              <a:noFill/>
            </a:ln>
            <a:effectLst/>
          </c:spPr>
          <c:invertIfNegative val="0"/>
          <c:dPt>
            <c:idx val="0"/>
            <c:invertIfNegative val="0"/>
            <c:bubble3D val="0"/>
            <c:spPr>
              <a:solidFill>
                <a:srgbClr val="004595"/>
              </a:solidFill>
              <a:ln>
                <a:noFill/>
              </a:ln>
              <a:effectLst/>
              <a:scene3d>
                <a:camera prst="orthographicFront"/>
                <a:lightRig rig="threePt" dir="t"/>
              </a:scene3d>
              <a:sp3d>
                <a:bevelT w="50800" h="50800"/>
              </a:sp3d>
            </c:spPr>
            <c:extLst>
              <c:ext xmlns:c16="http://schemas.microsoft.com/office/drawing/2014/chart" uri="{C3380CC4-5D6E-409C-BE32-E72D297353CC}">
                <c16:uniqueId val="{00000001-E2AB-4B55-8ECC-71A74E75FEE0}"/>
              </c:ext>
            </c:extLst>
          </c:dPt>
          <c:dPt>
            <c:idx val="1"/>
            <c:invertIfNegative val="0"/>
            <c:bubble3D val="0"/>
            <c:spPr>
              <a:solidFill>
                <a:srgbClr val="BD2A33"/>
              </a:solidFill>
              <a:ln>
                <a:noFill/>
              </a:ln>
              <a:effectLst/>
              <a:scene3d>
                <a:camera prst="orthographicFront"/>
                <a:lightRig rig="threePt" dir="t"/>
              </a:scene3d>
              <a:sp3d>
                <a:bevelT w="50800" h="50800"/>
              </a:sp3d>
            </c:spPr>
            <c:extLst>
              <c:ext xmlns:c16="http://schemas.microsoft.com/office/drawing/2014/chart" uri="{C3380CC4-5D6E-409C-BE32-E72D297353CC}">
                <c16:uniqueId val="{00000003-E2AB-4B55-8ECC-71A74E75FEE0}"/>
              </c:ext>
            </c:extLst>
          </c:dPt>
          <c:dLbls>
            <c:dLbl>
              <c:idx val="0"/>
              <c:layout>
                <c:manualLayout>
                  <c:x val="-5.0147192136276025E-3"/>
                  <c:y val="-0.2002565377710931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600" b="1"/>
                      <a:t>DOPRAVA</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layout>
                    <c:manualLayout>
                      <c:w val="0.36223479356776678"/>
                      <c:h val="0.13840910193585948"/>
                    </c:manualLayout>
                  </c15:layout>
                </c:ext>
                <c:ext xmlns:c16="http://schemas.microsoft.com/office/drawing/2014/chart" uri="{C3380CC4-5D6E-409C-BE32-E72D297353CC}">
                  <c16:uniqueId val="{00000001-E2AB-4B55-8ECC-71A74E75FEE0}"/>
                </c:ext>
              </c:extLst>
            </c:dLbl>
            <c:dLbl>
              <c:idx val="1"/>
              <c:layout>
                <c:manualLayout>
                  <c:x val="-4.596410921393351E-17"/>
                  <c:y val="-0.20025653777109312"/>
                </c:manualLayout>
              </c:layout>
              <c:tx>
                <c:rich>
                  <a:bodyPr/>
                  <a:lstStyle/>
                  <a:p>
                    <a:r>
                      <a:rPr lang="en-US" sz="600" b="1"/>
                      <a:t>EMISE</a:t>
                    </a:r>
                  </a:p>
                </c:rich>
              </c:tx>
              <c:showLegendKey val="0"/>
              <c:showVal val="1"/>
              <c:showCatName val="0"/>
              <c:showSerName val="0"/>
              <c:showPercent val="0"/>
              <c:showBubbleSize val="0"/>
              <c:extLst>
                <c:ext xmlns:c15="http://schemas.microsoft.com/office/drawing/2012/chart" uri="{CE6537A1-D6FC-4f65-9D91-7224C49458BB}">
                  <c15:layout>
                    <c:manualLayout>
                      <c:w val="0.27197695463892124"/>
                      <c:h val="0.2154310804909999"/>
                    </c:manualLayout>
                  </c15:layout>
                </c:ext>
                <c:ext xmlns:c16="http://schemas.microsoft.com/office/drawing/2014/chart" uri="{C3380CC4-5D6E-409C-BE32-E72D297353CC}">
                  <c16:uniqueId val="{00000003-E2AB-4B55-8ECC-71A74E75FE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List1!$G$4:$H$4</c:f>
              <c:strCache>
                <c:ptCount val="2"/>
                <c:pt idx="0">
                  <c:v>+ 30,24 %</c:v>
                </c:pt>
                <c:pt idx="1">
                  <c:v>+ 30,24 %</c:v>
                </c:pt>
              </c:strCache>
            </c:strRef>
          </c:cat>
          <c:val>
            <c:numRef>
              <c:f>List1!$K$4:$L$4</c:f>
              <c:numCache>
                <c:formatCode>General</c:formatCode>
                <c:ptCount val="2"/>
                <c:pt idx="0">
                  <c:v>20</c:v>
                </c:pt>
                <c:pt idx="1">
                  <c:v>20</c:v>
                </c:pt>
              </c:numCache>
            </c:numRef>
          </c:val>
          <c:extLst>
            <c:ext xmlns:c16="http://schemas.microsoft.com/office/drawing/2014/chart" uri="{C3380CC4-5D6E-409C-BE32-E72D297353CC}">
              <c16:uniqueId val="{00000004-E2AB-4B55-8ECC-71A74E75FEE0}"/>
            </c:ext>
          </c:extLst>
        </c:ser>
        <c:dLbls>
          <c:showLegendKey val="0"/>
          <c:showVal val="0"/>
          <c:showCatName val="0"/>
          <c:showSerName val="0"/>
          <c:showPercent val="0"/>
          <c:showBubbleSize val="0"/>
        </c:dLbls>
        <c:gapWidth val="86"/>
        <c:overlap val="100"/>
        <c:axId val="2028306687"/>
        <c:axId val="2028303775"/>
      </c:barChart>
      <c:catAx>
        <c:axId val="2028306687"/>
        <c:scaling>
          <c:orientation val="minMax"/>
        </c:scaling>
        <c:delete val="1"/>
        <c:axPos val="b"/>
        <c:numFmt formatCode="General" sourceLinked="1"/>
        <c:majorTickMark val="none"/>
        <c:minorTickMark val="none"/>
        <c:tickLblPos val="nextTo"/>
        <c:crossAx val="2028303775"/>
        <c:crosses val="autoZero"/>
        <c:auto val="1"/>
        <c:lblAlgn val="ctr"/>
        <c:lblOffset val="0"/>
        <c:noMultiLvlLbl val="0"/>
      </c:catAx>
      <c:valAx>
        <c:axId val="2028303775"/>
        <c:scaling>
          <c:orientation val="minMax"/>
        </c:scaling>
        <c:delete val="1"/>
        <c:axPos val="l"/>
        <c:numFmt formatCode="General" sourceLinked="1"/>
        <c:majorTickMark val="none"/>
        <c:minorTickMark val="none"/>
        <c:tickLblPos val="nextTo"/>
        <c:crossAx val="2028306687"/>
        <c:crosses val="autoZero"/>
        <c:crossBetween val="between"/>
      </c:valAx>
      <c:spPr>
        <a:noFill/>
        <a:ln>
          <a:noFill/>
        </a:ln>
        <a:effectLst>
          <a:glow rad="63500">
            <a:srgbClr val="BD2A33">
              <a:alpha val="40000"/>
            </a:srgbClr>
          </a:glow>
        </a:effectLst>
      </c:spPr>
    </c:plotArea>
    <c:plotVisOnly val="1"/>
    <c:dispBlanksAs val="gap"/>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porovnání!$B$1</c:f>
              <c:strCache>
                <c:ptCount val="1"/>
                <c:pt idx="0">
                  <c:v>Nepodnikatel</c:v>
                </c:pt>
              </c:strCache>
            </c:strRef>
          </c:tx>
          <c:spPr>
            <a:solidFill>
              <a:srgbClr val="808080"/>
            </a:solidFill>
            <a:ln>
              <a:noFill/>
            </a:ln>
            <a:effectLst/>
          </c:spPr>
          <c:invertIfNegative val="0"/>
          <c:cat>
            <c:strRef>
              <c:f>porovnání!$A$4:$A$7</c:f>
              <c:strCache>
                <c:ptCount val="4"/>
                <c:pt idx="0">
                  <c:v>Diesel</c:v>
                </c:pt>
                <c:pt idx="1">
                  <c:v>Benzín</c:v>
                </c:pt>
                <c:pt idx="2">
                  <c:v>CNG</c:v>
                </c:pt>
                <c:pt idx="3">
                  <c:v>Elektřina</c:v>
                </c:pt>
              </c:strCache>
            </c:strRef>
          </c:cat>
          <c:val>
            <c:numRef>
              <c:f>porovnání!$C$4:$C$7</c:f>
              <c:numCache>
                <c:formatCode>#\ ##0.0</c:formatCode>
                <c:ptCount val="4"/>
                <c:pt idx="0">
                  <c:v>735640</c:v>
                </c:pt>
                <c:pt idx="1">
                  <c:v>741660</c:v>
                </c:pt>
                <c:pt idx="2">
                  <c:v>724955.2</c:v>
                </c:pt>
                <c:pt idx="3">
                  <c:v>1016462.4</c:v>
                </c:pt>
              </c:numCache>
            </c:numRef>
          </c:val>
          <c:extLst>
            <c:ext xmlns:c16="http://schemas.microsoft.com/office/drawing/2014/chart" uri="{C3380CC4-5D6E-409C-BE32-E72D297353CC}">
              <c16:uniqueId val="{00000004-ADAB-497C-A6A5-E7BC3C07E836}"/>
            </c:ext>
          </c:extLst>
        </c:ser>
        <c:ser>
          <c:idx val="1"/>
          <c:order val="1"/>
          <c:tx>
            <c:strRef>
              <c:f>porovnání!$H$1</c:f>
              <c:strCache>
                <c:ptCount val="1"/>
                <c:pt idx="0">
                  <c:v>Podnikatel</c:v>
                </c:pt>
              </c:strCache>
            </c:strRef>
          </c:tx>
          <c:spPr>
            <a:solidFill>
              <a:srgbClr val="BD2A33"/>
            </a:solidFill>
            <a:ln>
              <a:noFill/>
            </a:ln>
            <a:effectLst/>
          </c:spPr>
          <c:invertIfNegative val="0"/>
          <c:cat>
            <c:strRef>
              <c:f>porovnání!$A$4:$A$7</c:f>
              <c:strCache>
                <c:ptCount val="4"/>
                <c:pt idx="0">
                  <c:v>Diesel</c:v>
                </c:pt>
                <c:pt idx="1">
                  <c:v>Benzín</c:v>
                </c:pt>
                <c:pt idx="2">
                  <c:v>CNG</c:v>
                </c:pt>
                <c:pt idx="3">
                  <c:v>Elektřina</c:v>
                </c:pt>
              </c:strCache>
            </c:strRef>
          </c:cat>
          <c:val>
            <c:numRef>
              <c:f>porovnání!$I$4:$I$7</c:f>
              <c:numCache>
                <c:formatCode>#\ ##0.0</c:formatCode>
                <c:ptCount val="4"/>
                <c:pt idx="0">
                  <c:v>568765.49090909096</c:v>
                </c:pt>
                <c:pt idx="1">
                  <c:v>581125.65289256198</c:v>
                </c:pt>
                <c:pt idx="2">
                  <c:v>531599.82809917349</c:v>
                </c:pt>
                <c:pt idx="3">
                  <c:v>463348.83595041314</c:v>
                </c:pt>
              </c:numCache>
            </c:numRef>
          </c:val>
          <c:extLst>
            <c:ext xmlns:c16="http://schemas.microsoft.com/office/drawing/2014/chart" uri="{C3380CC4-5D6E-409C-BE32-E72D297353CC}">
              <c16:uniqueId val="{00000009-ADAB-497C-A6A5-E7BC3C07E836}"/>
            </c:ext>
          </c:extLst>
        </c:ser>
        <c:dLbls>
          <c:showLegendKey val="0"/>
          <c:showVal val="0"/>
          <c:showCatName val="0"/>
          <c:showSerName val="0"/>
          <c:showPercent val="0"/>
          <c:showBubbleSize val="0"/>
        </c:dLbls>
        <c:gapWidth val="219"/>
        <c:overlap val="-27"/>
        <c:axId val="1040125215"/>
        <c:axId val="1040131039"/>
      </c:barChart>
      <c:catAx>
        <c:axId val="1040125215"/>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040131039"/>
        <c:crossesAt val="0"/>
        <c:auto val="1"/>
        <c:lblAlgn val="ctr"/>
        <c:lblOffset val="100"/>
        <c:noMultiLvlLbl val="0"/>
      </c:catAx>
      <c:valAx>
        <c:axId val="1040131039"/>
        <c:scaling>
          <c:orientation val="minMax"/>
          <c:min val="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baseline="0">
                    <a:solidFill>
                      <a:sysClr val="windowText" lastClr="000000"/>
                    </a:solidFill>
                  </a:rPr>
                  <a:t>Náklady na vozidlo v Kč</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 sourceLinked="0"/>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04012521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08373432487605"/>
          <c:y val="0.14984143219499579"/>
          <c:w val="0.79239774715660538"/>
          <c:h val="0.64960953229110652"/>
        </c:manualLayout>
      </c:layout>
      <c:lineChart>
        <c:grouping val="standard"/>
        <c:varyColors val="0"/>
        <c:ser>
          <c:idx val="0"/>
          <c:order val="0"/>
          <c:tx>
            <c:strRef>
              <c:f>List1!$B$1</c:f>
              <c:strCache>
                <c:ptCount val="1"/>
                <c:pt idx="0">
                  <c:v>Sloupec1</c:v>
                </c:pt>
              </c:strCache>
            </c:strRef>
          </c:tx>
          <c:spPr>
            <a:ln w="28575" cap="rnd">
              <a:solidFill>
                <a:srgbClr val="BD2A33"/>
              </a:solidFill>
              <a:round/>
            </a:ln>
            <a:effectLst/>
          </c:spPr>
          <c:marker>
            <c:symbol val="none"/>
          </c:marker>
          <c:cat>
            <c:numRef>
              <c:f>List1!$A$2:$A$5</c:f>
              <c:numCache>
                <c:formatCode>General</c:formatCode>
                <c:ptCount val="4"/>
                <c:pt idx="0">
                  <c:v>2015</c:v>
                </c:pt>
                <c:pt idx="1">
                  <c:v>2016</c:v>
                </c:pt>
                <c:pt idx="2">
                  <c:v>2017</c:v>
                </c:pt>
                <c:pt idx="3">
                  <c:v>2018</c:v>
                </c:pt>
              </c:numCache>
            </c:numRef>
          </c:cat>
          <c:val>
            <c:numRef>
              <c:f>List1!$B$2:$B$5</c:f>
              <c:numCache>
                <c:formatCode>#,##0</c:formatCode>
                <c:ptCount val="4"/>
                <c:pt idx="0">
                  <c:v>11444</c:v>
                </c:pt>
                <c:pt idx="1">
                  <c:v>11736</c:v>
                </c:pt>
                <c:pt idx="2">
                  <c:v>11672</c:v>
                </c:pt>
                <c:pt idx="3">
                  <c:v>11393</c:v>
                </c:pt>
              </c:numCache>
            </c:numRef>
          </c:val>
          <c:smooth val="0"/>
          <c:extLst>
            <c:ext xmlns:c16="http://schemas.microsoft.com/office/drawing/2014/chart" uri="{C3380CC4-5D6E-409C-BE32-E72D297353CC}">
              <c16:uniqueId val="{00000004-29CD-4980-BC28-B04DA4BDCC21}"/>
            </c:ext>
          </c:extLst>
        </c:ser>
        <c:dLbls>
          <c:showLegendKey val="0"/>
          <c:showVal val="0"/>
          <c:showCatName val="0"/>
          <c:showSerName val="0"/>
          <c:showPercent val="0"/>
          <c:showBubbleSize val="0"/>
        </c:dLbls>
        <c:smooth val="0"/>
        <c:axId val="1231984192"/>
        <c:axId val="1231985024"/>
      </c:lineChart>
      <c:catAx>
        <c:axId val="123198419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231985024"/>
        <c:crosses val="autoZero"/>
        <c:auto val="1"/>
        <c:lblAlgn val="ctr"/>
        <c:lblOffset val="100"/>
        <c:noMultiLvlLbl val="0"/>
      </c:catAx>
      <c:valAx>
        <c:axId val="1231985024"/>
        <c:scaling>
          <c:orientation val="minMax"/>
          <c:min val="0"/>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baseline="0">
                    <a:solidFill>
                      <a:sysClr val="windowText" lastClr="000000"/>
                    </a:solidFill>
                  </a:rPr>
                  <a:t>Náklady v mil. Kč</a:t>
                </a:r>
                <a:endParaRPr lang="cs-CZ">
                  <a:solidFill>
                    <a:sysClr val="windowText" lastClr="000000"/>
                  </a:solidFill>
                </a:endParaRPr>
              </a:p>
            </c:rich>
          </c:tx>
          <c:layout>
            <c:manualLayout>
              <c:xMode val="edge"/>
              <c:yMode val="edge"/>
              <c:x val="5.6921296296296296E-2"/>
              <c:y val="8.292219456935248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231984192"/>
        <c:crosses val="autoZero"/>
        <c:crossBetween val="between"/>
        <c:majorUnit val="5000"/>
        <c:minorUnit val="4000"/>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17314095449501E-2"/>
          <c:y val="8.59375E-2"/>
          <c:w val="0.90677025527192012"/>
          <c:h val="0.73282603346456698"/>
        </c:manualLayout>
      </c:layout>
      <c:lineChart>
        <c:grouping val="standard"/>
        <c:varyColors val="0"/>
        <c:ser>
          <c:idx val="0"/>
          <c:order val="0"/>
          <c:tx>
            <c:strRef>
              <c:f>List5!$R$41</c:f>
              <c:strCache>
                <c:ptCount val="1"/>
                <c:pt idx="0">
                  <c:v>Vozidla nad 10 let</c:v>
                </c:pt>
              </c:strCache>
            </c:strRef>
          </c:tx>
          <c:spPr>
            <a:ln w="28575" cap="rnd">
              <a:solidFill>
                <a:srgbClr val="BD2A33"/>
              </a:solidFill>
              <a:round/>
            </a:ln>
            <a:effectLst/>
          </c:spPr>
          <c:marker>
            <c:symbol val="none"/>
          </c:marker>
          <c:dLbls>
            <c:delete val="1"/>
          </c:dLbls>
          <c:cat>
            <c:numRef>
              <c:f>List5!$Q$42:$Q$52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List5!$R$42:$R$52</c:f>
              <c:numCache>
                <c:formatCode>0.00</c:formatCode>
                <c:ptCount val="11"/>
                <c:pt idx="0">
                  <c:v>28.94</c:v>
                </c:pt>
                <c:pt idx="1">
                  <c:v>20.79</c:v>
                </c:pt>
                <c:pt idx="2">
                  <c:v>27.55</c:v>
                </c:pt>
                <c:pt idx="3">
                  <c:v>33.24</c:v>
                </c:pt>
                <c:pt idx="4">
                  <c:v>33.729999999999997</c:v>
                </c:pt>
                <c:pt idx="5">
                  <c:v>38.01</c:v>
                </c:pt>
                <c:pt idx="6">
                  <c:v>43.97</c:v>
                </c:pt>
                <c:pt idx="7">
                  <c:v>48.41</c:v>
                </c:pt>
                <c:pt idx="8">
                  <c:v>52</c:v>
                </c:pt>
                <c:pt idx="9">
                  <c:v>53.480000000000004</c:v>
                </c:pt>
                <c:pt idx="10">
                  <c:v>51.64</c:v>
                </c:pt>
              </c:numCache>
            </c:numRef>
          </c:val>
          <c:smooth val="0"/>
          <c:extLst>
            <c:ext xmlns:c16="http://schemas.microsoft.com/office/drawing/2014/chart" uri="{C3380CC4-5D6E-409C-BE32-E72D297353CC}">
              <c16:uniqueId val="{00000000-0FF9-410C-9DFD-16FD42C021B9}"/>
            </c:ext>
          </c:extLst>
        </c:ser>
        <c:dLbls>
          <c:dLblPos val="ctr"/>
          <c:showLegendKey val="0"/>
          <c:showVal val="1"/>
          <c:showCatName val="0"/>
          <c:showSerName val="0"/>
          <c:showPercent val="0"/>
          <c:showBubbleSize val="0"/>
        </c:dLbls>
        <c:smooth val="0"/>
        <c:axId val="1152822975"/>
        <c:axId val="1152817983"/>
      </c:lineChart>
      <c:catAx>
        <c:axId val="1152822975"/>
        <c:scaling>
          <c:orientation val="minMax"/>
        </c:scaling>
        <c:delete val="0"/>
        <c:axPos val="b"/>
        <c:numFmt formatCode="General" sourceLinked="1"/>
        <c:majorTickMark val="none"/>
        <c:minorTickMark val="none"/>
        <c:tickLblPos val="low"/>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52817983"/>
        <c:crosses val="autoZero"/>
        <c:auto val="1"/>
        <c:lblAlgn val="ctr"/>
        <c:lblOffset val="100"/>
        <c:tickLblSkip val="1"/>
        <c:noMultiLvlLbl val="1"/>
      </c:catAx>
      <c:valAx>
        <c:axId val="1152817983"/>
        <c:scaling>
          <c:orientation val="minMax"/>
        </c:scaling>
        <c:delete val="0"/>
        <c:axPos val="l"/>
        <c:majorGridlines>
          <c:spPr>
            <a:ln w="9525">
              <a:solidFill>
                <a:schemeClr val="tx1">
                  <a:lumMod val="15000"/>
                  <a:lumOff val="85000"/>
                </a:schemeClr>
              </a:solidFill>
              <a:round/>
            </a:ln>
            <a:effectLst/>
          </c:spPr>
        </c:majorGridlines>
        <c:numFmt formatCode="0.00" sourceLinked="1"/>
        <c:majorTickMark val="none"/>
        <c:minorTickMark val="none"/>
        <c:tickLblPos val="high"/>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52822975"/>
        <c:crossesAt val="2008"/>
        <c:crossBetween val="between"/>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24263253738228E-2"/>
          <c:y val="5.9283142147932053E-2"/>
          <c:w val="0.88791710482443764"/>
          <c:h val="0.75032416705188609"/>
        </c:manualLayout>
      </c:layout>
      <c:barChart>
        <c:barDir val="col"/>
        <c:grouping val="clustered"/>
        <c:varyColors val="0"/>
        <c:ser>
          <c:idx val="0"/>
          <c:order val="0"/>
          <c:tx>
            <c:strRef>
              <c:f>List1!$D$32</c:f>
              <c:strCache>
                <c:ptCount val="1"/>
                <c:pt idx="0">
                  <c:v>Kč/kWh</c:v>
                </c:pt>
              </c:strCache>
            </c:strRef>
          </c:tx>
          <c:spPr>
            <a:solidFill>
              <a:srgbClr val="004595"/>
            </a:solidFill>
            <a:ln>
              <a:noFill/>
            </a:ln>
            <a:effectLst/>
          </c:spPr>
          <c:invertIfNegative val="0"/>
          <c:cat>
            <c:strRef>
              <c:f>List1!$C$33:$C$38</c:f>
              <c:strCache>
                <c:ptCount val="6"/>
                <c:pt idx="0">
                  <c:v>Uhlí</c:v>
                </c:pt>
                <c:pt idx="1">
                  <c:v>Dřevo</c:v>
                </c:pt>
                <c:pt idx="2">
                  <c:v>Pelety</c:v>
                </c:pt>
                <c:pt idx="3">
                  <c:v>Zemní plyn</c:v>
                </c:pt>
                <c:pt idx="4">
                  <c:v>Teplárna</c:v>
                </c:pt>
                <c:pt idx="5">
                  <c:v>Elektřina</c:v>
                </c:pt>
              </c:strCache>
            </c:strRef>
          </c:cat>
          <c:val>
            <c:numRef>
              <c:f>List1!$D$33:$D$38</c:f>
              <c:numCache>
                <c:formatCode>General</c:formatCode>
                <c:ptCount val="6"/>
                <c:pt idx="0">
                  <c:v>0.85</c:v>
                </c:pt>
                <c:pt idx="1">
                  <c:v>1.17</c:v>
                </c:pt>
                <c:pt idx="2">
                  <c:v>1.27</c:v>
                </c:pt>
                <c:pt idx="3">
                  <c:v>1.46</c:v>
                </c:pt>
                <c:pt idx="4">
                  <c:v>2.25</c:v>
                </c:pt>
                <c:pt idx="5">
                  <c:v>4.83</c:v>
                </c:pt>
              </c:numCache>
            </c:numRef>
          </c:val>
          <c:extLst>
            <c:ext xmlns:c16="http://schemas.microsoft.com/office/drawing/2014/chart" uri="{C3380CC4-5D6E-409C-BE32-E72D297353CC}">
              <c16:uniqueId val="{00000000-C0A1-4A30-8686-9F784DE34AD2}"/>
            </c:ext>
          </c:extLst>
        </c:ser>
        <c:dLbls>
          <c:showLegendKey val="0"/>
          <c:showVal val="0"/>
          <c:showCatName val="0"/>
          <c:showSerName val="0"/>
          <c:showPercent val="0"/>
          <c:showBubbleSize val="0"/>
        </c:dLbls>
        <c:gapWidth val="219"/>
        <c:overlap val="-27"/>
        <c:axId val="1457211519"/>
        <c:axId val="1457213183"/>
      </c:barChart>
      <c:catAx>
        <c:axId val="145721151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solidFill>
                  <a:sysClr val="windowText" lastClr="000000"/>
                </a:solidFill>
                <a:effectLst>
                  <a:outerShdw blurRad="38100" dist="19050" dir="2700000" algn="tl" rotWithShape="0">
                    <a:schemeClr val="dk1">
                      <a:alpha val="40000"/>
                    </a:schemeClr>
                  </a:outerShdw>
                </a:effectLst>
                <a:latin typeface="+mn-lt"/>
                <a:ea typeface="+mn-ea"/>
                <a:cs typeface="+mn-cs"/>
              </a:defRPr>
            </a:pPr>
            <a:endParaRPr lang="cs-CZ"/>
          </a:p>
        </c:txPr>
        <c:crossAx val="1457213183"/>
        <c:crosses val="autoZero"/>
        <c:auto val="1"/>
        <c:lblAlgn val="ctr"/>
        <c:lblOffset val="100"/>
        <c:noMultiLvlLbl val="0"/>
      </c:catAx>
      <c:valAx>
        <c:axId val="1457213183"/>
        <c:scaling>
          <c:orientation val="minMax"/>
          <c:max val="5"/>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a:solidFill>
                      <a:sysClr val="windowText" lastClr="000000"/>
                    </a:solidFill>
                  </a:rPr>
                  <a:t>Cena 1 kWh v Kč</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457211519"/>
        <c:crosses val="autoZero"/>
        <c:crossBetween val="between"/>
        <c:majorUnit val="1"/>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51347727262736"/>
          <c:y val="6.0589369319746629E-2"/>
          <c:w val="0.75145860536277187"/>
          <c:h val="0.58510811320713796"/>
        </c:manualLayout>
      </c:layout>
      <c:barChart>
        <c:barDir val="bar"/>
        <c:grouping val="stacked"/>
        <c:varyColors val="0"/>
        <c:ser>
          <c:idx val="0"/>
          <c:order val="0"/>
          <c:tx>
            <c:strRef>
              <c:f>[Vytapeni_data_graf.xlsx]List1!$P$2</c:f>
              <c:strCache>
                <c:ptCount val="1"/>
                <c:pt idx="0">
                  <c:v>Náklady na vytápění</c:v>
                </c:pt>
              </c:strCache>
            </c:strRef>
          </c:tx>
          <c:spPr>
            <a:solidFill>
              <a:srgbClr val="004595"/>
            </a:solidFill>
            <a:ln>
              <a:noFill/>
            </a:ln>
            <a:effectLst/>
          </c:spPr>
          <c:invertIfNegative val="0"/>
          <c:cat>
            <c:strRef>
              <c:f>[Vytapeni_data_graf.xlsx]List1!$O$3:$O$10</c:f>
              <c:strCache>
                <c:ptCount val="8"/>
                <c:pt idx="0">
                  <c:v>Hnědé uhlí</c:v>
                </c:pt>
                <c:pt idx="1">
                  <c:v>Černé uhlí</c:v>
                </c:pt>
                <c:pt idx="2">
                  <c:v>Koks</c:v>
                </c:pt>
                <c:pt idx="3">
                  <c:v>Dřevo</c:v>
                </c:pt>
                <c:pt idx="4">
                  <c:v>Zemní plyn</c:v>
                </c:pt>
                <c:pt idx="5">
                  <c:v>Elektřina akumulace</c:v>
                </c:pt>
                <c:pt idx="6">
                  <c:v>Elektřina přímotop</c:v>
                </c:pt>
                <c:pt idx="7">
                  <c:v>Tepelné čerpadlo</c:v>
                </c:pt>
              </c:strCache>
            </c:strRef>
          </c:cat>
          <c:val>
            <c:numRef>
              <c:f>[Vytapeni_data_graf.xlsx]List1!$P$3:$P$10</c:f>
              <c:numCache>
                <c:formatCode>General</c:formatCode>
                <c:ptCount val="8"/>
                <c:pt idx="0">
                  <c:v>7315</c:v>
                </c:pt>
                <c:pt idx="1">
                  <c:v>9025</c:v>
                </c:pt>
                <c:pt idx="2">
                  <c:v>13459</c:v>
                </c:pt>
                <c:pt idx="3">
                  <c:v>9428</c:v>
                </c:pt>
                <c:pt idx="4">
                  <c:v>11806</c:v>
                </c:pt>
                <c:pt idx="5">
                  <c:v>24077</c:v>
                </c:pt>
                <c:pt idx="6">
                  <c:v>21974</c:v>
                </c:pt>
                <c:pt idx="7">
                  <c:v>7142</c:v>
                </c:pt>
              </c:numCache>
            </c:numRef>
          </c:val>
          <c:extLst>
            <c:ext xmlns:c16="http://schemas.microsoft.com/office/drawing/2014/chart" uri="{C3380CC4-5D6E-409C-BE32-E72D297353CC}">
              <c16:uniqueId val="{00000000-44E5-49D9-BB4C-4C10BF013B64}"/>
            </c:ext>
          </c:extLst>
        </c:ser>
        <c:ser>
          <c:idx val="1"/>
          <c:order val="1"/>
          <c:tx>
            <c:strRef>
              <c:f>[Vytapeni_data_graf.xlsx]List1!$Q$2</c:f>
              <c:strCache>
                <c:ptCount val="1"/>
                <c:pt idx="0">
                  <c:v>Náklady na přípravu teplé vody</c:v>
                </c:pt>
              </c:strCache>
            </c:strRef>
          </c:tx>
          <c:spPr>
            <a:solidFill>
              <a:srgbClr val="BD2A33"/>
            </a:solidFill>
            <a:ln>
              <a:noFill/>
            </a:ln>
            <a:effectLst/>
          </c:spPr>
          <c:invertIfNegative val="0"/>
          <c:cat>
            <c:strRef>
              <c:f>[Vytapeni_data_graf.xlsx]List1!$O$3:$O$10</c:f>
              <c:strCache>
                <c:ptCount val="8"/>
                <c:pt idx="0">
                  <c:v>Hnědé uhlí</c:v>
                </c:pt>
                <c:pt idx="1">
                  <c:v>Černé uhlí</c:v>
                </c:pt>
                <c:pt idx="2">
                  <c:v>Koks</c:v>
                </c:pt>
                <c:pt idx="3">
                  <c:v>Dřevo</c:v>
                </c:pt>
                <c:pt idx="4">
                  <c:v>Zemní plyn</c:v>
                </c:pt>
                <c:pt idx="5">
                  <c:v>Elektřina akumulace</c:v>
                </c:pt>
                <c:pt idx="6">
                  <c:v>Elektřina přímotop</c:v>
                </c:pt>
                <c:pt idx="7">
                  <c:v>Tepelné čerpadlo</c:v>
                </c:pt>
              </c:strCache>
            </c:strRef>
          </c:cat>
          <c:val>
            <c:numRef>
              <c:f>[Vytapeni_data_graf.xlsx]List1!$Q$3:$Q$10</c:f>
              <c:numCache>
                <c:formatCode>General</c:formatCode>
                <c:ptCount val="8"/>
                <c:pt idx="0">
                  <c:v>3198</c:v>
                </c:pt>
                <c:pt idx="1">
                  <c:v>3945</c:v>
                </c:pt>
                <c:pt idx="2">
                  <c:v>5641</c:v>
                </c:pt>
                <c:pt idx="3">
                  <c:v>3833</c:v>
                </c:pt>
                <c:pt idx="4">
                  <c:v>5333</c:v>
                </c:pt>
                <c:pt idx="5">
                  <c:v>9597</c:v>
                </c:pt>
                <c:pt idx="6">
                  <c:v>10511</c:v>
                </c:pt>
                <c:pt idx="7">
                  <c:v>2420</c:v>
                </c:pt>
              </c:numCache>
            </c:numRef>
          </c:val>
          <c:extLst>
            <c:ext xmlns:c16="http://schemas.microsoft.com/office/drawing/2014/chart" uri="{C3380CC4-5D6E-409C-BE32-E72D297353CC}">
              <c16:uniqueId val="{00000001-44E5-49D9-BB4C-4C10BF013B64}"/>
            </c:ext>
          </c:extLst>
        </c:ser>
        <c:ser>
          <c:idx val="2"/>
          <c:order val="2"/>
          <c:tx>
            <c:strRef>
              <c:f>[Vytapeni_data_graf.xlsx]List1!$R$2</c:f>
              <c:strCache>
                <c:ptCount val="1"/>
                <c:pt idx="0">
                  <c:v>Náklady na ostatní elektrickou spotřebu</c:v>
                </c:pt>
              </c:strCache>
            </c:strRef>
          </c:tx>
          <c:spPr>
            <a:solidFill>
              <a:srgbClr val="808080"/>
            </a:solidFill>
            <a:ln>
              <a:noFill/>
            </a:ln>
            <a:effectLst/>
          </c:spPr>
          <c:invertIfNegative val="0"/>
          <c:cat>
            <c:strRef>
              <c:f>[Vytapeni_data_graf.xlsx]List1!$O$3:$O$10</c:f>
              <c:strCache>
                <c:ptCount val="8"/>
                <c:pt idx="0">
                  <c:v>Hnědé uhlí</c:v>
                </c:pt>
                <c:pt idx="1">
                  <c:v>Černé uhlí</c:v>
                </c:pt>
                <c:pt idx="2">
                  <c:v>Koks</c:v>
                </c:pt>
                <c:pt idx="3">
                  <c:v>Dřevo</c:v>
                </c:pt>
                <c:pt idx="4">
                  <c:v>Zemní plyn</c:v>
                </c:pt>
                <c:pt idx="5">
                  <c:v>Elektřina akumulace</c:v>
                </c:pt>
                <c:pt idx="6">
                  <c:v>Elektřina přímotop</c:v>
                </c:pt>
                <c:pt idx="7">
                  <c:v>Tepelné čerpadlo</c:v>
                </c:pt>
              </c:strCache>
            </c:strRef>
          </c:cat>
          <c:val>
            <c:numRef>
              <c:f>[Vytapeni_data_graf.xlsx]List1!$R$3:$R$10</c:f>
              <c:numCache>
                <c:formatCode>General</c:formatCode>
                <c:ptCount val="8"/>
                <c:pt idx="0">
                  <c:v>15005</c:v>
                </c:pt>
                <c:pt idx="1">
                  <c:v>15005</c:v>
                </c:pt>
                <c:pt idx="2">
                  <c:v>15005</c:v>
                </c:pt>
                <c:pt idx="3">
                  <c:v>15005</c:v>
                </c:pt>
                <c:pt idx="4">
                  <c:v>15005</c:v>
                </c:pt>
                <c:pt idx="5">
                  <c:v>9169</c:v>
                </c:pt>
                <c:pt idx="6">
                  <c:v>8822</c:v>
                </c:pt>
                <c:pt idx="7">
                  <c:v>8822</c:v>
                </c:pt>
              </c:numCache>
            </c:numRef>
          </c:val>
          <c:extLst>
            <c:ext xmlns:c16="http://schemas.microsoft.com/office/drawing/2014/chart" uri="{C3380CC4-5D6E-409C-BE32-E72D297353CC}">
              <c16:uniqueId val="{00000002-44E5-49D9-BB4C-4C10BF013B64}"/>
            </c:ext>
          </c:extLst>
        </c:ser>
        <c:ser>
          <c:idx val="3"/>
          <c:order val="3"/>
          <c:tx>
            <c:strRef>
              <c:f>[Vytapeni_data_graf.xlsx]List1!$S$2</c:f>
              <c:strCache>
                <c:ptCount val="1"/>
                <c:pt idx="0">
                  <c:v>Paušální platby</c:v>
                </c:pt>
              </c:strCache>
            </c:strRef>
          </c:tx>
          <c:spPr>
            <a:solidFill>
              <a:srgbClr val="0A0A0A"/>
            </a:solidFill>
            <a:ln>
              <a:noFill/>
            </a:ln>
            <a:effectLst/>
          </c:spPr>
          <c:invertIfNegative val="0"/>
          <c:cat>
            <c:strRef>
              <c:f>[Vytapeni_data_graf.xlsx]List1!$O$3:$O$10</c:f>
              <c:strCache>
                <c:ptCount val="8"/>
                <c:pt idx="0">
                  <c:v>Hnědé uhlí</c:v>
                </c:pt>
                <c:pt idx="1">
                  <c:v>Černé uhlí</c:v>
                </c:pt>
                <c:pt idx="2">
                  <c:v>Koks</c:v>
                </c:pt>
                <c:pt idx="3">
                  <c:v>Dřevo</c:v>
                </c:pt>
                <c:pt idx="4">
                  <c:v>Zemní plyn</c:v>
                </c:pt>
                <c:pt idx="5">
                  <c:v>Elektřina akumulace</c:v>
                </c:pt>
                <c:pt idx="6">
                  <c:v>Elektřina přímotop</c:v>
                </c:pt>
                <c:pt idx="7">
                  <c:v>Tepelné čerpadlo</c:v>
                </c:pt>
              </c:strCache>
            </c:strRef>
          </c:cat>
          <c:val>
            <c:numRef>
              <c:f>[Vytapeni_data_graf.xlsx]List1!$S$3:$S$10</c:f>
              <c:numCache>
                <c:formatCode>General</c:formatCode>
                <c:ptCount val="8"/>
                <c:pt idx="0">
                  <c:v>2196</c:v>
                </c:pt>
                <c:pt idx="1">
                  <c:v>2196</c:v>
                </c:pt>
                <c:pt idx="2">
                  <c:v>2196</c:v>
                </c:pt>
                <c:pt idx="3">
                  <c:v>2196</c:v>
                </c:pt>
                <c:pt idx="4">
                  <c:v>5304</c:v>
                </c:pt>
                <c:pt idx="5">
                  <c:v>6240</c:v>
                </c:pt>
                <c:pt idx="6">
                  <c:v>5268</c:v>
                </c:pt>
                <c:pt idx="7">
                  <c:v>5268</c:v>
                </c:pt>
              </c:numCache>
            </c:numRef>
          </c:val>
          <c:extLst>
            <c:ext xmlns:c16="http://schemas.microsoft.com/office/drawing/2014/chart" uri="{C3380CC4-5D6E-409C-BE32-E72D297353CC}">
              <c16:uniqueId val="{00000003-44E5-49D9-BB4C-4C10BF013B64}"/>
            </c:ext>
          </c:extLst>
        </c:ser>
        <c:ser>
          <c:idx val="4"/>
          <c:order val="4"/>
          <c:tx>
            <c:strRef>
              <c:f>[Vytapeni_data_graf.xlsx]List1!$T$2</c:f>
              <c:strCache>
                <c:ptCount val="1"/>
                <c:pt idx="0">
                  <c:v>Náklady na investici a údržbu</c:v>
                </c:pt>
              </c:strCache>
            </c:strRef>
          </c:tx>
          <c:spPr>
            <a:solidFill>
              <a:srgbClr val="FF7C80"/>
            </a:solidFill>
            <a:ln>
              <a:noFill/>
            </a:ln>
            <a:effectLst/>
          </c:spPr>
          <c:invertIfNegative val="0"/>
          <c:cat>
            <c:strRef>
              <c:f>[Vytapeni_data_graf.xlsx]List1!$O$3:$O$10</c:f>
              <c:strCache>
                <c:ptCount val="8"/>
                <c:pt idx="0">
                  <c:v>Hnědé uhlí</c:v>
                </c:pt>
                <c:pt idx="1">
                  <c:v>Černé uhlí</c:v>
                </c:pt>
                <c:pt idx="2">
                  <c:v>Koks</c:v>
                </c:pt>
                <c:pt idx="3">
                  <c:v>Dřevo</c:v>
                </c:pt>
                <c:pt idx="4">
                  <c:v>Zemní plyn</c:v>
                </c:pt>
                <c:pt idx="5">
                  <c:v>Elektřina akumulace</c:v>
                </c:pt>
                <c:pt idx="6">
                  <c:v>Elektřina přímotop</c:v>
                </c:pt>
                <c:pt idx="7">
                  <c:v>Tepelné čerpadlo</c:v>
                </c:pt>
              </c:strCache>
            </c:strRef>
          </c:cat>
          <c:val>
            <c:numRef>
              <c:f>[Vytapeni_data_graf.xlsx]List1!$T$3:$T$10</c:f>
              <c:numCache>
                <c:formatCode>General</c:formatCode>
                <c:ptCount val="8"/>
                <c:pt idx="0">
                  <c:v>16167</c:v>
                </c:pt>
                <c:pt idx="1">
                  <c:v>17433</c:v>
                </c:pt>
                <c:pt idx="2">
                  <c:v>15783</c:v>
                </c:pt>
                <c:pt idx="3">
                  <c:v>12800</c:v>
                </c:pt>
                <c:pt idx="4">
                  <c:v>16083</c:v>
                </c:pt>
                <c:pt idx="5">
                  <c:v>11000</c:v>
                </c:pt>
                <c:pt idx="6">
                  <c:v>4000</c:v>
                </c:pt>
                <c:pt idx="7">
                  <c:v>21417</c:v>
                </c:pt>
              </c:numCache>
            </c:numRef>
          </c:val>
          <c:extLst>
            <c:ext xmlns:c16="http://schemas.microsoft.com/office/drawing/2014/chart" uri="{C3380CC4-5D6E-409C-BE32-E72D297353CC}">
              <c16:uniqueId val="{00000004-44E5-49D9-BB4C-4C10BF013B64}"/>
            </c:ext>
          </c:extLst>
        </c:ser>
        <c:dLbls>
          <c:showLegendKey val="0"/>
          <c:showVal val="0"/>
          <c:showCatName val="0"/>
          <c:showSerName val="0"/>
          <c:showPercent val="0"/>
          <c:showBubbleSize val="0"/>
        </c:dLbls>
        <c:gapWidth val="150"/>
        <c:overlap val="100"/>
        <c:axId val="1607488367"/>
        <c:axId val="1607487119"/>
      </c:barChart>
      <c:catAx>
        <c:axId val="1607488367"/>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607487119"/>
        <c:crosses val="autoZero"/>
        <c:auto val="1"/>
        <c:lblAlgn val="ctr"/>
        <c:lblOffset val="100"/>
        <c:noMultiLvlLbl val="0"/>
      </c:catAx>
      <c:valAx>
        <c:axId val="1607487119"/>
        <c:scaling>
          <c:orientation val="minMax"/>
        </c:scaling>
        <c:delete val="0"/>
        <c:axPos val="b"/>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607488367"/>
        <c:crosses val="autoZero"/>
        <c:crossBetween val="between"/>
      </c:valAx>
      <c:spPr>
        <a:noFill/>
        <a:ln>
          <a:noFill/>
        </a:ln>
        <a:effectLst/>
      </c:spPr>
    </c:plotArea>
    <c:legend>
      <c:legendPos val="b"/>
      <c:layout>
        <c:manualLayout>
          <c:xMode val="edge"/>
          <c:yMode val="edge"/>
          <c:x val="0.12556729403799399"/>
          <c:y val="0.77874254288855593"/>
          <c:w val="0.75109862523465976"/>
          <c:h val="0.2211982046896839"/>
        </c:manualLayout>
      </c:layout>
      <c:overlay val="0"/>
      <c:spPr>
        <a:noFill/>
        <a:ln>
          <a:noFill/>
        </a:ln>
        <a:effectLst/>
      </c:spPr>
      <c:txPr>
        <a:bodyPr rot="0" spcFirstLastPara="1" vertOverflow="ellipsis" vert="horz" wrap="square" anchor="ctr" anchorCtr="1"/>
        <a:lstStyle/>
        <a:p>
          <a:pPr>
            <a:defRPr sz="900" b="0" i="0" u="none" strike="noStrike" kern="1200" cap="none" spc="0" baseline="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A3A8CA-1691-43AB-ABCA-0D181346A936}" type="doc">
      <dgm:prSet loTypeId="urn:microsoft.com/office/officeart/2005/8/layout/cycle4" loCatId="relationship" qsTypeId="urn:microsoft.com/office/officeart/2005/8/quickstyle/simple1" qsCatId="simple" csTypeId="urn:microsoft.com/office/officeart/2005/8/colors/colorful1" csCatId="colorful" phldr="1"/>
      <dgm:spPr/>
      <dgm:t>
        <a:bodyPr/>
        <a:lstStyle/>
        <a:p>
          <a:endParaRPr lang="cs-CZ"/>
        </a:p>
      </dgm:t>
    </dgm:pt>
    <dgm:pt modelId="{CD6A6425-0688-4177-9EFD-C90862D1B76A}">
      <dgm:prSet phldrT="[Text]"/>
      <dgm:spPr>
        <a:solidFill>
          <a:srgbClr val="818080"/>
        </a:solidFill>
      </dgm:spPr>
      <dgm:t>
        <a:bodyPr/>
        <a:lstStyle/>
        <a:p>
          <a:r>
            <a:rPr lang="cs-CZ"/>
            <a:t>Ministerstvo životního prostředí </a:t>
          </a:r>
        </a:p>
      </dgm:t>
    </dgm:pt>
    <dgm:pt modelId="{A26F2F58-E539-4058-94D1-EC4AD262683A}" type="parTrans" cxnId="{E2E9D50D-F806-49F3-B681-ABF2333882B5}">
      <dgm:prSet/>
      <dgm:spPr/>
      <dgm:t>
        <a:bodyPr/>
        <a:lstStyle/>
        <a:p>
          <a:endParaRPr lang="cs-CZ"/>
        </a:p>
      </dgm:t>
    </dgm:pt>
    <dgm:pt modelId="{40ACE334-C272-495E-BE89-72D49695C619}" type="sibTrans" cxnId="{E2E9D50D-F806-49F3-B681-ABF2333882B5}">
      <dgm:prSet/>
      <dgm:spPr/>
      <dgm:t>
        <a:bodyPr/>
        <a:lstStyle/>
        <a:p>
          <a:endParaRPr lang="cs-CZ"/>
        </a:p>
      </dgm:t>
    </dgm:pt>
    <dgm:pt modelId="{A0737CD2-EEBC-49BA-8A9E-7F7EC7B95B7A}">
      <dgm:prSet phldrT="[Text]" custT="1"/>
      <dgm:spPr>
        <a:ln>
          <a:solidFill>
            <a:srgbClr val="818080"/>
          </a:solidFill>
        </a:ln>
      </dgm:spPr>
      <dgm:t>
        <a:bodyPr/>
        <a:lstStyle/>
        <a:p>
          <a:r>
            <a:rPr lang="cs-CZ" sz="900"/>
            <a:t>Recyklační poplatek  </a:t>
          </a:r>
        </a:p>
      </dgm:t>
    </dgm:pt>
    <dgm:pt modelId="{C6673195-06C3-4AF6-B77D-122974FBF2F9}" type="parTrans" cxnId="{2A287081-F265-4C30-AAB6-FB34E20157D6}">
      <dgm:prSet/>
      <dgm:spPr/>
      <dgm:t>
        <a:bodyPr/>
        <a:lstStyle/>
        <a:p>
          <a:endParaRPr lang="cs-CZ"/>
        </a:p>
      </dgm:t>
    </dgm:pt>
    <dgm:pt modelId="{6D471958-C961-43D5-B48D-9168965CD678}" type="sibTrans" cxnId="{2A287081-F265-4C30-AAB6-FB34E20157D6}">
      <dgm:prSet/>
      <dgm:spPr/>
      <dgm:t>
        <a:bodyPr/>
        <a:lstStyle/>
        <a:p>
          <a:endParaRPr lang="cs-CZ"/>
        </a:p>
      </dgm:t>
    </dgm:pt>
    <dgm:pt modelId="{B7668BEF-1BA8-440B-BE6A-0B603EE2DB88}">
      <dgm:prSet phldrT="[Text]"/>
      <dgm:spPr>
        <a:solidFill>
          <a:srgbClr val="C00000"/>
        </a:solidFill>
      </dgm:spPr>
      <dgm:t>
        <a:bodyPr/>
        <a:lstStyle/>
        <a:p>
          <a:r>
            <a:rPr lang="cs-CZ"/>
            <a:t>Ministerstvo průmyslu </a:t>
          </a:r>
          <a:br>
            <a:rPr lang="cs-CZ"/>
          </a:br>
          <a:r>
            <a:rPr lang="cs-CZ"/>
            <a:t>a obchodu </a:t>
          </a:r>
        </a:p>
      </dgm:t>
    </dgm:pt>
    <dgm:pt modelId="{5AF3D6F8-2847-4ADC-8431-DEE990555A4C}" type="parTrans" cxnId="{CEE8B71E-CEAB-4B19-BB61-9483D59CB861}">
      <dgm:prSet/>
      <dgm:spPr/>
      <dgm:t>
        <a:bodyPr/>
        <a:lstStyle/>
        <a:p>
          <a:endParaRPr lang="cs-CZ"/>
        </a:p>
      </dgm:t>
    </dgm:pt>
    <dgm:pt modelId="{E742E42E-107B-4C79-A480-7A14E6BB0DB2}" type="sibTrans" cxnId="{CEE8B71E-CEAB-4B19-BB61-9483D59CB861}">
      <dgm:prSet/>
      <dgm:spPr/>
      <dgm:t>
        <a:bodyPr/>
        <a:lstStyle/>
        <a:p>
          <a:endParaRPr lang="cs-CZ"/>
        </a:p>
      </dgm:t>
    </dgm:pt>
    <dgm:pt modelId="{E5D4CD1B-8292-4988-80D5-2F5794486506}">
      <dgm:prSet phldrT="[Text]"/>
      <dgm:spPr>
        <a:solidFill>
          <a:srgbClr val="004595"/>
        </a:solidFill>
      </dgm:spPr>
      <dgm:t>
        <a:bodyPr/>
        <a:lstStyle/>
        <a:p>
          <a:r>
            <a:rPr lang="cs-CZ"/>
            <a:t>Ministerstvo finací </a:t>
          </a:r>
        </a:p>
      </dgm:t>
    </dgm:pt>
    <dgm:pt modelId="{CB2EF098-2E45-4148-9C2A-C8EDC54EEEC2}" type="parTrans" cxnId="{43635BC5-C856-4BFF-855E-C73CC2137E7A}">
      <dgm:prSet/>
      <dgm:spPr/>
      <dgm:t>
        <a:bodyPr/>
        <a:lstStyle/>
        <a:p>
          <a:endParaRPr lang="cs-CZ"/>
        </a:p>
      </dgm:t>
    </dgm:pt>
    <dgm:pt modelId="{6ED247A7-1FA0-42AF-AF41-E8C0090D377F}" type="sibTrans" cxnId="{43635BC5-C856-4BFF-855E-C73CC2137E7A}">
      <dgm:prSet/>
      <dgm:spPr/>
      <dgm:t>
        <a:bodyPr/>
        <a:lstStyle/>
        <a:p>
          <a:endParaRPr lang="cs-CZ"/>
        </a:p>
      </dgm:t>
    </dgm:pt>
    <dgm:pt modelId="{5ADBB944-4D40-403A-8292-563E6B5514DD}">
      <dgm:prSet phldrT="[Text]" custT="1"/>
      <dgm:spPr>
        <a:ln>
          <a:solidFill>
            <a:srgbClr val="004595"/>
          </a:solidFill>
        </a:ln>
      </dgm:spPr>
      <dgm:t>
        <a:bodyPr/>
        <a:lstStyle/>
        <a:p>
          <a:r>
            <a:rPr lang="cs-CZ" sz="900"/>
            <a:t>Daň silniční</a:t>
          </a:r>
        </a:p>
      </dgm:t>
    </dgm:pt>
    <dgm:pt modelId="{957C8B80-07DA-40D0-9C73-81F218E5F5C7}" type="parTrans" cxnId="{D3D3EA21-B5A0-484B-8196-2843A64FC6C0}">
      <dgm:prSet/>
      <dgm:spPr/>
      <dgm:t>
        <a:bodyPr/>
        <a:lstStyle/>
        <a:p>
          <a:endParaRPr lang="cs-CZ"/>
        </a:p>
      </dgm:t>
    </dgm:pt>
    <dgm:pt modelId="{D739DEA5-3FD9-4112-8C2E-654B584A3EE7}" type="sibTrans" cxnId="{D3D3EA21-B5A0-484B-8196-2843A64FC6C0}">
      <dgm:prSet/>
      <dgm:spPr/>
      <dgm:t>
        <a:bodyPr/>
        <a:lstStyle/>
        <a:p>
          <a:endParaRPr lang="cs-CZ"/>
        </a:p>
      </dgm:t>
    </dgm:pt>
    <dgm:pt modelId="{BCEA0800-48A9-45FF-9942-7AAA2FF500F6}">
      <dgm:prSet phldrT="[Text]"/>
      <dgm:spPr>
        <a:solidFill>
          <a:srgbClr val="E4848B"/>
        </a:solidFill>
      </dgm:spPr>
      <dgm:t>
        <a:bodyPr/>
        <a:lstStyle/>
        <a:p>
          <a:r>
            <a:rPr lang="cs-CZ"/>
            <a:t>Ministerstvo dopravy </a:t>
          </a:r>
        </a:p>
      </dgm:t>
    </dgm:pt>
    <dgm:pt modelId="{858DD4C6-5981-48F0-92E7-F538ACDF78BC}" type="parTrans" cxnId="{023CD94B-9854-40C7-B7CB-C0E35B380C93}">
      <dgm:prSet/>
      <dgm:spPr/>
      <dgm:t>
        <a:bodyPr/>
        <a:lstStyle/>
        <a:p>
          <a:endParaRPr lang="cs-CZ"/>
        </a:p>
      </dgm:t>
    </dgm:pt>
    <dgm:pt modelId="{2348F675-EF06-4E06-BAB2-F2CBD0A409A0}" type="sibTrans" cxnId="{023CD94B-9854-40C7-B7CB-C0E35B380C93}">
      <dgm:prSet/>
      <dgm:spPr/>
      <dgm:t>
        <a:bodyPr/>
        <a:lstStyle/>
        <a:p>
          <a:endParaRPr lang="cs-CZ"/>
        </a:p>
      </dgm:t>
    </dgm:pt>
    <dgm:pt modelId="{4FA12E3E-93A7-44A5-A3BF-C7767FB01EFD}">
      <dgm:prSet phldrT="[Text]" custT="1"/>
      <dgm:spPr>
        <a:ln>
          <a:solidFill>
            <a:srgbClr val="E4848B">
              <a:alpha val="60000"/>
            </a:srgbClr>
          </a:solidFill>
        </a:ln>
        <a:effectLst>
          <a:outerShdw blurRad="50800" dist="50800" dir="5400000" sx="1000" sy="1000" algn="ctr" rotWithShape="0">
            <a:srgbClr val="000000"/>
          </a:outerShdw>
        </a:effectLst>
      </dgm:spPr>
      <dgm:t>
        <a:bodyPr anchor="t" anchorCtr="0"/>
        <a:lstStyle/>
        <a:p>
          <a:pPr indent="0"/>
          <a:r>
            <a:rPr lang="cs-CZ" sz="900">
              <a:ln>
                <a:noFill/>
              </a:ln>
            </a:rPr>
            <a:t>Registrační poplatek </a:t>
          </a:r>
        </a:p>
      </dgm:t>
    </dgm:pt>
    <dgm:pt modelId="{35F9EACA-8CB6-455E-A3D5-E5AC1C703E71}" type="parTrans" cxnId="{D9173CB7-2327-4A0A-8BEC-58E7991E3834}">
      <dgm:prSet/>
      <dgm:spPr/>
      <dgm:t>
        <a:bodyPr/>
        <a:lstStyle/>
        <a:p>
          <a:endParaRPr lang="cs-CZ"/>
        </a:p>
      </dgm:t>
    </dgm:pt>
    <dgm:pt modelId="{E95CEE43-7086-4211-9508-E7921F4D4826}" type="sibTrans" cxnId="{D9173CB7-2327-4A0A-8BEC-58E7991E3834}">
      <dgm:prSet/>
      <dgm:spPr/>
      <dgm:t>
        <a:bodyPr/>
        <a:lstStyle/>
        <a:p>
          <a:endParaRPr lang="cs-CZ"/>
        </a:p>
      </dgm:t>
    </dgm:pt>
    <dgm:pt modelId="{6E6D6F91-DFCD-4DFB-B12D-20ED22CCC42C}">
      <dgm:prSet phldrT="[Text]" custT="1"/>
      <dgm:spPr>
        <a:ln>
          <a:solidFill>
            <a:srgbClr val="C00000"/>
          </a:solidFill>
        </a:ln>
      </dgm:spPr>
      <dgm:t>
        <a:bodyPr/>
        <a:lstStyle/>
        <a:p>
          <a:pPr algn="l"/>
          <a:r>
            <a:rPr lang="cs-CZ" sz="900"/>
            <a:t>Dotace operační program podnikání a inovace </a:t>
          </a:r>
        </a:p>
      </dgm:t>
    </dgm:pt>
    <dgm:pt modelId="{E757ECC8-33BE-4C76-9DEC-122136C11AE8}" type="parTrans" cxnId="{9D8956E7-7D48-4C1E-BEA0-C0AEFECD45A7}">
      <dgm:prSet/>
      <dgm:spPr/>
      <dgm:t>
        <a:bodyPr/>
        <a:lstStyle/>
        <a:p>
          <a:endParaRPr lang="cs-CZ"/>
        </a:p>
      </dgm:t>
    </dgm:pt>
    <dgm:pt modelId="{64121E7C-D1EE-4414-AFAD-89A5FA73ECEF}" type="sibTrans" cxnId="{9D8956E7-7D48-4C1E-BEA0-C0AEFECD45A7}">
      <dgm:prSet/>
      <dgm:spPr/>
      <dgm:t>
        <a:bodyPr/>
        <a:lstStyle/>
        <a:p>
          <a:endParaRPr lang="cs-CZ"/>
        </a:p>
      </dgm:t>
    </dgm:pt>
    <dgm:pt modelId="{D62E4C86-927E-484B-B0C0-B7CF532ECBA4}">
      <dgm:prSet phldrT="[Text]" custT="1"/>
      <dgm:spPr>
        <a:ln>
          <a:solidFill>
            <a:srgbClr val="004595"/>
          </a:solidFill>
        </a:ln>
      </dgm:spPr>
      <dgm:t>
        <a:bodyPr/>
        <a:lstStyle/>
        <a:p>
          <a:r>
            <a:rPr lang="cs-CZ" sz="900"/>
            <a:t>Spotřební daně </a:t>
          </a:r>
        </a:p>
      </dgm:t>
    </dgm:pt>
    <dgm:pt modelId="{0FF73BB8-1719-4B3D-92E2-E4333F8DA74C}" type="parTrans" cxnId="{155EB4A7-96AF-4F19-9B97-47C636989B01}">
      <dgm:prSet/>
      <dgm:spPr/>
      <dgm:t>
        <a:bodyPr/>
        <a:lstStyle/>
        <a:p>
          <a:endParaRPr lang="cs-CZ"/>
        </a:p>
      </dgm:t>
    </dgm:pt>
    <dgm:pt modelId="{A156BC9D-6B8E-4E60-A668-9C3292FCF87B}" type="sibTrans" cxnId="{155EB4A7-96AF-4F19-9B97-47C636989B01}">
      <dgm:prSet/>
      <dgm:spPr/>
      <dgm:t>
        <a:bodyPr/>
        <a:lstStyle/>
        <a:p>
          <a:endParaRPr lang="cs-CZ"/>
        </a:p>
      </dgm:t>
    </dgm:pt>
    <dgm:pt modelId="{0B8811DE-6C99-48B0-A5FF-7837A14F045F}">
      <dgm:prSet phldrT="[Text]" custT="1"/>
      <dgm:spPr>
        <a:ln>
          <a:solidFill>
            <a:srgbClr val="004595"/>
          </a:solidFill>
        </a:ln>
      </dgm:spPr>
      <dgm:t>
        <a:bodyPr/>
        <a:lstStyle/>
        <a:p>
          <a:r>
            <a:rPr lang="cs-CZ" sz="900"/>
            <a:t>Daň z přidané hodnoty</a:t>
          </a:r>
        </a:p>
      </dgm:t>
    </dgm:pt>
    <dgm:pt modelId="{0154DB38-6CC6-4AFE-A5A2-C9F788DA2BE3}" type="parTrans" cxnId="{1482121B-77CA-4545-9BE5-001D5146C085}">
      <dgm:prSet/>
      <dgm:spPr/>
      <dgm:t>
        <a:bodyPr/>
        <a:lstStyle/>
        <a:p>
          <a:endParaRPr lang="cs-CZ"/>
        </a:p>
      </dgm:t>
    </dgm:pt>
    <dgm:pt modelId="{93956E32-2945-4511-909C-BFBE30B4D0C8}" type="sibTrans" cxnId="{1482121B-77CA-4545-9BE5-001D5146C085}">
      <dgm:prSet/>
      <dgm:spPr/>
      <dgm:t>
        <a:bodyPr/>
        <a:lstStyle/>
        <a:p>
          <a:endParaRPr lang="cs-CZ"/>
        </a:p>
      </dgm:t>
    </dgm:pt>
    <dgm:pt modelId="{A42A171A-F0EA-46A6-92B7-E92821046E57}">
      <dgm:prSet phldrT="[Text]" custT="1"/>
      <dgm:spPr>
        <a:ln>
          <a:solidFill>
            <a:srgbClr val="E4848B">
              <a:alpha val="60000"/>
            </a:srgbClr>
          </a:solidFill>
        </a:ln>
        <a:effectLst>
          <a:outerShdw blurRad="50800" dist="50800" dir="5400000" sx="1000" sy="1000" algn="ctr" rotWithShape="0">
            <a:srgbClr val="000000"/>
          </a:outerShdw>
        </a:effectLst>
      </dgm:spPr>
      <dgm:t>
        <a:bodyPr anchor="t" anchorCtr="0"/>
        <a:lstStyle/>
        <a:p>
          <a:pPr indent="0"/>
          <a:r>
            <a:rPr lang="cs-CZ" sz="900">
              <a:ln>
                <a:noFill/>
              </a:ln>
            </a:rPr>
            <a:t>Poplatky za užívání silnic</a:t>
          </a:r>
        </a:p>
      </dgm:t>
    </dgm:pt>
    <dgm:pt modelId="{37A928E0-BBBA-4011-80FF-3E1CD87C588D}" type="parTrans" cxnId="{9464033C-1182-4AE4-8878-EAD0198BBD6A}">
      <dgm:prSet/>
      <dgm:spPr/>
      <dgm:t>
        <a:bodyPr/>
        <a:lstStyle/>
        <a:p>
          <a:endParaRPr lang="cs-CZ"/>
        </a:p>
      </dgm:t>
    </dgm:pt>
    <dgm:pt modelId="{B9CE1DA6-E335-40FE-8117-BE0FF2C2DC43}" type="sibTrans" cxnId="{9464033C-1182-4AE4-8878-EAD0198BBD6A}">
      <dgm:prSet/>
      <dgm:spPr/>
      <dgm:t>
        <a:bodyPr/>
        <a:lstStyle/>
        <a:p>
          <a:endParaRPr lang="cs-CZ"/>
        </a:p>
      </dgm:t>
    </dgm:pt>
    <dgm:pt modelId="{5EAACE08-632D-4A8E-B567-465F9A46DB69}">
      <dgm:prSet phldrT="[Text]" custT="1"/>
      <dgm:spPr>
        <a:ln>
          <a:solidFill>
            <a:srgbClr val="818080"/>
          </a:solidFill>
        </a:ln>
      </dgm:spPr>
      <dgm:t>
        <a:bodyPr/>
        <a:lstStyle/>
        <a:p>
          <a:endParaRPr lang="cs-CZ" sz="900"/>
        </a:p>
      </dgm:t>
    </dgm:pt>
    <dgm:pt modelId="{62A6DC05-273C-451D-A5DD-06A7F6344C88}" type="parTrans" cxnId="{4D15B5F6-D9C6-407A-B422-87C2FA5D22C7}">
      <dgm:prSet/>
      <dgm:spPr/>
      <dgm:t>
        <a:bodyPr/>
        <a:lstStyle/>
        <a:p>
          <a:endParaRPr lang="cs-CZ"/>
        </a:p>
      </dgm:t>
    </dgm:pt>
    <dgm:pt modelId="{E692DE04-8F89-46B2-B14C-65F30D2719B3}" type="sibTrans" cxnId="{4D15B5F6-D9C6-407A-B422-87C2FA5D22C7}">
      <dgm:prSet/>
      <dgm:spPr/>
      <dgm:t>
        <a:bodyPr/>
        <a:lstStyle/>
        <a:p>
          <a:endParaRPr lang="cs-CZ"/>
        </a:p>
      </dgm:t>
    </dgm:pt>
    <dgm:pt modelId="{6D90C51B-B19C-463A-B74C-E057129872AF}">
      <dgm:prSet phldrT="[Text]" custT="1"/>
      <dgm:spPr>
        <a:ln>
          <a:solidFill>
            <a:srgbClr val="818080"/>
          </a:solidFill>
        </a:ln>
      </dgm:spPr>
      <dgm:t>
        <a:bodyPr/>
        <a:lstStyle/>
        <a:p>
          <a:r>
            <a:rPr lang="cs-CZ" sz="900"/>
            <a:t>Státní příspěvek při vyřazení autovraků </a:t>
          </a:r>
        </a:p>
      </dgm:t>
    </dgm:pt>
    <dgm:pt modelId="{0A75A28D-D82B-4A83-947E-0AA0E3409120}" type="parTrans" cxnId="{4ED91077-86B0-47A6-A7FF-D921C0A93380}">
      <dgm:prSet/>
      <dgm:spPr/>
      <dgm:t>
        <a:bodyPr/>
        <a:lstStyle/>
        <a:p>
          <a:endParaRPr lang="cs-CZ"/>
        </a:p>
      </dgm:t>
    </dgm:pt>
    <dgm:pt modelId="{51C08210-359B-4C03-9941-E09FEDD638A2}" type="sibTrans" cxnId="{4ED91077-86B0-47A6-A7FF-D921C0A93380}">
      <dgm:prSet/>
      <dgm:spPr/>
      <dgm:t>
        <a:bodyPr/>
        <a:lstStyle/>
        <a:p>
          <a:endParaRPr lang="cs-CZ"/>
        </a:p>
      </dgm:t>
    </dgm:pt>
    <dgm:pt modelId="{5AAD707F-E100-4323-B4FC-531ED100F5A3}">
      <dgm:prSet phldrT="[Text]" custT="1"/>
      <dgm:spPr>
        <a:ln>
          <a:solidFill>
            <a:srgbClr val="818080"/>
          </a:solidFill>
        </a:ln>
      </dgm:spPr>
      <dgm:t>
        <a:bodyPr/>
        <a:lstStyle/>
        <a:p>
          <a:r>
            <a:rPr lang="cs-CZ" sz="900"/>
            <a:t>Nízkoemisní zóny</a:t>
          </a:r>
        </a:p>
      </dgm:t>
    </dgm:pt>
    <dgm:pt modelId="{8358D671-1A33-4754-B05A-98B226E4AAD7}" type="parTrans" cxnId="{5EB3339F-A059-4588-9B60-A4E5C4FD8B76}">
      <dgm:prSet/>
      <dgm:spPr/>
      <dgm:t>
        <a:bodyPr/>
        <a:lstStyle/>
        <a:p>
          <a:endParaRPr lang="cs-CZ"/>
        </a:p>
      </dgm:t>
    </dgm:pt>
    <dgm:pt modelId="{B87B0EF0-AC30-4608-8196-A6E7FE9F18AC}" type="sibTrans" cxnId="{5EB3339F-A059-4588-9B60-A4E5C4FD8B76}">
      <dgm:prSet/>
      <dgm:spPr/>
      <dgm:t>
        <a:bodyPr/>
        <a:lstStyle/>
        <a:p>
          <a:endParaRPr lang="cs-CZ"/>
        </a:p>
      </dgm:t>
    </dgm:pt>
    <dgm:pt modelId="{ED279E82-CCD0-4F75-A14E-E3EAF3902465}">
      <dgm:prSet phldrT="[Text]" custT="1"/>
      <dgm:spPr>
        <a:ln>
          <a:solidFill>
            <a:srgbClr val="C00000"/>
          </a:solidFill>
        </a:ln>
      </dgm:spPr>
      <dgm:t>
        <a:bodyPr/>
        <a:lstStyle/>
        <a:p>
          <a:pPr algn="l"/>
          <a:endParaRPr lang="cs-CZ" sz="900"/>
        </a:p>
      </dgm:t>
    </dgm:pt>
    <dgm:pt modelId="{BCF6C1B6-5CF4-490F-BA87-8573706EFCC8}" type="parTrans" cxnId="{F16BD981-043C-4D2A-AF20-7B900BABB98A}">
      <dgm:prSet/>
      <dgm:spPr/>
      <dgm:t>
        <a:bodyPr/>
        <a:lstStyle/>
        <a:p>
          <a:endParaRPr lang="cs-CZ"/>
        </a:p>
      </dgm:t>
    </dgm:pt>
    <dgm:pt modelId="{935A7F1D-B5F3-4BDD-B389-44606FF20310}" type="sibTrans" cxnId="{F16BD981-043C-4D2A-AF20-7B900BABB98A}">
      <dgm:prSet/>
      <dgm:spPr/>
      <dgm:t>
        <a:bodyPr/>
        <a:lstStyle/>
        <a:p>
          <a:endParaRPr lang="cs-CZ"/>
        </a:p>
      </dgm:t>
    </dgm:pt>
    <dgm:pt modelId="{A57BB861-DABB-45E2-AC91-3F23E5C5D64E}">
      <dgm:prSet phldrT="[Text]" custT="1"/>
      <dgm:spPr/>
      <dgm:t>
        <a:bodyPr/>
        <a:lstStyle/>
        <a:p>
          <a:pPr indent="0"/>
          <a:endParaRPr lang="cs-CZ" sz="900"/>
        </a:p>
      </dgm:t>
    </dgm:pt>
    <dgm:pt modelId="{B10D83DD-8D76-4679-98A2-572F4D013E88}" type="parTrans" cxnId="{F1DD7585-2DD3-4342-884D-DF5AAE4CE3DA}">
      <dgm:prSet/>
      <dgm:spPr/>
      <dgm:t>
        <a:bodyPr/>
        <a:lstStyle/>
        <a:p>
          <a:endParaRPr lang="cs-CZ"/>
        </a:p>
      </dgm:t>
    </dgm:pt>
    <dgm:pt modelId="{AC55479E-078D-438D-81C4-CCA6D1401D1E}" type="sibTrans" cxnId="{F1DD7585-2DD3-4342-884D-DF5AAE4CE3DA}">
      <dgm:prSet/>
      <dgm:spPr/>
      <dgm:t>
        <a:bodyPr/>
        <a:lstStyle/>
        <a:p>
          <a:endParaRPr lang="cs-CZ"/>
        </a:p>
      </dgm:t>
    </dgm:pt>
    <dgm:pt modelId="{5A5FB3DD-4956-4789-A01D-357CCBC981B7}">
      <dgm:prSet phldrT="[Text]" custT="1"/>
      <dgm:spPr>
        <a:ln>
          <a:solidFill>
            <a:srgbClr val="818080"/>
          </a:solidFill>
        </a:ln>
      </dgm:spPr>
      <dgm:t>
        <a:bodyPr/>
        <a:lstStyle/>
        <a:p>
          <a:r>
            <a:rPr lang="cs-CZ" sz="900"/>
            <a:t>Dotace </a:t>
          </a:r>
          <a:r>
            <a:rPr lang="cs-CZ" sz="900" i="1"/>
            <a:t>Zelená úsporám</a:t>
          </a:r>
        </a:p>
      </dgm:t>
    </dgm:pt>
    <dgm:pt modelId="{933ED9E8-FDAF-406F-B810-8514B2FA774D}" type="parTrans" cxnId="{755A92A7-EF23-46A6-9A4B-101472043A39}">
      <dgm:prSet/>
      <dgm:spPr/>
      <dgm:t>
        <a:bodyPr/>
        <a:lstStyle/>
        <a:p>
          <a:endParaRPr lang="cs-CZ"/>
        </a:p>
      </dgm:t>
    </dgm:pt>
    <dgm:pt modelId="{6C2F97EE-DFB0-4B0E-9510-E81025833D54}" type="sibTrans" cxnId="{755A92A7-EF23-46A6-9A4B-101472043A39}">
      <dgm:prSet/>
      <dgm:spPr/>
      <dgm:t>
        <a:bodyPr/>
        <a:lstStyle/>
        <a:p>
          <a:endParaRPr lang="cs-CZ"/>
        </a:p>
      </dgm:t>
    </dgm:pt>
    <dgm:pt modelId="{21C694D9-F27D-4144-9136-44433021B7B1}">
      <dgm:prSet phldrT="[Text]" custT="1"/>
      <dgm:spPr>
        <a:ln>
          <a:solidFill>
            <a:srgbClr val="818080"/>
          </a:solidFill>
        </a:ln>
      </dgm:spPr>
      <dgm:t>
        <a:bodyPr/>
        <a:lstStyle/>
        <a:p>
          <a:r>
            <a:rPr lang="cs-CZ" sz="900">
              <a:ln>
                <a:noFill/>
              </a:ln>
            </a:rPr>
            <a:t>Dotace na nákup vozidel pro veřejný sektor </a:t>
          </a:r>
          <a:endParaRPr lang="cs-CZ" sz="900"/>
        </a:p>
      </dgm:t>
    </dgm:pt>
    <dgm:pt modelId="{08AA23FA-7281-482B-ADCD-DEB02C8567CC}" type="parTrans" cxnId="{E5536543-94FE-4830-B087-54A257ED6805}">
      <dgm:prSet/>
      <dgm:spPr/>
      <dgm:t>
        <a:bodyPr/>
        <a:lstStyle/>
        <a:p>
          <a:endParaRPr lang="cs-CZ"/>
        </a:p>
      </dgm:t>
    </dgm:pt>
    <dgm:pt modelId="{D17D9598-48F9-4D29-8F8E-700E08075A92}" type="sibTrans" cxnId="{E5536543-94FE-4830-B087-54A257ED6805}">
      <dgm:prSet/>
      <dgm:spPr/>
      <dgm:t>
        <a:bodyPr/>
        <a:lstStyle/>
        <a:p>
          <a:endParaRPr lang="cs-CZ"/>
        </a:p>
      </dgm:t>
    </dgm:pt>
    <dgm:pt modelId="{8A5FD876-9451-465D-BF5A-DA717A47ED2D}">
      <dgm:prSet phldrT="[Text]" custT="1"/>
      <dgm:spPr>
        <a:ln>
          <a:solidFill>
            <a:srgbClr val="004595"/>
          </a:solidFill>
        </a:ln>
      </dgm:spPr>
      <dgm:t>
        <a:bodyPr/>
        <a:lstStyle/>
        <a:p>
          <a:r>
            <a:rPr lang="cs-CZ" sz="900"/>
            <a:t>Daně z příjmů</a:t>
          </a:r>
        </a:p>
      </dgm:t>
    </dgm:pt>
    <dgm:pt modelId="{7D9BEE85-6497-44A3-B631-A356F166C1EA}" type="parTrans" cxnId="{DCFAEF82-2E86-4064-8F45-B301D37BF485}">
      <dgm:prSet/>
      <dgm:spPr/>
    </dgm:pt>
    <dgm:pt modelId="{9EC61CFB-2F9F-4048-8EEC-1CAC9A652EF0}" type="sibTrans" cxnId="{DCFAEF82-2E86-4064-8F45-B301D37BF485}">
      <dgm:prSet/>
      <dgm:spPr/>
    </dgm:pt>
    <dgm:pt modelId="{4FB1DEB3-ED45-4F0E-9207-4B06020ADB20}">
      <dgm:prSet phldrT="[Text]" custT="1"/>
      <dgm:spPr>
        <a:ln>
          <a:solidFill>
            <a:srgbClr val="004595"/>
          </a:solidFill>
        </a:ln>
      </dgm:spPr>
      <dgm:t>
        <a:bodyPr/>
        <a:lstStyle/>
        <a:p>
          <a:r>
            <a:rPr lang="cs-CZ" sz="900"/>
            <a:t>Solární odvod </a:t>
          </a:r>
        </a:p>
      </dgm:t>
    </dgm:pt>
    <dgm:pt modelId="{3871C613-3F22-40FD-9543-A87A1105DE87}" type="parTrans" cxnId="{EC871965-7C01-42DF-90A1-BE3348B012F3}">
      <dgm:prSet/>
      <dgm:spPr/>
    </dgm:pt>
    <dgm:pt modelId="{4A38CD89-371E-4C8A-BCC5-73337D7E5BEE}" type="sibTrans" cxnId="{EC871965-7C01-42DF-90A1-BE3348B012F3}">
      <dgm:prSet/>
      <dgm:spPr/>
    </dgm:pt>
    <dgm:pt modelId="{2062CEEB-8727-4083-BFED-83EC586F6D3E}" type="pres">
      <dgm:prSet presAssocID="{39A3A8CA-1691-43AB-ABCA-0D181346A936}" presName="cycleMatrixDiagram" presStyleCnt="0">
        <dgm:presLayoutVars>
          <dgm:chMax val="1"/>
          <dgm:dir/>
          <dgm:animLvl val="lvl"/>
          <dgm:resizeHandles val="exact"/>
        </dgm:presLayoutVars>
      </dgm:prSet>
      <dgm:spPr/>
      <dgm:t>
        <a:bodyPr/>
        <a:lstStyle/>
        <a:p>
          <a:endParaRPr lang="cs-CZ"/>
        </a:p>
      </dgm:t>
    </dgm:pt>
    <dgm:pt modelId="{0547692B-3418-4136-9144-6F6F689FF8BA}" type="pres">
      <dgm:prSet presAssocID="{39A3A8CA-1691-43AB-ABCA-0D181346A936}" presName="children" presStyleCnt="0"/>
      <dgm:spPr/>
      <dgm:t>
        <a:bodyPr/>
        <a:lstStyle/>
        <a:p>
          <a:endParaRPr lang="cs-CZ"/>
        </a:p>
      </dgm:t>
    </dgm:pt>
    <dgm:pt modelId="{92F439C2-5396-4023-900F-65722A4740E1}" type="pres">
      <dgm:prSet presAssocID="{39A3A8CA-1691-43AB-ABCA-0D181346A936}" presName="child1group" presStyleCnt="0"/>
      <dgm:spPr/>
      <dgm:t>
        <a:bodyPr/>
        <a:lstStyle/>
        <a:p>
          <a:endParaRPr lang="cs-CZ"/>
        </a:p>
      </dgm:t>
    </dgm:pt>
    <dgm:pt modelId="{720271FB-9D8F-4FC8-AD8F-EC0366A9780A}" type="pres">
      <dgm:prSet presAssocID="{39A3A8CA-1691-43AB-ABCA-0D181346A936}" presName="child1" presStyleLbl="bgAcc1" presStyleIdx="0" presStyleCnt="4" custScaleX="170869" custScaleY="134786" custLinFactNeighborX="-42291" custLinFactNeighborY="5759"/>
      <dgm:spPr/>
      <dgm:t>
        <a:bodyPr/>
        <a:lstStyle/>
        <a:p>
          <a:endParaRPr lang="cs-CZ"/>
        </a:p>
      </dgm:t>
    </dgm:pt>
    <dgm:pt modelId="{1C19C195-67CE-43CE-84F1-A3CE18BA6FF8}" type="pres">
      <dgm:prSet presAssocID="{39A3A8CA-1691-43AB-ABCA-0D181346A936}" presName="child1Text" presStyleLbl="bgAcc1" presStyleIdx="0" presStyleCnt="4">
        <dgm:presLayoutVars>
          <dgm:bulletEnabled val="1"/>
        </dgm:presLayoutVars>
      </dgm:prSet>
      <dgm:spPr/>
      <dgm:t>
        <a:bodyPr/>
        <a:lstStyle/>
        <a:p>
          <a:endParaRPr lang="cs-CZ"/>
        </a:p>
      </dgm:t>
    </dgm:pt>
    <dgm:pt modelId="{64F72F63-2AAC-4B5D-8149-5A933DB74716}" type="pres">
      <dgm:prSet presAssocID="{39A3A8CA-1691-43AB-ABCA-0D181346A936}" presName="child2group" presStyleCnt="0"/>
      <dgm:spPr/>
      <dgm:t>
        <a:bodyPr/>
        <a:lstStyle/>
        <a:p>
          <a:endParaRPr lang="cs-CZ"/>
        </a:p>
      </dgm:t>
    </dgm:pt>
    <dgm:pt modelId="{F889EB64-A580-414B-8C39-5C12880FE7D5}" type="pres">
      <dgm:prSet presAssocID="{39A3A8CA-1691-43AB-ABCA-0D181346A936}" presName="child2" presStyleLbl="bgAcc1" presStyleIdx="1" presStyleCnt="4" custScaleX="180519" custScaleY="123267" custLinFactNeighborX="65827"/>
      <dgm:spPr/>
      <dgm:t>
        <a:bodyPr/>
        <a:lstStyle/>
        <a:p>
          <a:endParaRPr lang="cs-CZ"/>
        </a:p>
      </dgm:t>
    </dgm:pt>
    <dgm:pt modelId="{56DF3CAD-9B1E-4D3A-A5E1-191CCA4DCAC7}" type="pres">
      <dgm:prSet presAssocID="{39A3A8CA-1691-43AB-ABCA-0D181346A936}" presName="child2Text" presStyleLbl="bgAcc1" presStyleIdx="1" presStyleCnt="4">
        <dgm:presLayoutVars>
          <dgm:bulletEnabled val="1"/>
        </dgm:presLayoutVars>
      </dgm:prSet>
      <dgm:spPr/>
      <dgm:t>
        <a:bodyPr/>
        <a:lstStyle/>
        <a:p>
          <a:endParaRPr lang="cs-CZ"/>
        </a:p>
      </dgm:t>
    </dgm:pt>
    <dgm:pt modelId="{D61AE4CC-A9A1-418A-A0D2-196B42552818}" type="pres">
      <dgm:prSet presAssocID="{39A3A8CA-1691-43AB-ABCA-0D181346A936}" presName="child3group" presStyleCnt="0"/>
      <dgm:spPr/>
      <dgm:t>
        <a:bodyPr/>
        <a:lstStyle/>
        <a:p>
          <a:endParaRPr lang="cs-CZ"/>
        </a:p>
      </dgm:t>
    </dgm:pt>
    <dgm:pt modelId="{3D457683-672E-4F27-9F91-386824F9CF7D}" type="pres">
      <dgm:prSet presAssocID="{39A3A8CA-1691-43AB-ABCA-0D181346A936}" presName="child3" presStyleLbl="bgAcc1" presStyleIdx="2" presStyleCnt="4" custScaleX="180295" custScaleY="127190" custLinFactNeighborX="39027" custLinFactNeighborY="63038"/>
      <dgm:spPr/>
      <dgm:t>
        <a:bodyPr/>
        <a:lstStyle/>
        <a:p>
          <a:endParaRPr lang="cs-CZ"/>
        </a:p>
      </dgm:t>
    </dgm:pt>
    <dgm:pt modelId="{C6F96B7D-5CF3-4ADD-9321-E50E01C20C77}" type="pres">
      <dgm:prSet presAssocID="{39A3A8CA-1691-43AB-ABCA-0D181346A936}" presName="child3Text" presStyleLbl="bgAcc1" presStyleIdx="2" presStyleCnt="4">
        <dgm:presLayoutVars>
          <dgm:bulletEnabled val="1"/>
        </dgm:presLayoutVars>
      </dgm:prSet>
      <dgm:spPr/>
      <dgm:t>
        <a:bodyPr/>
        <a:lstStyle/>
        <a:p>
          <a:endParaRPr lang="cs-CZ"/>
        </a:p>
      </dgm:t>
    </dgm:pt>
    <dgm:pt modelId="{6666DD8B-E229-43A2-9724-6084ECB23C38}" type="pres">
      <dgm:prSet presAssocID="{39A3A8CA-1691-43AB-ABCA-0D181346A936}" presName="child4group" presStyleCnt="0"/>
      <dgm:spPr/>
      <dgm:t>
        <a:bodyPr/>
        <a:lstStyle/>
        <a:p>
          <a:endParaRPr lang="cs-CZ"/>
        </a:p>
      </dgm:t>
    </dgm:pt>
    <dgm:pt modelId="{7E321181-3769-4898-B2AD-7B4FF9C6EC09}" type="pres">
      <dgm:prSet presAssocID="{39A3A8CA-1691-43AB-ABCA-0D181346A936}" presName="child4" presStyleLbl="bgAcc1" presStyleIdx="3" presStyleCnt="4" custAng="0" custScaleX="177721" custScaleY="125805" custLinFactNeighborX="-38866" custLinFactNeighborY="6754"/>
      <dgm:spPr/>
      <dgm:t>
        <a:bodyPr/>
        <a:lstStyle/>
        <a:p>
          <a:endParaRPr lang="cs-CZ"/>
        </a:p>
      </dgm:t>
    </dgm:pt>
    <dgm:pt modelId="{8CCC0719-37C4-424E-A46C-19DA404EAC3F}" type="pres">
      <dgm:prSet presAssocID="{39A3A8CA-1691-43AB-ABCA-0D181346A936}" presName="child4Text" presStyleLbl="bgAcc1" presStyleIdx="3" presStyleCnt="4">
        <dgm:presLayoutVars>
          <dgm:bulletEnabled val="1"/>
        </dgm:presLayoutVars>
      </dgm:prSet>
      <dgm:spPr/>
      <dgm:t>
        <a:bodyPr/>
        <a:lstStyle/>
        <a:p>
          <a:endParaRPr lang="cs-CZ"/>
        </a:p>
      </dgm:t>
    </dgm:pt>
    <dgm:pt modelId="{A7E05F84-D948-43B7-96C8-40DBBDF5E96E}" type="pres">
      <dgm:prSet presAssocID="{39A3A8CA-1691-43AB-ABCA-0D181346A936}" presName="childPlaceholder" presStyleCnt="0"/>
      <dgm:spPr/>
      <dgm:t>
        <a:bodyPr/>
        <a:lstStyle/>
        <a:p>
          <a:endParaRPr lang="cs-CZ"/>
        </a:p>
      </dgm:t>
    </dgm:pt>
    <dgm:pt modelId="{11DCD356-DAB2-4A37-ABFC-828F5E3F19B4}" type="pres">
      <dgm:prSet presAssocID="{39A3A8CA-1691-43AB-ABCA-0D181346A936}" presName="circle" presStyleCnt="0"/>
      <dgm:spPr/>
      <dgm:t>
        <a:bodyPr/>
        <a:lstStyle/>
        <a:p>
          <a:endParaRPr lang="cs-CZ"/>
        </a:p>
      </dgm:t>
    </dgm:pt>
    <dgm:pt modelId="{14180589-AF8F-4E2C-9A62-FFD680C2A530}" type="pres">
      <dgm:prSet presAssocID="{39A3A8CA-1691-43AB-ABCA-0D181346A936}" presName="quadrant1" presStyleLbl="node1" presStyleIdx="0" presStyleCnt="4">
        <dgm:presLayoutVars>
          <dgm:chMax val="1"/>
          <dgm:bulletEnabled val="1"/>
        </dgm:presLayoutVars>
      </dgm:prSet>
      <dgm:spPr/>
      <dgm:t>
        <a:bodyPr/>
        <a:lstStyle/>
        <a:p>
          <a:endParaRPr lang="cs-CZ"/>
        </a:p>
      </dgm:t>
    </dgm:pt>
    <dgm:pt modelId="{F7AC4F59-9B2D-48E4-AA31-0C0A5FCA1D99}" type="pres">
      <dgm:prSet presAssocID="{39A3A8CA-1691-43AB-ABCA-0D181346A936}" presName="quadrant2" presStyleLbl="node1" presStyleIdx="1" presStyleCnt="4" custLinFactNeighborX="220" custLinFactNeighborY="343">
        <dgm:presLayoutVars>
          <dgm:chMax val="1"/>
          <dgm:bulletEnabled val="1"/>
        </dgm:presLayoutVars>
      </dgm:prSet>
      <dgm:spPr/>
      <dgm:t>
        <a:bodyPr/>
        <a:lstStyle/>
        <a:p>
          <a:endParaRPr lang="cs-CZ"/>
        </a:p>
      </dgm:t>
    </dgm:pt>
    <dgm:pt modelId="{CFC9B7F8-F99F-4742-B02E-6AD1D29F8FEB}" type="pres">
      <dgm:prSet presAssocID="{39A3A8CA-1691-43AB-ABCA-0D181346A936}" presName="quadrant3" presStyleLbl="node1" presStyleIdx="2" presStyleCnt="4">
        <dgm:presLayoutVars>
          <dgm:chMax val="1"/>
          <dgm:bulletEnabled val="1"/>
        </dgm:presLayoutVars>
      </dgm:prSet>
      <dgm:spPr/>
      <dgm:t>
        <a:bodyPr/>
        <a:lstStyle/>
        <a:p>
          <a:endParaRPr lang="cs-CZ"/>
        </a:p>
      </dgm:t>
    </dgm:pt>
    <dgm:pt modelId="{0BE20627-8980-4163-9E9F-6A711D4E8062}" type="pres">
      <dgm:prSet presAssocID="{39A3A8CA-1691-43AB-ABCA-0D181346A936}" presName="quadrant4" presStyleLbl="node1" presStyleIdx="3" presStyleCnt="4" custScaleX="99614">
        <dgm:presLayoutVars>
          <dgm:chMax val="1"/>
          <dgm:bulletEnabled val="1"/>
        </dgm:presLayoutVars>
      </dgm:prSet>
      <dgm:spPr/>
      <dgm:t>
        <a:bodyPr/>
        <a:lstStyle/>
        <a:p>
          <a:endParaRPr lang="cs-CZ"/>
        </a:p>
      </dgm:t>
    </dgm:pt>
    <dgm:pt modelId="{B0A47072-B083-4885-85D3-D54A6F71FAA2}" type="pres">
      <dgm:prSet presAssocID="{39A3A8CA-1691-43AB-ABCA-0D181346A936}" presName="quadrantPlaceholder" presStyleCnt="0"/>
      <dgm:spPr/>
      <dgm:t>
        <a:bodyPr/>
        <a:lstStyle/>
        <a:p>
          <a:endParaRPr lang="cs-CZ"/>
        </a:p>
      </dgm:t>
    </dgm:pt>
    <dgm:pt modelId="{233FC4D0-3590-4FEE-81E0-75ED0E8834E7}" type="pres">
      <dgm:prSet presAssocID="{39A3A8CA-1691-43AB-ABCA-0D181346A936}" presName="center1" presStyleLbl="fgShp" presStyleIdx="0" presStyleCnt="2"/>
      <dgm:spPr>
        <a:solidFill>
          <a:schemeClr val="accent2">
            <a:lumMod val="60000"/>
            <a:lumOff val="40000"/>
          </a:schemeClr>
        </a:solidFill>
      </dgm:spPr>
      <dgm:t>
        <a:bodyPr/>
        <a:lstStyle/>
        <a:p>
          <a:endParaRPr lang="cs-CZ"/>
        </a:p>
      </dgm:t>
    </dgm:pt>
    <dgm:pt modelId="{714B48C2-2608-4D06-B548-7FDC6E557A55}" type="pres">
      <dgm:prSet presAssocID="{39A3A8CA-1691-43AB-ABCA-0D181346A936}" presName="center2" presStyleLbl="fgShp" presStyleIdx="1" presStyleCnt="2"/>
      <dgm:spPr>
        <a:solidFill>
          <a:schemeClr val="accent2">
            <a:lumMod val="60000"/>
            <a:lumOff val="40000"/>
          </a:schemeClr>
        </a:solidFill>
      </dgm:spPr>
      <dgm:t>
        <a:bodyPr/>
        <a:lstStyle/>
        <a:p>
          <a:endParaRPr lang="cs-CZ"/>
        </a:p>
      </dgm:t>
    </dgm:pt>
  </dgm:ptLst>
  <dgm:cxnLst>
    <dgm:cxn modelId="{844B3E2C-DDAF-4631-B470-334FFFFBF787}" type="presOf" srcId="{5ADBB944-4D40-403A-8292-563E6B5514DD}" destId="{C6F96B7D-5CF3-4ADD-9321-E50E01C20C77}" srcOrd="1" destOrd="0" presId="urn:microsoft.com/office/officeart/2005/8/layout/cycle4"/>
    <dgm:cxn modelId="{C2A7C943-2A49-4FF1-8F39-F7A5FD49CC91}" type="presOf" srcId="{A0737CD2-EEBC-49BA-8A9E-7F7EC7B95B7A}" destId="{1C19C195-67CE-43CE-84F1-A3CE18BA6FF8}" srcOrd="1" destOrd="0" presId="urn:microsoft.com/office/officeart/2005/8/layout/cycle4"/>
    <dgm:cxn modelId="{023CD94B-9854-40C7-B7CB-C0E35B380C93}" srcId="{39A3A8CA-1691-43AB-ABCA-0D181346A936}" destId="{BCEA0800-48A9-45FF-9942-7AAA2FF500F6}" srcOrd="3" destOrd="0" parTransId="{858DD4C6-5981-48F0-92E7-F538ACDF78BC}" sibTransId="{2348F675-EF06-4E06-BAB2-F2CBD0A409A0}"/>
    <dgm:cxn modelId="{F16BD981-043C-4D2A-AF20-7B900BABB98A}" srcId="{B7668BEF-1BA8-440B-BE6A-0B603EE2DB88}" destId="{ED279E82-CCD0-4F75-A14E-E3EAF3902465}" srcOrd="0" destOrd="0" parTransId="{BCF6C1B6-5CF4-490F-BA87-8573706EFCC8}" sibTransId="{935A7F1D-B5F3-4BDD-B389-44606FF20310}"/>
    <dgm:cxn modelId="{C4D9AA54-0923-4C50-9455-801EB9C9C95E}" type="presOf" srcId="{D62E4C86-927E-484B-B0C0-B7CF532ECBA4}" destId="{C6F96B7D-5CF3-4ADD-9321-E50E01C20C77}" srcOrd="1" destOrd="3" presId="urn:microsoft.com/office/officeart/2005/8/layout/cycle4"/>
    <dgm:cxn modelId="{DCFAEF82-2E86-4064-8F45-B301D37BF485}" srcId="{E5D4CD1B-8292-4988-80D5-2F5794486506}" destId="{8A5FD876-9451-465D-BF5A-DA717A47ED2D}" srcOrd="2" destOrd="0" parTransId="{7D9BEE85-6497-44A3-B631-A356F166C1EA}" sibTransId="{9EC61CFB-2F9F-4048-8EEC-1CAC9A652EF0}"/>
    <dgm:cxn modelId="{EC871965-7C01-42DF-90A1-BE3348B012F3}" srcId="{E5D4CD1B-8292-4988-80D5-2F5794486506}" destId="{4FB1DEB3-ED45-4F0E-9207-4B06020ADB20}" srcOrd="1" destOrd="0" parTransId="{3871C613-3F22-40FD-9543-A87A1105DE87}" sibTransId="{4A38CD89-371E-4C8A-BCC5-73337D7E5BEE}"/>
    <dgm:cxn modelId="{1482121B-77CA-4545-9BE5-001D5146C085}" srcId="{E5D4CD1B-8292-4988-80D5-2F5794486506}" destId="{0B8811DE-6C99-48B0-A5FF-7837A14F045F}" srcOrd="4" destOrd="0" parTransId="{0154DB38-6CC6-4AFE-A5A2-C9F788DA2BE3}" sibTransId="{93956E32-2945-4511-909C-BFBE30B4D0C8}"/>
    <dgm:cxn modelId="{4CB32052-5D02-4133-B38D-C0B6F0AC9580}" type="presOf" srcId="{5AAD707F-E100-4323-B4FC-531ED100F5A3}" destId="{720271FB-9D8F-4FC8-AD8F-EC0366A9780A}" srcOrd="0" destOrd="2" presId="urn:microsoft.com/office/officeart/2005/8/layout/cycle4"/>
    <dgm:cxn modelId="{5A027956-89CE-4CD4-9A2B-5945CC79FA9E}" type="presOf" srcId="{B7668BEF-1BA8-440B-BE6A-0B603EE2DB88}" destId="{F7AC4F59-9B2D-48E4-AA31-0C0A5FCA1D99}" srcOrd="0" destOrd="0" presId="urn:microsoft.com/office/officeart/2005/8/layout/cycle4"/>
    <dgm:cxn modelId="{AF13A3A8-FD87-4721-9C46-D46EFBABEA45}" type="presOf" srcId="{5ADBB944-4D40-403A-8292-563E6B5514DD}" destId="{3D457683-672E-4F27-9F91-386824F9CF7D}" srcOrd="0" destOrd="0" presId="urn:microsoft.com/office/officeart/2005/8/layout/cycle4"/>
    <dgm:cxn modelId="{43635BC5-C856-4BFF-855E-C73CC2137E7A}" srcId="{39A3A8CA-1691-43AB-ABCA-0D181346A936}" destId="{E5D4CD1B-8292-4988-80D5-2F5794486506}" srcOrd="2" destOrd="0" parTransId="{CB2EF098-2E45-4148-9C2A-C8EDC54EEEC2}" sibTransId="{6ED247A7-1FA0-42AF-AF41-E8C0090D377F}"/>
    <dgm:cxn modelId="{3CAEA12E-1B8B-49E0-BEE8-2CA4DE17FA45}" type="presOf" srcId="{A42A171A-F0EA-46A6-92B7-E92821046E57}" destId="{7E321181-3769-4898-B2AD-7B4FF9C6EC09}" srcOrd="0" destOrd="1" presId="urn:microsoft.com/office/officeart/2005/8/layout/cycle4"/>
    <dgm:cxn modelId="{E5536543-94FE-4830-B087-54A257ED6805}" srcId="{CD6A6425-0688-4177-9EFD-C90862D1B76A}" destId="{21C694D9-F27D-4144-9136-44433021B7B1}" srcOrd="4" destOrd="0" parTransId="{08AA23FA-7281-482B-ADCD-DEB02C8567CC}" sibTransId="{D17D9598-48F9-4D29-8F8E-700E08075A92}"/>
    <dgm:cxn modelId="{FF00EF48-3B8C-4F39-807E-F96718A0706D}" type="presOf" srcId="{6E6D6F91-DFCD-4DFB-B12D-20ED22CCC42C}" destId="{56DF3CAD-9B1E-4D3A-A5E1-191CCA4DCAC7}" srcOrd="1" destOrd="1" presId="urn:microsoft.com/office/officeart/2005/8/layout/cycle4"/>
    <dgm:cxn modelId="{D9173CB7-2327-4A0A-8BEC-58E7991E3834}" srcId="{BCEA0800-48A9-45FF-9942-7AAA2FF500F6}" destId="{4FA12E3E-93A7-44A5-A3BF-C7767FB01EFD}" srcOrd="0" destOrd="0" parTransId="{35F9EACA-8CB6-455E-A3D5-E5AC1C703E71}" sibTransId="{E95CEE43-7086-4211-9508-E7921F4D4826}"/>
    <dgm:cxn modelId="{739863AC-7D13-4F54-929E-8D6A850C28F7}" type="presOf" srcId="{D62E4C86-927E-484B-B0C0-B7CF532ECBA4}" destId="{3D457683-672E-4F27-9F91-386824F9CF7D}" srcOrd="0" destOrd="3" presId="urn:microsoft.com/office/officeart/2005/8/layout/cycle4"/>
    <dgm:cxn modelId="{9D8956E7-7D48-4C1E-BEA0-C0AEFECD45A7}" srcId="{B7668BEF-1BA8-440B-BE6A-0B603EE2DB88}" destId="{6E6D6F91-DFCD-4DFB-B12D-20ED22CCC42C}" srcOrd="1" destOrd="0" parTransId="{E757ECC8-33BE-4C76-9DEC-122136C11AE8}" sibTransId="{64121E7C-D1EE-4414-AFAD-89A5FA73ECEF}"/>
    <dgm:cxn modelId="{18B15FD1-42A1-4AD3-8134-5406966CD8E8}" type="presOf" srcId="{5AAD707F-E100-4323-B4FC-531ED100F5A3}" destId="{1C19C195-67CE-43CE-84F1-A3CE18BA6FF8}" srcOrd="1" destOrd="2" presId="urn:microsoft.com/office/officeart/2005/8/layout/cycle4"/>
    <dgm:cxn modelId="{3B9F00B5-B74C-489D-9F6D-347DFD531792}" type="presOf" srcId="{21C694D9-F27D-4144-9136-44433021B7B1}" destId="{720271FB-9D8F-4FC8-AD8F-EC0366A9780A}" srcOrd="0" destOrd="4" presId="urn:microsoft.com/office/officeart/2005/8/layout/cycle4"/>
    <dgm:cxn modelId="{91714815-CA98-49FC-BE26-4007173D4FA4}" type="presOf" srcId="{8A5FD876-9451-465D-BF5A-DA717A47ED2D}" destId="{C6F96B7D-5CF3-4ADD-9321-E50E01C20C77}" srcOrd="1" destOrd="2" presId="urn:microsoft.com/office/officeart/2005/8/layout/cycle4"/>
    <dgm:cxn modelId="{0270222C-D70A-4E86-B34B-6E97A5C2B779}" type="presOf" srcId="{4FA12E3E-93A7-44A5-A3BF-C7767FB01EFD}" destId="{8CCC0719-37C4-424E-A46C-19DA404EAC3F}" srcOrd="1" destOrd="0" presId="urn:microsoft.com/office/officeart/2005/8/layout/cycle4"/>
    <dgm:cxn modelId="{7293EA35-3C2F-42F4-8B18-3A3C202E98AD}" type="presOf" srcId="{ED279E82-CCD0-4F75-A14E-E3EAF3902465}" destId="{56DF3CAD-9B1E-4D3A-A5E1-191CCA4DCAC7}" srcOrd="1" destOrd="0" presId="urn:microsoft.com/office/officeart/2005/8/layout/cycle4"/>
    <dgm:cxn modelId="{12891554-147C-42D0-936D-A553F2D00FA6}" type="presOf" srcId="{6E6D6F91-DFCD-4DFB-B12D-20ED22CCC42C}" destId="{F889EB64-A580-414B-8C39-5C12880FE7D5}" srcOrd="0" destOrd="1" presId="urn:microsoft.com/office/officeart/2005/8/layout/cycle4"/>
    <dgm:cxn modelId="{E2E9D50D-F806-49F3-B681-ABF2333882B5}" srcId="{39A3A8CA-1691-43AB-ABCA-0D181346A936}" destId="{CD6A6425-0688-4177-9EFD-C90862D1B76A}" srcOrd="0" destOrd="0" parTransId="{A26F2F58-E539-4058-94D1-EC4AD262683A}" sibTransId="{40ACE334-C272-495E-BE89-72D49695C619}"/>
    <dgm:cxn modelId="{06D32A7D-D386-4D11-ADCC-A0396E21255D}" type="presOf" srcId="{A0737CD2-EEBC-49BA-8A9E-7F7EC7B95B7A}" destId="{720271FB-9D8F-4FC8-AD8F-EC0366A9780A}" srcOrd="0" destOrd="0" presId="urn:microsoft.com/office/officeart/2005/8/layout/cycle4"/>
    <dgm:cxn modelId="{B282C1D2-F837-4893-96D1-BEC60FFC909D}" type="presOf" srcId="{5EAACE08-632D-4A8E-B567-465F9A46DB69}" destId="{720271FB-9D8F-4FC8-AD8F-EC0366A9780A}" srcOrd="0" destOrd="5" presId="urn:microsoft.com/office/officeart/2005/8/layout/cycle4"/>
    <dgm:cxn modelId="{F1DD7585-2DD3-4342-884D-DF5AAE4CE3DA}" srcId="{39A3A8CA-1691-43AB-ABCA-0D181346A936}" destId="{A57BB861-DABB-45E2-AC91-3F23E5C5D64E}" srcOrd="4" destOrd="0" parTransId="{B10D83DD-8D76-4679-98A2-572F4D013E88}" sibTransId="{AC55479E-078D-438D-81C4-CCA6D1401D1E}"/>
    <dgm:cxn modelId="{68A7340B-C156-4C96-B719-F97283F088FB}" type="presOf" srcId="{ED279E82-CCD0-4F75-A14E-E3EAF3902465}" destId="{F889EB64-A580-414B-8C39-5C12880FE7D5}" srcOrd="0" destOrd="0" presId="urn:microsoft.com/office/officeart/2005/8/layout/cycle4"/>
    <dgm:cxn modelId="{5A312C86-4D0B-4BC4-A759-302C848C3DD3}" type="presOf" srcId="{0B8811DE-6C99-48B0-A5FF-7837A14F045F}" destId="{3D457683-672E-4F27-9F91-386824F9CF7D}" srcOrd="0" destOrd="4" presId="urn:microsoft.com/office/officeart/2005/8/layout/cycle4"/>
    <dgm:cxn modelId="{CE826F33-4657-4364-AE0C-31F8985BECD9}" type="presOf" srcId="{39A3A8CA-1691-43AB-ABCA-0D181346A936}" destId="{2062CEEB-8727-4083-BFED-83EC586F6D3E}" srcOrd="0" destOrd="0" presId="urn:microsoft.com/office/officeart/2005/8/layout/cycle4"/>
    <dgm:cxn modelId="{4A8FA844-BBBE-4243-A6DB-1AAC21896E06}" type="presOf" srcId="{21C694D9-F27D-4144-9136-44433021B7B1}" destId="{1C19C195-67CE-43CE-84F1-A3CE18BA6FF8}" srcOrd="1" destOrd="4" presId="urn:microsoft.com/office/officeart/2005/8/layout/cycle4"/>
    <dgm:cxn modelId="{D53C0227-46FA-4C77-ABC9-A5E7B34630F8}" type="presOf" srcId="{8A5FD876-9451-465D-BF5A-DA717A47ED2D}" destId="{3D457683-672E-4F27-9F91-386824F9CF7D}" srcOrd="0" destOrd="2" presId="urn:microsoft.com/office/officeart/2005/8/layout/cycle4"/>
    <dgm:cxn modelId="{616F9E40-CA20-48BF-8EED-DC7ABC22BFA0}" type="presOf" srcId="{4FB1DEB3-ED45-4F0E-9207-4B06020ADB20}" destId="{3D457683-672E-4F27-9F91-386824F9CF7D}" srcOrd="0" destOrd="1" presId="urn:microsoft.com/office/officeart/2005/8/layout/cycle4"/>
    <dgm:cxn modelId="{38EC7D18-6FFB-4170-AA28-06646759637E}" type="presOf" srcId="{E5D4CD1B-8292-4988-80D5-2F5794486506}" destId="{CFC9B7F8-F99F-4742-B02E-6AD1D29F8FEB}" srcOrd="0" destOrd="0" presId="urn:microsoft.com/office/officeart/2005/8/layout/cycle4"/>
    <dgm:cxn modelId="{887F6B7E-585F-4C61-AC7D-F43C19EA3A65}" type="presOf" srcId="{BCEA0800-48A9-45FF-9942-7AAA2FF500F6}" destId="{0BE20627-8980-4163-9E9F-6A711D4E8062}" srcOrd="0" destOrd="0" presId="urn:microsoft.com/office/officeart/2005/8/layout/cycle4"/>
    <dgm:cxn modelId="{9464033C-1182-4AE4-8878-EAD0198BBD6A}" srcId="{BCEA0800-48A9-45FF-9942-7AAA2FF500F6}" destId="{A42A171A-F0EA-46A6-92B7-E92821046E57}" srcOrd="1" destOrd="0" parTransId="{37A928E0-BBBA-4011-80FF-3E1CD87C588D}" sibTransId="{B9CE1DA6-E335-40FE-8117-BE0FF2C2DC43}"/>
    <dgm:cxn modelId="{155EB4A7-96AF-4F19-9B97-47C636989B01}" srcId="{E5D4CD1B-8292-4988-80D5-2F5794486506}" destId="{D62E4C86-927E-484B-B0C0-B7CF532ECBA4}" srcOrd="3" destOrd="0" parTransId="{0FF73BB8-1719-4B3D-92E2-E4333F8DA74C}" sibTransId="{A156BC9D-6B8E-4E60-A668-9C3292FCF87B}"/>
    <dgm:cxn modelId="{6F0C16F3-249E-4149-A954-EFA2C8DE3A45}" type="presOf" srcId="{0B8811DE-6C99-48B0-A5FF-7837A14F045F}" destId="{C6F96B7D-5CF3-4ADD-9321-E50E01C20C77}" srcOrd="1" destOrd="4" presId="urn:microsoft.com/office/officeart/2005/8/layout/cycle4"/>
    <dgm:cxn modelId="{EC061AB9-B113-4A67-89DF-22D9DCA5404E}" type="presOf" srcId="{CD6A6425-0688-4177-9EFD-C90862D1B76A}" destId="{14180589-AF8F-4E2C-9A62-FFD680C2A530}" srcOrd="0" destOrd="0" presId="urn:microsoft.com/office/officeart/2005/8/layout/cycle4"/>
    <dgm:cxn modelId="{4D15B5F6-D9C6-407A-B422-87C2FA5D22C7}" srcId="{CD6A6425-0688-4177-9EFD-C90862D1B76A}" destId="{5EAACE08-632D-4A8E-B567-465F9A46DB69}" srcOrd="5" destOrd="0" parTransId="{62A6DC05-273C-451D-A5DD-06A7F6344C88}" sibTransId="{E692DE04-8F89-46B2-B14C-65F30D2719B3}"/>
    <dgm:cxn modelId="{56CAC8F0-8B5F-4F08-BED4-813CFE661431}" type="presOf" srcId="{4FB1DEB3-ED45-4F0E-9207-4B06020ADB20}" destId="{C6F96B7D-5CF3-4ADD-9321-E50E01C20C77}" srcOrd="1" destOrd="1" presId="urn:microsoft.com/office/officeart/2005/8/layout/cycle4"/>
    <dgm:cxn modelId="{4ED91077-86B0-47A6-A7FF-D921C0A93380}" srcId="{CD6A6425-0688-4177-9EFD-C90862D1B76A}" destId="{6D90C51B-B19C-463A-B74C-E057129872AF}" srcOrd="1" destOrd="0" parTransId="{0A75A28D-D82B-4A83-947E-0AA0E3409120}" sibTransId="{51C08210-359B-4C03-9941-E09FEDD638A2}"/>
    <dgm:cxn modelId="{5EB3339F-A059-4588-9B60-A4E5C4FD8B76}" srcId="{CD6A6425-0688-4177-9EFD-C90862D1B76A}" destId="{5AAD707F-E100-4323-B4FC-531ED100F5A3}" srcOrd="2" destOrd="0" parTransId="{8358D671-1A33-4754-B05A-98B226E4AAD7}" sibTransId="{B87B0EF0-AC30-4608-8196-A6E7FE9F18AC}"/>
    <dgm:cxn modelId="{58E31713-DF3F-4B71-AA89-D736AC2E9D92}" type="presOf" srcId="{5A5FB3DD-4956-4789-A01D-357CCBC981B7}" destId="{720271FB-9D8F-4FC8-AD8F-EC0366A9780A}" srcOrd="0" destOrd="3" presId="urn:microsoft.com/office/officeart/2005/8/layout/cycle4"/>
    <dgm:cxn modelId="{755A92A7-EF23-46A6-9A4B-101472043A39}" srcId="{CD6A6425-0688-4177-9EFD-C90862D1B76A}" destId="{5A5FB3DD-4956-4789-A01D-357CCBC981B7}" srcOrd="3" destOrd="0" parTransId="{933ED9E8-FDAF-406F-B810-8514B2FA774D}" sibTransId="{6C2F97EE-DFB0-4B0E-9510-E81025833D54}"/>
    <dgm:cxn modelId="{C94C877F-4C0E-4FF2-AFC7-25971556447A}" type="presOf" srcId="{6D90C51B-B19C-463A-B74C-E057129872AF}" destId="{1C19C195-67CE-43CE-84F1-A3CE18BA6FF8}" srcOrd="1" destOrd="1" presId="urn:microsoft.com/office/officeart/2005/8/layout/cycle4"/>
    <dgm:cxn modelId="{427F7A76-D0AC-4AAC-BB58-24D844D12958}" type="presOf" srcId="{6D90C51B-B19C-463A-B74C-E057129872AF}" destId="{720271FB-9D8F-4FC8-AD8F-EC0366A9780A}" srcOrd="0" destOrd="1" presId="urn:microsoft.com/office/officeart/2005/8/layout/cycle4"/>
    <dgm:cxn modelId="{2A287081-F265-4C30-AAB6-FB34E20157D6}" srcId="{CD6A6425-0688-4177-9EFD-C90862D1B76A}" destId="{A0737CD2-EEBC-49BA-8A9E-7F7EC7B95B7A}" srcOrd="0" destOrd="0" parTransId="{C6673195-06C3-4AF6-B77D-122974FBF2F9}" sibTransId="{6D471958-C961-43D5-B48D-9168965CD678}"/>
    <dgm:cxn modelId="{CEE8B71E-CEAB-4B19-BB61-9483D59CB861}" srcId="{39A3A8CA-1691-43AB-ABCA-0D181346A936}" destId="{B7668BEF-1BA8-440B-BE6A-0B603EE2DB88}" srcOrd="1" destOrd="0" parTransId="{5AF3D6F8-2847-4ADC-8431-DEE990555A4C}" sibTransId="{E742E42E-107B-4C79-A480-7A14E6BB0DB2}"/>
    <dgm:cxn modelId="{D3D3EA21-B5A0-484B-8196-2843A64FC6C0}" srcId="{E5D4CD1B-8292-4988-80D5-2F5794486506}" destId="{5ADBB944-4D40-403A-8292-563E6B5514DD}" srcOrd="0" destOrd="0" parTransId="{957C8B80-07DA-40D0-9C73-81F218E5F5C7}" sibTransId="{D739DEA5-3FD9-4112-8C2E-654B584A3EE7}"/>
    <dgm:cxn modelId="{5FD120BF-413F-4593-BDD2-AAFB3AD35085}" type="presOf" srcId="{4FA12E3E-93A7-44A5-A3BF-C7767FB01EFD}" destId="{7E321181-3769-4898-B2AD-7B4FF9C6EC09}" srcOrd="0" destOrd="0" presId="urn:microsoft.com/office/officeart/2005/8/layout/cycle4"/>
    <dgm:cxn modelId="{CD530985-B321-4A83-856F-D6CD3EAAB15A}" type="presOf" srcId="{5A5FB3DD-4956-4789-A01D-357CCBC981B7}" destId="{1C19C195-67CE-43CE-84F1-A3CE18BA6FF8}" srcOrd="1" destOrd="3" presId="urn:microsoft.com/office/officeart/2005/8/layout/cycle4"/>
    <dgm:cxn modelId="{4E64AFD1-3142-4E8C-86AD-6FA70138BD0D}" type="presOf" srcId="{A42A171A-F0EA-46A6-92B7-E92821046E57}" destId="{8CCC0719-37C4-424E-A46C-19DA404EAC3F}" srcOrd="1" destOrd="1" presId="urn:microsoft.com/office/officeart/2005/8/layout/cycle4"/>
    <dgm:cxn modelId="{1DB4A282-B0DC-4F8A-97F2-DDB193F4382C}" type="presOf" srcId="{5EAACE08-632D-4A8E-B567-465F9A46DB69}" destId="{1C19C195-67CE-43CE-84F1-A3CE18BA6FF8}" srcOrd="1" destOrd="5" presId="urn:microsoft.com/office/officeart/2005/8/layout/cycle4"/>
    <dgm:cxn modelId="{8D86EB3C-953C-4FE4-8A3D-0D4E377730B7}" type="presParOf" srcId="{2062CEEB-8727-4083-BFED-83EC586F6D3E}" destId="{0547692B-3418-4136-9144-6F6F689FF8BA}" srcOrd="0" destOrd="0" presId="urn:microsoft.com/office/officeart/2005/8/layout/cycle4"/>
    <dgm:cxn modelId="{62FB5969-E2EF-4178-8F12-59C6061585DB}" type="presParOf" srcId="{0547692B-3418-4136-9144-6F6F689FF8BA}" destId="{92F439C2-5396-4023-900F-65722A4740E1}" srcOrd="0" destOrd="0" presId="urn:microsoft.com/office/officeart/2005/8/layout/cycle4"/>
    <dgm:cxn modelId="{3707C2DD-E4AC-44A0-9E10-AA2AD1403CC4}" type="presParOf" srcId="{92F439C2-5396-4023-900F-65722A4740E1}" destId="{720271FB-9D8F-4FC8-AD8F-EC0366A9780A}" srcOrd="0" destOrd="0" presId="urn:microsoft.com/office/officeart/2005/8/layout/cycle4"/>
    <dgm:cxn modelId="{773CE2C8-806C-4E68-AC97-CFAFE1952E1D}" type="presParOf" srcId="{92F439C2-5396-4023-900F-65722A4740E1}" destId="{1C19C195-67CE-43CE-84F1-A3CE18BA6FF8}" srcOrd="1" destOrd="0" presId="urn:microsoft.com/office/officeart/2005/8/layout/cycle4"/>
    <dgm:cxn modelId="{9D4AD3A5-1D91-4801-88C1-FBB262C1BF93}" type="presParOf" srcId="{0547692B-3418-4136-9144-6F6F689FF8BA}" destId="{64F72F63-2AAC-4B5D-8149-5A933DB74716}" srcOrd="1" destOrd="0" presId="urn:microsoft.com/office/officeart/2005/8/layout/cycle4"/>
    <dgm:cxn modelId="{ADD1C545-426C-4CDC-87C2-DA4B96D3D908}" type="presParOf" srcId="{64F72F63-2AAC-4B5D-8149-5A933DB74716}" destId="{F889EB64-A580-414B-8C39-5C12880FE7D5}" srcOrd="0" destOrd="0" presId="urn:microsoft.com/office/officeart/2005/8/layout/cycle4"/>
    <dgm:cxn modelId="{9B443392-BD0C-4CBD-8EEC-62E8FE19B8A9}" type="presParOf" srcId="{64F72F63-2AAC-4B5D-8149-5A933DB74716}" destId="{56DF3CAD-9B1E-4D3A-A5E1-191CCA4DCAC7}" srcOrd="1" destOrd="0" presId="urn:microsoft.com/office/officeart/2005/8/layout/cycle4"/>
    <dgm:cxn modelId="{E4EC878C-20C2-4EC9-B69D-D1D67C31DA79}" type="presParOf" srcId="{0547692B-3418-4136-9144-6F6F689FF8BA}" destId="{D61AE4CC-A9A1-418A-A0D2-196B42552818}" srcOrd="2" destOrd="0" presId="urn:microsoft.com/office/officeart/2005/8/layout/cycle4"/>
    <dgm:cxn modelId="{E6DC759B-716D-497B-8A31-29CD75F2E5CF}" type="presParOf" srcId="{D61AE4CC-A9A1-418A-A0D2-196B42552818}" destId="{3D457683-672E-4F27-9F91-386824F9CF7D}" srcOrd="0" destOrd="0" presId="urn:microsoft.com/office/officeart/2005/8/layout/cycle4"/>
    <dgm:cxn modelId="{CE677F3F-8881-4C29-9B9E-A8DF92321FCD}" type="presParOf" srcId="{D61AE4CC-A9A1-418A-A0D2-196B42552818}" destId="{C6F96B7D-5CF3-4ADD-9321-E50E01C20C77}" srcOrd="1" destOrd="0" presId="urn:microsoft.com/office/officeart/2005/8/layout/cycle4"/>
    <dgm:cxn modelId="{AE937790-5FCD-4F47-A5BA-395C7B43829C}" type="presParOf" srcId="{0547692B-3418-4136-9144-6F6F689FF8BA}" destId="{6666DD8B-E229-43A2-9724-6084ECB23C38}" srcOrd="3" destOrd="0" presId="urn:microsoft.com/office/officeart/2005/8/layout/cycle4"/>
    <dgm:cxn modelId="{64D8A207-6C91-49E3-884B-5688B7C6279C}" type="presParOf" srcId="{6666DD8B-E229-43A2-9724-6084ECB23C38}" destId="{7E321181-3769-4898-B2AD-7B4FF9C6EC09}" srcOrd="0" destOrd="0" presId="urn:microsoft.com/office/officeart/2005/8/layout/cycle4"/>
    <dgm:cxn modelId="{EBBCD39E-8F32-4A64-9ABD-EF479BC74BD2}" type="presParOf" srcId="{6666DD8B-E229-43A2-9724-6084ECB23C38}" destId="{8CCC0719-37C4-424E-A46C-19DA404EAC3F}" srcOrd="1" destOrd="0" presId="urn:microsoft.com/office/officeart/2005/8/layout/cycle4"/>
    <dgm:cxn modelId="{6AC97EC3-D32E-4B2E-B700-F9A7BDC91E10}" type="presParOf" srcId="{0547692B-3418-4136-9144-6F6F689FF8BA}" destId="{A7E05F84-D948-43B7-96C8-40DBBDF5E96E}" srcOrd="4" destOrd="0" presId="urn:microsoft.com/office/officeart/2005/8/layout/cycle4"/>
    <dgm:cxn modelId="{FE914B7B-7ECF-489A-82D9-7EF0CEEF7E40}" type="presParOf" srcId="{2062CEEB-8727-4083-BFED-83EC586F6D3E}" destId="{11DCD356-DAB2-4A37-ABFC-828F5E3F19B4}" srcOrd="1" destOrd="0" presId="urn:microsoft.com/office/officeart/2005/8/layout/cycle4"/>
    <dgm:cxn modelId="{A244FD2E-1B23-42EC-9A82-0C7D2344A41B}" type="presParOf" srcId="{11DCD356-DAB2-4A37-ABFC-828F5E3F19B4}" destId="{14180589-AF8F-4E2C-9A62-FFD680C2A530}" srcOrd="0" destOrd="0" presId="urn:microsoft.com/office/officeart/2005/8/layout/cycle4"/>
    <dgm:cxn modelId="{8723A24C-3767-48C7-BD81-E02B5F345C71}" type="presParOf" srcId="{11DCD356-DAB2-4A37-ABFC-828F5E3F19B4}" destId="{F7AC4F59-9B2D-48E4-AA31-0C0A5FCA1D99}" srcOrd="1" destOrd="0" presId="urn:microsoft.com/office/officeart/2005/8/layout/cycle4"/>
    <dgm:cxn modelId="{01EC51AB-5E6C-483D-BE37-B3CFF8C6F85C}" type="presParOf" srcId="{11DCD356-DAB2-4A37-ABFC-828F5E3F19B4}" destId="{CFC9B7F8-F99F-4742-B02E-6AD1D29F8FEB}" srcOrd="2" destOrd="0" presId="urn:microsoft.com/office/officeart/2005/8/layout/cycle4"/>
    <dgm:cxn modelId="{DA9E69E5-294C-4166-8534-0AC4A7C679E0}" type="presParOf" srcId="{11DCD356-DAB2-4A37-ABFC-828F5E3F19B4}" destId="{0BE20627-8980-4163-9E9F-6A711D4E8062}" srcOrd="3" destOrd="0" presId="urn:microsoft.com/office/officeart/2005/8/layout/cycle4"/>
    <dgm:cxn modelId="{C64A1A88-D396-4317-B12C-13CD618CB2ED}" type="presParOf" srcId="{11DCD356-DAB2-4A37-ABFC-828F5E3F19B4}" destId="{B0A47072-B083-4885-85D3-D54A6F71FAA2}" srcOrd="4" destOrd="0" presId="urn:microsoft.com/office/officeart/2005/8/layout/cycle4"/>
    <dgm:cxn modelId="{592C0FD1-3681-4DB6-96A7-B9DABDB2417C}" type="presParOf" srcId="{2062CEEB-8727-4083-BFED-83EC586F6D3E}" destId="{233FC4D0-3590-4FEE-81E0-75ED0E8834E7}" srcOrd="2" destOrd="0" presId="urn:microsoft.com/office/officeart/2005/8/layout/cycle4"/>
    <dgm:cxn modelId="{7AFE51FF-2605-4F64-907F-EAB93D8E8BE4}" type="presParOf" srcId="{2062CEEB-8727-4083-BFED-83EC586F6D3E}" destId="{714B48C2-2608-4D06-B548-7FDC6E557A55}"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674933-4A6C-4125-BD1A-AB6437885BD9}"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cs-CZ"/>
        </a:p>
      </dgm:t>
    </dgm:pt>
    <dgm:pt modelId="{E765186A-670F-4D84-8EEA-F1F96D594067}">
      <dgm:prSet phldrT="[Text]" custT="1"/>
      <dgm:spPr/>
      <dgm:t>
        <a:bodyPr/>
        <a:lstStyle/>
        <a:p>
          <a:r>
            <a:rPr lang="cs-CZ" sz="900">
              <a:solidFill>
                <a:schemeClr val="tx1">
                  <a:hueOff val="0"/>
                  <a:satOff val="0"/>
                  <a:lumOff val="0"/>
                </a:schemeClr>
              </a:solidFill>
            </a:rPr>
            <a:t>EURO 1</a:t>
          </a:r>
        </a:p>
        <a:p>
          <a:r>
            <a:rPr lang="cs-CZ" sz="900">
              <a:solidFill>
                <a:schemeClr val="tx1">
                  <a:hueOff val="0"/>
                  <a:satOff val="0"/>
                  <a:lumOff val="0"/>
                </a:schemeClr>
              </a:solidFill>
            </a:rPr>
            <a:t>7/1992</a:t>
          </a:r>
        </a:p>
      </dgm:t>
    </dgm:pt>
    <dgm:pt modelId="{6ED17680-9210-4238-A3A1-E76DB3033145}" type="parTrans" cxnId="{EEF48D1F-B8C8-480C-ABAE-0E2B34542865}">
      <dgm:prSet/>
      <dgm:spPr/>
      <dgm:t>
        <a:bodyPr/>
        <a:lstStyle/>
        <a:p>
          <a:endParaRPr lang="cs-CZ">
            <a:solidFill>
              <a:schemeClr val="tx1">
                <a:hueOff val="0"/>
                <a:satOff val="0"/>
                <a:lumOff val="0"/>
              </a:schemeClr>
            </a:solidFill>
          </a:endParaRPr>
        </a:p>
      </dgm:t>
    </dgm:pt>
    <dgm:pt modelId="{2045D760-E19A-484A-AF81-7DE0F86581D7}" type="sibTrans" cxnId="{EEF48D1F-B8C8-480C-ABAE-0E2B34542865}">
      <dgm:prSet/>
      <dgm:spPr/>
      <dgm:t>
        <a:bodyPr/>
        <a:lstStyle/>
        <a:p>
          <a:endParaRPr lang="cs-CZ">
            <a:solidFill>
              <a:schemeClr val="tx1">
                <a:hueOff val="0"/>
                <a:satOff val="0"/>
                <a:lumOff val="0"/>
              </a:schemeClr>
            </a:solidFill>
          </a:endParaRPr>
        </a:p>
      </dgm:t>
    </dgm:pt>
    <dgm:pt modelId="{2FA9FBF7-3443-47CF-8308-865249A0E8B8}">
      <dgm:prSet phldrT="[Text]" custT="1"/>
      <dgm:spPr/>
      <dgm:t>
        <a:bodyPr/>
        <a:lstStyle/>
        <a:p>
          <a:r>
            <a:rPr lang="cs-CZ" sz="900">
              <a:solidFill>
                <a:schemeClr val="tx1">
                  <a:hueOff val="0"/>
                  <a:satOff val="0"/>
                  <a:lumOff val="0"/>
                </a:schemeClr>
              </a:solidFill>
            </a:rPr>
            <a:t>EURO 2</a:t>
          </a:r>
        </a:p>
        <a:p>
          <a:r>
            <a:rPr lang="cs-CZ" sz="900">
              <a:solidFill>
                <a:schemeClr val="tx1">
                  <a:hueOff val="0"/>
                  <a:satOff val="0"/>
                  <a:lumOff val="0"/>
                </a:schemeClr>
              </a:solidFill>
            </a:rPr>
            <a:t>1/1996</a:t>
          </a:r>
        </a:p>
      </dgm:t>
    </dgm:pt>
    <dgm:pt modelId="{1D1B9681-1EBB-463F-AA70-7B53B012C4A1}" type="parTrans" cxnId="{165A1C30-BA7B-4FDE-8B5E-A021A0CA8A15}">
      <dgm:prSet/>
      <dgm:spPr/>
      <dgm:t>
        <a:bodyPr/>
        <a:lstStyle/>
        <a:p>
          <a:endParaRPr lang="cs-CZ">
            <a:solidFill>
              <a:schemeClr val="tx1">
                <a:hueOff val="0"/>
                <a:satOff val="0"/>
                <a:lumOff val="0"/>
              </a:schemeClr>
            </a:solidFill>
          </a:endParaRPr>
        </a:p>
      </dgm:t>
    </dgm:pt>
    <dgm:pt modelId="{384636E8-8DD2-43D3-89CF-513B60D4FD60}" type="sibTrans" cxnId="{165A1C30-BA7B-4FDE-8B5E-A021A0CA8A15}">
      <dgm:prSet/>
      <dgm:spPr/>
      <dgm:t>
        <a:bodyPr/>
        <a:lstStyle/>
        <a:p>
          <a:endParaRPr lang="cs-CZ">
            <a:solidFill>
              <a:schemeClr val="tx1">
                <a:hueOff val="0"/>
                <a:satOff val="0"/>
                <a:lumOff val="0"/>
              </a:schemeClr>
            </a:solidFill>
          </a:endParaRPr>
        </a:p>
      </dgm:t>
    </dgm:pt>
    <dgm:pt modelId="{EDE34DBB-F426-4483-8AD5-4F7582EBE67E}">
      <dgm:prSet phldrT="[Text]" custT="1"/>
      <dgm:spPr/>
      <dgm:t>
        <a:bodyPr/>
        <a:lstStyle/>
        <a:p>
          <a:r>
            <a:rPr lang="cs-CZ" sz="900">
              <a:solidFill>
                <a:schemeClr val="tx1">
                  <a:hueOff val="0"/>
                  <a:satOff val="0"/>
                  <a:lumOff val="0"/>
                </a:schemeClr>
              </a:solidFill>
            </a:rPr>
            <a:t>EURO 3</a:t>
          </a:r>
        </a:p>
        <a:p>
          <a:r>
            <a:rPr lang="cs-CZ" sz="900">
              <a:solidFill>
                <a:schemeClr val="tx1">
                  <a:hueOff val="0"/>
                  <a:satOff val="0"/>
                  <a:lumOff val="0"/>
                </a:schemeClr>
              </a:solidFill>
            </a:rPr>
            <a:t>1/2000</a:t>
          </a:r>
        </a:p>
      </dgm:t>
    </dgm:pt>
    <dgm:pt modelId="{18AF2586-97A6-4409-8D41-A7851295439F}" type="parTrans" cxnId="{9BF4C468-6B97-4CA4-B3A0-109D3CF639B6}">
      <dgm:prSet/>
      <dgm:spPr/>
      <dgm:t>
        <a:bodyPr/>
        <a:lstStyle/>
        <a:p>
          <a:endParaRPr lang="cs-CZ">
            <a:solidFill>
              <a:schemeClr val="tx1">
                <a:hueOff val="0"/>
                <a:satOff val="0"/>
                <a:lumOff val="0"/>
              </a:schemeClr>
            </a:solidFill>
          </a:endParaRPr>
        </a:p>
      </dgm:t>
    </dgm:pt>
    <dgm:pt modelId="{BBC456F4-C4BF-48E7-9FB6-9AC189588CC8}" type="sibTrans" cxnId="{9BF4C468-6B97-4CA4-B3A0-109D3CF639B6}">
      <dgm:prSet/>
      <dgm:spPr/>
      <dgm:t>
        <a:bodyPr/>
        <a:lstStyle/>
        <a:p>
          <a:endParaRPr lang="cs-CZ">
            <a:solidFill>
              <a:schemeClr val="tx1">
                <a:hueOff val="0"/>
                <a:satOff val="0"/>
                <a:lumOff val="0"/>
              </a:schemeClr>
            </a:solidFill>
          </a:endParaRPr>
        </a:p>
      </dgm:t>
    </dgm:pt>
    <dgm:pt modelId="{1A4BBD36-CA3E-427B-B19E-F023A0F38860}">
      <dgm:prSet custT="1"/>
      <dgm:spPr/>
      <dgm:t>
        <a:bodyPr/>
        <a:lstStyle/>
        <a:p>
          <a:r>
            <a:rPr lang="cs-CZ" sz="900">
              <a:solidFill>
                <a:schemeClr val="tx1">
                  <a:hueOff val="0"/>
                  <a:satOff val="0"/>
                  <a:lumOff val="0"/>
                </a:schemeClr>
              </a:solidFill>
            </a:rPr>
            <a:t>EURO 4</a:t>
          </a:r>
        </a:p>
        <a:p>
          <a:r>
            <a:rPr lang="cs-CZ" sz="900">
              <a:solidFill>
                <a:schemeClr val="tx1">
                  <a:hueOff val="0"/>
                  <a:satOff val="0"/>
                  <a:lumOff val="0"/>
                </a:schemeClr>
              </a:solidFill>
            </a:rPr>
            <a:t>1/2005</a:t>
          </a:r>
        </a:p>
      </dgm:t>
    </dgm:pt>
    <dgm:pt modelId="{7FB61D02-7638-4864-889C-9FD7F1ABF86C}" type="parTrans" cxnId="{E10D83E0-2C53-4749-836B-929DF5C7AAA8}">
      <dgm:prSet/>
      <dgm:spPr/>
      <dgm:t>
        <a:bodyPr/>
        <a:lstStyle/>
        <a:p>
          <a:endParaRPr lang="cs-CZ">
            <a:solidFill>
              <a:schemeClr val="tx1">
                <a:hueOff val="0"/>
                <a:satOff val="0"/>
                <a:lumOff val="0"/>
              </a:schemeClr>
            </a:solidFill>
          </a:endParaRPr>
        </a:p>
      </dgm:t>
    </dgm:pt>
    <dgm:pt modelId="{231EED22-DAA6-48F6-BFB6-6878AAE059CE}" type="sibTrans" cxnId="{E10D83E0-2C53-4749-836B-929DF5C7AAA8}">
      <dgm:prSet/>
      <dgm:spPr/>
      <dgm:t>
        <a:bodyPr/>
        <a:lstStyle/>
        <a:p>
          <a:endParaRPr lang="cs-CZ">
            <a:solidFill>
              <a:schemeClr val="tx1">
                <a:hueOff val="0"/>
                <a:satOff val="0"/>
                <a:lumOff val="0"/>
              </a:schemeClr>
            </a:solidFill>
          </a:endParaRPr>
        </a:p>
      </dgm:t>
    </dgm:pt>
    <dgm:pt modelId="{7119F4E8-35B7-4DE7-BB41-0D0251483599}">
      <dgm:prSet custT="1"/>
      <dgm:spPr/>
      <dgm:t>
        <a:bodyPr/>
        <a:lstStyle/>
        <a:p>
          <a:r>
            <a:rPr lang="cs-CZ" sz="900">
              <a:solidFill>
                <a:schemeClr val="tx1">
                  <a:hueOff val="0"/>
                  <a:satOff val="0"/>
                  <a:lumOff val="0"/>
                </a:schemeClr>
              </a:solidFill>
            </a:rPr>
            <a:t>EURO 5</a:t>
          </a:r>
        </a:p>
        <a:p>
          <a:r>
            <a:rPr lang="cs-CZ" sz="900">
              <a:solidFill>
                <a:schemeClr val="tx1">
                  <a:hueOff val="0"/>
                  <a:satOff val="0"/>
                  <a:lumOff val="0"/>
                </a:schemeClr>
              </a:solidFill>
            </a:rPr>
            <a:t>9/2009</a:t>
          </a:r>
        </a:p>
      </dgm:t>
    </dgm:pt>
    <dgm:pt modelId="{5A31345F-30AA-4EDD-9CAD-0F9CB8E67179}" type="parTrans" cxnId="{29004F39-D260-4078-926E-C05073CB944A}">
      <dgm:prSet/>
      <dgm:spPr/>
      <dgm:t>
        <a:bodyPr/>
        <a:lstStyle/>
        <a:p>
          <a:endParaRPr lang="cs-CZ">
            <a:solidFill>
              <a:schemeClr val="tx1">
                <a:hueOff val="0"/>
                <a:satOff val="0"/>
                <a:lumOff val="0"/>
              </a:schemeClr>
            </a:solidFill>
          </a:endParaRPr>
        </a:p>
      </dgm:t>
    </dgm:pt>
    <dgm:pt modelId="{A292B686-37CD-42C7-AF5D-C919664250F4}" type="sibTrans" cxnId="{29004F39-D260-4078-926E-C05073CB944A}">
      <dgm:prSet/>
      <dgm:spPr/>
      <dgm:t>
        <a:bodyPr/>
        <a:lstStyle/>
        <a:p>
          <a:endParaRPr lang="cs-CZ">
            <a:solidFill>
              <a:schemeClr val="tx1">
                <a:hueOff val="0"/>
                <a:satOff val="0"/>
                <a:lumOff val="0"/>
              </a:schemeClr>
            </a:solidFill>
          </a:endParaRPr>
        </a:p>
      </dgm:t>
    </dgm:pt>
    <dgm:pt modelId="{2768CEFE-92CB-4CAB-9155-716A446FAE87}">
      <dgm:prSet custT="1"/>
      <dgm:spPr/>
      <dgm:t>
        <a:bodyPr/>
        <a:lstStyle/>
        <a:p>
          <a:r>
            <a:rPr lang="cs-CZ" sz="900">
              <a:solidFill>
                <a:schemeClr val="tx1">
                  <a:hueOff val="0"/>
                  <a:satOff val="0"/>
                  <a:lumOff val="0"/>
                </a:schemeClr>
              </a:solidFill>
            </a:rPr>
            <a:t>EURO 6</a:t>
          </a:r>
        </a:p>
        <a:p>
          <a:r>
            <a:rPr lang="cs-CZ" sz="900">
              <a:solidFill>
                <a:schemeClr val="tx1">
                  <a:hueOff val="0"/>
                  <a:satOff val="0"/>
                  <a:lumOff val="0"/>
                </a:schemeClr>
              </a:solidFill>
            </a:rPr>
            <a:t>9/2014</a:t>
          </a:r>
        </a:p>
      </dgm:t>
    </dgm:pt>
    <dgm:pt modelId="{95F9A96F-6635-490A-87C8-452443A5083C}" type="parTrans" cxnId="{ED1E6507-798D-4D1C-AD28-F212A832BBED}">
      <dgm:prSet/>
      <dgm:spPr/>
      <dgm:t>
        <a:bodyPr/>
        <a:lstStyle/>
        <a:p>
          <a:endParaRPr lang="cs-CZ">
            <a:solidFill>
              <a:schemeClr val="tx1">
                <a:hueOff val="0"/>
                <a:satOff val="0"/>
                <a:lumOff val="0"/>
              </a:schemeClr>
            </a:solidFill>
          </a:endParaRPr>
        </a:p>
      </dgm:t>
    </dgm:pt>
    <dgm:pt modelId="{7B24E440-9814-47A9-8FEB-D34FA319DF7B}" type="sibTrans" cxnId="{ED1E6507-798D-4D1C-AD28-F212A832BBED}">
      <dgm:prSet/>
      <dgm:spPr/>
      <dgm:t>
        <a:bodyPr/>
        <a:lstStyle/>
        <a:p>
          <a:endParaRPr lang="cs-CZ">
            <a:solidFill>
              <a:schemeClr val="tx1">
                <a:hueOff val="0"/>
                <a:satOff val="0"/>
                <a:lumOff val="0"/>
              </a:schemeClr>
            </a:solidFill>
          </a:endParaRPr>
        </a:p>
      </dgm:t>
    </dgm:pt>
    <dgm:pt modelId="{A81CD71B-1A0C-478A-ACE9-16995ACC66FE}">
      <dgm:prSet custT="1">
        <dgm:style>
          <a:lnRef idx="2">
            <a:schemeClr val="accent2"/>
          </a:lnRef>
          <a:fillRef idx="1">
            <a:schemeClr val="lt1"/>
          </a:fillRef>
          <a:effectRef idx="0">
            <a:schemeClr val="accent2"/>
          </a:effectRef>
          <a:fontRef idx="minor">
            <a:schemeClr val="dk1"/>
          </a:fontRef>
        </dgm:style>
      </dgm:prSet>
      <dgm:spPr>
        <a:solidFill>
          <a:srgbClr val="BD2A33"/>
        </a:solidFill>
        <a:ln>
          <a:solidFill>
            <a:srgbClr val="BD2A33"/>
          </a:solidFill>
        </a:ln>
      </dgm:spPr>
      <dgm:t>
        <a:bodyPr/>
        <a:lstStyle/>
        <a:p>
          <a:r>
            <a:rPr lang="cs-CZ" sz="900">
              <a:solidFill>
                <a:schemeClr val="bg1"/>
              </a:solidFill>
            </a:rPr>
            <a:t>9/2009</a:t>
          </a:r>
        </a:p>
        <a:p>
          <a:r>
            <a:rPr lang="cs-CZ" sz="900">
              <a:solidFill>
                <a:schemeClr val="bg1"/>
              </a:solidFill>
            </a:rPr>
            <a:t>Ustanovení  § 37e </a:t>
          </a:r>
          <a:r>
            <a:rPr lang="cs-CZ" sz="900">
              <a:ln>
                <a:noFill/>
              </a:ln>
              <a:solidFill>
                <a:schemeClr val="bg1"/>
              </a:solidFill>
            </a:rPr>
            <a:t>zákona</a:t>
          </a:r>
          <a:r>
            <a:rPr lang="cs-CZ" sz="900">
              <a:solidFill>
                <a:schemeClr val="bg1"/>
              </a:solidFill>
            </a:rPr>
            <a:t> č. 185/2001 Sb</a:t>
          </a:r>
          <a:r>
            <a:rPr lang="cs-CZ" sz="9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Pr>
            <a:t>.</a:t>
          </a:r>
        </a:p>
      </dgm:t>
    </dgm:pt>
    <dgm:pt modelId="{353B46A2-8274-4F72-9B40-F832A7B53DE8}" type="parTrans" cxnId="{F26E6736-FA56-418B-B23B-156062E63345}">
      <dgm:prSet/>
      <dgm:spPr/>
      <dgm:t>
        <a:bodyPr/>
        <a:lstStyle/>
        <a:p>
          <a:endParaRPr lang="cs-CZ">
            <a:solidFill>
              <a:schemeClr val="tx1">
                <a:hueOff val="0"/>
                <a:satOff val="0"/>
                <a:lumOff val="0"/>
              </a:schemeClr>
            </a:solidFill>
          </a:endParaRPr>
        </a:p>
      </dgm:t>
    </dgm:pt>
    <dgm:pt modelId="{18C47D9B-E7D0-425C-9D28-0B272EF0FC36}" type="sibTrans" cxnId="{F26E6736-FA56-418B-B23B-156062E63345}">
      <dgm:prSet/>
      <dgm:spPr/>
      <dgm:t>
        <a:bodyPr/>
        <a:lstStyle/>
        <a:p>
          <a:endParaRPr lang="cs-CZ">
            <a:solidFill>
              <a:schemeClr val="tx1">
                <a:hueOff val="0"/>
                <a:satOff val="0"/>
                <a:lumOff val="0"/>
              </a:schemeClr>
            </a:solidFill>
          </a:endParaRPr>
        </a:p>
      </dgm:t>
    </dgm:pt>
    <dgm:pt modelId="{9CA66492-D947-420D-BA07-7FDF570F1BD1}">
      <dgm:prSet custT="1"/>
      <dgm:spPr/>
      <dgm:t>
        <a:bodyPr/>
        <a:lstStyle/>
        <a:p>
          <a:r>
            <a:rPr lang="cs-CZ" sz="900"/>
            <a:t>EURO 7</a:t>
          </a:r>
        </a:p>
        <a:p>
          <a:r>
            <a:rPr lang="cs-CZ" sz="900"/>
            <a:t>2020</a:t>
          </a:r>
        </a:p>
      </dgm:t>
    </dgm:pt>
    <dgm:pt modelId="{556DBDAA-6DC7-4CA8-B4B7-CFB1C41E7326}" type="parTrans" cxnId="{EC9AFF35-6CE6-463F-A054-3CB2A620851B}">
      <dgm:prSet/>
      <dgm:spPr/>
      <dgm:t>
        <a:bodyPr/>
        <a:lstStyle/>
        <a:p>
          <a:endParaRPr lang="cs-CZ"/>
        </a:p>
      </dgm:t>
    </dgm:pt>
    <dgm:pt modelId="{FFE07660-1DA1-4C2A-B7B8-302C74969681}" type="sibTrans" cxnId="{EC9AFF35-6CE6-463F-A054-3CB2A620851B}">
      <dgm:prSet/>
      <dgm:spPr/>
      <dgm:t>
        <a:bodyPr/>
        <a:lstStyle/>
        <a:p>
          <a:endParaRPr lang="cs-CZ"/>
        </a:p>
      </dgm:t>
    </dgm:pt>
    <dgm:pt modelId="{4B3A1462-9296-4B96-9351-4EC88BC28FB4}" type="pres">
      <dgm:prSet presAssocID="{9D674933-4A6C-4125-BD1A-AB6437885BD9}" presName="Name0" presStyleCnt="0">
        <dgm:presLayoutVars>
          <dgm:dir/>
          <dgm:resizeHandles val="exact"/>
        </dgm:presLayoutVars>
      </dgm:prSet>
      <dgm:spPr/>
      <dgm:t>
        <a:bodyPr/>
        <a:lstStyle/>
        <a:p>
          <a:endParaRPr lang="cs-CZ"/>
        </a:p>
      </dgm:t>
    </dgm:pt>
    <dgm:pt modelId="{E1490FC8-D702-445A-B73D-4CFFD94F2241}" type="pres">
      <dgm:prSet presAssocID="{9D674933-4A6C-4125-BD1A-AB6437885BD9}" presName="arrow" presStyleLbl="bgShp" presStyleIdx="0" presStyleCnt="1"/>
      <dgm:spPr>
        <a:solidFill>
          <a:srgbClr val="004595"/>
        </a:solidFill>
      </dgm:spPr>
      <dgm:t>
        <a:bodyPr/>
        <a:lstStyle/>
        <a:p>
          <a:endParaRPr lang="cs-CZ"/>
        </a:p>
      </dgm:t>
    </dgm:pt>
    <dgm:pt modelId="{267B0FEC-756C-4349-890F-0CDB51F4D555}" type="pres">
      <dgm:prSet presAssocID="{9D674933-4A6C-4125-BD1A-AB6437885BD9}" presName="points" presStyleCnt="0"/>
      <dgm:spPr/>
      <dgm:t>
        <a:bodyPr/>
        <a:lstStyle/>
        <a:p>
          <a:endParaRPr lang="cs-CZ"/>
        </a:p>
      </dgm:t>
    </dgm:pt>
    <dgm:pt modelId="{2A678B76-5B17-4587-8D78-00E50A155F6A}" type="pres">
      <dgm:prSet presAssocID="{E765186A-670F-4D84-8EEA-F1F96D594067}" presName="compositeA" presStyleCnt="0"/>
      <dgm:spPr/>
      <dgm:t>
        <a:bodyPr/>
        <a:lstStyle/>
        <a:p>
          <a:endParaRPr lang="cs-CZ"/>
        </a:p>
      </dgm:t>
    </dgm:pt>
    <dgm:pt modelId="{BD255913-41BB-47BE-AED7-152D161451F1}" type="pres">
      <dgm:prSet presAssocID="{E765186A-670F-4D84-8EEA-F1F96D594067}" presName="textA" presStyleLbl="revTx" presStyleIdx="0" presStyleCnt="8">
        <dgm:presLayoutVars>
          <dgm:bulletEnabled val="1"/>
        </dgm:presLayoutVars>
      </dgm:prSet>
      <dgm:spPr/>
      <dgm:t>
        <a:bodyPr/>
        <a:lstStyle/>
        <a:p>
          <a:endParaRPr lang="cs-CZ"/>
        </a:p>
      </dgm:t>
    </dgm:pt>
    <dgm:pt modelId="{117A9205-8994-43AF-B564-82216A1F752C}" type="pres">
      <dgm:prSet presAssocID="{E765186A-670F-4D84-8EEA-F1F96D594067}" presName="circleA" presStyleLbl="node1" presStyleIdx="0" presStyleCnt="8"/>
      <dgm:spPr>
        <a:solidFill>
          <a:srgbClr val="818080"/>
        </a:solidFill>
      </dgm:spPr>
      <dgm:t>
        <a:bodyPr/>
        <a:lstStyle/>
        <a:p>
          <a:endParaRPr lang="cs-CZ"/>
        </a:p>
      </dgm:t>
    </dgm:pt>
    <dgm:pt modelId="{A90F97F9-8CC4-4F50-94B7-ADAB6A051B43}" type="pres">
      <dgm:prSet presAssocID="{E765186A-670F-4D84-8EEA-F1F96D594067}" presName="spaceA" presStyleCnt="0"/>
      <dgm:spPr/>
      <dgm:t>
        <a:bodyPr/>
        <a:lstStyle/>
        <a:p>
          <a:endParaRPr lang="cs-CZ"/>
        </a:p>
      </dgm:t>
    </dgm:pt>
    <dgm:pt modelId="{132D7AB8-D8A4-4697-B583-CF583AB792CA}" type="pres">
      <dgm:prSet presAssocID="{2045D760-E19A-484A-AF81-7DE0F86581D7}" presName="space" presStyleCnt="0"/>
      <dgm:spPr/>
      <dgm:t>
        <a:bodyPr/>
        <a:lstStyle/>
        <a:p>
          <a:endParaRPr lang="cs-CZ"/>
        </a:p>
      </dgm:t>
    </dgm:pt>
    <dgm:pt modelId="{94B449FD-8D7E-4156-A7F2-BE9CCCDD0324}" type="pres">
      <dgm:prSet presAssocID="{2FA9FBF7-3443-47CF-8308-865249A0E8B8}" presName="compositeB" presStyleCnt="0"/>
      <dgm:spPr/>
      <dgm:t>
        <a:bodyPr/>
        <a:lstStyle/>
        <a:p>
          <a:endParaRPr lang="cs-CZ"/>
        </a:p>
      </dgm:t>
    </dgm:pt>
    <dgm:pt modelId="{32D16AF1-7EBE-4073-B26C-1028CBF87D80}" type="pres">
      <dgm:prSet presAssocID="{2FA9FBF7-3443-47CF-8308-865249A0E8B8}" presName="textB" presStyleLbl="revTx" presStyleIdx="1" presStyleCnt="8">
        <dgm:presLayoutVars>
          <dgm:bulletEnabled val="1"/>
        </dgm:presLayoutVars>
      </dgm:prSet>
      <dgm:spPr/>
      <dgm:t>
        <a:bodyPr/>
        <a:lstStyle/>
        <a:p>
          <a:endParaRPr lang="cs-CZ"/>
        </a:p>
      </dgm:t>
    </dgm:pt>
    <dgm:pt modelId="{0562383F-417C-42F7-B7CA-6540C4F7C804}" type="pres">
      <dgm:prSet presAssocID="{2FA9FBF7-3443-47CF-8308-865249A0E8B8}" presName="circleB" presStyleLbl="node1" presStyleIdx="1" presStyleCnt="8"/>
      <dgm:spPr>
        <a:solidFill>
          <a:srgbClr val="818080"/>
        </a:solidFill>
      </dgm:spPr>
      <dgm:t>
        <a:bodyPr/>
        <a:lstStyle/>
        <a:p>
          <a:endParaRPr lang="cs-CZ"/>
        </a:p>
      </dgm:t>
    </dgm:pt>
    <dgm:pt modelId="{323E17A2-3AF7-4229-9575-83260F911575}" type="pres">
      <dgm:prSet presAssocID="{2FA9FBF7-3443-47CF-8308-865249A0E8B8}" presName="spaceB" presStyleCnt="0"/>
      <dgm:spPr/>
      <dgm:t>
        <a:bodyPr/>
        <a:lstStyle/>
        <a:p>
          <a:endParaRPr lang="cs-CZ"/>
        </a:p>
      </dgm:t>
    </dgm:pt>
    <dgm:pt modelId="{6DECF5E8-972B-47ED-BC6E-17936CB3BAEB}" type="pres">
      <dgm:prSet presAssocID="{384636E8-8DD2-43D3-89CF-513B60D4FD60}" presName="space" presStyleCnt="0"/>
      <dgm:spPr/>
      <dgm:t>
        <a:bodyPr/>
        <a:lstStyle/>
        <a:p>
          <a:endParaRPr lang="cs-CZ"/>
        </a:p>
      </dgm:t>
    </dgm:pt>
    <dgm:pt modelId="{A028ECA7-C9DC-44FC-A26C-AF99AD55B4D5}" type="pres">
      <dgm:prSet presAssocID="{EDE34DBB-F426-4483-8AD5-4F7582EBE67E}" presName="compositeA" presStyleCnt="0"/>
      <dgm:spPr/>
      <dgm:t>
        <a:bodyPr/>
        <a:lstStyle/>
        <a:p>
          <a:endParaRPr lang="cs-CZ"/>
        </a:p>
      </dgm:t>
    </dgm:pt>
    <dgm:pt modelId="{E30B7043-3763-4769-B55A-1FCBE58B3F97}" type="pres">
      <dgm:prSet presAssocID="{EDE34DBB-F426-4483-8AD5-4F7582EBE67E}" presName="textA" presStyleLbl="revTx" presStyleIdx="2" presStyleCnt="8">
        <dgm:presLayoutVars>
          <dgm:bulletEnabled val="1"/>
        </dgm:presLayoutVars>
      </dgm:prSet>
      <dgm:spPr/>
      <dgm:t>
        <a:bodyPr/>
        <a:lstStyle/>
        <a:p>
          <a:endParaRPr lang="cs-CZ"/>
        </a:p>
      </dgm:t>
    </dgm:pt>
    <dgm:pt modelId="{6CDE7315-4CF3-42B9-BD09-B271FECE7300}" type="pres">
      <dgm:prSet presAssocID="{EDE34DBB-F426-4483-8AD5-4F7582EBE67E}" presName="circleA" presStyleLbl="node1" presStyleIdx="2" presStyleCnt="8"/>
      <dgm:spPr>
        <a:solidFill>
          <a:srgbClr val="818080"/>
        </a:solidFill>
      </dgm:spPr>
      <dgm:t>
        <a:bodyPr/>
        <a:lstStyle/>
        <a:p>
          <a:endParaRPr lang="cs-CZ"/>
        </a:p>
      </dgm:t>
    </dgm:pt>
    <dgm:pt modelId="{89B1A144-3190-4D89-8669-23569724120B}" type="pres">
      <dgm:prSet presAssocID="{EDE34DBB-F426-4483-8AD5-4F7582EBE67E}" presName="spaceA" presStyleCnt="0"/>
      <dgm:spPr/>
      <dgm:t>
        <a:bodyPr/>
        <a:lstStyle/>
        <a:p>
          <a:endParaRPr lang="cs-CZ"/>
        </a:p>
      </dgm:t>
    </dgm:pt>
    <dgm:pt modelId="{12B71B06-3021-4AC1-A9FB-D8B5D63E1873}" type="pres">
      <dgm:prSet presAssocID="{BBC456F4-C4BF-48E7-9FB6-9AC189588CC8}" presName="space" presStyleCnt="0"/>
      <dgm:spPr/>
      <dgm:t>
        <a:bodyPr/>
        <a:lstStyle/>
        <a:p>
          <a:endParaRPr lang="cs-CZ"/>
        </a:p>
      </dgm:t>
    </dgm:pt>
    <dgm:pt modelId="{C1C10A05-0A18-4F85-9FA8-AFA88A891A6D}" type="pres">
      <dgm:prSet presAssocID="{1A4BBD36-CA3E-427B-B19E-F023A0F38860}" presName="compositeB" presStyleCnt="0"/>
      <dgm:spPr/>
      <dgm:t>
        <a:bodyPr/>
        <a:lstStyle/>
        <a:p>
          <a:endParaRPr lang="cs-CZ"/>
        </a:p>
      </dgm:t>
    </dgm:pt>
    <dgm:pt modelId="{A888933C-B540-4CA7-A23E-EB1BA22EF3C9}" type="pres">
      <dgm:prSet presAssocID="{1A4BBD36-CA3E-427B-B19E-F023A0F38860}" presName="textB" presStyleLbl="revTx" presStyleIdx="3" presStyleCnt="8">
        <dgm:presLayoutVars>
          <dgm:bulletEnabled val="1"/>
        </dgm:presLayoutVars>
      </dgm:prSet>
      <dgm:spPr/>
      <dgm:t>
        <a:bodyPr/>
        <a:lstStyle/>
        <a:p>
          <a:endParaRPr lang="cs-CZ"/>
        </a:p>
      </dgm:t>
    </dgm:pt>
    <dgm:pt modelId="{9F59D680-8950-4C02-AF90-27832B037396}" type="pres">
      <dgm:prSet presAssocID="{1A4BBD36-CA3E-427B-B19E-F023A0F38860}" presName="circleB" presStyleLbl="node1" presStyleIdx="3" presStyleCnt="8"/>
      <dgm:spPr>
        <a:solidFill>
          <a:srgbClr val="818080"/>
        </a:solidFill>
      </dgm:spPr>
      <dgm:t>
        <a:bodyPr/>
        <a:lstStyle/>
        <a:p>
          <a:endParaRPr lang="cs-CZ"/>
        </a:p>
      </dgm:t>
    </dgm:pt>
    <dgm:pt modelId="{B00D1A2D-8173-4777-B4B2-5A5317178D07}" type="pres">
      <dgm:prSet presAssocID="{1A4BBD36-CA3E-427B-B19E-F023A0F38860}" presName="spaceB" presStyleCnt="0"/>
      <dgm:spPr/>
      <dgm:t>
        <a:bodyPr/>
        <a:lstStyle/>
        <a:p>
          <a:endParaRPr lang="cs-CZ"/>
        </a:p>
      </dgm:t>
    </dgm:pt>
    <dgm:pt modelId="{577E78D2-2317-4DD8-B326-D0FABAFE20A1}" type="pres">
      <dgm:prSet presAssocID="{231EED22-DAA6-48F6-BFB6-6878AAE059CE}" presName="space" presStyleCnt="0"/>
      <dgm:spPr/>
      <dgm:t>
        <a:bodyPr/>
        <a:lstStyle/>
        <a:p>
          <a:endParaRPr lang="cs-CZ"/>
        </a:p>
      </dgm:t>
    </dgm:pt>
    <dgm:pt modelId="{24C8D858-CFB8-4E04-9E0B-81DD25F97EC2}" type="pres">
      <dgm:prSet presAssocID="{A81CD71B-1A0C-478A-ACE9-16995ACC66FE}" presName="compositeA" presStyleCnt="0"/>
      <dgm:spPr/>
      <dgm:t>
        <a:bodyPr/>
        <a:lstStyle/>
        <a:p>
          <a:endParaRPr lang="cs-CZ"/>
        </a:p>
      </dgm:t>
    </dgm:pt>
    <dgm:pt modelId="{492A0AF6-B336-4179-A9E4-532750B90A55}" type="pres">
      <dgm:prSet presAssocID="{A81CD71B-1A0C-478A-ACE9-16995ACC66FE}" presName="textA" presStyleLbl="revTx" presStyleIdx="4" presStyleCnt="8" custScaleX="225977" custScaleY="67892" custLinFactNeighborX="1475" custLinFactNeighborY="-3016">
        <dgm:presLayoutVars>
          <dgm:bulletEnabled val="1"/>
        </dgm:presLayoutVars>
      </dgm:prSet>
      <dgm:spPr/>
      <dgm:t>
        <a:bodyPr/>
        <a:lstStyle/>
        <a:p>
          <a:endParaRPr lang="cs-CZ"/>
        </a:p>
      </dgm:t>
    </dgm:pt>
    <dgm:pt modelId="{FDCFEEA1-25A1-43C3-BB16-480599015B55}" type="pres">
      <dgm:prSet presAssocID="{A81CD71B-1A0C-478A-ACE9-16995ACC66FE}" presName="circleA" presStyleLbl="node1" presStyleIdx="4" presStyleCnt="8" custLinFactNeighborY="19176"/>
      <dgm:spPr>
        <a:solidFill>
          <a:srgbClr val="BD2A33"/>
        </a:solidFill>
      </dgm:spPr>
      <dgm:t>
        <a:bodyPr/>
        <a:lstStyle/>
        <a:p>
          <a:endParaRPr lang="cs-CZ"/>
        </a:p>
      </dgm:t>
    </dgm:pt>
    <dgm:pt modelId="{CD6F8784-BFD2-48F6-8E61-00D08F29DE97}" type="pres">
      <dgm:prSet presAssocID="{A81CD71B-1A0C-478A-ACE9-16995ACC66FE}" presName="spaceA" presStyleCnt="0"/>
      <dgm:spPr/>
      <dgm:t>
        <a:bodyPr/>
        <a:lstStyle/>
        <a:p>
          <a:endParaRPr lang="cs-CZ"/>
        </a:p>
      </dgm:t>
    </dgm:pt>
    <dgm:pt modelId="{883166BA-9A9B-4C0F-AEF3-D2EFC593ADF7}" type="pres">
      <dgm:prSet presAssocID="{18C47D9B-E7D0-425C-9D28-0B272EF0FC36}" presName="space" presStyleCnt="0"/>
      <dgm:spPr/>
      <dgm:t>
        <a:bodyPr/>
        <a:lstStyle/>
        <a:p>
          <a:endParaRPr lang="cs-CZ"/>
        </a:p>
      </dgm:t>
    </dgm:pt>
    <dgm:pt modelId="{FFEB9555-6D6A-4800-81D4-46145222A7B4}" type="pres">
      <dgm:prSet presAssocID="{7119F4E8-35B7-4DE7-BB41-0D0251483599}" presName="compositeB" presStyleCnt="0"/>
      <dgm:spPr/>
      <dgm:t>
        <a:bodyPr/>
        <a:lstStyle/>
        <a:p>
          <a:endParaRPr lang="cs-CZ"/>
        </a:p>
      </dgm:t>
    </dgm:pt>
    <dgm:pt modelId="{C0D397FC-6C50-4E2F-A890-4A3233B6CB46}" type="pres">
      <dgm:prSet presAssocID="{7119F4E8-35B7-4DE7-BB41-0D0251483599}" presName="textB" presStyleLbl="revTx" presStyleIdx="5" presStyleCnt="8">
        <dgm:presLayoutVars>
          <dgm:bulletEnabled val="1"/>
        </dgm:presLayoutVars>
      </dgm:prSet>
      <dgm:spPr/>
      <dgm:t>
        <a:bodyPr/>
        <a:lstStyle/>
        <a:p>
          <a:endParaRPr lang="cs-CZ"/>
        </a:p>
      </dgm:t>
    </dgm:pt>
    <dgm:pt modelId="{3FFE9D44-6DFF-4831-A368-DE48526D37ED}" type="pres">
      <dgm:prSet presAssocID="{7119F4E8-35B7-4DE7-BB41-0D0251483599}" presName="circleB" presStyleLbl="node1" presStyleIdx="5" presStyleCnt="8"/>
      <dgm:spPr>
        <a:solidFill>
          <a:srgbClr val="818080"/>
        </a:solidFill>
      </dgm:spPr>
      <dgm:t>
        <a:bodyPr/>
        <a:lstStyle/>
        <a:p>
          <a:endParaRPr lang="cs-CZ"/>
        </a:p>
      </dgm:t>
    </dgm:pt>
    <dgm:pt modelId="{3BEF6FD2-AE86-40F2-B04D-1321CAFD24F9}" type="pres">
      <dgm:prSet presAssocID="{7119F4E8-35B7-4DE7-BB41-0D0251483599}" presName="spaceB" presStyleCnt="0"/>
      <dgm:spPr/>
      <dgm:t>
        <a:bodyPr/>
        <a:lstStyle/>
        <a:p>
          <a:endParaRPr lang="cs-CZ"/>
        </a:p>
      </dgm:t>
    </dgm:pt>
    <dgm:pt modelId="{C3247E2C-2E0D-4F65-BEC9-89A3B732D880}" type="pres">
      <dgm:prSet presAssocID="{A292B686-37CD-42C7-AF5D-C919664250F4}" presName="space" presStyleCnt="0"/>
      <dgm:spPr/>
      <dgm:t>
        <a:bodyPr/>
        <a:lstStyle/>
        <a:p>
          <a:endParaRPr lang="cs-CZ"/>
        </a:p>
      </dgm:t>
    </dgm:pt>
    <dgm:pt modelId="{D999F9A9-2444-4DBF-A2BF-9CAF7C2013AC}" type="pres">
      <dgm:prSet presAssocID="{2768CEFE-92CB-4CAB-9155-716A446FAE87}" presName="compositeA" presStyleCnt="0"/>
      <dgm:spPr/>
      <dgm:t>
        <a:bodyPr/>
        <a:lstStyle/>
        <a:p>
          <a:endParaRPr lang="cs-CZ"/>
        </a:p>
      </dgm:t>
    </dgm:pt>
    <dgm:pt modelId="{EBC7320A-0431-411C-820C-150FB15FBED8}" type="pres">
      <dgm:prSet presAssocID="{2768CEFE-92CB-4CAB-9155-716A446FAE87}" presName="textA" presStyleLbl="revTx" presStyleIdx="6" presStyleCnt="8">
        <dgm:presLayoutVars>
          <dgm:bulletEnabled val="1"/>
        </dgm:presLayoutVars>
      </dgm:prSet>
      <dgm:spPr/>
      <dgm:t>
        <a:bodyPr/>
        <a:lstStyle/>
        <a:p>
          <a:endParaRPr lang="cs-CZ"/>
        </a:p>
      </dgm:t>
    </dgm:pt>
    <dgm:pt modelId="{E45A0582-C175-4D04-A783-D274B76EDB9C}" type="pres">
      <dgm:prSet presAssocID="{2768CEFE-92CB-4CAB-9155-716A446FAE87}" presName="circleA" presStyleLbl="node1" presStyleIdx="6" presStyleCnt="8"/>
      <dgm:spPr>
        <a:solidFill>
          <a:srgbClr val="818080"/>
        </a:solidFill>
      </dgm:spPr>
      <dgm:t>
        <a:bodyPr/>
        <a:lstStyle/>
        <a:p>
          <a:endParaRPr lang="cs-CZ"/>
        </a:p>
      </dgm:t>
    </dgm:pt>
    <dgm:pt modelId="{A82DA99F-E649-4EDA-8A6F-A0C69BA40A88}" type="pres">
      <dgm:prSet presAssocID="{2768CEFE-92CB-4CAB-9155-716A446FAE87}" presName="spaceA" presStyleCnt="0"/>
      <dgm:spPr/>
      <dgm:t>
        <a:bodyPr/>
        <a:lstStyle/>
        <a:p>
          <a:endParaRPr lang="cs-CZ"/>
        </a:p>
      </dgm:t>
    </dgm:pt>
    <dgm:pt modelId="{F74A0A1C-6A7A-497F-B1BF-FFF590308464}" type="pres">
      <dgm:prSet presAssocID="{7B24E440-9814-47A9-8FEB-D34FA319DF7B}" presName="space" presStyleCnt="0"/>
      <dgm:spPr/>
    </dgm:pt>
    <dgm:pt modelId="{F89FFBA0-20BE-423F-9E42-CA4965CB48F6}" type="pres">
      <dgm:prSet presAssocID="{9CA66492-D947-420D-BA07-7FDF570F1BD1}" presName="compositeB" presStyleCnt="0"/>
      <dgm:spPr/>
    </dgm:pt>
    <dgm:pt modelId="{081177B9-84BF-4BB3-B9AB-016E0B1B3210}" type="pres">
      <dgm:prSet presAssocID="{9CA66492-D947-420D-BA07-7FDF570F1BD1}" presName="textB" presStyleLbl="revTx" presStyleIdx="7" presStyleCnt="8">
        <dgm:presLayoutVars>
          <dgm:bulletEnabled val="1"/>
        </dgm:presLayoutVars>
      </dgm:prSet>
      <dgm:spPr/>
      <dgm:t>
        <a:bodyPr/>
        <a:lstStyle/>
        <a:p>
          <a:endParaRPr lang="cs-CZ"/>
        </a:p>
      </dgm:t>
    </dgm:pt>
    <dgm:pt modelId="{F49FAAB4-5BE1-4277-985D-DA85A38D94EF}" type="pres">
      <dgm:prSet presAssocID="{9CA66492-D947-420D-BA07-7FDF570F1BD1}" presName="circleB" presStyleLbl="node1" presStyleIdx="7" presStyleCnt="8"/>
      <dgm:spPr>
        <a:solidFill>
          <a:srgbClr val="818080"/>
        </a:solidFill>
      </dgm:spPr>
      <dgm:t>
        <a:bodyPr/>
        <a:lstStyle/>
        <a:p>
          <a:endParaRPr lang="cs-CZ"/>
        </a:p>
      </dgm:t>
    </dgm:pt>
    <dgm:pt modelId="{723EEB5F-C8C0-406E-861D-E53D272354A0}" type="pres">
      <dgm:prSet presAssocID="{9CA66492-D947-420D-BA07-7FDF570F1BD1}" presName="spaceB" presStyleCnt="0"/>
      <dgm:spPr/>
    </dgm:pt>
  </dgm:ptLst>
  <dgm:cxnLst>
    <dgm:cxn modelId="{9BF4C468-6B97-4CA4-B3A0-109D3CF639B6}" srcId="{9D674933-4A6C-4125-BD1A-AB6437885BD9}" destId="{EDE34DBB-F426-4483-8AD5-4F7582EBE67E}" srcOrd="2" destOrd="0" parTransId="{18AF2586-97A6-4409-8D41-A7851295439F}" sibTransId="{BBC456F4-C4BF-48E7-9FB6-9AC189588CC8}"/>
    <dgm:cxn modelId="{29004F39-D260-4078-926E-C05073CB944A}" srcId="{9D674933-4A6C-4125-BD1A-AB6437885BD9}" destId="{7119F4E8-35B7-4DE7-BB41-0D0251483599}" srcOrd="5" destOrd="0" parTransId="{5A31345F-30AA-4EDD-9CAD-0F9CB8E67179}" sibTransId="{A292B686-37CD-42C7-AF5D-C919664250F4}"/>
    <dgm:cxn modelId="{ED1E6507-798D-4D1C-AD28-F212A832BBED}" srcId="{9D674933-4A6C-4125-BD1A-AB6437885BD9}" destId="{2768CEFE-92CB-4CAB-9155-716A446FAE87}" srcOrd="6" destOrd="0" parTransId="{95F9A96F-6635-490A-87C8-452443A5083C}" sibTransId="{7B24E440-9814-47A9-8FEB-D34FA319DF7B}"/>
    <dgm:cxn modelId="{67FF1952-B794-4D35-B610-A515F24DD37D}" type="presOf" srcId="{9D674933-4A6C-4125-BD1A-AB6437885BD9}" destId="{4B3A1462-9296-4B96-9351-4EC88BC28FB4}" srcOrd="0" destOrd="0" presId="urn:microsoft.com/office/officeart/2005/8/layout/hProcess11"/>
    <dgm:cxn modelId="{E61ED788-2C0A-4F19-A019-1F5F3AD44172}" type="presOf" srcId="{1A4BBD36-CA3E-427B-B19E-F023A0F38860}" destId="{A888933C-B540-4CA7-A23E-EB1BA22EF3C9}" srcOrd="0" destOrd="0" presId="urn:microsoft.com/office/officeart/2005/8/layout/hProcess11"/>
    <dgm:cxn modelId="{FD9EC4EA-E438-4126-BA1C-8F2422A82F58}" type="presOf" srcId="{9CA66492-D947-420D-BA07-7FDF570F1BD1}" destId="{081177B9-84BF-4BB3-B9AB-016E0B1B3210}" srcOrd="0" destOrd="0" presId="urn:microsoft.com/office/officeart/2005/8/layout/hProcess11"/>
    <dgm:cxn modelId="{B5A3A696-0ADC-4BF8-9E9A-E75B1539DB06}" type="presOf" srcId="{2768CEFE-92CB-4CAB-9155-716A446FAE87}" destId="{EBC7320A-0431-411C-820C-150FB15FBED8}" srcOrd="0" destOrd="0" presId="urn:microsoft.com/office/officeart/2005/8/layout/hProcess11"/>
    <dgm:cxn modelId="{165A1C30-BA7B-4FDE-8B5E-A021A0CA8A15}" srcId="{9D674933-4A6C-4125-BD1A-AB6437885BD9}" destId="{2FA9FBF7-3443-47CF-8308-865249A0E8B8}" srcOrd="1" destOrd="0" parTransId="{1D1B9681-1EBB-463F-AA70-7B53B012C4A1}" sibTransId="{384636E8-8DD2-43D3-89CF-513B60D4FD60}"/>
    <dgm:cxn modelId="{D9442808-97B1-4AF6-A3E5-D69263EA8271}" type="presOf" srcId="{E765186A-670F-4D84-8EEA-F1F96D594067}" destId="{BD255913-41BB-47BE-AED7-152D161451F1}" srcOrd="0" destOrd="0" presId="urn:microsoft.com/office/officeart/2005/8/layout/hProcess11"/>
    <dgm:cxn modelId="{EC9AFF35-6CE6-463F-A054-3CB2A620851B}" srcId="{9D674933-4A6C-4125-BD1A-AB6437885BD9}" destId="{9CA66492-D947-420D-BA07-7FDF570F1BD1}" srcOrd="7" destOrd="0" parTransId="{556DBDAA-6DC7-4CA8-B4B7-CFB1C41E7326}" sibTransId="{FFE07660-1DA1-4C2A-B7B8-302C74969681}"/>
    <dgm:cxn modelId="{F26E6736-FA56-418B-B23B-156062E63345}" srcId="{9D674933-4A6C-4125-BD1A-AB6437885BD9}" destId="{A81CD71B-1A0C-478A-ACE9-16995ACC66FE}" srcOrd="4" destOrd="0" parTransId="{353B46A2-8274-4F72-9B40-F832A7B53DE8}" sibTransId="{18C47D9B-E7D0-425C-9D28-0B272EF0FC36}"/>
    <dgm:cxn modelId="{268BAB48-1258-47AD-B859-E0463F40A7A4}" type="presOf" srcId="{EDE34DBB-F426-4483-8AD5-4F7582EBE67E}" destId="{E30B7043-3763-4769-B55A-1FCBE58B3F97}" srcOrd="0" destOrd="0" presId="urn:microsoft.com/office/officeart/2005/8/layout/hProcess11"/>
    <dgm:cxn modelId="{EEF48D1F-B8C8-480C-ABAE-0E2B34542865}" srcId="{9D674933-4A6C-4125-BD1A-AB6437885BD9}" destId="{E765186A-670F-4D84-8EEA-F1F96D594067}" srcOrd="0" destOrd="0" parTransId="{6ED17680-9210-4238-A3A1-E76DB3033145}" sibTransId="{2045D760-E19A-484A-AF81-7DE0F86581D7}"/>
    <dgm:cxn modelId="{9A810C9A-A769-4DFF-9F8D-3038F86223B9}" type="presOf" srcId="{A81CD71B-1A0C-478A-ACE9-16995ACC66FE}" destId="{492A0AF6-B336-4179-A9E4-532750B90A55}" srcOrd="0" destOrd="0" presId="urn:microsoft.com/office/officeart/2005/8/layout/hProcess11"/>
    <dgm:cxn modelId="{E10D83E0-2C53-4749-836B-929DF5C7AAA8}" srcId="{9D674933-4A6C-4125-BD1A-AB6437885BD9}" destId="{1A4BBD36-CA3E-427B-B19E-F023A0F38860}" srcOrd="3" destOrd="0" parTransId="{7FB61D02-7638-4864-889C-9FD7F1ABF86C}" sibTransId="{231EED22-DAA6-48F6-BFB6-6878AAE059CE}"/>
    <dgm:cxn modelId="{D47A77B2-8D8B-4534-B9C8-541F6C551A3C}" type="presOf" srcId="{7119F4E8-35B7-4DE7-BB41-0D0251483599}" destId="{C0D397FC-6C50-4E2F-A890-4A3233B6CB46}" srcOrd="0" destOrd="0" presId="urn:microsoft.com/office/officeart/2005/8/layout/hProcess11"/>
    <dgm:cxn modelId="{C21B0294-35A9-4216-8FDD-243ED8A6EE9D}" type="presOf" srcId="{2FA9FBF7-3443-47CF-8308-865249A0E8B8}" destId="{32D16AF1-7EBE-4073-B26C-1028CBF87D80}" srcOrd="0" destOrd="0" presId="urn:microsoft.com/office/officeart/2005/8/layout/hProcess11"/>
    <dgm:cxn modelId="{DA50933C-1565-4B9D-9763-B8B898FD4A88}" type="presParOf" srcId="{4B3A1462-9296-4B96-9351-4EC88BC28FB4}" destId="{E1490FC8-D702-445A-B73D-4CFFD94F2241}" srcOrd="0" destOrd="0" presId="urn:microsoft.com/office/officeart/2005/8/layout/hProcess11"/>
    <dgm:cxn modelId="{0D8D1507-5579-4075-9F17-AD175896C49F}" type="presParOf" srcId="{4B3A1462-9296-4B96-9351-4EC88BC28FB4}" destId="{267B0FEC-756C-4349-890F-0CDB51F4D555}" srcOrd="1" destOrd="0" presId="urn:microsoft.com/office/officeart/2005/8/layout/hProcess11"/>
    <dgm:cxn modelId="{A0A714A2-F1BF-4EFF-B2E8-21FAC9DD34AC}" type="presParOf" srcId="{267B0FEC-756C-4349-890F-0CDB51F4D555}" destId="{2A678B76-5B17-4587-8D78-00E50A155F6A}" srcOrd="0" destOrd="0" presId="urn:microsoft.com/office/officeart/2005/8/layout/hProcess11"/>
    <dgm:cxn modelId="{9D559786-D64D-4F2D-8E5C-F418966A9690}" type="presParOf" srcId="{2A678B76-5B17-4587-8D78-00E50A155F6A}" destId="{BD255913-41BB-47BE-AED7-152D161451F1}" srcOrd="0" destOrd="0" presId="urn:microsoft.com/office/officeart/2005/8/layout/hProcess11"/>
    <dgm:cxn modelId="{F88081E5-12F3-4AA0-9867-15FE80805FCF}" type="presParOf" srcId="{2A678B76-5B17-4587-8D78-00E50A155F6A}" destId="{117A9205-8994-43AF-B564-82216A1F752C}" srcOrd="1" destOrd="0" presId="urn:microsoft.com/office/officeart/2005/8/layout/hProcess11"/>
    <dgm:cxn modelId="{EAC58BFB-003F-4211-8BD9-DA589D0597A5}" type="presParOf" srcId="{2A678B76-5B17-4587-8D78-00E50A155F6A}" destId="{A90F97F9-8CC4-4F50-94B7-ADAB6A051B43}" srcOrd="2" destOrd="0" presId="urn:microsoft.com/office/officeart/2005/8/layout/hProcess11"/>
    <dgm:cxn modelId="{89A7B203-6C44-4BC6-8169-6EE16C3ECADF}" type="presParOf" srcId="{267B0FEC-756C-4349-890F-0CDB51F4D555}" destId="{132D7AB8-D8A4-4697-B583-CF583AB792CA}" srcOrd="1" destOrd="0" presId="urn:microsoft.com/office/officeart/2005/8/layout/hProcess11"/>
    <dgm:cxn modelId="{204FD770-A93A-47FE-8DC5-90E2B7D1398B}" type="presParOf" srcId="{267B0FEC-756C-4349-890F-0CDB51F4D555}" destId="{94B449FD-8D7E-4156-A7F2-BE9CCCDD0324}" srcOrd="2" destOrd="0" presId="urn:microsoft.com/office/officeart/2005/8/layout/hProcess11"/>
    <dgm:cxn modelId="{13DCF174-7D8E-44DA-AC23-9332B948435E}" type="presParOf" srcId="{94B449FD-8D7E-4156-A7F2-BE9CCCDD0324}" destId="{32D16AF1-7EBE-4073-B26C-1028CBF87D80}" srcOrd="0" destOrd="0" presId="urn:microsoft.com/office/officeart/2005/8/layout/hProcess11"/>
    <dgm:cxn modelId="{8F95F871-CBBC-467F-AB5B-28EDB7BC2594}" type="presParOf" srcId="{94B449FD-8D7E-4156-A7F2-BE9CCCDD0324}" destId="{0562383F-417C-42F7-B7CA-6540C4F7C804}" srcOrd="1" destOrd="0" presId="urn:microsoft.com/office/officeart/2005/8/layout/hProcess11"/>
    <dgm:cxn modelId="{3E4FEEA3-D97B-476C-8BDD-1FE07D4F5AAC}" type="presParOf" srcId="{94B449FD-8D7E-4156-A7F2-BE9CCCDD0324}" destId="{323E17A2-3AF7-4229-9575-83260F911575}" srcOrd="2" destOrd="0" presId="urn:microsoft.com/office/officeart/2005/8/layout/hProcess11"/>
    <dgm:cxn modelId="{B47536C5-4DDB-470C-8AB4-28D967D0FF2B}" type="presParOf" srcId="{267B0FEC-756C-4349-890F-0CDB51F4D555}" destId="{6DECF5E8-972B-47ED-BC6E-17936CB3BAEB}" srcOrd="3" destOrd="0" presId="urn:microsoft.com/office/officeart/2005/8/layout/hProcess11"/>
    <dgm:cxn modelId="{B53D6A87-8C15-46B6-A8D0-CB3CC62E6519}" type="presParOf" srcId="{267B0FEC-756C-4349-890F-0CDB51F4D555}" destId="{A028ECA7-C9DC-44FC-A26C-AF99AD55B4D5}" srcOrd="4" destOrd="0" presId="urn:microsoft.com/office/officeart/2005/8/layout/hProcess11"/>
    <dgm:cxn modelId="{7B4C94D3-90F2-404F-A684-32208189B468}" type="presParOf" srcId="{A028ECA7-C9DC-44FC-A26C-AF99AD55B4D5}" destId="{E30B7043-3763-4769-B55A-1FCBE58B3F97}" srcOrd="0" destOrd="0" presId="urn:microsoft.com/office/officeart/2005/8/layout/hProcess11"/>
    <dgm:cxn modelId="{68B15179-FADE-4819-B591-D608C297D9CC}" type="presParOf" srcId="{A028ECA7-C9DC-44FC-A26C-AF99AD55B4D5}" destId="{6CDE7315-4CF3-42B9-BD09-B271FECE7300}" srcOrd="1" destOrd="0" presId="urn:microsoft.com/office/officeart/2005/8/layout/hProcess11"/>
    <dgm:cxn modelId="{533D03C0-783F-4C20-91E2-9BBA31EC29B9}" type="presParOf" srcId="{A028ECA7-C9DC-44FC-A26C-AF99AD55B4D5}" destId="{89B1A144-3190-4D89-8669-23569724120B}" srcOrd="2" destOrd="0" presId="urn:microsoft.com/office/officeart/2005/8/layout/hProcess11"/>
    <dgm:cxn modelId="{BE12EB30-2478-45E3-A86D-4297C078C0EC}" type="presParOf" srcId="{267B0FEC-756C-4349-890F-0CDB51F4D555}" destId="{12B71B06-3021-4AC1-A9FB-D8B5D63E1873}" srcOrd="5" destOrd="0" presId="urn:microsoft.com/office/officeart/2005/8/layout/hProcess11"/>
    <dgm:cxn modelId="{8CBC5F6A-874F-489C-8ED7-5CE2FEA2E087}" type="presParOf" srcId="{267B0FEC-756C-4349-890F-0CDB51F4D555}" destId="{C1C10A05-0A18-4F85-9FA8-AFA88A891A6D}" srcOrd="6" destOrd="0" presId="urn:microsoft.com/office/officeart/2005/8/layout/hProcess11"/>
    <dgm:cxn modelId="{F77841C0-F02B-4246-838A-CE0545507F6C}" type="presParOf" srcId="{C1C10A05-0A18-4F85-9FA8-AFA88A891A6D}" destId="{A888933C-B540-4CA7-A23E-EB1BA22EF3C9}" srcOrd="0" destOrd="0" presId="urn:microsoft.com/office/officeart/2005/8/layout/hProcess11"/>
    <dgm:cxn modelId="{54C4BE89-9644-46F6-A582-B77CB01DE92D}" type="presParOf" srcId="{C1C10A05-0A18-4F85-9FA8-AFA88A891A6D}" destId="{9F59D680-8950-4C02-AF90-27832B037396}" srcOrd="1" destOrd="0" presId="urn:microsoft.com/office/officeart/2005/8/layout/hProcess11"/>
    <dgm:cxn modelId="{DC4CC4DE-D940-4DA9-8BFE-DBF20E1ABA99}" type="presParOf" srcId="{C1C10A05-0A18-4F85-9FA8-AFA88A891A6D}" destId="{B00D1A2D-8173-4777-B4B2-5A5317178D07}" srcOrd="2" destOrd="0" presId="urn:microsoft.com/office/officeart/2005/8/layout/hProcess11"/>
    <dgm:cxn modelId="{B8CF439C-9028-4A27-A6D1-612CA21C3455}" type="presParOf" srcId="{267B0FEC-756C-4349-890F-0CDB51F4D555}" destId="{577E78D2-2317-4DD8-B326-D0FABAFE20A1}" srcOrd="7" destOrd="0" presId="urn:microsoft.com/office/officeart/2005/8/layout/hProcess11"/>
    <dgm:cxn modelId="{0DB4A667-2407-4AC5-AB79-854053629E6E}" type="presParOf" srcId="{267B0FEC-756C-4349-890F-0CDB51F4D555}" destId="{24C8D858-CFB8-4E04-9E0B-81DD25F97EC2}" srcOrd="8" destOrd="0" presId="urn:microsoft.com/office/officeart/2005/8/layout/hProcess11"/>
    <dgm:cxn modelId="{62E96E7C-5EBD-441A-AD98-8CFAD931B741}" type="presParOf" srcId="{24C8D858-CFB8-4E04-9E0B-81DD25F97EC2}" destId="{492A0AF6-B336-4179-A9E4-532750B90A55}" srcOrd="0" destOrd="0" presId="urn:microsoft.com/office/officeart/2005/8/layout/hProcess11"/>
    <dgm:cxn modelId="{DC2EEDD9-EFCD-4BB3-BD62-82437AB2668A}" type="presParOf" srcId="{24C8D858-CFB8-4E04-9E0B-81DD25F97EC2}" destId="{FDCFEEA1-25A1-43C3-BB16-480599015B55}" srcOrd="1" destOrd="0" presId="urn:microsoft.com/office/officeart/2005/8/layout/hProcess11"/>
    <dgm:cxn modelId="{42A49A90-E71D-4B18-938B-CFFAF983A85A}" type="presParOf" srcId="{24C8D858-CFB8-4E04-9E0B-81DD25F97EC2}" destId="{CD6F8784-BFD2-48F6-8E61-00D08F29DE97}" srcOrd="2" destOrd="0" presId="urn:microsoft.com/office/officeart/2005/8/layout/hProcess11"/>
    <dgm:cxn modelId="{05792415-F274-48EE-99D7-68FDAFFF8E22}" type="presParOf" srcId="{267B0FEC-756C-4349-890F-0CDB51F4D555}" destId="{883166BA-9A9B-4C0F-AEF3-D2EFC593ADF7}" srcOrd="9" destOrd="0" presId="urn:microsoft.com/office/officeart/2005/8/layout/hProcess11"/>
    <dgm:cxn modelId="{17F24170-508E-44EC-BE5B-E7A5FC62113C}" type="presParOf" srcId="{267B0FEC-756C-4349-890F-0CDB51F4D555}" destId="{FFEB9555-6D6A-4800-81D4-46145222A7B4}" srcOrd="10" destOrd="0" presId="urn:microsoft.com/office/officeart/2005/8/layout/hProcess11"/>
    <dgm:cxn modelId="{55E51BA0-EE7E-43D7-9958-23C0100D7098}" type="presParOf" srcId="{FFEB9555-6D6A-4800-81D4-46145222A7B4}" destId="{C0D397FC-6C50-4E2F-A890-4A3233B6CB46}" srcOrd="0" destOrd="0" presId="urn:microsoft.com/office/officeart/2005/8/layout/hProcess11"/>
    <dgm:cxn modelId="{DEE6D21A-88A3-4D76-A345-3F848F4D3338}" type="presParOf" srcId="{FFEB9555-6D6A-4800-81D4-46145222A7B4}" destId="{3FFE9D44-6DFF-4831-A368-DE48526D37ED}" srcOrd="1" destOrd="0" presId="urn:microsoft.com/office/officeart/2005/8/layout/hProcess11"/>
    <dgm:cxn modelId="{CF65C1DD-9D12-46DD-99E9-C7659EB62F85}" type="presParOf" srcId="{FFEB9555-6D6A-4800-81D4-46145222A7B4}" destId="{3BEF6FD2-AE86-40F2-B04D-1321CAFD24F9}" srcOrd="2" destOrd="0" presId="urn:microsoft.com/office/officeart/2005/8/layout/hProcess11"/>
    <dgm:cxn modelId="{7114C53C-417B-47D8-8E61-3A044658E9D7}" type="presParOf" srcId="{267B0FEC-756C-4349-890F-0CDB51F4D555}" destId="{C3247E2C-2E0D-4F65-BEC9-89A3B732D880}" srcOrd="11" destOrd="0" presId="urn:microsoft.com/office/officeart/2005/8/layout/hProcess11"/>
    <dgm:cxn modelId="{14CFC16A-A967-449B-AC62-AA5C48C03044}" type="presParOf" srcId="{267B0FEC-756C-4349-890F-0CDB51F4D555}" destId="{D999F9A9-2444-4DBF-A2BF-9CAF7C2013AC}" srcOrd="12" destOrd="0" presId="urn:microsoft.com/office/officeart/2005/8/layout/hProcess11"/>
    <dgm:cxn modelId="{AD6A6FAA-BDF0-4260-9B4E-7CCA5F1CAB5C}" type="presParOf" srcId="{D999F9A9-2444-4DBF-A2BF-9CAF7C2013AC}" destId="{EBC7320A-0431-411C-820C-150FB15FBED8}" srcOrd="0" destOrd="0" presId="urn:microsoft.com/office/officeart/2005/8/layout/hProcess11"/>
    <dgm:cxn modelId="{08788DC0-AAA0-4543-99B3-2EE1109B3299}" type="presParOf" srcId="{D999F9A9-2444-4DBF-A2BF-9CAF7C2013AC}" destId="{E45A0582-C175-4D04-A783-D274B76EDB9C}" srcOrd="1" destOrd="0" presId="urn:microsoft.com/office/officeart/2005/8/layout/hProcess11"/>
    <dgm:cxn modelId="{3F0809FF-0473-439E-AF2D-72F632D75523}" type="presParOf" srcId="{D999F9A9-2444-4DBF-A2BF-9CAF7C2013AC}" destId="{A82DA99F-E649-4EDA-8A6F-A0C69BA40A88}" srcOrd="2" destOrd="0" presId="urn:microsoft.com/office/officeart/2005/8/layout/hProcess11"/>
    <dgm:cxn modelId="{C54F0D7F-75E9-4C6F-914F-30C4DA868E8B}" type="presParOf" srcId="{267B0FEC-756C-4349-890F-0CDB51F4D555}" destId="{F74A0A1C-6A7A-497F-B1BF-FFF590308464}" srcOrd="13" destOrd="0" presId="urn:microsoft.com/office/officeart/2005/8/layout/hProcess11"/>
    <dgm:cxn modelId="{BA4321C4-5AAC-4156-85AE-A2B8BE5C09D4}" type="presParOf" srcId="{267B0FEC-756C-4349-890F-0CDB51F4D555}" destId="{F89FFBA0-20BE-423F-9E42-CA4965CB48F6}" srcOrd="14" destOrd="0" presId="urn:microsoft.com/office/officeart/2005/8/layout/hProcess11"/>
    <dgm:cxn modelId="{FD2E6652-FA02-4B07-9CB2-BDEF06A0566E}" type="presParOf" srcId="{F89FFBA0-20BE-423F-9E42-CA4965CB48F6}" destId="{081177B9-84BF-4BB3-B9AB-016E0B1B3210}" srcOrd="0" destOrd="0" presId="urn:microsoft.com/office/officeart/2005/8/layout/hProcess11"/>
    <dgm:cxn modelId="{A1C8A757-285B-4681-8956-55E4B89226C9}" type="presParOf" srcId="{F89FFBA0-20BE-423F-9E42-CA4965CB48F6}" destId="{F49FAAB4-5BE1-4277-985D-DA85A38D94EF}" srcOrd="1" destOrd="0" presId="urn:microsoft.com/office/officeart/2005/8/layout/hProcess11"/>
    <dgm:cxn modelId="{498F60AA-69E2-4EF8-810D-691067B85073}" type="presParOf" srcId="{F89FFBA0-20BE-423F-9E42-CA4965CB48F6}" destId="{723EEB5F-C8C0-406E-861D-E53D272354A0}" srcOrd="2" destOrd="0" presId="urn:microsoft.com/office/officeart/2005/8/layout/hProcess1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457683-672E-4F27-9F91-386824F9CF7D}">
      <dsp:nvSpPr>
        <dsp:cNvPr id="0" name=""/>
        <dsp:cNvSpPr/>
      </dsp:nvSpPr>
      <dsp:spPr>
        <a:xfrm>
          <a:off x="3087419" y="1738950"/>
          <a:ext cx="2398980" cy="1096273"/>
        </a:xfrm>
        <a:prstGeom prst="roundRect">
          <a:avLst>
            <a:gd name="adj" fmla="val 10000"/>
          </a:avLst>
        </a:prstGeom>
        <a:solidFill>
          <a:schemeClr val="lt1">
            <a:alpha val="90000"/>
            <a:hueOff val="0"/>
            <a:satOff val="0"/>
            <a:lumOff val="0"/>
            <a:alphaOff val="0"/>
          </a:schemeClr>
        </a:solidFill>
        <a:ln w="12700" cap="flat" cmpd="sng" algn="ctr">
          <a:solidFill>
            <a:srgbClr val="00459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cs-CZ" sz="900" kern="1200"/>
            <a:t>Daň silniční</a:t>
          </a:r>
        </a:p>
        <a:p>
          <a:pPr marL="57150" lvl="1" indent="-57150" algn="l" defTabSz="400050">
            <a:lnSpc>
              <a:spcPct val="90000"/>
            </a:lnSpc>
            <a:spcBef>
              <a:spcPct val="0"/>
            </a:spcBef>
            <a:spcAft>
              <a:spcPct val="15000"/>
            </a:spcAft>
            <a:buChar char="••"/>
          </a:pPr>
          <a:r>
            <a:rPr lang="cs-CZ" sz="900" kern="1200"/>
            <a:t>Solární odvod </a:t>
          </a:r>
        </a:p>
        <a:p>
          <a:pPr marL="57150" lvl="1" indent="-57150" algn="l" defTabSz="400050">
            <a:lnSpc>
              <a:spcPct val="90000"/>
            </a:lnSpc>
            <a:spcBef>
              <a:spcPct val="0"/>
            </a:spcBef>
            <a:spcAft>
              <a:spcPct val="15000"/>
            </a:spcAft>
            <a:buChar char="••"/>
          </a:pPr>
          <a:r>
            <a:rPr lang="cs-CZ" sz="900" kern="1200"/>
            <a:t>Daně z příjmů</a:t>
          </a:r>
        </a:p>
        <a:p>
          <a:pPr marL="57150" lvl="1" indent="-57150" algn="l" defTabSz="400050">
            <a:lnSpc>
              <a:spcPct val="90000"/>
            </a:lnSpc>
            <a:spcBef>
              <a:spcPct val="0"/>
            </a:spcBef>
            <a:spcAft>
              <a:spcPct val="15000"/>
            </a:spcAft>
            <a:buChar char="••"/>
          </a:pPr>
          <a:r>
            <a:rPr lang="cs-CZ" sz="900" kern="1200"/>
            <a:t>Spotřební daně </a:t>
          </a:r>
        </a:p>
        <a:p>
          <a:pPr marL="57150" lvl="1" indent="-57150" algn="l" defTabSz="400050">
            <a:lnSpc>
              <a:spcPct val="90000"/>
            </a:lnSpc>
            <a:spcBef>
              <a:spcPct val="0"/>
            </a:spcBef>
            <a:spcAft>
              <a:spcPct val="15000"/>
            </a:spcAft>
            <a:buChar char="••"/>
          </a:pPr>
          <a:r>
            <a:rPr lang="cs-CZ" sz="900" kern="1200"/>
            <a:t>Daň z přidané hodnoty</a:t>
          </a:r>
        </a:p>
      </dsp:txBody>
      <dsp:txXfrm>
        <a:off x="3831195" y="2037100"/>
        <a:ext cx="1631122" cy="774041"/>
      </dsp:txXfrm>
    </dsp:sp>
    <dsp:sp modelId="{7E321181-3769-4898-B2AD-7B4FF9C6EC09}">
      <dsp:nvSpPr>
        <dsp:cNvPr id="0" name=""/>
        <dsp:cNvSpPr/>
      </dsp:nvSpPr>
      <dsp:spPr>
        <a:xfrm>
          <a:off x="0" y="1744918"/>
          <a:ext cx="2364730" cy="1084336"/>
        </a:xfrm>
        <a:prstGeom prst="roundRect">
          <a:avLst>
            <a:gd name="adj" fmla="val 10000"/>
          </a:avLst>
        </a:prstGeom>
        <a:solidFill>
          <a:schemeClr val="lt1">
            <a:alpha val="90000"/>
            <a:hueOff val="0"/>
            <a:satOff val="0"/>
            <a:lumOff val="0"/>
            <a:alphaOff val="0"/>
          </a:schemeClr>
        </a:solidFill>
        <a:ln w="12700" cap="flat" cmpd="sng" algn="ctr">
          <a:solidFill>
            <a:srgbClr val="E4848B">
              <a:alpha val="60000"/>
            </a:srgbClr>
          </a:solidFill>
          <a:prstDash val="solid"/>
          <a:miter lim="800000"/>
        </a:ln>
        <a:effectLst>
          <a:outerShdw blurRad="50800" dist="50800" dir="5400000" sx="1000" sy="1000" algn="ctr" rotWithShape="0">
            <a:srgbClr val="000000"/>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0" algn="l" defTabSz="400050">
            <a:lnSpc>
              <a:spcPct val="90000"/>
            </a:lnSpc>
            <a:spcBef>
              <a:spcPct val="0"/>
            </a:spcBef>
            <a:spcAft>
              <a:spcPct val="15000"/>
            </a:spcAft>
            <a:buChar char="••"/>
          </a:pPr>
          <a:r>
            <a:rPr lang="cs-CZ" sz="900" kern="1200">
              <a:ln>
                <a:noFill/>
              </a:ln>
            </a:rPr>
            <a:t>Registrační poplatek </a:t>
          </a:r>
        </a:p>
        <a:p>
          <a:pPr marL="57150" lvl="1" indent="0" algn="l" defTabSz="400050">
            <a:lnSpc>
              <a:spcPct val="90000"/>
            </a:lnSpc>
            <a:spcBef>
              <a:spcPct val="0"/>
            </a:spcBef>
            <a:spcAft>
              <a:spcPct val="15000"/>
            </a:spcAft>
            <a:buChar char="••"/>
          </a:pPr>
          <a:r>
            <a:rPr lang="cs-CZ" sz="900" kern="1200">
              <a:ln>
                <a:noFill/>
              </a:ln>
            </a:rPr>
            <a:t>Poplatky za užívání silnic</a:t>
          </a:r>
        </a:p>
      </dsp:txBody>
      <dsp:txXfrm>
        <a:off x="23819" y="2039821"/>
        <a:ext cx="1607673" cy="765614"/>
      </dsp:txXfrm>
    </dsp:sp>
    <dsp:sp modelId="{F889EB64-A580-414B-8C39-5C12880FE7D5}">
      <dsp:nvSpPr>
        <dsp:cNvPr id="0" name=""/>
        <dsp:cNvSpPr/>
      </dsp:nvSpPr>
      <dsp:spPr>
        <a:xfrm>
          <a:off x="3084439" y="-75719"/>
          <a:ext cx="2401960" cy="1062460"/>
        </a:xfrm>
        <a:prstGeom prst="roundRect">
          <a:avLst>
            <a:gd name="adj" fmla="val 10000"/>
          </a:avLst>
        </a:prstGeom>
        <a:solidFill>
          <a:schemeClr val="lt1">
            <a:alpha val="90000"/>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endParaRPr lang="cs-CZ" sz="900" kern="1200"/>
        </a:p>
        <a:p>
          <a:pPr marL="57150" lvl="1" indent="-57150" algn="l" defTabSz="400050">
            <a:lnSpc>
              <a:spcPct val="90000"/>
            </a:lnSpc>
            <a:spcBef>
              <a:spcPct val="0"/>
            </a:spcBef>
            <a:spcAft>
              <a:spcPct val="15000"/>
            </a:spcAft>
            <a:buChar char="••"/>
          </a:pPr>
          <a:r>
            <a:rPr lang="cs-CZ" sz="900" kern="1200"/>
            <a:t>Dotace operační program podnikání a inovace </a:t>
          </a:r>
        </a:p>
      </dsp:txBody>
      <dsp:txXfrm>
        <a:off x="3828366" y="-52380"/>
        <a:ext cx="1634694" cy="750167"/>
      </dsp:txXfrm>
    </dsp:sp>
    <dsp:sp modelId="{720271FB-9D8F-4FC8-AD8F-EC0366A9780A}">
      <dsp:nvSpPr>
        <dsp:cNvPr id="0" name=""/>
        <dsp:cNvSpPr/>
      </dsp:nvSpPr>
      <dsp:spPr>
        <a:xfrm>
          <a:off x="0" y="-75723"/>
          <a:ext cx="2273559" cy="1161744"/>
        </a:xfrm>
        <a:prstGeom prst="roundRect">
          <a:avLst>
            <a:gd name="adj" fmla="val 10000"/>
          </a:avLst>
        </a:prstGeom>
        <a:solidFill>
          <a:schemeClr val="lt1">
            <a:alpha val="90000"/>
            <a:hueOff val="0"/>
            <a:satOff val="0"/>
            <a:lumOff val="0"/>
            <a:alphaOff val="0"/>
          </a:schemeClr>
        </a:solidFill>
        <a:ln w="12700" cap="flat" cmpd="sng" algn="ctr">
          <a:solidFill>
            <a:srgbClr val="81808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cs-CZ" sz="900" kern="1200"/>
            <a:t>Recyklační poplatek  </a:t>
          </a:r>
        </a:p>
        <a:p>
          <a:pPr marL="57150" lvl="1" indent="-57150" algn="l" defTabSz="400050">
            <a:lnSpc>
              <a:spcPct val="90000"/>
            </a:lnSpc>
            <a:spcBef>
              <a:spcPct val="0"/>
            </a:spcBef>
            <a:spcAft>
              <a:spcPct val="15000"/>
            </a:spcAft>
            <a:buChar char="••"/>
          </a:pPr>
          <a:r>
            <a:rPr lang="cs-CZ" sz="900" kern="1200"/>
            <a:t>Státní příspěvek při vyřazení autovraků </a:t>
          </a:r>
        </a:p>
        <a:p>
          <a:pPr marL="57150" lvl="1" indent="-57150" algn="l" defTabSz="400050">
            <a:lnSpc>
              <a:spcPct val="90000"/>
            </a:lnSpc>
            <a:spcBef>
              <a:spcPct val="0"/>
            </a:spcBef>
            <a:spcAft>
              <a:spcPct val="15000"/>
            </a:spcAft>
            <a:buChar char="••"/>
          </a:pPr>
          <a:r>
            <a:rPr lang="cs-CZ" sz="900" kern="1200"/>
            <a:t>Nízkoemisní zóny</a:t>
          </a:r>
        </a:p>
        <a:p>
          <a:pPr marL="57150" lvl="1" indent="-57150" algn="l" defTabSz="400050">
            <a:lnSpc>
              <a:spcPct val="90000"/>
            </a:lnSpc>
            <a:spcBef>
              <a:spcPct val="0"/>
            </a:spcBef>
            <a:spcAft>
              <a:spcPct val="15000"/>
            </a:spcAft>
            <a:buChar char="••"/>
          </a:pPr>
          <a:r>
            <a:rPr lang="cs-CZ" sz="900" kern="1200"/>
            <a:t>Dotace </a:t>
          </a:r>
          <a:r>
            <a:rPr lang="cs-CZ" sz="900" i="1" kern="1200"/>
            <a:t>Zelená úsporám</a:t>
          </a:r>
        </a:p>
        <a:p>
          <a:pPr marL="57150" lvl="1" indent="-57150" algn="l" defTabSz="400050">
            <a:lnSpc>
              <a:spcPct val="90000"/>
            </a:lnSpc>
            <a:spcBef>
              <a:spcPct val="0"/>
            </a:spcBef>
            <a:spcAft>
              <a:spcPct val="15000"/>
            </a:spcAft>
            <a:buChar char="••"/>
          </a:pPr>
          <a:r>
            <a:rPr lang="cs-CZ" sz="900" kern="1200">
              <a:ln>
                <a:noFill/>
              </a:ln>
            </a:rPr>
            <a:t>Dotace na nákup vozidel pro veřejný sektor </a:t>
          </a:r>
          <a:endParaRPr lang="cs-CZ" sz="900" kern="1200"/>
        </a:p>
        <a:p>
          <a:pPr marL="57150" lvl="1" indent="-57150" algn="l" defTabSz="400050">
            <a:lnSpc>
              <a:spcPct val="90000"/>
            </a:lnSpc>
            <a:spcBef>
              <a:spcPct val="0"/>
            </a:spcBef>
            <a:spcAft>
              <a:spcPct val="15000"/>
            </a:spcAft>
            <a:buChar char="••"/>
          </a:pPr>
          <a:endParaRPr lang="cs-CZ" sz="900" kern="1200"/>
        </a:p>
      </dsp:txBody>
      <dsp:txXfrm>
        <a:off x="25520" y="-50203"/>
        <a:ext cx="1540451" cy="820268"/>
      </dsp:txXfrm>
    </dsp:sp>
    <dsp:sp modelId="{14180589-AF8F-4E2C-9A62-FFD680C2A530}">
      <dsp:nvSpPr>
        <dsp:cNvPr id="0" name=""/>
        <dsp:cNvSpPr/>
      </dsp:nvSpPr>
      <dsp:spPr>
        <a:xfrm>
          <a:off x="1549982" y="161713"/>
          <a:ext cx="1166282" cy="1166282"/>
        </a:xfrm>
        <a:prstGeom prst="pieWedg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cs-CZ" sz="1000" kern="1200"/>
            <a:t>Ministerstvo životního prostředí </a:t>
          </a:r>
        </a:p>
      </dsp:txBody>
      <dsp:txXfrm>
        <a:off x="1891578" y="503309"/>
        <a:ext cx="824686" cy="824686"/>
      </dsp:txXfrm>
    </dsp:sp>
    <dsp:sp modelId="{F7AC4F59-9B2D-48E4-AA31-0C0A5FCA1D99}">
      <dsp:nvSpPr>
        <dsp:cNvPr id="0" name=""/>
        <dsp:cNvSpPr/>
      </dsp:nvSpPr>
      <dsp:spPr>
        <a:xfrm rot="5400000">
          <a:off x="2772700" y="165713"/>
          <a:ext cx="1166282" cy="1166282"/>
        </a:xfrm>
        <a:prstGeom prst="pieWedg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cs-CZ" sz="1000" kern="1200"/>
            <a:t>Ministerstvo průmyslu </a:t>
          </a:r>
          <a:br>
            <a:rPr lang="cs-CZ" sz="1000" kern="1200"/>
          </a:br>
          <a:r>
            <a:rPr lang="cs-CZ" sz="1000" kern="1200"/>
            <a:t>a obchodu </a:t>
          </a:r>
        </a:p>
      </dsp:txBody>
      <dsp:txXfrm rot="-5400000">
        <a:off x="2772700" y="507309"/>
        <a:ext cx="824686" cy="824686"/>
      </dsp:txXfrm>
    </dsp:sp>
    <dsp:sp modelId="{CFC9B7F8-F99F-4742-B02E-6AD1D29F8FEB}">
      <dsp:nvSpPr>
        <dsp:cNvPr id="0" name=""/>
        <dsp:cNvSpPr/>
      </dsp:nvSpPr>
      <dsp:spPr>
        <a:xfrm rot="10800000">
          <a:off x="2770134" y="1381865"/>
          <a:ext cx="1166282" cy="1166282"/>
        </a:xfrm>
        <a:prstGeom prst="pieWedge">
          <a:avLst/>
        </a:prstGeom>
        <a:solidFill>
          <a:srgbClr val="00459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cs-CZ" sz="1000" kern="1200"/>
            <a:t>Ministerstvo finací </a:t>
          </a:r>
        </a:p>
      </dsp:txBody>
      <dsp:txXfrm rot="10800000">
        <a:off x="2770134" y="1381865"/>
        <a:ext cx="824686" cy="824686"/>
      </dsp:txXfrm>
    </dsp:sp>
    <dsp:sp modelId="{0BE20627-8980-4163-9E9F-6A711D4E8062}">
      <dsp:nvSpPr>
        <dsp:cNvPr id="0" name=""/>
        <dsp:cNvSpPr/>
      </dsp:nvSpPr>
      <dsp:spPr>
        <a:xfrm rot="16200000">
          <a:off x="1549982" y="1384116"/>
          <a:ext cx="1166282" cy="1161781"/>
        </a:xfrm>
        <a:prstGeom prst="pieWedge">
          <a:avLst/>
        </a:prstGeom>
        <a:solidFill>
          <a:srgbClr val="E4848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cs-CZ" sz="1000" kern="1200"/>
            <a:t>Ministerstvo dopravy </a:t>
          </a:r>
        </a:p>
      </dsp:txBody>
      <dsp:txXfrm rot="5400000">
        <a:off x="1892510" y="1381866"/>
        <a:ext cx="821503" cy="824686"/>
      </dsp:txXfrm>
    </dsp:sp>
    <dsp:sp modelId="{233FC4D0-3590-4FEE-81E0-75ED0E8834E7}">
      <dsp:nvSpPr>
        <dsp:cNvPr id="0" name=""/>
        <dsp:cNvSpPr/>
      </dsp:nvSpPr>
      <dsp:spPr>
        <a:xfrm>
          <a:off x="2541861" y="1112516"/>
          <a:ext cx="402677" cy="350154"/>
        </a:xfrm>
        <a:prstGeom prst="circular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4B48C2-2608-4D06-B548-7FDC6E557A55}">
      <dsp:nvSpPr>
        <dsp:cNvPr id="0" name=""/>
        <dsp:cNvSpPr/>
      </dsp:nvSpPr>
      <dsp:spPr>
        <a:xfrm rot="10800000">
          <a:off x="2541861" y="1247191"/>
          <a:ext cx="402677" cy="350154"/>
        </a:xfrm>
        <a:prstGeom prst="circularArrow">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90FC8-D702-445A-B73D-4CFFD94F2241}">
      <dsp:nvSpPr>
        <dsp:cNvPr id="0" name=""/>
        <dsp:cNvSpPr/>
      </dsp:nvSpPr>
      <dsp:spPr>
        <a:xfrm>
          <a:off x="0" y="613045"/>
          <a:ext cx="5759450" cy="817394"/>
        </a:xfrm>
        <a:prstGeom prst="notchedRightArrow">
          <a:avLst/>
        </a:prstGeom>
        <a:solidFill>
          <a:srgbClr val="004595"/>
        </a:solidFill>
        <a:ln>
          <a:noFill/>
        </a:ln>
        <a:effectLst/>
      </dsp:spPr>
      <dsp:style>
        <a:lnRef idx="0">
          <a:scrgbClr r="0" g="0" b="0"/>
        </a:lnRef>
        <a:fillRef idx="1">
          <a:scrgbClr r="0" g="0" b="0"/>
        </a:fillRef>
        <a:effectRef idx="0">
          <a:scrgbClr r="0" g="0" b="0"/>
        </a:effectRef>
        <a:fontRef idx="minor"/>
      </dsp:style>
    </dsp:sp>
    <dsp:sp modelId="{BD255913-41BB-47BE-AED7-152D161451F1}">
      <dsp:nvSpPr>
        <dsp:cNvPr id="0" name=""/>
        <dsp:cNvSpPr/>
      </dsp:nvSpPr>
      <dsp:spPr>
        <a:xfrm>
          <a:off x="1416" y="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1</a:t>
          </a:r>
        </a:p>
        <a:p>
          <a:pPr lvl="0" algn="ctr" defTabSz="400050">
            <a:lnSpc>
              <a:spcPct val="90000"/>
            </a:lnSpc>
            <a:spcBef>
              <a:spcPct val="0"/>
            </a:spcBef>
            <a:spcAft>
              <a:spcPct val="35000"/>
            </a:spcAft>
          </a:pPr>
          <a:r>
            <a:rPr lang="cs-CZ" sz="900" kern="1200">
              <a:solidFill>
                <a:schemeClr val="tx1">
                  <a:hueOff val="0"/>
                  <a:satOff val="0"/>
                  <a:lumOff val="0"/>
                </a:schemeClr>
              </a:solidFill>
            </a:rPr>
            <a:t>7/1992</a:t>
          </a:r>
        </a:p>
      </dsp:txBody>
      <dsp:txXfrm>
        <a:off x="1416" y="0"/>
        <a:ext cx="539104" cy="817394"/>
      </dsp:txXfrm>
    </dsp:sp>
    <dsp:sp modelId="{117A9205-8994-43AF-B564-82216A1F752C}">
      <dsp:nvSpPr>
        <dsp:cNvPr id="0" name=""/>
        <dsp:cNvSpPr/>
      </dsp:nvSpPr>
      <dsp:spPr>
        <a:xfrm>
          <a:off x="168794"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16AF1-7EBE-4073-B26C-1028CBF87D80}">
      <dsp:nvSpPr>
        <dsp:cNvPr id="0" name=""/>
        <dsp:cNvSpPr/>
      </dsp:nvSpPr>
      <dsp:spPr>
        <a:xfrm>
          <a:off x="567476" y="122609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2</a:t>
          </a:r>
        </a:p>
        <a:p>
          <a:pPr lvl="0" algn="ctr" defTabSz="400050">
            <a:lnSpc>
              <a:spcPct val="90000"/>
            </a:lnSpc>
            <a:spcBef>
              <a:spcPct val="0"/>
            </a:spcBef>
            <a:spcAft>
              <a:spcPct val="35000"/>
            </a:spcAft>
          </a:pPr>
          <a:r>
            <a:rPr lang="cs-CZ" sz="900" kern="1200">
              <a:solidFill>
                <a:schemeClr val="tx1">
                  <a:hueOff val="0"/>
                  <a:satOff val="0"/>
                  <a:lumOff val="0"/>
                </a:schemeClr>
              </a:solidFill>
            </a:rPr>
            <a:t>1/1996</a:t>
          </a:r>
        </a:p>
      </dsp:txBody>
      <dsp:txXfrm>
        <a:off x="567476" y="1226090"/>
        <a:ext cx="539104" cy="817394"/>
      </dsp:txXfrm>
    </dsp:sp>
    <dsp:sp modelId="{0562383F-417C-42F7-B7CA-6540C4F7C804}">
      <dsp:nvSpPr>
        <dsp:cNvPr id="0" name=""/>
        <dsp:cNvSpPr/>
      </dsp:nvSpPr>
      <dsp:spPr>
        <a:xfrm>
          <a:off x="734854"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0B7043-3763-4769-B55A-1FCBE58B3F97}">
      <dsp:nvSpPr>
        <dsp:cNvPr id="0" name=""/>
        <dsp:cNvSpPr/>
      </dsp:nvSpPr>
      <dsp:spPr>
        <a:xfrm>
          <a:off x="1133536" y="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3</a:t>
          </a:r>
        </a:p>
        <a:p>
          <a:pPr lvl="0" algn="ctr" defTabSz="400050">
            <a:lnSpc>
              <a:spcPct val="90000"/>
            </a:lnSpc>
            <a:spcBef>
              <a:spcPct val="0"/>
            </a:spcBef>
            <a:spcAft>
              <a:spcPct val="35000"/>
            </a:spcAft>
          </a:pPr>
          <a:r>
            <a:rPr lang="cs-CZ" sz="900" kern="1200">
              <a:solidFill>
                <a:schemeClr val="tx1">
                  <a:hueOff val="0"/>
                  <a:satOff val="0"/>
                  <a:lumOff val="0"/>
                </a:schemeClr>
              </a:solidFill>
            </a:rPr>
            <a:t>1/2000</a:t>
          </a:r>
        </a:p>
      </dsp:txBody>
      <dsp:txXfrm>
        <a:off x="1133536" y="0"/>
        <a:ext cx="539104" cy="817394"/>
      </dsp:txXfrm>
    </dsp:sp>
    <dsp:sp modelId="{6CDE7315-4CF3-42B9-BD09-B271FECE7300}">
      <dsp:nvSpPr>
        <dsp:cNvPr id="0" name=""/>
        <dsp:cNvSpPr/>
      </dsp:nvSpPr>
      <dsp:spPr>
        <a:xfrm>
          <a:off x="1300914"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88933C-B540-4CA7-A23E-EB1BA22EF3C9}">
      <dsp:nvSpPr>
        <dsp:cNvPr id="0" name=""/>
        <dsp:cNvSpPr/>
      </dsp:nvSpPr>
      <dsp:spPr>
        <a:xfrm>
          <a:off x="1699596" y="122609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4</a:t>
          </a:r>
        </a:p>
        <a:p>
          <a:pPr lvl="0" algn="ctr" defTabSz="400050">
            <a:lnSpc>
              <a:spcPct val="90000"/>
            </a:lnSpc>
            <a:spcBef>
              <a:spcPct val="0"/>
            </a:spcBef>
            <a:spcAft>
              <a:spcPct val="35000"/>
            </a:spcAft>
          </a:pPr>
          <a:r>
            <a:rPr lang="cs-CZ" sz="900" kern="1200">
              <a:solidFill>
                <a:schemeClr val="tx1">
                  <a:hueOff val="0"/>
                  <a:satOff val="0"/>
                  <a:lumOff val="0"/>
                </a:schemeClr>
              </a:solidFill>
            </a:rPr>
            <a:t>1/2005</a:t>
          </a:r>
        </a:p>
      </dsp:txBody>
      <dsp:txXfrm>
        <a:off x="1699596" y="1226090"/>
        <a:ext cx="539104" cy="817394"/>
      </dsp:txXfrm>
    </dsp:sp>
    <dsp:sp modelId="{9F59D680-8950-4C02-AF90-27832B037396}">
      <dsp:nvSpPr>
        <dsp:cNvPr id="0" name=""/>
        <dsp:cNvSpPr/>
      </dsp:nvSpPr>
      <dsp:spPr>
        <a:xfrm>
          <a:off x="1866974"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2A0AF6-B336-4179-A9E4-532750B90A55}">
      <dsp:nvSpPr>
        <dsp:cNvPr id="0" name=""/>
        <dsp:cNvSpPr/>
      </dsp:nvSpPr>
      <dsp:spPr>
        <a:xfrm>
          <a:off x="2273607" y="40959"/>
          <a:ext cx="1218252" cy="554945"/>
        </a:xfrm>
        <a:prstGeom prst="rect">
          <a:avLst/>
        </a:prstGeom>
        <a:solidFill>
          <a:srgbClr val="BD2A33"/>
        </a:solidFill>
        <a:ln w="12700" cap="flat" cmpd="sng" algn="ctr">
          <a:solidFill>
            <a:srgbClr val="BD2A33"/>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cs-CZ" sz="900" kern="1200">
              <a:solidFill>
                <a:schemeClr val="bg1"/>
              </a:solidFill>
            </a:rPr>
            <a:t>9/2009</a:t>
          </a:r>
        </a:p>
        <a:p>
          <a:pPr lvl="0" algn="ctr" defTabSz="400050">
            <a:lnSpc>
              <a:spcPct val="90000"/>
            </a:lnSpc>
            <a:spcBef>
              <a:spcPct val="0"/>
            </a:spcBef>
            <a:spcAft>
              <a:spcPct val="35000"/>
            </a:spcAft>
          </a:pPr>
          <a:r>
            <a:rPr lang="cs-CZ" sz="900" kern="1200">
              <a:solidFill>
                <a:schemeClr val="bg1"/>
              </a:solidFill>
            </a:rPr>
            <a:t>Ustanovení  § 37e </a:t>
          </a:r>
          <a:r>
            <a:rPr lang="cs-CZ" sz="900" kern="1200">
              <a:ln>
                <a:noFill/>
              </a:ln>
              <a:solidFill>
                <a:schemeClr val="bg1"/>
              </a:solidFill>
            </a:rPr>
            <a:t>zákona</a:t>
          </a:r>
          <a:r>
            <a:rPr lang="cs-CZ" sz="900" kern="1200">
              <a:solidFill>
                <a:schemeClr val="bg1"/>
              </a:solidFill>
            </a:rPr>
            <a:t> č. 185/2001 Sb</a:t>
          </a:r>
          <a:r>
            <a:rPr lang="cs-CZ" sz="900" kern="12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Pr>
            <a:t>.</a:t>
          </a:r>
        </a:p>
      </dsp:txBody>
      <dsp:txXfrm>
        <a:off x="2273607" y="40959"/>
        <a:ext cx="1218252" cy="554945"/>
      </dsp:txXfrm>
    </dsp:sp>
    <dsp:sp modelId="{FDCFEEA1-25A1-43C3-BB16-480599015B55}">
      <dsp:nvSpPr>
        <dsp:cNvPr id="0" name=""/>
        <dsp:cNvSpPr/>
      </dsp:nvSpPr>
      <dsp:spPr>
        <a:xfrm>
          <a:off x="2772608" y="893141"/>
          <a:ext cx="204348" cy="204348"/>
        </a:xfrm>
        <a:prstGeom prst="ellipse">
          <a:avLst/>
        </a:prstGeom>
        <a:solidFill>
          <a:srgbClr val="BD2A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D397FC-6C50-4E2F-A890-4A3233B6CB46}">
      <dsp:nvSpPr>
        <dsp:cNvPr id="0" name=""/>
        <dsp:cNvSpPr/>
      </dsp:nvSpPr>
      <dsp:spPr>
        <a:xfrm>
          <a:off x="3510864" y="122609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5</a:t>
          </a:r>
        </a:p>
        <a:p>
          <a:pPr lvl="0" algn="ctr" defTabSz="400050">
            <a:lnSpc>
              <a:spcPct val="90000"/>
            </a:lnSpc>
            <a:spcBef>
              <a:spcPct val="0"/>
            </a:spcBef>
            <a:spcAft>
              <a:spcPct val="35000"/>
            </a:spcAft>
          </a:pPr>
          <a:r>
            <a:rPr lang="cs-CZ" sz="900" kern="1200">
              <a:solidFill>
                <a:schemeClr val="tx1">
                  <a:hueOff val="0"/>
                  <a:satOff val="0"/>
                  <a:lumOff val="0"/>
                </a:schemeClr>
              </a:solidFill>
            </a:rPr>
            <a:t>9/2009</a:t>
          </a:r>
        </a:p>
      </dsp:txBody>
      <dsp:txXfrm>
        <a:off x="3510864" y="1226090"/>
        <a:ext cx="539104" cy="817394"/>
      </dsp:txXfrm>
    </dsp:sp>
    <dsp:sp modelId="{3FFE9D44-6DFF-4831-A368-DE48526D37ED}">
      <dsp:nvSpPr>
        <dsp:cNvPr id="0" name=""/>
        <dsp:cNvSpPr/>
      </dsp:nvSpPr>
      <dsp:spPr>
        <a:xfrm>
          <a:off x="3678242"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C7320A-0431-411C-820C-150FB15FBED8}">
      <dsp:nvSpPr>
        <dsp:cNvPr id="0" name=""/>
        <dsp:cNvSpPr/>
      </dsp:nvSpPr>
      <dsp:spPr>
        <a:xfrm>
          <a:off x="4076924" y="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cs-CZ" sz="900" kern="1200">
              <a:solidFill>
                <a:schemeClr val="tx1">
                  <a:hueOff val="0"/>
                  <a:satOff val="0"/>
                  <a:lumOff val="0"/>
                </a:schemeClr>
              </a:solidFill>
            </a:rPr>
            <a:t>EURO 6</a:t>
          </a:r>
        </a:p>
        <a:p>
          <a:pPr lvl="0" algn="ctr" defTabSz="400050">
            <a:lnSpc>
              <a:spcPct val="90000"/>
            </a:lnSpc>
            <a:spcBef>
              <a:spcPct val="0"/>
            </a:spcBef>
            <a:spcAft>
              <a:spcPct val="35000"/>
            </a:spcAft>
          </a:pPr>
          <a:r>
            <a:rPr lang="cs-CZ" sz="900" kern="1200">
              <a:solidFill>
                <a:schemeClr val="tx1">
                  <a:hueOff val="0"/>
                  <a:satOff val="0"/>
                  <a:lumOff val="0"/>
                </a:schemeClr>
              </a:solidFill>
            </a:rPr>
            <a:t>9/2014</a:t>
          </a:r>
        </a:p>
      </dsp:txBody>
      <dsp:txXfrm>
        <a:off x="4076924" y="0"/>
        <a:ext cx="539104" cy="817394"/>
      </dsp:txXfrm>
    </dsp:sp>
    <dsp:sp modelId="{E45A0582-C175-4D04-A783-D274B76EDB9C}">
      <dsp:nvSpPr>
        <dsp:cNvPr id="0" name=""/>
        <dsp:cNvSpPr/>
      </dsp:nvSpPr>
      <dsp:spPr>
        <a:xfrm>
          <a:off x="4244302"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1177B9-84BF-4BB3-B9AB-016E0B1B3210}">
      <dsp:nvSpPr>
        <dsp:cNvPr id="0" name=""/>
        <dsp:cNvSpPr/>
      </dsp:nvSpPr>
      <dsp:spPr>
        <a:xfrm>
          <a:off x="4642984" y="1226090"/>
          <a:ext cx="539104" cy="8173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cs-CZ" sz="900" kern="1200"/>
            <a:t>EURO 7</a:t>
          </a:r>
        </a:p>
        <a:p>
          <a:pPr lvl="0" algn="ctr" defTabSz="400050">
            <a:lnSpc>
              <a:spcPct val="90000"/>
            </a:lnSpc>
            <a:spcBef>
              <a:spcPct val="0"/>
            </a:spcBef>
            <a:spcAft>
              <a:spcPct val="35000"/>
            </a:spcAft>
          </a:pPr>
          <a:r>
            <a:rPr lang="cs-CZ" sz="900" kern="1200"/>
            <a:t>2020</a:t>
          </a:r>
        </a:p>
      </dsp:txBody>
      <dsp:txXfrm>
        <a:off x="4642984" y="1226090"/>
        <a:ext cx="539104" cy="817394"/>
      </dsp:txXfrm>
    </dsp:sp>
    <dsp:sp modelId="{F49FAAB4-5BE1-4277-985D-DA85A38D94EF}">
      <dsp:nvSpPr>
        <dsp:cNvPr id="0" name=""/>
        <dsp:cNvSpPr/>
      </dsp:nvSpPr>
      <dsp:spPr>
        <a:xfrm>
          <a:off x="4810362" y="919568"/>
          <a:ext cx="204348" cy="204348"/>
        </a:xfrm>
        <a:prstGeom prst="ellipse">
          <a:avLst/>
        </a:prstGeom>
        <a:solidFill>
          <a:srgbClr val="81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F41B-9471-4833-9D75-1F8969BF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955FE5CD.dotm</Template>
  <TotalTime>2</TotalTime>
  <Pages>42</Pages>
  <Words>14527</Words>
  <Characters>85716</Characters>
  <Application>Microsoft Office Word</Application>
  <DocSecurity>4</DocSecurity>
  <Lines>714</Lines>
  <Paragraphs>200</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100043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18/22 - Podpora environmentální politiky v oblasti příjmů veřejných rozpočtů</dc:title>
  <dc:subject/>
  <dc:creator>Nejvyšší kontrolní úřad</dc:creator>
  <cp:keywords>kontrolní závěr; environmentální politika; daně; poplatky; mýtné; cla</cp:keywords>
  <dc:description/>
  <cp:lastModifiedBy>KOKRDA Daniel</cp:lastModifiedBy>
  <cp:revision>2</cp:revision>
  <cp:lastPrinted>2019-08-26T08:48:00Z</cp:lastPrinted>
  <dcterms:created xsi:type="dcterms:W3CDTF">2019-11-11T09:29:00Z</dcterms:created>
  <dcterms:modified xsi:type="dcterms:W3CDTF">2019-11-11T09:29:00Z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140/19-NKU200/589/19</vt:lpwstr>
  </property>
  <property fmtid="{D5CDD505-2E9C-101B-9397-08002B2CF9AE}" pid="5" name="CJ_PostaDoruc_PisemnostOdpovedNa_Pisemnost">
    <vt:lpwstr>XXX-XXX-XXX</vt:lpwstr>
  </property>
  <property fmtid="{D5CDD505-2E9C-101B-9397-08002B2CF9AE}" pid="6" name="CJ_Spis_Pisemnost">
    <vt:lpwstr>200/3/19</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17.9.2019</vt:lpwstr>
  </property>
  <property fmtid="{D5CDD505-2E9C-101B-9397-08002B2CF9AE}" pid="11" name="DisplayName_CJCol">
    <vt:lpwstr>&lt;TABLE&gt;&lt;TR&gt;&lt;TD&gt;Č.j.:&lt;/TD&gt;&lt;TD&gt;140/19-NKU200/589/19&lt;/TD&gt;&lt;/TR&gt;&lt;TR&gt;&lt;TD&gt;&lt;/TD&gt;&lt;TD&gt;&lt;/TD&gt;&lt;/TR&gt;&lt;/TABLE&gt;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Sekce kontrolní</vt:lpwstr>
  </property>
  <property fmtid="{D5CDD505-2E9C-101B-9397-08002B2CF9AE}" pid="14" name="DisplayName_UserPoriz_Pisemnost">
    <vt:lpwstr>Ivana Růžičková</vt:lpwstr>
  </property>
  <property fmtid="{D5CDD505-2E9C-101B-9397-08002B2CF9AE}" pid="15" name="DuvodZmeny_SlozkaStupenUtajeniCollection_Slozka_Pisemnost">
    <vt:lpwstr/>
  </property>
  <property fmtid="{D5CDD505-2E9C-101B-9397-08002B2CF9AE}" pid="16" name="EC_Pisemnost">
    <vt:lpwstr>19-12032/NKU</vt:lpwstr>
  </property>
  <property fmtid="{D5CDD505-2E9C-101B-9397-08002B2CF9AE}" pid="17" name="Key_BarCode_Pisemnost">
    <vt:lpwstr>*B000343192*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t:lpwstr>
  </property>
  <property fmtid="{D5CDD505-2E9C-101B-9397-08002B2CF9AE}" pid="30" name="SmlouvaCislo">
    <vt:lpwstr>ČÍSLO SMLOUVY</vt:lpwstr>
  </property>
  <property fmtid="{D5CDD505-2E9C-101B-9397-08002B2CF9AE}" pid="31" name="SZ_Spis_Pisemnost">
    <vt:lpwstr>140/19</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KZ 18/22 - připomínkové řízení</vt:lpwstr>
  </property>
  <property fmtid="{D5CDD505-2E9C-101B-9397-08002B2CF9AE}" pid="36" name="Zkratka_SpisovyUzel_PoziceZodpo_Pisemnost">
    <vt:lpwstr>200</vt:lpwstr>
  </property>
</Properties>
</file>