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D1D2F" w14:textId="77777777" w:rsidR="00B47D21" w:rsidRDefault="00B47D21" w:rsidP="00B47D21">
      <w:pPr>
        <w:spacing w:after="0" w:line="240" w:lineRule="auto"/>
        <w:jc w:val="center"/>
        <w:rPr>
          <w:rFonts w:cstheme="minorHAnsi"/>
          <w:b/>
          <w:sz w:val="28"/>
          <w:szCs w:val="28"/>
        </w:rPr>
      </w:pPr>
      <w:bookmarkStart w:id="0" w:name="_GoBack"/>
      <w:bookmarkEnd w:id="0"/>
      <w:r>
        <w:rPr>
          <w:noProof/>
          <w:lang w:eastAsia="cs-CZ"/>
        </w:rPr>
        <w:drawing>
          <wp:anchor distT="0" distB="0" distL="114300" distR="114300" simplePos="0" relativeHeight="251659264" behindDoc="0" locked="0" layoutInCell="1" allowOverlap="1" wp14:anchorId="18A54050" wp14:editId="16A0F2CA">
            <wp:simplePos x="0" y="0"/>
            <wp:positionH relativeFrom="margin">
              <wp:align>center</wp:align>
            </wp:positionH>
            <wp:positionV relativeFrom="paragraph">
              <wp:posOffset>0</wp:posOffset>
            </wp:positionV>
            <wp:extent cx="764949" cy="540000"/>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4949" cy="540000"/>
                    </a:xfrm>
                    <a:prstGeom prst="rect">
                      <a:avLst/>
                    </a:prstGeom>
                    <a:noFill/>
                  </pic:spPr>
                </pic:pic>
              </a:graphicData>
            </a:graphic>
            <wp14:sizeRelH relativeFrom="margin">
              <wp14:pctWidth>0</wp14:pctWidth>
            </wp14:sizeRelH>
            <wp14:sizeRelV relativeFrom="margin">
              <wp14:pctHeight>0</wp14:pctHeight>
            </wp14:sizeRelV>
          </wp:anchor>
        </w:drawing>
      </w:r>
    </w:p>
    <w:p w14:paraId="3B55843E" w14:textId="77777777" w:rsidR="00B47D21" w:rsidRDefault="00B47D21" w:rsidP="00B47D21">
      <w:pPr>
        <w:spacing w:after="0" w:line="240" w:lineRule="auto"/>
        <w:jc w:val="center"/>
        <w:rPr>
          <w:rFonts w:cstheme="minorHAnsi"/>
          <w:b/>
          <w:sz w:val="28"/>
          <w:szCs w:val="28"/>
        </w:rPr>
      </w:pPr>
    </w:p>
    <w:p w14:paraId="5ABF1524" w14:textId="77777777" w:rsidR="00B47D21" w:rsidRDefault="00B47D21" w:rsidP="00B47D21">
      <w:pPr>
        <w:spacing w:after="0" w:line="240" w:lineRule="auto"/>
        <w:jc w:val="center"/>
        <w:rPr>
          <w:rFonts w:cstheme="minorHAnsi"/>
          <w:b/>
          <w:sz w:val="28"/>
          <w:szCs w:val="28"/>
        </w:rPr>
      </w:pPr>
    </w:p>
    <w:p w14:paraId="6F9ADF04" w14:textId="77777777" w:rsidR="00B47D21" w:rsidRPr="00635769" w:rsidRDefault="00B47D21" w:rsidP="00B47D21">
      <w:pPr>
        <w:spacing w:after="0" w:line="240" w:lineRule="auto"/>
        <w:jc w:val="center"/>
        <w:rPr>
          <w:b/>
          <w:sz w:val="32"/>
          <w:szCs w:val="32"/>
        </w:rPr>
      </w:pPr>
      <w:r w:rsidRPr="00EC3A0D">
        <w:rPr>
          <w:rFonts w:cstheme="minorHAnsi"/>
          <w:b/>
          <w:sz w:val="28"/>
          <w:szCs w:val="28"/>
        </w:rPr>
        <w:t>Kontrolní závěr z kontrolní akce</w:t>
      </w:r>
    </w:p>
    <w:p w14:paraId="236A8D99" w14:textId="77777777" w:rsidR="00B47D21" w:rsidRDefault="00B47D21" w:rsidP="00B47D21">
      <w:pPr>
        <w:spacing w:after="0" w:line="240" w:lineRule="auto"/>
        <w:jc w:val="center"/>
      </w:pPr>
    </w:p>
    <w:p w14:paraId="49C6E4D9" w14:textId="77777777" w:rsidR="00B47D21" w:rsidRPr="00EC3A0D" w:rsidRDefault="00B47D21" w:rsidP="00B47D21">
      <w:pPr>
        <w:spacing w:after="0" w:line="240" w:lineRule="auto"/>
        <w:jc w:val="center"/>
        <w:rPr>
          <w:rFonts w:cstheme="minorHAnsi"/>
          <w:b/>
          <w:sz w:val="28"/>
          <w:szCs w:val="28"/>
        </w:rPr>
      </w:pPr>
      <w:r w:rsidRPr="00EC3A0D">
        <w:rPr>
          <w:rFonts w:cstheme="minorHAnsi"/>
          <w:b/>
          <w:sz w:val="28"/>
          <w:szCs w:val="28"/>
        </w:rPr>
        <w:t>1</w:t>
      </w:r>
      <w:r>
        <w:rPr>
          <w:rFonts w:cstheme="minorHAnsi"/>
          <w:b/>
          <w:sz w:val="28"/>
          <w:szCs w:val="28"/>
        </w:rPr>
        <w:t>9</w:t>
      </w:r>
      <w:r w:rsidRPr="00EC3A0D">
        <w:rPr>
          <w:rFonts w:cstheme="minorHAnsi"/>
          <w:b/>
          <w:sz w:val="28"/>
          <w:szCs w:val="28"/>
        </w:rPr>
        <w:t>/</w:t>
      </w:r>
      <w:r>
        <w:rPr>
          <w:rFonts w:cstheme="minorHAnsi"/>
          <w:b/>
          <w:sz w:val="28"/>
          <w:szCs w:val="28"/>
        </w:rPr>
        <w:t>11</w:t>
      </w:r>
    </w:p>
    <w:p w14:paraId="6E46307F" w14:textId="77777777" w:rsidR="00B47D21" w:rsidRDefault="00B47D21" w:rsidP="00B47D21">
      <w:pPr>
        <w:spacing w:after="0" w:line="240" w:lineRule="auto"/>
        <w:jc w:val="center"/>
      </w:pPr>
    </w:p>
    <w:p w14:paraId="15BF65E9" w14:textId="77777777" w:rsidR="00B47D21" w:rsidRPr="00EC3A0D" w:rsidRDefault="00B47D21" w:rsidP="00B47D21">
      <w:pPr>
        <w:spacing w:after="0" w:line="240" w:lineRule="auto"/>
        <w:jc w:val="center"/>
        <w:rPr>
          <w:rFonts w:cstheme="minorHAnsi"/>
          <w:b/>
          <w:sz w:val="28"/>
          <w:szCs w:val="28"/>
        </w:rPr>
      </w:pPr>
      <w:r>
        <w:rPr>
          <w:rFonts w:cstheme="minorHAnsi"/>
          <w:b/>
          <w:sz w:val="28"/>
          <w:szCs w:val="28"/>
        </w:rPr>
        <w:t xml:space="preserve">Podpora bezpečnostního výzkumu poskytovaná z rozpočtové kapitoly </w:t>
      </w:r>
      <w:r w:rsidRPr="002923F0">
        <w:rPr>
          <w:rFonts w:cstheme="minorHAnsi"/>
          <w:b/>
          <w:i/>
          <w:sz w:val="28"/>
          <w:szCs w:val="28"/>
        </w:rPr>
        <w:t>Ministerstvo vnitra</w:t>
      </w:r>
    </w:p>
    <w:p w14:paraId="6AB5532A" w14:textId="77777777" w:rsidR="00B47D21" w:rsidRPr="004F2B40" w:rsidRDefault="00B47D21" w:rsidP="00B47D21">
      <w:pPr>
        <w:spacing w:after="0"/>
        <w:jc w:val="both"/>
        <w:rPr>
          <w:rFonts w:ascii="Calibri" w:hAnsi="Calibri" w:cs="Calibri"/>
          <w:sz w:val="24"/>
          <w:szCs w:val="24"/>
        </w:rPr>
      </w:pPr>
    </w:p>
    <w:p w14:paraId="494462F3" w14:textId="77777777" w:rsidR="00B47D21" w:rsidRPr="004F2B40" w:rsidRDefault="00B47D21" w:rsidP="00B47D21">
      <w:pPr>
        <w:spacing w:after="0"/>
        <w:jc w:val="both"/>
        <w:rPr>
          <w:rFonts w:ascii="Calibri" w:hAnsi="Calibri" w:cs="Calibri"/>
          <w:sz w:val="24"/>
          <w:szCs w:val="24"/>
        </w:rPr>
      </w:pPr>
    </w:p>
    <w:p w14:paraId="5F94E54F" w14:textId="77777777" w:rsidR="00B47D21" w:rsidRPr="004F2B40" w:rsidRDefault="00B47D21" w:rsidP="00B47D21">
      <w:pPr>
        <w:spacing w:after="0" w:line="240" w:lineRule="auto"/>
        <w:jc w:val="both"/>
        <w:rPr>
          <w:rFonts w:ascii="Calibri" w:hAnsi="Calibri" w:cs="Calibri"/>
          <w:sz w:val="24"/>
          <w:szCs w:val="24"/>
        </w:rPr>
      </w:pPr>
      <w:r w:rsidRPr="004F2B40">
        <w:rPr>
          <w:rFonts w:ascii="Calibri" w:hAnsi="Calibri" w:cs="Calibri"/>
          <w:sz w:val="24"/>
          <w:szCs w:val="24"/>
        </w:rPr>
        <w:t xml:space="preserve">Kontrolní akce byla zařazena do plánu kontrolní činnosti Nejvyššího kontrolního úřadu (dále také </w:t>
      </w:r>
      <w:r>
        <w:rPr>
          <w:rFonts w:ascii="Calibri" w:hAnsi="Calibri" w:cs="Calibri"/>
          <w:sz w:val="24"/>
          <w:szCs w:val="24"/>
        </w:rPr>
        <w:t>„NKÚ“) na rok 2019 pod číslem 19/11</w:t>
      </w:r>
      <w:r w:rsidRPr="004F2B40">
        <w:rPr>
          <w:rFonts w:ascii="Calibri" w:hAnsi="Calibri" w:cs="Calibri"/>
          <w:sz w:val="24"/>
          <w:szCs w:val="24"/>
        </w:rPr>
        <w:t xml:space="preserve">. Kontrolní akci řídil a kontrolní závěr vypracoval člen NKÚ Ing. Jan </w:t>
      </w:r>
      <w:proofErr w:type="spellStart"/>
      <w:r w:rsidRPr="004F2B40">
        <w:rPr>
          <w:rFonts w:ascii="Calibri" w:hAnsi="Calibri" w:cs="Calibri"/>
          <w:sz w:val="24"/>
          <w:szCs w:val="24"/>
        </w:rPr>
        <w:t>Kinšt</w:t>
      </w:r>
      <w:proofErr w:type="spellEnd"/>
      <w:r w:rsidRPr="004F2B40">
        <w:rPr>
          <w:rFonts w:ascii="Calibri" w:hAnsi="Calibri" w:cs="Calibri"/>
          <w:sz w:val="24"/>
          <w:szCs w:val="24"/>
        </w:rPr>
        <w:t>.</w:t>
      </w:r>
    </w:p>
    <w:p w14:paraId="6E2DEA27" w14:textId="77777777" w:rsidR="00B47D21" w:rsidRPr="00901C55" w:rsidRDefault="00B47D21" w:rsidP="00B47D21">
      <w:pPr>
        <w:spacing w:after="0" w:line="240" w:lineRule="auto"/>
        <w:jc w:val="both"/>
        <w:rPr>
          <w:b/>
          <w:sz w:val="24"/>
          <w:szCs w:val="24"/>
        </w:rPr>
      </w:pPr>
    </w:p>
    <w:p w14:paraId="727CCDEE" w14:textId="4D2A4E1F" w:rsidR="00B47D21" w:rsidRPr="00D42425" w:rsidRDefault="00B47D21" w:rsidP="00E25844">
      <w:pPr>
        <w:spacing w:after="0" w:line="240" w:lineRule="auto"/>
        <w:jc w:val="both"/>
        <w:rPr>
          <w:rFonts w:ascii="Calibri" w:hAnsi="Calibri" w:cs="Calibri"/>
          <w:sz w:val="24"/>
          <w:szCs w:val="24"/>
        </w:rPr>
      </w:pPr>
      <w:r w:rsidRPr="004F2B40">
        <w:rPr>
          <w:rFonts w:ascii="Calibri" w:hAnsi="Calibri" w:cs="Calibri"/>
          <w:sz w:val="24"/>
          <w:szCs w:val="24"/>
        </w:rPr>
        <w:t xml:space="preserve">Cílem kontroly bylo </w:t>
      </w:r>
      <w:r>
        <w:rPr>
          <w:rFonts w:ascii="Calibri" w:hAnsi="Calibri" w:cs="Calibri"/>
          <w:sz w:val="24"/>
          <w:szCs w:val="24"/>
        </w:rPr>
        <w:t>p</w:t>
      </w:r>
      <w:r w:rsidRPr="00D42425">
        <w:rPr>
          <w:rFonts w:ascii="Calibri" w:hAnsi="Calibri" w:cs="Calibri"/>
          <w:sz w:val="24"/>
          <w:szCs w:val="24"/>
        </w:rPr>
        <w:t xml:space="preserve">rověřit, zda poskytování peněžních prostředků z rozpočtové kapitoly </w:t>
      </w:r>
      <w:r w:rsidRPr="001C0D0E">
        <w:rPr>
          <w:rFonts w:ascii="Calibri" w:hAnsi="Calibri" w:cs="Calibri"/>
          <w:i/>
          <w:sz w:val="24"/>
          <w:szCs w:val="24"/>
        </w:rPr>
        <w:t>Ministerstvo vnitra</w:t>
      </w:r>
      <w:r w:rsidRPr="00D42425">
        <w:rPr>
          <w:rFonts w:ascii="Calibri" w:hAnsi="Calibri" w:cs="Calibri"/>
          <w:sz w:val="24"/>
          <w:szCs w:val="24"/>
        </w:rPr>
        <w:t xml:space="preserve"> na projekty bezpečnostního výzkumu bylo </w:t>
      </w:r>
      <w:r w:rsidR="009D6A46">
        <w:rPr>
          <w:rFonts w:ascii="Calibri" w:hAnsi="Calibri" w:cs="Calibri"/>
          <w:sz w:val="24"/>
          <w:szCs w:val="24"/>
        </w:rPr>
        <w:t>hospodárné</w:t>
      </w:r>
      <w:r w:rsidRPr="00D42425">
        <w:rPr>
          <w:rFonts w:ascii="Calibri" w:hAnsi="Calibri" w:cs="Calibri"/>
          <w:sz w:val="24"/>
          <w:szCs w:val="24"/>
        </w:rPr>
        <w:t>, efektivní a</w:t>
      </w:r>
      <w:r w:rsidR="002614C9">
        <w:rPr>
          <w:rFonts w:ascii="Calibri" w:hAnsi="Calibri" w:cs="Calibri"/>
          <w:sz w:val="24"/>
          <w:szCs w:val="24"/>
        </w:rPr>
        <w:t> </w:t>
      </w:r>
      <w:r w:rsidR="009D6A46">
        <w:rPr>
          <w:rFonts w:ascii="Calibri" w:hAnsi="Calibri" w:cs="Calibri"/>
          <w:sz w:val="24"/>
          <w:szCs w:val="24"/>
        </w:rPr>
        <w:t>účelné</w:t>
      </w:r>
      <w:r w:rsidRPr="00D42425">
        <w:rPr>
          <w:rFonts w:ascii="Calibri" w:hAnsi="Calibri" w:cs="Calibri"/>
          <w:sz w:val="24"/>
          <w:szCs w:val="24"/>
        </w:rPr>
        <w:t xml:space="preserve"> </w:t>
      </w:r>
      <w:r w:rsidR="009D6A46">
        <w:rPr>
          <w:rFonts w:ascii="Calibri" w:hAnsi="Calibri" w:cs="Calibri"/>
          <w:sz w:val="24"/>
          <w:szCs w:val="24"/>
        </w:rPr>
        <w:t>a</w:t>
      </w:r>
      <w:r w:rsidR="001611C5">
        <w:rPr>
          <w:rFonts w:ascii="Calibri" w:hAnsi="Calibri" w:cs="Calibri"/>
          <w:sz w:val="24"/>
          <w:szCs w:val="24"/>
        </w:rPr>
        <w:t> </w:t>
      </w:r>
      <w:r w:rsidRPr="00D42425">
        <w:rPr>
          <w:rFonts w:ascii="Calibri" w:hAnsi="Calibri" w:cs="Calibri"/>
          <w:sz w:val="24"/>
          <w:szCs w:val="24"/>
        </w:rPr>
        <w:t>zda jejich výsledky přinesly maximální přínosy pro zajištění bezpečnosti státu.</w:t>
      </w:r>
    </w:p>
    <w:p w14:paraId="38F515BA" w14:textId="77777777" w:rsidR="00B47D21" w:rsidRPr="00D42425" w:rsidRDefault="00B47D21" w:rsidP="00E25844">
      <w:pPr>
        <w:spacing w:after="0" w:line="240" w:lineRule="auto"/>
        <w:jc w:val="both"/>
        <w:rPr>
          <w:rFonts w:ascii="Calibri" w:hAnsi="Calibri" w:cs="Calibri"/>
          <w:sz w:val="24"/>
          <w:szCs w:val="24"/>
        </w:rPr>
      </w:pPr>
    </w:p>
    <w:p w14:paraId="2D4F5A90" w14:textId="77777777" w:rsidR="00B47D21" w:rsidRPr="004F2B40" w:rsidRDefault="00B47D21" w:rsidP="00E25844">
      <w:pPr>
        <w:spacing w:after="120" w:line="240" w:lineRule="auto"/>
        <w:jc w:val="both"/>
        <w:rPr>
          <w:rFonts w:ascii="Calibri" w:hAnsi="Calibri" w:cs="Calibri"/>
          <w:b/>
          <w:sz w:val="24"/>
          <w:szCs w:val="24"/>
        </w:rPr>
      </w:pPr>
      <w:r w:rsidRPr="004F2B40">
        <w:rPr>
          <w:rFonts w:ascii="Calibri" w:hAnsi="Calibri" w:cs="Calibri"/>
          <w:b/>
          <w:sz w:val="24"/>
          <w:szCs w:val="24"/>
        </w:rPr>
        <w:t>Kontrolované osoby:</w:t>
      </w:r>
    </w:p>
    <w:p w14:paraId="5851FF8E" w14:textId="77777777" w:rsidR="00B107AE" w:rsidRDefault="00B47D21" w:rsidP="00B47D21">
      <w:pPr>
        <w:spacing w:after="0" w:line="240" w:lineRule="auto"/>
        <w:jc w:val="both"/>
        <w:rPr>
          <w:rFonts w:ascii="Calibri" w:hAnsi="Calibri" w:cs="Calibri"/>
          <w:sz w:val="24"/>
          <w:szCs w:val="24"/>
        </w:rPr>
      </w:pPr>
      <w:r w:rsidRPr="007D2E10">
        <w:rPr>
          <w:rFonts w:ascii="Calibri" w:hAnsi="Calibri" w:cs="Calibri"/>
          <w:sz w:val="24"/>
          <w:szCs w:val="24"/>
        </w:rPr>
        <w:t>Ministerstvo vnitra</w:t>
      </w:r>
      <w:r w:rsidR="00D62651">
        <w:rPr>
          <w:rFonts w:ascii="Calibri" w:hAnsi="Calibri" w:cs="Calibri"/>
          <w:sz w:val="24"/>
          <w:szCs w:val="24"/>
        </w:rPr>
        <w:t xml:space="preserve"> (dále také „MV“)</w:t>
      </w:r>
      <w:r w:rsidRPr="007D2E10">
        <w:rPr>
          <w:rFonts w:ascii="Calibri" w:hAnsi="Calibri" w:cs="Calibri"/>
          <w:sz w:val="24"/>
          <w:szCs w:val="24"/>
        </w:rPr>
        <w:t>;</w:t>
      </w:r>
      <w:r w:rsidR="00D62651">
        <w:rPr>
          <w:rFonts w:ascii="Calibri" w:hAnsi="Calibri" w:cs="Calibri"/>
          <w:sz w:val="24"/>
          <w:szCs w:val="24"/>
        </w:rPr>
        <w:t xml:space="preserve"> </w:t>
      </w:r>
    </w:p>
    <w:p w14:paraId="5CC5E218" w14:textId="3E7D584C" w:rsidR="00B47D21" w:rsidRPr="007D2E10" w:rsidRDefault="00B107AE" w:rsidP="00B47D21">
      <w:pPr>
        <w:spacing w:after="0" w:line="240" w:lineRule="auto"/>
        <w:jc w:val="both"/>
        <w:rPr>
          <w:rFonts w:ascii="Calibri" w:hAnsi="Calibri" w:cs="Calibri"/>
          <w:sz w:val="24"/>
          <w:szCs w:val="24"/>
        </w:rPr>
      </w:pPr>
      <w:r>
        <w:rPr>
          <w:rFonts w:ascii="Calibri" w:hAnsi="Calibri" w:cs="Calibri"/>
          <w:sz w:val="24"/>
          <w:szCs w:val="24"/>
        </w:rPr>
        <w:t xml:space="preserve">vybraní příjemci podpory: </w:t>
      </w:r>
      <w:r w:rsidR="00B47D21" w:rsidRPr="007D2E10">
        <w:rPr>
          <w:rFonts w:ascii="Calibri" w:hAnsi="Calibri" w:cs="Calibri"/>
          <w:sz w:val="24"/>
          <w:szCs w:val="24"/>
        </w:rPr>
        <w:t>České vysoké učení technické v</w:t>
      </w:r>
      <w:r w:rsidR="006777C3">
        <w:rPr>
          <w:rFonts w:ascii="Calibri" w:hAnsi="Calibri" w:cs="Calibri"/>
          <w:sz w:val="24"/>
          <w:szCs w:val="24"/>
        </w:rPr>
        <w:t> </w:t>
      </w:r>
      <w:r w:rsidR="00B47D21" w:rsidRPr="007D2E10">
        <w:rPr>
          <w:rFonts w:ascii="Calibri" w:hAnsi="Calibri" w:cs="Calibri"/>
          <w:sz w:val="24"/>
          <w:szCs w:val="24"/>
        </w:rPr>
        <w:t>Praze</w:t>
      </w:r>
      <w:r w:rsidR="006777C3">
        <w:rPr>
          <w:rFonts w:ascii="Calibri" w:hAnsi="Calibri" w:cs="Calibri"/>
          <w:sz w:val="24"/>
          <w:szCs w:val="24"/>
        </w:rPr>
        <w:t>;</w:t>
      </w:r>
      <w:r w:rsidR="00B47D21" w:rsidRPr="007D2E10">
        <w:rPr>
          <w:rFonts w:ascii="Calibri" w:hAnsi="Calibri" w:cs="Calibri"/>
          <w:sz w:val="24"/>
          <w:szCs w:val="24"/>
        </w:rPr>
        <w:t xml:space="preserve"> Státní ústav radiační ochrany, </w:t>
      </w:r>
      <w:proofErr w:type="spellStart"/>
      <w:proofErr w:type="gramStart"/>
      <w:r w:rsidR="00B47D21" w:rsidRPr="007D2E10">
        <w:rPr>
          <w:rFonts w:ascii="Calibri" w:hAnsi="Calibri" w:cs="Calibri"/>
          <w:sz w:val="24"/>
          <w:szCs w:val="24"/>
        </w:rPr>
        <w:t>v.v.</w:t>
      </w:r>
      <w:proofErr w:type="gramEnd"/>
      <w:r w:rsidR="00B47D21" w:rsidRPr="007D2E10">
        <w:rPr>
          <w:rFonts w:ascii="Calibri" w:hAnsi="Calibri" w:cs="Calibri"/>
          <w:sz w:val="24"/>
          <w:szCs w:val="24"/>
        </w:rPr>
        <w:t>i</w:t>
      </w:r>
      <w:proofErr w:type="spellEnd"/>
      <w:r w:rsidR="00B47D21" w:rsidRPr="007D2E10">
        <w:rPr>
          <w:rFonts w:ascii="Calibri" w:hAnsi="Calibri" w:cs="Calibri"/>
          <w:sz w:val="24"/>
          <w:szCs w:val="24"/>
        </w:rPr>
        <w:t>.,</w:t>
      </w:r>
      <w:r w:rsidR="006777C3">
        <w:rPr>
          <w:rFonts w:ascii="Calibri" w:hAnsi="Calibri" w:cs="Calibri"/>
          <w:sz w:val="24"/>
          <w:szCs w:val="24"/>
        </w:rPr>
        <w:t xml:space="preserve"> Praha;</w:t>
      </w:r>
      <w:r w:rsidR="00B47D21" w:rsidRPr="007D2E10">
        <w:rPr>
          <w:rFonts w:ascii="Calibri" w:hAnsi="Calibri" w:cs="Calibri"/>
          <w:sz w:val="24"/>
          <w:szCs w:val="24"/>
        </w:rPr>
        <w:t xml:space="preserve"> Institut mikroelektronických aplikací s.r.o.,</w:t>
      </w:r>
      <w:r w:rsidR="006777C3">
        <w:rPr>
          <w:rFonts w:ascii="Calibri" w:hAnsi="Calibri" w:cs="Calibri"/>
          <w:sz w:val="24"/>
          <w:szCs w:val="24"/>
        </w:rPr>
        <w:t xml:space="preserve"> Praha;</w:t>
      </w:r>
      <w:r w:rsidR="00B47D21" w:rsidRPr="007D2E10">
        <w:rPr>
          <w:rFonts w:ascii="Calibri" w:hAnsi="Calibri" w:cs="Calibri"/>
          <w:sz w:val="24"/>
          <w:szCs w:val="24"/>
        </w:rPr>
        <w:t xml:space="preserve"> Vysoké učení technické v Brně</w:t>
      </w:r>
      <w:r w:rsidR="006777C3">
        <w:rPr>
          <w:rFonts w:ascii="Calibri" w:hAnsi="Calibri" w:cs="Calibri"/>
          <w:sz w:val="24"/>
          <w:szCs w:val="24"/>
        </w:rPr>
        <w:t>;</w:t>
      </w:r>
      <w:r w:rsidR="00B47D21" w:rsidRPr="007D2E10">
        <w:rPr>
          <w:rFonts w:ascii="Calibri" w:hAnsi="Calibri" w:cs="Calibri"/>
          <w:sz w:val="24"/>
          <w:szCs w:val="24"/>
        </w:rPr>
        <w:t xml:space="preserve"> </w:t>
      </w:r>
      <w:proofErr w:type="spellStart"/>
      <w:r w:rsidR="00B47D21" w:rsidRPr="007D2E10">
        <w:rPr>
          <w:rFonts w:ascii="Calibri" w:hAnsi="Calibri" w:cs="Calibri"/>
          <w:sz w:val="24"/>
          <w:szCs w:val="24"/>
        </w:rPr>
        <w:t>GiTy</w:t>
      </w:r>
      <w:proofErr w:type="spellEnd"/>
      <w:r w:rsidR="00B47D21" w:rsidRPr="007D2E10">
        <w:rPr>
          <w:rFonts w:ascii="Calibri" w:hAnsi="Calibri" w:cs="Calibri"/>
          <w:sz w:val="24"/>
          <w:szCs w:val="24"/>
        </w:rPr>
        <w:t xml:space="preserve">, a.s., </w:t>
      </w:r>
      <w:r w:rsidR="006777C3">
        <w:rPr>
          <w:rFonts w:ascii="Calibri" w:hAnsi="Calibri" w:cs="Calibri"/>
          <w:sz w:val="24"/>
          <w:szCs w:val="24"/>
        </w:rPr>
        <w:t xml:space="preserve">Brno; </w:t>
      </w:r>
      <w:proofErr w:type="spellStart"/>
      <w:r w:rsidR="00B47D21" w:rsidRPr="007D2E10">
        <w:rPr>
          <w:rFonts w:ascii="Calibri" w:hAnsi="Calibri" w:cs="Calibri"/>
          <w:sz w:val="24"/>
          <w:szCs w:val="24"/>
        </w:rPr>
        <w:t>MEgA</w:t>
      </w:r>
      <w:proofErr w:type="spellEnd"/>
      <w:r w:rsidR="00B47D21" w:rsidRPr="007D2E10">
        <w:rPr>
          <w:rFonts w:ascii="Calibri" w:hAnsi="Calibri" w:cs="Calibri"/>
          <w:sz w:val="24"/>
          <w:szCs w:val="24"/>
        </w:rPr>
        <w:t xml:space="preserve"> </w:t>
      </w:r>
      <w:r w:rsidR="00674732">
        <w:rPr>
          <w:rFonts w:ascii="Calibri" w:hAnsi="Calibri" w:cs="Calibri"/>
          <w:sz w:val="24"/>
          <w:szCs w:val="24"/>
        </w:rPr>
        <w:t>–</w:t>
      </w:r>
      <w:r w:rsidR="00B47D21" w:rsidRPr="007D2E10">
        <w:rPr>
          <w:rFonts w:ascii="Calibri" w:hAnsi="Calibri" w:cs="Calibri"/>
          <w:sz w:val="24"/>
          <w:szCs w:val="24"/>
        </w:rPr>
        <w:t xml:space="preserve"> Měřící Energetické Aparáty, a.s.,</w:t>
      </w:r>
      <w:r w:rsidR="006777C3">
        <w:rPr>
          <w:rFonts w:ascii="Calibri" w:hAnsi="Calibri" w:cs="Calibri"/>
          <w:sz w:val="24"/>
          <w:szCs w:val="24"/>
        </w:rPr>
        <w:t xml:space="preserve"> Česká;</w:t>
      </w:r>
      <w:r w:rsidR="00B47D21" w:rsidRPr="007D2E10">
        <w:rPr>
          <w:rFonts w:ascii="Calibri" w:hAnsi="Calibri" w:cs="Calibri"/>
          <w:sz w:val="24"/>
          <w:szCs w:val="24"/>
        </w:rPr>
        <w:t xml:space="preserve"> CAMEA, spol. s r.o.</w:t>
      </w:r>
      <w:r w:rsidR="006777C3">
        <w:rPr>
          <w:rFonts w:ascii="Calibri" w:hAnsi="Calibri" w:cs="Calibri"/>
          <w:sz w:val="24"/>
          <w:szCs w:val="24"/>
        </w:rPr>
        <w:t>, Brno</w:t>
      </w:r>
      <w:r w:rsidR="00674732">
        <w:rPr>
          <w:rFonts w:ascii="Calibri" w:hAnsi="Calibri" w:cs="Calibri"/>
          <w:sz w:val="24"/>
          <w:szCs w:val="24"/>
        </w:rPr>
        <w:t>.</w:t>
      </w:r>
    </w:p>
    <w:p w14:paraId="2E7FA80F" w14:textId="77777777" w:rsidR="00B47D21" w:rsidRPr="004F2B40" w:rsidRDefault="00B47D21" w:rsidP="00B47D21">
      <w:pPr>
        <w:spacing w:after="0" w:line="240" w:lineRule="auto"/>
        <w:jc w:val="both"/>
        <w:rPr>
          <w:rFonts w:ascii="Calibri" w:hAnsi="Calibri" w:cs="Calibri"/>
          <w:sz w:val="24"/>
          <w:szCs w:val="24"/>
        </w:rPr>
      </w:pPr>
    </w:p>
    <w:p w14:paraId="725F0C28" w14:textId="77777777" w:rsidR="00B47D21" w:rsidRPr="004F2B40" w:rsidRDefault="00B47D21" w:rsidP="00B47D21">
      <w:pPr>
        <w:spacing w:after="0" w:line="240" w:lineRule="auto"/>
        <w:jc w:val="both"/>
        <w:rPr>
          <w:rFonts w:ascii="Calibri" w:hAnsi="Calibri" w:cs="Calibri"/>
          <w:sz w:val="24"/>
          <w:szCs w:val="24"/>
        </w:rPr>
      </w:pPr>
    </w:p>
    <w:p w14:paraId="43624A06" w14:textId="77777777" w:rsidR="00B47D21" w:rsidRPr="004F2B40" w:rsidRDefault="00E20741" w:rsidP="00B47D21">
      <w:pPr>
        <w:spacing w:after="0" w:line="240" w:lineRule="auto"/>
        <w:jc w:val="both"/>
        <w:rPr>
          <w:rFonts w:ascii="Calibri" w:hAnsi="Calibri" w:cs="Calibri"/>
          <w:sz w:val="24"/>
          <w:szCs w:val="24"/>
        </w:rPr>
      </w:pPr>
      <w:r>
        <w:rPr>
          <w:rFonts w:ascii="Calibri" w:hAnsi="Calibri" w:cs="Calibri"/>
          <w:sz w:val="24"/>
          <w:szCs w:val="24"/>
        </w:rPr>
        <w:t>Kontrolováno bylo období 2016</w:t>
      </w:r>
      <w:r w:rsidR="00B47D21" w:rsidRPr="004F2B40">
        <w:rPr>
          <w:rFonts w:ascii="Calibri" w:hAnsi="Calibri" w:cs="Calibri"/>
          <w:sz w:val="24"/>
          <w:szCs w:val="24"/>
        </w:rPr>
        <w:t>–</w:t>
      </w:r>
      <w:r w:rsidR="00B47D21">
        <w:rPr>
          <w:rFonts w:ascii="Calibri" w:hAnsi="Calibri" w:cs="Calibri"/>
          <w:sz w:val="24"/>
          <w:szCs w:val="24"/>
        </w:rPr>
        <w:t>2018</w:t>
      </w:r>
      <w:r w:rsidR="00B47D21" w:rsidRPr="004F2B40">
        <w:rPr>
          <w:rFonts w:ascii="Calibri" w:hAnsi="Calibri" w:cs="Calibri"/>
          <w:sz w:val="24"/>
          <w:szCs w:val="24"/>
        </w:rPr>
        <w:t>, v případě věcných souvislostí i období předcházející a</w:t>
      </w:r>
      <w:r w:rsidR="00B47D21">
        <w:rPr>
          <w:rFonts w:ascii="Calibri" w:hAnsi="Calibri" w:cs="Calibri"/>
          <w:sz w:val="24"/>
          <w:szCs w:val="24"/>
        </w:rPr>
        <w:t> </w:t>
      </w:r>
      <w:r w:rsidR="00B47D21" w:rsidRPr="004F2B40">
        <w:rPr>
          <w:rFonts w:ascii="Calibri" w:hAnsi="Calibri" w:cs="Calibri"/>
          <w:sz w:val="24"/>
          <w:szCs w:val="24"/>
        </w:rPr>
        <w:t>následující.</w:t>
      </w:r>
    </w:p>
    <w:p w14:paraId="2CBEACCF" w14:textId="77777777" w:rsidR="00B47D21" w:rsidRPr="004F2B40" w:rsidRDefault="00B47D21" w:rsidP="00B47D21">
      <w:pPr>
        <w:spacing w:after="0" w:line="240" w:lineRule="auto"/>
        <w:jc w:val="both"/>
        <w:rPr>
          <w:rFonts w:ascii="Calibri" w:hAnsi="Calibri" w:cs="Calibri"/>
          <w:sz w:val="24"/>
          <w:szCs w:val="24"/>
        </w:rPr>
      </w:pPr>
    </w:p>
    <w:p w14:paraId="29F858DE" w14:textId="77777777" w:rsidR="00B47D21" w:rsidRPr="004F2B40" w:rsidRDefault="00B47D21" w:rsidP="00B47D21">
      <w:pPr>
        <w:spacing w:after="0" w:line="240" w:lineRule="auto"/>
        <w:jc w:val="both"/>
        <w:rPr>
          <w:rFonts w:ascii="Calibri" w:hAnsi="Calibri" w:cs="Calibri"/>
          <w:sz w:val="24"/>
          <w:szCs w:val="24"/>
        </w:rPr>
      </w:pPr>
      <w:r w:rsidRPr="004F2B40">
        <w:rPr>
          <w:rFonts w:ascii="Calibri" w:hAnsi="Calibri" w:cs="Calibri"/>
          <w:sz w:val="24"/>
          <w:szCs w:val="24"/>
        </w:rPr>
        <w:t xml:space="preserve">Kontrola byla prováděna u kontrolovaných osob v době od května do </w:t>
      </w:r>
      <w:r>
        <w:rPr>
          <w:rFonts w:ascii="Calibri" w:hAnsi="Calibri" w:cs="Calibri"/>
          <w:sz w:val="24"/>
          <w:szCs w:val="24"/>
        </w:rPr>
        <w:t>listopadu</w:t>
      </w:r>
      <w:r w:rsidRPr="004F2B40">
        <w:rPr>
          <w:rFonts w:ascii="Calibri" w:hAnsi="Calibri" w:cs="Calibri"/>
          <w:sz w:val="24"/>
          <w:szCs w:val="24"/>
        </w:rPr>
        <w:t xml:space="preserve"> </w:t>
      </w:r>
      <w:r>
        <w:rPr>
          <w:rFonts w:ascii="Calibri" w:hAnsi="Calibri" w:cs="Calibri"/>
          <w:sz w:val="24"/>
          <w:szCs w:val="24"/>
        </w:rPr>
        <w:t>2019</w:t>
      </w:r>
      <w:r w:rsidRPr="004F2B40">
        <w:rPr>
          <w:rFonts w:ascii="Calibri" w:hAnsi="Calibri" w:cs="Calibri"/>
          <w:sz w:val="24"/>
          <w:szCs w:val="24"/>
        </w:rPr>
        <w:t>.</w:t>
      </w:r>
    </w:p>
    <w:p w14:paraId="3776040E" w14:textId="77777777" w:rsidR="00B47D21" w:rsidRPr="004F2B40" w:rsidRDefault="00B47D21" w:rsidP="00B47D21">
      <w:pPr>
        <w:spacing w:after="0"/>
        <w:jc w:val="both"/>
        <w:rPr>
          <w:rFonts w:ascii="Calibri" w:hAnsi="Calibri" w:cs="Calibri"/>
          <w:sz w:val="24"/>
          <w:szCs w:val="24"/>
        </w:rPr>
      </w:pPr>
    </w:p>
    <w:p w14:paraId="45866AE5" w14:textId="77777777" w:rsidR="00B47D21" w:rsidRPr="004F2B40" w:rsidRDefault="00B47D21" w:rsidP="00B47D21">
      <w:pPr>
        <w:spacing w:after="0"/>
        <w:jc w:val="both"/>
        <w:rPr>
          <w:rFonts w:ascii="Calibri" w:hAnsi="Calibri" w:cs="Calibri"/>
          <w:sz w:val="24"/>
          <w:szCs w:val="24"/>
        </w:rPr>
      </w:pPr>
    </w:p>
    <w:p w14:paraId="50BFBCEA" w14:textId="77777777" w:rsidR="00B47D21" w:rsidRPr="004F2B40" w:rsidRDefault="00B47D21" w:rsidP="00B47D21">
      <w:pPr>
        <w:jc w:val="both"/>
        <w:rPr>
          <w:rFonts w:ascii="Calibri" w:hAnsi="Calibri" w:cs="Calibri"/>
          <w:sz w:val="24"/>
          <w:szCs w:val="24"/>
        </w:rPr>
      </w:pPr>
      <w:r w:rsidRPr="004F2B40">
        <w:rPr>
          <w:rFonts w:ascii="Calibri" w:hAnsi="Calibri" w:cs="Calibri"/>
          <w:b/>
          <w:bCs/>
          <w:i/>
          <w:iCs/>
          <w:spacing w:val="60"/>
          <w:sz w:val="24"/>
          <w:szCs w:val="24"/>
        </w:rPr>
        <w:t>Kolegium</w:t>
      </w:r>
      <w:r w:rsidRPr="004F2B40">
        <w:rPr>
          <w:rFonts w:ascii="Calibri" w:hAnsi="Calibri" w:cs="Calibri"/>
          <w:b/>
          <w:bCs/>
          <w:i/>
          <w:iCs/>
          <w:sz w:val="24"/>
          <w:szCs w:val="24"/>
        </w:rPr>
        <w:t xml:space="preserve">   </w:t>
      </w:r>
      <w:r w:rsidRPr="004F2B40">
        <w:rPr>
          <w:rFonts w:ascii="Calibri" w:hAnsi="Calibri" w:cs="Calibri"/>
          <w:b/>
          <w:bCs/>
          <w:i/>
          <w:iCs/>
          <w:spacing w:val="60"/>
          <w:sz w:val="24"/>
          <w:szCs w:val="24"/>
        </w:rPr>
        <w:t>NKÚ</w:t>
      </w:r>
      <w:r w:rsidRPr="004F2B40">
        <w:rPr>
          <w:rFonts w:ascii="Calibri" w:hAnsi="Calibri" w:cs="Calibri"/>
          <w:sz w:val="24"/>
          <w:szCs w:val="24"/>
        </w:rPr>
        <w:t xml:space="preserve">   </w:t>
      </w:r>
      <w:r w:rsidRPr="009D6A46">
        <w:rPr>
          <w:rFonts w:ascii="Calibri" w:hAnsi="Calibri" w:cs="Calibri"/>
          <w:sz w:val="24"/>
          <w:szCs w:val="24"/>
        </w:rPr>
        <w:t>na svém III. jednání, které se konalo dne 2</w:t>
      </w:r>
      <w:r w:rsidR="00731224">
        <w:rPr>
          <w:rFonts w:ascii="Calibri" w:hAnsi="Calibri" w:cs="Calibri"/>
          <w:sz w:val="24"/>
          <w:szCs w:val="24"/>
        </w:rPr>
        <w:t>4</w:t>
      </w:r>
      <w:r w:rsidR="00E20741">
        <w:rPr>
          <w:rFonts w:ascii="Calibri" w:hAnsi="Calibri" w:cs="Calibri"/>
          <w:sz w:val="24"/>
          <w:szCs w:val="24"/>
        </w:rPr>
        <w:t>. února 2020</w:t>
      </w:r>
      <w:r w:rsidRPr="009D6A46">
        <w:rPr>
          <w:rFonts w:ascii="Calibri" w:hAnsi="Calibri" w:cs="Calibri"/>
          <w:sz w:val="24"/>
          <w:szCs w:val="24"/>
        </w:rPr>
        <w:t>,</w:t>
      </w:r>
    </w:p>
    <w:p w14:paraId="66BF4229" w14:textId="77777777" w:rsidR="00E20741" w:rsidRDefault="00B47D21" w:rsidP="00B47D21">
      <w:pPr>
        <w:jc w:val="both"/>
        <w:rPr>
          <w:rFonts w:ascii="Calibri" w:hAnsi="Calibri" w:cs="Calibri"/>
          <w:sz w:val="24"/>
          <w:szCs w:val="24"/>
        </w:rPr>
      </w:pPr>
      <w:r w:rsidRPr="004F2B40">
        <w:rPr>
          <w:rFonts w:ascii="Calibri" w:hAnsi="Calibri" w:cs="Calibri"/>
          <w:b/>
          <w:bCs/>
          <w:i/>
          <w:iCs/>
          <w:spacing w:val="60"/>
          <w:sz w:val="24"/>
          <w:szCs w:val="24"/>
        </w:rPr>
        <w:t>schválilo</w:t>
      </w:r>
      <w:r w:rsidRPr="004F2B40">
        <w:rPr>
          <w:rFonts w:ascii="Calibri" w:hAnsi="Calibri" w:cs="Calibri"/>
          <w:sz w:val="24"/>
          <w:szCs w:val="24"/>
        </w:rPr>
        <w:t xml:space="preserve">   </w:t>
      </w:r>
      <w:r w:rsidR="00FA7793">
        <w:rPr>
          <w:rFonts w:ascii="Calibri" w:hAnsi="Calibri" w:cs="Calibri"/>
          <w:sz w:val="24"/>
          <w:szCs w:val="24"/>
        </w:rPr>
        <w:t>usnesením č. 11</w:t>
      </w:r>
      <w:r w:rsidR="00E20741">
        <w:rPr>
          <w:rFonts w:ascii="Calibri" w:hAnsi="Calibri" w:cs="Calibri"/>
          <w:sz w:val="24"/>
          <w:szCs w:val="24"/>
        </w:rPr>
        <w:t>/III/2020</w:t>
      </w:r>
    </w:p>
    <w:p w14:paraId="525A00FA" w14:textId="77777777" w:rsidR="00B47D21" w:rsidRPr="004F2B40" w:rsidRDefault="00B47D21" w:rsidP="00B47D21">
      <w:pPr>
        <w:jc w:val="both"/>
        <w:rPr>
          <w:rFonts w:ascii="Calibri" w:hAnsi="Calibri" w:cs="Calibri"/>
          <w:sz w:val="24"/>
          <w:szCs w:val="24"/>
        </w:rPr>
      </w:pPr>
      <w:r w:rsidRPr="004F2B40">
        <w:rPr>
          <w:rFonts w:ascii="Calibri" w:hAnsi="Calibri" w:cs="Calibri"/>
          <w:b/>
          <w:bCs/>
          <w:i/>
          <w:iCs/>
          <w:spacing w:val="60"/>
          <w:sz w:val="24"/>
          <w:szCs w:val="24"/>
        </w:rPr>
        <w:t>kontrolní</w:t>
      </w:r>
      <w:r w:rsidRPr="004F2B40">
        <w:rPr>
          <w:rFonts w:ascii="Calibri" w:hAnsi="Calibri" w:cs="Calibri"/>
          <w:b/>
          <w:bCs/>
          <w:i/>
          <w:iCs/>
          <w:sz w:val="24"/>
          <w:szCs w:val="24"/>
        </w:rPr>
        <w:t xml:space="preserve">   </w:t>
      </w:r>
      <w:r w:rsidRPr="004F2B40">
        <w:rPr>
          <w:rFonts w:ascii="Calibri" w:hAnsi="Calibri" w:cs="Calibri"/>
          <w:b/>
          <w:bCs/>
          <w:i/>
          <w:iCs/>
          <w:spacing w:val="60"/>
          <w:sz w:val="24"/>
          <w:szCs w:val="24"/>
        </w:rPr>
        <w:t>závěr</w:t>
      </w:r>
      <w:r w:rsidRPr="004F2B40">
        <w:rPr>
          <w:rFonts w:ascii="Calibri" w:hAnsi="Calibri" w:cs="Calibri"/>
          <w:sz w:val="24"/>
          <w:szCs w:val="24"/>
        </w:rPr>
        <w:t xml:space="preserve">   v tomto znění:</w:t>
      </w:r>
    </w:p>
    <w:p w14:paraId="61E447BE" w14:textId="77777777" w:rsidR="00B47D21" w:rsidRPr="004F2B40" w:rsidRDefault="00B47D21" w:rsidP="00B47D21">
      <w:pPr>
        <w:spacing w:after="0" w:line="240" w:lineRule="auto"/>
        <w:rPr>
          <w:rFonts w:ascii="Calibri" w:hAnsi="Calibri" w:cs="Calibri"/>
          <w:sz w:val="24"/>
          <w:szCs w:val="24"/>
        </w:rPr>
      </w:pPr>
      <w:r w:rsidRPr="004F2B40">
        <w:rPr>
          <w:rFonts w:ascii="Calibri" w:hAnsi="Calibri" w:cs="Calibri"/>
          <w:sz w:val="24"/>
          <w:szCs w:val="24"/>
        </w:rPr>
        <w:br w:type="page"/>
      </w:r>
    </w:p>
    <w:p w14:paraId="0DA12476" w14:textId="77777777" w:rsidR="00646B87" w:rsidRPr="00943EE7" w:rsidRDefault="00646B87" w:rsidP="00646B87">
      <w:pPr>
        <w:jc w:val="center"/>
        <w:rPr>
          <w:rStyle w:val="A1"/>
          <w:color w:val="5B9BD5" w:themeColor="accent1"/>
          <w:sz w:val="50"/>
          <w:szCs w:val="50"/>
        </w:rPr>
      </w:pPr>
      <w:r w:rsidRPr="00943EE7">
        <w:rPr>
          <w:rStyle w:val="A4"/>
          <w:color w:val="5B9BD5" w:themeColor="accent1"/>
          <w:sz w:val="50"/>
          <w:szCs w:val="50"/>
        </w:rPr>
        <w:lastRenderedPageBreak/>
        <w:t>Bezpečnostní výzkum v</w:t>
      </w:r>
      <w:r w:rsidR="00276F46" w:rsidRPr="00943EE7">
        <w:rPr>
          <w:rStyle w:val="A4"/>
          <w:color w:val="5B9BD5" w:themeColor="accent1"/>
          <w:sz w:val="50"/>
          <w:szCs w:val="50"/>
        </w:rPr>
        <w:t> České republice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0"/>
        <w:gridCol w:w="3021"/>
        <w:gridCol w:w="3021"/>
      </w:tblGrid>
      <w:tr w:rsidR="00646B87" w14:paraId="79CD6E7B" w14:textId="77777777" w:rsidTr="00646B87">
        <w:trPr>
          <w:trHeight w:val="1918"/>
        </w:trPr>
        <w:tc>
          <w:tcPr>
            <w:tcW w:w="3020" w:type="dxa"/>
          </w:tcPr>
          <w:p w14:paraId="7A006D93" w14:textId="32A0130B" w:rsidR="00646B87" w:rsidRDefault="00646B87" w:rsidP="00646B87">
            <w:pPr>
              <w:jc w:val="center"/>
              <w:rPr>
                <w:rStyle w:val="A5"/>
              </w:rPr>
            </w:pPr>
            <w:r>
              <w:rPr>
                <w:rStyle w:val="A5"/>
              </w:rPr>
              <w:t>2 800 mil. Kč</w:t>
            </w:r>
          </w:p>
          <w:p w14:paraId="7D788EC5" w14:textId="77777777" w:rsidR="00431AA9" w:rsidRDefault="00646B87" w:rsidP="00431AA9">
            <w:pPr>
              <w:jc w:val="center"/>
              <w:rPr>
                <w:b/>
                <w:sz w:val="20"/>
                <w:szCs w:val="20"/>
              </w:rPr>
            </w:pPr>
            <w:r w:rsidRPr="006545AA">
              <w:rPr>
                <w:b/>
                <w:sz w:val="20"/>
                <w:szCs w:val="20"/>
              </w:rPr>
              <w:t>Sc</w:t>
            </w:r>
            <w:r w:rsidR="00C60C24">
              <w:rPr>
                <w:b/>
                <w:sz w:val="20"/>
                <w:szCs w:val="20"/>
              </w:rPr>
              <w:t>hválené prostředky na Program bezpečnostního výzkumu ČR</w:t>
            </w:r>
            <w:r w:rsidRPr="006545AA">
              <w:rPr>
                <w:b/>
                <w:sz w:val="20"/>
                <w:szCs w:val="20"/>
              </w:rPr>
              <w:t xml:space="preserve"> </w:t>
            </w:r>
          </w:p>
          <w:p w14:paraId="150A0AD6" w14:textId="222FB7BB" w:rsidR="00646B87" w:rsidRPr="006545AA" w:rsidRDefault="00646B87" w:rsidP="00196F11">
            <w:pPr>
              <w:jc w:val="center"/>
              <w:rPr>
                <w:rStyle w:val="A1"/>
                <w:b/>
                <w:bCs/>
                <w:sz w:val="40"/>
                <w:szCs w:val="40"/>
              </w:rPr>
            </w:pPr>
            <w:r w:rsidRPr="006545AA">
              <w:rPr>
                <w:b/>
                <w:sz w:val="20"/>
                <w:szCs w:val="20"/>
              </w:rPr>
              <w:t>v letech 2015</w:t>
            </w:r>
            <w:r w:rsidR="00196F11">
              <w:rPr>
                <w:b/>
                <w:sz w:val="20"/>
                <w:szCs w:val="20"/>
              </w:rPr>
              <w:t>–</w:t>
            </w:r>
            <w:r w:rsidRPr="006545AA">
              <w:rPr>
                <w:b/>
                <w:sz w:val="20"/>
                <w:szCs w:val="20"/>
              </w:rPr>
              <w:t>2022</w:t>
            </w:r>
          </w:p>
        </w:tc>
        <w:tc>
          <w:tcPr>
            <w:tcW w:w="3021" w:type="dxa"/>
          </w:tcPr>
          <w:p w14:paraId="3D4E838B" w14:textId="77777777" w:rsidR="00646B87" w:rsidRDefault="00646B87" w:rsidP="00646B87">
            <w:pPr>
              <w:jc w:val="center"/>
              <w:rPr>
                <w:rStyle w:val="A5"/>
              </w:rPr>
            </w:pPr>
            <w:r>
              <w:rPr>
                <w:rStyle w:val="A5"/>
              </w:rPr>
              <w:t>800 mil. Kč</w:t>
            </w:r>
          </w:p>
          <w:p w14:paraId="08193022" w14:textId="3B4732F1" w:rsidR="00646B87" w:rsidRPr="00055D3A" w:rsidRDefault="00646B87" w:rsidP="00196F11">
            <w:pPr>
              <w:jc w:val="center"/>
              <w:rPr>
                <w:rStyle w:val="A1"/>
                <w:sz w:val="20"/>
                <w:szCs w:val="20"/>
              </w:rPr>
            </w:pPr>
            <w:r w:rsidRPr="00886EDF">
              <w:rPr>
                <w:b/>
                <w:sz w:val="20"/>
                <w:szCs w:val="20"/>
              </w:rPr>
              <w:t>Sc</w:t>
            </w:r>
            <w:r w:rsidR="00C60C24">
              <w:rPr>
                <w:b/>
                <w:sz w:val="20"/>
                <w:szCs w:val="20"/>
              </w:rPr>
              <w:t>hválené prostředky na Program bezpečnostního výzkumu pro potřeby státu</w:t>
            </w:r>
            <w:r w:rsidRPr="00886EDF">
              <w:rPr>
                <w:b/>
                <w:sz w:val="20"/>
                <w:szCs w:val="20"/>
              </w:rPr>
              <w:t xml:space="preserve"> v letech 2016</w:t>
            </w:r>
            <w:r w:rsidR="00196F11">
              <w:rPr>
                <w:b/>
                <w:sz w:val="20"/>
                <w:szCs w:val="20"/>
              </w:rPr>
              <w:t>–</w:t>
            </w:r>
            <w:r w:rsidRPr="00886EDF">
              <w:rPr>
                <w:b/>
                <w:sz w:val="20"/>
                <w:szCs w:val="20"/>
              </w:rPr>
              <w:t>2021</w:t>
            </w:r>
          </w:p>
        </w:tc>
        <w:tc>
          <w:tcPr>
            <w:tcW w:w="3021" w:type="dxa"/>
          </w:tcPr>
          <w:p w14:paraId="49584A83" w14:textId="77777777" w:rsidR="00646B87" w:rsidRDefault="000D7844" w:rsidP="00646B87">
            <w:pPr>
              <w:jc w:val="center"/>
              <w:rPr>
                <w:rStyle w:val="A5"/>
              </w:rPr>
            </w:pPr>
            <w:r>
              <w:rPr>
                <w:rStyle w:val="A5"/>
              </w:rPr>
              <w:t>175</w:t>
            </w:r>
            <w:r w:rsidR="00646B87">
              <w:rPr>
                <w:rStyle w:val="A5"/>
              </w:rPr>
              <w:t xml:space="preserve"> mil. Kč</w:t>
            </w:r>
          </w:p>
          <w:p w14:paraId="5B2F6C57" w14:textId="0CAAA049" w:rsidR="00646B87" w:rsidRPr="00055D3A" w:rsidRDefault="00646B87" w:rsidP="00646B87">
            <w:pPr>
              <w:jc w:val="center"/>
              <w:rPr>
                <w:sz w:val="20"/>
                <w:szCs w:val="20"/>
              </w:rPr>
            </w:pPr>
            <w:r>
              <w:rPr>
                <w:b/>
                <w:sz w:val="20"/>
                <w:szCs w:val="20"/>
              </w:rPr>
              <w:t>Čerpání institucionální podpory v letech 2016</w:t>
            </w:r>
            <w:r w:rsidR="00196F11">
              <w:rPr>
                <w:b/>
                <w:sz w:val="20"/>
                <w:szCs w:val="20"/>
              </w:rPr>
              <w:t>–</w:t>
            </w:r>
            <w:r>
              <w:rPr>
                <w:b/>
                <w:sz w:val="20"/>
                <w:szCs w:val="20"/>
              </w:rPr>
              <w:t>2018</w:t>
            </w:r>
          </w:p>
          <w:p w14:paraId="455C1CE6" w14:textId="77777777" w:rsidR="00646B87" w:rsidRPr="002D0F91" w:rsidRDefault="00646B87" w:rsidP="00646B87">
            <w:pPr>
              <w:jc w:val="both"/>
              <w:rPr>
                <w:rStyle w:val="A1"/>
                <w:rFonts w:ascii="Calibri Light" w:hAnsi="Calibri Light" w:cs="Calibri Light"/>
                <w:sz w:val="20"/>
                <w:szCs w:val="20"/>
              </w:rPr>
            </w:pPr>
          </w:p>
        </w:tc>
      </w:tr>
      <w:tr w:rsidR="00646B87" w14:paraId="1C86CE26" w14:textId="77777777" w:rsidTr="00646B87">
        <w:tc>
          <w:tcPr>
            <w:tcW w:w="3020" w:type="dxa"/>
          </w:tcPr>
          <w:p w14:paraId="59145719" w14:textId="77777777" w:rsidR="00646B87" w:rsidRDefault="00FF60DF" w:rsidP="00646B87">
            <w:pPr>
              <w:jc w:val="center"/>
              <w:rPr>
                <w:rStyle w:val="A5"/>
              </w:rPr>
            </w:pPr>
            <w:r>
              <w:rPr>
                <w:rStyle w:val="A5"/>
              </w:rPr>
              <w:t>152</w:t>
            </w:r>
          </w:p>
          <w:p w14:paraId="7C5E4201" w14:textId="77777777" w:rsidR="00646B87" w:rsidRPr="00627DB9" w:rsidRDefault="00646B87" w:rsidP="00646B87">
            <w:pPr>
              <w:jc w:val="center"/>
              <w:rPr>
                <w:rFonts w:ascii="Calibri" w:hAnsi="Calibri" w:cs="Calibri"/>
                <w:b/>
                <w:bCs/>
                <w:color w:val="000000"/>
                <w:sz w:val="20"/>
                <w:szCs w:val="20"/>
              </w:rPr>
            </w:pPr>
            <w:r>
              <w:rPr>
                <w:b/>
                <w:sz w:val="20"/>
                <w:szCs w:val="20"/>
              </w:rPr>
              <w:t>Podpořenýc</w:t>
            </w:r>
            <w:r w:rsidR="00431AA9">
              <w:rPr>
                <w:b/>
                <w:sz w:val="20"/>
                <w:szCs w:val="20"/>
              </w:rPr>
              <w:t xml:space="preserve">h projektů </w:t>
            </w:r>
            <w:r w:rsidR="00C04C8E">
              <w:rPr>
                <w:b/>
                <w:sz w:val="20"/>
                <w:szCs w:val="20"/>
              </w:rPr>
              <w:t>bezpečnostního výzkumu</w:t>
            </w:r>
            <w:r w:rsidR="00431AA9">
              <w:rPr>
                <w:b/>
                <w:sz w:val="20"/>
                <w:szCs w:val="20"/>
              </w:rPr>
              <w:t xml:space="preserve"> z obou programů ke konci roku 2018</w:t>
            </w:r>
            <w:r>
              <w:rPr>
                <w:b/>
                <w:sz w:val="20"/>
                <w:szCs w:val="20"/>
              </w:rPr>
              <w:t xml:space="preserve"> </w:t>
            </w:r>
          </w:p>
          <w:p w14:paraId="47171E18" w14:textId="77777777" w:rsidR="00646B87" w:rsidRDefault="00646B87" w:rsidP="00646B87">
            <w:pPr>
              <w:jc w:val="both"/>
              <w:rPr>
                <w:rStyle w:val="A1"/>
                <w:rFonts w:ascii="Calibri Light" w:hAnsi="Calibri Light" w:cs="Calibri Light"/>
              </w:rPr>
            </w:pPr>
          </w:p>
        </w:tc>
        <w:tc>
          <w:tcPr>
            <w:tcW w:w="3021" w:type="dxa"/>
          </w:tcPr>
          <w:p w14:paraId="5CEA50C4" w14:textId="77777777" w:rsidR="00EA2221" w:rsidRDefault="00EA2221" w:rsidP="00EA2221">
            <w:pPr>
              <w:jc w:val="center"/>
              <w:rPr>
                <w:rStyle w:val="A5"/>
              </w:rPr>
            </w:pPr>
            <w:r>
              <w:rPr>
                <w:rStyle w:val="A5"/>
              </w:rPr>
              <w:t>157 mil. Kč</w:t>
            </w:r>
          </w:p>
          <w:p w14:paraId="24294513" w14:textId="77777777" w:rsidR="00EA2221" w:rsidRPr="00627DB9" w:rsidRDefault="00EA2221" w:rsidP="00EA2221">
            <w:pPr>
              <w:jc w:val="center"/>
              <w:rPr>
                <w:rFonts w:ascii="Calibri" w:hAnsi="Calibri" w:cs="Calibri"/>
                <w:b/>
                <w:bCs/>
                <w:color w:val="000000"/>
                <w:sz w:val="20"/>
                <w:szCs w:val="20"/>
              </w:rPr>
            </w:pPr>
            <w:r>
              <w:rPr>
                <w:b/>
                <w:sz w:val="20"/>
                <w:szCs w:val="20"/>
              </w:rPr>
              <w:t>Výše poskytnuté podpory kontrolovaných projektů</w:t>
            </w:r>
          </w:p>
          <w:p w14:paraId="5E4BA385" w14:textId="77777777" w:rsidR="00646B87" w:rsidRPr="00627DB9" w:rsidRDefault="00646B87" w:rsidP="00646B87">
            <w:pPr>
              <w:jc w:val="center"/>
              <w:rPr>
                <w:rStyle w:val="A1"/>
                <w:b/>
                <w:bCs/>
                <w:sz w:val="20"/>
                <w:szCs w:val="20"/>
              </w:rPr>
            </w:pPr>
          </w:p>
        </w:tc>
        <w:tc>
          <w:tcPr>
            <w:tcW w:w="3021" w:type="dxa"/>
          </w:tcPr>
          <w:p w14:paraId="16CD194F" w14:textId="77777777" w:rsidR="00646B87" w:rsidRDefault="00646B87" w:rsidP="00646B87">
            <w:pPr>
              <w:jc w:val="center"/>
              <w:rPr>
                <w:rStyle w:val="A5"/>
              </w:rPr>
            </w:pPr>
            <w:r w:rsidRPr="00431AA9">
              <w:rPr>
                <w:rStyle w:val="A5"/>
                <w:color w:val="C00000"/>
              </w:rPr>
              <w:t>5</w:t>
            </w:r>
            <w:r>
              <w:rPr>
                <w:rStyle w:val="A5"/>
              </w:rPr>
              <w:t>/12</w:t>
            </w:r>
          </w:p>
          <w:p w14:paraId="5550A611" w14:textId="77777777" w:rsidR="00646B87" w:rsidRPr="00055D3A" w:rsidRDefault="00431AA9" w:rsidP="00646B87">
            <w:pPr>
              <w:jc w:val="center"/>
              <w:rPr>
                <w:b/>
                <w:color w:val="000000" w:themeColor="text1"/>
                <w:sz w:val="20"/>
                <w:szCs w:val="20"/>
                <w14:textOutline w14:w="9525" w14:cap="rnd" w14:cmpd="sng" w14:algn="ctr">
                  <w14:noFill/>
                  <w14:prstDash w14:val="solid"/>
                  <w14:bevel/>
                </w14:textOutline>
              </w:rPr>
            </w:pPr>
            <w:r>
              <w:rPr>
                <w:b/>
                <w:sz w:val="20"/>
                <w:szCs w:val="20"/>
              </w:rPr>
              <w:t>Projekty</w:t>
            </w:r>
            <w:r w:rsidR="00646B87">
              <w:rPr>
                <w:b/>
                <w:sz w:val="20"/>
                <w:szCs w:val="20"/>
              </w:rPr>
              <w:t xml:space="preserve"> s nedostatky v oblasti účelnosti a efektivnosti z</w:t>
            </w:r>
            <w:r w:rsidR="00731224">
              <w:rPr>
                <w:b/>
                <w:sz w:val="20"/>
                <w:szCs w:val="20"/>
              </w:rPr>
              <w:t> </w:t>
            </w:r>
            <w:r w:rsidR="00646B87">
              <w:rPr>
                <w:b/>
                <w:sz w:val="20"/>
                <w:szCs w:val="20"/>
              </w:rPr>
              <w:t>kontrolovaných</w:t>
            </w:r>
            <w:r w:rsidR="00731224">
              <w:rPr>
                <w:b/>
                <w:sz w:val="20"/>
                <w:szCs w:val="20"/>
              </w:rPr>
              <w:t xml:space="preserve"> projektů</w:t>
            </w:r>
            <w:r w:rsidR="00646B87">
              <w:rPr>
                <w:b/>
                <w:sz w:val="20"/>
                <w:szCs w:val="20"/>
              </w:rPr>
              <w:t xml:space="preserve"> celkem</w:t>
            </w:r>
          </w:p>
          <w:p w14:paraId="11FFC720" w14:textId="77777777" w:rsidR="00646B87" w:rsidRPr="002D0F91" w:rsidRDefault="00646B87" w:rsidP="00646B87">
            <w:pPr>
              <w:jc w:val="both"/>
              <w:rPr>
                <w:rStyle w:val="A1"/>
                <w:rFonts w:ascii="Calibri Light" w:hAnsi="Calibri Light" w:cs="Calibri Light"/>
                <w:sz w:val="20"/>
                <w:szCs w:val="20"/>
              </w:rPr>
            </w:pPr>
          </w:p>
        </w:tc>
      </w:tr>
    </w:tbl>
    <w:p w14:paraId="7A9F5221" w14:textId="77777777" w:rsidR="00EA2236" w:rsidRDefault="00EA2236" w:rsidP="00646B87">
      <w:pPr>
        <w:jc w:val="center"/>
        <w:rPr>
          <w:b/>
        </w:rPr>
      </w:pPr>
    </w:p>
    <w:p w14:paraId="4D1EC362" w14:textId="6F956ACC" w:rsidR="00646B87" w:rsidRPr="000D7844" w:rsidRDefault="00675ABF" w:rsidP="000D7844">
      <w:pPr>
        <w:pBdr>
          <w:top w:val="single" w:sz="4" w:space="1" w:color="auto"/>
          <w:left w:val="single" w:sz="4" w:space="4" w:color="auto"/>
          <w:bottom w:val="single" w:sz="4" w:space="1" w:color="auto"/>
          <w:right w:val="single" w:sz="4" w:space="4" w:color="auto"/>
        </w:pBdr>
        <w:jc w:val="center"/>
        <w:rPr>
          <w:b/>
          <w:color w:val="C00000"/>
        </w:rPr>
      </w:pPr>
      <w:r>
        <w:rPr>
          <w:b/>
          <w:color w:val="C00000"/>
        </w:rPr>
        <w:t xml:space="preserve">MV </w:t>
      </w:r>
      <w:r w:rsidR="00140E64">
        <w:rPr>
          <w:b/>
          <w:color w:val="C00000"/>
        </w:rPr>
        <w:t>zásadně</w:t>
      </w:r>
      <w:r w:rsidR="00EA2236" w:rsidRPr="00431AA9">
        <w:rPr>
          <w:b/>
          <w:color w:val="C00000"/>
        </w:rPr>
        <w:t xml:space="preserve"> podhodnotilo cílové hodnoty výsledků </w:t>
      </w:r>
      <w:r w:rsidR="00EA2236" w:rsidRPr="00643DF4">
        <w:rPr>
          <w:b/>
          <w:i/>
          <w:color w:val="C00000"/>
        </w:rPr>
        <w:t>Programu bezpečnostního výzkumu ČR</w:t>
      </w:r>
      <w:r w:rsidR="005A27BB" w:rsidRPr="00643DF4">
        <w:rPr>
          <w:b/>
          <w:i/>
          <w:color w:val="C00000"/>
        </w:rPr>
        <w:t xml:space="preserve"> v letech 2015–</w:t>
      </w:r>
      <w:r w:rsidR="00431AA9" w:rsidRPr="00643DF4">
        <w:rPr>
          <w:b/>
          <w:i/>
          <w:color w:val="C00000"/>
        </w:rPr>
        <w:t>2022</w:t>
      </w:r>
      <w:r w:rsidR="00EA2236" w:rsidRPr="00431AA9">
        <w:rPr>
          <w:b/>
          <w:color w:val="C00000"/>
        </w:rPr>
        <w:t xml:space="preserve">, porovnání se </w:t>
      </w:r>
      <w:r w:rsidR="004902A1" w:rsidRPr="00431AA9">
        <w:rPr>
          <w:b/>
          <w:color w:val="C00000"/>
        </w:rPr>
        <w:t>skutečně dosaženými výsledky</w:t>
      </w:r>
      <w:r w:rsidR="00EA2236" w:rsidRPr="00431AA9">
        <w:rPr>
          <w:b/>
          <w:color w:val="C00000"/>
        </w:rPr>
        <w:t xml:space="preserve"> </w:t>
      </w:r>
      <w:r w:rsidR="00431AA9">
        <w:rPr>
          <w:b/>
          <w:color w:val="C00000"/>
        </w:rPr>
        <w:t xml:space="preserve">tak </w:t>
      </w:r>
      <w:r w:rsidR="00F415AB">
        <w:rPr>
          <w:b/>
          <w:color w:val="C00000"/>
        </w:rPr>
        <w:t>nevypovídá</w:t>
      </w:r>
      <w:r w:rsidR="00431AA9" w:rsidRPr="00431AA9">
        <w:rPr>
          <w:b/>
          <w:color w:val="C00000"/>
        </w:rPr>
        <w:t xml:space="preserve"> o úspěšnosti programu</w:t>
      </w:r>
      <w:r w:rsidR="004902A1" w:rsidRPr="00431AA9">
        <w:rPr>
          <w:b/>
          <w:color w:val="C00000"/>
        </w:rPr>
        <w:t>:</w:t>
      </w:r>
    </w:p>
    <w:p w14:paraId="303A6922" w14:textId="77777777" w:rsidR="00824C7E" w:rsidRDefault="001B6C81" w:rsidP="00824C7E">
      <w:r>
        <w:rPr>
          <w:noProof/>
          <w:lang w:eastAsia="cs-CZ"/>
        </w:rPr>
        <w:drawing>
          <wp:anchor distT="0" distB="0" distL="114300" distR="114300" simplePos="0" relativeHeight="251661312" behindDoc="0" locked="0" layoutInCell="1" allowOverlap="1" wp14:anchorId="7F4DBBB2" wp14:editId="2AB723D0">
            <wp:simplePos x="0" y="0"/>
            <wp:positionH relativeFrom="margin">
              <wp:posOffset>0</wp:posOffset>
            </wp:positionH>
            <wp:positionV relativeFrom="paragraph">
              <wp:posOffset>285115</wp:posOffset>
            </wp:positionV>
            <wp:extent cx="5676900" cy="4032250"/>
            <wp:effectExtent l="0" t="0" r="0" b="6350"/>
            <wp:wrapSquare wrapText="bothSides"/>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14:paraId="4BE011B8" w14:textId="77777777" w:rsidR="00140E64" w:rsidRDefault="00140E64">
      <w:pPr>
        <w:rPr>
          <w:b/>
          <w:sz w:val="28"/>
          <w:szCs w:val="32"/>
        </w:rPr>
      </w:pPr>
      <w:r>
        <w:rPr>
          <w:b/>
          <w:sz w:val="28"/>
          <w:szCs w:val="32"/>
        </w:rPr>
        <w:br w:type="page"/>
      </w:r>
    </w:p>
    <w:p w14:paraId="6E14ADE9" w14:textId="77777777" w:rsidR="0034720A" w:rsidRPr="002647D6" w:rsidRDefault="002647D6" w:rsidP="002647D6">
      <w:pPr>
        <w:spacing w:after="0" w:line="240" w:lineRule="auto"/>
        <w:ind w:left="360"/>
        <w:jc w:val="center"/>
        <w:rPr>
          <w:b/>
          <w:sz w:val="28"/>
          <w:szCs w:val="32"/>
        </w:rPr>
      </w:pPr>
      <w:r>
        <w:rPr>
          <w:b/>
          <w:sz w:val="28"/>
          <w:szCs w:val="32"/>
        </w:rPr>
        <w:lastRenderedPageBreak/>
        <w:t xml:space="preserve">I. </w:t>
      </w:r>
      <w:r w:rsidR="0034720A" w:rsidRPr="002647D6">
        <w:rPr>
          <w:b/>
          <w:sz w:val="28"/>
          <w:szCs w:val="32"/>
        </w:rPr>
        <w:t>Shrnutí a vyhodnocení</w:t>
      </w:r>
    </w:p>
    <w:p w14:paraId="2A60BD54" w14:textId="77777777" w:rsidR="00431AA9" w:rsidRPr="002647D6" w:rsidRDefault="00431AA9" w:rsidP="002647D6">
      <w:pPr>
        <w:pStyle w:val="Odstavecseseznamem"/>
        <w:spacing w:after="0" w:line="240" w:lineRule="auto"/>
        <w:ind w:left="0"/>
        <w:rPr>
          <w:sz w:val="24"/>
          <w:szCs w:val="32"/>
        </w:rPr>
      </w:pPr>
    </w:p>
    <w:p w14:paraId="5C4C18C1" w14:textId="0EFFEF0A" w:rsidR="0034720A" w:rsidRDefault="002647D6" w:rsidP="00166D55">
      <w:pPr>
        <w:pStyle w:val="Odstavecseseznamem"/>
        <w:spacing w:after="0" w:line="240" w:lineRule="auto"/>
        <w:ind w:left="0"/>
        <w:jc w:val="both"/>
        <w:rPr>
          <w:rFonts w:cstheme="minorHAnsi"/>
          <w:sz w:val="24"/>
          <w:szCs w:val="24"/>
        </w:rPr>
      </w:pPr>
      <w:r>
        <w:rPr>
          <w:sz w:val="24"/>
          <w:szCs w:val="24"/>
        </w:rPr>
        <w:t xml:space="preserve">1.1 </w:t>
      </w:r>
      <w:r w:rsidR="0034720A">
        <w:rPr>
          <w:sz w:val="24"/>
          <w:szCs w:val="24"/>
        </w:rPr>
        <w:t>NKÚ provedl kontrolu peněžních prostředků státu posk</w:t>
      </w:r>
      <w:r w:rsidR="00E227EC">
        <w:rPr>
          <w:sz w:val="24"/>
          <w:szCs w:val="24"/>
        </w:rPr>
        <w:t>ytovaných z rozpočtové kapitoly</w:t>
      </w:r>
      <w:r w:rsidR="0034720A">
        <w:rPr>
          <w:sz w:val="24"/>
          <w:szCs w:val="24"/>
        </w:rPr>
        <w:t xml:space="preserve"> </w:t>
      </w:r>
      <w:r w:rsidR="0034720A" w:rsidRPr="001C0D0E">
        <w:rPr>
          <w:i/>
          <w:sz w:val="24"/>
          <w:szCs w:val="24"/>
        </w:rPr>
        <w:t>Ministerstv</w:t>
      </w:r>
      <w:r w:rsidR="0028348C" w:rsidRPr="001C0D0E">
        <w:rPr>
          <w:i/>
          <w:sz w:val="24"/>
          <w:szCs w:val="24"/>
        </w:rPr>
        <w:t>o</w:t>
      </w:r>
      <w:r w:rsidR="0034720A" w:rsidRPr="001C0D0E">
        <w:rPr>
          <w:i/>
          <w:sz w:val="24"/>
          <w:szCs w:val="24"/>
        </w:rPr>
        <w:t xml:space="preserve"> vnitra </w:t>
      </w:r>
      <w:r w:rsidR="0034720A">
        <w:rPr>
          <w:sz w:val="24"/>
          <w:szCs w:val="24"/>
        </w:rPr>
        <w:t xml:space="preserve">na podporu bezpečnostního výzkumu. </w:t>
      </w:r>
      <w:r w:rsidR="0034720A">
        <w:rPr>
          <w:rFonts w:cstheme="minorHAnsi"/>
          <w:sz w:val="24"/>
          <w:szCs w:val="24"/>
        </w:rPr>
        <w:t>Hlavním smyslem</w:t>
      </w:r>
      <w:r w:rsidR="0034720A" w:rsidRPr="00305168">
        <w:rPr>
          <w:rFonts w:cstheme="minorHAnsi"/>
          <w:sz w:val="24"/>
          <w:szCs w:val="24"/>
        </w:rPr>
        <w:t xml:space="preserve"> bezpečnostního výzkumu, experimentálního vývoje a inovací je získávat a rozvíjet inovativní znalosti, metody a technologie umožňující reagovat na výzvy bezpečnostního prostředí.</w:t>
      </w:r>
      <w:r w:rsidR="0034720A">
        <w:rPr>
          <w:rFonts w:cstheme="minorHAnsi"/>
          <w:sz w:val="24"/>
          <w:szCs w:val="24"/>
        </w:rPr>
        <w:t xml:space="preserve"> </w:t>
      </w:r>
      <w:r w:rsidR="00C60C24">
        <w:rPr>
          <w:rFonts w:cstheme="minorHAnsi"/>
          <w:sz w:val="24"/>
          <w:szCs w:val="24"/>
        </w:rPr>
        <w:t xml:space="preserve">Tento </w:t>
      </w:r>
      <w:r w:rsidR="0034720A">
        <w:rPr>
          <w:rFonts w:cstheme="minorHAnsi"/>
          <w:sz w:val="24"/>
          <w:szCs w:val="24"/>
        </w:rPr>
        <w:t xml:space="preserve">výzkum je státem financován prostřednictvím institucionální podpory, kterou v současnosti čerpá </w:t>
      </w:r>
      <w:r w:rsidR="0028348C">
        <w:rPr>
          <w:rFonts w:cstheme="minorHAnsi"/>
          <w:sz w:val="24"/>
          <w:szCs w:val="24"/>
        </w:rPr>
        <w:t>z</w:t>
      </w:r>
      <w:r>
        <w:rPr>
          <w:rFonts w:cstheme="minorHAnsi"/>
          <w:sz w:val="24"/>
          <w:szCs w:val="24"/>
        </w:rPr>
        <w:t> </w:t>
      </w:r>
      <w:r w:rsidR="0028348C">
        <w:rPr>
          <w:rFonts w:cstheme="minorHAnsi"/>
          <w:sz w:val="24"/>
          <w:szCs w:val="24"/>
        </w:rPr>
        <w:t xml:space="preserve">rozpočtové kapitoly </w:t>
      </w:r>
      <w:r w:rsidR="002614C9" w:rsidRPr="001C0D0E">
        <w:rPr>
          <w:rFonts w:cstheme="minorHAnsi"/>
          <w:i/>
          <w:sz w:val="24"/>
          <w:szCs w:val="24"/>
        </w:rPr>
        <w:t>M</w:t>
      </w:r>
      <w:r w:rsidR="0028348C" w:rsidRPr="001C0D0E">
        <w:rPr>
          <w:rFonts w:cstheme="minorHAnsi"/>
          <w:i/>
          <w:sz w:val="24"/>
          <w:szCs w:val="24"/>
        </w:rPr>
        <w:t>inisterstvo vnitra</w:t>
      </w:r>
      <w:r w:rsidR="0034720A">
        <w:rPr>
          <w:rFonts w:cstheme="minorHAnsi"/>
          <w:sz w:val="24"/>
          <w:szCs w:val="24"/>
        </w:rPr>
        <w:t xml:space="preserve"> osm výzkumných institucí, a účelové podpory, kterou MV poskytuje prostřednictvím dvou dotačních program</w:t>
      </w:r>
      <w:r w:rsidR="00C60C24">
        <w:rPr>
          <w:rFonts w:cstheme="minorHAnsi"/>
          <w:sz w:val="24"/>
          <w:szCs w:val="24"/>
        </w:rPr>
        <w:t>ů. Na institucionální podporu MV</w:t>
      </w:r>
      <w:r w:rsidR="0034720A">
        <w:rPr>
          <w:rFonts w:cstheme="minorHAnsi"/>
          <w:sz w:val="24"/>
          <w:szCs w:val="24"/>
        </w:rPr>
        <w:t xml:space="preserve"> vyna</w:t>
      </w:r>
      <w:r w:rsidR="00154EC7">
        <w:rPr>
          <w:rFonts w:cstheme="minorHAnsi"/>
          <w:sz w:val="24"/>
          <w:szCs w:val="24"/>
        </w:rPr>
        <w:t>ložilo v letech 2016 až 2018</w:t>
      </w:r>
      <w:r w:rsidR="0034720A">
        <w:rPr>
          <w:rFonts w:cstheme="minorHAnsi"/>
          <w:sz w:val="24"/>
          <w:szCs w:val="24"/>
        </w:rPr>
        <w:t xml:space="preserve"> </w:t>
      </w:r>
      <w:r w:rsidR="0063537C">
        <w:rPr>
          <w:rFonts w:cstheme="minorHAnsi"/>
          <w:sz w:val="24"/>
          <w:szCs w:val="24"/>
        </w:rPr>
        <w:t xml:space="preserve">celkem </w:t>
      </w:r>
      <w:r w:rsidR="0034720A">
        <w:rPr>
          <w:rFonts w:cstheme="minorHAnsi"/>
          <w:sz w:val="24"/>
          <w:szCs w:val="24"/>
        </w:rPr>
        <w:t>175</w:t>
      </w:r>
      <w:r w:rsidR="00C60C24">
        <w:rPr>
          <w:rFonts w:cstheme="minorHAnsi"/>
          <w:sz w:val="24"/>
          <w:szCs w:val="24"/>
        </w:rPr>
        <w:t xml:space="preserve"> mil. Kč. </w:t>
      </w:r>
      <w:r w:rsidR="008049B6">
        <w:rPr>
          <w:rFonts w:cstheme="minorHAnsi"/>
          <w:sz w:val="24"/>
          <w:szCs w:val="24"/>
        </w:rPr>
        <w:t>Předpokládá se, že n</w:t>
      </w:r>
      <w:r w:rsidR="00C60C24">
        <w:rPr>
          <w:rFonts w:cstheme="minorHAnsi"/>
          <w:sz w:val="24"/>
          <w:szCs w:val="24"/>
        </w:rPr>
        <w:t>a účelovou podporu</w:t>
      </w:r>
      <w:r w:rsidR="0034720A">
        <w:rPr>
          <w:rFonts w:cstheme="minorHAnsi"/>
          <w:sz w:val="24"/>
          <w:szCs w:val="24"/>
        </w:rPr>
        <w:t xml:space="preserve"> </w:t>
      </w:r>
      <w:r w:rsidR="008049B6">
        <w:rPr>
          <w:rFonts w:cstheme="minorHAnsi"/>
          <w:sz w:val="24"/>
          <w:szCs w:val="24"/>
        </w:rPr>
        <w:t>bude</w:t>
      </w:r>
      <w:r w:rsidR="0034720A">
        <w:rPr>
          <w:rFonts w:cstheme="minorHAnsi"/>
          <w:sz w:val="24"/>
          <w:szCs w:val="24"/>
        </w:rPr>
        <w:t xml:space="preserve"> </w:t>
      </w:r>
      <w:r w:rsidR="008049B6">
        <w:rPr>
          <w:rFonts w:cstheme="minorHAnsi"/>
          <w:sz w:val="24"/>
          <w:szCs w:val="24"/>
        </w:rPr>
        <w:t>v</w:t>
      </w:r>
      <w:r w:rsidR="0034720A">
        <w:rPr>
          <w:rFonts w:cstheme="minorHAnsi"/>
          <w:sz w:val="24"/>
          <w:szCs w:val="24"/>
        </w:rPr>
        <w:t xml:space="preserve"> období 2015</w:t>
      </w:r>
      <w:r w:rsidR="0034720A">
        <w:rPr>
          <w:rStyle w:val="Znakapoznpodarou"/>
          <w:rFonts w:cstheme="minorHAnsi"/>
          <w:sz w:val="24"/>
          <w:szCs w:val="24"/>
        </w:rPr>
        <w:footnoteReference w:id="2"/>
      </w:r>
      <w:r w:rsidR="0034720A">
        <w:rPr>
          <w:rFonts w:cstheme="minorHAnsi"/>
          <w:sz w:val="24"/>
          <w:szCs w:val="24"/>
        </w:rPr>
        <w:t xml:space="preserve"> až 2022 vynalož</w:t>
      </w:r>
      <w:r w:rsidR="008049B6">
        <w:rPr>
          <w:rFonts w:cstheme="minorHAnsi"/>
          <w:sz w:val="24"/>
          <w:szCs w:val="24"/>
        </w:rPr>
        <w:t>eno</w:t>
      </w:r>
      <w:r w:rsidR="0034720A">
        <w:rPr>
          <w:rFonts w:cstheme="minorHAnsi"/>
          <w:sz w:val="24"/>
          <w:szCs w:val="24"/>
        </w:rPr>
        <w:t xml:space="preserve"> celkem 3</w:t>
      </w:r>
      <w:r w:rsidR="008049B6">
        <w:rPr>
          <w:rFonts w:cstheme="minorHAnsi"/>
          <w:sz w:val="24"/>
          <w:szCs w:val="24"/>
        </w:rPr>
        <w:t> </w:t>
      </w:r>
      <w:r w:rsidR="0034720A">
        <w:rPr>
          <w:rFonts w:cstheme="minorHAnsi"/>
          <w:sz w:val="24"/>
          <w:szCs w:val="24"/>
        </w:rPr>
        <w:t>600</w:t>
      </w:r>
      <w:r w:rsidR="008049B6">
        <w:rPr>
          <w:rFonts w:cstheme="minorHAnsi"/>
          <w:sz w:val="24"/>
          <w:szCs w:val="24"/>
        </w:rPr>
        <w:t> </w:t>
      </w:r>
      <w:r w:rsidR="0034720A">
        <w:rPr>
          <w:rFonts w:cstheme="minorHAnsi"/>
          <w:sz w:val="24"/>
          <w:szCs w:val="24"/>
        </w:rPr>
        <w:t>mil. Kč, přičemž v období 20</w:t>
      </w:r>
      <w:r w:rsidR="00154EC7">
        <w:rPr>
          <w:rFonts w:cstheme="minorHAnsi"/>
          <w:sz w:val="24"/>
          <w:szCs w:val="24"/>
        </w:rPr>
        <w:t>15 až 2018 skutečně MV poskytlo</w:t>
      </w:r>
      <w:r w:rsidR="0034720A">
        <w:rPr>
          <w:rFonts w:cstheme="minorHAnsi"/>
          <w:sz w:val="24"/>
          <w:szCs w:val="24"/>
        </w:rPr>
        <w:t xml:space="preserve"> 1 525 mil. Kč.</w:t>
      </w:r>
    </w:p>
    <w:p w14:paraId="6E5E8AC3" w14:textId="77777777" w:rsidR="00166D55" w:rsidRPr="00B0160A" w:rsidRDefault="00166D55" w:rsidP="00166D55">
      <w:pPr>
        <w:pStyle w:val="Odstavecseseznamem"/>
        <w:spacing w:after="0" w:line="240" w:lineRule="auto"/>
        <w:ind w:left="0"/>
        <w:jc w:val="both"/>
        <w:rPr>
          <w:sz w:val="24"/>
          <w:szCs w:val="24"/>
        </w:rPr>
      </w:pPr>
    </w:p>
    <w:p w14:paraId="3BFE5533" w14:textId="23170313" w:rsidR="0034720A" w:rsidRPr="00166D55" w:rsidRDefault="00DB6165" w:rsidP="00166D55">
      <w:pPr>
        <w:spacing w:after="0" w:line="240" w:lineRule="auto"/>
        <w:jc w:val="both"/>
        <w:rPr>
          <w:sz w:val="24"/>
          <w:szCs w:val="24"/>
        </w:rPr>
      </w:pPr>
      <w:r w:rsidRPr="001C0D0E">
        <w:rPr>
          <w:b/>
          <w:sz w:val="24"/>
          <w:szCs w:val="24"/>
        </w:rPr>
        <w:t>1.2</w:t>
      </w:r>
      <w:r w:rsidR="002647D6">
        <w:rPr>
          <w:b/>
          <w:sz w:val="24"/>
          <w:szCs w:val="24"/>
        </w:rPr>
        <w:t xml:space="preserve"> </w:t>
      </w:r>
      <w:r w:rsidR="0034720A" w:rsidRPr="00166D55">
        <w:rPr>
          <w:b/>
          <w:sz w:val="24"/>
          <w:szCs w:val="24"/>
        </w:rPr>
        <w:t xml:space="preserve">Cílem kontroly bylo prověřit, zda poskytování peněžních prostředků z rozpočtové kapitoly </w:t>
      </w:r>
      <w:r w:rsidR="0034720A" w:rsidRPr="001C0D0E">
        <w:rPr>
          <w:b/>
          <w:i/>
          <w:sz w:val="24"/>
          <w:szCs w:val="24"/>
        </w:rPr>
        <w:t>Ministerstvo vnitra</w:t>
      </w:r>
      <w:r w:rsidR="0034720A" w:rsidRPr="00166D55">
        <w:rPr>
          <w:b/>
          <w:sz w:val="24"/>
          <w:szCs w:val="24"/>
        </w:rPr>
        <w:t xml:space="preserve"> na projekty bezpečnostního výzkumu bylo </w:t>
      </w:r>
      <w:r w:rsidRPr="00166D55">
        <w:rPr>
          <w:rFonts w:ascii="Calibri" w:hAnsi="Calibri" w:cs="Calibri"/>
          <w:b/>
          <w:sz w:val="24"/>
          <w:szCs w:val="24"/>
        </w:rPr>
        <w:t>hospodárné, efektivní a účelné</w:t>
      </w:r>
      <w:r w:rsidR="0034720A" w:rsidRPr="00166D55">
        <w:rPr>
          <w:b/>
          <w:sz w:val="24"/>
          <w:szCs w:val="24"/>
        </w:rPr>
        <w:t xml:space="preserve"> a zda jejich výsledky přinesly maximální přínosy pro zajištění bezpečnosti státu. </w:t>
      </w:r>
      <w:r w:rsidR="0034720A" w:rsidRPr="00166D55">
        <w:rPr>
          <w:sz w:val="24"/>
          <w:szCs w:val="24"/>
        </w:rPr>
        <w:t xml:space="preserve">Kontrola byla provedena u MV jako poskytovatele a </w:t>
      </w:r>
      <w:r w:rsidR="00E2671A">
        <w:rPr>
          <w:sz w:val="24"/>
          <w:szCs w:val="24"/>
        </w:rPr>
        <w:t xml:space="preserve">u </w:t>
      </w:r>
      <w:r w:rsidR="0034720A" w:rsidRPr="00166D55">
        <w:rPr>
          <w:sz w:val="24"/>
          <w:szCs w:val="24"/>
        </w:rPr>
        <w:t xml:space="preserve">sedmi příjemců podpory, </w:t>
      </w:r>
      <w:r w:rsidR="00E2671A">
        <w:rPr>
          <w:sz w:val="24"/>
          <w:szCs w:val="24"/>
        </w:rPr>
        <w:t>u nichž bylo podrobeno kontrole celkem dvanáct vybraných projektů.</w:t>
      </w:r>
      <w:r w:rsidR="0034720A" w:rsidRPr="00166D55">
        <w:rPr>
          <w:sz w:val="24"/>
          <w:szCs w:val="24"/>
        </w:rPr>
        <w:t xml:space="preserve"> </w:t>
      </w:r>
    </w:p>
    <w:p w14:paraId="271750D5" w14:textId="77777777" w:rsidR="00166D55" w:rsidRDefault="00166D55" w:rsidP="00166D55">
      <w:pPr>
        <w:pStyle w:val="Odstavecseseznamem"/>
        <w:spacing w:after="0" w:line="240" w:lineRule="auto"/>
        <w:ind w:left="0"/>
        <w:jc w:val="both"/>
        <w:rPr>
          <w:b/>
          <w:sz w:val="24"/>
          <w:szCs w:val="24"/>
        </w:rPr>
      </w:pPr>
    </w:p>
    <w:p w14:paraId="4484C3E9" w14:textId="1E9A5873" w:rsidR="0034720A" w:rsidRDefault="002647D6" w:rsidP="00166D55">
      <w:pPr>
        <w:pStyle w:val="Odstavecseseznamem"/>
        <w:spacing w:after="0" w:line="240" w:lineRule="auto"/>
        <w:ind w:left="0"/>
        <w:jc w:val="both"/>
        <w:rPr>
          <w:sz w:val="24"/>
          <w:szCs w:val="24"/>
        </w:rPr>
      </w:pPr>
      <w:r>
        <w:rPr>
          <w:b/>
          <w:sz w:val="24"/>
          <w:szCs w:val="24"/>
        </w:rPr>
        <w:t xml:space="preserve">1.3 </w:t>
      </w:r>
      <w:r w:rsidR="0034720A">
        <w:rPr>
          <w:b/>
          <w:sz w:val="24"/>
          <w:szCs w:val="24"/>
        </w:rPr>
        <w:t>MV nastavilo systém posuzování a výběru navržených projektů účelně, ale s dílčími nedostatky, v jejic</w:t>
      </w:r>
      <w:r w:rsidR="00644017">
        <w:rPr>
          <w:b/>
          <w:sz w:val="24"/>
          <w:szCs w:val="24"/>
        </w:rPr>
        <w:t>hž důsledku byl v </w:t>
      </w:r>
      <w:r w:rsidR="0034720A">
        <w:rPr>
          <w:b/>
          <w:sz w:val="24"/>
          <w:szCs w:val="24"/>
        </w:rPr>
        <w:t xml:space="preserve">případě </w:t>
      </w:r>
      <w:r w:rsidR="00644017">
        <w:rPr>
          <w:b/>
          <w:sz w:val="24"/>
          <w:szCs w:val="24"/>
        </w:rPr>
        <w:t xml:space="preserve">jednoho z kontrolovaných projektů </w:t>
      </w:r>
      <w:r w:rsidR="0034720A">
        <w:rPr>
          <w:b/>
          <w:sz w:val="24"/>
          <w:szCs w:val="24"/>
        </w:rPr>
        <w:t xml:space="preserve">podpořen </w:t>
      </w:r>
      <w:r w:rsidR="00644017">
        <w:rPr>
          <w:b/>
          <w:sz w:val="24"/>
          <w:szCs w:val="24"/>
        </w:rPr>
        <w:t>výzkum, který byl</w:t>
      </w:r>
      <w:r w:rsidR="0034720A">
        <w:rPr>
          <w:b/>
          <w:sz w:val="24"/>
          <w:szCs w:val="24"/>
        </w:rPr>
        <w:t xml:space="preserve"> duplicitní </w:t>
      </w:r>
      <w:r w:rsidR="00731224">
        <w:rPr>
          <w:b/>
          <w:sz w:val="24"/>
          <w:szCs w:val="24"/>
        </w:rPr>
        <w:t xml:space="preserve">s jiným </w:t>
      </w:r>
      <w:r w:rsidR="00644017">
        <w:rPr>
          <w:b/>
          <w:sz w:val="24"/>
          <w:szCs w:val="24"/>
        </w:rPr>
        <w:t>výzkumem</w:t>
      </w:r>
      <w:r w:rsidR="00731224">
        <w:rPr>
          <w:b/>
          <w:sz w:val="24"/>
          <w:szCs w:val="24"/>
        </w:rPr>
        <w:t xml:space="preserve"> financovaným</w:t>
      </w:r>
      <w:r w:rsidR="00C60C24">
        <w:rPr>
          <w:b/>
          <w:sz w:val="24"/>
          <w:szCs w:val="24"/>
        </w:rPr>
        <w:t xml:space="preserve"> z</w:t>
      </w:r>
      <w:r w:rsidR="0034720A">
        <w:rPr>
          <w:b/>
          <w:sz w:val="24"/>
          <w:szCs w:val="24"/>
        </w:rPr>
        <w:t xml:space="preserve"> prostředků státního </w:t>
      </w:r>
      <w:r w:rsidR="00644017">
        <w:rPr>
          <w:b/>
          <w:sz w:val="24"/>
          <w:szCs w:val="24"/>
        </w:rPr>
        <w:t xml:space="preserve">rozpočtu. U dalšího </w:t>
      </w:r>
      <w:r w:rsidR="0034720A">
        <w:rPr>
          <w:b/>
          <w:sz w:val="24"/>
          <w:szCs w:val="24"/>
        </w:rPr>
        <w:t>podpořeného projektu MV neprovedl</w:t>
      </w:r>
      <w:r w:rsidR="00ED5321">
        <w:rPr>
          <w:b/>
          <w:sz w:val="24"/>
          <w:szCs w:val="24"/>
        </w:rPr>
        <w:t>o důsledně průběžnou kontrolu a </w:t>
      </w:r>
      <w:r w:rsidR="0034720A">
        <w:rPr>
          <w:b/>
          <w:sz w:val="24"/>
          <w:szCs w:val="24"/>
        </w:rPr>
        <w:t xml:space="preserve">neodhalilo, že předpokládané výsledky projektu již v té době existovaly jako řešení v rámci předchozího realizovaného výzkumu. </w:t>
      </w:r>
      <w:r w:rsidR="00615912">
        <w:rPr>
          <w:b/>
          <w:sz w:val="24"/>
          <w:szCs w:val="24"/>
        </w:rPr>
        <w:t xml:space="preserve">Soustavu indikátorů pro sledování výsledků bezpečnostního výzkumu nenastavilo MV správně. </w:t>
      </w:r>
      <w:r w:rsidR="001E6FC3">
        <w:rPr>
          <w:b/>
          <w:sz w:val="24"/>
          <w:szCs w:val="24"/>
        </w:rPr>
        <w:t>Neumožňuje sledovat využití výsledků v praxi jako předpoklad přínosu pro bezpečnost státu a jeho občanů a vzhledem ke značnému podhodnocení nastavených cílových hodnot výsledků nemá p</w:t>
      </w:r>
      <w:r w:rsidR="00615912">
        <w:rPr>
          <w:b/>
          <w:sz w:val="24"/>
          <w:szCs w:val="24"/>
        </w:rPr>
        <w:t>orovnání skutečn</w:t>
      </w:r>
      <w:r w:rsidR="001E6FC3">
        <w:rPr>
          <w:b/>
          <w:sz w:val="24"/>
          <w:szCs w:val="24"/>
        </w:rPr>
        <w:t>ě dosažených</w:t>
      </w:r>
      <w:r w:rsidR="00615912">
        <w:rPr>
          <w:b/>
          <w:sz w:val="24"/>
          <w:szCs w:val="24"/>
        </w:rPr>
        <w:t xml:space="preserve"> výsledků s</w:t>
      </w:r>
      <w:r w:rsidR="00644017">
        <w:rPr>
          <w:b/>
          <w:sz w:val="24"/>
          <w:szCs w:val="24"/>
        </w:rPr>
        <w:t> plánovanými</w:t>
      </w:r>
      <w:r w:rsidR="00615912">
        <w:rPr>
          <w:b/>
          <w:sz w:val="24"/>
          <w:szCs w:val="24"/>
        </w:rPr>
        <w:t xml:space="preserve"> reáln</w:t>
      </w:r>
      <w:r w:rsidR="001E6FC3">
        <w:rPr>
          <w:b/>
          <w:sz w:val="24"/>
          <w:szCs w:val="24"/>
        </w:rPr>
        <w:t>ý význam.</w:t>
      </w:r>
      <w:r w:rsidR="00615912">
        <w:t xml:space="preserve"> </w:t>
      </w:r>
      <w:r w:rsidR="001E6FC3" w:rsidRPr="00166D55">
        <w:rPr>
          <w:rFonts w:cstheme="minorHAnsi"/>
          <w:b/>
          <w:sz w:val="24"/>
          <w:szCs w:val="24"/>
        </w:rPr>
        <w:t>NKÚ provedl vlastní šetření, kd</w:t>
      </w:r>
      <w:r w:rsidR="001E6FC3" w:rsidRPr="00166D55">
        <w:rPr>
          <w:b/>
        </w:rPr>
        <w:t xml:space="preserve">y </w:t>
      </w:r>
      <w:r w:rsidR="00615912">
        <w:rPr>
          <w:b/>
          <w:sz w:val="24"/>
          <w:szCs w:val="24"/>
        </w:rPr>
        <w:t>z dvanácti kontrolovaných projektů vyhodno</w:t>
      </w:r>
      <w:r w:rsidR="001E6FC3">
        <w:rPr>
          <w:b/>
          <w:sz w:val="24"/>
          <w:szCs w:val="24"/>
        </w:rPr>
        <w:t>til</w:t>
      </w:r>
      <w:r w:rsidR="00615912">
        <w:rPr>
          <w:b/>
          <w:sz w:val="24"/>
          <w:szCs w:val="24"/>
        </w:rPr>
        <w:t xml:space="preserve"> sedm jako </w:t>
      </w:r>
      <w:r w:rsidR="0033486A">
        <w:rPr>
          <w:b/>
          <w:sz w:val="24"/>
          <w:szCs w:val="24"/>
        </w:rPr>
        <w:t>účelných</w:t>
      </w:r>
      <w:r w:rsidR="00615912">
        <w:rPr>
          <w:b/>
          <w:sz w:val="24"/>
          <w:szCs w:val="24"/>
        </w:rPr>
        <w:t xml:space="preserve">, </w:t>
      </w:r>
      <w:r w:rsidR="00ED5321">
        <w:rPr>
          <w:b/>
          <w:sz w:val="24"/>
          <w:szCs w:val="24"/>
        </w:rPr>
        <w:t>efektivních a </w:t>
      </w:r>
      <w:r w:rsidR="00554301">
        <w:rPr>
          <w:b/>
          <w:sz w:val="24"/>
          <w:szCs w:val="24"/>
        </w:rPr>
        <w:t xml:space="preserve">hospodárných, </w:t>
      </w:r>
      <w:r w:rsidR="00615912">
        <w:rPr>
          <w:b/>
          <w:sz w:val="24"/>
          <w:szCs w:val="24"/>
        </w:rPr>
        <w:t>u čtyř konstatoval omezenou úče</w:t>
      </w:r>
      <w:r w:rsidR="00644017">
        <w:rPr>
          <w:b/>
          <w:sz w:val="24"/>
          <w:szCs w:val="24"/>
        </w:rPr>
        <w:t>lnost nebo efektivnost a</w:t>
      </w:r>
      <w:r w:rsidR="008049B6">
        <w:rPr>
          <w:b/>
          <w:sz w:val="24"/>
          <w:szCs w:val="24"/>
        </w:rPr>
        <w:t> </w:t>
      </w:r>
      <w:r w:rsidR="00644017">
        <w:rPr>
          <w:b/>
          <w:sz w:val="24"/>
          <w:szCs w:val="24"/>
        </w:rPr>
        <w:t>jeden</w:t>
      </w:r>
      <w:r w:rsidR="008049B6">
        <w:rPr>
          <w:b/>
          <w:sz w:val="24"/>
          <w:szCs w:val="24"/>
        </w:rPr>
        <w:t xml:space="preserve"> </w:t>
      </w:r>
      <w:r w:rsidR="00644017">
        <w:rPr>
          <w:b/>
          <w:sz w:val="24"/>
          <w:szCs w:val="24"/>
        </w:rPr>
        <w:t>projekt</w:t>
      </w:r>
      <w:r w:rsidR="00615912">
        <w:rPr>
          <w:b/>
          <w:sz w:val="24"/>
          <w:szCs w:val="24"/>
        </w:rPr>
        <w:t xml:space="preserve"> v</w:t>
      </w:r>
      <w:r w:rsidR="00554301">
        <w:rPr>
          <w:b/>
          <w:sz w:val="24"/>
          <w:szCs w:val="24"/>
        </w:rPr>
        <w:t>yhodnotil jako zcela neúčelný</w:t>
      </w:r>
      <w:r w:rsidR="008049B6">
        <w:rPr>
          <w:b/>
          <w:sz w:val="24"/>
          <w:szCs w:val="24"/>
        </w:rPr>
        <w:t>,</w:t>
      </w:r>
      <w:r w:rsidR="00554301">
        <w:rPr>
          <w:b/>
          <w:sz w:val="24"/>
          <w:szCs w:val="24"/>
        </w:rPr>
        <w:t xml:space="preserve"> a tedy i </w:t>
      </w:r>
      <w:r w:rsidR="00615912">
        <w:rPr>
          <w:b/>
          <w:sz w:val="24"/>
          <w:szCs w:val="24"/>
        </w:rPr>
        <w:t>neefektivní</w:t>
      </w:r>
      <w:r w:rsidR="00554301">
        <w:rPr>
          <w:b/>
          <w:sz w:val="24"/>
          <w:szCs w:val="24"/>
        </w:rPr>
        <w:t xml:space="preserve"> a nehospodárný</w:t>
      </w:r>
      <w:r w:rsidR="00615912">
        <w:rPr>
          <w:b/>
          <w:sz w:val="24"/>
          <w:szCs w:val="24"/>
        </w:rPr>
        <w:t>.</w:t>
      </w:r>
    </w:p>
    <w:p w14:paraId="345C94E4" w14:textId="77777777" w:rsidR="00166D55" w:rsidRDefault="00166D55" w:rsidP="002647D6">
      <w:pPr>
        <w:pStyle w:val="Odstavecseseznamem"/>
        <w:spacing w:after="0" w:line="240" w:lineRule="auto"/>
        <w:ind w:left="0"/>
        <w:contextualSpacing w:val="0"/>
        <w:jc w:val="both"/>
        <w:rPr>
          <w:sz w:val="24"/>
          <w:szCs w:val="24"/>
        </w:rPr>
      </w:pPr>
    </w:p>
    <w:p w14:paraId="5EC8C119" w14:textId="77777777" w:rsidR="0034720A" w:rsidRDefault="002647D6" w:rsidP="00406726">
      <w:pPr>
        <w:pStyle w:val="Odstavecseseznamem"/>
        <w:spacing w:after="240" w:line="240" w:lineRule="auto"/>
        <w:ind w:left="0"/>
        <w:contextualSpacing w:val="0"/>
        <w:jc w:val="both"/>
        <w:rPr>
          <w:sz w:val="24"/>
          <w:szCs w:val="24"/>
        </w:rPr>
      </w:pPr>
      <w:r>
        <w:rPr>
          <w:sz w:val="24"/>
          <w:szCs w:val="24"/>
        </w:rPr>
        <w:t xml:space="preserve">1.4 </w:t>
      </w:r>
      <w:r w:rsidR="0034720A">
        <w:rPr>
          <w:sz w:val="24"/>
          <w:szCs w:val="24"/>
        </w:rPr>
        <w:t>Celkové hodnocení se opírá o následující hlavní zjištění z kontroly:</w:t>
      </w:r>
    </w:p>
    <w:p w14:paraId="56A4C6DB" w14:textId="36826030" w:rsidR="0034720A" w:rsidRPr="003B2242" w:rsidRDefault="0034720A" w:rsidP="00406726">
      <w:pPr>
        <w:pStyle w:val="Odstavecseseznamem"/>
        <w:numPr>
          <w:ilvl w:val="0"/>
          <w:numId w:val="18"/>
        </w:numPr>
        <w:spacing w:after="240" w:line="240" w:lineRule="auto"/>
        <w:ind w:left="709" w:hanging="284"/>
        <w:contextualSpacing w:val="0"/>
        <w:jc w:val="both"/>
        <w:rPr>
          <w:sz w:val="24"/>
          <w:szCs w:val="24"/>
        </w:rPr>
      </w:pPr>
      <w:r>
        <w:rPr>
          <w:sz w:val="24"/>
          <w:szCs w:val="24"/>
        </w:rPr>
        <w:t xml:space="preserve">Cíle </w:t>
      </w:r>
      <w:r w:rsidR="00445B4D">
        <w:rPr>
          <w:sz w:val="24"/>
          <w:szCs w:val="24"/>
        </w:rPr>
        <w:t xml:space="preserve">programů </w:t>
      </w:r>
      <w:r>
        <w:rPr>
          <w:sz w:val="24"/>
          <w:szCs w:val="24"/>
        </w:rPr>
        <w:t xml:space="preserve">podpory </w:t>
      </w:r>
      <w:r w:rsidR="00067DFF">
        <w:rPr>
          <w:sz w:val="24"/>
          <w:szCs w:val="24"/>
        </w:rPr>
        <w:t>bezpečnostního výzkumu</w:t>
      </w:r>
      <w:r>
        <w:rPr>
          <w:sz w:val="24"/>
          <w:szCs w:val="24"/>
        </w:rPr>
        <w:t xml:space="preserve"> </w:t>
      </w:r>
      <w:r w:rsidR="0084649E">
        <w:rPr>
          <w:sz w:val="24"/>
          <w:szCs w:val="24"/>
        </w:rPr>
        <w:t xml:space="preserve">navazují na </w:t>
      </w:r>
      <w:r w:rsidR="00445B4D">
        <w:rPr>
          <w:sz w:val="24"/>
          <w:szCs w:val="24"/>
        </w:rPr>
        <w:t>strategické p</w:t>
      </w:r>
      <w:r w:rsidR="0084649E">
        <w:rPr>
          <w:sz w:val="24"/>
          <w:szCs w:val="24"/>
        </w:rPr>
        <w:t>riority</w:t>
      </w:r>
      <w:r w:rsidR="00445B4D">
        <w:rPr>
          <w:sz w:val="24"/>
          <w:szCs w:val="24"/>
        </w:rPr>
        <w:t xml:space="preserve"> v oblasti bezpečnostního výzkumu schválené vládou v roce </w:t>
      </w:r>
      <w:r w:rsidR="00C60C24">
        <w:rPr>
          <w:sz w:val="24"/>
          <w:szCs w:val="24"/>
        </w:rPr>
        <w:t xml:space="preserve">2012. </w:t>
      </w:r>
      <w:r w:rsidR="0084649E">
        <w:rPr>
          <w:sz w:val="24"/>
          <w:szCs w:val="24"/>
        </w:rPr>
        <w:t xml:space="preserve">Avšak ani </w:t>
      </w:r>
      <w:r w:rsidR="00307A7D">
        <w:rPr>
          <w:sz w:val="24"/>
          <w:szCs w:val="24"/>
        </w:rPr>
        <w:br/>
      </w:r>
      <w:r w:rsidR="0084649E">
        <w:rPr>
          <w:sz w:val="24"/>
          <w:szCs w:val="24"/>
        </w:rPr>
        <w:t>v</w:t>
      </w:r>
      <w:r w:rsidR="00731224">
        <w:rPr>
          <w:sz w:val="24"/>
          <w:szCs w:val="24"/>
        </w:rPr>
        <w:t>e</w:t>
      </w:r>
      <w:r w:rsidR="008049B6">
        <w:rPr>
          <w:sz w:val="24"/>
          <w:szCs w:val="24"/>
        </w:rPr>
        <w:t xml:space="preserve"> </w:t>
      </w:r>
      <w:r w:rsidR="00675ABF">
        <w:rPr>
          <w:sz w:val="24"/>
          <w:szCs w:val="24"/>
        </w:rPr>
        <w:t>strategický</w:t>
      </w:r>
      <w:r>
        <w:rPr>
          <w:sz w:val="24"/>
          <w:szCs w:val="24"/>
        </w:rPr>
        <w:t xml:space="preserve">ch ani </w:t>
      </w:r>
      <w:r w:rsidR="00C60C24">
        <w:rPr>
          <w:sz w:val="24"/>
          <w:szCs w:val="24"/>
        </w:rPr>
        <w:t xml:space="preserve">v </w:t>
      </w:r>
      <w:r>
        <w:rPr>
          <w:sz w:val="24"/>
          <w:szCs w:val="24"/>
        </w:rPr>
        <w:t xml:space="preserve">programových dokumentech </w:t>
      </w:r>
      <w:r w:rsidR="0028348C">
        <w:rPr>
          <w:sz w:val="24"/>
          <w:szCs w:val="24"/>
        </w:rPr>
        <w:t xml:space="preserve">MV cíle nenastavilo </w:t>
      </w:r>
      <w:r>
        <w:rPr>
          <w:sz w:val="24"/>
          <w:szCs w:val="24"/>
        </w:rPr>
        <w:t>SMART</w:t>
      </w:r>
      <w:r>
        <w:rPr>
          <w:rStyle w:val="Znakapoznpodarou"/>
          <w:sz w:val="24"/>
          <w:szCs w:val="24"/>
        </w:rPr>
        <w:footnoteReference w:id="3"/>
      </w:r>
      <w:r>
        <w:rPr>
          <w:sz w:val="24"/>
          <w:szCs w:val="24"/>
        </w:rPr>
        <w:t xml:space="preserve">. MV nestanovilo k cílům takové indikátory, </w:t>
      </w:r>
      <w:r w:rsidR="008049B6">
        <w:rPr>
          <w:sz w:val="24"/>
          <w:szCs w:val="24"/>
        </w:rPr>
        <w:t xml:space="preserve">jejichž </w:t>
      </w:r>
      <w:r>
        <w:rPr>
          <w:sz w:val="24"/>
          <w:szCs w:val="24"/>
        </w:rPr>
        <w:t xml:space="preserve">pomocí </w:t>
      </w:r>
      <w:r w:rsidR="008049B6">
        <w:rPr>
          <w:sz w:val="24"/>
          <w:szCs w:val="24"/>
        </w:rPr>
        <w:t>by bylo</w:t>
      </w:r>
      <w:r>
        <w:rPr>
          <w:sz w:val="24"/>
          <w:szCs w:val="24"/>
        </w:rPr>
        <w:t xml:space="preserve"> možné měřit a</w:t>
      </w:r>
      <w:r w:rsidR="008049B6">
        <w:rPr>
          <w:sz w:val="24"/>
          <w:szCs w:val="24"/>
        </w:rPr>
        <w:t> </w:t>
      </w:r>
      <w:r>
        <w:rPr>
          <w:sz w:val="24"/>
          <w:szCs w:val="24"/>
        </w:rPr>
        <w:t xml:space="preserve">sledovat </w:t>
      </w:r>
      <w:r w:rsidR="00644017">
        <w:rPr>
          <w:sz w:val="24"/>
          <w:szCs w:val="24"/>
        </w:rPr>
        <w:t xml:space="preserve">využití výsledků v praxi a </w:t>
      </w:r>
      <w:r>
        <w:rPr>
          <w:sz w:val="24"/>
          <w:szCs w:val="24"/>
        </w:rPr>
        <w:t xml:space="preserve">přínos projektů pro bezpečnost státu a občanů ČR. </w:t>
      </w:r>
      <w:r w:rsidR="0084649E">
        <w:rPr>
          <w:sz w:val="24"/>
          <w:szCs w:val="24"/>
        </w:rPr>
        <w:t>MV zcela podhodnotilo cílové hodnoty</w:t>
      </w:r>
      <w:r>
        <w:rPr>
          <w:sz w:val="24"/>
          <w:szCs w:val="24"/>
        </w:rPr>
        <w:t xml:space="preserve"> výsle</w:t>
      </w:r>
      <w:r w:rsidR="00C60C24">
        <w:rPr>
          <w:sz w:val="24"/>
          <w:szCs w:val="24"/>
        </w:rPr>
        <w:t>dků projektů jednoho z programů účelové podpory</w:t>
      </w:r>
      <w:r>
        <w:rPr>
          <w:sz w:val="24"/>
          <w:szCs w:val="24"/>
        </w:rPr>
        <w:t xml:space="preserve">, </w:t>
      </w:r>
      <w:r w:rsidR="00C60C24">
        <w:rPr>
          <w:sz w:val="24"/>
          <w:szCs w:val="24"/>
        </w:rPr>
        <w:t>v důsledku čehož</w:t>
      </w:r>
      <w:r w:rsidR="0084649E">
        <w:rPr>
          <w:sz w:val="24"/>
          <w:szCs w:val="24"/>
        </w:rPr>
        <w:t xml:space="preserve"> </w:t>
      </w:r>
      <w:r>
        <w:rPr>
          <w:sz w:val="24"/>
          <w:szCs w:val="24"/>
        </w:rPr>
        <w:t xml:space="preserve">byly </w:t>
      </w:r>
      <w:r w:rsidR="00C60C24">
        <w:rPr>
          <w:sz w:val="24"/>
          <w:szCs w:val="24"/>
        </w:rPr>
        <w:t xml:space="preserve">tyto hodnoty </w:t>
      </w:r>
      <w:r>
        <w:rPr>
          <w:sz w:val="24"/>
          <w:szCs w:val="24"/>
        </w:rPr>
        <w:t xml:space="preserve">již zhruba v polovině programového období vícenásobně překročeny. MV ani při aktualizaci programu v roce 2018 tento </w:t>
      </w:r>
      <w:r>
        <w:rPr>
          <w:sz w:val="24"/>
          <w:szCs w:val="24"/>
        </w:rPr>
        <w:lastRenderedPageBreak/>
        <w:t xml:space="preserve">nedostatek neopravilo a nenastavilo cílové </w:t>
      </w:r>
      <w:r w:rsidR="00675ABF">
        <w:rPr>
          <w:sz w:val="24"/>
          <w:szCs w:val="24"/>
        </w:rPr>
        <w:t>hodnoty na reálných</w:t>
      </w:r>
      <w:r>
        <w:rPr>
          <w:sz w:val="24"/>
          <w:szCs w:val="24"/>
        </w:rPr>
        <w:t xml:space="preserve"> úrovních. Porovnání skutečně dosažených hodnot s plánovanými tak </w:t>
      </w:r>
      <w:r w:rsidR="0067056F">
        <w:rPr>
          <w:sz w:val="24"/>
          <w:szCs w:val="24"/>
        </w:rPr>
        <w:t>ne</w:t>
      </w:r>
      <w:r>
        <w:rPr>
          <w:sz w:val="24"/>
          <w:szCs w:val="24"/>
        </w:rPr>
        <w:t>má</w:t>
      </w:r>
      <w:r w:rsidR="0067056F">
        <w:rPr>
          <w:sz w:val="24"/>
          <w:szCs w:val="24"/>
        </w:rPr>
        <w:t xml:space="preserve"> reáln</w:t>
      </w:r>
      <w:r w:rsidR="00731224">
        <w:rPr>
          <w:sz w:val="24"/>
          <w:szCs w:val="24"/>
        </w:rPr>
        <w:t>ou</w:t>
      </w:r>
      <w:r w:rsidR="0067056F">
        <w:rPr>
          <w:sz w:val="24"/>
          <w:szCs w:val="24"/>
        </w:rPr>
        <w:t xml:space="preserve"> vypovídací </w:t>
      </w:r>
      <w:r w:rsidR="00731224" w:rsidRPr="003B2242">
        <w:rPr>
          <w:sz w:val="24"/>
          <w:szCs w:val="24"/>
        </w:rPr>
        <w:t xml:space="preserve">hodnotu </w:t>
      </w:r>
      <w:r w:rsidR="00C60C24" w:rsidRPr="003B2242">
        <w:rPr>
          <w:sz w:val="24"/>
          <w:szCs w:val="24"/>
        </w:rPr>
        <w:t>(</w:t>
      </w:r>
      <w:r w:rsidR="003B2242" w:rsidRPr="003B2242">
        <w:rPr>
          <w:sz w:val="24"/>
          <w:szCs w:val="24"/>
        </w:rPr>
        <w:t>viz</w:t>
      </w:r>
      <w:r w:rsidR="003B2242">
        <w:rPr>
          <w:sz w:val="24"/>
          <w:szCs w:val="24"/>
        </w:rPr>
        <w:t xml:space="preserve"> </w:t>
      </w:r>
      <w:r w:rsidR="00C60C24" w:rsidRPr="003B2242">
        <w:rPr>
          <w:sz w:val="24"/>
          <w:szCs w:val="24"/>
        </w:rPr>
        <w:t>odst. 4.3 až 4.15</w:t>
      </w:r>
      <w:r w:rsidRPr="003B2242">
        <w:rPr>
          <w:sz w:val="24"/>
          <w:szCs w:val="24"/>
        </w:rPr>
        <w:t>).</w:t>
      </w:r>
    </w:p>
    <w:p w14:paraId="0A6D932F" w14:textId="3D38FDD5" w:rsidR="0034720A" w:rsidRDefault="0034720A" w:rsidP="00406726">
      <w:pPr>
        <w:pStyle w:val="Odstavecseseznamem"/>
        <w:numPr>
          <w:ilvl w:val="0"/>
          <w:numId w:val="18"/>
        </w:numPr>
        <w:spacing w:after="240" w:line="240" w:lineRule="auto"/>
        <w:ind w:left="709" w:hanging="284"/>
        <w:contextualSpacing w:val="0"/>
        <w:jc w:val="both"/>
        <w:rPr>
          <w:sz w:val="24"/>
          <w:szCs w:val="24"/>
        </w:rPr>
      </w:pPr>
      <w:r>
        <w:rPr>
          <w:sz w:val="24"/>
          <w:szCs w:val="24"/>
        </w:rPr>
        <w:t>MV nastavilo systém hodnocení a výběru projektů k</w:t>
      </w:r>
      <w:r w:rsidR="00C60C24">
        <w:rPr>
          <w:sz w:val="24"/>
          <w:szCs w:val="24"/>
        </w:rPr>
        <w:t> </w:t>
      </w:r>
      <w:r>
        <w:rPr>
          <w:sz w:val="24"/>
          <w:szCs w:val="24"/>
        </w:rPr>
        <w:t>podpoře</w:t>
      </w:r>
      <w:r w:rsidR="00C60C24">
        <w:rPr>
          <w:sz w:val="24"/>
          <w:szCs w:val="24"/>
        </w:rPr>
        <w:t xml:space="preserve"> účelně, ale s</w:t>
      </w:r>
      <w:r>
        <w:rPr>
          <w:sz w:val="24"/>
          <w:szCs w:val="24"/>
        </w:rPr>
        <w:t xml:space="preserve"> dílčí</w:t>
      </w:r>
      <w:r w:rsidR="00C60C24">
        <w:rPr>
          <w:sz w:val="24"/>
          <w:szCs w:val="24"/>
        </w:rPr>
        <w:t>mi</w:t>
      </w:r>
      <w:r>
        <w:rPr>
          <w:sz w:val="24"/>
          <w:szCs w:val="24"/>
        </w:rPr>
        <w:t xml:space="preserve"> nedostatky, např. v nastavení postupu pro hodnotitele, </w:t>
      </w:r>
      <w:r w:rsidR="004A53B2">
        <w:rPr>
          <w:sz w:val="24"/>
          <w:szCs w:val="24"/>
        </w:rPr>
        <w:t>kterým ne</w:t>
      </w:r>
      <w:r>
        <w:rPr>
          <w:sz w:val="24"/>
          <w:szCs w:val="24"/>
        </w:rPr>
        <w:t xml:space="preserve">bylo zajištěno </w:t>
      </w:r>
      <w:r w:rsidR="00445B4D">
        <w:rPr>
          <w:sz w:val="24"/>
          <w:szCs w:val="24"/>
        </w:rPr>
        <w:t xml:space="preserve">průkazné </w:t>
      </w:r>
      <w:r>
        <w:rPr>
          <w:sz w:val="24"/>
          <w:szCs w:val="24"/>
        </w:rPr>
        <w:t>a zpětně ověřitelné zdůvodnění jejich hodnocení (tzv. auditní stopa). NKÚ však nezjistil bezprostřední dopad těchto nedostatků na výběr devíti projektů</w:t>
      </w:r>
      <w:r w:rsidR="00445B4D">
        <w:rPr>
          <w:sz w:val="24"/>
          <w:szCs w:val="24"/>
        </w:rPr>
        <w:t xml:space="preserve"> </w:t>
      </w:r>
      <w:r w:rsidR="00445B4D" w:rsidRPr="00EA2236">
        <w:rPr>
          <w:i/>
          <w:sz w:val="24"/>
          <w:szCs w:val="24"/>
        </w:rPr>
        <w:t>Programu bezpečnostního výzkumu ČR</w:t>
      </w:r>
      <w:r w:rsidR="00CE6A41">
        <w:rPr>
          <w:i/>
          <w:sz w:val="24"/>
          <w:szCs w:val="24"/>
        </w:rPr>
        <w:t xml:space="preserve"> v letech 2015–</w:t>
      </w:r>
      <w:r w:rsidR="00C60C24">
        <w:rPr>
          <w:i/>
          <w:sz w:val="24"/>
          <w:szCs w:val="24"/>
        </w:rPr>
        <w:t>2022</w:t>
      </w:r>
      <w:r>
        <w:rPr>
          <w:sz w:val="24"/>
          <w:szCs w:val="24"/>
        </w:rPr>
        <w:t>, jež podrobil kontrole (</w:t>
      </w:r>
      <w:r w:rsidR="00B936DB">
        <w:rPr>
          <w:sz w:val="24"/>
          <w:szCs w:val="24"/>
        </w:rPr>
        <w:t>viz</w:t>
      </w:r>
      <w:r>
        <w:rPr>
          <w:sz w:val="24"/>
          <w:szCs w:val="24"/>
        </w:rPr>
        <w:t xml:space="preserve"> o</w:t>
      </w:r>
      <w:r w:rsidR="0003423C">
        <w:rPr>
          <w:sz w:val="24"/>
          <w:szCs w:val="24"/>
        </w:rPr>
        <w:t>dst. 4.16 až 4.20 a 4.31 až 4.33</w:t>
      </w:r>
      <w:r>
        <w:rPr>
          <w:sz w:val="24"/>
          <w:szCs w:val="24"/>
        </w:rPr>
        <w:t>).</w:t>
      </w:r>
    </w:p>
    <w:p w14:paraId="28B41A76" w14:textId="69FFEDDC" w:rsidR="0034720A" w:rsidRDefault="0034720A" w:rsidP="00406726">
      <w:pPr>
        <w:pStyle w:val="Odstavecseseznamem"/>
        <w:numPr>
          <w:ilvl w:val="0"/>
          <w:numId w:val="18"/>
        </w:numPr>
        <w:spacing w:after="240" w:line="240" w:lineRule="auto"/>
        <w:ind w:left="709" w:hanging="284"/>
        <w:contextualSpacing w:val="0"/>
        <w:jc w:val="both"/>
        <w:rPr>
          <w:sz w:val="24"/>
          <w:szCs w:val="24"/>
        </w:rPr>
      </w:pPr>
      <w:r>
        <w:rPr>
          <w:sz w:val="24"/>
          <w:szCs w:val="24"/>
        </w:rPr>
        <w:t>V případě výběru jednoho projektu (ze tří kontrolovaných) podpořeného</w:t>
      </w:r>
      <w:r w:rsidR="00B936DB">
        <w:rPr>
          <w:sz w:val="24"/>
          <w:szCs w:val="24"/>
        </w:rPr>
        <w:t xml:space="preserve"> </w:t>
      </w:r>
      <w:r>
        <w:rPr>
          <w:sz w:val="24"/>
          <w:szCs w:val="24"/>
        </w:rPr>
        <w:t>z</w:t>
      </w:r>
      <w:r w:rsidR="00B936DB">
        <w:rPr>
          <w:sz w:val="24"/>
          <w:szCs w:val="24"/>
        </w:rPr>
        <w:t> </w:t>
      </w:r>
      <w:r w:rsidR="00445B4D">
        <w:rPr>
          <w:sz w:val="24"/>
          <w:szCs w:val="24"/>
        </w:rPr>
        <w:t>P</w:t>
      </w:r>
      <w:r w:rsidRPr="00EA2236">
        <w:rPr>
          <w:i/>
          <w:sz w:val="24"/>
          <w:szCs w:val="24"/>
        </w:rPr>
        <w:t xml:space="preserve">rogramu </w:t>
      </w:r>
      <w:r w:rsidR="00445B4D">
        <w:rPr>
          <w:i/>
          <w:sz w:val="24"/>
          <w:szCs w:val="24"/>
        </w:rPr>
        <w:t>bezpečnostního výzkumu</w:t>
      </w:r>
      <w:r w:rsidRPr="00EA2236">
        <w:rPr>
          <w:i/>
          <w:sz w:val="24"/>
          <w:szCs w:val="24"/>
        </w:rPr>
        <w:t xml:space="preserve"> pro potřeby státu</w:t>
      </w:r>
      <w:r>
        <w:rPr>
          <w:sz w:val="24"/>
          <w:szCs w:val="24"/>
        </w:rPr>
        <w:t xml:space="preserve"> </w:t>
      </w:r>
      <w:r w:rsidR="007F532F" w:rsidRPr="004A53B2">
        <w:rPr>
          <w:i/>
          <w:sz w:val="24"/>
          <w:szCs w:val="24"/>
        </w:rPr>
        <w:t>v letech</w:t>
      </w:r>
      <w:r w:rsidR="007F532F" w:rsidRPr="007F532F">
        <w:rPr>
          <w:i/>
          <w:sz w:val="24"/>
          <w:szCs w:val="24"/>
        </w:rPr>
        <w:t xml:space="preserve"> </w:t>
      </w:r>
      <w:r w:rsidR="007F532F">
        <w:rPr>
          <w:i/>
          <w:sz w:val="24"/>
          <w:szCs w:val="24"/>
        </w:rPr>
        <w:t>2016</w:t>
      </w:r>
      <w:r w:rsidR="007C41AF">
        <w:rPr>
          <w:i/>
          <w:sz w:val="24"/>
          <w:szCs w:val="24"/>
        </w:rPr>
        <w:t>–</w:t>
      </w:r>
      <w:r w:rsidR="007F532F" w:rsidRPr="007F532F">
        <w:rPr>
          <w:i/>
          <w:sz w:val="24"/>
          <w:szCs w:val="24"/>
        </w:rPr>
        <w:t>2021</w:t>
      </w:r>
      <w:r w:rsidR="007F532F">
        <w:rPr>
          <w:sz w:val="24"/>
          <w:szCs w:val="24"/>
        </w:rPr>
        <w:t xml:space="preserve"> </w:t>
      </w:r>
      <w:r>
        <w:rPr>
          <w:sz w:val="24"/>
          <w:szCs w:val="24"/>
        </w:rPr>
        <w:t>NKÚ zjistil, že MV vybralo a podpořil</w:t>
      </w:r>
      <w:r w:rsidR="007F532F">
        <w:rPr>
          <w:sz w:val="24"/>
          <w:szCs w:val="24"/>
        </w:rPr>
        <w:t>o výzkum konkrétní problematiky</w:t>
      </w:r>
      <w:r>
        <w:rPr>
          <w:sz w:val="24"/>
          <w:szCs w:val="24"/>
        </w:rPr>
        <w:t xml:space="preserve"> i přesto, že ji současně řešila výzkumná organizace v působnosti Ministerstva dopravy. Stalo se tak navzdory skutečnosti, že tento resort byl</w:t>
      </w:r>
      <w:r w:rsidR="007F532F">
        <w:rPr>
          <w:sz w:val="24"/>
          <w:szCs w:val="24"/>
        </w:rPr>
        <w:t xml:space="preserve"> zastoupen v orgánu, který projekt</w:t>
      </w:r>
      <w:r>
        <w:rPr>
          <w:sz w:val="24"/>
          <w:szCs w:val="24"/>
        </w:rPr>
        <w:t xml:space="preserve"> navrhl a doporučil. Jednalo se tak o případ tzv. duplicitního financování, kterým se významně snižuje efektivnost vynakládaných</w:t>
      </w:r>
      <w:r w:rsidR="0003423C">
        <w:rPr>
          <w:sz w:val="24"/>
          <w:szCs w:val="24"/>
        </w:rPr>
        <w:t xml:space="preserve"> prostředků </w:t>
      </w:r>
      <w:r w:rsidR="0003423C" w:rsidRPr="003B2242">
        <w:rPr>
          <w:sz w:val="24"/>
          <w:szCs w:val="24"/>
        </w:rPr>
        <w:t>(</w:t>
      </w:r>
      <w:r w:rsidR="00B936DB" w:rsidRPr="003B2242">
        <w:rPr>
          <w:sz w:val="24"/>
          <w:szCs w:val="24"/>
        </w:rPr>
        <w:t>viz</w:t>
      </w:r>
      <w:r w:rsidR="0003423C" w:rsidRPr="003B2242">
        <w:rPr>
          <w:sz w:val="24"/>
          <w:szCs w:val="24"/>
        </w:rPr>
        <w:t xml:space="preserve"> odst. 4.34 až 4.35</w:t>
      </w:r>
      <w:r w:rsidRPr="003B2242">
        <w:rPr>
          <w:sz w:val="24"/>
          <w:szCs w:val="24"/>
        </w:rPr>
        <w:t>).</w:t>
      </w:r>
    </w:p>
    <w:p w14:paraId="2067F709" w14:textId="16C15840" w:rsidR="0034720A" w:rsidRDefault="0034720A" w:rsidP="00406726">
      <w:pPr>
        <w:pStyle w:val="Odstavecseseznamem"/>
        <w:numPr>
          <w:ilvl w:val="0"/>
          <w:numId w:val="18"/>
        </w:numPr>
        <w:spacing w:after="240" w:line="240" w:lineRule="auto"/>
        <w:ind w:left="709" w:hanging="284"/>
        <w:contextualSpacing w:val="0"/>
        <w:jc w:val="both"/>
        <w:rPr>
          <w:sz w:val="24"/>
          <w:szCs w:val="24"/>
        </w:rPr>
      </w:pPr>
      <w:r>
        <w:rPr>
          <w:sz w:val="24"/>
          <w:szCs w:val="24"/>
        </w:rPr>
        <w:t xml:space="preserve">Účinnost průběžného monitoringu dosahovaných výsledků programů </w:t>
      </w:r>
      <w:r w:rsidR="000A73BE">
        <w:rPr>
          <w:sz w:val="24"/>
          <w:szCs w:val="24"/>
        </w:rPr>
        <w:t>bezpečnostního výzkumu</w:t>
      </w:r>
      <w:r>
        <w:rPr>
          <w:sz w:val="24"/>
          <w:szCs w:val="24"/>
        </w:rPr>
        <w:t xml:space="preserve"> ze strany MV byla negativně ovlivněna nedostatky popsanými v textu pod písmenem a) tohoto odstavce. </w:t>
      </w:r>
      <w:r w:rsidR="00675ABF">
        <w:rPr>
          <w:sz w:val="24"/>
          <w:szCs w:val="24"/>
        </w:rPr>
        <w:t xml:space="preserve">MV neprovádělo dostatečně závěrečné hodnocení efektivnosti projektů. </w:t>
      </w:r>
      <w:r>
        <w:rPr>
          <w:sz w:val="24"/>
          <w:szCs w:val="24"/>
        </w:rPr>
        <w:t>NKÚ dále zjistil nedostatky v provádění průběžné kontroly projektů. V případě jednoho z nich kontrola MV neodhalila skutečnost, že výsledky, kterých mělo být projektem dosaženo, již existují jako výsledky dříve realizovaných projektů, ačkoliv</w:t>
      </w:r>
      <w:r w:rsidR="00DC65FC">
        <w:rPr>
          <w:sz w:val="24"/>
          <w:szCs w:val="24"/>
        </w:rPr>
        <w:t xml:space="preserve"> takové informace byly</w:t>
      </w:r>
      <w:r>
        <w:rPr>
          <w:sz w:val="24"/>
          <w:szCs w:val="24"/>
        </w:rPr>
        <w:t xml:space="preserve"> </w:t>
      </w:r>
      <w:r w:rsidR="00DC65FC">
        <w:rPr>
          <w:sz w:val="24"/>
          <w:szCs w:val="24"/>
        </w:rPr>
        <w:t>dostupné (</w:t>
      </w:r>
      <w:r w:rsidR="00B936DB">
        <w:rPr>
          <w:sz w:val="24"/>
          <w:szCs w:val="24"/>
        </w:rPr>
        <w:t>viz</w:t>
      </w:r>
      <w:r w:rsidR="00DB440A">
        <w:rPr>
          <w:sz w:val="24"/>
          <w:szCs w:val="24"/>
        </w:rPr>
        <w:t xml:space="preserve"> odst. </w:t>
      </w:r>
      <w:r w:rsidR="00DC65FC">
        <w:rPr>
          <w:sz w:val="24"/>
          <w:szCs w:val="24"/>
        </w:rPr>
        <w:t>4.24 až 4.28</w:t>
      </w:r>
      <w:r w:rsidR="0003423C">
        <w:rPr>
          <w:sz w:val="24"/>
          <w:szCs w:val="24"/>
        </w:rPr>
        <w:t xml:space="preserve"> a 4</w:t>
      </w:r>
      <w:r w:rsidR="00675ABF">
        <w:rPr>
          <w:sz w:val="24"/>
          <w:szCs w:val="24"/>
        </w:rPr>
        <w:t>.36 až 4.37</w:t>
      </w:r>
      <w:r>
        <w:rPr>
          <w:sz w:val="24"/>
          <w:szCs w:val="24"/>
        </w:rPr>
        <w:t xml:space="preserve">). </w:t>
      </w:r>
    </w:p>
    <w:p w14:paraId="4F7CE9C3" w14:textId="2D9C3EE4" w:rsidR="0034720A" w:rsidRDefault="00D51BAE" w:rsidP="00406726">
      <w:pPr>
        <w:pStyle w:val="Odstavecseseznamem"/>
        <w:numPr>
          <w:ilvl w:val="0"/>
          <w:numId w:val="18"/>
        </w:numPr>
        <w:spacing w:after="240" w:line="240" w:lineRule="auto"/>
        <w:ind w:left="709" w:hanging="284"/>
        <w:contextualSpacing w:val="0"/>
        <w:jc w:val="both"/>
        <w:rPr>
          <w:sz w:val="24"/>
          <w:szCs w:val="24"/>
        </w:rPr>
      </w:pPr>
      <w:r>
        <w:rPr>
          <w:sz w:val="24"/>
          <w:szCs w:val="24"/>
        </w:rPr>
        <w:t xml:space="preserve">Z celkem dvanácti kontrolovaných projektů jich NKÚ sedm vyhodnotil </w:t>
      </w:r>
      <w:r w:rsidR="0034720A">
        <w:rPr>
          <w:sz w:val="24"/>
          <w:szCs w:val="24"/>
        </w:rPr>
        <w:t>jako účelné. Čtyři posoudil jako omezeně ú</w:t>
      </w:r>
      <w:r w:rsidR="00DC65FC">
        <w:rPr>
          <w:sz w:val="24"/>
          <w:szCs w:val="24"/>
        </w:rPr>
        <w:t>čelné a jeden projekt jako</w:t>
      </w:r>
      <w:r w:rsidR="0034720A">
        <w:rPr>
          <w:sz w:val="24"/>
          <w:szCs w:val="24"/>
        </w:rPr>
        <w:t xml:space="preserve"> neúčelný. </w:t>
      </w:r>
      <w:r w:rsidR="00C57A57">
        <w:rPr>
          <w:sz w:val="24"/>
          <w:szCs w:val="24"/>
        </w:rPr>
        <w:t xml:space="preserve">NKÚ zjistil, že jeho realizací došlo ze strany </w:t>
      </w:r>
      <w:r w:rsidR="00DC65FC">
        <w:rPr>
          <w:sz w:val="24"/>
          <w:szCs w:val="24"/>
        </w:rPr>
        <w:t xml:space="preserve">příjemce </w:t>
      </w:r>
      <w:r w:rsidR="0034720A">
        <w:rPr>
          <w:sz w:val="24"/>
          <w:szCs w:val="24"/>
        </w:rPr>
        <w:t xml:space="preserve">i k porušení smluvních podmínek uzavřených s MV. </w:t>
      </w:r>
      <w:r w:rsidR="0034720A" w:rsidRPr="009448D9">
        <w:rPr>
          <w:sz w:val="24"/>
          <w:szCs w:val="24"/>
        </w:rPr>
        <w:t xml:space="preserve">NKÚ </w:t>
      </w:r>
      <w:r w:rsidR="0034720A">
        <w:rPr>
          <w:sz w:val="24"/>
          <w:szCs w:val="24"/>
        </w:rPr>
        <w:t xml:space="preserve">dále vyhodnotil, že tři z pěti výše uvedených projektů jsou zároveň jen omezeně efektivní nebo </w:t>
      </w:r>
      <w:r w:rsidR="00DC65FC">
        <w:rPr>
          <w:sz w:val="24"/>
          <w:szCs w:val="24"/>
        </w:rPr>
        <w:t>zcela neefektivní (</w:t>
      </w:r>
      <w:r w:rsidR="00B936DB">
        <w:rPr>
          <w:sz w:val="24"/>
          <w:szCs w:val="24"/>
        </w:rPr>
        <w:t>viz</w:t>
      </w:r>
      <w:r w:rsidR="00DC65FC">
        <w:rPr>
          <w:sz w:val="24"/>
          <w:szCs w:val="24"/>
        </w:rPr>
        <w:t xml:space="preserve"> odst. 4.21 až 4.23</w:t>
      </w:r>
      <w:r w:rsidR="00744480">
        <w:rPr>
          <w:sz w:val="24"/>
          <w:szCs w:val="24"/>
        </w:rPr>
        <w:t xml:space="preserve"> a 4.38 až 4.39</w:t>
      </w:r>
      <w:r w:rsidR="0034720A">
        <w:rPr>
          <w:sz w:val="24"/>
          <w:szCs w:val="24"/>
        </w:rPr>
        <w:t>).</w:t>
      </w:r>
    </w:p>
    <w:p w14:paraId="0620C159" w14:textId="1D4653AB" w:rsidR="0034720A" w:rsidRDefault="0034720A" w:rsidP="00406726">
      <w:pPr>
        <w:pStyle w:val="Odstavecseseznamem"/>
        <w:numPr>
          <w:ilvl w:val="0"/>
          <w:numId w:val="18"/>
        </w:numPr>
        <w:spacing w:after="240" w:line="240" w:lineRule="auto"/>
        <w:ind w:left="709" w:hanging="284"/>
        <w:contextualSpacing w:val="0"/>
        <w:jc w:val="both"/>
        <w:rPr>
          <w:sz w:val="24"/>
          <w:szCs w:val="24"/>
        </w:rPr>
      </w:pPr>
      <w:r>
        <w:rPr>
          <w:sz w:val="24"/>
          <w:szCs w:val="24"/>
        </w:rPr>
        <w:t>U dalš</w:t>
      </w:r>
      <w:r w:rsidR="00DB440A">
        <w:rPr>
          <w:sz w:val="24"/>
          <w:szCs w:val="24"/>
        </w:rPr>
        <w:t>ích projektů nezjistil NKÚ</w:t>
      </w:r>
      <w:r>
        <w:rPr>
          <w:sz w:val="24"/>
          <w:szCs w:val="24"/>
        </w:rPr>
        <w:t xml:space="preserve"> významné porušení právních předpisů </w:t>
      </w:r>
      <w:r w:rsidR="00B936DB">
        <w:rPr>
          <w:sz w:val="24"/>
          <w:szCs w:val="24"/>
        </w:rPr>
        <w:t>ze strany</w:t>
      </w:r>
      <w:r>
        <w:rPr>
          <w:sz w:val="24"/>
          <w:szCs w:val="24"/>
        </w:rPr>
        <w:t xml:space="preserve"> MV jako poskytovatele podpory nebo </w:t>
      </w:r>
      <w:r w:rsidR="0003423C">
        <w:rPr>
          <w:sz w:val="24"/>
          <w:szCs w:val="24"/>
        </w:rPr>
        <w:t>u jejích příjemců (</w:t>
      </w:r>
      <w:r w:rsidR="00B936DB">
        <w:rPr>
          <w:sz w:val="24"/>
          <w:szCs w:val="24"/>
        </w:rPr>
        <w:t>viz</w:t>
      </w:r>
      <w:r w:rsidR="0003423C">
        <w:rPr>
          <w:sz w:val="24"/>
          <w:szCs w:val="24"/>
        </w:rPr>
        <w:t xml:space="preserve"> odst. 4.43 až 4.47</w:t>
      </w:r>
      <w:r>
        <w:rPr>
          <w:sz w:val="24"/>
          <w:szCs w:val="24"/>
        </w:rPr>
        <w:t>).</w:t>
      </w:r>
    </w:p>
    <w:p w14:paraId="31A62F33" w14:textId="7F102C94" w:rsidR="00E121E4" w:rsidRPr="00E4762D" w:rsidRDefault="00744480" w:rsidP="00406726">
      <w:pPr>
        <w:pStyle w:val="Odstavecseseznamem"/>
        <w:numPr>
          <w:ilvl w:val="0"/>
          <w:numId w:val="18"/>
        </w:numPr>
        <w:spacing w:after="240" w:line="240" w:lineRule="auto"/>
        <w:ind w:left="709" w:hanging="284"/>
        <w:contextualSpacing w:val="0"/>
        <w:jc w:val="both"/>
        <w:rPr>
          <w:sz w:val="24"/>
          <w:szCs w:val="24"/>
        </w:rPr>
      </w:pPr>
      <w:r>
        <w:rPr>
          <w:sz w:val="24"/>
          <w:szCs w:val="24"/>
        </w:rPr>
        <w:t>S</w:t>
      </w:r>
      <w:r w:rsidR="00E121E4" w:rsidRPr="00E4762D">
        <w:rPr>
          <w:sz w:val="24"/>
          <w:szCs w:val="24"/>
        </w:rPr>
        <w:t xml:space="preserve">ystém výběru projektů programů </w:t>
      </w:r>
      <w:r w:rsidR="000A73BE">
        <w:rPr>
          <w:sz w:val="24"/>
          <w:szCs w:val="24"/>
        </w:rPr>
        <w:t>bezpečnostního výzkumu</w:t>
      </w:r>
      <w:r w:rsidR="00E121E4" w:rsidRPr="00E4762D">
        <w:rPr>
          <w:sz w:val="24"/>
          <w:szCs w:val="24"/>
        </w:rPr>
        <w:t xml:space="preserve"> </w:t>
      </w:r>
      <w:r w:rsidR="00067DFF">
        <w:rPr>
          <w:sz w:val="24"/>
          <w:szCs w:val="24"/>
        </w:rPr>
        <w:t>je nastaven objektivně a</w:t>
      </w:r>
      <w:r w:rsidR="002647D6">
        <w:rPr>
          <w:sz w:val="24"/>
          <w:szCs w:val="24"/>
        </w:rPr>
        <w:t> </w:t>
      </w:r>
      <w:r w:rsidR="00067DFF">
        <w:rPr>
          <w:sz w:val="24"/>
          <w:szCs w:val="24"/>
        </w:rPr>
        <w:t xml:space="preserve">nediskriminačně v tom smyslu, že </w:t>
      </w:r>
      <w:r>
        <w:rPr>
          <w:sz w:val="24"/>
          <w:szCs w:val="24"/>
        </w:rPr>
        <w:t xml:space="preserve">organizace přijímající institucionální podporu bezpečnostního výzkumu od MV </w:t>
      </w:r>
      <w:r w:rsidR="00067DFF">
        <w:rPr>
          <w:sz w:val="24"/>
          <w:szCs w:val="24"/>
        </w:rPr>
        <w:t>nejsou</w:t>
      </w:r>
      <w:r w:rsidR="00E121E4" w:rsidRPr="00E4762D">
        <w:rPr>
          <w:sz w:val="24"/>
          <w:szCs w:val="24"/>
        </w:rPr>
        <w:t xml:space="preserve"> </w:t>
      </w:r>
      <w:r w:rsidR="00067DFF">
        <w:rPr>
          <w:sz w:val="24"/>
          <w:szCs w:val="24"/>
        </w:rPr>
        <w:t xml:space="preserve">neoprávněně </w:t>
      </w:r>
      <w:r w:rsidR="00E121E4" w:rsidRPr="00E4762D">
        <w:rPr>
          <w:sz w:val="24"/>
          <w:szCs w:val="24"/>
        </w:rPr>
        <w:t>preferovány před j</w:t>
      </w:r>
      <w:r w:rsidR="000707F5">
        <w:rPr>
          <w:sz w:val="24"/>
          <w:szCs w:val="24"/>
        </w:rPr>
        <w:t>inými žadateli</w:t>
      </w:r>
      <w:r>
        <w:rPr>
          <w:sz w:val="24"/>
          <w:szCs w:val="24"/>
        </w:rPr>
        <w:t xml:space="preserve"> (</w:t>
      </w:r>
      <w:r w:rsidR="00B936DB">
        <w:rPr>
          <w:sz w:val="24"/>
          <w:szCs w:val="24"/>
        </w:rPr>
        <w:t>viz</w:t>
      </w:r>
      <w:r>
        <w:rPr>
          <w:sz w:val="24"/>
          <w:szCs w:val="24"/>
        </w:rPr>
        <w:t xml:space="preserve"> odst. 4.40</w:t>
      </w:r>
      <w:r w:rsidR="000707F5">
        <w:rPr>
          <w:sz w:val="24"/>
          <w:szCs w:val="24"/>
        </w:rPr>
        <w:t>)</w:t>
      </w:r>
      <w:r w:rsidR="00E121E4" w:rsidRPr="00E4762D">
        <w:rPr>
          <w:sz w:val="24"/>
          <w:szCs w:val="24"/>
        </w:rPr>
        <w:t>.</w:t>
      </w:r>
    </w:p>
    <w:p w14:paraId="4F6D9663" w14:textId="450BB641" w:rsidR="00E121E4" w:rsidRPr="00E4762D" w:rsidRDefault="00E121E4" w:rsidP="00406726">
      <w:pPr>
        <w:pStyle w:val="Odstavecseseznamem"/>
        <w:numPr>
          <w:ilvl w:val="0"/>
          <w:numId w:val="18"/>
        </w:numPr>
        <w:spacing w:after="240" w:line="240" w:lineRule="auto"/>
        <w:ind w:left="709" w:hanging="284"/>
        <w:contextualSpacing w:val="0"/>
        <w:jc w:val="both"/>
        <w:rPr>
          <w:sz w:val="24"/>
          <w:szCs w:val="24"/>
        </w:rPr>
      </w:pPr>
      <w:r w:rsidRPr="00E4762D">
        <w:rPr>
          <w:sz w:val="24"/>
          <w:szCs w:val="24"/>
        </w:rPr>
        <w:t xml:space="preserve">Počet evropských projektů s účastí ČR v rámci programu </w:t>
      </w:r>
      <w:r w:rsidRPr="008A6560">
        <w:rPr>
          <w:i/>
          <w:sz w:val="24"/>
          <w:szCs w:val="24"/>
        </w:rPr>
        <w:t>Horizont 2020</w:t>
      </w:r>
      <w:r w:rsidR="00865E78">
        <w:rPr>
          <w:i/>
          <w:sz w:val="24"/>
          <w:szCs w:val="24"/>
        </w:rPr>
        <w:t xml:space="preserve"> </w:t>
      </w:r>
      <w:r w:rsidR="00865E78" w:rsidRPr="00191FDF">
        <w:rPr>
          <w:rFonts w:ascii="Calibri" w:eastAsia="Times New Roman" w:hAnsi="Calibri" w:cs="Calibri"/>
          <w:i/>
          <w:sz w:val="24"/>
          <w:szCs w:val="24"/>
          <w:shd w:val="clear" w:color="auto" w:fill="FFFFFF"/>
        </w:rPr>
        <w:t>– rámcový program pro výzkum a inovace</w:t>
      </w:r>
      <w:r w:rsidRPr="00E4762D">
        <w:rPr>
          <w:sz w:val="24"/>
          <w:szCs w:val="24"/>
        </w:rPr>
        <w:t xml:space="preserve"> zaměřených na bezpečnostní tématiku se oproti předchozímu programu snížil. Žádná z výzkumných institucí pobírající institucionální podporu MV se těchto projektů neúčastnila</w:t>
      </w:r>
      <w:r w:rsidR="000707F5">
        <w:rPr>
          <w:sz w:val="24"/>
          <w:szCs w:val="24"/>
        </w:rPr>
        <w:t xml:space="preserve"> (</w:t>
      </w:r>
      <w:r w:rsidR="00865E78">
        <w:rPr>
          <w:sz w:val="24"/>
          <w:szCs w:val="24"/>
        </w:rPr>
        <w:t>viz</w:t>
      </w:r>
      <w:r w:rsidR="000707F5">
        <w:rPr>
          <w:sz w:val="24"/>
          <w:szCs w:val="24"/>
        </w:rPr>
        <w:t xml:space="preserve"> odst.</w:t>
      </w:r>
      <w:r w:rsidR="002647D6">
        <w:rPr>
          <w:sz w:val="24"/>
          <w:szCs w:val="24"/>
        </w:rPr>
        <w:t> </w:t>
      </w:r>
      <w:r w:rsidR="000707F5">
        <w:rPr>
          <w:sz w:val="24"/>
          <w:szCs w:val="24"/>
        </w:rPr>
        <w:t>4.41 a 4.42)</w:t>
      </w:r>
      <w:r w:rsidRPr="00E4762D">
        <w:rPr>
          <w:sz w:val="24"/>
          <w:szCs w:val="24"/>
        </w:rPr>
        <w:t>.</w:t>
      </w:r>
    </w:p>
    <w:p w14:paraId="3A2F2C28" w14:textId="77777777" w:rsidR="0034720A" w:rsidRPr="00AC4997" w:rsidRDefault="0034720A" w:rsidP="009369EA">
      <w:pPr>
        <w:spacing w:after="0" w:line="240" w:lineRule="auto"/>
        <w:jc w:val="both"/>
        <w:rPr>
          <w:sz w:val="24"/>
          <w:szCs w:val="24"/>
        </w:rPr>
      </w:pPr>
    </w:p>
    <w:p w14:paraId="59CE22D7" w14:textId="77777777" w:rsidR="00406726" w:rsidRDefault="00406726">
      <w:pPr>
        <w:rPr>
          <w:sz w:val="24"/>
          <w:szCs w:val="24"/>
        </w:rPr>
      </w:pPr>
      <w:r>
        <w:rPr>
          <w:sz w:val="24"/>
          <w:szCs w:val="24"/>
        </w:rPr>
        <w:br w:type="page"/>
      </w:r>
    </w:p>
    <w:p w14:paraId="3EBDCC5A" w14:textId="23178ECD" w:rsidR="0034720A" w:rsidRDefault="00DB6165" w:rsidP="00406726">
      <w:pPr>
        <w:pStyle w:val="Odstavecseseznamem"/>
        <w:spacing w:after="240" w:line="240" w:lineRule="auto"/>
        <w:ind w:left="0"/>
        <w:contextualSpacing w:val="0"/>
        <w:jc w:val="both"/>
        <w:rPr>
          <w:sz w:val="24"/>
          <w:szCs w:val="24"/>
        </w:rPr>
      </w:pPr>
      <w:r>
        <w:rPr>
          <w:sz w:val="24"/>
          <w:szCs w:val="24"/>
        </w:rPr>
        <w:lastRenderedPageBreak/>
        <w:t>1.5</w:t>
      </w:r>
      <w:r w:rsidR="002647D6">
        <w:rPr>
          <w:sz w:val="24"/>
          <w:szCs w:val="24"/>
        </w:rPr>
        <w:t xml:space="preserve"> </w:t>
      </w:r>
      <w:r w:rsidR="0034720A">
        <w:rPr>
          <w:sz w:val="24"/>
          <w:szCs w:val="24"/>
        </w:rPr>
        <w:t>N</w:t>
      </w:r>
      <w:r w:rsidR="004902A1">
        <w:rPr>
          <w:sz w:val="24"/>
          <w:szCs w:val="24"/>
        </w:rPr>
        <w:t xml:space="preserve">KÚ v návaznosti na výše uvedená zjištění </w:t>
      </w:r>
      <w:r w:rsidR="0034720A">
        <w:rPr>
          <w:sz w:val="24"/>
          <w:szCs w:val="24"/>
        </w:rPr>
        <w:t>doporučuje MV:</w:t>
      </w:r>
    </w:p>
    <w:p w14:paraId="12558006" w14:textId="5F8FB8C7" w:rsidR="0034720A" w:rsidRDefault="00431AA9" w:rsidP="00406726">
      <w:pPr>
        <w:pStyle w:val="Odstavecseseznamem"/>
        <w:numPr>
          <w:ilvl w:val="0"/>
          <w:numId w:val="19"/>
        </w:numPr>
        <w:spacing w:after="240" w:line="240" w:lineRule="auto"/>
        <w:ind w:left="709"/>
        <w:contextualSpacing w:val="0"/>
        <w:jc w:val="both"/>
        <w:rPr>
          <w:sz w:val="24"/>
          <w:szCs w:val="24"/>
        </w:rPr>
      </w:pPr>
      <w:r>
        <w:rPr>
          <w:sz w:val="24"/>
          <w:szCs w:val="24"/>
        </w:rPr>
        <w:t>V </w:t>
      </w:r>
      <w:r w:rsidR="0034720A">
        <w:rPr>
          <w:sz w:val="24"/>
          <w:szCs w:val="24"/>
        </w:rPr>
        <w:t xml:space="preserve">programu </w:t>
      </w:r>
      <w:r>
        <w:rPr>
          <w:sz w:val="24"/>
          <w:szCs w:val="24"/>
        </w:rPr>
        <w:t xml:space="preserve">navazujícím </w:t>
      </w:r>
      <w:r w:rsidR="0034720A">
        <w:rPr>
          <w:sz w:val="24"/>
          <w:szCs w:val="24"/>
        </w:rPr>
        <w:t xml:space="preserve">na </w:t>
      </w:r>
      <w:r w:rsidR="0034720A" w:rsidRPr="00EA2236">
        <w:rPr>
          <w:i/>
          <w:sz w:val="24"/>
          <w:szCs w:val="24"/>
        </w:rPr>
        <w:t xml:space="preserve">Program bezpečnostního výzkumu ČR </w:t>
      </w:r>
      <w:r w:rsidR="00FE4915">
        <w:rPr>
          <w:i/>
          <w:sz w:val="24"/>
          <w:szCs w:val="24"/>
        </w:rPr>
        <w:t>v</w:t>
      </w:r>
      <w:r w:rsidR="002647D6">
        <w:rPr>
          <w:i/>
          <w:sz w:val="24"/>
          <w:szCs w:val="24"/>
        </w:rPr>
        <w:t> </w:t>
      </w:r>
      <w:r w:rsidR="00FE4915">
        <w:rPr>
          <w:i/>
          <w:sz w:val="24"/>
          <w:szCs w:val="24"/>
        </w:rPr>
        <w:t>období</w:t>
      </w:r>
      <w:r w:rsidR="002647D6">
        <w:rPr>
          <w:i/>
          <w:sz w:val="24"/>
          <w:szCs w:val="24"/>
        </w:rPr>
        <w:t xml:space="preserve"> </w:t>
      </w:r>
      <w:r w:rsidR="009667AB">
        <w:rPr>
          <w:i/>
          <w:sz w:val="24"/>
          <w:szCs w:val="24"/>
        </w:rPr>
        <w:t>2015–</w:t>
      </w:r>
      <w:r w:rsidR="0034720A" w:rsidRPr="00EA2236">
        <w:rPr>
          <w:i/>
          <w:sz w:val="24"/>
          <w:szCs w:val="24"/>
        </w:rPr>
        <w:t>2022</w:t>
      </w:r>
      <w:r w:rsidR="0034720A">
        <w:rPr>
          <w:sz w:val="24"/>
          <w:szCs w:val="24"/>
        </w:rPr>
        <w:t xml:space="preserve"> sledovat soustavou indikátorů plnění cílů programu nejen </w:t>
      </w:r>
      <w:r w:rsidR="00865E78">
        <w:rPr>
          <w:sz w:val="24"/>
          <w:szCs w:val="24"/>
        </w:rPr>
        <w:t>prostřednictvím</w:t>
      </w:r>
      <w:r w:rsidR="0034720A">
        <w:rPr>
          <w:sz w:val="24"/>
          <w:szCs w:val="24"/>
        </w:rPr>
        <w:t xml:space="preserve"> výstup</w:t>
      </w:r>
      <w:r w:rsidR="00865E78">
        <w:rPr>
          <w:sz w:val="24"/>
          <w:szCs w:val="24"/>
        </w:rPr>
        <w:t>ů</w:t>
      </w:r>
      <w:r w:rsidR="0034720A">
        <w:rPr>
          <w:sz w:val="24"/>
          <w:szCs w:val="24"/>
        </w:rPr>
        <w:t xml:space="preserve"> projektů ve formě vytvořených patentů, užitných vzorů, certifikovaných metodik apod., ale </w:t>
      </w:r>
      <w:r w:rsidR="00865E78">
        <w:rPr>
          <w:sz w:val="24"/>
          <w:szCs w:val="24"/>
        </w:rPr>
        <w:t xml:space="preserve">sledovat </w:t>
      </w:r>
      <w:r w:rsidR="0034720A">
        <w:rPr>
          <w:sz w:val="24"/>
          <w:szCs w:val="24"/>
        </w:rPr>
        <w:t xml:space="preserve">i využití těchto výstupů v praxi </w:t>
      </w:r>
      <w:r w:rsidR="00067DFF">
        <w:rPr>
          <w:sz w:val="24"/>
          <w:szCs w:val="24"/>
        </w:rPr>
        <w:t xml:space="preserve">jako předpoklad </w:t>
      </w:r>
      <w:r w:rsidR="0034720A">
        <w:rPr>
          <w:sz w:val="24"/>
          <w:szCs w:val="24"/>
        </w:rPr>
        <w:t>přínos</w:t>
      </w:r>
      <w:r w:rsidR="00067DFF">
        <w:rPr>
          <w:sz w:val="24"/>
          <w:szCs w:val="24"/>
        </w:rPr>
        <w:t>u</w:t>
      </w:r>
      <w:r w:rsidR="0034720A">
        <w:rPr>
          <w:sz w:val="24"/>
          <w:szCs w:val="24"/>
        </w:rPr>
        <w:t xml:space="preserve"> k zajištění bezpečnosti státu a jeho občanů. Cílové hodnoty indikátorů pak stanovit na reálné úrovni odpovídající očekávaným výsledkům programu, a to i ve vazbě na předpokládaný počet podpořených projektů a</w:t>
      </w:r>
      <w:r w:rsidR="00865E78">
        <w:rPr>
          <w:sz w:val="24"/>
          <w:szCs w:val="24"/>
        </w:rPr>
        <w:t> </w:t>
      </w:r>
      <w:r w:rsidR="0034720A">
        <w:rPr>
          <w:sz w:val="24"/>
          <w:szCs w:val="24"/>
        </w:rPr>
        <w:t>počet a typ jejich výstupů.</w:t>
      </w:r>
    </w:p>
    <w:p w14:paraId="751D2C29" w14:textId="650CB75B" w:rsidR="0034720A" w:rsidRDefault="0034720A" w:rsidP="00406726">
      <w:pPr>
        <w:pStyle w:val="Odstavecseseznamem"/>
        <w:numPr>
          <w:ilvl w:val="0"/>
          <w:numId w:val="19"/>
        </w:numPr>
        <w:spacing w:after="240" w:line="240" w:lineRule="auto"/>
        <w:ind w:left="709"/>
        <w:contextualSpacing w:val="0"/>
        <w:jc w:val="both"/>
        <w:rPr>
          <w:sz w:val="24"/>
          <w:szCs w:val="24"/>
        </w:rPr>
      </w:pPr>
      <w:r>
        <w:rPr>
          <w:sz w:val="24"/>
          <w:szCs w:val="24"/>
        </w:rPr>
        <w:t>V systému výběru projektů stanovit p</w:t>
      </w:r>
      <w:r w:rsidR="00FE4915">
        <w:rPr>
          <w:sz w:val="24"/>
          <w:szCs w:val="24"/>
        </w:rPr>
        <w:t>ovinnost pro hodnotitele návrhů</w:t>
      </w:r>
      <w:r>
        <w:rPr>
          <w:sz w:val="24"/>
          <w:szCs w:val="24"/>
        </w:rPr>
        <w:t xml:space="preserve"> doložit</w:t>
      </w:r>
      <w:r w:rsidR="00865E78">
        <w:rPr>
          <w:sz w:val="24"/>
          <w:szCs w:val="24"/>
        </w:rPr>
        <w:t>,</w:t>
      </w:r>
      <w:r>
        <w:rPr>
          <w:sz w:val="24"/>
          <w:szCs w:val="24"/>
        </w:rPr>
        <w:t xml:space="preserve"> </w:t>
      </w:r>
      <w:r w:rsidR="00307A7D">
        <w:rPr>
          <w:sz w:val="24"/>
          <w:szCs w:val="24"/>
        </w:rPr>
        <w:br/>
      </w:r>
      <w:r>
        <w:rPr>
          <w:sz w:val="24"/>
          <w:szCs w:val="24"/>
        </w:rPr>
        <w:t>na základě jakých informací a jejich vyhodnocení došli k výsledku svého posouz</w:t>
      </w:r>
      <w:r w:rsidR="00FE4915">
        <w:rPr>
          <w:sz w:val="24"/>
          <w:szCs w:val="24"/>
        </w:rPr>
        <w:t>ení</w:t>
      </w:r>
      <w:r w:rsidR="00865E78">
        <w:rPr>
          <w:sz w:val="24"/>
          <w:szCs w:val="24"/>
        </w:rPr>
        <w:t>,</w:t>
      </w:r>
      <w:r w:rsidR="00FE4915">
        <w:rPr>
          <w:sz w:val="24"/>
          <w:szCs w:val="24"/>
        </w:rPr>
        <w:t xml:space="preserve"> a</w:t>
      </w:r>
      <w:r w:rsidR="002647D6">
        <w:rPr>
          <w:sz w:val="24"/>
          <w:szCs w:val="24"/>
        </w:rPr>
        <w:t> </w:t>
      </w:r>
      <w:r w:rsidR="00FE4915">
        <w:rPr>
          <w:sz w:val="24"/>
          <w:szCs w:val="24"/>
        </w:rPr>
        <w:t>zajistit tak průkaznou</w:t>
      </w:r>
      <w:r>
        <w:rPr>
          <w:sz w:val="24"/>
          <w:szCs w:val="24"/>
        </w:rPr>
        <w:t xml:space="preserve"> auditní stopu. </w:t>
      </w:r>
    </w:p>
    <w:p w14:paraId="7B3413C2" w14:textId="7D7C1D0E" w:rsidR="0034720A" w:rsidRDefault="00FE4915" w:rsidP="00406726">
      <w:pPr>
        <w:pStyle w:val="Odstavecseseznamem"/>
        <w:numPr>
          <w:ilvl w:val="0"/>
          <w:numId w:val="19"/>
        </w:numPr>
        <w:spacing w:after="240" w:line="240" w:lineRule="auto"/>
        <w:ind w:left="709"/>
        <w:contextualSpacing w:val="0"/>
        <w:jc w:val="both"/>
        <w:rPr>
          <w:sz w:val="24"/>
          <w:szCs w:val="24"/>
        </w:rPr>
      </w:pPr>
      <w:r>
        <w:rPr>
          <w:sz w:val="24"/>
          <w:szCs w:val="24"/>
        </w:rPr>
        <w:t xml:space="preserve">V systému výběru projektů </w:t>
      </w:r>
      <w:r w:rsidRPr="00FE4915">
        <w:rPr>
          <w:i/>
          <w:sz w:val="24"/>
          <w:szCs w:val="24"/>
        </w:rPr>
        <w:t>P</w:t>
      </w:r>
      <w:r w:rsidR="0034720A" w:rsidRPr="00FE4915">
        <w:rPr>
          <w:i/>
          <w:sz w:val="24"/>
          <w:szCs w:val="24"/>
        </w:rPr>
        <w:t xml:space="preserve">rogramu </w:t>
      </w:r>
      <w:r w:rsidR="000A73BE" w:rsidRPr="00FE4915">
        <w:rPr>
          <w:i/>
          <w:sz w:val="24"/>
          <w:szCs w:val="24"/>
        </w:rPr>
        <w:t>bezpečnostního výzkumu</w:t>
      </w:r>
      <w:r w:rsidR="0034720A" w:rsidRPr="00FE4915">
        <w:rPr>
          <w:i/>
          <w:sz w:val="24"/>
          <w:szCs w:val="24"/>
        </w:rPr>
        <w:t xml:space="preserve"> pro potřeby státu</w:t>
      </w:r>
      <w:r w:rsidR="00BF7267">
        <w:rPr>
          <w:i/>
          <w:sz w:val="24"/>
          <w:szCs w:val="24"/>
        </w:rPr>
        <w:t xml:space="preserve"> </w:t>
      </w:r>
      <w:r w:rsidR="00307A7D">
        <w:rPr>
          <w:i/>
          <w:sz w:val="24"/>
          <w:szCs w:val="24"/>
        </w:rPr>
        <w:br/>
      </w:r>
      <w:r w:rsidR="00BF7267">
        <w:rPr>
          <w:i/>
          <w:sz w:val="24"/>
          <w:szCs w:val="24"/>
        </w:rPr>
        <w:t>na období 2016–</w:t>
      </w:r>
      <w:r>
        <w:rPr>
          <w:i/>
          <w:sz w:val="24"/>
          <w:szCs w:val="24"/>
        </w:rPr>
        <w:t>2021</w:t>
      </w:r>
      <w:r>
        <w:rPr>
          <w:sz w:val="24"/>
          <w:szCs w:val="24"/>
        </w:rPr>
        <w:t xml:space="preserve"> (a případného navazujícího programu)</w:t>
      </w:r>
      <w:r w:rsidR="0034720A" w:rsidRPr="00FE4915" w:rsidDel="000E4691">
        <w:rPr>
          <w:i/>
          <w:sz w:val="24"/>
          <w:szCs w:val="24"/>
        </w:rPr>
        <w:t xml:space="preserve"> </w:t>
      </w:r>
      <w:r w:rsidR="0034720A">
        <w:rPr>
          <w:sz w:val="24"/>
          <w:szCs w:val="24"/>
        </w:rPr>
        <w:t xml:space="preserve">stanovit povinnost, aby </w:t>
      </w:r>
      <w:r w:rsidR="0054632E">
        <w:rPr>
          <w:sz w:val="24"/>
          <w:szCs w:val="24"/>
        </w:rPr>
        <w:t xml:space="preserve">předkladatel (orgán státní správy) v </w:t>
      </w:r>
      <w:r w:rsidR="0034720A">
        <w:rPr>
          <w:sz w:val="24"/>
          <w:szCs w:val="24"/>
        </w:rPr>
        <w:t>žádost</w:t>
      </w:r>
      <w:r w:rsidR="0054632E">
        <w:rPr>
          <w:sz w:val="24"/>
          <w:szCs w:val="24"/>
        </w:rPr>
        <w:t>i</w:t>
      </w:r>
      <w:r w:rsidR="0034720A">
        <w:rPr>
          <w:sz w:val="24"/>
          <w:szCs w:val="24"/>
        </w:rPr>
        <w:t xml:space="preserve"> o podporu </w:t>
      </w:r>
      <w:r w:rsidR="00A34548">
        <w:rPr>
          <w:sz w:val="24"/>
          <w:szCs w:val="24"/>
        </w:rPr>
        <w:t>potvrdil</w:t>
      </w:r>
      <w:r w:rsidR="0034720A">
        <w:rPr>
          <w:sz w:val="24"/>
          <w:szCs w:val="24"/>
        </w:rPr>
        <w:t>, že obdobný výzkum není jiným způsobem financován z prostředků státního rozpočtu a</w:t>
      </w:r>
      <w:r w:rsidR="00440775">
        <w:rPr>
          <w:sz w:val="24"/>
          <w:szCs w:val="24"/>
        </w:rPr>
        <w:t> </w:t>
      </w:r>
      <w:r w:rsidR="0034720A">
        <w:rPr>
          <w:sz w:val="24"/>
          <w:szCs w:val="24"/>
        </w:rPr>
        <w:t xml:space="preserve">očekávané výsledky již neexistují jako výsledek jiného výzkumu. </w:t>
      </w:r>
    </w:p>
    <w:p w14:paraId="17E6E4DA" w14:textId="7972A783" w:rsidR="0034720A" w:rsidRPr="00253011" w:rsidRDefault="0034720A" w:rsidP="00406726">
      <w:pPr>
        <w:pStyle w:val="Odstavecseseznamem"/>
        <w:numPr>
          <w:ilvl w:val="0"/>
          <w:numId w:val="19"/>
        </w:numPr>
        <w:spacing w:after="240" w:line="240" w:lineRule="auto"/>
        <w:ind w:left="709"/>
        <w:contextualSpacing w:val="0"/>
        <w:jc w:val="both"/>
        <w:rPr>
          <w:sz w:val="24"/>
          <w:szCs w:val="24"/>
        </w:rPr>
      </w:pPr>
      <w:r>
        <w:rPr>
          <w:sz w:val="24"/>
          <w:szCs w:val="24"/>
        </w:rPr>
        <w:t>Důsledně provádět průběžné kontroly projektů</w:t>
      </w:r>
      <w:r w:rsidR="00614817">
        <w:rPr>
          <w:sz w:val="24"/>
          <w:szCs w:val="24"/>
        </w:rPr>
        <w:t xml:space="preserve"> </w:t>
      </w:r>
      <w:r>
        <w:rPr>
          <w:sz w:val="24"/>
          <w:szCs w:val="24"/>
        </w:rPr>
        <w:t>se zaměřením na hodnocení, zda projekt dosáhne požadovaných a jedinečných výsledků uvedených ve smluvním dokumentu. V případech, že tomu tak není a je n</w:t>
      </w:r>
      <w:r w:rsidR="00FE4915">
        <w:rPr>
          <w:sz w:val="24"/>
          <w:szCs w:val="24"/>
        </w:rPr>
        <w:t>avíc zřejmé, že příjemci</w:t>
      </w:r>
      <w:r>
        <w:rPr>
          <w:sz w:val="24"/>
          <w:szCs w:val="24"/>
        </w:rPr>
        <w:t xml:space="preserve"> měla být tato skutečnost známa již před uzavřením smlouvy o poskytnutí účelové podpory, odstoupit od smlouvy a požadovat vrácení již poskytnutých prostředků.</w:t>
      </w:r>
    </w:p>
    <w:p w14:paraId="0FE63DEA" w14:textId="77777777" w:rsidR="00B47D21" w:rsidRDefault="00B47D21" w:rsidP="00B47D21">
      <w:pPr>
        <w:spacing w:after="0" w:line="240" w:lineRule="auto"/>
        <w:rPr>
          <w:sz w:val="24"/>
          <w:szCs w:val="32"/>
        </w:rPr>
      </w:pPr>
    </w:p>
    <w:p w14:paraId="0EE1EEC3" w14:textId="77777777" w:rsidR="00154EC7" w:rsidRPr="0094551B" w:rsidRDefault="00154EC7" w:rsidP="00B47D21">
      <w:pPr>
        <w:spacing w:after="0" w:line="240" w:lineRule="auto"/>
        <w:rPr>
          <w:sz w:val="24"/>
          <w:szCs w:val="32"/>
        </w:rPr>
      </w:pPr>
    </w:p>
    <w:p w14:paraId="0C915D86" w14:textId="77777777" w:rsidR="00785F12" w:rsidRPr="002647D6" w:rsidRDefault="002647D6" w:rsidP="002A4E5F">
      <w:pPr>
        <w:spacing w:after="0" w:line="240" w:lineRule="auto"/>
        <w:ind w:left="357"/>
        <w:jc w:val="center"/>
        <w:rPr>
          <w:b/>
          <w:sz w:val="28"/>
          <w:szCs w:val="32"/>
        </w:rPr>
      </w:pPr>
      <w:r>
        <w:rPr>
          <w:b/>
          <w:sz w:val="28"/>
          <w:szCs w:val="32"/>
        </w:rPr>
        <w:t xml:space="preserve">II. </w:t>
      </w:r>
      <w:r w:rsidR="00785F12" w:rsidRPr="002647D6">
        <w:rPr>
          <w:b/>
          <w:sz w:val="28"/>
          <w:szCs w:val="32"/>
        </w:rPr>
        <w:t>Informace o kontrolované oblasti</w:t>
      </w:r>
    </w:p>
    <w:p w14:paraId="3FBD9760" w14:textId="77777777" w:rsidR="002647D6" w:rsidRDefault="002647D6" w:rsidP="002647D6">
      <w:pPr>
        <w:spacing w:after="0" w:line="240" w:lineRule="auto"/>
        <w:rPr>
          <w:sz w:val="24"/>
          <w:szCs w:val="32"/>
        </w:rPr>
      </w:pPr>
    </w:p>
    <w:p w14:paraId="67651278" w14:textId="0FD9125D" w:rsidR="00785F12" w:rsidRDefault="00785F12" w:rsidP="002647D6">
      <w:pPr>
        <w:spacing w:after="0" w:line="240" w:lineRule="auto"/>
        <w:jc w:val="both"/>
        <w:rPr>
          <w:rFonts w:cstheme="minorHAnsi"/>
          <w:sz w:val="24"/>
          <w:szCs w:val="24"/>
        </w:rPr>
      </w:pPr>
      <w:r>
        <w:rPr>
          <w:rFonts w:cstheme="minorHAnsi"/>
          <w:sz w:val="24"/>
          <w:szCs w:val="24"/>
          <w:shd w:val="clear" w:color="auto" w:fill="FFFFFF"/>
        </w:rPr>
        <w:t>2.1</w:t>
      </w:r>
      <w:r w:rsidR="002A4E5F">
        <w:rPr>
          <w:rFonts w:cstheme="minorHAnsi"/>
          <w:sz w:val="24"/>
          <w:szCs w:val="24"/>
          <w:shd w:val="clear" w:color="auto" w:fill="FFFFFF"/>
        </w:rPr>
        <w:t xml:space="preserve"> </w:t>
      </w:r>
      <w:r>
        <w:rPr>
          <w:rFonts w:cstheme="minorHAnsi"/>
          <w:sz w:val="24"/>
          <w:szCs w:val="24"/>
        </w:rPr>
        <w:t>Hlavním smyslem</w:t>
      </w:r>
      <w:r w:rsidRPr="00305168">
        <w:rPr>
          <w:rFonts w:cstheme="minorHAnsi"/>
          <w:sz w:val="24"/>
          <w:szCs w:val="24"/>
        </w:rPr>
        <w:t xml:space="preserve"> státní podpory v oblasti bezpečnostního výzkumu, experimentálního vývoje a inovací je získávat a rozvíjet inovativní znalosti, metody a technologie umožňující reagovat na výzvy bezpečnostního prostředí. </w:t>
      </w:r>
      <w:r>
        <w:rPr>
          <w:rFonts w:cstheme="minorHAnsi"/>
          <w:sz w:val="24"/>
          <w:szCs w:val="24"/>
          <w:shd w:val="clear" w:color="auto" w:fill="FFFFFF"/>
        </w:rPr>
        <w:t>G</w:t>
      </w:r>
      <w:r w:rsidRPr="00FA66BE">
        <w:rPr>
          <w:rFonts w:cstheme="minorHAnsi"/>
          <w:sz w:val="24"/>
          <w:szCs w:val="24"/>
          <w:shd w:val="clear" w:color="auto" w:fill="FFFFFF"/>
        </w:rPr>
        <w:t>estorem bezpečnostního výzkumu</w:t>
      </w:r>
      <w:r w:rsidRPr="00FA66BE">
        <w:rPr>
          <w:rFonts w:cstheme="minorHAnsi"/>
          <w:sz w:val="24"/>
          <w:szCs w:val="24"/>
        </w:rPr>
        <w:t xml:space="preserve"> (dále také „BV“)</w:t>
      </w:r>
      <w:r>
        <w:rPr>
          <w:rFonts w:cstheme="minorHAnsi"/>
          <w:sz w:val="24"/>
          <w:szCs w:val="24"/>
        </w:rPr>
        <w:t xml:space="preserve"> je MV. To je také nejvýznamnějším poskytovatelem podpory z jím spravované kapitoly státního rozpočtu, a to formou institucionální a účelové podpory BV.</w:t>
      </w:r>
    </w:p>
    <w:p w14:paraId="2B826235" w14:textId="77777777" w:rsidR="002A4E5F" w:rsidRDefault="002A4E5F" w:rsidP="002A4E5F">
      <w:pPr>
        <w:spacing w:after="0" w:line="240" w:lineRule="auto"/>
        <w:rPr>
          <w:sz w:val="24"/>
          <w:szCs w:val="32"/>
        </w:rPr>
      </w:pPr>
    </w:p>
    <w:p w14:paraId="43FE5236" w14:textId="6F81A14F" w:rsidR="00785F12" w:rsidRDefault="00785F12" w:rsidP="002647D6">
      <w:pPr>
        <w:spacing w:after="0" w:line="240" w:lineRule="auto"/>
        <w:jc w:val="both"/>
        <w:rPr>
          <w:rFonts w:cstheme="minorHAnsi"/>
          <w:sz w:val="24"/>
          <w:szCs w:val="24"/>
        </w:rPr>
      </w:pPr>
      <w:r>
        <w:rPr>
          <w:rFonts w:cstheme="minorHAnsi"/>
          <w:sz w:val="24"/>
          <w:szCs w:val="24"/>
        </w:rPr>
        <w:t>2.2</w:t>
      </w:r>
      <w:r w:rsidR="002A4E5F">
        <w:rPr>
          <w:rFonts w:cstheme="minorHAnsi"/>
          <w:sz w:val="24"/>
          <w:szCs w:val="24"/>
        </w:rPr>
        <w:t xml:space="preserve"> </w:t>
      </w:r>
      <w:r>
        <w:rPr>
          <w:rFonts w:cstheme="minorHAnsi"/>
          <w:sz w:val="24"/>
          <w:szCs w:val="24"/>
        </w:rPr>
        <w:t>Základní právní</w:t>
      </w:r>
      <w:r w:rsidRPr="00424121">
        <w:rPr>
          <w:rFonts w:cstheme="minorHAnsi"/>
          <w:sz w:val="24"/>
          <w:szCs w:val="24"/>
        </w:rPr>
        <w:t xml:space="preserve"> </w:t>
      </w:r>
      <w:r>
        <w:rPr>
          <w:rFonts w:cstheme="minorHAnsi"/>
          <w:sz w:val="24"/>
          <w:szCs w:val="24"/>
        </w:rPr>
        <w:t>úpravou BV</w:t>
      </w:r>
      <w:r w:rsidRPr="00424121">
        <w:rPr>
          <w:rFonts w:cstheme="minorHAnsi"/>
          <w:sz w:val="24"/>
          <w:szCs w:val="24"/>
        </w:rPr>
        <w:t xml:space="preserve"> je </w:t>
      </w:r>
      <w:r w:rsidRPr="00424121">
        <w:rPr>
          <w:rFonts w:cstheme="minorHAnsi"/>
          <w:color w:val="000000" w:themeColor="text1"/>
          <w:sz w:val="24"/>
          <w:szCs w:val="24"/>
        </w:rPr>
        <w:t>zákon č. 130/2002</w:t>
      </w:r>
      <w:r w:rsidRPr="00F04BDE">
        <w:rPr>
          <w:rFonts w:cstheme="minorHAnsi"/>
          <w:color w:val="000000" w:themeColor="text1"/>
          <w:sz w:val="24"/>
          <w:szCs w:val="24"/>
        </w:rPr>
        <w:t xml:space="preserve"> </w:t>
      </w:r>
      <w:r w:rsidRPr="00F04BDE">
        <w:rPr>
          <w:rFonts w:ascii="Calibri" w:hAnsi="Calibri" w:cs="Calibri"/>
          <w:color w:val="000000"/>
          <w:sz w:val="24"/>
          <w:szCs w:val="24"/>
          <w:lang w:eastAsia="cs-CZ"/>
        </w:rPr>
        <w:t>Sb</w:t>
      </w:r>
      <w:r w:rsidRPr="000D52EA">
        <w:rPr>
          <w:rFonts w:ascii="Calibri" w:hAnsi="Calibri" w:cs="Calibri"/>
          <w:color w:val="000000"/>
          <w:lang w:eastAsia="cs-CZ"/>
        </w:rPr>
        <w:t>.</w:t>
      </w:r>
      <w:r w:rsidRPr="000D52EA">
        <w:rPr>
          <w:rFonts w:ascii="Calibri" w:hAnsi="Calibri" w:cs="Calibri"/>
          <w:color w:val="000000"/>
          <w:vertAlign w:val="superscript"/>
          <w:lang w:eastAsia="cs-CZ"/>
        </w:rPr>
        <w:footnoteReference w:id="4"/>
      </w:r>
      <w:r w:rsidRPr="00FA66BE">
        <w:rPr>
          <w:rFonts w:cstheme="minorHAnsi"/>
          <w:sz w:val="24"/>
          <w:szCs w:val="24"/>
          <w:shd w:val="clear" w:color="auto" w:fill="FFFFFF"/>
        </w:rPr>
        <w:t xml:space="preserve"> </w:t>
      </w:r>
      <w:r>
        <w:rPr>
          <w:rFonts w:cstheme="minorHAnsi"/>
          <w:sz w:val="24"/>
          <w:szCs w:val="24"/>
        </w:rPr>
        <w:t>BV</w:t>
      </w:r>
      <w:r w:rsidRPr="00424121">
        <w:rPr>
          <w:rFonts w:cstheme="minorHAnsi"/>
          <w:sz w:val="24"/>
          <w:szCs w:val="24"/>
        </w:rPr>
        <w:t xml:space="preserve"> </w:t>
      </w:r>
      <w:r>
        <w:rPr>
          <w:rFonts w:cstheme="minorHAnsi"/>
          <w:sz w:val="24"/>
          <w:szCs w:val="24"/>
        </w:rPr>
        <w:t xml:space="preserve">zároveň vychází ze </w:t>
      </w:r>
      <w:r w:rsidRPr="00424121">
        <w:rPr>
          <w:rFonts w:cstheme="minorHAnsi"/>
          <w:sz w:val="24"/>
          <w:szCs w:val="24"/>
        </w:rPr>
        <w:t>strategick</w:t>
      </w:r>
      <w:r>
        <w:rPr>
          <w:rFonts w:cstheme="minorHAnsi"/>
          <w:sz w:val="24"/>
          <w:szCs w:val="24"/>
        </w:rPr>
        <w:t>ých</w:t>
      </w:r>
      <w:r w:rsidRPr="00424121">
        <w:rPr>
          <w:rFonts w:cstheme="minorHAnsi"/>
          <w:sz w:val="24"/>
          <w:szCs w:val="24"/>
        </w:rPr>
        <w:t xml:space="preserve"> dokument</w:t>
      </w:r>
      <w:r>
        <w:rPr>
          <w:rFonts w:cstheme="minorHAnsi"/>
          <w:sz w:val="24"/>
          <w:szCs w:val="24"/>
        </w:rPr>
        <w:t>ů schválených vládou</w:t>
      </w:r>
      <w:r w:rsidRPr="00424121">
        <w:rPr>
          <w:rFonts w:cstheme="minorHAnsi"/>
          <w:sz w:val="24"/>
          <w:szCs w:val="24"/>
        </w:rPr>
        <w:t xml:space="preserve"> v</w:t>
      </w:r>
      <w:r>
        <w:rPr>
          <w:rFonts w:cstheme="minorHAnsi"/>
          <w:sz w:val="24"/>
          <w:szCs w:val="24"/>
        </w:rPr>
        <w:t> </w:t>
      </w:r>
      <w:r w:rsidRPr="00424121">
        <w:rPr>
          <w:rFonts w:cstheme="minorHAnsi"/>
          <w:sz w:val="24"/>
          <w:szCs w:val="24"/>
        </w:rPr>
        <w:t>oblast</w:t>
      </w:r>
      <w:r>
        <w:rPr>
          <w:rFonts w:cstheme="minorHAnsi"/>
          <w:sz w:val="24"/>
          <w:szCs w:val="24"/>
        </w:rPr>
        <w:t xml:space="preserve">i výzkumu, vývoje a inovací, kterými jsou především </w:t>
      </w:r>
      <w:r w:rsidRPr="00424121">
        <w:rPr>
          <w:rFonts w:cstheme="minorHAnsi"/>
          <w:i/>
          <w:sz w:val="24"/>
          <w:szCs w:val="24"/>
        </w:rPr>
        <w:t>Národní priority orientovaného výzkumu, experimentálního vývoje a inovací</w:t>
      </w:r>
      <w:r w:rsidRPr="00424121">
        <w:rPr>
          <w:rFonts w:cstheme="minorHAnsi"/>
          <w:sz w:val="24"/>
          <w:szCs w:val="24"/>
        </w:rPr>
        <w:t xml:space="preserve"> (dále také „Priority </w:t>
      </w:r>
      <w:proofErr w:type="spellStart"/>
      <w:r w:rsidRPr="00424121">
        <w:rPr>
          <w:rFonts w:cstheme="minorHAnsi"/>
          <w:sz w:val="24"/>
          <w:szCs w:val="24"/>
        </w:rPr>
        <w:t>VaVaI</w:t>
      </w:r>
      <w:proofErr w:type="spellEnd"/>
      <w:r w:rsidRPr="00424121">
        <w:rPr>
          <w:rFonts w:cstheme="minorHAnsi"/>
          <w:sz w:val="24"/>
          <w:szCs w:val="24"/>
        </w:rPr>
        <w:t>“)</w:t>
      </w:r>
      <w:r>
        <w:rPr>
          <w:rStyle w:val="Znakapoznpodarou"/>
          <w:rFonts w:cstheme="minorHAnsi"/>
          <w:sz w:val="24"/>
          <w:szCs w:val="24"/>
        </w:rPr>
        <w:footnoteReference w:id="5"/>
      </w:r>
      <w:r>
        <w:rPr>
          <w:rFonts w:cstheme="minorHAnsi"/>
          <w:sz w:val="24"/>
          <w:szCs w:val="24"/>
        </w:rPr>
        <w:t xml:space="preserve"> </w:t>
      </w:r>
      <w:r w:rsidRPr="008C3186">
        <w:rPr>
          <w:rFonts w:cstheme="minorHAnsi"/>
          <w:sz w:val="24"/>
          <w:szCs w:val="24"/>
        </w:rPr>
        <w:t xml:space="preserve">a </w:t>
      </w:r>
      <w:hyperlink r:id="rId10" w:tooltip="Meziresortní koncepce podpory bezpečnostního výzkumu ČR" w:history="1">
        <w:r w:rsidRPr="008C3186">
          <w:rPr>
            <w:rStyle w:val="Hypertextovodkaz"/>
            <w:rFonts w:cstheme="minorHAnsi"/>
            <w:bCs/>
            <w:i/>
            <w:color w:val="auto"/>
            <w:sz w:val="24"/>
            <w:szCs w:val="24"/>
            <w:u w:val="none"/>
          </w:rPr>
          <w:t>Meziresortní koncepce podpory bezpečnostního výzkumu ČR</w:t>
        </w:r>
        <w:r w:rsidR="002A4E5F">
          <w:rPr>
            <w:rStyle w:val="Hypertextovodkaz"/>
            <w:rFonts w:cstheme="minorHAnsi"/>
            <w:bCs/>
            <w:i/>
            <w:color w:val="auto"/>
            <w:sz w:val="24"/>
            <w:szCs w:val="24"/>
            <w:u w:val="none"/>
          </w:rPr>
          <w:t xml:space="preserve"> </w:t>
        </w:r>
        <w:r w:rsidR="00BF7267">
          <w:rPr>
            <w:rStyle w:val="Hypertextovodkaz"/>
            <w:rFonts w:cstheme="minorHAnsi"/>
            <w:bCs/>
            <w:i/>
            <w:color w:val="auto"/>
            <w:sz w:val="24"/>
            <w:szCs w:val="24"/>
            <w:u w:val="none"/>
          </w:rPr>
          <w:t>2017–</w:t>
        </w:r>
        <w:r w:rsidRPr="008C3186">
          <w:rPr>
            <w:rStyle w:val="Hypertextovodkaz"/>
            <w:rFonts w:cstheme="minorHAnsi"/>
            <w:bCs/>
            <w:i/>
            <w:color w:val="auto"/>
            <w:sz w:val="24"/>
            <w:szCs w:val="24"/>
            <w:u w:val="none"/>
          </w:rPr>
          <w:t xml:space="preserve">2023 </w:t>
        </w:r>
        <w:r w:rsidRPr="008C3186">
          <w:rPr>
            <w:rStyle w:val="Hypertextovodkaz"/>
            <w:rFonts w:cstheme="minorHAnsi"/>
            <w:bCs/>
            <w:i/>
            <w:color w:val="auto"/>
            <w:sz w:val="24"/>
            <w:szCs w:val="24"/>
            <w:u w:val="none"/>
          </w:rPr>
          <w:lastRenderedPageBreak/>
          <w:t>s výhledem do roku 2030</w:t>
        </w:r>
      </w:hyperlink>
      <w:r>
        <w:rPr>
          <w:rFonts w:ascii="Calibri" w:hAnsi="Calibri" w:cs="Calibri"/>
          <w:color w:val="000000"/>
          <w:vertAlign w:val="superscript"/>
          <w:lang w:eastAsia="cs-CZ"/>
        </w:rPr>
        <w:footnoteReference w:id="6"/>
      </w:r>
      <w:r w:rsidRPr="008C3186">
        <w:rPr>
          <w:rStyle w:val="Hypertextovodkaz"/>
          <w:rFonts w:cstheme="minorHAnsi"/>
          <w:bCs/>
          <w:i/>
          <w:color w:val="auto"/>
          <w:sz w:val="24"/>
          <w:szCs w:val="24"/>
          <w:u w:val="none"/>
        </w:rPr>
        <w:t xml:space="preserve"> </w:t>
      </w:r>
      <w:r w:rsidRPr="008C3186">
        <w:rPr>
          <w:rStyle w:val="Hypertextovodkaz"/>
          <w:rFonts w:cstheme="minorHAnsi"/>
          <w:bCs/>
          <w:color w:val="auto"/>
          <w:sz w:val="24"/>
          <w:szCs w:val="24"/>
          <w:u w:val="none"/>
        </w:rPr>
        <w:t>(dále také „MKBV2017+“)</w:t>
      </w:r>
      <w:r w:rsidRPr="008C3186">
        <w:rPr>
          <w:rFonts w:cstheme="minorHAnsi"/>
          <w:sz w:val="24"/>
          <w:szCs w:val="24"/>
        </w:rPr>
        <w:t xml:space="preserve">. Prioritní oblast 6 </w:t>
      </w:r>
      <w:r w:rsidR="000E5C67">
        <w:rPr>
          <w:rFonts w:cstheme="minorHAnsi"/>
          <w:sz w:val="24"/>
          <w:szCs w:val="24"/>
        </w:rPr>
        <w:t>–</w:t>
      </w:r>
      <w:r>
        <w:rPr>
          <w:rFonts w:cstheme="minorHAnsi"/>
          <w:sz w:val="24"/>
          <w:szCs w:val="24"/>
        </w:rPr>
        <w:t xml:space="preserve"> </w:t>
      </w:r>
      <w:r w:rsidRPr="00775955">
        <w:rPr>
          <w:rFonts w:cstheme="minorHAnsi"/>
          <w:i/>
          <w:sz w:val="24"/>
          <w:szCs w:val="24"/>
        </w:rPr>
        <w:t>Bezpečná společnost</w:t>
      </w:r>
      <w:r w:rsidRPr="008C3186">
        <w:rPr>
          <w:rFonts w:cstheme="minorHAnsi"/>
          <w:sz w:val="24"/>
          <w:szCs w:val="24"/>
        </w:rPr>
        <w:t xml:space="preserve"> Priorit </w:t>
      </w:r>
      <w:proofErr w:type="spellStart"/>
      <w:r w:rsidRPr="008C3186">
        <w:rPr>
          <w:rFonts w:cstheme="minorHAnsi"/>
          <w:sz w:val="24"/>
          <w:szCs w:val="24"/>
        </w:rPr>
        <w:t>VaVaI</w:t>
      </w:r>
      <w:proofErr w:type="spellEnd"/>
      <w:r>
        <w:rPr>
          <w:rFonts w:cstheme="minorHAnsi"/>
          <w:sz w:val="24"/>
          <w:szCs w:val="24"/>
        </w:rPr>
        <w:t>, týkající se kontrolované problematiky,</w:t>
      </w:r>
      <w:r w:rsidRPr="008C3186">
        <w:rPr>
          <w:rFonts w:cstheme="minorHAnsi"/>
          <w:sz w:val="24"/>
          <w:szCs w:val="24"/>
        </w:rPr>
        <w:t xml:space="preserve"> vymez</w:t>
      </w:r>
      <w:r>
        <w:rPr>
          <w:rFonts w:cstheme="minorHAnsi"/>
          <w:sz w:val="24"/>
          <w:szCs w:val="24"/>
        </w:rPr>
        <w:t>uje</w:t>
      </w:r>
      <w:r w:rsidRPr="008C3186">
        <w:rPr>
          <w:rFonts w:cstheme="minorHAnsi"/>
          <w:sz w:val="24"/>
          <w:szCs w:val="24"/>
        </w:rPr>
        <w:t xml:space="preserve"> čtyři oblasti podpory</w:t>
      </w:r>
      <w:r>
        <w:rPr>
          <w:rFonts w:cstheme="minorHAnsi"/>
          <w:sz w:val="24"/>
          <w:szCs w:val="24"/>
        </w:rPr>
        <w:t>:</w:t>
      </w:r>
    </w:p>
    <w:p w14:paraId="0EA4BBFC" w14:textId="77777777" w:rsidR="00785F12" w:rsidRPr="00AB1EA0" w:rsidRDefault="00785F12" w:rsidP="00F06D40">
      <w:pPr>
        <w:pStyle w:val="Odstavecseseznamem"/>
        <w:numPr>
          <w:ilvl w:val="0"/>
          <w:numId w:val="11"/>
        </w:numPr>
        <w:spacing w:after="0" w:line="240" w:lineRule="auto"/>
        <w:ind w:left="284" w:hanging="284"/>
        <w:contextualSpacing w:val="0"/>
        <w:jc w:val="both"/>
        <w:rPr>
          <w:rFonts w:cstheme="minorHAnsi"/>
          <w:sz w:val="24"/>
          <w:szCs w:val="24"/>
        </w:rPr>
      </w:pPr>
      <w:r w:rsidRPr="008A6560">
        <w:rPr>
          <w:rFonts w:cstheme="minorHAnsi"/>
          <w:i/>
          <w:sz w:val="24"/>
          <w:szCs w:val="24"/>
        </w:rPr>
        <w:t>Bezpečnost občanů</w:t>
      </w:r>
      <w:r w:rsidRPr="00AB1EA0">
        <w:rPr>
          <w:rFonts w:cstheme="minorHAnsi"/>
          <w:sz w:val="24"/>
          <w:szCs w:val="24"/>
        </w:rPr>
        <w:t xml:space="preserve">; </w:t>
      </w:r>
    </w:p>
    <w:p w14:paraId="60CC6845" w14:textId="77777777" w:rsidR="00785F12" w:rsidRPr="00AB1EA0" w:rsidRDefault="00785F12" w:rsidP="00F06D40">
      <w:pPr>
        <w:pStyle w:val="Odstavecseseznamem"/>
        <w:numPr>
          <w:ilvl w:val="0"/>
          <w:numId w:val="11"/>
        </w:numPr>
        <w:spacing w:after="0" w:line="240" w:lineRule="auto"/>
        <w:ind w:left="284" w:hanging="284"/>
        <w:contextualSpacing w:val="0"/>
        <w:jc w:val="both"/>
        <w:rPr>
          <w:rFonts w:cstheme="minorHAnsi"/>
          <w:sz w:val="24"/>
          <w:szCs w:val="24"/>
        </w:rPr>
      </w:pPr>
      <w:r w:rsidRPr="008A6560">
        <w:rPr>
          <w:rFonts w:cstheme="minorHAnsi"/>
          <w:i/>
          <w:sz w:val="24"/>
          <w:szCs w:val="24"/>
        </w:rPr>
        <w:t>Bezpečnost kritických infrastruktur a zdrojů</w:t>
      </w:r>
      <w:r w:rsidRPr="00AB1EA0">
        <w:rPr>
          <w:rFonts w:cstheme="minorHAnsi"/>
          <w:sz w:val="24"/>
          <w:szCs w:val="24"/>
        </w:rPr>
        <w:t xml:space="preserve">; </w:t>
      </w:r>
    </w:p>
    <w:p w14:paraId="1CC901F9" w14:textId="77777777" w:rsidR="00785F12" w:rsidRPr="00AB1EA0" w:rsidRDefault="00785F12" w:rsidP="00F06D40">
      <w:pPr>
        <w:pStyle w:val="Odstavecseseznamem"/>
        <w:numPr>
          <w:ilvl w:val="0"/>
          <w:numId w:val="11"/>
        </w:numPr>
        <w:spacing w:after="0" w:line="240" w:lineRule="auto"/>
        <w:ind w:left="284" w:hanging="284"/>
        <w:contextualSpacing w:val="0"/>
        <w:jc w:val="both"/>
        <w:rPr>
          <w:rFonts w:cstheme="minorHAnsi"/>
          <w:sz w:val="24"/>
          <w:szCs w:val="24"/>
        </w:rPr>
      </w:pPr>
      <w:r w:rsidRPr="008A6560">
        <w:rPr>
          <w:rFonts w:cstheme="minorHAnsi"/>
          <w:i/>
          <w:sz w:val="24"/>
          <w:szCs w:val="24"/>
        </w:rPr>
        <w:t>Krizové řízení a bezpečnostní politika</w:t>
      </w:r>
      <w:r w:rsidRPr="00AB1EA0">
        <w:rPr>
          <w:rFonts w:cstheme="minorHAnsi"/>
          <w:sz w:val="24"/>
          <w:szCs w:val="24"/>
        </w:rPr>
        <w:t>;</w:t>
      </w:r>
    </w:p>
    <w:p w14:paraId="665D7E4D" w14:textId="77777777" w:rsidR="00785F12" w:rsidRPr="00AB1EA0" w:rsidRDefault="00785F12" w:rsidP="00F06D40">
      <w:pPr>
        <w:pStyle w:val="Odstavecseseznamem"/>
        <w:numPr>
          <w:ilvl w:val="0"/>
          <w:numId w:val="11"/>
        </w:numPr>
        <w:spacing w:after="0" w:line="240" w:lineRule="auto"/>
        <w:ind w:left="284" w:hanging="284"/>
        <w:contextualSpacing w:val="0"/>
        <w:jc w:val="both"/>
        <w:rPr>
          <w:rFonts w:cstheme="minorHAnsi"/>
        </w:rPr>
      </w:pPr>
      <w:r w:rsidRPr="008A6560">
        <w:rPr>
          <w:rFonts w:cstheme="minorHAnsi"/>
          <w:i/>
          <w:sz w:val="24"/>
          <w:szCs w:val="24"/>
        </w:rPr>
        <w:t>Obrana, obranyschopnost a nasazení ozbrojených sil</w:t>
      </w:r>
      <w:r>
        <w:rPr>
          <w:rStyle w:val="Znakapoznpodarou"/>
          <w:rFonts w:cstheme="minorHAnsi"/>
          <w:sz w:val="24"/>
          <w:szCs w:val="24"/>
        </w:rPr>
        <w:footnoteReference w:id="7"/>
      </w:r>
      <w:r w:rsidRPr="00AB1EA0">
        <w:rPr>
          <w:rFonts w:cstheme="minorHAnsi"/>
          <w:sz w:val="24"/>
          <w:szCs w:val="24"/>
        </w:rPr>
        <w:t>.</w:t>
      </w:r>
      <w:r w:rsidRPr="00AB1EA0">
        <w:rPr>
          <w:rFonts w:cstheme="minorHAnsi"/>
        </w:rPr>
        <w:t xml:space="preserve"> </w:t>
      </w:r>
    </w:p>
    <w:p w14:paraId="2BC34FCD" w14:textId="77777777" w:rsidR="002A4E5F" w:rsidRDefault="002A4E5F" w:rsidP="002647D6">
      <w:pPr>
        <w:spacing w:after="0" w:line="240" w:lineRule="auto"/>
        <w:jc w:val="both"/>
        <w:rPr>
          <w:rFonts w:cstheme="minorHAnsi"/>
          <w:sz w:val="24"/>
          <w:szCs w:val="24"/>
        </w:rPr>
      </w:pPr>
    </w:p>
    <w:p w14:paraId="7ED940AA" w14:textId="77777777" w:rsidR="00785F12" w:rsidRPr="001927AB" w:rsidRDefault="00785F12" w:rsidP="002647D6">
      <w:pPr>
        <w:spacing w:after="0" w:line="240" w:lineRule="auto"/>
        <w:jc w:val="both"/>
        <w:rPr>
          <w:rFonts w:cstheme="minorHAnsi"/>
        </w:rPr>
      </w:pPr>
      <w:r w:rsidRPr="006C6C77">
        <w:rPr>
          <w:rFonts w:cstheme="minorHAnsi"/>
          <w:sz w:val="24"/>
          <w:szCs w:val="24"/>
        </w:rPr>
        <w:t>MKBV2017+ stanovuje rámec pro rozvoj systému státní podpory pro BV.</w:t>
      </w:r>
      <w:r w:rsidRPr="001927AB">
        <w:rPr>
          <w:rFonts w:cstheme="minorHAnsi"/>
        </w:rPr>
        <w:t xml:space="preserve"> </w:t>
      </w:r>
    </w:p>
    <w:p w14:paraId="6F92A7C0" w14:textId="77777777" w:rsidR="002A4E5F" w:rsidRDefault="002A4E5F" w:rsidP="002647D6">
      <w:pPr>
        <w:spacing w:after="0" w:line="240" w:lineRule="auto"/>
        <w:jc w:val="both"/>
        <w:rPr>
          <w:rFonts w:cstheme="minorHAnsi"/>
          <w:sz w:val="24"/>
          <w:szCs w:val="24"/>
        </w:rPr>
      </w:pPr>
    </w:p>
    <w:p w14:paraId="683A6377" w14:textId="07C89048" w:rsidR="00785F12" w:rsidRDefault="00785F12" w:rsidP="002647D6">
      <w:pPr>
        <w:spacing w:after="0" w:line="240" w:lineRule="auto"/>
        <w:jc w:val="both"/>
        <w:rPr>
          <w:rFonts w:cstheme="minorHAnsi"/>
          <w:bCs/>
          <w:sz w:val="24"/>
          <w:szCs w:val="24"/>
        </w:rPr>
      </w:pPr>
      <w:r>
        <w:rPr>
          <w:rFonts w:cstheme="minorHAnsi"/>
          <w:sz w:val="24"/>
          <w:szCs w:val="24"/>
        </w:rPr>
        <w:t>2.3</w:t>
      </w:r>
      <w:r w:rsidR="002A4E5F">
        <w:rPr>
          <w:rFonts w:cstheme="minorHAnsi"/>
          <w:sz w:val="24"/>
          <w:szCs w:val="24"/>
        </w:rPr>
        <w:t xml:space="preserve"> </w:t>
      </w:r>
      <w:r w:rsidRPr="00282E4F">
        <w:rPr>
          <w:rFonts w:cstheme="minorHAnsi"/>
          <w:sz w:val="24"/>
          <w:szCs w:val="24"/>
        </w:rPr>
        <w:t xml:space="preserve">Institucionální podpora </w:t>
      </w:r>
      <w:r>
        <w:rPr>
          <w:rFonts w:cstheme="minorHAnsi"/>
          <w:sz w:val="24"/>
          <w:szCs w:val="24"/>
        </w:rPr>
        <w:t xml:space="preserve">BV </w:t>
      </w:r>
      <w:r w:rsidRPr="007D2E10">
        <w:rPr>
          <w:rFonts w:cstheme="minorHAnsi"/>
          <w:sz w:val="24"/>
          <w:szCs w:val="24"/>
        </w:rPr>
        <w:t xml:space="preserve">má za </w:t>
      </w:r>
      <w:r>
        <w:rPr>
          <w:rFonts w:cstheme="minorHAnsi"/>
          <w:sz w:val="24"/>
          <w:szCs w:val="24"/>
        </w:rPr>
        <w:t>cíl</w:t>
      </w:r>
      <w:r w:rsidRPr="007D2E10">
        <w:rPr>
          <w:rFonts w:cstheme="minorHAnsi"/>
          <w:sz w:val="24"/>
          <w:szCs w:val="24"/>
        </w:rPr>
        <w:t xml:space="preserve"> </w:t>
      </w:r>
      <w:r>
        <w:rPr>
          <w:rFonts w:cstheme="minorHAnsi"/>
          <w:sz w:val="24"/>
          <w:szCs w:val="24"/>
        </w:rPr>
        <w:t xml:space="preserve">zajistit </w:t>
      </w:r>
      <w:r w:rsidRPr="007D2E10">
        <w:rPr>
          <w:rFonts w:cstheme="minorHAnsi"/>
          <w:sz w:val="24"/>
          <w:szCs w:val="24"/>
        </w:rPr>
        <w:t>transparentní, stabilní a standardizovaný systém podpůrného financování výzkumných organizací.</w:t>
      </w:r>
      <w:r w:rsidRPr="002352D1">
        <w:rPr>
          <w:rFonts w:cstheme="minorHAnsi"/>
          <w:sz w:val="24"/>
          <w:szCs w:val="24"/>
        </w:rPr>
        <w:t xml:space="preserve"> </w:t>
      </w:r>
      <w:r>
        <w:rPr>
          <w:rFonts w:cstheme="minorHAnsi"/>
          <w:sz w:val="24"/>
          <w:szCs w:val="24"/>
        </w:rPr>
        <w:t>Pod</w:t>
      </w:r>
      <w:r w:rsidRPr="007D2E10">
        <w:rPr>
          <w:rFonts w:cstheme="minorHAnsi"/>
          <w:sz w:val="24"/>
          <w:szCs w:val="24"/>
        </w:rPr>
        <w:t xml:space="preserve">le zákona č. 130/2002 Sb. je poskytována především na </w:t>
      </w:r>
      <w:r w:rsidRPr="007D2E10">
        <w:rPr>
          <w:rFonts w:cstheme="minorHAnsi"/>
          <w:color w:val="000000"/>
          <w:sz w:val="24"/>
          <w:szCs w:val="24"/>
          <w:shd w:val="clear" w:color="auto" w:fill="FFFFFF"/>
        </w:rPr>
        <w:t>dlouhodobý koncepční rozvoj výzkumné organizace na základě zhodnocení jí dosažených výsledků.</w:t>
      </w:r>
      <w:r w:rsidR="00775955">
        <w:rPr>
          <w:rFonts w:cstheme="minorHAnsi"/>
          <w:color w:val="000000"/>
          <w:sz w:val="24"/>
          <w:szCs w:val="24"/>
          <w:shd w:val="clear" w:color="auto" w:fill="FFFFFF"/>
        </w:rPr>
        <w:t xml:space="preserve"> </w:t>
      </w:r>
      <w:r>
        <w:rPr>
          <w:rFonts w:cstheme="minorHAnsi"/>
          <w:bCs/>
          <w:sz w:val="24"/>
          <w:szCs w:val="24"/>
        </w:rPr>
        <w:t>K 31. 12. 2018 poskytovalo</w:t>
      </w:r>
      <w:r w:rsidRPr="00E749EE">
        <w:rPr>
          <w:rFonts w:cstheme="minorHAnsi"/>
          <w:bCs/>
          <w:sz w:val="24"/>
          <w:szCs w:val="24"/>
        </w:rPr>
        <w:t xml:space="preserve"> </w:t>
      </w:r>
      <w:r>
        <w:rPr>
          <w:rFonts w:cstheme="minorHAnsi"/>
          <w:bCs/>
          <w:sz w:val="24"/>
          <w:szCs w:val="24"/>
        </w:rPr>
        <w:t>MV</w:t>
      </w:r>
      <w:r w:rsidRPr="00E749EE">
        <w:rPr>
          <w:rFonts w:cstheme="minorHAnsi"/>
          <w:bCs/>
          <w:sz w:val="24"/>
          <w:szCs w:val="24"/>
        </w:rPr>
        <w:t xml:space="preserve"> </w:t>
      </w:r>
      <w:r>
        <w:rPr>
          <w:rFonts w:cstheme="minorHAnsi"/>
          <w:bCs/>
          <w:sz w:val="24"/>
          <w:szCs w:val="24"/>
        </w:rPr>
        <w:t xml:space="preserve">institucionální podporu osmi </w:t>
      </w:r>
      <w:r w:rsidRPr="00925056">
        <w:rPr>
          <w:rFonts w:cstheme="minorHAnsi"/>
          <w:bCs/>
          <w:sz w:val="24"/>
          <w:szCs w:val="24"/>
        </w:rPr>
        <w:t xml:space="preserve">institucím (jejich přehled je uveden v </w:t>
      </w:r>
      <w:r w:rsidR="00440775">
        <w:rPr>
          <w:rFonts w:cstheme="minorHAnsi"/>
          <w:bCs/>
          <w:sz w:val="24"/>
          <w:szCs w:val="24"/>
        </w:rPr>
        <w:t>p</w:t>
      </w:r>
      <w:r w:rsidRPr="00925056">
        <w:rPr>
          <w:rFonts w:cstheme="minorHAnsi"/>
          <w:bCs/>
          <w:sz w:val="24"/>
          <w:szCs w:val="24"/>
        </w:rPr>
        <w:t>říloze č. 1)</w:t>
      </w:r>
      <w:r w:rsidR="00314BD2" w:rsidRPr="00925056">
        <w:rPr>
          <w:rFonts w:cstheme="minorHAnsi"/>
          <w:bCs/>
          <w:sz w:val="24"/>
          <w:szCs w:val="24"/>
        </w:rPr>
        <w:t>.</w:t>
      </w:r>
    </w:p>
    <w:p w14:paraId="2306A9AB" w14:textId="77777777" w:rsidR="002647D6" w:rsidRDefault="002647D6" w:rsidP="002647D6">
      <w:pPr>
        <w:spacing w:after="0" w:line="240" w:lineRule="auto"/>
        <w:jc w:val="both"/>
        <w:rPr>
          <w:rFonts w:cstheme="minorHAnsi"/>
          <w:sz w:val="24"/>
          <w:szCs w:val="24"/>
        </w:rPr>
      </w:pPr>
    </w:p>
    <w:p w14:paraId="51A7CC01" w14:textId="1004EA2C" w:rsidR="00785F12" w:rsidRPr="008A6560" w:rsidRDefault="00785F12" w:rsidP="00BD78C6">
      <w:pPr>
        <w:keepNext/>
        <w:keepLines/>
        <w:tabs>
          <w:tab w:val="right" w:pos="9072"/>
        </w:tabs>
        <w:spacing w:after="40" w:line="240" w:lineRule="auto"/>
        <w:jc w:val="both"/>
        <w:rPr>
          <w:rFonts w:cstheme="minorHAnsi"/>
          <w:b/>
          <w:color w:val="000000" w:themeColor="text1"/>
          <w:sz w:val="24"/>
          <w:szCs w:val="24"/>
        </w:rPr>
      </w:pPr>
      <w:r w:rsidRPr="008A6560">
        <w:rPr>
          <w:rFonts w:cstheme="minorHAnsi"/>
          <w:b/>
          <w:color w:val="000000" w:themeColor="text1"/>
          <w:sz w:val="24"/>
          <w:szCs w:val="24"/>
        </w:rPr>
        <w:t xml:space="preserve">Tabulka č. 1: Institucionální podpora </w:t>
      </w:r>
      <w:r w:rsidR="00196F11">
        <w:rPr>
          <w:rFonts w:cstheme="minorHAnsi"/>
          <w:b/>
          <w:color w:val="000000" w:themeColor="text1"/>
          <w:sz w:val="24"/>
          <w:szCs w:val="24"/>
        </w:rPr>
        <w:t>–</w:t>
      </w:r>
      <w:r w:rsidR="002A450E" w:rsidRPr="008A6560">
        <w:rPr>
          <w:rFonts w:cstheme="minorHAnsi"/>
          <w:b/>
          <w:color w:val="000000" w:themeColor="text1"/>
          <w:sz w:val="24"/>
          <w:szCs w:val="24"/>
        </w:rPr>
        <w:t xml:space="preserve"> </w:t>
      </w:r>
      <w:r w:rsidR="007E1774" w:rsidRPr="008A6560">
        <w:rPr>
          <w:rFonts w:cstheme="minorHAnsi"/>
          <w:b/>
          <w:color w:val="000000" w:themeColor="text1"/>
          <w:sz w:val="24"/>
          <w:szCs w:val="24"/>
        </w:rPr>
        <w:t>čerpání v letech 2016–</w:t>
      </w:r>
      <w:r w:rsidRPr="008A6560">
        <w:rPr>
          <w:rFonts w:cstheme="minorHAnsi"/>
          <w:b/>
          <w:color w:val="000000" w:themeColor="text1"/>
          <w:sz w:val="24"/>
          <w:szCs w:val="24"/>
        </w:rPr>
        <w:t>2018</w:t>
      </w:r>
      <w:r w:rsidRPr="008A6560">
        <w:rPr>
          <w:rFonts w:cstheme="minorHAnsi"/>
          <w:b/>
          <w:color w:val="000000" w:themeColor="text1"/>
          <w:sz w:val="24"/>
          <w:szCs w:val="24"/>
        </w:rPr>
        <w:tab/>
      </w:r>
      <w:r w:rsidR="00196F11">
        <w:rPr>
          <w:rFonts w:cstheme="minorHAnsi"/>
          <w:b/>
          <w:color w:val="000000" w:themeColor="text1"/>
          <w:sz w:val="24"/>
          <w:szCs w:val="24"/>
        </w:rPr>
        <w:t>(</w:t>
      </w:r>
      <w:r w:rsidRPr="008A6560">
        <w:rPr>
          <w:rFonts w:cstheme="minorHAnsi"/>
          <w:b/>
          <w:color w:val="000000" w:themeColor="text1"/>
          <w:sz w:val="24"/>
          <w:szCs w:val="24"/>
        </w:rPr>
        <w:t>v tis. Kč</w:t>
      </w:r>
      <w:r w:rsidR="00196F11">
        <w:rPr>
          <w:rFonts w:cstheme="minorHAnsi"/>
          <w:b/>
          <w:color w:val="000000" w:themeColor="text1"/>
          <w:sz w:val="24"/>
          <w:szCs w:val="24"/>
        </w:rPr>
        <w:t>)</w:t>
      </w:r>
    </w:p>
    <w:tbl>
      <w:tblPr>
        <w:tblW w:w="9128" w:type="dxa"/>
        <w:jc w:val="center"/>
        <w:tblCellMar>
          <w:left w:w="70" w:type="dxa"/>
          <w:right w:w="70" w:type="dxa"/>
        </w:tblCellMar>
        <w:tblLook w:val="04A0" w:firstRow="1" w:lastRow="0" w:firstColumn="1" w:lastColumn="0" w:noHBand="0" w:noVBand="1"/>
      </w:tblPr>
      <w:tblGrid>
        <w:gridCol w:w="2694"/>
        <w:gridCol w:w="1701"/>
        <w:gridCol w:w="1728"/>
        <w:gridCol w:w="1505"/>
        <w:gridCol w:w="1500"/>
      </w:tblGrid>
      <w:tr w:rsidR="00785F12" w:rsidRPr="002647D6" w14:paraId="44ABC731" w14:textId="77777777" w:rsidTr="002A4E5F">
        <w:trPr>
          <w:trHeight w:val="283"/>
          <w:jc w:val="center"/>
        </w:trPr>
        <w:tc>
          <w:tcPr>
            <w:tcW w:w="269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D4A15C3" w14:textId="77777777" w:rsidR="00785F12" w:rsidRPr="002647D6" w:rsidRDefault="00785F12" w:rsidP="00BD78C6">
            <w:pPr>
              <w:keepNext/>
              <w:keepLines/>
              <w:spacing w:after="0" w:line="240" w:lineRule="auto"/>
              <w:jc w:val="center"/>
              <w:rPr>
                <w:rFonts w:ascii="Calibri" w:eastAsia="Times New Roman" w:hAnsi="Calibri" w:cs="Times New Roman"/>
                <w:color w:val="000000"/>
                <w:sz w:val="20"/>
                <w:szCs w:val="20"/>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E5F1FF"/>
            <w:vAlign w:val="center"/>
          </w:tcPr>
          <w:p w14:paraId="0E3193B0" w14:textId="77777777" w:rsidR="00785F12" w:rsidRPr="002647D6" w:rsidRDefault="00785F12" w:rsidP="00BD78C6">
            <w:pPr>
              <w:keepNext/>
              <w:keepLines/>
              <w:spacing w:after="0" w:line="240" w:lineRule="auto"/>
              <w:jc w:val="center"/>
              <w:rPr>
                <w:rFonts w:ascii="Calibri" w:eastAsia="Times New Roman" w:hAnsi="Calibri" w:cs="Times New Roman"/>
                <w:color w:val="000000"/>
                <w:sz w:val="20"/>
                <w:szCs w:val="20"/>
                <w:lang w:eastAsia="cs-CZ"/>
              </w:rPr>
            </w:pPr>
            <w:r w:rsidRPr="002647D6">
              <w:rPr>
                <w:rFonts w:ascii="Calibri" w:eastAsia="Times New Roman" w:hAnsi="Calibri" w:cs="Times New Roman"/>
                <w:color w:val="000000"/>
                <w:sz w:val="20"/>
                <w:szCs w:val="20"/>
                <w:lang w:eastAsia="cs-CZ"/>
              </w:rPr>
              <w:t>2016</w:t>
            </w:r>
          </w:p>
        </w:tc>
        <w:tc>
          <w:tcPr>
            <w:tcW w:w="172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EFB831B" w14:textId="77777777" w:rsidR="00785F12" w:rsidRPr="002647D6" w:rsidRDefault="00785F12" w:rsidP="00BD78C6">
            <w:pPr>
              <w:keepNext/>
              <w:keepLines/>
              <w:spacing w:after="0" w:line="240" w:lineRule="auto"/>
              <w:jc w:val="center"/>
              <w:rPr>
                <w:rFonts w:ascii="Calibri" w:eastAsia="Times New Roman" w:hAnsi="Calibri" w:cs="Times New Roman"/>
                <w:color w:val="000000"/>
                <w:sz w:val="20"/>
                <w:szCs w:val="20"/>
                <w:lang w:eastAsia="cs-CZ"/>
              </w:rPr>
            </w:pPr>
            <w:r w:rsidRPr="002647D6">
              <w:rPr>
                <w:rFonts w:ascii="Calibri" w:eastAsia="Times New Roman" w:hAnsi="Calibri" w:cs="Times New Roman"/>
                <w:color w:val="000000"/>
                <w:sz w:val="20"/>
                <w:szCs w:val="20"/>
                <w:lang w:eastAsia="cs-CZ"/>
              </w:rPr>
              <w:t>2017</w:t>
            </w:r>
          </w:p>
        </w:tc>
        <w:tc>
          <w:tcPr>
            <w:tcW w:w="1505" w:type="dxa"/>
            <w:tcBorders>
              <w:top w:val="single" w:sz="4" w:space="0" w:color="auto"/>
              <w:left w:val="nil"/>
              <w:bottom w:val="single" w:sz="4" w:space="0" w:color="auto"/>
              <w:right w:val="single" w:sz="4" w:space="0" w:color="auto"/>
            </w:tcBorders>
            <w:shd w:val="clear" w:color="auto" w:fill="E5F1FF"/>
            <w:noWrap/>
            <w:vAlign w:val="center"/>
            <w:hideMark/>
          </w:tcPr>
          <w:p w14:paraId="31E1772E" w14:textId="77777777" w:rsidR="00785F12" w:rsidRPr="002647D6" w:rsidRDefault="00785F12" w:rsidP="00BD78C6">
            <w:pPr>
              <w:keepNext/>
              <w:keepLines/>
              <w:spacing w:after="0" w:line="240" w:lineRule="auto"/>
              <w:jc w:val="center"/>
              <w:rPr>
                <w:rFonts w:ascii="Calibri" w:eastAsia="Times New Roman" w:hAnsi="Calibri" w:cs="Times New Roman"/>
                <w:color w:val="000000"/>
                <w:sz w:val="20"/>
                <w:szCs w:val="20"/>
                <w:lang w:eastAsia="cs-CZ"/>
              </w:rPr>
            </w:pPr>
            <w:r w:rsidRPr="002647D6">
              <w:rPr>
                <w:rFonts w:ascii="Calibri" w:eastAsia="Times New Roman" w:hAnsi="Calibri" w:cs="Times New Roman"/>
                <w:color w:val="000000"/>
                <w:sz w:val="20"/>
                <w:szCs w:val="20"/>
                <w:lang w:eastAsia="cs-CZ"/>
              </w:rPr>
              <w:t>2018</w:t>
            </w:r>
          </w:p>
        </w:tc>
        <w:tc>
          <w:tcPr>
            <w:tcW w:w="1500" w:type="dxa"/>
            <w:tcBorders>
              <w:top w:val="single" w:sz="4" w:space="0" w:color="auto"/>
              <w:left w:val="nil"/>
              <w:bottom w:val="single" w:sz="4" w:space="0" w:color="auto"/>
              <w:right w:val="single" w:sz="4" w:space="0" w:color="auto"/>
            </w:tcBorders>
            <w:shd w:val="clear" w:color="auto" w:fill="E5F1FF"/>
            <w:noWrap/>
            <w:vAlign w:val="center"/>
            <w:hideMark/>
          </w:tcPr>
          <w:p w14:paraId="31A5E76B" w14:textId="77777777" w:rsidR="00785F12" w:rsidRPr="002647D6" w:rsidRDefault="00785F12" w:rsidP="00BD78C6">
            <w:pPr>
              <w:keepNext/>
              <w:keepLines/>
              <w:spacing w:after="0" w:line="240" w:lineRule="auto"/>
              <w:jc w:val="center"/>
              <w:rPr>
                <w:rFonts w:ascii="Calibri" w:eastAsia="Times New Roman" w:hAnsi="Calibri" w:cs="Times New Roman"/>
                <w:b/>
                <w:color w:val="000000"/>
                <w:sz w:val="20"/>
                <w:szCs w:val="20"/>
                <w:lang w:eastAsia="cs-CZ"/>
              </w:rPr>
            </w:pPr>
            <w:r w:rsidRPr="002647D6">
              <w:rPr>
                <w:rFonts w:ascii="Calibri" w:eastAsia="Times New Roman" w:hAnsi="Calibri" w:cs="Times New Roman"/>
                <w:b/>
                <w:color w:val="000000"/>
                <w:sz w:val="20"/>
                <w:szCs w:val="20"/>
                <w:lang w:eastAsia="cs-CZ"/>
              </w:rPr>
              <w:t>Celkem</w:t>
            </w:r>
          </w:p>
        </w:tc>
      </w:tr>
      <w:tr w:rsidR="00785F12" w:rsidRPr="002647D6" w14:paraId="0B3EB196" w14:textId="77777777" w:rsidTr="00D512FE">
        <w:trPr>
          <w:trHeight w:val="567"/>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D057C0B" w14:textId="77777777" w:rsidR="00785F12" w:rsidRPr="002647D6" w:rsidRDefault="00785F12" w:rsidP="00BD78C6">
            <w:pPr>
              <w:keepNext/>
              <w:keepLines/>
              <w:spacing w:after="0" w:line="240" w:lineRule="auto"/>
              <w:jc w:val="center"/>
              <w:rPr>
                <w:rFonts w:ascii="Calibri" w:eastAsia="Times New Roman" w:hAnsi="Calibri" w:cs="Times New Roman"/>
                <w:color w:val="000000"/>
                <w:sz w:val="20"/>
                <w:szCs w:val="20"/>
                <w:lang w:eastAsia="cs-CZ"/>
              </w:rPr>
            </w:pPr>
            <w:r w:rsidRPr="002647D6">
              <w:rPr>
                <w:rFonts w:ascii="Calibri" w:eastAsia="Times New Roman" w:hAnsi="Calibri" w:cs="Calibri"/>
                <w:b/>
                <w:color w:val="000000"/>
                <w:sz w:val="20"/>
                <w:szCs w:val="20"/>
              </w:rPr>
              <w:t>Skutečné čerpání institucionální podpory</w:t>
            </w:r>
          </w:p>
        </w:tc>
        <w:tc>
          <w:tcPr>
            <w:tcW w:w="1701" w:type="dxa"/>
            <w:tcBorders>
              <w:top w:val="nil"/>
              <w:left w:val="single" w:sz="4" w:space="0" w:color="auto"/>
              <w:bottom w:val="single" w:sz="4" w:space="0" w:color="auto"/>
              <w:right w:val="single" w:sz="4" w:space="0" w:color="auto"/>
            </w:tcBorders>
            <w:vAlign w:val="center"/>
          </w:tcPr>
          <w:p w14:paraId="26747249" w14:textId="77777777" w:rsidR="00785F12" w:rsidRPr="002647D6" w:rsidRDefault="00785F12" w:rsidP="00BD78C6">
            <w:pPr>
              <w:keepNext/>
              <w:keepLines/>
              <w:spacing w:after="0" w:line="240" w:lineRule="auto"/>
              <w:ind w:right="364"/>
              <w:jc w:val="right"/>
              <w:rPr>
                <w:rFonts w:ascii="Calibri" w:hAnsi="Calibri" w:cs="Calibri"/>
                <w:color w:val="000000"/>
                <w:sz w:val="20"/>
                <w:szCs w:val="20"/>
              </w:rPr>
            </w:pPr>
            <w:r w:rsidRPr="002647D6">
              <w:rPr>
                <w:rFonts w:ascii="Calibri" w:hAnsi="Calibri" w:cs="Calibri"/>
                <w:color w:val="000000"/>
                <w:sz w:val="20"/>
                <w:szCs w:val="20"/>
              </w:rPr>
              <w:t>56 208</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14:paraId="5C512E83" w14:textId="77777777" w:rsidR="00785F12" w:rsidRPr="002647D6" w:rsidRDefault="00785F12" w:rsidP="00BD78C6">
            <w:pPr>
              <w:keepNext/>
              <w:keepLines/>
              <w:spacing w:after="0" w:line="240" w:lineRule="auto"/>
              <w:ind w:right="364"/>
              <w:jc w:val="right"/>
              <w:rPr>
                <w:rFonts w:ascii="Calibri" w:eastAsia="Times New Roman" w:hAnsi="Calibri" w:cs="Times New Roman"/>
                <w:color w:val="000000"/>
                <w:sz w:val="20"/>
                <w:szCs w:val="20"/>
                <w:lang w:eastAsia="cs-CZ"/>
              </w:rPr>
            </w:pPr>
            <w:r w:rsidRPr="002647D6">
              <w:rPr>
                <w:rFonts w:ascii="Calibri" w:hAnsi="Calibri" w:cs="Calibri"/>
                <w:color w:val="000000"/>
                <w:sz w:val="20"/>
                <w:szCs w:val="20"/>
              </w:rPr>
              <w:t>53 163</w:t>
            </w:r>
          </w:p>
        </w:tc>
        <w:tc>
          <w:tcPr>
            <w:tcW w:w="1505" w:type="dxa"/>
            <w:tcBorders>
              <w:top w:val="nil"/>
              <w:left w:val="nil"/>
              <w:bottom w:val="single" w:sz="4" w:space="0" w:color="auto"/>
              <w:right w:val="single" w:sz="4" w:space="0" w:color="auto"/>
            </w:tcBorders>
            <w:shd w:val="clear" w:color="auto" w:fill="auto"/>
            <w:noWrap/>
            <w:vAlign w:val="center"/>
            <w:hideMark/>
          </w:tcPr>
          <w:p w14:paraId="3172492F" w14:textId="77777777" w:rsidR="00785F12" w:rsidRPr="002647D6" w:rsidRDefault="00785F12" w:rsidP="00BD78C6">
            <w:pPr>
              <w:keepNext/>
              <w:keepLines/>
              <w:spacing w:after="0" w:line="240" w:lineRule="auto"/>
              <w:ind w:right="364"/>
              <w:jc w:val="right"/>
              <w:rPr>
                <w:rFonts w:ascii="Calibri" w:eastAsia="Times New Roman" w:hAnsi="Calibri" w:cs="Times New Roman"/>
                <w:color w:val="000000"/>
                <w:sz w:val="20"/>
                <w:szCs w:val="20"/>
                <w:lang w:eastAsia="cs-CZ"/>
              </w:rPr>
            </w:pPr>
            <w:r w:rsidRPr="002647D6">
              <w:rPr>
                <w:rFonts w:ascii="Calibri" w:hAnsi="Calibri" w:cs="Calibri"/>
                <w:color w:val="000000"/>
                <w:sz w:val="20"/>
                <w:szCs w:val="20"/>
              </w:rPr>
              <w:t>65 581</w:t>
            </w:r>
          </w:p>
        </w:tc>
        <w:tc>
          <w:tcPr>
            <w:tcW w:w="1500" w:type="dxa"/>
            <w:tcBorders>
              <w:top w:val="nil"/>
              <w:left w:val="nil"/>
              <w:bottom w:val="single" w:sz="4" w:space="0" w:color="auto"/>
              <w:right w:val="single" w:sz="4" w:space="0" w:color="auto"/>
            </w:tcBorders>
            <w:shd w:val="clear" w:color="auto" w:fill="auto"/>
            <w:noWrap/>
            <w:vAlign w:val="center"/>
            <w:hideMark/>
          </w:tcPr>
          <w:p w14:paraId="086E51A4" w14:textId="77777777" w:rsidR="00785F12" w:rsidRPr="002647D6" w:rsidRDefault="00785F12" w:rsidP="00BD78C6">
            <w:pPr>
              <w:keepNext/>
              <w:keepLines/>
              <w:spacing w:after="0" w:line="240" w:lineRule="auto"/>
              <w:ind w:right="364"/>
              <w:jc w:val="right"/>
              <w:rPr>
                <w:rFonts w:ascii="Calibri" w:eastAsia="Times New Roman" w:hAnsi="Calibri" w:cs="Times New Roman"/>
                <w:b/>
                <w:color w:val="000000"/>
                <w:sz w:val="20"/>
                <w:szCs w:val="20"/>
                <w:lang w:eastAsia="cs-CZ"/>
              </w:rPr>
            </w:pPr>
            <w:r w:rsidRPr="002647D6">
              <w:rPr>
                <w:rFonts w:ascii="Calibri" w:hAnsi="Calibri" w:cs="Calibri"/>
                <w:color w:val="000000"/>
                <w:sz w:val="20"/>
                <w:szCs w:val="20"/>
              </w:rPr>
              <w:t>174 95</w:t>
            </w:r>
            <w:r w:rsidR="00BE6B85" w:rsidRPr="002647D6">
              <w:rPr>
                <w:rFonts w:ascii="Calibri" w:hAnsi="Calibri" w:cs="Calibri"/>
                <w:color w:val="000000"/>
                <w:sz w:val="20"/>
                <w:szCs w:val="20"/>
              </w:rPr>
              <w:t>3</w:t>
            </w:r>
          </w:p>
        </w:tc>
      </w:tr>
    </w:tbl>
    <w:p w14:paraId="7F2F7306" w14:textId="27984F1C" w:rsidR="00785F12" w:rsidRPr="00F320E2" w:rsidRDefault="00785F12" w:rsidP="00BD78C6">
      <w:pPr>
        <w:pStyle w:val="Normlnweb"/>
        <w:keepNext/>
        <w:keepLines/>
        <w:jc w:val="both"/>
        <w:rPr>
          <w:rFonts w:ascii="Calibri" w:hAnsi="Calibri" w:cs="Calibri"/>
          <w:sz w:val="20"/>
          <w:szCs w:val="20"/>
        </w:rPr>
      </w:pPr>
      <w:r w:rsidRPr="007E1774">
        <w:rPr>
          <w:rFonts w:ascii="Calibri" w:hAnsi="Calibri" w:cs="Calibri"/>
          <w:b/>
          <w:sz w:val="20"/>
          <w:szCs w:val="20"/>
        </w:rPr>
        <w:t>Zdroj:</w:t>
      </w:r>
      <w:r w:rsidR="002A4E5F">
        <w:rPr>
          <w:rFonts w:ascii="Calibri" w:hAnsi="Calibri" w:cs="Calibri"/>
          <w:b/>
          <w:sz w:val="20"/>
          <w:szCs w:val="20"/>
        </w:rPr>
        <w:t xml:space="preserve"> </w:t>
      </w:r>
      <w:r w:rsidR="00196F11">
        <w:rPr>
          <w:rFonts w:ascii="Calibri" w:hAnsi="Calibri" w:cs="Calibri"/>
          <w:sz w:val="20"/>
          <w:szCs w:val="20"/>
        </w:rPr>
        <w:t>d</w:t>
      </w:r>
      <w:r>
        <w:rPr>
          <w:rFonts w:ascii="Calibri" w:hAnsi="Calibri" w:cs="Calibri"/>
          <w:sz w:val="20"/>
          <w:szCs w:val="20"/>
        </w:rPr>
        <w:t>okumenty předložené MV</w:t>
      </w:r>
      <w:r w:rsidR="007E1774">
        <w:rPr>
          <w:rFonts w:ascii="Calibri" w:hAnsi="Calibri" w:cs="Calibri"/>
          <w:sz w:val="20"/>
          <w:szCs w:val="20"/>
        </w:rPr>
        <w:t>.</w:t>
      </w:r>
    </w:p>
    <w:p w14:paraId="5A5C9B79" w14:textId="77777777" w:rsidR="002A4E5F" w:rsidRDefault="002A4E5F" w:rsidP="002A4E5F">
      <w:pPr>
        <w:spacing w:after="0" w:line="240" w:lineRule="auto"/>
        <w:rPr>
          <w:sz w:val="24"/>
          <w:szCs w:val="32"/>
        </w:rPr>
      </w:pPr>
    </w:p>
    <w:p w14:paraId="2DC5592F" w14:textId="77777777" w:rsidR="002A4E5F" w:rsidRDefault="00785F12" w:rsidP="002A4E5F">
      <w:pPr>
        <w:spacing w:after="0" w:line="240" w:lineRule="auto"/>
        <w:jc w:val="both"/>
        <w:rPr>
          <w:rFonts w:cs="Calibri"/>
          <w:color w:val="000000"/>
          <w:sz w:val="24"/>
          <w:szCs w:val="24"/>
          <w:shd w:val="clear" w:color="auto" w:fill="FFFFFF"/>
        </w:rPr>
      </w:pPr>
      <w:r>
        <w:rPr>
          <w:rStyle w:val="Nadpis3Char"/>
          <w:rFonts w:eastAsiaTheme="minorHAnsi"/>
          <w:b w:val="0"/>
        </w:rPr>
        <w:t>2.4</w:t>
      </w:r>
      <w:r w:rsidR="002A4E5F">
        <w:rPr>
          <w:rStyle w:val="Nadpis3Char"/>
          <w:rFonts w:eastAsiaTheme="minorHAnsi"/>
          <w:b w:val="0"/>
        </w:rPr>
        <w:t xml:space="preserve"> </w:t>
      </w:r>
      <w:r w:rsidRPr="00282E4F">
        <w:rPr>
          <w:rStyle w:val="Nadpis3Char"/>
          <w:rFonts w:eastAsiaTheme="minorHAnsi"/>
          <w:b w:val="0"/>
        </w:rPr>
        <w:t>Účelová podpora</w:t>
      </w:r>
      <w:r>
        <w:rPr>
          <w:bCs/>
          <w:sz w:val="24"/>
          <w:szCs w:val="24"/>
        </w:rPr>
        <w:t xml:space="preserve"> BV </w:t>
      </w:r>
      <w:r w:rsidRPr="00282E4F">
        <w:rPr>
          <w:bCs/>
          <w:sz w:val="24"/>
          <w:szCs w:val="24"/>
        </w:rPr>
        <w:t>je n</w:t>
      </w:r>
      <w:r w:rsidR="00154EC7">
        <w:rPr>
          <w:rFonts w:cs="Calibri"/>
          <w:color w:val="000000"/>
          <w:sz w:val="24"/>
          <w:szCs w:val="24"/>
          <w:shd w:val="clear" w:color="auto" w:fill="FFFFFF"/>
        </w:rPr>
        <w:t>a</w:t>
      </w:r>
      <w:r w:rsidR="0054632E">
        <w:rPr>
          <w:rFonts w:cs="Calibri"/>
          <w:color w:val="000000"/>
          <w:sz w:val="24"/>
          <w:szCs w:val="24"/>
          <w:shd w:val="clear" w:color="auto" w:fill="FFFFFF"/>
        </w:rPr>
        <w:t xml:space="preserve"> </w:t>
      </w:r>
      <w:r w:rsidRPr="00282E4F">
        <w:rPr>
          <w:rFonts w:cs="Calibri"/>
          <w:color w:val="000000"/>
          <w:sz w:val="24"/>
          <w:szCs w:val="24"/>
          <w:shd w:val="clear" w:color="auto" w:fill="FFFFFF"/>
        </w:rPr>
        <w:t xml:space="preserve">rozdíl od </w:t>
      </w:r>
      <w:r>
        <w:rPr>
          <w:rFonts w:cs="Calibri"/>
          <w:color w:val="000000"/>
          <w:sz w:val="24"/>
          <w:szCs w:val="24"/>
          <w:shd w:val="clear" w:color="auto" w:fill="FFFFFF"/>
        </w:rPr>
        <w:t>institucionální podpory</w:t>
      </w:r>
      <w:r w:rsidRPr="00282E4F">
        <w:rPr>
          <w:rFonts w:cs="Calibri"/>
          <w:color w:val="000000"/>
          <w:sz w:val="24"/>
          <w:szCs w:val="24"/>
          <w:shd w:val="clear" w:color="auto" w:fill="FFFFFF"/>
        </w:rPr>
        <w:t xml:space="preserve"> poskytována </w:t>
      </w:r>
      <w:r>
        <w:rPr>
          <w:rFonts w:cs="Calibri"/>
          <w:color w:val="000000"/>
          <w:sz w:val="24"/>
          <w:szCs w:val="24"/>
          <w:shd w:val="clear" w:color="auto" w:fill="FFFFFF"/>
        </w:rPr>
        <w:t xml:space="preserve">MV </w:t>
      </w:r>
      <w:r w:rsidRPr="00282E4F">
        <w:rPr>
          <w:rFonts w:cs="Calibri"/>
          <w:color w:val="000000"/>
          <w:sz w:val="24"/>
          <w:szCs w:val="24"/>
          <w:shd w:val="clear" w:color="auto" w:fill="FFFFFF"/>
        </w:rPr>
        <w:t>prostřednictvím programů bezpečnostního výzkumu</w:t>
      </w:r>
      <w:r w:rsidRPr="003146CB">
        <w:rPr>
          <w:rFonts w:cs="Calibri"/>
          <w:color w:val="000000"/>
          <w:sz w:val="24"/>
          <w:szCs w:val="24"/>
          <w:shd w:val="clear" w:color="auto" w:fill="FFFFFF"/>
        </w:rPr>
        <w:t>.</w:t>
      </w:r>
    </w:p>
    <w:p w14:paraId="06FB2CF4" w14:textId="77777777" w:rsidR="002A4E5F" w:rsidRDefault="002A4E5F" w:rsidP="002A4E5F">
      <w:pPr>
        <w:spacing w:after="0" w:line="240" w:lineRule="auto"/>
        <w:jc w:val="both"/>
        <w:rPr>
          <w:rFonts w:cs="Calibri"/>
          <w:bCs/>
          <w:color w:val="000000"/>
          <w:sz w:val="24"/>
          <w:szCs w:val="24"/>
        </w:rPr>
      </w:pPr>
    </w:p>
    <w:p w14:paraId="6CF84E0D" w14:textId="77777777" w:rsidR="00785F12" w:rsidRPr="003146CB" w:rsidRDefault="00785F12" w:rsidP="002A4E5F">
      <w:pPr>
        <w:spacing w:after="0" w:line="240" w:lineRule="auto"/>
        <w:jc w:val="both"/>
        <w:rPr>
          <w:sz w:val="24"/>
          <w:szCs w:val="24"/>
        </w:rPr>
      </w:pPr>
      <w:r>
        <w:rPr>
          <w:rFonts w:cs="Calibri"/>
          <w:bCs/>
          <w:color w:val="000000"/>
          <w:sz w:val="24"/>
          <w:szCs w:val="24"/>
        </w:rPr>
        <w:t xml:space="preserve">V současné době </w:t>
      </w:r>
      <w:r w:rsidRPr="003146CB">
        <w:rPr>
          <w:rFonts w:cs="Calibri"/>
          <w:bCs/>
          <w:color w:val="000000"/>
          <w:sz w:val="24"/>
          <w:szCs w:val="24"/>
        </w:rPr>
        <w:t>jsou realizovány dva výzkumné programy účelové podpory</w:t>
      </w:r>
      <w:r>
        <w:rPr>
          <w:rStyle w:val="Znakapoznpodarou"/>
          <w:rFonts w:cs="Calibri"/>
          <w:bCs/>
          <w:color w:val="000000"/>
          <w:sz w:val="24"/>
          <w:szCs w:val="24"/>
        </w:rPr>
        <w:footnoteReference w:id="8"/>
      </w:r>
      <w:r w:rsidRPr="003146CB">
        <w:rPr>
          <w:rFonts w:cs="Calibri"/>
          <w:bCs/>
          <w:color w:val="000000"/>
          <w:sz w:val="24"/>
          <w:szCs w:val="24"/>
        </w:rPr>
        <w:t>:</w:t>
      </w:r>
    </w:p>
    <w:p w14:paraId="0CD73885" w14:textId="77777777" w:rsidR="00785F12" w:rsidRPr="00884491" w:rsidRDefault="00785F12" w:rsidP="00F06D40">
      <w:pPr>
        <w:numPr>
          <w:ilvl w:val="0"/>
          <w:numId w:val="2"/>
        </w:numPr>
        <w:spacing w:after="0" w:line="240" w:lineRule="auto"/>
        <w:ind w:left="284" w:hanging="284"/>
        <w:jc w:val="both"/>
        <w:rPr>
          <w:rFonts w:ascii="Calibri" w:eastAsia="Times New Roman" w:hAnsi="Calibri" w:cs="Calibri"/>
          <w:sz w:val="24"/>
          <w:szCs w:val="24"/>
        </w:rPr>
      </w:pPr>
      <w:r w:rsidRPr="008A6560">
        <w:rPr>
          <w:i/>
          <w:sz w:val="24"/>
          <w:szCs w:val="24"/>
        </w:rPr>
        <w:t>Program bezpečnostního výzkum</w:t>
      </w:r>
      <w:r w:rsidR="0065196E" w:rsidRPr="008A6560">
        <w:rPr>
          <w:i/>
          <w:sz w:val="24"/>
          <w:szCs w:val="24"/>
        </w:rPr>
        <w:t>u České republiky v letech 2015</w:t>
      </w:r>
      <w:r w:rsidRPr="008A6560">
        <w:rPr>
          <w:i/>
          <w:sz w:val="24"/>
          <w:szCs w:val="24"/>
        </w:rPr>
        <w:t>–2022</w:t>
      </w:r>
      <w:r>
        <w:rPr>
          <w:sz w:val="24"/>
          <w:szCs w:val="24"/>
        </w:rPr>
        <w:t>;</w:t>
      </w:r>
    </w:p>
    <w:p w14:paraId="379FFA18" w14:textId="77777777" w:rsidR="00785F12" w:rsidRPr="003146CB" w:rsidRDefault="00785F12" w:rsidP="00F06D40">
      <w:pPr>
        <w:numPr>
          <w:ilvl w:val="0"/>
          <w:numId w:val="2"/>
        </w:numPr>
        <w:spacing w:after="0" w:line="240" w:lineRule="auto"/>
        <w:ind w:left="284" w:hanging="284"/>
        <w:jc w:val="both"/>
        <w:rPr>
          <w:sz w:val="24"/>
          <w:szCs w:val="24"/>
        </w:rPr>
      </w:pPr>
      <w:r w:rsidRPr="008A6560">
        <w:rPr>
          <w:i/>
          <w:sz w:val="24"/>
          <w:szCs w:val="24"/>
        </w:rPr>
        <w:t xml:space="preserve">Program bezpečnostního výzkumu </w:t>
      </w:r>
      <w:r w:rsidR="0065196E" w:rsidRPr="008A6560">
        <w:rPr>
          <w:i/>
          <w:sz w:val="24"/>
          <w:szCs w:val="24"/>
        </w:rPr>
        <w:t>pro potřeby státu v letech 2016</w:t>
      </w:r>
      <w:r w:rsidRPr="008A6560">
        <w:rPr>
          <w:i/>
          <w:sz w:val="24"/>
          <w:szCs w:val="24"/>
        </w:rPr>
        <w:t>–2021</w:t>
      </w:r>
      <w:r>
        <w:rPr>
          <w:sz w:val="24"/>
          <w:szCs w:val="24"/>
        </w:rPr>
        <w:t>.</w:t>
      </w:r>
    </w:p>
    <w:p w14:paraId="0F4A31E7" w14:textId="77777777" w:rsidR="00785F12" w:rsidRDefault="00785F12" w:rsidP="002A4E5F">
      <w:pPr>
        <w:spacing w:after="0" w:line="240" w:lineRule="auto"/>
        <w:jc w:val="both"/>
        <w:rPr>
          <w:rFonts w:ascii="Calibri" w:eastAsia="Times New Roman" w:hAnsi="Calibri" w:cs="Calibri"/>
          <w:sz w:val="24"/>
          <w:szCs w:val="24"/>
        </w:rPr>
      </w:pPr>
    </w:p>
    <w:p w14:paraId="2C6933D3" w14:textId="0CC5CDAA" w:rsidR="00785F12" w:rsidRPr="00884491" w:rsidRDefault="00785F12" w:rsidP="002A4E5F">
      <w:pPr>
        <w:spacing w:after="0" w:line="240" w:lineRule="auto"/>
        <w:jc w:val="both"/>
        <w:rPr>
          <w:rFonts w:ascii="Calibri" w:eastAsia="Times New Roman" w:hAnsi="Calibri" w:cs="Calibri"/>
          <w:sz w:val="24"/>
          <w:szCs w:val="24"/>
        </w:rPr>
      </w:pPr>
      <w:r w:rsidRPr="00884491">
        <w:rPr>
          <w:rFonts w:ascii="Calibri" w:eastAsia="Times New Roman" w:hAnsi="Calibri" w:cs="Calibri"/>
          <w:sz w:val="24"/>
          <w:szCs w:val="24"/>
        </w:rPr>
        <w:t>2.5</w:t>
      </w:r>
      <w:r w:rsidR="00F06D40">
        <w:rPr>
          <w:rFonts w:ascii="Calibri" w:eastAsia="Times New Roman" w:hAnsi="Calibri" w:cs="Calibri"/>
          <w:sz w:val="24"/>
          <w:szCs w:val="24"/>
        </w:rPr>
        <w:t xml:space="preserve"> </w:t>
      </w:r>
      <w:r w:rsidRPr="00884491">
        <w:rPr>
          <w:rFonts w:ascii="Calibri" w:eastAsia="Times New Roman" w:hAnsi="Calibri" w:cs="Calibri"/>
          <w:sz w:val="24"/>
          <w:szCs w:val="24"/>
        </w:rPr>
        <w:t xml:space="preserve">Cílem </w:t>
      </w:r>
      <w:r w:rsidRPr="00884491">
        <w:rPr>
          <w:rFonts w:ascii="Calibri" w:eastAsia="Times New Roman" w:hAnsi="Calibri" w:cs="Calibri"/>
          <w:i/>
          <w:sz w:val="24"/>
          <w:szCs w:val="24"/>
        </w:rPr>
        <w:t>Programu bezpečnostního výzkum</w:t>
      </w:r>
      <w:r w:rsidR="0065196E">
        <w:rPr>
          <w:rFonts w:ascii="Calibri" w:eastAsia="Times New Roman" w:hAnsi="Calibri" w:cs="Calibri"/>
          <w:i/>
          <w:sz w:val="24"/>
          <w:szCs w:val="24"/>
        </w:rPr>
        <w:t>u České republiky v letech 2015–</w:t>
      </w:r>
      <w:r w:rsidRPr="00884491">
        <w:rPr>
          <w:rFonts w:ascii="Calibri" w:eastAsia="Times New Roman" w:hAnsi="Calibri" w:cs="Calibri"/>
          <w:i/>
          <w:sz w:val="24"/>
          <w:szCs w:val="24"/>
        </w:rPr>
        <w:t>2022</w:t>
      </w:r>
      <w:r w:rsidRPr="00884491">
        <w:rPr>
          <w:rFonts w:ascii="Calibri" w:eastAsia="Times New Roman" w:hAnsi="Calibri" w:cs="Calibri"/>
          <w:sz w:val="24"/>
          <w:szCs w:val="24"/>
        </w:rPr>
        <w:t xml:space="preserve"> (dále také „Program VI“) je </w:t>
      </w:r>
      <w:r w:rsidRPr="00884491">
        <w:rPr>
          <w:rFonts w:cstheme="minorHAnsi"/>
          <w:sz w:val="24"/>
          <w:szCs w:val="24"/>
        </w:rPr>
        <w:t xml:space="preserve">zvýšení bezpečnosti státu a občanů s využitím nových technologií, poznatků a dalších výsledků aplikovaného výzkumu, experimentálního vývoje a inovací. Podpora je směřována </w:t>
      </w:r>
      <w:r>
        <w:rPr>
          <w:rFonts w:cstheme="minorHAnsi"/>
          <w:sz w:val="24"/>
          <w:szCs w:val="24"/>
        </w:rPr>
        <w:t>do</w:t>
      </w:r>
      <w:r w:rsidRPr="00884491">
        <w:rPr>
          <w:rFonts w:cstheme="minorHAnsi"/>
          <w:sz w:val="24"/>
          <w:szCs w:val="24"/>
        </w:rPr>
        <w:t xml:space="preserve"> oblasti identifikace, prevence a oc</w:t>
      </w:r>
      <w:r w:rsidR="00DB440A">
        <w:rPr>
          <w:rFonts w:cstheme="minorHAnsi"/>
          <w:sz w:val="24"/>
          <w:szCs w:val="24"/>
        </w:rPr>
        <w:t>hrany proti nezákonným jednáním a</w:t>
      </w:r>
      <w:r w:rsidR="00196F11">
        <w:rPr>
          <w:rFonts w:cstheme="minorHAnsi"/>
          <w:sz w:val="24"/>
          <w:szCs w:val="24"/>
        </w:rPr>
        <w:t> </w:t>
      </w:r>
      <w:r w:rsidRPr="00884491">
        <w:rPr>
          <w:rFonts w:cstheme="minorHAnsi"/>
          <w:sz w:val="24"/>
          <w:szCs w:val="24"/>
        </w:rPr>
        <w:t>přirozeným ne</w:t>
      </w:r>
      <w:r w:rsidR="00DB440A">
        <w:rPr>
          <w:rFonts w:cstheme="minorHAnsi"/>
          <w:sz w:val="24"/>
          <w:szCs w:val="24"/>
        </w:rPr>
        <w:t>bo průmyslovým pohromám</w:t>
      </w:r>
      <w:r w:rsidRPr="00884491">
        <w:rPr>
          <w:rFonts w:cstheme="minorHAnsi"/>
          <w:sz w:val="24"/>
          <w:szCs w:val="24"/>
        </w:rPr>
        <w:t xml:space="preserve"> poškozujícím občany ČR, organizace </w:t>
      </w:r>
      <w:r w:rsidR="0065196E">
        <w:rPr>
          <w:rFonts w:cstheme="minorHAnsi"/>
          <w:sz w:val="24"/>
          <w:szCs w:val="24"/>
        </w:rPr>
        <w:t>a </w:t>
      </w:r>
      <w:r w:rsidRPr="00884491">
        <w:rPr>
          <w:rFonts w:cstheme="minorHAnsi"/>
          <w:sz w:val="24"/>
          <w:szCs w:val="24"/>
        </w:rPr>
        <w:t>infrastruktury.</w:t>
      </w:r>
      <w:r w:rsidRPr="008A6560">
        <w:rPr>
          <w:rFonts w:cstheme="minorHAnsi"/>
          <w:sz w:val="24"/>
          <w:szCs w:val="24"/>
          <w:lang w:eastAsia="cs-CZ"/>
        </w:rPr>
        <w:t xml:space="preserve"> </w:t>
      </w:r>
      <w:r w:rsidRPr="00884491">
        <w:rPr>
          <w:rFonts w:ascii="Calibri" w:hAnsi="Calibri" w:cs="Calibri"/>
          <w:sz w:val="24"/>
          <w:szCs w:val="24"/>
        </w:rPr>
        <w:t xml:space="preserve">Jednotlivé projekty Programu VI jsou vybírány prostřednictvím veřejných soutěží. </w:t>
      </w:r>
      <w:r w:rsidRPr="00884491">
        <w:rPr>
          <w:rFonts w:cstheme="minorHAnsi"/>
          <w:sz w:val="24"/>
          <w:szCs w:val="24"/>
          <w:lang w:eastAsia="cs-CZ"/>
        </w:rPr>
        <w:t xml:space="preserve">Předpokládané výdaje </w:t>
      </w:r>
      <w:r>
        <w:rPr>
          <w:rFonts w:cstheme="minorHAnsi"/>
          <w:sz w:val="24"/>
          <w:szCs w:val="24"/>
          <w:lang w:eastAsia="cs-CZ"/>
        </w:rPr>
        <w:t>na šestileté</w:t>
      </w:r>
      <w:r>
        <w:rPr>
          <w:rStyle w:val="Znakapoznpodarou"/>
          <w:rFonts w:cstheme="minorHAnsi"/>
          <w:sz w:val="24"/>
          <w:szCs w:val="24"/>
          <w:lang w:eastAsia="cs-CZ"/>
        </w:rPr>
        <w:footnoteReference w:id="9"/>
      </w:r>
      <w:r>
        <w:rPr>
          <w:rFonts w:cstheme="minorHAnsi"/>
          <w:sz w:val="24"/>
          <w:szCs w:val="24"/>
          <w:lang w:eastAsia="cs-CZ"/>
        </w:rPr>
        <w:t xml:space="preserve"> období realizace programu činily 2 200 mil. Kč. </w:t>
      </w:r>
      <w:r>
        <w:rPr>
          <w:rFonts w:cstheme="minorHAnsi"/>
          <w:sz w:val="24"/>
          <w:szCs w:val="24"/>
        </w:rPr>
        <w:t xml:space="preserve">Usnesením </w:t>
      </w:r>
      <w:r w:rsidRPr="00884491">
        <w:rPr>
          <w:rFonts w:cstheme="minorHAnsi"/>
          <w:sz w:val="24"/>
          <w:szCs w:val="24"/>
        </w:rPr>
        <w:t>vlády z května 2018</w:t>
      </w:r>
      <w:r w:rsidRPr="008462B9">
        <w:rPr>
          <w:rStyle w:val="Znakapoznpodarou"/>
          <w:rFonts w:cstheme="minorHAnsi"/>
          <w:sz w:val="24"/>
          <w:szCs w:val="24"/>
        </w:rPr>
        <w:footnoteReference w:id="10"/>
      </w:r>
      <w:r w:rsidRPr="00884491">
        <w:rPr>
          <w:rFonts w:cstheme="minorHAnsi"/>
          <w:sz w:val="24"/>
          <w:szCs w:val="24"/>
        </w:rPr>
        <w:t xml:space="preserve"> </w:t>
      </w:r>
      <w:r w:rsidRPr="00884491">
        <w:rPr>
          <w:rFonts w:cstheme="minorHAnsi"/>
          <w:sz w:val="24"/>
          <w:szCs w:val="24"/>
          <w:lang w:eastAsia="cs-CZ"/>
        </w:rPr>
        <w:t xml:space="preserve">došlo k navýšení předpokládané výše veřejné podpory o 600 mil. Kč. </w:t>
      </w:r>
      <w:r w:rsidRPr="00884491">
        <w:rPr>
          <w:rFonts w:ascii="Calibri" w:eastAsia="Times New Roman" w:hAnsi="Calibri" w:cs="Calibri"/>
          <w:sz w:val="24"/>
          <w:szCs w:val="24"/>
        </w:rPr>
        <w:t xml:space="preserve">Do </w:t>
      </w:r>
      <w:r w:rsidR="000D7844">
        <w:rPr>
          <w:rFonts w:ascii="Calibri" w:eastAsia="Times New Roman" w:hAnsi="Calibri" w:cs="Calibri"/>
          <w:sz w:val="24"/>
          <w:szCs w:val="24"/>
        </w:rPr>
        <w:t>konce roku</w:t>
      </w:r>
      <w:r w:rsidR="0054632E">
        <w:rPr>
          <w:rFonts w:ascii="Calibri" w:eastAsia="Times New Roman" w:hAnsi="Calibri" w:cs="Calibri"/>
          <w:sz w:val="24"/>
          <w:szCs w:val="24"/>
        </w:rPr>
        <w:t xml:space="preserve"> 2018</w:t>
      </w:r>
      <w:r w:rsidRPr="00884491">
        <w:rPr>
          <w:rFonts w:ascii="Calibri" w:eastAsia="Times New Roman" w:hAnsi="Calibri" w:cs="Calibri"/>
          <w:sz w:val="24"/>
          <w:szCs w:val="24"/>
        </w:rPr>
        <w:t xml:space="preserve"> </w:t>
      </w:r>
      <w:r>
        <w:rPr>
          <w:rFonts w:ascii="Calibri" w:eastAsia="Times New Roman" w:hAnsi="Calibri" w:cs="Calibri"/>
          <w:sz w:val="24"/>
          <w:szCs w:val="24"/>
        </w:rPr>
        <w:t xml:space="preserve">MV </w:t>
      </w:r>
      <w:r w:rsidRPr="00884491">
        <w:rPr>
          <w:rFonts w:ascii="Calibri" w:eastAsia="Times New Roman" w:hAnsi="Calibri" w:cs="Calibri"/>
          <w:sz w:val="24"/>
          <w:szCs w:val="24"/>
        </w:rPr>
        <w:t>podpoř</w:t>
      </w:r>
      <w:r>
        <w:rPr>
          <w:rFonts w:ascii="Calibri" w:eastAsia="Times New Roman" w:hAnsi="Calibri" w:cs="Calibri"/>
          <w:sz w:val="24"/>
          <w:szCs w:val="24"/>
        </w:rPr>
        <w:t>ilo</w:t>
      </w:r>
      <w:r w:rsidR="00FF60DF">
        <w:rPr>
          <w:rFonts w:ascii="Calibri" w:eastAsia="Times New Roman" w:hAnsi="Calibri" w:cs="Calibri"/>
          <w:sz w:val="24"/>
          <w:szCs w:val="24"/>
        </w:rPr>
        <w:t xml:space="preserve"> 110</w:t>
      </w:r>
      <w:r w:rsidRPr="00884491">
        <w:rPr>
          <w:rFonts w:ascii="Calibri" w:eastAsia="Times New Roman" w:hAnsi="Calibri" w:cs="Calibri"/>
          <w:sz w:val="24"/>
          <w:szCs w:val="24"/>
        </w:rPr>
        <w:t xml:space="preserve"> </w:t>
      </w:r>
      <w:r w:rsidRPr="003A28DC">
        <w:rPr>
          <w:rFonts w:ascii="Calibri" w:eastAsia="Times New Roman" w:hAnsi="Calibri" w:cs="Calibri"/>
          <w:sz w:val="24"/>
          <w:szCs w:val="24"/>
        </w:rPr>
        <w:t xml:space="preserve">projektů v celkové částce 1 266 mil. Kč. </w:t>
      </w:r>
    </w:p>
    <w:p w14:paraId="5AF5F560" w14:textId="77777777" w:rsidR="00785F12" w:rsidRDefault="00785F12" w:rsidP="002A4E5F">
      <w:pPr>
        <w:spacing w:after="0" w:line="240" w:lineRule="auto"/>
        <w:jc w:val="both"/>
        <w:rPr>
          <w:rFonts w:ascii="Calibri" w:eastAsia="Times New Roman" w:hAnsi="Calibri" w:cs="Calibri"/>
          <w:sz w:val="24"/>
          <w:szCs w:val="24"/>
          <w:lang w:eastAsia="cs-CZ"/>
        </w:rPr>
      </w:pPr>
    </w:p>
    <w:p w14:paraId="28D347E8" w14:textId="27BBC147" w:rsidR="00785F12" w:rsidRPr="008A6560" w:rsidRDefault="00785F12" w:rsidP="00BD78C6">
      <w:pPr>
        <w:keepNext/>
        <w:keepLines/>
        <w:tabs>
          <w:tab w:val="right" w:pos="9072"/>
        </w:tabs>
        <w:spacing w:after="40" w:line="240" w:lineRule="auto"/>
        <w:jc w:val="both"/>
        <w:rPr>
          <w:rFonts w:ascii="Calibri" w:eastAsia="Times New Roman" w:hAnsi="Calibri" w:cs="Calibri"/>
          <w:b/>
          <w:color w:val="000000" w:themeColor="text1"/>
          <w:sz w:val="24"/>
          <w:szCs w:val="24"/>
          <w:lang w:eastAsia="cs-CZ"/>
        </w:rPr>
      </w:pPr>
      <w:r w:rsidRPr="008A6560">
        <w:rPr>
          <w:rFonts w:ascii="Calibri" w:eastAsia="Times New Roman" w:hAnsi="Calibri" w:cs="Calibri"/>
          <w:b/>
          <w:color w:val="000000" w:themeColor="text1"/>
          <w:sz w:val="24"/>
          <w:szCs w:val="24"/>
          <w:lang w:eastAsia="cs-CZ"/>
        </w:rPr>
        <w:lastRenderedPageBreak/>
        <w:t xml:space="preserve">Tabulka č. 2: Účelová podpora BV </w:t>
      </w:r>
      <w:r w:rsidR="00196F11">
        <w:rPr>
          <w:rFonts w:ascii="Calibri" w:eastAsia="Times New Roman" w:hAnsi="Calibri" w:cs="Calibri"/>
          <w:b/>
          <w:color w:val="000000" w:themeColor="text1"/>
          <w:sz w:val="24"/>
          <w:szCs w:val="24"/>
          <w:lang w:eastAsia="cs-CZ"/>
        </w:rPr>
        <w:t>–</w:t>
      </w:r>
      <w:r w:rsidRPr="008A6560">
        <w:rPr>
          <w:rFonts w:ascii="Calibri" w:eastAsia="Times New Roman" w:hAnsi="Calibri" w:cs="Calibri"/>
          <w:b/>
          <w:color w:val="000000" w:themeColor="text1"/>
          <w:sz w:val="24"/>
          <w:szCs w:val="24"/>
          <w:lang w:eastAsia="cs-CZ"/>
        </w:rPr>
        <w:t xml:space="preserve"> čerpání Programu VI </w:t>
      </w:r>
      <w:r w:rsidRPr="008A6560">
        <w:rPr>
          <w:rFonts w:ascii="Calibri" w:eastAsia="Times New Roman" w:hAnsi="Calibri" w:cs="Calibri"/>
          <w:b/>
          <w:color w:val="000000" w:themeColor="text1"/>
          <w:sz w:val="24"/>
          <w:szCs w:val="24"/>
          <w:lang w:eastAsia="cs-CZ"/>
        </w:rPr>
        <w:tab/>
      </w:r>
      <w:r w:rsidR="00196F11">
        <w:rPr>
          <w:rFonts w:ascii="Calibri" w:eastAsia="Times New Roman" w:hAnsi="Calibri" w:cs="Calibri"/>
          <w:b/>
          <w:color w:val="000000" w:themeColor="text1"/>
          <w:sz w:val="24"/>
          <w:szCs w:val="24"/>
          <w:lang w:eastAsia="cs-CZ"/>
        </w:rPr>
        <w:t>(</w:t>
      </w:r>
      <w:r w:rsidRPr="008A6560">
        <w:rPr>
          <w:rFonts w:ascii="Calibri" w:eastAsia="Times New Roman" w:hAnsi="Calibri" w:cs="Calibri"/>
          <w:b/>
          <w:color w:val="000000" w:themeColor="text1"/>
          <w:sz w:val="24"/>
          <w:szCs w:val="24"/>
          <w:lang w:eastAsia="cs-CZ"/>
        </w:rPr>
        <w:t>v tis. Kč</w:t>
      </w:r>
      <w:r w:rsidR="00196F11">
        <w:rPr>
          <w:rFonts w:ascii="Calibri" w:eastAsia="Times New Roman" w:hAnsi="Calibri" w:cs="Calibri"/>
          <w:b/>
          <w:color w:val="000000" w:themeColor="text1"/>
          <w:sz w:val="24"/>
          <w:szCs w:val="24"/>
          <w:lang w:eastAsia="cs-CZ"/>
        </w:rPr>
        <w:t>)</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332"/>
        <w:gridCol w:w="1332"/>
        <w:gridCol w:w="1332"/>
        <w:gridCol w:w="1332"/>
        <w:gridCol w:w="1474"/>
      </w:tblGrid>
      <w:tr w:rsidR="00785F12" w:rsidRPr="00D512FE" w14:paraId="6E2393F5" w14:textId="77777777" w:rsidTr="00D512FE">
        <w:trPr>
          <w:trHeight w:val="283"/>
          <w:jc w:val="center"/>
        </w:trPr>
        <w:tc>
          <w:tcPr>
            <w:tcW w:w="226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4C7A5590" w14:textId="77777777" w:rsidR="00785F12" w:rsidRPr="00D512FE" w:rsidRDefault="00785F12" w:rsidP="00BD78C6">
            <w:pPr>
              <w:keepNext/>
              <w:keepLines/>
              <w:spacing w:after="0" w:line="240" w:lineRule="auto"/>
              <w:jc w:val="center"/>
              <w:rPr>
                <w:rFonts w:ascii="Calibri" w:eastAsia="Times New Roman" w:hAnsi="Calibri" w:cs="Calibri"/>
                <w:b/>
                <w:color w:val="000000"/>
                <w:sz w:val="20"/>
                <w:szCs w:val="20"/>
                <w:lang w:eastAsia="cs-CZ"/>
              </w:rPr>
            </w:pPr>
          </w:p>
        </w:tc>
        <w:tc>
          <w:tcPr>
            <w:tcW w:w="1332"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0C315DB1" w14:textId="77777777" w:rsidR="00785F12" w:rsidRPr="00D512FE" w:rsidRDefault="00785F12" w:rsidP="00BD78C6">
            <w:pPr>
              <w:keepNext/>
              <w:keepLines/>
              <w:spacing w:after="0" w:line="240" w:lineRule="auto"/>
              <w:jc w:val="center"/>
              <w:rPr>
                <w:rFonts w:ascii="Calibri" w:eastAsia="Times New Roman" w:hAnsi="Calibri" w:cs="Calibri"/>
                <w:b/>
                <w:color w:val="000000"/>
                <w:sz w:val="20"/>
                <w:szCs w:val="20"/>
              </w:rPr>
            </w:pPr>
            <w:r w:rsidRPr="00D512FE">
              <w:rPr>
                <w:rFonts w:ascii="Calibri" w:eastAsia="Times New Roman" w:hAnsi="Calibri" w:cs="Calibri"/>
                <w:b/>
                <w:color w:val="000000"/>
                <w:sz w:val="20"/>
                <w:szCs w:val="20"/>
              </w:rPr>
              <w:t>2015</w:t>
            </w:r>
          </w:p>
        </w:tc>
        <w:tc>
          <w:tcPr>
            <w:tcW w:w="1332"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CE403C0" w14:textId="77777777" w:rsidR="00785F12" w:rsidRPr="00D512FE" w:rsidRDefault="00785F12" w:rsidP="00BD78C6">
            <w:pPr>
              <w:keepNext/>
              <w:keepLines/>
              <w:spacing w:after="0" w:line="240" w:lineRule="auto"/>
              <w:jc w:val="center"/>
              <w:rPr>
                <w:rFonts w:ascii="Calibri" w:eastAsia="Times New Roman" w:hAnsi="Calibri" w:cs="Calibri"/>
                <w:b/>
                <w:color w:val="000000"/>
                <w:sz w:val="20"/>
                <w:szCs w:val="20"/>
              </w:rPr>
            </w:pPr>
            <w:r w:rsidRPr="00D512FE">
              <w:rPr>
                <w:rFonts w:ascii="Calibri" w:eastAsia="Times New Roman" w:hAnsi="Calibri" w:cs="Calibri"/>
                <w:b/>
                <w:color w:val="000000"/>
                <w:sz w:val="20"/>
                <w:szCs w:val="20"/>
              </w:rPr>
              <w:t>2016</w:t>
            </w:r>
          </w:p>
        </w:tc>
        <w:tc>
          <w:tcPr>
            <w:tcW w:w="1332"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3270BC49" w14:textId="77777777" w:rsidR="00785F12" w:rsidRPr="00D512FE" w:rsidRDefault="00785F12" w:rsidP="00BD78C6">
            <w:pPr>
              <w:keepNext/>
              <w:keepLines/>
              <w:spacing w:after="0" w:line="240" w:lineRule="auto"/>
              <w:jc w:val="center"/>
              <w:rPr>
                <w:rFonts w:ascii="Calibri" w:eastAsia="Times New Roman" w:hAnsi="Calibri" w:cs="Calibri"/>
                <w:b/>
                <w:color w:val="000000"/>
                <w:sz w:val="20"/>
                <w:szCs w:val="20"/>
              </w:rPr>
            </w:pPr>
            <w:r w:rsidRPr="00D512FE">
              <w:rPr>
                <w:rFonts w:ascii="Calibri" w:eastAsia="Times New Roman" w:hAnsi="Calibri" w:cs="Calibri"/>
                <w:b/>
                <w:color w:val="000000"/>
                <w:sz w:val="20"/>
                <w:szCs w:val="20"/>
              </w:rPr>
              <w:t>2017</w:t>
            </w:r>
          </w:p>
        </w:tc>
        <w:tc>
          <w:tcPr>
            <w:tcW w:w="1332"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9F406B3" w14:textId="77777777" w:rsidR="00785F12" w:rsidRPr="00D512FE" w:rsidRDefault="00785F12" w:rsidP="00BD78C6">
            <w:pPr>
              <w:keepNext/>
              <w:keepLines/>
              <w:spacing w:after="0" w:line="240" w:lineRule="auto"/>
              <w:jc w:val="center"/>
              <w:rPr>
                <w:rFonts w:ascii="Calibri" w:eastAsia="Times New Roman" w:hAnsi="Calibri" w:cs="Calibri"/>
                <w:b/>
                <w:color w:val="000000"/>
                <w:sz w:val="20"/>
                <w:szCs w:val="20"/>
              </w:rPr>
            </w:pPr>
            <w:r w:rsidRPr="00D512FE">
              <w:rPr>
                <w:rFonts w:ascii="Calibri" w:eastAsia="Times New Roman" w:hAnsi="Calibri" w:cs="Calibri"/>
                <w:b/>
                <w:color w:val="000000"/>
                <w:sz w:val="20"/>
                <w:szCs w:val="20"/>
              </w:rPr>
              <w:t>2018</w:t>
            </w:r>
          </w:p>
        </w:tc>
        <w:tc>
          <w:tcPr>
            <w:tcW w:w="1474" w:type="dxa"/>
            <w:tcBorders>
              <w:top w:val="single" w:sz="4" w:space="0" w:color="auto"/>
              <w:left w:val="single" w:sz="4" w:space="0" w:color="auto"/>
              <w:bottom w:val="single" w:sz="4" w:space="0" w:color="auto"/>
              <w:right w:val="single" w:sz="4" w:space="0" w:color="auto"/>
            </w:tcBorders>
            <w:shd w:val="clear" w:color="auto" w:fill="E5F1FF"/>
            <w:vAlign w:val="center"/>
          </w:tcPr>
          <w:p w14:paraId="11B1D420" w14:textId="77777777" w:rsidR="00785F12" w:rsidRPr="00D512FE" w:rsidRDefault="00785F12" w:rsidP="00BD78C6">
            <w:pPr>
              <w:keepNext/>
              <w:keepLines/>
              <w:spacing w:after="0" w:line="240" w:lineRule="auto"/>
              <w:jc w:val="center"/>
              <w:rPr>
                <w:rFonts w:ascii="Calibri" w:eastAsia="Times New Roman" w:hAnsi="Calibri" w:cs="Calibri"/>
                <w:b/>
                <w:color w:val="000000"/>
                <w:sz w:val="20"/>
                <w:szCs w:val="20"/>
              </w:rPr>
            </w:pPr>
            <w:r w:rsidRPr="00D512FE">
              <w:rPr>
                <w:rFonts w:ascii="Calibri" w:eastAsia="Times New Roman" w:hAnsi="Calibri" w:cs="Calibri"/>
                <w:b/>
                <w:color w:val="000000"/>
                <w:sz w:val="20"/>
                <w:szCs w:val="20"/>
              </w:rPr>
              <w:t>Celkem</w:t>
            </w:r>
          </w:p>
        </w:tc>
      </w:tr>
      <w:tr w:rsidR="00785F12" w:rsidRPr="00D512FE" w14:paraId="507C3325" w14:textId="77777777" w:rsidTr="00D512FE">
        <w:trPr>
          <w:trHeight w:val="56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5F01104" w14:textId="0BF59E50" w:rsidR="00785F12" w:rsidRPr="00D512FE" w:rsidRDefault="00785F12" w:rsidP="00BD78C6">
            <w:pPr>
              <w:keepNext/>
              <w:keepLines/>
              <w:spacing w:after="0" w:line="240" w:lineRule="auto"/>
              <w:jc w:val="center"/>
              <w:rPr>
                <w:rFonts w:ascii="Calibri" w:eastAsia="Times New Roman" w:hAnsi="Calibri" w:cs="Calibri"/>
                <w:b/>
                <w:color w:val="000000"/>
                <w:sz w:val="20"/>
                <w:szCs w:val="20"/>
              </w:rPr>
            </w:pPr>
            <w:r w:rsidRPr="00D512FE">
              <w:rPr>
                <w:rFonts w:ascii="Calibri" w:eastAsia="Times New Roman" w:hAnsi="Calibri" w:cs="Calibri"/>
                <w:b/>
                <w:color w:val="000000"/>
                <w:sz w:val="20"/>
                <w:szCs w:val="20"/>
              </w:rPr>
              <w:t>Skutečné čerpání podpory z Programu</w:t>
            </w:r>
            <w:r w:rsidR="00775955">
              <w:rPr>
                <w:rFonts w:ascii="Calibri" w:eastAsia="Times New Roman" w:hAnsi="Calibri" w:cs="Calibri"/>
                <w:b/>
                <w:color w:val="000000"/>
                <w:sz w:val="20"/>
                <w:szCs w:val="20"/>
              </w:rPr>
              <w:t> VI</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45C9BFC3" w14:textId="77777777" w:rsidR="00785F12" w:rsidRPr="00D512FE" w:rsidRDefault="00785F12" w:rsidP="00BD78C6">
            <w:pPr>
              <w:keepNext/>
              <w:keepLines/>
              <w:spacing w:after="0" w:line="240" w:lineRule="auto"/>
              <w:ind w:right="270"/>
              <w:jc w:val="right"/>
              <w:rPr>
                <w:rFonts w:ascii="Calibri" w:eastAsia="Times New Roman" w:hAnsi="Calibri" w:cs="Calibri"/>
                <w:color w:val="000000"/>
                <w:sz w:val="20"/>
                <w:szCs w:val="20"/>
              </w:rPr>
            </w:pPr>
            <w:r w:rsidRPr="00D512FE">
              <w:rPr>
                <w:rFonts w:ascii="Calibri" w:eastAsia="Times New Roman" w:hAnsi="Calibri" w:cs="Calibri"/>
                <w:color w:val="000000"/>
                <w:sz w:val="20"/>
                <w:szCs w:val="20"/>
              </w:rPr>
              <w:t xml:space="preserve">43 388 </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67CE7899" w14:textId="77777777" w:rsidR="00785F12" w:rsidRPr="00D512FE" w:rsidRDefault="00785F12" w:rsidP="00BD78C6">
            <w:pPr>
              <w:keepNext/>
              <w:keepLines/>
              <w:spacing w:after="0" w:line="240" w:lineRule="auto"/>
              <w:ind w:right="270"/>
              <w:jc w:val="right"/>
              <w:rPr>
                <w:rFonts w:ascii="Calibri" w:eastAsia="Times New Roman" w:hAnsi="Calibri" w:cs="Calibri"/>
                <w:color w:val="000000"/>
                <w:sz w:val="20"/>
                <w:szCs w:val="20"/>
              </w:rPr>
            </w:pPr>
            <w:r w:rsidRPr="00D512FE">
              <w:rPr>
                <w:rFonts w:ascii="Calibri" w:eastAsia="Times New Roman" w:hAnsi="Calibri" w:cs="Calibri"/>
                <w:color w:val="000000"/>
                <w:sz w:val="20"/>
                <w:szCs w:val="20"/>
              </w:rPr>
              <w:t>278 655</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76F580D6" w14:textId="77777777" w:rsidR="00785F12" w:rsidRPr="00D512FE" w:rsidRDefault="00785F12" w:rsidP="00BD78C6">
            <w:pPr>
              <w:keepNext/>
              <w:keepLines/>
              <w:spacing w:after="0" w:line="240" w:lineRule="auto"/>
              <w:ind w:right="270"/>
              <w:jc w:val="right"/>
              <w:rPr>
                <w:rFonts w:ascii="Calibri" w:eastAsia="Times New Roman" w:hAnsi="Calibri" w:cs="Calibri"/>
                <w:color w:val="000000"/>
                <w:sz w:val="20"/>
                <w:szCs w:val="20"/>
              </w:rPr>
            </w:pPr>
            <w:r w:rsidRPr="00D512FE">
              <w:rPr>
                <w:rFonts w:ascii="Calibri" w:eastAsia="Times New Roman" w:hAnsi="Calibri" w:cs="Calibri"/>
                <w:color w:val="000000"/>
                <w:sz w:val="20"/>
                <w:szCs w:val="20"/>
              </w:rPr>
              <w:t>513 574</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435C8A3A" w14:textId="77777777" w:rsidR="00785F12" w:rsidRPr="00D512FE" w:rsidRDefault="00785F12" w:rsidP="00BD78C6">
            <w:pPr>
              <w:keepNext/>
              <w:keepLines/>
              <w:spacing w:after="0" w:line="240" w:lineRule="auto"/>
              <w:ind w:right="270"/>
              <w:jc w:val="right"/>
              <w:rPr>
                <w:rFonts w:ascii="Calibri" w:eastAsia="Times New Roman" w:hAnsi="Calibri" w:cs="Calibri"/>
                <w:color w:val="000000"/>
                <w:sz w:val="20"/>
                <w:szCs w:val="20"/>
              </w:rPr>
            </w:pPr>
            <w:r w:rsidRPr="00D512FE">
              <w:rPr>
                <w:rFonts w:ascii="Calibri" w:eastAsia="Times New Roman" w:hAnsi="Calibri" w:cs="Calibri"/>
                <w:color w:val="000000"/>
                <w:sz w:val="20"/>
                <w:szCs w:val="20"/>
              </w:rPr>
              <w:t>430 230</w:t>
            </w:r>
          </w:p>
        </w:tc>
        <w:tc>
          <w:tcPr>
            <w:tcW w:w="1474" w:type="dxa"/>
            <w:tcBorders>
              <w:top w:val="single" w:sz="4" w:space="0" w:color="auto"/>
              <w:left w:val="single" w:sz="4" w:space="0" w:color="auto"/>
              <w:bottom w:val="single" w:sz="4" w:space="0" w:color="auto"/>
              <w:right w:val="single" w:sz="4" w:space="0" w:color="auto"/>
            </w:tcBorders>
            <w:vAlign w:val="center"/>
          </w:tcPr>
          <w:p w14:paraId="502FAFE8" w14:textId="77777777" w:rsidR="00785F12" w:rsidRPr="00D512FE" w:rsidRDefault="00785F12" w:rsidP="00BD78C6">
            <w:pPr>
              <w:keepNext/>
              <w:keepLines/>
              <w:spacing w:after="0" w:line="240" w:lineRule="auto"/>
              <w:ind w:right="270"/>
              <w:jc w:val="right"/>
              <w:rPr>
                <w:rFonts w:ascii="Calibri" w:eastAsia="Times New Roman" w:hAnsi="Calibri" w:cs="Calibri"/>
                <w:color w:val="000000"/>
                <w:sz w:val="20"/>
                <w:szCs w:val="20"/>
                <w:lang w:eastAsia="cs-CZ"/>
              </w:rPr>
            </w:pPr>
            <w:r w:rsidRPr="00D512FE">
              <w:rPr>
                <w:rFonts w:ascii="Calibri" w:eastAsia="Times New Roman" w:hAnsi="Calibri" w:cs="Calibri"/>
                <w:color w:val="000000"/>
                <w:sz w:val="20"/>
                <w:szCs w:val="20"/>
              </w:rPr>
              <w:t>1 265 84</w:t>
            </w:r>
            <w:r w:rsidR="00BE6B85" w:rsidRPr="00D512FE">
              <w:rPr>
                <w:rFonts w:ascii="Calibri" w:eastAsia="Times New Roman" w:hAnsi="Calibri" w:cs="Calibri"/>
                <w:color w:val="000000"/>
                <w:sz w:val="20"/>
                <w:szCs w:val="20"/>
              </w:rPr>
              <w:t>8</w:t>
            </w:r>
          </w:p>
        </w:tc>
      </w:tr>
    </w:tbl>
    <w:p w14:paraId="47C2E071" w14:textId="68F28A25" w:rsidR="00785F12" w:rsidRPr="003146CB" w:rsidRDefault="00785F12" w:rsidP="00BD78C6">
      <w:pPr>
        <w:keepNext/>
        <w:keepLines/>
        <w:autoSpaceDE w:val="0"/>
        <w:autoSpaceDN w:val="0"/>
        <w:adjustRightInd w:val="0"/>
        <w:spacing w:before="40" w:after="0" w:line="240" w:lineRule="auto"/>
        <w:jc w:val="both"/>
        <w:rPr>
          <w:rFonts w:ascii="Calibri" w:eastAsia="Times New Roman" w:hAnsi="Calibri" w:cs="Calibri"/>
          <w:sz w:val="20"/>
          <w:szCs w:val="24"/>
          <w:lang w:eastAsia="cs-CZ"/>
        </w:rPr>
      </w:pPr>
      <w:r w:rsidRPr="0065196E">
        <w:rPr>
          <w:rFonts w:ascii="Calibri" w:eastAsia="Times New Roman" w:hAnsi="Calibri" w:cs="Calibri"/>
          <w:b/>
          <w:sz w:val="20"/>
          <w:szCs w:val="24"/>
          <w:lang w:eastAsia="cs-CZ"/>
        </w:rPr>
        <w:t>Zdroj:</w:t>
      </w:r>
      <w:r w:rsidRPr="003146CB">
        <w:rPr>
          <w:rFonts w:ascii="Calibri" w:eastAsia="Times New Roman" w:hAnsi="Calibri" w:cs="Calibri"/>
          <w:sz w:val="20"/>
          <w:szCs w:val="24"/>
          <w:lang w:eastAsia="cs-CZ"/>
        </w:rPr>
        <w:t xml:space="preserve"> </w:t>
      </w:r>
      <w:r w:rsidR="00196F11">
        <w:rPr>
          <w:rFonts w:ascii="Calibri" w:eastAsia="Times New Roman" w:hAnsi="Calibri" w:cs="Calibri"/>
          <w:sz w:val="20"/>
          <w:szCs w:val="24"/>
          <w:lang w:eastAsia="cs-CZ"/>
        </w:rPr>
        <w:t>d</w:t>
      </w:r>
      <w:r w:rsidRPr="003146CB">
        <w:rPr>
          <w:rFonts w:ascii="Calibri" w:eastAsia="Times New Roman" w:hAnsi="Calibri" w:cs="Calibri"/>
          <w:sz w:val="20"/>
          <w:szCs w:val="24"/>
          <w:lang w:eastAsia="cs-CZ"/>
        </w:rPr>
        <w:t>okumenty předložené MV.</w:t>
      </w:r>
    </w:p>
    <w:p w14:paraId="1A292C44" w14:textId="77777777" w:rsidR="00D512FE" w:rsidRDefault="00D512FE" w:rsidP="00D512FE">
      <w:pPr>
        <w:spacing w:after="0" w:line="240" w:lineRule="auto"/>
        <w:jc w:val="both"/>
        <w:rPr>
          <w:rFonts w:ascii="Calibri" w:eastAsia="Times New Roman" w:hAnsi="Calibri" w:cs="Calibri"/>
          <w:sz w:val="24"/>
          <w:szCs w:val="24"/>
        </w:rPr>
      </w:pPr>
    </w:p>
    <w:p w14:paraId="3893DEAE" w14:textId="77777777" w:rsidR="00785F12" w:rsidRDefault="00785F12" w:rsidP="00D512FE">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2.6</w:t>
      </w:r>
      <w:r w:rsidR="00D512FE">
        <w:rPr>
          <w:rFonts w:ascii="Calibri" w:eastAsia="Times New Roman" w:hAnsi="Calibri" w:cs="Calibri"/>
          <w:sz w:val="24"/>
          <w:szCs w:val="24"/>
        </w:rPr>
        <w:t xml:space="preserve"> </w:t>
      </w:r>
      <w:r w:rsidRPr="00747BDF">
        <w:rPr>
          <w:rFonts w:ascii="Calibri" w:eastAsia="Times New Roman" w:hAnsi="Calibri" w:cs="Calibri"/>
          <w:sz w:val="24"/>
          <w:szCs w:val="24"/>
        </w:rPr>
        <w:t xml:space="preserve">Cílem </w:t>
      </w:r>
      <w:r w:rsidRPr="00884491">
        <w:rPr>
          <w:rFonts w:ascii="Calibri" w:eastAsia="Times New Roman" w:hAnsi="Calibri" w:cs="Calibri"/>
          <w:i/>
          <w:sz w:val="24"/>
          <w:szCs w:val="24"/>
        </w:rPr>
        <w:t>Programu bezpečnostního</w:t>
      </w:r>
      <w:r w:rsidR="0065196E">
        <w:rPr>
          <w:rFonts w:ascii="Calibri" w:eastAsia="Times New Roman" w:hAnsi="Calibri" w:cs="Calibri"/>
          <w:i/>
          <w:sz w:val="24"/>
          <w:szCs w:val="24"/>
        </w:rPr>
        <w:t xml:space="preserve"> výzkumu pro potřeby státu 2016–</w:t>
      </w:r>
      <w:r w:rsidRPr="00884491">
        <w:rPr>
          <w:rFonts w:ascii="Calibri" w:eastAsia="Times New Roman" w:hAnsi="Calibri" w:cs="Calibri"/>
          <w:i/>
          <w:sz w:val="24"/>
          <w:szCs w:val="24"/>
        </w:rPr>
        <w:t>2021</w:t>
      </w:r>
      <w:r w:rsidRPr="003146CB">
        <w:rPr>
          <w:rFonts w:ascii="Calibri" w:eastAsia="Times New Roman" w:hAnsi="Calibri" w:cs="Calibri"/>
          <w:sz w:val="24"/>
          <w:szCs w:val="24"/>
        </w:rPr>
        <w:t xml:space="preserve"> (d</w:t>
      </w:r>
      <w:r>
        <w:rPr>
          <w:rFonts w:ascii="Calibri" w:eastAsia="Times New Roman" w:hAnsi="Calibri" w:cs="Calibri"/>
          <w:sz w:val="24"/>
          <w:szCs w:val="24"/>
        </w:rPr>
        <w:t>á</w:t>
      </w:r>
      <w:r w:rsidRPr="003146CB">
        <w:rPr>
          <w:rFonts w:ascii="Calibri" w:eastAsia="Times New Roman" w:hAnsi="Calibri" w:cs="Calibri"/>
          <w:sz w:val="24"/>
          <w:szCs w:val="24"/>
        </w:rPr>
        <w:t>le také „Program VH“</w:t>
      </w:r>
      <w:r w:rsidRPr="00747BDF">
        <w:rPr>
          <w:rFonts w:ascii="Calibri" w:eastAsia="Times New Roman" w:hAnsi="Calibri" w:cs="Calibri"/>
          <w:sz w:val="24"/>
          <w:szCs w:val="24"/>
        </w:rPr>
        <w:t xml:space="preserve">) je </w:t>
      </w:r>
      <w:r w:rsidRPr="00747BDF">
        <w:rPr>
          <w:rFonts w:ascii="Calibri" w:hAnsi="Calibri" w:cs="Calibri"/>
          <w:sz w:val="24"/>
          <w:szCs w:val="24"/>
        </w:rPr>
        <w:t>zvýšení bezpečnosti státu a občanů ČR prostřednictvím podpory výzkumných potřeb orgánů státní správy</w:t>
      </w:r>
      <w:r>
        <w:rPr>
          <w:rFonts w:ascii="Calibri" w:hAnsi="Calibri" w:cs="Calibri"/>
          <w:sz w:val="24"/>
          <w:szCs w:val="24"/>
        </w:rPr>
        <w:t xml:space="preserve">. Program má </w:t>
      </w:r>
      <w:r w:rsidRPr="00747BDF">
        <w:rPr>
          <w:rFonts w:ascii="Calibri" w:hAnsi="Calibri" w:cs="Calibri"/>
          <w:sz w:val="24"/>
          <w:szCs w:val="24"/>
        </w:rPr>
        <w:t>umožn</w:t>
      </w:r>
      <w:r>
        <w:rPr>
          <w:rFonts w:ascii="Calibri" w:hAnsi="Calibri" w:cs="Calibri"/>
          <w:sz w:val="24"/>
          <w:szCs w:val="24"/>
        </w:rPr>
        <w:t>it</w:t>
      </w:r>
      <w:r w:rsidRPr="00747BDF">
        <w:rPr>
          <w:rFonts w:ascii="Calibri" w:hAnsi="Calibri" w:cs="Calibri"/>
          <w:sz w:val="24"/>
          <w:szCs w:val="24"/>
        </w:rPr>
        <w:t xml:space="preserve"> jednotlivým aktérům na poli zajišťování bezpečnosti získávat, osvojovat si, udržovat a rozvíjet potřebné specifické schopnosti pro efektivní zabezpečování úkolů v jejich působnosti. </w:t>
      </w:r>
      <w:r>
        <w:rPr>
          <w:rFonts w:ascii="Calibri" w:hAnsi="Calibri" w:cs="Calibri"/>
          <w:sz w:val="24"/>
          <w:szCs w:val="24"/>
        </w:rPr>
        <w:t>Oproti Programu VI jsou jednotlivé projekty Programu VH</w:t>
      </w:r>
      <w:r w:rsidRPr="003A28DC">
        <w:rPr>
          <w:rFonts w:ascii="Calibri" w:hAnsi="Calibri" w:cs="Calibri"/>
          <w:sz w:val="24"/>
          <w:szCs w:val="24"/>
        </w:rPr>
        <w:t xml:space="preserve"> realizovány prostřednictvím veřejných zakázek a vycházejí z definovaných potřeb MV nebo orgánů státní správy. </w:t>
      </w:r>
      <w:r w:rsidRPr="003A28DC">
        <w:rPr>
          <w:rFonts w:ascii="Calibri" w:hAnsi="Calibri" w:cs="Calibri"/>
          <w:sz w:val="24"/>
          <w:szCs w:val="24"/>
          <w:lang w:eastAsia="cs-CZ"/>
        </w:rPr>
        <w:t xml:space="preserve">Předpokládané výdaje na šestileté období </w:t>
      </w:r>
      <w:r>
        <w:rPr>
          <w:rFonts w:ascii="Calibri" w:hAnsi="Calibri" w:cs="Calibri"/>
          <w:sz w:val="24"/>
          <w:szCs w:val="24"/>
          <w:lang w:eastAsia="cs-CZ"/>
        </w:rPr>
        <w:t>realizace</w:t>
      </w:r>
      <w:r w:rsidRPr="003A28DC">
        <w:rPr>
          <w:rFonts w:ascii="Calibri" w:hAnsi="Calibri" w:cs="Calibri"/>
          <w:sz w:val="24"/>
          <w:szCs w:val="24"/>
          <w:lang w:eastAsia="cs-CZ"/>
        </w:rPr>
        <w:t xml:space="preserve"> programu </w:t>
      </w:r>
      <w:r>
        <w:rPr>
          <w:rFonts w:ascii="Calibri" w:hAnsi="Calibri" w:cs="Calibri"/>
          <w:sz w:val="24"/>
          <w:szCs w:val="24"/>
          <w:lang w:eastAsia="cs-CZ"/>
        </w:rPr>
        <w:t xml:space="preserve">činily </w:t>
      </w:r>
      <w:r w:rsidRPr="003A28DC">
        <w:rPr>
          <w:rFonts w:ascii="Calibri" w:hAnsi="Calibri" w:cs="Calibri"/>
          <w:sz w:val="24"/>
          <w:szCs w:val="24"/>
          <w:lang w:eastAsia="cs-CZ"/>
        </w:rPr>
        <w:t xml:space="preserve">800 mil. Kč. </w:t>
      </w:r>
      <w:r>
        <w:rPr>
          <w:rFonts w:ascii="Calibri" w:eastAsia="Times New Roman" w:hAnsi="Calibri" w:cs="Calibri"/>
          <w:sz w:val="24"/>
          <w:szCs w:val="24"/>
        </w:rPr>
        <w:t>Do</w:t>
      </w:r>
      <w:r w:rsidR="0054632E">
        <w:rPr>
          <w:rFonts w:ascii="Calibri" w:eastAsia="Times New Roman" w:hAnsi="Calibri" w:cs="Calibri"/>
          <w:sz w:val="24"/>
          <w:szCs w:val="24"/>
        </w:rPr>
        <w:t xml:space="preserve"> </w:t>
      </w:r>
      <w:r w:rsidR="000D7844">
        <w:rPr>
          <w:rFonts w:ascii="Calibri" w:eastAsia="Times New Roman" w:hAnsi="Calibri" w:cs="Calibri"/>
          <w:sz w:val="24"/>
          <w:szCs w:val="24"/>
        </w:rPr>
        <w:t>konce roku</w:t>
      </w:r>
      <w:r w:rsidR="0054632E">
        <w:rPr>
          <w:rFonts w:ascii="Calibri" w:eastAsia="Times New Roman" w:hAnsi="Calibri" w:cs="Calibri"/>
          <w:sz w:val="24"/>
          <w:szCs w:val="24"/>
        </w:rPr>
        <w:t xml:space="preserve"> 2018</w:t>
      </w:r>
      <w:r w:rsidRPr="003A28DC">
        <w:rPr>
          <w:rFonts w:ascii="Calibri" w:eastAsia="Times New Roman" w:hAnsi="Calibri" w:cs="Calibri"/>
          <w:sz w:val="24"/>
          <w:szCs w:val="24"/>
        </w:rPr>
        <w:t xml:space="preserve"> </w:t>
      </w:r>
      <w:r>
        <w:rPr>
          <w:rFonts w:ascii="Calibri" w:eastAsia="Times New Roman" w:hAnsi="Calibri" w:cs="Calibri"/>
          <w:sz w:val="24"/>
          <w:szCs w:val="24"/>
        </w:rPr>
        <w:t>MV</w:t>
      </w:r>
      <w:r w:rsidRPr="003A28DC">
        <w:rPr>
          <w:rFonts w:ascii="Calibri" w:eastAsia="Times New Roman" w:hAnsi="Calibri" w:cs="Calibri"/>
          <w:sz w:val="24"/>
          <w:szCs w:val="24"/>
        </w:rPr>
        <w:t xml:space="preserve"> prostřednictví</w:t>
      </w:r>
      <w:r>
        <w:rPr>
          <w:rFonts w:ascii="Calibri" w:eastAsia="Times New Roman" w:hAnsi="Calibri" w:cs="Calibri"/>
          <w:sz w:val="24"/>
          <w:szCs w:val="24"/>
        </w:rPr>
        <w:t>m</w:t>
      </w:r>
      <w:r w:rsidRPr="003A28DC">
        <w:rPr>
          <w:rFonts w:ascii="Calibri" w:eastAsia="Times New Roman" w:hAnsi="Calibri" w:cs="Calibri"/>
          <w:sz w:val="24"/>
          <w:szCs w:val="24"/>
        </w:rPr>
        <w:t xml:space="preserve"> Programu VH podpoř</w:t>
      </w:r>
      <w:r>
        <w:rPr>
          <w:rFonts w:ascii="Calibri" w:eastAsia="Times New Roman" w:hAnsi="Calibri" w:cs="Calibri"/>
          <w:sz w:val="24"/>
          <w:szCs w:val="24"/>
        </w:rPr>
        <w:t>ilo</w:t>
      </w:r>
      <w:r w:rsidR="0054632E">
        <w:rPr>
          <w:rFonts w:ascii="Calibri" w:eastAsia="Times New Roman" w:hAnsi="Calibri" w:cs="Calibri"/>
          <w:sz w:val="24"/>
          <w:szCs w:val="24"/>
        </w:rPr>
        <w:t xml:space="preserve"> 42</w:t>
      </w:r>
      <w:r w:rsidRPr="003A28DC">
        <w:rPr>
          <w:rFonts w:ascii="Calibri" w:eastAsia="Times New Roman" w:hAnsi="Calibri" w:cs="Calibri"/>
          <w:sz w:val="24"/>
          <w:szCs w:val="24"/>
        </w:rPr>
        <w:t xml:space="preserve"> projektů v celkové částce 259 mil. Kč. </w:t>
      </w:r>
    </w:p>
    <w:p w14:paraId="1BD298F9" w14:textId="77777777" w:rsidR="00D512FE" w:rsidRDefault="00D512FE" w:rsidP="00D512FE">
      <w:pPr>
        <w:spacing w:after="0" w:line="240" w:lineRule="auto"/>
        <w:jc w:val="both"/>
        <w:rPr>
          <w:rFonts w:ascii="Calibri" w:eastAsia="Times New Roman" w:hAnsi="Calibri" w:cs="Calibri"/>
          <w:sz w:val="24"/>
          <w:szCs w:val="24"/>
        </w:rPr>
      </w:pPr>
    </w:p>
    <w:p w14:paraId="7943412D" w14:textId="77777777" w:rsidR="00785F12" w:rsidRPr="008A6560" w:rsidRDefault="00785F12" w:rsidP="00BD78C6">
      <w:pPr>
        <w:keepNext/>
        <w:keepLines/>
        <w:tabs>
          <w:tab w:val="right" w:pos="9072"/>
        </w:tabs>
        <w:spacing w:after="40" w:line="240" w:lineRule="auto"/>
        <w:jc w:val="both"/>
        <w:rPr>
          <w:rFonts w:ascii="Calibri" w:eastAsia="Times New Roman" w:hAnsi="Calibri" w:cs="Calibri"/>
          <w:b/>
          <w:color w:val="000000" w:themeColor="text1"/>
          <w:sz w:val="24"/>
          <w:szCs w:val="24"/>
        </w:rPr>
      </w:pPr>
      <w:r w:rsidRPr="008A6560">
        <w:rPr>
          <w:rFonts w:ascii="Calibri" w:eastAsia="Times New Roman" w:hAnsi="Calibri" w:cs="Calibri"/>
          <w:b/>
          <w:color w:val="000000" w:themeColor="text1"/>
          <w:sz w:val="24"/>
          <w:szCs w:val="24"/>
          <w:lang w:eastAsia="cs-CZ"/>
        </w:rPr>
        <w:t>Tabulka č. 3: Účelová podpora BV – čerpání Programu VH</w:t>
      </w:r>
      <w:r w:rsidRPr="008A6560">
        <w:rPr>
          <w:rFonts w:ascii="Calibri" w:eastAsia="Times New Roman" w:hAnsi="Calibri" w:cs="Calibri"/>
          <w:b/>
          <w:color w:val="000000" w:themeColor="text1"/>
          <w:sz w:val="24"/>
          <w:szCs w:val="24"/>
          <w:lang w:eastAsia="cs-CZ"/>
        </w:rPr>
        <w:tab/>
      </w:r>
      <w:r w:rsidR="00196F11">
        <w:rPr>
          <w:rFonts w:ascii="Calibri" w:eastAsia="Times New Roman" w:hAnsi="Calibri" w:cs="Calibri"/>
          <w:b/>
          <w:color w:val="000000" w:themeColor="text1"/>
          <w:sz w:val="24"/>
          <w:szCs w:val="24"/>
          <w:lang w:eastAsia="cs-CZ"/>
        </w:rPr>
        <w:t>(</w:t>
      </w:r>
      <w:r w:rsidRPr="008A6560">
        <w:rPr>
          <w:rFonts w:ascii="Calibri" w:eastAsia="Times New Roman" w:hAnsi="Calibri" w:cs="Calibri"/>
          <w:b/>
          <w:color w:val="000000" w:themeColor="text1"/>
          <w:sz w:val="24"/>
          <w:szCs w:val="24"/>
          <w:lang w:eastAsia="cs-CZ"/>
        </w:rPr>
        <w:t>v tis. Kč</w:t>
      </w:r>
      <w:r w:rsidR="00196F11">
        <w:rPr>
          <w:rFonts w:ascii="Calibri" w:eastAsia="Times New Roman" w:hAnsi="Calibri" w:cs="Calibri"/>
          <w:b/>
          <w:color w:val="000000" w:themeColor="text1"/>
          <w:sz w:val="24"/>
          <w:szCs w:val="24"/>
          <w:lang w:eastAsia="cs-CZ"/>
        </w:rPr>
        <w: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8"/>
        <w:gridCol w:w="1474"/>
        <w:gridCol w:w="1474"/>
        <w:gridCol w:w="1474"/>
        <w:gridCol w:w="1701"/>
      </w:tblGrid>
      <w:tr w:rsidR="00785F12" w:rsidRPr="003146CB" w14:paraId="62ED9D65" w14:textId="77777777" w:rsidTr="00F06D40">
        <w:trPr>
          <w:trHeight w:val="340"/>
          <w:jc w:val="center"/>
        </w:trPr>
        <w:tc>
          <w:tcPr>
            <w:tcW w:w="294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4284872" w14:textId="77777777" w:rsidR="00785F12" w:rsidRPr="003146CB" w:rsidRDefault="00785F12" w:rsidP="00BD78C6">
            <w:pPr>
              <w:keepNext/>
              <w:keepLines/>
              <w:spacing w:after="0" w:line="240" w:lineRule="auto"/>
              <w:jc w:val="center"/>
              <w:rPr>
                <w:rFonts w:ascii="Calibri" w:eastAsia="Times New Roman" w:hAnsi="Calibri" w:cs="Calibri"/>
                <w:b/>
                <w:sz w:val="20"/>
                <w:szCs w:val="20"/>
                <w:lang w:eastAsia="cs-CZ"/>
              </w:rPr>
            </w:pPr>
          </w:p>
        </w:tc>
        <w:tc>
          <w:tcPr>
            <w:tcW w:w="147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387002E0" w14:textId="77777777" w:rsidR="00785F12" w:rsidRPr="003146CB" w:rsidRDefault="00785F12" w:rsidP="00BD78C6">
            <w:pPr>
              <w:keepNext/>
              <w:keepLines/>
              <w:spacing w:after="0" w:line="240" w:lineRule="auto"/>
              <w:jc w:val="center"/>
              <w:rPr>
                <w:rFonts w:ascii="Calibri" w:eastAsia="Times New Roman" w:hAnsi="Calibri" w:cs="Calibri"/>
                <w:b/>
                <w:sz w:val="20"/>
                <w:szCs w:val="20"/>
              </w:rPr>
            </w:pPr>
            <w:r w:rsidRPr="003146CB">
              <w:rPr>
                <w:rFonts w:ascii="Calibri" w:eastAsia="Times New Roman" w:hAnsi="Calibri" w:cs="Calibri"/>
                <w:b/>
                <w:sz w:val="20"/>
                <w:szCs w:val="20"/>
              </w:rPr>
              <w:t>2016</w:t>
            </w:r>
          </w:p>
        </w:tc>
        <w:tc>
          <w:tcPr>
            <w:tcW w:w="147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3C2B0D76" w14:textId="77777777" w:rsidR="00785F12" w:rsidRPr="003146CB" w:rsidRDefault="00785F12" w:rsidP="00BD78C6">
            <w:pPr>
              <w:keepNext/>
              <w:keepLines/>
              <w:spacing w:after="0" w:line="240" w:lineRule="auto"/>
              <w:jc w:val="center"/>
              <w:rPr>
                <w:rFonts w:ascii="Calibri" w:eastAsia="Times New Roman" w:hAnsi="Calibri" w:cs="Calibri"/>
                <w:b/>
                <w:sz w:val="20"/>
                <w:szCs w:val="20"/>
              </w:rPr>
            </w:pPr>
            <w:r w:rsidRPr="003146CB">
              <w:rPr>
                <w:rFonts w:ascii="Calibri" w:eastAsia="Times New Roman" w:hAnsi="Calibri" w:cs="Calibri"/>
                <w:b/>
                <w:sz w:val="20"/>
                <w:szCs w:val="20"/>
              </w:rPr>
              <w:t>2017</w:t>
            </w:r>
          </w:p>
        </w:tc>
        <w:tc>
          <w:tcPr>
            <w:tcW w:w="147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AB049A6" w14:textId="77777777" w:rsidR="00785F12" w:rsidRPr="003146CB" w:rsidRDefault="00785F12" w:rsidP="00BD78C6">
            <w:pPr>
              <w:keepNext/>
              <w:keepLines/>
              <w:spacing w:after="0" w:line="240" w:lineRule="auto"/>
              <w:jc w:val="center"/>
              <w:rPr>
                <w:rFonts w:ascii="Calibri" w:eastAsia="Times New Roman" w:hAnsi="Calibri" w:cs="Calibri"/>
                <w:b/>
                <w:sz w:val="20"/>
                <w:szCs w:val="20"/>
              </w:rPr>
            </w:pPr>
            <w:r w:rsidRPr="003146CB">
              <w:rPr>
                <w:rFonts w:ascii="Calibri" w:eastAsia="Times New Roman" w:hAnsi="Calibri" w:cs="Calibri"/>
                <w:b/>
                <w:sz w:val="20"/>
                <w:szCs w:val="20"/>
              </w:rPr>
              <w:t>2018</w:t>
            </w:r>
          </w:p>
        </w:tc>
        <w:tc>
          <w:tcPr>
            <w:tcW w:w="1701" w:type="dxa"/>
            <w:tcBorders>
              <w:top w:val="single" w:sz="4" w:space="0" w:color="auto"/>
              <w:left w:val="single" w:sz="4" w:space="0" w:color="auto"/>
              <w:bottom w:val="single" w:sz="4" w:space="0" w:color="auto"/>
              <w:right w:val="single" w:sz="4" w:space="0" w:color="auto"/>
            </w:tcBorders>
            <w:shd w:val="clear" w:color="auto" w:fill="E5F1FF"/>
            <w:vAlign w:val="center"/>
          </w:tcPr>
          <w:p w14:paraId="380640B8" w14:textId="77777777" w:rsidR="00785F12" w:rsidRPr="003146CB" w:rsidRDefault="00785F12" w:rsidP="00BD78C6">
            <w:pPr>
              <w:keepNext/>
              <w:keepLines/>
              <w:spacing w:after="0" w:line="240" w:lineRule="auto"/>
              <w:jc w:val="center"/>
              <w:rPr>
                <w:rFonts w:ascii="Calibri" w:eastAsia="Times New Roman" w:hAnsi="Calibri" w:cs="Calibri"/>
                <w:b/>
                <w:sz w:val="20"/>
                <w:szCs w:val="20"/>
              </w:rPr>
            </w:pPr>
            <w:r w:rsidRPr="003146CB">
              <w:rPr>
                <w:rFonts w:ascii="Calibri" w:eastAsia="Times New Roman" w:hAnsi="Calibri" w:cs="Calibri"/>
                <w:b/>
                <w:sz w:val="20"/>
                <w:szCs w:val="20"/>
              </w:rPr>
              <w:t>Celkem</w:t>
            </w:r>
          </w:p>
        </w:tc>
      </w:tr>
      <w:tr w:rsidR="00785F12" w:rsidRPr="003146CB" w14:paraId="07B8F5D4" w14:textId="77777777" w:rsidTr="00F06D40">
        <w:trPr>
          <w:trHeight w:val="567"/>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14:paraId="50BC21A1" w14:textId="638D56F4" w:rsidR="00785F12" w:rsidRPr="003146CB" w:rsidRDefault="00785F12" w:rsidP="00BD78C6">
            <w:pPr>
              <w:keepNext/>
              <w:keepLines/>
              <w:spacing w:after="0" w:line="240" w:lineRule="auto"/>
              <w:jc w:val="center"/>
              <w:rPr>
                <w:rFonts w:ascii="Calibri" w:eastAsia="Times New Roman" w:hAnsi="Calibri" w:cs="Calibri"/>
                <w:b/>
                <w:sz w:val="20"/>
                <w:szCs w:val="20"/>
              </w:rPr>
            </w:pPr>
            <w:r w:rsidRPr="003146CB">
              <w:rPr>
                <w:rFonts w:ascii="Calibri" w:eastAsia="Times New Roman" w:hAnsi="Calibri" w:cs="Calibri"/>
                <w:b/>
                <w:sz w:val="20"/>
                <w:szCs w:val="20"/>
              </w:rPr>
              <w:t>Skutečné čerpání veřejné podpory z Programu</w:t>
            </w:r>
            <w:r w:rsidR="00775955">
              <w:rPr>
                <w:rFonts w:ascii="Calibri" w:eastAsia="Times New Roman" w:hAnsi="Calibri" w:cs="Calibri"/>
                <w:b/>
                <w:sz w:val="20"/>
                <w:szCs w:val="20"/>
              </w:rPr>
              <w:t> VH</w:t>
            </w:r>
          </w:p>
        </w:tc>
        <w:tc>
          <w:tcPr>
            <w:tcW w:w="1474" w:type="dxa"/>
            <w:tcBorders>
              <w:top w:val="single" w:sz="4" w:space="0" w:color="auto"/>
              <w:left w:val="single" w:sz="4" w:space="0" w:color="auto"/>
              <w:bottom w:val="single" w:sz="4" w:space="0" w:color="auto"/>
              <w:right w:val="single" w:sz="4" w:space="0" w:color="auto"/>
            </w:tcBorders>
            <w:noWrap/>
            <w:vAlign w:val="center"/>
            <w:hideMark/>
          </w:tcPr>
          <w:p w14:paraId="5C62F394" w14:textId="77777777" w:rsidR="00785F12" w:rsidRPr="003146CB" w:rsidRDefault="00785F12" w:rsidP="00BD78C6">
            <w:pPr>
              <w:keepNext/>
              <w:keepLines/>
              <w:spacing w:after="0" w:line="240" w:lineRule="auto"/>
              <w:ind w:right="429"/>
              <w:jc w:val="right"/>
              <w:rPr>
                <w:rFonts w:ascii="Calibri" w:eastAsia="Times New Roman" w:hAnsi="Calibri" w:cs="Calibri"/>
                <w:sz w:val="20"/>
                <w:szCs w:val="20"/>
              </w:rPr>
            </w:pPr>
            <w:r w:rsidRPr="003146CB">
              <w:rPr>
                <w:rFonts w:ascii="Calibri" w:eastAsia="Times New Roman" w:hAnsi="Calibri" w:cs="Calibri"/>
                <w:sz w:val="20"/>
                <w:szCs w:val="20"/>
              </w:rPr>
              <w:t>9 27</w:t>
            </w:r>
            <w:r>
              <w:rPr>
                <w:rFonts w:ascii="Calibri" w:eastAsia="Times New Roman" w:hAnsi="Calibri" w:cs="Calibri"/>
                <w:sz w:val="20"/>
                <w:szCs w:val="20"/>
              </w:rPr>
              <w:t>9</w:t>
            </w:r>
          </w:p>
        </w:tc>
        <w:tc>
          <w:tcPr>
            <w:tcW w:w="1474" w:type="dxa"/>
            <w:tcBorders>
              <w:top w:val="single" w:sz="4" w:space="0" w:color="auto"/>
              <w:left w:val="single" w:sz="4" w:space="0" w:color="auto"/>
              <w:bottom w:val="single" w:sz="4" w:space="0" w:color="auto"/>
              <w:right w:val="single" w:sz="4" w:space="0" w:color="auto"/>
            </w:tcBorders>
            <w:noWrap/>
            <w:vAlign w:val="center"/>
            <w:hideMark/>
          </w:tcPr>
          <w:p w14:paraId="5B2769A7" w14:textId="77777777" w:rsidR="00785F12" w:rsidRPr="003146CB" w:rsidRDefault="00785F12" w:rsidP="00BD78C6">
            <w:pPr>
              <w:keepNext/>
              <w:keepLines/>
              <w:spacing w:after="0" w:line="240" w:lineRule="auto"/>
              <w:ind w:right="429"/>
              <w:jc w:val="right"/>
              <w:rPr>
                <w:rFonts w:ascii="Calibri" w:eastAsia="Times New Roman" w:hAnsi="Calibri" w:cs="Calibri"/>
                <w:sz w:val="20"/>
                <w:szCs w:val="20"/>
              </w:rPr>
            </w:pPr>
            <w:r w:rsidRPr="003146CB">
              <w:rPr>
                <w:rFonts w:ascii="Calibri" w:eastAsia="Times New Roman" w:hAnsi="Calibri" w:cs="Calibri"/>
                <w:sz w:val="20"/>
                <w:szCs w:val="20"/>
              </w:rPr>
              <w:t>88 33</w:t>
            </w:r>
            <w:r>
              <w:rPr>
                <w:rFonts w:ascii="Calibri" w:eastAsia="Times New Roman" w:hAnsi="Calibri" w:cs="Calibri"/>
                <w:sz w:val="20"/>
                <w:szCs w:val="20"/>
              </w:rPr>
              <w:t>4</w:t>
            </w:r>
          </w:p>
        </w:tc>
        <w:tc>
          <w:tcPr>
            <w:tcW w:w="1474" w:type="dxa"/>
            <w:tcBorders>
              <w:top w:val="single" w:sz="4" w:space="0" w:color="auto"/>
              <w:left w:val="single" w:sz="4" w:space="0" w:color="auto"/>
              <w:bottom w:val="single" w:sz="4" w:space="0" w:color="auto"/>
              <w:right w:val="single" w:sz="4" w:space="0" w:color="auto"/>
            </w:tcBorders>
            <w:noWrap/>
            <w:vAlign w:val="center"/>
            <w:hideMark/>
          </w:tcPr>
          <w:p w14:paraId="120D134C" w14:textId="77777777" w:rsidR="00785F12" w:rsidRPr="003146CB" w:rsidRDefault="00785F12" w:rsidP="00BD78C6">
            <w:pPr>
              <w:keepNext/>
              <w:keepLines/>
              <w:spacing w:after="0" w:line="240" w:lineRule="auto"/>
              <w:ind w:right="429"/>
              <w:jc w:val="right"/>
              <w:rPr>
                <w:rFonts w:ascii="Calibri" w:eastAsia="Times New Roman" w:hAnsi="Calibri" w:cs="Calibri"/>
                <w:sz w:val="20"/>
                <w:szCs w:val="20"/>
              </w:rPr>
            </w:pPr>
            <w:r w:rsidRPr="003146CB">
              <w:rPr>
                <w:rFonts w:ascii="Calibri" w:eastAsia="Times New Roman" w:hAnsi="Calibri" w:cs="Calibri"/>
                <w:sz w:val="20"/>
                <w:szCs w:val="20"/>
              </w:rPr>
              <w:t>161 32</w:t>
            </w:r>
            <w:r>
              <w:rPr>
                <w:rFonts w:ascii="Calibri" w:eastAsia="Times New Roman" w:hAnsi="Calibri" w:cs="Calibri"/>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14:paraId="1AAA061B" w14:textId="77777777" w:rsidR="00785F12" w:rsidRPr="003146CB" w:rsidRDefault="00785F12" w:rsidP="00BD78C6">
            <w:pPr>
              <w:keepNext/>
              <w:keepLines/>
              <w:spacing w:after="0" w:line="240" w:lineRule="auto"/>
              <w:ind w:right="429"/>
              <w:jc w:val="right"/>
              <w:rPr>
                <w:rFonts w:ascii="Calibri" w:eastAsia="Times New Roman" w:hAnsi="Calibri" w:cs="Calibri"/>
                <w:sz w:val="20"/>
                <w:szCs w:val="20"/>
              </w:rPr>
            </w:pPr>
            <w:r w:rsidRPr="003146CB">
              <w:rPr>
                <w:rFonts w:ascii="Calibri" w:eastAsia="Times New Roman" w:hAnsi="Calibri" w:cs="Calibri"/>
                <w:sz w:val="20"/>
                <w:szCs w:val="20"/>
              </w:rPr>
              <w:t>258 94</w:t>
            </w:r>
            <w:r w:rsidR="00BE6B85">
              <w:rPr>
                <w:rFonts w:ascii="Calibri" w:eastAsia="Times New Roman" w:hAnsi="Calibri" w:cs="Calibri"/>
                <w:sz w:val="20"/>
                <w:szCs w:val="20"/>
              </w:rPr>
              <w:t>0</w:t>
            </w:r>
          </w:p>
        </w:tc>
      </w:tr>
    </w:tbl>
    <w:p w14:paraId="5DBB8C72" w14:textId="6FA79306" w:rsidR="00785F12" w:rsidRPr="003146CB" w:rsidRDefault="00785F12" w:rsidP="00BD78C6">
      <w:pPr>
        <w:keepNext/>
        <w:keepLines/>
        <w:autoSpaceDE w:val="0"/>
        <w:autoSpaceDN w:val="0"/>
        <w:adjustRightInd w:val="0"/>
        <w:spacing w:before="40" w:after="0" w:line="240" w:lineRule="auto"/>
        <w:jc w:val="both"/>
        <w:rPr>
          <w:rFonts w:ascii="Calibri" w:eastAsia="Times New Roman" w:hAnsi="Calibri" w:cs="Calibri"/>
          <w:sz w:val="20"/>
          <w:szCs w:val="24"/>
          <w:lang w:eastAsia="cs-CZ"/>
        </w:rPr>
      </w:pPr>
      <w:r w:rsidRPr="00F87B22">
        <w:rPr>
          <w:rFonts w:ascii="Calibri" w:eastAsia="Times New Roman" w:hAnsi="Calibri" w:cs="Calibri"/>
          <w:b/>
          <w:sz w:val="20"/>
          <w:szCs w:val="24"/>
          <w:lang w:eastAsia="cs-CZ"/>
        </w:rPr>
        <w:t>Zdroj:</w:t>
      </w:r>
      <w:r w:rsidRPr="003146CB">
        <w:rPr>
          <w:rFonts w:ascii="Calibri" w:eastAsia="Times New Roman" w:hAnsi="Calibri" w:cs="Calibri"/>
          <w:sz w:val="20"/>
          <w:szCs w:val="24"/>
          <w:lang w:eastAsia="cs-CZ"/>
        </w:rPr>
        <w:t xml:space="preserve"> </w:t>
      </w:r>
      <w:r w:rsidR="00196F11">
        <w:rPr>
          <w:rFonts w:ascii="Calibri" w:eastAsia="Times New Roman" w:hAnsi="Calibri" w:cs="Calibri"/>
          <w:sz w:val="20"/>
          <w:szCs w:val="24"/>
          <w:lang w:eastAsia="cs-CZ"/>
        </w:rPr>
        <w:t>d</w:t>
      </w:r>
      <w:r w:rsidRPr="003146CB">
        <w:rPr>
          <w:rFonts w:ascii="Calibri" w:eastAsia="Times New Roman" w:hAnsi="Calibri" w:cs="Calibri"/>
          <w:sz w:val="20"/>
          <w:szCs w:val="24"/>
          <w:lang w:eastAsia="cs-CZ"/>
        </w:rPr>
        <w:t>okumenty předložené MV.</w:t>
      </w:r>
    </w:p>
    <w:p w14:paraId="7F07E7B9" w14:textId="77777777" w:rsidR="001F5674" w:rsidRPr="001F5674" w:rsidRDefault="001F5674" w:rsidP="001F5674">
      <w:pPr>
        <w:spacing w:after="0" w:line="240" w:lineRule="auto"/>
        <w:jc w:val="both"/>
        <w:rPr>
          <w:rFonts w:ascii="Calibri" w:hAnsi="Calibri" w:cs="Calibri"/>
          <w:color w:val="000000" w:themeColor="text1"/>
          <w:sz w:val="24"/>
          <w:szCs w:val="24"/>
        </w:rPr>
      </w:pPr>
    </w:p>
    <w:p w14:paraId="6D519D24" w14:textId="0AC0461F" w:rsidR="00785F12" w:rsidRPr="001F5674" w:rsidRDefault="00785F12" w:rsidP="001F5674">
      <w:pPr>
        <w:spacing w:after="0" w:line="240" w:lineRule="auto"/>
        <w:jc w:val="both"/>
        <w:rPr>
          <w:rFonts w:ascii="Calibri" w:eastAsia="Times New Roman" w:hAnsi="Calibri" w:cs="Calibri"/>
          <w:sz w:val="24"/>
          <w:szCs w:val="24"/>
          <w:lang w:eastAsia="cs-CZ"/>
        </w:rPr>
      </w:pPr>
      <w:r w:rsidRPr="001F5674">
        <w:rPr>
          <w:rFonts w:ascii="Calibri" w:hAnsi="Calibri" w:cs="Calibri"/>
          <w:color w:val="000000" w:themeColor="text1"/>
          <w:sz w:val="24"/>
          <w:szCs w:val="24"/>
        </w:rPr>
        <w:t>2.7</w:t>
      </w:r>
      <w:r w:rsidR="001F5674" w:rsidRPr="001F5674">
        <w:rPr>
          <w:rFonts w:ascii="Calibri" w:hAnsi="Calibri" w:cs="Calibri"/>
          <w:color w:val="000000" w:themeColor="text1"/>
          <w:sz w:val="24"/>
          <w:szCs w:val="24"/>
        </w:rPr>
        <w:t xml:space="preserve"> </w:t>
      </w:r>
      <w:r w:rsidRPr="001F5674">
        <w:rPr>
          <w:rFonts w:ascii="Calibri" w:hAnsi="Calibri" w:cs="Calibri"/>
          <w:color w:val="000000" w:themeColor="text1"/>
          <w:sz w:val="24"/>
          <w:szCs w:val="24"/>
        </w:rPr>
        <w:t xml:space="preserve">ČR se dále může ucházet o podporu BV hrazenou z fondů Evropské unie (dále také „EU“). </w:t>
      </w:r>
      <w:r w:rsidRPr="001F5674">
        <w:rPr>
          <w:rFonts w:ascii="Calibri" w:eastAsia="Times New Roman" w:hAnsi="Calibri" w:cs="Calibri"/>
          <w:sz w:val="24"/>
          <w:szCs w:val="24"/>
          <w:lang w:eastAsia="cs-CZ"/>
        </w:rPr>
        <w:t xml:space="preserve">Hlavním nástrojem podpory výzkumu jsou tzv. rámcové programy EU, z nichž mohou být financovány i projekty v oblasti bezpečnosti. </w:t>
      </w:r>
      <w:r w:rsidR="00F87B22" w:rsidRPr="001F5674">
        <w:rPr>
          <w:rFonts w:ascii="Calibri" w:eastAsia="Times New Roman" w:hAnsi="Calibri" w:cs="Calibri"/>
          <w:sz w:val="24"/>
          <w:szCs w:val="24"/>
          <w:lang w:eastAsia="cs-CZ"/>
        </w:rPr>
        <w:t>Na období 2007–</w:t>
      </w:r>
      <w:r w:rsidRPr="001F5674">
        <w:rPr>
          <w:rFonts w:ascii="Calibri" w:eastAsia="Times New Roman" w:hAnsi="Calibri" w:cs="Calibri"/>
          <w:sz w:val="24"/>
          <w:szCs w:val="24"/>
          <w:lang w:eastAsia="cs-CZ"/>
        </w:rPr>
        <w:t xml:space="preserve">2013 byl vyhlášen </w:t>
      </w:r>
      <w:r w:rsidR="00F87B22" w:rsidRPr="001F5674">
        <w:rPr>
          <w:rFonts w:ascii="Calibri" w:eastAsia="Times New Roman" w:hAnsi="Calibri" w:cs="Calibri"/>
          <w:i/>
          <w:sz w:val="24"/>
          <w:szCs w:val="24"/>
          <w:shd w:val="clear" w:color="auto" w:fill="FFFFFF"/>
        </w:rPr>
        <w:t>7. </w:t>
      </w:r>
      <w:r w:rsidRPr="001F5674">
        <w:rPr>
          <w:rFonts w:ascii="Calibri" w:eastAsia="Times New Roman" w:hAnsi="Calibri" w:cs="Calibri"/>
          <w:i/>
          <w:sz w:val="24"/>
          <w:szCs w:val="24"/>
          <w:shd w:val="clear" w:color="auto" w:fill="FFFFFF"/>
        </w:rPr>
        <w:t>rámcový program pro výzkum a technologický rozvoj</w:t>
      </w:r>
      <w:r w:rsidRPr="001F5674">
        <w:rPr>
          <w:rFonts w:ascii="Calibri" w:eastAsia="Times New Roman" w:hAnsi="Calibri" w:cs="Calibri"/>
          <w:sz w:val="24"/>
          <w:szCs w:val="24"/>
          <w:shd w:val="clear" w:color="auto" w:fill="FFFFFF"/>
        </w:rPr>
        <w:t xml:space="preserve">, na </w:t>
      </w:r>
      <w:r w:rsidR="00196F11">
        <w:rPr>
          <w:rFonts w:ascii="Calibri" w:eastAsia="Times New Roman" w:hAnsi="Calibri" w:cs="Calibri"/>
          <w:sz w:val="24"/>
          <w:szCs w:val="24"/>
          <w:shd w:val="clear" w:color="auto" w:fill="FFFFFF"/>
        </w:rPr>
        <w:t>který</w:t>
      </w:r>
      <w:r w:rsidRPr="001F5674">
        <w:rPr>
          <w:rFonts w:ascii="Calibri" w:eastAsia="Times New Roman" w:hAnsi="Calibri" w:cs="Calibri"/>
          <w:sz w:val="24"/>
          <w:szCs w:val="24"/>
          <w:shd w:val="clear" w:color="auto" w:fill="FFFFFF"/>
        </w:rPr>
        <w:t xml:space="preserve"> navazuje program </w:t>
      </w:r>
      <w:r w:rsidRPr="001F5674">
        <w:rPr>
          <w:rFonts w:ascii="Calibri" w:eastAsia="Times New Roman" w:hAnsi="Calibri" w:cs="Calibri"/>
          <w:i/>
          <w:sz w:val="24"/>
          <w:szCs w:val="24"/>
          <w:shd w:val="clear" w:color="auto" w:fill="FFFFFF"/>
        </w:rPr>
        <w:t>Horizont 2020 – rámcový program pro výzkum a inovace</w:t>
      </w:r>
      <w:r w:rsidR="00F87B22" w:rsidRPr="001F5674">
        <w:rPr>
          <w:rFonts w:ascii="Calibri" w:eastAsia="Times New Roman" w:hAnsi="Calibri" w:cs="Calibri"/>
          <w:sz w:val="24"/>
          <w:szCs w:val="24"/>
          <w:shd w:val="clear" w:color="auto" w:fill="FFFFFF"/>
        </w:rPr>
        <w:t xml:space="preserve"> probíhající v období 2014–</w:t>
      </w:r>
      <w:r w:rsidRPr="001F5674">
        <w:rPr>
          <w:rFonts w:ascii="Calibri" w:eastAsia="Times New Roman" w:hAnsi="Calibri" w:cs="Calibri"/>
          <w:sz w:val="24"/>
          <w:szCs w:val="24"/>
          <w:shd w:val="clear" w:color="auto" w:fill="FFFFFF"/>
        </w:rPr>
        <w:t>2020.</w:t>
      </w:r>
    </w:p>
    <w:p w14:paraId="6F064E82" w14:textId="77777777" w:rsidR="00785F12" w:rsidRDefault="00785F12" w:rsidP="001F5674">
      <w:pPr>
        <w:spacing w:after="0" w:line="240" w:lineRule="auto"/>
        <w:jc w:val="both"/>
        <w:rPr>
          <w:rFonts w:ascii="Calibri" w:hAnsi="Calibri" w:cs="Calibri"/>
          <w:sz w:val="24"/>
          <w:szCs w:val="24"/>
        </w:rPr>
      </w:pPr>
    </w:p>
    <w:p w14:paraId="5FFEC8BC" w14:textId="77777777" w:rsidR="001F5674" w:rsidRPr="001F5674" w:rsidRDefault="001F5674" w:rsidP="001F5674">
      <w:pPr>
        <w:spacing w:after="0" w:line="240" w:lineRule="auto"/>
        <w:jc w:val="both"/>
        <w:rPr>
          <w:rFonts w:ascii="Calibri" w:hAnsi="Calibri" w:cs="Calibri"/>
          <w:sz w:val="24"/>
          <w:szCs w:val="24"/>
        </w:rPr>
      </w:pPr>
    </w:p>
    <w:p w14:paraId="4C67C9B6" w14:textId="77777777" w:rsidR="00785F12" w:rsidRPr="000F2CF9" w:rsidRDefault="00785F12" w:rsidP="00785F12">
      <w:pPr>
        <w:spacing w:after="0" w:line="240" w:lineRule="auto"/>
        <w:jc w:val="center"/>
        <w:rPr>
          <w:b/>
          <w:sz w:val="32"/>
          <w:szCs w:val="32"/>
        </w:rPr>
      </w:pPr>
      <w:r>
        <w:rPr>
          <w:b/>
          <w:sz w:val="32"/>
          <w:szCs w:val="32"/>
        </w:rPr>
        <w:t xml:space="preserve">III. </w:t>
      </w:r>
      <w:r w:rsidRPr="000F2CF9">
        <w:rPr>
          <w:b/>
          <w:sz w:val="32"/>
          <w:szCs w:val="32"/>
        </w:rPr>
        <w:t>Rozsah kontroly</w:t>
      </w:r>
    </w:p>
    <w:p w14:paraId="44B216CB" w14:textId="77777777" w:rsidR="00785F12" w:rsidRPr="00457E1C" w:rsidRDefault="00785F12" w:rsidP="00457E1C">
      <w:pPr>
        <w:autoSpaceDE w:val="0"/>
        <w:autoSpaceDN w:val="0"/>
        <w:adjustRightInd w:val="0"/>
        <w:spacing w:after="0" w:line="240" w:lineRule="auto"/>
        <w:jc w:val="both"/>
        <w:rPr>
          <w:rFonts w:ascii="Calibri" w:eastAsia="TimesNewRomanPSMT" w:hAnsi="Calibri" w:cs="Calibri"/>
          <w:sz w:val="24"/>
          <w:szCs w:val="24"/>
        </w:rPr>
      </w:pPr>
    </w:p>
    <w:p w14:paraId="7F21551D" w14:textId="77777777" w:rsidR="00785F12" w:rsidRDefault="00785F12" w:rsidP="00457E1C">
      <w:pPr>
        <w:spacing w:after="0" w:line="240" w:lineRule="auto"/>
        <w:jc w:val="both"/>
        <w:rPr>
          <w:rFonts w:ascii="Calibri" w:hAnsi="Calibri" w:cs="Calibri"/>
          <w:sz w:val="24"/>
          <w:szCs w:val="24"/>
        </w:rPr>
      </w:pPr>
      <w:r w:rsidRPr="00457E1C">
        <w:rPr>
          <w:rFonts w:ascii="Calibri" w:hAnsi="Calibri" w:cs="Calibri"/>
          <w:sz w:val="24"/>
          <w:szCs w:val="24"/>
        </w:rPr>
        <w:t>3.1</w:t>
      </w:r>
      <w:r w:rsidR="00457E1C" w:rsidRPr="00457E1C">
        <w:rPr>
          <w:rFonts w:ascii="Calibri" w:hAnsi="Calibri" w:cs="Calibri"/>
          <w:sz w:val="24"/>
          <w:szCs w:val="24"/>
        </w:rPr>
        <w:t xml:space="preserve"> </w:t>
      </w:r>
      <w:r w:rsidRPr="00457E1C">
        <w:rPr>
          <w:rFonts w:ascii="Calibri" w:hAnsi="Calibri" w:cs="Calibri"/>
          <w:sz w:val="24"/>
          <w:szCs w:val="24"/>
        </w:rPr>
        <w:t>Předmětem kontroly NKÚ byla podpora bezpečnostního výzkumu poskytovaná z</w:t>
      </w:r>
      <w:r w:rsidR="00457E1C" w:rsidRPr="00457E1C">
        <w:rPr>
          <w:rFonts w:ascii="Calibri" w:hAnsi="Calibri" w:cs="Calibri"/>
          <w:sz w:val="24"/>
          <w:szCs w:val="24"/>
        </w:rPr>
        <w:t> </w:t>
      </w:r>
      <w:r w:rsidR="00DB440A" w:rsidRPr="00457E1C">
        <w:rPr>
          <w:rFonts w:ascii="Calibri" w:hAnsi="Calibri" w:cs="Calibri"/>
          <w:sz w:val="24"/>
          <w:szCs w:val="24"/>
        </w:rPr>
        <w:t>rozpočtové kapitoly Ministerstva</w:t>
      </w:r>
      <w:r w:rsidRPr="00457E1C">
        <w:rPr>
          <w:rFonts w:ascii="Calibri" w:hAnsi="Calibri" w:cs="Calibri"/>
          <w:sz w:val="24"/>
          <w:szCs w:val="24"/>
        </w:rPr>
        <w:t xml:space="preserve"> vnitra.</w:t>
      </w:r>
      <w:r w:rsidRPr="00457E1C">
        <w:rPr>
          <w:rFonts w:ascii="Calibri" w:hAnsi="Calibri" w:cs="Calibri"/>
          <w:color w:val="000000"/>
          <w:sz w:val="24"/>
          <w:szCs w:val="24"/>
        </w:rPr>
        <w:t xml:space="preserve"> </w:t>
      </w:r>
      <w:r w:rsidRPr="00457E1C">
        <w:rPr>
          <w:rFonts w:ascii="Calibri" w:hAnsi="Calibri" w:cs="Calibri"/>
          <w:sz w:val="24"/>
          <w:szCs w:val="24"/>
        </w:rPr>
        <w:t>Kontrolovaným obdobím byly roky 2016 až 2018, v případě věcných souvislostí i obdo</w:t>
      </w:r>
      <w:r w:rsidR="00457E1C">
        <w:rPr>
          <w:rFonts w:ascii="Calibri" w:hAnsi="Calibri" w:cs="Calibri"/>
          <w:sz w:val="24"/>
          <w:szCs w:val="24"/>
        </w:rPr>
        <w:t>bí předcházející a následující.</w:t>
      </w:r>
    </w:p>
    <w:p w14:paraId="3CCB44E7" w14:textId="77777777" w:rsidR="00457E1C" w:rsidRPr="00457E1C" w:rsidRDefault="00457E1C" w:rsidP="00457E1C">
      <w:pPr>
        <w:spacing w:after="0" w:line="240" w:lineRule="auto"/>
        <w:jc w:val="both"/>
        <w:rPr>
          <w:rFonts w:ascii="Calibri" w:hAnsi="Calibri" w:cs="Calibri"/>
          <w:sz w:val="24"/>
          <w:szCs w:val="24"/>
        </w:rPr>
      </w:pPr>
    </w:p>
    <w:p w14:paraId="5D1F2610" w14:textId="0C9E9A0A" w:rsidR="00785F12" w:rsidRPr="00457E1C" w:rsidRDefault="00785F12" w:rsidP="00457E1C">
      <w:pPr>
        <w:spacing w:after="0" w:line="240" w:lineRule="auto"/>
        <w:jc w:val="both"/>
        <w:rPr>
          <w:rFonts w:ascii="Calibri" w:hAnsi="Calibri" w:cs="Calibri"/>
          <w:sz w:val="24"/>
          <w:szCs w:val="24"/>
        </w:rPr>
      </w:pPr>
      <w:r w:rsidRPr="00457E1C">
        <w:rPr>
          <w:rFonts w:ascii="Calibri" w:hAnsi="Calibri" w:cs="Calibri"/>
          <w:sz w:val="24"/>
          <w:szCs w:val="24"/>
        </w:rPr>
        <w:t>3.2</w:t>
      </w:r>
      <w:r w:rsidR="00457E1C" w:rsidRPr="00457E1C">
        <w:rPr>
          <w:rFonts w:ascii="Calibri" w:hAnsi="Calibri" w:cs="Calibri"/>
          <w:sz w:val="24"/>
          <w:szCs w:val="24"/>
        </w:rPr>
        <w:t xml:space="preserve"> </w:t>
      </w:r>
      <w:r w:rsidRPr="00457E1C">
        <w:rPr>
          <w:rFonts w:ascii="Calibri" w:hAnsi="Calibri" w:cs="Calibri"/>
          <w:sz w:val="24"/>
          <w:szCs w:val="24"/>
        </w:rPr>
        <w:t>Právní předpisy vztahující se na peněžní prostředky státního rozpočtu</w:t>
      </w:r>
      <w:r w:rsidR="00775955">
        <w:rPr>
          <w:rFonts w:ascii="Calibri" w:hAnsi="Calibri" w:cs="Calibri"/>
          <w:sz w:val="24"/>
          <w:szCs w:val="24"/>
        </w:rPr>
        <w:t> –</w:t>
      </w:r>
      <w:r w:rsidRPr="00457E1C">
        <w:rPr>
          <w:rFonts w:ascii="Calibri" w:hAnsi="Calibri" w:cs="Calibri"/>
          <w:sz w:val="24"/>
          <w:szCs w:val="24"/>
        </w:rPr>
        <w:t xml:space="preserve"> a tedy i na prostředky hrazené z programů BV</w:t>
      </w:r>
      <w:r w:rsidR="00775955">
        <w:rPr>
          <w:rFonts w:ascii="Calibri" w:hAnsi="Calibri" w:cs="Calibri"/>
          <w:sz w:val="24"/>
          <w:szCs w:val="24"/>
        </w:rPr>
        <w:t> –</w:t>
      </w:r>
      <w:r w:rsidRPr="00457E1C">
        <w:rPr>
          <w:rFonts w:ascii="Calibri" w:hAnsi="Calibri" w:cs="Calibri"/>
          <w:sz w:val="24"/>
          <w:szCs w:val="24"/>
        </w:rPr>
        <w:t xml:space="preserve"> stanoví, že tyto peněžní prostředky musí být využity s ohledem na zásadu řádného finančního řízení, která konkrétně zahrnuje principy hospodárnosti, efektivnosti a účelnosti</w:t>
      </w:r>
      <w:r w:rsidRPr="00457E1C">
        <w:rPr>
          <w:rStyle w:val="Znakapoznpodarou"/>
          <w:rFonts w:ascii="Calibri" w:hAnsi="Calibri" w:cs="Calibri"/>
          <w:sz w:val="24"/>
          <w:szCs w:val="24"/>
        </w:rPr>
        <w:footnoteReference w:id="11"/>
      </w:r>
      <w:r w:rsidRPr="00457E1C">
        <w:rPr>
          <w:rFonts w:ascii="Calibri" w:hAnsi="Calibri" w:cs="Calibri"/>
          <w:sz w:val="24"/>
          <w:szCs w:val="24"/>
        </w:rPr>
        <w:t xml:space="preserve">. </w:t>
      </w:r>
      <w:r w:rsidRPr="00457E1C">
        <w:rPr>
          <w:rFonts w:ascii="Calibri" w:hAnsi="Calibri" w:cs="Calibri"/>
          <w:b/>
          <w:sz w:val="24"/>
          <w:szCs w:val="24"/>
        </w:rPr>
        <w:t xml:space="preserve">Cílem kontroly bylo prověřit, zda poskytování peněžních prostředků z rozpočtové kapitoly </w:t>
      </w:r>
      <w:r w:rsidRPr="008A6560">
        <w:rPr>
          <w:rFonts w:ascii="Calibri" w:hAnsi="Calibri" w:cs="Calibri"/>
          <w:b/>
          <w:i/>
          <w:sz w:val="24"/>
          <w:szCs w:val="24"/>
        </w:rPr>
        <w:t>Ministerstvo vnitra</w:t>
      </w:r>
      <w:r w:rsidRPr="00457E1C">
        <w:rPr>
          <w:rFonts w:ascii="Calibri" w:hAnsi="Calibri" w:cs="Calibri"/>
          <w:b/>
          <w:sz w:val="24"/>
          <w:szCs w:val="24"/>
        </w:rPr>
        <w:t xml:space="preserve"> na projekty bezpečnostního výzkumu bylo </w:t>
      </w:r>
      <w:r w:rsidR="00DB6165" w:rsidRPr="00457E1C">
        <w:rPr>
          <w:rFonts w:ascii="Calibri" w:hAnsi="Calibri" w:cs="Calibri"/>
          <w:b/>
          <w:sz w:val="24"/>
          <w:szCs w:val="24"/>
        </w:rPr>
        <w:t>hospodárné, efektivní a účelné</w:t>
      </w:r>
      <w:r w:rsidRPr="00457E1C">
        <w:rPr>
          <w:rFonts w:ascii="Calibri" w:hAnsi="Calibri" w:cs="Calibri"/>
          <w:b/>
          <w:sz w:val="24"/>
          <w:szCs w:val="24"/>
        </w:rPr>
        <w:t xml:space="preserve"> a zda jejich výsledky přinesly maximální přínosy pro zajištění bezpečnosti státu.</w:t>
      </w:r>
    </w:p>
    <w:p w14:paraId="0F040CFB" w14:textId="77777777" w:rsidR="00457E1C" w:rsidRDefault="00457E1C" w:rsidP="00457E1C">
      <w:pPr>
        <w:spacing w:after="0" w:line="240" w:lineRule="auto"/>
        <w:jc w:val="both"/>
        <w:rPr>
          <w:rFonts w:ascii="Calibri" w:hAnsi="Calibri" w:cs="Calibri"/>
          <w:sz w:val="24"/>
          <w:szCs w:val="24"/>
        </w:rPr>
      </w:pPr>
    </w:p>
    <w:p w14:paraId="2972B281" w14:textId="77777777" w:rsidR="00785F12" w:rsidRDefault="00785F12" w:rsidP="00457E1C">
      <w:pPr>
        <w:spacing w:after="0" w:line="240" w:lineRule="auto"/>
        <w:jc w:val="both"/>
        <w:rPr>
          <w:rFonts w:ascii="Calibri" w:hAnsi="Calibri" w:cs="Calibri"/>
          <w:sz w:val="24"/>
          <w:szCs w:val="24"/>
        </w:rPr>
      </w:pPr>
      <w:r w:rsidRPr="00457E1C">
        <w:rPr>
          <w:rFonts w:ascii="Calibri" w:hAnsi="Calibri" w:cs="Calibri"/>
          <w:sz w:val="24"/>
          <w:szCs w:val="24"/>
        </w:rPr>
        <w:lastRenderedPageBreak/>
        <w:t>3.3</w:t>
      </w:r>
      <w:r w:rsidR="00457E1C" w:rsidRPr="00457E1C">
        <w:rPr>
          <w:rFonts w:ascii="Calibri" w:hAnsi="Calibri" w:cs="Calibri"/>
          <w:sz w:val="24"/>
          <w:szCs w:val="24"/>
        </w:rPr>
        <w:t xml:space="preserve"> </w:t>
      </w:r>
      <w:r w:rsidRPr="00457E1C">
        <w:rPr>
          <w:rFonts w:ascii="Calibri" w:hAnsi="Calibri" w:cs="Calibri"/>
          <w:sz w:val="24"/>
          <w:szCs w:val="24"/>
        </w:rPr>
        <w:t>NKÚ provedl kontrolu u MV jakožto správce programů. Kontrolou bylo posouzeno zejména nastavení a plnění cílů BV a činnost MV při po</w:t>
      </w:r>
      <w:r w:rsidR="00457E1C">
        <w:rPr>
          <w:rFonts w:ascii="Calibri" w:hAnsi="Calibri" w:cs="Calibri"/>
          <w:sz w:val="24"/>
          <w:szCs w:val="24"/>
        </w:rPr>
        <w:t>skytování peněžních prostředků.</w:t>
      </w:r>
    </w:p>
    <w:p w14:paraId="3036D6FB" w14:textId="77777777" w:rsidR="00457E1C" w:rsidRPr="00457E1C" w:rsidRDefault="00457E1C" w:rsidP="00457E1C">
      <w:pPr>
        <w:spacing w:after="0" w:line="240" w:lineRule="auto"/>
        <w:jc w:val="both"/>
        <w:rPr>
          <w:rFonts w:ascii="Calibri" w:hAnsi="Calibri" w:cs="Calibri"/>
          <w:sz w:val="24"/>
          <w:szCs w:val="24"/>
        </w:rPr>
      </w:pPr>
    </w:p>
    <w:p w14:paraId="42E22609" w14:textId="69CD7067" w:rsidR="00785F12" w:rsidRDefault="00785F12" w:rsidP="00457E1C">
      <w:pPr>
        <w:spacing w:after="0" w:line="240" w:lineRule="auto"/>
        <w:jc w:val="both"/>
        <w:rPr>
          <w:rFonts w:ascii="Calibri" w:hAnsi="Calibri" w:cs="Calibri"/>
          <w:sz w:val="24"/>
          <w:szCs w:val="24"/>
        </w:rPr>
      </w:pPr>
      <w:r w:rsidRPr="00457E1C">
        <w:rPr>
          <w:rFonts w:ascii="Calibri" w:hAnsi="Calibri" w:cs="Calibri"/>
          <w:sz w:val="24"/>
          <w:szCs w:val="24"/>
        </w:rPr>
        <w:t>3.4</w:t>
      </w:r>
      <w:r w:rsidR="00457E1C" w:rsidRPr="00457E1C">
        <w:rPr>
          <w:rFonts w:ascii="Calibri" w:hAnsi="Calibri" w:cs="Calibri"/>
          <w:sz w:val="24"/>
          <w:szCs w:val="24"/>
        </w:rPr>
        <w:t xml:space="preserve"> </w:t>
      </w:r>
      <w:r w:rsidRPr="00457E1C">
        <w:rPr>
          <w:rFonts w:ascii="Calibri" w:hAnsi="Calibri" w:cs="Calibri"/>
          <w:sz w:val="24"/>
          <w:szCs w:val="24"/>
        </w:rPr>
        <w:t>Ke ko</w:t>
      </w:r>
      <w:r w:rsidR="00DB440A" w:rsidRPr="00457E1C">
        <w:rPr>
          <w:rFonts w:ascii="Calibri" w:hAnsi="Calibri" w:cs="Calibri"/>
          <w:sz w:val="24"/>
          <w:szCs w:val="24"/>
        </w:rPr>
        <w:t>ntrole byl dále vybrán vzorek dvanácti</w:t>
      </w:r>
      <w:r w:rsidRPr="00457E1C">
        <w:rPr>
          <w:rFonts w:ascii="Calibri" w:hAnsi="Calibri" w:cs="Calibri"/>
          <w:sz w:val="24"/>
          <w:szCs w:val="24"/>
        </w:rPr>
        <w:t xml:space="preserve"> projektů realizovaných u sedmi příjemců podpory BV </w:t>
      </w:r>
      <w:r w:rsidR="002A450E" w:rsidRPr="00457E1C">
        <w:rPr>
          <w:rFonts w:ascii="Calibri" w:hAnsi="Calibri" w:cs="Calibri"/>
          <w:sz w:val="24"/>
          <w:szCs w:val="24"/>
        </w:rPr>
        <w:t>(</w:t>
      </w:r>
      <w:r w:rsidR="00775955">
        <w:rPr>
          <w:rFonts w:ascii="Calibri" w:hAnsi="Calibri" w:cs="Calibri"/>
          <w:sz w:val="24"/>
          <w:szCs w:val="24"/>
        </w:rPr>
        <w:t>viz</w:t>
      </w:r>
      <w:r w:rsidR="002A450E" w:rsidRPr="00457E1C">
        <w:rPr>
          <w:rFonts w:ascii="Calibri" w:hAnsi="Calibri" w:cs="Calibri"/>
          <w:sz w:val="24"/>
          <w:szCs w:val="24"/>
        </w:rPr>
        <w:t xml:space="preserve"> p</w:t>
      </w:r>
      <w:r w:rsidRPr="00457E1C">
        <w:rPr>
          <w:rFonts w:ascii="Calibri" w:hAnsi="Calibri" w:cs="Calibri"/>
          <w:sz w:val="24"/>
          <w:szCs w:val="24"/>
        </w:rPr>
        <w:t xml:space="preserve">říloha č. 2). Vzorek projektů se skládal z devíti projektů podpořených z Programu VI a tří projektů podpořených v Programu VH. Účelnost a efektivnost projektů byla posuzována nejen ve vztahu k dosažení smluvně požadovaných výstupů projektů stanovených </w:t>
      </w:r>
      <w:r w:rsidR="00314BD2" w:rsidRPr="00457E1C">
        <w:rPr>
          <w:rFonts w:ascii="Calibri" w:hAnsi="Calibri" w:cs="Calibri"/>
          <w:sz w:val="24"/>
          <w:szCs w:val="24"/>
        </w:rPr>
        <w:t>MV</w:t>
      </w:r>
      <w:r w:rsidRPr="00457E1C">
        <w:rPr>
          <w:rFonts w:ascii="Calibri" w:hAnsi="Calibri" w:cs="Calibri"/>
          <w:sz w:val="24"/>
          <w:szCs w:val="24"/>
        </w:rPr>
        <w:t xml:space="preserve"> a dosažení cílových indikátorů, ale i z jej</w:t>
      </w:r>
      <w:r w:rsidR="0054632E" w:rsidRPr="00457E1C">
        <w:rPr>
          <w:rFonts w:ascii="Calibri" w:hAnsi="Calibri" w:cs="Calibri"/>
          <w:sz w:val="24"/>
          <w:szCs w:val="24"/>
        </w:rPr>
        <w:t>ich obecného vymezení, obsaženého</w:t>
      </w:r>
      <w:r w:rsidRPr="00457E1C">
        <w:rPr>
          <w:rFonts w:ascii="Calibri" w:hAnsi="Calibri" w:cs="Calibri"/>
          <w:sz w:val="24"/>
          <w:szCs w:val="24"/>
        </w:rPr>
        <w:t xml:space="preserve"> např. v zákoně č. 320/2001 Sb. Kritériem účelnosti </w:t>
      </w:r>
      <w:r w:rsidR="002A450E" w:rsidRPr="00457E1C">
        <w:rPr>
          <w:rFonts w:ascii="Calibri" w:hAnsi="Calibri" w:cs="Calibri"/>
          <w:sz w:val="24"/>
          <w:szCs w:val="24"/>
        </w:rPr>
        <w:t>byly proto také</w:t>
      </w:r>
      <w:r w:rsidRPr="00457E1C">
        <w:rPr>
          <w:rFonts w:ascii="Calibri" w:hAnsi="Calibri" w:cs="Calibri"/>
          <w:sz w:val="24"/>
          <w:szCs w:val="24"/>
        </w:rPr>
        <w:t xml:space="preserve"> výsledky výzkumu a</w:t>
      </w:r>
      <w:r w:rsidR="00457E1C" w:rsidRPr="00457E1C">
        <w:rPr>
          <w:rFonts w:ascii="Calibri" w:hAnsi="Calibri" w:cs="Calibri"/>
          <w:sz w:val="24"/>
          <w:szCs w:val="24"/>
        </w:rPr>
        <w:t> </w:t>
      </w:r>
      <w:r w:rsidRPr="00457E1C">
        <w:rPr>
          <w:rFonts w:ascii="Calibri" w:hAnsi="Calibri" w:cs="Calibri"/>
          <w:sz w:val="24"/>
          <w:szCs w:val="24"/>
        </w:rPr>
        <w:t xml:space="preserve">předpoklad jejich využití </w:t>
      </w:r>
      <w:r w:rsidR="002A450E" w:rsidRPr="00457E1C">
        <w:rPr>
          <w:rFonts w:ascii="Calibri" w:hAnsi="Calibri" w:cs="Calibri"/>
          <w:sz w:val="24"/>
          <w:szCs w:val="24"/>
        </w:rPr>
        <w:t xml:space="preserve">v praxi </w:t>
      </w:r>
      <w:r w:rsidRPr="00457E1C">
        <w:rPr>
          <w:rFonts w:ascii="Calibri" w:hAnsi="Calibri" w:cs="Calibri"/>
          <w:sz w:val="24"/>
          <w:szCs w:val="24"/>
        </w:rPr>
        <w:t xml:space="preserve">ke zvýšení bezpečnosti státu. Podle kritéria efektivnosti byly porovnány výsledky a přínosy projektů s objemem na ně </w:t>
      </w:r>
      <w:r w:rsidR="00314BD2" w:rsidRPr="00457E1C">
        <w:rPr>
          <w:rFonts w:ascii="Calibri" w:hAnsi="Calibri" w:cs="Calibri"/>
          <w:sz w:val="24"/>
          <w:szCs w:val="24"/>
        </w:rPr>
        <w:t xml:space="preserve">poskytnutých </w:t>
      </w:r>
      <w:r w:rsidRPr="00457E1C">
        <w:rPr>
          <w:rFonts w:ascii="Calibri" w:hAnsi="Calibri" w:cs="Calibri"/>
          <w:sz w:val="24"/>
          <w:szCs w:val="24"/>
        </w:rPr>
        <w:t>peněžních prostředků</w:t>
      </w:r>
      <w:r w:rsidR="00740C4F" w:rsidRPr="00457E1C">
        <w:rPr>
          <w:rFonts w:ascii="Calibri" w:hAnsi="Calibri" w:cs="Calibri"/>
          <w:sz w:val="24"/>
          <w:szCs w:val="24"/>
        </w:rPr>
        <w:t>, přičemž součástí hodnocení efektivnosti bylo i posouzení hospodárnosti</w:t>
      </w:r>
      <w:r w:rsidR="002A450E" w:rsidRPr="00457E1C">
        <w:rPr>
          <w:rFonts w:ascii="Calibri" w:hAnsi="Calibri" w:cs="Calibri"/>
          <w:sz w:val="24"/>
          <w:szCs w:val="24"/>
        </w:rPr>
        <w:t xml:space="preserve"> (podrobněji </w:t>
      </w:r>
      <w:r w:rsidR="00465F73">
        <w:rPr>
          <w:rFonts w:ascii="Calibri" w:hAnsi="Calibri" w:cs="Calibri"/>
          <w:sz w:val="24"/>
          <w:szCs w:val="24"/>
        </w:rPr>
        <w:t>viz</w:t>
      </w:r>
      <w:r w:rsidR="002A450E" w:rsidRPr="00457E1C">
        <w:rPr>
          <w:rFonts w:ascii="Calibri" w:hAnsi="Calibri" w:cs="Calibri"/>
          <w:sz w:val="24"/>
          <w:szCs w:val="24"/>
        </w:rPr>
        <w:t xml:space="preserve"> </w:t>
      </w:r>
      <w:r w:rsidR="00740C4F" w:rsidRPr="00457E1C">
        <w:rPr>
          <w:rFonts w:ascii="Calibri" w:hAnsi="Calibri" w:cs="Calibri"/>
          <w:sz w:val="24"/>
          <w:szCs w:val="24"/>
        </w:rPr>
        <w:t>odst.</w:t>
      </w:r>
      <w:r w:rsidR="00465F73">
        <w:rPr>
          <w:rFonts w:ascii="Calibri" w:hAnsi="Calibri" w:cs="Calibri"/>
          <w:sz w:val="24"/>
          <w:szCs w:val="24"/>
        </w:rPr>
        <w:t> </w:t>
      </w:r>
      <w:r w:rsidR="00740C4F" w:rsidRPr="00457E1C">
        <w:rPr>
          <w:rFonts w:ascii="Calibri" w:hAnsi="Calibri" w:cs="Calibri"/>
          <w:sz w:val="24"/>
          <w:szCs w:val="24"/>
        </w:rPr>
        <w:t>4.29</w:t>
      </w:r>
      <w:r w:rsidR="002A450E" w:rsidRPr="00457E1C">
        <w:rPr>
          <w:rFonts w:ascii="Calibri" w:hAnsi="Calibri" w:cs="Calibri"/>
          <w:sz w:val="24"/>
          <w:szCs w:val="24"/>
        </w:rPr>
        <w:t>)</w:t>
      </w:r>
      <w:r w:rsidRPr="00457E1C">
        <w:rPr>
          <w:rFonts w:ascii="Calibri" w:hAnsi="Calibri" w:cs="Calibri"/>
          <w:sz w:val="24"/>
          <w:szCs w:val="24"/>
        </w:rPr>
        <w:t xml:space="preserve">. Z hlediska legality bylo dále prověřováno, zda peněžní prostředky na BV byly poskytovány </w:t>
      </w:r>
      <w:r w:rsidR="00307A7D">
        <w:rPr>
          <w:rFonts w:ascii="Calibri" w:hAnsi="Calibri" w:cs="Calibri"/>
          <w:sz w:val="24"/>
          <w:szCs w:val="24"/>
        </w:rPr>
        <w:br/>
      </w:r>
      <w:r w:rsidRPr="00457E1C">
        <w:rPr>
          <w:rFonts w:ascii="Calibri" w:hAnsi="Calibri" w:cs="Calibri"/>
          <w:sz w:val="24"/>
          <w:szCs w:val="24"/>
        </w:rPr>
        <w:t xml:space="preserve">a čerpány v souladu s právními předpisy, přičemž právní předpisy </w:t>
      </w:r>
      <w:r w:rsidR="00CB378E" w:rsidRPr="00457E1C">
        <w:rPr>
          <w:rFonts w:ascii="Calibri" w:hAnsi="Calibri" w:cs="Calibri"/>
          <w:sz w:val="24"/>
          <w:szCs w:val="24"/>
        </w:rPr>
        <w:t xml:space="preserve">byly </w:t>
      </w:r>
      <w:r w:rsidRPr="00457E1C">
        <w:rPr>
          <w:rFonts w:ascii="Calibri" w:hAnsi="Calibri" w:cs="Calibri"/>
          <w:sz w:val="24"/>
          <w:szCs w:val="24"/>
        </w:rPr>
        <w:t>aplikovány ve znění účinném pro kontrolované období.</w:t>
      </w:r>
    </w:p>
    <w:p w14:paraId="78DA12B7" w14:textId="77777777" w:rsidR="00457E1C" w:rsidRPr="00457E1C" w:rsidRDefault="00457E1C" w:rsidP="00457E1C">
      <w:pPr>
        <w:spacing w:after="0" w:line="240" w:lineRule="auto"/>
        <w:jc w:val="both"/>
        <w:rPr>
          <w:rFonts w:ascii="Calibri" w:hAnsi="Calibri" w:cs="Calibri"/>
          <w:sz w:val="24"/>
          <w:szCs w:val="24"/>
        </w:rPr>
      </w:pPr>
    </w:p>
    <w:p w14:paraId="610CE273" w14:textId="0B5F2F2F" w:rsidR="00314BD2" w:rsidRPr="00457E1C" w:rsidRDefault="00785F12" w:rsidP="00457E1C">
      <w:pPr>
        <w:spacing w:after="0" w:line="240" w:lineRule="auto"/>
        <w:jc w:val="both"/>
        <w:rPr>
          <w:rFonts w:ascii="Calibri" w:hAnsi="Calibri" w:cs="Calibri"/>
          <w:sz w:val="24"/>
          <w:szCs w:val="24"/>
          <w:lang w:eastAsia="cs-CZ"/>
        </w:rPr>
      </w:pPr>
      <w:r w:rsidRPr="00457E1C">
        <w:rPr>
          <w:rFonts w:ascii="Calibri" w:hAnsi="Calibri" w:cs="Calibri"/>
          <w:sz w:val="24"/>
          <w:szCs w:val="24"/>
        </w:rPr>
        <w:t>3.5</w:t>
      </w:r>
      <w:r w:rsidR="00457E1C" w:rsidRPr="00457E1C">
        <w:rPr>
          <w:rFonts w:ascii="Calibri" w:hAnsi="Calibri" w:cs="Calibri"/>
          <w:sz w:val="24"/>
          <w:szCs w:val="24"/>
        </w:rPr>
        <w:t xml:space="preserve"> </w:t>
      </w:r>
      <w:r w:rsidRPr="00457E1C">
        <w:rPr>
          <w:rFonts w:ascii="Calibri" w:hAnsi="Calibri" w:cs="Calibri"/>
          <w:sz w:val="24"/>
          <w:szCs w:val="24"/>
        </w:rPr>
        <w:t xml:space="preserve">NKÚ vybíral projekty ke kontrole tak, aby zajistil </w:t>
      </w:r>
      <w:r w:rsidR="00465F73">
        <w:rPr>
          <w:rFonts w:ascii="Calibri" w:hAnsi="Calibri" w:cs="Calibri"/>
          <w:sz w:val="24"/>
          <w:szCs w:val="24"/>
        </w:rPr>
        <w:t>dostatečně reprezentativní vzorek</w:t>
      </w:r>
      <w:r w:rsidRPr="00457E1C">
        <w:rPr>
          <w:rFonts w:ascii="Calibri" w:hAnsi="Calibri" w:cs="Calibri"/>
          <w:sz w:val="24"/>
          <w:szCs w:val="24"/>
        </w:rPr>
        <w:t xml:space="preserve">, tedy aby jimi byla přiměřeně pokryta široká škála zaměření BV a aby byly ve vzorku zároveň zastoupeny různé typy příjemců (tj. veřejné vysoké školy, podnikatelské subjekty a zájmová či občanská sdružení). Byly vybrány projekty, které měly termín dokončení naplánován do doby ukončení kontroly NKÚ. </w:t>
      </w:r>
      <w:r w:rsidR="00DB440A" w:rsidRPr="00457E1C">
        <w:rPr>
          <w:rFonts w:ascii="Calibri" w:hAnsi="Calibri" w:cs="Calibri"/>
          <w:sz w:val="24"/>
          <w:szCs w:val="24"/>
        </w:rPr>
        <w:t>Vzorek dvanácti</w:t>
      </w:r>
      <w:r w:rsidR="00314BD2" w:rsidRPr="00457E1C">
        <w:rPr>
          <w:rFonts w:ascii="Calibri" w:hAnsi="Calibri" w:cs="Calibri"/>
          <w:sz w:val="24"/>
          <w:szCs w:val="24"/>
        </w:rPr>
        <w:t xml:space="preserve"> projektů vybraných ke kontrole NKÚ (dále jen „v</w:t>
      </w:r>
      <w:r w:rsidR="00FF60DF" w:rsidRPr="00457E1C">
        <w:rPr>
          <w:rFonts w:ascii="Calibri" w:hAnsi="Calibri" w:cs="Calibri"/>
          <w:sz w:val="24"/>
          <w:szCs w:val="24"/>
        </w:rPr>
        <w:t>ybrané projekty“) představuje 7,9 % z celkového počtu 152</w:t>
      </w:r>
      <w:r w:rsidR="00314BD2" w:rsidRPr="00457E1C">
        <w:rPr>
          <w:rFonts w:ascii="Calibri" w:hAnsi="Calibri" w:cs="Calibri"/>
          <w:sz w:val="24"/>
          <w:szCs w:val="24"/>
        </w:rPr>
        <w:t xml:space="preserve"> projektů, které byly k</w:t>
      </w:r>
      <w:r w:rsidR="000D7844" w:rsidRPr="00457E1C">
        <w:rPr>
          <w:rFonts w:ascii="Calibri" w:hAnsi="Calibri" w:cs="Calibri"/>
          <w:sz w:val="24"/>
          <w:szCs w:val="24"/>
        </w:rPr>
        <w:t>e konci roku 2018</w:t>
      </w:r>
      <w:r w:rsidR="001105A7" w:rsidRPr="00457E1C">
        <w:rPr>
          <w:rFonts w:ascii="Calibri" w:hAnsi="Calibri" w:cs="Calibri"/>
          <w:sz w:val="24"/>
          <w:szCs w:val="24"/>
        </w:rPr>
        <w:t xml:space="preserve"> podpořeny</w:t>
      </w:r>
      <w:r w:rsidR="00314BD2" w:rsidRPr="00457E1C">
        <w:rPr>
          <w:rFonts w:ascii="Calibri" w:hAnsi="Calibri" w:cs="Calibri"/>
          <w:sz w:val="24"/>
          <w:szCs w:val="24"/>
        </w:rPr>
        <w:t>. Finanční objem poskytnutých peněžních prostředků vybraných projektů činil 157 243 tis. Kč, což představuje 10,3 % z celkových skutečně čerpaných prostředků obou programů BV.</w:t>
      </w:r>
      <w:r w:rsidR="00314BD2" w:rsidRPr="00457E1C">
        <w:rPr>
          <w:rFonts w:ascii="Calibri" w:hAnsi="Calibri" w:cs="Calibri"/>
          <w:sz w:val="24"/>
          <w:szCs w:val="24"/>
          <w:lang w:eastAsia="cs-CZ"/>
        </w:rPr>
        <w:t xml:space="preserve"> </w:t>
      </w:r>
    </w:p>
    <w:p w14:paraId="4471A0AB" w14:textId="416264CF" w:rsidR="002A450E" w:rsidRPr="00457E1C" w:rsidRDefault="002A450E" w:rsidP="00457E1C">
      <w:pPr>
        <w:spacing w:after="0" w:line="240" w:lineRule="auto"/>
        <w:jc w:val="both"/>
        <w:rPr>
          <w:rFonts w:ascii="Calibri" w:hAnsi="Calibri" w:cs="Calibri"/>
          <w:sz w:val="24"/>
          <w:szCs w:val="24"/>
        </w:rPr>
      </w:pPr>
    </w:p>
    <w:p w14:paraId="562D9829" w14:textId="77777777" w:rsidR="00B47D21" w:rsidRDefault="00B47D21" w:rsidP="00457E1C">
      <w:pPr>
        <w:spacing w:after="0" w:line="240" w:lineRule="auto"/>
        <w:jc w:val="center"/>
        <w:rPr>
          <w:b/>
          <w:sz w:val="32"/>
          <w:szCs w:val="32"/>
        </w:rPr>
      </w:pPr>
      <w:r>
        <w:rPr>
          <w:b/>
          <w:sz w:val="32"/>
          <w:szCs w:val="32"/>
        </w:rPr>
        <w:t>IV. Podrobné skutečnosti zjištěné kontrolou</w:t>
      </w:r>
    </w:p>
    <w:p w14:paraId="2E334725" w14:textId="77777777" w:rsidR="0061789A" w:rsidRPr="00457E1C" w:rsidRDefault="0061789A" w:rsidP="00457E1C">
      <w:pPr>
        <w:spacing w:after="0" w:line="240" w:lineRule="auto"/>
        <w:jc w:val="both"/>
        <w:rPr>
          <w:sz w:val="24"/>
          <w:szCs w:val="32"/>
        </w:rPr>
      </w:pPr>
    </w:p>
    <w:tbl>
      <w:tblPr>
        <w:tblStyle w:val="Mkatabulky"/>
        <w:tblW w:w="0" w:type="auto"/>
        <w:tblLook w:val="04A0" w:firstRow="1" w:lastRow="0" w:firstColumn="1" w:lastColumn="0" w:noHBand="0" w:noVBand="1"/>
      </w:tblPr>
      <w:tblGrid>
        <w:gridCol w:w="9062"/>
      </w:tblGrid>
      <w:tr w:rsidR="002538E5" w:rsidRPr="003C3AF8" w14:paraId="43F3E88A" w14:textId="77777777" w:rsidTr="007D78BF">
        <w:trPr>
          <w:trHeight w:val="389"/>
        </w:trPr>
        <w:tc>
          <w:tcPr>
            <w:tcW w:w="9062" w:type="dxa"/>
            <w:shd w:val="clear" w:color="auto" w:fill="E5F1FF"/>
            <w:vAlign w:val="center"/>
          </w:tcPr>
          <w:p w14:paraId="003D1FA7" w14:textId="77777777" w:rsidR="002538E5" w:rsidRPr="003C3AF8" w:rsidRDefault="002538E5" w:rsidP="002538E5">
            <w:pPr>
              <w:rPr>
                <w:rFonts w:cstheme="minorHAnsi"/>
                <w:b/>
                <w:color w:val="1F4E79" w:themeColor="accent1" w:themeShade="80"/>
                <w:sz w:val="24"/>
                <w:szCs w:val="24"/>
              </w:rPr>
            </w:pPr>
            <w:r w:rsidRPr="003C3AF8">
              <w:rPr>
                <w:rFonts w:cstheme="minorHAnsi"/>
                <w:b/>
                <w:color w:val="1F4E79" w:themeColor="accent1" w:themeShade="80"/>
                <w:sz w:val="24"/>
                <w:szCs w:val="24"/>
              </w:rPr>
              <w:t>A. Jsou peněžní prostředky poskytovány a čerpány účelně?</w:t>
            </w:r>
          </w:p>
        </w:tc>
      </w:tr>
    </w:tbl>
    <w:p w14:paraId="7F2CC9AD" w14:textId="77777777" w:rsidR="002538E5" w:rsidRPr="00457E1C" w:rsidRDefault="002538E5" w:rsidP="00457E1C">
      <w:pPr>
        <w:spacing w:after="0" w:line="240" w:lineRule="auto"/>
        <w:rPr>
          <w:rFonts w:cstheme="minorHAnsi"/>
          <w:color w:val="000000" w:themeColor="text1"/>
          <w:sz w:val="24"/>
          <w:szCs w:val="24"/>
        </w:rPr>
      </w:pPr>
    </w:p>
    <w:p w14:paraId="7441EE60" w14:textId="77777777" w:rsidR="002538E5" w:rsidRDefault="00F4560E" w:rsidP="00F4560E">
      <w:pPr>
        <w:pStyle w:val="Odstavecseseznamem"/>
        <w:tabs>
          <w:tab w:val="left" w:pos="567"/>
        </w:tabs>
        <w:spacing w:after="0" w:line="240" w:lineRule="auto"/>
        <w:ind w:left="0"/>
        <w:contextualSpacing w:val="0"/>
        <w:jc w:val="both"/>
        <w:rPr>
          <w:rFonts w:ascii="Calibri" w:hAnsi="Calibri" w:cs="Calibri"/>
          <w:sz w:val="24"/>
          <w:szCs w:val="24"/>
        </w:rPr>
      </w:pPr>
      <w:r>
        <w:rPr>
          <w:rFonts w:ascii="Calibri" w:hAnsi="Calibri" w:cs="Calibri"/>
          <w:sz w:val="24"/>
          <w:szCs w:val="24"/>
        </w:rPr>
        <w:t xml:space="preserve">4.1 </w:t>
      </w:r>
      <w:r w:rsidR="002538E5" w:rsidRPr="00457E1C">
        <w:rPr>
          <w:rFonts w:ascii="Calibri" w:hAnsi="Calibri" w:cs="Calibri"/>
          <w:sz w:val="24"/>
          <w:szCs w:val="24"/>
        </w:rPr>
        <w:t>Za účelné se považuje takové použití veřejných prostředků, které zajistí optimální míru dosažení cílů při plnění stanovených úkolů</w:t>
      </w:r>
      <w:r w:rsidR="002538E5" w:rsidRPr="00457E1C">
        <w:rPr>
          <w:rStyle w:val="Znakapoznpodarou"/>
          <w:rFonts w:ascii="Calibri" w:hAnsi="Calibri" w:cs="Calibri"/>
          <w:sz w:val="24"/>
          <w:szCs w:val="24"/>
        </w:rPr>
        <w:footnoteReference w:id="12"/>
      </w:r>
      <w:r w:rsidR="002538E5" w:rsidRPr="00457E1C">
        <w:rPr>
          <w:rFonts w:ascii="Calibri" w:hAnsi="Calibri" w:cs="Calibri"/>
          <w:sz w:val="24"/>
          <w:szCs w:val="24"/>
        </w:rPr>
        <w:t xml:space="preserve">. </w:t>
      </w:r>
      <w:r w:rsidR="009A36A9" w:rsidRPr="00457E1C">
        <w:rPr>
          <w:rFonts w:ascii="Calibri" w:hAnsi="Calibri" w:cs="Calibri"/>
          <w:sz w:val="24"/>
          <w:szCs w:val="24"/>
        </w:rPr>
        <w:t>H</w:t>
      </w:r>
      <w:r w:rsidR="002538E5" w:rsidRPr="00457E1C">
        <w:rPr>
          <w:rFonts w:ascii="Calibri" w:hAnsi="Calibri" w:cs="Calibri"/>
          <w:sz w:val="24"/>
          <w:szCs w:val="24"/>
        </w:rPr>
        <w:t>odnocení účelnosti musí zahrnovat posouzení jak dosažených vý</w:t>
      </w:r>
      <w:r w:rsidR="007C750E" w:rsidRPr="00457E1C">
        <w:rPr>
          <w:rFonts w:ascii="Calibri" w:hAnsi="Calibri" w:cs="Calibri"/>
          <w:sz w:val="24"/>
          <w:szCs w:val="24"/>
        </w:rPr>
        <w:t>sledků</w:t>
      </w:r>
      <w:r w:rsidR="002538E5" w:rsidRPr="00457E1C">
        <w:rPr>
          <w:rFonts w:ascii="Calibri" w:hAnsi="Calibri" w:cs="Calibri"/>
          <w:sz w:val="24"/>
          <w:szCs w:val="24"/>
        </w:rPr>
        <w:t xml:space="preserve"> (např. </w:t>
      </w:r>
      <w:r w:rsidR="007C750E" w:rsidRPr="00457E1C">
        <w:rPr>
          <w:rFonts w:ascii="Calibri" w:hAnsi="Calibri" w:cs="Calibri"/>
          <w:sz w:val="24"/>
          <w:szCs w:val="24"/>
        </w:rPr>
        <w:t xml:space="preserve">předpokládané a skutečné </w:t>
      </w:r>
      <w:r w:rsidR="009A36A9" w:rsidRPr="00457E1C">
        <w:rPr>
          <w:rFonts w:ascii="Calibri" w:hAnsi="Calibri" w:cs="Calibri"/>
          <w:sz w:val="24"/>
          <w:szCs w:val="24"/>
        </w:rPr>
        <w:t xml:space="preserve">množství </w:t>
      </w:r>
      <w:r w:rsidR="002538E5" w:rsidRPr="00457E1C">
        <w:rPr>
          <w:rFonts w:ascii="Calibri" w:hAnsi="Calibri" w:cs="Calibri"/>
          <w:sz w:val="24"/>
          <w:szCs w:val="24"/>
        </w:rPr>
        <w:t xml:space="preserve">a </w:t>
      </w:r>
      <w:r w:rsidR="00444D39" w:rsidRPr="00457E1C">
        <w:rPr>
          <w:rFonts w:ascii="Calibri" w:hAnsi="Calibri" w:cs="Calibri"/>
          <w:sz w:val="24"/>
          <w:szCs w:val="24"/>
        </w:rPr>
        <w:t>typ</w:t>
      </w:r>
      <w:r w:rsidR="007C750E" w:rsidRPr="00457E1C">
        <w:rPr>
          <w:rFonts w:ascii="Calibri" w:hAnsi="Calibri" w:cs="Calibri"/>
          <w:sz w:val="24"/>
          <w:szCs w:val="24"/>
        </w:rPr>
        <w:t xml:space="preserve"> výsledků</w:t>
      </w:r>
      <w:r w:rsidR="00285522" w:rsidRPr="00457E1C">
        <w:rPr>
          <w:rFonts w:ascii="Calibri" w:hAnsi="Calibri" w:cs="Calibri"/>
          <w:sz w:val="24"/>
          <w:szCs w:val="24"/>
        </w:rPr>
        <w:t xml:space="preserve"> </w:t>
      </w:r>
      <w:r w:rsidR="00444D39" w:rsidRPr="00457E1C">
        <w:rPr>
          <w:rFonts w:ascii="Calibri" w:hAnsi="Calibri" w:cs="Calibri"/>
          <w:sz w:val="24"/>
          <w:szCs w:val="24"/>
        </w:rPr>
        <w:t>z</w:t>
      </w:r>
      <w:r w:rsidR="00457E1C" w:rsidRPr="00457E1C">
        <w:rPr>
          <w:rFonts w:ascii="Calibri" w:hAnsi="Calibri" w:cs="Calibri"/>
          <w:sz w:val="24"/>
          <w:szCs w:val="24"/>
        </w:rPr>
        <w:t> </w:t>
      </w:r>
      <w:r w:rsidR="009A36A9" w:rsidRPr="00457E1C">
        <w:rPr>
          <w:rFonts w:ascii="Calibri" w:hAnsi="Calibri" w:cs="Calibri"/>
          <w:sz w:val="24"/>
          <w:szCs w:val="24"/>
        </w:rPr>
        <w:t xml:space="preserve">realizovaných </w:t>
      </w:r>
      <w:r w:rsidR="002538E5" w:rsidRPr="00457E1C">
        <w:rPr>
          <w:rFonts w:ascii="Calibri" w:hAnsi="Calibri" w:cs="Calibri"/>
          <w:sz w:val="24"/>
          <w:szCs w:val="24"/>
        </w:rPr>
        <w:t>aktivit</w:t>
      </w:r>
      <w:r w:rsidR="00444D39" w:rsidRPr="00457E1C">
        <w:rPr>
          <w:rStyle w:val="Znakapoznpodarou"/>
          <w:rFonts w:ascii="Calibri" w:hAnsi="Calibri" w:cs="Calibri"/>
          <w:sz w:val="24"/>
          <w:szCs w:val="24"/>
        </w:rPr>
        <w:footnoteReference w:id="13"/>
      </w:r>
      <w:r w:rsidR="002538E5" w:rsidRPr="00457E1C">
        <w:rPr>
          <w:rFonts w:ascii="Calibri" w:hAnsi="Calibri" w:cs="Calibri"/>
          <w:sz w:val="24"/>
          <w:szCs w:val="24"/>
        </w:rPr>
        <w:t>),</w:t>
      </w:r>
      <w:r w:rsidR="00285522" w:rsidRPr="00457E1C">
        <w:rPr>
          <w:rFonts w:ascii="Calibri" w:hAnsi="Calibri" w:cs="Calibri"/>
          <w:sz w:val="24"/>
          <w:szCs w:val="24"/>
        </w:rPr>
        <w:t xml:space="preserve"> </w:t>
      </w:r>
      <w:r w:rsidR="002538E5" w:rsidRPr="00457E1C">
        <w:rPr>
          <w:rFonts w:ascii="Calibri" w:hAnsi="Calibri" w:cs="Calibri"/>
          <w:sz w:val="24"/>
          <w:szCs w:val="24"/>
        </w:rPr>
        <w:t>tak i </w:t>
      </w:r>
      <w:r w:rsidR="007C750E" w:rsidRPr="00457E1C">
        <w:rPr>
          <w:rFonts w:ascii="Calibri" w:hAnsi="Calibri" w:cs="Calibri"/>
          <w:sz w:val="24"/>
          <w:szCs w:val="24"/>
        </w:rPr>
        <w:t xml:space="preserve">jejich </w:t>
      </w:r>
      <w:r w:rsidR="00421764" w:rsidRPr="00457E1C">
        <w:rPr>
          <w:rFonts w:ascii="Calibri" w:hAnsi="Calibri" w:cs="Calibri"/>
          <w:sz w:val="24"/>
          <w:szCs w:val="24"/>
        </w:rPr>
        <w:t>využití pro účely zvýšení</w:t>
      </w:r>
      <w:r w:rsidR="00607281" w:rsidRPr="00457E1C">
        <w:rPr>
          <w:rFonts w:ascii="Calibri" w:hAnsi="Calibri" w:cs="Calibri"/>
          <w:sz w:val="24"/>
          <w:szCs w:val="24"/>
        </w:rPr>
        <w:t xml:space="preserve"> bezpečnost</w:t>
      </w:r>
      <w:r w:rsidR="00421764" w:rsidRPr="00457E1C">
        <w:rPr>
          <w:rFonts w:ascii="Calibri" w:hAnsi="Calibri" w:cs="Calibri"/>
          <w:sz w:val="24"/>
          <w:szCs w:val="24"/>
        </w:rPr>
        <w:t xml:space="preserve">i v </w:t>
      </w:r>
      <w:r w:rsidR="00607281" w:rsidRPr="00457E1C">
        <w:rPr>
          <w:rFonts w:ascii="Calibri" w:hAnsi="Calibri" w:cs="Calibri"/>
          <w:sz w:val="24"/>
          <w:szCs w:val="24"/>
        </w:rPr>
        <w:t>ČR</w:t>
      </w:r>
      <w:r w:rsidR="00285522" w:rsidRPr="00457E1C">
        <w:rPr>
          <w:rFonts w:ascii="Calibri" w:hAnsi="Calibri" w:cs="Calibri"/>
          <w:sz w:val="24"/>
          <w:szCs w:val="24"/>
        </w:rPr>
        <w:t>. C</w:t>
      </w:r>
      <w:r w:rsidR="00607281" w:rsidRPr="00457E1C">
        <w:rPr>
          <w:rFonts w:ascii="Calibri" w:hAnsi="Calibri" w:cs="Calibri"/>
          <w:sz w:val="24"/>
          <w:szCs w:val="24"/>
        </w:rPr>
        <w:t>íle programů</w:t>
      </w:r>
      <w:r w:rsidR="002538E5" w:rsidRPr="00457E1C">
        <w:rPr>
          <w:rFonts w:ascii="Calibri" w:hAnsi="Calibri" w:cs="Calibri"/>
          <w:sz w:val="24"/>
          <w:szCs w:val="24"/>
        </w:rPr>
        <w:t xml:space="preserve"> a jednotlivých projektů </w:t>
      </w:r>
      <w:r w:rsidR="009A36A9" w:rsidRPr="00457E1C">
        <w:rPr>
          <w:rFonts w:ascii="Calibri" w:hAnsi="Calibri" w:cs="Calibri"/>
          <w:sz w:val="24"/>
          <w:szCs w:val="24"/>
        </w:rPr>
        <w:t xml:space="preserve">je </w:t>
      </w:r>
      <w:r w:rsidR="00301D81" w:rsidRPr="00457E1C">
        <w:rPr>
          <w:rFonts w:ascii="Calibri" w:hAnsi="Calibri" w:cs="Calibri"/>
          <w:sz w:val="24"/>
          <w:szCs w:val="24"/>
        </w:rPr>
        <w:t>proto</w:t>
      </w:r>
      <w:r w:rsidR="00DC52E9" w:rsidRPr="00457E1C">
        <w:rPr>
          <w:rFonts w:ascii="Calibri" w:hAnsi="Calibri" w:cs="Calibri"/>
          <w:sz w:val="24"/>
          <w:szCs w:val="24"/>
        </w:rPr>
        <w:t xml:space="preserve"> </w:t>
      </w:r>
      <w:r w:rsidR="009A36A9" w:rsidRPr="00457E1C">
        <w:rPr>
          <w:rFonts w:ascii="Calibri" w:hAnsi="Calibri" w:cs="Calibri"/>
          <w:sz w:val="24"/>
          <w:szCs w:val="24"/>
        </w:rPr>
        <w:t xml:space="preserve">nutné nastavit </w:t>
      </w:r>
      <w:r w:rsidR="002538E5" w:rsidRPr="00457E1C">
        <w:rPr>
          <w:rFonts w:ascii="Calibri" w:hAnsi="Calibri" w:cs="Calibri"/>
          <w:sz w:val="24"/>
          <w:szCs w:val="24"/>
        </w:rPr>
        <w:t>jako SMART</w:t>
      </w:r>
      <w:r w:rsidR="00DC52E9" w:rsidRPr="00457E1C">
        <w:rPr>
          <w:rStyle w:val="Znakapoznpodarou"/>
          <w:rFonts w:ascii="Calibri" w:hAnsi="Calibri" w:cs="Calibri"/>
          <w:sz w:val="24"/>
          <w:szCs w:val="24"/>
        </w:rPr>
        <w:footnoteReference w:id="14"/>
      </w:r>
      <w:r w:rsidR="002538E5" w:rsidRPr="00457E1C">
        <w:rPr>
          <w:rFonts w:ascii="Calibri" w:hAnsi="Calibri" w:cs="Calibri"/>
          <w:sz w:val="24"/>
          <w:szCs w:val="24"/>
        </w:rPr>
        <w:t xml:space="preserve">, aby umožnily provést kompletní vyhodnocení účelnosti </w:t>
      </w:r>
      <w:r w:rsidR="002A450E" w:rsidRPr="00457E1C">
        <w:rPr>
          <w:rFonts w:ascii="Calibri" w:hAnsi="Calibri" w:cs="Calibri"/>
          <w:sz w:val="24"/>
          <w:szCs w:val="24"/>
        </w:rPr>
        <w:t>zejména</w:t>
      </w:r>
      <w:r w:rsidR="00DC52E9" w:rsidRPr="00457E1C">
        <w:rPr>
          <w:rFonts w:ascii="Calibri" w:hAnsi="Calibri" w:cs="Calibri"/>
          <w:sz w:val="24"/>
          <w:szCs w:val="24"/>
        </w:rPr>
        <w:t xml:space="preserve"> </w:t>
      </w:r>
      <w:r w:rsidR="004146D5" w:rsidRPr="00457E1C">
        <w:rPr>
          <w:rFonts w:ascii="Calibri" w:hAnsi="Calibri" w:cs="Calibri"/>
          <w:sz w:val="24"/>
          <w:szCs w:val="24"/>
        </w:rPr>
        <w:t>správcem programů</w:t>
      </w:r>
      <w:r w:rsidR="00285522" w:rsidRPr="00457E1C">
        <w:rPr>
          <w:rFonts w:ascii="Calibri" w:hAnsi="Calibri" w:cs="Calibri"/>
          <w:sz w:val="24"/>
          <w:szCs w:val="24"/>
        </w:rPr>
        <w:t xml:space="preserve">, </w:t>
      </w:r>
      <w:r w:rsidR="002A450E" w:rsidRPr="00457E1C">
        <w:rPr>
          <w:rFonts w:ascii="Calibri" w:hAnsi="Calibri" w:cs="Calibri"/>
          <w:sz w:val="24"/>
          <w:szCs w:val="24"/>
        </w:rPr>
        <w:t>v tomto případě</w:t>
      </w:r>
      <w:r w:rsidR="00285522" w:rsidRPr="00457E1C">
        <w:rPr>
          <w:rFonts w:ascii="Calibri" w:hAnsi="Calibri" w:cs="Calibri"/>
          <w:sz w:val="24"/>
          <w:szCs w:val="24"/>
        </w:rPr>
        <w:t xml:space="preserve"> MV</w:t>
      </w:r>
      <w:r w:rsidR="002538E5" w:rsidRPr="00457E1C">
        <w:rPr>
          <w:rFonts w:ascii="Calibri" w:hAnsi="Calibri" w:cs="Calibri"/>
          <w:sz w:val="24"/>
          <w:szCs w:val="24"/>
        </w:rPr>
        <w:t>.</w:t>
      </w:r>
    </w:p>
    <w:p w14:paraId="2062D4E2" w14:textId="77777777" w:rsidR="00F4560E" w:rsidRPr="00F4560E" w:rsidRDefault="00F4560E" w:rsidP="00F4560E">
      <w:pPr>
        <w:spacing w:after="0" w:line="240" w:lineRule="auto"/>
        <w:jc w:val="both"/>
        <w:rPr>
          <w:rFonts w:ascii="Calibri" w:hAnsi="Calibri" w:cs="Calibri"/>
          <w:sz w:val="24"/>
          <w:szCs w:val="24"/>
        </w:rPr>
      </w:pPr>
    </w:p>
    <w:p w14:paraId="38B8A5DE" w14:textId="77777777" w:rsidR="00406726" w:rsidRDefault="00406726">
      <w:pPr>
        <w:rPr>
          <w:rFonts w:ascii="Calibri" w:hAnsi="Calibri" w:cs="Calibri"/>
          <w:sz w:val="24"/>
          <w:szCs w:val="24"/>
        </w:rPr>
      </w:pPr>
      <w:r>
        <w:rPr>
          <w:rFonts w:ascii="Calibri" w:hAnsi="Calibri" w:cs="Calibri"/>
          <w:sz w:val="24"/>
          <w:szCs w:val="24"/>
        </w:rPr>
        <w:br w:type="page"/>
      </w:r>
    </w:p>
    <w:p w14:paraId="0A8DAD42" w14:textId="4EAF5E12" w:rsidR="002538E5" w:rsidRPr="00F4560E" w:rsidRDefault="00F4560E" w:rsidP="00F4560E">
      <w:pPr>
        <w:tabs>
          <w:tab w:val="left" w:pos="567"/>
        </w:tabs>
        <w:spacing w:after="0" w:line="240" w:lineRule="auto"/>
        <w:jc w:val="both"/>
        <w:rPr>
          <w:rFonts w:ascii="Calibri" w:hAnsi="Calibri" w:cs="Calibri"/>
          <w:sz w:val="24"/>
          <w:szCs w:val="24"/>
        </w:rPr>
      </w:pPr>
      <w:r>
        <w:rPr>
          <w:rFonts w:ascii="Calibri" w:hAnsi="Calibri" w:cs="Calibri"/>
          <w:sz w:val="24"/>
          <w:szCs w:val="24"/>
        </w:rPr>
        <w:lastRenderedPageBreak/>
        <w:t xml:space="preserve">4.2 </w:t>
      </w:r>
      <w:r w:rsidR="002538E5" w:rsidRPr="00F4560E">
        <w:rPr>
          <w:rFonts w:ascii="Calibri" w:hAnsi="Calibri" w:cs="Calibri"/>
          <w:sz w:val="24"/>
          <w:szCs w:val="24"/>
        </w:rPr>
        <w:t xml:space="preserve">NKÚ posuzoval účelnost </w:t>
      </w:r>
      <w:r w:rsidR="00607281" w:rsidRPr="00F4560E">
        <w:rPr>
          <w:rFonts w:ascii="Calibri" w:hAnsi="Calibri" w:cs="Calibri"/>
          <w:sz w:val="24"/>
          <w:szCs w:val="24"/>
        </w:rPr>
        <w:t>programů BV</w:t>
      </w:r>
      <w:r w:rsidR="002538E5" w:rsidRPr="00F4560E">
        <w:rPr>
          <w:rFonts w:ascii="Calibri" w:hAnsi="Calibri" w:cs="Calibri"/>
          <w:sz w:val="24"/>
          <w:szCs w:val="24"/>
        </w:rPr>
        <w:t xml:space="preserve"> podle následujících kritérií:</w:t>
      </w:r>
    </w:p>
    <w:p w14:paraId="783C7791" w14:textId="77777777" w:rsidR="002538E5" w:rsidRPr="00457E1C" w:rsidRDefault="00607281" w:rsidP="00F06D40">
      <w:pPr>
        <w:pStyle w:val="Odstavecseseznamem"/>
        <w:numPr>
          <w:ilvl w:val="0"/>
          <w:numId w:val="8"/>
        </w:numPr>
        <w:spacing w:after="0" w:line="240" w:lineRule="auto"/>
        <w:ind w:left="284" w:hanging="284"/>
        <w:contextualSpacing w:val="0"/>
        <w:jc w:val="both"/>
        <w:rPr>
          <w:rFonts w:ascii="Calibri" w:hAnsi="Calibri" w:cs="Calibri"/>
          <w:sz w:val="24"/>
          <w:szCs w:val="24"/>
        </w:rPr>
      </w:pPr>
      <w:r w:rsidRPr="00457E1C">
        <w:rPr>
          <w:rFonts w:ascii="Calibri" w:hAnsi="Calibri" w:cs="Calibri"/>
          <w:sz w:val="24"/>
          <w:szCs w:val="24"/>
        </w:rPr>
        <w:t xml:space="preserve">zda jsou cíle </w:t>
      </w:r>
      <w:r w:rsidR="00DB440A" w:rsidRPr="00457E1C">
        <w:rPr>
          <w:rFonts w:ascii="Calibri" w:hAnsi="Calibri" w:cs="Calibri"/>
          <w:sz w:val="24"/>
          <w:szCs w:val="24"/>
        </w:rPr>
        <w:t>strategických</w:t>
      </w:r>
      <w:r w:rsidR="00A6128D" w:rsidRPr="00457E1C">
        <w:rPr>
          <w:rFonts w:ascii="Calibri" w:hAnsi="Calibri" w:cs="Calibri"/>
          <w:sz w:val="24"/>
          <w:szCs w:val="24"/>
        </w:rPr>
        <w:t xml:space="preserve"> dokumentů a </w:t>
      </w:r>
      <w:r w:rsidRPr="00457E1C">
        <w:rPr>
          <w:rFonts w:ascii="Calibri" w:hAnsi="Calibri" w:cs="Calibri"/>
          <w:sz w:val="24"/>
          <w:szCs w:val="24"/>
        </w:rPr>
        <w:t>programů BV</w:t>
      </w:r>
      <w:r w:rsidR="002538E5" w:rsidRPr="00457E1C">
        <w:rPr>
          <w:rFonts w:ascii="Calibri" w:hAnsi="Calibri" w:cs="Calibri"/>
          <w:sz w:val="24"/>
          <w:szCs w:val="24"/>
        </w:rPr>
        <w:t xml:space="preserve"> nastaveny jako SMART, tedy konkrétní, měřitelné, dosažiteln</w:t>
      </w:r>
      <w:r w:rsidR="00E23664" w:rsidRPr="00457E1C">
        <w:rPr>
          <w:rFonts w:ascii="Calibri" w:hAnsi="Calibri" w:cs="Calibri"/>
          <w:sz w:val="24"/>
          <w:szCs w:val="24"/>
        </w:rPr>
        <w:t>é, relevantní a časově vymezené;</w:t>
      </w:r>
    </w:p>
    <w:p w14:paraId="42C3F787" w14:textId="77777777" w:rsidR="00E23664" w:rsidRPr="00457E1C" w:rsidRDefault="00E23664" w:rsidP="00F06D40">
      <w:pPr>
        <w:pStyle w:val="Odstavecseseznamem"/>
        <w:numPr>
          <w:ilvl w:val="0"/>
          <w:numId w:val="8"/>
        </w:numPr>
        <w:spacing w:after="0" w:line="240" w:lineRule="auto"/>
        <w:ind w:left="284" w:hanging="284"/>
        <w:contextualSpacing w:val="0"/>
        <w:jc w:val="both"/>
        <w:rPr>
          <w:rFonts w:ascii="Calibri" w:hAnsi="Calibri" w:cs="Calibri"/>
          <w:sz w:val="24"/>
          <w:szCs w:val="24"/>
        </w:rPr>
      </w:pPr>
      <w:r w:rsidRPr="00457E1C">
        <w:rPr>
          <w:rFonts w:ascii="Calibri" w:hAnsi="Calibri" w:cs="Calibri"/>
          <w:sz w:val="24"/>
          <w:szCs w:val="24"/>
        </w:rPr>
        <w:t>zda nastavený systém hodnocení projektů umožňuje výběr účelných projektů a zda MV postupovalo dle nastaveného systému;</w:t>
      </w:r>
    </w:p>
    <w:p w14:paraId="72FBC7A3" w14:textId="5DC0A042" w:rsidR="002538E5" w:rsidRPr="00457E1C" w:rsidRDefault="002A450E" w:rsidP="00F06D40">
      <w:pPr>
        <w:pStyle w:val="Odstavecseseznamem"/>
        <w:numPr>
          <w:ilvl w:val="0"/>
          <w:numId w:val="8"/>
        </w:numPr>
        <w:spacing w:after="0" w:line="240" w:lineRule="auto"/>
        <w:ind w:left="284" w:hanging="284"/>
        <w:contextualSpacing w:val="0"/>
        <w:jc w:val="both"/>
        <w:rPr>
          <w:rFonts w:ascii="Calibri" w:hAnsi="Calibri" w:cs="Calibri"/>
          <w:sz w:val="24"/>
          <w:szCs w:val="24"/>
        </w:rPr>
      </w:pPr>
      <w:r w:rsidRPr="00457E1C">
        <w:rPr>
          <w:rFonts w:ascii="Calibri" w:hAnsi="Calibri" w:cs="Calibri"/>
          <w:sz w:val="24"/>
          <w:szCs w:val="24"/>
        </w:rPr>
        <w:t xml:space="preserve">zda jsou </w:t>
      </w:r>
      <w:r w:rsidR="00A6128D" w:rsidRPr="00457E1C">
        <w:rPr>
          <w:rFonts w:ascii="Calibri" w:hAnsi="Calibri" w:cs="Calibri"/>
          <w:sz w:val="24"/>
          <w:szCs w:val="24"/>
        </w:rPr>
        <w:t xml:space="preserve">realizovány </w:t>
      </w:r>
      <w:r w:rsidR="002453B9" w:rsidRPr="00457E1C">
        <w:rPr>
          <w:rFonts w:ascii="Calibri" w:hAnsi="Calibri" w:cs="Calibri"/>
          <w:sz w:val="24"/>
          <w:szCs w:val="24"/>
        </w:rPr>
        <w:t xml:space="preserve">účelné </w:t>
      </w:r>
      <w:r w:rsidR="00A6128D" w:rsidRPr="00457E1C">
        <w:rPr>
          <w:rFonts w:ascii="Calibri" w:hAnsi="Calibri" w:cs="Calibri"/>
          <w:sz w:val="24"/>
          <w:szCs w:val="24"/>
        </w:rPr>
        <w:t>projekty</w:t>
      </w:r>
      <w:r w:rsidR="002453B9" w:rsidRPr="00457E1C">
        <w:rPr>
          <w:rStyle w:val="Znakapoznpodarou"/>
          <w:rFonts w:ascii="Calibri" w:hAnsi="Calibri" w:cs="Calibri"/>
          <w:sz w:val="24"/>
          <w:szCs w:val="24"/>
        </w:rPr>
        <w:footnoteReference w:id="15"/>
      </w:r>
      <w:r w:rsidR="002453B9" w:rsidRPr="00457E1C">
        <w:rPr>
          <w:rFonts w:ascii="Calibri" w:hAnsi="Calibri" w:cs="Calibri"/>
          <w:sz w:val="24"/>
          <w:szCs w:val="24"/>
        </w:rPr>
        <w:t xml:space="preserve">, dosahující očekávaných výsledků a </w:t>
      </w:r>
      <w:r w:rsidR="00A6128D" w:rsidRPr="00457E1C">
        <w:rPr>
          <w:rFonts w:ascii="Calibri" w:hAnsi="Calibri" w:cs="Calibri"/>
          <w:sz w:val="24"/>
          <w:szCs w:val="24"/>
        </w:rPr>
        <w:t xml:space="preserve">vedoucí </w:t>
      </w:r>
      <w:r w:rsidR="00307A7D">
        <w:rPr>
          <w:rFonts w:ascii="Calibri" w:hAnsi="Calibri" w:cs="Calibri"/>
          <w:sz w:val="24"/>
          <w:szCs w:val="24"/>
        </w:rPr>
        <w:br/>
      </w:r>
      <w:r w:rsidR="00A6128D" w:rsidRPr="00457E1C">
        <w:rPr>
          <w:rFonts w:ascii="Calibri" w:hAnsi="Calibri" w:cs="Calibri"/>
          <w:sz w:val="24"/>
          <w:szCs w:val="24"/>
        </w:rPr>
        <w:t>ke zvýšení bezpečnosti státu a občanů ČR;</w:t>
      </w:r>
    </w:p>
    <w:p w14:paraId="27611F59" w14:textId="56362E8C" w:rsidR="002538E5" w:rsidRPr="00307A7D" w:rsidRDefault="002538E5" w:rsidP="00307A7D">
      <w:pPr>
        <w:pStyle w:val="Odstavecseseznamem"/>
        <w:numPr>
          <w:ilvl w:val="0"/>
          <w:numId w:val="8"/>
        </w:numPr>
        <w:spacing w:after="120" w:line="240" w:lineRule="auto"/>
        <w:ind w:left="284" w:hanging="284"/>
        <w:contextualSpacing w:val="0"/>
        <w:jc w:val="both"/>
        <w:rPr>
          <w:rFonts w:ascii="Calibri" w:hAnsi="Calibri" w:cs="Calibri"/>
          <w:sz w:val="24"/>
          <w:szCs w:val="24"/>
        </w:rPr>
      </w:pPr>
      <w:r w:rsidRPr="00457E1C">
        <w:rPr>
          <w:rFonts w:ascii="Calibri" w:hAnsi="Calibri" w:cs="Calibri"/>
          <w:sz w:val="24"/>
          <w:szCs w:val="24"/>
        </w:rPr>
        <w:t>zda je plnění cílů účinně monitorováno a zda je předpoklad naplnění cílových hodnot stanovených ukazatelů</w:t>
      </w:r>
      <w:r w:rsidR="00A6128D" w:rsidRPr="00457E1C">
        <w:rPr>
          <w:rFonts w:ascii="Calibri" w:hAnsi="Calibri" w:cs="Calibri"/>
          <w:sz w:val="24"/>
          <w:szCs w:val="24"/>
        </w:rPr>
        <w:t>.</w:t>
      </w:r>
    </w:p>
    <w:p w14:paraId="53FC64B6" w14:textId="77777777" w:rsidR="0085612B" w:rsidRPr="00457E1C" w:rsidRDefault="0085612B" w:rsidP="00457E1C">
      <w:pPr>
        <w:spacing w:after="0" w:line="240" w:lineRule="auto"/>
        <w:jc w:val="both"/>
        <w:rPr>
          <w:rFonts w:ascii="Calibri" w:hAnsi="Calibri" w:cs="Calibri"/>
          <w:b/>
          <w:i/>
          <w:color w:val="C00000"/>
          <w:sz w:val="24"/>
          <w:szCs w:val="24"/>
        </w:rPr>
      </w:pPr>
      <w:r w:rsidRPr="00457E1C">
        <w:rPr>
          <w:rFonts w:ascii="Calibri" w:hAnsi="Calibri" w:cs="Calibri"/>
          <w:b/>
          <w:i/>
          <w:color w:val="C00000"/>
          <w:sz w:val="24"/>
          <w:szCs w:val="24"/>
        </w:rPr>
        <w:t>→ Cíle podpory nejsou</w:t>
      </w:r>
      <w:r w:rsidR="00DB440A" w:rsidRPr="00457E1C">
        <w:rPr>
          <w:rFonts w:ascii="Calibri" w:hAnsi="Calibri" w:cs="Calibri"/>
          <w:b/>
          <w:i/>
          <w:color w:val="C00000"/>
          <w:sz w:val="24"/>
          <w:szCs w:val="24"/>
        </w:rPr>
        <w:t xml:space="preserve"> ve strategických</w:t>
      </w:r>
      <w:r w:rsidR="009B5BDF" w:rsidRPr="00457E1C">
        <w:rPr>
          <w:rFonts w:ascii="Calibri" w:hAnsi="Calibri" w:cs="Calibri"/>
          <w:b/>
          <w:i/>
          <w:color w:val="C00000"/>
          <w:sz w:val="24"/>
          <w:szCs w:val="24"/>
        </w:rPr>
        <w:t xml:space="preserve"> </w:t>
      </w:r>
      <w:r w:rsidR="008D6B0E" w:rsidRPr="00457E1C">
        <w:rPr>
          <w:rFonts w:ascii="Calibri" w:hAnsi="Calibri" w:cs="Calibri"/>
          <w:b/>
          <w:i/>
          <w:color w:val="C00000"/>
          <w:sz w:val="24"/>
          <w:szCs w:val="24"/>
        </w:rPr>
        <w:t xml:space="preserve">a programových </w:t>
      </w:r>
      <w:r w:rsidR="009B5BDF" w:rsidRPr="00457E1C">
        <w:rPr>
          <w:rFonts w:ascii="Calibri" w:hAnsi="Calibri" w:cs="Calibri"/>
          <w:b/>
          <w:i/>
          <w:color w:val="C00000"/>
          <w:sz w:val="24"/>
          <w:szCs w:val="24"/>
        </w:rPr>
        <w:t>dokumentech</w:t>
      </w:r>
      <w:r w:rsidRPr="00457E1C">
        <w:rPr>
          <w:rFonts w:ascii="Calibri" w:hAnsi="Calibri" w:cs="Calibri"/>
          <w:b/>
          <w:i/>
          <w:color w:val="C00000"/>
          <w:sz w:val="24"/>
          <w:szCs w:val="24"/>
        </w:rPr>
        <w:t xml:space="preserve"> </w:t>
      </w:r>
      <w:r w:rsidR="00285522" w:rsidRPr="00457E1C">
        <w:rPr>
          <w:rFonts w:ascii="Calibri" w:hAnsi="Calibri" w:cs="Calibri"/>
          <w:b/>
          <w:i/>
          <w:color w:val="C00000"/>
          <w:sz w:val="24"/>
          <w:szCs w:val="24"/>
        </w:rPr>
        <w:t xml:space="preserve">bezpečnostního výzkumu </w:t>
      </w:r>
      <w:r w:rsidRPr="00457E1C">
        <w:rPr>
          <w:rFonts w:ascii="Calibri" w:hAnsi="Calibri" w:cs="Calibri"/>
          <w:b/>
          <w:i/>
          <w:color w:val="C00000"/>
          <w:sz w:val="24"/>
          <w:szCs w:val="24"/>
        </w:rPr>
        <w:t xml:space="preserve">nastaveny </w:t>
      </w:r>
      <w:r w:rsidR="009D6AC7" w:rsidRPr="00457E1C">
        <w:rPr>
          <w:rFonts w:ascii="Calibri" w:hAnsi="Calibri" w:cs="Calibri"/>
          <w:b/>
          <w:i/>
          <w:color w:val="C00000"/>
          <w:sz w:val="24"/>
          <w:szCs w:val="24"/>
        </w:rPr>
        <w:t>SMART</w:t>
      </w:r>
      <w:r w:rsidR="008D6B0E" w:rsidRPr="00457E1C">
        <w:rPr>
          <w:rFonts w:ascii="Calibri" w:hAnsi="Calibri" w:cs="Calibri"/>
          <w:b/>
          <w:i/>
          <w:color w:val="C00000"/>
          <w:sz w:val="24"/>
          <w:szCs w:val="24"/>
        </w:rPr>
        <w:t>, není tak možné změřit přínos k bezpečnosti státu a jeho občanů</w:t>
      </w:r>
      <w:r w:rsidR="00FB4B41" w:rsidRPr="00457E1C">
        <w:rPr>
          <w:rFonts w:ascii="Calibri" w:hAnsi="Calibri" w:cs="Calibri"/>
          <w:b/>
          <w:i/>
          <w:color w:val="C00000"/>
          <w:sz w:val="24"/>
          <w:szCs w:val="24"/>
        </w:rPr>
        <w:t>.</w:t>
      </w:r>
    </w:p>
    <w:p w14:paraId="14B0699E" w14:textId="77777777" w:rsidR="00F4560E" w:rsidRDefault="00F4560E" w:rsidP="00457E1C">
      <w:pPr>
        <w:spacing w:after="0" w:line="240" w:lineRule="auto"/>
        <w:jc w:val="both"/>
        <w:rPr>
          <w:rFonts w:ascii="Calibri" w:hAnsi="Calibri" w:cs="Calibri"/>
          <w:sz w:val="24"/>
          <w:szCs w:val="24"/>
        </w:rPr>
      </w:pPr>
    </w:p>
    <w:p w14:paraId="4ED0A186" w14:textId="49E7519F" w:rsidR="00030427" w:rsidRPr="00457E1C" w:rsidRDefault="00030427" w:rsidP="00457E1C">
      <w:pPr>
        <w:spacing w:after="0" w:line="240" w:lineRule="auto"/>
        <w:jc w:val="both"/>
        <w:rPr>
          <w:rFonts w:ascii="Calibri" w:hAnsi="Calibri" w:cs="Calibri"/>
          <w:sz w:val="24"/>
          <w:szCs w:val="24"/>
        </w:rPr>
      </w:pPr>
      <w:r w:rsidRPr="00457E1C">
        <w:rPr>
          <w:rFonts w:ascii="Calibri" w:hAnsi="Calibri" w:cs="Calibri"/>
          <w:sz w:val="24"/>
          <w:szCs w:val="24"/>
        </w:rPr>
        <w:t>4.3</w:t>
      </w:r>
      <w:r w:rsidR="00196F11">
        <w:rPr>
          <w:rFonts w:ascii="Calibri" w:hAnsi="Calibri" w:cs="Calibri"/>
          <w:sz w:val="24"/>
          <w:szCs w:val="24"/>
        </w:rPr>
        <w:t xml:space="preserve"> </w:t>
      </w:r>
      <w:r w:rsidRPr="00457E1C">
        <w:rPr>
          <w:rFonts w:ascii="Calibri" w:hAnsi="Calibri" w:cs="Calibri"/>
          <w:sz w:val="24"/>
          <w:szCs w:val="24"/>
        </w:rPr>
        <w:t>Kontrolou bylo prověřeno, zda cíle</w:t>
      </w:r>
      <w:r w:rsidR="00DB440A" w:rsidRPr="00457E1C">
        <w:rPr>
          <w:rFonts w:ascii="Calibri" w:hAnsi="Calibri" w:cs="Calibri"/>
          <w:sz w:val="24"/>
          <w:szCs w:val="24"/>
        </w:rPr>
        <w:t xml:space="preserve"> a</w:t>
      </w:r>
      <w:r w:rsidRPr="00457E1C">
        <w:rPr>
          <w:rFonts w:ascii="Calibri" w:hAnsi="Calibri" w:cs="Calibri"/>
          <w:sz w:val="24"/>
          <w:szCs w:val="24"/>
        </w:rPr>
        <w:t xml:space="preserve"> priority v</w:t>
      </w:r>
      <w:r w:rsidR="00DB440A" w:rsidRPr="00457E1C">
        <w:rPr>
          <w:rFonts w:ascii="Calibri" w:hAnsi="Calibri" w:cs="Calibri"/>
          <w:sz w:val="24"/>
          <w:szCs w:val="24"/>
        </w:rPr>
        <w:t>e strategických</w:t>
      </w:r>
      <w:r w:rsidRPr="00457E1C">
        <w:rPr>
          <w:rFonts w:ascii="Calibri" w:hAnsi="Calibri" w:cs="Calibri"/>
          <w:sz w:val="24"/>
          <w:szCs w:val="24"/>
        </w:rPr>
        <w:t xml:space="preserve"> </w:t>
      </w:r>
      <w:r w:rsidR="00421764" w:rsidRPr="00457E1C">
        <w:rPr>
          <w:rFonts w:ascii="Calibri" w:hAnsi="Calibri" w:cs="Calibri"/>
          <w:sz w:val="24"/>
          <w:szCs w:val="24"/>
        </w:rPr>
        <w:t xml:space="preserve">a programových </w:t>
      </w:r>
      <w:r w:rsidRPr="00457E1C">
        <w:rPr>
          <w:rFonts w:ascii="Calibri" w:hAnsi="Calibri" w:cs="Calibri"/>
          <w:sz w:val="24"/>
          <w:szCs w:val="24"/>
        </w:rPr>
        <w:t>dokumentech BV jsou vzájemně provázané a sjednocené</w:t>
      </w:r>
      <w:r w:rsidR="00840628" w:rsidRPr="00457E1C">
        <w:rPr>
          <w:rFonts w:ascii="Calibri" w:hAnsi="Calibri" w:cs="Calibri"/>
          <w:sz w:val="24"/>
          <w:szCs w:val="24"/>
        </w:rPr>
        <w:t xml:space="preserve"> a zda</w:t>
      </w:r>
      <w:r w:rsidRPr="00457E1C">
        <w:rPr>
          <w:rFonts w:ascii="Calibri" w:hAnsi="Calibri" w:cs="Calibri"/>
          <w:sz w:val="24"/>
          <w:szCs w:val="24"/>
        </w:rPr>
        <w:t xml:space="preserve"> MV v</w:t>
      </w:r>
      <w:r w:rsidR="009B5BDF" w:rsidRPr="00457E1C">
        <w:rPr>
          <w:rFonts w:ascii="Calibri" w:hAnsi="Calibri" w:cs="Calibri"/>
          <w:sz w:val="24"/>
          <w:szCs w:val="24"/>
        </w:rPr>
        <w:t> </w:t>
      </w:r>
      <w:r w:rsidR="00DB440A" w:rsidRPr="00457E1C">
        <w:rPr>
          <w:rFonts w:ascii="Calibri" w:hAnsi="Calibri" w:cs="Calibri"/>
          <w:sz w:val="24"/>
          <w:szCs w:val="24"/>
        </w:rPr>
        <w:t>těchto</w:t>
      </w:r>
      <w:r w:rsidR="00421764" w:rsidRPr="00457E1C">
        <w:rPr>
          <w:rFonts w:ascii="Calibri" w:hAnsi="Calibri" w:cs="Calibri"/>
          <w:sz w:val="24"/>
          <w:szCs w:val="24"/>
        </w:rPr>
        <w:t xml:space="preserve"> </w:t>
      </w:r>
      <w:r w:rsidR="009B5BDF" w:rsidRPr="00457E1C">
        <w:rPr>
          <w:rFonts w:ascii="Calibri" w:hAnsi="Calibri" w:cs="Calibri"/>
          <w:sz w:val="24"/>
          <w:szCs w:val="24"/>
        </w:rPr>
        <w:t>dokumentech</w:t>
      </w:r>
      <w:r w:rsidRPr="00457E1C">
        <w:rPr>
          <w:rFonts w:ascii="Calibri" w:hAnsi="Calibri" w:cs="Calibri"/>
          <w:sz w:val="24"/>
          <w:szCs w:val="24"/>
        </w:rPr>
        <w:t xml:space="preserve"> vymezilo </w:t>
      </w:r>
      <w:r w:rsidR="009B5BDF" w:rsidRPr="00457E1C">
        <w:rPr>
          <w:rFonts w:ascii="Calibri" w:hAnsi="Calibri" w:cs="Calibri"/>
          <w:sz w:val="24"/>
          <w:szCs w:val="24"/>
        </w:rPr>
        <w:t>indikátory,</w:t>
      </w:r>
      <w:r w:rsidRPr="00457E1C">
        <w:rPr>
          <w:rFonts w:ascii="Calibri" w:hAnsi="Calibri" w:cs="Calibri"/>
          <w:sz w:val="24"/>
          <w:szCs w:val="24"/>
        </w:rPr>
        <w:t xml:space="preserve"> </w:t>
      </w:r>
      <w:r w:rsidR="009A797D">
        <w:rPr>
          <w:rFonts w:ascii="Calibri" w:hAnsi="Calibri" w:cs="Calibri"/>
          <w:sz w:val="24"/>
          <w:szCs w:val="24"/>
        </w:rPr>
        <w:t xml:space="preserve">s jejichž </w:t>
      </w:r>
      <w:r w:rsidR="009B5BDF" w:rsidRPr="00457E1C">
        <w:rPr>
          <w:rFonts w:ascii="Calibri" w:hAnsi="Calibri" w:cs="Calibri"/>
          <w:sz w:val="24"/>
          <w:szCs w:val="24"/>
        </w:rPr>
        <w:t xml:space="preserve">pomocí je možné </w:t>
      </w:r>
      <w:r w:rsidR="00421764" w:rsidRPr="00457E1C">
        <w:rPr>
          <w:rFonts w:ascii="Calibri" w:hAnsi="Calibri" w:cs="Calibri"/>
          <w:sz w:val="24"/>
          <w:szCs w:val="24"/>
        </w:rPr>
        <w:t xml:space="preserve">naplňování </w:t>
      </w:r>
      <w:r w:rsidR="009B5BDF" w:rsidRPr="00457E1C">
        <w:rPr>
          <w:rFonts w:ascii="Calibri" w:hAnsi="Calibri" w:cs="Calibri"/>
          <w:sz w:val="24"/>
          <w:szCs w:val="24"/>
        </w:rPr>
        <w:t>stanoven</w:t>
      </w:r>
      <w:r w:rsidR="00421764" w:rsidRPr="00457E1C">
        <w:rPr>
          <w:rFonts w:ascii="Calibri" w:hAnsi="Calibri" w:cs="Calibri"/>
          <w:sz w:val="24"/>
          <w:szCs w:val="24"/>
        </w:rPr>
        <w:t>ých</w:t>
      </w:r>
      <w:r w:rsidR="009B5BDF" w:rsidRPr="00457E1C">
        <w:rPr>
          <w:rFonts w:ascii="Calibri" w:hAnsi="Calibri" w:cs="Calibri"/>
          <w:sz w:val="24"/>
          <w:szCs w:val="24"/>
        </w:rPr>
        <w:t xml:space="preserve"> cíl</w:t>
      </w:r>
      <w:r w:rsidR="00421764" w:rsidRPr="00457E1C">
        <w:rPr>
          <w:rFonts w:ascii="Calibri" w:hAnsi="Calibri" w:cs="Calibri"/>
          <w:sz w:val="24"/>
          <w:szCs w:val="24"/>
        </w:rPr>
        <w:t>ů</w:t>
      </w:r>
      <w:r w:rsidR="009B5BDF" w:rsidRPr="00457E1C">
        <w:rPr>
          <w:rFonts w:ascii="Calibri" w:hAnsi="Calibri" w:cs="Calibri"/>
          <w:sz w:val="24"/>
          <w:szCs w:val="24"/>
        </w:rPr>
        <w:t xml:space="preserve"> měřit</w:t>
      </w:r>
      <w:r w:rsidRPr="00457E1C">
        <w:rPr>
          <w:rFonts w:ascii="Calibri" w:hAnsi="Calibri" w:cs="Calibri"/>
          <w:sz w:val="24"/>
          <w:szCs w:val="24"/>
        </w:rPr>
        <w:t>.</w:t>
      </w:r>
    </w:p>
    <w:p w14:paraId="34D16454" w14:textId="77777777" w:rsidR="00285522" w:rsidRPr="00457E1C" w:rsidRDefault="00285522" w:rsidP="00457E1C">
      <w:pPr>
        <w:spacing w:after="0" w:line="240" w:lineRule="auto"/>
        <w:jc w:val="both"/>
        <w:rPr>
          <w:rFonts w:ascii="Calibri" w:hAnsi="Calibri" w:cs="Calibri"/>
          <w:sz w:val="24"/>
          <w:szCs w:val="24"/>
        </w:rPr>
      </w:pPr>
    </w:p>
    <w:p w14:paraId="6002AB67" w14:textId="77777777" w:rsidR="00285522" w:rsidRPr="00457E1C" w:rsidRDefault="00EF0CF5" w:rsidP="00457E1C">
      <w:pPr>
        <w:spacing w:after="0" w:line="240" w:lineRule="auto"/>
        <w:jc w:val="both"/>
        <w:rPr>
          <w:rFonts w:ascii="Calibri" w:eastAsia="Times New Roman" w:hAnsi="Calibri" w:cs="Calibri"/>
          <w:color w:val="000000"/>
          <w:sz w:val="24"/>
          <w:szCs w:val="24"/>
          <w:lang w:eastAsia="cs-CZ"/>
        </w:rPr>
      </w:pPr>
      <w:r w:rsidRPr="00457E1C">
        <w:rPr>
          <w:rFonts w:ascii="Calibri" w:hAnsi="Calibri" w:cs="Calibri"/>
          <w:color w:val="000000"/>
          <w:sz w:val="24"/>
          <w:szCs w:val="24"/>
          <w:lang w:eastAsia="cs-CZ"/>
        </w:rPr>
        <w:t>4.4</w:t>
      </w:r>
      <w:r w:rsidR="00F4560E">
        <w:rPr>
          <w:rFonts w:ascii="Calibri" w:hAnsi="Calibri" w:cs="Calibri"/>
          <w:color w:val="000000"/>
          <w:sz w:val="24"/>
          <w:szCs w:val="24"/>
          <w:lang w:eastAsia="cs-CZ"/>
        </w:rPr>
        <w:t xml:space="preserve"> </w:t>
      </w:r>
      <w:r w:rsidR="00285522" w:rsidRPr="00457E1C">
        <w:rPr>
          <w:rFonts w:ascii="Calibri" w:hAnsi="Calibri" w:cs="Calibri"/>
          <w:color w:val="000000"/>
          <w:sz w:val="24"/>
          <w:szCs w:val="24"/>
          <w:lang w:eastAsia="cs-CZ"/>
        </w:rPr>
        <w:t>Usnesením vlády ČR z července 2012</w:t>
      </w:r>
      <w:r w:rsidR="00285522" w:rsidRPr="00457E1C">
        <w:rPr>
          <w:rFonts w:ascii="Calibri" w:hAnsi="Calibri" w:cs="Calibri"/>
          <w:color w:val="000000"/>
          <w:sz w:val="24"/>
          <w:szCs w:val="24"/>
          <w:vertAlign w:val="superscript"/>
          <w:lang w:eastAsia="cs-CZ"/>
        </w:rPr>
        <w:footnoteReference w:id="16"/>
      </w:r>
      <w:r w:rsidR="00285522" w:rsidRPr="00457E1C">
        <w:rPr>
          <w:rFonts w:ascii="Calibri" w:hAnsi="Calibri" w:cs="Calibri"/>
          <w:color w:val="000000"/>
          <w:sz w:val="24"/>
          <w:szCs w:val="24"/>
          <w:lang w:eastAsia="cs-CZ"/>
        </w:rPr>
        <w:t xml:space="preserve"> byly schváleny</w:t>
      </w:r>
      <w:r w:rsidR="00285522" w:rsidRPr="00784FA6">
        <w:rPr>
          <w:rFonts w:ascii="Calibri" w:hAnsi="Calibri" w:cs="Calibri"/>
          <w:color w:val="000000"/>
          <w:sz w:val="24"/>
          <w:szCs w:val="24"/>
          <w:lang w:eastAsia="cs-CZ"/>
        </w:rPr>
        <w:t xml:space="preserve"> </w:t>
      </w:r>
      <w:r w:rsidR="00285522" w:rsidRPr="00457E1C">
        <w:rPr>
          <w:rFonts w:ascii="Calibri" w:hAnsi="Calibri" w:cs="Calibri"/>
          <w:color w:val="000000"/>
          <w:sz w:val="24"/>
          <w:szCs w:val="24"/>
          <w:lang w:eastAsia="cs-CZ"/>
        </w:rPr>
        <w:t xml:space="preserve">Priority </w:t>
      </w:r>
      <w:proofErr w:type="spellStart"/>
      <w:r w:rsidR="00285522" w:rsidRPr="00457E1C">
        <w:rPr>
          <w:rFonts w:ascii="Calibri" w:hAnsi="Calibri" w:cs="Calibri"/>
          <w:color w:val="000000"/>
          <w:sz w:val="24"/>
          <w:szCs w:val="24"/>
          <w:lang w:eastAsia="cs-CZ"/>
        </w:rPr>
        <w:t>VaVaI</w:t>
      </w:r>
      <w:proofErr w:type="spellEnd"/>
      <w:r w:rsidR="00285522" w:rsidRPr="00457E1C">
        <w:rPr>
          <w:rFonts w:ascii="Calibri" w:hAnsi="Calibri" w:cs="Calibri"/>
          <w:color w:val="000000"/>
          <w:sz w:val="24"/>
          <w:szCs w:val="24"/>
          <w:lang w:eastAsia="cs-CZ"/>
        </w:rPr>
        <w:t>, v rámci kterých definovala Rada pro výzkum, vývoj a inovace</w:t>
      </w:r>
      <w:r w:rsidR="00285522" w:rsidRPr="00457E1C">
        <w:rPr>
          <w:rStyle w:val="Znakapoznpodarou"/>
          <w:rFonts w:ascii="Calibri" w:hAnsi="Calibri" w:cs="Calibri"/>
          <w:color w:val="000000"/>
          <w:sz w:val="24"/>
          <w:szCs w:val="24"/>
          <w:lang w:eastAsia="cs-CZ"/>
        </w:rPr>
        <w:footnoteReference w:id="17"/>
      </w:r>
      <w:r w:rsidR="00285522" w:rsidRPr="00457E1C">
        <w:rPr>
          <w:rFonts w:ascii="Calibri" w:hAnsi="Calibri" w:cs="Calibri"/>
          <w:color w:val="000000"/>
          <w:sz w:val="24"/>
          <w:szCs w:val="24"/>
          <w:lang w:eastAsia="cs-CZ"/>
        </w:rPr>
        <w:t xml:space="preserve"> (dále také „Rada </w:t>
      </w:r>
      <w:proofErr w:type="spellStart"/>
      <w:r w:rsidR="00285522" w:rsidRPr="00457E1C">
        <w:rPr>
          <w:rFonts w:ascii="Calibri" w:hAnsi="Calibri" w:cs="Calibri"/>
          <w:color w:val="000000"/>
          <w:sz w:val="24"/>
          <w:szCs w:val="24"/>
          <w:lang w:eastAsia="cs-CZ"/>
        </w:rPr>
        <w:t>VaVaI</w:t>
      </w:r>
      <w:proofErr w:type="spellEnd"/>
      <w:r w:rsidR="00285522" w:rsidRPr="00457E1C">
        <w:rPr>
          <w:rFonts w:ascii="Calibri" w:hAnsi="Calibri" w:cs="Calibri"/>
          <w:color w:val="000000"/>
          <w:sz w:val="24"/>
          <w:szCs w:val="24"/>
          <w:lang w:eastAsia="cs-CZ"/>
        </w:rPr>
        <w:t>“) šest prioritních oblastí a ke každé z nich několik prioritních podoblastí s vymezenými cíli.</w:t>
      </w:r>
      <w:r w:rsidR="00285522" w:rsidRPr="00457E1C">
        <w:rPr>
          <w:rFonts w:ascii="Calibri" w:eastAsia="Times New Roman" w:hAnsi="Calibri" w:cs="Calibri"/>
          <w:color w:val="000000"/>
          <w:sz w:val="24"/>
          <w:szCs w:val="24"/>
          <w:lang w:eastAsia="cs-CZ"/>
        </w:rPr>
        <w:t xml:space="preserve"> Jako jednu z prioritních oblastí definovala i prioritní oblast č. 6 – </w:t>
      </w:r>
      <w:r w:rsidR="00285522" w:rsidRPr="00784FA6">
        <w:rPr>
          <w:rFonts w:ascii="Calibri" w:eastAsia="Times New Roman" w:hAnsi="Calibri" w:cs="Calibri"/>
          <w:i/>
          <w:color w:val="000000"/>
          <w:sz w:val="24"/>
          <w:szCs w:val="24"/>
          <w:lang w:eastAsia="cs-CZ"/>
        </w:rPr>
        <w:t>Bezpečná společnost</w:t>
      </w:r>
      <w:r w:rsidR="00285522" w:rsidRPr="00457E1C">
        <w:rPr>
          <w:rFonts w:ascii="Calibri" w:eastAsia="Times New Roman" w:hAnsi="Calibri" w:cs="Calibri"/>
          <w:color w:val="000000"/>
          <w:sz w:val="24"/>
          <w:szCs w:val="24"/>
          <w:lang w:eastAsia="cs-CZ"/>
        </w:rPr>
        <w:t xml:space="preserve"> se čtyřmi hlavními oblastmi</w:t>
      </w:r>
      <w:r w:rsidR="00285522" w:rsidRPr="00457E1C">
        <w:rPr>
          <w:rStyle w:val="Znakapoznpodarou"/>
          <w:rFonts w:ascii="Calibri" w:eastAsia="Times New Roman" w:hAnsi="Calibri" w:cs="Calibri"/>
          <w:color w:val="000000"/>
          <w:sz w:val="24"/>
          <w:szCs w:val="24"/>
          <w:lang w:eastAsia="cs-CZ"/>
        </w:rPr>
        <w:footnoteReference w:id="18"/>
      </w:r>
      <w:r w:rsidR="00492EC3" w:rsidRPr="00457E1C">
        <w:rPr>
          <w:rFonts w:ascii="Calibri" w:eastAsia="Times New Roman" w:hAnsi="Calibri" w:cs="Calibri"/>
          <w:color w:val="000000"/>
          <w:sz w:val="24"/>
          <w:szCs w:val="24"/>
          <w:lang w:eastAsia="cs-CZ"/>
        </w:rPr>
        <w:t xml:space="preserve"> a </w:t>
      </w:r>
      <w:r w:rsidR="00285522" w:rsidRPr="00457E1C">
        <w:rPr>
          <w:rFonts w:ascii="Calibri" w:eastAsia="Times New Roman" w:hAnsi="Calibri" w:cs="Calibri"/>
          <w:color w:val="000000"/>
          <w:sz w:val="24"/>
          <w:szCs w:val="24"/>
          <w:lang w:eastAsia="cs-CZ"/>
        </w:rPr>
        <w:t>devíti podoblastmi.</w:t>
      </w:r>
    </w:p>
    <w:p w14:paraId="617673CB" w14:textId="77777777" w:rsidR="00F4560E" w:rsidRDefault="00F4560E" w:rsidP="00457E1C">
      <w:pPr>
        <w:spacing w:after="0" w:line="240" w:lineRule="auto"/>
        <w:jc w:val="both"/>
        <w:rPr>
          <w:rFonts w:ascii="Calibri" w:eastAsia="Times New Roman" w:hAnsi="Calibri" w:cs="Calibri"/>
          <w:color w:val="000000"/>
          <w:sz w:val="24"/>
          <w:szCs w:val="24"/>
          <w:lang w:eastAsia="cs-CZ"/>
        </w:rPr>
      </w:pPr>
    </w:p>
    <w:p w14:paraId="184529BC" w14:textId="77777777" w:rsidR="00285522" w:rsidRPr="00457E1C" w:rsidRDefault="00EF0CF5" w:rsidP="00457E1C">
      <w:pPr>
        <w:spacing w:after="0" w:line="240" w:lineRule="auto"/>
        <w:jc w:val="both"/>
        <w:rPr>
          <w:rFonts w:ascii="Calibri" w:hAnsi="Calibri" w:cs="Calibri"/>
          <w:i/>
          <w:sz w:val="24"/>
          <w:szCs w:val="24"/>
        </w:rPr>
      </w:pPr>
      <w:r w:rsidRPr="00457E1C">
        <w:rPr>
          <w:rFonts w:ascii="Calibri" w:eastAsia="Times New Roman" w:hAnsi="Calibri" w:cs="Calibri"/>
          <w:color w:val="000000"/>
          <w:sz w:val="24"/>
          <w:szCs w:val="24"/>
          <w:lang w:eastAsia="cs-CZ"/>
        </w:rPr>
        <w:t>4.5</w:t>
      </w:r>
      <w:r w:rsidR="00F4560E">
        <w:rPr>
          <w:rFonts w:ascii="Calibri" w:eastAsia="Times New Roman" w:hAnsi="Calibri" w:cs="Calibri"/>
          <w:color w:val="000000"/>
          <w:sz w:val="24"/>
          <w:szCs w:val="24"/>
          <w:lang w:eastAsia="cs-CZ"/>
        </w:rPr>
        <w:t xml:space="preserve"> </w:t>
      </w:r>
      <w:r w:rsidR="00285522" w:rsidRPr="00457E1C">
        <w:rPr>
          <w:rFonts w:ascii="Calibri" w:eastAsia="Times New Roman" w:hAnsi="Calibri" w:cs="Calibri"/>
          <w:color w:val="000000"/>
          <w:sz w:val="24"/>
          <w:szCs w:val="24"/>
          <w:lang w:eastAsia="cs-CZ"/>
        </w:rPr>
        <w:t xml:space="preserve">Cíle stanovené v Prioritách </w:t>
      </w:r>
      <w:proofErr w:type="spellStart"/>
      <w:r w:rsidR="00285522" w:rsidRPr="00457E1C">
        <w:rPr>
          <w:rFonts w:ascii="Calibri" w:eastAsia="Times New Roman" w:hAnsi="Calibri" w:cs="Calibri"/>
          <w:color w:val="000000"/>
          <w:sz w:val="24"/>
          <w:szCs w:val="24"/>
          <w:lang w:eastAsia="cs-CZ"/>
        </w:rPr>
        <w:t>VaVaI</w:t>
      </w:r>
      <w:proofErr w:type="spellEnd"/>
      <w:r w:rsidR="00285522" w:rsidRPr="00457E1C">
        <w:rPr>
          <w:rFonts w:ascii="Calibri" w:eastAsia="Times New Roman" w:hAnsi="Calibri" w:cs="Calibri"/>
          <w:color w:val="000000"/>
          <w:sz w:val="24"/>
          <w:szCs w:val="24"/>
          <w:lang w:eastAsia="cs-CZ"/>
        </w:rPr>
        <w:t xml:space="preserve"> jsou vymezeny obecně a pokrývají všechny oblasti BV, nejsou ale stanoveny měřitelné indikátory pro hodnocení jejich plnění a není určena </w:t>
      </w:r>
      <w:r w:rsidR="00285522" w:rsidRPr="00457E1C">
        <w:rPr>
          <w:rFonts w:ascii="Calibri" w:hAnsi="Calibri" w:cs="Calibri"/>
          <w:sz w:val="24"/>
          <w:szCs w:val="24"/>
        </w:rPr>
        <w:t>hierarchie jejich priorit.</w:t>
      </w:r>
      <w:r w:rsidR="009E1958" w:rsidRPr="00457E1C">
        <w:rPr>
          <w:rFonts w:ascii="Calibri" w:eastAsia="Times New Roman" w:hAnsi="Calibri" w:cs="Calibri"/>
          <w:color w:val="000000"/>
          <w:sz w:val="24"/>
          <w:szCs w:val="24"/>
          <w:lang w:eastAsia="cs-CZ"/>
        </w:rPr>
        <w:t xml:space="preserve"> Strategický</w:t>
      </w:r>
      <w:r w:rsidR="00285522" w:rsidRPr="00457E1C">
        <w:rPr>
          <w:rFonts w:ascii="Calibri" w:eastAsia="Times New Roman" w:hAnsi="Calibri" w:cs="Calibri"/>
          <w:color w:val="000000"/>
          <w:sz w:val="24"/>
          <w:szCs w:val="24"/>
          <w:lang w:eastAsia="cs-CZ"/>
        </w:rPr>
        <w:t xml:space="preserve"> dokument Priority </w:t>
      </w:r>
      <w:proofErr w:type="spellStart"/>
      <w:r w:rsidR="00285522" w:rsidRPr="00457E1C">
        <w:rPr>
          <w:rFonts w:ascii="Calibri" w:eastAsia="Times New Roman" w:hAnsi="Calibri" w:cs="Calibri"/>
          <w:color w:val="000000"/>
          <w:sz w:val="24"/>
          <w:szCs w:val="24"/>
          <w:lang w:eastAsia="cs-CZ"/>
        </w:rPr>
        <w:t>VaVaI</w:t>
      </w:r>
      <w:proofErr w:type="spellEnd"/>
      <w:r w:rsidR="00285522" w:rsidRPr="00457E1C">
        <w:rPr>
          <w:rFonts w:ascii="Calibri" w:eastAsia="Times New Roman" w:hAnsi="Calibri" w:cs="Calibri"/>
          <w:color w:val="000000"/>
          <w:sz w:val="24"/>
          <w:szCs w:val="24"/>
          <w:lang w:eastAsia="cs-CZ"/>
        </w:rPr>
        <w:t xml:space="preserve"> tak nenaplňuje principy SMART</w:t>
      </w:r>
      <w:r w:rsidR="00285522" w:rsidRPr="00457E1C">
        <w:rPr>
          <w:rStyle w:val="Znakapoznpodarou"/>
          <w:rFonts w:ascii="Calibri" w:eastAsia="Times New Roman" w:hAnsi="Calibri" w:cs="Calibri"/>
          <w:color w:val="000000"/>
          <w:sz w:val="24"/>
          <w:szCs w:val="24"/>
          <w:lang w:eastAsia="cs-CZ"/>
        </w:rPr>
        <w:footnoteReference w:id="19"/>
      </w:r>
      <w:r w:rsidR="00285522" w:rsidRPr="00457E1C">
        <w:rPr>
          <w:rFonts w:ascii="Calibri" w:eastAsia="Times New Roman" w:hAnsi="Calibri" w:cs="Calibri"/>
          <w:color w:val="000000"/>
          <w:sz w:val="24"/>
          <w:szCs w:val="24"/>
          <w:lang w:eastAsia="cs-CZ"/>
        </w:rPr>
        <w:t>.</w:t>
      </w:r>
    </w:p>
    <w:p w14:paraId="305ED5DC" w14:textId="77777777" w:rsidR="00F4560E" w:rsidRDefault="00F4560E" w:rsidP="00457E1C">
      <w:pPr>
        <w:spacing w:after="0" w:line="240" w:lineRule="auto"/>
        <w:jc w:val="both"/>
        <w:rPr>
          <w:rFonts w:ascii="Calibri" w:hAnsi="Calibri" w:cs="Calibri"/>
          <w:sz w:val="24"/>
          <w:szCs w:val="24"/>
        </w:rPr>
      </w:pPr>
    </w:p>
    <w:p w14:paraId="413F141E" w14:textId="77777777" w:rsidR="005A6C8E" w:rsidRDefault="0085612B" w:rsidP="00457E1C">
      <w:pPr>
        <w:spacing w:after="0" w:line="240" w:lineRule="auto"/>
        <w:jc w:val="both"/>
        <w:rPr>
          <w:rFonts w:ascii="Calibri" w:hAnsi="Calibri" w:cs="Calibri"/>
          <w:sz w:val="24"/>
          <w:szCs w:val="24"/>
        </w:rPr>
      </w:pPr>
      <w:r w:rsidRPr="00457E1C">
        <w:rPr>
          <w:rFonts w:ascii="Calibri" w:hAnsi="Calibri" w:cs="Calibri"/>
          <w:sz w:val="24"/>
          <w:szCs w:val="24"/>
        </w:rPr>
        <w:t>4.</w:t>
      </w:r>
      <w:r w:rsidR="00E96892" w:rsidRPr="00457E1C">
        <w:rPr>
          <w:rFonts w:ascii="Calibri" w:hAnsi="Calibri" w:cs="Calibri"/>
          <w:sz w:val="24"/>
          <w:szCs w:val="24"/>
        </w:rPr>
        <w:t>6</w:t>
      </w:r>
      <w:r w:rsidR="00F4560E">
        <w:rPr>
          <w:rFonts w:ascii="Calibri" w:hAnsi="Calibri" w:cs="Calibri"/>
          <w:sz w:val="24"/>
          <w:szCs w:val="24"/>
        </w:rPr>
        <w:t xml:space="preserve"> </w:t>
      </w:r>
      <w:r w:rsidR="005A6C8E" w:rsidRPr="00457E1C">
        <w:rPr>
          <w:rFonts w:ascii="Calibri" w:hAnsi="Calibri" w:cs="Calibri"/>
          <w:sz w:val="24"/>
          <w:szCs w:val="24"/>
        </w:rPr>
        <w:t>U</w:t>
      </w:r>
      <w:r w:rsidR="005A6C8E" w:rsidRPr="00457E1C">
        <w:rPr>
          <w:rFonts w:ascii="Calibri" w:eastAsia="Times New Roman" w:hAnsi="Calibri" w:cs="Calibri"/>
          <w:color w:val="000000"/>
          <w:sz w:val="24"/>
          <w:szCs w:val="24"/>
          <w:lang w:eastAsia="cs-CZ"/>
        </w:rPr>
        <w:t>snesením vlády ČR z července 2017</w:t>
      </w:r>
      <w:r w:rsidR="005A6C8E" w:rsidRPr="00457E1C">
        <w:rPr>
          <w:rFonts w:ascii="Calibri" w:eastAsia="Times New Roman" w:hAnsi="Calibri" w:cs="Calibri"/>
          <w:color w:val="000000"/>
          <w:sz w:val="24"/>
          <w:szCs w:val="24"/>
          <w:vertAlign w:val="superscript"/>
          <w:lang w:eastAsia="cs-CZ"/>
        </w:rPr>
        <w:footnoteReference w:id="20"/>
      </w:r>
      <w:r w:rsidR="005A6C8E" w:rsidRPr="00457E1C">
        <w:rPr>
          <w:rFonts w:ascii="Calibri" w:eastAsia="Times New Roman" w:hAnsi="Calibri" w:cs="Calibri"/>
          <w:color w:val="000000"/>
          <w:sz w:val="24"/>
          <w:szCs w:val="24"/>
          <w:lang w:eastAsia="cs-CZ"/>
        </w:rPr>
        <w:t xml:space="preserve"> byla schválena MKBV2017+. MV vymezilo cíle a</w:t>
      </w:r>
      <w:r w:rsidR="00F4560E">
        <w:rPr>
          <w:rFonts w:ascii="Calibri" w:eastAsia="Times New Roman" w:hAnsi="Calibri" w:cs="Calibri"/>
          <w:color w:val="000000"/>
          <w:sz w:val="24"/>
          <w:szCs w:val="24"/>
          <w:lang w:eastAsia="cs-CZ"/>
        </w:rPr>
        <w:t> </w:t>
      </w:r>
      <w:r w:rsidR="005A6C8E" w:rsidRPr="00457E1C">
        <w:rPr>
          <w:rFonts w:ascii="Calibri" w:eastAsia="Times New Roman" w:hAnsi="Calibri" w:cs="Calibri"/>
          <w:color w:val="000000"/>
          <w:sz w:val="24"/>
          <w:szCs w:val="24"/>
          <w:lang w:eastAsia="cs-CZ"/>
        </w:rPr>
        <w:t xml:space="preserve">priority BV v MKBV2017+ s obecnou vazbou na prioritu č. 6 – </w:t>
      </w:r>
      <w:r w:rsidR="005A6C8E" w:rsidRPr="00784FA6">
        <w:rPr>
          <w:rFonts w:ascii="Calibri" w:eastAsia="Times New Roman" w:hAnsi="Calibri" w:cs="Calibri"/>
          <w:i/>
          <w:color w:val="000000"/>
          <w:sz w:val="24"/>
          <w:szCs w:val="24"/>
          <w:lang w:eastAsia="cs-CZ"/>
        </w:rPr>
        <w:t>Bezpečná společnost</w:t>
      </w:r>
      <w:r w:rsidR="005A6C8E" w:rsidRPr="00457E1C">
        <w:rPr>
          <w:rFonts w:ascii="Calibri" w:eastAsia="Times New Roman" w:hAnsi="Calibri" w:cs="Calibri"/>
          <w:color w:val="000000"/>
          <w:sz w:val="24"/>
          <w:szCs w:val="24"/>
          <w:lang w:eastAsia="cs-CZ"/>
        </w:rPr>
        <w:t xml:space="preserve"> Priorit </w:t>
      </w:r>
      <w:proofErr w:type="spellStart"/>
      <w:r w:rsidR="005A6C8E" w:rsidRPr="00457E1C">
        <w:rPr>
          <w:rFonts w:ascii="Calibri" w:eastAsia="Times New Roman" w:hAnsi="Calibri" w:cs="Calibri"/>
          <w:color w:val="000000"/>
          <w:sz w:val="24"/>
          <w:szCs w:val="24"/>
          <w:lang w:eastAsia="cs-CZ"/>
        </w:rPr>
        <w:t>VaVaI</w:t>
      </w:r>
      <w:proofErr w:type="spellEnd"/>
      <w:r w:rsidR="005A6C8E" w:rsidRPr="00457E1C">
        <w:rPr>
          <w:rFonts w:ascii="Calibri" w:eastAsia="Times New Roman" w:hAnsi="Calibri" w:cs="Calibri"/>
          <w:color w:val="000000"/>
          <w:sz w:val="24"/>
          <w:szCs w:val="24"/>
          <w:lang w:eastAsia="cs-CZ"/>
        </w:rPr>
        <w:t xml:space="preserve">. </w:t>
      </w:r>
      <w:r w:rsidR="005A6C8E" w:rsidRPr="00457E1C">
        <w:rPr>
          <w:rFonts w:ascii="Calibri" w:hAnsi="Calibri" w:cs="Calibri"/>
          <w:sz w:val="24"/>
          <w:szCs w:val="24"/>
        </w:rPr>
        <w:t>MV při tvorbě cílů a priorit MKBV2017+ pracovalo s aktuálními bezpečnostními hrozbami, na které je třeba reagovat. Cíle jsou v MKBV2017+ rozpracovány do 17 dílčích iniciativ a 58 opatření, jejichž plnění MV průběžně sleduje.</w:t>
      </w:r>
    </w:p>
    <w:p w14:paraId="2BF38968" w14:textId="77777777" w:rsidR="00F4560E" w:rsidRPr="00457E1C" w:rsidRDefault="00F4560E" w:rsidP="00457E1C">
      <w:pPr>
        <w:spacing w:after="0" w:line="240" w:lineRule="auto"/>
        <w:jc w:val="both"/>
        <w:rPr>
          <w:rFonts w:ascii="Calibri" w:hAnsi="Calibri" w:cs="Calibri"/>
          <w:sz w:val="24"/>
          <w:szCs w:val="24"/>
        </w:rPr>
      </w:pPr>
    </w:p>
    <w:p w14:paraId="38EB31B3" w14:textId="21E61FAD" w:rsidR="0085612B" w:rsidRDefault="00E96892" w:rsidP="00457E1C">
      <w:pPr>
        <w:spacing w:after="0" w:line="240" w:lineRule="auto"/>
        <w:jc w:val="both"/>
        <w:rPr>
          <w:rFonts w:ascii="Calibri" w:hAnsi="Calibri" w:cs="Calibri"/>
          <w:sz w:val="24"/>
          <w:szCs w:val="24"/>
        </w:rPr>
      </w:pPr>
      <w:r w:rsidRPr="00457E1C">
        <w:rPr>
          <w:rFonts w:ascii="Calibri" w:hAnsi="Calibri" w:cs="Calibri"/>
          <w:sz w:val="24"/>
          <w:szCs w:val="24"/>
        </w:rPr>
        <w:t>4.</w:t>
      </w:r>
      <w:r w:rsidR="005A6C8E" w:rsidRPr="00457E1C">
        <w:rPr>
          <w:rFonts w:ascii="Calibri" w:hAnsi="Calibri" w:cs="Calibri"/>
          <w:sz w:val="24"/>
          <w:szCs w:val="24"/>
        </w:rPr>
        <w:t>7</w:t>
      </w:r>
      <w:r w:rsidR="00F4560E">
        <w:rPr>
          <w:rFonts w:ascii="Calibri" w:hAnsi="Calibri" w:cs="Calibri"/>
          <w:sz w:val="24"/>
          <w:szCs w:val="24"/>
        </w:rPr>
        <w:t xml:space="preserve"> </w:t>
      </w:r>
      <w:r w:rsidR="00846C3D" w:rsidRPr="00457E1C">
        <w:rPr>
          <w:rFonts w:ascii="Calibri" w:hAnsi="Calibri" w:cs="Calibri"/>
          <w:sz w:val="24"/>
          <w:szCs w:val="24"/>
        </w:rPr>
        <w:t>NKÚ proto konstatuje, že v žádném</w:t>
      </w:r>
      <w:r w:rsidR="00BF6E1B" w:rsidRPr="00457E1C">
        <w:rPr>
          <w:rFonts w:ascii="Calibri" w:hAnsi="Calibri" w:cs="Calibri"/>
          <w:sz w:val="24"/>
          <w:szCs w:val="24"/>
        </w:rPr>
        <w:t xml:space="preserve"> </w:t>
      </w:r>
      <w:r w:rsidR="009E1958" w:rsidRPr="00457E1C">
        <w:rPr>
          <w:rFonts w:ascii="Calibri" w:hAnsi="Calibri" w:cs="Calibri"/>
          <w:sz w:val="24"/>
          <w:szCs w:val="24"/>
        </w:rPr>
        <w:t>strategickém</w:t>
      </w:r>
      <w:r w:rsidR="005A6C8E" w:rsidRPr="00457E1C">
        <w:rPr>
          <w:rFonts w:ascii="Calibri" w:hAnsi="Calibri" w:cs="Calibri"/>
          <w:sz w:val="24"/>
          <w:szCs w:val="24"/>
        </w:rPr>
        <w:t xml:space="preserve"> </w:t>
      </w:r>
      <w:r w:rsidR="00BF6E1B" w:rsidRPr="00457E1C">
        <w:rPr>
          <w:rFonts w:ascii="Calibri" w:hAnsi="Calibri" w:cs="Calibri"/>
          <w:sz w:val="24"/>
          <w:szCs w:val="24"/>
        </w:rPr>
        <w:t>dokumentu</w:t>
      </w:r>
      <w:r w:rsidR="000A078E" w:rsidRPr="00457E1C">
        <w:rPr>
          <w:rFonts w:ascii="Calibri" w:hAnsi="Calibri" w:cs="Calibri"/>
          <w:sz w:val="24"/>
          <w:szCs w:val="24"/>
        </w:rPr>
        <w:t xml:space="preserve"> </w:t>
      </w:r>
      <w:r w:rsidR="005A6C8E" w:rsidRPr="00457E1C">
        <w:rPr>
          <w:rFonts w:ascii="Calibri" w:hAnsi="Calibri" w:cs="Calibri"/>
          <w:sz w:val="24"/>
          <w:szCs w:val="24"/>
        </w:rPr>
        <w:t xml:space="preserve">BV </w:t>
      </w:r>
      <w:r w:rsidR="000A078E" w:rsidRPr="00457E1C">
        <w:rPr>
          <w:rFonts w:ascii="Calibri" w:hAnsi="Calibri" w:cs="Calibri"/>
          <w:sz w:val="24"/>
          <w:szCs w:val="24"/>
        </w:rPr>
        <w:t xml:space="preserve">nebyly nastaveny měřitelné indikátory, </w:t>
      </w:r>
      <w:r w:rsidR="009A797D">
        <w:rPr>
          <w:rFonts w:ascii="Calibri" w:hAnsi="Calibri" w:cs="Calibri"/>
          <w:sz w:val="24"/>
          <w:szCs w:val="24"/>
        </w:rPr>
        <w:t xml:space="preserve">jejichž </w:t>
      </w:r>
      <w:r w:rsidR="000A078E" w:rsidRPr="00457E1C">
        <w:rPr>
          <w:rFonts w:ascii="Calibri" w:hAnsi="Calibri" w:cs="Calibri"/>
          <w:sz w:val="24"/>
          <w:szCs w:val="24"/>
        </w:rPr>
        <w:t>prostřednictvím by bylo možné ověřit úspěšnost plnění jejich cílů, nejsou tedy nastaveny SMART</w:t>
      </w:r>
      <w:r w:rsidR="00BF6E1B" w:rsidRPr="00457E1C">
        <w:rPr>
          <w:rFonts w:ascii="Calibri" w:hAnsi="Calibri" w:cs="Calibri"/>
          <w:sz w:val="24"/>
          <w:szCs w:val="24"/>
        </w:rPr>
        <w:t>.</w:t>
      </w:r>
    </w:p>
    <w:p w14:paraId="31DE6E7A" w14:textId="77777777" w:rsidR="00F4560E" w:rsidRPr="00457E1C" w:rsidRDefault="00F4560E" w:rsidP="00457E1C">
      <w:pPr>
        <w:spacing w:after="0" w:line="240" w:lineRule="auto"/>
        <w:jc w:val="both"/>
        <w:rPr>
          <w:rFonts w:ascii="Calibri" w:hAnsi="Calibri" w:cs="Calibri"/>
          <w:sz w:val="24"/>
          <w:szCs w:val="24"/>
        </w:rPr>
      </w:pPr>
    </w:p>
    <w:p w14:paraId="3D411EFA" w14:textId="35042F0B" w:rsidR="009F6B3D" w:rsidRDefault="009F6B3D" w:rsidP="00457E1C">
      <w:pPr>
        <w:spacing w:after="0" w:line="240" w:lineRule="auto"/>
        <w:jc w:val="both"/>
        <w:rPr>
          <w:rFonts w:ascii="Calibri" w:hAnsi="Calibri" w:cs="Calibri"/>
          <w:sz w:val="24"/>
          <w:szCs w:val="24"/>
        </w:rPr>
      </w:pPr>
      <w:r w:rsidRPr="00457E1C">
        <w:rPr>
          <w:rFonts w:ascii="Calibri" w:hAnsi="Calibri" w:cs="Calibri"/>
          <w:sz w:val="24"/>
          <w:szCs w:val="24"/>
        </w:rPr>
        <w:lastRenderedPageBreak/>
        <w:t>4.8</w:t>
      </w:r>
      <w:r w:rsidR="00F4560E">
        <w:rPr>
          <w:rFonts w:ascii="Calibri" w:hAnsi="Calibri" w:cs="Calibri"/>
          <w:sz w:val="24"/>
          <w:szCs w:val="24"/>
        </w:rPr>
        <w:t xml:space="preserve"> </w:t>
      </w:r>
      <w:r w:rsidR="009E1958" w:rsidRPr="00457E1C">
        <w:rPr>
          <w:rFonts w:ascii="Calibri" w:hAnsi="Calibri" w:cs="Calibri"/>
          <w:sz w:val="24"/>
          <w:szCs w:val="24"/>
        </w:rPr>
        <w:t>NKÚ proto následně ověřoval, zda MV stanovilo měřitelné indikátory plnění cílů v programových dokumentech, protože prověřované programy mají na výše uvedené strategické dokumenty navazovat.</w:t>
      </w:r>
      <w:r w:rsidR="00F5780A" w:rsidRPr="00457E1C">
        <w:rPr>
          <w:rFonts w:ascii="Calibri" w:hAnsi="Calibri" w:cs="Calibri"/>
          <w:sz w:val="24"/>
          <w:szCs w:val="24"/>
        </w:rPr>
        <w:t xml:space="preserve"> </w:t>
      </w:r>
      <w:r w:rsidR="009A797D">
        <w:rPr>
          <w:rFonts w:ascii="Calibri" w:hAnsi="Calibri" w:cs="Calibri"/>
          <w:sz w:val="24"/>
          <w:szCs w:val="24"/>
        </w:rPr>
        <w:t>NKÚ rovněž ověřoval,</w:t>
      </w:r>
      <w:r w:rsidR="009E1958" w:rsidRPr="00457E1C">
        <w:rPr>
          <w:rFonts w:ascii="Calibri" w:hAnsi="Calibri" w:cs="Calibri"/>
          <w:sz w:val="24"/>
          <w:szCs w:val="24"/>
        </w:rPr>
        <w:t xml:space="preserve"> zda </w:t>
      </w:r>
      <w:r w:rsidR="009A797D">
        <w:rPr>
          <w:rFonts w:ascii="Calibri" w:hAnsi="Calibri" w:cs="Calibri"/>
          <w:sz w:val="24"/>
          <w:szCs w:val="24"/>
        </w:rPr>
        <w:t>MV </w:t>
      </w:r>
      <w:r w:rsidR="009E1958" w:rsidRPr="00457E1C">
        <w:rPr>
          <w:rFonts w:ascii="Calibri" w:hAnsi="Calibri" w:cs="Calibri"/>
          <w:sz w:val="24"/>
          <w:szCs w:val="24"/>
        </w:rPr>
        <w:t>nastavil</w:t>
      </w:r>
      <w:r w:rsidR="009A797D">
        <w:rPr>
          <w:rFonts w:ascii="Calibri" w:hAnsi="Calibri" w:cs="Calibri"/>
          <w:sz w:val="24"/>
          <w:szCs w:val="24"/>
        </w:rPr>
        <w:t>o indikátory</w:t>
      </w:r>
      <w:r w:rsidR="009E1958" w:rsidRPr="00457E1C">
        <w:rPr>
          <w:rFonts w:ascii="Calibri" w:hAnsi="Calibri" w:cs="Calibri"/>
          <w:sz w:val="24"/>
          <w:szCs w:val="24"/>
        </w:rPr>
        <w:t xml:space="preserve"> </w:t>
      </w:r>
      <w:r w:rsidR="00F5780A" w:rsidRPr="00457E1C">
        <w:rPr>
          <w:rFonts w:ascii="Calibri" w:hAnsi="Calibri" w:cs="Calibri"/>
          <w:sz w:val="24"/>
          <w:szCs w:val="24"/>
        </w:rPr>
        <w:t>tak</w:t>
      </w:r>
      <w:r w:rsidRPr="00457E1C">
        <w:rPr>
          <w:rFonts w:ascii="Calibri" w:hAnsi="Calibri" w:cs="Calibri"/>
          <w:sz w:val="24"/>
          <w:szCs w:val="24"/>
        </w:rPr>
        <w:t xml:space="preserve">, aby bylo možné </w:t>
      </w:r>
      <w:r w:rsidR="000A078E" w:rsidRPr="00457E1C">
        <w:rPr>
          <w:rFonts w:ascii="Calibri" w:hAnsi="Calibri" w:cs="Calibri"/>
          <w:sz w:val="24"/>
          <w:szCs w:val="24"/>
        </w:rPr>
        <w:t>naplnění těchto cílů</w:t>
      </w:r>
      <w:r w:rsidRPr="00457E1C">
        <w:rPr>
          <w:rFonts w:ascii="Calibri" w:hAnsi="Calibri" w:cs="Calibri"/>
          <w:sz w:val="24"/>
          <w:szCs w:val="24"/>
        </w:rPr>
        <w:t xml:space="preserve"> vyhodnotit.</w:t>
      </w:r>
    </w:p>
    <w:p w14:paraId="064E42CD" w14:textId="77777777" w:rsidR="00F4560E" w:rsidRPr="00457E1C" w:rsidRDefault="00F4560E" w:rsidP="00457E1C">
      <w:pPr>
        <w:spacing w:after="0" w:line="240" w:lineRule="auto"/>
        <w:jc w:val="both"/>
        <w:rPr>
          <w:rFonts w:ascii="Calibri" w:hAnsi="Calibri" w:cs="Calibri"/>
          <w:sz w:val="24"/>
          <w:szCs w:val="24"/>
        </w:rPr>
      </w:pPr>
    </w:p>
    <w:p w14:paraId="03656E1F" w14:textId="77777777" w:rsidR="00DC52E9" w:rsidRPr="00457E1C" w:rsidRDefault="007D78BF" w:rsidP="00457E1C">
      <w:pPr>
        <w:spacing w:after="0" w:line="240" w:lineRule="auto"/>
        <w:jc w:val="both"/>
        <w:rPr>
          <w:rFonts w:ascii="Calibri" w:hAnsi="Calibri" w:cs="Calibri"/>
          <w:sz w:val="24"/>
          <w:szCs w:val="24"/>
        </w:rPr>
      </w:pPr>
      <w:r w:rsidRPr="00457E1C">
        <w:rPr>
          <w:rFonts w:ascii="Calibri" w:hAnsi="Calibri" w:cs="Calibri"/>
          <w:sz w:val="24"/>
          <w:szCs w:val="24"/>
        </w:rPr>
        <w:t>4.9</w:t>
      </w:r>
      <w:r w:rsidR="00F4560E">
        <w:rPr>
          <w:rFonts w:ascii="Calibri" w:hAnsi="Calibri" w:cs="Calibri"/>
          <w:sz w:val="24"/>
          <w:szCs w:val="24"/>
        </w:rPr>
        <w:t xml:space="preserve"> </w:t>
      </w:r>
      <w:r w:rsidR="00DC52E9" w:rsidRPr="00457E1C">
        <w:rPr>
          <w:rFonts w:ascii="Calibri" w:hAnsi="Calibri" w:cs="Calibri"/>
          <w:sz w:val="24"/>
          <w:szCs w:val="24"/>
        </w:rPr>
        <w:t xml:space="preserve">MV do dokumentací programů BV </w:t>
      </w:r>
      <w:r w:rsidR="0067056F" w:rsidRPr="00457E1C">
        <w:rPr>
          <w:rFonts w:ascii="Calibri" w:hAnsi="Calibri" w:cs="Calibri"/>
          <w:sz w:val="24"/>
          <w:szCs w:val="24"/>
        </w:rPr>
        <w:t xml:space="preserve">obecně </w:t>
      </w:r>
      <w:r w:rsidR="00DC52E9" w:rsidRPr="00457E1C">
        <w:rPr>
          <w:rFonts w:ascii="Calibri" w:hAnsi="Calibri" w:cs="Calibri"/>
          <w:sz w:val="24"/>
          <w:szCs w:val="24"/>
        </w:rPr>
        <w:t>zapracovalo cíle prioritní oblasti</w:t>
      </w:r>
      <w:r w:rsidR="00F4560E">
        <w:rPr>
          <w:rFonts w:ascii="Calibri" w:hAnsi="Calibri" w:cs="Calibri"/>
          <w:sz w:val="24"/>
          <w:szCs w:val="24"/>
        </w:rPr>
        <w:t xml:space="preserve"> </w:t>
      </w:r>
      <w:r w:rsidR="00DC52E9" w:rsidRPr="00457E1C">
        <w:rPr>
          <w:rFonts w:ascii="Calibri" w:hAnsi="Calibri" w:cs="Calibri"/>
          <w:sz w:val="24"/>
          <w:szCs w:val="24"/>
        </w:rPr>
        <w:t>č.</w:t>
      </w:r>
      <w:r w:rsidR="00F4560E">
        <w:rPr>
          <w:rFonts w:ascii="Calibri" w:hAnsi="Calibri" w:cs="Calibri"/>
          <w:sz w:val="24"/>
          <w:szCs w:val="24"/>
        </w:rPr>
        <w:t> </w:t>
      </w:r>
      <w:r w:rsidR="00DC52E9" w:rsidRPr="00457E1C">
        <w:rPr>
          <w:rFonts w:ascii="Calibri" w:hAnsi="Calibri" w:cs="Calibri"/>
          <w:sz w:val="24"/>
          <w:szCs w:val="24"/>
        </w:rPr>
        <w:t xml:space="preserve">6 – </w:t>
      </w:r>
      <w:r w:rsidR="00DC52E9" w:rsidRPr="00784FA6">
        <w:rPr>
          <w:rFonts w:ascii="Calibri" w:hAnsi="Calibri" w:cs="Calibri"/>
          <w:i/>
          <w:sz w:val="24"/>
          <w:szCs w:val="24"/>
        </w:rPr>
        <w:t xml:space="preserve">Bezpečná společnost </w:t>
      </w:r>
      <w:r w:rsidR="00DC52E9" w:rsidRPr="00457E1C">
        <w:rPr>
          <w:rFonts w:ascii="Calibri" w:hAnsi="Calibri" w:cs="Calibri"/>
          <w:sz w:val="24"/>
          <w:szCs w:val="24"/>
        </w:rPr>
        <w:t xml:space="preserve">Priorit </w:t>
      </w:r>
      <w:proofErr w:type="spellStart"/>
      <w:r w:rsidR="00DC52E9" w:rsidRPr="00457E1C">
        <w:rPr>
          <w:rFonts w:ascii="Calibri" w:hAnsi="Calibri" w:cs="Calibri"/>
          <w:sz w:val="24"/>
          <w:szCs w:val="24"/>
        </w:rPr>
        <w:t>VaVaI</w:t>
      </w:r>
      <w:proofErr w:type="spellEnd"/>
      <w:r w:rsidR="00DC52E9" w:rsidRPr="00457E1C">
        <w:rPr>
          <w:rFonts w:ascii="Calibri" w:hAnsi="Calibri" w:cs="Calibri"/>
          <w:sz w:val="24"/>
          <w:szCs w:val="24"/>
        </w:rPr>
        <w:t>. Cíle programů tak pokrývají celou oblast BV. MV však již podrobně nekonkretizovalo tematické oblasti jednotlivých bezpečnostních hrozeb, které by v rámci realizace programů měly</w:t>
      </w:r>
      <w:r w:rsidR="009E1958" w:rsidRPr="00457E1C">
        <w:rPr>
          <w:rFonts w:ascii="Calibri" w:hAnsi="Calibri" w:cs="Calibri"/>
          <w:sz w:val="24"/>
          <w:szCs w:val="24"/>
        </w:rPr>
        <w:t xml:space="preserve"> mít prioritu, a tedy jaké typy projektů řešících tyto prioritní oblasti by měly</w:t>
      </w:r>
      <w:r w:rsidR="00DC52E9" w:rsidRPr="00457E1C">
        <w:rPr>
          <w:rFonts w:ascii="Calibri" w:hAnsi="Calibri" w:cs="Calibri"/>
          <w:sz w:val="24"/>
          <w:szCs w:val="24"/>
        </w:rPr>
        <w:t xml:space="preserve"> být preferovány.</w:t>
      </w:r>
    </w:p>
    <w:p w14:paraId="653E3EDA" w14:textId="77777777" w:rsidR="00F4560E" w:rsidRDefault="00F4560E" w:rsidP="00457E1C">
      <w:pPr>
        <w:spacing w:after="0" w:line="240" w:lineRule="auto"/>
        <w:jc w:val="both"/>
        <w:rPr>
          <w:rFonts w:ascii="Calibri" w:hAnsi="Calibri" w:cs="Calibri"/>
          <w:sz w:val="24"/>
          <w:szCs w:val="24"/>
        </w:rPr>
      </w:pPr>
    </w:p>
    <w:p w14:paraId="1FFE15C0" w14:textId="3A8A863A" w:rsidR="001F7F23" w:rsidRDefault="007D78BF" w:rsidP="00457E1C">
      <w:pPr>
        <w:spacing w:after="0" w:line="240" w:lineRule="auto"/>
        <w:jc w:val="both"/>
        <w:rPr>
          <w:rFonts w:ascii="Calibri" w:hAnsi="Calibri" w:cs="Calibri"/>
          <w:sz w:val="24"/>
          <w:szCs w:val="24"/>
        </w:rPr>
      </w:pPr>
      <w:r w:rsidRPr="00457E1C">
        <w:rPr>
          <w:rFonts w:ascii="Calibri" w:hAnsi="Calibri" w:cs="Calibri"/>
          <w:sz w:val="24"/>
          <w:szCs w:val="24"/>
        </w:rPr>
        <w:t>4.10</w:t>
      </w:r>
      <w:r w:rsidR="00F4560E">
        <w:rPr>
          <w:rFonts w:ascii="Calibri" w:hAnsi="Calibri" w:cs="Calibri"/>
          <w:sz w:val="24"/>
          <w:szCs w:val="24"/>
        </w:rPr>
        <w:t xml:space="preserve"> </w:t>
      </w:r>
      <w:r w:rsidR="0044565C" w:rsidRPr="00457E1C">
        <w:rPr>
          <w:rFonts w:ascii="Calibri" w:hAnsi="Calibri" w:cs="Calibri"/>
          <w:sz w:val="24"/>
          <w:szCs w:val="24"/>
        </w:rPr>
        <w:t xml:space="preserve">MV u konkrétních dílčích cílů stanovených v dokumentacích programů BV nestanovilo měřitelné indikátory, </w:t>
      </w:r>
      <w:r w:rsidR="009A797D">
        <w:rPr>
          <w:rFonts w:ascii="Calibri" w:hAnsi="Calibri" w:cs="Calibri"/>
          <w:sz w:val="24"/>
          <w:szCs w:val="24"/>
        </w:rPr>
        <w:t xml:space="preserve">s jejichž </w:t>
      </w:r>
      <w:r w:rsidR="0044565C" w:rsidRPr="00457E1C">
        <w:rPr>
          <w:rFonts w:ascii="Calibri" w:hAnsi="Calibri" w:cs="Calibri"/>
          <w:sz w:val="24"/>
          <w:szCs w:val="24"/>
        </w:rPr>
        <w:t xml:space="preserve">pomocí </w:t>
      </w:r>
      <w:r w:rsidR="00F5780A" w:rsidRPr="00457E1C">
        <w:rPr>
          <w:rFonts w:ascii="Calibri" w:hAnsi="Calibri" w:cs="Calibri"/>
          <w:sz w:val="24"/>
          <w:szCs w:val="24"/>
        </w:rPr>
        <w:t>by bylo</w:t>
      </w:r>
      <w:r w:rsidR="0044565C" w:rsidRPr="00457E1C">
        <w:rPr>
          <w:rFonts w:ascii="Calibri" w:hAnsi="Calibri" w:cs="Calibri"/>
          <w:sz w:val="24"/>
          <w:szCs w:val="24"/>
        </w:rPr>
        <w:t xml:space="preserve"> možné vyhodnotit plnění</w:t>
      </w:r>
      <w:r w:rsidR="009A797D">
        <w:rPr>
          <w:rFonts w:ascii="Calibri" w:hAnsi="Calibri" w:cs="Calibri"/>
          <w:sz w:val="24"/>
          <w:szCs w:val="24"/>
        </w:rPr>
        <w:t xml:space="preserve"> cílů</w:t>
      </w:r>
      <w:r w:rsidR="0044565C" w:rsidRPr="00457E1C">
        <w:rPr>
          <w:rFonts w:ascii="Calibri" w:hAnsi="Calibri" w:cs="Calibri"/>
          <w:sz w:val="24"/>
          <w:szCs w:val="24"/>
        </w:rPr>
        <w:t xml:space="preserve">. </w:t>
      </w:r>
      <w:r w:rsidR="009F6B3D" w:rsidRPr="00457E1C">
        <w:rPr>
          <w:rFonts w:ascii="Calibri" w:hAnsi="Calibri" w:cs="Calibri"/>
          <w:sz w:val="24"/>
          <w:szCs w:val="24"/>
        </w:rPr>
        <w:t>U</w:t>
      </w:r>
      <w:r w:rsidR="00F4560E">
        <w:rPr>
          <w:rFonts w:ascii="Calibri" w:hAnsi="Calibri" w:cs="Calibri"/>
          <w:sz w:val="24"/>
          <w:szCs w:val="24"/>
        </w:rPr>
        <w:t> </w:t>
      </w:r>
      <w:r w:rsidR="009F6B3D" w:rsidRPr="00457E1C">
        <w:rPr>
          <w:rFonts w:ascii="Calibri" w:hAnsi="Calibri" w:cs="Calibri"/>
          <w:sz w:val="24"/>
          <w:szCs w:val="24"/>
        </w:rPr>
        <w:t xml:space="preserve">Programu VI </w:t>
      </w:r>
      <w:r w:rsidR="0044565C" w:rsidRPr="00457E1C">
        <w:rPr>
          <w:rFonts w:ascii="Calibri" w:hAnsi="Calibri" w:cs="Calibri"/>
          <w:sz w:val="24"/>
          <w:szCs w:val="24"/>
        </w:rPr>
        <w:t xml:space="preserve">stanovilo </w:t>
      </w:r>
      <w:r w:rsidR="00DC52E9" w:rsidRPr="00457E1C">
        <w:rPr>
          <w:rFonts w:ascii="Calibri" w:hAnsi="Calibri" w:cs="Calibri"/>
          <w:sz w:val="24"/>
          <w:szCs w:val="24"/>
        </w:rPr>
        <w:t xml:space="preserve">MV </w:t>
      </w:r>
      <w:r w:rsidR="0044565C" w:rsidRPr="00457E1C">
        <w:rPr>
          <w:rFonts w:ascii="Calibri" w:hAnsi="Calibri" w:cs="Calibri"/>
          <w:sz w:val="24"/>
          <w:szCs w:val="24"/>
        </w:rPr>
        <w:t>pro hodnocení výsledků pouze výkonové indikátory</w:t>
      </w:r>
      <w:r w:rsidR="000A078E" w:rsidRPr="00457E1C">
        <w:rPr>
          <w:rFonts w:ascii="Calibri" w:hAnsi="Calibri" w:cs="Calibri"/>
          <w:sz w:val="24"/>
          <w:szCs w:val="24"/>
        </w:rPr>
        <w:t>, uvádějící očekávaný výstup projektu (např. patent, užitný vzor, průmyslový vzor</w:t>
      </w:r>
      <w:r w:rsidR="001831C1" w:rsidRPr="00457E1C">
        <w:rPr>
          <w:rFonts w:ascii="Calibri" w:hAnsi="Calibri" w:cs="Calibri"/>
          <w:sz w:val="24"/>
          <w:szCs w:val="24"/>
        </w:rPr>
        <w:t>, certifikovaná metodika</w:t>
      </w:r>
      <w:r w:rsidR="00991450" w:rsidRPr="00457E1C">
        <w:rPr>
          <w:rFonts w:ascii="Calibri" w:hAnsi="Calibri" w:cs="Calibri"/>
          <w:sz w:val="24"/>
          <w:szCs w:val="24"/>
        </w:rPr>
        <w:t xml:space="preserve"> apod. – </w:t>
      </w:r>
      <w:r w:rsidR="000A078E" w:rsidRPr="00457E1C">
        <w:rPr>
          <w:rFonts w:ascii="Calibri" w:hAnsi="Calibri" w:cs="Calibri"/>
          <w:sz w:val="24"/>
          <w:szCs w:val="24"/>
        </w:rPr>
        <w:t>viz také tabulka č. 4)</w:t>
      </w:r>
      <w:r w:rsidR="0044565C" w:rsidRPr="00457E1C">
        <w:rPr>
          <w:rFonts w:ascii="Calibri" w:hAnsi="Calibri" w:cs="Calibri"/>
          <w:sz w:val="24"/>
          <w:szCs w:val="24"/>
        </w:rPr>
        <w:t>.</w:t>
      </w:r>
      <w:r w:rsidR="00BC17B8" w:rsidRPr="00784FA6">
        <w:rPr>
          <w:rFonts w:ascii="Calibri" w:hAnsi="Calibri" w:cs="Calibri"/>
          <w:sz w:val="24"/>
          <w:szCs w:val="24"/>
        </w:rPr>
        <w:t xml:space="preserve"> </w:t>
      </w:r>
      <w:r w:rsidR="001F7F23" w:rsidRPr="00457E1C">
        <w:rPr>
          <w:rFonts w:ascii="Calibri" w:hAnsi="Calibri" w:cs="Calibri"/>
          <w:sz w:val="24"/>
          <w:szCs w:val="24"/>
        </w:rPr>
        <w:t>Žádný z ukazatelů nesleduje využití těchto výstupů z realizovaných projektů v praxi zajišťování bezpečnosti ČR.</w:t>
      </w:r>
    </w:p>
    <w:p w14:paraId="71953772" w14:textId="77777777" w:rsidR="00457E1C" w:rsidRPr="00457E1C" w:rsidRDefault="00457E1C" w:rsidP="00457E1C">
      <w:pPr>
        <w:spacing w:after="0" w:line="240" w:lineRule="auto"/>
        <w:jc w:val="both"/>
        <w:rPr>
          <w:rFonts w:ascii="Calibri" w:hAnsi="Calibri" w:cs="Calibri"/>
          <w:sz w:val="24"/>
          <w:szCs w:val="24"/>
        </w:rPr>
      </w:pPr>
    </w:p>
    <w:p w14:paraId="047D024F" w14:textId="794BBFC1" w:rsidR="00DC63D8" w:rsidRPr="00457E1C" w:rsidRDefault="001F7F23" w:rsidP="00457E1C">
      <w:pPr>
        <w:spacing w:after="0" w:line="240" w:lineRule="auto"/>
        <w:jc w:val="both"/>
        <w:rPr>
          <w:rFonts w:ascii="Calibri" w:hAnsi="Calibri" w:cs="Calibri"/>
          <w:sz w:val="24"/>
          <w:szCs w:val="24"/>
        </w:rPr>
      </w:pPr>
      <w:r w:rsidRPr="00457E1C">
        <w:rPr>
          <w:rFonts w:ascii="Calibri" w:hAnsi="Calibri" w:cs="Calibri"/>
          <w:sz w:val="24"/>
          <w:szCs w:val="24"/>
        </w:rPr>
        <w:t>4.11</w:t>
      </w:r>
      <w:r w:rsidR="00FA0447" w:rsidRPr="00457E1C">
        <w:rPr>
          <w:rFonts w:ascii="Calibri" w:hAnsi="Calibri" w:cs="Calibri"/>
          <w:sz w:val="24"/>
          <w:szCs w:val="24"/>
        </w:rPr>
        <w:t xml:space="preserve"> </w:t>
      </w:r>
      <w:r w:rsidR="00BC17B8" w:rsidRPr="00457E1C">
        <w:rPr>
          <w:rFonts w:ascii="Calibri" w:hAnsi="Calibri" w:cs="Calibri"/>
          <w:sz w:val="24"/>
          <w:szCs w:val="24"/>
        </w:rPr>
        <w:t xml:space="preserve">MV </w:t>
      </w:r>
      <w:r w:rsidRPr="00457E1C">
        <w:rPr>
          <w:rFonts w:ascii="Calibri" w:hAnsi="Calibri" w:cs="Calibri"/>
          <w:sz w:val="24"/>
          <w:szCs w:val="24"/>
        </w:rPr>
        <w:t>navíc</w:t>
      </w:r>
      <w:r w:rsidR="00BC17B8" w:rsidRPr="00457E1C">
        <w:rPr>
          <w:rFonts w:ascii="Calibri" w:hAnsi="Calibri" w:cs="Calibri"/>
          <w:sz w:val="24"/>
          <w:szCs w:val="24"/>
        </w:rPr>
        <w:t xml:space="preserve"> stanovilo</w:t>
      </w:r>
      <w:r w:rsidR="005D5860" w:rsidRPr="00457E1C">
        <w:rPr>
          <w:rFonts w:ascii="Calibri" w:hAnsi="Calibri" w:cs="Calibri"/>
          <w:sz w:val="24"/>
          <w:szCs w:val="24"/>
        </w:rPr>
        <w:t xml:space="preserve"> jako</w:t>
      </w:r>
      <w:r w:rsidRPr="00457E1C">
        <w:rPr>
          <w:rFonts w:ascii="Calibri" w:hAnsi="Calibri" w:cs="Calibri"/>
          <w:sz w:val="24"/>
          <w:szCs w:val="24"/>
        </w:rPr>
        <w:t xml:space="preserve"> ukazatel splnění cílů Programu</w:t>
      </w:r>
      <w:r w:rsidR="00BC17B8" w:rsidRPr="00457E1C">
        <w:rPr>
          <w:rFonts w:ascii="Calibri" w:hAnsi="Calibri" w:cs="Calibri"/>
          <w:sz w:val="24"/>
          <w:szCs w:val="24"/>
        </w:rPr>
        <w:t xml:space="preserve"> </w:t>
      </w:r>
      <w:r w:rsidRPr="00457E1C">
        <w:rPr>
          <w:rFonts w:ascii="Calibri" w:hAnsi="Calibri" w:cs="Calibri"/>
          <w:sz w:val="24"/>
          <w:szCs w:val="24"/>
        </w:rPr>
        <w:t xml:space="preserve">VI </w:t>
      </w:r>
      <w:r w:rsidR="00BC17B8" w:rsidRPr="00457E1C">
        <w:rPr>
          <w:rFonts w:ascii="Calibri" w:hAnsi="Calibri" w:cs="Calibri"/>
          <w:sz w:val="24"/>
          <w:szCs w:val="24"/>
        </w:rPr>
        <w:t xml:space="preserve">dosažení dílčích cílů </w:t>
      </w:r>
      <w:r w:rsidRPr="00457E1C">
        <w:rPr>
          <w:rFonts w:ascii="Calibri" w:hAnsi="Calibri" w:cs="Calibri"/>
          <w:sz w:val="24"/>
          <w:szCs w:val="24"/>
        </w:rPr>
        <w:t xml:space="preserve">alespoň </w:t>
      </w:r>
      <w:r w:rsidR="00BC17B8" w:rsidRPr="00457E1C">
        <w:rPr>
          <w:rFonts w:ascii="Calibri" w:hAnsi="Calibri" w:cs="Calibri"/>
          <w:sz w:val="24"/>
          <w:szCs w:val="24"/>
        </w:rPr>
        <w:t xml:space="preserve">na 85 %, </w:t>
      </w:r>
      <w:r w:rsidRPr="00457E1C">
        <w:rPr>
          <w:rFonts w:ascii="Calibri" w:hAnsi="Calibri" w:cs="Calibri"/>
          <w:sz w:val="24"/>
          <w:szCs w:val="24"/>
        </w:rPr>
        <w:t>což</w:t>
      </w:r>
      <w:r w:rsidR="00BC17B8" w:rsidRPr="00457E1C">
        <w:rPr>
          <w:rFonts w:ascii="Calibri" w:hAnsi="Calibri" w:cs="Calibri"/>
          <w:sz w:val="24"/>
          <w:szCs w:val="24"/>
        </w:rPr>
        <w:t xml:space="preserve"> představuje splnění</w:t>
      </w:r>
      <w:r w:rsidR="00FA0447" w:rsidRPr="00457E1C">
        <w:rPr>
          <w:rFonts w:ascii="Calibri" w:hAnsi="Calibri" w:cs="Calibri"/>
          <w:sz w:val="24"/>
          <w:szCs w:val="24"/>
        </w:rPr>
        <w:t xml:space="preserve"> </w:t>
      </w:r>
      <w:r w:rsidR="00BC17B8" w:rsidRPr="00457E1C">
        <w:rPr>
          <w:rFonts w:ascii="Calibri" w:hAnsi="Calibri" w:cs="Calibri"/>
          <w:sz w:val="24"/>
          <w:szCs w:val="24"/>
        </w:rPr>
        <w:t>18 dílčích cílů</w:t>
      </w:r>
      <w:r w:rsidR="00FA0447" w:rsidRPr="00457E1C">
        <w:rPr>
          <w:rFonts w:ascii="Calibri" w:hAnsi="Calibri" w:cs="Calibri"/>
          <w:sz w:val="24"/>
          <w:szCs w:val="24"/>
        </w:rPr>
        <w:t xml:space="preserve"> </w:t>
      </w:r>
      <w:r w:rsidR="00BC17B8" w:rsidRPr="00457E1C">
        <w:rPr>
          <w:rFonts w:ascii="Calibri" w:hAnsi="Calibri" w:cs="Calibri"/>
          <w:sz w:val="24"/>
          <w:szCs w:val="24"/>
        </w:rPr>
        <w:t>z celkových 21.</w:t>
      </w:r>
      <w:r w:rsidR="00984697" w:rsidRPr="00457E1C">
        <w:rPr>
          <w:rFonts w:ascii="Calibri" w:hAnsi="Calibri" w:cs="Calibri"/>
          <w:sz w:val="24"/>
          <w:szCs w:val="24"/>
        </w:rPr>
        <w:t xml:space="preserve"> </w:t>
      </w:r>
      <w:r w:rsidR="005D5860" w:rsidRPr="00457E1C">
        <w:rPr>
          <w:rFonts w:ascii="Calibri" w:hAnsi="Calibri" w:cs="Calibri"/>
          <w:sz w:val="24"/>
          <w:szCs w:val="24"/>
        </w:rPr>
        <w:t>To by samo o sobě byl dostatečně ambiciózní cíl.</w:t>
      </w:r>
      <w:r w:rsidR="00FA0447" w:rsidRPr="00457E1C">
        <w:rPr>
          <w:rFonts w:ascii="Calibri" w:hAnsi="Calibri" w:cs="Calibri"/>
          <w:sz w:val="24"/>
          <w:szCs w:val="24"/>
        </w:rPr>
        <w:t xml:space="preserve"> </w:t>
      </w:r>
      <w:r w:rsidR="00DD05FC" w:rsidRPr="00457E1C">
        <w:rPr>
          <w:rFonts w:ascii="Calibri" w:hAnsi="Calibri" w:cs="Calibri"/>
          <w:sz w:val="24"/>
          <w:szCs w:val="24"/>
        </w:rPr>
        <w:t>MV však považuje za dosažení stanoveného dílčího</w:t>
      </w:r>
      <w:r w:rsidRPr="00457E1C">
        <w:rPr>
          <w:rFonts w:ascii="Calibri" w:hAnsi="Calibri" w:cs="Calibri"/>
          <w:sz w:val="24"/>
          <w:szCs w:val="24"/>
        </w:rPr>
        <w:t xml:space="preserve"> </w:t>
      </w:r>
      <w:r w:rsidR="00DD05FC" w:rsidRPr="00457E1C">
        <w:rPr>
          <w:rFonts w:ascii="Calibri" w:hAnsi="Calibri" w:cs="Calibri"/>
          <w:sz w:val="24"/>
          <w:szCs w:val="24"/>
        </w:rPr>
        <w:t>cíle Programu</w:t>
      </w:r>
      <w:r w:rsidR="00457E1C">
        <w:rPr>
          <w:rFonts w:ascii="Calibri" w:hAnsi="Calibri" w:cs="Calibri"/>
          <w:sz w:val="24"/>
          <w:szCs w:val="24"/>
        </w:rPr>
        <w:t> </w:t>
      </w:r>
      <w:r w:rsidR="00DD05FC" w:rsidRPr="00457E1C">
        <w:rPr>
          <w:rFonts w:ascii="Calibri" w:hAnsi="Calibri" w:cs="Calibri"/>
          <w:sz w:val="24"/>
          <w:szCs w:val="24"/>
        </w:rPr>
        <w:t xml:space="preserve">VI pouze to, že v rámci něho </w:t>
      </w:r>
      <w:r w:rsidRPr="00457E1C">
        <w:rPr>
          <w:rFonts w:ascii="Calibri" w:hAnsi="Calibri" w:cs="Calibri"/>
          <w:sz w:val="24"/>
          <w:szCs w:val="24"/>
        </w:rPr>
        <w:t>je podpořen a realizován</w:t>
      </w:r>
      <w:r w:rsidR="009B20DB" w:rsidRPr="00457E1C">
        <w:rPr>
          <w:rFonts w:ascii="Calibri" w:hAnsi="Calibri" w:cs="Calibri"/>
          <w:sz w:val="24"/>
          <w:szCs w:val="24"/>
        </w:rPr>
        <w:t xml:space="preserve"> alespoň jeden</w:t>
      </w:r>
      <w:r w:rsidR="00DD05FC" w:rsidRPr="00457E1C">
        <w:rPr>
          <w:rFonts w:ascii="Calibri" w:hAnsi="Calibri" w:cs="Calibri"/>
          <w:sz w:val="24"/>
          <w:szCs w:val="24"/>
        </w:rPr>
        <w:t xml:space="preserve"> projekt</w:t>
      </w:r>
      <w:r w:rsidRPr="00457E1C">
        <w:rPr>
          <w:rFonts w:ascii="Calibri" w:hAnsi="Calibri" w:cs="Calibri"/>
          <w:sz w:val="24"/>
          <w:szCs w:val="24"/>
        </w:rPr>
        <w:t>, bez ohledu na jeho výstupy, využití</w:t>
      </w:r>
      <w:r w:rsidR="008D6B0E" w:rsidRPr="00457E1C">
        <w:rPr>
          <w:rFonts w:ascii="Calibri" w:hAnsi="Calibri" w:cs="Calibri"/>
          <w:sz w:val="24"/>
          <w:szCs w:val="24"/>
        </w:rPr>
        <w:t xml:space="preserve"> v bezpečnostní praxi a</w:t>
      </w:r>
      <w:r w:rsidRPr="00457E1C">
        <w:rPr>
          <w:rFonts w:ascii="Calibri" w:hAnsi="Calibri" w:cs="Calibri"/>
          <w:sz w:val="24"/>
          <w:szCs w:val="24"/>
        </w:rPr>
        <w:t xml:space="preserve"> přínosy ke zvýšení bezpečnosti ČR a</w:t>
      </w:r>
      <w:r w:rsidR="00457E1C">
        <w:rPr>
          <w:rFonts w:ascii="Calibri" w:hAnsi="Calibri" w:cs="Calibri"/>
          <w:sz w:val="24"/>
          <w:szCs w:val="24"/>
        </w:rPr>
        <w:t> </w:t>
      </w:r>
      <w:r w:rsidRPr="00457E1C">
        <w:rPr>
          <w:rFonts w:ascii="Calibri" w:hAnsi="Calibri" w:cs="Calibri"/>
          <w:sz w:val="24"/>
          <w:szCs w:val="24"/>
        </w:rPr>
        <w:t>řešení bezpečnostních hrozeb</w:t>
      </w:r>
      <w:r w:rsidR="00DD05FC" w:rsidRPr="00457E1C">
        <w:rPr>
          <w:rFonts w:ascii="Calibri" w:hAnsi="Calibri" w:cs="Calibri"/>
          <w:sz w:val="24"/>
          <w:szCs w:val="24"/>
        </w:rPr>
        <w:t>. P</w:t>
      </w:r>
      <w:r w:rsidR="00BC17B8" w:rsidRPr="00457E1C">
        <w:rPr>
          <w:rFonts w:ascii="Calibri" w:hAnsi="Calibri" w:cs="Calibri"/>
          <w:sz w:val="24"/>
          <w:szCs w:val="24"/>
        </w:rPr>
        <w:t>rostřednictví</w:t>
      </w:r>
      <w:r w:rsidR="009B20DB" w:rsidRPr="00457E1C">
        <w:rPr>
          <w:rFonts w:ascii="Calibri" w:hAnsi="Calibri" w:cs="Calibri"/>
          <w:sz w:val="24"/>
          <w:szCs w:val="24"/>
        </w:rPr>
        <w:t>m</w:t>
      </w:r>
      <w:r w:rsidR="00BC17B8" w:rsidRPr="00457E1C">
        <w:rPr>
          <w:rFonts w:ascii="Calibri" w:hAnsi="Calibri" w:cs="Calibri"/>
          <w:sz w:val="24"/>
          <w:szCs w:val="24"/>
        </w:rPr>
        <w:t xml:space="preserve"> takto nastaveného </w:t>
      </w:r>
      <w:r w:rsidRPr="00457E1C">
        <w:rPr>
          <w:rFonts w:ascii="Calibri" w:hAnsi="Calibri" w:cs="Calibri"/>
          <w:sz w:val="24"/>
          <w:szCs w:val="24"/>
        </w:rPr>
        <w:t xml:space="preserve">systému hodnocení pak </w:t>
      </w:r>
      <w:r w:rsidR="00BC17B8" w:rsidRPr="00457E1C">
        <w:rPr>
          <w:rFonts w:ascii="Calibri" w:hAnsi="Calibri" w:cs="Calibri"/>
          <w:sz w:val="24"/>
          <w:szCs w:val="24"/>
        </w:rPr>
        <w:t>nemůže</w:t>
      </w:r>
      <w:r w:rsidR="00DD05FC" w:rsidRPr="00457E1C">
        <w:rPr>
          <w:rFonts w:ascii="Calibri" w:hAnsi="Calibri" w:cs="Calibri"/>
          <w:sz w:val="24"/>
          <w:szCs w:val="24"/>
        </w:rPr>
        <w:t xml:space="preserve"> MV</w:t>
      </w:r>
      <w:r w:rsidR="00BC17B8" w:rsidRPr="00457E1C">
        <w:rPr>
          <w:rFonts w:ascii="Calibri" w:hAnsi="Calibri" w:cs="Calibri"/>
          <w:sz w:val="24"/>
          <w:szCs w:val="24"/>
        </w:rPr>
        <w:t xml:space="preserve"> vyhodnotit přínos realizovaných projektů</w:t>
      </w:r>
      <w:r w:rsidR="008D6B0E" w:rsidRPr="00457E1C">
        <w:rPr>
          <w:rFonts w:ascii="Calibri" w:hAnsi="Calibri" w:cs="Calibri"/>
          <w:sz w:val="24"/>
          <w:szCs w:val="24"/>
        </w:rPr>
        <w:t xml:space="preserve"> k cílům programu</w:t>
      </w:r>
      <w:r w:rsidR="00BC17B8" w:rsidRPr="00457E1C">
        <w:rPr>
          <w:rFonts w:ascii="Calibri" w:hAnsi="Calibri" w:cs="Calibri"/>
          <w:sz w:val="24"/>
          <w:szCs w:val="24"/>
        </w:rPr>
        <w:t xml:space="preserve">. </w:t>
      </w:r>
      <w:r w:rsidR="0044565C" w:rsidRPr="00457E1C">
        <w:rPr>
          <w:rFonts w:ascii="Calibri" w:hAnsi="Calibri" w:cs="Calibri"/>
          <w:sz w:val="24"/>
          <w:szCs w:val="24"/>
        </w:rPr>
        <w:t xml:space="preserve"> </w:t>
      </w:r>
    </w:p>
    <w:p w14:paraId="4ACE47C5" w14:textId="77777777" w:rsidR="00C60C24" w:rsidRPr="00457E1C" w:rsidRDefault="00C60C24" w:rsidP="00457E1C">
      <w:pPr>
        <w:spacing w:after="0" w:line="240" w:lineRule="auto"/>
        <w:jc w:val="both"/>
        <w:rPr>
          <w:rFonts w:ascii="Calibri" w:hAnsi="Calibri" w:cs="Calibri"/>
          <w:sz w:val="24"/>
          <w:szCs w:val="24"/>
        </w:rPr>
      </w:pPr>
    </w:p>
    <w:p w14:paraId="66A43DCF" w14:textId="751E1B8E" w:rsidR="001F7F23" w:rsidRPr="00457E1C" w:rsidRDefault="001F7F23" w:rsidP="00457E1C">
      <w:pPr>
        <w:spacing w:after="0" w:line="240" w:lineRule="auto"/>
        <w:jc w:val="both"/>
        <w:rPr>
          <w:rFonts w:ascii="Calibri" w:hAnsi="Calibri" w:cs="Calibri"/>
          <w:sz w:val="24"/>
          <w:szCs w:val="24"/>
        </w:rPr>
      </w:pPr>
      <w:r w:rsidRPr="00457E1C">
        <w:rPr>
          <w:rFonts w:ascii="Calibri" w:hAnsi="Calibri" w:cs="Calibri"/>
          <w:b/>
          <w:i/>
          <w:color w:val="C00000"/>
          <w:sz w:val="24"/>
          <w:szCs w:val="24"/>
        </w:rPr>
        <w:t xml:space="preserve">→ MV </w:t>
      </w:r>
      <w:r w:rsidR="0015099C" w:rsidRPr="00457E1C">
        <w:rPr>
          <w:rFonts w:ascii="Calibri" w:hAnsi="Calibri" w:cs="Calibri"/>
          <w:b/>
          <w:i/>
          <w:color w:val="C00000"/>
          <w:sz w:val="24"/>
          <w:szCs w:val="24"/>
        </w:rPr>
        <w:t xml:space="preserve">značně podhodnotilo </w:t>
      </w:r>
      <w:r w:rsidR="009E1958" w:rsidRPr="00457E1C">
        <w:rPr>
          <w:rFonts w:ascii="Calibri" w:hAnsi="Calibri" w:cs="Calibri"/>
          <w:b/>
          <w:i/>
          <w:color w:val="C00000"/>
          <w:sz w:val="24"/>
          <w:szCs w:val="24"/>
        </w:rPr>
        <w:t xml:space="preserve">cílové </w:t>
      </w:r>
      <w:r w:rsidR="0015099C" w:rsidRPr="00457E1C">
        <w:rPr>
          <w:rFonts w:ascii="Calibri" w:hAnsi="Calibri" w:cs="Calibri"/>
          <w:b/>
          <w:i/>
          <w:color w:val="C00000"/>
          <w:sz w:val="24"/>
          <w:szCs w:val="24"/>
        </w:rPr>
        <w:t xml:space="preserve">hodnoty </w:t>
      </w:r>
      <w:r w:rsidR="000D7844" w:rsidRPr="00457E1C">
        <w:rPr>
          <w:rFonts w:ascii="Calibri" w:hAnsi="Calibri" w:cs="Calibri"/>
          <w:b/>
          <w:i/>
          <w:color w:val="C00000"/>
          <w:sz w:val="24"/>
          <w:szCs w:val="24"/>
        </w:rPr>
        <w:t>indikátorů</w:t>
      </w:r>
      <w:r w:rsidR="0015099C" w:rsidRPr="00457E1C">
        <w:rPr>
          <w:rFonts w:ascii="Calibri" w:hAnsi="Calibri" w:cs="Calibri"/>
          <w:b/>
          <w:i/>
          <w:color w:val="C00000"/>
          <w:sz w:val="24"/>
          <w:szCs w:val="24"/>
        </w:rPr>
        <w:t xml:space="preserve"> podporovaných projektů, ty tak pro hodnocení účelnosti </w:t>
      </w:r>
      <w:r w:rsidR="008232DA" w:rsidRPr="00457E1C">
        <w:rPr>
          <w:rFonts w:ascii="Calibri" w:hAnsi="Calibri" w:cs="Calibri"/>
          <w:b/>
          <w:i/>
          <w:color w:val="C00000"/>
          <w:sz w:val="24"/>
          <w:szCs w:val="24"/>
        </w:rPr>
        <w:t>P</w:t>
      </w:r>
      <w:r w:rsidR="0015099C" w:rsidRPr="00457E1C">
        <w:rPr>
          <w:rFonts w:ascii="Calibri" w:hAnsi="Calibri" w:cs="Calibri"/>
          <w:b/>
          <w:i/>
          <w:color w:val="C00000"/>
          <w:sz w:val="24"/>
          <w:szCs w:val="24"/>
        </w:rPr>
        <w:t xml:space="preserve">rogramu </w:t>
      </w:r>
      <w:r w:rsidR="008232DA" w:rsidRPr="00457E1C">
        <w:rPr>
          <w:rFonts w:ascii="Calibri" w:hAnsi="Calibri" w:cs="Calibri"/>
          <w:b/>
          <w:i/>
          <w:color w:val="C00000"/>
          <w:sz w:val="24"/>
          <w:szCs w:val="24"/>
        </w:rPr>
        <w:t xml:space="preserve">VI </w:t>
      </w:r>
      <w:r w:rsidR="0015099C" w:rsidRPr="00457E1C">
        <w:rPr>
          <w:rFonts w:ascii="Calibri" w:hAnsi="Calibri" w:cs="Calibri"/>
          <w:b/>
          <w:i/>
          <w:color w:val="C00000"/>
          <w:sz w:val="24"/>
          <w:szCs w:val="24"/>
        </w:rPr>
        <w:t xml:space="preserve">nemají </w:t>
      </w:r>
      <w:r w:rsidR="0067056F" w:rsidRPr="00457E1C">
        <w:rPr>
          <w:rFonts w:ascii="Calibri" w:hAnsi="Calibri" w:cs="Calibri"/>
          <w:b/>
          <w:i/>
          <w:color w:val="C00000"/>
          <w:sz w:val="24"/>
          <w:szCs w:val="24"/>
        </w:rPr>
        <w:t>reálný</w:t>
      </w:r>
      <w:r w:rsidR="009E1958" w:rsidRPr="00457E1C">
        <w:rPr>
          <w:rFonts w:ascii="Calibri" w:hAnsi="Calibri" w:cs="Calibri"/>
          <w:b/>
          <w:i/>
          <w:color w:val="C00000"/>
          <w:sz w:val="24"/>
          <w:szCs w:val="24"/>
        </w:rPr>
        <w:t xml:space="preserve"> význam</w:t>
      </w:r>
      <w:r w:rsidR="00BD78C6">
        <w:rPr>
          <w:rFonts w:ascii="Calibri" w:hAnsi="Calibri" w:cs="Calibri"/>
          <w:b/>
          <w:i/>
          <w:color w:val="C00000"/>
          <w:sz w:val="24"/>
          <w:szCs w:val="24"/>
        </w:rPr>
        <w:t>.</w:t>
      </w:r>
    </w:p>
    <w:p w14:paraId="45E427F5" w14:textId="77777777" w:rsidR="00457E1C" w:rsidRDefault="00457E1C" w:rsidP="00457E1C">
      <w:pPr>
        <w:spacing w:after="0" w:line="240" w:lineRule="auto"/>
        <w:jc w:val="both"/>
        <w:rPr>
          <w:rFonts w:ascii="Calibri" w:hAnsi="Calibri" w:cs="Calibri"/>
          <w:sz w:val="24"/>
          <w:szCs w:val="24"/>
        </w:rPr>
      </w:pPr>
    </w:p>
    <w:p w14:paraId="5CDDC236" w14:textId="41E2E632" w:rsidR="00BE4013" w:rsidRDefault="007D78BF" w:rsidP="00457E1C">
      <w:pPr>
        <w:spacing w:after="0" w:line="240" w:lineRule="auto"/>
        <w:jc w:val="both"/>
        <w:rPr>
          <w:rFonts w:ascii="Calibri" w:hAnsi="Calibri" w:cs="Calibri"/>
          <w:sz w:val="24"/>
          <w:szCs w:val="24"/>
        </w:rPr>
      </w:pPr>
      <w:r w:rsidRPr="00457E1C">
        <w:rPr>
          <w:rFonts w:ascii="Calibri" w:hAnsi="Calibri" w:cs="Calibri"/>
          <w:sz w:val="24"/>
          <w:szCs w:val="24"/>
        </w:rPr>
        <w:t>4.1</w:t>
      </w:r>
      <w:r w:rsidR="00EF388D" w:rsidRPr="00457E1C">
        <w:rPr>
          <w:rFonts w:ascii="Calibri" w:hAnsi="Calibri" w:cs="Calibri"/>
          <w:sz w:val="24"/>
          <w:szCs w:val="24"/>
        </w:rPr>
        <w:t>2</w:t>
      </w:r>
      <w:r w:rsidR="00F4560E">
        <w:rPr>
          <w:rFonts w:ascii="Calibri" w:hAnsi="Calibri" w:cs="Calibri"/>
          <w:sz w:val="24"/>
          <w:szCs w:val="24"/>
        </w:rPr>
        <w:t xml:space="preserve"> </w:t>
      </w:r>
      <w:r w:rsidR="00BE4013" w:rsidRPr="00457E1C">
        <w:rPr>
          <w:rFonts w:ascii="Calibri" w:hAnsi="Calibri" w:cs="Calibri"/>
          <w:sz w:val="24"/>
          <w:szCs w:val="24"/>
        </w:rPr>
        <w:t>MV u Programu VI značně podhodnotilo</w:t>
      </w:r>
      <w:r w:rsidR="005D5860" w:rsidRPr="00457E1C">
        <w:rPr>
          <w:rFonts w:ascii="Calibri" w:hAnsi="Calibri" w:cs="Calibri"/>
          <w:sz w:val="24"/>
          <w:szCs w:val="24"/>
        </w:rPr>
        <w:t xml:space="preserve"> nastavené cílové hodnoty</w:t>
      </w:r>
      <w:r w:rsidR="00BE4013" w:rsidRPr="00457E1C">
        <w:rPr>
          <w:rFonts w:ascii="Calibri" w:hAnsi="Calibri" w:cs="Calibri"/>
          <w:sz w:val="24"/>
          <w:szCs w:val="24"/>
        </w:rPr>
        <w:t xml:space="preserve"> </w:t>
      </w:r>
      <w:r w:rsidR="00BE4013" w:rsidRPr="00857DE3">
        <w:rPr>
          <w:rFonts w:ascii="Calibri" w:hAnsi="Calibri" w:cs="Calibri"/>
          <w:sz w:val="24"/>
          <w:szCs w:val="24"/>
        </w:rPr>
        <w:t>indikátor</w:t>
      </w:r>
      <w:r w:rsidR="00140CD3" w:rsidRPr="00857DE3">
        <w:rPr>
          <w:rFonts w:ascii="Calibri" w:hAnsi="Calibri" w:cs="Calibri"/>
          <w:sz w:val="24"/>
          <w:szCs w:val="24"/>
        </w:rPr>
        <w:t>ů</w:t>
      </w:r>
      <w:r w:rsidR="00BE4013" w:rsidRPr="00857DE3">
        <w:rPr>
          <w:rFonts w:ascii="Calibri" w:hAnsi="Calibri" w:cs="Calibri"/>
          <w:sz w:val="24"/>
          <w:szCs w:val="24"/>
        </w:rPr>
        <w:t xml:space="preserve"> realizace Programu</w:t>
      </w:r>
      <w:r w:rsidR="00BE4013" w:rsidRPr="005667D3">
        <w:rPr>
          <w:rFonts w:ascii="Calibri" w:hAnsi="Calibri" w:cs="Calibri"/>
          <w:sz w:val="24"/>
          <w:szCs w:val="24"/>
        </w:rPr>
        <w:t xml:space="preserve"> a </w:t>
      </w:r>
      <w:r w:rsidR="00BE4013" w:rsidRPr="00784FA6">
        <w:rPr>
          <w:rFonts w:ascii="Calibri" w:hAnsi="Calibri" w:cs="Calibri"/>
          <w:sz w:val="24"/>
          <w:szCs w:val="24"/>
        </w:rPr>
        <w:t>indikátor</w:t>
      </w:r>
      <w:r w:rsidR="00140CD3" w:rsidRPr="00784FA6">
        <w:rPr>
          <w:rFonts w:ascii="Calibri" w:hAnsi="Calibri" w:cs="Calibri"/>
          <w:sz w:val="24"/>
          <w:szCs w:val="24"/>
        </w:rPr>
        <w:t>ů</w:t>
      </w:r>
      <w:r w:rsidR="00BE4013" w:rsidRPr="00784FA6">
        <w:rPr>
          <w:rFonts w:ascii="Calibri" w:hAnsi="Calibri" w:cs="Calibri"/>
          <w:sz w:val="24"/>
          <w:szCs w:val="24"/>
        </w:rPr>
        <w:t xml:space="preserve"> výsledků realizace Programu</w:t>
      </w:r>
      <w:r w:rsidR="008D6B0E" w:rsidRPr="00457E1C">
        <w:rPr>
          <w:rFonts w:ascii="Calibri" w:hAnsi="Calibri" w:cs="Calibri"/>
          <w:sz w:val="24"/>
          <w:szCs w:val="24"/>
        </w:rPr>
        <w:t>. Tento nedostatek v průběhu programového období nenapravilo</w:t>
      </w:r>
      <w:r w:rsidR="009232BD" w:rsidRPr="00457E1C">
        <w:rPr>
          <w:rFonts w:ascii="Calibri" w:hAnsi="Calibri" w:cs="Calibri"/>
          <w:sz w:val="24"/>
          <w:szCs w:val="24"/>
        </w:rPr>
        <w:t xml:space="preserve"> </w:t>
      </w:r>
      <w:r w:rsidR="008D6B0E" w:rsidRPr="00457E1C">
        <w:rPr>
          <w:rFonts w:ascii="Calibri" w:hAnsi="Calibri" w:cs="Calibri"/>
          <w:sz w:val="24"/>
          <w:szCs w:val="24"/>
        </w:rPr>
        <w:t xml:space="preserve">a ponechalo cílové </w:t>
      </w:r>
      <w:r w:rsidR="00CB4472" w:rsidRPr="00457E1C">
        <w:rPr>
          <w:rFonts w:ascii="Calibri" w:hAnsi="Calibri" w:cs="Calibri"/>
          <w:sz w:val="24"/>
          <w:szCs w:val="24"/>
        </w:rPr>
        <w:t>hodnoty indikátorů nereálně nízké.</w:t>
      </w:r>
    </w:p>
    <w:p w14:paraId="42707426" w14:textId="77777777" w:rsidR="00457E1C" w:rsidRPr="00457E1C" w:rsidRDefault="00457E1C" w:rsidP="00457E1C">
      <w:pPr>
        <w:spacing w:after="0" w:line="240" w:lineRule="auto"/>
        <w:jc w:val="both"/>
        <w:rPr>
          <w:rFonts w:ascii="Calibri" w:hAnsi="Calibri" w:cs="Calibri"/>
          <w:sz w:val="24"/>
          <w:szCs w:val="24"/>
        </w:rPr>
      </w:pPr>
    </w:p>
    <w:p w14:paraId="6F24AA2C" w14:textId="26038AD0" w:rsidR="008232DA" w:rsidRDefault="00E96892" w:rsidP="00457E1C">
      <w:pPr>
        <w:spacing w:after="0" w:line="240" w:lineRule="auto"/>
        <w:jc w:val="both"/>
        <w:rPr>
          <w:rFonts w:ascii="Calibri" w:hAnsi="Calibri" w:cs="Calibri"/>
          <w:bCs/>
          <w:sz w:val="24"/>
          <w:szCs w:val="24"/>
        </w:rPr>
      </w:pPr>
      <w:r w:rsidRPr="00457E1C">
        <w:rPr>
          <w:rFonts w:ascii="Calibri" w:hAnsi="Calibri" w:cs="Calibri"/>
          <w:bCs/>
          <w:color w:val="000000" w:themeColor="text1"/>
          <w:sz w:val="24"/>
          <w:szCs w:val="24"/>
        </w:rPr>
        <w:t>4.1</w:t>
      </w:r>
      <w:r w:rsidR="00EF388D" w:rsidRPr="00457E1C">
        <w:rPr>
          <w:rFonts w:ascii="Calibri" w:hAnsi="Calibri" w:cs="Calibri"/>
          <w:bCs/>
          <w:color w:val="000000" w:themeColor="text1"/>
          <w:sz w:val="24"/>
          <w:szCs w:val="24"/>
        </w:rPr>
        <w:t>3</w:t>
      </w:r>
      <w:r w:rsidR="00F4560E">
        <w:rPr>
          <w:rFonts w:ascii="Calibri" w:hAnsi="Calibri" w:cs="Calibri"/>
          <w:bCs/>
          <w:color w:val="000000" w:themeColor="text1"/>
          <w:sz w:val="24"/>
          <w:szCs w:val="24"/>
        </w:rPr>
        <w:t xml:space="preserve"> </w:t>
      </w:r>
      <w:r w:rsidR="008232DA" w:rsidRPr="00457E1C">
        <w:rPr>
          <w:rFonts w:ascii="Calibri" w:hAnsi="Calibri" w:cs="Calibri"/>
          <w:bCs/>
          <w:color w:val="000000" w:themeColor="text1"/>
          <w:sz w:val="24"/>
          <w:szCs w:val="24"/>
        </w:rPr>
        <w:t>Dle</w:t>
      </w:r>
      <w:r w:rsidR="00D05BC4">
        <w:rPr>
          <w:rFonts w:ascii="Calibri" w:hAnsi="Calibri" w:cs="Calibri"/>
          <w:bCs/>
          <w:color w:val="000000" w:themeColor="text1"/>
          <w:sz w:val="24"/>
          <w:szCs w:val="24"/>
        </w:rPr>
        <w:t xml:space="preserve"> </w:t>
      </w:r>
      <w:r w:rsidR="00BD78C6">
        <w:rPr>
          <w:rFonts w:ascii="Calibri" w:hAnsi="Calibri" w:cs="Calibri"/>
          <w:bCs/>
          <w:sz w:val="24"/>
          <w:szCs w:val="24"/>
        </w:rPr>
        <w:t>p</w:t>
      </w:r>
      <w:r w:rsidR="008232DA" w:rsidRPr="00C34B23">
        <w:rPr>
          <w:rFonts w:ascii="Calibri" w:hAnsi="Calibri" w:cs="Calibri"/>
          <w:bCs/>
          <w:sz w:val="24"/>
          <w:szCs w:val="24"/>
        </w:rPr>
        <w:t>růběžného</w:t>
      </w:r>
      <w:r w:rsidR="008232DA" w:rsidRPr="00784FA6">
        <w:rPr>
          <w:rFonts w:ascii="Calibri" w:hAnsi="Calibri" w:cs="Calibri"/>
          <w:bCs/>
          <w:sz w:val="24"/>
          <w:szCs w:val="24"/>
        </w:rPr>
        <w:t xml:space="preserve"> hodnocení </w:t>
      </w:r>
      <w:r w:rsidR="008232DA" w:rsidRPr="00457E1C">
        <w:rPr>
          <w:rFonts w:ascii="Calibri" w:hAnsi="Calibri" w:cs="Calibri"/>
          <w:bCs/>
          <w:i/>
          <w:sz w:val="24"/>
          <w:szCs w:val="24"/>
        </w:rPr>
        <w:t>Programu bezpečnostního výzkumu ČR v letech 2015 až 2020</w:t>
      </w:r>
      <w:r w:rsidR="008232DA" w:rsidRPr="00457E1C">
        <w:rPr>
          <w:rFonts w:ascii="Calibri" w:hAnsi="Calibri" w:cs="Calibri"/>
          <w:bCs/>
          <w:sz w:val="24"/>
          <w:szCs w:val="24"/>
        </w:rPr>
        <w:t xml:space="preserve"> ze srpna 2017 byl zjištěn celkový počet očekávaných výsledků dle uzavřených smluv ve výši 498 oproti původně stanoveným 74 k roku 2020</w:t>
      </w:r>
      <w:r w:rsidR="00CB4472" w:rsidRPr="00457E1C">
        <w:rPr>
          <w:rFonts w:ascii="Calibri" w:hAnsi="Calibri" w:cs="Calibri"/>
          <w:bCs/>
          <w:sz w:val="24"/>
          <w:szCs w:val="24"/>
        </w:rPr>
        <w:t>.</w:t>
      </w:r>
      <w:r w:rsidR="008232DA" w:rsidRPr="00457E1C">
        <w:rPr>
          <w:rFonts w:ascii="Calibri" w:hAnsi="Calibri" w:cs="Calibri"/>
          <w:bCs/>
          <w:sz w:val="24"/>
          <w:szCs w:val="24"/>
        </w:rPr>
        <w:t xml:space="preserve"> </w:t>
      </w:r>
      <w:r w:rsidR="00CB4472" w:rsidRPr="00457E1C">
        <w:rPr>
          <w:rFonts w:ascii="Calibri" w:hAnsi="Calibri" w:cs="Calibri"/>
          <w:bCs/>
          <w:sz w:val="24"/>
          <w:szCs w:val="24"/>
        </w:rPr>
        <w:t xml:space="preserve">Tedy již cca v polovině původně uvažovaného období programu byl počet dosažených výsledků </w:t>
      </w:r>
      <w:r w:rsidR="008232DA" w:rsidRPr="00457E1C">
        <w:rPr>
          <w:rFonts w:ascii="Calibri" w:hAnsi="Calibri" w:cs="Calibri"/>
          <w:bCs/>
          <w:sz w:val="24"/>
          <w:szCs w:val="24"/>
        </w:rPr>
        <w:t>o 573 % vyšší</w:t>
      </w:r>
      <w:r w:rsidR="00CB4472" w:rsidRPr="00457E1C">
        <w:rPr>
          <w:rFonts w:ascii="Calibri" w:hAnsi="Calibri" w:cs="Calibri"/>
          <w:bCs/>
          <w:sz w:val="24"/>
          <w:szCs w:val="24"/>
        </w:rPr>
        <w:t xml:space="preserve"> než cílový stav, kterého mělo být dosaženo na konci roku 2020</w:t>
      </w:r>
      <w:r w:rsidR="008232DA" w:rsidRPr="00457E1C">
        <w:rPr>
          <w:rFonts w:ascii="Calibri" w:hAnsi="Calibri" w:cs="Calibri"/>
          <w:bCs/>
          <w:sz w:val="24"/>
          <w:szCs w:val="24"/>
        </w:rPr>
        <w:t>. V květnu roku 2018 navýšilo MV veřejnou podporu poskytovanou prostřednictvím Programu VI o 600 mil. Kč a</w:t>
      </w:r>
      <w:r w:rsidR="00D05BC4">
        <w:rPr>
          <w:rFonts w:ascii="Calibri" w:hAnsi="Calibri" w:cs="Calibri"/>
          <w:bCs/>
          <w:sz w:val="24"/>
          <w:szCs w:val="24"/>
        </w:rPr>
        <w:t> </w:t>
      </w:r>
      <w:r w:rsidR="008232DA" w:rsidRPr="00457E1C">
        <w:rPr>
          <w:rFonts w:ascii="Calibri" w:hAnsi="Calibri" w:cs="Calibri"/>
          <w:bCs/>
          <w:sz w:val="24"/>
          <w:szCs w:val="24"/>
        </w:rPr>
        <w:t>prodloužilo program do roku 2022</w:t>
      </w:r>
      <w:r w:rsidR="008232DA" w:rsidRPr="00457E1C">
        <w:rPr>
          <w:rStyle w:val="Znakapoznpodarou"/>
          <w:rFonts w:ascii="Calibri" w:hAnsi="Calibri" w:cs="Calibri"/>
          <w:bCs/>
          <w:sz w:val="24"/>
          <w:szCs w:val="24"/>
        </w:rPr>
        <w:footnoteReference w:id="21"/>
      </w:r>
      <w:r w:rsidR="008232DA" w:rsidRPr="00457E1C">
        <w:rPr>
          <w:rFonts w:ascii="Calibri" w:hAnsi="Calibri" w:cs="Calibri"/>
          <w:bCs/>
          <w:sz w:val="24"/>
          <w:szCs w:val="24"/>
        </w:rPr>
        <w:t>. MV však</w:t>
      </w:r>
      <w:r w:rsidR="009E1958" w:rsidRPr="00457E1C">
        <w:rPr>
          <w:rFonts w:ascii="Calibri" w:hAnsi="Calibri" w:cs="Calibri"/>
          <w:bCs/>
          <w:sz w:val="24"/>
          <w:szCs w:val="24"/>
        </w:rPr>
        <w:t xml:space="preserve"> překvapivě</w:t>
      </w:r>
      <w:r w:rsidR="008232DA" w:rsidRPr="00457E1C">
        <w:rPr>
          <w:rFonts w:ascii="Calibri" w:hAnsi="Calibri" w:cs="Calibri"/>
          <w:bCs/>
          <w:sz w:val="24"/>
          <w:szCs w:val="24"/>
        </w:rPr>
        <w:t xml:space="preserve"> neupravilo stanovené indikátory výsledků </w:t>
      </w:r>
      <w:r w:rsidR="00CB4472" w:rsidRPr="00457E1C">
        <w:rPr>
          <w:rFonts w:ascii="Calibri" w:hAnsi="Calibri" w:cs="Calibri"/>
          <w:bCs/>
          <w:sz w:val="24"/>
          <w:szCs w:val="24"/>
        </w:rPr>
        <w:t xml:space="preserve">na reálné hodnoty, když cílový </w:t>
      </w:r>
      <w:r w:rsidR="008232DA" w:rsidRPr="00784FA6">
        <w:rPr>
          <w:rFonts w:ascii="Calibri" w:hAnsi="Calibri" w:cs="Calibri"/>
          <w:b/>
          <w:bCs/>
          <w:sz w:val="24"/>
          <w:szCs w:val="24"/>
        </w:rPr>
        <w:t>minimální počet aplikovaných výsledků Programu</w:t>
      </w:r>
      <w:r w:rsidR="008232DA" w:rsidRPr="00457E1C">
        <w:rPr>
          <w:rFonts w:ascii="Calibri" w:hAnsi="Calibri" w:cs="Calibri"/>
          <w:bCs/>
          <w:i/>
          <w:sz w:val="24"/>
          <w:szCs w:val="24"/>
        </w:rPr>
        <w:t xml:space="preserve"> </w:t>
      </w:r>
      <w:r w:rsidR="008232DA" w:rsidRPr="00457E1C">
        <w:rPr>
          <w:rFonts w:ascii="Calibri" w:hAnsi="Calibri" w:cs="Calibri"/>
          <w:bCs/>
          <w:sz w:val="24"/>
          <w:szCs w:val="24"/>
        </w:rPr>
        <w:t xml:space="preserve">zvýšilo ze 74 </w:t>
      </w:r>
      <w:r w:rsidR="009B5D95" w:rsidRPr="00457E1C">
        <w:rPr>
          <w:rFonts w:ascii="Calibri" w:hAnsi="Calibri" w:cs="Calibri"/>
          <w:bCs/>
          <w:sz w:val="24"/>
          <w:szCs w:val="24"/>
        </w:rPr>
        <w:t xml:space="preserve">jen </w:t>
      </w:r>
      <w:r w:rsidR="008232DA" w:rsidRPr="00457E1C">
        <w:rPr>
          <w:rFonts w:ascii="Calibri" w:hAnsi="Calibri" w:cs="Calibri"/>
          <w:bCs/>
          <w:sz w:val="24"/>
          <w:szCs w:val="24"/>
        </w:rPr>
        <w:t xml:space="preserve">na 93. </w:t>
      </w:r>
      <w:r w:rsidR="009E1958" w:rsidRPr="00457E1C">
        <w:rPr>
          <w:rFonts w:ascii="Calibri" w:hAnsi="Calibri" w:cs="Calibri"/>
          <w:bCs/>
          <w:sz w:val="24"/>
          <w:szCs w:val="24"/>
        </w:rPr>
        <w:t xml:space="preserve">Nastavení cílových hodnot indikátorů je tak zcela </w:t>
      </w:r>
      <w:r w:rsidR="00BD78C6">
        <w:rPr>
          <w:rFonts w:ascii="Calibri" w:hAnsi="Calibri" w:cs="Calibri"/>
          <w:bCs/>
          <w:sz w:val="24"/>
          <w:szCs w:val="24"/>
        </w:rPr>
        <w:t>formální</w:t>
      </w:r>
      <w:r w:rsidR="009E1958" w:rsidRPr="00457E1C">
        <w:rPr>
          <w:rFonts w:ascii="Calibri" w:hAnsi="Calibri" w:cs="Calibri"/>
          <w:bCs/>
          <w:sz w:val="24"/>
          <w:szCs w:val="24"/>
        </w:rPr>
        <w:t>. P</w:t>
      </w:r>
      <w:r w:rsidR="00CB4472" w:rsidRPr="00457E1C">
        <w:rPr>
          <w:rFonts w:ascii="Calibri" w:hAnsi="Calibri" w:cs="Calibri"/>
          <w:bCs/>
          <w:sz w:val="24"/>
          <w:szCs w:val="24"/>
        </w:rPr>
        <w:t>orovnání skutečně dosažených výsledků s takto na</w:t>
      </w:r>
      <w:r w:rsidR="00C9400F" w:rsidRPr="00457E1C">
        <w:rPr>
          <w:rFonts w:ascii="Calibri" w:hAnsi="Calibri" w:cs="Calibri"/>
          <w:bCs/>
          <w:sz w:val="24"/>
          <w:szCs w:val="24"/>
        </w:rPr>
        <w:t>stavenými cílovými hodnotami</w:t>
      </w:r>
      <w:r w:rsidR="00CB4472" w:rsidRPr="00457E1C">
        <w:rPr>
          <w:rFonts w:ascii="Calibri" w:hAnsi="Calibri" w:cs="Calibri"/>
          <w:bCs/>
          <w:sz w:val="24"/>
          <w:szCs w:val="24"/>
        </w:rPr>
        <w:t xml:space="preserve"> nemá reálný </w:t>
      </w:r>
      <w:r w:rsidR="009E1958" w:rsidRPr="00457E1C">
        <w:rPr>
          <w:rFonts w:ascii="Calibri" w:hAnsi="Calibri" w:cs="Calibri"/>
          <w:bCs/>
          <w:sz w:val="24"/>
          <w:szCs w:val="24"/>
        </w:rPr>
        <w:t>význam</w:t>
      </w:r>
      <w:r w:rsidR="00CB4472" w:rsidRPr="00457E1C">
        <w:rPr>
          <w:rFonts w:ascii="Calibri" w:hAnsi="Calibri" w:cs="Calibri"/>
          <w:bCs/>
          <w:sz w:val="24"/>
          <w:szCs w:val="24"/>
        </w:rPr>
        <w:t xml:space="preserve">. Nastavení vybraných indikátorů a průběžně dosahované výsledky v Programu VI je </w:t>
      </w:r>
      <w:r w:rsidR="009F50AB" w:rsidRPr="00457E1C">
        <w:rPr>
          <w:rFonts w:ascii="Calibri" w:hAnsi="Calibri" w:cs="Calibri"/>
          <w:bCs/>
          <w:sz w:val="24"/>
          <w:szCs w:val="24"/>
        </w:rPr>
        <w:t xml:space="preserve">uvedeno </w:t>
      </w:r>
      <w:r w:rsidR="00CB4472" w:rsidRPr="00457E1C">
        <w:rPr>
          <w:rFonts w:ascii="Calibri" w:hAnsi="Calibri" w:cs="Calibri"/>
          <w:bCs/>
          <w:sz w:val="24"/>
          <w:szCs w:val="24"/>
        </w:rPr>
        <w:t>v tabulce č.</w:t>
      </w:r>
      <w:r w:rsidR="00BD78C6">
        <w:rPr>
          <w:rFonts w:ascii="Calibri" w:hAnsi="Calibri" w:cs="Calibri"/>
          <w:bCs/>
          <w:sz w:val="24"/>
          <w:szCs w:val="24"/>
        </w:rPr>
        <w:t> </w:t>
      </w:r>
      <w:r w:rsidR="00CB4472" w:rsidRPr="00457E1C">
        <w:rPr>
          <w:rFonts w:ascii="Calibri" w:hAnsi="Calibri" w:cs="Calibri"/>
          <w:bCs/>
          <w:sz w:val="24"/>
          <w:szCs w:val="24"/>
        </w:rPr>
        <w:t>4.</w:t>
      </w:r>
    </w:p>
    <w:p w14:paraId="6CA1480D" w14:textId="77777777" w:rsidR="00457E1C" w:rsidRPr="00457E1C" w:rsidRDefault="00457E1C" w:rsidP="00457E1C">
      <w:pPr>
        <w:spacing w:after="0" w:line="240" w:lineRule="auto"/>
        <w:jc w:val="both"/>
        <w:rPr>
          <w:rFonts w:ascii="Calibri" w:hAnsi="Calibri" w:cs="Calibri"/>
          <w:bCs/>
          <w:sz w:val="24"/>
          <w:szCs w:val="24"/>
        </w:rPr>
      </w:pPr>
    </w:p>
    <w:p w14:paraId="0256147C" w14:textId="77777777" w:rsidR="003F1037" w:rsidRPr="007566FA" w:rsidRDefault="003F1037" w:rsidP="00BD78C6">
      <w:pPr>
        <w:keepNext/>
        <w:keepLines/>
        <w:spacing w:after="40" w:line="240" w:lineRule="auto"/>
        <w:jc w:val="both"/>
        <w:rPr>
          <w:rFonts w:cstheme="minorHAnsi"/>
          <w:b/>
          <w:i/>
          <w:color w:val="000000" w:themeColor="text1"/>
          <w:sz w:val="24"/>
          <w:szCs w:val="24"/>
          <w:lang w:eastAsia="cs-CZ"/>
        </w:rPr>
      </w:pPr>
      <w:r w:rsidRPr="007566FA">
        <w:rPr>
          <w:rFonts w:cstheme="minorHAnsi"/>
          <w:b/>
          <w:color w:val="000000" w:themeColor="text1"/>
          <w:sz w:val="24"/>
          <w:szCs w:val="24"/>
        </w:rPr>
        <w:lastRenderedPageBreak/>
        <w:t xml:space="preserve">Tabulka č. </w:t>
      </w:r>
      <w:r w:rsidR="007D78BF" w:rsidRPr="007566FA">
        <w:rPr>
          <w:rFonts w:cstheme="minorHAnsi"/>
          <w:b/>
          <w:color w:val="000000" w:themeColor="text1"/>
          <w:sz w:val="24"/>
          <w:szCs w:val="24"/>
        </w:rPr>
        <w:t>4</w:t>
      </w:r>
      <w:r w:rsidRPr="007566FA">
        <w:rPr>
          <w:rFonts w:cstheme="minorHAnsi"/>
          <w:b/>
          <w:color w:val="000000" w:themeColor="text1"/>
          <w:sz w:val="24"/>
          <w:szCs w:val="24"/>
        </w:rPr>
        <w:t>: Vybrané indikátory Programu VI</w:t>
      </w:r>
      <w:r w:rsidR="00CB4472" w:rsidRPr="007566FA">
        <w:rPr>
          <w:rFonts w:cstheme="minorHAnsi"/>
          <w:b/>
          <w:color w:val="000000" w:themeColor="text1"/>
          <w:sz w:val="24"/>
          <w:szCs w:val="24"/>
        </w:rPr>
        <w:t xml:space="preserve"> a jejich průběžné plnění</w:t>
      </w:r>
    </w:p>
    <w:tbl>
      <w:tblPr>
        <w:tblW w:w="906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4A0" w:firstRow="1" w:lastRow="0" w:firstColumn="1" w:lastColumn="0" w:noHBand="0" w:noVBand="1"/>
      </w:tblPr>
      <w:tblGrid>
        <w:gridCol w:w="2774"/>
        <w:gridCol w:w="1316"/>
        <w:gridCol w:w="1086"/>
        <w:gridCol w:w="697"/>
        <w:gridCol w:w="1401"/>
        <w:gridCol w:w="1086"/>
        <w:gridCol w:w="707"/>
      </w:tblGrid>
      <w:tr w:rsidR="00D770F1" w:rsidRPr="00135A1D" w14:paraId="0ACB6211" w14:textId="77777777" w:rsidTr="00944EEE">
        <w:trPr>
          <w:cantSplit/>
          <w:trHeight w:val="283"/>
        </w:trPr>
        <w:tc>
          <w:tcPr>
            <w:tcW w:w="2774" w:type="dxa"/>
            <w:shd w:val="clear" w:color="auto" w:fill="E5F1FF"/>
            <w:vAlign w:val="center"/>
            <w:hideMark/>
          </w:tcPr>
          <w:p w14:paraId="3B5C92F8" w14:textId="77777777" w:rsidR="00D770F1" w:rsidRPr="00135A1D" w:rsidRDefault="00D770F1" w:rsidP="00BD78C6">
            <w:pPr>
              <w:keepNext/>
              <w:keepLines/>
              <w:spacing w:after="0" w:line="240" w:lineRule="auto"/>
              <w:jc w:val="center"/>
              <w:rPr>
                <w:rFonts w:ascii="Calibri" w:hAnsi="Calibri" w:cs="Calibri"/>
                <w:b/>
                <w:bCs/>
                <w:color w:val="000000"/>
                <w:sz w:val="20"/>
                <w:szCs w:val="20"/>
                <w:lang w:eastAsia="cs-CZ"/>
              </w:rPr>
            </w:pPr>
            <w:r w:rsidRPr="00135A1D">
              <w:rPr>
                <w:rFonts w:ascii="Calibri" w:hAnsi="Calibri" w:cs="Calibri"/>
                <w:b/>
                <w:bCs/>
                <w:color w:val="000000"/>
                <w:sz w:val="20"/>
                <w:szCs w:val="20"/>
                <w:lang w:eastAsia="cs-CZ"/>
              </w:rPr>
              <w:t>Indikátor</w:t>
            </w:r>
          </w:p>
        </w:tc>
        <w:tc>
          <w:tcPr>
            <w:tcW w:w="1316" w:type="dxa"/>
            <w:shd w:val="clear" w:color="auto" w:fill="E5F1FF"/>
            <w:vAlign w:val="center"/>
            <w:hideMark/>
          </w:tcPr>
          <w:p w14:paraId="697EF73B" w14:textId="77777777" w:rsidR="00D770F1" w:rsidRPr="00135A1D" w:rsidRDefault="00D770F1" w:rsidP="00BD78C6">
            <w:pPr>
              <w:keepNext/>
              <w:keepLines/>
              <w:spacing w:after="0" w:line="240" w:lineRule="auto"/>
              <w:jc w:val="center"/>
              <w:rPr>
                <w:rFonts w:ascii="Calibri" w:hAnsi="Calibri" w:cs="Calibri"/>
                <w:b/>
                <w:bCs/>
                <w:color w:val="000000"/>
                <w:sz w:val="20"/>
                <w:szCs w:val="20"/>
                <w:lang w:eastAsia="cs-CZ"/>
              </w:rPr>
            </w:pPr>
            <w:r w:rsidRPr="00135A1D">
              <w:rPr>
                <w:rFonts w:ascii="Calibri" w:hAnsi="Calibri" w:cs="Calibri"/>
                <w:b/>
                <w:bCs/>
                <w:color w:val="000000"/>
                <w:sz w:val="20"/>
                <w:szCs w:val="20"/>
                <w:lang w:eastAsia="cs-CZ"/>
              </w:rPr>
              <w:t>Cílová hodnota indikátoru dle Programu</w:t>
            </w:r>
            <w:r w:rsidR="00135A1D">
              <w:rPr>
                <w:rFonts w:ascii="Calibri" w:hAnsi="Calibri" w:cs="Calibri"/>
                <w:b/>
                <w:bCs/>
                <w:color w:val="000000"/>
                <w:sz w:val="20"/>
                <w:szCs w:val="20"/>
                <w:lang w:eastAsia="cs-CZ"/>
              </w:rPr>
              <w:t> </w:t>
            </w:r>
            <w:r w:rsidRPr="00135A1D">
              <w:rPr>
                <w:rFonts w:ascii="Calibri" w:hAnsi="Calibri" w:cs="Calibri"/>
                <w:b/>
                <w:bCs/>
                <w:color w:val="000000"/>
                <w:sz w:val="20"/>
                <w:szCs w:val="20"/>
                <w:lang w:eastAsia="cs-CZ"/>
              </w:rPr>
              <w:t>VI</w:t>
            </w:r>
          </w:p>
        </w:tc>
        <w:tc>
          <w:tcPr>
            <w:tcW w:w="1086" w:type="dxa"/>
            <w:shd w:val="clear" w:color="auto" w:fill="E5F1FF"/>
            <w:vAlign w:val="center"/>
            <w:hideMark/>
          </w:tcPr>
          <w:p w14:paraId="46DF79AF" w14:textId="77777777" w:rsidR="00D770F1" w:rsidRPr="00135A1D" w:rsidRDefault="00D770F1" w:rsidP="00BD78C6">
            <w:pPr>
              <w:keepNext/>
              <w:keepLines/>
              <w:spacing w:after="0" w:line="240" w:lineRule="auto"/>
              <w:jc w:val="center"/>
              <w:rPr>
                <w:rFonts w:ascii="Calibri" w:hAnsi="Calibri" w:cs="Calibri"/>
                <w:b/>
                <w:bCs/>
                <w:color w:val="000000"/>
                <w:sz w:val="20"/>
                <w:szCs w:val="20"/>
                <w:lang w:eastAsia="cs-CZ"/>
              </w:rPr>
            </w:pPr>
            <w:r w:rsidRPr="00135A1D">
              <w:rPr>
                <w:rFonts w:ascii="Calibri" w:hAnsi="Calibri" w:cs="Calibri"/>
                <w:b/>
                <w:bCs/>
                <w:color w:val="000000"/>
                <w:sz w:val="20"/>
                <w:szCs w:val="20"/>
                <w:lang w:eastAsia="cs-CZ"/>
              </w:rPr>
              <w:t>Skutečný počet dle uzavřených smluv k</w:t>
            </w:r>
            <w:r w:rsidR="00135A1D">
              <w:rPr>
                <w:rFonts w:ascii="Calibri" w:hAnsi="Calibri" w:cs="Calibri"/>
                <w:b/>
                <w:bCs/>
                <w:color w:val="000000"/>
                <w:sz w:val="20"/>
                <w:szCs w:val="20"/>
                <w:lang w:eastAsia="cs-CZ"/>
              </w:rPr>
              <w:t> </w:t>
            </w:r>
            <w:r w:rsidR="00CB4472" w:rsidRPr="00135A1D">
              <w:rPr>
                <w:rFonts w:ascii="Calibri" w:hAnsi="Calibri" w:cs="Calibri"/>
                <w:b/>
                <w:bCs/>
                <w:color w:val="000000"/>
                <w:sz w:val="20"/>
                <w:szCs w:val="20"/>
                <w:lang w:eastAsia="cs-CZ"/>
              </w:rPr>
              <w:t>8/</w:t>
            </w:r>
            <w:r w:rsidRPr="00135A1D">
              <w:rPr>
                <w:rFonts w:ascii="Calibri" w:hAnsi="Calibri" w:cs="Calibri"/>
                <w:b/>
                <w:bCs/>
                <w:color w:val="000000"/>
                <w:sz w:val="20"/>
                <w:szCs w:val="20"/>
                <w:lang w:eastAsia="cs-CZ"/>
              </w:rPr>
              <w:t>2017</w:t>
            </w:r>
            <w:r w:rsidRPr="00135A1D">
              <w:rPr>
                <w:rStyle w:val="Znakapoznpodarou"/>
                <w:rFonts w:ascii="Calibri" w:hAnsi="Calibri" w:cs="Calibri"/>
                <w:b/>
                <w:bCs/>
                <w:color w:val="000000"/>
                <w:sz w:val="20"/>
                <w:szCs w:val="20"/>
                <w:lang w:eastAsia="cs-CZ"/>
              </w:rPr>
              <w:footnoteReference w:id="22"/>
            </w:r>
          </w:p>
        </w:tc>
        <w:tc>
          <w:tcPr>
            <w:tcW w:w="697" w:type="dxa"/>
            <w:shd w:val="clear" w:color="auto" w:fill="E5F1FF"/>
            <w:vAlign w:val="center"/>
            <w:hideMark/>
          </w:tcPr>
          <w:p w14:paraId="064C13F5" w14:textId="77777777" w:rsidR="00D770F1" w:rsidRPr="00135A1D" w:rsidRDefault="00D770F1" w:rsidP="00BD78C6">
            <w:pPr>
              <w:keepNext/>
              <w:keepLines/>
              <w:spacing w:after="0" w:line="240" w:lineRule="auto"/>
              <w:jc w:val="center"/>
              <w:rPr>
                <w:rFonts w:ascii="Calibri" w:hAnsi="Calibri" w:cs="Calibri"/>
                <w:b/>
                <w:bCs/>
                <w:sz w:val="20"/>
                <w:szCs w:val="20"/>
                <w:lang w:eastAsia="cs-CZ"/>
              </w:rPr>
            </w:pPr>
            <w:r w:rsidRPr="00135A1D">
              <w:rPr>
                <w:rFonts w:ascii="Calibri" w:hAnsi="Calibri" w:cs="Calibri"/>
                <w:b/>
                <w:bCs/>
                <w:sz w:val="20"/>
                <w:szCs w:val="20"/>
                <w:lang w:eastAsia="cs-CZ"/>
              </w:rPr>
              <w:t>Index plnění v</w:t>
            </w:r>
            <w:r w:rsidR="00944EEE">
              <w:rPr>
                <w:rFonts w:ascii="Calibri" w:hAnsi="Calibri" w:cs="Calibri"/>
                <w:b/>
                <w:bCs/>
                <w:sz w:val="20"/>
                <w:szCs w:val="20"/>
                <w:lang w:eastAsia="cs-CZ"/>
              </w:rPr>
              <w:t> </w:t>
            </w:r>
            <w:r w:rsidRPr="00135A1D">
              <w:rPr>
                <w:rFonts w:ascii="Calibri" w:hAnsi="Calibri" w:cs="Calibri"/>
                <w:b/>
                <w:bCs/>
                <w:sz w:val="20"/>
                <w:szCs w:val="20"/>
                <w:lang w:eastAsia="cs-CZ"/>
              </w:rPr>
              <w:t>%</w:t>
            </w:r>
          </w:p>
        </w:tc>
        <w:tc>
          <w:tcPr>
            <w:tcW w:w="1401" w:type="dxa"/>
            <w:shd w:val="clear" w:color="auto" w:fill="E5F1FF"/>
            <w:vAlign w:val="center"/>
            <w:hideMark/>
          </w:tcPr>
          <w:p w14:paraId="2FA64844" w14:textId="77777777" w:rsidR="00D770F1" w:rsidRPr="00135A1D" w:rsidRDefault="00D770F1" w:rsidP="00BD78C6">
            <w:pPr>
              <w:keepNext/>
              <w:keepLines/>
              <w:spacing w:after="0" w:line="240" w:lineRule="auto"/>
              <w:jc w:val="center"/>
              <w:rPr>
                <w:rFonts w:ascii="Calibri" w:hAnsi="Calibri" w:cs="Calibri"/>
                <w:b/>
                <w:bCs/>
                <w:sz w:val="20"/>
                <w:szCs w:val="20"/>
                <w:lang w:eastAsia="cs-CZ"/>
              </w:rPr>
            </w:pPr>
            <w:r w:rsidRPr="00135A1D">
              <w:rPr>
                <w:rFonts w:ascii="Calibri" w:hAnsi="Calibri" w:cs="Calibri"/>
                <w:b/>
                <w:bCs/>
                <w:sz w:val="20"/>
                <w:szCs w:val="20"/>
                <w:lang w:eastAsia="cs-CZ"/>
              </w:rPr>
              <w:t>Cílová hodnota indikátoru po změně dle prodlouženého Programu</w:t>
            </w:r>
            <w:r w:rsidR="00944EEE">
              <w:rPr>
                <w:rFonts w:ascii="Calibri" w:hAnsi="Calibri" w:cs="Calibri"/>
                <w:b/>
                <w:bCs/>
                <w:sz w:val="20"/>
                <w:szCs w:val="20"/>
                <w:lang w:eastAsia="cs-CZ"/>
              </w:rPr>
              <w:t> </w:t>
            </w:r>
            <w:r w:rsidRPr="00135A1D">
              <w:rPr>
                <w:rFonts w:ascii="Calibri" w:hAnsi="Calibri" w:cs="Calibri"/>
                <w:b/>
                <w:bCs/>
                <w:sz w:val="20"/>
                <w:szCs w:val="20"/>
                <w:lang w:eastAsia="cs-CZ"/>
              </w:rPr>
              <w:t>VI (5/2018)</w:t>
            </w:r>
          </w:p>
        </w:tc>
        <w:tc>
          <w:tcPr>
            <w:tcW w:w="1086" w:type="dxa"/>
            <w:shd w:val="clear" w:color="auto" w:fill="E5F1FF"/>
            <w:vAlign w:val="center"/>
            <w:hideMark/>
          </w:tcPr>
          <w:p w14:paraId="192F1D44" w14:textId="77777777" w:rsidR="00D770F1" w:rsidRPr="00135A1D" w:rsidRDefault="00D770F1" w:rsidP="00BD78C6">
            <w:pPr>
              <w:keepNext/>
              <w:keepLines/>
              <w:spacing w:after="0" w:line="240" w:lineRule="auto"/>
              <w:jc w:val="center"/>
              <w:rPr>
                <w:rFonts w:ascii="Calibri" w:hAnsi="Calibri" w:cs="Calibri"/>
                <w:b/>
                <w:bCs/>
                <w:sz w:val="20"/>
                <w:szCs w:val="20"/>
                <w:lang w:eastAsia="cs-CZ"/>
              </w:rPr>
            </w:pPr>
            <w:r w:rsidRPr="00135A1D">
              <w:rPr>
                <w:rFonts w:ascii="Calibri" w:hAnsi="Calibri" w:cs="Calibri"/>
                <w:b/>
                <w:bCs/>
                <w:sz w:val="20"/>
                <w:szCs w:val="20"/>
                <w:lang w:eastAsia="cs-CZ"/>
              </w:rPr>
              <w:t>Skutečný počet dle uzavřených smluv k</w:t>
            </w:r>
            <w:r w:rsidR="00135A1D">
              <w:rPr>
                <w:rFonts w:ascii="Calibri" w:hAnsi="Calibri" w:cs="Calibri"/>
                <w:b/>
                <w:bCs/>
                <w:sz w:val="20"/>
                <w:szCs w:val="20"/>
                <w:lang w:eastAsia="cs-CZ"/>
              </w:rPr>
              <w:t> </w:t>
            </w:r>
            <w:r w:rsidRPr="00135A1D">
              <w:rPr>
                <w:rFonts w:ascii="Calibri" w:hAnsi="Calibri" w:cs="Calibri"/>
                <w:b/>
                <w:bCs/>
                <w:sz w:val="20"/>
                <w:szCs w:val="20"/>
                <w:lang w:eastAsia="cs-CZ"/>
              </w:rPr>
              <w:t>5/2019</w:t>
            </w:r>
            <w:r w:rsidRPr="00135A1D">
              <w:rPr>
                <w:rStyle w:val="Znakapoznpodarou"/>
                <w:rFonts w:ascii="Calibri" w:hAnsi="Calibri" w:cs="Calibri"/>
                <w:b/>
                <w:bCs/>
                <w:sz w:val="20"/>
                <w:szCs w:val="20"/>
                <w:lang w:eastAsia="cs-CZ"/>
              </w:rPr>
              <w:footnoteReference w:id="23"/>
            </w:r>
          </w:p>
        </w:tc>
        <w:tc>
          <w:tcPr>
            <w:tcW w:w="707" w:type="dxa"/>
            <w:shd w:val="clear" w:color="auto" w:fill="E5F1FF"/>
            <w:vAlign w:val="center"/>
            <w:hideMark/>
          </w:tcPr>
          <w:p w14:paraId="3F8274E6" w14:textId="77777777" w:rsidR="00D770F1" w:rsidRPr="00135A1D" w:rsidRDefault="00D770F1" w:rsidP="00BD78C6">
            <w:pPr>
              <w:keepNext/>
              <w:keepLines/>
              <w:spacing w:after="0" w:line="240" w:lineRule="auto"/>
              <w:jc w:val="center"/>
              <w:rPr>
                <w:rFonts w:ascii="Calibri" w:hAnsi="Calibri" w:cs="Calibri"/>
                <w:b/>
                <w:bCs/>
                <w:sz w:val="20"/>
                <w:szCs w:val="20"/>
                <w:lang w:eastAsia="cs-CZ"/>
              </w:rPr>
            </w:pPr>
            <w:r w:rsidRPr="00135A1D">
              <w:rPr>
                <w:rFonts w:ascii="Calibri" w:hAnsi="Calibri" w:cs="Calibri"/>
                <w:b/>
                <w:bCs/>
                <w:sz w:val="20"/>
                <w:szCs w:val="20"/>
                <w:lang w:eastAsia="cs-CZ"/>
              </w:rPr>
              <w:t>Index plnění v</w:t>
            </w:r>
            <w:r w:rsidR="00944EEE">
              <w:rPr>
                <w:rFonts w:ascii="Calibri" w:hAnsi="Calibri" w:cs="Calibri"/>
                <w:b/>
                <w:bCs/>
                <w:sz w:val="20"/>
                <w:szCs w:val="20"/>
                <w:lang w:eastAsia="cs-CZ"/>
              </w:rPr>
              <w:t> </w:t>
            </w:r>
            <w:r w:rsidRPr="00135A1D">
              <w:rPr>
                <w:rFonts w:ascii="Calibri" w:hAnsi="Calibri" w:cs="Calibri"/>
                <w:b/>
                <w:bCs/>
                <w:sz w:val="20"/>
                <w:szCs w:val="20"/>
                <w:lang w:eastAsia="cs-CZ"/>
              </w:rPr>
              <w:t>%</w:t>
            </w:r>
          </w:p>
        </w:tc>
      </w:tr>
      <w:tr w:rsidR="003F1037" w:rsidRPr="00135A1D" w14:paraId="71A39261" w14:textId="77777777" w:rsidTr="00944EEE">
        <w:trPr>
          <w:cantSplit/>
          <w:trHeight w:val="283"/>
        </w:trPr>
        <w:tc>
          <w:tcPr>
            <w:tcW w:w="9067" w:type="dxa"/>
            <w:gridSpan w:val="7"/>
            <w:vAlign w:val="center"/>
            <w:hideMark/>
          </w:tcPr>
          <w:p w14:paraId="377DD6BB" w14:textId="60F05D9F" w:rsidR="003F1037" w:rsidRPr="00135A1D" w:rsidRDefault="003F1037" w:rsidP="00BD78C6">
            <w:pPr>
              <w:keepNext/>
              <w:keepLines/>
              <w:spacing w:after="0" w:line="240" w:lineRule="auto"/>
              <w:rPr>
                <w:rFonts w:ascii="Calibri" w:hAnsi="Calibri" w:cs="Calibri"/>
                <w:b/>
                <w:bCs/>
                <w:color w:val="000000"/>
                <w:sz w:val="20"/>
                <w:szCs w:val="20"/>
                <w:lang w:eastAsia="cs-CZ"/>
              </w:rPr>
            </w:pPr>
            <w:r w:rsidRPr="00135A1D">
              <w:rPr>
                <w:rFonts w:ascii="Calibri" w:hAnsi="Calibri" w:cs="Calibri"/>
                <w:b/>
                <w:bCs/>
                <w:color w:val="000000"/>
                <w:sz w:val="20"/>
                <w:szCs w:val="20"/>
                <w:lang w:eastAsia="cs-CZ"/>
              </w:rPr>
              <w:t>Indikátor realizace Programu</w:t>
            </w:r>
            <w:r w:rsidR="00BD78C6">
              <w:rPr>
                <w:rFonts w:ascii="Calibri" w:hAnsi="Calibri" w:cs="Calibri"/>
                <w:b/>
                <w:bCs/>
                <w:color w:val="000000"/>
                <w:sz w:val="20"/>
                <w:szCs w:val="20"/>
                <w:lang w:eastAsia="cs-CZ"/>
              </w:rPr>
              <w:t> VI</w:t>
            </w:r>
          </w:p>
        </w:tc>
      </w:tr>
      <w:tr w:rsidR="008232DA" w:rsidRPr="00135A1D" w14:paraId="5328CBB9" w14:textId="77777777" w:rsidTr="00944EEE">
        <w:trPr>
          <w:cantSplit/>
          <w:trHeight w:val="283"/>
        </w:trPr>
        <w:tc>
          <w:tcPr>
            <w:tcW w:w="2774" w:type="dxa"/>
            <w:vAlign w:val="center"/>
            <w:hideMark/>
          </w:tcPr>
          <w:p w14:paraId="2B339A43" w14:textId="77777777" w:rsidR="003F1037" w:rsidRPr="00135A1D" w:rsidRDefault="003F1037" w:rsidP="00BD78C6">
            <w:pPr>
              <w:keepNext/>
              <w:keepLines/>
              <w:spacing w:after="0" w:line="240" w:lineRule="auto"/>
              <w:rPr>
                <w:rFonts w:ascii="Calibri" w:hAnsi="Calibri" w:cs="Calibri"/>
                <w:color w:val="000000"/>
                <w:sz w:val="20"/>
                <w:szCs w:val="20"/>
                <w:lang w:eastAsia="cs-CZ"/>
              </w:rPr>
            </w:pPr>
            <w:r w:rsidRPr="00135A1D">
              <w:rPr>
                <w:rFonts w:ascii="Calibri" w:hAnsi="Calibri" w:cs="Calibri"/>
                <w:color w:val="000000"/>
                <w:sz w:val="20"/>
                <w:szCs w:val="20"/>
                <w:lang w:eastAsia="cs-CZ"/>
              </w:rPr>
              <w:t>Minimální počet celkem vybraných (podpořených) projektů</w:t>
            </w:r>
          </w:p>
        </w:tc>
        <w:tc>
          <w:tcPr>
            <w:tcW w:w="1316" w:type="dxa"/>
            <w:vAlign w:val="center"/>
            <w:hideMark/>
          </w:tcPr>
          <w:p w14:paraId="75B1BC1A"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83</w:t>
            </w:r>
          </w:p>
        </w:tc>
        <w:tc>
          <w:tcPr>
            <w:tcW w:w="1086" w:type="dxa"/>
            <w:vAlign w:val="center"/>
            <w:hideMark/>
          </w:tcPr>
          <w:p w14:paraId="3E8A2163"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110</w:t>
            </w:r>
          </w:p>
        </w:tc>
        <w:tc>
          <w:tcPr>
            <w:tcW w:w="697" w:type="dxa"/>
            <w:vAlign w:val="center"/>
            <w:hideMark/>
          </w:tcPr>
          <w:p w14:paraId="542FBB30"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132,5</w:t>
            </w:r>
          </w:p>
        </w:tc>
        <w:tc>
          <w:tcPr>
            <w:tcW w:w="1401" w:type="dxa"/>
            <w:vAlign w:val="center"/>
            <w:hideMark/>
          </w:tcPr>
          <w:p w14:paraId="462D13AD"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105</w:t>
            </w:r>
          </w:p>
        </w:tc>
        <w:tc>
          <w:tcPr>
            <w:tcW w:w="1086" w:type="dxa"/>
            <w:vAlign w:val="center"/>
            <w:hideMark/>
          </w:tcPr>
          <w:p w14:paraId="4A58BB9F"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173</w:t>
            </w:r>
          </w:p>
        </w:tc>
        <w:tc>
          <w:tcPr>
            <w:tcW w:w="707" w:type="dxa"/>
            <w:vAlign w:val="center"/>
            <w:hideMark/>
          </w:tcPr>
          <w:p w14:paraId="4922B28E"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164,8</w:t>
            </w:r>
          </w:p>
        </w:tc>
      </w:tr>
      <w:tr w:rsidR="003F1037" w:rsidRPr="00135A1D" w14:paraId="5F786604" w14:textId="77777777" w:rsidTr="00944EEE">
        <w:trPr>
          <w:cantSplit/>
          <w:trHeight w:val="283"/>
        </w:trPr>
        <w:tc>
          <w:tcPr>
            <w:tcW w:w="9067" w:type="dxa"/>
            <w:gridSpan w:val="7"/>
            <w:vAlign w:val="center"/>
            <w:hideMark/>
          </w:tcPr>
          <w:p w14:paraId="5F1C65C0" w14:textId="6BEBAE91" w:rsidR="003F1037" w:rsidRPr="00135A1D" w:rsidRDefault="003F1037" w:rsidP="00BD78C6">
            <w:pPr>
              <w:keepNext/>
              <w:keepLines/>
              <w:spacing w:after="0" w:line="240" w:lineRule="auto"/>
              <w:rPr>
                <w:rFonts w:ascii="Calibri" w:hAnsi="Calibri" w:cs="Calibri"/>
                <w:b/>
                <w:bCs/>
                <w:color w:val="000000"/>
                <w:sz w:val="20"/>
                <w:szCs w:val="20"/>
                <w:lang w:eastAsia="cs-CZ"/>
              </w:rPr>
            </w:pPr>
            <w:r w:rsidRPr="00135A1D">
              <w:rPr>
                <w:rFonts w:ascii="Calibri" w:hAnsi="Calibri" w:cs="Calibri"/>
                <w:b/>
                <w:bCs/>
                <w:color w:val="000000"/>
                <w:sz w:val="20"/>
                <w:szCs w:val="20"/>
                <w:lang w:eastAsia="cs-CZ"/>
              </w:rPr>
              <w:t>Indikátory výsledků Programu</w:t>
            </w:r>
            <w:r w:rsidR="00BD78C6">
              <w:rPr>
                <w:rFonts w:ascii="Calibri" w:hAnsi="Calibri" w:cs="Calibri"/>
                <w:b/>
                <w:bCs/>
                <w:color w:val="000000"/>
                <w:sz w:val="20"/>
                <w:szCs w:val="20"/>
                <w:lang w:eastAsia="cs-CZ"/>
              </w:rPr>
              <w:t> VI</w:t>
            </w:r>
          </w:p>
        </w:tc>
      </w:tr>
      <w:tr w:rsidR="008232DA" w:rsidRPr="00135A1D" w14:paraId="01FC95B9" w14:textId="77777777" w:rsidTr="00944EEE">
        <w:trPr>
          <w:cantSplit/>
          <w:trHeight w:val="283"/>
        </w:trPr>
        <w:tc>
          <w:tcPr>
            <w:tcW w:w="2774" w:type="dxa"/>
            <w:vAlign w:val="center"/>
            <w:hideMark/>
          </w:tcPr>
          <w:p w14:paraId="28EE9D8B" w14:textId="77777777" w:rsidR="003F1037" w:rsidRPr="00135A1D" w:rsidRDefault="003F1037" w:rsidP="00BD78C6">
            <w:pPr>
              <w:keepNext/>
              <w:keepLines/>
              <w:spacing w:after="0" w:line="240" w:lineRule="auto"/>
              <w:rPr>
                <w:rFonts w:ascii="Calibri" w:hAnsi="Calibri" w:cs="Calibri"/>
                <w:color w:val="000000"/>
                <w:sz w:val="20"/>
                <w:szCs w:val="20"/>
                <w:lang w:eastAsia="cs-CZ"/>
              </w:rPr>
            </w:pPr>
            <w:r w:rsidRPr="00135A1D">
              <w:rPr>
                <w:rFonts w:ascii="Calibri" w:hAnsi="Calibri" w:cs="Calibri"/>
                <w:color w:val="000000"/>
                <w:sz w:val="20"/>
                <w:szCs w:val="20"/>
                <w:lang w:eastAsia="cs-CZ"/>
              </w:rPr>
              <w:t>Minimální počet podaných patentů</w:t>
            </w:r>
          </w:p>
        </w:tc>
        <w:tc>
          <w:tcPr>
            <w:tcW w:w="1316" w:type="dxa"/>
            <w:vAlign w:val="center"/>
            <w:hideMark/>
          </w:tcPr>
          <w:p w14:paraId="651E9B29"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5</w:t>
            </w:r>
          </w:p>
        </w:tc>
        <w:tc>
          <w:tcPr>
            <w:tcW w:w="1086" w:type="dxa"/>
            <w:vAlign w:val="center"/>
            <w:hideMark/>
          </w:tcPr>
          <w:p w14:paraId="6233608A"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14</w:t>
            </w:r>
          </w:p>
        </w:tc>
        <w:tc>
          <w:tcPr>
            <w:tcW w:w="697" w:type="dxa"/>
            <w:vAlign w:val="center"/>
            <w:hideMark/>
          </w:tcPr>
          <w:p w14:paraId="680B7681"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280,0</w:t>
            </w:r>
          </w:p>
        </w:tc>
        <w:tc>
          <w:tcPr>
            <w:tcW w:w="1401" w:type="dxa"/>
            <w:vAlign w:val="center"/>
            <w:hideMark/>
          </w:tcPr>
          <w:p w14:paraId="1ACE340B"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6</w:t>
            </w:r>
          </w:p>
        </w:tc>
        <w:tc>
          <w:tcPr>
            <w:tcW w:w="1086" w:type="dxa"/>
            <w:vAlign w:val="center"/>
            <w:hideMark/>
          </w:tcPr>
          <w:p w14:paraId="73AF432A"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18</w:t>
            </w:r>
          </w:p>
        </w:tc>
        <w:tc>
          <w:tcPr>
            <w:tcW w:w="707" w:type="dxa"/>
            <w:vAlign w:val="center"/>
            <w:hideMark/>
          </w:tcPr>
          <w:p w14:paraId="25B092CD"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300,0</w:t>
            </w:r>
          </w:p>
        </w:tc>
      </w:tr>
      <w:tr w:rsidR="008232DA" w:rsidRPr="00135A1D" w14:paraId="4C4FD0CE" w14:textId="77777777" w:rsidTr="00944EEE">
        <w:trPr>
          <w:cantSplit/>
          <w:trHeight w:val="283"/>
        </w:trPr>
        <w:tc>
          <w:tcPr>
            <w:tcW w:w="2774" w:type="dxa"/>
            <w:vAlign w:val="center"/>
            <w:hideMark/>
          </w:tcPr>
          <w:p w14:paraId="5208861D" w14:textId="77777777" w:rsidR="003F1037" w:rsidRPr="00135A1D" w:rsidRDefault="003F1037" w:rsidP="00BD78C6">
            <w:pPr>
              <w:keepNext/>
              <w:keepLines/>
              <w:spacing w:after="0" w:line="240" w:lineRule="auto"/>
              <w:rPr>
                <w:rFonts w:ascii="Calibri" w:hAnsi="Calibri" w:cs="Calibri"/>
                <w:color w:val="000000"/>
                <w:sz w:val="20"/>
                <w:szCs w:val="20"/>
                <w:lang w:eastAsia="cs-CZ"/>
              </w:rPr>
            </w:pPr>
            <w:r w:rsidRPr="00135A1D">
              <w:rPr>
                <w:rFonts w:ascii="Calibri" w:hAnsi="Calibri" w:cs="Calibri"/>
                <w:color w:val="000000"/>
                <w:sz w:val="20"/>
                <w:szCs w:val="20"/>
                <w:lang w:eastAsia="cs-CZ"/>
              </w:rPr>
              <w:t>Minimální počet podaných užitných vzorů a průmyslových vzorů</w:t>
            </w:r>
          </w:p>
        </w:tc>
        <w:tc>
          <w:tcPr>
            <w:tcW w:w="1316" w:type="dxa"/>
            <w:vAlign w:val="center"/>
            <w:hideMark/>
          </w:tcPr>
          <w:p w14:paraId="2C0DF150"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12</w:t>
            </w:r>
          </w:p>
        </w:tc>
        <w:tc>
          <w:tcPr>
            <w:tcW w:w="1086" w:type="dxa"/>
            <w:vAlign w:val="center"/>
            <w:hideMark/>
          </w:tcPr>
          <w:p w14:paraId="2DEF4E53"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74</w:t>
            </w:r>
          </w:p>
        </w:tc>
        <w:tc>
          <w:tcPr>
            <w:tcW w:w="697" w:type="dxa"/>
            <w:vAlign w:val="center"/>
            <w:hideMark/>
          </w:tcPr>
          <w:p w14:paraId="509C8BD6"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616,7</w:t>
            </w:r>
          </w:p>
        </w:tc>
        <w:tc>
          <w:tcPr>
            <w:tcW w:w="1401" w:type="dxa"/>
            <w:vAlign w:val="center"/>
            <w:hideMark/>
          </w:tcPr>
          <w:p w14:paraId="20AD67BC"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15</w:t>
            </w:r>
          </w:p>
        </w:tc>
        <w:tc>
          <w:tcPr>
            <w:tcW w:w="1086" w:type="dxa"/>
            <w:vAlign w:val="center"/>
            <w:hideMark/>
          </w:tcPr>
          <w:p w14:paraId="37716CB7"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97</w:t>
            </w:r>
          </w:p>
        </w:tc>
        <w:tc>
          <w:tcPr>
            <w:tcW w:w="707" w:type="dxa"/>
            <w:vAlign w:val="center"/>
            <w:hideMark/>
          </w:tcPr>
          <w:p w14:paraId="15648505"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646,7</w:t>
            </w:r>
          </w:p>
        </w:tc>
      </w:tr>
      <w:tr w:rsidR="008232DA" w:rsidRPr="00135A1D" w14:paraId="78223F32" w14:textId="77777777" w:rsidTr="00944EEE">
        <w:trPr>
          <w:cantSplit/>
          <w:trHeight w:val="283"/>
        </w:trPr>
        <w:tc>
          <w:tcPr>
            <w:tcW w:w="2774" w:type="dxa"/>
            <w:vAlign w:val="center"/>
            <w:hideMark/>
          </w:tcPr>
          <w:p w14:paraId="2D0A4D52" w14:textId="77777777" w:rsidR="003F1037" w:rsidRPr="00135A1D" w:rsidRDefault="003F1037" w:rsidP="00BD78C6">
            <w:pPr>
              <w:keepNext/>
              <w:keepLines/>
              <w:spacing w:after="0" w:line="240" w:lineRule="auto"/>
              <w:rPr>
                <w:rFonts w:ascii="Calibri" w:hAnsi="Calibri" w:cs="Calibri"/>
                <w:color w:val="000000"/>
                <w:sz w:val="20"/>
                <w:szCs w:val="20"/>
                <w:lang w:eastAsia="cs-CZ"/>
              </w:rPr>
            </w:pPr>
            <w:r w:rsidRPr="00135A1D">
              <w:rPr>
                <w:rFonts w:ascii="Calibri" w:hAnsi="Calibri" w:cs="Calibri"/>
                <w:color w:val="000000"/>
                <w:sz w:val="20"/>
                <w:szCs w:val="20"/>
                <w:lang w:eastAsia="cs-CZ"/>
              </w:rPr>
              <w:t>Minimální počet prototypů a</w:t>
            </w:r>
            <w:r w:rsidR="00135A1D" w:rsidRPr="00135A1D">
              <w:rPr>
                <w:rFonts w:ascii="Calibri" w:hAnsi="Calibri" w:cs="Calibri"/>
                <w:color w:val="000000"/>
                <w:sz w:val="20"/>
                <w:szCs w:val="20"/>
                <w:lang w:eastAsia="cs-CZ"/>
              </w:rPr>
              <w:t> </w:t>
            </w:r>
            <w:r w:rsidRPr="00135A1D">
              <w:rPr>
                <w:rFonts w:ascii="Calibri" w:hAnsi="Calibri" w:cs="Calibri"/>
                <w:color w:val="000000"/>
                <w:sz w:val="20"/>
                <w:szCs w:val="20"/>
                <w:lang w:eastAsia="cs-CZ"/>
              </w:rPr>
              <w:t>funkčních vzorků</w:t>
            </w:r>
          </w:p>
        </w:tc>
        <w:tc>
          <w:tcPr>
            <w:tcW w:w="1316" w:type="dxa"/>
            <w:vAlign w:val="center"/>
            <w:hideMark/>
          </w:tcPr>
          <w:p w14:paraId="7F451E7F"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9</w:t>
            </w:r>
          </w:p>
        </w:tc>
        <w:tc>
          <w:tcPr>
            <w:tcW w:w="1086" w:type="dxa"/>
            <w:vAlign w:val="center"/>
            <w:hideMark/>
          </w:tcPr>
          <w:p w14:paraId="19AFFAEE"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126</w:t>
            </w:r>
          </w:p>
        </w:tc>
        <w:tc>
          <w:tcPr>
            <w:tcW w:w="697" w:type="dxa"/>
            <w:vAlign w:val="center"/>
            <w:hideMark/>
          </w:tcPr>
          <w:p w14:paraId="0F3A3BA1"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1400,0</w:t>
            </w:r>
          </w:p>
        </w:tc>
        <w:tc>
          <w:tcPr>
            <w:tcW w:w="1401" w:type="dxa"/>
            <w:vAlign w:val="center"/>
            <w:hideMark/>
          </w:tcPr>
          <w:p w14:paraId="480E47AF"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11</w:t>
            </w:r>
          </w:p>
        </w:tc>
        <w:tc>
          <w:tcPr>
            <w:tcW w:w="1086" w:type="dxa"/>
            <w:vAlign w:val="center"/>
            <w:hideMark/>
          </w:tcPr>
          <w:p w14:paraId="66E0E741"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177</w:t>
            </w:r>
          </w:p>
        </w:tc>
        <w:tc>
          <w:tcPr>
            <w:tcW w:w="707" w:type="dxa"/>
            <w:vAlign w:val="center"/>
            <w:hideMark/>
          </w:tcPr>
          <w:p w14:paraId="5D148AEB"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1609,1</w:t>
            </w:r>
          </w:p>
        </w:tc>
      </w:tr>
      <w:tr w:rsidR="008232DA" w:rsidRPr="00135A1D" w14:paraId="5EC48937" w14:textId="77777777" w:rsidTr="00944EEE">
        <w:trPr>
          <w:cantSplit/>
          <w:trHeight w:val="283"/>
        </w:trPr>
        <w:tc>
          <w:tcPr>
            <w:tcW w:w="2774" w:type="dxa"/>
            <w:vAlign w:val="center"/>
            <w:hideMark/>
          </w:tcPr>
          <w:p w14:paraId="54DF5B99" w14:textId="77777777" w:rsidR="003F1037" w:rsidRPr="00135A1D" w:rsidRDefault="003F1037" w:rsidP="00BD78C6">
            <w:pPr>
              <w:keepNext/>
              <w:keepLines/>
              <w:spacing w:after="0" w:line="240" w:lineRule="auto"/>
              <w:rPr>
                <w:rFonts w:ascii="Calibri" w:hAnsi="Calibri" w:cs="Calibri"/>
                <w:color w:val="000000"/>
                <w:sz w:val="20"/>
                <w:szCs w:val="20"/>
                <w:lang w:eastAsia="cs-CZ"/>
              </w:rPr>
            </w:pPr>
            <w:r w:rsidRPr="00135A1D">
              <w:rPr>
                <w:rFonts w:ascii="Calibri" w:hAnsi="Calibri" w:cs="Calibri"/>
                <w:color w:val="000000"/>
                <w:sz w:val="20"/>
                <w:szCs w:val="20"/>
                <w:lang w:eastAsia="cs-CZ"/>
              </w:rPr>
              <w:t>Minimální počet software</w:t>
            </w:r>
          </w:p>
        </w:tc>
        <w:tc>
          <w:tcPr>
            <w:tcW w:w="1316" w:type="dxa"/>
            <w:vAlign w:val="center"/>
            <w:hideMark/>
          </w:tcPr>
          <w:p w14:paraId="17C9CEEE"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12</w:t>
            </w:r>
          </w:p>
        </w:tc>
        <w:tc>
          <w:tcPr>
            <w:tcW w:w="1086" w:type="dxa"/>
            <w:vAlign w:val="center"/>
            <w:hideMark/>
          </w:tcPr>
          <w:p w14:paraId="34144BD7"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107</w:t>
            </w:r>
          </w:p>
        </w:tc>
        <w:tc>
          <w:tcPr>
            <w:tcW w:w="697" w:type="dxa"/>
            <w:vAlign w:val="center"/>
            <w:hideMark/>
          </w:tcPr>
          <w:p w14:paraId="09AE469C"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891,7</w:t>
            </w:r>
          </w:p>
        </w:tc>
        <w:tc>
          <w:tcPr>
            <w:tcW w:w="1401" w:type="dxa"/>
            <w:vAlign w:val="center"/>
            <w:hideMark/>
          </w:tcPr>
          <w:p w14:paraId="7DD7776E"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15</w:t>
            </w:r>
          </w:p>
        </w:tc>
        <w:tc>
          <w:tcPr>
            <w:tcW w:w="1086" w:type="dxa"/>
            <w:vAlign w:val="center"/>
            <w:hideMark/>
          </w:tcPr>
          <w:p w14:paraId="4E0DAFF8"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165</w:t>
            </w:r>
          </w:p>
        </w:tc>
        <w:tc>
          <w:tcPr>
            <w:tcW w:w="707" w:type="dxa"/>
            <w:vAlign w:val="center"/>
            <w:hideMark/>
          </w:tcPr>
          <w:p w14:paraId="7E24A46B"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1100,0</w:t>
            </w:r>
          </w:p>
        </w:tc>
      </w:tr>
      <w:tr w:rsidR="008232DA" w:rsidRPr="00135A1D" w14:paraId="32CA0ECC" w14:textId="77777777" w:rsidTr="00944EEE">
        <w:trPr>
          <w:cantSplit/>
          <w:trHeight w:val="283"/>
        </w:trPr>
        <w:tc>
          <w:tcPr>
            <w:tcW w:w="2774" w:type="dxa"/>
            <w:vAlign w:val="center"/>
            <w:hideMark/>
          </w:tcPr>
          <w:p w14:paraId="34D0F5FF" w14:textId="77777777" w:rsidR="003F1037" w:rsidRPr="00135A1D" w:rsidRDefault="003F1037" w:rsidP="00BD78C6">
            <w:pPr>
              <w:keepNext/>
              <w:keepLines/>
              <w:spacing w:after="0" w:line="240" w:lineRule="auto"/>
              <w:rPr>
                <w:rFonts w:ascii="Calibri" w:hAnsi="Calibri" w:cs="Calibri"/>
                <w:color w:val="000000"/>
                <w:sz w:val="20"/>
                <w:szCs w:val="20"/>
                <w:lang w:eastAsia="cs-CZ"/>
              </w:rPr>
            </w:pPr>
            <w:r w:rsidRPr="00135A1D">
              <w:rPr>
                <w:rFonts w:ascii="Calibri" w:hAnsi="Calibri" w:cs="Calibri"/>
                <w:color w:val="000000"/>
                <w:sz w:val="20"/>
                <w:szCs w:val="20"/>
                <w:lang w:eastAsia="cs-CZ"/>
              </w:rPr>
              <w:t>Minimální počet certifikovaných metodik</w:t>
            </w:r>
          </w:p>
        </w:tc>
        <w:tc>
          <w:tcPr>
            <w:tcW w:w="1316" w:type="dxa"/>
            <w:vAlign w:val="center"/>
            <w:hideMark/>
          </w:tcPr>
          <w:p w14:paraId="4F7A0A82"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11</w:t>
            </w:r>
          </w:p>
        </w:tc>
        <w:tc>
          <w:tcPr>
            <w:tcW w:w="1086" w:type="dxa"/>
            <w:vAlign w:val="center"/>
            <w:hideMark/>
          </w:tcPr>
          <w:p w14:paraId="17F1F306"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144</w:t>
            </w:r>
          </w:p>
        </w:tc>
        <w:tc>
          <w:tcPr>
            <w:tcW w:w="697" w:type="dxa"/>
            <w:vAlign w:val="center"/>
            <w:hideMark/>
          </w:tcPr>
          <w:p w14:paraId="3804DFD5"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1309,1</w:t>
            </w:r>
          </w:p>
        </w:tc>
        <w:tc>
          <w:tcPr>
            <w:tcW w:w="1401" w:type="dxa"/>
            <w:vAlign w:val="center"/>
            <w:hideMark/>
          </w:tcPr>
          <w:p w14:paraId="2E0BC021"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14</w:t>
            </w:r>
          </w:p>
        </w:tc>
        <w:tc>
          <w:tcPr>
            <w:tcW w:w="1086" w:type="dxa"/>
            <w:vAlign w:val="center"/>
            <w:hideMark/>
          </w:tcPr>
          <w:p w14:paraId="13D66BFC" w14:textId="77777777" w:rsidR="003F1037" w:rsidRPr="00135A1D" w:rsidRDefault="003F1037" w:rsidP="00BD78C6">
            <w:pPr>
              <w:keepNext/>
              <w:keepLines/>
              <w:spacing w:after="0" w:line="240" w:lineRule="auto"/>
              <w:jc w:val="center"/>
              <w:rPr>
                <w:rFonts w:ascii="Calibri" w:hAnsi="Calibri" w:cs="Calibri"/>
                <w:color w:val="000000"/>
                <w:sz w:val="20"/>
                <w:szCs w:val="20"/>
                <w:lang w:eastAsia="cs-CZ"/>
              </w:rPr>
            </w:pPr>
            <w:r w:rsidRPr="00135A1D">
              <w:rPr>
                <w:rFonts w:ascii="Calibri" w:hAnsi="Calibri" w:cs="Calibri"/>
                <w:color w:val="000000"/>
                <w:sz w:val="20"/>
                <w:szCs w:val="20"/>
                <w:lang w:eastAsia="cs-CZ"/>
              </w:rPr>
              <w:t>191</w:t>
            </w:r>
          </w:p>
        </w:tc>
        <w:tc>
          <w:tcPr>
            <w:tcW w:w="707" w:type="dxa"/>
            <w:vAlign w:val="center"/>
            <w:hideMark/>
          </w:tcPr>
          <w:p w14:paraId="23F96CA7" w14:textId="77777777" w:rsidR="003F1037" w:rsidRPr="00135A1D" w:rsidRDefault="003F1037" w:rsidP="00BD78C6">
            <w:pPr>
              <w:keepNext/>
              <w:keepLines/>
              <w:spacing w:after="0" w:line="240" w:lineRule="auto"/>
              <w:jc w:val="right"/>
              <w:rPr>
                <w:rFonts w:ascii="Calibri" w:hAnsi="Calibri" w:cs="Calibri"/>
                <w:color w:val="000000"/>
                <w:sz w:val="20"/>
                <w:szCs w:val="20"/>
                <w:lang w:eastAsia="cs-CZ"/>
              </w:rPr>
            </w:pPr>
            <w:r w:rsidRPr="00135A1D">
              <w:rPr>
                <w:rFonts w:ascii="Calibri" w:hAnsi="Calibri" w:cs="Calibri"/>
                <w:color w:val="000000"/>
                <w:sz w:val="20"/>
                <w:szCs w:val="20"/>
                <w:lang w:eastAsia="cs-CZ"/>
              </w:rPr>
              <w:t>1364,3</w:t>
            </w:r>
          </w:p>
        </w:tc>
      </w:tr>
      <w:tr w:rsidR="008232DA" w:rsidRPr="00135A1D" w14:paraId="2403DCEC" w14:textId="77777777" w:rsidTr="00944EEE">
        <w:trPr>
          <w:cantSplit/>
          <w:trHeight w:val="283"/>
        </w:trPr>
        <w:tc>
          <w:tcPr>
            <w:tcW w:w="2774" w:type="dxa"/>
            <w:vAlign w:val="center"/>
            <w:hideMark/>
          </w:tcPr>
          <w:p w14:paraId="0CA67092" w14:textId="77777777" w:rsidR="003F1037" w:rsidRPr="00135A1D" w:rsidRDefault="003F1037" w:rsidP="00BD78C6">
            <w:pPr>
              <w:keepNext/>
              <w:keepLines/>
              <w:spacing w:after="0" w:line="240" w:lineRule="auto"/>
              <w:rPr>
                <w:rFonts w:ascii="Calibri" w:hAnsi="Calibri" w:cs="Calibri"/>
                <w:b/>
                <w:color w:val="000000"/>
                <w:sz w:val="20"/>
                <w:szCs w:val="20"/>
                <w:lang w:eastAsia="cs-CZ"/>
              </w:rPr>
            </w:pPr>
            <w:r w:rsidRPr="00135A1D">
              <w:rPr>
                <w:rFonts w:ascii="Calibri" w:hAnsi="Calibri" w:cs="Calibri"/>
                <w:b/>
                <w:color w:val="000000"/>
                <w:sz w:val="20"/>
                <w:szCs w:val="20"/>
                <w:lang w:eastAsia="cs-CZ"/>
              </w:rPr>
              <w:t>Minimální počet aplikovaných výsledků Programu VI</w:t>
            </w:r>
          </w:p>
        </w:tc>
        <w:tc>
          <w:tcPr>
            <w:tcW w:w="1316" w:type="dxa"/>
            <w:vAlign w:val="center"/>
            <w:hideMark/>
          </w:tcPr>
          <w:p w14:paraId="683936F3" w14:textId="77777777" w:rsidR="003F1037" w:rsidRPr="00135A1D" w:rsidRDefault="003F1037" w:rsidP="00BD78C6">
            <w:pPr>
              <w:keepNext/>
              <w:keepLines/>
              <w:spacing w:after="0" w:line="240" w:lineRule="auto"/>
              <w:jc w:val="center"/>
              <w:rPr>
                <w:rFonts w:ascii="Calibri" w:hAnsi="Calibri" w:cs="Calibri"/>
                <w:b/>
                <w:bCs/>
                <w:color w:val="000000"/>
                <w:sz w:val="20"/>
                <w:szCs w:val="20"/>
                <w:lang w:eastAsia="cs-CZ"/>
              </w:rPr>
            </w:pPr>
            <w:r w:rsidRPr="00135A1D">
              <w:rPr>
                <w:rFonts w:ascii="Calibri" w:hAnsi="Calibri" w:cs="Calibri"/>
                <w:b/>
                <w:bCs/>
                <w:color w:val="000000"/>
                <w:sz w:val="20"/>
                <w:szCs w:val="20"/>
                <w:lang w:eastAsia="cs-CZ"/>
              </w:rPr>
              <w:t>74</w:t>
            </w:r>
          </w:p>
        </w:tc>
        <w:tc>
          <w:tcPr>
            <w:tcW w:w="1086" w:type="dxa"/>
            <w:vAlign w:val="center"/>
            <w:hideMark/>
          </w:tcPr>
          <w:p w14:paraId="75FE0508" w14:textId="77777777" w:rsidR="003F1037" w:rsidRPr="00135A1D" w:rsidRDefault="003F1037" w:rsidP="00BD78C6">
            <w:pPr>
              <w:keepNext/>
              <w:keepLines/>
              <w:spacing w:after="0" w:line="240" w:lineRule="auto"/>
              <w:jc w:val="center"/>
              <w:rPr>
                <w:rFonts w:ascii="Calibri" w:hAnsi="Calibri" w:cs="Calibri"/>
                <w:b/>
                <w:bCs/>
                <w:color w:val="000000"/>
                <w:sz w:val="20"/>
                <w:szCs w:val="20"/>
                <w:lang w:eastAsia="cs-CZ"/>
              </w:rPr>
            </w:pPr>
            <w:r w:rsidRPr="00135A1D">
              <w:rPr>
                <w:rFonts w:ascii="Calibri" w:hAnsi="Calibri" w:cs="Calibri"/>
                <w:b/>
                <w:bCs/>
                <w:color w:val="000000"/>
                <w:sz w:val="20"/>
                <w:szCs w:val="20"/>
                <w:lang w:eastAsia="cs-CZ"/>
              </w:rPr>
              <w:t>498</w:t>
            </w:r>
          </w:p>
        </w:tc>
        <w:tc>
          <w:tcPr>
            <w:tcW w:w="697" w:type="dxa"/>
            <w:vAlign w:val="center"/>
            <w:hideMark/>
          </w:tcPr>
          <w:p w14:paraId="2D13EE4E" w14:textId="77777777" w:rsidR="003F1037" w:rsidRPr="00135A1D" w:rsidRDefault="003F1037" w:rsidP="00BD78C6">
            <w:pPr>
              <w:keepNext/>
              <w:keepLines/>
              <w:spacing w:after="0" w:line="240" w:lineRule="auto"/>
              <w:jc w:val="right"/>
              <w:rPr>
                <w:rFonts w:ascii="Calibri" w:hAnsi="Calibri" w:cs="Calibri"/>
                <w:b/>
                <w:color w:val="000000"/>
                <w:sz w:val="20"/>
                <w:szCs w:val="20"/>
                <w:lang w:eastAsia="cs-CZ"/>
              </w:rPr>
            </w:pPr>
            <w:r w:rsidRPr="00135A1D">
              <w:rPr>
                <w:rFonts w:ascii="Calibri" w:hAnsi="Calibri" w:cs="Calibri"/>
                <w:b/>
                <w:color w:val="000000"/>
                <w:sz w:val="20"/>
                <w:szCs w:val="20"/>
                <w:lang w:eastAsia="cs-CZ"/>
              </w:rPr>
              <w:t>673,0</w:t>
            </w:r>
          </w:p>
        </w:tc>
        <w:tc>
          <w:tcPr>
            <w:tcW w:w="1401" w:type="dxa"/>
            <w:vAlign w:val="center"/>
            <w:hideMark/>
          </w:tcPr>
          <w:p w14:paraId="70A9FD7A" w14:textId="77777777" w:rsidR="003F1037" w:rsidRPr="00135A1D" w:rsidRDefault="003F1037" w:rsidP="00BD78C6">
            <w:pPr>
              <w:keepNext/>
              <w:keepLines/>
              <w:spacing w:after="0" w:line="240" w:lineRule="auto"/>
              <w:jc w:val="center"/>
              <w:rPr>
                <w:rFonts w:ascii="Calibri" w:hAnsi="Calibri" w:cs="Calibri"/>
                <w:b/>
                <w:bCs/>
                <w:color w:val="000000"/>
                <w:sz w:val="20"/>
                <w:szCs w:val="20"/>
                <w:lang w:eastAsia="cs-CZ"/>
              </w:rPr>
            </w:pPr>
            <w:r w:rsidRPr="00135A1D">
              <w:rPr>
                <w:rFonts w:ascii="Calibri" w:hAnsi="Calibri" w:cs="Calibri"/>
                <w:b/>
                <w:bCs/>
                <w:color w:val="000000"/>
                <w:sz w:val="20"/>
                <w:szCs w:val="20"/>
                <w:lang w:eastAsia="cs-CZ"/>
              </w:rPr>
              <w:t>93</w:t>
            </w:r>
          </w:p>
        </w:tc>
        <w:tc>
          <w:tcPr>
            <w:tcW w:w="1086" w:type="dxa"/>
            <w:vAlign w:val="center"/>
            <w:hideMark/>
          </w:tcPr>
          <w:p w14:paraId="446E14AD" w14:textId="77777777" w:rsidR="003F1037" w:rsidRPr="00135A1D" w:rsidRDefault="003F1037" w:rsidP="00BD78C6">
            <w:pPr>
              <w:keepNext/>
              <w:keepLines/>
              <w:spacing w:after="0" w:line="240" w:lineRule="auto"/>
              <w:jc w:val="center"/>
              <w:rPr>
                <w:rFonts w:ascii="Calibri" w:hAnsi="Calibri" w:cs="Calibri"/>
                <w:b/>
                <w:bCs/>
                <w:color w:val="000000"/>
                <w:sz w:val="20"/>
                <w:szCs w:val="20"/>
                <w:lang w:eastAsia="cs-CZ"/>
              </w:rPr>
            </w:pPr>
            <w:r w:rsidRPr="00135A1D">
              <w:rPr>
                <w:rFonts w:ascii="Calibri" w:hAnsi="Calibri" w:cs="Calibri"/>
                <w:b/>
                <w:bCs/>
                <w:color w:val="000000"/>
                <w:sz w:val="20"/>
                <w:szCs w:val="20"/>
                <w:lang w:eastAsia="cs-CZ"/>
              </w:rPr>
              <w:t>693</w:t>
            </w:r>
          </w:p>
        </w:tc>
        <w:tc>
          <w:tcPr>
            <w:tcW w:w="707" w:type="dxa"/>
            <w:vAlign w:val="center"/>
            <w:hideMark/>
          </w:tcPr>
          <w:p w14:paraId="4E1C054B" w14:textId="77777777" w:rsidR="003F1037" w:rsidRPr="00135A1D" w:rsidRDefault="003F1037" w:rsidP="00BD78C6">
            <w:pPr>
              <w:keepNext/>
              <w:keepLines/>
              <w:spacing w:after="0" w:line="240" w:lineRule="auto"/>
              <w:jc w:val="right"/>
              <w:rPr>
                <w:rFonts w:ascii="Calibri" w:hAnsi="Calibri" w:cs="Calibri"/>
                <w:b/>
                <w:color w:val="000000"/>
                <w:sz w:val="20"/>
                <w:szCs w:val="20"/>
                <w:lang w:eastAsia="cs-CZ"/>
              </w:rPr>
            </w:pPr>
            <w:r w:rsidRPr="00135A1D">
              <w:rPr>
                <w:rFonts w:ascii="Calibri" w:hAnsi="Calibri" w:cs="Calibri"/>
                <w:b/>
                <w:color w:val="000000"/>
                <w:sz w:val="20"/>
                <w:szCs w:val="20"/>
                <w:lang w:eastAsia="cs-CZ"/>
              </w:rPr>
              <w:t>745,2</w:t>
            </w:r>
          </w:p>
        </w:tc>
      </w:tr>
    </w:tbl>
    <w:p w14:paraId="433F18EF" w14:textId="7DF389D9" w:rsidR="003F1037" w:rsidRPr="00E23664" w:rsidRDefault="003F1037" w:rsidP="00BD78C6">
      <w:pPr>
        <w:keepNext/>
        <w:keepLines/>
        <w:autoSpaceDE w:val="0"/>
        <w:autoSpaceDN w:val="0"/>
        <w:adjustRightInd w:val="0"/>
        <w:spacing w:before="40" w:after="0" w:line="240" w:lineRule="auto"/>
        <w:jc w:val="both"/>
        <w:rPr>
          <w:rFonts w:ascii="Calibri" w:eastAsia="Times New Roman" w:hAnsi="Calibri" w:cs="Calibri"/>
          <w:sz w:val="20"/>
          <w:szCs w:val="24"/>
          <w:lang w:eastAsia="cs-CZ"/>
        </w:rPr>
      </w:pPr>
      <w:r w:rsidRPr="00227C86">
        <w:rPr>
          <w:rFonts w:ascii="Calibri" w:eastAsia="Times New Roman" w:hAnsi="Calibri" w:cs="Calibri"/>
          <w:b/>
          <w:sz w:val="20"/>
          <w:szCs w:val="24"/>
          <w:lang w:eastAsia="cs-CZ"/>
        </w:rPr>
        <w:t>Zdroj:</w:t>
      </w:r>
      <w:r w:rsidRPr="003146CB">
        <w:rPr>
          <w:rFonts w:ascii="Calibri" w:eastAsia="Times New Roman" w:hAnsi="Calibri" w:cs="Calibri"/>
          <w:sz w:val="20"/>
          <w:szCs w:val="24"/>
          <w:lang w:eastAsia="cs-CZ"/>
        </w:rPr>
        <w:t xml:space="preserve"> </w:t>
      </w:r>
      <w:r w:rsidR="00196F11">
        <w:rPr>
          <w:rFonts w:ascii="Calibri" w:eastAsia="Times New Roman" w:hAnsi="Calibri" w:cs="Calibri"/>
          <w:sz w:val="20"/>
          <w:szCs w:val="24"/>
          <w:lang w:eastAsia="cs-CZ"/>
        </w:rPr>
        <w:t>d</w:t>
      </w:r>
      <w:r w:rsidRPr="003146CB">
        <w:rPr>
          <w:rFonts w:ascii="Calibri" w:eastAsia="Times New Roman" w:hAnsi="Calibri" w:cs="Calibri"/>
          <w:sz w:val="20"/>
          <w:szCs w:val="24"/>
          <w:lang w:eastAsia="cs-CZ"/>
        </w:rPr>
        <w:t>okumenty předložené MV.</w:t>
      </w:r>
    </w:p>
    <w:p w14:paraId="66AC6270" w14:textId="77777777" w:rsidR="00944EEE" w:rsidRDefault="00944EEE" w:rsidP="00944EEE">
      <w:pPr>
        <w:spacing w:after="0" w:line="240" w:lineRule="auto"/>
        <w:jc w:val="both"/>
        <w:rPr>
          <w:rFonts w:cstheme="minorHAnsi"/>
          <w:sz w:val="24"/>
          <w:szCs w:val="24"/>
        </w:rPr>
      </w:pPr>
    </w:p>
    <w:p w14:paraId="7E4945D0" w14:textId="2FD1870D" w:rsidR="003F1037" w:rsidRDefault="003F1037" w:rsidP="00944EEE">
      <w:pPr>
        <w:spacing w:after="0" w:line="240" w:lineRule="auto"/>
        <w:jc w:val="both"/>
        <w:rPr>
          <w:rFonts w:cstheme="minorHAnsi"/>
          <w:bCs/>
          <w:color w:val="000000" w:themeColor="text1"/>
          <w:sz w:val="24"/>
          <w:szCs w:val="24"/>
        </w:rPr>
      </w:pPr>
      <w:r>
        <w:rPr>
          <w:rFonts w:cstheme="minorHAnsi"/>
          <w:sz w:val="24"/>
          <w:szCs w:val="24"/>
        </w:rPr>
        <w:t>4.</w:t>
      </w:r>
      <w:r w:rsidR="007D78BF">
        <w:rPr>
          <w:rFonts w:cstheme="minorHAnsi"/>
          <w:sz w:val="24"/>
          <w:szCs w:val="24"/>
        </w:rPr>
        <w:t>1</w:t>
      </w:r>
      <w:r w:rsidR="00D770F1">
        <w:rPr>
          <w:rFonts w:cstheme="minorHAnsi"/>
          <w:sz w:val="24"/>
          <w:szCs w:val="24"/>
        </w:rPr>
        <w:t>4</w:t>
      </w:r>
      <w:r w:rsidR="00944EEE">
        <w:rPr>
          <w:rFonts w:cstheme="minorHAnsi"/>
          <w:sz w:val="24"/>
          <w:szCs w:val="24"/>
        </w:rPr>
        <w:t xml:space="preserve"> </w:t>
      </w:r>
      <w:r w:rsidR="008232DA">
        <w:rPr>
          <w:rFonts w:cstheme="minorHAnsi"/>
          <w:sz w:val="24"/>
          <w:szCs w:val="24"/>
        </w:rPr>
        <w:t>MV v květnu roku 2018 navýšilo podporu a prodloužilo realizaci Programu VI</w:t>
      </w:r>
      <w:r w:rsidR="008232DA" w:rsidRPr="008232DA">
        <w:rPr>
          <w:rFonts w:cstheme="minorHAnsi"/>
          <w:sz w:val="24"/>
          <w:szCs w:val="24"/>
        </w:rPr>
        <w:t xml:space="preserve"> </w:t>
      </w:r>
      <w:r w:rsidR="008232DA">
        <w:rPr>
          <w:rFonts w:cstheme="minorHAnsi"/>
          <w:sz w:val="24"/>
          <w:szCs w:val="24"/>
        </w:rPr>
        <w:t xml:space="preserve">mj. na základě </w:t>
      </w:r>
      <w:r w:rsidR="008232DA" w:rsidRPr="007566FA">
        <w:rPr>
          <w:rFonts w:cstheme="minorHAnsi"/>
          <w:sz w:val="24"/>
          <w:szCs w:val="24"/>
        </w:rPr>
        <w:t>Auditu národní bezpečnosti</w:t>
      </w:r>
      <w:r w:rsidR="008232DA">
        <w:rPr>
          <w:rStyle w:val="Znakapoznpodarou"/>
          <w:rFonts w:cstheme="minorHAnsi"/>
          <w:sz w:val="24"/>
          <w:szCs w:val="24"/>
        </w:rPr>
        <w:footnoteReference w:id="24"/>
      </w:r>
      <w:r w:rsidR="008232DA">
        <w:rPr>
          <w:rFonts w:cstheme="minorHAnsi"/>
          <w:sz w:val="24"/>
          <w:szCs w:val="24"/>
        </w:rPr>
        <w:t xml:space="preserve"> z roku 2016, který </w:t>
      </w:r>
      <w:r w:rsidR="008C575E">
        <w:rPr>
          <w:rFonts w:cstheme="minorHAnsi"/>
          <w:sz w:val="24"/>
          <w:szCs w:val="24"/>
        </w:rPr>
        <w:t>identifikoval nové bezpečnostní hrozby a aktuální potřeby bezpečnostního systému v oblasti výzkumu a vývoje.</w:t>
      </w:r>
      <w:r w:rsidR="008C575E" w:rsidRPr="008C575E">
        <w:rPr>
          <w:rFonts w:cstheme="minorHAnsi"/>
          <w:lang w:eastAsia="cs-CZ"/>
        </w:rPr>
        <w:t xml:space="preserve"> </w:t>
      </w:r>
      <w:r w:rsidR="008C575E" w:rsidRPr="008C575E">
        <w:rPr>
          <w:rFonts w:cstheme="minorHAnsi"/>
          <w:sz w:val="24"/>
          <w:szCs w:val="24"/>
        </w:rPr>
        <w:t>Jednalo se např. o oblasti věnující se přírodním hrozbám (povodně, epidemie atd.), antropogenním hrozbám (únik nebezpečných chemických látek, radiační havárie, narušení dodávek pitné vody), bezpečnostním aspektům migrace a působení cizí moci.</w:t>
      </w:r>
      <w:r w:rsidR="008C575E">
        <w:rPr>
          <w:rFonts w:cstheme="minorHAnsi"/>
          <w:sz w:val="24"/>
          <w:szCs w:val="24"/>
        </w:rPr>
        <w:t xml:space="preserve"> MV však na základě </w:t>
      </w:r>
      <w:r w:rsidR="00251642">
        <w:rPr>
          <w:rFonts w:cstheme="minorHAnsi"/>
          <w:sz w:val="24"/>
          <w:szCs w:val="24"/>
        </w:rPr>
        <w:t xml:space="preserve">těchto </w:t>
      </w:r>
      <w:r w:rsidR="008232DA">
        <w:rPr>
          <w:rFonts w:cstheme="minorHAnsi"/>
          <w:sz w:val="24"/>
          <w:szCs w:val="24"/>
        </w:rPr>
        <w:t xml:space="preserve">nových poznatků </w:t>
      </w:r>
      <w:r w:rsidR="008C575E">
        <w:rPr>
          <w:rFonts w:cstheme="minorHAnsi"/>
          <w:sz w:val="24"/>
          <w:szCs w:val="24"/>
        </w:rPr>
        <w:t xml:space="preserve">neprovedlo </w:t>
      </w:r>
      <w:r w:rsidR="00E87AB6">
        <w:rPr>
          <w:rFonts w:cstheme="minorHAnsi"/>
          <w:sz w:val="24"/>
          <w:szCs w:val="24"/>
        </w:rPr>
        <w:t>aktualizace cílů Programu VI</w:t>
      </w:r>
      <w:r w:rsidR="00251642">
        <w:rPr>
          <w:rFonts w:cstheme="minorHAnsi"/>
          <w:sz w:val="24"/>
          <w:szCs w:val="24"/>
        </w:rPr>
        <w:t xml:space="preserve">, pouze zavedlo </w:t>
      </w:r>
      <w:r w:rsidR="008C575E" w:rsidRPr="00E87AB6">
        <w:rPr>
          <w:rFonts w:cstheme="minorHAnsi"/>
          <w:bCs/>
          <w:color w:val="000000" w:themeColor="text1"/>
          <w:sz w:val="24"/>
          <w:szCs w:val="24"/>
        </w:rPr>
        <w:t xml:space="preserve">při </w:t>
      </w:r>
      <w:r w:rsidR="00251642">
        <w:rPr>
          <w:rFonts w:cstheme="minorHAnsi"/>
          <w:bCs/>
          <w:color w:val="000000" w:themeColor="text1"/>
          <w:sz w:val="24"/>
          <w:szCs w:val="24"/>
        </w:rPr>
        <w:t xml:space="preserve">výběru </w:t>
      </w:r>
      <w:r w:rsidR="008C575E" w:rsidRPr="00E87AB6">
        <w:rPr>
          <w:rFonts w:cstheme="minorHAnsi"/>
          <w:bCs/>
          <w:color w:val="000000" w:themeColor="text1"/>
          <w:sz w:val="24"/>
          <w:szCs w:val="24"/>
        </w:rPr>
        <w:t xml:space="preserve">projektů možnost přidělení bodů za přínos k plnění </w:t>
      </w:r>
      <w:r w:rsidR="00251642">
        <w:rPr>
          <w:rFonts w:cstheme="minorHAnsi"/>
          <w:bCs/>
          <w:color w:val="000000" w:themeColor="text1"/>
          <w:sz w:val="24"/>
          <w:szCs w:val="24"/>
        </w:rPr>
        <w:t>cílů</w:t>
      </w:r>
      <w:r w:rsidR="00251642" w:rsidRPr="00E87AB6">
        <w:rPr>
          <w:rFonts w:cstheme="minorHAnsi"/>
          <w:bCs/>
          <w:color w:val="000000" w:themeColor="text1"/>
          <w:sz w:val="24"/>
          <w:szCs w:val="24"/>
        </w:rPr>
        <w:t xml:space="preserve"> </w:t>
      </w:r>
      <w:r w:rsidR="00251642" w:rsidRPr="00D770F1">
        <w:rPr>
          <w:rFonts w:cstheme="minorHAnsi"/>
          <w:bCs/>
          <w:color w:val="000000" w:themeColor="text1"/>
          <w:sz w:val="24"/>
          <w:szCs w:val="24"/>
        </w:rPr>
        <w:t>výše uvedeného auditu</w:t>
      </w:r>
      <w:r w:rsidR="006C168A" w:rsidRPr="00D770F1">
        <w:rPr>
          <w:rFonts w:cstheme="minorHAnsi"/>
          <w:bCs/>
          <w:color w:val="000000" w:themeColor="text1"/>
          <w:sz w:val="24"/>
          <w:szCs w:val="24"/>
        </w:rPr>
        <w:t>.</w:t>
      </w:r>
    </w:p>
    <w:p w14:paraId="5C0848AD" w14:textId="77777777" w:rsidR="00944EEE" w:rsidRPr="00D770F1" w:rsidRDefault="00944EEE" w:rsidP="00944EEE">
      <w:pPr>
        <w:spacing w:after="0" w:line="240" w:lineRule="auto"/>
        <w:jc w:val="both"/>
        <w:rPr>
          <w:rFonts w:cstheme="minorHAnsi"/>
          <w:sz w:val="24"/>
          <w:szCs w:val="24"/>
        </w:rPr>
      </w:pPr>
    </w:p>
    <w:p w14:paraId="44D90876" w14:textId="75ABC4E7" w:rsidR="008439D5" w:rsidRDefault="00772749" w:rsidP="00944EEE">
      <w:pPr>
        <w:spacing w:after="0" w:line="240" w:lineRule="auto"/>
        <w:jc w:val="both"/>
        <w:rPr>
          <w:rFonts w:cstheme="minorHAnsi"/>
          <w:bCs/>
          <w:color w:val="000000" w:themeColor="text1"/>
          <w:sz w:val="24"/>
          <w:szCs w:val="24"/>
        </w:rPr>
      </w:pPr>
      <w:r w:rsidRPr="00772749">
        <w:rPr>
          <w:rFonts w:cstheme="minorHAnsi"/>
          <w:bCs/>
          <w:color w:val="000000" w:themeColor="text1"/>
          <w:sz w:val="24"/>
          <w:szCs w:val="24"/>
        </w:rPr>
        <w:t>4.</w:t>
      </w:r>
      <w:r w:rsidR="007D78BF">
        <w:rPr>
          <w:rFonts w:cstheme="minorHAnsi"/>
          <w:bCs/>
          <w:color w:val="000000" w:themeColor="text1"/>
          <w:sz w:val="24"/>
          <w:szCs w:val="24"/>
        </w:rPr>
        <w:t>1</w:t>
      </w:r>
      <w:r w:rsidR="00D770F1">
        <w:rPr>
          <w:rFonts w:cstheme="minorHAnsi"/>
          <w:bCs/>
          <w:color w:val="000000" w:themeColor="text1"/>
          <w:sz w:val="24"/>
          <w:szCs w:val="24"/>
        </w:rPr>
        <w:t>5</w:t>
      </w:r>
      <w:r w:rsidR="00944EEE">
        <w:rPr>
          <w:rFonts w:cstheme="minorHAnsi"/>
          <w:bCs/>
          <w:color w:val="000000" w:themeColor="text1"/>
          <w:sz w:val="24"/>
          <w:szCs w:val="24"/>
        </w:rPr>
        <w:t xml:space="preserve"> </w:t>
      </w:r>
      <w:r w:rsidR="008439D5">
        <w:rPr>
          <w:rFonts w:cstheme="minorHAnsi"/>
          <w:bCs/>
          <w:color w:val="000000" w:themeColor="text1"/>
          <w:sz w:val="24"/>
          <w:szCs w:val="24"/>
        </w:rPr>
        <w:t>MV zapracovalo do dokumentace</w:t>
      </w:r>
      <w:r w:rsidR="008439D5" w:rsidRPr="00EA164E">
        <w:rPr>
          <w:rFonts w:cstheme="minorHAnsi"/>
          <w:bCs/>
          <w:color w:val="000000" w:themeColor="text1"/>
          <w:sz w:val="24"/>
          <w:szCs w:val="24"/>
        </w:rPr>
        <w:t xml:space="preserve"> </w:t>
      </w:r>
      <w:r w:rsidR="008439D5">
        <w:rPr>
          <w:rFonts w:cstheme="minorHAnsi"/>
          <w:bCs/>
          <w:color w:val="000000" w:themeColor="text1"/>
          <w:sz w:val="24"/>
          <w:szCs w:val="24"/>
        </w:rPr>
        <w:t>Programu VH</w:t>
      </w:r>
      <w:r w:rsidR="008439D5" w:rsidRPr="00EA164E">
        <w:rPr>
          <w:rFonts w:cstheme="minorHAnsi"/>
          <w:bCs/>
          <w:color w:val="000000" w:themeColor="text1"/>
          <w:sz w:val="24"/>
          <w:szCs w:val="24"/>
        </w:rPr>
        <w:t xml:space="preserve"> </w:t>
      </w:r>
      <w:r w:rsidR="008439D5">
        <w:rPr>
          <w:rFonts w:cstheme="minorHAnsi"/>
          <w:bCs/>
          <w:color w:val="000000" w:themeColor="text1"/>
          <w:sz w:val="24"/>
          <w:szCs w:val="24"/>
        </w:rPr>
        <w:t xml:space="preserve">dílčí cíle stanovené v Prioritách </w:t>
      </w:r>
      <w:proofErr w:type="spellStart"/>
      <w:r w:rsidR="008439D5">
        <w:rPr>
          <w:rFonts w:cstheme="minorHAnsi"/>
          <w:bCs/>
          <w:color w:val="000000" w:themeColor="text1"/>
          <w:sz w:val="24"/>
          <w:szCs w:val="24"/>
        </w:rPr>
        <w:t>VaVaI</w:t>
      </w:r>
      <w:proofErr w:type="spellEnd"/>
      <w:r w:rsidR="008439D5">
        <w:rPr>
          <w:rFonts w:cstheme="minorHAnsi"/>
          <w:bCs/>
          <w:color w:val="000000" w:themeColor="text1"/>
          <w:sz w:val="24"/>
          <w:szCs w:val="24"/>
        </w:rPr>
        <w:t xml:space="preserve">, ale nestanovilo indikátory pro dosahování těchto dílčích cílů ani požadovaný cílový stav. Jediným indikátorem monitorování průběhu tak byl </w:t>
      </w:r>
      <w:r w:rsidR="00414522" w:rsidRPr="007566FA">
        <w:rPr>
          <w:rFonts w:cstheme="minorHAnsi"/>
          <w:bCs/>
          <w:color w:val="000000" w:themeColor="text1"/>
          <w:sz w:val="24"/>
          <w:szCs w:val="24"/>
        </w:rPr>
        <w:t>i</w:t>
      </w:r>
      <w:r w:rsidR="008439D5" w:rsidRPr="007566FA">
        <w:rPr>
          <w:rFonts w:cstheme="minorHAnsi"/>
          <w:bCs/>
          <w:color w:val="000000" w:themeColor="text1"/>
          <w:sz w:val="24"/>
          <w:szCs w:val="24"/>
        </w:rPr>
        <w:t>ndikátor realizace Programu</w:t>
      </w:r>
      <w:r w:rsidR="008439D5">
        <w:rPr>
          <w:rFonts w:cstheme="minorHAnsi"/>
          <w:bCs/>
          <w:color w:val="000000" w:themeColor="text1"/>
          <w:sz w:val="24"/>
          <w:szCs w:val="24"/>
        </w:rPr>
        <w:t xml:space="preserve">, u něhož MV stanovilo hodnotu minimálně 60 podpořených projektů, z nichž by mělo být úspěšně ukončeno minimálně 48. Vzhledem k zaměření Programu VH </w:t>
      </w:r>
      <w:r w:rsidR="008439D5">
        <w:rPr>
          <w:rFonts w:ascii="Calibri" w:hAnsi="Calibri" w:cs="Calibri"/>
          <w:sz w:val="24"/>
          <w:szCs w:val="24"/>
        </w:rPr>
        <w:t xml:space="preserve">na </w:t>
      </w:r>
      <w:r w:rsidR="008439D5" w:rsidRPr="00747BDF">
        <w:rPr>
          <w:rFonts w:ascii="Calibri" w:hAnsi="Calibri" w:cs="Calibri"/>
          <w:sz w:val="24"/>
          <w:szCs w:val="24"/>
        </w:rPr>
        <w:t>výzkumn</w:t>
      </w:r>
      <w:r w:rsidR="008439D5">
        <w:rPr>
          <w:rFonts w:ascii="Calibri" w:hAnsi="Calibri" w:cs="Calibri"/>
          <w:sz w:val="24"/>
          <w:szCs w:val="24"/>
        </w:rPr>
        <w:t>é</w:t>
      </w:r>
      <w:r w:rsidR="008439D5" w:rsidRPr="00747BDF">
        <w:rPr>
          <w:rFonts w:ascii="Calibri" w:hAnsi="Calibri" w:cs="Calibri"/>
          <w:sz w:val="24"/>
          <w:szCs w:val="24"/>
        </w:rPr>
        <w:t xml:space="preserve"> potřeb</w:t>
      </w:r>
      <w:r w:rsidR="008439D5">
        <w:rPr>
          <w:rFonts w:ascii="Calibri" w:hAnsi="Calibri" w:cs="Calibri"/>
          <w:sz w:val="24"/>
          <w:szCs w:val="24"/>
        </w:rPr>
        <w:t>y</w:t>
      </w:r>
      <w:r w:rsidR="008439D5" w:rsidRPr="00747BDF">
        <w:rPr>
          <w:rFonts w:ascii="Calibri" w:hAnsi="Calibri" w:cs="Calibri"/>
          <w:sz w:val="24"/>
          <w:szCs w:val="24"/>
        </w:rPr>
        <w:t xml:space="preserve"> orgánů státní správy</w:t>
      </w:r>
      <w:r w:rsidR="008439D5">
        <w:rPr>
          <w:rFonts w:cstheme="minorHAnsi"/>
          <w:bCs/>
          <w:color w:val="000000" w:themeColor="text1"/>
          <w:sz w:val="24"/>
          <w:szCs w:val="24"/>
        </w:rPr>
        <w:t xml:space="preserve"> se NKÚ ztotožňuje s tvrzením MV, že nelze tyto potřeby predikovat a stanovení konkrétních typů a počtu výsledků projektů by bylo pouze formální.</w:t>
      </w:r>
    </w:p>
    <w:p w14:paraId="55267B1F" w14:textId="77777777" w:rsidR="009232BD" w:rsidRDefault="009232BD" w:rsidP="00944EEE">
      <w:pPr>
        <w:spacing w:after="0" w:line="240" w:lineRule="auto"/>
        <w:jc w:val="both"/>
        <w:rPr>
          <w:rFonts w:cstheme="minorHAnsi"/>
          <w:bCs/>
          <w:color w:val="000000" w:themeColor="text1"/>
          <w:sz w:val="24"/>
          <w:szCs w:val="24"/>
        </w:rPr>
      </w:pPr>
    </w:p>
    <w:p w14:paraId="6A4C7188" w14:textId="77777777" w:rsidR="00406726" w:rsidRDefault="00406726">
      <w:pPr>
        <w:rPr>
          <w:rFonts w:cstheme="minorHAnsi"/>
          <w:b/>
          <w:i/>
          <w:color w:val="C00000"/>
          <w:sz w:val="24"/>
          <w:szCs w:val="24"/>
        </w:rPr>
      </w:pPr>
      <w:r>
        <w:rPr>
          <w:rFonts w:cstheme="minorHAnsi"/>
          <w:b/>
          <w:i/>
          <w:color w:val="C00000"/>
          <w:sz w:val="24"/>
          <w:szCs w:val="24"/>
        </w:rPr>
        <w:br w:type="page"/>
      </w:r>
    </w:p>
    <w:p w14:paraId="404E2F73" w14:textId="0DDCCA60" w:rsidR="003F1FA2" w:rsidRDefault="003F1FA2" w:rsidP="00944EEE">
      <w:pPr>
        <w:spacing w:after="0" w:line="240" w:lineRule="auto"/>
        <w:jc w:val="both"/>
        <w:rPr>
          <w:rFonts w:cstheme="minorHAnsi"/>
          <w:b/>
          <w:i/>
          <w:color w:val="C00000"/>
          <w:sz w:val="24"/>
          <w:szCs w:val="24"/>
        </w:rPr>
      </w:pPr>
      <w:r>
        <w:rPr>
          <w:rFonts w:cstheme="minorHAnsi"/>
          <w:b/>
          <w:i/>
          <w:color w:val="C00000"/>
          <w:sz w:val="24"/>
          <w:szCs w:val="24"/>
        </w:rPr>
        <w:lastRenderedPageBreak/>
        <w:t>→ MV nastavilo systém výběru projektů účelně</w:t>
      </w:r>
      <w:r w:rsidR="009B5D95">
        <w:rPr>
          <w:rFonts w:cstheme="minorHAnsi"/>
          <w:b/>
          <w:i/>
          <w:color w:val="C00000"/>
          <w:sz w:val="24"/>
          <w:szCs w:val="24"/>
        </w:rPr>
        <w:t xml:space="preserve"> s dílčími nedostatky </w:t>
      </w:r>
      <w:r w:rsidR="009232BD">
        <w:rPr>
          <w:rFonts w:cstheme="minorHAnsi"/>
          <w:b/>
          <w:i/>
          <w:color w:val="C00000"/>
          <w:sz w:val="24"/>
          <w:szCs w:val="24"/>
        </w:rPr>
        <w:t>–</w:t>
      </w:r>
      <w:r w:rsidR="009B5D95">
        <w:rPr>
          <w:rFonts w:cstheme="minorHAnsi"/>
          <w:b/>
          <w:i/>
          <w:color w:val="C00000"/>
          <w:sz w:val="24"/>
          <w:szCs w:val="24"/>
        </w:rPr>
        <w:t xml:space="preserve"> </w:t>
      </w:r>
      <w:r w:rsidR="009232BD">
        <w:rPr>
          <w:rFonts w:cstheme="minorHAnsi"/>
          <w:b/>
          <w:i/>
          <w:color w:val="C00000"/>
          <w:sz w:val="24"/>
          <w:szCs w:val="24"/>
        </w:rPr>
        <w:t xml:space="preserve">např. </w:t>
      </w:r>
      <w:r w:rsidR="009B5D95">
        <w:rPr>
          <w:rFonts w:cstheme="minorHAnsi"/>
          <w:b/>
          <w:i/>
          <w:color w:val="C00000"/>
          <w:sz w:val="24"/>
          <w:szCs w:val="24"/>
        </w:rPr>
        <w:t>nebyl dostatečně nastaven postup pro oponenty</w:t>
      </w:r>
      <w:r>
        <w:rPr>
          <w:rFonts w:cstheme="minorHAnsi"/>
          <w:b/>
          <w:i/>
          <w:color w:val="C00000"/>
          <w:sz w:val="24"/>
          <w:szCs w:val="24"/>
        </w:rPr>
        <w:t xml:space="preserve"> </w:t>
      </w:r>
      <w:r w:rsidR="009B5D95">
        <w:rPr>
          <w:rFonts w:cstheme="minorHAnsi"/>
          <w:b/>
          <w:i/>
          <w:color w:val="C00000"/>
          <w:sz w:val="24"/>
          <w:szCs w:val="24"/>
        </w:rPr>
        <w:t xml:space="preserve">a </w:t>
      </w:r>
      <w:r>
        <w:rPr>
          <w:rFonts w:cstheme="minorHAnsi"/>
          <w:b/>
          <w:i/>
          <w:color w:val="C00000"/>
          <w:sz w:val="24"/>
          <w:szCs w:val="24"/>
        </w:rPr>
        <w:t>nebyla zanechána dostatečná auditní stopa.</w:t>
      </w:r>
    </w:p>
    <w:p w14:paraId="127F2ACB" w14:textId="77777777" w:rsidR="00944EEE" w:rsidRDefault="00944EEE" w:rsidP="00944EEE">
      <w:pPr>
        <w:spacing w:after="0" w:line="240" w:lineRule="auto"/>
        <w:jc w:val="both"/>
        <w:rPr>
          <w:rFonts w:cstheme="minorHAnsi"/>
          <w:sz w:val="24"/>
          <w:szCs w:val="24"/>
        </w:rPr>
      </w:pPr>
    </w:p>
    <w:p w14:paraId="33996352" w14:textId="667DF479" w:rsidR="003F1FA2" w:rsidRDefault="007D78BF" w:rsidP="00944EEE">
      <w:pPr>
        <w:spacing w:after="0" w:line="240" w:lineRule="auto"/>
        <w:jc w:val="both"/>
        <w:rPr>
          <w:rFonts w:cstheme="minorHAnsi"/>
          <w:sz w:val="24"/>
          <w:szCs w:val="24"/>
        </w:rPr>
      </w:pPr>
      <w:r>
        <w:rPr>
          <w:rFonts w:cstheme="minorHAnsi"/>
          <w:sz w:val="24"/>
          <w:szCs w:val="24"/>
        </w:rPr>
        <w:t>4.16</w:t>
      </w:r>
      <w:r w:rsidR="00944EEE">
        <w:rPr>
          <w:rFonts w:cstheme="minorHAnsi"/>
          <w:sz w:val="24"/>
          <w:szCs w:val="24"/>
        </w:rPr>
        <w:t xml:space="preserve"> </w:t>
      </w:r>
      <w:r w:rsidR="003F1FA2">
        <w:rPr>
          <w:rFonts w:cstheme="minorHAnsi"/>
          <w:sz w:val="24"/>
          <w:szCs w:val="24"/>
        </w:rPr>
        <w:t>Projekty financované MV jsou vybírány na základě formálního a odborného posouzení. V případě veřejných soutěží (Program VI) je předkladatel návrhu projektu i jeho řešitelem</w:t>
      </w:r>
      <w:r w:rsidR="002A4A2F">
        <w:rPr>
          <w:rFonts w:cstheme="minorHAnsi"/>
          <w:sz w:val="24"/>
          <w:szCs w:val="24"/>
        </w:rPr>
        <w:t xml:space="preserve">. Výběr projektů </w:t>
      </w:r>
      <w:r w:rsidR="003F1FA2">
        <w:rPr>
          <w:rFonts w:cstheme="minorHAnsi"/>
          <w:sz w:val="24"/>
          <w:szCs w:val="24"/>
        </w:rPr>
        <w:t xml:space="preserve">probíhá dle schématu </w:t>
      </w:r>
      <w:r w:rsidR="002A4A2F">
        <w:rPr>
          <w:rFonts w:cstheme="minorHAnsi"/>
          <w:sz w:val="24"/>
          <w:szCs w:val="24"/>
        </w:rPr>
        <w:t xml:space="preserve">uvedeného </w:t>
      </w:r>
      <w:r w:rsidR="00084D8A">
        <w:rPr>
          <w:rFonts w:cstheme="minorHAnsi"/>
          <w:sz w:val="24"/>
          <w:szCs w:val="24"/>
        </w:rPr>
        <w:t>ve schématu</w:t>
      </w:r>
      <w:r w:rsidRPr="00925056">
        <w:rPr>
          <w:rFonts w:cstheme="minorHAnsi"/>
          <w:sz w:val="24"/>
          <w:szCs w:val="24"/>
        </w:rPr>
        <w:t xml:space="preserve"> č. 1</w:t>
      </w:r>
      <w:r w:rsidR="003F1FA2" w:rsidRPr="00925056">
        <w:rPr>
          <w:rFonts w:cstheme="minorHAnsi"/>
          <w:sz w:val="24"/>
          <w:szCs w:val="24"/>
        </w:rPr>
        <w:t>:</w:t>
      </w:r>
    </w:p>
    <w:p w14:paraId="1E8415C3" w14:textId="77777777" w:rsidR="00944EEE" w:rsidRDefault="00944EEE" w:rsidP="00944EEE">
      <w:pPr>
        <w:spacing w:after="0" w:line="240" w:lineRule="auto"/>
        <w:jc w:val="both"/>
        <w:rPr>
          <w:rFonts w:cstheme="minorHAnsi"/>
          <w:sz w:val="24"/>
          <w:szCs w:val="24"/>
        </w:rPr>
      </w:pPr>
    </w:p>
    <w:p w14:paraId="4C438C91" w14:textId="5B91BC3C" w:rsidR="006E2539" w:rsidRPr="007566FA" w:rsidRDefault="00196F11" w:rsidP="00BD78C6">
      <w:pPr>
        <w:keepNext/>
        <w:keepLines/>
        <w:spacing w:after="0" w:line="240" w:lineRule="auto"/>
        <w:jc w:val="both"/>
        <w:rPr>
          <w:rFonts w:cstheme="minorHAnsi"/>
          <w:b/>
          <w:color w:val="000000" w:themeColor="text1"/>
          <w:sz w:val="24"/>
          <w:szCs w:val="24"/>
        </w:rPr>
      </w:pPr>
      <w:r>
        <w:rPr>
          <w:rFonts w:cstheme="minorHAnsi"/>
          <w:b/>
          <w:color w:val="000000" w:themeColor="text1"/>
          <w:sz w:val="24"/>
          <w:szCs w:val="24"/>
        </w:rPr>
        <w:t>Schéma</w:t>
      </w:r>
      <w:r w:rsidR="006E2539" w:rsidRPr="007566FA">
        <w:rPr>
          <w:rFonts w:cstheme="minorHAnsi"/>
          <w:b/>
          <w:color w:val="000000" w:themeColor="text1"/>
          <w:sz w:val="24"/>
          <w:szCs w:val="24"/>
        </w:rPr>
        <w:t xml:space="preserve"> č. 1: Výběr projektů v Programu VI</w:t>
      </w:r>
    </w:p>
    <w:p w14:paraId="56746F64" w14:textId="77777777" w:rsidR="0036580F" w:rsidRPr="004F67A3" w:rsidRDefault="0036580F" w:rsidP="00BD78C6">
      <w:pPr>
        <w:keepNext/>
        <w:keepLines/>
        <w:spacing w:after="0" w:line="240" w:lineRule="auto"/>
        <w:jc w:val="both"/>
        <w:rPr>
          <w:rFonts w:cstheme="minorHAnsi"/>
          <w:color w:val="1F4E79" w:themeColor="accent1" w:themeShade="80"/>
          <w:sz w:val="24"/>
          <w:szCs w:val="24"/>
        </w:rPr>
      </w:pPr>
    </w:p>
    <w:p w14:paraId="4BE22B90" w14:textId="77777777" w:rsidR="006E2539" w:rsidRDefault="006E2539" w:rsidP="00BD78C6">
      <w:pPr>
        <w:keepNext/>
        <w:keepLines/>
        <w:spacing w:after="0" w:line="240" w:lineRule="auto"/>
        <w:jc w:val="both"/>
        <w:rPr>
          <w:rFonts w:cstheme="minorHAnsi"/>
          <w:sz w:val="24"/>
          <w:szCs w:val="24"/>
        </w:rPr>
      </w:pPr>
      <w:r>
        <w:rPr>
          <w:rFonts w:cstheme="minorHAnsi"/>
          <w:noProof/>
          <w:sz w:val="24"/>
          <w:szCs w:val="24"/>
          <w:lang w:eastAsia="cs-CZ"/>
        </w:rPr>
        <w:drawing>
          <wp:inline distT="0" distB="0" distL="0" distR="0" wp14:anchorId="6E2DDC43" wp14:editId="7067F3EB">
            <wp:extent cx="5725795" cy="1175827"/>
            <wp:effectExtent l="0" t="0" r="46355" b="57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EAE2428" w14:textId="25124A10" w:rsidR="006E2539" w:rsidRDefault="006E2539" w:rsidP="00BD78C6">
      <w:pPr>
        <w:keepNext/>
        <w:keepLines/>
        <w:spacing w:after="0" w:line="240" w:lineRule="auto"/>
        <w:jc w:val="both"/>
        <w:rPr>
          <w:rFonts w:cstheme="minorHAnsi"/>
          <w:sz w:val="20"/>
          <w:szCs w:val="20"/>
        </w:rPr>
      </w:pPr>
      <w:r w:rsidRPr="00B2695E">
        <w:rPr>
          <w:rFonts w:cstheme="minorHAnsi"/>
          <w:b/>
          <w:sz w:val="20"/>
          <w:szCs w:val="20"/>
        </w:rPr>
        <w:t>Zdroj:</w:t>
      </w:r>
      <w:r>
        <w:rPr>
          <w:rFonts w:cstheme="minorHAnsi"/>
          <w:sz w:val="20"/>
          <w:szCs w:val="20"/>
        </w:rPr>
        <w:t xml:space="preserve"> </w:t>
      </w:r>
      <w:r w:rsidR="00196F11">
        <w:rPr>
          <w:rFonts w:cstheme="minorHAnsi"/>
          <w:sz w:val="20"/>
          <w:szCs w:val="20"/>
        </w:rPr>
        <w:t>vypracoval</w:t>
      </w:r>
      <w:r>
        <w:rPr>
          <w:rFonts w:cstheme="minorHAnsi"/>
          <w:sz w:val="20"/>
          <w:szCs w:val="20"/>
        </w:rPr>
        <w:t xml:space="preserve"> NKÚ.</w:t>
      </w:r>
    </w:p>
    <w:p w14:paraId="39ADDB23" w14:textId="77777777" w:rsidR="00944EEE" w:rsidRPr="00867917" w:rsidRDefault="00944EEE" w:rsidP="00F06D40">
      <w:pPr>
        <w:spacing w:after="0" w:line="240" w:lineRule="auto"/>
        <w:jc w:val="both"/>
        <w:rPr>
          <w:rFonts w:cstheme="minorHAnsi"/>
          <w:color w:val="000000" w:themeColor="text1"/>
          <w:sz w:val="24"/>
          <w:szCs w:val="24"/>
        </w:rPr>
      </w:pPr>
    </w:p>
    <w:p w14:paraId="5DBCA7ED" w14:textId="33D2692B" w:rsidR="003F1FA2" w:rsidRPr="00867917" w:rsidRDefault="007D78BF" w:rsidP="00F06D40">
      <w:pPr>
        <w:spacing w:after="0" w:line="240" w:lineRule="auto"/>
        <w:jc w:val="both"/>
        <w:rPr>
          <w:rFonts w:cstheme="minorHAnsi"/>
          <w:color w:val="000000" w:themeColor="text1"/>
          <w:sz w:val="24"/>
          <w:szCs w:val="24"/>
        </w:rPr>
      </w:pPr>
      <w:r w:rsidRPr="00867917">
        <w:rPr>
          <w:rFonts w:cstheme="minorHAnsi"/>
          <w:color w:val="000000" w:themeColor="text1"/>
          <w:sz w:val="24"/>
          <w:szCs w:val="24"/>
        </w:rPr>
        <w:t>4.17</w:t>
      </w:r>
      <w:r w:rsidR="00944EEE" w:rsidRPr="00867917">
        <w:rPr>
          <w:rFonts w:cstheme="minorHAnsi"/>
          <w:color w:val="000000" w:themeColor="text1"/>
          <w:sz w:val="24"/>
          <w:szCs w:val="24"/>
        </w:rPr>
        <w:t xml:space="preserve"> </w:t>
      </w:r>
      <w:r w:rsidR="00A0221E" w:rsidRPr="00867917">
        <w:rPr>
          <w:rFonts w:cstheme="minorHAnsi"/>
          <w:color w:val="000000" w:themeColor="text1"/>
          <w:sz w:val="24"/>
          <w:szCs w:val="24"/>
        </w:rPr>
        <w:t xml:space="preserve">Pravidla výběru projektů Programu VI jsou popsána v zadávacích dokumentacích k veřejným soutěžím. </w:t>
      </w:r>
      <w:r w:rsidR="00A532F5" w:rsidRPr="00867917">
        <w:rPr>
          <w:rFonts w:cstheme="minorHAnsi"/>
          <w:color w:val="000000" w:themeColor="text1"/>
          <w:sz w:val="24"/>
          <w:szCs w:val="24"/>
        </w:rPr>
        <w:t xml:space="preserve">NKÚ ověřil, že </w:t>
      </w:r>
      <w:r w:rsidR="00A0221E" w:rsidRPr="00867917">
        <w:rPr>
          <w:rFonts w:cstheme="minorHAnsi"/>
          <w:color w:val="000000" w:themeColor="text1"/>
          <w:sz w:val="24"/>
          <w:szCs w:val="24"/>
        </w:rPr>
        <w:t xml:space="preserve">systém </w:t>
      </w:r>
      <w:r w:rsidR="003F1FA2" w:rsidRPr="00867917">
        <w:rPr>
          <w:rFonts w:cstheme="minorHAnsi"/>
          <w:color w:val="000000" w:themeColor="text1"/>
          <w:sz w:val="24"/>
          <w:szCs w:val="24"/>
        </w:rPr>
        <w:t>je nastaven účelně, zahrnuje kritéria hodnotící směřování projektu k cílům programu i</w:t>
      </w:r>
      <w:r w:rsidR="00BF2195" w:rsidRPr="00867917">
        <w:rPr>
          <w:rFonts w:cstheme="minorHAnsi"/>
          <w:color w:val="000000" w:themeColor="text1"/>
          <w:sz w:val="24"/>
          <w:szCs w:val="24"/>
        </w:rPr>
        <w:t> </w:t>
      </w:r>
      <w:r w:rsidR="003F1FA2" w:rsidRPr="00867917">
        <w:rPr>
          <w:rFonts w:cstheme="minorHAnsi"/>
          <w:color w:val="000000" w:themeColor="text1"/>
          <w:sz w:val="24"/>
          <w:szCs w:val="24"/>
        </w:rPr>
        <w:t xml:space="preserve">využitelnost výsledků v praxi. </w:t>
      </w:r>
      <w:r w:rsidR="00C90CC2" w:rsidRPr="00867917">
        <w:rPr>
          <w:rFonts w:cstheme="minorHAnsi"/>
          <w:color w:val="000000" w:themeColor="text1"/>
          <w:sz w:val="24"/>
          <w:szCs w:val="24"/>
        </w:rPr>
        <w:t>Dílčí nedostatky vš</w:t>
      </w:r>
      <w:r w:rsidR="00726D13" w:rsidRPr="00867917">
        <w:rPr>
          <w:rFonts w:cstheme="minorHAnsi"/>
          <w:color w:val="000000" w:themeColor="text1"/>
          <w:sz w:val="24"/>
          <w:szCs w:val="24"/>
        </w:rPr>
        <w:t>ak</w:t>
      </w:r>
      <w:r w:rsidR="00C90CC2" w:rsidRPr="00867917">
        <w:rPr>
          <w:rFonts w:cstheme="minorHAnsi"/>
          <w:color w:val="000000" w:themeColor="text1"/>
          <w:sz w:val="24"/>
          <w:szCs w:val="24"/>
        </w:rPr>
        <w:t xml:space="preserve"> odhalil v</w:t>
      </w:r>
      <w:r w:rsidR="003F1FA2" w:rsidRPr="00867917">
        <w:rPr>
          <w:rFonts w:cstheme="minorHAnsi"/>
          <w:color w:val="000000" w:themeColor="text1"/>
          <w:sz w:val="24"/>
          <w:szCs w:val="24"/>
        </w:rPr>
        <w:t> případě první veřejné soutěže</w:t>
      </w:r>
      <w:r w:rsidR="009F2F4C" w:rsidRPr="00867917">
        <w:rPr>
          <w:rStyle w:val="Znakapoznpodarou"/>
          <w:rFonts w:cstheme="minorHAnsi"/>
          <w:color w:val="000000" w:themeColor="text1"/>
          <w:sz w:val="24"/>
          <w:szCs w:val="24"/>
        </w:rPr>
        <w:footnoteReference w:id="25"/>
      </w:r>
      <w:r w:rsidR="00C90CC2" w:rsidRPr="00867917">
        <w:rPr>
          <w:rFonts w:cstheme="minorHAnsi"/>
          <w:color w:val="000000" w:themeColor="text1"/>
          <w:sz w:val="24"/>
          <w:szCs w:val="24"/>
        </w:rPr>
        <w:t>, kdy</w:t>
      </w:r>
      <w:r w:rsidR="00F802D2" w:rsidRPr="00867917">
        <w:rPr>
          <w:rFonts w:cstheme="minorHAnsi"/>
          <w:color w:val="000000" w:themeColor="text1"/>
          <w:sz w:val="24"/>
          <w:szCs w:val="24"/>
        </w:rPr>
        <w:t xml:space="preserve"> </w:t>
      </w:r>
      <w:r w:rsidR="003F1FA2" w:rsidRPr="00867917">
        <w:rPr>
          <w:rFonts w:cstheme="minorHAnsi"/>
          <w:color w:val="000000" w:themeColor="text1"/>
          <w:sz w:val="24"/>
          <w:szCs w:val="24"/>
        </w:rPr>
        <w:t>nebylo přihlíženo k rozporům mezi oponentskými posudky</w:t>
      </w:r>
      <w:r w:rsidR="00A0221E" w:rsidRPr="00867917">
        <w:rPr>
          <w:rFonts w:cstheme="minorHAnsi"/>
          <w:color w:val="000000" w:themeColor="text1"/>
          <w:sz w:val="24"/>
          <w:szCs w:val="24"/>
        </w:rPr>
        <w:t xml:space="preserve"> a </w:t>
      </w:r>
      <w:r w:rsidR="009232BD" w:rsidRPr="00867917">
        <w:rPr>
          <w:rFonts w:cstheme="minorHAnsi"/>
          <w:color w:val="000000" w:themeColor="text1"/>
          <w:sz w:val="24"/>
          <w:szCs w:val="24"/>
        </w:rPr>
        <w:t xml:space="preserve">kdy </w:t>
      </w:r>
      <w:r w:rsidR="00A0221E" w:rsidRPr="00867917">
        <w:rPr>
          <w:rFonts w:cstheme="minorHAnsi"/>
          <w:color w:val="000000" w:themeColor="text1"/>
          <w:sz w:val="24"/>
          <w:szCs w:val="24"/>
        </w:rPr>
        <w:t>chyběla</w:t>
      </w:r>
      <w:r w:rsidR="003F1FA2" w:rsidRPr="00867917">
        <w:rPr>
          <w:rFonts w:cstheme="minorHAnsi"/>
          <w:color w:val="000000" w:themeColor="text1"/>
          <w:sz w:val="24"/>
          <w:szCs w:val="24"/>
        </w:rPr>
        <w:t xml:space="preserve"> role zpravodaje v procesu hodnocení. Tyto nedostatky však MV v následujících veřejných soutěžích napravilo.</w:t>
      </w:r>
    </w:p>
    <w:p w14:paraId="2983239D" w14:textId="77777777" w:rsidR="00F06D40" w:rsidRDefault="00F06D40" w:rsidP="00F06D40">
      <w:pPr>
        <w:spacing w:after="0" w:line="240" w:lineRule="auto"/>
        <w:jc w:val="both"/>
        <w:rPr>
          <w:rFonts w:cstheme="minorHAnsi"/>
          <w:color w:val="000000" w:themeColor="text1"/>
          <w:sz w:val="24"/>
          <w:szCs w:val="24"/>
        </w:rPr>
      </w:pPr>
    </w:p>
    <w:p w14:paraId="26FA02D2" w14:textId="195F06FF" w:rsidR="003F1FA2" w:rsidRDefault="007D78BF" w:rsidP="00F06D40">
      <w:pPr>
        <w:spacing w:after="0" w:line="240" w:lineRule="auto"/>
        <w:jc w:val="both"/>
        <w:rPr>
          <w:rFonts w:cstheme="minorHAnsi"/>
          <w:color w:val="000000" w:themeColor="text1"/>
          <w:sz w:val="24"/>
          <w:szCs w:val="24"/>
        </w:rPr>
      </w:pPr>
      <w:r w:rsidRPr="00867917">
        <w:rPr>
          <w:rFonts w:cstheme="minorHAnsi"/>
          <w:color w:val="000000" w:themeColor="text1"/>
          <w:sz w:val="24"/>
          <w:szCs w:val="24"/>
        </w:rPr>
        <w:t>4.18</w:t>
      </w:r>
      <w:r w:rsidR="003F1FA2" w:rsidRPr="00867917">
        <w:rPr>
          <w:rFonts w:cstheme="minorHAnsi"/>
          <w:color w:val="000000" w:themeColor="text1"/>
          <w:sz w:val="24"/>
          <w:szCs w:val="24"/>
        </w:rPr>
        <w:t xml:space="preserve"> </w:t>
      </w:r>
      <w:r w:rsidR="00D5693F" w:rsidRPr="00867917">
        <w:rPr>
          <w:rFonts w:cstheme="minorHAnsi"/>
          <w:color w:val="000000" w:themeColor="text1"/>
          <w:sz w:val="24"/>
          <w:szCs w:val="24"/>
        </w:rPr>
        <w:t xml:space="preserve">MV </w:t>
      </w:r>
      <w:r w:rsidR="009232BD" w:rsidRPr="00867917">
        <w:rPr>
          <w:rFonts w:cstheme="minorHAnsi"/>
          <w:color w:val="000000" w:themeColor="text1"/>
          <w:sz w:val="24"/>
          <w:szCs w:val="24"/>
        </w:rPr>
        <w:t xml:space="preserve">také </w:t>
      </w:r>
      <w:r w:rsidR="00D5693F" w:rsidRPr="00867917">
        <w:rPr>
          <w:rFonts w:cstheme="minorHAnsi"/>
          <w:color w:val="000000" w:themeColor="text1"/>
          <w:sz w:val="24"/>
          <w:szCs w:val="24"/>
        </w:rPr>
        <w:t>nenastavilo</w:t>
      </w:r>
      <w:r w:rsidR="003F1FA2" w:rsidRPr="00867917">
        <w:rPr>
          <w:rFonts w:cstheme="minorHAnsi"/>
          <w:color w:val="000000" w:themeColor="text1"/>
          <w:sz w:val="24"/>
          <w:szCs w:val="24"/>
        </w:rPr>
        <w:t xml:space="preserve"> dostatečně postup pro oponenty, který by zahrnoval povinnost zanechat k přiděleným bodům </w:t>
      </w:r>
      <w:r w:rsidR="009232BD" w:rsidRPr="00867917">
        <w:rPr>
          <w:rFonts w:cstheme="minorHAnsi"/>
          <w:color w:val="000000" w:themeColor="text1"/>
          <w:sz w:val="24"/>
          <w:szCs w:val="24"/>
        </w:rPr>
        <w:t xml:space="preserve">tzv. </w:t>
      </w:r>
      <w:r w:rsidR="003F1FA2" w:rsidRPr="00867917">
        <w:rPr>
          <w:rFonts w:cstheme="minorHAnsi"/>
          <w:color w:val="000000" w:themeColor="text1"/>
          <w:sz w:val="24"/>
          <w:szCs w:val="24"/>
        </w:rPr>
        <w:t>auditní stopu.</w:t>
      </w:r>
      <w:r w:rsidR="00656C03" w:rsidRPr="00867917">
        <w:rPr>
          <w:rFonts w:cstheme="minorHAnsi"/>
          <w:color w:val="000000" w:themeColor="text1"/>
          <w:sz w:val="24"/>
          <w:szCs w:val="24"/>
        </w:rPr>
        <w:t xml:space="preserve"> </w:t>
      </w:r>
      <w:r w:rsidR="00E67F0F" w:rsidRPr="00867917">
        <w:rPr>
          <w:rFonts w:cstheme="minorHAnsi"/>
          <w:color w:val="000000" w:themeColor="text1"/>
          <w:sz w:val="24"/>
          <w:szCs w:val="24"/>
        </w:rPr>
        <w:t>O</w:t>
      </w:r>
      <w:r w:rsidR="003F1FA2" w:rsidRPr="00867917">
        <w:rPr>
          <w:rFonts w:cstheme="minorHAnsi"/>
          <w:color w:val="000000" w:themeColor="text1"/>
          <w:sz w:val="24"/>
          <w:szCs w:val="24"/>
        </w:rPr>
        <w:t xml:space="preserve">ponentní posudky </w:t>
      </w:r>
      <w:r w:rsidR="00656C03" w:rsidRPr="00867917">
        <w:rPr>
          <w:rFonts w:cstheme="minorHAnsi"/>
          <w:color w:val="000000" w:themeColor="text1"/>
          <w:sz w:val="24"/>
          <w:szCs w:val="24"/>
        </w:rPr>
        <w:t>MV akceptovalo</w:t>
      </w:r>
      <w:r w:rsidR="003F1FA2" w:rsidRPr="00867917">
        <w:rPr>
          <w:rFonts w:cstheme="minorHAnsi"/>
          <w:color w:val="000000" w:themeColor="text1"/>
          <w:sz w:val="24"/>
          <w:szCs w:val="24"/>
        </w:rPr>
        <w:t>, přestože v některých z nich nebyla bodová ohodnocení podložena ověřitelnými fakty</w:t>
      </w:r>
      <w:r w:rsidR="009232BD" w:rsidRPr="00867917">
        <w:rPr>
          <w:rFonts w:cstheme="minorHAnsi"/>
          <w:color w:val="000000" w:themeColor="text1"/>
          <w:sz w:val="24"/>
          <w:szCs w:val="24"/>
        </w:rPr>
        <w:t xml:space="preserve">, tedy </w:t>
      </w:r>
      <w:r w:rsidR="00414522">
        <w:rPr>
          <w:rFonts w:cstheme="minorHAnsi"/>
          <w:color w:val="000000" w:themeColor="text1"/>
          <w:sz w:val="24"/>
          <w:szCs w:val="24"/>
        </w:rPr>
        <w:t xml:space="preserve">informací o tom, </w:t>
      </w:r>
      <w:r w:rsidR="009232BD" w:rsidRPr="00867917">
        <w:rPr>
          <w:rFonts w:cstheme="minorHAnsi"/>
          <w:color w:val="000000" w:themeColor="text1"/>
          <w:sz w:val="24"/>
          <w:szCs w:val="24"/>
        </w:rPr>
        <w:t>jaké skutečnosti vedoucí k výsledku hodnocení oponent posoudil a ověřil.</w:t>
      </w:r>
      <w:r w:rsidR="003F1FA2" w:rsidRPr="00867917">
        <w:rPr>
          <w:rFonts w:cstheme="minorHAnsi"/>
          <w:color w:val="000000" w:themeColor="text1"/>
          <w:sz w:val="24"/>
          <w:szCs w:val="24"/>
        </w:rPr>
        <w:t xml:space="preserve"> </w:t>
      </w:r>
      <w:r w:rsidR="009232BD" w:rsidRPr="00867917">
        <w:rPr>
          <w:rFonts w:cstheme="minorHAnsi"/>
          <w:color w:val="000000" w:themeColor="text1"/>
          <w:sz w:val="24"/>
          <w:szCs w:val="24"/>
        </w:rPr>
        <w:t>Příklady takových nedostatečně doložených</w:t>
      </w:r>
      <w:r w:rsidR="003F1FA2" w:rsidRPr="00867917">
        <w:rPr>
          <w:rFonts w:cstheme="minorHAnsi"/>
          <w:color w:val="000000" w:themeColor="text1"/>
          <w:sz w:val="24"/>
          <w:szCs w:val="24"/>
        </w:rPr>
        <w:t xml:space="preserve"> hodnocení jsou uveden</w:t>
      </w:r>
      <w:r w:rsidR="00414522">
        <w:rPr>
          <w:rFonts w:cstheme="minorHAnsi"/>
          <w:color w:val="000000" w:themeColor="text1"/>
          <w:sz w:val="24"/>
          <w:szCs w:val="24"/>
        </w:rPr>
        <w:t>y</w:t>
      </w:r>
      <w:r w:rsidR="003F1FA2" w:rsidRPr="00867917">
        <w:rPr>
          <w:rFonts w:cstheme="minorHAnsi"/>
          <w:color w:val="000000" w:themeColor="text1"/>
          <w:sz w:val="24"/>
          <w:szCs w:val="24"/>
        </w:rPr>
        <w:t xml:space="preserve"> v </w:t>
      </w:r>
      <w:r w:rsidRPr="00867917">
        <w:rPr>
          <w:rFonts w:cstheme="minorHAnsi"/>
          <w:color w:val="000000" w:themeColor="text1"/>
          <w:sz w:val="24"/>
          <w:szCs w:val="24"/>
        </w:rPr>
        <w:t>příkladu č. 1</w:t>
      </w:r>
      <w:r w:rsidR="009232BD" w:rsidRPr="00867917">
        <w:rPr>
          <w:rFonts w:cstheme="minorHAnsi"/>
          <w:color w:val="000000" w:themeColor="text1"/>
          <w:sz w:val="24"/>
          <w:szCs w:val="24"/>
        </w:rPr>
        <w:t>.</w:t>
      </w:r>
    </w:p>
    <w:p w14:paraId="604B0263" w14:textId="77777777" w:rsidR="00F06D40" w:rsidRPr="00867917" w:rsidRDefault="00F06D40" w:rsidP="00F06D40">
      <w:pPr>
        <w:spacing w:after="0" w:line="240" w:lineRule="auto"/>
        <w:jc w:val="both"/>
        <w:rPr>
          <w:rFonts w:cstheme="minorHAnsi"/>
          <w:color w:val="000000" w:themeColor="text1"/>
          <w:sz w:val="24"/>
          <w:szCs w:val="24"/>
        </w:rPr>
      </w:pPr>
    </w:p>
    <w:p w14:paraId="38A77079" w14:textId="77777777" w:rsidR="003F1FA2" w:rsidRPr="007566FA" w:rsidRDefault="007D78BF" w:rsidP="00F06D40">
      <w:pPr>
        <w:spacing w:after="80" w:line="240" w:lineRule="auto"/>
        <w:rPr>
          <w:rFonts w:cstheme="minorHAnsi"/>
          <w:color w:val="000000" w:themeColor="text1"/>
          <w:sz w:val="24"/>
          <w:szCs w:val="24"/>
        </w:rPr>
      </w:pPr>
      <w:r w:rsidRPr="007566FA">
        <w:rPr>
          <w:rFonts w:cstheme="minorHAnsi"/>
          <w:b/>
          <w:color w:val="000000" w:themeColor="text1"/>
          <w:sz w:val="24"/>
          <w:szCs w:val="24"/>
        </w:rPr>
        <w:t>Příklad č. 1</w:t>
      </w:r>
      <w:r w:rsidR="003F1FA2" w:rsidRPr="007566FA">
        <w:rPr>
          <w:rFonts w:cstheme="minorHAnsi"/>
          <w:b/>
          <w:color w:val="000000" w:themeColor="text1"/>
          <w:sz w:val="24"/>
          <w:szCs w:val="24"/>
        </w:rPr>
        <w:t>: Vybraná hodnocení kritérií účelnosti z oponentských posudků v Programu VI</w:t>
      </w:r>
    </w:p>
    <w:tbl>
      <w:tblPr>
        <w:tblStyle w:val="Mkatabulky"/>
        <w:tblW w:w="9083" w:type="dxa"/>
        <w:tblInd w:w="-5" w:type="dxa"/>
        <w:tblLook w:val="04A0" w:firstRow="1" w:lastRow="0" w:firstColumn="1" w:lastColumn="0" w:noHBand="0" w:noVBand="1"/>
      </w:tblPr>
      <w:tblGrid>
        <w:gridCol w:w="9083"/>
      </w:tblGrid>
      <w:tr w:rsidR="003F1FA2" w14:paraId="26C86B55" w14:textId="77777777" w:rsidTr="003F1FA2">
        <w:trPr>
          <w:trHeight w:val="274"/>
        </w:trPr>
        <w:tc>
          <w:tcPr>
            <w:tcW w:w="9083" w:type="dxa"/>
            <w:tcBorders>
              <w:top w:val="single" w:sz="4" w:space="0" w:color="auto"/>
              <w:left w:val="single" w:sz="4" w:space="0" w:color="auto"/>
              <w:bottom w:val="single" w:sz="4" w:space="0" w:color="auto"/>
              <w:right w:val="single" w:sz="4" w:space="0" w:color="auto"/>
            </w:tcBorders>
            <w:hideMark/>
          </w:tcPr>
          <w:p w14:paraId="0A92AA00" w14:textId="449A4286" w:rsidR="00656C03" w:rsidRPr="009E7E37" w:rsidRDefault="00656C03" w:rsidP="00656C03">
            <w:pPr>
              <w:jc w:val="both"/>
              <w:rPr>
                <w:rFonts w:cstheme="minorHAnsi"/>
                <w:sz w:val="24"/>
                <w:szCs w:val="24"/>
                <w:lang w:eastAsia="cs-CZ"/>
              </w:rPr>
            </w:pPr>
            <w:r>
              <w:rPr>
                <w:rFonts w:cstheme="minorHAnsi"/>
                <w:sz w:val="24"/>
                <w:szCs w:val="24"/>
                <w:lang w:eastAsia="cs-CZ"/>
              </w:rPr>
              <w:t xml:space="preserve">Většina oponentů </w:t>
            </w:r>
            <w:r>
              <w:rPr>
                <w:rFonts w:cstheme="minorHAnsi"/>
                <w:iCs/>
                <w:sz w:val="24"/>
                <w:szCs w:val="24"/>
                <w:lang w:eastAsia="cs-CZ"/>
              </w:rPr>
              <w:t>svá hodnocení</w:t>
            </w:r>
            <w:r>
              <w:rPr>
                <w:rFonts w:cstheme="minorHAnsi"/>
                <w:sz w:val="24"/>
                <w:szCs w:val="24"/>
                <w:lang w:eastAsia="cs-CZ"/>
              </w:rPr>
              <w:t xml:space="preserve"> kritéri</w:t>
            </w:r>
            <w:r w:rsidR="004710C3">
              <w:rPr>
                <w:rFonts w:cstheme="minorHAnsi"/>
                <w:sz w:val="24"/>
                <w:szCs w:val="24"/>
                <w:lang w:eastAsia="cs-CZ"/>
              </w:rPr>
              <w:t>í</w:t>
            </w:r>
            <w:r>
              <w:rPr>
                <w:rFonts w:cstheme="minorHAnsi"/>
                <w:sz w:val="24"/>
                <w:szCs w:val="24"/>
                <w:lang w:eastAsia="cs-CZ"/>
              </w:rPr>
              <w:t xml:space="preserve"> </w:t>
            </w:r>
            <w:r w:rsidRPr="00AB46EC">
              <w:rPr>
                <w:rFonts w:cstheme="minorHAnsi"/>
                <w:color w:val="000000"/>
                <w:sz w:val="24"/>
                <w:szCs w:val="24"/>
                <w:lang w:eastAsia="cs-CZ"/>
              </w:rPr>
              <w:t>očekávaného přínosu a kvality výsledků</w:t>
            </w:r>
            <w:r w:rsidRPr="00AB46EC">
              <w:rPr>
                <w:rFonts w:cstheme="minorHAnsi"/>
                <w:iCs/>
                <w:sz w:val="24"/>
                <w:szCs w:val="24"/>
                <w:lang w:eastAsia="cs-CZ"/>
              </w:rPr>
              <w:t xml:space="preserve"> projektu</w:t>
            </w:r>
            <w:r>
              <w:rPr>
                <w:rFonts w:cstheme="minorHAnsi"/>
                <w:iCs/>
                <w:sz w:val="24"/>
                <w:szCs w:val="24"/>
                <w:lang w:eastAsia="cs-CZ"/>
              </w:rPr>
              <w:t xml:space="preserve"> rozvedla a odůvodnila, </w:t>
            </w:r>
            <w:r>
              <w:rPr>
                <w:rFonts w:cstheme="minorHAnsi"/>
                <w:sz w:val="24"/>
                <w:szCs w:val="24"/>
                <w:lang w:eastAsia="cs-CZ"/>
              </w:rPr>
              <w:t>MV však akceptovalo i hodnocení typu:</w:t>
            </w:r>
            <w:r>
              <w:rPr>
                <w:rFonts w:cstheme="minorHAnsi"/>
                <w:i/>
                <w:iCs/>
                <w:sz w:val="24"/>
                <w:szCs w:val="24"/>
                <w:lang w:eastAsia="cs-CZ"/>
              </w:rPr>
              <w:t xml:space="preserve"> </w:t>
            </w:r>
          </w:p>
          <w:p w14:paraId="379085E3" w14:textId="331FFFF4" w:rsidR="003F1FA2" w:rsidRDefault="003F1FA2" w:rsidP="003F1FA2">
            <w:pPr>
              <w:pStyle w:val="Odstavecseseznamem"/>
              <w:numPr>
                <w:ilvl w:val="0"/>
                <w:numId w:val="14"/>
              </w:numPr>
              <w:jc w:val="both"/>
              <w:rPr>
                <w:rFonts w:cstheme="minorHAnsi"/>
                <w:i/>
                <w:sz w:val="24"/>
                <w:szCs w:val="24"/>
                <w:lang w:eastAsia="cs-CZ"/>
              </w:rPr>
            </w:pPr>
            <w:r>
              <w:rPr>
                <w:rFonts w:cstheme="minorHAnsi"/>
                <w:i/>
                <w:iCs/>
                <w:sz w:val="24"/>
                <w:szCs w:val="24"/>
                <w:lang w:eastAsia="cs-CZ"/>
              </w:rPr>
              <w:t>„</w:t>
            </w:r>
            <w:r>
              <w:rPr>
                <w:rFonts w:cstheme="minorHAnsi"/>
                <w:i/>
                <w:sz w:val="24"/>
                <w:szCs w:val="24"/>
                <w:lang w:eastAsia="cs-CZ"/>
              </w:rPr>
              <w:t>Je pravděpodobné, že výsledky projektu budou aplikovatelné</w:t>
            </w:r>
            <w:r w:rsidR="004710C3">
              <w:rPr>
                <w:rFonts w:cstheme="minorHAnsi"/>
                <w:i/>
                <w:sz w:val="24"/>
                <w:szCs w:val="24"/>
                <w:lang w:eastAsia="cs-CZ"/>
              </w:rPr>
              <w:t>.</w:t>
            </w:r>
            <w:r>
              <w:rPr>
                <w:rFonts w:cstheme="minorHAnsi"/>
                <w:i/>
                <w:sz w:val="24"/>
                <w:szCs w:val="24"/>
                <w:lang w:eastAsia="cs-CZ"/>
              </w:rPr>
              <w:t xml:space="preserve">“ </w:t>
            </w:r>
          </w:p>
          <w:p w14:paraId="3E6D1EAC" w14:textId="6B33ED55" w:rsidR="003F1FA2" w:rsidRDefault="003F1FA2" w:rsidP="006D7FBF">
            <w:pPr>
              <w:pStyle w:val="Odstavecseseznamem"/>
              <w:numPr>
                <w:ilvl w:val="0"/>
                <w:numId w:val="14"/>
              </w:numPr>
              <w:spacing w:after="120"/>
              <w:ind w:left="714" w:hanging="357"/>
              <w:contextualSpacing w:val="0"/>
              <w:jc w:val="both"/>
              <w:rPr>
                <w:rFonts w:cstheme="minorHAnsi"/>
                <w:i/>
                <w:sz w:val="24"/>
                <w:szCs w:val="24"/>
                <w:lang w:eastAsia="cs-CZ"/>
              </w:rPr>
            </w:pPr>
            <w:r>
              <w:rPr>
                <w:rFonts w:cstheme="minorHAnsi"/>
                <w:i/>
                <w:sz w:val="24"/>
                <w:szCs w:val="24"/>
                <w:lang w:eastAsia="cs-CZ"/>
              </w:rPr>
              <w:t>„Míra přínosu bude značná</w:t>
            </w:r>
            <w:r w:rsidR="004710C3">
              <w:rPr>
                <w:rFonts w:cstheme="minorHAnsi"/>
                <w:i/>
                <w:sz w:val="24"/>
                <w:szCs w:val="24"/>
                <w:lang w:eastAsia="cs-CZ"/>
              </w:rPr>
              <w:t>.</w:t>
            </w:r>
            <w:r>
              <w:rPr>
                <w:rFonts w:cstheme="minorHAnsi"/>
                <w:i/>
                <w:sz w:val="24"/>
                <w:szCs w:val="24"/>
                <w:lang w:eastAsia="cs-CZ"/>
              </w:rPr>
              <w:t>“</w:t>
            </w:r>
          </w:p>
          <w:p w14:paraId="7B3E71B7" w14:textId="77777777" w:rsidR="00656C03" w:rsidRPr="009E7E37" w:rsidRDefault="00656C03" w:rsidP="00656C03">
            <w:pPr>
              <w:jc w:val="both"/>
              <w:rPr>
                <w:rFonts w:cstheme="minorHAnsi"/>
                <w:iCs/>
                <w:sz w:val="24"/>
                <w:szCs w:val="24"/>
                <w:lang w:eastAsia="cs-CZ"/>
              </w:rPr>
            </w:pPr>
            <w:r>
              <w:rPr>
                <w:rFonts w:cstheme="minorHAnsi"/>
                <w:iCs/>
                <w:sz w:val="24"/>
                <w:szCs w:val="24"/>
                <w:lang w:eastAsia="cs-CZ"/>
              </w:rPr>
              <w:t>Totéž platí i pro oponentní hodnocení</w:t>
            </w:r>
            <w:r>
              <w:rPr>
                <w:rFonts w:cstheme="minorHAnsi"/>
                <w:sz w:val="24"/>
                <w:szCs w:val="24"/>
                <w:lang w:eastAsia="cs-CZ"/>
              </w:rPr>
              <w:t xml:space="preserve"> kritéria</w:t>
            </w:r>
            <w:r>
              <w:rPr>
                <w:rFonts w:cstheme="minorHAnsi"/>
                <w:color w:val="000000"/>
                <w:sz w:val="24"/>
                <w:szCs w:val="24"/>
                <w:lang w:eastAsia="cs-CZ"/>
              </w:rPr>
              <w:t xml:space="preserve"> </w:t>
            </w:r>
            <w:r w:rsidRPr="00AB46EC">
              <w:rPr>
                <w:rFonts w:cstheme="minorHAnsi"/>
                <w:color w:val="000000"/>
                <w:sz w:val="24"/>
                <w:szCs w:val="24"/>
                <w:lang w:eastAsia="cs-CZ"/>
              </w:rPr>
              <w:t>potřebnost</w:t>
            </w:r>
            <w:r w:rsidR="00C9400F">
              <w:rPr>
                <w:rFonts w:cstheme="minorHAnsi"/>
                <w:color w:val="000000"/>
                <w:sz w:val="24"/>
                <w:szCs w:val="24"/>
                <w:lang w:eastAsia="cs-CZ"/>
              </w:rPr>
              <w:t>i</w:t>
            </w:r>
            <w:r w:rsidRPr="00AB46EC">
              <w:rPr>
                <w:rFonts w:cstheme="minorHAnsi"/>
                <w:color w:val="000000"/>
                <w:sz w:val="24"/>
                <w:szCs w:val="24"/>
                <w:lang w:eastAsia="cs-CZ"/>
              </w:rPr>
              <w:t xml:space="preserve"> projektu</w:t>
            </w:r>
            <w:r>
              <w:rPr>
                <w:rFonts w:cstheme="minorHAnsi"/>
                <w:color w:val="000000"/>
                <w:sz w:val="24"/>
                <w:szCs w:val="24"/>
                <w:lang w:eastAsia="cs-CZ"/>
              </w:rPr>
              <w:t xml:space="preserve">, kde </w:t>
            </w:r>
            <w:r>
              <w:rPr>
                <w:rFonts w:cstheme="minorHAnsi"/>
                <w:sz w:val="24"/>
                <w:szCs w:val="24"/>
                <w:lang w:eastAsia="cs-CZ"/>
              </w:rPr>
              <w:t>MV akceptovalo i</w:t>
            </w:r>
            <w:r w:rsidR="0087443E">
              <w:rPr>
                <w:rFonts w:cstheme="minorHAnsi"/>
                <w:sz w:val="24"/>
                <w:szCs w:val="24"/>
                <w:lang w:eastAsia="cs-CZ"/>
              </w:rPr>
              <w:t> </w:t>
            </w:r>
            <w:r>
              <w:rPr>
                <w:rFonts w:cstheme="minorHAnsi"/>
                <w:sz w:val="24"/>
                <w:szCs w:val="24"/>
                <w:lang w:eastAsia="cs-CZ"/>
              </w:rPr>
              <w:t>hodnocení typu:</w:t>
            </w:r>
          </w:p>
          <w:p w14:paraId="259D7364" w14:textId="043CFEF8" w:rsidR="003F1FA2" w:rsidRDefault="003F1FA2" w:rsidP="003F1FA2">
            <w:pPr>
              <w:pStyle w:val="Odstavecseseznamem"/>
              <w:numPr>
                <w:ilvl w:val="0"/>
                <w:numId w:val="15"/>
              </w:numPr>
              <w:jc w:val="both"/>
              <w:rPr>
                <w:rFonts w:cstheme="minorHAnsi"/>
                <w:i/>
                <w:sz w:val="24"/>
                <w:szCs w:val="24"/>
                <w:lang w:eastAsia="cs-CZ"/>
              </w:rPr>
            </w:pPr>
            <w:r w:rsidRPr="007566FA">
              <w:rPr>
                <w:rFonts w:cstheme="minorHAnsi"/>
                <w:iCs/>
                <w:sz w:val="24"/>
                <w:szCs w:val="24"/>
                <w:lang w:eastAsia="cs-CZ"/>
              </w:rPr>
              <w:t>„</w:t>
            </w:r>
            <w:r>
              <w:rPr>
                <w:rFonts w:cstheme="minorHAnsi"/>
                <w:i/>
                <w:sz w:val="24"/>
                <w:szCs w:val="24"/>
                <w:lang w:eastAsia="cs-CZ"/>
              </w:rPr>
              <w:t>Projekt se jeví jako potřebný</w:t>
            </w:r>
            <w:r w:rsidR="004710C3">
              <w:rPr>
                <w:rFonts w:cstheme="minorHAnsi"/>
                <w:i/>
                <w:sz w:val="24"/>
                <w:szCs w:val="24"/>
                <w:lang w:eastAsia="cs-CZ"/>
              </w:rPr>
              <w:t>.</w:t>
            </w:r>
            <w:r w:rsidRPr="007566FA">
              <w:rPr>
                <w:rFonts w:cstheme="minorHAnsi"/>
                <w:sz w:val="24"/>
                <w:szCs w:val="24"/>
                <w:lang w:eastAsia="cs-CZ"/>
              </w:rPr>
              <w:t>“</w:t>
            </w:r>
            <w:r>
              <w:rPr>
                <w:rFonts w:cstheme="minorHAnsi"/>
                <w:i/>
                <w:sz w:val="24"/>
                <w:szCs w:val="24"/>
                <w:lang w:eastAsia="cs-CZ"/>
              </w:rPr>
              <w:t xml:space="preserve"> </w:t>
            </w:r>
          </w:p>
          <w:p w14:paraId="24608B30" w14:textId="120629BA" w:rsidR="003F1FA2" w:rsidRDefault="003F1FA2" w:rsidP="004710C3">
            <w:pPr>
              <w:pStyle w:val="Odstavecseseznamem"/>
              <w:numPr>
                <w:ilvl w:val="0"/>
                <w:numId w:val="15"/>
              </w:numPr>
              <w:jc w:val="both"/>
              <w:rPr>
                <w:rFonts w:cstheme="minorHAnsi"/>
                <w:sz w:val="24"/>
                <w:szCs w:val="24"/>
                <w:lang w:eastAsia="cs-CZ"/>
              </w:rPr>
            </w:pPr>
            <w:r w:rsidRPr="007566FA">
              <w:rPr>
                <w:rFonts w:cstheme="minorHAnsi"/>
                <w:sz w:val="24"/>
                <w:szCs w:val="24"/>
                <w:lang w:eastAsia="cs-CZ"/>
              </w:rPr>
              <w:t>„</w:t>
            </w:r>
            <w:r>
              <w:rPr>
                <w:rFonts w:cstheme="minorHAnsi"/>
                <w:i/>
                <w:sz w:val="24"/>
                <w:szCs w:val="24"/>
                <w:lang w:eastAsia="cs-CZ"/>
              </w:rPr>
              <w:t>Výsledek projektu má tržní potenciál</w:t>
            </w:r>
            <w:r w:rsidR="004710C3">
              <w:rPr>
                <w:rFonts w:cstheme="minorHAnsi"/>
                <w:i/>
                <w:sz w:val="24"/>
                <w:szCs w:val="24"/>
                <w:lang w:eastAsia="cs-CZ"/>
              </w:rPr>
              <w:t>.</w:t>
            </w:r>
            <w:r w:rsidRPr="007566FA">
              <w:rPr>
                <w:rFonts w:cstheme="minorHAnsi"/>
                <w:sz w:val="24"/>
                <w:szCs w:val="24"/>
                <w:lang w:eastAsia="cs-CZ"/>
              </w:rPr>
              <w:t>“</w:t>
            </w:r>
          </w:p>
        </w:tc>
      </w:tr>
    </w:tbl>
    <w:p w14:paraId="71CA6CE0" w14:textId="77777777" w:rsidR="003F1FA2" w:rsidRDefault="003F1FA2" w:rsidP="00867917">
      <w:pPr>
        <w:spacing w:after="0" w:line="240" w:lineRule="auto"/>
        <w:jc w:val="both"/>
        <w:rPr>
          <w:rFonts w:cstheme="minorHAnsi"/>
          <w:strike/>
          <w:sz w:val="24"/>
          <w:szCs w:val="24"/>
        </w:rPr>
      </w:pPr>
    </w:p>
    <w:p w14:paraId="7DBFB4C6" w14:textId="3FCE77EA" w:rsidR="003F1FA2" w:rsidRDefault="00E815BE" w:rsidP="00867917">
      <w:pPr>
        <w:spacing w:after="0" w:line="240" w:lineRule="auto"/>
        <w:jc w:val="both"/>
        <w:rPr>
          <w:rFonts w:cstheme="minorHAnsi"/>
          <w:sz w:val="24"/>
          <w:szCs w:val="24"/>
        </w:rPr>
      </w:pPr>
      <w:r>
        <w:rPr>
          <w:rFonts w:cstheme="minorHAnsi"/>
          <w:sz w:val="24"/>
          <w:szCs w:val="24"/>
        </w:rPr>
        <w:t>4.</w:t>
      </w:r>
      <w:r w:rsidR="007D78BF">
        <w:rPr>
          <w:rFonts w:cstheme="minorHAnsi"/>
          <w:sz w:val="24"/>
          <w:szCs w:val="24"/>
        </w:rPr>
        <w:t>19</w:t>
      </w:r>
      <w:r w:rsidR="00867917">
        <w:rPr>
          <w:rFonts w:cstheme="minorHAnsi"/>
          <w:sz w:val="24"/>
          <w:szCs w:val="24"/>
        </w:rPr>
        <w:t xml:space="preserve"> </w:t>
      </w:r>
      <w:r w:rsidR="003F1FA2">
        <w:rPr>
          <w:rFonts w:cstheme="minorHAnsi"/>
          <w:sz w:val="24"/>
          <w:szCs w:val="24"/>
        </w:rPr>
        <w:t>U Programu VH je postup odlišný</w:t>
      </w:r>
      <w:r w:rsidR="00E67F0F">
        <w:rPr>
          <w:rFonts w:cstheme="minorHAnsi"/>
          <w:sz w:val="24"/>
          <w:szCs w:val="24"/>
        </w:rPr>
        <w:t>. P</w:t>
      </w:r>
      <w:r w:rsidR="003F1FA2">
        <w:rPr>
          <w:rFonts w:cstheme="minorHAnsi"/>
          <w:sz w:val="24"/>
          <w:szCs w:val="24"/>
        </w:rPr>
        <w:t>ro</w:t>
      </w:r>
      <w:r w:rsidR="00311A45">
        <w:rPr>
          <w:rFonts w:cstheme="minorHAnsi"/>
          <w:sz w:val="24"/>
          <w:szCs w:val="24"/>
        </w:rPr>
        <w:t xml:space="preserve"> výzkumné</w:t>
      </w:r>
      <w:r w:rsidR="003F1FA2">
        <w:rPr>
          <w:rFonts w:cstheme="minorHAnsi"/>
          <w:sz w:val="24"/>
          <w:szCs w:val="24"/>
        </w:rPr>
        <w:t xml:space="preserve"> potřeby shromážděné od orgánů státní správy </w:t>
      </w:r>
      <w:r w:rsidR="00C13FE2">
        <w:rPr>
          <w:rFonts w:cstheme="minorHAnsi"/>
          <w:sz w:val="24"/>
          <w:szCs w:val="24"/>
        </w:rPr>
        <w:t>je</w:t>
      </w:r>
      <w:r w:rsidR="003F1FA2">
        <w:rPr>
          <w:rFonts w:cstheme="minorHAnsi"/>
          <w:sz w:val="24"/>
          <w:szCs w:val="24"/>
        </w:rPr>
        <w:t xml:space="preserve"> v případě jejich schválení </w:t>
      </w:r>
      <w:r w:rsidR="00C13FE2">
        <w:rPr>
          <w:rFonts w:cstheme="minorHAnsi"/>
          <w:sz w:val="24"/>
          <w:szCs w:val="24"/>
        </w:rPr>
        <w:t>vybírán</w:t>
      </w:r>
      <w:r w:rsidR="003F1FA2">
        <w:rPr>
          <w:rFonts w:cstheme="minorHAnsi"/>
          <w:sz w:val="24"/>
          <w:szCs w:val="24"/>
        </w:rPr>
        <w:t xml:space="preserve"> řešitel prostřednictvím zadání veřejné zakázky, průběh </w:t>
      </w:r>
      <w:r w:rsidR="00656C03">
        <w:rPr>
          <w:rFonts w:cstheme="minorHAnsi"/>
          <w:sz w:val="24"/>
          <w:szCs w:val="24"/>
        </w:rPr>
        <w:t xml:space="preserve">výběru projektů </w:t>
      </w:r>
      <w:r w:rsidR="003F1FA2">
        <w:rPr>
          <w:rFonts w:cstheme="minorHAnsi"/>
          <w:sz w:val="24"/>
          <w:szCs w:val="24"/>
        </w:rPr>
        <w:t xml:space="preserve">je znázorněn </w:t>
      </w:r>
      <w:r w:rsidR="00084D8A">
        <w:rPr>
          <w:rFonts w:cstheme="minorHAnsi"/>
          <w:sz w:val="24"/>
          <w:szCs w:val="24"/>
        </w:rPr>
        <w:t>ve schématu</w:t>
      </w:r>
      <w:r w:rsidR="007D78BF" w:rsidRPr="00925056">
        <w:rPr>
          <w:rFonts w:cstheme="minorHAnsi"/>
          <w:sz w:val="24"/>
          <w:szCs w:val="24"/>
        </w:rPr>
        <w:t xml:space="preserve"> č. 2</w:t>
      </w:r>
      <w:r w:rsidR="003F1FA2" w:rsidRPr="00925056">
        <w:rPr>
          <w:rFonts w:cstheme="minorHAnsi"/>
          <w:sz w:val="24"/>
          <w:szCs w:val="24"/>
        </w:rPr>
        <w:t>:</w:t>
      </w:r>
    </w:p>
    <w:p w14:paraId="3E87033F" w14:textId="77777777" w:rsidR="00867917" w:rsidRDefault="00867917" w:rsidP="00867917">
      <w:pPr>
        <w:spacing w:after="0" w:line="240" w:lineRule="auto"/>
        <w:jc w:val="both"/>
        <w:rPr>
          <w:rFonts w:cstheme="minorHAnsi"/>
          <w:sz w:val="24"/>
          <w:szCs w:val="24"/>
        </w:rPr>
      </w:pPr>
    </w:p>
    <w:p w14:paraId="5C945057" w14:textId="15D74C69" w:rsidR="003F1FA2" w:rsidRPr="007566FA" w:rsidRDefault="00EB2C94" w:rsidP="004710C3">
      <w:pPr>
        <w:keepNext/>
        <w:keepLines/>
        <w:spacing w:after="0" w:line="240" w:lineRule="auto"/>
        <w:jc w:val="both"/>
        <w:rPr>
          <w:rFonts w:cstheme="minorHAnsi"/>
          <w:b/>
          <w:color w:val="000000" w:themeColor="text1"/>
          <w:sz w:val="24"/>
          <w:szCs w:val="24"/>
        </w:rPr>
      </w:pPr>
      <w:r>
        <w:rPr>
          <w:rFonts w:cstheme="minorHAnsi"/>
          <w:b/>
          <w:color w:val="000000" w:themeColor="text1"/>
          <w:sz w:val="24"/>
          <w:szCs w:val="24"/>
        </w:rPr>
        <w:lastRenderedPageBreak/>
        <w:t>Schéma</w:t>
      </w:r>
      <w:r w:rsidR="007D78BF" w:rsidRPr="007566FA">
        <w:rPr>
          <w:rFonts w:cstheme="minorHAnsi"/>
          <w:b/>
          <w:color w:val="000000" w:themeColor="text1"/>
          <w:sz w:val="24"/>
          <w:szCs w:val="24"/>
        </w:rPr>
        <w:t xml:space="preserve"> č. 2</w:t>
      </w:r>
      <w:r w:rsidR="003F1FA2" w:rsidRPr="007566FA">
        <w:rPr>
          <w:rFonts w:cstheme="minorHAnsi"/>
          <w:b/>
          <w:color w:val="000000" w:themeColor="text1"/>
          <w:sz w:val="24"/>
          <w:szCs w:val="24"/>
        </w:rPr>
        <w:t>: Výběr projektů v Programu VH</w:t>
      </w:r>
    </w:p>
    <w:p w14:paraId="40DB0C3F" w14:textId="77777777" w:rsidR="0036580F" w:rsidRPr="004F67A3" w:rsidRDefault="0036580F" w:rsidP="004710C3">
      <w:pPr>
        <w:keepNext/>
        <w:keepLines/>
        <w:spacing w:after="0" w:line="240" w:lineRule="auto"/>
        <w:jc w:val="both"/>
        <w:rPr>
          <w:rFonts w:cstheme="minorHAnsi"/>
          <w:color w:val="1F4E79" w:themeColor="accent1" w:themeShade="80"/>
          <w:sz w:val="24"/>
          <w:szCs w:val="24"/>
        </w:rPr>
      </w:pPr>
    </w:p>
    <w:p w14:paraId="2E71A348" w14:textId="77777777" w:rsidR="003F1FA2" w:rsidRDefault="003F1FA2" w:rsidP="004710C3">
      <w:pPr>
        <w:keepNext/>
        <w:keepLines/>
        <w:spacing w:after="0" w:line="240" w:lineRule="auto"/>
        <w:jc w:val="both"/>
        <w:rPr>
          <w:rFonts w:cstheme="minorHAnsi"/>
          <w:sz w:val="24"/>
          <w:szCs w:val="24"/>
        </w:rPr>
      </w:pPr>
      <w:r>
        <w:rPr>
          <w:rFonts w:cstheme="minorHAnsi"/>
          <w:noProof/>
          <w:sz w:val="24"/>
          <w:szCs w:val="24"/>
          <w:lang w:eastAsia="cs-CZ"/>
        </w:rPr>
        <w:drawing>
          <wp:inline distT="0" distB="0" distL="0" distR="0" wp14:anchorId="5F0568B1" wp14:editId="6D8E44E9">
            <wp:extent cx="5715000" cy="731631"/>
            <wp:effectExtent l="19050" t="0" r="19050" b="114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891C531" w14:textId="247B6F6F" w:rsidR="003F1FA2" w:rsidRDefault="003F1FA2" w:rsidP="004710C3">
      <w:pPr>
        <w:keepNext/>
        <w:keepLines/>
        <w:spacing w:after="0" w:line="240" w:lineRule="auto"/>
        <w:jc w:val="both"/>
        <w:rPr>
          <w:rFonts w:cstheme="minorHAnsi"/>
          <w:sz w:val="20"/>
          <w:szCs w:val="20"/>
        </w:rPr>
      </w:pPr>
      <w:r w:rsidRPr="008F1B13">
        <w:rPr>
          <w:rFonts w:cstheme="minorHAnsi"/>
          <w:b/>
          <w:sz w:val="20"/>
          <w:szCs w:val="20"/>
        </w:rPr>
        <w:t>Zdroj:</w:t>
      </w:r>
      <w:r>
        <w:rPr>
          <w:rFonts w:cstheme="minorHAnsi"/>
          <w:sz w:val="20"/>
          <w:szCs w:val="20"/>
        </w:rPr>
        <w:t xml:space="preserve"> </w:t>
      </w:r>
      <w:r w:rsidR="00EB2C94">
        <w:rPr>
          <w:rFonts w:cstheme="minorHAnsi"/>
          <w:sz w:val="20"/>
          <w:szCs w:val="20"/>
        </w:rPr>
        <w:t>vypracoval</w:t>
      </w:r>
      <w:r>
        <w:rPr>
          <w:rFonts w:cstheme="minorHAnsi"/>
          <w:sz w:val="20"/>
          <w:szCs w:val="20"/>
        </w:rPr>
        <w:t xml:space="preserve"> NKÚ.</w:t>
      </w:r>
    </w:p>
    <w:p w14:paraId="6B46BFF1" w14:textId="77777777" w:rsidR="003F1FA2" w:rsidRPr="00A529B7" w:rsidRDefault="003F1FA2" w:rsidP="00A529B7">
      <w:pPr>
        <w:spacing w:after="0" w:line="240" w:lineRule="auto"/>
        <w:jc w:val="both"/>
        <w:rPr>
          <w:rFonts w:ascii="Calibri" w:hAnsi="Calibri" w:cs="Calibri"/>
          <w:strike/>
          <w:sz w:val="24"/>
          <w:szCs w:val="24"/>
        </w:rPr>
      </w:pPr>
    </w:p>
    <w:p w14:paraId="143E63E9" w14:textId="7379D31F" w:rsidR="00F802D2" w:rsidRPr="00A529B7" w:rsidRDefault="00F802D2" w:rsidP="00A529B7">
      <w:pPr>
        <w:spacing w:after="0" w:line="240" w:lineRule="auto"/>
        <w:jc w:val="both"/>
        <w:rPr>
          <w:rFonts w:ascii="Calibri" w:hAnsi="Calibri" w:cs="Calibri"/>
          <w:sz w:val="24"/>
          <w:szCs w:val="24"/>
        </w:rPr>
      </w:pPr>
      <w:r w:rsidRPr="00A529B7">
        <w:rPr>
          <w:rFonts w:ascii="Calibri" w:hAnsi="Calibri" w:cs="Calibri"/>
          <w:sz w:val="24"/>
          <w:szCs w:val="24"/>
        </w:rPr>
        <w:t>4.20</w:t>
      </w:r>
      <w:r w:rsidR="00A529B7" w:rsidRPr="00A529B7">
        <w:rPr>
          <w:rFonts w:ascii="Calibri" w:hAnsi="Calibri" w:cs="Calibri"/>
          <w:sz w:val="24"/>
          <w:szCs w:val="24"/>
        </w:rPr>
        <w:t xml:space="preserve"> </w:t>
      </w:r>
      <w:r w:rsidRPr="00A529B7">
        <w:rPr>
          <w:rFonts w:ascii="Calibri" w:hAnsi="Calibri" w:cs="Calibri"/>
          <w:sz w:val="24"/>
          <w:szCs w:val="24"/>
        </w:rPr>
        <w:t xml:space="preserve">Hodnocení výzkumných potřeb v Programu VH provádí pouze </w:t>
      </w:r>
      <w:r w:rsidR="00C13FE2">
        <w:rPr>
          <w:rFonts w:ascii="Calibri" w:hAnsi="Calibri" w:cs="Calibri"/>
          <w:sz w:val="24"/>
          <w:szCs w:val="24"/>
        </w:rPr>
        <w:t>r</w:t>
      </w:r>
      <w:r w:rsidRPr="00A529B7">
        <w:rPr>
          <w:rFonts w:ascii="Calibri" w:hAnsi="Calibri" w:cs="Calibri"/>
          <w:sz w:val="24"/>
          <w:szCs w:val="24"/>
        </w:rPr>
        <w:t xml:space="preserve">ada </w:t>
      </w:r>
      <w:r w:rsidR="00643DF4">
        <w:rPr>
          <w:rFonts w:ascii="Calibri" w:hAnsi="Calibri" w:cs="Calibri"/>
          <w:sz w:val="24"/>
          <w:szCs w:val="24"/>
        </w:rPr>
        <w:t>P</w:t>
      </w:r>
      <w:r w:rsidRPr="00A529B7">
        <w:rPr>
          <w:rFonts w:ascii="Calibri" w:hAnsi="Calibri" w:cs="Calibri"/>
          <w:sz w:val="24"/>
          <w:szCs w:val="24"/>
        </w:rPr>
        <w:t xml:space="preserve">rogramu VH. Kritéria i princip </w:t>
      </w:r>
      <w:proofErr w:type="spellStart"/>
      <w:r w:rsidRPr="00A529B7">
        <w:rPr>
          <w:rFonts w:ascii="Calibri" w:hAnsi="Calibri" w:cs="Calibri"/>
          <w:sz w:val="24"/>
          <w:szCs w:val="24"/>
        </w:rPr>
        <w:t>prioritizace</w:t>
      </w:r>
      <w:proofErr w:type="spellEnd"/>
      <w:r w:rsidRPr="00A529B7">
        <w:rPr>
          <w:rStyle w:val="Znakapoznpodarou"/>
          <w:rFonts w:ascii="Calibri" w:hAnsi="Calibri" w:cs="Calibri"/>
          <w:sz w:val="24"/>
          <w:szCs w:val="24"/>
        </w:rPr>
        <w:footnoteReference w:id="26"/>
      </w:r>
      <w:r w:rsidRPr="00A529B7">
        <w:rPr>
          <w:rFonts w:ascii="Calibri" w:hAnsi="Calibri" w:cs="Calibri"/>
          <w:sz w:val="24"/>
          <w:szCs w:val="24"/>
        </w:rPr>
        <w:t xml:space="preserve">, dle kterého je určeno pořadí způsobilých potřeb pro financování, jsou stručně uvedeny v jednacím řádu </w:t>
      </w:r>
      <w:r w:rsidR="00C13FE2">
        <w:rPr>
          <w:rFonts w:ascii="Calibri" w:hAnsi="Calibri" w:cs="Calibri"/>
          <w:sz w:val="24"/>
          <w:szCs w:val="24"/>
        </w:rPr>
        <w:t>r</w:t>
      </w:r>
      <w:r w:rsidRPr="00A529B7">
        <w:rPr>
          <w:rFonts w:ascii="Calibri" w:hAnsi="Calibri" w:cs="Calibri"/>
          <w:sz w:val="24"/>
          <w:szCs w:val="24"/>
        </w:rPr>
        <w:t xml:space="preserve">ady Programu VH. </w:t>
      </w:r>
      <w:r w:rsidR="009232BD" w:rsidRPr="00A529B7">
        <w:rPr>
          <w:rFonts w:ascii="Calibri" w:hAnsi="Calibri" w:cs="Calibri"/>
          <w:sz w:val="24"/>
          <w:szCs w:val="24"/>
        </w:rPr>
        <w:t xml:space="preserve">Priority, ke kterým by měly </w:t>
      </w:r>
      <w:r w:rsidR="00501B76" w:rsidRPr="00A529B7">
        <w:rPr>
          <w:rFonts w:ascii="Calibri" w:hAnsi="Calibri" w:cs="Calibri"/>
          <w:sz w:val="24"/>
          <w:szCs w:val="24"/>
        </w:rPr>
        <w:t xml:space="preserve">být </w:t>
      </w:r>
      <w:r w:rsidR="009232BD" w:rsidRPr="00A529B7">
        <w:rPr>
          <w:rFonts w:ascii="Calibri" w:hAnsi="Calibri" w:cs="Calibri"/>
          <w:sz w:val="24"/>
          <w:szCs w:val="24"/>
        </w:rPr>
        <w:t>vybírány odpovídající projekty, tak nejsou předem</w:t>
      </w:r>
      <w:r w:rsidRPr="00A529B7">
        <w:rPr>
          <w:rFonts w:ascii="Calibri" w:hAnsi="Calibri" w:cs="Calibri"/>
          <w:sz w:val="24"/>
          <w:szCs w:val="24"/>
        </w:rPr>
        <w:t xml:space="preserve"> stanoveny a </w:t>
      </w:r>
      <w:r w:rsidR="00C13FE2">
        <w:rPr>
          <w:rFonts w:ascii="Calibri" w:hAnsi="Calibri" w:cs="Calibri"/>
          <w:sz w:val="24"/>
          <w:szCs w:val="24"/>
        </w:rPr>
        <w:t>r</w:t>
      </w:r>
      <w:r w:rsidRPr="00A529B7">
        <w:rPr>
          <w:rFonts w:ascii="Calibri" w:hAnsi="Calibri" w:cs="Calibri"/>
          <w:sz w:val="24"/>
          <w:szCs w:val="24"/>
        </w:rPr>
        <w:t>ada Programu VH o</w:t>
      </w:r>
      <w:r w:rsidR="00F06D40">
        <w:rPr>
          <w:rFonts w:ascii="Calibri" w:hAnsi="Calibri" w:cs="Calibri"/>
          <w:sz w:val="24"/>
          <w:szCs w:val="24"/>
        </w:rPr>
        <w:t> </w:t>
      </w:r>
      <w:r w:rsidRPr="00A529B7">
        <w:rPr>
          <w:rFonts w:ascii="Calibri" w:hAnsi="Calibri" w:cs="Calibri"/>
          <w:sz w:val="24"/>
          <w:szCs w:val="24"/>
        </w:rPr>
        <w:t>nich konkrétně rozhoduje až v průběhu projednávání</w:t>
      </w:r>
      <w:r w:rsidR="009232BD" w:rsidRPr="00A529B7">
        <w:rPr>
          <w:rFonts w:ascii="Calibri" w:hAnsi="Calibri" w:cs="Calibri"/>
          <w:sz w:val="24"/>
          <w:szCs w:val="24"/>
        </w:rPr>
        <w:t xml:space="preserve"> navržených projektů</w:t>
      </w:r>
      <w:r w:rsidRPr="00A529B7">
        <w:rPr>
          <w:rFonts w:ascii="Calibri" w:hAnsi="Calibri" w:cs="Calibri"/>
          <w:sz w:val="24"/>
          <w:szCs w:val="24"/>
        </w:rPr>
        <w:t xml:space="preserve">. </w:t>
      </w:r>
    </w:p>
    <w:p w14:paraId="388B8FBA" w14:textId="77777777" w:rsidR="003F1FA2" w:rsidRPr="00A529B7" w:rsidRDefault="003F1FA2" w:rsidP="00A529B7">
      <w:pPr>
        <w:spacing w:after="0" w:line="240" w:lineRule="auto"/>
        <w:jc w:val="both"/>
        <w:rPr>
          <w:rFonts w:ascii="Calibri" w:hAnsi="Calibri" w:cs="Calibri"/>
          <w:sz w:val="24"/>
          <w:szCs w:val="24"/>
        </w:rPr>
      </w:pPr>
    </w:p>
    <w:p w14:paraId="5D15A13E" w14:textId="77777777" w:rsidR="003F1FA2" w:rsidRPr="00A529B7" w:rsidRDefault="003F1FA2" w:rsidP="00A529B7">
      <w:pPr>
        <w:spacing w:after="0" w:line="240" w:lineRule="auto"/>
        <w:jc w:val="both"/>
        <w:rPr>
          <w:rFonts w:ascii="Calibri" w:hAnsi="Calibri" w:cs="Calibri"/>
          <w:b/>
          <w:i/>
          <w:color w:val="C00000"/>
          <w:sz w:val="24"/>
          <w:szCs w:val="24"/>
        </w:rPr>
      </w:pPr>
      <w:r w:rsidRPr="00A529B7">
        <w:rPr>
          <w:rFonts w:ascii="Calibri" w:hAnsi="Calibri" w:cs="Calibri"/>
          <w:b/>
          <w:i/>
          <w:color w:val="C00000"/>
          <w:sz w:val="24"/>
          <w:szCs w:val="24"/>
        </w:rPr>
        <w:t>→ Účelnost sedmi vybraných projektů byla vyhodnocena pozitivně, pěti naopak.</w:t>
      </w:r>
    </w:p>
    <w:p w14:paraId="21D7BD17" w14:textId="77777777" w:rsidR="00F06D40" w:rsidRDefault="00F06D40" w:rsidP="00A529B7">
      <w:pPr>
        <w:spacing w:after="0" w:line="240" w:lineRule="auto"/>
        <w:jc w:val="both"/>
        <w:rPr>
          <w:rFonts w:ascii="Calibri" w:hAnsi="Calibri" w:cs="Calibri"/>
          <w:sz w:val="24"/>
          <w:szCs w:val="24"/>
        </w:rPr>
      </w:pPr>
    </w:p>
    <w:p w14:paraId="6C7DCE9B" w14:textId="1D54FB47" w:rsidR="003F1FA2" w:rsidRDefault="007D78BF" w:rsidP="00A529B7">
      <w:pPr>
        <w:spacing w:after="0" w:line="240" w:lineRule="auto"/>
        <w:jc w:val="both"/>
        <w:rPr>
          <w:rFonts w:ascii="Calibri" w:hAnsi="Calibri" w:cs="Calibri"/>
          <w:sz w:val="24"/>
          <w:szCs w:val="24"/>
        </w:rPr>
      </w:pPr>
      <w:r w:rsidRPr="00A529B7">
        <w:rPr>
          <w:rFonts w:ascii="Calibri" w:hAnsi="Calibri" w:cs="Calibri"/>
          <w:sz w:val="24"/>
          <w:szCs w:val="24"/>
        </w:rPr>
        <w:t>4.2</w:t>
      </w:r>
      <w:r w:rsidR="000458CF" w:rsidRPr="00A529B7">
        <w:rPr>
          <w:rFonts w:ascii="Calibri" w:hAnsi="Calibri" w:cs="Calibri"/>
          <w:sz w:val="24"/>
          <w:szCs w:val="24"/>
        </w:rPr>
        <w:t>1</w:t>
      </w:r>
      <w:r w:rsidR="00A529B7" w:rsidRPr="00A529B7">
        <w:rPr>
          <w:rFonts w:ascii="Calibri" w:hAnsi="Calibri" w:cs="Calibri"/>
          <w:sz w:val="24"/>
          <w:szCs w:val="24"/>
        </w:rPr>
        <w:t xml:space="preserve"> </w:t>
      </w:r>
      <w:r w:rsidR="003F1FA2" w:rsidRPr="00A529B7">
        <w:rPr>
          <w:rFonts w:ascii="Calibri" w:hAnsi="Calibri" w:cs="Calibri"/>
          <w:sz w:val="24"/>
          <w:szCs w:val="24"/>
        </w:rPr>
        <w:t>NK</w:t>
      </w:r>
      <w:r w:rsidR="009232BD" w:rsidRPr="00A529B7">
        <w:rPr>
          <w:rFonts w:ascii="Calibri" w:hAnsi="Calibri" w:cs="Calibri"/>
          <w:sz w:val="24"/>
          <w:szCs w:val="24"/>
        </w:rPr>
        <w:t>Ú provedl posouzení účelnosti dvanácti</w:t>
      </w:r>
      <w:r w:rsidR="003F1FA2" w:rsidRPr="00A529B7">
        <w:rPr>
          <w:rFonts w:ascii="Calibri" w:hAnsi="Calibri" w:cs="Calibri"/>
          <w:sz w:val="24"/>
          <w:szCs w:val="24"/>
        </w:rPr>
        <w:t xml:space="preserve"> </w:t>
      </w:r>
      <w:r w:rsidR="00656C03" w:rsidRPr="00A529B7">
        <w:rPr>
          <w:rFonts w:ascii="Calibri" w:hAnsi="Calibri" w:cs="Calibri"/>
          <w:sz w:val="24"/>
          <w:szCs w:val="24"/>
        </w:rPr>
        <w:t xml:space="preserve">vybraných </w:t>
      </w:r>
      <w:r w:rsidR="003F1FA2" w:rsidRPr="00A529B7">
        <w:rPr>
          <w:rFonts w:ascii="Calibri" w:hAnsi="Calibri" w:cs="Calibri"/>
          <w:sz w:val="24"/>
          <w:szCs w:val="24"/>
        </w:rPr>
        <w:t>projektů. Hodno</w:t>
      </w:r>
      <w:r w:rsidR="00726D13" w:rsidRPr="00A529B7">
        <w:rPr>
          <w:rFonts w:ascii="Calibri" w:hAnsi="Calibri" w:cs="Calibri"/>
          <w:sz w:val="24"/>
          <w:szCs w:val="24"/>
        </w:rPr>
        <w:t>til</w:t>
      </w:r>
      <w:r w:rsidR="00EB2C94">
        <w:rPr>
          <w:rFonts w:ascii="Calibri" w:hAnsi="Calibri" w:cs="Calibri"/>
          <w:sz w:val="24"/>
          <w:szCs w:val="24"/>
        </w:rPr>
        <w:t xml:space="preserve"> </w:t>
      </w:r>
      <w:r w:rsidR="003F1FA2" w:rsidRPr="00A529B7">
        <w:rPr>
          <w:rFonts w:ascii="Calibri" w:hAnsi="Calibri" w:cs="Calibri"/>
          <w:sz w:val="24"/>
          <w:szCs w:val="24"/>
        </w:rPr>
        <w:t xml:space="preserve">dosažení očekávaných výsledků projektů a jejich využití </w:t>
      </w:r>
      <w:r w:rsidR="009232BD" w:rsidRPr="00A529B7">
        <w:rPr>
          <w:rFonts w:ascii="Calibri" w:hAnsi="Calibri" w:cs="Calibri"/>
          <w:sz w:val="24"/>
          <w:szCs w:val="24"/>
        </w:rPr>
        <w:t>v praxi jako předpoklad přínosu</w:t>
      </w:r>
      <w:r w:rsidR="003F1FA2" w:rsidRPr="00A529B7">
        <w:rPr>
          <w:rFonts w:ascii="Calibri" w:hAnsi="Calibri" w:cs="Calibri"/>
          <w:sz w:val="24"/>
          <w:szCs w:val="24"/>
        </w:rPr>
        <w:t xml:space="preserve"> pro zvýšení bezpečnosti ČR (naplnění cílů programů). K vyhodnocení byla využita čtyřstupňová škála (projekt je účelný</w:t>
      </w:r>
      <w:r w:rsidR="00084D8A">
        <w:rPr>
          <w:rFonts w:ascii="Calibri" w:hAnsi="Calibri" w:cs="Calibri"/>
          <w:sz w:val="24"/>
          <w:szCs w:val="24"/>
        </w:rPr>
        <w:t xml:space="preserve"> </w:t>
      </w:r>
      <w:r w:rsidR="003F1FA2" w:rsidRPr="00A529B7">
        <w:rPr>
          <w:rFonts w:ascii="Calibri" w:hAnsi="Calibri" w:cs="Calibri"/>
          <w:sz w:val="24"/>
          <w:szCs w:val="24"/>
        </w:rPr>
        <w:t>/</w:t>
      </w:r>
      <w:r w:rsidR="00084D8A">
        <w:rPr>
          <w:rFonts w:ascii="Calibri" w:hAnsi="Calibri" w:cs="Calibri"/>
          <w:sz w:val="24"/>
          <w:szCs w:val="24"/>
        </w:rPr>
        <w:t xml:space="preserve"> </w:t>
      </w:r>
      <w:r w:rsidR="003F1FA2" w:rsidRPr="00A529B7">
        <w:rPr>
          <w:rFonts w:ascii="Calibri" w:hAnsi="Calibri" w:cs="Calibri"/>
          <w:sz w:val="24"/>
          <w:szCs w:val="24"/>
        </w:rPr>
        <w:t>je účelný s mírnými nedostatky</w:t>
      </w:r>
      <w:r w:rsidR="00084D8A">
        <w:rPr>
          <w:rFonts w:ascii="Calibri" w:hAnsi="Calibri" w:cs="Calibri"/>
          <w:sz w:val="24"/>
          <w:szCs w:val="24"/>
        </w:rPr>
        <w:t xml:space="preserve"> </w:t>
      </w:r>
      <w:r w:rsidR="003F1FA2" w:rsidRPr="00A529B7">
        <w:rPr>
          <w:rFonts w:ascii="Calibri" w:hAnsi="Calibri" w:cs="Calibri"/>
          <w:sz w:val="24"/>
          <w:szCs w:val="24"/>
        </w:rPr>
        <w:t>/</w:t>
      </w:r>
      <w:r w:rsidR="00084D8A">
        <w:rPr>
          <w:rFonts w:ascii="Calibri" w:hAnsi="Calibri" w:cs="Calibri"/>
          <w:sz w:val="24"/>
          <w:szCs w:val="24"/>
        </w:rPr>
        <w:t xml:space="preserve"> </w:t>
      </w:r>
      <w:r w:rsidR="003F1FA2" w:rsidRPr="00A529B7">
        <w:rPr>
          <w:rFonts w:ascii="Calibri" w:hAnsi="Calibri" w:cs="Calibri"/>
          <w:sz w:val="24"/>
          <w:szCs w:val="24"/>
        </w:rPr>
        <w:t>je účelný pouze omezeně</w:t>
      </w:r>
      <w:r w:rsidR="00E5439E">
        <w:rPr>
          <w:rFonts w:ascii="Calibri" w:hAnsi="Calibri" w:cs="Calibri"/>
          <w:sz w:val="24"/>
          <w:szCs w:val="24"/>
        </w:rPr>
        <w:t xml:space="preserve"> </w:t>
      </w:r>
      <w:r w:rsidR="003F1FA2" w:rsidRPr="00A529B7">
        <w:rPr>
          <w:rFonts w:ascii="Calibri" w:hAnsi="Calibri" w:cs="Calibri"/>
          <w:sz w:val="24"/>
          <w:szCs w:val="24"/>
        </w:rPr>
        <w:t>/</w:t>
      </w:r>
      <w:r w:rsidR="00E5439E">
        <w:rPr>
          <w:rFonts w:ascii="Calibri" w:hAnsi="Calibri" w:cs="Calibri"/>
          <w:sz w:val="24"/>
          <w:szCs w:val="24"/>
        </w:rPr>
        <w:t xml:space="preserve"> </w:t>
      </w:r>
      <w:r w:rsidR="003F1FA2" w:rsidRPr="00A529B7">
        <w:rPr>
          <w:rFonts w:ascii="Calibri" w:hAnsi="Calibri" w:cs="Calibri"/>
          <w:sz w:val="24"/>
          <w:szCs w:val="24"/>
        </w:rPr>
        <w:t xml:space="preserve">není účelný). </w:t>
      </w:r>
      <w:r w:rsidR="00130E35" w:rsidRPr="00A529B7">
        <w:rPr>
          <w:rFonts w:ascii="Calibri" w:hAnsi="Calibri" w:cs="Calibri"/>
          <w:sz w:val="24"/>
          <w:szCs w:val="24"/>
        </w:rPr>
        <w:t>Kritéria</w:t>
      </w:r>
      <w:r w:rsidR="00BC50E9" w:rsidRPr="00A529B7">
        <w:rPr>
          <w:rFonts w:ascii="Calibri" w:hAnsi="Calibri" w:cs="Calibri"/>
          <w:sz w:val="24"/>
          <w:szCs w:val="24"/>
        </w:rPr>
        <w:t>, která NKÚ využil</w:t>
      </w:r>
      <w:r w:rsidR="00726D13" w:rsidRPr="00A529B7">
        <w:rPr>
          <w:rFonts w:ascii="Calibri" w:hAnsi="Calibri" w:cs="Calibri"/>
          <w:sz w:val="24"/>
          <w:szCs w:val="24"/>
        </w:rPr>
        <w:t xml:space="preserve"> pro </w:t>
      </w:r>
      <w:r w:rsidR="003F1FA2" w:rsidRPr="00A529B7">
        <w:rPr>
          <w:rFonts w:ascii="Calibri" w:hAnsi="Calibri" w:cs="Calibri"/>
          <w:sz w:val="24"/>
          <w:szCs w:val="24"/>
        </w:rPr>
        <w:t>hodnocení účelnosti</w:t>
      </w:r>
      <w:r w:rsidR="00BC50E9" w:rsidRPr="00A529B7">
        <w:rPr>
          <w:rFonts w:ascii="Calibri" w:hAnsi="Calibri" w:cs="Calibri"/>
          <w:sz w:val="24"/>
          <w:szCs w:val="24"/>
        </w:rPr>
        <w:t>,</w:t>
      </w:r>
      <w:r w:rsidR="00130E35" w:rsidRPr="00A529B7">
        <w:rPr>
          <w:rFonts w:ascii="Calibri" w:hAnsi="Calibri" w:cs="Calibri"/>
          <w:sz w:val="24"/>
          <w:szCs w:val="24"/>
        </w:rPr>
        <w:t xml:space="preserve"> jsou</w:t>
      </w:r>
      <w:r w:rsidR="003F1FA2" w:rsidRPr="00A529B7">
        <w:rPr>
          <w:rFonts w:ascii="Calibri" w:hAnsi="Calibri" w:cs="Calibri"/>
          <w:sz w:val="24"/>
          <w:szCs w:val="24"/>
        </w:rPr>
        <w:t xml:space="preserve"> uveden</w:t>
      </w:r>
      <w:r w:rsidR="00130E35" w:rsidRPr="00A529B7">
        <w:rPr>
          <w:rFonts w:ascii="Calibri" w:hAnsi="Calibri" w:cs="Calibri"/>
          <w:sz w:val="24"/>
          <w:szCs w:val="24"/>
        </w:rPr>
        <w:t>a</w:t>
      </w:r>
      <w:r w:rsidR="003F1FA2" w:rsidRPr="00A529B7">
        <w:rPr>
          <w:rFonts w:ascii="Calibri" w:hAnsi="Calibri" w:cs="Calibri"/>
          <w:sz w:val="24"/>
          <w:szCs w:val="24"/>
        </w:rPr>
        <w:t xml:space="preserve"> v </w:t>
      </w:r>
      <w:r w:rsidR="00EB2C94">
        <w:rPr>
          <w:rFonts w:ascii="Calibri" w:hAnsi="Calibri" w:cs="Calibri"/>
          <w:sz w:val="24"/>
          <w:szCs w:val="24"/>
        </w:rPr>
        <w:t>p</w:t>
      </w:r>
      <w:r w:rsidR="003F1FA2" w:rsidRPr="00A529B7">
        <w:rPr>
          <w:rFonts w:ascii="Calibri" w:hAnsi="Calibri" w:cs="Calibri"/>
          <w:sz w:val="24"/>
          <w:szCs w:val="24"/>
        </w:rPr>
        <w:t xml:space="preserve">říloze č. </w:t>
      </w:r>
      <w:r w:rsidR="006E2539" w:rsidRPr="00A529B7">
        <w:rPr>
          <w:rFonts w:ascii="Calibri" w:hAnsi="Calibri" w:cs="Calibri"/>
          <w:sz w:val="24"/>
          <w:szCs w:val="24"/>
        </w:rPr>
        <w:t>3</w:t>
      </w:r>
      <w:r w:rsidR="003F1FA2" w:rsidRPr="00A529B7">
        <w:rPr>
          <w:rFonts w:ascii="Calibri" w:hAnsi="Calibri" w:cs="Calibri"/>
          <w:sz w:val="24"/>
          <w:szCs w:val="24"/>
        </w:rPr>
        <w:t>.</w:t>
      </w:r>
    </w:p>
    <w:p w14:paraId="316BF371" w14:textId="77777777" w:rsidR="00A529B7" w:rsidRPr="00A529B7" w:rsidRDefault="00A529B7" w:rsidP="00A529B7">
      <w:pPr>
        <w:spacing w:after="0" w:line="240" w:lineRule="auto"/>
        <w:jc w:val="both"/>
        <w:rPr>
          <w:rFonts w:ascii="Calibri" w:hAnsi="Calibri" w:cs="Calibri"/>
          <w:sz w:val="24"/>
          <w:szCs w:val="24"/>
        </w:rPr>
      </w:pPr>
    </w:p>
    <w:p w14:paraId="1566F585" w14:textId="313AB175" w:rsidR="003F1FA2" w:rsidRPr="00A529B7" w:rsidRDefault="007D78BF" w:rsidP="00A529B7">
      <w:pPr>
        <w:spacing w:after="0" w:line="240" w:lineRule="auto"/>
        <w:jc w:val="both"/>
        <w:rPr>
          <w:rFonts w:ascii="Calibri" w:hAnsi="Calibri" w:cs="Calibri"/>
          <w:sz w:val="24"/>
          <w:szCs w:val="24"/>
        </w:rPr>
      </w:pPr>
      <w:r w:rsidRPr="00A529B7">
        <w:rPr>
          <w:rFonts w:ascii="Calibri" w:hAnsi="Calibri" w:cs="Calibri"/>
          <w:sz w:val="24"/>
          <w:szCs w:val="24"/>
        </w:rPr>
        <w:t>4.2</w:t>
      </w:r>
      <w:r w:rsidR="000458CF" w:rsidRPr="00A529B7">
        <w:rPr>
          <w:rFonts w:ascii="Calibri" w:hAnsi="Calibri" w:cs="Calibri"/>
          <w:sz w:val="24"/>
          <w:szCs w:val="24"/>
        </w:rPr>
        <w:t>2</w:t>
      </w:r>
      <w:r w:rsidR="00A529B7">
        <w:rPr>
          <w:rFonts w:ascii="Calibri" w:hAnsi="Calibri" w:cs="Calibri"/>
          <w:sz w:val="24"/>
          <w:szCs w:val="24"/>
        </w:rPr>
        <w:t xml:space="preserve"> </w:t>
      </w:r>
      <w:r w:rsidR="003F1FA2" w:rsidRPr="00A529B7">
        <w:rPr>
          <w:rFonts w:ascii="Calibri" w:hAnsi="Calibri" w:cs="Calibri"/>
          <w:sz w:val="24"/>
          <w:szCs w:val="24"/>
        </w:rPr>
        <w:t>V Programu VI bylo posuzováno devět projektů. Pět z nich bylo vyhodnoceno jako účelné, tři jako účelné pouze omezeně a jeden jako neúčelný. V Programu VH byly posuzovány tři projekty, přičemž dva byly vyhodnoceny jako účelné a jeden jako účelný pouze omezeně</w:t>
      </w:r>
      <w:r w:rsidR="001C494D" w:rsidRPr="00A529B7">
        <w:rPr>
          <w:rFonts w:ascii="Calibri" w:hAnsi="Calibri" w:cs="Calibri"/>
          <w:sz w:val="24"/>
          <w:szCs w:val="24"/>
        </w:rPr>
        <w:t>. V</w:t>
      </w:r>
      <w:r w:rsidR="003F1FA2" w:rsidRPr="00A529B7">
        <w:rPr>
          <w:rFonts w:ascii="Calibri" w:hAnsi="Calibri" w:cs="Calibri"/>
          <w:sz w:val="24"/>
          <w:szCs w:val="24"/>
        </w:rPr>
        <w:t xml:space="preserve">ýsledek shrnuje </w:t>
      </w:r>
      <w:r w:rsidRPr="00A529B7">
        <w:rPr>
          <w:rFonts w:ascii="Calibri" w:hAnsi="Calibri" w:cs="Calibri"/>
          <w:sz w:val="24"/>
          <w:szCs w:val="24"/>
        </w:rPr>
        <w:t xml:space="preserve">graf č. </w:t>
      </w:r>
      <w:r w:rsidR="00EB2C94">
        <w:rPr>
          <w:rFonts w:ascii="Calibri" w:hAnsi="Calibri" w:cs="Calibri"/>
          <w:sz w:val="24"/>
          <w:szCs w:val="24"/>
        </w:rPr>
        <w:t>1</w:t>
      </w:r>
      <w:r w:rsidR="003F1FA2" w:rsidRPr="00A529B7">
        <w:rPr>
          <w:rFonts w:ascii="Calibri" w:hAnsi="Calibri" w:cs="Calibri"/>
          <w:sz w:val="24"/>
          <w:szCs w:val="24"/>
        </w:rPr>
        <w:t>. Výsledky posouzení jednotlivých projektů jsou uvedeny</w:t>
      </w:r>
      <w:r w:rsidR="00A529B7">
        <w:rPr>
          <w:rFonts w:ascii="Calibri" w:hAnsi="Calibri" w:cs="Calibri"/>
          <w:sz w:val="24"/>
          <w:szCs w:val="24"/>
        </w:rPr>
        <w:t xml:space="preserve"> </w:t>
      </w:r>
      <w:r w:rsidR="003F1FA2" w:rsidRPr="00A529B7">
        <w:rPr>
          <w:rFonts w:ascii="Calibri" w:hAnsi="Calibri" w:cs="Calibri"/>
          <w:sz w:val="24"/>
          <w:szCs w:val="24"/>
        </w:rPr>
        <w:t>v </w:t>
      </w:r>
      <w:r w:rsidR="00EB2C94">
        <w:rPr>
          <w:rFonts w:ascii="Calibri" w:hAnsi="Calibri" w:cs="Calibri"/>
          <w:sz w:val="24"/>
          <w:szCs w:val="24"/>
        </w:rPr>
        <w:t>p</w:t>
      </w:r>
      <w:r w:rsidR="003F1FA2" w:rsidRPr="00A529B7">
        <w:rPr>
          <w:rFonts w:ascii="Calibri" w:hAnsi="Calibri" w:cs="Calibri"/>
          <w:sz w:val="24"/>
          <w:szCs w:val="24"/>
        </w:rPr>
        <w:t>říloze č</w:t>
      </w:r>
      <w:r w:rsidR="006E2539" w:rsidRPr="00A529B7">
        <w:rPr>
          <w:rFonts w:ascii="Calibri" w:hAnsi="Calibri" w:cs="Calibri"/>
          <w:sz w:val="24"/>
          <w:szCs w:val="24"/>
        </w:rPr>
        <w:t>.</w:t>
      </w:r>
      <w:r w:rsidR="00A529B7">
        <w:rPr>
          <w:rFonts w:ascii="Calibri" w:hAnsi="Calibri" w:cs="Calibri"/>
          <w:sz w:val="24"/>
          <w:szCs w:val="24"/>
        </w:rPr>
        <w:t> </w:t>
      </w:r>
      <w:r w:rsidR="006E2539" w:rsidRPr="00A529B7">
        <w:rPr>
          <w:rFonts w:ascii="Calibri" w:hAnsi="Calibri" w:cs="Calibri"/>
          <w:sz w:val="24"/>
          <w:szCs w:val="24"/>
        </w:rPr>
        <w:t>2</w:t>
      </w:r>
      <w:r w:rsidR="003F1FA2" w:rsidRPr="00A529B7">
        <w:rPr>
          <w:rFonts w:ascii="Calibri" w:hAnsi="Calibri" w:cs="Calibri"/>
          <w:sz w:val="24"/>
          <w:szCs w:val="24"/>
        </w:rPr>
        <w:t>.</w:t>
      </w:r>
    </w:p>
    <w:p w14:paraId="29E59D06" w14:textId="77777777" w:rsidR="00BC50E9" w:rsidRPr="00A529B7" w:rsidRDefault="00BC50E9" w:rsidP="00A529B7">
      <w:pPr>
        <w:spacing w:after="0" w:line="240" w:lineRule="auto"/>
        <w:jc w:val="both"/>
        <w:rPr>
          <w:rFonts w:ascii="Calibri" w:hAnsi="Calibri" w:cs="Calibri"/>
          <w:sz w:val="24"/>
          <w:szCs w:val="24"/>
        </w:rPr>
      </w:pPr>
    </w:p>
    <w:p w14:paraId="68C5C160" w14:textId="701D2D6C" w:rsidR="003F1FA2" w:rsidRPr="007566FA" w:rsidRDefault="007D78BF" w:rsidP="00EA2965">
      <w:pPr>
        <w:keepNext/>
        <w:spacing w:after="120" w:line="240" w:lineRule="auto"/>
        <w:jc w:val="both"/>
        <w:rPr>
          <w:rFonts w:cstheme="minorHAnsi"/>
          <w:b/>
          <w:sz w:val="24"/>
          <w:szCs w:val="24"/>
        </w:rPr>
      </w:pPr>
      <w:r w:rsidRPr="00EB2C94">
        <w:rPr>
          <w:rFonts w:cstheme="minorHAnsi"/>
          <w:b/>
          <w:sz w:val="24"/>
          <w:szCs w:val="24"/>
        </w:rPr>
        <w:t xml:space="preserve">Graf č. </w:t>
      </w:r>
      <w:r w:rsidR="00EB2C94" w:rsidRPr="00EB2C94">
        <w:rPr>
          <w:rFonts w:cstheme="minorHAnsi"/>
          <w:b/>
          <w:sz w:val="24"/>
          <w:szCs w:val="24"/>
        </w:rPr>
        <w:t>1</w:t>
      </w:r>
      <w:r w:rsidR="003F1FA2" w:rsidRPr="00EB2C94">
        <w:rPr>
          <w:rFonts w:cstheme="minorHAnsi"/>
          <w:b/>
          <w:sz w:val="24"/>
          <w:szCs w:val="24"/>
        </w:rPr>
        <w:t>:</w:t>
      </w:r>
      <w:r w:rsidR="003F1FA2" w:rsidRPr="007566FA">
        <w:rPr>
          <w:rFonts w:cstheme="minorHAnsi"/>
          <w:b/>
          <w:sz w:val="24"/>
          <w:szCs w:val="24"/>
        </w:rPr>
        <w:t xml:space="preserve"> Výsledek hodnocení účelnosti</w:t>
      </w:r>
      <w:r w:rsidR="00AE5F42" w:rsidRPr="007566FA">
        <w:rPr>
          <w:rFonts w:cstheme="minorHAnsi"/>
          <w:b/>
          <w:sz w:val="24"/>
          <w:szCs w:val="24"/>
        </w:rPr>
        <w:t xml:space="preserve"> </w:t>
      </w:r>
      <w:r w:rsidR="002233F2" w:rsidRPr="007566FA">
        <w:rPr>
          <w:rFonts w:cstheme="minorHAnsi"/>
          <w:b/>
          <w:sz w:val="24"/>
          <w:szCs w:val="24"/>
        </w:rPr>
        <w:t>12</w:t>
      </w:r>
      <w:r w:rsidR="003F1FA2" w:rsidRPr="007566FA">
        <w:rPr>
          <w:rFonts w:cstheme="minorHAnsi"/>
          <w:b/>
          <w:sz w:val="24"/>
          <w:szCs w:val="24"/>
        </w:rPr>
        <w:t xml:space="preserve"> </w:t>
      </w:r>
      <w:r w:rsidR="00656C03" w:rsidRPr="007566FA">
        <w:rPr>
          <w:rFonts w:cstheme="minorHAnsi"/>
          <w:b/>
          <w:sz w:val="24"/>
          <w:szCs w:val="24"/>
        </w:rPr>
        <w:t xml:space="preserve">vybraných </w:t>
      </w:r>
      <w:r w:rsidR="003F1FA2" w:rsidRPr="007566FA">
        <w:rPr>
          <w:rFonts w:cstheme="minorHAnsi"/>
          <w:b/>
          <w:sz w:val="24"/>
          <w:szCs w:val="24"/>
        </w:rPr>
        <w:t>projektů</w:t>
      </w:r>
    </w:p>
    <w:p w14:paraId="4234E1F4" w14:textId="77777777" w:rsidR="001F739F" w:rsidRDefault="001F739F" w:rsidP="00A529B7">
      <w:pPr>
        <w:keepNext/>
        <w:spacing w:after="0" w:line="240" w:lineRule="auto"/>
        <w:jc w:val="both"/>
        <w:rPr>
          <w:rFonts w:cstheme="minorHAnsi"/>
          <w:sz w:val="24"/>
          <w:szCs w:val="24"/>
        </w:rPr>
      </w:pPr>
      <w:r>
        <w:rPr>
          <w:rFonts w:cstheme="minorHAnsi"/>
          <w:noProof/>
          <w:sz w:val="24"/>
          <w:szCs w:val="24"/>
          <w:lang w:eastAsia="cs-CZ"/>
        </w:rPr>
        <w:drawing>
          <wp:inline distT="0" distB="0" distL="0" distR="0" wp14:anchorId="4CBB5EA8" wp14:editId="516FE934">
            <wp:extent cx="3774476" cy="2772000"/>
            <wp:effectExtent l="0" t="0" r="0" b="0"/>
            <wp:docPr id="2" name="Graf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2F5C60">
        <w:rPr>
          <w:noProof/>
          <w:lang w:eastAsia="cs-CZ"/>
        </w:rPr>
        <w:drawing>
          <wp:inline distT="0" distB="0" distL="0" distR="0" wp14:anchorId="54989F56" wp14:editId="7E257D88">
            <wp:extent cx="1981200" cy="260032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CD1C05" w14:textId="2418761B" w:rsidR="003F1FA2" w:rsidRDefault="003F1FA2" w:rsidP="00A529B7">
      <w:pPr>
        <w:keepNext/>
        <w:spacing w:after="0" w:line="240" w:lineRule="auto"/>
        <w:jc w:val="both"/>
        <w:rPr>
          <w:rFonts w:cstheme="minorHAnsi"/>
          <w:sz w:val="20"/>
          <w:szCs w:val="20"/>
        </w:rPr>
      </w:pPr>
      <w:r w:rsidRPr="00E358F8">
        <w:rPr>
          <w:rFonts w:cstheme="minorHAnsi"/>
          <w:b/>
          <w:sz w:val="20"/>
          <w:szCs w:val="20"/>
        </w:rPr>
        <w:t>Zdroj:</w:t>
      </w:r>
      <w:r>
        <w:rPr>
          <w:rFonts w:cstheme="minorHAnsi"/>
          <w:sz w:val="20"/>
          <w:szCs w:val="20"/>
        </w:rPr>
        <w:t xml:space="preserve"> </w:t>
      </w:r>
      <w:r w:rsidR="00EB2C94">
        <w:rPr>
          <w:rFonts w:cstheme="minorHAnsi"/>
          <w:sz w:val="20"/>
          <w:szCs w:val="20"/>
        </w:rPr>
        <w:t>vypracoval</w:t>
      </w:r>
      <w:r>
        <w:rPr>
          <w:rFonts w:cstheme="minorHAnsi"/>
          <w:sz w:val="20"/>
          <w:szCs w:val="20"/>
        </w:rPr>
        <w:t xml:space="preserve"> NKÚ.</w:t>
      </w:r>
    </w:p>
    <w:p w14:paraId="34B89F25" w14:textId="77777777" w:rsidR="003F1FA2" w:rsidRPr="00A529B7" w:rsidRDefault="003F1FA2" w:rsidP="00A529B7">
      <w:pPr>
        <w:spacing w:after="0" w:line="240" w:lineRule="auto"/>
        <w:jc w:val="both"/>
        <w:rPr>
          <w:rFonts w:ascii="Calibri" w:hAnsi="Calibri" w:cs="Calibri"/>
          <w:sz w:val="24"/>
          <w:szCs w:val="24"/>
        </w:rPr>
      </w:pPr>
    </w:p>
    <w:p w14:paraId="29BE122E" w14:textId="758D35A4" w:rsidR="003F1FA2" w:rsidRDefault="007D78BF" w:rsidP="00A529B7">
      <w:pPr>
        <w:spacing w:after="0" w:line="240" w:lineRule="auto"/>
        <w:jc w:val="both"/>
        <w:rPr>
          <w:rFonts w:ascii="Calibri" w:hAnsi="Calibri" w:cs="Calibri"/>
          <w:sz w:val="24"/>
          <w:szCs w:val="24"/>
        </w:rPr>
      </w:pPr>
      <w:r w:rsidRPr="00A529B7">
        <w:rPr>
          <w:rFonts w:ascii="Calibri" w:hAnsi="Calibri" w:cs="Calibri"/>
          <w:sz w:val="24"/>
          <w:szCs w:val="24"/>
        </w:rPr>
        <w:lastRenderedPageBreak/>
        <w:t>4.2</w:t>
      </w:r>
      <w:r w:rsidR="000458CF" w:rsidRPr="00A529B7">
        <w:rPr>
          <w:rFonts w:ascii="Calibri" w:hAnsi="Calibri" w:cs="Calibri"/>
          <w:sz w:val="24"/>
          <w:szCs w:val="24"/>
        </w:rPr>
        <w:t>3</w:t>
      </w:r>
      <w:r w:rsidR="00A529B7" w:rsidRPr="00A529B7">
        <w:rPr>
          <w:rFonts w:ascii="Calibri" w:hAnsi="Calibri" w:cs="Calibri"/>
          <w:sz w:val="24"/>
          <w:szCs w:val="24"/>
        </w:rPr>
        <w:t xml:space="preserve"> </w:t>
      </w:r>
      <w:r w:rsidR="003F1FA2" w:rsidRPr="00A529B7">
        <w:rPr>
          <w:rFonts w:ascii="Calibri" w:hAnsi="Calibri" w:cs="Calibri"/>
          <w:sz w:val="24"/>
          <w:szCs w:val="24"/>
        </w:rPr>
        <w:t>V </w:t>
      </w:r>
      <w:r w:rsidRPr="00A529B7">
        <w:rPr>
          <w:rFonts w:ascii="Calibri" w:hAnsi="Calibri" w:cs="Calibri"/>
          <w:sz w:val="24"/>
          <w:szCs w:val="24"/>
        </w:rPr>
        <w:t>příkladech č. 2</w:t>
      </w:r>
      <w:r w:rsidR="003F1FA2" w:rsidRPr="00A529B7">
        <w:rPr>
          <w:rFonts w:ascii="Calibri" w:hAnsi="Calibri" w:cs="Calibri"/>
          <w:sz w:val="24"/>
          <w:szCs w:val="24"/>
        </w:rPr>
        <w:t xml:space="preserve"> </w:t>
      </w:r>
      <w:r w:rsidR="009F0DCE" w:rsidRPr="00A529B7">
        <w:rPr>
          <w:rFonts w:ascii="Calibri" w:hAnsi="Calibri" w:cs="Calibri"/>
          <w:sz w:val="24"/>
          <w:szCs w:val="24"/>
        </w:rPr>
        <w:t xml:space="preserve">a č. </w:t>
      </w:r>
      <w:r w:rsidRPr="00A529B7">
        <w:rPr>
          <w:rFonts w:ascii="Calibri" w:hAnsi="Calibri" w:cs="Calibri"/>
          <w:sz w:val="24"/>
          <w:szCs w:val="24"/>
        </w:rPr>
        <w:t>3</w:t>
      </w:r>
      <w:r w:rsidR="00726D13" w:rsidRPr="00A529B7">
        <w:rPr>
          <w:rFonts w:ascii="Calibri" w:hAnsi="Calibri" w:cs="Calibri"/>
          <w:sz w:val="24"/>
          <w:szCs w:val="24"/>
        </w:rPr>
        <w:t xml:space="preserve"> je</w:t>
      </w:r>
      <w:r w:rsidR="00BC50E9" w:rsidRPr="00A529B7">
        <w:rPr>
          <w:rFonts w:ascii="Calibri" w:hAnsi="Calibri" w:cs="Calibri"/>
          <w:sz w:val="24"/>
          <w:szCs w:val="24"/>
        </w:rPr>
        <w:t xml:space="preserve"> uvedeno, proč NKÚ některé projekty</w:t>
      </w:r>
      <w:r w:rsidR="003F1FA2" w:rsidRPr="00A529B7">
        <w:rPr>
          <w:rFonts w:ascii="Calibri" w:hAnsi="Calibri" w:cs="Calibri"/>
          <w:sz w:val="24"/>
          <w:szCs w:val="24"/>
        </w:rPr>
        <w:t xml:space="preserve"> vyhodnotil jako neúčelné nebo účelné pouze omezeně.</w:t>
      </w:r>
    </w:p>
    <w:p w14:paraId="7BCC40FB" w14:textId="77777777" w:rsidR="00032EA4" w:rsidRPr="00A529B7" w:rsidRDefault="00032EA4" w:rsidP="00A529B7">
      <w:pPr>
        <w:spacing w:after="0" w:line="240" w:lineRule="auto"/>
        <w:jc w:val="both"/>
        <w:rPr>
          <w:rFonts w:ascii="Calibri" w:hAnsi="Calibri" w:cs="Calibri"/>
          <w:sz w:val="24"/>
          <w:szCs w:val="24"/>
        </w:rPr>
      </w:pPr>
    </w:p>
    <w:p w14:paraId="65E5C7F4" w14:textId="4450469C" w:rsidR="003F1FA2" w:rsidRPr="00857DE3" w:rsidRDefault="007D78BF" w:rsidP="00EB2C94">
      <w:pPr>
        <w:spacing w:after="80" w:line="240" w:lineRule="auto"/>
        <w:rPr>
          <w:rFonts w:ascii="Calibri" w:hAnsi="Calibri" w:cs="Calibri"/>
          <w:color w:val="000000" w:themeColor="text1"/>
          <w:sz w:val="24"/>
          <w:szCs w:val="24"/>
        </w:rPr>
      </w:pPr>
      <w:r w:rsidRPr="00857DE3">
        <w:rPr>
          <w:rFonts w:ascii="Calibri" w:hAnsi="Calibri" w:cs="Calibri"/>
          <w:b/>
          <w:color w:val="000000" w:themeColor="text1"/>
          <w:sz w:val="24"/>
          <w:szCs w:val="24"/>
        </w:rPr>
        <w:t>Příklad č. 2</w:t>
      </w:r>
      <w:r w:rsidR="003F1FA2" w:rsidRPr="00857DE3">
        <w:rPr>
          <w:rFonts w:ascii="Calibri" w:hAnsi="Calibri" w:cs="Calibri"/>
          <w:b/>
          <w:color w:val="000000" w:themeColor="text1"/>
          <w:sz w:val="24"/>
          <w:szCs w:val="24"/>
        </w:rPr>
        <w:t>:</w:t>
      </w:r>
      <w:r w:rsidR="003F1FA2" w:rsidRPr="00857DE3">
        <w:rPr>
          <w:rFonts w:ascii="Calibri" w:hAnsi="Calibri" w:cs="Calibri"/>
          <w:color w:val="000000" w:themeColor="text1"/>
          <w:sz w:val="24"/>
          <w:szCs w:val="24"/>
        </w:rPr>
        <w:t xml:space="preserve"> </w:t>
      </w:r>
      <w:r w:rsidR="003F1FA2" w:rsidRPr="00857DE3">
        <w:rPr>
          <w:rFonts w:ascii="Calibri" w:hAnsi="Calibri" w:cs="Calibri"/>
          <w:b/>
          <w:color w:val="000000" w:themeColor="text1"/>
          <w:sz w:val="24"/>
          <w:szCs w:val="24"/>
        </w:rPr>
        <w:t>Unikátní všestranná bezpečnostní kamera založená na nanotechnologiích, u</w:t>
      </w:r>
      <w:r w:rsidR="00EB2C94">
        <w:rPr>
          <w:rFonts w:ascii="Calibri" w:hAnsi="Calibri" w:cs="Calibri"/>
          <w:b/>
          <w:color w:val="000000" w:themeColor="text1"/>
          <w:sz w:val="24"/>
          <w:szCs w:val="24"/>
        </w:rPr>
        <w:t> </w:t>
      </w:r>
      <w:r w:rsidR="003F1FA2" w:rsidRPr="00857DE3">
        <w:rPr>
          <w:rFonts w:ascii="Calibri" w:hAnsi="Calibri" w:cs="Calibri"/>
          <w:b/>
          <w:color w:val="000000" w:themeColor="text1"/>
          <w:sz w:val="24"/>
          <w:szCs w:val="24"/>
        </w:rPr>
        <w:t xml:space="preserve">níž bylo hodnocení </w:t>
      </w:r>
      <w:r w:rsidR="00BC50E9" w:rsidRPr="00857DE3">
        <w:rPr>
          <w:rFonts w:ascii="Calibri" w:hAnsi="Calibri" w:cs="Calibri"/>
          <w:b/>
          <w:color w:val="000000" w:themeColor="text1"/>
          <w:sz w:val="24"/>
          <w:szCs w:val="24"/>
        </w:rPr>
        <w:t>účelnosti</w:t>
      </w:r>
      <w:r w:rsidR="009F0DCE" w:rsidRPr="00857DE3">
        <w:rPr>
          <w:rFonts w:ascii="Calibri" w:hAnsi="Calibri" w:cs="Calibri"/>
          <w:b/>
          <w:color w:val="000000" w:themeColor="text1"/>
          <w:sz w:val="24"/>
          <w:szCs w:val="24"/>
        </w:rPr>
        <w:t xml:space="preserve"> </w:t>
      </w:r>
      <w:r w:rsidR="003F1FA2" w:rsidRPr="00857DE3">
        <w:rPr>
          <w:rFonts w:ascii="Calibri" w:hAnsi="Calibri" w:cs="Calibri"/>
          <w:b/>
          <w:color w:val="000000" w:themeColor="text1"/>
          <w:sz w:val="24"/>
          <w:szCs w:val="24"/>
        </w:rPr>
        <w:t>sníženo z důvodu nedokončení</w:t>
      </w:r>
      <w:r w:rsidR="009F0DCE" w:rsidRPr="00857DE3">
        <w:rPr>
          <w:rFonts w:ascii="Calibri" w:hAnsi="Calibri" w:cs="Calibri"/>
          <w:b/>
          <w:color w:val="000000" w:themeColor="text1"/>
          <w:sz w:val="24"/>
          <w:szCs w:val="24"/>
        </w:rPr>
        <w:t xml:space="preserve"> řešení</w:t>
      </w:r>
      <w:r w:rsidR="003F1FA2" w:rsidRPr="00857DE3">
        <w:rPr>
          <w:rFonts w:ascii="Calibri" w:hAnsi="Calibri" w:cs="Calibri"/>
          <w:b/>
          <w:color w:val="000000" w:themeColor="text1"/>
          <w:sz w:val="24"/>
          <w:szCs w:val="24"/>
        </w:rPr>
        <w:t xml:space="preserve"> a nedosažení deklarovaných výsledků</w:t>
      </w:r>
    </w:p>
    <w:tbl>
      <w:tblPr>
        <w:tblStyle w:val="Mkatabulky"/>
        <w:tblW w:w="0" w:type="auto"/>
        <w:tblInd w:w="-5" w:type="dxa"/>
        <w:tblLook w:val="04A0" w:firstRow="1" w:lastRow="0" w:firstColumn="1" w:lastColumn="0" w:noHBand="0" w:noVBand="1"/>
      </w:tblPr>
      <w:tblGrid>
        <w:gridCol w:w="9067"/>
      </w:tblGrid>
      <w:tr w:rsidR="003F1FA2" w:rsidRPr="00A529B7" w14:paraId="0E8C9645" w14:textId="77777777" w:rsidTr="003F1FA2">
        <w:tc>
          <w:tcPr>
            <w:tcW w:w="9067" w:type="dxa"/>
            <w:tcBorders>
              <w:top w:val="single" w:sz="4" w:space="0" w:color="auto"/>
              <w:left w:val="single" w:sz="4" w:space="0" w:color="auto"/>
              <w:bottom w:val="single" w:sz="4" w:space="0" w:color="auto"/>
              <w:right w:val="single" w:sz="4" w:space="0" w:color="auto"/>
            </w:tcBorders>
            <w:hideMark/>
          </w:tcPr>
          <w:p w14:paraId="3B34D5B3" w14:textId="51F5C9DD" w:rsidR="003F1FA2" w:rsidRPr="00A529B7" w:rsidRDefault="003F1FA2" w:rsidP="00A529B7">
            <w:pPr>
              <w:pStyle w:val="Odstavecseseznamem"/>
              <w:ind w:left="0"/>
              <w:contextualSpacing w:val="0"/>
              <w:jc w:val="both"/>
              <w:rPr>
                <w:rFonts w:ascii="Calibri" w:hAnsi="Calibri" w:cs="Calibri"/>
                <w:i/>
                <w:sz w:val="24"/>
                <w:szCs w:val="24"/>
              </w:rPr>
            </w:pPr>
            <w:r w:rsidRPr="00A529B7">
              <w:rPr>
                <w:rFonts w:ascii="Calibri" w:hAnsi="Calibri" w:cs="Calibri"/>
                <w:i/>
                <w:sz w:val="24"/>
                <w:szCs w:val="24"/>
              </w:rPr>
              <w:t>Výsledkem projektu VI</w:t>
            </w:r>
            <w:r w:rsidR="00AE5F42" w:rsidRPr="00A529B7">
              <w:rPr>
                <w:rFonts w:ascii="Calibri" w:hAnsi="Calibri" w:cs="Calibri"/>
                <w:i/>
                <w:sz w:val="24"/>
                <w:szCs w:val="24"/>
              </w:rPr>
              <w:t>20152019</w:t>
            </w:r>
            <w:r w:rsidRPr="00A529B7">
              <w:rPr>
                <w:rFonts w:ascii="Calibri" w:hAnsi="Calibri" w:cs="Calibri"/>
                <w:i/>
                <w:sz w:val="24"/>
                <w:szCs w:val="24"/>
              </w:rPr>
              <w:t xml:space="preserve">043 </w:t>
            </w:r>
            <w:r w:rsidR="00EB2C94">
              <w:rPr>
                <w:rFonts w:ascii="Calibri" w:hAnsi="Calibri" w:cs="Calibri"/>
                <w:i/>
                <w:sz w:val="24"/>
                <w:szCs w:val="24"/>
              </w:rPr>
              <w:t>–</w:t>
            </w:r>
            <w:r w:rsidR="00332B6F" w:rsidRPr="00A529B7">
              <w:rPr>
                <w:rFonts w:ascii="Calibri" w:hAnsi="Calibri" w:cs="Calibri"/>
                <w:i/>
                <w:sz w:val="24"/>
                <w:szCs w:val="24"/>
              </w:rPr>
              <w:t xml:space="preserve"> </w:t>
            </w:r>
            <w:r w:rsidRPr="00A529B7">
              <w:rPr>
                <w:rFonts w:ascii="Calibri" w:hAnsi="Calibri" w:cs="Calibri"/>
                <w:i/>
                <w:sz w:val="24"/>
                <w:szCs w:val="24"/>
              </w:rPr>
              <w:t>Unikátní všestranná bezpečnostní kamera založená na nanotechnologiích měl být světový unikát – kamera,</w:t>
            </w:r>
            <w:r w:rsidR="009F0DCE" w:rsidRPr="00A529B7">
              <w:rPr>
                <w:rFonts w:ascii="Calibri" w:hAnsi="Calibri" w:cs="Calibri"/>
                <w:i/>
                <w:sz w:val="24"/>
                <w:szCs w:val="24"/>
              </w:rPr>
              <w:t xml:space="preserve"> </w:t>
            </w:r>
            <w:r w:rsidRPr="00A529B7">
              <w:rPr>
                <w:rFonts w:ascii="Calibri" w:hAnsi="Calibri" w:cs="Calibri"/>
                <w:i/>
                <w:sz w:val="24"/>
                <w:szCs w:val="24"/>
              </w:rPr>
              <w:t>která umožní zobrazovat ve viditelné oblasti, infračervené oblasti (</w:t>
            </w:r>
            <w:proofErr w:type="spellStart"/>
            <w:r w:rsidRPr="00A529B7">
              <w:rPr>
                <w:rFonts w:ascii="Calibri" w:hAnsi="Calibri" w:cs="Calibri"/>
                <w:i/>
                <w:sz w:val="24"/>
                <w:szCs w:val="24"/>
              </w:rPr>
              <w:t>termovize</w:t>
            </w:r>
            <w:proofErr w:type="spellEnd"/>
            <w:r w:rsidRPr="00A529B7">
              <w:rPr>
                <w:rFonts w:ascii="Calibri" w:hAnsi="Calibri" w:cs="Calibri"/>
                <w:i/>
                <w:sz w:val="24"/>
                <w:szCs w:val="24"/>
              </w:rPr>
              <w:t>) a v </w:t>
            </w:r>
            <w:proofErr w:type="spellStart"/>
            <w:r w:rsidR="009F0DCE" w:rsidRPr="00A529B7">
              <w:rPr>
                <w:rFonts w:ascii="Calibri" w:hAnsi="Calibri" w:cs="Calibri"/>
                <w:i/>
                <w:sz w:val="24"/>
                <w:szCs w:val="24"/>
              </w:rPr>
              <w:t>terahertzové</w:t>
            </w:r>
            <w:proofErr w:type="spellEnd"/>
            <w:r w:rsidR="009F0DCE" w:rsidRPr="00A529B7">
              <w:rPr>
                <w:rFonts w:ascii="Calibri" w:hAnsi="Calibri" w:cs="Calibri"/>
                <w:i/>
                <w:sz w:val="24"/>
                <w:szCs w:val="24"/>
              </w:rPr>
              <w:t xml:space="preserve"> </w:t>
            </w:r>
            <w:r w:rsidRPr="00A529B7">
              <w:rPr>
                <w:rFonts w:ascii="Calibri" w:hAnsi="Calibri" w:cs="Calibri"/>
                <w:i/>
                <w:sz w:val="24"/>
                <w:szCs w:val="24"/>
              </w:rPr>
              <w:t>oblasti spektra vidění skrz některé materiály. Celkové náklady na řešení projektu činily 25 mil. Kč. NKÚ zjistil, že v době ukončení projektu byly vyvinuty pouze dílčí komponenty, nikoliv kamera jako funkční celek</w:t>
            </w:r>
            <w:r w:rsidR="009600DA" w:rsidRPr="00A529B7">
              <w:rPr>
                <w:rFonts w:ascii="Calibri" w:hAnsi="Calibri" w:cs="Calibri"/>
                <w:i/>
                <w:sz w:val="24"/>
                <w:szCs w:val="24"/>
              </w:rPr>
              <w:t xml:space="preserve">. </w:t>
            </w:r>
          </w:p>
          <w:p w14:paraId="74F709BE" w14:textId="1BE5D2E6" w:rsidR="003F1FA2" w:rsidRPr="00A529B7" w:rsidRDefault="003F1FA2" w:rsidP="00A529B7">
            <w:pPr>
              <w:pStyle w:val="Odstavecseseznamem"/>
              <w:ind w:left="0"/>
              <w:contextualSpacing w:val="0"/>
              <w:jc w:val="both"/>
              <w:rPr>
                <w:rFonts w:ascii="Calibri" w:hAnsi="Calibri" w:cs="Calibri"/>
                <w:i/>
                <w:sz w:val="24"/>
                <w:szCs w:val="24"/>
              </w:rPr>
            </w:pPr>
            <w:r w:rsidRPr="00A529B7">
              <w:rPr>
                <w:rFonts w:ascii="Calibri" w:hAnsi="Calibri" w:cs="Calibri"/>
                <w:i/>
                <w:sz w:val="24"/>
                <w:szCs w:val="24"/>
              </w:rPr>
              <w:t xml:space="preserve">Výsledků mělo být dosaženo pouze řešením výzkumné aktivity, </w:t>
            </w:r>
            <w:r w:rsidR="009F0DCE" w:rsidRPr="00A529B7">
              <w:rPr>
                <w:rFonts w:ascii="Calibri" w:hAnsi="Calibri" w:cs="Calibri"/>
                <w:i/>
                <w:sz w:val="24"/>
                <w:szCs w:val="24"/>
              </w:rPr>
              <w:t xml:space="preserve">která měla být zahájena </w:t>
            </w:r>
            <w:r w:rsidRPr="00A529B7">
              <w:rPr>
                <w:rFonts w:ascii="Calibri" w:hAnsi="Calibri" w:cs="Calibri"/>
                <w:i/>
                <w:sz w:val="24"/>
                <w:szCs w:val="24"/>
              </w:rPr>
              <w:t xml:space="preserve">až po účinnosti smlouvy o poskytnutí podpory. Dle zjištění NKÚ byl však jeden z patentů u Úřadu průmyslového vlastnictví přihlášen více než čtyři měsíce před zahájením projektu, druhý z patentů a užitný vzor byly </w:t>
            </w:r>
            <w:r w:rsidR="009F0DCE" w:rsidRPr="00A529B7">
              <w:rPr>
                <w:rFonts w:ascii="Calibri" w:hAnsi="Calibri" w:cs="Calibri"/>
                <w:i/>
                <w:sz w:val="24"/>
                <w:szCs w:val="24"/>
              </w:rPr>
              <w:t>tamtéž</w:t>
            </w:r>
            <w:r w:rsidRPr="00A529B7">
              <w:rPr>
                <w:rFonts w:ascii="Calibri" w:hAnsi="Calibri" w:cs="Calibri"/>
                <w:i/>
                <w:sz w:val="24"/>
                <w:szCs w:val="24"/>
              </w:rPr>
              <w:t xml:space="preserve"> přihlášeny již 21 dnů po zahájení řešení projektu. O</w:t>
            </w:r>
            <w:r w:rsidR="00AE5F42" w:rsidRPr="00A529B7">
              <w:rPr>
                <w:rFonts w:ascii="Calibri" w:hAnsi="Calibri" w:cs="Calibri"/>
                <w:i/>
                <w:sz w:val="24"/>
                <w:szCs w:val="24"/>
              </w:rPr>
              <w:t xml:space="preserve">ba patenty, užitný vzor a pět </w:t>
            </w:r>
            <w:r w:rsidR="002C1851" w:rsidRPr="00A529B7">
              <w:rPr>
                <w:rFonts w:ascii="Calibri" w:hAnsi="Calibri" w:cs="Calibri"/>
                <w:i/>
                <w:sz w:val="24"/>
                <w:szCs w:val="24"/>
              </w:rPr>
              <w:t>funkčních vzorků</w:t>
            </w:r>
            <w:r w:rsidRPr="00A529B7">
              <w:rPr>
                <w:rFonts w:ascii="Calibri" w:hAnsi="Calibri" w:cs="Calibri"/>
                <w:i/>
                <w:sz w:val="24"/>
                <w:szCs w:val="24"/>
              </w:rPr>
              <w:t>, které byly uvedeny jako výsledek projekt</w:t>
            </w:r>
            <w:r w:rsidR="002C1851" w:rsidRPr="00A529B7">
              <w:rPr>
                <w:rFonts w:ascii="Calibri" w:hAnsi="Calibri" w:cs="Calibri"/>
                <w:i/>
                <w:sz w:val="24"/>
                <w:szCs w:val="24"/>
              </w:rPr>
              <w:t>u</w:t>
            </w:r>
            <w:r w:rsidRPr="00A529B7">
              <w:rPr>
                <w:rFonts w:ascii="Calibri" w:hAnsi="Calibri" w:cs="Calibri"/>
                <w:i/>
                <w:sz w:val="24"/>
                <w:szCs w:val="24"/>
              </w:rPr>
              <w:t>, byly v </w:t>
            </w:r>
            <w:r w:rsidR="00CC6A7D" w:rsidRPr="00A529B7">
              <w:rPr>
                <w:rFonts w:ascii="Calibri" w:hAnsi="Calibri" w:cs="Calibri"/>
                <w:i/>
                <w:sz w:val="24"/>
                <w:szCs w:val="24"/>
              </w:rPr>
              <w:t xml:space="preserve">informačním systému </w:t>
            </w:r>
            <w:proofErr w:type="spellStart"/>
            <w:r w:rsidRPr="00A529B7">
              <w:rPr>
                <w:rFonts w:ascii="Calibri" w:hAnsi="Calibri" w:cs="Calibri"/>
                <w:i/>
                <w:sz w:val="24"/>
                <w:szCs w:val="24"/>
              </w:rPr>
              <w:t>VaVaI</w:t>
            </w:r>
            <w:proofErr w:type="spellEnd"/>
            <w:r w:rsidRPr="00A529B7">
              <w:rPr>
                <w:rFonts w:ascii="Calibri" w:hAnsi="Calibri" w:cs="Calibri"/>
                <w:i/>
                <w:sz w:val="24"/>
                <w:szCs w:val="24"/>
              </w:rPr>
              <w:t xml:space="preserve"> zároveň uvedeny jako výsledky jiných projektů financovaných dříve Grantovou agenturou</w:t>
            </w:r>
            <w:r w:rsidR="009F0DCE" w:rsidRPr="00A529B7">
              <w:rPr>
                <w:rFonts w:ascii="Calibri" w:hAnsi="Calibri" w:cs="Calibri"/>
                <w:i/>
                <w:sz w:val="24"/>
                <w:szCs w:val="24"/>
              </w:rPr>
              <w:t xml:space="preserve"> České republiky</w:t>
            </w:r>
            <w:r w:rsidRPr="00A529B7">
              <w:rPr>
                <w:rFonts w:ascii="Calibri" w:hAnsi="Calibri" w:cs="Calibri"/>
                <w:i/>
                <w:sz w:val="24"/>
                <w:szCs w:val="24"/>
              </w:rPr>
              <w:t xml:space="preserve"> a M</w:t>
            </w:r>
            <w:r w:rsidR="00CC6A7D" w:rsidRPr="00A529B7">
              <w:rPr>
                <w:rFonts w:ascii="Calibri" w:hAnsi="Calibri" w:cs="Calibri"/>
                <w:i/>
                <w:sz w:val="24"/>
                <w:szCs w:val="24"/>
              </w:rPr>
              <w:t>inisterstvem školství, mládeže a tělovýchovy</w:t>
            </w:r>
            <w:r w:rsidRPr="00A529B7">
              <w:rPr>
                <w:rFonts w:ascii="Calibri" w:hAnsi="Calibri" w:cs="Calibri"/>
                <w:i/>
                <w:sz w:val="24"/>
                <w:szCs w:val="24"/>
              </w:rPr>
              <w:t xml:space="preserve">. Existuje zde riziko několikanásobného financování stejných výsledků projektů. </w:t>
            </w:r>
          </w:p>
          <w:p w14:paraId="443DB66F" w14:textId="4E6B6AD6" w:rsidR="003F1FA2" w:rsidRPr="00A529B7" w:rsidRDefault="003F1FA2" w:rsidP="0045592B">
            <w:pPr>
              <w:pStyle w:val="Odstavecseseznamem"/>
              <w:ind w:left="0"/>
              <w:contextualSpacing w:val="0"/>
              <w:jc w:val="both"/>
              <w:rPr>
                <w:rFonts w:ascii="Calibri" w:hAnsi="Calibri" w:cs="Calibri"/>
                <w:i/>
                <w:sz w:val="24"/>
                <w:szCs w:val="24"/>
                <w:highlight w:val="yellow"/>
              </w:rPr>
            </w:pPr>
            <w:r w:rsidRPr="00A529B7">
              <w:rPr>
                <w:rFonts w:ascii="Calibri" w:hAnsi="Calibri" w:cs="Calibri"/>
                <w:i/>
                <w:sz w:val="24"/>
                <w:szCs w:val="24"/>
              </w:rPr>
              <w:t xml:space="preserve">Vzhledem k tomu, že kamera nebyla k datu ukončení řešení projektu dokončena a nebylo dosaženo všech deklarovaných výsledků </w:t>
            </w:r>
            <w:r w:rsidR="009B5D95" w:rsidRPr="00A529B7">
              <w:rPr>
                <w:rFonts w:ascii="Calibri" w:hAnsi="Calibri" w:cs="Calibri"/>
                <w:i/>
                <w:sz w:val="24"/>
                <w:szCs w:val="24"/>
              </w:rPr>
              <w:t xml:space="preserve">a navíc se nejednalo o unikátní řešení jako výsledek tohoto projektu, </w:t>
            </w:r>
            <w:r w:rsidRPr="00A529B7">
              <w:rPr>
                <w:rFonts w:ascii="Calibri" w:hAnsi="Calibri" w:cs="Calibri"/>
                <w:i/>
                <w:sz w:val="24"/>
                <w:szCs w:val="24"/>
              </w:rPr>
              <w:t xml:space="preserve">NKÚ </w:t>
            </w:r>
            <w:r w:rsidR="0054632E" w:rsidRPr="00A529B7">
              <w:rPr>
                <w:rFonts w:ascii="Calibri" w:hAnsi="Calibri" w:cs="Calibri"/>
                <w:i/>
                <w:sz w:val="24"/>
                <w:szCs w:val="24"/>
              </w:rPr>
              <w:t>projekt vyhodnotil</w:t>
            </w:r>
            <w:r w:rsidRPr="00A529B7">
              <w:rPr>
                <w:rFonts w:ascii="Calibri" w:hAnsi="Calibri" w:cs="Calibri"/>
                <w:i/>
                <w:sz w:val="24"/>
                <w:szCs w:val="24"/>
              </w:rPr>
              <w:t xml:space="preserve"> jako neúčelný a současně jako neefektivní.</w:t>
            </w:r>
          </w:p>
        </w:tc>
      </w:tr>
    </w:tbl>
    <w:p w14:paraId="426D95A8" w14:textId="77777777" w:rsidR="003F1FA2" w:rsidRPr="00A529B7" w:rsidRDefault="003F1FA2" w:rsidP="00A529B7">
      <w:pPr>
        <w:spacing w:after="0" w:line="240" w:lineRule="auto"/>
        <w:rPr>
          <w:rFonts w:ascii="Calibri" w:hAnsi="Calibri" w:cs="Calibri"/>
          <w:sz w:val="24"/>
          <w:szCs w:val="24"/>
          <w:highlight w:val="yellow"/>
        </w:rPr>
      </w:pPr>
    </w:p>
    <w:p w14:paraId="0113178A" w14:textId="765CE7E8" w:rsidR="003F1FA2" w:rsidRPr="00C71487" w:rsidRDefault="007D78BF" w:rsidP="00EB2C94">
      <w:pPr>
        <w:keepNext/>
        <w:spacing w:after="80" w:line="240" w:lineRule="auto"/>
        <w:rPr>
          <w:rFonts w:ascii="Calibri" w:hAnsi="Calibri" w:cs="Calibri"/>
          <w:color w:val="000000" w:themeColor="text1"/>
          <w:sz w:val="24"/>
          <w:szCs w:val="24"/>
        </w:rPr>
      </w:pPr>
      <w:r w:rsidRPr="00C71487">
        <w:rPr>
          <w:rFonts w:ascii="Calibri" w:hAnsi="Calibri" w:cs="Calibri"/>
          <w:b/>
          <w:color w:val="000000" w:themeColor="text1"/>
          <w:sz w:val="24"/>
          <w:szCs w:val="24"/>
        </w:rPr>
        <w:t>Příklad č. 3</w:t>
      </w:r>
      <w:r w:rsidR="003F1FA2" w:rsidRPr="00C71487">
        <w:rPr>
          <w:rFonts w:ascii="Calibri" w:hAnsi="Calibri" w:cs="Calibri"/>
          <w:b/>
          <w:color w:val="000000" w:themeColor="text1"/>
          <w:sz w:val="24"/>
          <w:szCs w:val="24"/>
        </w:rPr>
        <w:t>:</w:t>
      </w:r>
      <w:r w:rsidR="003F1FA2" w:rsidRPr="00C71487">
        <w:rPr>
          <w:rFonts w:ascii="Calibri" w:hAnsi="Calibri" w:cs="Calibri"/>
          <w:color w:val="000000" w:themeColor="text1"/>
          <w:sz w:val="24"/>
          <w:szCs w:val="24"/>
        </w:rPr>
        <w:t xml:space="preserve"> </w:t>
      </w:r>
      <w:r w:rsidR="003F1FA2" w:rsidRPr="00C71487">
        <w:rPr>
          <w:rFonts w:ascii="Calibri" w:hAnsi="Calibri" w:cs="Calibri"/>
          <w:b/>
          <w:color w:val="000000" w:themeColor="text1"/>
          <w:sz w:val="24"/>
          <w:szCs w:val="24"/>
        </w:rPr>
        <w:t>Zátěžový tester ICT, u něhož bylo hodnocení účelnosti sníženo z důvodu nevyužití vzniklého výsledku</w:t>
      </w:r>
      <w:r w:rsidR="00BC50E9" w:rsidRPr="00C71487">
        <w:rPr>
          <w:rFonts w:ascii="Calibri" w:hAnsi="Calibri" w:cs="Calibri"/>
          <w:b/>
          <w:color w:val="000000" w:themeColor="text1"/>
          <w:sz w:val="24"/>
          <w:szCs w:val="24"/>
        </w:rPr>
        <w:t xml:space="preserve"> v praxi</w:t>
      </w:r>
    </w:p>
    <w:tbl>
      <w:tblPr>
        <w:tblStyle w:val="Mkatabulky"/>
        <w:tblW w:w="0" w:type="auto"/>
        <w:tblInd w:w="-5" w:type="dxa"/>
        <w:tblLook w:val="04A0" w:firstRow="1" w:lastRow="0" w:firstColumn="1" w:lastColumn="0" w:noHBand="0" w:noVBand="1"/>
      </w:tblPr>
      <w:tblGrid>
        <w:gridCol w:w="9067"/>
      </w:tblGrid>
      <w:tr w:rsidR="003F1FA2" w:rsidRPr="00A529B7" w14:paraId="5483FA37" w14:textId="77777777" w:rsidTr="003F1FA2">
        <w:tc>
          <w:tcPr>
            <w:tcW w:w="9067" w:type="dxa"/>
            <w:tcBorders>
              <w:top w:val="single" w:sz="4" w:space="0" w:color="auto"/>
              <w:left w:val="single" w:sz="4" w:space="0" w:color="auto"/>
              <w:bottom w:val="single" w:sz="4" w:space="0" w:color="auto"/>
              <w:right w:val="single" w:sz="4" w:space="0" w:color="auto"/>
            </w:tcBorders>
            <w:hideMark/>
          </w:tcPr>
          <w:p w14:paraId="547AC3E0" w14:textId="25B89E62" w:rsidR="003F1FA2" w:rsidRPr="00A529B7" w:rsidRDefault="003F1FA2" w:rsidP="00032EA4">
            <w:pPr>
              <w:pStyle w:val="Odstavecseseznamem"/>
              <w:keepNext/>
              <w:ind w:left="0"/>
              <w:contextualSpacing w:val="0"/>
              <w:jc w:val="both"/>
              <w:rPr>
                <w:rFonts w:ascii="Calibri" w:hAnsi="Calibri" w:cs="Calibri"/>
                <w:i/>
                <w:sz w:val="24"/>
                <w:szCs w:val="24"/>
              </w:rPr>
            </w:pPr>
            <w:r w:rsidRPr="00A529B7">
              <w:rPr>
                <w:rFonts w:ascii="Calibri" w:hAnsi="Calibri" w:cs="Calibri"/>
                <w:i/>
                <w:sz w:val="24"/>
                <w:szCs w:val="24"/>
              </w:rPr>
              <w:t>Projekt VI</w:t>
            </w:r>
            <w:r w:rsidR="0036300D" w:rsidRPr="00A529B7">
              <w:rPr>
                <w:rFonts w:ascii="Calibri" w:hAnsi="Calibri" w:cs="Calibri"/>
                <w:i/>
                <w:sz w:val="24"/>
                <w:szCs w:val="24"/>
              </w:rPr>
              <w:t>20152018</w:t>
            </w:r>
            <w:r w:rsidRPr="00A529B7">
              <w:rPr>
                <w:rFonts w:ascii="Calibri" w:hAnsi="Calibri" w:cs="Calibri"/>
                <w:i/>
                <w:sz w:val="24"/>
                <w:szCs w:val="24"/>
              </w:rPr>
              <w:t>002</w:t>
            </w:r>
            <w:r w:rsidR="00332B6F" w:rsidRPr="00A529B7">
              <w:rPr>
                <w:rFonts w:ascii="Calibri" w:hAnsi="Calibri" w:cs="Calibri"/>
                <w:i/>
                <w:sz w:val="24"/>
                <w:szCs w:val="24"/>
              </w:rPr>
              <w:t xml:space="preserve"> </w:t>
            </w:r>
            <w:r w:rsidR="00EB2C94">
              <w:rPr>
                <w:rFonts w:ascii="Calibri" w:hAnsi="Calibri" w:cs="Calibri"/>
                <w:i/>
                <w:sz w:val="24"/>
                <w:szCs w:val="24"/>
              </w:rPr>
              <w:t>–</w:t>
            </w:r>
            <w:r w:rsidRPr="00A529B7">
              <w:rPr>
                <w:rFonts w:ascii="Calibri" w:hAnsi="Calibri" w:cs="Calibri"/>
                <w:i/>
                <w:sz w:val="24"/>
                <w:szCs w:val="24"/>
              </w:rPr>
              <w:t xml:space="preserve"> Zátěžový tester ICT byl určen pro kompletní testování a analýzu informačních a komunikačních systémů</w:t>
            </w:r>
            <w:r w:rsidR="00DC0063" w:rsidRPr="00A529B7">
              <w:rPr>
                <w:rFonts w:ascii="Calibri" w:hAnsi="Calibri" w:cs="Calibri"/>
                <w:i/>
                <w:sz w:val="24"/>
                <w:szCs w:val="24"/>
              </w:rPr>
              <w:t>.</w:t>
            </w:r>
            <w:r w:rsidRPr="00A529B7">
              <w:rPr>
                <w:rFonts w:ascii="Calibri" w:hAnsi="Calibri" w:cs="Calibri"/>
                <w:i/>
                <w:sz w:val="24"/>
                <w:szCs w:val="24"/>
              </w:rPr>
              <w:t xml:space="preserve"> Jeho nasazení do praxe mělo umožnit nalezení slabých míst kritických infrastruktur a předcházet tak kybernetickým útokům. </w:t>
            </w:r>
          </w:p>
          <w:p w14:paraId="04B951CE" w14:textId="11BED7D4" w:rsidR="003F1FA2" w:rsidRPr="00A529B7" w:rsidRDefault="003F1FA2" w:rsidP="0045592B">
            <w:pPr>
              <w:pStyle w:val="Odstavecseseznamem"/>
              <w:keepNext/>
              <w:ind w:left="0"/>
              <w:contextualSpacing w:val="0"/>
              <w:jc w:val="both"/>
              <w:rPr>
                <w:rFonts w:ascii="Calibri" w:hAnsi="Calibri" w:cs="Calibri"/>
                <w:sz w:val="24"/>
                <w:szCs w:val="24"/>
                <w:highlight w:val="yellow"/>
              </w:rPr>
            </w:pPr>
            <w:r w:rsidRPr="00A529B7">
              <w:rPr>
                <w:rFonts w:ascii="Calibri" w:hAnsi="Calibri" w:cs="Calibri"/>
                <w:i/>
                <w:sz w:val="24"/>
                <w:szCs w:val="24"/>
              </w:rPr>
              <w:t xml:space="preserve">Hlavního cíle a stanovených výsledků projektu bylo </w:t>
            </w:r>
            <w:r w:rsidR="009F0DCE" w:rsidRPr="00A529B7">
              <w:rPr>
                <w:rFonts w:ascii="Calibri" w:hAnsi="Calibri" w:cs="Calibri"/>
                <w:i/>
                <w:sz w:val="24"/>
                <w:szCs w:val="24"/>
              </w:rPr>
              <w:t xml:space="preserve">k 10/2018 </w:t>
            </w:r>
            <w:r w:rsidRPr="00A529B7">
              <w:rPr>
                <w:rFonts w:ascii="Calibri" w:hAnsi="Calibri" w:cs="Calibri"/>
                <w:i/>
                <w:sz w:val="24"/>
                <w:szCs w:val="24"/>
              </w:rPr>
              <w:t>dosaženo. Nicméně přestože příjemce uvedl, že o tester projevily zájem konkrétní subjekty a předložil plán implementace, v době ukončení kontroly</w:t>
            </w:r>
            <w:r w:rsidR="009F0DCE" w:rsidRPr="00A529B7">
              <w:rPr>
                <w:rFonts w:ascii="Calibri" w:hAnsi="Calibri" w:cs="Calibri"/>
                <w:i/>
                <w:sz w:val="24"/>
                <w:szCs w:val="24"/>
              </w:rPr>
              <w:t xml:space="preserve"> k 11/2019 </w:t>
            </w:r>
            <w:r w:rsidRPr="00A529B7">
              <w:rPr>
                <w:rFonts w:ascii="Calibri" w:hAnsi="Calibri" w:cs="Calibri"/>
                <w:i/>
                <w:sz w:val="24"/>
                <w:szCs w:val="24"/>
              </w:rPr>
              <w:t xml:space="preserve">nebyl tester formou plánované komerční služby uplatněn v praxi. </w:t>
            </w:r>
            <w:r w:rsidR="009600DA" w:rsidRPr="00A529B7">
              <w:rPr>
                <w:rFonts w:ascii="Calibri" w:hAnsi="Calibri" w:cs="Calibri"/>
                <w:i/>
                <w:sz w:val="24"/>
                <w:szCs w:val="24"/>
              </w:rPr>
              <w:t>NKÚ proto vyhodnotil projekt</w:t>
            </w:r>
            <w:r w:rsidRPr="00A529B7">
              <w:rPr>
                <w:rFonts w:ascii="Calibri" w:hAnsi="Calibri" w:cs="Calibri"/>
                <w:i/>
                <w:sz w:val="24"/>
                <w:szCs w:val="24"/>
              </w:rPr>
              <w:t xml:space="preserve"> jako účelný pouze omezeně.</w:t>
            </w:r>
          </w:p>
        </w:tc>
      </w:tr>
    </w:tbl>
    <w:p w14:paraId="6622FA87" w14:textId="77777777" w:rsidR="00032EA4" w:rsidRPr="00A529B7" w:rsidRDefault="00032EA4" w:rsidP="00032EA4">
      <w:pPr>
        <w:spacing w:after="0" w:line="240" w:lineRule="auto"/>
        <w:jc w:val="both"/>
        <w:rPr>
          <w:rFonts w:ascii="Calibri" w:hAnsi="Calibri" w:cs="Calibri"/>
          <w:sz w:val="24"/>
          <w:szCs w:val="24"/>
        </w:rPr>
      </w:pPr>
    </w:p>
    <w:p w14:paraId="66F1F21F" w14:textId="77777777" w:rsidR="00927605" w:rsidRPr="00A529B7" w:rsidRDefault="00927605" w:rsidP="00A529B7">
      <w:pPr>
        <w:spacing w:after="0" w:line="240" w:lineRule="auto"/>
        <w:jc w:val="both"/>
        <w:rPr>
          <w:rFonts w:ascii="Calibri" w:hAnsi="Calibri" w:cs="Calibri"/>
          <w:b/>
          <w:i/>
          <w:color w:val="C00000"/>
          <w:sz w:val="24"/>
          <w:szCs w:val="24"/>
        </w:rPr>
      </w:pPr>
      <w:r w:rsidRPr="00A529B7">
        <w:rPr>
          <w:rFonts w:ascii="Calibri" w:hAnsi="Calibri" w:cs="Calibri"/>
          <w:b/>
          <w:i/>
          <w:color w:val="C00000"/>
          <w:sz w:val="24"/>
          <w:szCs w:val="24"/>
        </w:rPr>
        <w:t xml:space="preserve">→ </w:t>
      </w:r>
      <w:r w:rsidR="00FB4B41" w:rsidRPr="00A529B7">
        <w:rPr>
          <w:rFonts w:ascii="Calibri" w:hAnsi="Calibri" w:cs="Calibri"/>
          <w:b/>
          <w:i/>
          <w:color w:val="C00000"/>
          <w:sz w:val="24"/>
          <w:szCs w:val="24"/>
        </w:rPr>
        <w:t>MV provádí průběžný m</w:t>
      </w:r>
      <w:r w:rsidRPr="00A529B7">
        <w:rPr>
          <w:rFonts w:ascii="Calibri" w:hAnsi="Calibri" w:cs="Calibri"/>
          <w:b/>
          <w:i/>
          <w:color w:val="C00000"/>
          <w:sz w:val="24"/>
          <w:szCs w:val="24"/>
        </w:rPr>
        <w:t>onitoring</w:t>
      </w:r>
      <w:r w:rsidR="004F6783" w:rsidRPr="00A529B7">
        <w:rPr>
          <w:rFonts w:ascii="Calibri" w:hAnsi="Calibri" w:cs="Calibri"/>
          <w:b/>
          <w:i/>
          <w:color w:val="C00000"/>
          <w:sz w:val="24"/>
          <w:szCs w:val="24"/>
        </w:rPr>
        <w:t xml:space="preserve"> a kontrolu</w:t>
      </w:r>
      <w:r w:rsidR="00FB4B41" w:rsidRPr="00A529B7">
        <w:rPr>
          <w:rFonts w:ascii="Calibri" w:hAnsi="Calibri" w:cs="Calibri"/>
          <w:b/>
          <w:i/>
          <w:color w:val="C00000"/>
          <w:sz w:val="24"/>
          <w:szCs w:val="24"/>
        </w:rPr>
        <w:t>,</w:t>
      </w:r>
      <w:r w:rsidR="009600DA" w:rsidRPr="00A529B7">
        <w:rPr>
          <w:rFonts w:ascii="Calibri" w:hAnsi="Calibri" w:cs="Calibri"/>
          <w:b/>
          <w:i/>
          <w:color w:val="C00000"/>
          <w:sz w:val="24"/>
          <w:szCs w:val="24"/>
        </w:rPr>
        <w:t xml:space="preserve"> </w:t>
      </w:r>
      <w:r w:rsidR="007825A8" w:rsidRPr="00A529B7">
        <w:rPr>
          <w:rFonts w:ascii="Calibri" w:hAnsi="Calibri" w:cs="Calibri"/>
          <w:b/>
          <w:i/>
          <w:color w:val="C00000"/>
          <w:sz w:val="24"/>
          <w:szCs w:val="24"/>
        </w:rPr>
        <w:t xml:space="preserve">navzdory tomu </w:t>
      </w:r>
      <w:r w:rsidR="009600DA" w:rsidRPr="00A529B7">
        <w:rPr>
          <w:rFonts w:ascii="Calibri" w:hAnsi="Calibri" w:cs="Calibri"/>
          <w:b/>
          <w:i/>
          <w:color w:val="C00000"/>
          <w:sz w:val="24"/>
          <w:szCs w:val="24"/>
        </w:rPr>
        <w:t>v případě jednoho z</w:t>
      </w:r>
      <w:r w:rsidR="00C45631" w:rsidRPr="00A529B7">
        <w:rPr>
          <w:rFonts w:ascii="Calibri" w:hAnsi="Calibri" w:cs="Calibri"/>
          <w:b/>
          <w:i/>
          <w:color w:val="C00000"/>
          <w:sz w:val="24"/>
          <w:szCs w:val="24"/>
        </w:rPr>
        <w:t xml:space="preserve"> vybraných </w:t>
      </w:r>
      <w:r w:rsidR="009600DA" w:rsidRPr="00A529B7">
        <w:rPr>
          <w:rFonts w:ascii="Calibri" w:hAnsi="Calibri" w:cs="Calibri"/>
          <w:b/>
          <w:i/>
          <w:color w:val="C00000"/>
          <w:sz w:val="24"/>
          <w:szCs w:val="24"/>
        </w:rPr>
        <w:t>projektů</w:t>
      </w:r>
      <w:r w:rsidR="007825A8" w:rsidRPr="00A529B7">
        <w:rPr>
          <w:rFonts w:ascii="Calibri" w:hAnsi="Calibri" w:cs="Calibri"/>
          <w:b/>
          <w:i/>
          <w:color w:val="C00000"/>
          <w:sz w:val="24"/>
          <w:szCs w:val="24"/>
        </w:rPr>
        <w:t xml:space="preserve"> neodhalilo nedostatky</w:t>
      </w:r>
      <w:r w:rsidR="00FB4B41" w:rsidRPr="00A529B7">
        <w:rPr>
          <w:rFonts w:ascii="Calibri" w:hAnsi="Calibri" w:cs="Calibri"/>
          <w:b/>
          <w:i/>
          <w:color w:val="C00000"/>
          <w:sz w:val="24"/>
          <w:szCs w:val="24"/>
        </w:rPr>
        <w:t>.</w:t>
      </w:r>
    </w:p>
    <w:p w14:paraId="6AE26A5F" w14:textId="77777777" w:rsidR="00032EA4" w:rsidRDefault="00032EA4" w:rsidP="00A529B7">
      <w:pPr>
        <w:spacing w:after="0" w:line="240" w:lineRule="auto"/>
        <w:jc w:val="both"/>
        <w:rPr>
          <w:rFonts w:ascii="Calibri" w:hAnsi="Calibri" w:cs="Calibri"/>
          <w:bCs/>
          <w:color w:val="000000" w:themeColor="text1"/>
          <w:sz w:val="24"/>
          <w:szCs w:val="24"/>
        </w:rPr>
      </w:pPr>
    </w:p>
    <w:p w14:paraId="0B17B9EC" w14:textId="77777777" w:rsidR="00927605" w:rsidRDefault="00927605" w:rsidP="00A529B7">
      <w:pPr>
        <w:spacing w:after="0" w:line="240" w:lineRule="auto"/>
        <w:jc w:val="both"/>
        <w:rPr>
          <w:rFonts w:ascii="Calibri" w:hAnsi="Calibri" w:cs="Calibri"/>
          <w:bCs/>
          <w:color w:val="000000" w:themeColor="text1"/>
          <w:sz w:val="24"/>
          <w:szCs w:val="24"/>
        </w:rPr>
      </w:pPr>
      <w:r w:rsidRPr="00A529B7">
        <w:rPr>
          <w:rFonts w:ascii="Calibri" w:hAnsi="Calibri" w:cs="Calibri"/>
          <w:bCs/>
          <w:color w:val="000000" w:themeColor="text1"/>
          <w:sz w:val="24"/>
          <w:szCs w:val="24"/>
        </w:rPr>
        <w:t>4.</w:t>
      </w:r>
      <w:r w:rsidR="007D78BF" w:rsidRPr="00A529B7">
        <w:rPr>
          <w:rFonts w:ascii="Calibri" w:hAnsi="Calibri" w:cs="Calibri"/>
          <w:bCs/>
          <w:color w:val="000000" w:themeColor="text1"/>
          <w:sz w:val="24"/>
          <w:szCs w:val="24"/>
        </w:rPr>
        <w:t>2</w:t>
      </w:r>
      <w:r w:rsidR="00DC0063" w:rsidRPr="00A529B7">
        <w:rPr>
          <w:rFonts w:ascii="Calibri" w:hAnsi="Calibri" w:cs="Calibri"/>
          <w:bCs/>
          <w:color w:val="000000" w:themeColor="text1"/>
          <w:sz w:val="24"/>
          <w:szCs w:val="24"/>
        </w:rPr>
        <w:t>4</w:t>
      </w:r>
      <w:r w:rsidR="00032EA4">
        <w:rPr>
          <w:rFonts w:ascii="Calibri" w:hAnsi="Calibri" w:cs="Calibri"/>
          <w:bCs/>
          <w:color w:val="000000" w:themeColor="text1"/>
          <w:sz w:val="24"/>
          <w:szCs w:val="24"/>
        </w:rPr>
        <w:t xml:space="preserve"> </w:t>
      </w:r>
      <w:r w:rsidRPr="00A529B7">
        <w:rPr>
          <w:rFonts w:ascii="Calibri" w:hAnsi="Calibri" w:cs="Calibri"/>
          <w:bCs/>
          <w:color w:val="000000" w:themeColor="text1"/>
          <w:sz w:val="24"/>
          <w:szCs w:val="24"/>
        </w:rPr>
        <w:t xml:space="preserve">Monitoringem se rozumí průběžné zjišťování stavu programů a projektů a porovnávání získaných informací s výchozími hodnotami a předpokládaným plánem. Monitorování je soustavnou činností, která probíhá během celé realizace programů a projektů, ale i po jejich ukončení (např. indikátory výsledků či dopadů). Pro </w:t>
      </w:r>
      <w:r w:rsidR="009F0DCE" w:rsidRPr="00A529B7">
        <w:rPr>
          <w:rFonts w:ascii="Calibri" w:hAnsi="Calibri" w:cs="Calibri"/>
          <w:bCs/>
          <w:color w:val="000000" w:themeColor="text1"/>
          <w:sz w:val="24"/>
          <w:szCs w:val="24"/>
        </w:rPr>
        <w:t xml:space="preserve">účelné </w:t>
      </w:r>
      <w:r w:rsidRPr="00A529B7">
        <w:rPr>
          <w:rFonts w:ascii="Calibri" w:hAnsi="Calibri" w:cs="Calibri"/>
          <w:bCs/>
          <w:color w:val="000000" w:themeColor="text1"/>
          <w:sz w:val="24"/>
          <w:szCs w:val="24"/>
        </w:rPr>
        <w:t>nastavení monitoringu je nezbytná vazba na cíle a měřitelné indikátory a vytvoření odpovídajícího systému sledování a</w:t>
      </w:r>
      <w:r w:rsidR="00032EA4">
        <w:rPr>
          <w:rFonts w:ascii="Calibri" w:hAnsi="Calibri" w:cs="Calibri"/>
          <w:bCs/>
          <w:color w:val="000000" w:themeColor="text1"/>
          <w:sz w:val="24"/>
          <w:szCs w:val="24"/>
        </w:rPr>
        <w:t> </w:t>
      </w:r>
      <w:r w:rsidRPr="00A529B7">
        <w:rPr>
          <w:rFonts w:ascii="Calibri" w:hAnsi="Calibri" w:cs="Calibri"/>
          <w:bCs/>
          <w:color w:val="000000" w:themeColor="text1"/>
          <w:sz w:val="24"/>
          <w:szCs w:val="24"/>
        </w:rPr>
        <w:t>průběžného záznamu dat a informací.</w:t>
      </w:r>
    </w:p>
    <w:p w14:paraId="28444C82" w14:textId="77777777" w:rsidR="00032EA4" w:rsidRPr="00A529B7" w:rsidRDefault="00032EA4" w:rsidP="00A529B7">
      <w:pPr>
        <w:spacing w:after="0" w:line="240" w:lineRule="auto"/>
        <w:jc w:val="both"/>
        <w:rPr>
          <w:rFonts w:ascii="Calibri" w:hAnsi="Calibri" w:cs="Calibri"/>
          <w:bCs/>
          <w:color w:val="000000" w:themeColor="text1"/>
          <w:sz w:val="24"/>
          <w:szCs w:val="24"/>
        </w:rPr>
      </w:pPr>
    </w:p>
    <w:p w14:paraId="0ACAEF82" w14:textId="77777777" w:rsidR="00EA2965" w:rsidRDefault="00EA2965">
      <w:pPr>
        <w:rPr>
          <w:rFonts w:ascii="Calibri" w:hAnsi="Calibri" w:cs="Calibri"/>
          <w:bCs/>
          <w:color w:val="000000" w:themeColor="text1"/>
          <w:sz w:val="24"/>
          <w:szCs w:val="24"/>
        </w:rPr>
      </w:pPr>
      <w:r>
        <w:rPr>
          <w:rFonts w:ascii="Calibri" w:hAnsi="Calibri" w:cs="Calibri"/>
          <w:bCs/>
          <w:color w:val="000000" w:themeColor="text1"/>
          <w:sz w:val="24"/>
          <w:szCs w:val="24"/>
        </w:rPr>
        <w:br w:type="page"/>
      </w:r>
    </w:p>
    <w:p w14:paraId="5F37CC6D" w14:textId="6A599C38" w:rsidR="00927605" w:rsidRPr="00A529B7" w:rsidRDefault="00927605" w:rsidP="00A529B7">
      <w:pPr>
        <w:spacing w:after="0" w:line="240" w:lineRule="auto"/>
        <w:jc w:val="both"/>
        <w:rPr>
          <w:rFonts w:ascii="Calibri" w:hAnsi="Calibri" w:cs="Calibri"/>
          <w:sz w:val="24"/>
          <w:szCs w:val="24"/>
        </w:rPr>
      </w:pPr>
      <w:r w:rsidRPr="00A529B7">
        <w:rPr>
          <w:rFonts w:ascii="Calibri" w:hAnsi="Calibri" w:cs="Calibri"/>
          <w:bCs/>
          <w:color w:val="000000" w:themeColor="text1"/>
          <w:sz w:val="24"/>
          <w:szCs w:val="24"/>
        </w:rPr>
        <w:lastRenderedPageBreak/>
        <w:t>4.</w:t>
      </w:r>
      <w:r w:rsidR="007D78BF" w:rsidRPr="00A529B7">
        <w:rPr>
          <w:rFonts w:ascii="Calibri" w:hAnsi="Calibri" w:cs="Calibri"/>
          <w:bCs/>
          <w:color w:val="000000" w:themeColor="text1"/>
          <w:sz w:val="24"/>
          <w:szCs w:val="24"/>
        </w:rPr>
        <w:t>2</w:t>
      </w:r>
      <w:r w:rsidR="00DC0063" w:rsidRPr="00A529B7">
        <w:rPr>
          <w:rFonts w:ascii="Calibri" w:hAnsi="Calibri" w:cs="Calibri"/>
          <w:bCs/>
          <w:color w:val="000000" w:themeColor="text1"/>
          <w:sz w:val="24"/>
          <w:szCs w:val="24"/>
        </w:rPr>
        <w:t>5</w:t>
      </w:r>
      <w:r w:rsidR="00032EA4">
        <w:rPr>
          <w:rFonts w:ascii="Calibri" w:hAnsi="Calibri" w:cs="Calibri"/>
          <w:bCs/>
          <w:color w:val="000000" w:themeColor="text1"/>
          <w:sz w:val="24"/>
          <w:szCs w:val="24"/>
        </w:rPr>
        <w:t xml:space="preserve"> </w:t>
      </w:r>
      <w:r w:rsidR="00147940" w:rsidRPr="00A529B7">
        <w:rPr>
          <w:rFonts w:ascii="Calibri" w:hAnsi="Calibri" w:cs="Calibri"/>
          <w:bCs/>
          <w:color w:val="000000" w:themeColor="text1"/>
          <w:sz w:val="24"/>
          <w:szCs w:val="24"/>
        </w:rPr>
        <w:t>NKÚ prověřil,</w:t>
      </w:r>
      <w:r w:rsidRPr="00A529B7">
        <w:rPr>
          <w:rFonts w:ascii="Calibri" w:hAnsi="Calibri" w:cs="Calibri"/>
          <w:bCs/>
          <w:color w:val="000000" w:themeColor="text1"/>
          <w:sz w:val="24"/>
          <w:szCs w:val="24"/>
        </w:rPr>
        <w:t xml:space="preserve"> zda MV provádělo průběžný monitoring projektů BV, kontroly projektů BV</w:t>
      </w:r>
      <w:r w:rsidR="004F6783" w:rsidRPr="00A529B7">
        <w:rPr>
          <w:rStyle w:val="Znakapoznpodarou"/>
          <w:rFonts w:ascii="Calibri" w:hAnsi="Calibri" w:cs="Calibri"/>
          <w:sz w:val="24"/>
          <w:szCs w:val="24"/>
        </w:rPr>
        <w:footnoteReference w:id="27"/>
      </w:r>
      <w:r w:rsidRPr="00A529B7">
        <w:rPr>
          <w:rFonts w:ascii="Calibri" w:hAnsi="Calibri" w:cs="Calibri"/>
          <w:bCs/>
          <w:color w:val="000000" w:themeColor="text1"/>
          <w:sz w:val="24"/>
          <w:szCs w:val="24"/>
        </w:rPr>
        <w:t xml:space="preserve"> a průběžné hodnocení cílů, priorit a indikátorů programů BV.</w:t>
      </w:r>
    </w:p>
    <w:p w14:paraId="7AAA4A16" w14:textId="77777777" w:rsidR="00032EA4" w:rsidRDefault="00032EA4" w:rsidP="00A529B7">
      <w:pPr>
        <w:spacing w:after="0" w:line="240" w:lineRule="auto"/>
        <w:jc w:val="both"/>
        <w:rPr>
          <w:rFonts w:ascii="Calibri" w:hAnsi="Calibri" w:cs="Calibri"/>
          <w:bCs/>
          <w:color w:val="000000" w:themeColor="text1"/>
          <w:sz w:val="24"/>
          <w:szCs w:val="24"/>
        </w:rPr>
      </w:pPr>
    </w:p>
    <w:p w14:paraId="71E91BAF" w14:textId="558B9473" w:rsidR="00927605" w:rsidRPr="00A529B7" w:rsidRDefault="00927605" w:rsidP="00A529B7">
      <w:pPr>
        <w:spacing w:after="0" w:line="240" w:lineRule="auto"/>
        <w:jc w:val="both"/>
        <w:rPr>
          <w:rFonts w:ascii="Calibri" w:hAnsi="Calibri" w:cs="Calibri"/>
          <w:bCs/>
          <w:sz w:val="24"/>
          <w:szCs w:val="24"/>
        </w:rPr>
      </w:pPr>
      <w:r w:rsidRPr="00A529B7">
        <w:rPr>
          <w:rFonts w:ascii="Calibri" w:hAnsi="Calibri" w:cs="Calibri"/>
          <w:bCs/>
          <w:color w:val="000000" w:themeColor="text1"/>
          <w:sz w:val="24"/>
          <w:szCs w:val="24"/>
        </w:rPr>
        <w:t>4.</w:t>
      </w:r>
      <w:r w:rsidR="007D78BF" w:rsidRPr="00A529B7">
        <w:rPr>
          <w:rFonts w:ascii="Calibri" w:hAnsi="Calibri" w:cs="Calibri"/>
          <w:bCs/>
          <w:color w:val="000000" w:themeColor="text1"/>
          <w:sz w:val="24"/>
          <w:szCs w:val="24"/>
        </w:rPr>
        <w:t>2</w:t>
      </w:r>
      <w:r w:rsidR="00DC0063" w:rsidRPr="00A529B7">
        <w:rPr>
          <w:rFonts w:ascii="Calibri" w:hAnsi="Calibri" w:cs="Calibri"/>
          <w:bCs/>
          <w:color w:val="000000" w:themeColor="text1"/>
          <w:sz w:val="24"/>
          <w:szCs w:val="24"/>
        </w:rPr>
        <w:t>6</w:t>
      </w:r>
      <w:r w:rsidR="00032EA4">
        <w:rPr>
          <w:rFonts w:ascii="Calibri" w:hAnsi="Calibri" w:cs="Calibri"/>
          <w:bCs/>
          <w:color w:val="000000" w:themeColor="text1"/>
          <w:sz w:val="24"/>
          <w:szCs w:val="24"/>
        </w:rPr>
        <w:t xml:space="preserve"> </w:t>
      </w:r>
      <w:r w:rsidRPr="00A529B7">
        <w:rPr>
          <w:rFonts w:ascii="Calibri" w:hAnsi="Calibri" w:cs="Calibri"/>
          <w:bCs/>
          <w:color w:val="000000" w:themeColor="text1"/>
          <w:sz w:val="24"/>
          <w:szCs w:val="24"/>
        </w:rPr>
        <w:t>P</w:t>
      </w:r>
      <w:r w:rsidRPr="00A529B7">
        <w:rPr>
          <w:rFonts w:ascii="Calibri" w:hAnsi="Calibri" w:cs="Calibri"/>
          <w:bCs/>
          <w:sz w:val="24"/>
          <w:szCs w:val="24"/>
        </w:rPr>
        <w:t>říjemci podpory z programů BV mají povinnost předkládat MV roční, mimořádné</w:t>
      </w:r>
      <w:r w:rsidRPr="00A529B7">
        <w:rPr>
          <w:rStyle w:val="Znakapoznpodarou"/>
          <w:rFonts w:ascii="Calibri" w:hAnsi="Calibri" w:cs="Calibri"/>
          <w:bCs/>
          <w:sz w:val="24"/>
          <w:szCs w:val="24"/>
        </w:rPr>
        <w:footnoteReference w:id="28"/>
      </w:r>
      <w:r w:rsidRPr="00A529B7">
        <w:rPr>
          <w:rFonts w:ascii="Calibri" w:hAnsi="Calibri" w:cs="Calibri"/>
          <w:bCs/>
          <w:sz w:val="24"/>
          <w:szCs w:val="24"/>
        </w:rPr>
        <w:t xml:space="preserve"> a</w:t>
      </w:r>
      <w:r w:rsidR="00032EA4">
        <w:rPr>
          <w:rFonts w:ascii="Calibri" w:hAnsi="Calibri" w:cs="Calibri"/>
          <w:bCs/>
          <w:sz w:val="24"/>
          <w:szCs w:val="24"/>
        </w:rPr>
        <w:t> </w:t>
      </w:r>
      <w:r w:rsidRPr="00A529B7">
        <w:rPr>
          <w:rFonts w:ascii="Calibri" w:hAnsi="Calibri" w:cs="Calibri"/>
          <w:bCs/>
          <w:sz w:val="24"/>
          <w:szCs w:val="24"/>
        </w:rPr>
        <w:t xml:space="preserve">závěrečné zprávy o realizaci projektu. Roční zprávy slouží k výběru projektů k provedení </w:t>
      </w:r>
      <w:r w:rsidR="009F2F4C" w:rsidRPr="00A529B7">
        <w:rPr>
          <w:rFonts w:ascii="Calibri" w:hAnsi="Calibri" w:cs="Calibri"/>
          <w:bCs/>
          <w:sz w:val="24"/>
          <w:szCs w:val="24"/>
        </w:rPr>
        <w:t xml:space="preserve">veřejnosprávní </w:t>
      </w:r>
      <w:r w:rsidRPr="00A529B7">
        <w:rPr>
          <w:rFonts w:ascii="Calibri" w:hAnsi="Calibri" w:cs="Calibri"/>
          <w:bCs/>
          <w:sz w:val="24"/>
          <w:szCs w:val="24"/>
        </w:rPr>
        <w:t>kontroly. U Programu VI mají příjemci podpory povinnost zpracovat audit celého projektu v případě, že</w:t>
      </w:r>
      <w:r w:rsidR="00147940" w:rsidRPr="00A529B7">
        <w:rPr>
          <w:rFonts w:ascii="Calibri" w:hAnsi="Calibri" w:cs="Calibri"/>
          <w:bCs/>
          <w:sz w:val="24"/>
          <w:szCs w:val="24"/>
        </w:rPr>
        <w:t xml:space="preserve"> </w:t>
      </w:r>
      <w:r w:rsidR="005222A3" w:rsidRPr="00A529B7">
        <w:rPr>
          <w:rFonts w:ascii="Calibri" w:hAnsi="Calibri" w:cs="Calibri"/>
          <w:bCs/>
          <w:sz w:val="24"/>
          <w:szCs w:val="24"/>
        </w:rPr>
        <w:t>jsou celkové způsobilé náklady/výdaje na projekt vyšší než 2</w:t>
      </w:r>
      <w:r w:rsidR="0045592B">
        <w:rPr>
          <w:rFonts w:ascii="Calibri" w:hAnsi="Calibri" w:cs="Calibri"/>
          <w:bCs/>
          <w:sz w:val="24"/>
          <w:szCs w:val="24"/>
        </w:rPr>
        <w:t> </w:t>
      </w:r>
      <w:r w:rsidR="005222A3" w:rsidRPr="00A529B7">
        <w:rPr>
          <w:rFonts w:ascii="Calibri" w:hAnsi="Calibri" w:cs="Calibri"/>
          <w:bCs/>
          <w:sz w:val="24"/>
          <w:szCs w:val="24"/>
        </w:rPr>
        <w:t>mil.</w:t>
      </w:r>
      <w:r w:rsidR="0045592B">
        <w:rPr>
          <w:rFonts w:ascii="Calibri" w:hAnsi="Calibri" w:cs="Calibri"/>
          <w:bCs/>
          <w:sz w:val="24"/>
          <w:szCs w:val="24"/>
        </w:rPr>
        <w:t> </w:t>
      </w:r>
      <w:r w:rsidR="005222A3" w:rsidRPr="00A529B7">
        <w:rPr>
          <w:rFonts w:ascii="Calibri" w:hAnsi="Calibri" w:cs="Calibri"/>
          <w:bCs/>
          <w:sz w:val="24"/>
          <w:szCs w:val="24"/>
        </w:rPr>
        <w:t>Kč,</w:t>
      </w:r>
      <w:r w:rsidRPr="00A529B7">
        <w:rPr>
          <w:rFonts w:ascii="Calibri" w:hAnsi="Calibri" w:cs="Calibri"/>
          <w:bCs/>
          <w:sz w:val="24"/>
          <w:szCs w:val="24"/>
        </w:rPr>
        <w:t xml:space="preserve"> a předložit jej MV spolu se závěrečným vyúčtováním.</w:t>
      </w:r>
    </w:p>
    <w:p w14:paraId="16D805C8" w14:textId="77777777" w:rsidR="00032EA4" w:rsidRDefault="00032EA4" w:rsidP="00A529B7">
      <w:pPr>
        <w:spacing w:after="0" w:line="240" w:lineRule="auto"/>
        <w:jc w:val="both"/>
        <w:rPr>
          <w:rFonts w:ascii="Calibri" w:hAnsi="Calibri" w:cs="Calibri"/>
          <w:bCs/>
          <w:sz w:val="24"/>
          <w:szCs w:val="24"/>
        </w:rPr>
      </w:pPr>
    </w:p>
    <w:p w14:paraId="78629136" w14:textId="77777777" w:rsidR="00927605" w:rsidRPr="00A529B7" w:rsidRDefault="00927605" w:rsidP="00A529B7">
      <w:pPr>
        <w:spacing w:after="0" w:line="240" w:lineRule="auto"/>
        <w:jc w:val="both"/>
        <w:rPr>
          <w:rFonts w:ascii="Calibri" w:hAnsi="Calibri" w:cs="Calibri"/>
          <w:bCs/>
          <w:sz w:val="24"/>
          <w:szCs w:val="24"/>
        </w:rPr>
      </w:pPr>
      <w:r w:rsidRPr="00A529B7">
        <w:rPr>
          <w:rFonts w:ascii="Calibri" w:hAnsi="Calibri" w:cs="Calibri"/>
          <w:bCs/>
          <w:sz w:val="24"/>
          <w:szCs w:val="24"/>
        </w:rPr>
        <w:t>4.</w:t>
      </w:r>
      <w:r w:rsidR="007D78BF" w:rsidRPr="00A529B7">
        <w:rPr>
          <w:rFonts w:ascii="Calibri" w:hAnsi="Calibri" w:cs="Calibri"/>
          <w:bCs/>
          <w:sz w:val="24"/>
          <w:szCs w:val="24"/>
        </w:rPr>
        <w:t>2</w:t>
      </w:r>
      <w:r w:rsidR="00DC0063" w:rsidRPr="00A529B7">
        <w:rPr>
          <w:rFonts w:ascii="Calibri" w:hAnsi="Calibri" w:cs="Calibri"/>
          <w:bCs/>
          <w:sz w:val="24"/>
          <w:szCs w:val="24"/>
        </w:rPr>
        <w:t>7</w:t>
      </w:r>
      <w:r w:rsidR="00032EA4">
        <w:rPr>
          <w:rFonts w:ascii="Calibri" w:hAnsi="Calibri" w:cs="Calibri"/>
          <w:bCs/>
          <w:sz w:val="24"/>
          <w:szCs w:val="24"/>
        </w:rPr>
        <w:t xml:space="preserve"> </w:t>
      </w:r>
      <w:r w:rsidRPr="00A529B7">
        <w:rPr>
          <w:rFonts w:ascii="Calibri" w:hAnsi="Calibri" w:cs="Calibri"/>
          <w:bCs/>
          <w:sz w:val="24"/>
          <w:szCs w:val="24"/>
        </w:rPr>
        <w:t xml:space="preserve">Kontrolou </w:t>
      </w:r>
      <w:r w:rsidR="005A03B6" w:rsidRPr="00A529B7">
        <w:rPr>
          <w:rFonts w:ascii="Calibri" w:hAnsi="Calibri" w:cs="Calibri"/>
          <w:bCs/>
          <w:sz w:val="24"/>
          <w:szCs w:val="24"/>
        </w:rPr>
        <w:t>dvanácti</w:t>
      </w:r>
      <w:r w:rsidR="00147940" w:rsidRPr="00A529B7">
        <w:rPr>
          <w:rFonts w:ascii="Calibri" w:hAnsi="Calibri" w:cs="Calibri"/>
          <w:bCs/>
          <w:sz w:val="24"/>
          <w:szCs w:val="24"/>
        </w:rPr>
        <w:t xml:space="preserve"> vybraných projektů</w:t>
      </w:r>
      <w:r w:rsidRPr="00A529B7">
        <w:rPr>
          <w:rFonts w:ascii="Calibri" w:hAnsi="Calibri" w:cs="Calibri"/>
          <w:bCs/>
          <w:sz w:val="24"/>
          <w:szCs w:val="24"/>
        </w:rPr>
        <w:t xml:space="preserve"> bylo zjištěno, že příjemci podpory roční zprávy, závěrečné zprávy a audity projektu zpracovávali a zasílali </w:t>
      </w:r>
      <w:r w:rsidR="00656C03" w:rsidRPr="00A529B7">
        <w:rPr>
          <w:rFonts w:ascii="Calibri" w:hAnsi="Calibri" w:cs="Calibri"/>
          <w:bCs/>
          <w:sz w:val="24"/>
          <w:szCs w:val="24"/>
        </w:rPr>
        <w:t>MV</w:t>
      </w:r>
      <w:r w:rsidRPr="00A529B7">
        <w:rPr>
          <w:rFonts w:ascii="Calibri" w:hAnsi="Calibri" w:cs="Calibri"/>
          <w:bCs/>
          <w:sz w:val="24"/>
          <w:szCs w:val="24"/>
        </w:rPr>
        <w:t xml:space="preserve">. Na základě zaslaných ročních zpráv neshledalo </w:t>
      </w:r>
      <w:r w:rsidR="009F0DCE" w:rsidRPr="00A529B7">
        <w:rPr>
          <w:rFonts w:ascii="Calibri" w:hAnsi="Calibri" w:cs="Calibri"/>
          <w:bCs/>
          <w:sz w:val="24"/>
          <w:szCs w:val="24"/>
        </w:rPr>
        <w:t xml:space="preserve">MV </w:t>
      </w:r>
      <w:r w:rsidRPr="00A529B7">
        <w:rPr>
          <w:rFonts w:ascii="Calibri" w:hAnsi="Calibri" w:cs="Calibri"/>
          <w:bCs/>
          <w:sz w:val="24"/>
          <w:szCs w:val="24"/>
        </w:rPr>
        <w:t xml:space="preserve">nedostatky, které by vedly k provedení kontroly. NKÚ </w:t>
      </w:r>
      <w:r w:rsidR="00642230" w:rsidRPr="00A529B7">
        <w:rPr>
          <w:rFonts w:ascii="Calibri" w:hAnsi="Calibri" w:cs="Calibri"/>
          <w:bCs/>
          <w:sz w:val="24"/>
          <w:szCs w:val="24"/>
        </w:rPr>
        <w:t>však</w:t>
      </w:r>
      <w:r w:rsidRPr="00A529B7">
        <w:rPr>
          <w:rFonts w:ascii="Calibri" w:hAnsi="Calibri" w:cs="Calibri"/>
          <w:bCs/>
          <w:sz w:val="24"/>
          <w:szCs w:val="24"/>
        </w:rPr>
        <w:t xml:space="preserve"> při kontrole projektu „</w:t>
      </w:r>
      <w:r w:rsidRPr="00A529B7">
        <w:rPr>
          <w:rFonts w:ascii="Calibri" w:hAnsi="Calibri" w:cs="Calibri"/>
          <w:i/>
          <w:sz w:val="24"/>
          <w:szCs w:val="24"/>
        </w:rPr>
        <w:t>VI20152019043 – Unikátní všestranná bezpečnostní kamera založená na nanotechnologiích</w:t>
      </w:r>
      <w:r w:rsidRPr="00C71487">
        <w:rPr>
          <w:rFonts w:ascii="Calibri" w:hAnsi="Calibri" w:cs="Calibri"/>
          <w:sz w:val="24"/>
          <w:szCs w:val="24"/>
        </w:rPr>
        <w:t>“</w:t>
      </w:r>
      <w:r w:rsidRPr="00A529B7">
        <w:rPr>
          <w:rFonts w:ascii="Calibri" w:hAnsi="Calibri" w:cs="Calibri"/>
          <w:sz w:val="24"/>
          <w:szCs w:val="24"/>
        </w:rPr>
        <w:t xml:space="preserve"> zjistil, že MV </w:t>
      </w:r>
      <w:r w:rsidR="004F6783" w:rsidRPr="00A529B7">
        <w:rPr>
          <w:rFonts w:ascii="Calibri" w:hAnsi="Calibri" w:cs="Calibri"/>
          <w:sz w:val="24"/>
          <w:szCs w:val="24"/>
        </w:rPr>
        <w:t>ani po provedení průběžné kontroly</w:t>
      </w:r>
      <w:r w:rsidRPr="00A529B7">
        <w:rPr>
          <w:rFonts w:ascii="Calibri" w:hAnsi="Calibri" w:cs="Calibri"/>
          <w:sz w:val="24"/>
          <w:szCs w:val="24"/>
        </w:rPr>
        <w:t xml:space="preserve"> neodhal</w:t>
      </w:r>
      <w:r w:rsidR="005A03B6" w:rsidRPr="00A529B7">
        <w:rPr>
          <w:rFonts w:ascii="Calibri" w:hAnsi="Calibri" w:cs="Calibri"/>
          <w:sz w:val="24"/>
          <w:szCs w:val="24"/>
        </w:rPr>
        <w:t xml:space="preserve">ilo nedostatky týkající se již </w:t>
      </w:r>
      <w:r w:rsidRPr="00A529B7">
        <w:rPr>
          <w:rFonts w:ascii="Calibri" w:hAnsi="Calibri" w:cs="Calibri"/>
          <w:sz w:val="24"/>
          <w:szCs w:val="24"/>
        </w:rPr>
        <w:t>realizovaných výsledků</w:t>
      </w:r>
      <w:r w:rsidR="00BF2982" w:rsidRPr="00A529B7">
        <w:rPr>
          <w:rFonts w:ascii="Calibri" w:hAnsi="Calibri" w:cs="Calibri"/>
          <w:sz w:val="24"/>
          <w:szCs w:val="24"/>
        </w:rPr>
        <w:t xml:space="preserve"> (viz </w:t>
      </w:r>
      <w:r w:rsidR="007D78BF" w:rsidRPr="00A529B7">
        <w:rPr>
          <w:rFonts w:ascii="Calibri" w:hAnsi="Calibri" w:cs="Calibri"/>
          <w:sz w:val="24"/>
          <w:szCs w:val="24"/>
        </w:rPr>
        <w:t>p</w:t>
      </w:r>
      <w:r w:rsidR="00BF2982" w:rsidRPr="00A529B7">
        <w:rPr>
          <w:rFonts w:ascii="Calibri" w:hAnsi="Calibri" w:cs="Calibri"/>
          <w:sz w:val="24"/>
          <w:szCs w:val="24"/>
        </w:rPr>
        <w:t>říklad č.</w:t>
      </w:r>
      <w:r w:rsidR="007D78BF" w:rsidRPr="00A529B7">
        <w:rPr>
          <w:rFonts w:ascii="Calibri" w:hAnsi="Calibri" w:cs="Calibri"/>
          <w:sz w:val="24"/>
          <w:szCs w:val="24"/>
        </w:rPr>
        <w:t xml:space="preserve"> 2</w:t>
      </w:r>
      <w:r w:rsidR="00BF2982" w:rsidRPr="00A529B7">
        <w:rPr>
          <w:rFonts w:ascii="Calibri" w:hAnsi="Calibri" w:cs="Calibri"/>
          <w:sz w:val="24"/>
          <w:szCs w:val="24"/>
        </w:rPr>
        <w:t>)</w:t>
      </w:r>
      <w:r w:rsidR="004F6783" w:rsidRPr="00A529B7">
        <w:rPr>
          <w:rFonts w:ascii="Calibri" w:hAnsi="Calibri" w:cs="Calibri"/>
          <w:sz w:val="24"/>
          <w:szCs w:val="24"/>
        </w:rPr>
        <w:t>, ačkoliv potřebné informace již byly veřejně dostupné</w:t>
      </w:r>
      <w:r w:rsidR="009F0DCE" w:rsidRPr="00A529B7">
        <w:rPr>
          <w:rFonts w:ascii="Calibri" w:hAnsi="Calibri" w:cs="Calibri"/>
          <w:sz w:val="24"/>
          <w:szCs w:val="24"/>
        </w:rPr>
        <w:t>.</w:t>
      </w:r>
    </w:p>
    <w:p w14:paraId="7869B05C" w14:textId="77777777" w:rsidR="00032EA4" w:rsidRDefault="00032EA4" w:rsidP="00A529B7">
      <w:pPr>
        <w:spacing w:after="0" w:line="240" w:lineRule="auto"/>
        <w:jc w:val="both"/>
        <w:rPr>
          <w:rFonts w:ascii="Calibri" w:hAnsi="Calibri" w:cs="Calibri"/>
          <w:sz w:val="24"/>
          <w:szCs w:val="24"/>
        </w:rPr>
      </w:pPr>
    </w:p>
    <w:p w14:paraId="099FC16C" w14:textId="77777777" w:rsidR="00642230" w:rsidRPr="00A529B7" w:rsidRDefault="00927605" w:rsidP="001851EC">
      <w:pPr>
        <w:keepNext/>
        <w:spacing w:after="0" w:line="240" w:lineRule="auto"/>
        <w:jc w:val="both"/>
        <w:rPr>
          <w:rFonts w:ascii="Calibri" w:hAnsi="Calibri" w:cs="Calibri"/>
          <w:sz w:val="24"/>
          <w:szCs w:val="24"/>
        </w:rPr>
      </w:pPr>
      <w:r w:rsidRPr="00A529B7">
        <w:rPr>
          <w:rFonts w:ascii="Calibri" w:hAnsi="Calibri" w:cs="Calibri"/>
          <w:sz w:val="24"/>
          <w:szCs w:val="24"/>
        </w:rPr>
        <w:t>4.</w:t>
      </w:r>
      <w:r w:rsidR="00DC0063" w:rsidRPr="00A529B7">
        <w:rPr>
          <w:rFonts w:ascii="Calibri" w:hAnsi="Calibri" w:cs="Calibri"/>
          <w:sz w:val="24"/>
          <w:szCs w:val="24"/>
        </w:rPr>
        <w:t>28</w:t>
      </w:r>
      <w:r w:rsidR="00032EA4">
        <w:rPr>
          <w:rFonts w:ascii="Calibri" w:hAnsi="Calibri" w:cs="Calibri"/>
          <w:sz w:val="24"/>
          <w:szCs w:val="24"/>
        </w:rPr>
        <w:t xml:space="preserve"> </w:t>
      </w:r>
      <w:r w:rsidRPr="00A529B7">
        <w:rPr>
          <w:rFonts w:ascii="Calibri" w:hAnsi="Calibri" w:cs="Calibri"/>
          <w:sz w:val="24"/>
          <w:szCs w:val="24"/>
        </w:rPr>
        <w:t>MV v průběhu realizace Programu VI provedlo dvě průběžná hodnocení</w:t>
      </w:r>
      <w:r w:rsidR="00642230" w:rsidRPr="00A529B7">
        <w:rPr>
          <w:rFonts w:ascii="Calibri" w:hAnsi="Calibri" w:cs="Calibri"/>
          <w:sz w:val="24"/>
          <w:szCs w:val="24"/>
        </w:rPr>
        <w:t xml:space="preserve"> programu jako celku</w:t>
      </w:r>
      <w:r w:rsidRPr="00A529B7">
        <w:rPr>
          <w:rFonts w:ascii="Calibri" w:hAnsi="Calibri" w:cs="Calibri"/>
          <w:sz w:val="24"/>
          <w:szCs w:val="24"/>
        </w:rPr>
        <w:t xml:space="preserve">. V roce </w:t>
      </w:r>
      <w:r w:rsidR="00BE0B46" w:rsidRPr="00A529B7">
        <w:rPr>
          <w:rFonts w:ascii="Calibri" w:hAnsi="Calibri" w:cs="Calibri"/>
          <w:sz w:val="24"/>
          <w:szCs w:val="24"/>
        </w:rPr>
        <w:t>2017 MV provedlo hodnocení z důvodu prodloužení Programu VI</w:t>
      </w:r>
      <w:r w:rsidR="001526BD" w:rsidRPr="00A529B7">
        <w:rPr>
          <w:rFonts w:ascii="Calibri" w:hAnsi="Calibri" w:cs="Calibri"/>
          <w:sz w:val="24"/>
          <w:szCs w:val="24"/>
        </w:rPr>
        <w:t xml:space="preserve"> se zaměřením</w:t>
      </w:r>
      <w:r w:rsidR="00BE0B46" w:rsidRPr="00A529B7">
        <w:rPr>
          <w:rFonts w:ascii="Calibri" w:hAnsi="Calibri" w:cs="Calibri"/>
          <w:sz w:val="24"/>
          <w:szCs w:val="24"/>
        </w:rPr>
        <w:t xml:space="preserve"> na výsledky první a druhé veřejné soutěže. V roce 2019 provedlo MV hodnocení se zaměřením na výsledky třetí veřejné soutěže. </w:t>
      </w:r>
      <w:r w:rsidRPr="00A529B7">
        <w:rPr>
          <w:rFonts w:ascii="Calibri" w:hAnsi="Calibri" w:cs="Calibri"/>
          <w:sz w:val="24"/>
          <w:szCs w:val="24"/>
        </w:rPr>
        <w:t>V obou hodnoceních MV konstatovalo, že Program</w:t>
      </w:r>
      <w:r w:rsidR="00095948">
        <w:rPr>
          <w:rFonts w:ascii="Calibri" w:hAnsi="Calibri" w:cs="Calibri"/>
          <w:sz w:val="24"/>
          <w:szCs w:val="24"/>
        </w:rPr>
        <w:t> </w:t>
      </w:r>
      <w:r w:rsidRPr="00A529B7">
        <w:rPr>
          <w:rFonts w:ascii="Calibri" w:hAnsi="Calibri" w:cs="Calibri"/>
          <w:sz w:val="24"/>
          <w:szCs w:val="24"/>
        </w:rPr>
        <w:t xml:space="preserve">VI několikanásobně převyšuje naplnění indikátorů stanovených v programové dokumentaci. </w:t>
      </w:r>
      <w:r w:rsidR="007825A8" w:rsidRPr="00A529B7">
        <w:rPr>
          <w:rFonts w:ascii="Calibri" w:hAnsi="Calibri" w:cs="Calibri"/>
          <w:sz w:val="24"/>
          <w:szCs w:val="24"/>
        </w:rPr>
        <w:t>Jak je ale uvedeno v odst. 4.1</w:t>
      </w:r>
      <w:r w:rsidR="004F6783" w:rsidRPr="00A529B7">
        <w:rPr>
          <w:rFonts w:ascii="Calibri" w:hAnsi="Calibri" w:cs="Calibri"/>
          <w:sz w:val="24"/>
          <w:szCs w:val="24"/>
        </w:rPr>
        <w:t>2</w:t>
      </w:r>
      <w:r w:rsidR="005A03B6" w:rsidRPr="00A529B7">
        <w:rPr>
          <w:rFonts w:ascii="Calibri" w:hAnsi="Calibri" w:cs="Calibri"/>
          <w:sz w:val="24"/>
          <w:szCs w:val="24"/>
        </w:rPr>
        <w:t xml:space="preserve"> a</w:t>
      </w:r>
      <w:r w:rsidR="007825A8" w:rsidRPr="00A529B7">
        <w:rPr>
          <w:rFonts w:ascii="Calibri" w:hAnsi="Calibri" w:cs="Calibri"/>
          <w:sz w:val="24"/>
          <w:szCs w:val="24"/>
        </w:rPr>
        <w:t xml:space="preserve"> 4.1</w:t>
      </w:r>
      <w:r w:rsidR="004F6783" w:rsidRPr="00A529B7">
        <w:rPr>
          <w:rFonts w:ascii="Calibri" w:hAnsi="Calibri" w:cs="Calibri"/>
          <w:sz w:val="24"/>
          <w:szCs w:val="24"/>
        </w:rPr>
        <w:t>3</w:t>
      </w:r>
      <w:r w:rsidR="007825A8" w:rsidRPr="00A529B7">
        <w:rPr>
          <w:rFonts w:ascii="Calibri" w:hAnsi="Calibri" w:cs="Calibri"/>
          <w:sz w:val="24"/>
          <w:szCs w:val="24"/>
        </w:rPr>
        <w:t xml:space="preserve">, vzhledem k značnému podhodnocení nastavených cílových hodnot těchto indikátorů, a to i po úpravě programu v květnu 2018, nemá takové hodnocení </w:t>
      </w:r>
      <w:r w:rsidR="004F6783" w:rsidRPr="00A529B7">
        <w:rPr>
          <w:rFonts w:ascii="Calibri" w:hAnsi="Calibri" w:cs="Calibri"/>
          <w:sz w:val="24"/>
          <w:szCs w:val="24"/>
        </w:rPr>
        <w:t>reálný</w:t>
      </w:r>
      <w:r w:rsidR="007825A8" w:rsidRPr="00A529B7">
        <w:rPr>
          <w:rFonts w:ascii="Calibri" w:hAnsi="Calibri" w:cs="Calibri"/>
          <w:sz w:val="24"/>
          <w:szCs w:val="24"/>
        </w:rPr>
        <w:t xml:space="preserve"> vypovídací význam.</w:t>
      </w:r>
    </w:p>
    <w:p w14:paraId="50CBF36C" w14:textId="77777777" w:rsidR="00142270" w:rsidRPr="00A529B7" w:rsidRDefault="00142270" w:rsidP="00A529B7">
      <w:pPr>
        <w:spacing w:after="0" w:line="240" w:lineRule="auto"/>
        <w:jc w:val="both"/>
        <w:rPr>
          <w:rFonts w:ascii="Calibri" w:hAnsi="Calibri" w:cs="Calibri"/>
          <w:sz w:val="24"/>
          <w:szCs w:val="24"/>
        </w:rPr>
      </w:pPr>
    </w:p>
    <w:tbl>
      <w:tblPr>
        <w:tblStyle w:val="Mkatabulky"/>
        <w:tblW w:w="0" w:type="auto"/>
        <w:tblLook w:val="04A0" w:firstRow="1" w:lastRow="0" w:firstColumn="1" w:lastColumn="0" w:noHBand="0" w:noVBand="1"/>
      </w:tblPr>
      <w:tblGrid>
        <w:gridCol w:w="9062"/>
      </w:tblGrid>
      <w:tr w:rsidR="00084512" w:rsidRPr="00A529B7" w14:paraId="1377DAB5" w14:textId="77777777" w:rsidTr="007D78BF">
        <w:trPr>
          <w:trHeight w:val="389"/>
        </w:trPr>
        <w:tc>
          <w:tcPr>
            <w:tcW w:w="9062" w:type="dxa"/>
            <w:shd w:val="clear" w:color="auto" w:fill="E5F1FF"/>
            <w:vAlign w:val="center"/>
          </w:tcPr>
          <w:p w14:paraId="3B465000" w14:textId="77777777" w:rsidR="00084512" w:rsidRPr="00A529B7" w:rsidRDefault="00084512" w:rsidP="00A529B7">
            <w:pPr>
              <w:rPr>
                <w:rFonts w:ascii="Calibri" w:hAnsi="Calibri" w:cs="Calibri"/>
                <w:b/>
                <w:color w:val="1F4E79" w:themeColor="accent1" w:themeShade="80"/>
                <w:sz w:val="24"/>
                <w:szCs w:val="24"/>
              </w:rPr>
            </w:pPr>
            <w:r w:rsidRPr="00A529B7">
              <w:rPr>
                <w:rFonts w:ascii="Calibri" w:hAnsi="Calibri" w:cs="Calibri"/>
                <w:b/>
                <w:color w:val="1F4E79" w:themeColor="accent1" w:themeShade="80"/>
                <w:sz w:val="24"/>
                <w:szCs w:val="24"/>
              </w:rPr>
              <w:t>B. Jsou peněžní prostředky poskytovány a čerpány efektivně</w:t>
            </w:r>
            <w:r w:rsidR="004F6783" w:rsidRPr="00A529B7">
              <w:rPr>
                <w:rFonts w:ascii="Calibri" w:hAnsi="Calibri" w:cs="Calibri"/>
                <w:b/>
                <w:color w:val="1F4E79" w:themeColor="accent1" w:themeShade="80"/>
                <w:sz w:val="24"/>
                <w:szCs w:val="24"/>
              </w:rPr>
              <w:t xml:space="preserve"> a hospodárně</w:t>
            </w:r>
            <w:r w:rsidR="007825A8" w:rsidRPr="00A529B7">
              <w:rPr>
                <w:rFonts w:ascii="Calibri" w:hAnsi="Calibri" w:cs="Calibri"/>
                <w:b/>
                <w:color w:val="1F4E79" w:themeColor="accent1" w:themeShade="80"/>
                <w:sz w:val="24"/>
                <w:szCs w:val="24"/>
              </w:rPr>
              <w:t>?</w:t>
            </w:r>
          </w:p>
        </w:tc>
      </w:tr>
    </w:tbl>
    <w:p w14:paraId="780E08E6" w14:textId="77777777" w:rsidR="00032EA4" w:rsidRPr="00A529B7" w:rsidRDefault="00032EA4" w:rsidP="00032EA4">
      <w:pPr>
        <w:spacing w:after="0" w:line="240" w:lineRule="auto"/>
        <w:jc w:val="both"/>
        <w:rPr>
          <w:rFonts w:ascii="Calibri" w:hAnsi="Calibri" w:cs="Calibri"/>
          <w:sz w:val="24"/>
          <w:szCs w:val="24"/>
        </w:rPr>
      </w:pPr>
    </w:p>
    <w:p w14:paraId="4D7853C5" w14:textId="77777777" w:rsidR="000B4C0B" w:rsidRPr="00A529B7" w:rsidRDefault="007D78BF" w:rsidP="00A529B7">
      <w:pPr>
        <w:tabs>
          <w:tab w:val="left" w:pos="567"/>
        </w:tabs>
        <w:spacing w:after="0" w:line="240" w:lineRule="auto"/>
        <w:jc w:val="both"/>
        <w:rPr>
          <w:rFonts w:ascii="Calibri" w:hAnsi="Calibri" w:cs="Calibri"/>
          <w:sz w:val="24"/>
          <w:szCs w:val="24"/>
        </w:rPr>
      </w:pPr>
      <w:r w:rsidRPr="00A529B7">
        <w:rPr>
          <w:rFonts w:ascii="Calibri" w:hAnsi="Calibri" w:cs="Calibri"/>
          <w:sz w:val="24"/>
          <w:szCs w:val="24"/>
        </w:rPr>
        <w:t>4.</w:t>
      </w:r>
      <w:r w:rsidR="00DC0063" w:rsidRPr="00A529B7">
        <w:rPr>
          <w:rFonts w:ascii="Calibri" w:hAnsi="Calibri" w:cs="Calibri"/>
          <w:sz w:val="24"/>
          <w:szCs w:val="24"/>
        </w:rPr>
        <w:t>29</w:t>
      </w:r>
      <w:r w:rsidR="00032EA4">
        <w:rPr>
          <w:rFonts w:ascii="Calibri" w:hAnsi="Calibri" w:cs="Calibri"/>
          <w:sz w:val="24"/>
          <w:szCs w:val="24"/>
        </w:rPr>
        <w:t xml:space="preserve"> </w:t>
      </w:r>
      <w:r w:rsidR="008F02D3" w:rsidRPr="00A529B7">
        <w:rPr>
          <w:rFonts w:ascii="Calibri" w:hAnsi="Calibri" w:cs="Calibri"/>
          <w:sz w:val="24"/>
          <w:szCs w:val="24"/>
        </w:rPr>
        <w:t xml:space="preserve">Za efektivní se považuje takové použití veřejných prostředků, kterým se dosáhne nejvyššího možného rozsahu, kvality a přínosu plněných úkolů ve srovnání s objemem prostředků </w:t>
      </w:r>
      <w:r w:rsidR="00656C03" w:rsidRPr="00A529B7">
        <w:rPr>
          <w:rFonts w:ascii="Calibri" w:hAnsi="Calibri" w:cs="Calibri"/>
          <w:sz w:val="24"/>
          <w:szCs w:val="24"/>
        </w:rPr>
        <w:t xml:space="preserve">poskytnutých </w:t>
      </w:r>
      <w:r w:rsidR="008F02D3" w:rsidRPr="00A529B7">
        <w:rPr>
          <w:rFonts w:ascii="Calibri" w:hAnsi="Calibri" w:cs="Calibri"/>
          <w:sz w:val="24"/>
          <w:szCs w:val="24"/>
        </w:rPr>
        <w:t>na jejich plnění</w:t>
      </w:r>
      <w:r w:rsidR="008F02D3" w:rsidRPr="00A529B7">
        <w:rPr>
          <w:rStyle w:val="Znakapoznpodarou"/>
          <w:rFonts w:ascii="Calibri" w:hAnsi="Calibri" w:cs="Calibri"/>
          <w:sz w:val="24"/>
          <w:szCs w:val="24"/>
        </w:rPr>
        <w:footnoteReference w:id="29"/>
      </w:r>
      <w:r w:rsidR="008F02D3" w:rsidRPr="00A529B7">
        <w:rPr>
          <w:rFonts w:ascii="Calibri" w:hAnsi="Calibri" w:cs="Calibri"/>
          <w:sz w:val="24"/>
          <w:szCs w:val="24"/>
        </w:rPr>
        <w:t xml:space="preserve">. Efektivnost </w:t>
      </w:r>
      <w:r w:rsidR="00642230" w:rsidRPr="00A529B7">
        <w:rPr>
          <w:rFonts w:ascii="Calibri" w:hAnsi="Calibri" w:cs="Calibri"/>
          <w:sz w:val="24"/>
          <w:szCs w:val="24"/>
        </w:rPr>
        <w:t xml:space="preserve">tak </w:t>
      </w:r>
      <w:r w:rsidR="008F02D3" w:rsidRPr="00A529B7">
        <w:rPr>
          <w:rFonts w:ascii="Calibri" w:hAnsi="Calibri" w:cs="Calibri"/>
          <w:sz w:val="24"/>
          <w:szCs w:val="24"/>
        </w:rPr>
        <w:t xml:space="preserve">vyjadřuje vztah mezi vloženými zdroji a získanými výstupy z hlediska kvantity, kvality a času, a to jak u jednotlivých projektů, tak </w:t>
      </w:r>
      <w:r w:rsidR="001526BD" w:rsidRPr="00A529B7">
        <w:rPr>
          <w:rFonts w:ascii="Calibri" w:hAnsi="Calibri" w:cs="Calibri"/>
          <w:sz w:val="24"/>
          <w:szCs w:val="24"/>
        </w:rPr>
        <w:t xml:space="preserve">u </w:t>
      </w:r>
      <w:r w:rsidR="008F02D3" w:rsidRPr="00A529B7">
        <w:rPr>
          <w:rFonts w:ascii="Calibri" w:hAnsi="Calibri" w:cs="Calibri"/>
          <w:sz w:val="24"/>
          <w:szCs w:val="24"/>
        </w:rPr>
        <w:t xml:space="preserve">činnosti </w:t>
      </w:r>
      <w:r w:rsidR="007870EB" w:rsidRPr="00A529B7">
        <w:rPr>
          <w:rFonts w:ascii="Calibri" w:hAnsi="Calibri" w:cs="Calibri"/>
          <w:sz w:val="24"/>
          <w:szCs w:val="24"/>
        </w:rPr>
        <w:t>správce programů</w:t>
      </w:r>
      <w:r w:rsidR="008F02D3" w:rsidRPr="00A529B7">
        <w:rPr>
          <w:rFonts w:ascii="Calibri" w:hAnsi="Calibri" w:cs="Calibri"/>
          <w:sz w:val="24"/>
          <w:szCs w:val="24"/>
        </w:rPr>
        <w:t xml:space="preserve">. </w:t>
      </w:r>
      <w:r w:rsidR="00740C4F" w:rsidRPr="00A529B7">
        <w:rPr>
          <w:rFonts w:ascii="Calibri" w:hAnsi="Calibri" w:cs="Calibri"/>
          <w:sz w:val="24"/>
          <w:szCs w:val="24"/>
        </w:rPr>
        <w:t>Hospodárností se rozumí takové použití finančních prostředků, jež zajistí plnění stanovených úkolů s co nejnižším vynaložením těchto prostředků při zajištění odpovídající kvality plnění úkolů</w:t>
      </w:r>
      <w:r w:rsidR="002453B9" w:rsidRPr="00A529B7">
        <w:rPr>
          <w:rStyle w:val="Znakapoznpodarou"/>
          <w:rFonts w:ascii="Calibri" w:hAnsi="Calibri" w:cs="Calibri"/>
          <w:sz w:val="24"/>
          <w:szCs w:val="24"/>
        </w:rPr>
        <w:footnoteReference w:id="30"/>
      </w:r>
      <w:r w:rsidR="00740C4F" w:rsidRPr="00A529B7">
        <w:rPr>
          <w:rFonts w:ascii="Calibri" w:hAnsi="Calibri" w:cs="Calibri"/>
          <w:sz w:val="24"/>
          <w:szCs w:val="24"/>
        </w:rPr>
        <w:t>. Princip</w:t>
      </w:r>
      <w:r w:rsidR="00642230" w:rsidRPr="00A529B7">
        <w:rPr>
          <w:rFonts w:ascii="Calibri" w:hAnsi="Calibri" w:cs="Calibri"/>
          <w:sz w:val="24"/>
          <w:szCs w:val="24"/>
        </w:rPr>
        <w:t xml:space="preserve"> hospodárnosti</w:t>
      </w:r>
      <w:r w:rsidR="00740C4F" w:rsidRPr="00A529B7">
        <w:rPr>
          <w:rFonts w:ascii="Calibri" w:hAnsi="Calibri" w:cs="Calibri"/>
          <w:sz w:val="24"/>
          <w:szCs w:val="24"/>
        </w:rPr>
        <w:t xml:space="preserve"> byl </w:t>
      </w:r>
      <w:r w:rsidR="00642230" w:rsidRPr="00A529B7">
        <w:rPr>
          <w:rFonts w:ascii="Calibri" w:hAnsi="Calibri" w:cs="Calibri"/>
          <w:sz w:val="24"/>
          <w:szCs w:val="24"/>
        </w:rPr>
        <w:t xml:space="preserve">proto </w:t>
      </w:r>
      <w:r w:rsidR="00740C4F" w:rsidRPr="00A529B7">
        <w:rPr>
          <w:rFonts w:ascii="Calibri" w:hAnsi="Calibri" w:cs="Calibri"/>
          <w:sz w:val="24"/>
          <w:szCs w:val="24"/>
        </w:rPr>
        <w:t>součástí celkového posouzení efektivnosti.</w:t>
      </w:r>
    </w:p>
    <w:p w14:paraId="1C327BEB" w14:textId="77777777" w:rsidR="00032EA4" w:rsidRPr="00032EA4" w:rsidRDefault="00032EA4" w:rsidP="00032EA4">
      <w:pPr>
        <w:tabs>
          <w:tab w:val="left" w:pos="567"/>
        </w:tabs>
        <w:spacing w:after="0" w:line="240" w:lineRule="auto"/>
        <w:jc w:val="both"/>
        <w:rPr>
          <w:rFonts w:ascii="Calibri" w:hAnsi="Calibri" w:cs="Calibri"/>
          <w:sz w:val="24"/>
          <w:szCs w:val="24"/>
        </w:rPr>
      </w:pPr>
    </w:p>
    <w:p w14:paraId="5ABAEB23" w14:textId="77777777" w:rsidR="00EA2965" w:rsidRDefault="00EA2965">
      <w:pPr>
        <w:rPr>
          <w:rFonts w:ascii="Calibri" w:hAnsi="Calibri" w:cs="Calibri"/>
          <w:sz w:val="24"/>
          <w:szCs w:val="24"/>
        </w:rPr>
      </w:pPr>
      <w:r>
        <w:rPr>
          <w:rFonts w:ascii="Calibri" w:hAnsi="Calibri" w:cs="Calibri"/>
          <w:sz w:val="24"/>
          <w:szCs w:val="24"/>
        </w:rPr>
        <w:br w:type="page"/>
      </w:r>
    </w:p>
    <w:p w14:paraId="57C8A78F" w14:textId="028F9E5C" w:rsidR="008F02D3" w:rsidRPr="00032EA4" w:rsidRDefault="00032EA4" w:rsidP="002162AD">
      <w:pPr>
        <w:tabs>
          <w:tab w:val="left" w:pos="567"/>
        </w:tabs>
        <w:spacing w:before="100" w:beforeAutospacing="1" w:after="120" w:line="240" w:lineRule="auto"/>
        <w:jc w:val="both"/>
        <w:rPr>
          <w:rFonts w:ascii="Calibri" w:hAnsi="Calibri" w:cs="Calibri"/>
          <w:sz w:val="24"/>
          <w:szCs w:val="24"/>
        </w:rPr>
      </w:pPr>
      <w:r>
        <w:rPr>
          <w:rFonts w:ascii="Calibri" w:hAnsi="Calibri" w:cs="Calibri"/>
          <w:sz w:val="24"/>
          <w:szCs w:val="24"/>
        </w:rPr>
        <w:lastRenderedPageBreak/>
        <w:t xml:space="preserve">4.30 </w:t>
      </w:r>
      <w:r w:rsidR="008F02D3" w:rsidRPr="00032EA4">
        <w:rPr>
          <w:rFonts w:ascii="Calibri" w:hAnsi="Calibri" w:cs="Calibri"/>
          <w:sz w:val="24"/>
          <w:szCs w:val="24"/>
        </w:rPr>
        <w:t>NKÚ posuzoval efektivnost programů BV podle následujících kritérií:</w:t>
      </w:r>
    </w:p>
    <w:p w14:paraId="47D0F3D6" w14:textId="77777777" w:rsidR="000707F5" w:rsidRPr="00A529B7" w:rsidRDefault="000B4C0B" w:rsidP="00032EA4">
      <w:pPr>
        <w:pStyle w:val="Odstavecseseznamem"/>
        <w:numPr>
          <w:ilvl w:val="0"/>
          <w:numId w:val="8"/>
        </w:numPr>
        <w:spacing w:after="0" w:line="240" w:lineRule="auto"/>
        <w:ind w:left="284" w:hanging="284"/>
        <w:contextualSpacing w:val="0"/>
        <w:jc w:val="both"/>
        <w:rPr>
          <w:rFonts w:ascii="Calibri" w:hAnsi="Calibri" w:cs="Calibri"/>
          <w:sz w:val="24"/>
          <w:szCs w:val="24"/>
        </w:rPr>
      </w:pPr>
      <w:r w:rsidRPr="00A529B7">
        <w:rPr>
          <w:rFonts w:ascii="Calibri" w:hAnsi="Calibri" w:cs="Calibri"/>
          <w:sz w:val="24"/>
          <w:szCs w:val="24"/>
        </w:rPr>
        <w:t>zda nastavený systém hodnocení projektů umožňuje výběr efektivních projektů a zda MV postupovalo dle nastaveného systému;</w:t>
      </w:r>
    </w:p>
    <w:p w14:paraId="36273F3F" w14:textId="77777777" w:rsidR="00E753C4" w:rsidRPr="00A529B7" w:rsidRDefault="00E753C4" w:rsidP="00032EA4">
      <w:pPr>
        <w:pStyle w:val="Odstavecseseznamem"/>
        <w:numPr>
          <w:ilvl w:val="0"/>
          <w:numId w:val="8"/>
        </w:numPr>
        <w:spacing w:after="0" w:line="240" w:lineRule="auto"/>
        <w:ind w:left="284" w:hanging="284"/>
        <w:contextualSpacing w:val="0"/>
        <w:jc w:val="both"/>
        <w:rPr>
          <w:rFonts w:ascii="Calibri" w:hAnsi="Calibri" w:cs="Calibri"/>
          <w:sz w:val="24"/>
          <w:szCs w:val="24"/>
        </w:rPr>
      </w:pPr>
      <w:r w:rsidRPr="00A529B7">
        <w:rPr>
          <w:rFonts w:ascii="Calibri" w:hAnsi="Calibri" w:cs="Calibri"/>
          <w:sz w:val="24"/>
          <w:szCs w:val="24"/>
        </w:rPr>
        <w:t xml:space="preserve">zda MV po skončení projektů </w:t>
      </w:r>
      <w:r w:rsidR="005A03B6" w:rsidRPr="00A529B7">
        <w:rPr>
          <w:rFonts w:ascii="Calibri" w:hAnsi="Calibri" w:cs="Calibri"/>
          <w:sz w:val="24"/>
          <w:szCs w:val="24"/>
        </w:rPr>
        <w:t>z</w:t>
      </w:r>
      <w:r w:rsidRPr="00A529B7">
        <w:rPr>
          <w:rFonts w:ascii="Calibri" w:hAnsi="Calibri" w:cs="Calibri"/>
          <w:sz w:val="24"/>
          <w:szCs w:val="24"/>
        </w:rPr>
        <w:t>hodnotilo</w:t>
      </w:r>
      <w:r w:rsidR="005A03B6" w:rsidRPr="00A529B7">
        <w:rPr>
          <w:rFonts w:ascii="Calibri" w:hAnsi="Calibri" w:cs="Calibri"/>
          <w:sz w:val="24"/>
          <w:szCs w:val="24"/>
        </w:rPr>
        <w:t xml:space="preserve"> i</w:t>
      </w:r>
      <w:r w:rsidRPr="00A529B7">
        <w:rPr>
          <w:rFonts w:ascii="Calibri" w:hAnsi="Calibri" w:cs="Calibri"/>
          <w:sz w:val="24"/>
          <w:szCs w:val="24"/>
        </w:rPr>
        <w:t xml:space="preserve"> jejich efektivnost;</w:t>
      </w:r>
    </w:p>
    <w:p w14:paraId="1AB219F3" w14:textId="77777777" w:rsidR="000B4C0B" w:rsidRPr="00A529B7" w:rsidRDefault="000B4C0B" w:rsidP="00032EA4">
      <w:pPr>
        <w:pStyle w:val="Odstavecseseznamem"/>
        <w:numPr>
          <w:ilvl w:val="0"/>
          <w:numId w:val="8"/>
        </w:numPr>
        <w:spacing w:after="0" w:line="240" w:lineRule="auto"/>
        <w:ind w:left="284" w:hanging="284"/>
        <w:contextualSpacing w:val="0"/>
        <w:jc w:val="both"/>
        <w:rPr>
          <w:rFonts w:ascii="Calibri" w:hAnsi="Calibri" w:cs="Calibri"/>
          <w:sz w:val="24"/>
          <w:szCs w:val="24"/>
        </w:rPr>
      </w:pPr>
      <w:r w:rsidRPr="00A529B7">
        <w:rPr>
          <w:rFonts w:ascii="Calibri" w:hAnsi="Calibri" w:cs="Calibri"/>
          <w:sz w:val="24"/>
          <w:szCs w:val="24"/>
        </w:rPr>
        <w:t xml:space="preserve">zda </w:t>
      </w:r>
      <w:r w:rsidR="00E753C4" w:rsidRPr="00A529B7">
        <w:rPr>
          <w:rFonts w:ascii="Calibri" w:hAnsi="Calibri" w:cs="Calibri"/>
          <w:sz w:val="24"/>
          <w:szCs w:val="24"/>
        </w:rPr>
        <w:t xml:space="preserve">jsou realizovány </w:t>
      </w:r>
      <w:r w:rsidR="002453B9" w:rsidRPr="00A529B7">
        <w:rPr>
          <w:rFonts w:ascii="Calibri" w:hAnsi="Calibri" w:cs="Calibri"/>
          <w:sz w:val="24"/>
          <w:szCs w:val="24"/>
        </w:rPr>
        <w:t>efektivní</w:t>
      </w:r>
      <w:r w:rsidR="00E753C4" w:rsidRPr="00A529B7">
        <w:rPr>
          <w:rFonts w:ascii="Calibri" w:hAnsi="Calibri" w:cs="Calibri"/>
          <w:sz w:val="24"/>
          <w:szCs w:val="24"/>
        </w:rPr>
        <w:t xml:space="preserve"> projekty</w:t>
      </w:r>
      <w:r w:rsidR="002453B9" w:rsidRPr="00A529B7">
        <w:rPr>
          <w:rFonts w:ascii="Calibri" w:hAnsi="Calibri" w:cs="Calibri"/>
          <w:sz w:val="24"/>
          <w:szCs w:val="24"/>
        </w:rPr>
        <w:t xml:space="preserve">, tj. např. zda </w:t>
      </w:r>
      <w:r w:rsidRPr="00A529B7">
        <w:rPr>
          <w:rFonts w:ascii="Calibri" w:hAnsi="Calibri" w:cs="Calibri"/>
          <w:sz w:val="24"/>
          <w:szCs w:val="24"/>
        </w:rPr>
        <w:t>všechny aktivity realizované v rámci projektu byly nezbytné pro dosažení cíle projektu</w:t>
      </w:r>
      <w:r w:rsidR="002453B9" w:rsidRPr="00A529B7">
        <w:rPr>
          <w:rFonts w:ascii="Calibri" w:hAnsi="Calibri" w:cs="Calibri"/>
          <w:sz w:val="24"/>
          <w:szCs w:val="24"/>
        </w:rPr>
        <w:t>, zda činnosti a služby byly prováděny za ceny obvyklé v čase a místě a</w:t>
      </w:r>
      <w:r w:rsidR="00642230" w:rsidRPr="00A529B7">
        <w:rPr>
          <w:rFonts w:ascii="Calibri" w:hAnsi="Calibri" w:cs="Calibri"/>
          <w:sz w:val="24"/>
          <w:szCs w:val="24"/>
        </w:rPr>
        <w:t xml:space="preserve"> </w:t>
      </w:r>
      <w:r w:rsidRPr="00A529B7">
        <w:rPr>
          <w:rFonts w:ascii="Calibri" w:hAnsi="Calibri" w:cs="Calibri"/>
          <w:sz w:val="24"/>
          <w:szCs w:val="24"/>
        </w:rPr>
        <w:t>zda nedochází k překryvu realizovaných projektů se stejným zaměřením</w:t>
      </w:r>
      <w:r w:rsidR="002453B9" w:rsidRPr="00A529B7">
        <w:rPr>
          <w:rStyle w:val="Znakapoznpodarou"/>
          <w:rFonts w:ascii="Calibri" w:hAnsi="Calibri" w:cs="Calibri"/>
          <w:sz w:val="24"/>
          <w:szCs w:val="24"/>
        </w:rPr>
        <w:footnoteReference w:id="31"/>
      </w:r>
      <w:r w:rsidRPr="00A529B7">
        <w:rPr>
          <w:rFonts w:ascii="Calibri" w:hAnsi="Calibri" w:cs="Calibri"/>
          <w:sz w:val="24"/>
          <w:szCs w:val="24"/>
        </w:rPr>
        <w:t>;</w:t>
      </w:r>
    </w:p>
    <w:p w14:paraId="3D9A2C62" w14:textId="77777777" w:rsidR="00E753C4" w:rsidRPr="00A529B7" w:rsidRDefault="00656C03" w:rsidP="00032EA4">
      <w:pPr>
        <w:pStyle w:val="Odstavecseseznamem"/>
        <w:numPr>
          <w:ilvl w:val="0"/>
          <w:numId w:val="8"/>
        </w:numPr>
        <w:spacing w:after="0" w:line="240" w:lineRule="auto"/>
        <w:ind w:left="284" w:hanging="284"/>
        <w:contextualSpacing w:val="0"/>
        <w:jc w:val="both"/>
        <w:rPr>
          <w:rFonts w:ascii="Calibri" w:hAnsi="Calibri" w:cs="Calibri"/>
          <w:sz w:val="24"/>
          <w:szCs w:val="24"/>
        </w:rPr>
      </w:pPr>
      <w:r w:rsidRPr="00A529B7">
        <w:rPr>
          <w:rFonts w:ascii="Calibri" w:hAnsi="Calibri" w:cs="Calibri"/>
          <w:sz w:val="24"/>
          <w:szCs w:val="24"/>
        </w:rPr>
        <w:t xml:space="preserve">zda výzkumné instituce, jež čerpají institucionální podporu MV, nejsou </w:t>
      </w:r>
      <w:r w:rsidR="00EA4422" w:rsidRPr="00A529B7">
        <w:rPr>
          <w:rFonts w:ascii="Calibri" w:hAnsi="Calibri" w:cs="Calibri"/>
          <w:sz w:val="24"/>
          <w:szCs w:val="24"/>
        </w:rPr>
        <w:t xml:space="preserve">při výběru projektů programů </w:t>
      </w:r>
      <w:r w:rsidR="00744480" w:rsidRPr="00A529B7">
        <w:rPr>
          <w:rFonts w:ascii="Calibri" w:hAnsi="Calibri" w:cs="Calibri"/>
          <w:sz w:val="24"/>
          <w:szCs w:val="24"/>
        </w:rPr>
        <w:t>BV preferovány</w:t>
      </w:r>
      <w:r w:rsidR="00EA4422" w:rsidRPr="00A529B7">
        <w:rPr>
          <w:rFonts w:ascii="Calibri" w:hAnsi="Calibri" w:cs="Calibri"/>
          <w:sz w:val="24"/>
          <w:szCs w:val="24"/>
        </w:rPr>
        <w:t xml:space="preserve"> před jinými uchazeči</w:t>
      </w:r>
      <w:r w:rsidR="00E753C4" w:rsidRPr="00A529B7">
        <w:rPr>
          <w:rFonts w:ascii="Calibri" w:hAnsi="Calibri" w:cs="Calibri"/>
          <w:sz w:val="24"/>
          <w:szCs w:val="24"/>
        </w:rPr>
        <w:t>;</w:t>
      </w:r>
    </w:p>
    <w:p w14:paraId="5EA592C7" w14:textId="77777777" w:rsidR="00E753C4" w:rsidRPr="00A529B7" w:rsidRDefault="00E753C4" w:rsidP="00032EA4">
      <w:pPr>
        <w:pStyle w:val="Odstavecseseznamem"/>
        <w:numPr>
          <w:ilvl w:val="0"/>
          <w:numId w:val="8"/>
        </w:numPr>
        <w:spacing w:after="0" w:line="240" w:lineRule="auto"/>
        <w:ind w:left="284" w:hanging="284"/>
        <w:contextualSpacing w:val="0"/>
        <w:jc w:val="both"/>
        <w:rPr>
          <w:rFonts w:ascii="Calibri" w:hAnsi="Calibri" w:cs="Calibri"/>
          <w:sz w:val="24"/>
          <w:szCs w:val="24"/>
        </w:rPr>
      </w:pPr>
      <w:r w:rsidRPr="00A529B7">
        <w:rPr>
          <w:rFonts w:ascii="Calibri" w:hAnsi="Calibri" w:cs="Calibri"/>
          <w:sz w:val="24"/>
          <w:szCs w:val="24"/>
        </w:rPr>
        <w:t>zda a v jaké míře se výzkumné instituce účastní projektů podporovaných z horizontálních programů EU</w:t>
      </w:r>
      <w:r w:rsidR="002B6B91" w:rsidRPr="00A529B7">
        <w:rPr>
          <w:rFonts w:ascii="Calibri" w:hAnsi="Calibri" w:cs="Calibri"/>
          <w:sz w:val="24"/>
          <w:szCs w:val="24"/>
        </w:rPr>
        <w:t xml:space="preserve"> (viz odst. 4.41)</w:t>
      </w:r>
      <w:r w:rsidRPr="00A529B7">
        <w:rPr>
          <w:rFonts w:ascii="Calibri" w:hAnsi="Calibri" w:cs="Calibri"/>
          <w:sz w:val="24"/>
          <w:szCs w:val="24"/>
        </w:rPr>
        <w:t>.</w:t>
      </w:r>
    </w:p>
    <w:p w14:paraId="10FCBAB5" w14:textId="77777777" w:rsidR="008F02D3" w:rsidRPr="00A529B7" w:rsidRDefault="008F02D3" w:rsidP="00A529B7">
      <w:pPr>
        <w:tabs>
          <w:tab w:val="left" w:pos="567"/>
        </w:tabs>
        <w:spacing w:after="0" w:line="240" w:lineRule="auto"/>
        <w:jc w:val="both"/>
        <w:rPr>
          <w:rFonts w:ascii="Calibri" w:hAnsi="Calibri" w:cs="Calibri"/>
          <w:sz w:val="24"/>
          <w:szCs w:val="24"/>
        </w:rPr>
      </w:pPr>
    </w:p>
    <w:p w14:paraId="4A936022" w14:textId="77777777" w:rsidR="00656C03" w:rsidRPr="00A529B7" w:rsidRDefault="003F1FA2" w:rsidP="00A529B7">
      <w:pPr>
        <w:spacing w:after="0" w:line="240" w:lineRule="auto"/>
        <w:jc w:val="both"/>
        <w:rPr>
          <w:rFonts w:ascii="Calibri" w:hAnsi="Calibri" w:cs="Calibri"/>
          <w:b/>
          <w:i/>
          <w:color w:val="C00000"/>
          <w:sz w:val="24"/>
          <w:szCs w:val="24"/>
        </w:rPr>
      </w:pPr>
      <w:r w:rsidRPr="00A529B7">
        <w:rPr>
          <w:rFonts w:ascii="Calibri" w:hAnsi="Calibri" w:cs="Calibri"/>
          <w:b/>
          <w:i/>
          <w:color w:val="C00000"/>
          <w:sz w:val="24"/>
          <w:szCs w:val="24"/>
        </w:rPr>
        <w:t xml:space="preserve">→ </w:t>
      </w:r>
      <w:r w:rsidR="00C45631" w:rsidRPr="00A529B7">
        <w:rPr>
          <w:rFonts w:ascii="Calibri" w:hAnsi="Calibri" w:cs="Calibri"/>
          <w:b/>
          <w:i/>
          <w:color w:val="C00000"/>
          <w:sz w:val="24"/>
          <w:szCs w:val="24"/>
        </w:rPr>
        <w:t>V Programu VI byla při výběru projektů zohledněna kritéria efektivnosti, přetrvávala však omezená průkaznost odůvodnění tohoto posouzení.</w:t>
      </w:r>
    </w:p>
    <w:p w14:paraId="12DBE2E7" w14:textId="77777777" w:rsidR="00032EA4" w:rsidRDefault="00032EA4" w:rsidP="00A529B7">
      <w:pPr>
        <w:spacing w:after="0" w:line="240" w:lineRule="auto"/>
        <w:jc w:val="both"/>
        <w:rPr>
          <w:rFonts w:ascii="Calibri" w:hAnsi="Calibri" w:cs="Calibri"/>
          <w:sz w:val="24"/>
          <w:szCs w:val="24"/>
        </w:rPr>
      </w:pPr>
    </w:p>
    <w:p w14:paraId="189C76A3" w14:textId="77777777" w:rsidR="003F1FA2" w:rsidRPr="00A529B7" w:rsidRDefault="003F1FA2" w:rsidP="00A529B7">
      <w:pPr>
        <w:spacing w:after="0" w:line="240" w:lineRule="auto"/>
        <w:jc w:val="both"/>
        <w:rPr>
          <w:rFonts w:ascii="Calibri" w:hAnsi="Calibri" w:cs="Calibri"/>
          <w:sz w:val="24"/>
          <w:szCs w:val="24"/>
        </w:rPr>
      </w:pPr>
      <w:r w:rsidRPr="00A529B7">
        <w:rPr>
          <w:rFonts w:ascii="Calibri" w:hAnsi="Calibri" w:cs="Calibri"/>
          <w:sz w:val="24"/>
          <w:szCs w:val="24"/>
        </w:rPr>
        <w:t>4.</w:t>
      </w:r>
      <w:r w:rsidR="007D78BF" w:rsidRPr="00A529B7">
        <w:rPr>
          <w:rFonts w:ascii="Calibri" w:hAnsi="Calibri" w:cs="Calibri"/>
          <w:sz w:val="24"/>
          <w:szCs w:val="24"/>
        </w:rPr>
        <w:t>3</w:t>
      </w:r>
      <w:r w:rsidR="00DC0063" w:rsidRPr="00A529B7">
        <w:rPr>
          <w:rFonts w:ascii="Calibri" w:hAnsi="Calibri" w:cs="Calibri"/>
          <w:sz w:val="24"/>
          <w:szCs w:val="24"/>
        </w:rPr>
        <w:t>1</w:t>
      </w:r>
      <w:r w:rsidR="00032EA4">
        <w:rPr>
          <w:rFonts w:ascii="Calibri" w:hAnsi="Calibri" w:cs="Calibri"/>
          <w:sz w:val="24"/>
          <w:szCs w:val="24"/>
        </w:rPr>
        <w:t xml:space="preserve"> </w:t>
      </w:r>
      <w:r w:rsidRPr="00A529B7">
        <w:rPr>
          <w:rFonts w:ascii="Calibri" w:hAnsi="Calibri" w:cs="Calibri"/>
          <w:sz w:val="24"/>
          <w:szCs w:val="24"/>
        </w:rPr>
        <w:t xml:space="preserve">V případě Programu VI byla v procesu výběru </w:t>
      </w:r>
      <w:r w:rsidR="00C45631" w:rsidRPr="00A529B7">
        <w:rPr>
          <w:rFonts w:ascii="Calibri" w:hAnsi="Calibri" w:cs="Calibri"/>
          <w:sz w:val="24"/>
          <w:szCs w:val="24"/>
        </w:rPr>
        <w:t xml:space="preserve">projektů </w:t>
      </w:r>
      <w:r w:rsidRPr="00A529B7">
        <w:rPr>
          <w:rFonts w:ascii="Calibri" w:hAnsi="Calibri" w:cs="Calibri"/>
          <w:sz w:val="24"/>
          <w:szCs w:val="24"/>
        </w:rPr>
        <w:t xml:space="preserve">zohledněna i kritéria hodnotící financování projektu a systém byl nastaven tak, aby umožňoval výběr efektivních projektů. </w:t>
      </w:r>
    </w:p>
    <w:p w14:paraId="457FFFF7" w14:textId="77777777" w:rsidR="00032EA4" w:rsidRDefault="00032EA4" w:rsidP="00A529B7">
      <w:pPr>
        <w:spacing w:after="0" w:line="240" w:lineRule="auto"/>
        <w:jc w:val="both"/>
        <w:rPr>
          <w:rFonts w:ascii="Calibri" w:hAnsi="Calibri" w:cs="Calibri"/>
          <w:sz w:val="24"/>
          <w:szCs w:val="24"/>
        </w:rPr>
      </w:pPr>
    </w:p>
    <w:p w14:paraId="5A8B7BC6" w14:textId="77777777" w:rsidR="00C45631" w:rsidRPr="00A529B7" w:rsidRDefault="007D78BF" w:rsidP="00A529B7">
      <w:pPr>
        <w:spacing w:after="0" w:line="240" w:lineRule="auto"/>
        <w:jc w:val="both"/>
        <w:rPr>
          <w:rFonts w:ascii="Calibri" w:hAnsi="Calibri" w:cs="Calibri"/>
          <w:sz w:val="24"/>
          <w:szCs w:val="24"/>
        </w:rPr>
      </w:pPr>
      <w:r w:rsidRPr="00A529B7">
        <w:rPr>
          <w:rFonts w:ascii="Calibri" w:hAnsi="Calibri" w:cs="Calibri"/>
          <w:sz w:val="24"/>
          <w:szCs w:val="24"/>
        </w:rPr>
        <w:t>4.3</w:t>
      </w:r>
      <w:r w:rsidR="00DC0063" w:rsidRPr="00A529B7">
        <w:rPr>
          <w:rFonts w:ascii="Calibri" w:hAnsi="Calibri" w:cs="Calibri"/>
          <w:sz w:val="24"/>
          <w:szCs w:val="24"/>
        </w:rPr>
        <w:t>2</w:t>
      </w:r>
      <w:r w:rsidR="00032EA4">
        <w:rPr>
          <w:rFonts w:ascii="Calibri" w:hAnsi="Calibri" w:cs="Calibri"/>
          <w:sz w:val="24"/>
          <w:szCs w:val="24"/>
        </w:rPr>
        <w:t xml:space="preserve"> </w:t>
      </w:r>
      <w:r w:rsidR="00C45631" w:rsidRPr="00A529B7">
        <w:rPr>
          <w:rFonts w:ascii="Calibri" w:hAnsi="Calibri" w:cs="Calibri"/>
          <w:sz w:val="24"/>
          <w:szCs w:val="24"/>
        </w:rPr>
        <w:t>Hodnocení efektivnosti projektů ze strany MV však nebylo dle NKÚ zcela průkazné, neboť MV schválilo k podpoře projekty bez průkazných odůvodnění hodnocení jejich předpokládané efektivnosti (viz příklad č. 4).</w:t>
      </w:r>
    </w:p>
    <w:p w14:paraId="34183AFD" w14:textId="77777777" w:rsidR="00032EA4" w:rsidRPr="00A529B7" w:rsidRDefault="00032EA4" w:rsidP="003C7F98">
      <w:pPr>
        <w:spacing w:after="0" w:line="240" w:lineRule="auto"/>
        <w:jc w:val="both"/>
        <w:rPr>
          <w:rFonts w:ascii="Calibri" w:hAnsi="Calibri" w:cs="Calibri"/>
          <w:sz w:val="24"/>
          <w:szCs w:val="24"/>
        </w:rPr>
      </w:pPr>
    </w:p>
    <w:p w14:paraId="209BD082" w14:textId="77777777" w:rsidR="003F1FA2" w:rsidRPr="00C71487" w:rsidRDefault="007D78BF" w:rsidP="003C7F98">
      <w:pPr>
        <w:spacing w:after="0" w:line="240" w:lineRule="auto"/>
        <w:rPr>
          <w:rFonts w:ascii="Calibri" w:hAnsi="Calibri" w:cs="Calibri"/>
          <w:b/>
          <w:color w:val="000000" w:themeColor="text1"/>
          <w:sz w:val="24"/>
          <w:szCs w:val="24"/>
        </w:rPr>
      </w:pPr>
      <w:r w:rsidRPr="00C71487">
        <w:rPr>
          <w:rFonts w:ascii="Calibri" w:hAnsi="Calibri" w:cs="Calibri"/>
          <w:b/>
          <w:color w:val="000000" w:themeColor="text1"/>
          <w:sz w:val="24"/>
          <w:szCs w:val="24"/>
        </w:rPr>
        <w:t>Příklad č. 4</w:t>
      </w:r>
      <w:r w:rsidR="003F1FA2" w:rsidRPr="00C71487">
        <w:rPr>
          <w:rFonts w:ascii="Calibri" w:hAnsi="Calibri" w:cs="Calibri"/>
          <w:b/>
          <w:color w:val="000000" w:themeColor="text1"/>
          <w:sz w:val="24"/>
          <w:szCs w:val="24"/>
        </w:rPr>
        <w:t>: Vybraná hodnocení kritérií efektivnosti z oponentských posudků</w:t>
      </w:r>
      <w:r w:rsidR="00AB3E1B" w:rsidRPr="00C71487">
        <w:rPr>
          <w:rFonts w:ascii="Calibri" w:hAnsi="Calibri" w:cs="Calibri"/>
          <w:b/>
          <w:color w:val="000000" w:themeColor="text1"/>
          <w:sz w:val="24"/>
          <w:szCs w:val="24"/>
        </w:rPr>
        <w:t xml:space="preserve"> Programu VI</w:t>
      </w:r>
    </w:p>
    <w:tbl>
      <w:tblPr>
        <w:tblStyle w:val="Mkatabulky"/>
        <w:tblpPr w:leftFromText="141" w:rightFromText="141" w:vertAnchor="text" w:horzAnchor="margin" w:tblpY="91"/>
        <w:tblW w:w="0" w:type="auto"/>
        <w:tblLook w:val="04A0" w:firstRow="1" w:lastRow="0" w:firstColumn="1" w:lastColumn="0" w:noHBand="0" w:noVBand="1"/>
      </w:tblPr>
      <w:tblGrid>
        <w:gridCol w:w="9062"/>
      </w:tblGrid>
      <w:tr w:rsidR="003F1FA2" w:rsidRPr="00A529B7" w14:paraId="5DCD3D0E" w14:textId="77777777" w:rsidTr="002162AD">
        <w:trPr>
          <w:trHeight w:val="2211"/>
        </w:trPr>
        <w:tc>
          <w:tcPr>
            <w:tcW w:w="9062" w:type="dxa"/>
            <w:tcBorders>
              <w:top w:val="single" w:sz="4" w:space="0" w:color="auto"/>
              <w:left w:val="single" w:sz="4" w:space="0" w:color="auto"/>
              <w:bottom w:val="single" w:sz="4" w:space="0" w:color="auto"/>
              <w:right w:val="single" w:sz="4" w:space="0" w:color="auto"/>
            </w:tcBorders>
            <w:hideMark/>
          </w:tcPr>
          <w:p w14:paraId="149AC17A" w14:textId="77777777" w:rsidR="003F1FA2" w:rsidRPr="00A529B7" w:rsidRDefault="00C45631" w:rsidP="002162AD">
            <w:pPr>
              <w:spacing w:before="200"/>
              <w:jc w:val="both"/>
              <w:rPr>
                <w:rFonts w:ascii="Calibri" w:hAnsi="Calibri" w:cs="Calibri"/>
                <w:i/>
                <w:iCs/>
                <w:sz w:val="24"/>
                <w:szCs w:val="24"/>
                <w:lang w:eastAsia="cs-CZ"/>
              </w:rPr>
            </w:pPr>
            <w:r w:rsidRPr="00A529B7">
              <w:rPr>
                <w:rFonts w:ascii="Calibri" w:hAnsi="Calibri" w:cs="Calibri"/>
                <w:sz w:val="24"/>
                <w:szCs w:val="24"/>
                <w:lang w:eastAsia="cs-CZ"/>
              </w:rPr>
              <w:t>Ř</w:t>
            </w:r>
            <w:r w:rsidRPr="00A529B7">
              <w:rPr>
                <w:rFonts w:ascii="Calibri" w:hAnsi="Calibri" w:cs="Calibri"/>
                <w:iCs/>
                <w:sz w:val="24"/>
                <w:szCs w:val="24"/>
                <w:lang w:eastAsia="cs-CZ"/>
              </w:rPr>
              <w:t xml:space="preserve">ada oponentů svá hodnocení </w:t>
            </w:r>
            <w:r w:rsidRPr="00A529B7">
              <w:rPr>
                <w:rFonts w:ascii="Calibri" w:hAnsi="Calibri" w:cs="Calibri"/>
                <w:sz w:val="24"/>
                <w:szCs w:val="24"/>
              </w:rPr>
              <w:t xml:space="preserve">kritérií efektivnosti </w:t>
            </w:r>
            <w:r w:rsidRPr="00A529B7">
              <w:rPr>
                <w:rFonts w:ascii="Calibri" w:hAnsi="Calibri" w:cs="Calibri"/>
                <w:iCs/>
                <w:sz w:val="24"/>
                <w:szCs w:val="24"/>
                <w:lang w:eastAsia="cs-CZ"/>
              </w:rPr>
              <w:t xml:space="preserve">rozvedla a odůvodnila, </w:t>
            </w:r>
            <w:r w:rsidRPr="00A529B7">
              <w:rPr>
                <w:rFonts w:ascii="Calibri" w:hAnsi="Calibri" w:cs="Calibri"/>
                <w:sz w:val="24"/>
                <w:szCs w:val="24"/>
                <w:lang w:eastAsia="cs-CZ"/>
              </w:rPr>
              <w:t>MV však akceptovalo i hodnocení typu:</w:t>
            </w:r>
            <w:r w:rsidRPr="00A529B7">
              <w:rPr>
                <w:rFonts w:ascii="Calibri" w:hAnsi="Calibri" w:cs="Calibri"/>
                <w:i/>
                <w:iCs/>
                <w:sz w:val="24"/>
                <w:szCs w:val="24"/>
                <w:lang w:eastAsia="cs-CZ"/>
              </w:rPr>
              <w:t xml:space="preserve"> </w:t>
            </w:r>
          </w:p>
          <w:p w14:paraId="0FFD2C48" w14:textId="2317DAF8" w:rsidR="003F1FA2" w:rsidRPr="00A529B7" w:rsidRDefault="003F1FA2" w:rsidP="002162AD">
            <w:pPr>
              <w:pStyle w:val="Odstavecseseznamem"/>
              <w:numPr>
                <w:ilvl w:val="0"/>
                <w:numId w:val="16"/>
              </w:numPr>
              <w:contextualSpacing w:val="0"/>
              <w:jc w:val="both"/>
              <w:rPr>
                <w:rFonts w:ascii="Calibri" w:hAnsi="Calibri" w:cs="Calibri"/>
                <w:i/>
                <w:sz w:val="24"/>
                <w:szCs w:val="24"/>
                <w:lang w:eastAsia="cs-CZ"/>
              </w:rPr>
            </w:pPr>
            <w:r w:rsidRPr="00C71487">
              <w:rPr>
                <w:rFonts w:ascii="Calibri" w:hAnsi="Calibri" w:cs="Calibri"/>
                <w:iCs/>
                <w:sz w:val="24"/>
                <w:szCs w:val="24"/>
                <w:lang w:eastAsia="cs-CZ"/>
              </w:rPr>
              <w:t>„</w:t>
            </w:r>
            <w:r w:rsidRPr="00A529B7">
              <w:rPr>
                <w:rFonts w:ascii="Calibri" w:hAnsi="Calibri" w:cs="Calibri"/>
                <w:i/>
                <w:sz w:val="24"/>
                <w:szCs w:val="24"/>
                <w:lang w:eastAsia="cs-CZ"/>
              </w:rPr>
              <w:t>Rozpočet je přiměřený</w:t>
            </w:r>
            <w:r w:rsidR="00222517">
              <w:rPr>
                <w:rFonts w:ascii="Calibri" w:hAnsi="Calibri" w:cs="Calibri"/>
                <w:i/>
                <w:sz w:val="24"/>
                <w:szCs w:val="24"/>
                <w:lang w:eastAsia="cs-CZ"/>
              </w:rPr>
              <w:t>.</w:t>
            </w:r>
            <w:r w:rsidRPr="00C71487">
              <w:rPr>
                <w:rFonts w:ascii="Calibri" w:hAnsi="Calibri" w:cs="Calibri"/>
                <w:sz w:val="24"/>
                <w:szCs w:val="24"/>
                <w:lang w:eastAsia="cs-CZ"/>
              </w:rPr>
              <w:t>“</w:t>
            </w:r>
            <w:r w:rsidRPr="00A529B7">
              <w:rPr>
                <w:rFonts w:ascii="Calibri" w:hAnsi="Calibri" w:cs="Calibri"/>
                <w:i/>
                <w:sz w:val="24"/>
                <w:szCs w:val="24"/>
                <w:lang w:eastAsia="cs-CZ"/>
              </w:rPr>
              <w:t xml:space="preserve"> </w:t>
            </w:r>
          </w:p>
          <w:p w14:paraId="7E987A27" w14:textId="65383209" w:rsidR="003F1FA2" w:rsidRPr="00A529B7" w:rsidRDefault="003F1FA2" w:rsidP="002162AD">
            <w:pPr>
              <w:pStyle w:val="Odstavecseseznamem"/>
              <w:numPr>
                <w:ilvl w:val="0"/>
                <w:numId w:val="16"/>
              </w:numPr>
              <w:contextualSpacing w:val="0"/>
              <w:jc w:val="both"/>
              <w:rPr>
                <w:rFonts w:ascii="Calibri" w:hAnsi="Calibri" w:cs="Calibri"/>
                <w:i/>
                <w:sz w:val="24"/>
                <w:szCs w:val="24"/>
                <w:lang w:eastAsia="cs-CZ"/>
              </w:rPr>
            </w:pPr>
            <w:r w:rsidRPr="00C71487">
              <w:rPr>
                <w:rFonts w:ascii="Calibri" w:hAnsi="Calibri" w:cs="Calibri"/>
                <w:sz w:val="24"/>
                <w:szCs w:val="24"/>
                <w:lang w:eastAsia="cs-CZ"/>
              </w:rPr>
              <w:t>„</w:t>
            </w:r>
            <w:r w:rsidRPr="00A529B7">
              <w:rPr>
                <w:rFonts w:ascii="Calibri" w:hAnsi="Calibri" w:cs="Calibri"/>
                <w:i/>
                <w:sz w:val="24"/>
                <w:szCs w:val="24"/>
                <w:lang w:eastAsia="cs-CZ"/>
              </w:rPr>
              <w:t>Osobní náklady jsou odpovídající</w:t>
            </w:r>
            <w:r w:rsidR="00222517">
              <w:rPr>
                <w:rFonts w:ascii="Calibri" w:hAnsi="Calibri" w:cs="Calibri"/>
                <w:i/>
                <w:sz w:val="24"/>
                <w:szCs w:val="24"/>
                <w:lang w:eastAsia="cs-CZ"/>
              </w:rPr>
              <w:t>.</w:t>
            </w:r>
            <w:r w:rsidRPr="00C71487">
              <w:rPr>
                <w:rFonts w:ascii="Calibri" w:hAnsi="Calibri" w:cs="Calibri"/>
                <w:sz w:val="24"/>
                <w:szCs w:val="24"/>
                <w:lang w:eastAsia="cs-CZ"/>
              </w:rPr>
              <w:t>“</w:t>
            </w:r>
            <w:r w:rsidRPr="00A529B7">
              <w:rPr>
                <w:rFonts w:ascii="Calibri" w:hAnsi="Calibri" w:cs="Calibri"/>
                <w:i/>
                <w:sz w:val="24"/>
                <w:szCs w:val="24"/>
                <w:lang w:eastAsia="cs-CZ"/>
              </w:rPr>
              <w:t xml:space="preserve"> </w:t>
            </w:r>
          </w:p>
          <w:p w14:paraId="3A932C9E" w14:textId="37E46A39" w:rsidR="003F1FA2" w:rsidRPr="00A529B7" w:rsidRDefault="003F1FA2" w:rsidP="002162AD">
            <w:pPr>
              <w:pStyle w:val="Odstavecseseznamem"/>
              <w:numPr>
                <w:ilvl w:val="0"/>
                <w:numId w:val="16"/>
              </w:numPr>
              <w:contextualSpacing w:val="0"/>
              <w:jc w:val="both"/>
              <w:rPr>
                <w:rFonts w:ascii="Calibri" w:hAnsi="Calibri" w:cs="Calibri"/>
                <w:i/>
                <w:sz w:val="24"/>
                <w:szCs w:val="24"/>
                <w:lang w:eastAsia="cs-CZ"/>
              </w:rPr>
            </w:pPr>
            <w:r w:rsidRPr="00C71487">
              <w:rPr>
                <w:rFonts w:ascii="Calibri" w:hAnsi="Calibri" w:cs="Calibri"/>
                <w:sz w:val="24"/>
                <w:szCs w:val="24"/>
                <w:lang w:eastAsia="cs-CZ"/>
              </w:rPr>
              <w:t>„</w:t>
            </w:r>
            <w:r w:rsidRPr="00A529B7">
              <w:rPr>
                <w:rFonts w:ascii="Calibri" w:hAnsi="Calibri" w:cs="Calibri"/>
                <w:i/>
                <w:sz w:val="24"/>
                <w:szCs w:val="24"/>
                <w:lang w:eastAsia="cs-CZ"/>
              </w:rPr>
              <w:t>Předložený rozpočet projektu se jeví jako přiměřený</w:t>
            </w:r>
            <w:r w:rsidR="00222517">
              <w:rPr>
                <w:rFonts w:ascii="Calibri" w:hAnsi="Calibri" w:cs="Calibri"/>
                <w:i/>
                <w:sz w:val="24"/>
                <w:szCs w:val="24"/>
                <w:lang w:eastAsia="cs-CZ"/>
              </w:rPr>
              <w:t>.</w:t>
            </w:r>
            <w:r w:rsidRPr="00C71487">
              <w:rPr>
                <w:rFonts w:ascii="Calibri" w:hAnsi="Calibri" w:cs="Calibri"/>
                <w:sz w:val="24"/>
                <w:szCs w:val="24"/>
                <w:lang w:eastAsia="cs-CZ"/>
              </w:rPr>
              <w:t>“</w:t>
            </w:r>
            <w:r w:rsidRPr="00A529B7">
              <w:rPr>
                <w:rFonts w:ascii="Calibri" w:hAnsi="Calibri" w:cs="Calibri"/>
                <w:i/>
                <w:sz w:val="24"/>
                <w:szCs w:val="24"/>
                <w:lang w:eastAsia="cs-CZ"/>
              </w:rPr>
              <w:t xml:space="preserve"> </w:t>
            </w:r>
          </w:p>
          <w:p w14:paraId="3B238C61" w14:textId="77777777" w:rsidR="003F1FA2" w:rsidRPr="00A529B7" w:rsidRDefault="003F1FA2" w:rsidP="002162AD">
            <w:pPr>
              <w:pStyle w:val="Odstavecseseznamem"/>
              <w:numPr>
                <w:ilvl w:val="0"/>
                <w:numId w:val="16"/>
              </w:numPr>
              <w:contextualSpacing w:val="0"/>
              <w:jc w:val="both"/>
              <w:rPr>
                <w:rFonts w:ascii="Calibri" w:hAnsi="Calibri" w:cs="Calibri"/>
                <w:sz w:val="24"/>
                <w:szCs w:val="24"/>
                <w:lang w:eastAsia="cs-CZ"/>
              </w:rPr>
            </w:pPr>
            <w:r w:rsidRPr="00A529B7">
              <w:rPr>
                <w:rFonts w:ascii="Calibri" w:hAnsi="Calibri" w:cs="Calibri"/>
                <w:i/>
                <w:sz w:val="24"/>
                <w:szCs w:val="24"/>
                <w:lang w:eastAsia="cs-CZ"/>
              </w:rPr>
              <w:t>„Rozpočet je více než přiměřený“.</w:t>
            </w:r>
          </w:p>
        </w:tc>
      </w:tr>
    </w:tbl>
    <w:p w14:paraId="25AC176E" w14:textId="77777777" w:rsidR="00032EA4" w:rsidRPr="00A529B7" w:rsidRDefault="00032EA4" w:rsidP="003C7F98">
      <w:pPr>
        <w:spacing w:after="0" w:line="240" w:lineRule="auto"/>
        <w:jc w:val="both"/>
        <w:rPr>
          <w:rFonts w:ascii="Calibri" w:hAnsi="Calibri" w:cs="Calibri"/>
          <w:sz w:val="24"/>
          <w:szCs w:val="24"/>
        </w:rPr>
      </w:pPr>
    </w:p>
    <w:p w14:paraId="560BAC87" w14:textId="689F9C39" w:rsidR="003F1FA2" w:rsidRPr="00A529B7" w:rsidRDefault="007D78BF" w:rsidP="00A529B7">
      <w:pPr>
        <w:spacing w:after="0" w:line="240" w:lineRule="auto"/>
        <w:jc w:val="both"/>
        <w:rPr>
          <w:rFonts w:ascii="Calibri" w:hAnsi="Calibri" w:cs="Calibri"/>
          <w:sz w:val="24"/>
          <w:szCs w:val="24"/>
        </w:rPr>
      </w:pPr>
      <w:r w:rsidRPr="00A529B7">
        <w:rPr>
          <w:rFonts w:ascii="Calibri" w:hAnsi="Calibri" w:cs="Calibri"/>
          <w:sz w:val="24"/>
          <w:szCs w:val="24"/>
        </w:rPr>
        <w:t>4.3</w:t>
      </w:r>
      <w:r w:rsidR="00CE413E" w:rsidRPr="00A529B7">
        <w:rPr>
          <w:rFonts w:ascii="Calibri" w:hAnsi="Calibri" w:cs="Calibri"/>
          <w:sz w:val="24"/>
          <w:szCs w:val="24"/>
        </w:rPr>
        <w:t>3</w:t>
      </w:r>
      <w:r w:rsidR="00032EA4">
        <w:rPr>
          <w:rFonts w:ascii="Calibri" w:hAnsi="Calibri" w:cs="Calibri"/>
          <w:sz w:val="24"/>
          <w:szCs w:val="24"/>
        </w:rPr>
        <w:t xml:space="preserve"> </w:t>
      </w:r>
      <w:r w:rsidR="00200F41" w:rsidRPr="00A529B7">
        <w:rPr>
          <w:rFonts w:ascii="Calibri" w:hAnsi="Calibri" w:cs="Calibri"/>
          <w:sz w:val="24"/>
          <w:szCs w:val="24"/>
        </w:rPr>
        <w:t>NKÚ dále upozorňuje, že v</w:t>
      </w:r>
      <w:r w:rsidR="003F1FA2" w:rsidRPr="00A529B7">
        <w:rPr>
          <w:rFonts w:ascii="Calibri" w:hAnsi="Calibri" w:cs="Calibri"/>
          <w:sz w:val="24"/>
          <w:szCs w:val="24"/>
        </w:rPr>
        <w:t xml:space="preserve"> Programu VH předkladatelé potřeb </w:t>
      </w:r>
      <w:r w:rsidR="00C45631" w:rsidRPr="00A529B7">
        <w:rPr>
          <w:rFonts w:ascii="Calibri" w:hAnsi="Calibri" w:cs="Calibri"/>
          <w:sz w:val="24"/>
          <w:szCs w:val="24"/>
        </w:rPr>
        <w:t xml:space="preserve">uváděli </w:t>
      </w:r>
      <w:r w:rsidR="003F1FA2" w:rsidRPr="00A529B7">
        <w:rPr>
          <w:rFonts w:ascii="Calibri" w:hAnsi="Calibri" w:cs="Calibri"/>
          <w:sz w:val="24"/>
          <w:szCs w:val="24"/>
        </w:rPr>
        <w:t xml:space="preserve">předpokládanou cenu pro realizaci potřeby. Navržená cena </w:t>
      </w:r>
      <w:r w:rsidR="00CE413E" w:rsidRPr="00A529B7">
        <w:rPr>
          <w:rFonts w:ascii="Calibri" w:hAnsi="Calibri" w:cs="Calibri"/>
          <w:sz w:val="24"/>
          <w:szCs w:val="24"/>
        </w:rPr>
        <w:t xml:space="preserve">však </w:t>
      </w:r>
      <w:r w:rsidR="003F1FA2" w:rsidRPr="00A529B7">
        <w:rPr>
          <w:rFonts w:ascii="Calibri" w:hAnsi="Calibri" w:cs="Calibri"/>
          <w:sz w:val="24"/>
          <w:szCs w:val="24"/>
        </w:rPr>
        <w:t xml:space="preserve">není při hodnocení potřeb </w:t>
      </w:r>
      <w:r w:rsidR="00200F41" w:rsidRPr="00A529B7">
        <w:rPr>
          <w:rFonts w:ascii="Calibri" w:hAnsi="Calibri" w:cs="Calibri"/>
          <w:sz w:val="24"/>
          <w:szCs w:val="24"/>
        </w:rPr>
        <w:t xml:space="preserve">posuzována </w:t>
      </w:r>
      <w:r w:rsidR="00C462CD" w:rsidRPr="00A529B7">
        <w:rPr>
          <w:rFonts w:ascii="Calibri" w:hAnsi="Calibri" w:cs="Calibri"/>
          <w:sz w:val="24"/>
          <w:szCs w:val="24"/>
        </w:rPr>
        <w:t>a </w:t>
      </w:r>
      <w:r w:rsidR="00DD4FF5" w:rsidRPr="00A529B7">
        <w:rPr>
          <w:rFonts w:ascii="Calibri" w:hAnsi="Calibri" w:cs="Calibri"/>
          <w:sz w:val="24"/>
          <w:szCs w:val="24"/>
        </w:rPr>
        <w:t xml:space="preserve">zároveň </w:t>
      </w:r>
      <w:r w:rsidR="003F1FA2" w:rsidRPr="00A529B7">
        <w:rPr>
          <w:rFonts w:ascii="Calibri" w:hAnsi="Calibri" w:cs="Calibri"/>
          <w:sz w:val="24"/>
          <w:szCs w:val="24"/>
        </w:rPr>
        <w:t xml:space="preserve">je stanovena jako předpokládaná hodnota veřejné zakázky. Vzhledem k tomu, že ve specifické oblasti BV může být v některých případech počet potenciálních </w:t>
      </w:r>
      <w:r w:rsidR="00DD4FF5" w:rsidRPr="00A529B7">
        <w:rPr>
          <w:rFonts w:ascii="Calibri" w:hAnsi="Calibri" w:cs="Calibri"/>
          <w:sz w:val="24"/>
          <w:szCs w:val="24"/>
        </w:rPr>
        <w:t xml:space="preserve">dodavatelů </w:t>
      </w:r>
      <w:r w:rsidR="003F1FA2" w:rsidRPr="00A529B7">
        <w:rPr>
          <w:rFonts w:ascii="Calibri" w:hAnsi="Calibri" w:cs="Calibri"/>
          <w:sz w:val="24"/>
          <w:szCs w:val="24"/>
        </w:rPr>
        <w:t>omezený</w:t>
      </w:r>
      <w:r w:rsidR="0054632E" w:rsidRPr="00A529B7">
        <w:rPr>
          <w:rFonts w:ascii="Calibri" w:hAnsi="Calibri" w:cs="Calibri"/>
          <w:sz w:val="24"/>
          <w:szCs w:val="24"/>
        </w:rPr>
        <w:t xml:space="preserve"> (např. pouze</w:t>
      </w:r>
      <w:r w:rsidR="00200F41" w:rsidRPr="00A529B7">
        <w:rPr>
          <w:rFonts w:ascii="Calibri" w:hAnsi="Calibri" w:cs="Calibri"/>
          <w:sz w:val="24"/>
          <w:szCs w:val="24"/>
        </w:rPr>
        <w:t xml:space="preserve"> jeden)</w:t>
      </w:r>
      <w:r w:rsidR="003F1FA2" w:rsidRPr="00A529B7">
        <w:rPr>
          <w:rFonts w:ascii="Calibri" w:hAnsi="Calibri" w:cs="Calibri"/>
          <w:sz w:val="24"/>
          <w:szCs w:val="24"/>
        </w:rPr>
        <w:t xml:space="preserve">, je </w:t>
      </w:r>
      <w:r w:rsidR="00200F41" w:rsidRPr="00A529B7">
        <w:rPr>
          <w:rFonts w:ascii="Calibri" w:hAnsi="Calibri" w:cs="Calibri"/>
          <w:sz w:val="24"/>
          <w:szCs w:val="24"/>
        </w:rPr>
        <w:t xml:space="preserve">takový </w:t>
      </w:r>
      <w:r w:rsidR="003F1FA2" w:rsidRPr="00A529B7">
        <w:rPr>
          <w:rFonts w:ascii="Calibri" w:hAnsi="Calibri" w:cs="Calibri"/>
          <w:sz w:val="24"/>
          <w:szCs w:val="24"/>
        </w:rPr>
        <w:t xml:space="preserve">postup rizikový kvůli možnosti nadhodnocení výsledné ceny projektu. </w:t>
      </w:r>
    </w:p>
    <w:p w14:paraId="18E6A185" w14:textId="77777777" w:rsidR="00E753C4" w:rsidRPr="00A529B7" w:rsidRDefault="00E753C4" w:rsidP="00A529B7">
      <w:pPr>
        <w:spacing w:after="0" w:line="240" w:lineRule="auto"/>
        <w:jc w:val="both"/>
        <w:rPr>
          <w:rFonts w:ascii="Calibri" w:hAnsi="Calibri" w:cs="Calibri"/>
          <w:sz w:val="24"/>
          <w:szCs w:val="24"/>
        </w:rPr>
      </w:pPr>
    </w:p>
    <w:p w14:paraId="00B3DFFB" w14:textId="77777777" w:rsidR="002162AD" w:rsidRDefault="002162AD">
      <w:pPr>
        <w:rPr>
          <w:rFonts w:ascii="Calibri" w:hAnsi="Calibri" w:cs="Calibri"/>
          <w:b/>
          <w:i/>
          <w:color w:val="C00000"/>
          <w:sz w:val="24"/>
          <w:szCs w:val="24"/>
        </w:rPr>
      </w:pPr>
      <w:r>
        <w:rPr>
          <w:rFonts w:ascii="Calibri" w:hAnsi="Calibri" w:cs="Calibri"/>
          <w:b/>
          <w:i/>
          <w:color w:val="C00000"/>
          <w:sz w:val="24"/>
          <w:szCs w:val="24"/>
        </w:rPr>
        <w:br w:type="page"/>
      </w:r>
    </w:p>
    <w:p w14:paraId="62CF2310" w14:textId="6107BB93" w:rsidR="003F1FA2" w:rsidRPr="00A529B7" w:rsidRDefault="003F1FA2" w:rsidP="00A529B7">
      <w:pPr>
        <w:spacing w:after="0" w:line="240" w:lineRule="auto"/>
        <w:jc w:val="both"/>
        <w:rPr>
          <w:rFonts w:ascii="Calibri" w:hAnsi="Calibri" w:cs="Calibri"/>
          <w:color w:val="C00000"/>
          <w:sz w:val="24"/>
          <w:szCs w:val="24"/>
        </w:rPr>
      </w:pPr>
      <w:r w:rsidRPr="00A529B7">
        <w:rPr>
          <w:rFonts w:ascii="Calibri" w:hAnsi="Calibri" w:cs="Calibri"/>
          <w:b/>
          <w:i/>
          <w:color w:val="C00000"/>
          <w:sz w:val="24"/>
          <w:szCs w:val="24"/>
        </w:rPr>
        <w:lastRenderedPageBreak/>
        <w:t>→</w:t>
      </w:r>
      <w:r w:rsidR="00E753C4" w:rsidRPr="00A529B7">
        <w:rPr>
          <w:rFonts w:ascii="Calibri" w:hAnsi="Calibri" w:cs="Calibri"/>
          <w:b/>
          <w:i/>
          <w:color w:val="C00000"/>
          <w:sz w:val="24"/>
          <w:szCs w:val="24"/>
        </w:rPr>
        <w:t xml:space="preserve"> </w:t>
      </w:r>
      <w:r w:rsidR="00200F41" w:rsidRPr="00A529B7">
        <w:rPr>
          <w:rFonts w:ascii="Calibri" w:hAnsi="Calibri" w:cs="Calibri"/>
          <w:b/>
          <w:i/>
          <w:color w:val="C00000"/>
          <w:sz w:val="24"/>
          <w:szCs w:val="24"/>
        </w:rPr>
        <w:t>Systém h</w:t>
      </w:r>
      <w:r w:rsidRPr="00A529B7">
        <w:rPr>
          <w:rFonts w:ascii="Calibri" w:hAnsi="Calibri" w:cs="Calibri"/>
          <w:b/>
          <w:i/>
          <w:color w:val="C00000"/>
          <w:sz w:val="24"/>
          <w:szCs w:val="24"/>
        </w:rPr>
        <w:t>odnocení při výběru projektů zahrnuje posouzení možných duplicit, nebyl však</w:t>
      </w:r>
      <w:r w:rsidR="00200F41" w:rsidRPr="00A529B7">
        <w:rPr>
          <w:rFonts w:ascii="Calibri" w:hAnsi="Calibri" w:cs="Calibri"/>
          <w:b/>
          <w:i/>
          <w:color w:val="C00000"/>
          <w:sz w:val="24"/>
          <w:szCs w:val="24"/>
        </w:rPr>
        <w:t xml:space="preserve"> prováděn</w:t>
      </w:r>
      <w:r w:rsidRPr="00A529B7">
        <w:rPr>
          <w:rFonts w:ascii="Calibri" w:hAnsi="Calibri" w:cs="Calibri"/>
          <w:b/>
          <w:i/>
          <w:color w:val="C00000"/>
          <w:sz w:val="24"/>
          <w:szCs w:val="24"/>
        </w:rPr>
        <w:t xml:space="preserve"> důsledn</w:t>
      </w:r>
      <w:r w:rsidR="00200F41" w:rsidRPr="00A529B7">
        <w:rPr>
          <w:rFonts w:ascii="Calibri" w:hAnsi="Calibri" w:cs="Calibri"/>
          <w:b/>
          <w:i/>
          <w:color w:val="C00000"/>
          <w:sz w:val="24"/>
          <w:szCs w:val="24"/>
        </w:rPr>
        <w:t>ě</w:t>
      </w:r>
      <w:r w:rsidRPr="00A529B7">
        <w:rPr>
          <w:rFonts w:ascii="Calibri" w:hAnsi="Calibri" w:cs="Calibri"/>
          <w:b/>
          <w:i/>
          <w:color w:val="C00000"/>
          <w:sz w:val="24"/>
          <w:szCs w:val="24"/>
        </w:rPr>
        <w:t xml:space="preserve"> a k </w:t>
      </w:r>
      <w:r w:rsidR="00C45631" w:rsidRPr="00A529B7">
        <w:rPr>
          <w:rFonts w:ascii="Calibri" w:hAnsi="Calibri" w:cs="Calibri"/>
          <w:b/>
          <w:i/>
          <w:color w:val="C00000"/>
          <w:sz w:val="24"/>
          <w:szCs w:val="24"/>
        </w:rPr>
        <w:t xml:space="preserve">duplicitnímu </w:t>
      </w:r>
      <w:r w:rsidRPr="00A529B7">
        <w:rPr>
          <w:rFonts w:ascii="Calibri" w:hAnsi="Calibri" w:cs="Calibri"/>
          <w:b/>
          <w:i/>
          <w:color w:val="C00000"/>
          <w:sz w:val="24"/>
          <w:szCs w:val="24"/>
        </w:rPr>
        <w:t>financování došlo.</w:t>
      </w:r>
      <w:r w:rsidRPr="00A529B7">
        <w:rPr>
          <w:rFonts w:ascii="Calibri" w:hAnsi="Calibri" w:cs="Calibri"/>
          <w:color w:val="C00000"/>
          <w:sz w:val="24"/>
          <w:szCs w:val="24"/>
        </w:rPr>
        <w:t xml:space="preserve"> </w:t>
      </w:r>
    </w:p>
    <w:p w14:paraId="3F80FC0C" w14:textId="77777777" w:rsidR="00032EA4" w:rsidRDefault="00032EA4" w:rsidP="00A529B7">
      <w:pPr>
        <w:spacing w:after="0" w:line="240" w:lineRule="auto"/>
        <w:jc w:val="both"/>
        <w:rPr>
          <w:rFonts w:ascii="Calibri" w:hAnsi="Calibri" w:cs="Calibri"/>
          <w:sz w:val="24"/>
          <w:szCs w:val="24"/>
        </w:rPr>
      </w:pPr>
    </w:p>
    <w:p w14:paraId="52522D07" w14:textId="77777777" w:rsidR="003F1FA2" w:rsidRPr="00A529B7" w:rsidRDefault="007D78BF" w:rsidP="00A529B7">
      <w:pPr>
        <w:spacing w:after="0" w:line="240" w:lineRule="auto"/>
        <w:jc w:val="both"/>
        <w:rPr>
          <w:rFonts w:ascii="Calibri" w:hAnsi="Calibri" w:cs="Calibri"/>
          <w:sz w:val="24"/>
          <w:szCs w:val="24"/>
        </w:rPr>
      </w:pPr>
      <w:r w:rsidRPr="00A529B7">
        <w:rPr>
          <w:rFonts w:ascii="Calibri" w:hAnsi="Calibri" w:cs="Calibri"/>
          <w:sz w:val="24"/>
          <w:szCs w:val="24"/>
        </w:rPr>
        <w:t>4.3</w:t>
      </w:r>
      <w:r w:rsidR="00CE413E" w:rsidRPr="00A529B7">
        <w:rPr>
          <w:rFonts w:ascii="Calibri" w:hAnsi="Calibri" w:cs="Calibri"/>
          <w:sz w:val="24"/>
          <w:szCs w:val="24"/>
        </w:rPr>
        <w:t>4</w:t>
      </w:r>
      <w:r w:rsidR="00032EA4">
        <w:rPr>
          <w:rFonts w:ascii="Calibri" w:hAnsi="Calibri" w:cs="Calibri"/>
          <w:sz w:val="24"/>
          <w:szCs w:val="24"/>
        </w:rPr>
        <w:t xml:space="preserve"> </w:t>
      </w:r>
      <w:r w:rsidR="003F1FA2" w:rsidRPr="00A529B7">
        <w:rPr>
          <w:rFonts w:ascii="Calibri" w:hAnsi="Calibri" w:cs="Calibri"/>
          <w:sz w:val="24"/>
          <w:szCs w:val="24"/>
        </w:rPr>
        <w:t xml:space="preserve">Pro zamezení </w:t>
      </w:r>
      <w:r w:rsidR="001526BD" w:rsidRPr="00A529B7">
        <w:rPr>
          <w:rFonts w:ascii="Calibri" w:hAnsi="Calibri" w:cs="Calibri"/>
          <w:sz w:val="24"/>
          <w:szCs w:val="24"/>
        </w:rPr>
        <w:t xml:space="preserve">duplicitního </w:t>
      </w:r>
      <w:r w:rsidR="003F1FA2" w:rsidRPr="00A529B7">
        <w:rPr>
          <w:rFonts w:ascii="Calibri" w:hAnsi="Calibri" w:cs="Calibri"/>
          <w:sz w:val="24"/>
          <w:szCs w:val="24"/>
        </w:rPr>
        <w:t>financování v</w:t>
      </w:r>
      <w:r w:rsidR="001A1A5D" w:rsidRPr="00A529B7">
        <w:rPr>
          <w:rFonts w:ascii="Calibri" w:hAnsi="Calibri" w:cs="Calibri"/>
          <w:sz w:val="24"/>
          <w:szCs w:val="24"/>
        </w:rPr>
        <w:t xml:space="preserve">ýsledků bylo </w:t>
      </w:r>
      <w:r w:rsidR="00CE413E" w:rsidRPr="00A529B7">
        <w:rPr>
          <w:rFonts w:ascii="Calibri" w:hAnsi="Calibri" w:cs="Calibri"/>
          <w:sz w:val="24"/>
          <w:szCs w:val="24"/>
        </w:rPr>
        <w:t xml:space="preserve">zavedeno </w:t>
      </w:r>
      <w:r w:rsidR="001A1A5D" w:rsidRPr="00A529B7">
        <w:rPr>
          <w:rFonts w:ascii="Calibri" w:hAnsi="Calibri" w:cs="Calibri"/>
          <w:sz w:val="24"/>
          <w:szCs w:val="24"/>
        </w:rPr>
        <w:t>v obou p</w:t>
      </w:r>
      <w:r w:rsidR="003F1FA2" w:rsidRPr="00A529B7">
        <w:rPr>
          <w:rFonts w:ascii="Calibri" w:hAnsi="Calibri" w:cs="Calibri"/>
          <w:sz w:val="24"/>
          <w:szCs w:val="24"/>
        </w:rPr>
        <w:t xml:space="preserve">rogramech vylučovací kritérium </w:t>
      </w:r>
      <w:r w:rsidR="00200F41" w:rsidRPr="00A529B7">
        <w:rPr>
          <w:rFonts w:ascii="Calibri" w:hAnsi="Calibri" w:cs="Calibri"/>
          <w:sz w:val="24"/>
          <w:szCs w:val="24"/>
        </w:rPr>
        <w:t xml:space="preserve">k zamezení dvojího financování projektů se stejnými nebo podobnými výstupy (tzv. duplicity) </w:t>
      </w:r>
      <w:r w:rsidR="003F1FA2" w:rsidRPr="00A529B7">
        <w:rPr>
          <w:rFonts w:ascii="Calibri" w:hAnsi="Calibri" w:cs="Calibri"/>
          <w:sz w:val="24"/>
          <w:szCs w:val="24"/>
        </w:rPr>
        <w:t xml:space="preserve">a </w:t>
      </w:r>
      <w:r w:rsidR="00200F41" w:rsidRPr="00A529B7">
        <w:rPr>
          <w:rFonts w:ascii="Calibri" w:hAnsi="Calibri" w:cs="Calibri"/>
          <w:sz w:val="24"/>
          <w:szCs w:val="24"/>
        </w:rPr>
        <w:t xml:space="preserve">dále </w:t>
      </w:r>
      <w:r w:rsidR="00C45631" w:rsidRPr="00A529B7">
        <w:rPr>
          <w:rFonts w:ascii="Calibri" w:hAnsi="Calibri" w:cs="Calibri"/>
          <w:sz w:val="24"/>
          <w:szCs w:val="24"/>
        </w:rPr>
        <w:t xml:space="preserve">kritérium </w:t>
      </w:r>
      <w:r w:rsidR="003F1FA2" w:rsidRPr="00A529B7">
        <w:rPr>
          <w:rFonts w:ascii="Calibri" w:hAnsi="Calibri" w:cs="Calibri"/>
          <w:sz w:val="24"/>
          <w:szCs w:val="24"/>
        </w:rPr>
        <w:t>novosti projektu. V Programu VI však nebyl stanoven přesný postup pro oponenty</w:t>
      </w:r>
      <w:r w:rsidR="0048584B" w:rsidRPr="00A529B7">
        <w:rPr>
          <w:rFonts w:ascii="Calibri" w:hAnsi="Calibri" w:cs="Calibri"/>
          <w:sz w:val="24"/>
          <w:szCs w:val="24"/>
        </w:rPr>
        <w:t>, aby doložili, na základě jakých informací a jejich vyhodnocení jsou přesvědčeni, že projekt není duplicitní a</w:t>
      </w:r>
      <w:r w:rsidR="00130E35" w:rsidRPr="00A529B7">
        <w:rPr>
          <w:rFonts w:ascii="Calibri" w:hAnsi="Calibri" w:cs="Calibri"/>
          <w:sz w:val="24"/>
          <w:szCs w:val="24"/>
        </w:rPr>
        <w:t xml:space="preserve"> že se</w:t>
      </w:r>
      <w:r w:rsidR="0048584B" w:rsidRPr="00A529B7">
        <w:rPr>
          <w:rFonts w:ascii="Calibri" w:hAnsi="Calibri" w:cs="Calibri"/>
          <w:sz w:val="24"/>
          <w:szCs w:val="24"/>
        </w:rPr>
        <w:t xml:space="preserve"> jedná</w:t>
      </w:r>
      <w:r w:rsidR="00130E35" w:rsidRPr="00A529B7">
        <w:rPr>
          <w:rFonts w:ascii="Calibri" w:hAnsi="Calibri" w:cs="Calibri"/>
          <w:sz w:val="24"/>
          <w:szCs w:val="24"/>
        </w:rPr>
        <w:t xml:space="preserve"> </w:t>
      </w:r>
      <w:r w:rsidR="0048584B" w:rsidRPr="00A529B7">
        <w:rPr>
          <w:rFonts w:ascii="Calibri" w:hAnsi="Calibri" w:cs="Calibri"/>
          <w:sz w:val="24"/>
          <w:szCs w:val="24"/>
        </w:rPr>
        <w:t>o nové řešení.</w:t>
      </w:r>
      <w:r w:rsidR="003F1FA2" w:rsidRPr="00A529B7">
        <w:rPr>
          <w:rFonts w:ascii="Calibri" w:hAnsi="Calibri" w:cs="Calibri"/>
          <w:sz w:val="24"/>
          <w:szCs w:val="24"/>
        </w:rPr>
        <w:t xml:space="preserve"> </w:t>
      </w:r>
    </w:p>
    <w:p w14:paraId="35964920" w14:textId="77777777" w:rsidR="00032EA4" w:rsidRDefault="00032EA4" w:rsidP="00032EA4">
      <w:pPr>
        <w:spacing w:after="0" w:line="240" w:lineRule="auto"/>
        <w:jc w:val="both"/>
        <w:rPr>
          <w:rFonts w:ascii="Calibri" w:hAnsi="Calibri" w:cs="Calibri"/>
          <w:sz w:val="24"/>
          <w:szCs w:val="24"/>
        </w:rPr>
      </w:pPr>
    </w:p>
    <w:p w14:paraId="61801376" w14:textId="0DDE8443" w:rsidR="003F1FA2" w:rsidRDefault="007D78BF" w:rsidP="00032EA4">
      <w:pPr>
        <w:spacing w:after="0" w:line="240" w:lineRule="auto"/>
        <w:jc w:val="both"/>
        <w:rPr>
          <w:rFonts w:ascii="Calibri" w:hAnsi="Calibri" w:cs="Calibri"/>
          <w:sz w:val="24"/>
          <w:szCs w:val="24"/>
        </w:rPr>
      </w:pPr>
      <w:r w:rsidRPr="00A529B7">
        <w:rPr>
          <w:rFonts w:ascii="Calibri" w:hAnsi="Calibri" w:cs="Calibri"/>
          <w:sz w:val="24"/>
          <w:szCs w:val="24"/>
        </w:rPr>
        <w:t>4.3</w:t>
      </w:r>
      <w:r w:rsidR="00CE413E" w:rsidRPr="00A529B7">
        <w:rPr>
          <w:rFonts w:ascii="Calibri" w:hAnsi="Calibri" w:cs="Calibri"/>
          <w:sz w:val="24"/>
          <w:szCs w:val="24"/>
        </w:rPr>
        <w:t>5</w:t>
      </w:r>
      <w:r w:rsidR="00032EA4">
        <w:rPr>
          <w:rFonts w:ascii="Calibri" w:hAnsi="Calibri" w:cs="Calibri"/>
          <w:sz w:val="24"/>
          <w:szCs w:val="24"/>
        </w:rPr>
        <w:t xml:space="preserve"> </w:t>
      </w:r>
      <w:r w:rsidR="003F1FA2" w:rsidRPr="00A529B7">
        <w:rPr>
          <w:rFonts w:ascii="Calibri" w:hAnsi="Calibri" w:cs="Calibri"/>
          <w:sz w:val="24"/>
          <w:szCs w:val="24"/>
        </w:rPr>
        <w:t xml:space="preserve">V Programu VH toto hodnocení </w:t>
      </w:r>
      <w:r w:rsidR="0048584B" w:rsidRPr="00A529B7">
        <w:rPr>
          <w:rFonts w:ascii="Calibri" w:hAnsi="Calibri" w:cs="Calibri"/>
          <w:sz w:val="24"/>
          <w:szCs w:val="24"/>
        </w:rPr>
        <w:t xml:space="preserve">navíc </w:t>
      </w:r>
      <w:r w:rsidR="003F1FA2" w:rsidRPr="00A529B7">
        <w:rPr>
          <w:rFonts w:ascii="Calibri" w:hAnsi="Calibri" w:cs="Calibri"/>
          <w:sz w:val="24"/>
          <w:szCs w:val="24"/>
        </w:rPr>
        <w:t xml:space="preserve">provedla pouze </w:t>
      </w:r>
      <w:r w:rsidR="00C13FE2">
        <w:rPr>
          <w:rFonts w:ascii="Calibri" w:hAnsi="Calibri" w:cs="Calibri"/>
          <w:sz w:val="24"/>
          <w:szCs w:val="24"/>
        </w:rPr>
        <w:t>r</w:t>
      </w:r>
      <w:r w:rsidR="003F1FA2" w:rsidRPr="00A529B7">
        <w:rPr>
          <w:rFonts w:ascii="Calibri" w:hAnsi="Calibri" w:cs="Calibri"/>
          <w:sz w:val="24"/>
          <w:szCs w:val="24"/>
        </w:rPr>
        <w:t>ada Programu VH na základě odborného úsudku členů a porovnáním s databází RIV</w:t>
      </w:r>
      <w:r w:rsidR="00C8144D" w:rsidRPr="00A529B7">
        <w:rPr>
          <w:rStyle w:val="Znakapoznpodarou"/>
          <w:rFonts w:ascii="Calibri" w:hAnsi="Calibri" w:cs="Calibri"/>
          <w:sz w:val="24"/>
          <w:szCs w:val="24"/>
        </w:rPr>
        <w:footnoteReference w:id="32"/>
      </w:r>
      <w:r w:rsidR="00C462CD" w:rsidRPr="00A529B7">
        <w:rPr>
          <w:rFonts w:ascii="Calibri" w:hAnsi="Calibri" w:cs="Calibri"/>
          <w:sz w:val="24"/>
          <w:szCs w:val="24"/>
        </w:rPr>
        <w:t xml:space="preserve">. </w:t>
      </w:r>
      <w:r w:rsidR="0048584B" w:rsidRPr="00A529B7">
        <w:rPr>
          <w:rFonts w:ascii="Calibri" w:hAnsi="Calibri" w:cs="Calibri"/>
          <w:sz w:val="24"/>
          <w:szCs w:val="24"/>
        </w:rPr>
        <w:t>NKÚ v případě jednoho z kontrolovaných projektů zjistil, že ačkoliv</w:t>
      </w:r>
      <w:r w:rsidR="003F1FA2" w:rsidRPr="00A529B7">
        <w:rPr>
          <w:rFonts w:ascii="Calibri" w:hAnsi="Calibri" w:cs="Calibri"/>
          <w:sz w:val="24"/>
          <w:szCs w:val="24"/>
        </w:rPr>
        <w:t xml:space="preserve"> členem </w:t>
      </w:r>
      <w:r w:rsidR="00C13FE2">
        <w:rPr>
          <w:rFonts w:ascii="Calibri" w:hAnsi="Calibri" w:cs="Calibri"/>
          <w:sz w:val="24"/>
          <w:szCs w:val="24"/>
        </w:rPr>
        <w:t>r</w:t>
      </w:r>
      <w:r w:rsidR="003F1FA2" w:rsidRPr="00A529B7">
        <w:rPr>
          <w:rFonts w:ascii="Calibri" w:hAnsi="Calibri" w:cs="Calibri"/>
          <w:sz w:val="24"/>
          <w:szCs w:val="24"/>
        </w:rPr>
        <w:t xml:space="preserve">ady Programu VH je i zástupce </w:t>
      </w:r>
      <w:r w:rsidR="00E452A1" w:rsidRPr="00A529B7">
        <w:rPr>
          <w:rFonts w:ascii="Calibri" w:hAnsi="Calibri" w:cs="Calibri"/>
          <w:sz w:val="24"/>
          <w:szCs w:val="24"/>
        </w:rPr>
        <w:t>Ministerstva dopravy (dále také „</w:t>
      </w:r>
      <w:r w:rsidR="003F1FA2" w:rsidRPr="00A529B7">
        <w:rPr>
          <w:rFonts w:ascii="Calibri" w:hAnsi="Calibri" w:cs="Calibri"/>
          <w:sz w:val="24"/>
          <w:szCs w:val="24"/>
        </w:rPr>
        <w:t>MD</w:t>
      </w:r>
      <w:r w:rsidR="00E452A1" w:rsidRPr="00A529B7">
        <w:rPr>
          <w:rFonts w:ascii="Calibri" w:hAnsi="Calibri" w:cs="Calibri"/>
          <w:sz w:val="24"/>
          <w:szCs w:val="24"/>
        </w:rPr>
        <w:t>“)</w:t>
      </w:r>
      <w:r w:rsidR="003F1FA2" w:rsidRPr="00A529B7">
        <w:rPr>
          <w:rFonts w:ascii="Calibri" w:hAnsi="Calibri" w:cs="Calibri"/>
          <w:sz w:val="24"/>
          <w:szCs w:val="24"/>
        </w:rPr>
        <w:t xml:space="preserve">, u </w:t>
      </w:r>
      <w:r w:rsidR="00C45631" w:rsidRPr="00A529B7">
        <w:rPr>
          <w:rFonts w:ascii="Calibri" w:hAnsi="Calibri" w:cs="Calibri"/>
          <w:sz w:val="24"/>
          <w:szCs w:val="24"/>
        </w:rPr>
        <w:t xml:space="preserve">projektu </w:t>
      </w:r>
      <w:r w:rsidR="003F1FA2" w:rsidRPr="00A529B7">
        <w:rPr>
          <w:rFonts w:ascii="Calibri" w:hAnsi="Calibri" w:cs="Calibri"/>
          <w:sz w:val="24"/>
          <w:szCs w:val="24"/>
        </w:rPr>
        <w:t>předložené</w:t>
      </w:r>
      <w:r w:rsidR="00C45631" w:rsidRPr="00A529B7">
        <w:rPr>
          <w:rFonts w:ascii="Calibri" w:hAnsi="Calibri" w:cs="Calibri"/>
          <w:sz w:val="24"/>
          <w:szCs w:val="24"/>
        </w:rPr>
        <w:t>m</w:t>
      </w:r>
      <w:r w:rsidR="003F1FA2" w:rsidRPr="00A529B7">
        <w:rPr>
          <w:rFonts w:ascii="Calibri" w:hAnsi="Calibri" w:cs="Calibri"/>
          <w:sz w:val="24"/>
          <w:szCs w:val="24"/>
        </w:rPr>
        <w:t xml:space="preserve"> </w:t>
      </w:r>
      <w:r w:rsidR="0048584B" w:rsidRPr="00A529B7">
        <w:rPr>
          <w:rFonts w:ascii="Calibri" w:hAnsi="Calibri" w:cs="Calibri"/>
          <w:sz w:val="24"/>
          <w:szCs w:val="24"/>
        </w:rPr>
        <w:t xml:space="preserve">právě </w:t>
      </w:r>
      <w:r w:rsidR="003F1FA2" w:rsidRPr="00A529B7">
        <w:rPr>
          <w:rFonts w:ascii="Calibri" w:hAnsi="Calibri" w:cs="Calibri"/>
          <w:sz w:val="24"/>
          <w:szCs w:val="24"/>
        </w:rPr>
        <w:t>MD k duplicitnímu financování došlo</w:t>
      </w:r>
      <w:r w:rsidR="00180704" w:rsidRPr="00A529B7">
        <w:rPr>
          <w:rFonts w:ascii="Calibri" w:hAnsi="Calibri" w:cs="Calibri"/>
          <w:sz w:val="24"/>
          <w:szCs w:val="24"/>
        </w:rPr>
        <w:t>. S</w:t>
      </w:r>
      <w:r w:rsidR="003F1FA2" w:rsidRPr="00A529B7">
        <w:rPr>
          <w:rFonts w:ascii="Calibri" w:hAnsi="Calibri" w:cs="Calibri"/>
          <w:sz w:val="24"/>
          <w:szCs w:val="24"/>
        </w:rPr>
        <w:t xml:space="preserve">tejně zaměřený projekt jako </w:t>
      </w:r>
      <w:r w:rsidR="00C45631" w:rsidRPr="00A529B7">
        <w:rPr>
          <w:rFonts w:ascii="Calibri" w:hAnsi="Calibri" w:cs="Calibri"/>
          <w:sz w:val="24"/>
          <w:szCs w:val="24"/>
        </w:rPr>
        <w:t xml:space="preserve">projekt </w:t>
      </w:r>
      <w:r w:rsidR="003F1FA2" w:rsidRPr="00887072">
        <w:rPr>
          <w:rFonts w:ascii="Calibri" w:hAnsi="Calibri" w:cs="Calibri"/>
          <w:sz w:val="24"/>
          <w:szCs w:val="24"/>
        </w:rPr>
        <w:t>VH</w:t>
      </w:r>
      <w:r w:rsidR="001A1A5D" w:rsidRPr="00887072">
        <w:rPr>
          <w:rFonts w:ascii="Calibri" w:hAnsi="Calibri" w:cs="Calibri"/>
          <w:sz w:val="24"/>
          <w:szCs w:val="24"/>
        </w:rPr>
        <w:t>20162017</w:t>
      </w:r>
      <w:r w:rsidR="003F1FA2" w:rsidRPr="00887072">
        <w:rPr>
          <w:rFonts w:ascii="Calibri" w:hAnsi="Calibri" w:cs="Calibri"/>
          <w:sz w:val="24"/>
          <w:szCs w:val="24"/>
        </w:rPr>
        <w:t xml:space="preserve">003 </w:t>
      </w:r>
      <w:r w:rsidR="00EB2C94">
        <w:rPr>
          <w:rFonts w:ascii="Calibri" w:hAnsi="Calibri" w:cs="Calibri"/>
          <w:sz w:val="24"/>
          <w:szCs w:val="24"/>
        </w:rPr>
        <w:t>–</w:t>
      </w:r>
      <w:r w:rsidR="00332B6F" w:rsidRPr="00A529B7">
        <w:rPr>
          <w:rFonts w:ascii="Calibri" w:hAnsi="Calibri" w:cs="Calibri"/>
          <w:sz w:val="24"/>
          <w:szCs w:val="24"/>
        </w:rPr>
        <w:t xml:space="preserve"> </w:t>
      </w:r>
      <w:r w:rsidR="00332B6F" w:rsidRPr="00A529B7">
        <w:rPr>
          <w:rFonts w:ascii="Calibri" w:hAnsi="Calibri" w:cs="Calibri"/>
          <w:i/>
          <w:sz w:val="24"/>
          <w:szCs w:val="24"/>
        </w:rPr>
        <w:t xml:space="preserve">Vliv reklamních zařízení na bezpečnost silničního provozu </w:t>
      </w:r>
      <w:r w:rsidR="003F1FA2" w:rsidRPr="00A529B7">
        <w:rPr>
          <w:rFonts w:ascii="Calibri" w:hAnsi="Calibri" w:cs="Calibri"/>
          <w:sz w:val="24"/>
          <w:szCs w:val="24"/>
        </w:rPr>
        <w:t xml:space="preserve">řešila ve stejném období i podřízená </w:t>
      </w:r>
      <w:r w:rsidR="0048584B" w:rsidRPr="00A529B7">
        <w:rPr>
          <w:rFonts w:ascii="Calibri" w:hAnsi="Calibri" w:cs="Calibri"/>
          <w:sz w:val="24"/>
          <w:szCs w:val="24"/>
        </w:rPr>
        <w:t>organizace</w:t>
      </w:r>
      <w:r w:rsidR="003F1FA2" w:rsidRPr="00A529B7">
        <w:rPr>
          <w:rFonts w:ascii="Calibri" w:hAnsi="Calibri" w:cs="Calibri"/>
          <w:sz w:val="24"/>
          <w:szCs w:val="24"/>
        </w:rPr>
        <w:t xml:space="preserve"> MD, jak je uvedeno </w:t>
      </w:r>
      <w:r w:rsidRPr="00A529B7">
        <w:rPr>
          <w:rFonts w:ascii="Calibri" w:hAnsi="Calibri" w:cs="Calibri"/>
          <w:sz w:val="24"/>
          <w:szCs w:val="24"/>
        </w:rPr>
        <w:t xml:space="preserve">v příkladu </w:t>
      </w:r>
      <w:r w:rsidR="00945B88" w:rsidRPr="00A529B7">
        <w:rPr>
          <w:rFonts w:ascii="Calibri" w:hAnsi="Calibri" w:cs="Calibri"/>
          <w:sz w:val="24"/>
          <w:szCs w:val="24"/>
        </w:rPr>
        <w:t xml:space="preserve">č. </w:t>
      </w:r>
      <w:r w:rsidRPr="00A529B7">
        <w:rPr>
          <w:rFonts w:ascii="Calibri" w:hAnsi="Calibri" w:cs="Calibri"/>
          <w:sz w:val="24"/>
          <w:szCs w:val="24"/>
        </w:rPr>
        <w:t>5</w:t>
      </w:r>
      <w:r w:rsidR="003F1FA2" w:rsidRPr="00A529B7">
        <w:rPr>
          <w:rFonts w:ascii="Calibri" w:hAnsi="Calibri" w:cs="Calibri"/>
          <w:sz w:val="24"/>
          <w:szCs w:val="24"/>
        </w:rPr>
        <w:t xml:space="preserve">. </w:t>
      </w:r>
    </w:p>
    <w:p w14:paraId="0977709C" w14:textId="77777777" w:rsidR="00032EA4" w:rsidRPr="00A529B7" w:rsidRDefault="00032EA4" w:rsidP="00032EA4">
      <w:pPr>
        <w:spacing w:after="0" w:line="240" w:lineRule="auto"/>
        <w:jc w:val="both"/>
        <w:rPr>
          <w:rFonts w:ascii="Calibri" w:hAnsi="Calibri" w:cs="Calibri"/>
          <w:sz w:val="24"/>
          <w:szCs w:val="24"/>
        </w:rPr>
      </w:pPr>
    </w:p>
    <w:p w14:paraId="4627C2E0" w14:textId="2C84BE55" w:rsidR="003F1FA2" w:rsidRPr="00C71487" w:rsidRDefault="007D78BF" w:rsidP="00EB2C94">
      <w:pPr>
        <w:spacing w:after="0" w:line="240" w:lineRule="auto"/>
        <w:rPr>
          <w:rFonts w:ascii="Calibri" w:hAnsi="Calibri" w:cs="Calibri"/>
          <w:b/>
          <w:color w:val="000000" w:themeColor="text1"/>
          <w:sz w:val="24"/>
          <w:szCs w:val="24"/>
        </w:rPr>
      </w:pPr>
      <w:r w:rsidRPr="00C71487">
        <w:rPr>
          <w:rFonts w:ascii="Calibri" w:hAnsi="Calibri" w:cs="Calibri"/>
          <w:b/>
          <w:color w:val="000000" w:themeColor="text1"/>
          <w:sz w:val="24"/>
          <w:szCs w:val="24"/>
        </w:rPr>
        <w:t>Příklad č. 5</w:t>
      </w:r>
      <w:r w:rsidR="003F1FA2" w:rsidRPr="00C71487">
        <w:rPr>
          <w:rFonts w:ascii="Calibri" w:hAnsi="Calibri" w:cs="Calibri"/>
          <w:b/>
          <w:color w:val="000000" w:themeColor="text1"/>
          <w:sz w:val="24"/>
          <w:szCs w:val="24"/>
        </w:rPr>
        <w:t xml:space="preserve">: Vliv reklamních zařízení na bezpečnost silničního provozu, u něhož bylo hodnocení účelnosti </w:t>
      </w:r>
      <w:r w:rsidR="00C45631" w:rsidRPr="00C71487">
        <w:rPr>
          <w:rFonts w:ascii="Calibri" w:hAnsi="Calibri" w:cs="Calibri"/>
          <w:b/>
          <w:color w:val="000000" w:themeColor="text1"/>
          <w:sz w:val="24"/>
          <w:szCs w:val="24"/>
        </w:rPr>
        <w:t xml:space="preserve">a </w:t>
      </w:r>
      <w:r w:rsidR="003F1FA2" w:rsidRPr="00C71487">
        <w:rPr>
          <w:rFonts w:ascii="Calibri" w:hAnsi="Calibri" w:cs="Calibri"/>
          <w:b/>
          <w:color w:val="000000" w:themeColor="text1"/>
          <w:sz w:val="24"/>
          <w:szCs w:val="24"/>
        </w:rPr>
        <w:t>efektivnosti sníženo z důvodu omezeného výsledku a odhalené duplicity</w:t>
      </w:r>
    </w:p>
    <w:tbl>
      <w:tblPr>
        <w:tblStyle w:val="Mkatabulky"/>
        <w:tblpPr w:leftFromText="141" w:rightFromText="141" w:vertAnchor="text" w:horzAnchor="margin" w:tblpY="187"/>
        <w:tblW w:w="9067" w:type="dxa"/>
        <w:tblLook w:val="04A0" w:firstRow="1" w:lastRow="0" w:firstColumn="1" w:lastColumn="0" w:noHBand="0" w:noVBand="1"/>
      </w:tblPr>
      <w:tblGrid>
        <w:gridCol w:w="9067"/>
      </w:tblGrid>
      <w:tr w:rsidR="003F1FA2" w:rsidRPr="00A529B7" w14:paraId="1DC86E73" w14:textId="77777777" w:rsidTr="003F1FA2">
        <w:tc>
          <w:tcPr>
            <w:tcW w:w="9067" w:type="dxa"/>
            <w:tcBorders>
              <w:top w:val="single" w:sz="4" w:space="0" w:color="auto"/>
              <w:left w:val="single" w:sz="4" w:space="0" w:color="auto"/>
              <w:bottom w:val="single" w:sz="4" w:space="0" w:color="auto"/>
              <w:right w:val="single" w:sz="4" w:space="0" w:color="auto"/>
            </w:tcBorders>
            <w:hideMark/>
          </w:tcPr>
          <w:p w14:paraId="7E6BD9AC" w14:textId="24825608" w:rsidR="003F1FA2" w:rsidRPr="00A529B7" w:rsidRDefault="003F1FA2" w:rsidP="00032EA4">
            <w:pPr>
              <w:jc w:val="both"/>
              <w:rPr>
                <w:rFonts w:ascii="Calibri" w:hAnsi="Calibri" w:cs="Calibri"/>
                <w:i/>
                <w:sz w:val="24"/>
                <w:szCs w:val="24"/>
              </w:rPr>
            </w:pPr>
            <w:r w:rsidRPr="00A529B7">
              <w:rPr>
                <w:rFonts w:ascii="Calibri" w:hAnsi="Calibri" w:cs="Calibri"/>
                <w:i/>
                <w:sz w:val="24"/>
                <w:szCs w:val="24"/>
              </w:rPr>
              <w:t>Projekt VH</w:t>
            </w:r>
            <w:r w:rsidR="001A1A5D" w:rsidRPr="00A529B7">
              <w:rPr>
                <w:rFonts w:ascii="Calibri" w:hAnsi="Calibri" w:cs="Calibri"/>
                <w:i/>
                <w:sz w:val="24"/>
                <w:szCs w:val="24"/>
              </w:rPr>
              <w:t>20152017003</w:t>
            </w:r>
            <w:r w:rsidRPr="00A529B7">
              <w:rPr>
                <w:rFonts w:ascii="Calibri" w:hAnsi="Calibri" w:cs="Calibri"/>
                <w:i/>
                <w:sz w:val="24"/>
                <w:szCs w:val="24"/>
              </w:rPr>
              <w:t xml:space="preserve"> </w:t>
            </w:r>
            <w:r w:rsidR="00EB2C94">
              <w:rPr>
                <w:rFonts w:ascii="Calibri" w:hAnsi="Calibri" w:cs="Calibri"/>
                <w:i/>
                <w:sz w:val="24"/>
                <w:szCs w:val="24"/>
              </w:rPr>
              <w:t>–</w:t>
            </w:r>
            <w:r w:rsidR="00332B6F" w:rsidRPr="00A529B7">
              <w:rPr>
                <w:rFonts w:ascii="Calibri" w:hAnsi="Calibri" w:cs="Calibri"/>
                <w:i/>
                <w:sz w:val="24"/>
                <w:szCs w:val="24"/>
              </w:rPr>
              <w:t xml:space="preserve"> </w:t>
            </w:r>
            <w:r w:rsidRPr="00A529B7">
              <w:rPr>
                <w:rFonts w:ascii="Calibri" w:hAnsi="Calibri" w:cs="Calibri"/>
                <w:i/>
                <w:sz w:val="24"/>
                <w:szCs w:val="24"/>
              </w:rPr>
              <w:t>Vliv reklamních zařízení na bezpečnost silničního provozu byl realizován na základě</w:t>
            </w:r>
            <w:r w:rsidR="00200F41" w:rsidRPr="00A529B7">
              <w:rPr>
                <w:rFonts w:ascii="Calibri" w:hAnsi="Calibri" w:cs="Calibri"/>
                <w:i/>
                <w:sz w:val="24"/>
                <w:szCs w:val="24"/>
              </w:rPr>
              <w:t xml:space="preserve"> výzkumné</w:t>
            </w:r>
            <w:r w:rsidRPr="00A529B7">
              <w:rPr>
                <w:rFonts w:ascii="Calibri" w:hAnsi="Calibri" w:cs="Calibri"/>
                <w:i/>
                <w:sz w:val="24"/>
                <w:szCs w:val="24"/>
              </w:rPr>
              <w:t xml:space="preserve"> potřeby předložené MD a z Programu VH byl podpořen částkou ve výši 1,5 mil Kč. Předmětem </w:t>
            </w:r>
            <w:r w:rsidR="00E452A1" w:rsidRPr="00A529B7">
              <w:rPr>
                <w:rFonts w:ascii="Calibri" w:hAnsi="Calibri" w:cs="Calibri"/>
                <w:i/>
                <w:sz w:val="24"/>
                <w:szCs w:val="24"/>
              </w:rPr>
              <w:t xml:space="preserve">veřejné zakázky </w:t>
            </w:r>
            <w:r w:rsidRPr="00A529B7">
              <w:rPr>
                <w:rFonts w:ascii="Calibri" w:hAnsi="Calibri" w:cs="Calibri"/>
                <w:i/>
                <w:sz w:val="24"/>
                <w:szCs w:val="24"/>
              </w:rPr>
              <w:t>bylo zjištění vlivu billboardů na řidiče a analýza prostředí. Výsledk</w:t>
            </w:r>
            <w:r w:rsidR="00200F41" w:rsidRPr="00A529B7">
              <w:rPr>
                <w:rFonts w:ascii="Calibri" w:hAnsi="Calibri" w:cs="Calibri"/>
                <w:i/>
                <w:sz w:val="24"/>
                <w:szCs w:val="24"/>
              </w:rPr>
              <w:t>em</w:t>
            </w:r>
            <w:r w:rsidRPr="00A529B7">
              <w:rPr>
                <w:rFonts w:ascii="Calibri" w:hAnsi="Calibri" w:cs="Calibri"/>
                <w:i/>
                <w:sz w:val="24"/>
                <w:szCs w:val="24"/>
              </w:rPr>
              <w:t xml:space="preserve"> projektu byla specializovaná mapa vybrané sítě pozemních komunikací s vyznačením reklamních zařízení a </w:t>
            </w:r>
            <w:r w:rsidR="00200F41" w:rsidRPr="00A529B7">
              <w:rPr>
                <w:rFonts w:ascii="Calibri" w:hAnsi="Calibri" w:cs="Calibri"/>
                <w:i/>
                <w:sz w:val="24"/>
                <w:szCs w:val="24"/>
              </w:rPr>
              <w:t>deseti</w:t>
            </w:r>
            <w:r w:rsidRPr="00A529B7">
              <w:rPr>
                <w:rFonts w:ascii="Calibri" w:hAnsi="Calibri" w:cs="Calibri"/>
                <w:i/>
                <w:sz w:val="24"/>
                <w:szCs w:val="24"/>
              </w:rPr>
              <w:t xml:space="preserve">stránková studie obsahující návrhy změn legislativy. </w:t>
            </w:r>
          </w:p>
          <w:p w14:paraId="0A8A9492" w14:textId="0F2ABDBD" w:rsidR="003F1FA2" w:rsidRPr="00A529B7" w:rsidRDefault="003F1FA2" w:rsidP="00032EA4">
            <w:pPr>
              <w:jc w:val="both"/>
              <w:rPr>
                <w:rFonts w:ascii="Calibri" w:hAnsi="Calibri" w:cs="Calibri"/>
                <w:i/>
                <w:sz w:val="24"/>
                <w:szCs w:val="24"/>
              </w:rPr>
            </w:pPr>
            <w:r w:rsidRPr="00A529B7">
              <w:rPr>
                <w:rFonts w:ascii="Calibri" w:hAnsi="Calibri" w:cs="Calibri"/>
                <w:i/>
                <w:sz w:val="24"/>
                <w:szCs w:val="24"/>
              </w:rPr>
              <w:t xml:space="preserve">Kontrolou </w:t>
            </w:r>
            <w:r w:rsidR="00C45631" w:rsidRPr="00A529B7">
              <w:rPr>
                <w:rFonts w:ascii="Calibri" w:hAnsi="Calibri" w:cs="Calibri"/>
                <w:i/>
                <w:sz w:val="24"/>
                <w:szCs w:val="24"/>
              </w:rPr>
              <w:t xml:space="preserve">NKÚ </w:t>
            </w:r>
            <w:r w:rsidRPr="00A529B7">
              <w:rPr>
                <w:rFonts w:ascii="Calibri" w:hAnsi="Calibri" w:cs="Calibri"/>
                <w:i/>
                <w:sz w:val="24"/>
                <w:szCs w:val="24"/>
              </w:rPr>
              <w:t xml:space="preserve">bylo zjištěno, že ve stejném období na základě požadavku MD </w:t>
            </w:r>
            <w:r w:rsidR="00C45631" w:rsidRPr="00A529B7">
              <w:rPr>
                <w:rFonts w:ascii="Calibri" w:hAnsi="Calibri" w:cs="Calibri"/>
                <w:i/>
                <w:sz w:val="24"/>
                <w:szCs w:val="24"/>
              </w:rPr>
              <w:t xml:space="preserve">realizovalo </w:t>
            </w:r>
            <w:r w:rsidRPr="00A529B7">
              <w:rPr>
                <w:rFonts w:ascii="Calibri" w:hAnsi="Calibri" w:cs="Calibri"/>
                <w:i/>
                <w:sz w:val="24"/>
                <w:szCs w:val="24"/>
              </w:rPr>
              <w:t xml:space="preserve">Centrum dopravního výzkumu </w:t>
            </w:r>
            <w:proofErr w:type="spellStart"/>
            <w:proofErr w:type="gramStart"/>
            <w:r w:rsidRPr="00A529B7">
              <w:rPr>
                <w:rFonts w:ascii="Calibri" w:hAnsi="Calibri" w:cs="Calibri"/>
                <w:i/>
                <w:sz w:val="24"/>
                <w:szCs w:val="24"/>
              </w:rPr>
              <w:t>v.v.</w:t>
            </w:r>
            <w:proofErr w:type="gramEnd"/>
            <w:r w:rsidRPr="00A529B7">
              <w:rPr>
                <w:rFonts w:ascii="Calibri" w:hAnsi="Calibri" w:cs="Calibri"/>
                <w:i/>
                <w:sz w:val="24"/>
                <w:szCs w:val="24"/>
              </w:rPr>
              <w:t>i</w:t>
            </w:r>
            <w:proofErr w:type="spellEnd"/>
            <w:r w:rsidRPr="00A529B7">
              <w:rPr>
                <w:rFonts w:ascii="Calibri" w:hAnsi="Calibri" w:cs="Calibri"/>
                <w:i/>
                <w:sz w:val="24"/>
                <w:szCs w:val="24"/>
              </w:rPr>
              <w:t xml:space="preserve">. (dále také „CDV“) projekt, jehož výsledkem byla studie s názvem Vliv reklamních zařízení na bezpečnost dopravy. </w:t>
            </w:r>
          </w:p>
          <w:p w14:paraId="01726CE6" w14:textId="73B4C8AD" w:rsidR="003F1FA2" w:rsidRPr="00A529B7" w:rsidRDefault="003F1FA2" w:rsidP="003C7F98">
            <w:pPr>
              <w:jc w:val="both"/>
              <w:rPr>
                <w:rFonts w:ascii="Calibri" w:hAnsi="Calibri" w:cs="Calibri"/>
                <w:i/>
                <w:sz w:val="24"/>
                <w:szCs w:val="24"/>
              </w:rPr>
            </w:pPr>
            <w:r w:rsidRPr="00A529B7">
              <w:rPr>
                <w:rFonts w:ascii="Calibri" w:hAnsi="Calibri" w:cs="Calibri"/>
                <w:i/>
                <w:sz w:val="24"/>
                <w:szCs w:val="24"/>
              </w:rPr>
              <w:t>Obě studie vznikly na základě obdobných metod a obsahem</w:t>
            </w:r>
            <w:r w:rsidR="001A1A5D" w:rsidRPr="00A529B7">
              <w:rPr>
                <w:rFonts w:ascii="Calibri" w:hAnsi="Calibri" w:cs="Calibri"/>
                <w:i/>
                <w:sz w:val="24"/>
                <w:szCs w:val="24"/>
              </w:rPr>
              <w:t xml:space="preserve"> se</w:t>
            </w:r>
            <w:r w:rsidRPr="00A529B7">
              <w:rPr>
                <w:rFonts w:ascii="Calibri" w:hAnsi="Calibri" w:cs="Calibri"/>
                <w:i/>
                <w:sz w:val="24"/>
                <w:szCs w:val="24"/>
              </w:rPr>
              <w:t xml:space="preserve"> značně překrývají, výstup CDV je dokonce rozsáhlejší (78 stran). Jediným reálným </w:t>
            </w:r>
            <w:r w:rsidR="00501B76" w:rsidRPr="00A529B7">
              <w:rPr>
                <w:rFonts w:ascii="Calibri" w:hAnsi="Calibri" w:cs="Calibri"/>
                <w:i/>
                <w:sz w:val="24"/>
                <w:szCs w:val="24"/>
              </w:rPr>
              <w:t>výsledkem</w:t>
            </w:r>
            <w:r w:rsidR="0054632E" w:rsidRPr="00A529B7">
              <w:rPr>
                <w:rFonts w:ascii="Calibri" w:hAnsi="Calibri" w:cs="Calibri"/>
                <w:i/>
                <w:sz w:val="24"/>
                <w:szCs w:val="24"/>
              </w:rPr>
              <w:t xml:space="preserve"> </w:t>
            </w:r>
            <w:r w:rsidRPr="00A529B7">
              <w:rPr>
                <w:rFonts w:ascii="Calibri" w:hAnsi="Calibri" w:cs="Calibri"/>
                <w:i/>
                <w:sz w:val="24"/>
                <w:szCs w:val="24"/>
              </w:rPr>
              <w:t>projektu VH</w:t>
            </w:r>
            <w:r w:rsidR="001A1A5D" w:rsidRPr="00A529B7">
              <w:rPr>
                <w:rFonts w:ascii="Calibri" w:hAnsi="Calibri" w:cs="Calibri"/>
                <w:i/>
                <w:sz w:val="24"/>
                <w:szCs w:val="24"/>
              </w:rPr>
              <w:t>20152017</w:t>
            </w:r>
            <w:r w:rsidRPr="00A529B7">
              <w:rPr>
                <w:rFonts w:ascii="Calibri" w:hAnsi="Calibri" w:cs="Calibri"/>
                <w:i/>
                <w:sz w:val="24"/>
                <w:szCs w:val="24"/>
              </w:rPr>
              <w:t>003</w:t>
            </w:r>
            <w:r w:rsidRPr="00A529B7">
              <w:rPr>
                <w:rFonts w:ascii="Calibri" w:hAnsi="Calibri" w:cs="Calibri"/>
                <w:sz w:val="24"/>
                <w:szCs w:val="24"/>
              </w:rPr>
              <w:t xml:space="preserve"> </w:t>
            </w:r>
            <w:r w:rsidRPr="00A529B7">
              <w:rPr>
                <w:rFonts w:ascii="Calibri" w:hAnsi="Calibri" w:cs="Calibri"/>
                <w:i/>
                <w:sz w:val="24"/>
                <w:szCs w:val="24"/>
              </w:rPr>
              <w:t xml:space="preserve">je tak specializovaná mapa, jejíž využití k legislativním změnám a zvýšení bezpečnosti státu </w:t>
            </w:r>
            <w:r w:rsidR="0054632E" w:rsidRPr="00A529B7">
              <w:rPr>
                <w:rFonts w:ascii="Calibri" w:hAnsi="Calibri" w:cs="Calibri"/>
                <w:i/>
                <w:sz w:val="24"/>
                <w:szCs w:val="24"/>
              </w:rPr>
              <w:t xml:space="preserve">ale </w:t>
            </w:r>
            <w:r w:rsidR="00026868" w:rsidRPr="00A529B7">
              <w:rPr>
                <w:rFonts w:ascii="Calibri" w:hAnsi="Calibri" w:cs="Calibri"/>
                <w:i/>
                <w:sz w:val="24"/>
                <w:szCs w:val="24"/>
              </w:rPr>
              <w:t>nebylo doloženo</w:t>
            </w:r>
            <w:r w:rsidRPr="00A529B7">
              <w:rPr>
                <w:rFonts w:ascii="Calibri" w:hAnsi="Calibri" w:cs="Calibri"/>
                <w:i/>
                <w:sz w:val="24"/>
                <w:szCs w:val="24"/>
              </w:rPr>
              <w:t xml:space="preserve">. Z tohoto důvodu </w:t>
            </w:r>
            <w:r w:rsidR="00200F41" w:rsidRPr="00A529B7">
              <w:rPr>
                <w:rFonts w:ascii="Calibri" w:hAnsi="Calibri" w:cs="Calibri"/>
                <w:i/>
                <w:sz w:val="24"/>
                <w:szCs w:val="24"/>
              </w:rPr>
              <w:t xml:space="preserve">NKÚ posoudil tento projekt jako naplňující charakter </w:t>
            </w:r>
            <w:r w:rsidR="00F27C4A" w:rsidRPr="00A529B7">
              <w:rPr>
                <w:rFonts w:ascii="Calibri" w:hAnsi="Calibri" w:cs="Calibri"/>
                <w:i/>
                <w:sz w:val="24"/>
                <w:szCs w:val="24"/>
              </w:rPr>
              <w:t xml:space="preserve">duplicitního </w:t>
            </w:r>
            <w:r w:rsidR="000B0D12" w:rsidRPr="00A529B7">
              <w:rPr>
                <w:rFonts w:ascii="Calibri" w:hAnsi="Calibri" w:cs="Calibri"/>
                <w:i/>
                <w:sz w:val="24"/>
                <w:szCs w:val="24"/>
              </w:rPr>
              <w:t xml:space="preserve">financování </w:t>
            </w:r>
            <w:r w:rsidRPr="00A529B7">
              <w:rPr>
                <w:rFonts w:ascii="Calibri" w:hAnsi="Calibri" w:cs="Calibri"/>
                <w:i/>
                <w:sz w:val="24"/>
                <w:szCs w:val="24"/>
              </w:rPr>
              <w:t xml:space="preserve">a jako takový </w:t>
            </w:r>
            <w:r w:rsidR="00200F41" w:rsidRPr="00A529B7">
              <w:rPr>
                <w:rFonts w:ascii="Calibri" w:hAnsi="Calibri" w:cs="Calibri"/>
                <w:i/>
                <w:sz w:val="24"/>
                <w:szCs w:val="24"/>
              </w:rPr>
              <w:t xml:space="preserve">jej vyhodnotil </w:t>
            </w:r>
            <w:r w:rsidRPr="00A529B7">
              <w:rPr>
                <w:rFonts w:ascii="Calibri" w:hAnsi="Calibri" w:cs="Calibri"/>
                <w:i/>
                <w:sz w:val="24"/>
                <w:szCs w:val="24"/>
              </w:rPr>
              <w:t>jako efektivní pouze omezeně.</w:t>
            </w:r>
          </w:p>
        </w:tc>
      </w:tr>
    </w:tbl>
    <w:p w14:paraId="2D4202C7" w14:textId="77777777" w:rsidR="00032EA4" w:rsidRPr="00A529B7" w:rsidRDefault="00032EA4" w:rsidP="00032EA4">
      <w:pPr>
        <w:spacing w:after="0" w:line="240" w:lineRule="auto"/>
        <w:jc w:val="both"/>
        <w:rPr>
          <w:rFonts w:ascii="Calibri" w:hAnsi="Calibri" w:cs="Calibri"/>
          <w:sz w:val="24"/>
          <w:szCs w:val="24"/>
        </w:rPr>
      </w:pPr>
    </w:p>
    <w:p w14:paraId="587158D5" w14:textId="77777777" w:rsidR="00F27C4A" w:rsidRDefault="003F1FA2" w:rsidP="00A529B7">
      <w:pPr>
        <w:spacing w:after="0" w:line="240" w:lineRule="auto"/>
        <w:jc w:val="both"/>
        <w:rPr>
          <w:rFonts w:ascii="Calibri" w:hAnsi="Calibri" w:cs="Calibri"/>
          <w:b/>
          <w:i/>
          <w:color w:val="C00000"/>
          <w:sz w:val="24"/>
          <w:szCs w:val="24"/>
        </w:rPr>
      </w:pPr>
      <w:r w:rsidRPr="00A529B7">
        <w:rPr>
          <w:rFonts w:ascii="Calibri" w:hAnsi="Calibri" w:cs="Calibri"/>
          <w:b/>
          <w:i/>
          <w:color w:val="C00000"/>
          <w:sz w:val="24"/>
          <w:szCs w:val="24"/>
        </w:rPr>
        <w:t>→</w:t>
      </w:r>
      <w:r w:rsidR="00F27C4A" w:rsidRPr="00A529B7">
        <w:rPr>
          <w:rFonts w:ascii="Calibri" w:hAnsi="Calibri" w:cs="Calibri"/>
          <w:sz w:val="24"/>
          <w:szCs w:val="24"/>
        </w:rPr>
        <w:t xml:space="preserve"> </w:t>
      </w:r>
      <w:r w:rsidR="00F27C4A" w:rsidRPr="00A529B7">
        <w:rPr>
          <w:rFonts w:ascii="Calibri" w:hAnsi="Calibri" w:cs="Calibri"/>
          <w:b/>
          <w:i/>
          <w:color w:val="C00000"/>
          <w:sz w:val="24"/>
          <w:szCs w:val="24"/>
        </w:rPr>
        <w:t xml:space="preserve">MV provedlo závěrečné </w:t>
      </w:r>
      <w:r w:rsidR="00130E35" w:rsidRPr="00A529B7">
        <w:rPr>
          <w:rFonts w:ascii="Calibri" w:hAnsi="Calibri" w:cs="Calibri"/>
          <w:b/>
          <w:i/>
          <w:color w:val="C00000"/>
          <w:sz w:val="24"/>
          <w:szCs w:val="24"/>
        </w:rPr>
        <w:t>z</w:t>
      </w:r>
      <w:r w:rsidR="00F27C4A" w:rsidRPr="00A529B7">
        <w:rPr>
          <w:rFonts w:ascii="Calibri" w:hAnsi="Calibri" w:cs="Calibri"/>
          <w:b/>
          <w:i/>
          <w:color w:val="C00000"/>
          <w:sz w:val="24"/>
          <w:szCs w:val="24"/>
        </w:rPr>
        <w:t>hodnocení efektivnosti poskytnutých prostředků některých projektů Programu VI nedostatečně, u Programu VH nebylo prováděno vůbec.</w:t>
      </w:r>
    </w:p>
    <w:p w14:paraId="0F69BEFB" w14:textId="77777777" w:rsidR="00032EA4" w:rsidRPr="00A529B7" w:rsidRDefault="00032EA4" w:rsidP="00A529B7">
      <w:pPr>
        <w:spacing w:after="0" w:line="240" w:lineRule="auto"/>
        <w:jc w:val="both"/>
        <w:rPr>
          <w:rFonts w:ascii="Calibri" w:hAnsi="Calibri" w:cs="Calibri"/>
          <w:sz w:val="24"/>
          <w:szCs w:val="24"/>
        </w:rPr>
      </w:pPr>
    </w:p>
    <w:p w14:paraId="66D06C03" w14:textId="3E21E53E" w:rsidR="003F1FA2" w:rsidRDefault="007D78BF" w:rsidP="00A529B7">
      <w:pPr>
        <w:spacing w:after="0" w:line="240" w:lineRule="auto"/>
        <w:jc w:val="both"/>
        <w:rPr>
          <w:rFonts w:ascii="Calibri" w:hAnsi="Calibri" w:cs="Calibri"/>
          <w:sz w:val="24"/>
          <w:szCs w:val="24"/>
        </w:rPr>
      </w:pPr>
      <w:r w:rsidRPr="00A529B7">
        <w:rPr>
          <w:rFonts w:ascii="Calibri" w:hAnsi="Calibri" w:cs="Calibri"/>
          <w:sz w:val="24"/>
          <w:szCs w:val="24"/>
        </w:rPr>
        <w:t>4.3</w:t>
      </w:r>
      <w:r w:rsidR="00DD360D" w:rsidRPr="00A529B7">
        <w:rPr>
          <w:rFonts w:ascii="Calibri" w:hAnsi="Calibri" w:cs="Calibri"/>
          <w:sz w:val="24"/>
          <w:szCs w:val="24"/>
        </w:rPr>
        <w:t>6</w:t>
      </w:r>
      <w:r w:rsidR="00032EA4">
        <w:rPr>
          <w:rFonts w:ascii="Calibri" w:hAnsi="Calibri" w:cs="Calibri"/>
          <w:sz w:val="24"/>
          <w:szCs w:val="24"/>
        </w:rPr>
        <w:t xml:space="preserve"> </w:t>
      </w:r>
      <w:r w:rsidR="003F1FA2" w:rsidRPr="00A529B7">
        <w:rPr>
          <w:rFonts w:ascii="Calibri" w:hAnsi="Calibri" w:cs="Calibri"/>
          <w:sz w:val="24"/>
          <w:szCs w:val="24"/>
        </w:rPr>
        <w:t xml:space="preserve">U Programu VI provádí MV </w:t>
      </w:r>
      <w:r w:rsidR="00F27C4A" w:rsidRPr="00A529B7">
        <w:rPr>
          <w:rFonts w:ascii="Calibri" w:hAnsi="Calibri" w:cs="Calibri"/>
          <w:sz w:val="24"/>
          <w:szCs w:val="24"/>
        </w:rPr>
        <w:t>závěrečné</w:t>
      </w:r>
      <w:r w:rsidR="003F1FA2" w:rsidRPr="00A529B7">
        <w:rPr>
          <w:rFonts w:ascii="Calibri" w:hAnsi="Calibri" w:cs="Calibri"/>
          <w:sz w:val="24"/>
          <w:szCs w:val="24"/>
        </w:rPr>
        <w:t xml:space="preserve"> hodnocení projektů na základě posudků oponentů, například projekt VI</w:t>
      </w:r>
      <w:r w:rsidR="001A1A5D" w:rsidRPr="00A529B7">
        <w:rPr>
          <w:rFonts w:ascii="Calibri" w:hAnsi="Calibri" w:cs="Calibri"/>
          <w:sz w:val="24"/>
          <w:szCs w:val="24"/>
        </w:rPr>
        <w:t>20162018</w:t>
      </w:r>
      <w:r w:rsidR="003F1FA2" w:rsidRPr="00A529B7">
        <w:rPr>
          <w:rFonts w:ascii="Calibri" w:hAnsi="Calibri" w:cs="Calibri"/>
          <w:sz w:val="24"/>
          <w:szCs w:val="24"/>
        </w:rPr>
        <w:t>036</w:t>
      </w:r>
      <w:r w:rsidR="001A1A5D" w:rsidRPr="00A529B7">
        <w:rPr>
          <w:rFonts w:ascii="Calibri" w:hAnsi="Calibri" w:cs="Calibri"/>
          <w:sz w:val="24"/>
          <w:szCs w:val="24"/>
        </w:rPr>
        <w:t xml:space="preserve"> </w:t>
      </w:r>
      <w:r w:rsidR="00037F76">
        <w:rPr>
          <w:rFonts w:ascii="Calibri" w:hAnsi="Calibri" w:cs="Calibri"/>
          <w:sz w:val="24"/>
          <w:szCs w:val="24"/>
        </w:rPr>
        <w:t>–</w:t>
      </w:r>
      <w:r w:rsidR="00332B6F" w:rsidRPr="00A529B7">
        <w:rPr>
          <w:rFonts w:ascii="Calibri" w:hAnsi="Calibri" w:cs="Calibri"/>
          <w:sz w:val="24"/>
          <w:szCs w:val="24"/>
        </w:rPr>
        <w:t xml:space="preserve"> </w:t>
      </w:r>
      <w:r w:rsidR="001A1A5D" w:rsidRPr="00A529B7">
        <w:rPr>
          <w:rFonts w:ascii="Calibri" w:hAnsi="Calibri" w:cs="Calibri"/>
          <w:i/>
          <w:sz w:val="24"/>
          <w:szCs w:val="24"/>
        </w:rPr>
        <w:t xml:space="preserve">Kryptografické zabezpečení pro 100 </w:t>
      </w:r>
      <w:proofErr w:type="spellStart"/>
      <w:r w:rsidR="001A1A5D" w:rsidRPr="00A529B7">
        <w:rPr>
          <w:rFonts w:ascii="Calibri" w:hAnsi="Calibri" w:cs="Calibri"/>
          <w:i/>
          <w:sz w:val="24"/>
          <w:szCs w:val="24"/>
        </w:rPr>
        <w:t>GbE</w:t>
      </w:r>
      <w:proofErr w:type="spellEnd"/>
      <w:r w:rsidR="001A1A5D" w:rsidRPr="00A529B7">
        <w:rPr>
          <w:rFonts w:ascii="Calibri" w:hAnsi="Calibri" w:cs="Calibri"/>
          <w:i/>
          <w:sz w:val="24"/>
          <w:szCs w:val="24"/>
        </w:rPr>
        <w:t xml:space="preserve"> sítě</w:t>
      </w:r>
      <w:r w:rsidR="003F1FA2" w:rsidRPr="00A529B7">
        <w:rPr>
          <w:rFonts w:ascii="Calibri" w:hAnsi="Calibri" w:cs="Calibri"/>
          <w:sz w:val="24"/>
          <w:szCs w:val="24"/>
        </w:rPr>
        <w:t xml:space="preserve"> (</w:t>
      </w:r>
      <w:r w:rsidR="009B61E6" w:rsidRPr="00A529B7">
        <w:rPr>
          <w:rFonts w:ascii="Calibri" w:hAnsi="Calibri" w:cs="Calibri"/>
          <w:sz w:val="24"/>
          <w:szCs w:val="24"/>
        </w:rPr>
        <w:t xml:space="preserve">viz </w:t>
      </w:r>
      <w:r w:rsidR="003F1FA2" w:rsidRPr="00A529B7">
        <w:rPr>
          <w:rFonts w:ascii="Calibri" w:hAnsi="Calibri" w:cs="Calibri"/>
          <w:sz w:val="24"/>
          <w:szCs w:val="24"/>
        </w:rPr>
        <w:t>příklad</w:t>
      </w:r>
      <w:r w:rsidR="00423727" w:rsidRPr="00A529B7">
        <w:rPr>
          <w:rFonts w:ascii="Calibri" w:hAnsi="Calibri" w:cs="Calibri"/>
          <w:sz w:val="24"/>
          <w:szCs w:val="24"/>
        </w:rPr>
        <w:t xml:space="preserve"> č.</w:t>
      </w:r>
      <w:r w:rsidR="0087443E">
        <w:rPr>
          <w:rFonts w:ascii="Calibri" w:hAnsi="Calibri" w:cs="Calibri"/>
          <w:sz w:val="24"/>
          <w:szCs w:val="24"/>
        </w:rPr>
        <w:t> </w:t>
      </w:r>
      <w:r w:rsidR="00423727" w:rsidRPr="00A529B7">
        <w:rPr>
          <w:rFonts w:ascii="Calibri" w:hAnsi="Calibri" w:cs="Calibri"/>
          <w:sz w:val="24"/>
          <w:szCs w:val="24"/>
        </w:rPr>
        <w:t>6</w:t>
      </w:r>
      <w:r w:rsidR="003F1FA2" w:rsidRPr="00A529B7">
        <w:rPr>
          <w:rFonts w:ascii="Calibri" w:hAnsi="Calibri" w:cs="Calibri"/>
          <w:sz w:val="24"/>
          <w:szCs w:val="24"/>
        </w:rPr>
        <w:t>) byl hodnocen nejlepším možným výrokem (V – vynikající výsledky)</w:t>
      </w:r>
      <w:r w:rsidR="00180704" w:rsidRPr="00A529B7">
        <w:rPr>
          <w:rFonts w:ascii="Calibri" w:hAnsi="Calibri" w:cs="Calibri"/>
          <w:sz w:val="24"/>
          <w:szCs w:val="24"/>
        </w:rPr>
        <w:t xml:space="preserve">. NKÚ však zjistil, že </w:t>
      </w:r>
      <w:r w:rsidR="00180704" w:rsidRPr="00A529B7">
        <w:rPr>
          <w:rFonts w:ascii="Calibri" w:hAnsi="Calibri" w:cs="Calibri"/>
          <w:sz w:val="24"/>
          <w:szCs w:val="24"/>
        </w:rPr>
        <w:lastRenderedPageBreak/>
        <w:t xml:space="preserve">výsledek projektu </w:t>
      </w:r>
      <w:r w:rsidR="00F27C4A" w:rsidRPr="00A529B7">
        <w:rPr>
          <w:rFonts w:ascii="Calibri" w:hAnsi="Calibri" w:cs="Calibri"/>
          <w:sz w:val="24"/>
          <w:szCs w:val="24"/>
        </w:rPr>
        <w:t>není</w:t>
      </w:r>
      <w:r w:rsidR="003F1FA2" w:rsidRPr="00A529B7">
        <w:rPr>
          <w:rFonts w:ascii="Calibri" w:hAnsi="Calibri" w:cs="Calibri"/>
          <w:sz w:val="24"/>
          <w:szCs w:val="24"/>
        </w:rPr>
        <w:t xml:space="preserve"> využitelný a pro jeho </w:t>
      </w:r>
      <w:r w:rsidR="00F27C4A" w:rsidRPr="00A529B7">
        <w:rPr>
          <w:rFonts w:ascii="Calibri" w:hAnsi="Calibri" w:cs="Calibri"/>
          <w:sz w:val="24"/>
          <w:szCs w:val="24"/>
        </w:rPr>
        <w:t xml:space="preserve">uplatnění v praxi </w:t>
      </w:r>
      <w:r w:rsidR="003F1FA2" w:rsidRPr="00A529B7">
        <w:rPr>
          <w:rFonts w:ascii="Calibri" w:hAnsi="Calibri" w:cs="Calibri"/>
          <w:sz w:val="24"/>
          <w:szCs w:val="24"/>
        </w:rPr>
        <w:t xml:space="preserve">musí být </w:t>
      </w:r>
      <w:r w:rsidR="00F27C4A" w:rsidRPr="00A529B7">
        <w:rPr>
          <w:rFonts w:ascii="Calibri" w:hAnsi="Calibri" w:cs="Calibri"/>
          <w:sz w:val="24"/>
          <w:szCs w:val="24"/>
        </w:rPr>
        <w:t xml:space="preserve">poskytnuty </w:t>
      </w:r>
      <w:r w:rsidR="003F1FA2" w:rsidRPr="00A529B7">
        <w:rPr>
          <w:rFonts w:ascii="Calibri" w:hAnsi="Calibri" w:cs="Calibri"/>
          <w:sz w:val="24"/>
          <w:szCs w:val="24"/>
        </w:rPr>
        <w:t>další prostředky, což vypovídá o nedostatečné</w:t>
      </w:r>
      <w:r w:rsidR="001A1A5D" w:rsidRPr="00A529B7">
        <w:rPr>
          <w:rFonts w:ascii="Calibri" w:hAnsi="Calibri" w:cs="Calibri"/>
          <w:sz w:val="24"/>
          <w:szCs w:val="24"/>
        </w:rPr>
        <w:t>m</w:t>
      </w:r>
      <w:r w:rsidR="003F1FA2" w:rsidRPr="00A529B7">
        <w:rPr>
          <w:rFonts w:ascii="Calibri" w:hAnsi="Calibri" w:cs="Calibri"/>
          <w:sz w:val="24"/>
          <w:szCs w:val="24"/>
        </w:rPr>
        <w:t xml:space="preserve"> hodnocení</w:t>
      </w:r>
      <w:r w:rsidR="001A1A5D" w:rsidRPr="00A529B7">
        <w:rPr>
          <w:rFonts w:ascii="Calibri" w:hAnsi="Calibri" w:cs="Calibri"/>
          <w:sz w:val="24"/>
          <w:szCs w:val="24"/>
        </w:rPr>
        <w:t xml:space="preserve"> efektiv</w:t>
      </w:r>
      <w:r w:rsidR="00026868" w:rsidRPr="00A529B7">
        <w:rPr>
          <w:rFonts w:ascii="Calibri" w:hAnsi="Calibri" w:cs="Calibri"/>
          <w:sz w:val="24"/>
          <w:szCs w:val="24"/>
        </w:rPr>
        <w:t>nosti</w:t>
      </w:r>
      <w:r w:rsidR="00180704" w:rsidRPr="00A529B7">
        <w:rPr>
          <w:rFonts w:ascii="Calibri" w:hAnsi="Calibri" w:cs="Calibri"/>
          <w:sz w:val="24"/>
          <w:szCs w:val="24"/>
        </w:rPr>
        <w:t xml:space="preserve"> po realizaci projektu</w:t>
      </w:r>
      <w:r w:rsidR="003F1FA2" w:rsidRPr="00A529B7">
        <w:rPr>
          <w:rFonts w:ascii="Calibri" w:hAnsi="Calibri" w:cs="Calibri"/>
          <w:sz w:val="24"/>
          <w:szCs w:val="24"/>
        </w:rPr>
        <w:t>.</w:t>
      </w:r>
    </w:p>
    <w:p w14:paraId="42848C89" w14:textId="77777777" w:rsidR="00032EA4" w:rsidRPr="00A529B7" w:rsidRDefault="00032EA4" w:rsidP="00A529B7">
      <w:pPr>
        <w:spacing w:after="0" w:line="240" w:lineRule="auto"/>
        <w:jc w:val="both"/>
        <w:rPr>
          <w:rFonts w:ascii="Calibri" w:hAnsi="Calibri" w:cs="Calibri"/>
          <w:sz w:val="24"/>
          <w:szCs w:val="24"/>
          <w:highlight w:val="lightGray"/>
        </w:rPr>
      </w:pPr>
    </w:p>
    <w:p w14:paraId="18DE3F68" w14:textId="7485A174" w:rsidR="003F1FA2" w:rsidRPr="00C71487" w:rsidRDefault="00423727" w:rsidP="002162AD">
      <w:pPr>
        <w:spacing w:after="120" w:line="240" w:lineRule="auto"/>
        <w:rPr>
          <w:rFonts w:ascii="Calibri" w:hAnsi="Calibri" w:cs="Calibri"/>
          <w:b/>
          <w:color w:val="000000" w:themeColor="text1"/>
          <w:sz w:val="24"/>
          <w:szCs w:val="24"/>
        </w:rPr>
      </w:pPr>
      <w:r w:rsidRPr="00C71487">
        <w:rPr>
          <w:rFonts w:ascii="Calibri" w:hAnsi="Calibri" w:cs="Calibri"/>
          <w:b/>
          <w:color w:val="000000" w:themeColor="text1"/>
          <w:sz w:val="24"/>
          <w:szCs w:val="24"/>
        </w:rPr>
        <w:t>Příklad č. 6</w:t>
      </w:r>
      <w:r w:rsidR="003F1FA2" w:rsidRPr="00C71487">
        <w:rPr>
          <w:rFonts w:ascii="Calibri" w:hAnsi="Calibri" w:cs="Calibri"/>
          <w:b/>
          <w:color w:val="000000" w:themeColor="text1"/>
          <w:sz w:val="24"/>
          <w:szCs w:val="24"/>
        </w:rPr>
        <w:t>:</w:t>
      </w:r>
      <w:r w:rsidR="00026868" w:rsidRPr="00C71487">
        <w:rPr>
          <w:rFonts w:ascii="Calibri" w:hAnsi="Calibri" w:cs="Calibri"/>
          <w:b/>
          <w:color w:val="000000" w:themeColor="text1"/>
          <w:sz w:val="24"/>
          <w:szCs w:val="24"/>
        </w:rPr>
        <w:t xml:space="preserve"> Projekt</w:t>
      </w:r>
      <w:r w:rsidR="003F1FA2" w:rsidRPr="00C71487">
        <w:rPr>
          <w:rFonts w:ascii="Calibri" w:hAnsi="Calibri" w:cs="Calibri"/>
          <w:b/>
          <w:color w:val="000000" w:themeColor="text1"/>
          <w:sz w:val="24"/>
          <w:szCs w:val="24"/>
        </w:rPr>
        <w:t xml:space="preserve"> </w:t>
      </w:r>
      <w:r w:rsidR="003F1FA2" w:rsidRPr="00C71487">
        <w:rPr>
          <w:rFonts w:ascii="Calibri" w:hAnsi="Calibri" w:cs="Calibri"/>
          <w:b/>
          <w:i/>
          <w:color w:val="000000" w:themeColor="text1"/>
          <w:sz w:val="24"/>
          <w:szCs w:val="24"/>
        </w:rPr>
        <w:t xml:space="preserve">Kryptografické zabezpečení pro 100 </w:t>
      </w:r>
      <w:proofErr w:type="spellStart"/>
      <w:r w:rsidR="003F1FA2" w:rsidRPr="00C71487">
        <w:rPr>
          <w:rFonts w:ascii="Calibri" w:hAnsi="Calibri" w:cs="Calibri"/>
          <w:b/>
          <w:i/>
          <w:color w:val="000000" w:themeColor="text1"/>
          <w:sz w:val="24"/>
          <w:szCs w:val="24"/>
        </w:rPr>
        <w:t>GbE</w:t>
      </w:r>
      <w:proofErr w:type="spellEnd"/>
      <w:r w:rsidR="003F1FA2" w:rsidRPr="00C71487">
        <w:rPr>
          <w:rStyle w:val="Znakapoznpodarou"/>
          <w:rFonts w:ascii="Calibri" w:hAnsi="Calibri" w:cs="Calibri"/>
          <w:b/>
          <w:i/>
          <w:color w:val="000000" w:themeColor="text1"/>
          <w:sz w:val="24"/>
          <w:szCs w:val="24"/>
        </w:rPr>
        <w:footnoteReference w:id="33"/>
      </w:r>
      <w:r w:rsidR="003F1FA2" w:rsidRPr="00C71487">
        <w:rPr>
          <w:rFonts w:ascii="Calibri" w:hAnsi="Calibri" w:cs="Calibri"/>
          <w:b/>
          <w:i/>
          <w:color w:val="000000" w:themeColor="text1"/>
          <w:sz w:val="24"/>
          <w:szCs w:val="24"/>
        </w:rPr>
        <w:t xml:space="preserve"> sítě,</w:t>
      </w:r>
      <w:r w:rsidR="003F1FA2" w:rsidRPr="00C71487">
        <w:rPr>
          <w:rFonts w:ascii="Calibri" w:hAnsi="Calibri" w:cs="Calibri"/>
          <w:b/>
          <w:color w:val="000000" w:themeColor="text1"/>
          <w:sz w:val="24"/>
          <w:szCs w:val="24"/>
        </w:rPr>
        <w:t xml:space="preserve"> u něhož bylo hodnocení efektivnosti sníženo, protože </w:t>
      </w:r>
      <w:r w:rsidR="00F27C4A" w:rsidRPr="00C71487">
        <w:rPr>
          <w:rFonts w:ascii="Calibri" w:hAnsi="Calibri" w:cs="Calibri"/>
          <w:b/>
          <w:color w:val="000000" w:themeColor="text1"/>
          <w:sz w:val="24"/>
          <w:szCs w:val="24"/>
        </w:rPr>
        <w:t>výsledek</w:t>
      </w:r>
      <w:r w:rsidR="003F1FA2" w:rsidRPr="00C71487">
        <w:rPr>
          <w:rFonts w:ascii="Calibri" w:hAnsi="Calibri" w:cs="Calibri"/>
          <w:b/>
          <w:color w:val="000000" w:themeColor="text1"/>
          <w:sz w:val="24"/>
          <w:szCs w:val="24"/>
        </w:rPr>
        <w:t xml:space="preserve"> není využitelný a pro jeho širší </w:t>
      </w:r>
      <w:r w:rsidR="00F27C4A" w:rsidRPr="00C71487">
        <w:rPr>
          <w:rFonts w:ascii="Calibri" w:hAnsi="Calibri" w:cs="Calibri"/>
          <w:b/>
          <w:color w:val="000000" w:themeColor="text1"/>
          <w:sz w:val="24"/>
          <w:szCs w:val="24"/>
        </w:rPr>
        <w:t xml:space="preserve">uplatnění v praxi </w:t>
      </w:r>
      <w:r w:rsidR="003F1FA2" w:rsidRPr="00C71487">
        <w:rPr>
          <w:rFonts w:ascii="Calibri" w:hAnsi="Calibri" w:cs="Calibri"/>
          <w:b/>
          <w:color w:val="000000" w:themeColor="text1"/>
          <w:sz w:val="24"/>
          <w:szCs w:val="24"/>
        </w:rPr>
        <w:t xml:space="preserve">musí být </w:t>
      </w:r>
      <w:r w:rsidR="00F27C4A" w:rsidRPr="00C71487">
        <w:rPr>
          <w:rFonts w:ascii="Calibri" w:hAnsi="Calibri" w:cs="Calibri"/>
          <w:b/>
          <w:color w:val="000000" w:themeColor="text1"/>
          <w:sz w:val="24"/>
          <w:szCs w:val="24"/>
        </w:rPr>
        <w:t xml:space="preserve">poskytnuty </w:t>
      </w:r>
      <w:r w:rsidR="003F1FA2" w:rsidRPr="00C71487">
        <w:rPr>
          <w:rFonts w:ascii="Calibri" w:hAnsi="Calibri" w:cs="Calibri"/>
          <w:b/>
          <w:color w:val="000000" w:themeColor="text1"/>
          <w:sz w:val="24"/>
          <w:szCs w:val="24"/>
        </w:rPr>
        <w:t>další prostředky</w:t>
      </w:r>
    </w:p>
    <w:tbl>
      <w:tblPr>
        <w:tblStyle w:val="Mkatabulky"/>
        <w:tblW w:w="0" w:type="auto"/>
        <w:tblInd w:w="-5" w:type="dxa"/>
        <w:tblLook w:val="04A0" w:firstRow="1" w:lastRow="0" w:firstColumn="1" w:lastColumn="0" w:noHBand="0" w:noVBand="1"/>
      </w:tblPr>
      <w:tblGrid>
        <w:gridCol w:w="9067"/>
      </w:tblGrid>
      <w:tr w:rsidR="003F1FA2" w:rsidRPr="00A529B7" w14:paraId="347BBAC5" w14:textId="77777777" w:rsidTr="003F1FA2">
        <w:tc>
          <w:tcPr>
            <w:tcW w:w="9067" w:type="dxa"/>
            <w:tcBorders>
              <w:top w:val="single" w:sz="4" w:space="0" w:color="auto"/>
              <w:left w:val="single" w:sz="4" w:space="0" w:color="auto"/>
              <w:bottom w:val="single" w:sz="4" w:space="0" w:color="auto"/>
              <w:right w:val="single" w:sz="4" w:space="0" w:color="auto"/>
            </w:tcBorders>
            <w:hideMark/>
          </w:tcPr>
          <w:p w14:paraId="21333EB1" w14:textId="29864D0F" w:rsidR="003F1FA2" w:rsidRPr="00A529B7" w:rsidRDefault="003F1FA2" w:rsidP="00A529B7">
            <w:pPr>
              <w:pStyle w:val="Odstavecseseznamem"/>
              <w:ind w:left="0"/>
              <w:contextualSpacing w:val="0"/>
              <w:jc w:val="both"/>
              <w:rPr>
                <w:rFonts w:ascii="Calibri" w:hAnsi="Calibri" w:cs="Calibri"/>
                <w:i/>
                <w:sz w:val="24"/>
                <w:szCs w:val="24"/>
              </w:rPr>
            </w:pPr>
            <w:r w:rsidRPr="00A529B7">
              <w:rPr>
                <w:rFonts w:ascii="Calibri" w:hAnsi="Calibri" w:cs="Calibri"/>
                <w:i/>
                <w:sz w:val="24"/>
                <w:szCs w:val="24"/>
              </w:rPr>
              <w:t>Projekt VI</w:t>
            </w:r>
            <w:r w:rsidR="00D33101" w:rsidRPr="00A529B7">
              <w:rPr>
                <w:rFonts w:ascii="Calibri" w:hAnsi="Calibri" w:cs="Calibri"/>
                <w:i/>
                <w:sz w:val="24"/>
                <w:szCs w:val="24"/>
              </w:rPr>
              <w:t>20162018</w:t>
            </w:r>
            <w:r w:rsidRPr="00A529B7">
              <w:rPr>
                <w:rFonts w:ascii="Calibri" w:hAnsi="Calibri" w:cs="Calibri"/>
                <w:i/>
                <w:sz w:val="24"/>
                <w:szCs w:val="24"/>
              </w:rPr>
              <w:t xml:space="preserve">036 </w:t>
            </w:r>
            <w:r w:rsidR="00037F76">
              <w:rPr>
                <w:rFonts w:ascii="Calibri" w:hAnsi="Calibri" w:cs="Calibri"/>
                <w:i/>
                <w:sz w:val="24"/>
                <w:szCs w:val="24"/>
              </w:rPr>
              <w:t>–</w:t>
            </w:r>
            <w:r w:rsidR="00332B6F" w:rsidRPr="00A529B7">
              <w:rPr>
                <w:rFonts w:ascii="Calibri" w:hAnsi="Calibri" w:cs="Calibri"/>
                <w:i/>
                <w:sz w:val="24"/>
                <w:szCs w:val="24"/>
              </w:rPr>
              <w:t xml:space="preserve"> </w:t>
            </w:r>
            <w:r w:rsidRPr="00A529B7">
              <w:rPr>
                <w:rFonts w:ascii="Calibri" w:hAnsi="Calibri" w:cs="Calibri"/>
                <w:i/>
                <w:sz w:val="24"/>
                <w:szCs w:val="24"/>
              </w:rPr>
              <w:t xml:space="preserve">Kryptografické zabezpečení pro 100 </w:t>
            </w:r>
            <w:proofErr w:type="spellStart"/>
            <w:r w:rsidRPr="00A529B7">
              <w:rPr>
                <w:rFonts w:ascii="Calibri" w:hAnsi="Calibri" w:cs="Calibri"/>
                <w:i/>
                <w:sz w:val="24"/>
                <w:szCs w:val="24"/>
              </w:rPr>
              <w:t>Gb</w:t>
            </w:r>
            <w:r w:rsidR="00180704" w:rsidRPr="00A529B7">
              <w:rPr>
                <w:rFonts w:ascii="Calibri" w:hAnsi="Calibri" w:cs="Calibri"/>
                <w:i/>
                <w:sz w:val="24"/>
                <w:szCs w:val="24"/>
              </w:rPr>
              <w:t>E</w:t>
            </w:r>
            <w:proofErr w:type="spellEnd"/>
            <w:r w:rsidRPr="00A529B7">
              <w:rPr>
                <w:rFonts w:ascii="Calibri" w:hAnsi="Calibri" w:cs="Calibri"/>
                <w:i/>
                <w:sz w:val="24"/>
                <w:szCs w:val="24"/>
              </w:rPr>
              <w:t xml:space="preserve"> sítě řeší zabezpečení vysokorychlostních síťových zařízení pracujících rychlostí 10 až 100 </w:t>
            </w:r>
            <w:proofErr w:type="spellStart"/>
            <w:r w:rsidRPr="00A529B7">
              <w:rPr>
                <w:rFonts w:ascii="Calibri" w:hAnsi="Calibri" w:cs="Calibri"/>
                <w:i/>
                <w:sz w:val="24"/>
                <w:szCs w:val="24"/>
              </w:rPr>
              <w:t>Gb</w:t>
            </w:r>
            <w:proofErr w:type="spellEnd"/>
            <w:r w:rsidRPr="00A529B7">
              <w:rPr>
                <w:rFonts w:ascii="Calibri" w:hAnsi="Calibri" w:cs="Calibri"/>
                <w:i/>
                <w:sz w:val="24"/>
                <w:szCs w:val="24"/>
              </w:rPr>
              <w:t xml:space="preserve">/s. Řešitelé předpokládali, že výsledek má vysoký potenciál uplatnění. Údaje v návrhu projektu vycházely z předpokladu rozšíření vysokorychlostních sítí (který byl uveden i v Národním plánu </w:t>
            </w:r>
            <w:r w:rsidR="003D7936" w:rsidRPr="00A529B7">
              <w:rPr>
                <w:rFonts w:ascii="Calibri" w:hAnsi="Calibri" w:cs="Calibri"/>
                <w:i/>
                <w:sz w:val="24"/>
                <w:szCs w:val="24"/>
              </w:rPr>
              <w:t>rozvoje sítí nové generace</w:t>
            </w:r>
            <w:r w:rsidR="003D7936" w:rsidRPr="00A529B7">
              <w:rPr>
                <w:rStyle w:val="Znakapoznpodarou"/>
                <w:rFonts w:ascii="Calibri" w:hAnsi="Calibri" w:cs="Calibri"/>
                <w:i/>
                <w:sz w:val="24"/>
                <w:szCs w:val="24"/>
              </w:rPr>
              <w:footnoteReference w:id="34"/>
            </w:r>
            <w:r w:rsidRPr="00A529B7">
              <w:rPr>
                <w:rFonts w:ascii="Calibri" w:hAnsi="Calibri" w:cs="Calibri"/>
                <w:i/>
                <w:sz w:val="24"/>
                <w:szCs w:val="24"/>
              </w:rPr>
              <w:t>). Projekt nabízel řešení pro tyto sítě a náskok oproti konkurenčním produktům.</w:t>
            </w:r>
          </w:p>
          <w:p w14:paraId="45F8D1D6" w14:textId="77777777" w:rsidR="003F1FA2" w:rsidRPr="00A529B7" w:rsidRDefault="003F1FA2" w:rsidP="00A529B7">
            <w:pPr>
              <w:pStyle w:val="Odstavecseseznamem"/>
              <w:ind w:left="0"/>
              <w:contextualSpacing w:val="0"/>
              <w:jc w:val="both"/>
              <w:rPr>
                <w:rFonts w:ascii="Calibri" w:hAnsi="Calibri" w:cs="Calibri"/>
                <w:i/>
                <w:sz w:val="24"/>
                <w:szCs w:val="24"/>
              </w:rPr>
            </w:pPr>
            <w:r w:rsidRPr="00A529B7">
              <w:rPr>
                <w:rFonts w:ascii="Calibri" w:hAnsi="Calibri" w:cs="Calibri"/>
                <w:i/>
                <w:sz w:val="24"/>
                <w:szCs w:val="24"/>
              </w:rPr>
              <w:t xml:space="preserve">Stanovených cílů a </w:t>
            </w:r>
            <w:r w:rsidR="00D33101" w:rsidRPr="00A529B7">
              <w:rPr>
                <w:rFonts w:ascii="Calibri" w:hAnsi="Calibri" w:cs="Calibri"/>
                <w:i/>
                <w:sz w:val="24"/>
                <w:szCs w:val="24"/>
              </w:rPr>
              <w:t>výsledků projektu bylo dosaženo.</w:t>
            </w:r>
            <w:r w:rsidRPr="00A529B7">
              <w:rPr>
                <w:rFonts w:ascii="Calibri" w:hAnsi="Calibri" w:cs="Calibri"/>
                <w:i/>
                <w:sz w:val="24"/>
                <w:szCs w:val="24"/>
              </w:rPr>
              <w:t xml:space="preserve"> </w:t>
            </w:r>
            <w:r w:rsidR="00D33101" w:rsidRPr="00A529B7">
              <w:rPr>
                <w:rFonts w:ascii="Calibri" w:hAnsi="Calibri" w:cs="Calibri"/>
                <w:i/>
                <w:sz w:val="24"/>
                <w:szCs w:val="24"/>
              </w:rPr>
              <w:t>D</w:t>
            </w:r>
            <w:r w:rsidRPr="00A529B7">
              <w:rPr>
                <w:rFonts w:ascii="Calibri" w:hAnsi="Calibri" w:cs="Calibri"/>
                <w:i/>
                <w:sz w:val="24"/>
                <w:szCs w:val="24"/>
              </w:rPr>
              <w:t xml:space="preserve">o </w:t>
            </w:r>
            <w:r w:rsidR="00D33101" w:rsidRPr="00A529B7">
              <w:rPr>
                <w:rFonts w:ascii="Calibri" w:hAnsi="Calibri" w:cs="Calibri"/>
                <w:i/>
                <w:sz w:val="24"/>
                <w:szCs w:val="24"/>
              </w:rPr>
              <w:t xml:space="preserve">doby </w:t>
            </w:r>
            <w:r w:rsidRPr="00A529B7">
              <w:rPr>
                <w:rFonts w:ascii="Calibri" w:hAnsi="Calibri" w:cs="Calibri"/>
                <w:i/>
                <w:sz w:val="24"/>
                <w:szCs w:val="24"/>
              </w:rPr>
              <w:t xml:space="preserve">ukončení kontroly NKÚ však nebyly komerčně využity. Důvodem je, že sítě rychlostí 100 </w:t>
            </w:r>
            <w:proofErr w:type="spellStart"/>
            <w:r w:rsidRPr="00A529B7">
              <w:rPr>
                <w:rFonts w:ascii="Calibri" w:hAnsi="Calibri" w:cs="Calibri"/>
                <w:i/>
                <w:sz w:val="24"/>
                <w:szCs w:val="24"/>
              </w:rPr>
              <w:t>Gb</w:t>
            </w:r>
            <w:proofErr w:type="spellEnd"/>
            <w:r w:rsidRPr="00A529B7">
              <w:rPr>
                <w:rFonts w:ascii="Calibri" w:hAnsi="Calibri" w:cs="Calibri"/>
                <w:i/>
                <w:sz w:val="24"/>
                <w:szCs w:val="24"/>
              </w:rPr>
              <w:t xml:space="preserve">/s nejsou ve světě zatím široce nasazeny, převládají rychlosti od 10 </w:t>
            </w:r>
            <w:proofErr w:type="spellStart"/>
            <w:r w:rsidRPr="00A529B7">
              <w:rPr>
                <w:rFonts w:ascii="Calibri" w:hAnsi="Calibri" w:cs="Calibri"/>
                <w:i/>
                <w:sz w:val="24"/>
                <w:szCs w:val="24"/>
              </w:rPr>
              <w:t>Gb</w:t>
            </w:r>
            <w:proofErr w:type="spellEnd"/>
            <w:r w:rsidRPr="00A529B7">
              <w:rPr>
                <w:rFonts w:ascii="Calibri" w:hAnsi="Calibri" w:cs="Calibri"/>
                <w:i/>
                <w:sz w:val="24"/>
                <w:szCs w:val="24"/>
              </w:rPr>
              <w:t xml:space="preserve">/s do 40 </w:t>
            </w:r>
            <w:proofErr w:type="spellStart"/>
            <w:r w:rsidRPr="00A529B7">
              <w:rPr>
                <w:rFonts w:ascii="Calibri" w:hAnsi="Calibri" w:cs="Calibri"/>
                <w:i/>
                <w:sz w:val="24"/>
                <w:szCs w:val="24"/>
              </w:rPr>
              <w:t>Gb</w:t>
            </w:r>
            <w:proofErr w:type="spellEnd"/>
            <w:r w:rsidRPr="00A529B7">
              <w:rPr>
                <w:rFonts w:ascii="Calibri" w:hAnsi="Calibri" w:cs="Calibri"/>
                <w:i/>
                <w:sz w:val="24"/>
                <w:szCs w:val="24"/>
              </w:rPr>
              <w:t xml:space="preserve">/s, pro které jsou dostupná konkurenční řešení dostačující. </w:t>
            </w:r>
          </w:p>
          <w:p w14:paraId="7596C7CB" w14:textId="0BC4AEB2" w:rsidR="003F1FA2" w:rsidRPr="00A529B7" w:rsidRDefault="00F27C4A" w:rsidP="00E01172">
            <w:pPr>
              <w:pStyle w:val="Odstavecseseznamem"/>
              <w:ind w:left="0"/>
              <w:contextualSpacing w:val="0"/>
              <w:jc w:val="both"/>
              <w:rPr>
                <w:rFonts w:ascii="Calibri" w:hAnsi="Calibri" w:cs="Calibri"/>
                <w:sz w:val="24"/>
                <w:szCs w:val="24"/>
              </w:rPr>
            </w:pPr>
            <w:r w:rsidRPr="00A529B7">
              <w:rPr>
                <w:rFonts w:ascii="Calibri" w:hAnsi="Calibri" w:cs="Calibri"/>
                <w:i/>
                <w:sz w:val="24"/>
                <w:szCs w:val="24"/>
              </w:rPr>
              <w:t>T</w:t>
            </w:r>
            <w:r w:rsidR="00D330EA" w:rsidRPr="00A529B7">
              <w:rPr>
                <w:rFonts w:ascii="Calibri" w:hAnsi="Calibri" w:cs="Calibri"/>
                <w:i/>
                <w:sz w:val="24"/>
                <w:szCs w:val="24"/>
              </w:rPr>
              <w:t>eprve návazným projektem</w:t>
            </w:r>
            <w:r w:rsidR="003F1FA2" w:rsidRPr="00A529B7">
              <w:rPr>
                <w:rFonts w:ascii="Calibri" w:hAnsi="Calibri" w:cs="Calibri"/>
                <w:i/>
                <w:sz w:val="24"/>
                <w:szCs w:val="24"/>
              </w:rPr>
              <w:t xml:space="preserve"> VI</w:t>
            </w:r>
            <w:r w:rsidR="00AD20EA" w:rsidRPr="00A529B7">
              <w:rPr>
                <w:rFonts w:ascii="Calibri" w:hAnsi="Calibri" w:cs="Calibri"/>
                <w:i/>
                <w:sz w:val="24"/>
                <w:szCs w:val="24"/>
              </w:rPr>
              <w:t>20192022</w:t>
            </w:r>
            <w:r w:rsidR="003F1FA2" w:rsidRPr="00A529B7">
              <w:rPr>
                <w:rFonts w:ascii="Calibri" w:hAnsi="Calibri" w:cs="Calibri"/>
                <w:i/>
                <w:sz w:val="24"/>
                <w:szCs w:val="24"/>
              </w:rPr>
              <w:t>126</w:t>
            </w:r>
            <w:r w:rsidR="00332B6F" w:rsidRPr="00A529B7">
              <w:rPr>
                <w:rFonts w:ascii="Calibri" w:hAnsi="Calibri" w:cs="Calibri"/>
                <w:i/>
                <w:sz w:val="24"/>
                <w:szCs w:val="24"/>
              </w:rPr>
              <w:t xml:space="preserve"> </w:t>
            </w:r>
            <w:r w:rsidR="00037F76">
              <w:rPr>
                <w:rFonts w:ascii="Calibri" w:hAnsi="Calibri" w:cs="Calibri"/>
                <w:i/>
                <w:sz w:val="24"/>
                <w:szCs w:val="24"/>
              </w:rPr>
              <w:t>–</w:t>
            </w:r>
            <w:r w:rsidR="00AD20EA" w:rsidRPr="00A529B7">
              <w:rPr>
                <w:rFonts w:ascii="Calibri" w:hAnsi="Calibri" w:cs="Calibri"/>
                <w:i/>
                <w:sz w:val="24"/>
                <w:szCs w:val="24"/>
              </w:rPr>
              <w:t xml:space="preserve"> Modulární hardwarový akcelerátor pro kryptografické operace</w:t>
            </w:r>
            <w:r w:rsidR="003F1FA2" w:rsidRPr="00A529B7">
              <w:rPr>
                <w:rFonts w:ascii="Calibri" w:hAnsi="Calibri" w:cs="Calibri"/>
                <w:i/>
                <w:sz w:val="24"/>
                <w:szCs w:val="24"/>
              </w:rPr>
              <w:t>, který má být dokončen v roce 2022 a má být z rozpočtu MV podpořen částkou 13,7 mil. Kč</w:t>
            </w:r>
            <w:r w:rsidR="00D330EA" w:rsidRPr="00A529B7">
              <w:rPr>
                <w:rFonts w:ascii="Calibri" w:hAnsi="Calibri" w:cs="Calibri"/>
                <w:i/>
                <w:sz w:val="24"/>
                <w:szCs w:val="24"/>
              </w:rPr>
              <w:t xml:space="preserve">, </w:t>
            </w:r>
            <w:r w:rsidR="00CE1C25" w:rsidRPr="00A529B7">
              <w:rPr>
                <w:rFonts w:ascii="Calibri" w:hAnsi="Calibri" w:cs="Calibri"/>
                <w:i/>
                <w:sz w:val="24"/>
                <w:szCs w:val="24"/>
              </w:rPr>
              <w:t xml:space="preserve">má být </w:t>
            </w:r>
            <w:r w:rsidR="00D330EA" w:rsidRPr="00A529B7">
              <w:rPr>
                <w:rFonts w:ascii="Calibri" w:hAnsi="Calibri" w:cs="Calibri"/>
                <w:i/>
                <w:sz w:val="24"/>
                <w:szCs w:val="24"/>
              </w:rPr>
              <w:t xml:space="preserve">řešen problém dostupnosti speciálních karet; bez toho jsou výsledky projektu </w:t>
            </w:r>
            <w:r w:rsidR="00CE1C25" w:rsidRPr="00A529B7">
              <w:rPr>
                <w:rFonts w:ascii="Calibri" w:hAnsi="Calibri" w:cs="Calibri"/>
                <w:i/>
                <w:sz w:val="24"/>
                <w:szCs w:val="24"/>
              </w:rPr>
              <w:t xml:space="preserve">VI20162018036 pro </w:t>
            </w:r>
            <w:r w:rsidR="00D330EA" w:rsidRPr="00A529B7">
              <w:rPr>
                <w:rFonts w:ascii="Calibri" w:hAnsi="Calibri" w:cs="Calibri"/>
                <w:i/>
                <w:sz w:val="24"/>
                <w:szCs w:val="24"/>
              </w:rPr>
              <w:t>uživatele finančně náročné a omezují možnosti jeho využití</w:t>
            </w:r>
            <w:r w:rsidR="00E753C4" w:rsidRPr="00A529B7">
              <w:rPr>
                <w:rFonts w:ascii="Calibri" w:hAnsi="Calibri" w:cs="Calibri"/>
                <w:i/>
                <w:sz w:val="24"/>
                <w:szCs w:val="24"/>
              </w:rPr>
              <w:t>. NKÚ proto vyhodnotil projekt</w:t>
            </w:r>
            <w:r w:rsidR="003F1FA2" w:rsidRPr="00A529B7">
              <w:rPr>
                <w:rFonts w:ascii="Calibri" w:hAnsi="Calibri" w:cs="Calibri"/>
                <w:i/>
                <w:sz w:val="24"/>
                <w:szCs w:val="24"/>
              </w:rPr>
              <w:t xml:space="preserve"> jako omezeně efektivní. </w:t>
            </w:r>
          </w:p>
        </w:tc>
      </w:tr>
    </w:tbl>
    <w:p w14:paraId="09B8F382" w14:textId="77777777" w:rsidR="00032EA4" w:rsidRPr="00A529B7" w:rsidRDefault="00032EA4" w:rsidP="00032EA4">
      <w:pPr>
        <w:spacing w:after="0" w:line="240" w:lineRule="auto"/>
        <w:jc w:val="both"/>
        <w:rPr>
          <w:rFonts w:ascii="Calibri" w:hAnsi="Calibri" w:cs="Calibri"/>
          <w:sz w:val="24"/>
          <w:szCs w:val="24"/>
        </w:rPr>
      </w:pPr>
    </w:p>
    <w:p w14:paraId="176270D6" w14:textId="46BCE980" w:rsidR="00744480" w:rsidRDefault="00130E35" w:rsidP="00A529B7">
      <w:pPr>
        <w:spacing w:after="0" w:line="240" w:lineRule="auto"/>
        <w:jc w:val="both"/>
        <w:rPr>
          <w:rFonts w:ascii="Calibri" w:hAnsi="Calibri" w:cs="Calibri"/>
          <w:color w:val="000000" w:themeColor="text1"/>
          <w:sz w:val="24"/>
          <w:szCs w:val="24"/>
        </w:rPr>
      </w:pPr>
      <w:r w:rsidRPr="00A529B7">
        <w:rPr>
          <w:rFonts w:ascii="Calibri" w:hAnsi="Calibri" w:cs="Calibri"/>
          <w:sz w:val="24"/>
          <w:szCs w:val="24"/>
        </w:rPr>
        <w:t>4.37</w:t>
      </w:r>
      <w:r w:rsidR="00095948">
        <w:rPr>
          <w:rFonts w:ascii="Calibri" w:hAnsi="Calibri" w:cs="Calibri"/>
          <w:sz w:val="24"/>
          <w:szCs w:val="24"/>
        </w:rPr>
        <w:t xml:space="preserve"> </w:t>
      </w:r>
      <w:r w:rsidRPr="00A529B7">
        <w:rPr>
          <w:rFonts w:ascii="Calibri" w:hAnsi="Calibri" w:cs="Calibri"/>
          <w:sz w:val="24"/>
          <w:szCs w:val="24"/>
        </w:rPr>
        <w:t>V rámci Programu VH není v žádném z kritérií závěrečného hodnocení zahrnuto hodnocení efektivnosti. MV tak nemá přehled o tom, zda byly prostředky poskytnuty efektivně. Omezenou efektivnost přitom zjistil NKÚ např.</w:t>
      </w:r>
      <w:r w:rsidRPr="00095948">
        <w:rPr>
          <w:rFonts w:ascii="Calibri" w:hAnsi="Calibri" w:cs="Calibri"/>
          <w:color w:val="000000" w:themeColor="text1"/>
          <w:sz w:val="24"/>
          <w:szCs w:val="24"/>
        </w:rPr>
        <w:t xml:space="preserve"> u projektu VH20162017003 </w:t>
      </w:r>
      <w:r w:rsidR="00037F76">
        <w:rPr>
          <w:rFonts w:ascii="Calibri" w:hAnsi="Calibri" w:cs="Calibri"/>
          <w:color w:val="000000" w:themeColor="text1"/>
          <w:sz w:val="24"/>
          <w:szCs w:val="24"/>
        </w:rPr>
        <w:t>–</w:t>
      </w:r>
      <w:r w:rsidRPr="00095948">
        <w:rPr>
          <w:rFonts w:ascii="Calibri" w:hAnsi="Calibri" w:cs="Calibri"/>
          <w:color w:val="000000" w:themeColor="text1"/>
          <w:sz w:val="24"/>
          <w:szCs w:val="24"/>
        </w:rPr>
        <w:t xml:space="preserve"> </w:t>
      </w:r>
      <w:r w:rsidRPr="00095948">
        <w:rPr>
          <w:rFonts w:ascii="Calibri" w:hAnsi="Calibri" w:cs="Calibri"/>
          <w:i/>
          <w:color w:val="000000" w:themeColor="text1"/>
          <w:sz w:val="24"/>
          <w:szCs w:val="24"/>
        </w:rPr>
        <w:t>Vliv reklamních zařízení na bezpečnost silničního provozu</w:t>
      </w:r>
      <w:r w:rsidRPr="00095948">
        <w:rPr>
          <w:rFonts w:ascii="Calibri" w:hAnsi="Calibri" w:cs="Calibri"/>
          <w:color w:val="000000" w:themeColor="text1"/>
          <w:sz w:val="24"/>
          <w:szCs w:val="24"/>
        </w:rPr>
        <w:t xml:space="preserve"> (viz příklad č. 5).</w:t>
      </w:r>
    </w:p>
    <w:p w14:paraId="368F7478" w14:textId="77777777" w:rsidR="00032EA4" w:rsidRPr="00A529B7" w:rsidRDefault="00032EA4" w:rsidP="00032EA4">
      <w:pPr>
        <w:spacing w:after="0" w:line="240" w:lineRule="auto"/>
        <w:jc w:val="both"/>
        <w:rPr>
          <w:rFonts w:ascii="Calibri" w:hAnsi="Calibri" w:cs="Calibri"/>
          <w:sz w:val="24"/>
          <w:szCs w:val="24"/>
        </w:rPr>
      </w:pPr>
    </w:p>
    <w:p w14:paraId="3873F84F" w14:textId="77777777" w:rsidR="003F1FA2" w:rsidRPr="00A529B7" w:rsidRDefault="003F1FA2" w:rsidP="00A529B7">
      <w:pPr>
        <w:spacing w:after="0" w:line="240" w:lineRule="auto"/>
        <w:rPr>
          <w:rFonts w:ascii="Calibri" w:hAnsi="Calibri" w:cs="Calibri"/>
          <w:b/>
          <w:i/>
          <w:color w:val="C00000"/>
          <w:sz w:val="24"/>
          <w:szCs w:val="24"/>
        </w:rPr>
      </w:pPr>
      <w:r w:rsidRPr="00A529B7">
        <w:rPr>
          <w:rFonts w:ascii="Calibri" w:hAnsi="Calibri" w:cs="Calibri"/>
          <w:b/>
          <w:i/>
          <w:color w:val="C00000"/>
          <w:sz w:val="24"/>
          <w:szCs w:val="24"/>
        </w:rPr>
        <w:t xml:space="preserve">→ </w:t>
      </w:r>
      <w:r w:rsidR="00CE1C25" w:rsidRPr="00A529B7">
        <w:rPr>
          <w:rFonts w:ascii="Calibri" w:hAnsi="Calibri" w:cs="Calibri"/>
          <w:b/>
          <w:i/>
          <w:color w:val="C00000"/>
          <w:sz w:val="24"/>
          <w:szCs w:val="24"/>
        </w:rPr>
        <w:t>Efektivnost devíti vybraných projektů byla vyhodnocena pozitivně, tří naopak.</w:t>
      </w:r>
    </w:p>
    <w:p w14:paraId="5409CAEF" w14:textId="77777777" w:rsidR="00032EA4" w:rsidRDefault="00032EA4" w:rsidP="00A529B7">
      <w:pPr>
        <w:spacing w:after="0" w:line="240" w:lineRule="auto"/>
        <w:jc w:val="both"/>
        <w:rPr>
          <w:rFonts w:ascii="Calibri" w:hAnsi="Calibri" w:cs="Calibri"/>
          <w:sz w:val="24"/>
          <w:szCs w:val="24"/>
        </w:rPr>
      </w:pPr>
    </w:p>
    <w:p w14:paraId="16BB23AB" w14:textId="5C2D8BC5" w:rsidR="009B61E6" w:rsidRPr="00A529B7" w:rsidRDefault="007D78BF" w:rsidP="00A529B7">
      <w:pPr>
        <w:spacing w:after="0" w:line="240" w:lineRule="auto"/>
        <w:jc w:val="both"/>
        <w:rPr>
          <w:rFonts w:ascii="Calibri" w:hAnsi="Calibri" w:cs="Calibri"/>
          <w:sz w:val="24"/>
          <w:szCs w:val="24"/>
        </w:rPr>
      </w:pPr>
      <w:r w:rsidRPr="00A529B7">
        <w:rPr>
          <w:rFonts w:ascii="Calibri" w:hAnsi="Calibri" w:cs="Calibri"/>
          <w:sz w:val="24"/>
          <w:szCs w:val="24"/>
        </w:rPr>
        <w:t>4.</w:t>
      </w:r>
      <w:r w:rsidR="003C3F9B" w:rsidRPr="00A529B7">
        <w:rPr>
          <w:rFonts w:ascii="Calibri" w:hAnsi="Calibri" w:cs="Calibri"/>
          <w:sz w:val="24"/>
          <w:szCs w:val="24"/>
        </w:rPr>
        <w:t>38</w:t>
      </w:r>
      <w:r w:rsidR="0087443E">
        <w:rPr>
          <w:rFonts w:ascii="Calibri" w:hAnsi="Calibri" w:cs="Calibri"/>
          <w:sz w:val="24"/>
          <w:szCs w:val="24"/>
        </w:rPr>
        <w:t xml:space="preserve"> </w:t>
      </w:r>
      <w:r w:rsidR="003F1FA2" w:rsidRPr="00A529B7">
        <w:rPr>
          <w:rFonts w:ascii="Calibri" w:hAnsi="Calibri" w:cs="Calibri"/>
          <w:sz w:val="24"/>
          <w:szCs w:val="24"/>
        </w:rPr>
        <w:t>NKÚ p</w:t>
      </w:r>
      <w:r w:rsidR="00130E35" w:rsidRPr="00A529B7">
        <w:rPr>
          <w:rFonts w:ascii="Calibri" w:hAnsi="Calibri" w:cs="Calibri"/>
          <w:sz w:val="24"/>
          <w:szCs w:val="24"/>
        </w:rPr>
        <w:t>rovedl posouzení efektivnosti dvanácti</w:t>
      </w:r>
      <w:r w:rsidR="003F1FA2" w:rsidRPr="00A529B7">
        <w:rPr>
          <w:rFonts w:ascii="Calibri" w:hAnsi="Calibri" w:cs="Calibri"/>
          <w:sz w:val="24"/>
          <w:szCs w:val="24"/>
        </w:rPr>
        <w:t xml:space="preserve"> </w:t>
      </w:r>
      <w:r w:rsidR="0033117B" w:rsidRPr="00A529B7">
        <w:rPr>
          <w:rFonts w:ascii="Calibri" w:hAnsi="Calibri" w:cs="Calibri"/>
          <w:sz w:val="24"/>
          <w:szCs w:val="24"/>
        </w:rPr>
        <w:t xml:space="preserve">vybraných </w:t>
      </w:r>
      <w:r w:rsidR="003F1FA2" w:rsidRPr="00A529B7">
        <w:rPr>
          <w:rFonts w:ascii="Calibri" w:hAnsi="Calibri" w:cs="Calibri"/>
          <w:sz w:val="24"/>
          <w:szCs w:val="24"/>
        </w:rPr>
        <w:t>projektů. Stejně jako v případě účelnosti byla k vyhodnocení využita čtyřstupňová škála (projekt je efektivní</w:t>
      </w:r>
      <w:r w:rsidR="00E01172">
        <w:rPr>
          <w:rFonts w:ascii="Calibri" w:hAnsi="Calibri" w:cs="Calibri"/>
          <w:sz w:val="24"/>
          <w:szCs w:val="24"/>
        </w:rPr>
        <w:t xml:space="preserve"> </w:t>
      </w:r>
      <w:r w:rsidR="003F1FA2" w:rsidRPr="00A529B7">
        <w:rPr>
          <w:rFonts w:ascii="Calibri" w:hAnsi="Calibri" w:cs="Calibri"/>
          <w:sz w:val="24"/>
          <w:szCs w:val="24"/>
        </w:rPr>
        <w:t>/</w:t>
      </w:r>
      <w:r w:rsidR="00E01172">
        <w:rPr>
          <w:rFonts w:ascii="Calibri" w:hAnsi="Calibri" w:cs="Calibri"/>
          <w:sz w:val="24"/>
          <w:szCs w:val="24"/>
        </w:rPr>
        <w:t xml:space="preserve"> </w:t>
      </w:r>
      <w:r w:rsidR="003F1FA2" w:rsidRPr="00A529B7">
        <w:rPr>
          <w:rFonts w:ascii="Calibri" w:hAnsi="Calibri" w:cs="Calibri"/>
          <w:sz w:val="24"/>
          <w:szCs w:val="24"/>
        </w:rPr>
        <w:t>je efektivní s mírnými nedostatky</w:t>
      </w:r>
      <w:r w:rsidR="00E01172">
        <w:rPr>
          <w:rFonts w:ascii="Calibri" w:hAnsi="Calibri" w:cs="Calibri"/>
          <w:sz w:val="24"/>
          <w:szCs w:val="24"/>
        </w:rPr>
        <w:t xml:space="preserve"> </w:t>
      </w:r>
      <w:r w:rsidR="003F1FA2" w:rsidRPr="00A529B7">
        <w:rPr>
          <w:rFonts w:ascii="Calibri" w:hAnsi="Calibri" w:cs="Calibri"/>
          <w:sz w:val="24"/>
          <w:szCs w:val="24"/>
        </w:rPr>
        <w:t>/</w:t>
      </w:r>
      <w:r w:rsidR="00E01172">
        <w:rPr>
          <w:rFonts w:ascii="Calibri" w:hAnsi="Calibri" w:cs="Calibri"/>
          <w:sz w:val="24"/>
          <w:szCs w:val="24"/>
        </w:rPr>
        <w:t xml:space="preserve"> </w:t>
      </w:r>
      <w:r w:rsidR="003F1FA2" w:rsidRPr="00A529B7">
        <w:rPr>
          <w:rFonts w:ascii="Calibri" w:hAnsi="Calibri" w:cs="Calibri"/>
          <w:sz w:val="24"/>
          <w:szCs w:val="24"/>
        </w:rPr>
        <w:t>je efektivní pouze omezeně</w:t>
      </w:r>
      <w:r w:rsidR="00E5439E">
        <w:rPr>
          <w:rFonts w:ascii="Calibri" w:hAnsi="Calibri" w:cs="Calibri"/>
          <w:sz w:val="24"/>
          <w:szCs w:val="24"/>
        </w:rPr>
        <w:t xml:space="preserve"> </w:t>
      </w:r>
      <w:r w:rsidR="003F1FA2" w:rsidRPr="00A529B7">
        <w:rPr>
          <w:rFonts w:ascii="Calibri" w:hAnsi="Calibri" w:cs="Calibri"/>
          <w:sz w:val="24"/>
          <w:szCs w:val="24"/>
        </w:rPr>
        <w:t>/</w:t>
      </w:r>
      <w:r w:rsidR="00E01172">
        <w:rPr>
          <w:rFonts w:ascii="Calibri" w:hAnsi="Calibri" w:cs="Calibri"/>
          <w:sz w:val="24"/>
          <w:szCs w:val="24"/>
        </w:rPr>
        <w:t xml:space="preserve"> </w:t>
      </w:r>
      <w:r w:rsidR="003F1FA2" w:rsidRPr="00A529B7">
        <w:rPr>
          <w:rFonts w:ascii="Calibri" w:hAnsi="Calibri" w:cs="Calibri"/>
          <w:sz w:val="24"/>
          <w:szCs w:val="24"/>
        </w:rPr>
        <w:t xml:space="preserve">není efektivní). </w:t>
      </w:r>
      <w:r w:rsidR="00744480" w:rsidRPr="00A529B7">
        <w:rPr>
          <w:rFonts w:ascii="Calibri" w:hAnsi="Calibri" w:cs="Calibri"/>
          <w:sz w:val="24"/>
          <w:szCs w:val="24"/>
        </w:rPr>
        <w:t>Kritéria pro poso</w:t>
      </w:r>
      <w:r w:rsidR="00130E35" w:rsidRPr="00A529B7">
        <w:rPr>
          <w:rFonts w:ascii="Calibri" w:hAnsi="Calibri" w:cs="Calibri"/>
          <w:sz w:val="24"/>
          <w:szCs w:val="24"/>
        </w:rPr>
        <w:t>uzení efektivnosti, která NKÚ po</w:t>
      </w:r>
      <w:r w:rsidR="00744480" w:rsidRPr="00A529B7">
        <w:rPr>
          <w:rFonts w:ascii="Calibri" w:hAnsi="Calibri" w:cs="Calibri"/>
          <w:sz w:val="24"/>
          <w:szCs w:val="24"/>
        </w:rPr>
        <w:t>užil, jsou</w:t>
      </w:r>
      <w:r w:rsidR="0033117B" w:rsidRPr="00A529B7">
        <w:rPr>
          <w:rFonts w:ascii="Calibri" w:hAnsi="Calibri" w:cs="Calibri"/>
          <w:sz w:val="24"/>
          <w:szCs w:val="24"/>
        </w:rPr>
        <w:t xml:space="preserve"> uveden</w:t>
      </w:r>
      <w:r w:rsidR="00744480" w:rsidRPr="00A529B7">
        <w:rPr>
          <w:rFonts w:ascii="Calibri" w:hAnsi="Calibri" w:cs="Calibri"/>
          <w:sz w:val="24"/>
          <w:szCs w:val="24"/>
        </w:rPr>
        <w:t>a</w:t>
      </w:r>
      <w:r w:rsidR="0033117B" w:rsidRPr="00A529B7">
        <w:rPr>
          <w:rFonts w:ascii="Calibri" w:hAnsi="Calibri" w:cs="Calibri"/>
          <w:sz w:val="24"/>
          <w:szCs w:val="24"/>
        </w:rPr>
        <w:t xml:space="preserve"> v </w:t>
      </w:r>
      <w:r w:rsidR="00037F76">
        <w:rPr>
          <w:rFonts w:ascii="Calibri" w:hAnsi="Calibri" w:cs="Calibri"/>
          <w:sz w:val="24"/>
          <w:szCs w:val="24"/>
        </w:rPr>
        <w:t>p</w:t>
      </w:r>
      <w:r w:rsidR="0033117B" w:rsidRPr="00A529B7">
        <w:rPr>
          <w:rFonts w:ascii="Calibri" w:hAnsi="Calibri" w:cs="Calibri"/>
          <w:sz w:val="24"/>
          <w:szCs w:val="24"/>
        </w:rPr>
        <w:t xml:space="preserve">říloze č. </w:t>
      </w:r>
      <w:r w:rsidR="006E2539" w:rsidRPr="00A529B7">
        <w:rPr>
          <w:rFonts w:ascii="Calibri" w:hAnsi="Calibri" w:cs="Calibri"/>
          <w:sz w:val="24"/>
          <w:szCs w:val="24"/>
        </w:rPr>
        <w:t>3</w:t>
      </w:r>
      <w:r w:rsidR="0033117B" w:rsidRPr="00A529B7">
        <w:rPr>
          <w:rFonts w:ascii="Calibri" w:hAnsi="Calibri" w:cs="Calibri"/>
          <w:sz w:val="24"/>
          <w:szCs w:val="24"/>
        </w:rPr>
        <w:t>.</w:t>
      </w:r>
    </w:p>
    <w:p w14:paraId="24541FBB" w14:textId="77777777" w:rsidR="009B61E6" w:rsidRPr="00A529B7" w:rsidRDefault="009B61E6" w:rsidP="00A529B7">
      <w:pPr>
        <w:spacing w:after="0" w:line="240" w:lineRule="auto"/>
        <w:jc w:val="both"/>
        <w:rPr>
          <w:rFonts w:ascii="Calibri" w:hAnsi="Calibri" w:cs="Calibri"/>
          <w:sz w:val="24"/>
          <w:szCs w:val="24"/>
        </w:rPr>
      </w:pPr>
    </w:p>
    <w:p w14:paraId="4A51FCC9" w14:textId="0BBBEA88" w:rsidR="003F1FA2" w:rsidRPr="00C71487" w:rsidRDefault="003F1FA2" w:rsidP="00E01172">
      <w:pPr>
        <w:keepNext/>
        <w:spacing w:after="0" w:line="240" w:lineRule="auto"/>
        <w:jc w:val="both"/>
        <w:rPr>
          <w:rFonts w:ascii="Calibri" w:hAnsi="Calibri" w:cs="Calibri"/>
          <w:b/>
          <w:color w:val="000000" w:themeColor="text1"/>
          <w:sz w:val="24"/>
          <w:szCs w:val="24"/>
        </w:rPr>
      </w:pPr>
      <w:r w:rsidRPr="00C71487">
        <w:rPr>
          <w:rFonts w:ascii="Calibri" w:hAnsi="Calibri" w:cs="Calibri"/>
          <w:b/>
          <w:color w:val="000000" w:themeColor="text1"/>
          <w:sz w:val="24"/>
          <w:szCs w:val="24"/>
        </w:rPr>
        <w:lastRenderedPageBreak/>
        <w:t xml:space="preserve">Graf č. </w:t>
      </w:r>
      <w:r w:rsidR="00037F76">
        <w:rPr>
          <w:rFonts w:ascii="Calibri" w:hAnsi="Calibri" w:cs="Calibri"/>
          <w:b/>
          <w:color w:val="000000" w:themeColor="text1"/>
          <w:sz w:val="24"/>
          <w:szCs w:val="24"/>
        </w:rPr>
        <w:t>2</w:t>
      </w:r>
      <w:r w:rsidRPr="00C71487">
        <w:rPr>
          <w:rFonts w:ascii="Calibri" w:hAnsi="Calibri" w:cs="Calibri"/>
          <w:b/>
          <w:color w:val="000000" w:themeColor="text1"/>
          <w:sz w:val="24"/>
          <w:szCs w:val="24"/>
        </w:rPr>
        <w:t xml:space="preserve">: Výsledek hodnocení efektivnosti </w:t>
      </w:r>
      <w:r w:rsidR="002233F2" w:rsidRPr="00C71487">
        <w:rPr>
          <w:rFonts w:ascii="Calibri" w:hAnsi="Calibri" w:cs="Calibri"/>
          <w:b/>
          <w:color w:val="000000" w:themeColor="text1"/>
          <w:sz w:val="24"/>
          <w:szCs w:val="24"/>
        </w:rPr>
        <w:t xml:space="preserve">12 </w:t>
      </w:r>
      <w:r w:rsidR="0033117B" w:rsidRPr="00C71487">
        <w:rPr>
          <w:rFonts w:ascii="Calibri" w:hAnsi="Calibri" w:cs="Calibri"/>
          <w:b/>
          <w:color w:val="000000" w:themeColor="text1"/>
          <w:sz w:val="24"/>
          <w:szCs w:val="24"/>
        </w:rPr>
        <w:t xml:space="preserve">vybraných </w:t>
      </w:r>
      <w:r w:rsidRPr="00C71487">
        <w:rPr>
          <w:rFonts w:ascii="Calibri" w:hAnsi="Calibri" w:cs="Calibri"/>
          <w:b/>
          <w:color w:val="000000" w:themeColor="text1"/>
          <w:sz w:val="24"/>
          <w:szCs w:val="24"/>
        </w:rPr>
        <w:t>projektů</w:t>
      </w:r>
    </w:p>
    <w:p w14:paraId="3E4451C5" w14:textId="77777777" w:rsidR="002F5C60" w:rsidRDefault="00CB1792" w:rsidP="00E01172">
      <w:pPr>
        <w:keepNext/>
        <w:spacing w:after="0" w:line="240" w:lineRule="auto"/>
        <w:jc w:val="both"/>
        <w:rPr>
          <w:rFonts w:cstheme="minorHAnsi"/>
          <w:sz w:val="24"/>
          <w:szCs w:val="24"/>
        </w:rPr>
      </w:pPr>
      <w:r>
        <w:rPr>
          <w:rFonts w:cstheme="minorHAnsi"/>
          <w:noProof/>
          <w:sz w:val="24"/>
          <w:szCs w:val="24"/>
          <w:lang w:eastAsia="cs-CZ"/>
        </w:rPr>
        <w:drawing>
          <wp:inline distT="0" distB="0" distL="0" distR="0" wp14:anchorId="669D9827" wp14:editId="285A551D">
            <wp:extent cx="3594226" cy="2340000"/>
            <wp:effectExtent l="0" t="0" r="6350" b="317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F5C60">
        <w:rPr>
          <w:noProof/>
          <w:lang w:eastAsia="cs-CZ"/>
        </w:rPr>
        <w:drawing>
          <wp:inline distT="0" distB="0" distL="0" distR="0" wp14:anchorId="0B7FD1A9" wp14:editId="2877149F">
            <wp:extent cx="2136618" cy="272415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01C2AA" w14:textId="53475323" w:rsidR="003F1FA2" w:rsidRDefault="003F1FA2" w:rsidP="00EA2965">
      <w:pPr>
        <w:spacing w:after="0" w:line="240" w:lineRule="auto"/>
        <w:jc w:val="both"/>
        <w:rPr>
          <w:rFonts w:cstheme="minorHAnsi"/>
          <w:sz w:val="20"/>
          <w:szCs w:val="20"/>
        </w:rPr>
      </w:pPr>
      <w:r w:rsidRPr="00C462CD">
        <w:rPr>
          <w:rFonts w:cstheme="minorHAnsi"/>
          <w:b/>
          <w:sz w:val="20"/>
          <w:szCs w:val="20"/>
        </w:rPr>
        <w:t>Zdroj:</w:t>
      </w:r>
      <w:r>
        <w:rPr>
          <w:rFonts w:cstheme="minorHAnsi"/>
          <w:sz w:val="20"/>
          <w:szCs w:val="20"/>
        </w:rPr>
        <w:t xml:space="preserve"> </w:t>
      </w:r>
      <w:r w:rsidR="00E01172">
        <w:rPr>
          <w:rFonts w:cstheme="minorHAnsi"/>
          <w:sz w:val="20"/>
          <w:szCs w:val="20"/>
        </w:rPr>
        <w:t>vypracoval</w:t>
      </w:r>
      <w:r>
        <w:rPr>
          <w:rFonts w:cstheme="minorHAnsi"/>
          <w:sz w:val="20"/>
          <w:szCs w:val="20"/>
        </w:rPr>
        <w:t xml:space="preserve"> NKÚ.</w:t>
      </w:r>
    </w:p>
    <w:p w14:paraId="0495D445" w14:textId="77777777" w:rsidR="003F1FA2" w:rsidRDefault="003F1FA2" w:rsidP="00EA2965">
      <w:pPr>
        <w:spacing w:after="0" w:line="240" w:lineRule="auto"/>
        <w:jc w:val="both"/>
        <w:rPr>
          <w:rFonts w:cstheme="minorHAnsi"/>
          <w:sz w:val="24"/>
          <w:szCs w:val="24"/>
        </w:rPr>
      </w:pPr>
    </w:p>
    <w:p w14:paraId="02FD0CBF" w14:textId="08FCA450" w:rsidR="003F1FA2" w:rsidRDefault="007D78BF" w:rsidP="0087443E">
      <w:pPr>
        <w:spacing w:after="0" w:line="240" w:lineRule="auto"/>
        <w:jc w:val="both"/>
        <w:rPr>
          <w:rFonts w:cstheme="minorHAnsi"/>
          <w:sz w:val="24"/>
          <w:szCs w:val="24"/>
        </w:rPr>
      </w:pPr>
      <w:r>
        <w:rPr>
          <w:rFonts w:cstheme="minorHAnsi"/>
          <w:sz w:val="24"/>
          <w:szCs w:val="24"/>
        </w:rPr>
        <w:t>4.</w:t>
      </w:r>
      <w:r w:rsidR="003C3F9B">
        <w:rPr>
          <w:rFonts w:cstheme="minorHAnsi"/>
          <w:sz w:val="24"/>
          <w:szCs w:val="24"/>
        </w:rPr>
        <w:t>39</w:t>
      </w:r>
      <w:r w:rsidR="0087443E">
        <w:rPr>
          <w:rFonts w:cstheme="minorHAnsi"/>
          <w:sz w:val="24"/>
          <w:szCs w:val="24"/>
        </w:rPr>
        <w:t xml:space="preserve"> </w:t>
      </w:r>
      <w:r w:rsidR="003F1FA2">
        <w:rPr>
          <w:rFonts w:cstheme="minorHAnsi"/>
          <w:sz w:val="24"/>
          <w:szCs w:val="24"/>
        </w:rPr>
        <w:t>V Programu VI bylo p</w:t>
      </w:r>
      <w:r w:rsidR="002233F2">
        <w:rPr>
          <w:rFonts w:cstheme="minorHAnsi"/>
          <w:sz w:val="24"/>
          <w:szCs w:val="24"/>
        </w:rPr>
        <w:t>osuzováno celkem devět projektů</w:t>
      </w:r>
      <w:r w:rsidR="003F1FA2">
        <w:rPr>
          <w:rFonts w:cstheme="minorHAnsi"/>
          <w:sz w:val="24"/>
          <w:szCs w:val="24"/>
        </w:rPr>
        <w:t xml:space="preserve">. </w:t>
      </w:r>
      <w:r w:rsidR="001A23EF">
        <w:rPr>
          <w:rFonts w:cstheme="minorHAnsi"/>
          <w:sz w:val="24"/>
          <w:szCs w:val="24"/>
        </w:rPr>
        <w:t>Jak vyplývá z grafu č. 2</w:t>
      </w:r>
      <w:r w:rsidR="00AF738B">
        <w:rPr>
          <w:rFonts w:cstheme="minorHAnsi"/>
          <w:sz w:val="24"/>
          <w:szCs w:val="24"/>
        </w:rPr>
        <w:t>, s</w:t>
      </w:r>
      <w:r w:rsidR="003F1FA2">
        <w:rPr>
          <w:rFonts w:cstheme="minorHAnsi"/>
          <w:sz w:val="24"/>
          <w:szCs w:val="24"/>
        </w:rPr>
        <w:t>edm z nich bylo vyhodnoceno jako efektivní, jeden jako efektivní pouze omezeně a jeden jako neefektivní. V Programu VH byly posuzovány celkem tři projekty, přičemž dva byly vyhodnoceny jako efektivní a jeden jako efektivní pouze omezeně. Výsledky posouzení jednotlivých projektů jsou uvedeny v </w:t>
      </w:r>
      <w:r w:rsidR="00037F76">
        <w:rPr>
          <w:rFonts w:cstheme="minorHAnsi"/>
          <w:sz w:val="24"/>
          <w:szCs w:val="24"/>
        </w:rPr>
        <w:t>p</w:t>
      </w:r>
      <w:r w:rsidR="003F1FA2" w:rsidRPr="00EC5BA7">
        <w:rPr>
          <w:rFonts w:cstheme="minorHAnsi"/>
          <w:sz w:val="24"/>
          <w:szCs w:val="24"/>
        </w:rPr>
        <w:t xml:space="preserve">říloze č. </w:t>
      </w:r>
      <w:r w:rsidR="006E2539" w:rsidRPr="00EC5BA7">
        <w:rPr>
          <w:rFonts w:cstheme="minorHAnsi"/>
          <w:sz w:val="24"/>
          <w:szCs w:val="24"/>
        </w:rPr>
        <w:t>2</w:t>
      </w:r>
      <w:r w:rsidR="003F1FA2" w:rsidRPr="00EC5BA7">
        <w:rPr>
          <w:rFonts w:cstheme="minorHAnsi"/>
          <w:sz w:val="24"/>
          <w:szCs w:val="24"/>
        </w:rPr>
        <w:t>.</w:t>
      </w:r>
    </w:p>
    <w:p w14:paraId="40DEBF46" w14:textId="77777777" w:rsidR="00744480" w:rsidRDefault="00744480" w:rsidP="0087443E">
      <w:pPr>
        <w:spacing w:after="0" w:line="240" w:lineRule="auto"/>
        <w:jc w:val="both"/>
        <w:rPr>
          <w:sz w:val="24"/>
          <w:szCs w:val="24"/>
        </w:rPr>
      </w:pPr>
    </w:p>
    <w:p w14:paraId="3C5CA9A3" w14:textId="77777777" w:rsidR="00744480" w:rsidRDefault="00744480" w:rsidP="0087443E">
      <w:pPr>
        <w:spacing w:after="0" w:line="240" w:lineRule="auto"/>
        <w:jc w:val="both"/>
        <w:rPr>
          <w:rFonts w:cstheme="minorHAnsi"/>
          <w:sz w:val="24"/>
          <w:szCs w:val="24"/>
        </w:rPr>
      </w:pPr>
      <w:r>
        <w:rPr>
          <w:rFonts w:cstheme="minorHAnsi"/>
          <w:b/>
          <w:i/>
          <w:color w:val="C00000"/>
          <w:sz w:val="24"/>
          <w:szCs w:val="24"/>
        </w:rPr>
        <w:t>→ Při výběru projektů účelové podpory jsou pro uchazeče nastaveny rovné podmínky a</w:t>
      </w:r>
      <w:r w:rsidR="0087443E">
        <w:rPr>
          <w:rFonts w:cstheme="minorHAnsi"/>
          <w:b/>
          <w:i/>
          <w:color w:val="C00000"/>
          <w:sz w:val="24"/>
          <w:szCs w:val="24"/>
        </w:rPr>
        <w:t> </w:t>
      </w:r>
      <w:r>
        <w:rPr>
          <w:rFonts w:cstheme="minorHAnsi"/>
          <w:b/>
          <w:i/>
          <w:color w:val="C00000"/>
          <w:sz w:val="24"/>
          <w:szCs w:val="24"/>
        </w:rPr>
        <w:t>nedochází k neoprávněné preferenci příjemců institucionální podpory MV.</w:t>
      </w:r>
    </w:p>
    <w:p w14:paraId="49E4AE74" w14:textId="77777777" w:rsidR="00095948" w:rsidRDefault="00095948" w:rsidP="0087443E">
      <w:pPr>
        <w:spacing w:after="0" w:line="240" w:lineRule="auto"/>
        <w:jc w:val="both"/>
        <w:rPr>
          <w:rFonts w:ascii="Calibri" w:eastAsia="Calibri" w:hAnsi="Calibri"/>
          <w:sz w:val="24"/>
          <w:szCs w:val="24"/>
        </w:rPr>
      </w:pPr>
    </w:p>
    <w:p w14:paraId="6505629E" w14:textId="77777777" w:rsidR="00744480" w:rsidRDefault="00744480" w:rsidP="0087443E">
      <w:pPr>
        <w:spacing w:after="0" w:line="240" w:lineRule="auto"/>
        <w:jc w:val="both"/>
        <w:rPr>
          <w:sz w:val="24"/>
          <w:szCs w:val="24"/>
        </w:rPr>
      </w:pPr>
      <w:r>
        <w:rPr>
          <w:rFonts w:ascii="Calibri" w:eastAsia="Calibri" w:hAnsi="Calibri"/>
          <w:sz w:val="24"/>
          <w:szCs w:val="24"/>
        </w:rPr>
        <w:t>4.40</w:t>
      </w:r>
      <w:r w:rsidR="0087443E">
        <w:rPr>
          <w:rFonts w:ascii="Calibri" w:eastAsia="Calibri" w:hAnsi="Calibri"/>
          <w:sz w:val="24"/>
          <w:szCs w:val="24"/>
        </w:rPr>
        <w:t xml:space="preserve"> </w:t>
      </w:r>
      <w:r w:rsidRPr="00AA55A1">
        <w:rPr>
          <w:rFonts w:ascii="Calibri" w:eastAsia="Calibri" w:hAnsi="Calibri"/>
          <w:sz w:val="24"/>
          <w:szCs w:val="24"/>
        </w:rPr>
        <w:t>NKÚ prověřil, zda při výběru projektů programů BV jsou pro všechny uchazeče nastaveny rovné podmínky a zda nedochází k preferenci výzkumných organizací, jež pobírají institucionální podporu z rozpočtu MV.</w:t>
      </w:r>
      <w:r w:rsidRPr="00AA55A1">
        <w:rPr>
          <w:rFonts w:eastAsia="ArialMT" w:cs="ArialMT"/>
          <w:sz w:val="24"/>
          <w:szCs w:val="24"/>
          <w:lang w:eastAsia="cs-CZ"/>
        </w:rPr>
        <w:t xml:space="preserve"> </w:t>
      </w:r>
      <w:r>
        <w:rPr>
          <w:rFonts w:eastAsia="ArialMT" w:cs="ArialMT"/>
          <w:sz w:val="24"/>
          <w:szCs w:val="24"/>
          <w:lang w:eastAsia="cs-CZ"/>
        </w:rPr>
        <w:t>NKÚ takové pochybení nezjistil ani v nastavení systému ani při prověření samotného výběru projektů.</w:t>
      </w:r>
    </w:p>
    <w:p w14:paraId="1AA5365F" w14:textId="77777777" w:rsidR="00130E35" w:rsidRDefault="00130E35" w:rsidP="0087443E">
      <w:pPr>
        <w:spacing w:after="0" w:line="240" w:lineRule="auto"/>
        <w:jc w:val="both"/>
        <w:rPr>
          <w:sz w:val="24"/>
          <w:szCs w:val="24"/>
        </w:rPr>
      </w:pPr>
    </w:p>
    <w:p w14:paraId="4F238E5D" w14:textId="77777777" w:rsidR="0033117B" w:rsidRDefault="0033117B" w:rsidP="0087443E">
      <w:pPr>
        <w:spacing w:after="0" w:line="240" w:lineRule="auto"/>
        <w:jc w:val="both"/>
        <w:rPr>
          <w:rFonts w:cstheme="minorHAnsi"/>
          <w:sz w:val="24"/>
          <w:szCs w:val="24"/>
        </w:rPr>
      </w:pPr>
      <w:r>
        <w:rPr>
          <w:rFonts w:cstheme="minorHAnsi"/>
          <w:b/>
          <w:i/>
          <w:color w:val="C00000"/>
          <w:sz w:val="24"/>
          <w:szCs w:val="24"/>
        </w:rPr>
        <w:t>→ Účast výzkumných organizací, kterým poskytuje MV institucionální podporu, na mezinárodních projektech BV podporovaných z horizontálních programů EU klesá.</w:t>
      </w:r>
    </w:p>
    <w:p w14:paraId="221953F0" w14:textId="77777777" w:rsidR="00095948" w:rsidRDefault="00095948" w:rsidP="0087443E">
      <w:pPr>
        <w:spacing w:after="0" w:line="240" w:lineRule="auto"/>
        <w:jc w:val="both"/>
        <w:rPr>
          <w:rFonts w:cstheme="minorHAnsi"/>
          <w:sz w:val="24"/>
          <w:szCs w:val="24"/>
        </w:rPr>
      </w:pPr>
    </w:p>
    <w:p w14:paraId="40B5E2F9" w14:textId="40955525" w:rsidR="0033117B" w:rsidRDefault="0033117B" w:rsidP="0087443E">
      <w:pPr>
        <w:spacing w:after="0" w:line="240" w:lineRule="auto"/>
        <w:jc w:val="both"/>
        <w:rPr>
          <w:rFonts w:cstheme="minorHAnsi"/>
          <w:sz w:val="24"/>
          <w:szCs w:val="24"/>
        </w:rPr>
      </w:pPr>
      <w:r>
        <w:rPr>
          <w:rFonts w:cstheme="minorHAnsi"/>
          <w:sz w:val="24"/>
          <w:szCs w:val="24"/>
        </w:rPr>
        <w:t>4.4</w:t>
      </w:r>
      <w:r w:rsidR="00CC1422">
        <w:rPr>
          <w:rFonts w:cstheme="minorHAnsi"/>
          <w:sz w:val="24"/>
          <w:szCs w:val="24"/>
        </w:rPr>
        <w:t>1</w:t>
      </w:r>
      <w:r w:rsidR="00095948">
        <w:rPr>
          <w:rFonts w:cstheme="minorHAnsi"/>
          <w:sz w:val="24"/>
          <w:szCs w:val="24"/>
        </w:rPr>
        <w:t xml:space="preserve"> </w:t>
      </w:r>
      <w:r>
        <w:rPr>
          <w:rFonts w:cstheme="minorHAnsi"/>
          <w:sz w:val="24"/>
          <w:szCs w:val="24"/>
        </w:rPr>
        <w:t>NKÚ dále posuzoval, v jaké míře se výzkumné organizace,</w:t>
      </w:r>
      <w:r>
        <w:rPr>
          <w:rFonts w:cstheme="minorHAnsi"/>
          <w:b/>
          <w:i/>
          <w:color w:val="C00000"/>
          <w:sz w:val="24"/>
          <w:szCs w:val="24"/>
        </w:rPr>
        <w:t xml:space="preserve"> </w:t>
      </w:r>
      <w:r w:rsidRPr="009E7E37">
        <w:rPr>
          <w:rFonts w:cstheme="minorHAnsi"/>
          <w:bCs/>
          <w:iCs/>
          <w:color w:val="000000" w:themeColor="text1"/>
          <w:sz w:val="24"/>
          <w:szCs w:val="24"/>
        </w:rPr>
        <w:t>kterým poskytuje MV institucionální podporu</w:t>
      </w:r>
      <w:r w:rsidR="0063537C">
        <w:rPr>
          <w:rStyle w:val="Znakapoznpodarou"/>
          <w:rFonts w:cstheme="minorHAnsi"/>
          <w:sz w:val="24"/>
          <w:szCs w:val="24"/>
        </w:rPr>
        <w:footnoteReference w:id="35"/>
      </w:r>
      <w:r>
        <w:rPr>
          <w:rFonts w:cstheme="minorHAnsi"/>
          <w:bCs/>
          <w:iCs/>
          <w:color w:val="000000" w:themeColor="text1"/>
          <w:sz w:val="24"/>
          <w:szCs w:val="24"/>
        </w:rPr>
        <w:t>,</w:t>
      </w:r>
      <w:r>
        <w:rPr>
          <w:rFonts w:cstheme="minorHAnsi"/>
          <w:color w:val="000000" w:themeColor="text1"/>
          <w:sz w:val="24"/>
          <w:szCs w:val="24"/>
        </w:rPr>
        <w:t xml:space="preserve"> </w:t>
      </w:r>
      <w:r>
        <w:rPr>
          <w:rFonts w:cstheme="minorHAnsi"/>
          <w:sz w:val="24"/>
          <w:szCs w:val="24"/>
        </w:rPr>
        <w:t xml:space="preserve">účastnily programů hrazených z horizontálních programů EU určených také k podpoře bezpečnostního výzkumu. Takovými programy byly </w:t>
      </w:r>
      <w:r w:rsidRPr="00191FDF">
        <w:rPr>
          <w:rFonts w:ascii="Calibri" w:eastAsia="Times New Roman" w:hAnsi="Calibri" w:cs="Calibri"/>
          <w:i/>
          <w:sz w:val="24"/>
          <w:szCs w:val="24"/>
          <w:shd w:val="clear" w:color="auto" w:fill="FFFFFF"/>
        </w:rPr>
        <w:t>7. rámcový program pro výzkum a technologický rozvoj</w:t>
      </w:r>
      <w:r w:rsidDel="008372E5">
        <w:rPr>
          <w:rFonts w:cstheme="minorHAnsi"/>
          <w:sz w:val="24"/>
          <w:szCs w:val="24"/>
        </w:rPr>
        <w:t xml:space="preserve"> </w:t>
      </w:r>
      <w:r w:rsidR="00C462CD">
        <w:rPr>
          <w:rFonts w:cstheme="minorHAnsi"/>
          <w:sz w:val="24"/>
          <w:szCs w:val="24"/>
        </w:rPr>
        <w:t>pro období 2007–</w:t>
      </w:r>
      <w:r>
        <w:rPr>
          <w:rFonts w:cstheme="minorHAnsi"/>
          <w:sz w:val="24"/>
          <w:szCs w:val="24"/>
        </w:rPr>
        <w:t xml:space="preserve">2013 a </w:t>
      </w:r>
      <w:r>
        <w:rPr>
          <w:rFonts w:ascii="Calibri" w:eastAsia="Times New Roman" w:hAnsi="Calibri" w:cs="Calibri"/>
          <w:sz w:val="24"/>
          <w:szCs w:val="24"/>
          <w:shd w:val="clear" w:color="auto" w:fill="FFFFFF"/>
        </w:rPr>
        <w:t xml:space="preserve">program </w:t>
      </w:r>
      <w:r w:rsidRPr="00191FDF">
        <w:rPr>
          <w:rFonts w:ascii="Calibri" w:eastAsia="Times New Roman" w:hAnsi="Calibri" w:cs="Calibri"/>
          <w:i/>
          <w:sz w:val="24"/>
          <w:szCs w:val="24"/>
          <w:shd w:val="clear" w:color="auto" w:fill="FFFFFF"/>
        </w:rPr>
        <w:t xml:space="preserve">Horizont </w:t>
      </w:r>
      <w:r w:rsidR="00037F76">
        <w:rPr>
          <w:rFonts w:ascii="Calibri" w:eastAsia="Times New Roman" w:hAnsi="Calibri" w:cs="Calibri"/>
          <w:i/>
          <w:sz w:val="24"/>
          <w:szCs w:val="24"/>
          <w:shd w:val="clear" w:color="auto" w:fill="FFFFFF"/>
        </w:rPr>
        <w:br/>
      </w:r>
      <w:r w:rsidRPr="00191FDF">
        <w:rPr>
          <w:rFonts w:ascii="Calibri" w:eastAsia="Times New Roman" w:hAnsi="Calibri" w:cs="Calibri"/>
          <w:i/>
          <w:sz w:val="24"/>
          <w:szCs w:val="24"/>
          <w:shd w:val="clear" w:color="auto" w:fill="FFFFFF"/>
        </w:rPr>
        <w:t>2020 – rámcový program pro výzkum a inovace</w:t>
      </w:r>
      <w:r w:rsidR="00C462CD">
        <w:rPr>
          <w:rFonts w:ascii="Calibri" w:eastAsia="Times New Roman" w:hAnsi="Calibri" w:cs="Calibri"/>
          <w:sz w:val="24"/>
          <w:szCs w:val="24"/>
          <w:shd w:val="clear" w:color="auto" w:fill="FFFFFF"/>
        </w:rPr>
        <w:t xml:space="preserve"> probíhající v období 2014–</w:t>
      </w:r>
      <w:r>
        <w:rPr>
          <w:rFonts w:ascii="Calibri" w:eastAsia="Times New Roman" w:hAnsi="Calibri" w:cs="Calibri"/>
          <w:sz w:val="24"/>
          <w:szCs w:val="24"/>
          <w:shd w:val="clear" w:color="auto" w:fill="FFFFFF"/>
        </w:rPr>
        <w:t>2020.</w:t>
      </w:r>
    </w:p>
    <w:p w14:paraId="1CD13A8F" w14:textId="77777777" w:rsidR="00095948" w:rsidRDefault="00095948" w:rsidP="0087443E">
      <w:pPr>
        <w:spacing w:after="0" w:line="240" w:lineRule="auto"/>
        <w:jc w:val="both"/>
        <w:rPr>
          <w:rFonts w:cstheme="minorHAnsi"/>
          <w:sz w:val="24"/>
          <w:szCs w:val="24"/>
        </w:rPr>
      </w:pPr>
    </w:p>
    <w:p w14:paraId="21C03A19" w14:textId="3333DE75" w:rsidR="00646B87" w:rsidRPr="00646B87" w:rsidRDefault="00AF738B" w:rsidP="0087443E">
      <w:pPr>
        <w:spacing w:after="0" w:line="240" w:lineRule="auto"/>
        <w:jc w:val="both"/>
        <w:rPr>
          <w:rFonts w:eastAsia="ArialMT" w:cs="ArialMT"/>
          <w:sz w:val="24"/>
          <w:szCs w:val="24"/>
          <w:lang w:eastAsia="cs-CZ"/>
        </w:rPr>
      </w:pPr>
      <w:r>
        <w:rPr>
          <w:rFonts w:cstheme="minorHAnsi"/>
          <w:sz w:val="24"/>
          <w:szCs w:val="24"/>
        </w:rPr>
        <w:t>4.4</w:t>
      </w:r>
      <w:r w:rsidR="00CC1422">
        <w:rPr>
          <w:rFonts w:cstheme="minorHAnsi"/>
          <w:sz w:val="24"/>
          <w:szCs w:val="24"/>
        </w:rPr>
        <w:t>2</w:t>
      </w:r>
      <w:r w:rsidR="00095948">
        <w:rPr>
          <w:rFonts w:cstheme="minorHAnsi"/>
          <w:sz w:val="24"/>
          <w:szCs w:val="24"/>
        </w:rPr>
        <w:t xml:space="preserve"> </w:t>
      </w:r>
      <w:r w:rsidR="0033117B">
        <w:rPr>
          <w:rFonts w:cstheme="minorHAnsi"/>
          <w:sz w:val="24"/>
          <w:szCs w:val="24"/>
        </w:rPr>
        <w:t xml:space="preserve">Jak NKÚ zjistil, v období 2007 až 2013 se výzkumné organizace </w:t>
      </w:r>
      <w:r w:rsidR="0054632E">
        <w:rPr>
          <w:rFonts w:cstheme="minorHAnsi"/>
          <w:sz w:val="24"/>
          <w:szCs w:val="24"/>
        </w:rPr>
        <w:t xml:space="preserve">sídlící v ČR </w:t>
      </w:r>
      <w:r w:rsidR="0033117B">
        <w:rPr>
          <w:rFonts w:cstheme="minorHAnsi"/>
          <w:sz w:val="24"/>
          <w:szCs w:val="24"/>
        </w:rPr>
        <w:t xml:space="preserve">účastnily celkem 32 mezinárodních projektů BV o celkovém finančním objemu 188 mil. </w:t>
      </w:r>
      <w:r w:rsidR="00037F76">
        <w:rPr>
          <w:rFonts w:cstheme="minorHAnsi"/>
          <w:sz w:val="24"/>
          <w:szCs w:val="24"/>
        </w:rPr>
        <w:t>€</w:t>
      </w:r>
      <w:r w:rsidR="0033117B">
        <w:rPr>
          <w:rFonts w:cstheme="minorHAnsi"/>
          <w:sz w:val="24"/>
          <w:szCs w:val="24"/>
        </w:rPr>
        <w:t xml:space="preserve">. V probíhajícím období </w:t>
      </w:r>
      <w:r w:rsidR="00130E35">
        <w:rPr>
          <w:rFonts w:ascii="Calibri" w:eastAsia="Times New Roman" w:hAnsi="Calibri" w:cs="Calibri"/>
          <w:sz w:val="24"/>
          <w:szCs w:val="24"/>
          <w:shd w:val="clear" w:color="auto" w:fill="FFFFFF"/>
        </w:rPr>
        <w:t>se k </w:t>
      </w:r>
      <w:r w:rsidR="0033117B">
        <w:rPr>
          <w:rFonts w:ascii="Calibri" w:eastAsia="Times New Roman" w:hAnsi="Calibri" w:cs="Calibri"/>
          <w:sz w:val="24"/>
          <w:szCs w:val="24"/>
          <w:shd w:val="clear" w:color="auto" w:fill="FFFFFF"/>
        </w:rPr>
        <w:t xml:space="preserve">září 2019 podílely pouze na 18 projektech </w:t>
      </w:r>
      <w:r w:rsidR="0033117B">
        <w:rPr>
          <w:rFonts w:cstheme="minorHAnsi"/>
          <w:sz w:val="24"/>
          <w:szCs w:val="24"/>
        </w:rPr>
        <w:t xml:space="preserve">o celkovém finančním objemu </w:t>
      </w:r>
      <w:r w:rsidR="00990680">
        <w:rPr>
          <w:rFonts w:cstheme="minorHAnsi"/>
          <w:sz w:val="24"/>
          <w:szCs w:val="24"/>
        </w:rPr>
        <w:br/>
      </w:r>
      <w:r w:rsidR="0033117B">
        <w:rPr>
          <w:rFonts w:cstheme="minorHAnsi"/>
          <w:sz w:val="24"/>
          <w:szCs w:val="24"/>
        </w:rPr>
        <w:lastRenderedPageBreak/>
        <w:t>117</w:t>
      </w:r>
      <w:r w:rsidR="001851EC">
        <w:rPr>
          <w:rFonts w:cstheme="minorHAnsi"/>
          <w:sz w:val="24"/>
          <w:szCs w:val="24"/>
        </w:rPr>
        <w:t> </w:t>
      </w:r>
      <w:r w:rsidR="0033117B">
        <w:rPr>
          <w:rFonts w:cstheme="minorHAnsi"/>
          <w:sz w:val="24"/>
          <w:szCs w:val="24"/>
        </w:rPr>
        <w:t>mil.</w:t>
      </w:r>
      <w:r w:rsidR="001851EC">
        <w:rPr>
          <w:rFonts w:cstheme="minorHAnsi"/>
          <w:sz w:val="24"/>
          <w:szCs w:val="24"/>
        </w:rPr>
        <w:t> </w:t>
      </w:r>
      <w:r w:rsidR="00037F76">
        <w:rPr>
          <w:rFonts w:cstheme="minorHAnsi"/>
          <w:sz w:val="24"/>
          <w:szCs w:val="24"/>
        </w:rPr>
        <w:t>€</w:t>
      </w:r>
      <w:r w:rsidR="0033117B">
        <w:rPr>
          <w:rFonts w:cstheme="minorHAnsi"/>
          <w:sz w:val="24"/>
          <w:szCs w:val="24"/>
        </w:rPr>
        <w:t xml:space="preserve"> (tj. cca 62 %). </w:t>
      </w:r>
      <w:r w:rsidR="0033117B" w:rsidRPr="00206B49">
        <w:rPr>
          <w:rFonts w:eastAsia="ArialMT" w:cs="ArialMT"/>
          <w:sz w:val="24"/>
          <w:szCs w:val="24"/>
          <w:lang w:eastAsia="cs-CZ"/>
        </w:rPr>
        <w:t xml:space="preserve">Vzhledem k ukončení </w:t>
      </w:r>
      <w:r w:rsidR="0033117B">
        <w:rPr>
          <w:rFonts w:eastAsia="ArialMT" w:cs="ArialMT"/>
          <w:sz w:val="24"/>
          <w:szCs w:val="24"/>
          <w:lang w:eastAsia="cs-CZ"/>
        </w:rPr>
        <w:t xml:space="preserve">programu </w:t>
      </w:r>
      <w:r w:rsidR="0033117B" w:rsidRPr="00191FDF">
        <w:rPr>
          <w:rFonts w:ascii="Calibri" w:eastAsia="Times New Roman" w:hAnsi="Calibri" w:cs="Calibri"/>
          <w:i/>
          <w:sz w:val="24"/>
          <w:szCs w:val="24"/>
          <w:shd w:val="clear" w:color="auto" w:fill="FFFFFF"/>
        </w:rPr>
        <w:t>Horizont 2020 – rámcový program pro výzkum a inovace</w:t>
      </w:r>
      <w:r w:rsidR="0033117B">
        <w:rPr>
          <w:rFonts w:ascii="Calibri" w:eastAsia="Times New Roman" w:hAnsi="Calibri" w:cs="Calibri"/>
          <w:sz w:val="24"/>
          <w:szCs w:val="24"/>
          <w:shd w:val="clear" w:color="auto" w:fill="FFFFFF"/>
        </w:rPr>
        <w:t xml:space="preserve"> </w:t>
      </w:r>
      <w:r w:rsidR="0033117B">
        <w:rPr>
          <w:rFonts w:eastAsia="ArialMT" w:cs="ArialMT"/>
          <w:sz w:val="24"/>
          <w:szCs w:val="24"/>
          <w:lang w:eastAsia="cs-CZ"/>
        </w:rPr>
        <w:t>v</w:t>
      </w:r>
      <w:r w:rsidR="0033117B" w:rsidRPr="00206B49">
        <w:rPr>
          <w:rFonts w:eastAsia="ArialMT" w:cs="ArialMT"/>
          <w:sz w:val="24"/>
          <w:szCs w:val="24"/>
          <w:lang w:eastAsia="cs-CZ"/>
        </w:rPr>
        <w:t xml:space="preserve"> roce </w:t>
      </w:r>
      <w:r w:rsidR="0033117B">
        <w:rPr>
          <w:rFonts w:eastAsia="ArialMT" w:cs="ArialMT"/>
          <w:sz w:val="24"/>
          <w:szCs w:val="24"/>
          <w:lang w:eastAsia="cs-CZ"/>
        </w:rPr>
        <w:t xml:space="preserve">2020 </w:t>
      </w:r>
      <w:r w:rsidR="0033117B" w:rsidRPr="00206B49">
        <w:rPr>
          <w:rFonts w:eastAsia="ArialMT" w:cs="ArialMT"/>
          <w:sz w:val="24"/>
          <w:szCs w:val="24"/>
          <w:lang w:eastAsia="cs-CZ"/>
        </w:rPr>
        <w:t>je nepravděpodobné, že dojde</w:t>
      </w:r>
      <w:r w:rsidR="0033117B">
        <w:rPr>
          <w:rFonts w:eastAsia="ArialMT" w:cs="ArialMT"/>
          <w:sz w:val="24"/>
          <w:szCs w:val="24"/>
          <w:lang w:eastAsia="cs-CZ"/>
        </w:rPr>
        <w:t xml:space="preserve"> oproti minulému období ke zvýšení účasti.</w:t>
      </w:r>
      <w:r w:rsidR="00646B87" w:rsidRPr="00646B87">
        <w:rPr>
          <w:rFonts w:eastAsia="ArialMT" w:cs="ArialMT"/>
          <w:sz w:val="24"/>
          <w:szCs w:val="24"/>
          <w:lang w:eastAsia="cs-CZ"/>
        </w:rPr>
        <w:t xml:space="preserve"> NKÚ dále zjistil, že projektů zaměřených na bezpečnostní tématiku v programu </w:t>
      </w:r>
      <w:r w:rsidR="00646B87" w:rsidRPr="003B2242">
        <w:rPr>
          <w:rFonts w:eastAsia="ArialMT" w:cs="ArialMT"/>
          <w:i/>
          <w:sz w:val="24"/>
          <w:szCs w:val="24"/>
          <w:lang w:eastAsia="cs-CZ"/>
        </w:rPr>
        <w:t>Horizont 2020</w:t>
      </w:r>
      <w:r w:rsidR="00E01172" w:rsidRPr="00191FDF">
        <w:rPr>
          <w:rFonts w:ascii="Calibri" w:eastAsia="Times New Roman" w:hAnsi="Calibri" w:cs="Calibri"/>
          <w:i/>
          <w:sz w:val="24"/>
          <w:szCs w:val="24"/>
          <w:shd w:val="clear" w:color="auto" w:fill="FFFFFF"/>
        </w:rPr>
        <w:t xml:space="preserve"> – rámcový program pro výzkum a inovace</w:t>
      </w:r>
      <w:r w:rsidR="00646B87" w:rsidRPr="00646B87">
        <w:rPr>
          <w:rFonts w:eastAsia="ArialMT" w:cs="ArialMT"/>
          <w:sz w:val="24"/>
          <w:szCs w:val="24"/>
          <w:lang w:eastAsia="cs-CZ"/>
        </w:rPr>
        <w:t xml:space="preserve"> se žádná z institucí pobírající institucionální podporu MV neúčastnila.</w:t>
      </w:r>
      <w:r w:rsidR="00BC538C" w:rsidRPr="00BC538C">
        <w:rPr>
          <w:rFonts w:eastAsia="ArialMT" w:cstheme="minorHAnsi"/>
          <w:lang w:eastAsia="cs-CZ"/>
        </w:rPr>
        <w:t xml:space="preserve"> </w:t>
      </w:r>
      <w:r w:rsidR="00BC538C" w:rsidRPr="00166D55">
        <w:rPr>
          <w:rFonts w:eastAsia="ArialMT" w:cstheme="minorHAnsi"/>
          <w:sz w:val="24"/>
          <w:szCs w:val="24"/>
          <w:lang w:eastAsia="cs-CZ"/>
        </w:rPr>
        <w:t xml:space="preserve">V předchozím období 2007 až 2013 se </w:t>
      </w:r>
      <w:r w:rsidR="00BC538C" w:rsidRPr="00166D55">
        <w:rPr>
          <w:rFonts w:cstheme="minorHAnsi"/>
          <w:sz w:val="24"/>
          <w:szCs w:val="24"/>
        </w:rPr>
        <w:t>dvě výzkumné instituce pobírající institucionální podporu od MV účastnily celkem pěti projektů.</w:t>
      </w:r>
    </w:p>
    <w:p w14:paraId="668182C2" w14:textId="77777777" w:rsidR="00AE6018" w:rsidRDefault="00AE6018" w:rsidP="0087443E">
      <w:pPr>
        <w:spacing w:after="0" w:line="240" w:lineRule="auto"/>
        <w:jc w:val="both"/>
        <w:rPr>
          <w:rFonts w:ascii="Calibri" w:eastAsia="Calibri" w:hAnsi="Calibri"/>
        </w:rPr>
      </w:pPr>
    </w:p>
    <w:tbl>
      <w:tblPr>
        <w:tblStyle w:val="Mkatabulky"/>
        <w:tblW w:w="0" w:type="auto"/>
        <w:tblLook w:val="04A0" w:firstRow="1" w:lastRow="0" w:firstColumn="1" w:lastColumn="0" w:noHBand="0" w:noVBand="1"/>
      </w:tblPr>
      <w:tblGrid>
        <w:gridCol w:w="9062"/>
      </w:tblGrid>
      <w:tr w:rsidR="00AE6018" w:rsidRPr="003C3AF8" w14:paraId="4B7A46C6" w14:textId="77777777" w:rsidTr="007D78BF">
        <w:trPr>
          <w:trHeight w:val="389"/>
        </w:trPr>
        <w:tc>
          <w:tcPr>
            <w:tcW w:w="9062" w:type="dxa"/>
            <w:shd w:val="clear" w:color="auto" w:fill="E5F1FF"/>
            <w:vAlign w:val="center"/>
          </w:tcPr>
          <w:p w14:paraId="118236BA" w14:textId="77777777" w:rsidR="00AE6018" w:rsidRPr="003C3AF8" w:rsidRDefault="001F7522" w:rsidP="0087443E">
            <w:pPr>
              <w:rPr>
                <w:rFonts w:cstheme="minorHAnsi"/>
                <w:b/>
                <w:color w:val="1F4E79" w:themeColor="accent1" w:themeShade="80"/>
                <w:sz w:val="24"/>
                <w:szCs w:val="24"/>
              </w:rPr>
            </w:pPr>
            <w:r w:rsidRPr="003C3AF8">
              <w:rPr>
                <w:rFonts w:cstheme="minorHAnsi"/>
                <w:b/>
                <w:color w:val="1F4E79" w:themeColor="accent1" w:themeShade="80"/>
                <w:sz w:val="24"/>
                <w:szCs w:val="24"/>
              </w:rPr>
              <w:t>C</w:t>
            </w:r>
            <w:r w:rsidR="00AE6018" w:rsidRPr="003C3AF8">
              <w:rPr>
                <w:rFonts w:cstheme="minorHAnsi"/>
                <w:b/>
                <w:color w:val="1F4E79" w:themeColor="accent1" w:themeShade="80"/>
                <w:sz w:val="24"/>
                <w:szCs w:val="24"/>
              </w:rPr>
              <w:t xml:space="preserve">. Jsou peněžní prostředky poskytovány a čerpány </w:t>
            </w:r>
            <w:r w:rsidR="007D6012" w:rsidRPr="003C3AF8">
              <w:rPr>
                <w:rFonts w:cstheme="minorHAnsi"/>
                <w:b/>
                <w:color w:val="1F4E79" w:themeColor="accent1" w:themeShade="80"/>
                <w:sz w:val="24"/>
                <w:szCs w:val="24"/>
              </w:rPr>
              <w:t>v souladu s právními předp</w:t>
            </w:r>
            <w:r w:rsidR="00AE6018" w:rsidRPr="003C3AF8">
              <w:rPr>
                <w:rFonts w:cstheme="minorHAnsi"/>
                <w:b/>
                <w:color w:val="1F4E79" w:themeColor="accent1" w:themeShade="80"/>
                <w:sz w:val="24"/>
                <w:szCs w:val="24"/>
              </w:rPr>
              <w:t>i</w:t>
            </w:r>
            <w:r w:rsidR="007D6012" w:rsidRPr="003C3AF8">
              <w:rPr>
                <w:rFonts w:cstheme="minorHAnsi"/>
                <w:b/>
                <w:color w:val="1F4E79" w:themeColor="accent1" w:themeShade="80"/>
                <w:sz w:val="24"/>
                <w:szCs w:val="24"/>
              </w:rPr>
              <w:t>s</w:t>
            </w:r>
            <w:r w:rsidR="00AE6018" w:rsidRPr="003C3AF8">
              <w:rPr>
                <w:rFonts w:cstheme="minorHAnsi"/>
                <w:b/>
                <w:color w:val="1F4E79" w:themeColor="accent1" w:themeShade="80"/>
                <w:sz w:val="24"/>
                <w:szCs w:val="24"/>
              </w:rPr>
              <w:t>y?</w:t>
            </w:r>
          </w:p>
        </w:tc>
      </w:tr>
    </w:tbl>
    <w:p w14:paraId="2CFA0587" w14:textId="77777777" w:rsidR="00095948" w:rsidRDefault="00095948" w:rsidP="00095948">
      <w:pPr>
        <w:pStyle w:val="Odstavecseseznamem"/>
        <w:tabs>
          <w:tab w:val="left" w:pos="567"/>
        </w:tabs>
        <w:spacing w:after="0" w:line="240" w:lineRule="auto"/>
        <w:ind w:left="0"/>
        <w:contextualSpacing w:val="0"/>
        <w:jc w:val="both"/>
        <w:rPr>
          <w:sz w:val="24"/>
          <w:szCs w:val="24"/>
        </w:rPr>
      </w:pPr>
    </w:p>
    <w:p w14:paraId="0EB2DF97" w14:textId="7DF4F71D" w:rsidR="00095948" w:rsidRDefault="00AE6018" w:rsidP="0087443E">
      <w:pPr>
        <w:pStyle w:val="Odstavecseseznamem"/>
        <w:tabs>
          <w:tab w:val="left" w:pos="567"/>
        </w:tabs>
        <w:spacing w:after="0" w:line="240" w:lineRule="auto"/>
        <w:ind w:left="0"/>
        <w:contextualSpacing w:val="0"/>
        <w:jc w:val="both"/>
        <w:rPr>
          <w:sz w:val="24"/>
          <w:szCs w:val="24"/>
        </w:rPr>
      </w:pPr>
      <w:r>
        <w:rPr>
          <w:sz w:val="24"/>
          <w:szCs w:val="24"/>
        </w:rPr>
        <w:t>4.</w:t>
      </w:r>
      <w:r w:rsidR="007D78BF">
        <w:rPr>
          <w:sz w:val="24"/>
          <w:szCs w:val="24"/>
        </w:rPr>
        <w:t>4</w:t>
      </w:r>
      <w:r w:rsidR="0003423C">
        <w:rPr>
          <w:sz w:val="24"/>
          <w:szCs w:val="24"/>
        </w:rPr>
        <w:t>3</w:t>
      </w:r>
      <w:r w:rsidR="00037F76">
        <w:rPr>
          <w:sz w:val="24"/>
          <w:szCs w:val="24"/>
        </w:rPr>
        <w:t xml:space="preserve"> </w:t>
      </w:r>
      <w:r>
        <w:rPr>
          <w:sz w:val="24"/>
          <w:szCs w:val="24"/>
        </w:rPr>
        <w:t>MV</w:t>
      </w:r>
      <w:r w:rsidRPr="00DC6613">
        <w:rPr>
          <w:sz w:val="24"/>
          <w:szCs w:val="24"/>
        </w:rPr>
        <w:t xml:space="preserve"> i příjemci pod</w:t>
      </w:r>
      <w:r>
        <w:rPr>
          <w:sz w:val="24"/>
          <w:szCs w:val="24"/>
        </w:rPr>
        <w:t>pory jsou při realizaci programů BV</w:t>
      </w:r>
      <w:r w:rsidRPr="00DC6613">
        <w:rPr>
          <w:sz w:val="24"/>
          <w:szCs w:val="24"/>
        </w:rPr>
        <w:t xml:space="preserve"> povinni řídit se příslušnými </w:t>
      </w:r>
      <w:r>
        <w:rPr>
          <w:sz w:val="24"/>
          <w:szCs w:val="24"/>
        </w:rPr>
        <w:t xml:space="preserve">právními </w:t>
      </w:r>
      <w:r w:rsidRPr="00DC6613">
        <w:rPr>
          <w:sz w:val="24"/>
          <w:szCs w:val="24"/>
        </w:rPr>
        <w:t xml:space="preserve">předpisy </w:t>
      </w:r>
      <w:r>
        <w:rPr>
          <w:sz w:val="24"/>
          <w:szCs w:val="24"/>
        </w:rPr>
        <w:t>ČR</w:t>
      </w:r>
      <w:r w:rsidRPr="00DC6613">
        <w:rPr>
          <w:sz w:val="24"/>
          <w:szCs w:val="24"/>
        </w:rPr>
        <w:t xml:space="preserve">. Jsou rovněž povinni dodržovat vzájemné smluvní závazky. Porušení </w:t>
      </w:r>
      <w:r>
        <w:rPr>
          <w:sz w:val="24"/>
          <w:szCs w:val="24"/>
        </w:rPr>
        <w:t>právních předpisů</w:t>
      </w:r>
      <w:r w:rsidRPr="00DC6613">
        <w:rPr>
          <w:sz w:val="24"/>
          <w:szCs w:val="24"/>
        </w:rPr>
        <w:t xml:space="preserve"> </w:t>
      </w:r>
      <w:r w:rsidR="00412507">
        <w:rPr>
          <w:sz w:val="24"/>
          <w:szCs w:val="24"/>
        </w:rPr>
        <w:t xml:space="preserve">může mít také </w:t>
      </w:r>
      <w:r w:rsidRPr="00DC6613">
        <w:rPr>
          <w:sz w:val="24"/>
          <w:szCs w:val="24"/>
        </w:rPr>
        <w:t>dopad</w:t>
      </w:r>
      <w:r w:rsidR="0075732C">
        <w:rPr>
          <w:sz w:val="24"/>
          <w:szCs w:val="24"/>
        </w:rPr>
        <w:t xml:space="preserve"> </w:t>
      </w:r>
      <w:r w:rsidR="00E2535B">
        <w:rPr>
          <w:sz w:val="24"/>
          <w:szCs w:val="24"/>
        </w:rPr>
        <w:t>na</w:t>
      </w:r>
      <w:r w:rsidRPr="00DC6613">
        <w:rPr>
          <w:sz w:val="24"/>
          <w:szCs w:val="24"/>
        </w:rPr>
        <w:t xml:space="preserve"> účelnost, efektivnost a</w:t>
      </w:r>
      <w:r>
        <w:rPr>
          <w:sz w:val="24"/>
          <w:szCs w:val="24"/>
        </w:rPr>
        <w:t> </w:t>
      </w:r>
      <w:r w:rsidRPr="00DC6613">
        <w:rPr>
          <w:sz w:val="24"/>
          <w:szCs w:val="24"/>
        </w:rPr>
        <w:t>hospodárnost při nakládání s</w:t>
      </w:r>
      <w:r w:rsidR="0075732C">
        <w:rPr>
          <w:sz w:val="24"/>
          <w:szCs w:val="24"/>
        </w:rPr>
        <w:t> peněžními prostředky státu</w:t>
      </w:r>
      <w:r w:rsidRPr="00DC6613">
        <w:rPr>
          <w:sz w:val="24"/>
          <w:szCs w:val="24"/>
        </w:rPr>
        <w:t>.</w:t>
      </w:r>
      <w:r>
        <w:rPr>
          <w:sz w:val="24"/>
          <w:szCs w:val="24"/>
        </w:rPr>
        <w:t xml:space="preserve"> Proto </w:t>
      </w:r>
      <w:r w:rsidR="00412507">
        <w:rPr>
          <w:sz w:val="24"/>
          <w:szCs w:val="24"/>
        </w:rPr>
        <w:t>v takových případech</w:t>
      </w:r>
      <w:r>
        <w:rPr>
          <w:sz w:val="24"/>
          <w:szCs w:val="24"/>
        </w:rPr>
        <w:t> </w:t>
      </w:r>
      <w:r w:rsidRPr="00DC6613">
        <w:rPr>
          <w:sz w:val="24"/>
          <w:szCs w:val="24"/>
        </w:rPr>
        <w:t xml:space="preserve">NKÚ promítl porušení </w:t>
      </w:r>
      <w:r w:rsidR="00DD4FF5">
        <w:rPr>
          <w:sz w:val="24"/>
          <w:szCs w:val="24"/>
        </w:rPr>
        <w:t xml:space="preserve">právních předpisů </w:t>
      </w:r>
      <w:r w:rsidR="00412507">
        <w:rPr>
          <w:sz w:val="24"/>
          <w:szCs w:val="24"/>
        </w:rPr>
        <w:t xml:space="preserve">i </w:t>
      </w:r>
      <w:r w:rsidRPr="00DC6613">
        <w:rPr>
          <w:sz w:val="24"/>
          <w:szCs w:val="24"/>
        </w:rPr>
        <w:t>do hodnocení účelnosti a efektivnosti projektů vybraných ke kontrole (</w:t>
      </w:r>
      <w:r>
        <w:rPr>
          <w:sz w:val="24"/>
          <w:szCs w:val="24"/>
        </w:rPr>
        <w:t>viz</w:t>
      </w:r>
      <w:r w:rsidRPr="00DC6613">
        <w:rPr>
          <w:sz w:val="24"/>
          <w:szCs w:val="24"/>
        </w:rPr>
        <w:t xml:space="preserve"> předcházející sekce </w:t>
      </w:r>
      <w:r w:rsidR="00D34883">
        <w:rPr>
          <w:sz w:val="24"/>
          <w:szCs w:val="24"/>
        </w:rPr>
        <w:t xml:space="preserve">A. a B. </w:t>
      </w:r>
      <w:proofErr w:type="gramStart"/>
      <w:r w:rsidRPr="00DC6613">
        <w:rPr>
          <w:sz w:val="24"/>
          <w:szCs w:val="24"/>
        </w:rPr>
        <w:t>části</w:t>
      </w:r>
      <w:proofErr w:type="gramEnd"/>
      <w:r w:rsidRPr="00DC6613">
        <w:rPr>
          <w:sz w:val="24"/>
          <w:szCs w:val="24"/>
        </w:rPr>
        <w:t xml:space="preserve"> IV.).</w:t>
      </w:r>
    </w:p>
    <w:p w14:paraId="7F386BA2" w14:textId="77777777" w:rsidR="00AE6018" w:rsidRDefault="00AE6018" w:rsidP="0087443E">
      <w:pPr>
        <w:pStyle w:val="Odstavecseseznamem"/>
        <w:tabs>
          <w:tab w:val="left" w:pos="567"/>
        </w:tabs>
        <w:spacing w:after="0" w:line="240" w:lineRule="auto"/>
        <w:ind w:left="0"/>
        <w:contextualSpacing w:val="0"/>
        <w:jc w:val="both"/>
        <w:rPr>
          <w:sz w:val="24"/>
          <w:szCs w:val="24"/>
        </w:rPr>
      </w:pPr>
    </w:p>
    <w:p w14:paraId="32862681" w14:textId="3055CC1A" w:rsidR="00C405F2" w:rsidRDefault="00AE6018" w:rsidP="0087443E">
      <w:pPr>
        <w:pStyle w:val="Odstavecseseznamem"/>
        <w:tabs>
          <w:tab w:val="left" w:pos="567"/>
        </w:tabs>
        <w:spacing w:after="0" w:line="240" w:lineRule="auto"/>
        <w:ind w:left="0"/>
        <w:contextualSpacing w:val="0"/>
        <w:jc w:val="both"/>
        <w:rPr>
          <w:sz w:val="24"/>
          <w:szCs w:val="24"/>
        </w:rPr>
      </w:pPr>
      <w:r>
        <w:rPr>
          <w:sz w:val="24"/>
          <w:szCs w:val="24"/>
        </w:rPr>
        <w:t>4.</w:t>
      </w:r>
      <w:r w:rsidR="007D78BF">
        <w:rPr>
          <w:sz w:val="24"/>
          <w:szCs w:val="24"/>
        </w:rPr>
        <w:t>4</w:t>
      </w:r>
      <w:r w:rsidR="0003423C">
        <w:rPr>
          <w:sz w:val="24"/>
          <w:szCs w:val="24"/>
        </w:rPr>
        <w:t>4</w:t>
      </w:r>
      <w:r w:rsidR="00037F76">
        <w:rPr>
          <w:sz w:val="24"/>
          <w:szCs w:val="24"/>
        </w:rPr>
        <w:t xml:space="preserve"> </w:t>
      </w:r>
      <w:r w:rsidR="00276834">
        <w:rPr>
          <w:sz w:val="24"/>
          <w:szCs w:val="24"/>
        </w:rPr>
        <w:t>Při kontrole bylo ověřováno, zda MV při poskytování podpory BV postupoval</w:t>
      </w:r>
      <w:r w:rsidR="00772803">
        <w:rPr>
          <w:sz w:val="24"/>
          <w:szCs w:val="24"/>
        </w:rPr>
        <w:t>o</w:t>
      </w:r>
      <w:r w:rsidR="00276834">
        <w:rPr>
          <w:sz w:val="24"/>
          <w:szCs w:val="24"/>
        </w:rPr>
        <w:t xml:space="preserve"> v souladu s právními předpisy</w:t>
      </w:r>
      <w:r w:rsidR="00E2535B">
        <w:rPr>
          <w:sz w:val="24"/>
          <w:szCs w:val="24"/>
        </w:rPr>
        <w:t>,</w:t>
      </w:r>
      <w:r w:rsidR="00276834">
        <w:rPr>
          <w:sz w:val="24"/>
          <w:szCs w:val="24"/>
        </w:rPr>
        <w:t xml:space="preserve"> zda příjemci řádně účtují o veškerých příjmech a výdajích a zda příjemci dodrželi členění a výši uznaných nákladů pro jednotlivé roky dle rozpočtu. Rovněž bylo prověřeno, zda příjemci oznamovali </w:t>
      </w:r>
      <w:r w:rsidR="0033117B">
        <w:rPr>
          <w:sz w:val="24"/>
          <w:szCs w:val="24"/>
        </w:rPr>
        <w:t xml:space="preserve">MV </w:t>
      </w:r>
      <w:r w:rsidR="00276834">
        <w:rPr>
          <w:sz w:val="24"/>
          <w:szCs w:val="24"/>
        </w:rPr>
        <w:t xml:space="preserve">veškeré změny v projektu řádně a včas a zda zvolili </w:t>
      </w:r>
      <w:r w:rsidR="00E2535B">
        <w:rPr>
          <w:sz w:val="24"/>
          <w:szCs w:val="24"/>
        </w:rPr>
        <w:t>a</w:t>
      </w:r>
      <w:r w:rsidR="0087443E">
        <w:rPr>
          <w:sz w:val="24"/>
          <w:szCs w:val="24"/>
        </w:rPr>
        <w:t> </w:t>
      </w:r>
      <w:r w:rsidR="00E2535B">
        <w:rPr>
          <w:sz w:val="24"/>
          <w:szCs w:val="24"/>
        </w:rPr>
        <w:t xml:space="preserve">dodrželi </w:t>
      </w:r>
      <w:r w:rsidR="00276834">
        <w:rPr>
          <w:sz w:val="24"/>
          <w:szCs w:val="24"/>
        </w:rPr>
        <w:t>správný postup p</w:t>
      </w:r>
      <w:r w:rsidR="00E2535B">
        <w:rPr>
          <w:sz w:val="24"/>
          <w:szCs w:val="24"/>
        </w:rPr>
        <w:t xml:space="preserve">ři </w:t>
      </w:r>
      <w:r w:rsidR="00276834">
        <w:rPr>
          <w:sz w:val="24"/>
          <w:szCs w:val="24"/>
        </w:rPr>
        <w:t xml:space="preserve">zadání </w:t>
      </w:r>
      <w:r w:rsidR="00E2535B">
        <w:rPr>
          <w:sz w:val="24"/>
          <w:szCs w:val="24"/>
        </w:rPr>
        <w:t xml:space="preserve">a realizaci </w:t>
      </w:r>
      <w:r w:rsidR="00276834">
        <w:rPr>
          <w:sz w:val="24"/>
          <w:szCs w:val="24"/>
        </w:rPr>
        <w:t>veřejn</w:t>
      </w:r>
      <w:r w:rsidR="00E2535B">
        <w:rPr>
          <w:sz w:val="24"/>
          <w:szCs w:val="24"/>
        </w:rPr>
        <w:t>ých</w:t>
      </w:r>
      <w:r w:rsidR="00276834">
        <w:rPr>
          <w:sz w:val="24"/>
          <w:szCs w:val="24"/>
        </w:rPr>
        <w:t xml:space="preserve"> zakáz</w:t>
      </w:r>
      <w:r w:rsidR="00E2535B">
        <w:rPr>
          <w:sz w:val="24"/>
          <w:szCs w:val="24"/>
        </w:rPr>
        <w:t>e</w:t>
      </w:r>
      <w:r w:rsidR="00276834">
        <w:rPr>
          <w:sz w:val="24"/>
          <w:szCs w:val="24"/>
        </w:rPr>
        <w:t>k</w:t>
      </w:r>
      <w:r w:rsidR="00E2535B">
        <w:rPr>
          <w:sz w:val="24"/>
          <w:szCs w:val="24"/>
        </w:rPr>
        <w:t>.</w:t>
      </w:r>
      <w:r w:rsidR="00276834">
        <w:rPr>
          <w:sz w:val="24"/>
          <w:szCs w:val="24"/>
        </w:rPr>
        <w:t xml:space="preserve"> </w:t>
      </w:r>
    </w:p>
    <w:p w14:paraId="5F7FF80E" w14:textId="77777777" w:rsidR="0087443E" w:rsidRDefault="0087443E" w:rsidP="0087443E">
      <w:pPr>
        <w:pStyle w:val="Odstavecseseznamem"/>
        <w:tabs>
          <w:tab w:val="left" w:pos="567"/>
        </w:tabs>
        <w:spacing w:after="0" w:line="240" w:lineRule="auto"/>
        <w:ind w:left="0"/>
        <w:contextualSpacing w:val="0"/>
        <w:jc w:val="both"/>
        <w:rPr>
          <w:sz w:val="24"/>
          <w:szCs w:val="24"/>
        </w:rPr>
      </w:pPr>
    </w:p>
    <w:p w14:paraId="4B5C1F15" w14:textId="77777777" w:rsidR="001A5C22" w:rsidRPr="001A5C22" w:rsidRDefault="001A5C22" w:rsidP="0087443E">
      <w:pPr>
        <w:spacing w:after="0" w:line="240" w:lineRule="auto"/>
        <w:jc w:val="both"/>
        <w:rPr>
          <w:rFonts w:cstheme="minorHAnsi"/>
          <w:sz w:val="24"/>
          <w:szCs w:val="24"/>
        </w:rPr>
      </w:pPr>
      <w:r>
        <w:rPr>
          <w:rFonts w:cstheme="minorHAnsi"/>
          <w:b/>
          <w:i/>
          <w:color w:val="C00000"/>
          <w:sz w:val="24"/>
          <w:szCs w:val="24"/>
        </w:rPr>
        <w:t>→ MV v několika případech nedodrželo lhůty stanovené zákonem</w:t>
      </w:r>
      <w:r w:rsidR="003F1FA2">
        <w:rPr>
          <w:rFonts w:cstheme="minorHAnsi"/>
          <w:b/>
          <w:i/>
          <w:color w:val="C00000"/>
          <w:sz w:val="24"/>
          <w:szCs w:val="24"/>
        </w:rPr>
        <w:t>.</w:t>
      </w:r>
      <w:r>
        <w:rPr>
          <w:rFonts w:cstheme="minorHAnsi"/>
          <w:b/>
          <w:i/>
          <w:color w:val="C00000"/>
          <w:sz w:val="24"/>
          <w:szCs w:val="24"/>
        </w:rPr>
        <w:t xml:space="preserve"> </w:t>
      </w:r>
    </w:p>
    <w:p w14:paraId="282134FC" w14:textId="77777777" w:rsidR="0087443E" w:rsidRDefault="0087443E" w:rsidP="0087443E">
      <w:pPr>
        <w:pStyle w:val="Odstavecseseznamem"/>
        <w:tabs>
          <w:tab w:val="left" w:pos="567"/>
        </w:tabs>
        <w:spacing w:after="0" w:line="240" w:lineRule="auto"/>
        <w:ind w:left="0"/>
        <w:contextualSpacing w:val="0"/>
        <w:jc w:val="both"/>
        <w:rPr>
          <w:sz w:val="24"/>
          <w:szCs w:val="24"/>
        </w:rPr>
      </w:pPr>
    </w:p>
    <w:p w14:paraId="1CFA5E8C" w14:textId="77777777" w:rsidR="00C405F2" w:rsidRDefault="00C405F2" w:rsidP="0087443E">
      <w:pPr>
        <w:pStyle w:val="Odstavecseseznamem"/>
        <w:tabs>
          <w:tab w:val="left" w:pos="567"/>
        </w:tabs>
        <w:spacing w:after="0" w:line="240" w:lineRule="auto"/>
        <w:ind w:left="0"/>
        <w:contextualSpacing w:val="0"/>
        <w:jc w:val="both"/>
        <w:rPr>
          <w:sz w:val="24"/>
          <w:szCs w:val="24"/>
        </w:rPr>
      </w:pPr>
      <w:r>
        <w:rPr>
          <w:sz w:val="24"/>
          <w:szCs w:val="24"/>
        </w:rPr>
        <w:t>4.</w:t>
      </w:r>
      <w:r w:rsidR="007D78BF">
        <w:rPr>
          <w:sz w:val="24"/>
          <w:szCs w:val="24"/>
        </w:rPr>
        <w:t>4</w:t>
      </w:r>
      <w:r w:rsidR="0003423C">
        <w:rPr>
          <w:sz w:val="24"/>
          <w:szCs w:val="24"/>
        </w:rPr>
        <w:t>5</w:t>
      </w:r>
      <w:r w:rsidR="0087443E">
        <w:rPr>
          <w:sz w:val="24"/>
          <w:szCs w:val="24"/>
        </w:rPr>
        <w:t xml:space="preserve"> </w:t>
      </w:r>
      <w:r w:rsidRPr="001A5C22">
        <w:rPr>
          <w:sz w:val="24"/>
          <w:szCs w:val="24"/>
        </w:rPr>
        <w:t>MV při výběrů zhotovitelů projektů Programu VH postupovalo dle zákona č.</w:t>
      </w:r>
      <w:r w:rsidR="0087443E">
        <w:rPr>
          <w:sz w:val="24"/>
          <w:szCs w:val="24"/>
        </w:rPr>
        <w:t> </w:t>
      </w:r>
      <w:r w:rsidRPr="001A5C22">
        <w:rPr>
          <w:sz w:val="24"/>
          <w:szCs w:val="24"/>
        </w:rPr>
        <w:t>137/2006</w:t>
      </w:r>
      <w:r w:rsidR="0087443E">
        <w:rPr>
          <w:sz w:val="24"/>
          <w:szCs w:val="24"/>
        </w:rPr>
        <w:t> </w:t>
      </w:r>
      <w:r w:rsidRPr="001A5C22">
        <w:rPr>
          <w:sz w:val="24"/>
          <w:szCs w:val="24"/>
        </w:rPr>
        <w:t>Sb</w:t>
      </w:r>
      <w:r w:rsidR="002233F2">
        <w:rPr>
          <w:sz w:val="24"/>
          <w:szCs w:val="24"/>
        </w:rPr>
        <w:t>.,</w:t>
      </w:r>
      <w:r w:rsidR="002233F2">
        <w:rPr>
          <w:rStyle w:val="Znakapoznpodarou"/>
          <w:sz w:val="24"/>
          <w:szCs w:val="24"/>
        </w:rPr>
        <w:footnoteReference w:id="36"/>
      </w:r>
      <w:r w:rsidRPr="001A5C22">
        <w:rPr>
          <w:sz w:val="24"/>
          <w:szCs w:val="24"/>
        </w:rPr>
        <w:t xml:space="preserve"> a zákona č. 134/2016 Sb.</w:t>
      </w:r>
      <w:r w:rsidR="002233F2">
        <w:rPr>
          <w:rStyle w:val="Znakapoznpodarou"/>
          <w:sz w:val="24"/>
          <w:szCs w:val="24"/>
        </w:rPr>
        <w:footnoteReference w:id="37"/>
      </w:r>
      <w:r w:rsidRPr="001A5C22">
        <w:rPr>
          <w:sz w:val="24"/>
          <w:szCs w:val="24"/>
        </w:rPr>
        <w:t xml:space="preserve"> NKÚ však v pěti případech zjistil nedostatky v</w:t>
      </w:r>
      <w:r w:rsidR="0087443E">
        <w:rPr>
          <w:sz w:val="24"/>
          <w:szCs w:val="24"/>
        </w:rPr>
        <w:t> </w:t>
      </w:r>
      <w:r w:rsidRPr="001A5C22">
        <w:rPr>
          <w:sz w:val="24"/>
          <w:szCs w:val="24"/>
        </w:rPr>
        <w:t>dodržování lhůt stanovených zákonem č. 137/2006 Sb.</w:t>
      </w:r>
      <w:r w:rsidR="0033117B">
        <w:rPr>
          <w:sz w:val="24"/>
          <w:szCs w:val="24"/>
        </w:rPr>
        <w:t xml:space="preserve"> </w:t>
      </w:r>
      <w:r w:rsidRPr="001A5C22">
        <w:rPr>
          <w:sz w:val="24"/>
          <w:szCs w:val="24"/>
        </w:rPr>
        <w:t>(uzavření smlouvy</w:t>
      </w:r>
      <w:r w:rsidR="00DD4FF5">
        <w:rPr>
          <w:sz w:val="24"/>
          <w:szCs w:val="24"/>
        </w:rPr>
        <w:t xml:space="preserve"> do 15 dnů</w:t>
      </w:r>
      <w:r w:rsidRPr="001A5C22">
        <w:rPr>
          <w:sz w:val="24"/>
          <w:szCs w:val="24"/>
        </w:rPr>
        <w:t xml:space="preserve"> po uplynutí lhůty pro podání námitek, uveřejnění písemné zprávy zadavatele od ukončení zadávacího řízení, odeslání oznámení o výsledku zadávacího řízení), které </w:t>
      </w:r>
      <w:r w:rsidR="00F6318F">
        <w:rPr>
          <w:sz w:val="24"/>
          <w:szCs w:val="24"/>
        </w:rPr>
        <w:t xml:space="preserve">však </w:t>
      </w:r>
      <w:r w:rsidRPr="001A5C22">
        <w:rPr>
          <w:sz w:val="24"/>
          <w:szCs w:val="24"/>
        </w:rPr>
        <w:t xml:space="preserve">neměly vliv na hospodárnost </w:t>
      </w:r>
      <w:r w:rsidR="00412507">
        <w:rPr>
          <w:sz w:val="24"/>
          <w:szCs w:val="24"/>
        </w:rPr>
        <w:t>realizace projektů</w:t>
      </w:r>
      <w:r w:rsidRPr="001A5C22">
        <w:rPr>
          <w:sz w:val="24"/>
          <w:szCs w:val="24"/>
        </w:rPr>
        <w:t>.</w:t>
      </w:r>
      <w:r w:rsidR="00412507">
        <w:rPr>
          <w:sz w:val="24"/>
          <w:szCs w:val="24"/>
        </w:rPr>
        <w:t xml:space="preserve"> V rámci nápravných opatření vyplývajících z</w:t>
      </w:r>
      <w:r w:rsidR="0033117B">
        <w:rPr>
          <w:sz w:val="24"/>
          <w:szCs w:val="24"/>
        </w:rPr>
        <w:t xml:space="preserve"> prováděné </w:t>
      </w:r>
      <w:r w:rsidR="00412507">
        <w:rPr>
          <w:sz w:val="24"/>
          <w:szCs w:val="24"/>
        </w:rPr>
        <w:t xml:space="preserve">kontroly projektů pak bez zbytečného odkladu </w:t>
      </w:r>
      <w:r w:rsidR="0033117B">
        <w:rPr>
          <w:sz w:val="24"/>
          <w:szCs w:val="24"/>
        </w:rPr>
        <w:t xml:space="preserve">MV </w:t>
      </w:r>
      <w:r w:rsidR="00412507">
        <w:rPr>
          <w:sz w:val="24"/>
          <w:szCs w:val="24"/>
        </w:rPr>
        <w:t>nezaslal</w:t>
      </w:r>
      <w:r w:rsidR="0033117B">
        <w:rPr>
          <w:sz w:val="24"/>
          <w:szCs w:val="24"/>
        </w:rPr>
        <w:t>o</w:t>
      </w:r>
      <w:r w:rsidR="00412507">
        <w:rPr>
          <w:sz w:val="24"/>
          <w:szCs w:val="24"/>
        </w:rPr>
        <w:t xml:space="preserve"> </w:t>
      </w:r>
      <w:r w:rsidR="0033117B">
        <w:rPr>
          <w:sz w:val="24"/>
          <w:szCs w:val="24"/>
        </w:rPr>
        <w:t xml:space="preserve">příjemcům </w:t>
      </w:r>
      <w:r w:rsidR="00412507">
        <w:rPr>
          <w:sz w:val="24"/>
          <w:szCs w:val="24"/>
        </w:rPr>
        <w:t xml:space="preserve">ve třech případech výzvu k vrácení části dotace. Vzhledem k celkové částce (necelých 25 tis. Kč) se však nejedná o závažné pochybení s vlivem na hospodárnost </w:t>
      </w:r>
      <w:r w:rsidR="0033117B">
        <w:rPr>
          <w:sz w:val="24"/>
          <w:szCs w:val="24"/>
        </w:rPr>
        <w:t xml:space="preserve">poskytnutých </w:t>
      </w:r>
      <w:r w:rsidR="00412507">
        <w:rPr>
          <w:sz w:val="24"/>
          <w:szCs w:val="24"/>
        </w:rPr>
        <w:t>prostředků</w:t>
      </w:r>
      <w:r w:rsidR="0033117B">
        <w:rPr>
          <w:sz w:val="24"/>
          <w:szCs w:val="24"/>
        </w:rPr>
        <w:t>. V</w:t>
      </w:r>
      <w:r w:rsidR="00412507">
        <w:rPr>
          <w:sz w:val="24"/>
          <w:szCs w:val="24"/>
        </w:rPr>
        <w:t> průběhu kontroly NKÚ provedlo MV nápravu.</w:t>
      </w:r>
    </w:p>
    <w:p w14:paraId="4C09E0C6" w14:textId="77777777" w:rsidR="0087443E" w:rsidRDefault="0087443E" w:rsidP="0087443E">
      <w:pPr>
        <w:pStyle w:val="Odstavecseseznamem"/>
        <w:tabs>
          <w:tab w:val="left" w:pos="567"/>
        </w:tabs>
        <w:spacing w:after="0" w:line="240" w:lineRule="auto"/>
        <w:ind w:left="0"/>
        <w:contextualSpacing w:val="0"/>
        <w:jc w:val="both"/>
        <w:rPr>
          <w:sz w:val="24"/>
          <w:szCs w:val="24"/>
        </w:rPr>
      </w:pPr>
    </w:p>
    <w:p w14:paraId="3200E372" w14:textId="77777777" w:rsidR="007D6012" w:rsidRDefault="000360E0" w:rsidP="0087443E">
      <w:pPr>
        <w:pStyle w:val="Odstavecseseznamem"/>
        <w:tabs>
          <w:tab w:val="left" w:pos="567"/>
        </w:tabs>
        <w:spacing w:after="0" w:line="240" w:lineRule="auto"/>
        <w:ind w:left="0"/>
        <w:contextualSpacing w:val="0"/>
        <w:jc w:val="both"/>
        <w:rPr>
          <w:sz w:val="24"/>
          <w:szCs w:val="24"/>
        </w:rPr>
      </w:pPr>
      <w:r>
        <w:rPr>
          <w:rFonts w:cstheme="minorHAnsi"/>
          <w:b/>
          <w:i/>
          <w:color w:val="C00000"/>
          <w:sz w:val="24"/>
          <w:szCs w:val="24"/>
        </w:rPr>
        <w:t xml:space="preserve">→ </w:t>
      </w:r>
      <w:r w:rsidR="007E6B9C">
        <w:rPr>
          <w:rFonts w:cstheme="minorHAnsi"/>
          <w:b/>
          <w:i/>
          <w:color w:val="C00000"/>
          <w:sz w:val="24"/>
          <w:szCs w:val="24"/>
        </w:rPr>
        <w:t xml:space="preserve">Příjemce </w:t>
      </w:r>
      <w:r w:rsidR="00A37C2B">
        <w:rPr>
          <w:rFonts w:cstheme="minorHAnsi"/>
          <w:b/>
          <w:i/>
          <w:color w:val="C00000"/>
          <w:sz w:val="24"/>
          <w:szCs w:val="24"/>
        </w:rPr>
        <w:t xml:space="preserve">porušil podmínky smlouvy o poskytnutí podpory, když </w:t>
      </w:r>
      <w:r w:rsidR="007E6B9C">
        <w:rPr>
          <w:rFonts w:cstheme="minorHAnsi"/>
          <w:b/>
          <w:i/>
          <w:color w:val="C00000"/>
          <w:sz w:val="24"/>
          <w:szCs w:val="24"/>
        </w:rPr>
        <w:t xml:space="preserve">vykázal výsledky, které nebyly prokazatelně dosaženy řešením </w:t>
      </w:r>
      <w:r w:rsidR="00AB3E1B">
        <w:rPr>
          <w:rFonts w:cstheme="minorHAnsi"/>
          <w:b/>
          <w:i/>
          <w:color w:val="C00000"/>
          <w:sz w:val="24"/>
          <w:szCs w:val="24"/>
        </w:rPr>
        <w:t>v daném</w:t>
      </w:r>
      <w:r w:rsidR="007E6B9C">
        <w:rPr>
          <w:rFonts w:cstheme="minorHAnsi"/>
          <w:b/>
          <w:i/>
          <w:color w:val="C00000"/>
          <w:sz w:val="24"/>
          <w:szCs w:val="24"/>
        </w:rPr>
        <w:t xml:space="preserve"> projektu</w:t>
      </w:r>
      <w:r w:rsidR="003F1FA2">
        <w:rPr>
          <w:rFonts w:cstheme="minorHAnsi"/>
          <w:b/>
          <w:i/>
          <w:color w:val="C00000"/>
          <w:sz w:val="24"/>
          <w:szCs w:val="24"/>
        </w:rPr>
        <w:t>.</w:t>
      </w:r>
    </w:p>
    <w:p w14:paraId="67226C3F" w14:textId="77777777" w:rsidR="0087443E" w:rsidRDefault="0087443E" w:rsidP="0087443E">
      <w:pPr>
        <w:pStyle w:val="Odstavecseseznamem"/>
        <w:tabs>
          <w:tab w:val="left" w:pos="567"/>
        </w:tabs>
        <w:spacing w:after="0" w:line="240" w:lineRule="auto"/>
        <w:ind w:left="0"/>
        <w:contextualSpacing w:val="0"/>
        <w:jc w:val="both"/>
        <w:rPr>
          <w:sz w:val="24"/>
          <w:szCs w:val="24"/>
        </w:rPr>
      </w:pPr>
    </w:p>
    <w:p w14:paraId="2E9F92F1" w14:textId="6149E305" w:rsidR="00947C2B" w:rsidRDefault="003A3981" w:rsidP="0087443E">
      <w:pPr>
        <w:pStyle w:val="Odstavecseseznamem"/>
        <w:tabs>
          <w:tab w:val="left" w:pos="567"/>
        </w:tabs>
        <w:spacing w:after="0" w:line="240" w:lineRule="auto"/>
        <w:ind w:left="0"/>
        <w:contextualSpacing w:val="0"/>
        <w:jc w:val="both"/>
        <w:rPr>
          <w:sz w:val="24"/>
          <w:szCs w:val="24"/>
        </w:rPr>
      </w:pPr>
      <w:r>
        <w:rPr>
          <w:sz w:val="24"/>
          <w:szCs w:val="24"/>
        </w:rPr>
        <w:t>4.</w:t>
      </w:r>
      <w:r w:rsidR="0003423C">
        <w:rPr>
          <w:sz w:val="24"/>
          <w:szCs w:val="24"/>
        </w:rPr>
        <w:t>46</w:t>
      </w:r>
      <w:r w:rsidR="0087443E">
        <w:rPr>
          <w:sz w:val="24"/>
          <w:szCs w:val="24"/>
        </w:rPr>
        <w:t xml:space="preserve"> </w:t>
      </w:r>
      <w:r w:rsidR="00A37C2B">
        <w:rPr>
          <w:sz w:val="24"/>
          <w:szCs w:val="24"/>
        </w:rPr>
        <w:t xml:space="preserve">Naopak příkladem, kdy porušení </w:t>
      </w:r>
      <w:r w:rsidR="00DD4FF5">
        <w:rPr>
          <w:sz w:val="24"/>
          <w:szCs w:val="24"/>
        </w:rPr>
        <w:t xml:space="preserve">právních předpisů </w:t>
      </w:r>
      <w:r w:rsidR="00A37C2B">
        <w:rPr>
          <w:sz w:val="24"/>
          <w:szCs w:val="24"/>
        </w:rPr>
        <w:t xml:space="preserve">vedlo k neúčelnosti a neefektivnosti </w:t>
      </w:r>
      <w:r w:rsidR="0033117B">
        <w:rPr>
          <w:sz w:val="24"/>
          <w:szCs w:val="24"/>
        </w:rPr>
        <w:t xml:space="preserve">poskytnutých </w:t>
      </w:r>
      <w:r w:rsidR="00A37C2B">
        <w:rPr>
          <w:sz w:val="24"/>
          <w:szCs w:val="24"/>
        </w:rPr>
        <w:t>prostředků, je projekt</w:t>
      </w:r>
      <w:r w:rsidR="0069713B">
        <w:rPr>
          <w:sz w:val="24"/>
          <w:szCs w:val="24"/>
        </w:rPr>
        <w:t xml:space="preserve"> </w:t>
      </w:r>
      <w:r w:rsidR="0069713B" w:rsidRPr="003B2242">
        <w:rPr>
          <w:rFonts w:cstheme="minorHAnsi"/>
          <w:sz w:val="24"/>
          <w:szCs w:val="24"/>
        </w:rPr>
        <w:t xml:space="preserve">VI20152019043 </w:t>
      </w:r>
      <w:r w:rsidR="00037F76">
        <w:rPr>
          <w:rFonts w:cstheme="minorHAnsi"/>
          <w:i/>
          <w:sz w:val="24"/>
          <w:szCs w:val="24"/>
        </w:rPr>
        <w:t>–</w:t>
      </w:r>
      <w:r w:rsidR="0069713B">
        <w:rPr>
          <w:rFonts w:cstheme="minorHAnsi"/>
          <w:i/>
          <w:sz w:val="24"/>
          <w:szCs w:val="24"/>
        </w:rPr>
        <w:t xml:space="preserve"> Unikátní všestranná bezpečnostní kamera založená na nanotechnologiích</w:t>
      </w:r>
      <w:r w:rsidR="00A37C2B">
        <w:rPr>
          <w:rFonts w:cstheme="minorHAnsi"/>
          <w:i/>
          <w:sz w:val="24"/>
          <w:szCs w:val="24"/>
        </w:rPr>
        <w:t>.</w:t>
      </w:r>
      <w:r w:rsidR="0069713B" w:rsidDel="0069713B">
        <w:rPr>
          <w:sz w:val="24"/>
          <w:szCs w:val="24"/>
        </w:rPr>
        <w:t xml:space="preserve"> </w:t>
      </w:r>
      <w:r w:rsidR="00A37C2B">
        <w:rPr>
          <w:sz w:val="24"/>
          <w:szCs w:val="24"/>
        </w:rPr>
        <w:t xml:space="preserve">Příjemce dle názoru NKÚ </w:t>
      </w:r>
      <w:r w:rsidR="00947C2B">
        <w:rPr>
          <w:sz w:val="24"/>
          <w:szCs w:val="24"/>
        </w:rPr>
        <w:t>postupoval</w:t>
      </w:r>
      <w:r w:rsidR="0069713B">
        <w:rPr>
          <w:sz w:val="24"/>
          <w:szCs w:val="24"/>
        </w:rPr>
        <w:t xml:space="preserve"> </w:t>
      </w:r>
      <w:r w:rsidR="00947C2B">
        <w:rPr>
          <w:sz w:val="24"/>
          <w:szCs w:val="24"/>
        </w:rPr>
        <w:t>v</w:t>
      </w:r>
      <w:r w:rsidR="0094545E">
        <w:rPr>
          <w:sz w:val="24"/>
          <w:szCs w:val="24"/>
        </w:rPr>
        <w:t> </w:t>
      </w:r>
      <w:r w:rsidR="00947C2B">
        <w:rPr>
          <w:sz w:val="24"/>
          <w:szCs w:val="24"/>
        </w:rPr>
        <w:t>rozporu</w:t>
      </w:r>
      <w:r w:rsidR="0094545E">
        <w:rPr>
          <w:sz w:val="24"/>
          <w:szCs w:val="24"/>
        </w:rPr>
        <w:t xml:space="preserve"> se </w:t>
      </w:r>
      <w:r w:rsidR="00887072">
        <w:rPr>
          <w:sz w:val="24"/>
          <w:szCs w:val="24"/>
        </w:rPr>
        <w:t>s</w:t>
      </w:r>
      <w:r w:rsidR="0094545E" w:rsidRPr="003B2242">
        <w:rPr>
          <w:sz w:val="24"/>
          <w:szCs w:val="24"/>
        </w:rPr>
        <w:t>mlouvou o poskytnutí účelové podpory</w:t>
      </w:r>
      <w:r w:rsidR="0033117B" w:rsidRPr="00887072">
        <w:rPr>
          <w:sz w:val="24"/>
          <w:szCs w:val="24"/>
        </w:rPr>
        <w:t xml:space="preserve"> </w:t>
      </w:r>
      <w:r w:rsidR="0033117B">
        <w:rPr>
          <w:sz w:val="24"/>
          <w:szCs w:val="24"/>
        </w:rPr>
        <w:t>(dále jen „Smlouva“)</w:t>
      </w:r>
      <w:r w:rsidR="0094545E">
        <w:rPr>
          <w:sz w:val="24"/>
          <w:szCs w:val="24"/>
        </w:rPr>
        <w:t xml:space="preserve"> a</w:t>
      </w:r>
      <w:r w:rsidR="00947C2B">
        <w:rPr>
          <w:sz w:val="24"/>
          <w:szCs w:val="24"/>
        </w:rPr>
        <w:t xml:space="preserve"> s údaji uvedenými v </w:t>
      </w:r>
      <w:r w:rsidR="00887072">
        <w:rPr>
          <w:sz w:val="24"/>
          <w:szCs w:val="24"/>
        </w:rPr>
        <w:t>ž</w:t>
      </w:r>
      <w:r w:rsidR="00947C2B" w:rsidRPr="003B2242">
        <w:rPr>
          <w:sz w:val="24"/>
          <w:szCs w:val="24"/>
        </w:rPr>
        <w:t>ádosti o</w:t>
      </w:r>
      <w:r w:rsidR="0087443E" w:rsidRPr="003B2242">
        <w:rPr>
          <w:sz w:val="24"/>
          <w:szCs w:val="24"/>
        </w:rPr>
        <w:t> </w:t>
      </w:r>
      <w:r w:rsidR="00947C2B" w:rsidRPr="003B2242">
        <w:rPr>
          <w:sz w:val="24"/>
          <w:szCs w:val="24"/>
        </w:rPr>
        <w:t xml:space="preserve">poskytnutí </w:t>
      </w:r>
      <w:r w:rsidR="0069713B" w:rsidRPr="003B2242">
        <w:rPr>
          <w:sz w:val="24"/>
          <w:szCs w:val="24"/>
        </w:rPr>
        <w:t xml:space="preserve">účelové </w:t>
      </w:r>
      <w:r w:rsidR="00947C2B" w:rsidRPr="003B2242">
        <w:rPr>
          <w:sz w:val="24"/>
          <w:szCs w:val="24"/>
        </w:rPr>
        <w:t>podpory</w:t>
      </w:r>
      <w:r w:rsidR="00947C2B">
        <w:rPr>
          <w:sz w:val="24"/>
          <w:szCs w:val="24"/>
        </w:rPr>
        <w:t>, kde uvedl</w:t>
      </w:r>
      <w:r w:rsidR="00947C2B" w:rsidRPr="00D248E7">
        <w:rPr>
          <w:sz w:val="24"/>
          <w:szCs w:val="24"/>
        </w:rPr>
        <w:t>, že výsledky projektu budou mj. dva patenty a dva užitné vzory</w:t>
      </w:r>
      <w:r w:rsidR="00FC1976">
        <w:rPr>
          <w:sz w:val="24"/>
          <w:szCs w:val="24"/>
        </w:rPr>
        <w:t xml:space="preserve"> a </w:t>
      </w:r>
      <w:r w:rsidR="00947C2B" w:rsidRPr="00D248E7">
        <w:rPr>
          <w:sz w:val="24"/>
          <w:szCs w:val="24"/>
        </w:rPr>
        <w:t xml:space="preserve">že navrhovaný projekt nebyl ani nebude zahájen před účinností Smlouvy. </w:t>
      </w:r>
      <w:r w:rsidR="00947C2B" w:rsidRPr="00D248E7">
        <w:rPr>
          <w:sz w:val="24"/>
          <w:szCs w:val="24"/>
        </w:rPr>
        <w:lastRenderedPageBreak/>
        <w:t xml:space="preserve">Příjemce </w:t>
      </w:r>
      <w:r w:rsidR="00FC1976">
        <w:rPr>
          <w:sz w:val="24"/>
          <w:szCs w:val="24"/>
        </w:rPr>
        <w:t>poté</w:t>
      </w:r>
      <w:r w:rsidR="00FC1976" w:rsidRPr="00D248E7">
        <w:rPr>
          <w:sz w:val="24"/>
          <w:szCs w:val="24"/>
        </w:rPr>
        <w:t xml:space="preserve"> </w:t>
      </w:r>
      <w:r w:rsidR="00947C2B" w:rsidRPr="00D248E7">
        <w:rPr>
          <w:sz w:val="24"/>
          <w:szCs w:val="24"/>
        </w:rPr>
        <w:t xml:space="preserve">jako výsledky projektu vykázal dva patenty a jeden užitný vzor, které vzhledem k datu jejich přihlášení u </w:t>
      </w:r>
      <w:r w:rsidR="00FC1976">
        <w:rPr>
          <w:sz w:val="24"/>
          <w:szCs w:val="24"/>
        </w:rPr>
        <w:t>Úřadu průmyslového vlastnictví</w:t>
      </w:r>
      <w:r w:rsidR="00FC1976" w:rsidRPr="00D248E7">
        <w:rPr>
          <w:sz w:val="24"/>
          <w:szCs w:val="24"/>
        </w:rPr>
        <w:t xml:space="preserve"> </w:t>
      </w:r>
      <w:r w:rsidR="00947C2B" w:rsidRPr="00D248E7">
        <w:rPr>
          <w:sz w:val="24"/>
          <w:szCs w:val="24"/>
        </w:rPr>
        <w:t>nebyly prokazatelně a nezpochybnitelně dosaženy řešením daného projektu</w:t>
      </w:r>
      <w:r w:rsidR="00A37C2B">
        <w:rPr>
          <w:sz w:val="24"/>
          <w:szCs w:val="24"/>
        </w:rPr>
        <w:t>. Podle zjištění NKÚ b</w:t>
      </w:r>
      <w:r w:rsidR="00947C2B" w:rsidRPr="00D248E7">
        <w:rPr>
          <w:sz w:val="24"/>
          <w:szCs w:val="24"/>
        </w:rPr>
        <w:t xml:space="preserve">yly předmětem řešení a výsledkem i dalších </w:t>
      </w:r>
      <w:r w:rsidR="00FC1976">
        <w:rPr>
          <w:sz w:val="24"/>
          <w:szCs w:val="24"/>
        </w:rPr>
        <w:t xml:space="preserve">z jiných zdrojů financovaných </w:t>
      </w:r>
      <w:r w:rsidR="00947C2B" w:rsidRPr="00D248E7">
        <w:rPr>
          <w:sz w:val="24"/>
          <w:szCs w:val="24"/>
        </w:rPr>
        <w:t xml:space="preserve">projektů a vznikly před účinností Smlouvy </w:t>
      </w:r>
      <w:r w:rsidR="00A37C2B">
        <w:rPr>
          <w:sz w:val="24"/>
          <w:szCs w:val="24"/>
        </w:rPr>
        <w:t>(</w:t>
      </w:r>
      <w:r w:rsidR="00FC1976">
        <w:rPr>
          <w:sz w:val="24"/>
          <w:szCs w:val="24"/>
        </w:rPr>
        <w:t xml:space="preserve">viz </w:t>
      </w:r>
      <w:r w:rsidR="00A37C2B">
        <w:rPr>
          <w:sz w:val="24"/>
          <w:szCs w:val="24"/>
        </w:rPr>
        <w:t>příklad č. 2)</w:t>
      </w:r>
      <w:r w:rsidR="00947C2B" w:rsidRPr="00D248E7">
        <w:rPr>
          <w:sz w:val="24"/>
          <w:szCs w:val="24"/>
        </w:rPr>
        <w:t>.</w:t>
      </w:r>
    </w:p>
    <w:p w14:paraId="3AD4EA2A" w14:textId="77777777" w:rsidR="0087443E" w:rsidRDefault="0087443E" w:rsidP="0087443E">
      <w:pPr>
        <w:spacing w:after="0" w:line="240" w:lineRule="auto"/>
        <w:jc w:val="both"/>
        <w:rPr>
          <w:sz w:val="24"/>
          <w:szCs w:val="24"/>
        </w:rPr>
      </w:pPr>
    </w:p>
    <w:p w14:paraId="15281318" w14:textId="77777777" w:rsidR="00AE6018" w:rsidRDefault="00821B5F" w:rsidP="0087443E">
      <w:pPr>
        <w:spacing w:after="0" w:line="240" w:lineRule="auto"/>
        <w:jc w:val="both"/>
        <w:rPr>
          <w:sz w:val="24"/>
          <w:szCs w:val="24"/>
        </w:rPr>
      </w:pPr>
      <w:r>
        <w:rPr>
          <w:sz w:val="24"/>
          <w:szCs w:val="24"/>
        </w:rPr>
        <w:t>4.</w:t>
      </w:r>
      <w:r w:rsidR="0003423C">
        <w:rPr>
          <w:sz w:val="24"/>
          <w:szCs w:val="24"/>
        </w:rPr>
        <w:t>47</w:t>
      </w:r>
      <w:r w:rsidR="0087443E">
        <w:rPr>
          <w:sz w:val="24"/>
          <w:szCs w:val="24"/>
        </w:rPr>
        <w:t xml:space="preserve"> </w:t>
      </w:r>
      <w:r w:rsidR="00016EBA">
        <w:rPr>
          <w:sz w:val="24"/>
          <w:szCs w:val="24"/>
        </w:rPr>
        <w:t xml:space="preserve">U dalších projektů zjistil NKÚ </w:t>
      </w:r>
      <w:r w:rsidR="00AB3E1B">
        <w:rPr>
          <w:sz w:val="24"/>
          <w:szCs w:val="24"/>
        </w:rPr>
        <w:t xml:space="preserve">několik </w:t>
      </w:r>
      <w:r>
        <w:rPr>
          <w:sz w:val="24"/>
          <w:szCs w:val="24"/>
        </w:rPr>
        <w:t>nedost</w:t>
      </w:r>
      <w:r w:rsidR="00AB3E1B">
        <w:rPr>
          <w:sz w:val="24"/>
          <w:szCs w:val="24"/>
        </w:rPr>
        <w:t>atků</w:t>
      </w:r>
      <w:r w:rsidR="00DD03DA">
        <w:rPr>
          <w:sz w:val="24"/>
          <w:szCs w:val="24"/>
        </w:rPr>
        <w:t>, které však nebyly významnějšího charakteru</w:t>
      </w:r>
      <w:r w:rsidR="00016EBA">
        <w:rPr>
          <w:sz w:val="24"/>
          <w:szCs w:val="24"/>
        </w:rPr>
        <w:t xml:space="preserve"> (např. včasné neoznámení dílčí změny rozpočtu)</w:t>
      </w:r>
      <w:r>
        <w:rPr>
          <w:sz w:val="24"/>
          <w:szCs w:val="24"/>
        </w:rPr>
        <w:t xml:space="preserve">. </w:t>
      </w:r>
    </w:p>
    <w:p w14:paraId="3D713E49" w14:textId="1D0C6A76" w:rsidR="003C3AF8" w:rsidRDefault="003C3AF8" w:rsidP="0087443E">
      <w:pPr>
        <w:spacing w:after="0" w:line="240" w:lineRule="auto"/>
        <w:jc w:val="both"/>
        <w:rPr>
          <w:sz w:val="24"/>
          <w:szCs w:val="24"/>
        </w:rPr>
      </w:pPr>
    </w:p>
    <w:p w14:paraId="005D00AC" w14:textId="0D625B83" w:rsidR="002162AD" w:rsidRDefault="002162AD" w:rsidP="0087443E">
      <w:pPr>
        <w:spacing w:after="0" w:line="240" w:lineRule="auto"/>
        <w:jc w:val="both"/>
        <w:rPr>
          <w:sz w:val="24"/>
          <w:szCs w:val="24"/>
        </w:rPr>
      </w:pPr>
    </w:p>
    <w:p w14:paraId="115D6FFB" w14:textId="77777777" w:rsidR="002162AD" w:rsidRDefault="002162AD" w:rsidP="0087443E">
      <w:pPr>
        <w:spacing w:after="0" w:line="240" w:lineRule="auto"/>
        <w:jc w:val="both"/>
        <w:rPr>
          <w:sz w:val="24"/>
          <w:szCs w:val="24"/>
        </w:rPr>
      </w:pPr>
    </w:p>
    <w:p w14:paraId="3C6F43B2" w14:textId="77777777" w:rsidR="00130E35" w:rsidRDefault="00130E35" w:rsidP="0087443E">
      <w:pPr>
        <w:spacing w:after="0" w:line="240" w:lineRule="auto"/>
        <w:rPr>
          <w:sz w:val="24"/>
          <w:szCs w:val="24"/>
        </w:rPr>
      </w:pPr>
    </w:p>
    <w:p w14:paraId="1384E0F4" w14:textId="77777777" w:rsidR="002A2B6C" w:rsidRDefault="002A2B6C" w:rsidP="0087443E">
      <w:pPr>
        <w:spacing w:after="0" w:line="240" w:lineRule="auto"/>
        <w:rPr>
          <w:sz w:val="24"/>
          <w:szCs w:val="24"/>
        </w:rPr>
      </w:pPr>
    </w:p>
    <w:p w14:paraId="6BB6A995" w14:textId="77777777" w:rsidR="00772803" w:rsidRDefault="00772803" w:rsidP="00AE6018">
      <w:pPr>
        <w:spacing w:after="120" w:line="240" w:lineRule="auto"/>
        <w:jc w:val="both"/>
        <w:rPr>
          <w:b/>
          <w:sz w:val="24"/>
          <w:szCs w:val="24"/>
        </w:rPr>
      </w:pPr>
      <w:r>
        <w:rPr>
          <w:b/>
          <w:sz w:val="24"/>
          <w:szCs w:val="24"/>
        </w:rPr>
        <w:t>Seznam použitých zkratek</w:t>
      </w:r>
    </w:p>
    <w:p w14:paraId="5994BB21"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BV</w:t>
      </w:r>
      <w:r w:rsidRPr="0087443E">
        <w:rPr>
          <w:rFonts w:ascii="Calibri" w:hAnsi="Calibri" w:cs="Calibri"/>
          <w:color w:val="000000" w:themeColor="text1"/>
          <w:sz w:val="24"/>
          <w:szCs w:val="24"/>
        </w:rPr>
        <w:tab/>
        <w:t>bezpečnostní výzkum</w:t>
      </w:r>
    </w:p>
    <w:p w14:paraId="39DBC086"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CDV</w:t>
      </w:r>
      <w:r w:rsidRPr="0087443E">
        <w:rPr>
          <w:rFonts w:ascii="Calibri" w:hAnsi="Calibri" w:cs="Calibri"/>
          <w:color w:val="000000" w:themeColor="text1"/>
          <w:sz w:val="24"/>
          <w:szCs w:val="24"/>
        </w:rPr>
        <w:tab/>
        <w:t xml:space="preserve">Centrum dopravního výzkumu </w:t>
      </w:r>
      <w:proofErr w:type="spellStart"/>
      <w:proofErr w:type="gramStart"/>
      <w:r w:rsidRPr="0087443E">
        <w:rPr>
          <w:rFonts w:ascii="Calibri" w:hAnsi="Calibri" w:cs="Calibri"/>
          <w:color w:val="000000" w:themeColor="text1"/>
          <w:sz w:val="24"/>
          <w:szCs w:val="24"/>
        </w:rPr>
        <w:t>v.v.</w:t>
      </w:r>
      <w:proofErr w:type="gramEnd"/>
      <w:r w:rsidRPr="0087443E">
        <w:rPr>
          <w:rFonts w:ascii="Calibri" w:hAnsi="Calibri" w:cs="Calibri"/>
          <w:color w:val="000000" w:themeColor="text1"/>
          <w:sz w:val="24"/>
          <w:szCs w:val="24"/>
        </w:rPr>
        <w:t>i</w:t>
      </w:r>
      <w:proofErr w:type="spellEnd"/>
      <w:r w:rsidRPr="0087443E">
        <w:rPr>
          <w:rFonts w:ascii="Calibri" w:hAnsi="Calibri" w:cs="Calibri"/>
          <w:color w:val="000000" w:themeColor="text1"/>
          <w:sz w:val="24"/>
          <w:szCs w:val="24"/>
        </w:rPr>
        <w:t>.</w:t>
      </w:r>
    </w:p>
    <w:p w14:paraId="3E759EDC"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 xml:space="preserve">ČR </w:t>
      </w:r>
      <w:r w:rsidRPr="0087443E">
        <w:rPr>
          <w:rFonts w:ascii="Calibri" w:hAnsi="Calibri" w:cs="Calibri"/>
          <w:color w:val="000000" w:themeColor="text1"/>
          <w:sz w:val="24"/>
          <w:szCs w:val="24"/>
        </w:rPr>
        <w:tab/>
        <w:t xml:space="preserve">Česká republika </w:t>
      </w:r>
    </w:p>
    <w:p w14:paraId="415C3105"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EU</w:t>
      </w:r>
      <w:r w:rsidRPr="0087443E">
        <w:rPr>
          <w:rFonts w:ascii="Calibri" w:hAnsi="Calibri" w:cs="Calibri"/>
          <w:color w:val="000000" w:themeColor="text1"/>
          <w:sz w:val="24"/>
          <w:szCs w:val="24"/>
        </w:rPr>
        <w:tab/>
        <w:t xml:space="preserve">Evropská unie </w:t>
      </w:r>
    </w:p>
    <w:p w14:paraId="08D15128" w14:textId="3A7C601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ICT</w:t>
      </w:r>
      <w:r w:rsidRPr="0087443E">
        <w:rPr>
          <w:rFonts w:ascii="Calibri" w:hAnsi="Calibri" w:cs="Calibri"/>
          <w:color w:val="000000" w:themeColor="text1"/>
          <w:sz w:val="24"/>
          <w:szCs w:val="24"/>
        </w:rPr>
        <w:tab/>
      </w:r>
      <w:r w:rsidR="00037F76">
        <w:rPr>
          <w:rFonts w:ascii="Calibri" w:hAnsi="Calibri" w:cs="Calibri"/>
          <w:color w:val="000000" w:themeColor="text1"/>
          <w:sz w:val="24"/>
          <w:szCs w:val="24"/>
        </w:rPr>
        <w:t>i</w:t>
      </w:r>
      <w:r w:rsidRPr="0087443E">
        <w:rPr>
          <w:rFonts w:ascii="Calibri" w:hAnsi="Calibri" w:cs="Calibri"/>
          <w:color w:val="000000" w:themeColor="text1"/>
          <w:sz w:val="24"/>
          <w:szCs w:val="24"/>
        </w:rPr>
        <w:t xml:space="preserve">nformační a komunikační technologie </w:t>
      </w:r>
    </w:p>
    <w:p w14:paraId="612311D1"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MKBV2017+</w:t>
      </w:r>
      <w:r w:rsidRPr="0087443E">
        <w:rPr>
          <w:rFonts w:ascii="Calibri" w:hAnsi="Calibri" w:cs="Calibri"/>
          <w:color w:val="000000" w:themeColor="text1"/>
          <w:sz w:val="24"/>
          <w:szCs w:val="24"/>
        </w:rPr>
        <w:tab/>
      </w:r>
      <w:r w:rsidRPr="003B2242">
        <w:rPr>
          <w:rFonts w:ascii="Calibri" w:hAnsi="Calibri" w:cs="Calibri"/>
          <w:i/>
          <w:color w:val="000000" w:themeColor="text1"/>
          <w:sz w:val="24"/>
          <w:szCs w:val="24"/>
        </w:rPr>
        <w:t>Meziresortní koncepce podpory</w:t>
      </w:r>
      <w:r w:rsidR="00BF5629" w:rsidRPr="003B2242">
        <w:rPr>
          <w:rFonts w:ascii="Calibri" w:hAnsi="Calibri" w:cs="Calibri"/>
          <w:i/>
          <w:color w:val="000000" w:themeColor="text1"/>
          <w:sz w:val="24"/>
          <w:szCs w:val="24"/>
        </w:rPr>
        <w:t xml:space="preserve"> bezpečnostního výzkumu ČR </w:t>
      </w:r>
      <w:r w:rsidR="0087443E" w:rsidRPr="003B2242">
        <w:rPr>
          <w:rFonts w:ascii="Calibri" w:hAnsi="Calibri" w:cs="Calibri"/>
          <w:i/>
          <w:color w:val="000000" w:themeColor="text1"/>
          <w:sz w:val="24"/>
          <w:szCs w:val="24"/>
        </w:rPr>
        <w:br/>
      </w:r>
      <w:r w:rsidR="00BF5629" w:rsidRPr="003B2242">
        <w:rPr>
          <w:rFonts w:ascii="Calibri" w:hAnsi="Calibri" w:cs="Calibri"/>
          <w:i/>
          <w:color w:val="000000" w:themeColor="text1"/>
          <w:sz w:val="24"/>
          <w:szCs w:val="24"/>
        </w:rPr>
        <w:t>2017–</w:t>
      </w:r>
      <w:r w:rsidRPr="003B2242">
        <w:rPr>
          <w:rFonts w:ascii="Calibri" w:hAnsi="Calibri" w:cs="Calibri"/>
          <w:i/>
          <w:color w:val="000000" w:themeColor="text1"/>
          <w:sz w:val="24"/>
          <w:szCs w:val="24"/>
        </w:rPr>
        <w:t>2023 s výhledem do roku 2030</w:t>
      </w:r>
    </w:p>
    <w:p w14:paraId="196F782A"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MD</w:t>
      </w:r>
      <w:r w:rsidRPr="0087443E">
        <w:rPr>
          <w:rFonts w:ascii="Calibri" w:hAnsi="Calibri" w:cs="Calibri"/>
          <w:color w:val="000000" w:themeColor="text1"/>
          <w:sz w:val="24"/>
          <w:szCs w:val="24"/>
        </w:rPr>
        <w:tab/>
        <w:t xml:space="preserve">Ministerstvo dopravy </w:t>
      </w:r>
    </w:p>
    <w:p w14:paraId="646192AF"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MV</w:t>
      </w:r>
      <w:r w:rsidRPr="0087443E">
        <w:rPr>
          <w:rFonts w:ascii="Calibri" w:hAnsi="Calibri" w:cs="Calibri"/>
          <w:color w:val="000000" w:themeColor="text1"/>
          <w:sz w:val="24"/>
          <w:szCs w:val="24"/>
        </w:rPr>
        <w:tab/>
        <w:t>Ministerstvo vnitra</w:t>
      </w:r>
    </w:p>
    <w:p w14:paraId="0E4542F5"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NKÚ</w:t>
      </w:r>
      <w:r w:rsidRPr="0087443E">
        <w:rPr>
          <w:rFonts w:ascii="Calibri" w:hAnsi="Calibri" w:cs="Calibri"/>
          <w:color w:val="000000" w:themeColor="text1"/>
          <w:sz w:val="24"/>
          <w:szCs w:val="24"/>
        </w:rPr>
        <w:tab/>
        <w:t>Nejvyšší kontrolní úřad</w:t>
      </w:r>
    </w:p>
    <w:p w14:paraId="12265C64"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 xml:space="preserve">Priority </w:t>
      </w:r>
      <w:proofErr w:type="spellStart"/>
      <w:r w:rsidRPr="0087443E">
        <w:rPr>
          <w:rFonts w:ascii="Calibri" w:hAnsi="Calibri" w:cs="Calibri"/>
          <w:color w:val="000000" w:themeColor="text1"/>
          <w:sz w:val="24"/>
          <w:szCs w:val="24"/>
        </w:rPr>
        <w:t>VaVaI</w:t>
      </w:r>
      <w:proofErr w:type="spellEnd"/>
      <w:r w:rsidRPr="0087443E">
        <w:rPr>
          <w:rFonts w:ascii="Calibri" w:hAnsi="Calibri" w:cs="Calibri"/>
          <w:color w:val="000000" w:themeColor="text1"/>
          <w:sz w:val="24"/>
          <w:szCs w:val="24"/>
        </w:rPr>
        <w:tab/>
      </w:r>
      <w:r w:rsidRPr="003B2242">
        <w:rPr>
          <w:rFonts w:ascii="Calibri" w:hAnsi="Calibri" w:cs="Calibri"/>
          <w:i/>
          <w:color w:val="000000" w:themeColor="text1"/>
          <w:sz w:val="24"/>
          <w:szCs w:val="24"/>
        </w:rPr>
        <w:t>Národní priority orientovaného výzkumu, experimentálního vývoje a</w:t>
      </w:r>
      <w:r w:rsidR="0087443E" w:rsidRPr="003B2242">
        <w:rPr>
          <w:rFonts w:ascii="Calibri" w:hAnsi="Calibri" w:cs="Calibri"/>
          <w:i/>
          <w:color w:val="000000" w:themeColor="text1"/>
          <w:sz w:val="24"/>
          <w:szCs w:val="24"/>
        </w:rPr>
        <w:t> </w:t>
      </w:r>
      <w:r w:rsidRPr="003B2242">
        <w:rPr>
          <w:rFonts w:ascii="Calibri" w:hAnsi="Calibri" w:cs="Calibri"/>
          <w:i/>
          <w:color w:val="000000" w:themeColor="text1"/>
          <w:sz w:val="24"/>
          <w:szCs w:val="24"/>
        </w:rPr>
        <w:t>inovací</w:t>
      </w:r>
    </w:p>
    <w:p w14:paraId="64B32252"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 xml:space="preserve">Program VH </w:t>
      </w:r>
      <w:r w:rsidRPr="0087443E">
        <w:rPr>
          <w:rFonts w:ascii="Calibri" w:hAnsi="Calibri" w:cs="Calibri"/>
          <w:color w:val="000000" w:themeColor="text1"/>
          <w:sz w:val="24"/>
          <w:szCs w:val="24"/>
        </w:rPr>
        <w:tab/>
      </w:r>
      <w:r w:rsidRPr="003B2242">
        <w:rPr>
          <w:rFonts w:ascii="Calibri" w:hAnsi="Calibri" w:cs="Calibri"/>
          <w:i/>
          <w:color w:val="000000" w:themeColor="text1"/>
          <w:sz w:val="24"/>
          <w:szCs w:val="24"/>
        </w:rPr>
        <w:t>Program bezpečnostního</w:t>
      </w:r>
      <w:r w:rsidR="00BF5629" w:rsidRPr="003B2242">
        <w:rPr>
          <w:rFonts w:ascii="Calibri" w:hAnsi="Calibri" w:cs="Calibri"/>
          <w:i/>
          <w:color w:val="000000" w:themeColor="text1"/>
          <w:sz w:val="24"/>
          <w:szCs w:val="24"/>
        </w:rPr>
        <w:t xml:space="preserve"> výzkumu pro potřeby státu 2016–</w:t>
      </w:r>
      <w:r w:rsidRPr="003B2242">
        <w:rPr>
          <w:rFonts w:ascii="Calibri" w:hAnsi="Calibri" w:cs="Calibri"/>
          <w:i/>
          <w:color w:val="000000" w:themeColor="text1"/>
          <w:sz w:val="24"/>
          <w:szCs w:val="24"/>
        </w:rPr>
        <w:t>2021</w:t>
      </w:r>
    </w:p>
    <w:p w14:paraId="47389442"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Program VI</w:t>
      </w:r>
      <w:r w:rsidRPr="0087443E">
        <w:rPr>
          <w:rFonts w:ascii="Calibri" w:hAnsi="Calibri" w:cs="Calibri"/>
          <w:color w:val="000000" w:themeColor="text1"/>
          <w:sz w:val="24"/>
          <w:szCs w:val="24"/>
        </w:rPr>
        <w:tab/>
      </w:r>
      <w:r w:rsidRPr="003B2242">
        <w:rPr>
          <w:rFonts w:ascii="Calibri" w:hAnsi="Calibri" w:cs="Calibri"/>
          <w:i/>
          <w:color w:val="000000" w:themeColor="text1"/>
          <w:sz w:val="24"/>
          <w:szCs w:val="24"/>
        </w:rPr>
        <w:t xml:space="preserve">Program bezpečnostního výzkumu České republiky v letech </w:t>
      </w:r>
      <w:r w:rsidR="0087443E" w:rsidRPr="003B2242">
        <w:rPr>
          <w:rFonts w:ascii="Calibri" w:hAnsi="Calibri" w:cs="Calibri"/>
          <w:i/>
          <w:color w:val="000000" w:themeColor="text1"/>
          <w:sz w:val="24"/>
          <w:szCs w:val="24"/>
        </w:rPr>
        <w:br/>
      </w:r>
      <w:r w:rsidRPr="003B2242">
        <w:rPr>
          <w:rFonts w:ascii="Calibri" w:hAnsi="Calibri" w:cs="Calibri"/>
          <w:i/>
          <w:color w:val="000000" w:themeColor="text1"/>
          <w:sz w:val="24"/>
          <w:szCs w:val="24"/>
        </w:rPr>
        <w:t>2015–2022</w:t>
      </w:r>
    </w:p>
    <w:p w14:paraId="582714FB" w14:textId="77777777" w:rsidR="00772803" w:rsidRPr="0087443E" w:rsidRDefault="00772803"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 xml:space="preserve">Rada </w:t>
      </w:r>
      <w:proofErr w:type="spellStart"/>
      <w:r w:rsidRPr="0087443E">
        <w:rPr>
          <w:rFonts w:ascii="Calibri" w:hAnsi="Calibri" w:cs="Calibri"/>
          <w:color w:val="000000" w:themeColor="text1"/>
          <w:sz w:val="24"/>
          <w:szCs w:val="24"/>
        </w:rPr>
        <w:t>VaVaI</w:t>
      </w:r>
      <w:proofErr w:type="spellEnd"/>
      <w:r w:rsidRPr="0087443E">
        <w:rPr>
          <w:rFonts w:ascii="Calibri" w:hAnsi="Calibri" w:cs="Calibri"/>
          <w:color w:val="000000" w:themeColor="text1"/>
          <w:sz w:val="24"/>
          <w:szCs w:val="24"/>
        </w:rPr>
        <w:t xml:space="preserve"> </w:t>
      </w:r>
      <w:r w:rsidRPr="0087443E">
        <w:rPr>
          <w:rFonts w:ascii="Calibri" w:hAnsi="Calibri" w:cs="Calibri"/>
          <w:color w:val="000000" w:themeColor="text1"/>
          <w:sz w:val="24"/>
          <w:szCs w:val="24"/>
        </w:rPr>
        <w:tab/>
        <w:t>Rada pro výzkum, vývoj a inovace</w:t>
      </w:r>
    </w:p>
    <w:p w14:paraId="6E5CB7B9" w14:textId="77777777" w:rsidR="00FC1976" w:rsidRPr="0087443E" w:rsidRDefault="00FC1976"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Smlouva</w:t>
      </w:r>
      <w:r w:rsidRPr="0087443E">
        <w:rPr>
          <w:rFonts w:ascii="Calibri" w:hAnsi="Calibri" w:cs="Calibri"/>
          <w:i/>
          <w:iCs/>
          <w:color w:val="000000" w:themeColor="text1"/>
          <w:sz w:val="24"/>
          <w:szCs w:val="24"/>
        </w:rPr>
        <w:t xml:space="preserve"> </w:t>
      </w:r>
      <w:r w:rsidRPr="0087443E">
        <w:rPr>
          <w:rFonts w:ascii="Calibri" w:hAnsi="Calibri" w:cs="Calibri"/>
          <w:i/>
          <w:iCs/>
          <w:color w:val="000000" w:themeColor="text1"/>
          <w:sz w:val="24"/>
          <w:szCs w:val="24"/>
        </w:rPr>
        <w:tab/>
      </w:r>
      <w:proofErr w:type="spellStart"/>
      <w:r w:rsidR="00AB3E1B" w:rsidRPr="0087443E">
        <w:rPr>
          <w:rFonts w:ascii="Calibri" w:hAnsi="Calibri" w:cs="Calibri"/>
          <w:color w:val="000000" w:themeColor="text1"/>
          <w:sz w:val="24"/>
          <w:szCs w:val="24"/>
        </w:rPr>
        <w:t>s</w:t>
      </w:r>
      <w:r w:rsidRPr="0087443E">
        <w:rPr>
          <w:rFonts w:ascii="Calibri" w:hAnsi="Calibri" w:cs="Calibri"/>
          <w:color w:val="000000" w:themeColor="text1"/>
          <w:sz w:val="24"/>
          <w:szCs w:val="24"/>
        </w:rPr>
        <w:t>mlouva</w:t>
      </w:r>
      <w:proofErr w:type="spellEnd"/>
      <w:r w:rsidRPr="0087443E">
        <w:rPr>
          <w:rFonts w:ascii="Calibri" w:hAnsi="Calibri" w:cs="Calibri"/>
          <w:color w:val="000000" w:themeColor="text1"/>
          <w:sz w:val="24"/>
          <w:szCs w:val="24"/>
        </w:rPr>
        <w:t xml:space="preserve"> o poskytnutí účelové podpory</w:t>
      </w:r>
    </w:p>
    <w:p w14:paraId="76012C8A" w14:textId="77777777" w:rsidR="00772803" w:rsidRPr="0087443E" w:rsidRDefault="00FC1976" w:rsidP="0087443E">
      <w:pPr>
        <w:spacing w:before="20" w:after="20" w:line="240" w:lineRule="auto"/>
        <w:ind w:left="2268" w:hanging="2268"/>
        <w:rPr>
          <w:rFonts w:ascii="Calibri" w:hAnsi="Calibri" w:cs="Calibri"/>
          <w:color w:val="000000" w:themeColor="text1"/>
          <w:sz w:val="24"/>
          <w:szCs w:val="24"/>
        </w:rPr>
      </w:pPr>
      <w:r w:rsidRPr="0087443E">
        <w:rPr>
          <w:rFonts w:ascii="Calibri" w:hAnsi="Calibri" w:cs="Calibri"/>
          <w:color w:val="000000" w:themeColor="text1"/>
          <w:sz w:val="24"/>
          <w:szCs w:val="24"/>
        </w:rPr>
        <w:t>vybrané projekty</w:t>
      </w:r>
      <w:r w:rsidRPr="0087443E">
        <w:rPr>
          <w:rFonts w:ascii="Calibri" w:hAnsi="Calibri" w:cs="Calibri"/>
          <w:color w:val="000000" w:themeColor="text1"/>
          <w:sz w:val="24"/>
          <w:szCs w:val="24"/>
        </w:rPr>
        <w:tab/>
        <w:t>vzorek 12 projektů vybraných ke kontrole NKÚ</w:t>
      </w:r>
    </w:p>
    <w:p w14:paraId="26169F8C" w14:textId="77777777" w:rsidR="00BE748F" w:rsidRDefault="00BE748F">
      <w:r>
        <w:br w:type="page"/>
      </w:r>
    </w:p>
    <w:p w14:paraId="4CF3899D" w14:textId="77777777" w:rsidR="00BE748F" w:rsidRPr="00943EE7" w:rsidRDefault="00BE748F" w:rsidP="00BE748F">
      <w:pPr>
        <w:ind w:left="-709"/>
        <w:jc w:val="right"/>
        <w:rPr>
          <w:b/>
          <w:sz w:val="24"/>
        </w:rPr>
      </w:pPr>
      <w:r w:rsidRPr="00943EE7">
        <w:rPr>
          <w:b/>
          <w:sz w:val="24"/>
        </w:rPr>
        <w:lastRenderedPageBreak/>
        <w:t>Příloha č. 1</w:t>
      </w:r>
    </w:p>
    <w:p w14:paraId="35F31803" w14:textId="41594F4A" w:rsidR="00BE748F" w:rsidRPr="003B2242" w:rsidRDefault="00BE748F" w:rsidP="00BE748F">
      <w:pPr>
        <w:tabs>
          <w:tab w:val="right" w:pos="9072"/>
        </w:tabs>
        <w:spacing w:after="40" w:line="240" w:lineRule="auto"/>
        <w:rPr>
          <w:b/>
          <w:sz w:val="24"/>
        </w:rPr>
      </w:pPr>
      <w:r w:rsidRPr="00BE748F">
        <w:rPr>
          <w:b/>
          <w:sz w:val="24"/>
        </w:rPr>
        <w:t xml:space="preserve">Přehled čerpání institucionální podpory výzkumných institucí pobírajících institucionální podporu z MV </w:t>
      </w:r>
      <w:r>
        <w:tab/>
      </w:r>
      <w:r w:rsidR="0085781F">
        <w:t>(</w:t>
      </w:r>
      <w:r w:rsidRPr="003B2242">
        <w:rPr>
          <w:b/>
          <w:sz w:val="24"/>
        </w:rPr>
        <w:t>v Kč</w:t>
      </w:r>
      <w:r w:rsidR="0085781F">
        <w:rPr>
          <w:b/>
          <w:sz w:val="24"/>
        </w:rPr>
        <w: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1134"/>
        <w:gridCol w:w="1134"/>
        <w:gridCol w:w="1134"/>
        <w:gridCol w:w="1304"/>
      </w:tblGrid>
      <w:tr w:rsidR="00BE748F" w:rsidRPr="00E96461" w14:paraId="3AB8DE8C" w14:textId="77777777" w:rsidTr="00BE748F">
        <w:trPr>
          <w:trHeight w:val="726"/>
          <w:jc w:val="center"/>
        </w:trPr>
        <w:tc>
          <w:tcPr>
            <w:tcW w:w="4365" w:type="dxa"/>
            <w:shd w:val="clear" w:color="000000" w:fill="E5F1FF"/>
            <w:vAlign w:val="center"/>
            <w:hideMark/>
          </w:tcPr>
          <w:p w14:paraId="49ED0BF9" w14:textId="77777777" w:rsidR="00BE748F" w:rsidRPr="00E96461" w:rsidRDefault="00BE748F" w:rsidP="00BE748F">
            <w:pPr>
              <w:spacing w:after="0" w:line="240" w:lineRule="auto"/>
              <w:jc w:val="center"/>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Výzkumná organizace</w:t>
            </w:r>
          </w:p>
        </w:tc>
        <w:tc>
          <w:tcPr>
            <w:tcW w:w="1134" w:type="dxa"/>
            <w:shd w:val="clear" w:color="000000" w:fill="E5F1FF"/>
            <w:vAlign w:val="center"/>
            <w:hideMark/>
          </w:tcPr>
          <w:p w14:paraId="25F123FA" w14:textId="77777777" w:rsidR="00BE748F" w:rsidRPr="00E96461" w:rsidRDefault="00BE748F" w:rsidP="00BE748F">
            <w:pPr>
              <w:spacing w:after="0" w:line="240" w:lineRule="auto"/>
              <w:jc w:val="center"/>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2016</w:t>
            </w:r>
          </w:p>
        </w:tc>
        <w:tc>
          <w:tcPr>
            <w:tcW w:w="1134" w:type="dxa"/>
            <w:shd w:val="clear" w:color="000000" w:fill="E5F1FF"/>
            <w:vAlign w:val="center"/>
            <w:hideMark/>
          </w:tcPr>
          <w:p w14:paraId="2EFE0377" w14:textId="77777777" w:rsidR="00BE748F" w:rsidRPr="00E96461" w:rsidRDefault="00BE748F" w:rsidP="00BE748F">
            <w:pPr>
              <w:spacing w:after="0" w:line="240" w:lineRule="auto"/>
              <w:jc w:val="center"/>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2017</w:t>
            </w:r>
          </w:p>
        </w:tc>
        <w:tc>
          <w:tcPr>
            <w:tcW w:w="1134" w:type="dxa"/>
            <w:shd w:val="clear" w:color="000000" w:fill="E5F1FF"/>
            <w:vAlign w:val="center"/>
            <w:hideMark/>
          </w:tcPr>
          <w:p w14:paraId="61D7B74F" w14:textId="77777777" w:rsidR="00BE748F" w:rsidRPr="00E96461" w:rsidRDefault="00BE748F" w:rsidP="00BE748F">
            <w:pPr>
              <w:spacing w:after="0" w:line="240" w:lineRule="auto"/>
              <w:jc w:val="center"/>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2018</w:t>
            </w:r>
          </w:p>
        </w:tc>
        <w:tc>
          <w:tcPr>
            <w:tcW w:w="1304" w:type="dxa"/>
            <w:shd w:val="clear" w:color="000000" w:fill="E5F1FF"/>
            <w:vAlign w:val="center"/>
            <w:hideMark/>
          </w:tcPr>
          <w:p w14:paraId="2BA02BB1" w14:textId="77777777" w:rsidR="00BE748F" w:rsidRPr="00E96461" w:rsidRDefault="00BE748F" w:rsidP="00BE748F">
            <w:pPr>
              <w:spacing w:after="0" w:line="240" w:lineRule="auto"/>
              <w:jc w:val="center"/>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Celkem</w:t>
            </w:r>
          </w:p>
        </w:tc>
      </w:tr>
      <w:tr w:rsidR="00BE748F" w:rsidRPr="00E96461" w14:paraId="50A2AF92" w14:textId="77777777" w:rsidTr="00BE748F">
        <w:trPr>
          <w:trHeight w:val="404"/>
          <w:jc w:val="center"/>
        </w:trPr>
        <w:tc>
          <w:tcPr>
            <w:tcW w:w="4365" w:type="dxa"/>
            <w:shd w:val="clear" w:color="auto" w:fill="auto"/>
            <w:vAlign w:val="center"/>
            <w:hideMark/>
          </w:tcPr>
          <w:p w14:paraId="613E7201" w14:textId="77777777" w:rsidR="00BE748F" w:rsidRPr="00E96461" w:rsidRDefault="00BE748F" w:rsidP="00BE748F">
            <w:pPr>
              <w:spacing w:after="0" w:line="240" w:lineRule="auto"/>
              <w:rPr>
                <w:rFonts w:eastAsia="Times New Roman" w:cstheme="minorHAnsi"/>
                <w:color w:val="000000"/>
                <w:sz w:val="20"/>
                <w:szCs w:val="20"/>
                <w:lang w:eastAsia="cs-CZ"/>
              </w:rPr>
            </w:pPr>
            <w:r w:rsidRPr="00E96461">
              <w:rPr>
                <w:rFonts w:eastAsia="Times New Roman" w:cstheme="minorHAnsi"/>
                <w:color w:val="000000"/>
                <w:sz w:val="20"/>
                <w:szCs w:val="20"/>
                <w:lang w:eastAsia="cs-CZ"/>
              </w:rPr>
              <w:t>Institut pro kriminologii a sociální prevenci</w:t>
            </w:r>
          </w:p>
        </w:tc>
        <w:tc>
          <w:tcPr>
            <w:tcW w:w="1134" w:type="dxa"/>
            <w:shd w:val="clear" w:color="auto" w:fill="auto"/>
            <w:vAlign w:val="center"/>
            <w:hideMark/>
          </w:tcPr>
          <w:p w14:paraId="33A885B4"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6 682 000</w:t>
            </w:r>
          </w:p>
        </w:tc>
        <w:tc>
          <w:tcPr>
            <w:tcW w:w="1134" w:type="dxa"/>
            <w:shd w:val="clear" w:color="auto" w:fill="auto"/>
            <w:vAlign w:val="center"/>
            <w:hideMark/>
          </w:tcPr>
          <w:p w14:paraId="631E0F19"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5 963 119</w:t>
            </w:r>
          </w:p>
        </w:tc>
        <w:tc>
          <w:tcPr>
            <w:tcW w:w="1134" w:type="dxa"/>
            <w:shd w:val="clear" w:color="auto" w:fill="auto"/>
            <w:vAlign w:val="center"/>
            <w:hideMark/>
          </w:tcPr>
          <w:p w14:paraId="13362194"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6 170 777</w:t>
            </w:r>
          </w:p>
        </w:tc>
        <w:tc>
          <w:tcPr>
            <w:tcW w:w="1304" w:type="dxa"/>
            <w:shd w:val="clear" w:color="auto" w:fill="auto"/>
            <w:vAlign w:val="center"/>
            <w:hideMark/>
          </w:tcPr>
          <w:p w14:paraId="1EB2E909"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18 815 896</w:t>
            </w:r>
          </w:p>
        </w:tc>
      </w:tr>
      <w:tr w:rsidR="00BE748F" w:rsidRPr="00E96461" w14:paraId="5702CF6B" w14:textId="77777777" w:rsidTr="00BE748F">
        <w:trPr>
          <w:trHeight w:val="349"/>
          <w:jc w:val="center"/>
        </w:trPr>
        <w:tc>
          <w:tcPr>
            <w:tcW w:w="4365" w:type="dxa"/>
            <w:shd w:val="clear" w:color="auto" w:fill="auto"/>
            <w:vAlign w:val="center"/>
            <w:hideMark/>
          </w:tcPr>
          <w:p w14:paraId="0C3661D0" w14:textId="77777777" w:rsidR="00BE748F" w:rsidRPr="00E96461" w:rsidRDefault="00BE748F" w:rsidP="00BE748F">
            <w:pPr>
              <w:spacing w:after="0" w:line="240" w:lineRule="auto"/>
              <w:rPr>
                <w:rFonts w:eastAsia="Times New Roman" w:cstheme="minorHAnsi"/>
                <w:color w:val="000000"/>
                <w:sz w:val="20"/>
                <w:szCs w:val="20"/>
                <w:lang w:eastAsia="cs-CZ"/>
              </w:rPr>
            </w:pPr>
            <w:r w:rsidRPr="00E96461">
              <w:rPr>
                <w:rFonts w:eastAsia="Times New Roman" w:cstheme="minorHAnsi"/>
                <w:color w:val="000000"/>
                <w:sz w:val="20"/>
                <w:szCs w:val="20"/>
                <w:lang w:eastAsia="cs-CZ"/>
              </w:rPr>
              <w:t>Policie ČR – Kriminalistický ústav Praha</w:t>
            </w:r>
          </w:p>
        </w:tc>
        <w:tc>
          <w:tcPr>
            <w:tcW w:w="1134" w:type="dxa"/>
            <w:shd w:val="clear" w:color="auto" w:fill="auto"/>
            <w:vAlign w:val="center"/>
            <w:hideMark/>
          </w:tcPr>
          <w:p w14:paraId="1D532003"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4 815 687</w:t>
            </w:r>
          </w:p>
        </w:tc>
        <w:tc>
          <w:tcPr>
            <w:tcW w:w="1134" w:type="dxa"/>
            <w:shd w:val="clear" w:color="auto" w:fill="auto"/>
            <w:vAlign w:val="center"/>
            <w:hideMark/>
          </w:tcPr>
          <w:p w14:paraId="18FFD674"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2 354 466</w:t>
            </w:r>
          </w:p>
        </w:tc>
        <w:tc>
          <w:tcPr>
            <w:tcW w:w="1134" w:type="dxa"/>
            <w:shd w:val="clear" w:color="auto" w:fill="auto"/>
            <w:vAlign w:val="center"/>
            <w:hideMark/>
          </w:tcPr>
          <w:p w14:paraId="29D2DEEF"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9 101 639</w:t>
            </w:r>
          </w:p>
        </w:tc>
        <w:tc>
          <w:tcPr>
            <w:tcW w:w="1304" w:type="dxa"/>
            <w:shd w:val="clear" w:color="auto" w:fill="auto"/>
            <w:vAlign w:val="center"/>
            <w:hideMark/>
          </w:tcPr>
          <w:p w14:paraId="19BF328B"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16 271 792</w:t>
            </w:r>
          </w:p>
        </w:tc>
      </w:tr>
      <w:tr w:rsidR="00BE748F" w:rsidRPr="00E96461" w14:paraId="30E8B657" w14:textId="77777777" w:rsidTr="00BE748F">
        <w:trPr>
          <w:trHeight w:val="423"/>
          <w:jc w:val="center"/>
        </w:trPr>
        <w:tc>
          <w:tcPr>
            <w:tcW w:w="4365" w:type="dxa"/>
            <w:shd w:val="clear" w:color="auto" w:fill="auto"/>
            <w:vAlign w:val="center"/>
            <w:hideMark/>
          </w:tcPr>
          <w:p w14:paraId="21DC1C4E" w14:textId="77777777" w:rsidR="00BE748F" w:rsidRPr="00E96461" w:rsidRDefault="00BE748F" w:rsidP="00BE748F">
            <w:pPr>
              <w:spacing w:after="0" w:line="240" w:lineRule="auto"/>
              <w:rPr>
                <w:rFonts w:eastAsia="Times New Roman" w:cstheme="minorHAnsi"/>
                <w:color w:val="000000"/>
                <w:sz w:val="20"/>
                <w:szCs w:val="20"/>
                <w:lang w:eastAsia="cs-CZ"/>
              </w:rPr>
            </w:pPr>
            <w:r w:rsidRPr="00E96461">
              <w:rPr>
                <w:rFonts w:eastAsia="Times New Roman" w:cstheme="minorHAnsi"/>
                <w:color w:val="000000"/>
                <w:sz w:val="20"/>
                <w:szCs w:val="20"/>
                <w:lang w:eastAsia="cs-CZ"/>
              </w:rPr>
              <w:t>MV – GŘ HZS ČR Technický ústav požární ochrany</w:t>
            </w:r>
          </w:p>
        </w:tc>
        <w:tc>
          <w:tcPr>
            <w:tcW w:w="1134" w:type="dxa"/>
            <w:shd w:val="clear" w:color="auto" w:fill="auto"/>
            <w:vAlign w:val="center"/>
            <w:hideMark/>
          </w:tcPr>
          <w:p w14:paraId="1436AD69"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4 142 000</w:t>
            </w:r>
          </w:p>
        </w:tc>
        <w:tc>
          <w:tcPr>
            <w:tcW w:w="1134" w:type="dxa"/>
            <w:shd w:val="clear" w:color="auto" w:fill="auto"/>
            <w:vAlign w:val="center"/>
            <w:hideMark/>
          </w:tcPr>
          <w:p w14:paraId="10A75D27"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3 451 530</w:t>
            </w:r>
          </w:p>
        </w:tc>
        <w:tc>
          <w:tcPr>
            <w:tcW w:w="1134" w:type="dxa"/>
            <w:shd w:val="clear" w:color="auto" w:fill="auto"/>
            <w:vAlign w:val="center"/>
            <w:hideMark/>
          </w:tcPr>
          <w:p w14:paraId="7FAD69FF"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2 618 839</w:t>
            </w:r>
          </w:p>
        </w:tc>
        <w:tc>
          <w:tcPr>
            <w:tcW w:w="1304" w:type="dxa"/>
            <w:shd w:val="clear" w:color="auto" w:fill="auto"/>
            <w:vAlign w:val="center"/>
            <w:hideMark/>
          </w:tcPr>
          <w:p w14:paraId="3AC84AC2"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10 212 369</w:t>
            </w:r>
          </w:p>
        </w:tc>
      </w:tr>
      <w:tr w:rsidR="00BE748F" w:rsidRPr="00E96461" w14:paraId="7C55CCE0" w14:textId="77777777" w:rsidTr="00BE748F">
        <w:trPr>
          <w:trHeight w:val="377"/>
          <w:jc w:val="center"/>
        </w:trPr>
        <w:tc>
          <w:tcPr>
            <w:tcW w:w="4365" w:type="dxa"/>
            <w:shd w:val="clear" w:color="auto" w:fill="auto"/>
            <w:vAlign w:val="center"/>
            <w:hideMark/>
          </w:tcPr>
          <w:p w14:paraId="6AA7F47B" w14:textId="77777777" w:rsidR="00BE748F" w:rsidRPr="00E96461" w:rsidRDefault="00BE748F" w:rsidP="00BE748F">
            <w:pPr>
              <w:spacing w:after="0" w:line="240" w:lineRule="auto"/>
              <w:rPr>
                <w:rFonts w:eastAsia="Times New Roman" w:cstheme="minorHAnsi"/>
                <w:color w:val="000000"/>
                <w:sz w:val="20"/>
                <w:szCs w:val="20"/>
                <w:lang w:eastAsia="cs-CZ"/>
              </w:rPr>
            </w:pPr>
            <w:r w:rsidRPr="00E96461">
              <w:rPr>
                <w:rFonts w:eastAsia="Times New Roman" w:cstheme="minorHAnsi"/>
                <w:color w:val="000000"/>
                <w:sz w:val="20"/>
                <w:szCs w:val="20"/>
                <w:lang w:eastAsia="cs-CZ"/>
              </w:rPr>
              <w:t>MV – GŘ HZS ČR Institut ochrany obyvatelstva</w:t>
            </w:r>
          </w:p>
        </w:tc>
        <w:tc>
          <w:tcPr>
            <w:tcW w:w="1134" w:type="dxa"/>
            <w:shd w:val="clear" w:color="auto" w:fill="auto"/>
            <w:vAlign w:val="center"/>
            <w:hideMark/>
          </w:tcPr>
          <w:p w14:paraId="485AFA76"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9 155 000</w:t>
            </w:r>
          </w:p>
        </w:tc>
        <w:tc>
          <w:tcPr>
            <w:tcW w:w="1134" w:type="dxa"/>
            <w:shd w:val="clear" w:color="auto" w:fill="auto"/>
            <w:vAlign w:val="center"/>
            <w:hideMark/>
          </w:tcPr>
          <w:p w14:paraId="65474A4C"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9 739 680</w:t>
            </w:r>
          </w:p>
        </w:tc>
        <w:tc>
          <w:tcPr>
            <w:tcW w:w="1134" w:type="dxa"/>
            <w:shd w:val="clear" w:color="auto" w:fill="auto"/>
            <w:vAlign w:val="center"/>
            <w:hideMark/>
          </w:tcPr>
          <w:p w14:paraId="7AFA1FBF"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12 843 007</w:t>
            </w:r>
          </w:p>
        </w:tc>
        <w:tc>
          <w:tcPr>
            <w:tcW w:w="1304" w:type="dxa"/>
            <w:shd w:val="clear" w:color="auto" w:fill="auto"/>
            <w:vAlign w:val="center"/>
            <w:hideMark/>
          </w:tcPr>
          <w:p w14:paraId="68A0CFEE"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31 737 687</w:t>
            </w:r>
          </w:p>
        </w:tc>
      </w:tr>
      <w:tr w:rsidR="00BE748F" w:rsidRPr="00E96461" w14:paraId="4F2C566B" w14:textId="77777777" w:rsidTr="00BE748F">
        <w:trPr>
          <w:trHeight w:val="395"/>
          <w:jc w:val="center"/>
        </w:trPr>
        <w:tc>
          <w:tcPr>
            <w:tcW w:w="4365" w:type="dxa"/>
            <w:shd w:val="clear" w:color="auto" w:fill="auto"/>
            <w:vAlign w:val="center"/>
            <w:hideMark/>
          </w:tcPr>
          <w:p w14:paraId="02A1B167" w14:textId="77777777" w:rsidR="00BE748F" w:rsidRPr="00E96461" w:rsidRDefault="00BE748F" w:rsidP="00BE748F">
            <w:pPr>
              <w:spacing w:after="0" w:line="240" w:lineRule="auto"/>
              <w:rPr>
                <w:rFonts w:eastAsia="Times New Roman" w:cstheme="minorHAnsi"/>
                <w:color w:val="000000"/>
                <w:sz w:val="20"/>
                <w:szCs w:val="20"/>
                <w:lang w:eastAsia="cs-CZ"/>
              </w:rPr>
            </w:pPr>
            <w:r w:rsidRPr="00E96461">
              <w:rPr>
                <w:rFonts w:eastAsia="Times New Roman" w:cstheme="minorHAnsi"/>
                <w:color w:val="000000"/>
                <w:sz w:val="20"/>
                <w:szCs w:val="20"/>
                <w:lang w:eastAsia="cs-CZ"/>
              </w:rPr>
              <w:t>Státní ústav jaderné chemické a biologické ochrany</w:t>
            </w:r>
          </w:p>
        </w:tc>
        <w:tc>
          <w:tcPr>
            <w:tcW w:w="1134" w:type="dxa"/>
            <w:shd w:val="clear" w:color="auto" w:fill="auto"/>
            <w:vAlign w:val="center"/>
            <w:hideMark/>
          </w:tcPr>
          <w:p w14:paraId="101F71FF"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7 555 000</w:t>
            </w:r>
          </w:p>
        </w:tc>
        <w:tc>
          <w:tcPr>
            <w:tcW w:w="1134" w:type="dxa"/>
            <w:shd w:val="clear" w:color="auto" w:fill="auto"/>
            <w:vAlign w:val="center"/>
            <w:hideMark/>
          </w:tcPr>
          <w:p w14:paraId="2164F23F"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7 651 071</w:t>
            </w:r>
          </w:p>
        </w:tc>
        <w:tc>
          <w:tcPr>
            <w:tcW w:w="1134" w:type="dxa"/>
            <w:shd w:val="clear" w:color="auto" w:fill="auto"/>
            <w:vAlign w:val="center"/>
            <w:hideMark/>
          </w:tcPr>
          <w:p w14:paraId="38AE249E"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8 503 303</w:t>
            </w:r>
          </w:p>
        </w:tc>
        <w:tc>
          <w:tcPr>
            <w:tcW w:w="1304" w:type="dxa"/>
            <w:shd w:val="clear" w:color="auto" w:fill="auto"/>
            <w:vAlign w:val="center"/>
            <w:hideMark/>
          </w:tcPr>
          <w:p w14:paraId="0BBF910D"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23 709 374</w:t>
            </w:r>
          </w:p>
        </w:tc>
      </w:tr>
      <w:tr w:rsidR="00BE748F" w:rsidRPr="00E96461" w14:paraId="74BBDEF1" w14:textId="77777777" w:rsidTr="00BE748F">
        <w:trPr>
          <w:trHeight w:val="358"/>
          <w:jc w:val="center"/>
        </w:trPr>
        <w:tc>
          <w:tcPr>
            <w:tcW w:w="4365" w:type="dxa"/>
            <w:shd w:val="clear" w:color="auto" w:fill="auto"/>
            <w:vAlign w:val="center"/>
            <w:hideMark/>
          </w:tcPr>
          <w:p w14:paraId="72FC37A3" w14:textId="77777777" w:rsidR="00BE748F" w:rsidRPr="00E96461" w:rsidRDefault="00BE748F" w:rsidP="00BE748F">
            <w:pPr>
              <w:spacing w:after="0" w:line="240" w:lineRule="auto"/>
              <w:rPr>
                <w:rFonts w:eastAsia="Times New Roman" w:cstheme="minorHAnsi"/>
                <w:color w:val="000000"/>
                <w:sz w:val="20"/>
                <w:szCs w:val="20"/>
                <w:lang w:eastAsia="cs-CZ"/>
              </w:rPr>
            </w:pPr>
            <w:r w:rsidRPr="00E96461">
              <w:rPr>
                <w:rFonts w:eastAsia="Times New Roman" w:cstheme="minorHAnsi"/>
                <w:color w:val="000000"/>
                <w:sz w:val="20"/>
                <w:szCs w:val="20"/>
                <w:lang w:eastAsia="cs-CZ"/>
              </w:rPr>
              <w:t>Státní ústav radiační ochrany</w:t>
            </w:r>
          </w:p>
        </w:tc>
        <w:tc>
          <w:tcPr>
            <w:tcW w:w="1134" w:type="dxa"/>
            <w:shd w:val="clear" w:color="auto" w:fill="auto"/>
            <w:vAlign w:val="center"/>
            <w:hideMark/>
          </w:tcPr>
          <w:p w14:paraId="50EF5037"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13 991 000</w:t>
            </w:r>
          </w:p>
        </w:tc>
        <w:tc>
          <w:tcPr>
            <w:tcW w:w="1134" w:type="dxa"/>
            <w:shd w:val="clear" w:color="auto" w:fill="auto"/>
            <w:vAlign w:val="center"/>
            <w:hideMark/>
          </w:tcPr>
          <w:p w14:paraId="07E52C52"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13 991 000</w:t>
            </w:r>
          </w:p>
        </w:tc>
        <w:tc>
          <w:tcPr>
            <w:tcW w:w="1134" w:type="dxa"/>
            <w:shd w:val="clear" w:color="auto" w:fill="auto"/>
            <w:vAlign w:val="center"/>
            <w:hideMark/>
          </w:tcPr>
          <w:p w14:paraId="7DE1ED33"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14 711 315</w:t>
            </w:r>
          </w:p>
        </w:tc>
        <w:tc>
          <w:tcPr>
            <w:tcW w:w="1304" w:type="dxa"/>
            <w:shd w:val="clear" w:color="auto" w:fill="auto"/>
            <w:vAlign w:val="center"/>
            <w:hideMark/>
          </w:tcPr>
          <w:p w14:paraId="5F55AC32"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42 693 315</w:t>
            </w:r>
          </w:p>
        </w:tc>
      </w:tr>
      <w:tr w:rsidR="00BE748F" w:rsidRPr="00E96461" w14:paraId="50C622E5" w14:textId="77777777" w:rsidTr="00BE748F">
        <w:trPr>
          <w:trHeight w:val="340"/>
          <w:jc w:val="center"/>
        </w:trPr>
        <w:tc>
          <w:tcPr>
            <w:tcW w:w="4365" w:type="dxa"/>
            <w:shd w:val="clear" w:color="auto" w:fill="auto"/>
            <w:vAlign w:val="center"/>
            <w:hideMark/>
          </w:tcPr>
          <w:p w14:paraId="6664A927" w14:textId="77777777" w:rsidR="00BE748F" w:rsidRPr="00E96461" w:rsidRDefault="00BE748F" w:rsidP="00BE748F">
            <w:pPr>
              <w:spacing w:after="0" w:line="240" w:lineRule="auto"/>
              <w:rPr>
                <w:rFonts w:eastAsia="Times New Roman" w:cstheme="minorHAnsi"/>
                <w:color w:val="000000"/>
                <w:sz w:val="20"/>
                <w:szCs w:val="20"/>
                <w:lang w:eastAsia="cs-CZ"/>
              </w:rPr>
            </w:pPr>
            <w:r w:rsidRPr="00E96461">
              <w:rPr>
                <w:rFonts w:eastAsia="Times New Roman" w:cstheme="minorHAnsi"/>
                <w:color w:val="000000"/>
                <w:sz w:val="20"/>
                <w:szCs w:val="20"/>
                <w:lang w:eastAsia="cs-CZ"/>
              </w:rPr>
              <w:t>Národní archiv</w:t>
            </w:r>
          </w:p>
        </w:tc>
        <w:tc>
          <w:tcPr>
            <w:tcW w:w="1134" w:type="dxa"/>
            <w:shd w:val="clear" w:color="auto" w:fill="auto"/>
            <w:vAlign w:val="center"/>
            <w:hideMark/>
          </w:tcPr>
          <w:p w14:paraId="3EBA22B2"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4 970 183</w:t>
            </w:r>
          </w:p>
        </w:tc>
        <w:tc>
          <w:tcPr>
            <w:tcW w:w="1134" w:type="dxa"/>
            <w:shd w:val="clear" w:color="auto" w:fill="auto"/>
            <w:vAlign w:val="center"/>
            <w:hideMark/>
          </w:tcPr>
          <w:p w14:paraId="05D1E53A"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5 331 723</w:t>
            </w:r>
          </w:p>
        </w:tc>
        <w:tc>
          <w:tcPr>
            <w:tcW w:w="1134" w:type="dxa"/>
            <w:shd w:val="clear" w:color="auto" w:fill="auto"/>
            <w:vAlign w:val="center"/>
            <w:hideMark/>
          </w:tcPr>
          <w:p w14:paraId="60539E63"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6 921 134</w:t>
            </w:r>
          </w:p>
        </w:tc>
        <w:tc>
          <w:tcPr>
            <w:tcW w:w="1304" w:type="dxa"/>
            <w:shd w:val="clear" w:color="auto" w:fill="auto"/>
            <w:vAlign w:val="center"/>
            <w:hideMark/>
          </w:tcPr>
          <w:p w14:paraId="02F01E46"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17 223 040</w:t>
            </w:r>
          </w:p>
        </w:tc>
      </w:tr>
      <w:tr w:rsidR="00BE748F" w:rsidRPr="00E96461" w14:paraId="282A3249" w14:textId="77777777" w:rsidTr="00BE748F">
        <w:trPr>
          <w:trHeight w:val="386"/>
          <w:jc w:val="center"/>
        </w:trPr>
        <w:tc>
          <w:tcPr>
            <w:tcW w:w="4365" w:type="dxa"/>
            <w:shd w:val="clear" w:color="auto" w:fill="auto"/>
            <w:vAlign w:val="center"/>
            <w:hideMark/>
          </w:tcPr>
          <w:p w14:paraId="5C357F43" w14:textId="77777777" w:rsidR="00BE748F" w:rsidRPr="00E96461" w:rsidRDefault="00BE748F" w:rsidP="00BE748F">
            <w:pPr>
              <w:spacing w:after="0" w:line="240" w:lineRule="auto"/>
              <w:rPr>
                <w:rFonts w:eastAsia="Times New Roman" w:cstheme="minorHAnsi"/>
                <w:color w:val="000000"/>
                <w:sz w:val="20"/>
                <w:szCs w:val="20"/>
                <w:lang w:eastAsia="cs-CZ"/>
              </w:rPr>
            </w:pPr>
            <w:r w:rsidRPr="00E96461">
              <w:rPr>
                <w:rFonts w:eastAsia="Times New Roman" w:cstheme="minorHAnsi"/>
                <w:color w:val="000000"/>
                <w:sz w:val="20"/>
                <w:szCs w:val="20"/>
                <w:lang w:eastAsia="cs-CZ"/>
              </w:rPr>
              <w:t>Policejní akademie ČR v Praze</w:t>
            </w:r>
          </w:p>
        </w:tc>
        <w:tc>
          <w:tcPr>
            <w:tcW w:w="1134" w:type="dxa"/>
            <w:shd w:val="clear" w:color="auto" w:fill="auto"/>
            <w:vAlign w:val="center"/>
            <w:hideMark/>
          </w:tcPr>
          <w:p w14:paraId="0B60168B"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4 897 565</w:t>
            </w:r>
          </w:p>
        </w:tc>
        <w:tc>
          <w:tcPr>
            <w:tcW w:w="1134" w:type="dxa"/>
            <w:shd w:val="clear" w:color="auto" w:fill="auto"/>
            <w:vAlign w:val="center"/>
            <w:hideMark/>
          </w:tcPr>
          <w:p w14:paraId="004D86E0"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4 680 687</w:t>
            </w:r>
          </w:p>
        </w:tc>
        <w:tc>
          <w:tcPr>
            <w:tcW w:w="1134" w:type="dxa"/>
            <w:shd w:val="clear" w:color="auto" w:fill="auto"/>
            <w:vAlign w:val="center"/>
            <w:hideMark/>
          </w:tcPr>
          <w:p w14:paraId="393BF194" w14:textId="77777777" w:rsidR="00BE748F" w:rsidRPr="00E96461" w:rsidRDefault="00BE748F" w:rsidP="00BE748F">
            <w:pPr>
              <w:spacing w:after="0" w:line="240" w:lineRule="auto"/>
              <w:jc w:val="right"/>
              <w:rPr>
                <w:rFonts w:eastAsia="Times New Roman" w:cstheme="minorHAnsi"/>
                <w:color w:val="000000"/>
                <w:sz w:val="20"/>
                <w:szCs w:val="20"/>
                <w:lang w:eastAsia="cs-CZ"/>
              </w:rPr>
            </w:pPr>
            <w:r w:rsidRPr="00E96461">
              <w:rPr>
                <w:rFonts w:eastAsia="Times New Roman" w:cstheme="minorHAnsi"/>
                <w:color w:val="000000"/>
                <w:sz w:val="20"/>
                <w:szCs w:val="20"/>
                <w:lang w:eastAsia="cs-CZ"/>
              </w:rPr>
              <w:t>4 711 329</w:t>
            </w:r>
          </w:p>
        </w:tc>
        <w:tc>
          <w:tcPr>
            <w:tcW w:w="1304" w:type="dxa"/>
            <w:shd w:val="clear" w:color="auto" w:fill="auto"/>
            <w:vAlign w:val="center"/>
            <w:hideMark/>
          </w:tcPr>
          <w:p w14:paraId="4BAF8911"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14 289 581</w:t>
            </w:r>
          </w:p>
        </w:tc>
      </w:tr>
      <w:tr w:rsidR="00BE748F" w:rsidRPr="00E96461" w14:paraId="7BB734C8" w14:textId="77777777" w:rsidTr="00BE748F">
        <w:trPr>
          <w:trHeight w:val="275"/>
          <w:jc w:val="center"/>
        </w:trPr>
        <w:tc>
          <w:tcPr>
            <w:tcW w:w="4365" w:type="dxa"/>
            <w:shd w:val="clear" w:color="auto" w:fill="auto"/>
            <w:vAlign w:val="center"/>
            <w:hideMark/>
          </w:tcPr>
          <w:p w14:paraId="75D7DD94" w14:textId="77777777" w:rsidR="00BE748F" w:rsidRPr="00E96461" w:rsidRDefault="00BE748F" w:rsidP="00BE748F">
            <w:pPr>
              <w:spacing w:after="0" w:line="240" w:lineRule="auto"/>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Celkem</w:t>
            </w:r>
          </w:p>
        </w:tc>
        <w:tc>
          <w:tcPr>
            <w:tcW w:w="1134" w:type="dxa"/>
            <w:shd w:val="clear" w:color="auto" w:fill="auto"/>
            <w:noWrap/>
            <w:vAlign w:val="bottom"/>
            <w:hideMark/>
          </w:tcPr>
          <w:p w14:paraId="755C6668"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56 208 435</w:t>
            </w:r>
          </w:p>
        </w:tc>
        <w:tc>
          <w:tcPr>
            <w:tcW w:w="1134" w:type="dxa"/>
            <w:shd w:val="clear" w:color="auto" w:fill="auto"/>
            <w:noWrap/>
            <w:vAlign w:val="bottom"/>
            <w:hideMark/>
          </w:tcPr>
          <w:p w14:paraId="74D1967E"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53 163 276</w:t>
            </w:r>
          </w:p>
        </w:tc>
        <w:tc>
          <w:tcPr>
            <w:tcW w:w="1134" w:type="dxa"/>
            <w:shd w:val="clear" w:color="auto" w:fill="auto"/>
            <w:noWrap/>
            <w:vAlign w:val="bottom"/>
            <w:hideMark/>
          </w:tcPr>
          <w:p w14:paraId="27876393"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65 581 343</w:t>
            </w:r>
          </w:p>
        </w:tc>
        <w:tc>
          <w:tcPr>
            <w:tcW w:w="1304" w:type="dxa"/>
            <w:shd w:val="clear" w:color="auto" w:fill="auto"/>
            <w:noWrap/>
            <w:vAlign w:val="bottom"/>
            <w:hideMark/>
          </w:tcPr>
          <w:p w14:paraId="1003C55D" w14:textId="77777777" w:rsidR="00BE748F" w:rsidRPr="00E96461" w:rsidRDefault="00BE748F" w:rsidP="00BE748F">
            <w:pPr>
              <w:spacing w:after="0" w:line="240" w:lineRule="auto"/>
              <w:jc w:val="right"/>
              <w:rPr>
                <w:rFonts w:eastAsia="Times New Roman" w:cstheme="minorHAnsi"/>
                <w:b/>
                <w:bCs/>
                <w:color w:val="000000"/>
                <w:sz w:val="20"/>
                <w:szCs w:val="20"/>
                <w:lang w:eastAsia="cs-CZ"/>
              </w:rPr>
            </w:pPr>
            <w:r w:rsidRPr="00E96461">
              <w:rPr>
                <w:rFonts w:eastAsia="Times New Roman" w:cstheme="minorHAnsi"/>
                <w:b/>
                <w:bCs/>
                <w:color w:val="000000"/>
                <w:sz w:val="20"/>
                <w:szCs w:val="20"/>
                <w:lang w:eastAsia="cs-CZ"/>
              </w:rPr>
              <w:t>174 953 054</w:t>
            </w:r>
          </w:p>
        </w:tc>
      </w:tr>
    </w:tbl>
    <w:p w14:paraId="3E70DF1B" w14:textId="60A18EB5" w:rsidR="00BE748F" w:rsidRPr="00E96461" w:rsidRDefault="00BE748F" w:rsidP="00BE748F">
      <w:pPr>
        <w:spacing w:before="40"/>
        <w:rPr>
          <w:sz w:val="20"/>
          <w:szCs w:val="20"/>
        </w:rPr>
      </w:pPr>
      <w:r w:rsidRPr="005304A5">
        <w:rPr>
          <w:b/>
          <w:sz w:val="20"/>
          <w:szCs w:val="20"/>
        </w:rPr>
        <w:t>Zdroj:</w:t>
      </w:r>
      <w:r w:rsidRPr="00E96461">
        <w:rPr>
          <w:sz w:val="20"/>
          <w:szCs w:val="20"/>
        </w:rPr>
        <w:t xml:space="preserve"> </w:t>
      </w:r>
      <w:r w:rsidR="0085781F">
        <w:rPr>
          <w:sz w:val="20"/>
          <w:szCs w:val="20"/>
        </w:rPr>
        <w:t>d</w:t>
      </w:r>
      <w:r w:rsidRPr="00E96461">
        <w:rPr>
          <w:sz w:val="20"/>
          <w:szCs w:val="20"/>
        </w:rPr>
        <w:t>okumenty předložené MV</w:t>
      </w:r>
      <w:r>
        <w:rPr>
          <w:sz w:val="20"/>
          <w:szCs w:val="20"/>
        </w:rPr>
        <w:t>.</w:t>
      </w:r>
    </w:p>
    <w:p w14:paraId="0B2BF1CB" w14:textId="77777777" w:rsidR="00BE748F" w:rsidRDefault="00BE748F" w:rsidP="00130E35">
      <w:pPr>
        <w:spacing w:after="0" w:line="240" w:lineRule="auto"/>
      </w:pPr>
    </w:p>
    <w:p w14:paraId="2FE7AA33" w14:textId="77777777" w:rsidR="00BE748F" w:rsidRDefault="00BE748F">
      <w:r>
        <w:br w:type="page"/>
      </w:r>
    </w:p>
    <w:p w14:paraId="65793BDE" w14:textId="77777777" w:rsidR="00BE748F" w:rsidRPr="0085781F" w:rsidRDefault="00BE748F" w:rsidP="00BE748F">
      <w:pPr>
        <w:jc w:val="right"/>
        <w:rPr>
          <w:b/>
          <w:sz w:val="24"/>
        </w:rPr>
      </w:pPr>
      <w:r w:rsidRPr="0085781F">
        <w:rPr>
          <w:b/>
          <w:sz w:val="24"/>
        </w:rPr>
        <w:lastRenderedPageBreak/>
        <w:t>Příloha č. 2</w:t>
      </w:r>
    </w:p>
    <w:p w14:paraId="76FAAF94" w14:textId="77777777" w:rsidR="00BE748F" w:rsidRPr="0085781F" w:rsidRDefault="00BE748F" w:rsidP="00BE748F">
      <w:pPr>
        <w:spacing w:after="40" w:line="240" w:lineRule="auto"/>
        <w:jc w:val="both"/>
        <w:rPr>
          <w:b/>
          <w:sz w:val="24"/>
        </w:rPr>
      </w:pPr>
      <w:r w:rsidRPr="0085781F">
        <w:rPr>
          <w:b/>
          <w:sz w:val="24"/>
        </w:rPr>
        <w:t>Přehled projektů vybraných ke kontrole a hodnocení jejich účelnosti a efektivnosti</w:t>
      </w:r>
    </w:p>
    <w:tbl>
      <w:tblPr>
        <w:tblW w:w="5000" w:type="pct"/>
        <w:tblInd w:w="-1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0" w:type="dxa"/>
          <w:right w:w="70" w:type="dxa"/>
        </w:tblCellMar>
        <w:tblLook w:val="04A0" w:firstRow="1" w:lastRow="0" w:firstColumn="1" w:lastColumn="0" w:noHBand="0" w:noVBand="1"/>
      </w:tblPr>
      <w:tblGrid>
        <w:gridCol w:w="1494"/>
        <w:gridCol w:w="2637"/>
        <w:gridCol w:w="1797"/>
        <w:gridCol w:w="1194"/>
        <w:gridCol w:w="869"/>
        <w:gridCol w:w="1075"/>
      </w:tblGrid>
      <w:tr w:rsidR="00BE748F" w:rsidRPr="0078645D" w14:paraId="62EFB651" w14:textId="77777777" w:rsidTr="00604B88">
        <w:trPr>
          <w:trHeight w:val="735"/>
        </w:trPr>
        <w:tc>
          <w:tcPr>
            <w:tcW w:w="818" w:type="pct"/>
            <w:vMerge w:val="restart"/>
            <w:shd w:val="clear" w:color="auto" w:fill="E5F1FF"/>
            <w:vAlign w:val="center"/>
            <w:hideMark/>
          </w:tcPr>
          <w:p w14:paraId="0A2EAB3E" w14:textId="77777777" w:rsidR="00BE748F" w:rsidRPr="0078645D" w:rsidRDefault="00BE748F" w:rsidP="00BE748F">
            <w:pPr>
              <w:spacing w:after="0" w:line="240" w:lineRule="auto"/>
              <w:jc w:val="center"/>
              <w:rPr>
                <w:rFonts w:ascii="Calibri" w:eastAsia="Times New Roman" w:hAnsi="Calibri" w:cs="Calibri"/>
                <w:b/>
                <w:bCs/>
                <w:color w:val="000000"/>
                <w:sz w:val="20"/>
                <w:szCs w:val="20"/>
                <w:lang w:eastAsia="cs-CZ"/>
              </w:rPr>
            </w:pPr>
            <w:r w:rsidRPr="0078645D">
              <w:rPr>
                <w:rFonts w:ascii="Calibri" w:eastAsia="Times New Roman" w:hAnsi="Calibri" w:cs="Calibri"/>
                <w:b/>
                <w:bCs/>
                <w:color w:val="000000"/>
                <w:sz w:val="20"/>
                <w:szCs w:val="20"/>
                <w:lang w:eastAsia="cs-CZ"/>
              </w:rPr>
              <w:t>Číslo projektu</w:t>
            </w:r>
          </w:p>
        </w:tc>
        <w:tc>
          <w:tcPr>
            <w:tcW w:w="1477" w:type="pct"/>
            <w:vMerge w:val="restart"/>
            <w:shd w:val="clear" w:color="auto" w:fill="E5F1FF"/>
            <w:vAlign w:val="center"/>
            <w:hideMark/>
          </w:tcPr>
          <w:p w14:paraId="3B6C2158" w14:textId="77777777" w:rsidR="00BE748F" w:rsidRPr="0078645D" w:rsidRDefault="00BE748F" w:rsidP="00BE748F">
            <w:pPr>
              <w:spacing w:after="0" w:line="240" w:lineRule="auto"/>
              <w:jc w:val="center"/>
              <w:rPr>
                <w:rFonts w:ascii="Calibri" w:eastAsia="Times New Roman" w:hAnsi="Calibri" w:cs="Calibri"/>
                <w:b/>
                <w:bCs/>
                <w:color w:val="000000"/>
                <w:sz w:val="20"/>
                <w:szCs w:val="20"/>
                <w:lang w:eastAsia="cs-CZ"/>
              </w:rPr>
            </w:pPr>
            <w:r w:rsidRPr="0078645D">
              <w:rPr>
                <w:rFonts w:ascii="Calibri" w:eastAsia="Times New Roman" w:hAnsi="Calibri" w:cs="Calibri"/>
                <w:b/>
                <w:bCs/>
                <w:color w:val="000000"/>
                <w:sz w:val="20"/>
                <w:szCs w:val="20"/>
                <w:lang w:eastAsia="cs-CZ"/>
              </w:rPr>
              <w:t>Název projektu</w:t>
            </w:r>
          </w:p>
        </w:tc>
        <w:tc>
          <w:tcPr>
            <w:tcW w:w="968" w:type="pct"/>
            <w:vMerge w:val="restart"/>
            <w:shd w:val="clear" w:color="auto" w:fill="E5F1FF"/>
            <w:vAlign w:val="center"/>
            <w:hideMark/>
          </w:tcPr>
          <w:p w14:paraId="3E48132C" w14:textId="77777777" w:rsidR="00BE748F" w:rsidRPr="0078645D" w:rsidRDefault="00BE748F" w:rsidP="00BE748F">
            <w:pPr>
              <w:spacing w:after="0" w:line="240" w:lineRule="auto"/>
              <w:jc w:val="center"/>
              <w:rPr>
                <w:rFonts w:ascii="Calibri" w:eastAsia="Times New Roman" w:hAnsi="Calibri" w:cs="Calibri"/>
                <w:bCs/>
                <w:color w:val="000000"/>
                <w:sz w:val="20"/>
                <w:szCs w:val="20"/>
                <w:lang w:eastAsia="cs-CZ"/>
              </w:rPr>
            </w:pPr>
            <w:r w:rsidRPr="0078645D">
              <w:rPr>
                <w:rFonts w:ascii="Calibri" w:eastAsia="Times New Roman" w:hAnsi="Calibri" w:cs="Calibri"/>
                <w:b/>
                <w:bCs/>
                <w:color w:val="000000"/>
                <w:sz w:val="20"/>
                <w:szCs w:val="20"/>
                <w:lang w:eastAsia="cs-CZ"/>
              </w:rPr>
              <w:t xml:space="preserve">Kontrolovaný příjemce podpory </w:t>
            </w:r>
          </w:p>
        </w:tc>
        <w:tc>
          <w:tcPr>
            <w:tcW w:w="681" w:type="pct"/>
            <w:vMerge w:val="restart"/>
            <w:shd w:val="clear" w:color="auto" w:fill="E5F1FF"/>
            <w:vAlign w:val="center"/>
            <w:hideMark/>
          </w:tcPr>
          <w:p w14:paraId="6E144F88" w14:textId="77777777" w:rsidR="00BE748F" w:rsidRPr="0078645D" w:rsidRDefault="00BE748F" w:rsidP="00BE748F">
            <w:pPr>
              <w:spacing w:after="0" w:line="240" w:lineRule="auto"/>
              <w:jc w:val="center"/>
              <w:rPr>
                <w:rFonts w:ascii="Calibri" w:eastAsia="Times New Roman" w:hAnsi="Calibri" w:cs="Calibri"/>
                <w:b/>
                <w:bCs/>
                <w:color w:val="000000"/>
                <w:sz w:val="20"/>
                <w:szCs w:val="20"/>
                <w:lang w:eastAsia="cs-CZ"/>
              </w:rPr>
            </w:pPr>
            <w:r w:rsidRPr="0078645D">
              <w:rPr>
                <w:rFonts w:ascii="Calibri" w:eastAsia="Times New Roman" w:hAnsi="Calibri" w:cs="Calibri"/>
                <w:b/>
                <w:bCs/>
                <w:color w:val="000000"/>
                <w:sz w:val="20"/>
                <w:szCs w:val="20"/>
                <w:lang w:eastAsia="cs-CZ"/>
              </w:rPr>
              <w:t xml:space="preserve">Výše podpory ze státního rozpočtu </w:t>
            </w:r>
          </w:p>
          <w:p w14:paraId="1C3BF85D" w14:textId="77777777" w:rsidR="00BE748F" w:rsidRPr="0078645D" w:rsidRDefault="00BE748F" w:rsidP="00BE748F">
            <w:pPr>
              <w:spacing w:after="0" w:line="240" w:lineRule="auto"/>
              <w:jc w:val="center"/>
              <w:rPr>
                <w:rFonts w:ascii="Calibri" w:eastAsia="Times New Roman" w:hAnsi="Calibri" w:cs="Calibri"/>
                <w:b/>
                <w:bCs/>
                <w:color w:val="000000"/>
                <w:sz w:val="20"/>
                <w:szCs w:val="20"/>
                <w:lang w:eastAsia="cs-CZ"/>
              </w:rPr>
            </w:pPr>
            <w:r w:rsidRPr="0078645D">
              <w:rPr>
                <w:rFonts w:ascii="Calibri" w:eastAsia="Times New Roman" w:hAnsi="Calibri" w:cs="Calibri"/>
                <w:b/>
                <w:bCs/>
                <w:color w:val="000000"/>
                <w:sz w:val="20"/>
                <w:szCs w:val="20"/>
                <w:lang w:eastAsia="cs-CZ"/>
              </w:rPr>
              <w:t>(v tis. Kč)</w:t>
            </w:r>
          </w:p>
        </w:tc>
        <w:tc>
          <w:tcPr>
            <w:tcW w:w="1050" w:type="pct"/>
            <w:gridSpan w:val="2"/>
            <w:shd w:val="clear" w:color="auto" w:fill="E5F1FF"/>
            <w:vAlign w:val="center"/>
            <w:hideMark/>
          </w:tcPr>
          <w:p w14:paraId="43B3C740" w14:textId="77777777" w:rsidR="00BE748F" w:rsidRPr="0078645D" w:rsidRDefault="00BE748F" w:rsidP="00BE748F">
            <w:pPr>
              <w:spacing w:after="0" w:line="240" w:lineRule="auto"/>
              <w:jc w:val="center"/>
              <w:rPr>
                <w:rFonts w:ascii="Calibri" w:eastAsia="Times New Roman" w:hAnsi="Calibri" w:cs="Calibri"/>
                <w:b/>
                <w:bCs/>
                <w:color w:val="000000"/>
                <w:sz w:val="20"/>
                <w:szCs w:val="20"/>
                <w:lang w:eastAsia="cs-CZ"/>
              </w:rPr>
            </w:pPr>
            <w:r w:rsidRPr="0078645D">
              <w:rPr>
                <w:rFonts w:ascii="Calibri" w:eastAsia="Times New Roman" w:hAnsi="Calibri" w:cs="Calibri"/>
                <w:b/>
                <w:bCs/>
                <w:color w:val="000000"/>
                <w:sz w:val="20"/>
                <w:szCs w:val="20"/>
                <w:lang w:eastAsia="cs-CZ"/>
              </w:rPr>
              <w:t>Hodnocení</w:t>
            </w:r>
          </w:p>
        </w:tc>
      </w:tr>
      <w:tr w:rsidR="00BE748F" w:rsidRPr="0078645D" w14:paraId="196EB137" w14:textId="77777777" w:rsidTr="00604B88">
        <w:trPr>
          <w:trHeight w:val="442"/>
        </w:trPr>
        <w:tc>
          <w:tcPr>
            <w:tcW w:w="0" w:type="auto"/>
            <w:vMerge/>
            <w:vAlign w:val="center"/>
            <w:hideMark/>
          </w:tcPr>
          <w:p w14:paraId="213239FD" w14:textId="77777777" w:rsidR="00BE748F" w:rsidRPr="0078645D" w:rsidRDefault="00BE748F" w:rsidP="00BE748F">
            <w:pPr>
              <w:spacing w:after="0" w:line="240" w:lineRule="auto"/>
              <w:rPr>
                <w:rFonts w:ascii="Calibri" w:eastAsia="Times New Roman" w:hAnsi="Calibri" w:cs="Calibri"/>
                <w:b/>
                <w:bCs/>
                <w:color w:val="000000"/>
                <w:sz w:val="20"/>
                <w:szCs w:val="20"/>
                <w:lang w:eastAsia="cs-CZ"/>
              </w:rPr>
            </w:pPr>
          </w:p>
        </w:tc>
        <w:tc>
          <w:tcPr>
            <w:tcW w:w="1477" w:type="pct"/>
            <w:vMerge/>
            <w:vAlign w:val="center"/>
            <w:hideMark/>
          </w:tcPr>
          <w:p w14:paraId="1EE75C5B" w14:textId="77777777" w:rsidR="00BE748F" w:rsidRPr="0078645D" w:rsidRDefault="00BE748F" w:rsidP="00BE748F">
            <w:pPr>
              <w:spacing w:after="0" w:line="240" w:lineRule="auto"/>
              <w:rPr>
                <w:rFonts w:ascii="Calibri" w:eastAsia="Times New Roman" w:hAnsi="Calibri" w:cs="Calibri"/>
                <w:b/>
                <w:bCs/>
                <w:color w:val="000000"/>
                <w:sz w:val="20"/>
                <w:szCs w:val="20"/>
                <w:lang w:eastAsia="cs-CZ"/>
              </w:rPr>
            </w:pPr>
          </w:p>
        </w:tc>
        <w:tc>
          <w:tcPr>
            <w:tcW w:w="0" w:type="auto"/>
            <w:vMerge/>
            <w:vAlign w:val="center"/>
            <w:hideMark/>
          </w:tcPr>
          <w:p w14:paraId="2CCEC070" w14:textId="77777777" w:rsidR="00BE748F" w:rsidRPr="0078645D" w:rsidRDefault="00BE748F" w:rsidP="00BE748F">
            <w:pPr>
              <w:spacing w:after="0" w:line="240" w:lineRule="auto"/>
              <w:rPr>
                <w:rFonts w:ascii="Calibri" w:eastAsia="Times New Roman" w:hAnsi="Calibri" w:cs="Calibri"/>
                <w:bCs/>
                <w:color w:val="000000"/>
                <w:sz w:val="20"/>
                <w:szCs w:val="20"/>
                <w:lang w:eastAsia="cs-CZ"/>
              </w:rPr>
            </w:pPr>
          </w:p>
        </w:tc>
        <w:tc>
          <w:tcPr>
            <w:tcW w:w="681" w:type="pct"/>
            <w:vMerge/>
            <w:vAlign w:val="center"/>
            <w:hideMark/>
          </w:tcPr>
          <w:p w14:paraId="12B95711" w14:textId="77777777" w:rsidR="00BE748F" w:rsidRPr="0078645D" w:rsidRDefault="00BE748F" w:rsidP="00BE748F">
            <w:pPr>
              <w:spacing w:after="0" w:line="240" w:lineRule="auto"/>
              <w:rPr>
                <w:rFonts w:ascii="Calibri" w:eastAsia="Times New Roman" w:hAnsi="Calibri" w:cs="Calibri"/>
                <w:b/>
                <w:bCs/>
                <w:color w:val="000000"/>
                <w:sz w:val="20"/>
                <w:szCs w:val="20"/>
                <w:lang w:eastAsia="cs-CZ"/>
              </w:rPr>
            </w:pPr>
          </w:p>
        </w:tc>
        <w:tc>
          <w:tcPr>
            <w:tcW w:w="468" w:type="pct"/>
            <w:shd w:val="clear" w:color="auto" w:fill="E5F1FF"/>
            <w:vAlign w:val="center"/>
            <w:hideMark/>
          </w:tcPr>
          <w:p w14:paraId="6B4DDA80" w14:textId="77777777" w:rsidR="00BE748F" w:rsidRPr="0078645D" w:rsidRDefault="00BE748F" w:rsidP="00BE748F">
            <w:pPr>
              <w:spacing w:after="0" w:line="240" w:lineRule="auto"/>
              <w:jc w:val="center"/>
              <w:rPr>
                <w:rFonts w:ascii="Calibri" w:eastAsia="Times New Roman" w:hAnsi="Calibri" w:cs="Calibri"/>
                <w:b/>
                <w:bCs/>
                <w:color w:val="000000"/>
                <w:sz w:val="20"/>
                <w:szCs w:val="20"/>
                <w:lang w:eastAsia="cs-CZ"/>
              </w:rPr>
            </w:pPr>
            <w:r w:rsidRPr="0078645D">
              <w:rPr>
                <w:rFonts w:ascii="Calibri" w:eastAsia="Times New Roman" w:hAnsi="Calibri" w:cs="Calibri"/>
                <w:b/>
                <w:bCs/>
                <w:color w:val="000000"/>
                <w:sz w:val="20"/>
                <w:szCs w:val="20"/>
                <w:lang w:eastAsia="cs-CZ"/>
              </w:rPr>
              <w:t>Účelnost</w:t>
            </w:r>
          </w:p>
        </w:tc>
        <w:tc>
          <w:tcPr>
            <w:tcW w:w="579" w:type="pct"/>
            <w:shd w:val="clear" w:color="auto" w:fill="E5F1FF"/>
            <w:vAlign w:val="center"/>
            <w:hideMark/>
          </w:tcPr>
          <w:p w14:paraId="24C44A9A" w14:textId="77777777" w:rsidR="00BE748F" w:rsidRPr="0078645D" w:rsidRDefault="00BE748F" w:rsidP="00BE748F">
            <w:pPr>
              <w:spacing w:after="0" w:line="240" w:lineRule="auto"/>
              <w:jc w:val="center"/>
              <w:rPr>
                <w:rFonts w:ascii="Calibri" w:eastAsia="Times New Roman" w:hAnsi="Calibri" w:cs="Calibri"/>
                <w:b/>
                <w:bCs/>
                <w:color w:val="000000"/>
                <w:sz w:val="20"/>
                <w:szCs w:val="20"/>
                <w:lang w:eastAsia="cs-CZ"/>
              </w:rPr>
            </w:pPr>
            <w:r w:rsidRPr="0078645D">
              <w:rPr>
                <w:rFonts w:ascii="Calibri" w:eastAsia="Times New Roman" w:hAnsi="Calibri" w:cs="Calibri"/>
                <w:b/>
                <w:bCs/>
                <w:color w:val="000000"/>
                <w:sz w:val="20"/>
                <w:szCs w:val="20"/>
                <w:lang w:eastAsia="cs-CZ"/>
              </w:rPr>
              <w:t>Efektivnost</w:t>
            </w:r>
          </w:p>
        </w:tc>
      </w:tr>
      <w:tr w:rsidR="00BE748F" w:rsidRPr="0078645D" w14:paraId="50FB534D" w14:textId="77777777" w:rsidTr="00604B88">
        <w:trPr>
          <w:trHeight w:val="300"/>
        </w:trPr>
        <w:tc>
          <w:tcPr>
            <w:tcW w:w="5000" w:type="pct"/>
            <w:gridSpan w:val="6"/>
            <w:shd w:val="clear" w:color="auto" w:fill="F2C6C9"/>
            <w:vAlign w:val="center"/>
            <w:hideMark/>
          </w:tcPr>
          <w:p w14:paraId="46915875" w14:textId="70AF323F" w:rsidR="00BE748F" w:rsidRPr="0078645D" w:rsidRDefault="00BE748F" w:rsidP="00887072">
            <w:pPr>
              <w:spacing w:after="0" w:line="240" w:lineRule="auto"/>
              <w:rPr>
                <w:rFonts w:ascii="Calibri" w:eastAsia="Times New Roman" w:hAnsi="Calibri" w:cs="Calibri"/>
                <w:b/>
                <w:bCs/>
                <w:color w:val="000000"/>
                <w:sz w:val="20"/>
                <w:szCs w:val="20"/>
                <w:lang w:eastAsia="cs-CZ"/>
              </w:rPr>
            </w:pPr>
            <w:r w:rsidRPr="0078645D">
              <w:rPr>
                <w:rFonts w:ascii="Calibri" w:eastAsia="Times New Roman" w:hAnsi="Calibri" w:cs="Calibri"/>
                <w:b/>
                <w:bCs/>
                <w:color w:val="000000"/>
                <w:sz w:val="20"/>
                <w:szCs w:val="20"/>
                <w:lang w:eastAsia="cs-CZ"/>
              </w:rPr>
              <w:t xml:space="preserve">Program bezpečnostního výzkumu pro potřeby státu 2016–2021 (BV III/2 – VZ) </w:t>
            </w:r>
          </w:p>
        </w:tc>
      </w:tr>
      <w:tr w:rsidR="00BE748F" w:rsidRPr="0078645D" w14:paraId="43AE3FDA" w14:textId="77777777" w:rsidTr="0085781F">
        <w:trPr>
          <w:trHeight w:val="600"/>
        </w:trPr>
        <w:tc>
          <w:tcPr>
            <w:tcW w:w="818" w:type="pct"/>
            <w:vAlign w:val="center"/>
            <w:hideMark/>
          </w:tcPr>
          <w:p w14:paraId="54B77FCC"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VH20162017003</w:t>
            </w:r>
          </w:p>
        </w:tc>
        <w:tc>
          <w:tcPr>
            <w:tcW w:w="1477" w:type="pct"/>
            <w:vAlign w:val="center"/>
            <w:hideMark/>
          </w:tcPr>
          <w:p w14:paraId="1EAE923F" w14:textId="77777777" w:rsidR="00BE748F" w:rsidRPr="0078645D" w:rsidRDefault="009930C8" w:rsidP="00BE748F">
            <w:pPr>
              <w:spacing w:after="0" w:line="240" w:lineRule="auto"/>
              <w:jc w:val="center"/>
              <w:rPr>
                <w:rFonts w:ascii="Calibri" w:eastAsia="Times New Roman" w:hAnsi="Calibri" w:cs="Calibri"/>
                <w:sz w:val="20"/>
                <w:szCs w:val="20"/>
              </w:rPr>
            </w:pPr>
            <w:hyperlink r:id="rId25" w:history="1">
              <w:r w:rsidR="00BE748F" w:rsidRPr="0078645D">
                <w:rPr>
                  <w:rFonts w:ascii="Calibri" w:eastAsia="Times New Roman" w:hAnsi="Calibri" w:cs="Calibri"/>
                  <w:sz w:val="20"/>
                  <w:szCs w:val="20"/>
                </w:rPr>
                <w:t xml:space="preserve">Vliv reklamních zařízení na bezpečnost silničního provozu </w:t>
              </w:r>
            </w:hyperlink>
          </w:p>
        </w:tc>
        <w:tc>
          <w:tcPr>
            <w:tcW w:w="968" w:type="pct"/>
            <w:vAlign w:val="center"/>
            <w:hideMark/>
          </w:tcPr>
          <w:p w14:paraId="2A2D4C43"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bCs/>
                <w:color w:val="000000"/>
                <w:sz w:val="20"/>
                <w:szCs w:val="20"/>
                <w:lang w:eastAsia="cs-CZ"/>
              </w:rPr>
              <w:t>České vysoké učení technické v Praze</w:t>
            </w:r>
          </w:p>
        </w:tc>
        <w:tc>
          <w:tcPr>
            <w:tcW w:w="681" w:type="pct"/>
            <w:vAlign w:val="center"/>
            <w:hideMark/>
          </w:tcPr>
          <w:p w14:paraId="26D363DC"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1 500</w:t>
            </w:r>
          </w:p>
        </w:tc>
        <w:tc>
          <w:tcPr>
            <w:tcW w:w="468" w:type="pct"/>
            <w:shd w:val="clear" w:color="auto" w:fill="FFFF00"/>
            <w:vAlign w:val="center"/>
            <w:hideMark/>
          </w:tcPr>
          <w:p w14:paraId="16AAA745"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3</w:t>
            </w:r>
          </w:p>
        </w:tc>
        <w:tc>
          <w:tcPr>
            <w:tcW w:w="579" w:type="pct"/>
            <w:shd w:val="clear" w:color="auto" w:fill="FFFF00"/>
            <w:vAlign w:val="center"/>
            <w:hideMark/>
          </w:tcPr>
          <w:p w14:paraId="2BDFCC52"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3</w:t>
            </w:r>
          </w:p>
        </w:tc>
      </w:tr>
      <w:tr w:rsidR="00BE748F" w:rsidRPr="0078645D" w14:paraId="278FFB54" w14:textId="77777777" w:rsidTr="0085781F">
        <w:trPr>
          <w:trHeight w:val="861"/>
        </w:trPr>
        <w:tc>
          <w:tcPr>
            <w:tcW w:w="818" w:type="pct"/>
            <w:vAlign w:val="center"/>
            <w:hideMark/>
          </w:tcPr>
          <w:p w14:paraId="0ED474C7"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VH20172018014</w:t>
            </w:r>
          </w:p>
        </w:tc>
        <w:tc>
          <w:tcPr>
            <w:tcW w:w="1477" w:type="pct"/>
            <w:vAlign w:val="center"/>
            <w:hideMark/>
          </w:tcPr>
          <w:p w14:paraId="07909CF6" w14:textId="77777777" w:rsidR="00BE748F" w:rsidRPr="0078645D" w:rsidRDefault="00BE748F" w:rsidP="00BE748F">
            <w:pPr>
              <w:spacing w:after="0" w:line="240" w:lineRule="auto"/>
              <w:jc w:val="center"/>
              <w:rPr>
                <w:rFonts w:ascii="Calibri" w:eastAsia="Times New Roman" w:hAnsi="Calibri" w:cs="Calibri"/>
                <w:sz w:val="20"/>
                <w:szCs w:val="20"/>
              </w:rPr>
            </w:pPr>
            <w:r w:rsidRPr="0078645D">
              <w:rPr>
                <w:rFonts w:ascii="Calibri" w:eastAsia="Times New Roman" w:hAnsi="Calibri" w:cs="Calibri"/>
                <w:sz w:val="20"/>
                <w:szCs w:val="20"/>
              </w:rPr>
              <w:t>Systém pro analýzu obrazových dat pro potřeby Policie ČR</w:t>
            </w:r>
          </w:p>
        </w:tc>
        <w:tc>
          <w:tcPr>
            <w:tcW w:w="968" w:type="pct"/>
            <w:vAlign w:val="center"/>
            <w:hideMark/>
          </w:tcPr>
          <w:p w14:paraId="51E2325A"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bCs/>
                <w:color w:val="000000"/>
                <w:sz w:val="20"/>
                <w:szCs w:val="20"/>
                <w:lang w:eastAsia="cs-CZ"/>
              </w:rPr>
              <w:t>CAMEA, spol. s r.o.</w:t>
            </w:r>
          </w:p>
        </w:tc>
        <w:tc>
          <w:tcPr>
            <w:tcW w:w="681" w:type="pct"/>
            <w:vAlign w:val="center"/>
            <w:hideMark/>
          </w:tcPr>
          <w:p w14:paraId="6DB28E3E"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14 105</w:t>
            </w:r>
          </w:p>
        </w:tc>
        <w:tc>
          <w:tcPr>
            <w:tcW w:w="468" w:type="pct"/>
            <w:shd w:val="clear" w:color="auto" w:fill="00B050"/>
            <w:vAlign w:val="center"/>
            <w:hideMark/>
          </w:tcPr>
          <w:p w14:paraId="7607E1C6"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c>
          <w:tcPr>
            <w:tcW w:w="579" w:type="pct"/>
            <w:shd w:val="clear" w:color="auto" w:fill="00B050"/>
            <w:vAlign w:val="center"/>
            <w:hideMark/>
          </w:tcPr>
          <w:p w14:paraId="276D4F82"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r>
      <w:tr w:rsidR="00BE748F" w:rsidRPr="0078645D" w14:paraId="745540F2" w14:textId="77777777" w:rsidTr="0085781F">
        <w:trPr>
          <w:trHeight w:val="623"/>
        </w:trPr>
        <w:tc>
          <w:tcPr>
            <w:tcW w:w="818" w:type="pct"/>
            <w:vAlign w:val="center"/>
            <w:hideMark/>
          </w:tcPr>
          <w:p w14:paraId="59A99BD5"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VH20182019034</w:t>
            </w:r>
          </w:p>
        </w:tc>
        <w:tc>
          <w:tcPr>
            <w:tcW w:w="1477" w:type="pct"/>
            <w:vAlign w:val="center"/>
            <w:hideMark/>
          </w:tcPr>
          <w:p w14:paraId="5ACC1DCF" w14:textId="77777777" w:rsidR="00BE748F" w:rsidRPr="0078645D" w:rsidRDefault="009930C8" w:rsidP="00BE748F">
            <w:pPr>
              <w:spacing w:after="0" w:line="240" w:lineRule="auto"/>
              <w:jc w:val="center"/>
              <w:rPr>
                <w:rFonts w:ascii="Calibri" w:eastAsia="Times New Roman" w:hAnsi="Calibri" w:cs="Calibri"/>
                <w:sz w:val="20"/>
                <w:szCs w:val="20"/>
              </w:rPr>
            </w:pPr>
            <w:hyperlink r:id="rId26" w:history="1">
              <w:r w:rsidR="00BE748F" w:rsidRPr="0078645D">
                <w:rPr>
                  <w:rFonts w:ascii="Calibri" w:eastAsia="Times New Roman" w:hAnsi="Calibri" w:cs="Calibri"/>
                  <w:sz w:val="20"/>
                  <w:szCs w:val="20"/>
                </w:rPr>
                <w:t xml:space="preserve">Vývoj a testování algoritmů pro prediktivní behaviorální analýzu osob překračujících vnější hranice EU </w:t>
              </w:r>
            </w:hyperlink>
          </w:p>
        </w:tc>
        <w:tc>
          <w:tcPr>
            <w:tcW w:w="968" w:type="pct"/>
            <w:vAlign w:val="center"/>
            <w:hideMark/>
          </w:tcPr>
          <w:p w14:paraId="63A06976"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bCs/>
                <w:color w:val="000000"/>
                <w:sz w:val="20"/>
                <w:szCs w:val="20"/>
                <w:lang w:eastAsia="cs-CZ"/>
              </w:rPr>
              <w:t>České vysoké učení technické v Praze</w:t>
            </w:r>
          </w:p>
        </w:tc>
        <w:tc>
          <w:tcPr>
            <w:tcW w:w="681" w:type="pct"/>
            <w:vAlign w:val="center"/>
            <w:hideMark/>
          </w:tcPr>
          <w:p w14:paraId="1BFAB6DA"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2 808</w:t>
            </w:r>
          </w:p>
        </w:tc>
        <w:tc>
          <w:tcPr>
            <w:tcW w:w="468" w:type="pct"/>
            <w:shd w:val="clear" w:color="auto" w:fill="00B050"/>
            <w:vAlign w:val="center"/>
            <w:hideMark/>
          </w:tcPr>
          <w:p w14:paraId="7C457AA5"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c>
          <w:tcPr>
            <w:tcW w:w="579" w:type="pct"/>
            <w:shd w:val="clear" w:color="auto" w:fill="00B050"/>
            <w:vAlign w:val="center"/>
            <w:hideMark/>
          </w:tcPr>
          <w:p w14:paraId="107F07A7"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r>
      <w:tr w:rsidR="00BE748F" w:rsidRPr="0078645D" w14:paraId="5A240206" w14:textId="77777777" w:rsidTr="0085781F">
        <w:trPr>
          <w:trHeight w:val="283"/>
        </w:trPr>
        <w:tc>
          <w:tcPr>
            <w:tcW w:w="818" w:type="pct"/>
            <w:vAlign w:val="center"/>
          </w:tcPr>
          <w:p w14:paraId="05A9755C" w14:textId="77777777" w:rsidR="00BE748F" w:rsidRPr="0078645D" w:rsidRDefault="00BE748F" w:rsidP="00BE748F">
            <w:pPr>
              <w:spacing w:after="0" w:line="240" w:lineRule="auto"/>
              <w:jc w:val="center"/>
              <w:rPr>
                <w:rFonts w:ascii="Calibri" w:eastAsia="Times New Roman" w:hAnsi="Calibri" w:cs="Calibri"/>
                <w:b/>
                <w:color w:val="000000"/>
                <w:sz w:val="20"/>
                <w:szCs w:val="20"/>
                <w:lang w:eastAsia="cs-CZ"/>
              </w:rPr>
            </w:pPr>
            <w:r w:rsidRPr="0078645D">
              <w:rPr>
                <w:rFonts w:ascii="Calibri" w:eastAsia="Times New Roman" w:hAnsi="Calibri" w:cs="Calibri"/>
                <w:b/>
                <w:color w:val="000000"/>
                <w:sz w:val="20"/>
                <w:szCs w:val="20"/>
                <w:lang w:eastAsia="cs-CZ"/>
              </w:rPr>
              <w:t>Celkem</w:t>
            </w:r>
          </w:p>
        </w:tc>
        <w:tc>
          <w:tcPr>
            <w:tcW w:w="1477" w:type="pct"/>
            <w:vAlign w:val="center"/>
          </w:tcPr>
          <w:p w14:paraId="5107FE32" w14:textId="77777777" w:rsidR="00BE748F" w:rsidRPr="0078645D" w:rsidRDefault="00BE748F" w:rsidP="00BE748F">
            <w:pPr>
              <w:spacing w:after="0" w:line="240" w:lineRule="auto"/>
              <w:jc w:val="center"/>
              <w:rPr>
                <w:rFonts w:ascii="Calibri" w:hAnsi="Calibri" w:cs="Calibri"/>
                <w:sz w:val="20"/>
                <w:szCs w:val="20"/>
              </w:rPr>
            </w:pPr>
          </w:p>
        </w:tc>
        <w:tc>
          <w:tcPr>
            <w:tcW w:w="968" w:type="pct"/>
            <w:vAlign w:val="center"/>
          </w:tcPr>
          <w:p w14:paraId="3AAFB1B6" w14:textId="77777777" w:rsidR="00BE748F" w:rsidRPr="0078645D" w:rsidRDefault="00BE748F" w:rsidP="00BE748F">
            <w:pPr>
              <w:spacing w:after="0" w:line="240" w:lineRule="auto"/>
              <w:jc w:val="center"/>
              <w:rPr>
                <w:rFonts w:ascii="Calibri" w:eastAsia="Times New Roman" w:hAnsi="Calibri" w:cs="Calibri"/>
                <w:bCs/>
                <w:color w:val="000000"/>
                <w:sz w:val="20"/>
                <w:szCs w:val="20"/>
                <w:lang w:eastAsia="cs-CZ"/>
              </w:rPr>
            </w:pPr>
          </w:p>
        </w:tc>
        <w:tc>
          <w:tcPr>
            <w:tcW w:w="681" w:type="pct"/>
            <w:vAlign w:val="center"/>
          </w:tcPr>
          <w:p w14:paraId="01415C07"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b/>
                <w:bCs/>
                <w:color w:val="000000"/>
                <w:sz w:val="20"/>
                <w:szCs w:val="20"/>
                <w:lang w:eastAsia="cs-CZ"/>
              </w:rPr>
              <w:t>18 413</w:t>
            </w:r>
          </w:p>
        </w:tc>
        <w:tc>
          <w:tcPr>
            <w:tcW w:w="468" w:type="pct"/>
            <w:shd w:val="clear" w:color="auto" w:fill="auto"/>
            <w:vAlign w:val="center"/>
          </w:tcPr>
          <w:p w14:paraId="437421E7" w14:textId="77777777" w:rsidR="00BE748F" w:rsidRPr="0078645D" w:rsidRDefault="00BE748F" w:rsidP="00BE748F">
            <w:pPr>
              <w:spacing w:after="0" w:line="240" w:lineRule="auto"/>
              <w:jc w:val="center"/>
              <w:rPr>
                <w:rFonts w:ascii="Calibri" w:eastAsia="Times New Roman" w:hAnsi="Calibri" w:cs="Calibri"/>
                <w:b/>
                <w:color w:val="000000"/>
                <w:sz w:val="20"/>
                <w:szCs w:val="20"/>
                <w:lang w:eastAsia="cs-CZ"/>
              </w:rPr>
            </w:pPr>
            <w:r w:rsidRPr="0078645D">
              <w:rPr>
                <w:rFonts w:ascii="Calibri" w:eastAsia="Times New Roman" w:hAnsi="Calibri" w:cs="Calibri"/>
                <w:b/>
                <w:color w:val="000000"/>
                <w:sz w:val="20"/>
                <w:szCs w:val="20"/>
                <w:lang w:eastAsia="cs-CZ"/>
              </w:rPr>
              <w:t>X</w:t>
            </w:r>
          </w:p>
        </w:tc>
        <w:tc>
          <w:tcPr>
            <w:tcW w:w="579" w:type="pct"/>
            <w:shd w:val="clear" w:color="auto" w:fill="auto"/>
            <w:vAlign w:val="center"/>
          </w:tcPr>
          <w:p w14:paraId="59457EF2" w14:textId="77777777" w:rsidR="00BE748F" w:rsidRPr="0078645D" w:rsidRDefault="00BE748F" w:rsidP="00BE748F">
            <w:pPr>
              <w:spacing w:after="0" w:line="240" w:lineRule="auto"/>
              <w:jc w:val="center"/>
              <w:rPr>
                <w:rFonts w:ascii="Calibri" w:eastAsia="Times New Roman" w:hAnsi="Calibri" w:cs="Calibri"/>
                <w:b/>
                <w:color w:val="000000"/>
                <w:sz w:val="20"/>
                <w:szCs w:val="20"/>
                <w:lang w:eastAsia="cs-CZ"/>
              </w:rPr>
            </w:pPr>
            <w:r w:rsidRPr="0078645D">
              <w:rPr>
                <w:rFonts w:ascii="Calibri" w:eastAsia="Times New Roman" w:hAnsi="Calibri" w:cs="Calibri"/>
                <w:b/>
                <w:color w:val="000000"/>
                <w:sz w:val="20"/>
                <w:szCs w:val="20"/>
                <w:lang w:eastAsia="cs-CZ"/>
              </w:rPr>
              <w:t>X</w:t>
            </w:r>
          </w:p>
        </w:tc>
      </w:tr>
      <w:tr w:rsidR="00BE748F" w:rsidRPr="0078645D" w14:paraId="5445F83C" w14:textId="77777777" w:rsidTr="00604B88">
        <w:trPr>
          <w:trHeight w:val="283"/>
        </w:trPr>
        <w:tc>
          <w:tcPr>
            <w:tcW w:w="5000" w:type="pct"/>
            <w:gridSpan w:val="6"/>
            <w:shd w:val="clear" w:color="auto" w:fill="F2C6C9"/>
            <w:vAlign w:val="center"/>
            <w:hideMark/>
          </w:tcPr>
          <w:p w14:paraId="326E808A" w14:textId="7D811320" w:rsidR="00BE748F" w:rsidRPr="0078645D" w:rsidRDefault="00BE748F" w:rsidP="00887072">
            <w:pPr>
              <w:spacing w:after="0" w:line="240" w:lineRule="auto"/>
              <w:rPr>
                <w:rFonts w:ascii="Calibri" w:eastAsia="Times New Roman" w:hAnsi="Calibri" w:cs="Calibri"/>
                <w:b/>
                <w:bCs/>
                <w:color w:val="000000"/>
                <w:sz w:val="20"/>
                <w:szCs w:val="20"/>
                <w:lang w:eastAsia="cs-CZ"/>
              </w:rPr>
            </w:pPr>
            <w:r w:rsidRPr="0078645D">
              <w:rPr>
                <w:rFonts w:ascii="Calibri" w:eastAsia="Times New Roman" w:hAnsi="Calibri" w:cs="Calibri"/>
                <w:b/>
                <w:bCs/>
                <w:color w:val="000000"/>
                <w:sz w:val="20"/>
                <w:szCs w:val="20"/>
                <w:lang w:eastAsia="cs-CZ"/>
              </w:rPr>
              <w:t>Program bezpečnostního výzkumu České republiky 2015</w:t>
            </w:r>
            <w:r w:rsidR="00887072">
              <w:rPr>
                <w:rFonts w:ascii="Calibri" w:eastAsia="Times New Roman" w:hAnsi="Calibri" w:cs="Calibri"/>
                <w:b/>
                <w:bCs/>
                <w:color w:val="000000"/>
                <w:sz w:val="20"/>
                <w:szCs w:val="20"/>
                <w:lang w:eastAsia="cs-CZ"/>
              </w:rPr>
              <w:t>–</w:t>
            </w:r>
            <w:r w:rsidRPr="0078645D">
              <w:rPr>
                <w:rFonts w:ascii="Calibri" w:eastAsia="Times New Roman" w:hAnsi="Calibri" w:cs="Calibri"/>
                <w:b/>
                <w:bCs/>
                <w:color w:val="000000"/>
                <w:sz w:val="20"/>
                <w:szCs w:val="20"/>
                <w:lang w:eastAsia="cs-CZ"/>
              </w:rPr>
              <w:t>2022 (BV III/1 – VS)</w:t>
            </w:r>
          </w:p>
        </w:tc>
      </w:tr>
      <w:tr w:rsidR="00BE748F" w:rsidRPr="0078645D" w14:paraId="2AC8D1FB" w14:textId="77777777" w:rsidTr="0085781F">
        <w:trPr>
          <w:trHeight w:val="283"/>
        </w:trPr>
        <w:tc>
          <w:tcPr>
            <w:tcW w:w="818" w:type="pct"/>
            <w:vAlign w:val="center"/>
            <w:hideMark/>
          </w:tcPr>
          <w:p w14:paraId="1B51084A"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VI20152018002</w:t>
            </w:r>
          </w:p>
        </w:tc>
        <w:tc>
          <w:tcPr>
            <w:tcW w:w="1477" w:type="pct"/>
            <w:vAlign w:val="center"/>
            <w:hideMark/>
          </w:tcPr>
          <w:p w14:paraId="0EB7C758" w14:textId="77777777" w:rsidR="00BE748F" w:rsidRPr="0078645D" w:rsidRDefault="009930C8" w:rsidP="00BE748F">
            <w:pPr>
              <w:spacing w:after="0" w:line="240" w:lineRule="auto"/>
              <w:jc w:val="center"/>
              <w:rPr>
                <w:rFonts w:ascii="Calibri" w:eastAsia="Times New Roman" w:hAnsi="Calibri" w:cs="Calibri"/>
                <w:sz w:val="20"/>
                <w:szCs w:val="20"/>
              </w:rPr>
            </w:pPr>
            <w:hyperlink r:id="rId27" w:history="1">
              <w:r w:rsidR="00BE748F" w:rsidRPr="0078645D">
                <w:rPr>
                  <w:rFonts w:ascii="Calibri" w:eastAsia="Times New Roman" w:hAnsi="Calibri" w:cs="Calibri"/>
                  <w:sz w:val="20"/>
                  <w:szCs w:val="20"/>
                </w:rPr>
                <w:t>Zátěžový tester ICT</w:t>
              </w:r>
            </w:hyperlink>
          </w:p>
        </w:tc>
        <w:tc>
          <w:tcPr>
            <w:tcW w:w="968" w:type="pct"/>
            <w:noWrap/>
            <w:vAlign w:val="center"/>
            <w:hideMark/>
          </w:tcPr>
          <w:p w14:paraId="3B6720E2"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proofErr w:type="spellStart"/>
            <w:r w:rsidRPr="0078645D">
              <w:rPr>
                <w:rFonts w:ascii="Calibri" w:eastAsia="Times New Roman" w:hAnsi="Calibri" w:cs="Calibri"/>
                <w:bCs/>
                <w:color w:val="000000"/>
                <w:sz w:val="20"/>
                <w:szCs w:val="20"/>
                <w:lang w:eastAsia="cs-CZ"/>
              </w:rPr>
              <w:t>GiTy</w:t>
            </w:r>
            <w:proofErr w:type="spellEnd"/>
            <w:r w:rsidRPr="0078645D">
              <w:rPr>
                <w:rFonts w:ascii="Calibri" w:eastAsia="Times New Roman" w:hAnsi="Calibri" w:cs="Calibri"/>
                <w:bCs/>
                <w:color w:val="000000"/>
                <w:sz w:val="20"/>
                <w:szCs w:val="20"/>
                <w:lang w:eastAsia="cs-CZ"/>
              </w:rPr>
              <w:t>, a.s.</w:t>
            </w:r>
          </w:p>
        </w:tc>
        <w:tc>
          <w:tcPr>
            <w:tcW w:w="681" w:type="pct"/>
            <w:vAlign w:val="center"/>
            <w:hideMark/>
          </w:tcPr>
          <w:p w14:paraId="7E65547E"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14 381</w:t>
            </w:r>
          </w:p>
        </w:tc>
        <w:tc>
          <w:tcPr>
            <w:tcW w:w="468" w:type="pct"/>
            <w:shd w:val="clear" w:color="auto" w:fill="FFFF00"/>
            <w:vAlign w:val="center"/>
            <w:hideMark/>
          </w:tcPr>
          <w:p w14:paraId="1067502D"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3</w:t>
            </w:r>
          </w:p>
        </w:tc>
        <w:tc>
          <w:tcPr>
            <w:tcW w:w="579" w:type="pct"/>
            <w:shd w:val="clear" w:color="auto" w:fill="00B050"/>
            <w:vAlign w:val="center"/>
            <w:hideMark/>
          </w:tcPr>
          <w:p w14:paraId="667B7F20"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r>
      <w:tr w:rsidR="00BE748F" w:rsidRPr="0078645D" w14:paraId="3618F52F" w14:textId="77777777" w:rsidTr="0085781F">
        <w:trPr>
          <w:trHeight w:val="873"/>
        </w:trPr>
        <w:tc>
          <w:tcPr>
            <w:tcW w:w="818" w:type="pct"/>
            <w:vAlign w:val="center"/>
            <w:hideMark/>
          </w:tcPr>
          <w:p w14:paraId="752C5E7A"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VI20152018010</w:t>
            </w:r>
          </w:p>
        </w:tc>
        <w:tc>
          <w:tcPr>
            <w:tcW w:w="1477" w:type="pct"/>
            <w:vAlign w:val="center"/>
            <w:hideMark/>
          </w:tcPr>
          <w:p w14:paraId="4231556C" w14:textId="77777777" w:rsidR="00BE748F" w:rsidRPr="0078645D" w:rsidRDefault="009930C8" w:rsidP="00BE748F">
            <w:pPr>
              <w:spacing w:after="0" w:line="240" w:lineRule="auto"/>
              <w:jc w:val="center"/>
              <w:rPr>
                <w:rFonts w:ascii="Calibri" w:eastAsia="Times New Roman" w:hAnsi="Calibri" w:cs="Calibri"/>
                <w:sz w:val="20"/>
                <w:szCs w:val="20"/>
              </w:rPr>
            </w:pPr>
            <w:hyperlink r:id="rId28" w:history="1">
              <w:proofErr w:type="spellStart"/>
              <w:r w:rsidR="00BE748F" w:rsidRPr="0078645D">
                <w:rPr>
                  <w:rFonts w:ascii="Calibri" w:eastAsia="Times New Roman" w:hAnsi="Calibri" w:cs="Calibri"/>
                  <w:sz w:val="20"/>
                  <w:szCs w:val="20"/>
                </w:rPr>
                <w:t>Funkcionalizovaná</w:t>
              </w:r>
              <w:proofErr w:type="spellEnd"/>
              <w:r w:rsidR="00BE748F" w:rsidRPr="0078645D">
                <w:rPr>
                  <w:rFonts w:ascii="Calibri" w:eastAsia="Times New Roman" w:hAnsi="Calibri" w:cs="Calibri"/>
                  <w:sz w:val="20"/>
                  <w:szCs w:val="20"/>
                </w:rPr>
                <w:t xml:space="preserve"> </w:t>
              </w:r>
              <w:proofErr w:type="spellStart"/>
              <w:r w:rsidR="00BE748F" w:rsidRPr="0078645D">
                <w:rPr>
                  <w:rFonts w:ascii="Calibri" w:eastAsia="Times New Roman" w:hAnsi="Calibri" w:cs="Calibri"/>
                  <w:sz w:val="20"/>
                  <w:szCs w:val="20"/>
                </w:rPr>
                <w:t>nanovlákna</w:t>
              </w:r>
              <w:proofErr w:type="spellEnd"/>
              <w:r w:rsidR="00BE748F" w:rsidRPr="0078645D">
                <w:rPr>
                  <w:rFonts w:ascii="Calibri" w:eastAsia="Times New Roman" w:hAnsi="Calibri" w:cs="Calibri"/>
                  <w:sz w:val="20"/>
                  <w:szCs w:val="20"/>
                </w:rPr>
                <w:t xml:space="preserve"> pro sběr, identifikaci a</w:t>
              </w:r>
              <w:r w:rsidR="00BE748F">
                <w:rPr>
                  <w:rFonts w:ascii="Calibri" w:eastAsia="Times New Roman" w:hAnsi="Calibri" w:cs="Calibri"/>
                  <w:sz w:val="20"/>
                  <w:szCs w:val="20"/>
                </w:rPr>
                <w:t> </w:t>
              </w:r>
              <w:r w:rsidR="00BE748F" w:rsidRPr="0078645D">
                <w:rPr>
                  <w:rFonts w:ascii="Calibri" w:eastAsia="Times New Roman" w:hAnsi="Calibri" w:cs="Calibri"/>
                  <w:sz w:val="20"/>
                  <w:szCs w:val="20"/>
                </w:rPr>
                <w:t xml:space="preserve">dlouhodobé skladování pachových stop </w:t>
              </w:r>
            </w:hyperlink>
          </w:p>
        </w:tc>
        <w:tc>
          <w:tcPr>
            <w:tcW w:w="968" w:type="pct"/>
            <w:vAlign w:val="center"/>
            <w:hideMark/>
          </w:tcPr>
          <w:p w14:paraId="79A6E7AC"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bCs/>
                <w:color w:val="000000"/>
                <w:sz w:val="20"/>
                <w:szCs w:val="20"/>
                <w:lang w:eastAsia="cs-CZ"/>
              </w:rPr>
              <w:t>České vysoké učení technické v Praze</w:t>
            </w:r>
          </w:p>
        </w:tc>
        <w:tc>
          <w:tcPr>
            <w:tcW w:w="681" w:type="pct"/>
            <w:vAlign w:val="center"/>
            <w:hideMark/>
          </w:tcPr>
          <w:p w14:paraId="1312B0B7"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10 902</w:t>
            </w:r>
          </w:p>
        </w:tc>
        <w:tc>
          <w:tcPr>
            <w:tcW w:w="468" w:type="pct"/>
            <w:shd w:val="clear" w:color="auto" w:fill="FFFF00"/>
            <w:vAlign w:val="center"/>
            <w:hideMark/>
          </w:tcPr>
          <w:p w14:paraId="4F122071"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3</w:t>
            </w:r>
          </w:p>
        </w:tc>
        <w:tc>
          <w:tcPr>
            <w:tcW w:w="579" w:type="pct"/>
            <w:shd w:val="clear" w:color="auto" w:fill="00B050"/>
            <w:vAlign w:val="center"/>
            <w:hideMark/>
          </w:tcPr>
          <w:p w14:paraId="05735F3A"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r>
      <w:tr w:rsidR="00BE748F" w:rsidRPr="0078645D" w14:paraId="0F352744" w14:textId="77777777" w:rsidTr="0085781F">
        <w:trPr>
          <w:trHeight w:val="600"/>
        </w:trPr>
        <w:tc>
          <w:tcPr>
            <w:tcW w:w="818" w:type="pct"/>
            <w:vAlign w:val="center"/>
            <w:hideMark/>
          </w:tcPr>
          <w:p w14:paraId="7682DFFE"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VI20152018042</w:t>
            </w:r>
          </w:p>
        </w:tc>
        <w:tc>
          <w:tcPr>
            <w:tcW w:w="1477" w:type="pct"/>
            <w:vAlign w:val="center"/>
            <w:hideMark/>
          </w:tcPr>
          <w:p w14:paraId="15D7FDE6" w14:textId="77777777" w:rsidR="00BE748F" w:rsidRPr="0078645D" w:rsidRDefault="009930C8" w:rsidP="00BE748F">
            <w:pPr>
              <w:spacing w:after="0" w:line="240" w:lineRule="auto"/>
              <w:jc w:val="center"/>
              <w:rPr>
                <w:rFonts w:ascii="Calibri" w:eastAsia="Times New Roman" w:hAnsi="Calibri" w:cs="Calibri"/>
                <w:color w:val="000000"/>
                <w:sz w:val="20"/>
                <w:szCs w:val="20"/>
                <w:lang w:eastAsia="cs-CZ"/>
              </w:rPr>
            </w:pPr>
            <w:hyperlink r:id="rId29" w:history="1">
              <w:r w:rsidR="00BE748F" w:rsidRPr="0078645D">
                <w:rPr>
                  <w:rFonts w:ascii="Calibri" w:eastAsia="Times New Roman" w:hAnsi="Calibri" w:cs="Calibri"/>
                  <w:sz w:val="20"/>
                  <w:szCs w:val="20"/>
                </w:rPr>
                <w:t>Havarijní měřič radioaktivního aerosolu s dálkovým přenosem dat</w:t>
              </w:r>
            </w:hyperlink>
          </w:p>
        </w:tc>
        <w:tc>
          <w:tcPr>
            <w:tcW w:w="968" w:type="pct"/>
            <w:vAlign w:val="center"/>
            <w:hideMark/>
          </w:tcPr>
          <w:p w14:paraId="1A342651"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bCs/>
                <w:color w:val="000000"/>
                <w:sz w:val="20"/>
                <w:szCs w:val="20"/>
                <w:lang w:eastAsia="cs-CZ"/>
              </w:rPr>
              <w:t xml:space="preserve">Státní ústav radiační ochrany, </w:t>
            </w:r>
            <w:proofErr w:type="spellStart"/>
            <w:proofErr w:type="gramStart"/>
            <w:r w:rsidRPr="0078645D">
              <w:rPr>
                <w:rFonts w:ascii="Calibri" w:eastAsia="Times New Roman" w:hAnsi="Calibri" w:cs="Calibri"/>
                <w:bCs/>
                <w:color w:val="000000"/>
                <w:sz w:val="20"/>
                <w:szCs w:val="20"/>
                <w:lang w:eastAsia="cs-CZ"/>
              </w:rPr>
              <w:t>v.v.</w:t>
            </w:r>
            <w:proofErr w:type="gramEnd"/>
            <w:r w:rsidRPr="0078645D">
              <w:rPr>
                <w:rFonts w:ascii="Calibri" w:eastAsia="Times New Roman" w:hAnsi="Calibri" w:cs="Calibri"/>
                <w:bCs/>
                <w:color w:val="000000"/>
                <w:sz w:val="20"/>
                <w:szCs w:val="20"/>
                <w:lang w:eastAsia="cs-CZ"/>
              </w:rPr>
              <w:t>i</w:t>
            </w:r>
            <w:proofErr w:type="spellEnd"/>
            <w:r w:rsidRPr="0078645D">
              <w:rPr>
                <w:rFonts w:ascii="Calibri" w:eastAsia="Times New Roman" w:hAnsi="Calibri" w:cs="Calibri"/>
                <w:bCs/>
                <w:color w:val="000000"/>
                <w:sz w:val="20"/>
                <w:szCs w:val="20"/>
                <w:lang w:eastAsia="cs-CZ"/>
              </w:rPr>
              <w:t>.</w:t>
            </w:r>
          </w:p>
        </w:tc>
        <w:tc>
          <w:tcPr>
            <w:tcW w:w="681" w:type="pct"/>
            <w:vAlign w:val="center"/>
            <w:hideMark/>
          </w:tcPr>
          <w:p w14:paraId="5DAEA905"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11 297</w:t>
            </w:r>
          </w:p>
        </w:tc>
        <w:tc>
          <w:tcPr>
            <w:tcW w:w="468" w:type="pct"/>
            <w:shd w:val="clear" w:color="auto" w:fill="00B050"/>
            <w:vAlign w:val="center"/>
            <w:hideMark/>
          </w:tcPr>
          <w:p w14:paraId="10971C7B"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c>
          <w:tcPr>
            <w:tcW w:w="579" w:type="pct"/>
            <w:shd w:val="clear" w:color="auto" w:fill="00B050"/>
            <w:vAlign w:val="center"/>
            <w:hideMark/>
          </w:tcPr>
          <w:p w14:paraId="102C513C"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r>
      <w:tr w:rsidR="00BE748F" w:rsidRPr="0078645D" w14:paraId="05FC5D63" w14:textId="77777777" w:rsidTr="0085781F">
        <w:trPr>
          <w:trHeight w:val="600"/>
        </w:trPr>
        <w:tc>
          <w:tcPr>
            <w:tcW w:w="818" w:type="pct"/>
            <w:vAlign w:val="center"/>
            <w:hideMark/>
          </w:tcPr>
          <w:p w14:paraId="05302596"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VI20152019001</w:t>
            </w:r>
          </w:p>
        </w:tc>
        <w:tc>
          <w:tcPr>
            <w:tcW w:w="1477" w:type="pct"/>
            <w:vAlign w:val="center"/>
            <w:hideMark/>
          </w:tcPr>
          <w:p w14:paraId="231EA2B7" w14:textId="77777777" w:rsidR="00BE748F" w:rsidRPr="0078645D" w:rsidRDefault="009930C8" w:rsidP="00BE748F">
            <w:pPr>
              <w:spacing w:after="0" w:line="240" w:lineRule="auto"/>
              <w:jc w:val="center"/>
              <w:rPr>
                <w:rFonts w:ascii="Calibri" w:eastAsia="Times New Roman" w:hAnsi="Calibri" w:cs="Calibri"/>
                <w:color w:val="000000"/>
                <w:sz w:val="20"/>
                <w:szCs w:val="20"/>
                <w:lang w:eastAsia="cs-CZ"/>
              </w:rPr>
            </w:pPr>
            <w:hyperlink r:id="rId30" w:history="1">
              <w:r w:rsidR="00BE748F" w:rsidRPr="0078645D">
                <w:rPr>
                  <w:rFonts w:ascii="Calibri" w:eastAsia="Times New Roman" w:hAnsi="Calibri" w:cs="Calibri"/>
                  <w:sz w:val="20"/>
                  <w:szCs w:val="20"/>
                </w:rPr>
                <w:t>Sondy pro analýzu a filtraci provozu na úrovni aplikačních protokolů</w:t>
              </w:r>
            </w:hyperlink>
          </w:p>
        </w:tc>
        <w:tc>
          <w:tcPr>
            <w:tcW w:w="968" w:type="pct"/>
            <w:vAlign w:val="center"/>
            <w:hideMark/>
          </w:tcPr>
          <w:p w14:paraId="69551B4C"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bCs/>
                <w:color w:val="000000"/>
                <w:sz w:val="20"/>
                <w:szCs w:val="20"/>
                <w:lang w:eastAsia="cs-CZ"/>
              </w:rPr>
              <w:t>Vysoké učení technické v Brně</w:t>
            </w:r>
          </w:p>
        </w:tc>
        <w:tc>
          <w:tcPr>
            <w:tcW w:w="681" w:type="pct"/>
            <w:vAlign w:val="center"/>
            <w:hideMark/>
          </w:tcPr>
          <w:p w14:paraId="01052421"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21 691</w:t>
            </w:r>
          </w:p>
        </w:tc>
        <w:tc>
          <w:tcPr>
            <w:tcW w:w="468" w:type="pct"/>
            <w:shd w:val="clear" w:color="auto" w:fill="00B050"/>
            <w:vAlign w:val="center"/>
            <w:hideMark/>
          </w:tcPr>
          <w:p w14:paraId="3D47C095"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c>
          <w:tcPr>
            <w:tcW w:w="579" w:type="pct"/>
            <w:shd w:val="clear" w:color="auto" w:fill="00B050"/>
            <w:vAlign w:val="center"/>
            <w:hideMark/>
          </w:tcPr>
          <w:p w14:paraId="04B3EF9F"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r>
      <w:tr w:rsidR="00BE748F" w:rsidRPr="0078645D" w14:paraId="722766A8" w14:textId="77777777" w:rsidTr="0085781F">
        <w:trPr>
          <w:trHeight w:val="857"/>
        </w:trPr>
        <w:tc>
          <w:tcPr>
            <w:tcW w:w="818" w:type="pct"/>
            <w:vAlign w:val="center"/>
            <w:hideMark/>
          </w:tcPr>
          <w:p w14:paraId="3D976267"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VI20152019028</w:t>
            </w:r>
          </w:p>
        </w:tc>
        <w:tc>
          <w:tcPr>
            <w:tcW w:w="1477" w:type="pct"/>
            <w:vAlign w:val="center"/>
            <w:hideMark/>
          </w:tcPr>
          <w:p w14:paraId="73A6CF2C" w14:textId="77777777" w:rsidR="00BE748F" w:rsidRPr="0078645D" w:rsidRDefault="009930C8" w:rsidP="00BE748F">
            <w:pPr>
              <w:spacing w:after="0" w:line="240" w:lineRule="auto"/>
              <w:jc w:val="center"/>
              <w:rPr>
                <w:rFonts w:ascii="Calibri" w:eastAsia="Times New Roman" w:hAnsi="Calibri" w:cs="Calibri"/>
                <w:color w:val="000000"/>
                <w:sz w:val="20"/>
                <w:szCs w:val="20"/>
                <w:lang w:eastAsia="cs-CZ"/>
              </w:rPr>
            </w:pPr>
            <w:hyperlink r:id="rId31" w:history="1">
              <w:r w:rsidR="00BE748F" w:rsidRPr="0078645D">
                <w:rPr>
                  <w:rFonts w:ascii="Calibri" w:eastAsia="Times New Roman" w:hAnsi="Calibri" w:cs="Calibri"/>
                  <w:sz w:val="20"/>
                  <w:szCs w:val="20"/>
                </w:rPr>
                <w:t>Radiační měřící síť pro instituce a školy k zajištění včasné informovanosti a</w:t>
              </w:r>
              <w:r w:rsidR="00BE748F">
                <w:rPr>
                  <w:rFonts w:ascii="Calibri" w:eastAsia="Times New Roman" w:hAnsi="Calibri" w:cs="Calibri"/>
                  <w:sz w:val="20"/>
                  <w:szCs w:val="20"/>
                </w:rPr>
                <w:t> </w:t>
              </w:r>
              <w:r w:rsidR="00BE748F" w:rsidRPr="0078645D">
                <w:rPr>
                  <w:rFonts w:ascii="Calibri" w:eastAsia="Times New Roman" w:hAnsi="Calibri" w:cs="Calibri"/>
                  <w:sz w:val="20"/>
                  <w:szCs w:val="20"/>
                </w:rPr>
                <w:t>zvýšení bezpečnosti občanů měst a obci (RAMESIS)</w:t>
              </w:r>
            </w:hyperlink>
          </w:p>
        </w:tc>
        <w:tc>
          <w:tcPr>
            <w:tcW w:w="968" w:type="pct"/>
            <w:vAlign w:val="center"/>
            <w:hideMark/>
          </w:tcPr>
          <w:p w14:paraId="6166CF4E"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bCs/>
                <w:color w:val="000000"/>
                <w:sz w:val="20"/>
                <w:szCs w:val="20"/>
                <w:lang w:eastAsia="cs-CZ"/>
              </w:rPr>
              <w:t xml:space="preserve">Státní ústav radiační ochrany, </w:t>
            </w:r>
            <w:proofErr w:type="spellStart"/>
            <w:proofErr w:type="gramStart"/>
            <w:r w:rsidRPr="0078645D">
              <w:rPr>
                <w:rFonts w:ascii="Calibri" w:eastAsia="Times New Roman" w:hAnsi="Calibri" w:cs="Calibri"/>
                <w:bCs/>
                <w:color w:val="000000"/>
                <w:sz w:val="20"/>
                <w:szCs w:val="20"/>
                <w:lang w:eastAsia="cs-CZ"/>
              </w:rPr>
              <w:t>v.v.</w:t>
            </w:r>
            <w:proofErr w:type="gramEnd"/>
            <w:r w:rsidRPr="0078645D">
              <w:rPr>
                <w:rFonts w:ascii="Calibri" w:eastAsia="Times New Roman" w:hAnsi="Calibri" w:cs="Calibri"/>
                <w:bCs/>
                <w:color w:val="000000"/>
                <w:sz w:val="20"/>
                <w:szCs w:val="20"/>
                <w:lang w:eastAsia="cs-CZ"/>
              </w:rPr>
              <w:t>i</w:t>
            </w:r>
            <w:proofErr w:type="spellEnd"/>
            <w:r w:rsidRPr="0078645D">
              <w:rPr>
                <w:rFonts w:ascii="Calibri" w:eastAsia="Times New Roman" w:hAnsi="Calibri" w:cs="Calibri"/>
                <w:bCs/>
                <w:color w:val="000000"/>
                <w:sz w:val="20"/>
                <w:szCs w:val="20"/>
                <w:lang w:eastAsia="cs-CZ"/>
              </w:rPr>
              <w:t>.</w:t>
            </w:r>
          </w:p>
        </w:tc>
        <w:tc>
          <w:tcPr>
            <w:tcW w:w="681" w:type="pct"/>
            <w:vAlign w:val="center"/>
            <w:hideMark/>
          </w:tcPr>
          <w:p w14:paraId="402BDB26"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14 235</w:t>
            </w:r>
          </w:p>
        </w:tc>
        <w:tc>
          <w:tcPr>
            <w:tcW w:w="468" w:type="pct"/>
            <w:shd w:val="clear" w:color="auto" w:fill="00B050"/>
            <w:vAlign w:val="center"/>
            <w:hideMark/>
          </w:tcPr>
          <w:p w14:paraId="6D830549"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c>
          <w:tcPr>
            <w:tcW w:w="579" w:type="pct"/>
            <w:shd w:val="clear" w:color="auto" w:fill="00B050"/>
            <w:vAlign w:val="center"/>
            <w:hideMark/>
          </w:tcPr>
          <w:p w14:paraId="566EC278"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r>
      <w:tr w:rsidR="00BE748F" w:rsidRPr="0078645D" w14:paraId="345BEA23" w14:textId="77777777" w:rsidTr="0085781F">
        <w:trPr>
          <w:trHeight w:val="737"/>
        </w:trPr>
        <w:tc>
          <w:tcPr>
            <w:tcW w:w="818" w:type="pct"/>
            <w:vAlign w:val="center"/>
            <w:hideMark/>
          </w:tcPr>
          <w:p w14:paraId="6C9A3EE7"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VI20152019043</w:t>
            </w:r>
          </w:p>
        </w:tc>
        <w:tc>
          <w:tcPr>
            <w:tcW w:w="1477" w:type="pct"/>
            <w:vAlign w:val="center"/>
            <w:hideMark/>
          </w:tcPr>
          <w:p w14:paraId="746C1821" w14:textId="77777777" w:rsidR="00BE748F" w:rsidRPr="0078645D" w:rsidRDefault="009930C8" w:rsidP="00BE748F">
            <w:pPr>
              <w:spacing w:after="0" w:line="240" w:lineRule="auto"/>
              <w:jc w:val="center"/>
              <w:rPr>
                <w:rFonts w:ascii="Calibri" w:eastAsia="Times New Roman" w:hAnsi="Calibri" w:cs="Calibri"/>
                <w:color w:val="000000"/>
                <w:sz w:val="20"/>
                <w:szCs w:val="20"/>
                <w:lang w:eastAsia="cs-CZ"/>
              </w:rPr>
            </w:pPr>
            <w:hyperlink r:id="rId32" w:history="1">
              <w:r w:rsidR="00BE748F" w:rsidRPr="0078645D">
                <w:rPr>
                  <w:rFonts w:ascii="Calibri" w:eastAsia="Times New Roman" w:hAnsi="Calibri" w:cs="Calibri"/>
                  <w:sz w:val="20"/>
                  <w:szCs w:val="20"/>
                </w:rPr>
                <w:t>Unikátní všestranná bezpečnostní kamera založená na nanotechnologiích</w:t>
              </w:r>
            </w:hyperlink>
          </w:p>
        </w:tc>
        <w:tc>
          <w:tcPr>
            <w:tcW w:w="968" w:type="pct"/>
            <w:vAlign w:val="center"/>
            <w:hideMark/>
          </w:tcPr>
          <w:p w14:paraId="71E69FB3"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bCs/>
                <w:color w:val="000000"/>
                <w:sz w:val="20"/>
                <w:szCs w:val="20"/>
                <w:lang w:eastAsia="cs-CZ"/>
              </w:rPr>
              <w:t>České vysoké učení technické v Praze</w:t>
            </w:r>
          </w:p>
        </w:tc>
        <w:tc>
          <w:tcPr>
            <w:tcW w:w="681" w:type="pct"/>
            <w:vAlign w:val="center"/>
            <w:hideMark/>
          </w:tcPr>
          <w:p w14:paraId="37897DA7"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25 170</w:t>
            </w:r>
          </w:p>
        </w:tc>
        <w:tc>
          <w:tcPr>
            <w:tcW w:w="468" w:type="pct"/>
            <w:shd w:val="clear" w:color="auto" w:fill="FF0000"/>
            <w:vAlign w:val="center"/>
            <w:hideMark/>
          </w:tcPr>
          <w:p w14:paraId="30A6519A"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4</w:t>
            </w:r>
          </w:p>
        </w:tc>
        <w:tc>
          <w:tcPr>
            <w:tcW w:w="579" w:type="pct"/>
            <w:shd w:val="clear" w:color="auto" w:fill="FF0000"/>
            <w:vAlign w:val="center"/>
            <w:hideMark/>
          </w:tcPr>
          <w:p w14:paraId="779543EE"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4</w:t>
            </w:r>
          </w:p>
        </w:tc>
      </w:tr>
      <w:tr w:rsidR="00BE748F" w:rsidRPr="0078645D" w14:paraId="5F674095" w14:textId="77777777" w:rsidTr="0085781F">
        <w:trPr>
          <w:trHeight w:val="737"/>
        </w:trPr>
        <w:tc>
          <w:tcPr>
            <w:tcW w:w="818" w:type="pct"/>
            <w:vAlign w:val="center"/>
            <w:hideMark/>
          </w:tcPr>
          <w:p w14:paraId="4532111D"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VI20162018003</w:t>
            </w:r>
          </w:p>
        </w:tc>
        <w:tc>
          <w:tcPr>
            <w:tcW w:w="1477" w:type="pct"/>
            <w:vAlign w:val="center"/>
            <w:hideMark/>
          </w:tcPr>
          <w:p w14:paraId="2CC75B8E" w14:textId="77777777" w:rsidR="00BE748F" w:rsidRPr="0078645D" w:rsidRDefault="009930C8" w:rsidP="00BE748F">
            <w:pPr>
              <w:spacing w:after="0" w:line="240" w:lineRule="auto"/>
              <w:jc w:val="center"/>
              <w:rPr>
                <w:rFonts w:ascii="Calibri" w:eastAsia="Times New Roman" w:hAnsi="Calibri" w:cs="Calibri"/>
                <w:color w:val="000000"/>
                <w:sz w:val="20"/>
                <w:szCs w:val="20"/>
                <w:lang w:eastAsia="cs-CZ"/>
              </w:rPr>
            </w:pPr>
            <w:hyperlink r:id="rId33" w:history="1">
              <w:r w:rsidR="00BE748F" w:rsidRPr="0078645D">
                <w:rPr>
                  <w:rFonts w:ascii="Calibri" w:eastAsia="Times New Roman" w:hAnsi="Calibri" w:cs="Calibri"/>
                  <w:sz w:val="20"/>
                  <w:szCs w:val="20"/>
                </w:rPr>
                <w:t>Bezpečné řízení přístupu pro kritické infrastruktury</w:t>
              </w:r>
            </w:hyperlink>
          </w:p>
        </w:tc>
        <w:tc>
          <w:tcPr>
            <w:tcW w:w="968" w:type="pct"/>
            <w:vAlign w:val="center"/>
            <w:hideMark/>
          </w:tcPr>
          <w:p w14:paraId="77101E24"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bCs/>
                <w:color w:val="000000"/>
                <w:sz w:val="20"/>
                <w:szCs w:val="20"/>
                <w:lang w:eastAsia="cs-CZ"/>
              </w:rPr>
              <w:t>Institut mikroelektronických aplikací s.r.o.</w:t>
            </w:r>
          </w:p>
        </w:tc>
        <w:tc>
          <w:tcPr>
            <w:tcW w:w="681" w:type="pct"/>
            <w:vAlign w:val="center"/>
            <w:hideMark/>
          </w:tcPr>
          <w:p w14:paraId="406136D3"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16 639</w:t>
            </w:r>
          </w:p>
        </w:tc>
        <w:tc>
          <w:tcPr>
            <w:tcW w:w="468" w:type="pct"/>
            <w:shd w:val="clear" w:color="auto" w:fill="00B050"/>
            <w:vAlign w:val="center"/>
            <w:hideMark/>
          </w:tcPr>
          <w:p w14:paraId="6C811E48"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c>
          <w:tcPr>
            <w:tcW w:w="579" w:type="pct"/>
            <w:shd w:val="clear" w:color="auto" w:fill="00B050"/>
            <w:vAlign w:val="center"/>
            <w:hideMark/>
          </w:tcPr>
          <w:p w14:paraId="3073A3FF"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r>
      <w:tr w:rsidR="00BE748F" w:rsidRPr="0078645D" w14:paraId="59D58B7D" w14:textId="77777777" w:rsidTr="0085781F">
        <w:trPr>
          <w:trHeight w:val="725"/>
        </w:trPr>
        <w:tc>
          <w:tcPr>
            <w:tcW w:w="818" w:type="pct"/>
            <w:vAlign w:val="center"/>
            <w:hideMark/>
          </w:tcPr>
          <w:p w14:paraId="172570E5"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VI20162018007</w:t>
            </w:r>
          </w:p>
        </w:tc>
        <w:tc>
          <w:tcPr>
            <w:tcW w:w="1477" w:type="pct"/>
            <w:vAlign w:val="center"/>
            <w:hideMark/>
          </w:tcPr>
          <w:p w14:paraId="1268AFBA"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Výzkum a vývoj inteligentního systému pro řízení energetických sítí a</w:t>
            </w:r>
            <w:r>
              <w:rPr>
                <w:rFonts w:ascii="Calibri" w:eastAsia="Times New Roman" w:hAnsi="Calibri" w:cs="Calibri"/>
                <w:color w:val="000000"/>
                <w:sz w:val="20"/>
                <w:szCs w:val="20"/>
                <w:lang w:eastAsia="cs-CZ"/>
              </w:rPr>
              <w:t> </w:t>
            </w:r>
            <w:r w:rsidRPr="0078645D">
              <w:rPr>
                <w:rFonts w:ascii="Calibri" w:eastAsia="Times New Roman" w:hAnsi="Calibri" w:cs="Calibri"/>
                <w:color w:val="000000"/>
                <w:sz w:val="20"/>
                <w:szCs w:val="20"/>
                <w:lang w:eastAsia="cs-CZ"/>
              </w:rPr>
              <w:t>identifikaci hrozeb v</w:t>
            </w:r>
            <w:r>
              <w:rPr>
                <w:rFonts w:ascii="Calibri" w:eastAsia="Times New Roman" w:hAnsi="Calibri" w:cs="Calibri"/>
                <w:color w:val="000000"/>
                <w:sz w:val="20"/>
                <w:szCs w:val="20"/>
                <w:lang w:eastAsia="cs-CZ"/>
              </w:rPr>
              <w:t> </w:t>
            </w:r>
            <w:r w:rsidRPr="0078645D">
              <w:rPr>
                <w:rFonts w:ascii="Calibri" w:eastAsia="Times New Roman" w:hAnsi="Calibri" w:cs="Calibri"/>
                <w:color w:val="000000"/>
                <w:sz w:val="20"/>
                <w:szCs w:val="20"/>
                <w:lang w:eastAsia="cs-CZ"/>
              </w:rPr>
              <w:t>energetické infrastruktuře</w:t>
            </w:r>
          </w:p>
        </w:tc>
        <w:tc>
          <w:tcPr>
            <w:tcW w:w="968" w:type="pct"/>
            <w:vAlign w:val="center"/>
            <w:hideMark/>
          </w:tcPr>
          <w:p w14:paraId="552A1E54" w14:textId="136EA800" w:rsidR="00BE748F" w:rsidRPr="0078645D" w:rsidRDefault="00BE748F" w:rsidP="0085781F">
            <w:pPr>
              <w:spacing w:after="0" w:line="240" w:lineRule="auto"/>
              <w:jc w:val="center"/>
              <w:rPr>
                <w:rFonts w:ascii="Calibri" w:eastAsia="Times New Roman" w:hAnsi="Calibri" w:cs="Calibri"/>
                <w:color w:val="000000"/>
                <w:sz w:val="20"/>
                <w:szCs w:val="20"/>
                <w:lang w:eastAsia="cs-CZ"/>
              </w:rPr>
            </w:pPr>
            <w:proofErr w:type="spellStart"/>
            <w:r w:rsidRPr="0078645D">
              <w:rPr>
                <w:rFonts w:ascii="Calibri" w:eastAsia="Times New Roman" w:hAnsi="Calibri" w:cs="Calibri"/>
                <w:bCs/>
                <w:color w:val="000000"/>
                <w:sz w:val="20"/>
                <w:szCs w:val="20"/>
                <w:lang w:eastAsia="cs-CZ"/>
              </w:rPr>
              <w:t>MEgA</w:t>
            </w:r>
            <w:proofErr w:type="spellEnd"/>
            <w:r w:rsidRPr="0078645D">
              <w:rPr>
                <w:rFonts w:ascii="Calibri" w:eastAsia="Times New Roman" w:hAnsi="Calibri" w:cs="Calibri"/>
                <w:bCs/>
                <w:color w:val="000000"/>
                <w:sz w:val="20"/>
                <w:szCs w:val="20"/>
                <w:lang w:eastAsia="cs-CZ"/>
              </w:rPr>
              <w:t xml:space="preserve"> </w:t>
            </w:r>
            <w:r w:rsidR="0085781F">
              <w:rPr>
                <w:rFonts w:ascii="Calibri" w:eastAsia="Times New Roman" w:hAnsi="Calibri" w:cs="Calibri"/>
                <w:bCs/>
                <w:color w:val="000000"/>
                <w:sz w:val="20"/>
                <w:szCs w:val="20"/>
                <w:lang w:eastAsia="cs-CZ"/>
              </w:rPr>
              <w:t>–</w:t>
            </w:r>
            <w:r w:rsidRPr="0078645D">
              <w:rPr>
                <w:rFonts w:ascii="Calibri" w:eastAsia="Times New Roman" w:hAnsi="Calibri" w:cs="Calibri"/>
                <w:bCs/>
                <w:color w:val="000000"/>
                <w:sz w:val="20"/>
                <w:szCs w:val="20"/>
                <w:lang w:eastAsia="cs-CZ"/>
              </w:rPr>
              <w:t xml:space="preserve"> Měřící Energetické Aparáty, a.s</w:t>
            </w:r>
            <w:r w:rsidRPr="0078645D">
              <w:rPr>
                <w:rFonts w:ascii="Calibri" w:eastAsia="Times New Roman" w:hAnsi="Calibri" w:cs="Calibri"/>
                <w:color w:val="000000"/>
                <w:sz w:val="20"/>
                <w:szCs w:val="20"/>
                <w:lang w:eastAsia="cs-CZ"/>
              </w:rPr>
              <w:t>.</w:t>
            </w:r>
          </w:p>
        </w:tc>
        <w:tc>
          <w:tcPr>
            <w:tcW w:w="681" w:type="pct"/>
            <w:vAlign w:val="center"/>
            <w:hideMark/>
          </w:tcPr>
          <w:p w14:paraId="4BDA595A"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10 550</w:t>
            </w:r>
          </w:p>
        </w:tc>
        <w:tc>
          <w:tcPr>
            <w:tcW w:w="468" w:type="pct"/>
            <w:shd w:val="clear" w:color="auto" w:fill="00B050"/>
            <w:vAlign w:val="center"/>
            <w:hideMark/>
          </w:tcPr>
          <w:p w14:paraId="12A2AD8F"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c>
          <w:tcPr>
            <w:tcW w:w="579" w:type="pct"/>
            <w:shd w:val="clear" w:color="auto" w:fill="00B050"/>
            <w:vAlign w:val="center"/>
            <w:hideMark/>
          </w:tcPr>
          <w:p w14:paraId="05E914F4"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w:t>
            </w:r>
          </w:p>
        </w:tc>
      </w:tr>
      <w:tr w:rsidR="00BE748F" w:rsidRPr="0078645D" w14:paraId="397B8E04" w14:textId="77777777" w:rsidTr="0085781F">
        <w:trPr>
          <w:trHeight w:val="510"/>
        </w:trPr>
        <w:tc>
          <w:tcPr>
            <w:tcW w:w="818" w:type="pct"/>
            <w:vAlign w:val="center"/>
          </w:tcPr>
          <w:p w14:paraId="705512BF"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VI20162018036</w:t>
            </w:r>
          </w:p>
        </w:tc>
        <w:tc>
          <w:tcPr>
            <w:tcW w:w="1477" w:type="pct"/>
            <w:vAlign w:val="center"/>
          </w:tcPr>
          <w:p w14:paraId="0ABD2F83"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 xml:space="preserve">Kryptografické zabezpečení pro 100 </w:t>
            </w:r>
            <w:proofErr w:type="spellStart"/>
            <w:r w:rsidRPr="0078645D">
              <w:rPr>
                <w:rFonts w:ascii="Calibri" w:eastAsia="Times New Roman" w:hAnsi="Calibri" w:cs="Calibri"/>
                <w:color w:val="000000"/>
                <w:sz w:val="20"/>
                <w:szCs w:val="20"/>
                <w:lang w:eastAsia="cs-CZ"/>
              </w:rPr>
              <w:t>GbE</w:t>
            </w:r>
            <w:proofErr w:type="spellEnd"/>
            <w:r w:rsidRPr="0078645D">
              <w:rPr>
                <w:rFonts w:ascii="Calibri" w:eastAsia="Times New Roman" w:hAnsi="Calibri" w:cs="Calibri"/>
                <w:color w:val="000000"/>
                <w:sz w:val="20"/>
                <w:szCs w:val="20"/>
                <w:lang w:eastAsia="cs-CZ"/>
              </w:rPr>
              <w:t xml:space="preserve"> sítě</w:t>
            </w:r>
          </w:p>
        </w:tc>
        <w:tc>
          <w:tcPr>
            <w:tcW w:w="968" w:type="pct"/>
            <w:vAlign w:val="center"/>
          </w:tcPr>
          <w:p w14:paraId="16D46D77"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bCs/>
                <w:color w:val="000000"/>
                <w:sz w:val="20"/>
                <w:szCs w:val="20"/>
                <w:lang w:eastAsia="cs-CZ"/>
              </w:rPr>
              <w:t>Vysoké učení technické v Brně</w:t>
            </w:r>
          </w:p>
        </w:tc>
        <w:tc>
          <w:tcPr>
            <w:tcW w:w="681" w:type="pct"/>
            <w:vAlign w:val="center"/>
          </w:tcPr>
          <w:p w14:paraId="6E781C89"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13 965</w:t>
            </w:r>
          </w:p>
        </w:tc>
        <w:tc>
          <w:tcPr>
            <w:tcW w:w="468" w:type="pct"/>
            <w:shd w:val="clear" w:color="auto" w:fill="FFFF00"/>
            <w:vAlign w:val="center"/>
          </w:tcPr>
          <w:p w14:paraId="10EB975A"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3</w:t>
            </w:r>
          </w:p>
        </w:tc>
        <w:tc>
          <w:tcPr>
            <w:tcW w:w="579" w:type="pct"/>
            <w:shd w:val="clear" w:color="auto" w:fill="FFFF00"/>
            <w:vAlign w:val="center"/>
          </w:tcPr>
          <w:p w14:paraId="391A1A9B"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r w:rsidRPr="0078645D">
              <w:rPr>
                <w:rFonts w:ascii="Calibri" w:eastAsia="Times New Roman" w:hAnsi="Calibri" w:cs="Calibri"/>
                <w:color w:val="000000"/>
                <w:sz w:val="20"/>
                <w:szCs w:val="20"/>
                <w:lang w:eastAsia="cs-CZ"/>
              </w:rPr>
              <w:t>3</w:t>
            </w:r>
          </w:p>
        </w:tc>
      </w:tr>
      <w:tr w:rsidR="00BE748F" w:rsidRPr="0078645D" w14:paraId="21E5D573" w14:textId="77777777" w:rsidTr="0085781F">
        <w:trPr>
          <w:trHeight w:val="340"/>
        </w:trPr>
        <w:tc>
          <w:tcPr>
            <w:tcW w:w="818" w:type="pct"/>
            <w:vAlign w:val="center"/>
          </w:tcPr>
          <w:p w14:paraId="540403E5" w14:textId="77777777" w:rsidR="00BE748F" w:rsidRPr="0078645D" w:rsidRDefault="00BE748F" w:rsidP="00BE748F">
            <w:pPr>
              <w:spacing w:after="0" w:line="240" w:lineRule="auto"/>
              <w:jc w:val="center"/>
              <w:rPr>
                <w:rFonts w:ascii="Calibri" w:eastAsia="Times New Roman" w:hAnsi="Calibri" w:cs="Calibri"/>
                <w:b/>
                <w:color w:val="000000"/>
                <w:sz w:val="20"/>
                <w:szCs w:val="20"/>
                <w:lang w:eastAsia="cs-CZ"/>
              </w:rPr>
            </w:pPr>
            <w:r w:rsidRPr="0078645D">
              <w:rPr>
                <w:rFonts w:ascii="Calibri" w:eastAsia="Times New Roman" w:hAnsi="Calibri" w:cs="Calibri"/>
                <w:b/>
                <w:color w:val="000000"/>
                <w:sz w:val="20"/>
                <w:szCs w:val="20"/>
                <w:lang w:eastAsia="cs-CZ"/>
              </w:rPr>
              <w:t>Celkem</w:t>
            </w:r>
          </w:p>
        </w:tc>
        <w:tc>
          <w:tcPr>
            <w:tcW w:w="1477" w:type="pct"/>
            <w:vAlign w:val="center"/>
          </w:tcPr>
          <w:p w14:paraId="39165D3B"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p>
        </w:tc>
        <w:tc>
          <w:tcPr>
            <w:tcW w:w="968" w:type="pct"/>
            <w:vAlign w:val="center"/>
          </w:tcPr>
          <w:p w14:paraId="2A036FA2" w14:textId="77777777" w:rsidR="00BE748F" w:rsidRPr="0078645D" w:rsidRDefault="00BE748F" w:rsidP="00BE748F">
            <w:pPr>
              <w:spacing w:after="0" w:line="240" w:lineRule="auto"/>
              <w:jc w:val="center"/>
              <w:rPr>
                <w:rFonts w:ascii="Calibri" w:eastAsia="Times New Roman" w:hAnsi="Calibri" w:cs="Calibri"/>
                <w:color w:val="000000"/>
                <w:sz w:val="20"/>
                <w:szCs w:val="20"/>
                <w:lang w:eastAsia="cs-CZ"/>
              </w:rPr>
            </w:pPr>
          </w:p>
        </w:tc>
        <w:tc>
          <w:tcPr>
            <w:tcW w:w="681" w:type="pct"/>
            <w:vAlign w:val="center"/>
          </w:tcPr>
          <w:p w14:paraId="60DE7377" w14:textId="77777777" w:rsidR="00BE748F" w:rsidRPr="0078645D" w:rsidRDefault="00BE748F" w:rsidP="0085781F">
            <w:pPr>
              <w:spacing w:after="0" w:line="240" w:lineRule="auto"/>
              <w:ind w:right="232"/>
              <w:jc w:val="right"/>
              <w:rPr>
                <w:rFonts w:ascii="Calibri" w:eastAsia="Times New Roman" w:hAnsi="Calibri" w:cs="Calibri"/>
                <w:color w:val="000000"/>
                <w:sz w:val="20"/>
                <w:szCs w:val="20"/>
                <w:lang w:eastAsia="cs-CZ"/>
              </w:rPr>
            </w:pPr>
            <w:r w:rsidRPr="0078645D">
              <w:rPr>
                <w:rFonts w:ascii="Calibri" w:eastAsia="Times New Roman" w:hAnsi="Calibri" w:cs="Calibri"/>
                <w:b/>
                <w:bCs/>
                <w:color w:val="000000"/>
                <w:sz w:val="20"/>
                <w:szCs w:val="20"/>
                <w:lang w:eastAsia="cs-CZ"/>
              </w:rPr>
              <w:t>138 830</w:t>
            </w:r>
          </w:p>
        </w:tc>
        <w:tc>
          <w:tcPr>
            <w:tcW w:w="468" w:type="pct"/>
            <w:shd w:val="clear" w:color="auto" w:fill="auto"/>
            <w:vAlign w:val="center"/>
          </w:tcPr>
          <w:p w14:paraId="51007F5C" w14:textId="77777777" w:rsidR="00BE748F" w:rsidRPr="0078645D" w:rsidRDefault="00BE748F" w:rsidP="00BE748F">
            <w:pPr>
              <w:spacing w:after="0" w:line="240" w:lineRule="auto"/>
              <w:jc w:val="center"/>
              <w:rPr>
                <w:rFonts w:ascii="Calibri" w:eastAsia="Times New Roman" w:hAnsi="Calibri" w:cs="Calibri"/>
                <w:b/>
                <w:color w:val="000000"/>
                <w:sz w:val="20"/>
                <w:szCs w:val="20"/>
                <w:lang w:eastAsia="cs-CZ"/>
              </w:rPr>
            </w:pPr>
            <w:r w:rsidRPr="0078645D">
              <w:rPr>
                <w:rFonts w:ascii="Calibri" w:eastAsia="Times New Roman" w:hAnsi="Calibri" w:cs="Calibri"/>
                <w:b/>
                <w:color w:val="000000"/>
                <w:sz w:val="20"/>
                <w:szCs w:val="20"/>
                <w:lang w:eastAsia="cs-CZ"/>
              </w:rPr>
              <w:t>X</w:t>
            </w:r>
          </w:p>
        </w:tc>
        <w:tc>
          <w:tcPr>
            <w:tcW w:w="579" w:type="pct"/>
            <w:shd w:val="clear" w:color="auto" w:fill="auto"/>
            <w:vAlign w:val="center"/>
          </w:tcPr>
          <w:p w14:paraId="1B22D22D" w14:textId="77777777" w:rsidR="00BE748F" w:rsidRPr="0078645D" w:rsidRDefault="00BE748F" w:rsidP="00BE748F">
            <w:pPr>
              <w:spacing w:after="0" w:line="240" w:lineRule="auto"/>
              <w:jc w:val="center"/>
              <w:rPr>
                <w:rFonts w:ascii="Calibri" w:eastAsia="Times New Roman" w:hAnsi="Calibri" w:cs="Calibri"/>
                <w:b/>
                <w:color w:val="000000"/>
                <w:sz w:val="20"/>
                <w:szCs w:val="20"/>
                <w:lang w:eastAsia="cs-CZ"/>
              </w:rPr>
            </w:pPr>
            <w:r w:rsidRPr="0078645D">
              <w:rPr>
                <w:rFonts w:ascii="Calibri" w:eastAsia="Times New Roman" w:hAnsi="Calibri" w:cs="Calibri"/>
                <w:b/>
                <w:color w:val="000000"/>
                <w:sz w:val="20"/>
                <w:szCs w:val="20"/>
                <w:lang w:eastAsia="cs-CZ"/>
              </w:rPr>
              <w:t>X</w:t>
            </w:r>
          </w:p>
        </w:tc>
      </w:tr>
    </w:tbl>
    <w:p w14:paraId="093A7319" w14:textId="1EC653F7" w:rsidR="00BE748F" w:rsidRPr="00604B88" w:rsidRDefault="00BE748F" w:rsidP="00604B88">
      <w:pPr>
        <w:tabs>
          <w:tab w:val="left" w:pos="993"/>
        </w:tabs>
        <w:spacing w:before="40" w:after="0" w:line="240" w:lineRule="auto"/>
        <w:rPr>
          <w:rFonts w:ascii="Calibri" w:hAnsi="Calibri" w:cs="Calibri"/>
          <w:sz w:val="20"/>
          <w:szCs w:val="20"/>
        </w:rPr>
      </w:pPr>
      <w:r w:rsidRPr="00604B88">
        <w:rPr>
          <w:rFonts w:ascii="Calibri" w:hAnsi="Calibri" w:cs="Calibri"/>
          <w:sz w:val="20"/>
          <w:szCs w:val="20"/>
        </w:rPr>
        <w:t>Stupně hodnocení:</w:t>
      </w:r>
      <w:r w:rsidRPr="00604B88">
        <w:rPr>
          <w:rFonts w:ascii="Calibri" w:hAnsi="Calibri" w:cs="Calibri"/>
          <w:sz w:val="20"/>
          <w:szCs w:val="20"/>
        </w:rPr>
        <w:tab/>
        <w:t xml:space="preserve">1 – </w:t>
      </w:r>
      <w:r w:rsidR="0085781F">
        <w:rPr>
          <w:rFonts w:ascii="Calibri" w:hAnsi="Calibri" w:cs="Calibri"/>
          <w:sz w:val="20"/>
          <w:szCs w:val="20"/>
        </w:rPr>
        <w:t>P</w:t>
      </w:r>
      <w:r w:rsidRPr="00604B88">
        <w:rPr>
          <w:rFonts w:ascii="Calibri" w:hAnsi="Calibri" w:cs="Calibri"/>
          <w:sz w:val="20"/>
          <w:szCs w:val="20"/>
        </w:rPr>
        <w:t>rojekt je účelný</w:t>
      </w:r>
      <w:r w:rsidR="0085781F">
        <w:rPr>
          <w:rFonts w:ascii="Calibri" w:hAnsi="Calibri" w:cs="Calibri"/>
          <w:sz w:val="20"/>
          <w:szCs w:val="20"/>
        </w:rPr>
        <w:t>,</w:t>
      </w:r>
      <w:r w:rsidRPr="00604B88">
        <w:rPr>
          <w:rFonts w:ascii="Calibri" w:hAnsi="Calibri" w:cs="Calibri"/>
          <w:sz w:val="20"/>
          <w:szCs w:val="20"/>
        </w:rPr>
        <w:t xml:space="preserve"> resp. efektivní</w:t>
      </w:r>
      <w:r w:rsidR="0085781F">
        <w:rPr>
          <w:rFonts w:ascii="Calibri" w:hAnsi="Calibri" w:cs="Calibri"/>
          <w:sz w:val="20"/>
          <w:szCs w:val="20"/>
        </w:rPr>
        <w:t>.</w:t>
      </w:r>
    </w:p>
    <w:p w14:paraId="225E4327" w14:textId="762F4187" w:rsidR="00BE748F" w:rsidRPr="00604B88" w:rsidRDefault="00BE748F" w:rsidP="00604B88">
      <w:pPr>
        <w:spacing w:after="0" w:line="240" w:lineRule="auto"/>
        <w:rPr>
          <w:rFonts w:ascii="Calibri" w:hAnsi="Calibri" w:cs="Calibri"/>
          <w:sz w:val="20"/>
          <w:szCs w:val="20"/>
        </w:rPr>
      </w:pPr>
      <w:r w:rsidRPr="00604B88">
        <w:rPr>
          <w:rFonts w:ascii="Calibri" w:hAnsi="Calibri" w:cs="Calibri"/>
          <w:sz w:val="20"/>
          <w:szCs w:val="20"/>
        </w:rPr>
        <w:tab/>
      </w:r>
      <w:r w:rsidRPr="00604B88">
        <w:rPr>
          <w:rFonts w:ascii="Calibri" w:hAnsi="Calibri" w:cs="Calibri"/>
          <w:sz w:val="20"/>
          <w:szCs w:val="20"/>
        </w:rPr>
        <w:tab/>
      </w:r>
      <w:r w:rsidRPr="00604B88">
        <w:rPr>
          <w:rFonts w:ascii="Calibri" w:hAnsi="Calibri" w:cs="Calibri"/>
          <w:sz w:val="20"/>
          <w:szCs w:val="20"/>
        </w:rPr>
        <w:tab/>
        <w:t xml:space="preserve">2 – </w:t>
      </w:r>
      <w:r w:rsidR="0085781F">
        <w:rPr>
          <w:rFonts w:ascii="Calibri" w:hAnsi="Calibri" w:cs="Calibri"/>
          <w:sz w:val="20"/>
          <w:szCs w:val="20"/>
        </w:rPr>
        <w:t>P</w:t>
      </w:r>
      <w:r w:rsidRPr="00604B88">
        <w:rPr>
          <w:rFonts w:ascii="Calibri" w:hAnsi="Calibri" w:cs="Calibri"/>
          <w:sz w:val="20"/>
          <w:szCs w:val="20"/>
        </w:rPr>
        <w:t>rojekt je účelný</w:t>
      </w:r>
      <w:r w:rsidR="0085781F">
        <w:rPr>
          <w:rFonts w:ascii="Calibri" w:hAnsi="Calibri" w:cs="Calibri"/>
          <w:sz w:val="20"/>
          <w:szCs w:val="20"/>
        </w:rPr>
        <w:t>,</w:t>
      </w:r>
      <w:r w:rsidRPr="00604B88">
        <w:rPr>
          <w:rFonts w:ascii="Calibri" w:hAnsi="Calibri" w:cs="Calibri"/>
          <w:sz w:val="20"/>
          <w:szCs w:val="20"/>
        </w:rPr>
        <w:t xml:space="preserve"> resp. efektivní s mírnými nedostatky</w:t>
      </w:r>
      <w:r w:rsidR="0085781F">
        <w:rPr>
          <w:rFonts w:ascii="Calibri" w:hAnsi="Calibri" w:cs="Calibri"/>
          <w:sz w:val="20"/>
          <w:szCs w:val="20"/>
        </w:rPr>
        <w:t>.</w:t>
      </w:r>
    </w:p>
    <w:p w14:paraId="1542E412" w14:textId="619A6281" w:rsidR="00BE748F" w:rsidRPr="00604B88" w:rsidRDefault="00BE748F" w:rsidP="00604B88">
      <w:pPr>
        <w:tabs>
          <w:tab w:val="left" w:pos="993"/>
        </w:tabs>
        <w:spacing w:after="0" w:line="240" w:lineRule="auto"/>
        <w:rPr>
          <w:rFonts w:ascii="Calibri" w:hAnsi="Calibri" w:cs="Calibri"/>
          <w:sz w:val="20"/>
          <w:szCs w:val="20"/>
        </w:rPr>
      </w:pPr>
      <w:r w:rsidRPr="00604B88">
        <w:rPr>
          <w:rFonts w:ascii="Calibri" w:hAnsi="Calibri" w:cs="Calibri"/>
          <w:sz w:val="20"/>
          <w:szCs w:val="20"/>
        </w:rPr>
        <w:tab/>
      </w:r>
      <w:r w:rsidRPr="00604B88">
        <w:rPr>
          <w:rFonts w:ascii="Calibri" w:hAnsi="Calibri" w:cs="Calibri"/>
          <w:sz w:val="20"/>
          <w:szCs w:val="20"/>
        </w:rPr>
        <w:tab/>
      </w:r>
      <w:r w:rsidRPr="00604B88">
        <w:rPr>
          <w:rFonts w:ascii="Calibri" w:hAnsi="Calibri" w:cs="Calibri"/>
          <w:sz w:val="20"/>
          <w:szCs w:val="20"/>
        </w:rPr>
        <w:tab/>
        <w:t xml:space="preserve">3 – </w:t>
      </w:r>
      <w:r w:rsidR="0085781F">
        <w:rPr>
          <w:rFonts w:ascii="Calibri" w:hAnsi="Calibri" w:cs="Calibri"/>
          <w:sz w:val="20"/>
          <w:szCs w:val="20"/>
        </w:rPr>
        <w:t>P</w:t>
      </w:r>
      <w:r w:rsidRPr="00604B88">
        <w:rPr>
          <w:rFonts w:ascii="Calibri" w:hAnsi="Calibri" w:cs="Calibri"/>
          <w:sz w:val="20"/>
          <w:szCs w:val="20"/>
        </w:rPr>
        <w:t>rojekt je účelný</w:t>
      </w:r>
      <w:r w:rsidR="0085781F">
        <w:rPr>
          <w:rFonts w:ascii="Calibri" w:hAnsi="Calibri" w:cs="Calibri"/>
          <w:sz w:val="20"/>
          <w:szCs w:val="20"/>
        </w:rPr>
        <w:t>,</w:t>
      </w:r>
      <w:r w:rsidRPr="00604B88">
        <w:rPr>
          <w:rFonts w:ascii="Calibri" w:hAnsi="Calibri" w:cs="Calibri"/>
          <w:sz w:val="20"/>
          <w:szCs w:val="20"/>
        </w:rPr>
        <w:t xml:space="preserve"> resp. efektivní omezeně</w:t>
      </w:r>
      <w:r w:rsidR="0085781F">
        <w:rPr>
          <w:rFonts w:ascii="Calibri" w:hAnsi="Calibri" w:cs="Calibri"/>
          <w:sz w:val="20"/>
          <w:szCs w:val="20"/>
        </w:rPr>
        <w:t>.</w:t>
      </w:r>
    </w:p>
    <w:p w14:paraId="42344328" w14:textId="170EC00B" w:rsidR="00BE748F" w:rsidRPr="00604B88" w:rsidRDefault="00BE748F" w:rsidP="00604B88">
      <w:pPr>
        <w:tabs>
          <w:tab w:val="left" w:pos="993"/>
        </w:tabs>
        <w:spacing w:after="0" w:line="240" w:lineRule="auto"/>
        <w:rPr>
          <w:rFonts w:ascii="Calibri" w:hAnsi="Calibri" w:cs="Calibri"/>
          <w:sz w:val="20"/>
          <w:szCs w:val="20"/>
        </w:rPr>
      </w:pPr>
      <w:r w:rsidRPr="00604B88">
        <w:rPr>
          <w:rFonts w:ascii="Calibri" w:hAnsi="Calibri" w:cs="Calibri"/>
          <w:sz w:val="20"/>
          <w:szCs w:val="20"/>
        </w:rPr>
        <w:tab/>
      </w:r>
      <w:r w:rsidRPr="00604B88">
        <w:rPr>
          <w:rFonts w:ascii="Calibri" w:hAnsi="Calibri" w:cs="Calibri"/>
          <w:sz w:val="20"/>
          <w:szCs w:val="20"/>
        </w:rPr>
        <w:tab/>
      </w:r>
      <w:r w:rsidRPr="00604B88">
        <w:rPr>
          <w:rFonts w:ascii="Calibri" w:hAnsi="Calibri" w:cs="Calibri"/>
          <w:sz w:val="20"/>
          <w:szCs w:val="20"/>
        </w:rPr>
        <w:tab/>
        <w:t xml:space="preserve">4 – </w:t>
      </w:r>
      <w:r w:rsidR="0085781F">
        <w:rPr>
          <w:rFonts w:ascii="Calibri" w:hAnsi="Calibri" w:cs="Calibri"/>
          <w:sz w:val="20"/>
          <w:szCs w:val="20"/>
        </w:rPr>
        <w:t>P</w:t>
      </w:r>
      <w:r w:rsidRPr="00604B88">
        <w:rPr>
          <w:rFonts w:ascii="Calibri" w:hAnsi="Calibri" w:cs="Calibri"/>
          <w:sz w:val="20"/>
          <w:szCs w:val="20"/>
        </w:rPr>
        <w:t>rojekt je neúčelný resp. neefektivní</w:t>
      </w:r>
      <w:r w:rsidR="0085781F">
        <w:rPr>
          <w:rFonts w:ascii="Calibri" w:hAnsi="Calibri" w:cs="Calibri"/>
          <w:sz w:val="20"/>
          <w:szCs w:val="20"/>
        </w:rPr>
        <w:t>.</w:t>
      </w:r>
      <w:r w:rsidRPr="00604B88">
        <w:rPr>
          <w:rFonts w:ascii="Calibri" w:hAnsi="Calibri" w:cs="Calibri"/>
          <w:sz w:val="20"/>
          <w:szCs w:val="20"/>
        </w:rPr>
        <w:br w:type="page"/>
      </w:r>
    </w:p>
    <w:p w14:paraId="6A012D58" w14:textId="77777777" w:rsidR="00604B88" w:rsidRPr="00604B88" w:rsidRDefault="00604B88" w:rsidP="00604B88">
      <w:pPr>
        <w:jc w:val="right"/>
        <w:rPr>
          <w:b/>
          <w:sz w:val="24"/>
        </w:rPr>
      </w:pPr>
      <w:r w:rsidRPr="00604B88">
        <w:rPr>
          <w:b/>
          <w:sz w:val="24"/>
        </w:rPr>
        <w:lastRenderedPageBreak/>
        <w:t>Příloha č. 3</w:t>
      </w:r>
    </w:p>
    <w:p w14:paraId="4A3584AD" w14:textId="77777777" w:rsidR="00604B88" w:rsidRPr="000333CB" w:rsidRDefault="00604B88" w:rsidP="00604B88">
      <w:pPr>
        <w:spacing w:after="0" w:line="240" w:lineRule="auto"/>
        <w:rPr>
          <w:rFonts w:ascii="Calibri" w:eastAsia="Arial" w:hAnsi="Calibri" w:cs="Calibri"/>
          <w:b/>
          <w:color w:val="000000" w:themeColor="text1"/>
          <w:sz w:val="24"/>
          <w:szCs w:val="20"/>
        </w:rPr>
      </w:pPr>
      <w:r w:rsidRPr="000333CB">
        <w:rPr>
          <w:rFonts w:ascii="Calibri" w:eastAsia="Arial" w:hAnsi="Calibri" w:cs="Calibri"/>
          <w:b/>
          <w:color w:val="000000" w:themeColor="text1"/>
          <w:sz w:val="24"/>
          <w:szCs w:val="20"/>
        </w:rPr>
        <w:t>Pomůcka pro vyhodnocení účelnosti, efektivnosti a hospodárnosti projektů v programech bezpečnostního výzkumu</w:t>
      </w:r>
    </w:p>
    <w:p w14:paraId="022FB66B" w14:textId="77777777" w:rsidR="00604B88" w:rsidRPr="000333CB" w:rsidRDefault="00604B88" w:rsidP="00604B88">
      <w:pPr>
        <w:spacing w:after="0" w:line="240" w:lineRule="auto"/>
        <w:rPr>
          <w:rFonts w:ascii="Calibri" w:eastAsia="Arial" w:hAnsi="Calibri" w:cs="Calibri"/>
          <w:b/>
          <w:color w:val="000000" w:themeColor="text1"/>
          <w:sz w:val="24"/>
          <w:szCs w:val="20"/>
        </w:rPr>
      </w:pPr>
    </w:p>
    <w:p w14:paraId="7B75EAFA" w14:textId="77777777" w:rsidR="00604B88" w:rsidRPr="00604B88" w:rsidRDefault="00604B88" w:rsidP="00604B88">
      <w:pPr>
        <w:spacing w:after="40" w:line="240" w:lineRule="auto"/>
        <w:rPr>
          <w:rFonts w:ascii="Calibri" w:hAnsi="Calibri" w:cs="Calibri"/>
          <w:b/>
          <w:sz w:val="24"/>
        </w:rPr>
      </w:pPr>
      <w:r w:rsidRPr="00604B88">
        <w:rPr>
          <w:rFonts w:ascii="Calibri" w:hAnsi="Calibri" w:cs="Calibri"/>
          <w:b/>
          <w:sz w:val="24"/>
        </w:rPr>
        <w:t>1. Vyhodnocení účelnosti</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5953"/>
      </w:tblGrid>
      <w:tr w:rsidR="00604B88" w:rsidRPr="000333CB" w14:paraId="550DEC98" w14:textId="77777777" w:rsidTr="00604B88">
        <w:trPr>
          <w:trHeight w:val="660"/>
          <w:jc w:val="center"/>
        </w:trPr>
        <w:tc>
          <w:tcPr>
            <w:tcW w:w="3118" w:type="dxa"/>
            <w:tcBorders>
              <w:top w:val="single" w:sz="4" w:space="0" w:color="000000"/>
              <w:left w:val="single" w:sz="4" w:space="0" w:color="000000"/>
              <w:bottom w:val="single" w:sz="4" w:space="0" w:color="000000"/>
              <w:right w:val="single" w:sz="4" w:space="0" w:color="000000"/>
            </w:tcBorders>
            <w:vAlign w:val="center"/>
            <w:hideMark/>
          </w:tcPr>
          <w:p w14:paraId="75C47D4B" w14:textId="77777777" w:rsidR="00604B88" w:rsidRPr="000333CB" w:rsidRDefault="00604B88" w:rsidP="001611C5">
            <w:pPr>
              <w:spacing w:after="0" w:line="240" w:lineRule="auto"/>
              <w:jc w:val="center"/>
              <w:rPr>
                <w:rFonts w:ascii="Calibri" w:hAnsi="Calibri" w:cs="Calibri"/>
                <w:b/>
                <w:sz w:val="20"/>
                <w:szCs w:val="20"/>
              </w:rPr>
            </w:pPr>
            <w:r w:rsidRPr="000333CB">
              <w:rPr>
                <w:rFonts w:ascii="Calibri" w:hAnsi="Calibri" w:cs="Calibri"/>
                <w:b/>
                <w:sz w:val="20"/>
                <w:szCs w:val="20"/>
              </w:rPr>
              <w:t>Stupeň účelnosti projektu</w:t>
            </w:r>
          </w:p>
        </w:tc>
        <w:tc>
          <w:tcPr>
            <w:tcW w:w="5953" w:type="dxa"/>
            <w:tcBorders>
              <w:top w:val="single" w:sz="4" w:space="0" w:color="000000"/>
              <w:left w:val="single" w:sz="4" w:space="0" w:color="000000"/>
              <w:bottom w:val="single" w:sz="4" w:space="0" w:color="000000"/>
              <w:right w:val="single" w:sz="4" w:space="0" w:color="000000"/>
            </w:tcBorders>
            <w:vAlign w:val="center"/>
          </w:tcPr>
          <w:p w14:paraId="0E079C90" w14:textId="77777777" w:rsidR="00604B88" w:rsidRPr="000333CB" w:rsidRDefault="00604B88" w:rsidP="001611C5">
            <w:pPr>
              <w:spacing w:after="0" w:line="240" w:lineRule="auto"/>
              <w:jc w:val="center"/>
              <w:rPr>
                <w:rFonts w:ascii="Calibri" w:hAnsi="Calibri" w:cs="Calibri"/>
                <w:b/>
                <w:sz w:val="20"/>
                <w:szCs w:val="20"/>
              </w:rPr>
            </w:pPr>
            <w:r w:rsidRPr="000333CB">
              <w:rPr>
                <w:rFonts w:ascii="Calibri" w:hAnsi="Calibri" w:cs="Calibri"/>
                <w:b/>
                <w:sz w:val="20"/>
                <w:szCs w:val="20"/>
              </w:rPr>
              <w:t>Definice stupně účelnosti</w:t>
            </w:r>
          </w:p>
        </w:tc>
      </w:tr>
      <w:tr w:rsidR="00604B88" w:rsidRPr="000333CB" w14:paraId="3B756A1A" w14:textId="77777777" w:rsidTr="00604B88">
        <w:trPr>
          <w:jc w:val="center"/>
        </w:trPr>
        <w:tc>
          <w:tcPr>
            <w:tcW w:w="3118" w:type="dxa"/>
            <w:tcBorders>
              <w:top w:val="single" w:sz="4" w:space="0" w:color="000000"/>
              <w:left w:val="single" w:sz="4" w:space="0" w:color="000000"/>
              <w:bottom w:val="single" w:sz="4" w:space="0" w:color="000000"/>
              <w:right w:val="single" w:sz="4" w:space="0" w:color="000000"/>
            </w:tcBorders>
            <w:vAlign w:val="center"/>
            <w:hideMark/>
          </w:tcPr>
          <w:p w14:paraId="123A6A79" w14:textId="77777777" w:rsidR="00604B88" w:rsidRPr="000333CB" w:rsidRDefault="00604B88" w:rsidP="001611C5">
            <w:pPr>
              <w:spacing w:after="0" w:line="240" w:lineRule="auto"/>
              <w:jc w:val="center"/>
              <w:rPr>
                <w:rFonts w:ascii="Calibri" w:hAnsi="Calibri" w:cs="Calibri"/>
                <w:b/>
                <w:sz w:val="20"/>
                <w:szCs w:val="20"/>
              </w:rPr>
            </w:pPr>
            <w:r w:rsidRPr="000333CB">
              <w:rPr>
                <w:rFonts w:ascii="Calibri" w:hAnsi="Calibri" w:cs="Calibri"/>
                <w:b/>
                <w:sz w:val="20"/>
                <w:szCs w:val="20"/>
              </w:rPr>
              <w:t>1.</w:t>
            </w:r>
          </w:p>
          <w:p w14:paraId="661362F8" w14:textId="77777777" w:rsidR="00604B88" w:rsidRPr="000333CB" w:rsidRDefault="00604B88" w:rsidP="001611C5">
            <w:pPr>
              <w:spacing w:after="0" w:line="240" w:lineRule="auto"/>
              <w:jc w:val="center"/>
              <w:rPr>
                <w:rFonts w:ascii="Calibri" w:hAnsi="Calibri" w:cs="Calibri"/>
                <w:b/>
                <w:sz w:val="20"/>
                <w:szCs w:val="20"/>
              </w:rPr>
            </w:pPr>
            <w:r w:rsidRPr="000333CB">
              <w:rPr>
                <w:rFonts w:ascii="Calibri" w:hAnsi="Calibri" w:cs="Calibri"/>
                <w:b/>
                <w:sz w:val="20"/>
                <w:szCs w:val="20"/>
              </w:rPr>
              <w:t>Projekt je účelný</w:t>
            </w:r>
          </w:p>
        </w:tc>
        <w:tc>
          <w:tcPr>
            <w:tcW w:w="5953" w:type="dxa"/>
            <w:tcBorders>
              <w:top w:val="single" w:sz="4" w:space="0" w:color="000000"/>
              <w:left w:val="single" w:sz="4" w:space="0" w:color="000000"/>
              <w:bottom w:val="single" w:sz="4" w:space="0" w:color="000000"/>
              <w:right w:val="single" w:sz="4" w:space="0" w:color="000000"/>
            </w:tcBorders>
          </w:tcPr>
          <w:p w14:paraId="10C8BB15" w14:textId="1A8E8B75" w:rsidR="00604B88" w:rsidRPr="000333CB" w:rsidRDefault="00604B88" w:rsidP="001611C5">
            <w:pPr>
              <w:spacing w:after="0" w:line="240" w:lineRule="auto"/>
              <w:jc w:val="both"/>
              <w:rPr>
                <w:rFonts w:ascii="Calibri" w:hAnsi="Calibri" w:cs="Calibri"/>
                <w:color w:val="000000" w:themeColor="text1"/>
                <w:sz w:val="20"/>
                <w:szCs w:val="20"/>
              </w:rPr>
            </w:pPr>
            <w:r w:rsidRPr="000333CB">
              <w:rPr>
                <w:rFonts w:ascii="Calibri" w:hAnsi="Calibri" w:cs="Calibri"/>
                <w:b/>
                <w:color w:val="000000" w:themeColor="text1"/>
                <w:sz w:val="20"/>
                <w:szCs w:val="20"/>
              </w:rPr>
              <w:t>Projekt dosáhl všech očekávaných výsledků a tyto výsledky jsou v praxi využívány.</w:t>
            </w:r>
            <w:r w:rsidRPr="000333CB">
              <w:rPr>
                <w:rFonts w:ascii="Calibri" w:hAnsi="Calibri" w:cs="Calibri"/>
                <w:color w:val="000000" w:themeColor="text1"/>
                <w:sz w:val="20"/>
                <w:szCs w:val="20"/>
              </w:rPr>
              <w:t xml:space="preserve"> </w:t>
            </w:r>
            <w:r w:rsidRPr="000333CB">
              <w:rPr>
                <w:rFonts w:ascii="Calibri" w:hAnsi="Calibri" w:cs="Calibri"/>
                <w:b/>
                <w:color w:val="000000" w:themeColor="text1"/>
                <w:sz w:val="20"/>
                <w:szCs w:val="20"/>
              </w:rPr>
              <w:t xml:space="preserve">Je předpoklad, že výsledky výzkumu znamenají skutečné přínosy pro příslušnou bezpečnostní oblast. </w:t>
            </w:r>
          </w:p>
          <w:p w14:paraId="7FBDD92F" w14:textId="4B25C0EE" w:rsidR="00604B88" w:rsidRPr="000333CB" w:rsidRDefault="00604B88" w:rsidP="001611C5">
            <w:pPr>
              <w:spacing w:after="0" w:line="240" w:lineRule="auto"/>
              <w:jc w:val="both"/>
              <w:rPr>
                <w:rFonts w:ascii="Calibri" w:hAnsi="Calibri" w:cs="Calibri"/>
                <w:color w:val="000000" w:themeColor="text1"/>
                <w:sz w:val="20"/>
                <w:szCs w:val="20"/>
              </w:rPr>
            </w:pPr>
            <w:r w:rsidRPr="000333CB">
              <w:rPr>
                <w:rFonts w:ascii="Calibri" w:hAnsi="Calibri" w:cs="Calibri"/>
                <w:color w:val="000000" w:themeColor="text1"/>
                <w:sz w:val="20"/>
                <w:szCs w:val="20"/>
              </w:rPr>
              <w:t>Byly splněny indikátory uživatelského přínosu v období udržitelnosti projektu a byly splněny indikátory úspěšnosti implementace výsledků a</w:t>
            </w:r>
            <w:r w:rsidR="0085781F">
              <w:rPr>
                <w:rFonts w:ascii="Calibri" w:hAnsi="Calibri" w:cs="Calibri"/>
                <w:color w:val="000000" w:themeColor="text1"/>
                <w:sz w:val="20"/>
                <w:szCs w:val="20"/>
              </w:rPr>
              <w:t> </w:t>
            </w:r>
            <w:r w:rsidRPr="000333CB">
              <w:rPr>
                <w:rFonts w:ascii="Calibri" w:hAnsi="Calibri" w:cs="Calibri"/>
                <w:color w:val="000000" w:themeColor="text1"/>
                <w:sz w:val="20"/>
                <w:szCs w:val="20"/>
              </w:rPr>
              <w:t>očekávaných přínosů projektu pro dosažení přínosů programu.</w:t>
            </w:r>
          </w:p>
          <w:p w14:paraId="3141E7FF" w14:textId="69938526" w:rsidR="00604B88" w:rsidRPr="000333CB" w:rsidRDefault="00604B88" w:rsidP="001611C5">
            <w:pPr>
              <w:spacing w:after="0" w:line="240" w:lineRule="auto"/>
              <w:jc w:val="both"/>
              <w:rPr>
                <w:rFonts w:ascii="Calibri" w:hAnsi="Calibri" w:cs="Calibri"/>
                <w:sz w:val="20"/>
                <w:szCs w:val="20"/>
              </w:rPr>
            </w:pPr>
            <w:r w:rsidRPr="000333CB">
              <w:rPr>
                <w:rFonts w:ascii="Calibri" w:hAnsi="Calibri" w:cs="Calibri"/>
                <w:color w:val="000000" w:themeColor="text1"/>
                <w:sz w:val="20"/>
                <w:szCs w:val="20"/>
              </w:rPr>
              <w:t xml:space="preserve">Standardně se jedná o dosažení 100 % očekávaných výsledků (hlavních a vedlejších) a předpokládaných přínosů. Nicméně je třeba brát v úvahu relativní důležitost výsledku </w:t>
            </w:r>
            <w:r w:rsidR="0085781F">
              <w:rPr>
                <w:rFonts w:ascii="Calibri" w:hAnsi="Calibri" w:cs="Calibri"/>
                <w:sz w:val="20"/>
                <w:szCs w:val="20"/>
              </w:rPr>
              <w:t>–</w:t>
            </w:r>
            <w:r w:rsidRPr="000333CB">
              <w:rPr>
                <w:rFonts w:ascii="Calibri" w:hAnsi="Calibri" w:cs="Calibri"/>
                <w:sz w:val="20"/>
                <w:szCs w:val="20"/>
              </w:rPr>
              <w:t xml:space="preserve"> např. hlavní předpokládané výsledky byly splněny a některé z vedlejších předpokládaných výsledků nebyly splněny, aniž by to ale mělo vliv na úspěšnost projektu, jeho využití a</w:t>
            </w:r>
            <w:r w:rsidR="0085781F">
              <w:rPr>
                <w:rFonts w:ascii="Calibri" w:hAnsi="Calibri" w:cs="Calibri"/>
                <w:sz w:val="20"/>
                <w:szCs w:val="20"/>
              </w:rPr>
              <w:t> </w:t>
            </w:r>
            <w:r w:rsidRPr="000333CB">
              <w:rPr>
                <w:rFonts w:ascii="Calibri" w:hAnsi="Calibri" w:cs="Calibri"/>
                <w:sz w:val="20"/>
                <w:szCs w:val="20"/>
              </w:rPr>
              <w:t xml:space="preserve">přínos pro bezpečnostní oblast. Lze vyhodnotit jako „projekt naplnil stanovené předpokládané výsledky“ (je nutno brát v úvahu počet stanovených výsledků). </w:t>
            </w:r>
          </w:p>
          <w:p w14:paraId="486DE84B" w14:textId="77777777" w:rsidR="00604B88" w:rsidRPr="000333CB" w:rsidRDefault="00604B88" w:rsidP="001611C5">
            <w:pPr>
              <w:spacing w:after="0" w:line="240" w:lineRule="auto"/>
              <w:jc w:val="both"/>
              <w:rPr>
                <w:rFonts w:ascii="Calibri" w:hAnsi="Calibri" w:cs="Calibri"/>
                <w:color w:val="000000" w:themeColor="text1"/>
                <w:sz w:val="20"/>
                <w:szCs w:val="20"/>
              </w:rPr>
            </w:pPr>
            <w:r w:rsidRPr="000333CB">
              <w:rPr>
                <w:rFonts w:ascii="Calibri" w:hAnsi="Calibri" w:cs="Calibri"/>
                <w:sz w:val="20"/>
                <w:szCs w:val="20"/>
              </w:rPr>
              <w:t>Hlavní výsledky projektu jsou využívány v praxi předpokládanou populací uživatelů nebo je k tomu alespoň dostatečný předpoklad (např. pokud od ukončení projektu uplynula krátká doba).</w:t>
            </w:r>
          </w:p>
        </w:tc>
      </w:tr>
      <w:tr w:rsidR="00604B88" w:rsidRPr="000333CB" w14:paraId="64858FC4" w14:textId="77777777" w:rsidTr="00604B88">
        <w:trPr>
          <w:jc w:val="center"/>
        </w:trPr>
        <w:tc>
          <w:tcPr>
            <w:tcW w:w="3118" w:type="dxa"/>
            <w:tcBorders>
              <w:top w:val="single" w:sz="4" w:space="0" w:color="000000"/>
              <w:left w:val="single" w:sz="4" w:space="0" w:color="000000"/>
              <w:bottom w:val="single" w:sz="4" w:space="0" w:color="000000"/>
              <w:right w:val="single" w:sz="4" w:space="0" w:color="000000"/>
            </w:tcBorders>
            <w:vAlign w:val="center"/>
            <w:hideMark/>
          </w:tcPr>
          <w:p w14:paraId="22742DA8" w14:textId="77777777" w:rsidR="00604B88" w:rsidRPr="000333CB" w:rsidRDefault="00604B88" w:rsidP="001611C5">
            <w:pPr>
              <w:spacing w:after="0" w:line="240" w:lineRule="auto"/>
              <w:jc w:val="center"/>
              <w:rPr>
                <w:rFonts w:ascii="Calibri" w:hAnsi="Calibri" w:cs="Calibri"/>
                <w:b/>
                <w:sz w:val="20"/>
                <w:szCs w:val="20"/>
              </w:rPr>
            </w:pPr>
            <w:r w:rsidRPr="000333CB">
              <w:rPr>
                <w:rFonts w:ascii="Calibri" w:hAnsi="Calibri" w:cs="Calibri"/>
                <w:b/>
                <w:sz w:val="20"/>
                <w:szCs w:val="20"/>
              </w:rPr>
              <w:t>2.</w:t>
            </w:r>
          </w:p>
          <w:p w14:paraId="5E084113" w14:textId="77777777" w:rsidR="00604B88" w:rsidRPr="000333CB" w:rsidRDefault="00604B88" w:rsidP="001611C5">
            <w:pPr>
              <w:spacing w:after="0" w:line="240" w:lineRule="auto"/>
              <w:jc w:val="center"/>
              <w:rPr>
                <w:rFonts w:ascii="Calibri" w:hAnsi="Calibri" w:cs="Calibri"/>
                <w:b/>
                <w:sz w:val="20"/>
                <w:szCs w:val="20"/>
              </w:rPr>
            </w:pPr>
            <w:r w:rsidRPr="000333CB">
              <w:rPr>
                <w:rFonts w:ascii="Calibri" w:hAnsi="Calibri" w:cs="Calibri"/>
                <w:b/>
                <w:sz w:val="20"/>
                <w:szCs w:val="20"/>
              </w:rPr>
              <w:t>Projekt je účelný s mírnými nedostatky</w:t>
            </w:r>
          </w:p>
        </w:tc>
        <w:tc>
          <w:tcPr>
            <w:tcW w:w="5953" w:type="dxa"/>
            <w:tcBorders>
              <w:top w:val="single" w:sz="4" w:space="0" w:color="000000"/>
              <w:left w:val="single" w:sz="4" w:space="0" w:color="000000"/>
              <w:bottom w:val="single" w:sz="4" w:space="0" w:color="000000"/>
              <w:right w:val="single" w:sz="4" w:space="0" w:color="000000"/>
            </w:tcBorders>
            <w:hideMark/>
          </w:tcPr>
          <w:p w14:paraId="7DB554D5" w14:textId="060BB248" w:rsidR="00604B88" w:rsidRPr="000333CB" w:rsidRDefault="00604B88" w:rsidP="001611C5">
            <w:pPr>
              <w:spacing w:after="0" w:line="240" w:lineRule="auto"/>
              <w:jc w:val="both"/>
              <w:rPr>
                <w:rFonts w:ascii="Calibri" w:hAnsi="Calibri" w:cs="Calibri"/>
                <w:sz w:val="20"/>
                <w:szCs w:val="20"/>
              </w:rPr>
            </w:pPr>
            <w:r w:rsidRPr="000333CB">
              <w:rPr>
                <w:rFonts w:ascii="Calibri" w:hAnsi="Calibri" w:cs="Calibri"/>
                <w:sz w:val="20"/>
                <w:szCs w:val="20"/>
              </w:rPr>
              <w:t>Očekávané výsledky byly</w:t>
            </w:r>
            <w:r w:rsidRPr="000333CB" w:rsidDel="00142D20">
              <w:rPr>
                <w:rFonts w:ascii="Calibri" w:hAnsi="Calibri" w:cs="Calibri"/>
                <w:sz w:val="20"/>
                <w:szCs w:val="20"/>
              </w:rPr>
              <w:t xml:space="preserve"> </w:t>
            </w:r>
            <w:r w:rsidRPr="000333CB">
              <w:rPr>
                <w:rFonts w:ascii="Calibri" w:hAnsi="Calibri" w:cs="Calibri"/>
                <w:sz w:val="20"/>
                <w:szCs w:val="20"/>
              </w:rPr>
              <w:t>téměř všechny splněny a jsou z větší části využívány. Nesplnění některých předpokládaných výsledků nemá podstatný vliv na úspěšnost projektu a jeho využití a přínos pro příslušnou bezpečnostní oblast.</w:t>
            </w:r>
          </w:p>
          <w:p w14:paraId="308474E7" w14:textId="77777777" w:rsidR="00604B88" w:rsidRPr="000333CB" w:rsidRDefault="00604B88" w:rsidP="001611C5">
            <w:pPr>
              <w:spacing w:after="0" w:line="240" w:lineRule="auto"/>
              <w:jc w:val="both"/>
              <w:rPr>
                <w:rFonts w:ascii="Calibri" w:hAnsi="Calibri" w:cs="Calibri"/>
                <w:sz w:val="20"/>
                <w:szCs w:val="20"/>
              </w:rPr>
            </w:pPr>
            <w:r w:rsidRPr="000333CB">
              <w:rPr>
                <w:rFonts w:ascii="Calibri" w:hAnsi="Calibri" w:cs="Calibri"/>
                <w:sz w:val="20"/>
                <w:szCs w:val="20"/>
              </w:rPr>
              <w:t>Hlavní výsledky projektu jsou z větší části využívány v praxi, příp. populace uživatelů není významně nižší, než se předpokládalo, resp. nesplnění indikátorů úspěšnosti implementace a očekávaného přínosu pro dosažení cílů programu není významné.</w:t>
            </w:r>
          </w:p>
        </w:tc>
      </w:tr>
      <w:tr w:rsidR="00604B88" w:rsidRPr="000333CB" w14:paraId="57CFCAFC" w14:textId="77777777" w:rsidTr="00604B88">
        <w:trPr>
          <w:jc w:val="center"/>
        </w:trPr>
        <w:tc>
          <w:tcPr>
            <w:tcW w:w="3118" w:type="dxa"/>
            <w:tcBorders>
              <w:top w:val="single" w:sz="4" w:space="0" w:color="000000"/>
              <w:left w:val="single" w:sz="4" w:space="0" w:color="000000"/>
              <w:bottom w:val="single" w:sz="4" w:space="0" w:color="000000"/>
              <w:right w:val="single" w:sz="4" w:space="0" w:color="000000"/>
            </w:tcBorders>
            <w:vAlign w:val="center"/>
            <w:hideMark/>
          </w:tcPr>
          <w:p w14:paraId="72E947D6" w14:textId="77777777" w:rsidR="00604B88" w:rsidRPr="000333CB" w:rsidRDefault="00604B88" w:rsidP="001611C5">
            <w:pPr>
              <w:spacing w:after="0" w:line="240" w:lineRule="auto"/>
              <w:jc w:val="center"/>
              <w:rPr>
                <w:rFonts w:ascii="Calibri" w:hAnsi="Calibri" w:cs="Calibri"/>
                <w:b/>
                <w:sz w:val="20"/>
                <w:szCs w:val="20"/>
              </w:rPr>
            </w:pPr>
            <w:r w:rsidRPr="000333CB">
              <w:rPr>
                <w:rFonts w:ascii="Calibri" w:hAnsi="Calibri" w:cs="Calibri"/>
                <w:b/>
                <w:sz w:val="20"/>
                <w:szCs w:val="20"/>
              </w:rPr>
              <w:t>3.</w:t>
            </w:r>
          </w:p>
          <w:p w14:paraId="7A75E3AF" w14:textId="6050CB76" w:rsidR="00604B88" w:rsidRPr="000333CB" w:rsidRDefault="00604B88" w:rsidP="0085781F">
            <w:pPr>
              <w:spacing w:after="0" w:line="240" w:lineRule="auto"/>
              <w:jc w:val="center"/>
              <w:rPr>
                <w:rFonts w:ascii="Calibri" w:hAnsi="Calibri" w:cs="Calibri"/>
                <w:b/>
                <w:sz w:val="20"/>
                <w:szCs w:val="20"/>
              </w:rPr>
            </w:pPr>
            <w:r w:rsidRPr="000333CB">
              <w:rPr>
                <w:rFonts w:ascii="Calibri" w:hAnsi="Calibri" w:cs="Calibri"/>
                <w:b/>
                <w:sz w:val="20"/>
                <w:szCs w:val="20"/>
              </w:rPr>
              <w:t>Projekt je účelný pouze omezeně</w:t>
            </w:r>
          </w:p>
        </w:tc>
        <w:tc>
          <w:tcPr>
            <w:tcW w:w="5953" w:type="dxa"/>
            <w:tcBorders>
              <w:top w:val="single" w:sz="4" w:space="0" w:color="000000"/>
              <w:left w:val="single" w:sz="4" w:space="0" w:color="000000"/>
              <w:bottom w:val="single" w:sz="4" w:space="0" w:color="000000"/>
              <w:right w:val="single" w:sz="4" w:space="0" w:color="000000"/>
            </w:tcBorders>
            <w:hideMark/>
          </w:tcPr>
          <w:p w14:paraId="17ACB606" w14:textId="777F39B5" w:rsidR="00604B88" w:rsidRPr="000333CB" w:rsidRDefault="00604B88" w:rsidP="001611C5">
            <w:pPr>
              <w:spacing w:after="0" w:line="240" w:lineRule="auto"/>
              <w:jc w:val="both"/>
              <w:rPr>
                <w:rFonts w:ascii="Calibri" w:hAnsi="Calibri" w:cs="Calibri"/>
                <w:color w:val="000000" w:themeColor="text1"/>
                <w:sz w:val="20"/>
                <w:szCs w:val="20"/>
              </w:rPr>
            </w:pPr>
            <w:r w:rsidRPr="000333CB">
              <w:rPr>
                <w:rFonts w:ascii="Calibri" w:hAnsi="Calibri" w:cs="Calibri"/>
                <w:sz w:val="20"/>
                <w:szCs w:val="20"/>
              </w:rPr>
              <w:t>Očekávané výsledky byly splněny jen zčásti, jejich využití je významně nižší, než se předpokládalo. Přínos projektu je tak významně nižší, než byl předpoklad</w:t>
            </w:r>
            <w:r w:rsidR="0085781F">
              <w:rPr>
                <w:rFonts w:ascii="Calibri" w:hAnsi="Calibri" w:cs="Calibri"/>
                <w:sz w:val="20"/>
                <w:szCs w:val="20"/>
              </w:rPr>
              <w:t>,</w:t>
            </w:r>
            <w:r w:rsidRPr="000333CB">
              <w:rPr>
                <w:rFonts w:ascii="Calibri" w:hAnsi="Calibri" w:cs="Calibri"/>
                <w:sz w:val="20"/>
                <w:szCs w:val="20"/>
              </w:rPr>
              <w:t xml:space="preserve"> a není ani důvodný předpoklad významnějšího zlepšení v budoucnu. </w:t>
            </w:r>
          </w:p>
        </w:tc>
      </w:tr>
      <w:tr w:rsidR="00604B88" w:rsidRPr="000333CB" w14:paraId="09735C5A" w14:textId="77777777" w:rsidTr="00604B88">
        <w:trPr>
          <w:trHeight w:val="1140"/>
          <w:jc w:val="center"/>
        </w:trPr>
        <w:tc>
          <w:tcPr>
            <w:tcW w:w="3118" w:type="dxa"/>
            <w:tcBorders>
              <w:top w:val="single" w:sz="4" w:space="0" w:color="000000"/>
              <w:left w:val="single" w:sz="4" w:space="0" w:color="000000"/>
              <w:bottom w:val="single" w:sz="4" w:space="0" w:color="000000"/>
              <w:right w:val="single" w:sz="4" w:space="0" w:color="000000"/>
            </w:tcBorders>
            <w:vAlign w:val="center"/>
            <w:hideMark/>
          </w:tcPr>
          <w:p w14:paraId="59AB1856" w14:textId="77777777" w:rsidR="00604B88" w:rsidRPr="000333CB" w:rsidRDefault="00604B88" w:rsidP="001611C5">
            <w:pPr>
              <w:spacing w:after="0" w:line="240" w:lineRule="auto"/>
              <w:jc w:val="center"/>
              <w:rPr>
                <w:rFonts w:ascii="Calibri" w:hAnsi="Calibri" w:cs="Calibri"/>
                <w:b/>
                <w:color w:val="000000" w:themeColor="text1"/>
                <w:sz w:val="20"/>
                <w:szCs w:val="20"/>
              </w:rPr>
            </w:pPr>
            <w:r w:rsidRPr="000333CB">
              <w:rPr>
                <w:rFonts w:ascii="Calibri" w:hAnsi="Calibri" w:cs="Calibri"/>
                <w:b/>
                <w:color w:val="000000" w:themeColor="text1"/>
                <w:sz w:val="20"/>
                <w:szCs w:val="20"/>
              </w:rPr>
              <w:t>4.</w:t>
            </w:r>
          </w:p>
          <w:p w14:paraId="13D17F93" w14:textId="77777777" w:rsidR="00604B88" w:rsidRPr="000333CB" w:rsidRDefault="00604B88" w:rsidP="001611C5">
            <w:pPr>
              <w:spacing w:after="0" w:line="240" w:lineRule="auto"/>
              <w:jc w:val="center"/>
              <w:rPr>
                <w:rFonts w:ascii="Calibri" w:hAnsi="Calibri" w:cs="Calibri"/>
                <w:b/>
                <w:color w:val="000000" w:themeColor="text1"/>
                <w:sz w:val="20"/>
                <w:szCs w:val="20"/>
              </w:rPr>
            </w:pPr>
            <w:r w:rsidRPr="000333CB">
              <w:rPr>
                <w:rFonts w:ascii="Calibri" w:hAnsi="Calibri" w:cs="Calibri"/>
                <w:b/>
                <w:color w:val="000000" w:themeColor="text1"/>
                <w:sz w:val="20"/>
                <w:szCs w:val="20"/>
              </w:rPr>
              <w:t>Projekt není účelný</w:t>
            </w:r>
          </w:p>
        </w:tc>
        <w:tc>
          <w:tcPr>
            <w:tcW w:w="5953" w:type="dxa"/>
            <w:tcBorders>
              <w:top w:val="single" w:sz="4" w:space="0" w:color="000000"/>
              <w:left w:val="single" w:sz="4" w:space="0" w:color="000000"/>
              <w:bottom w:val="single" w:sz="4" w:space="0" w:color="000000"/>
              <w:right w:val="single" w:sz="4" w:space="0" w:color="000000"/>
            </w:tcBorders>
            <w:hideMark/>
          </w:tcPr>
          <w:p w14:paraId="6717E631" w14:textId="1C0BB0CA" w:rsidR="00604B88" w:rsidRPr="000333CB" w:rsidRDefault="00604B88" w:rsidP="001611C5">
            <w:pPr>
              <w:spacing w:after="0" w:line="240" w:lineRule="auto"/>
              <w:jc w:val="both"/>
              <w:rPr>
                <w:rFonts w:ascii="Calibri" w:hAnsi="Calibri" w:cs="Calibri"/>
                <w:color w:val="000000" w:themeColor="text1"/>
                <w:sz w:val="20"/>
                <w:szCs w:val="20"/>
              </w:rPr>
            </w:pPr>
            <w:r w:rsidRPr="000333CB">
              <w:rPr>
                <w:rFonts w:ascii="Calibri" w:hAnsi="Calibri" w:cs="Calibri"/>
                <w:color w:val="000000" w:themeColor="text1"/>
                <w:sz w:val="20"/>
                <w:szCs w:val="20"/>
              </w:rPr>
              <w:t>Očekávané výsledky nebyly naplněny, např. i z důvodu jejich nereálnosti. Projekt např. nesplnil ani polovinu předpokládaných hlavních výsledků, respektive je důvodný předpoklad, že více než polovin</w:t>
            </w:r>
            <w:r w:rsidR="0085781F">
              <w:rPr>
                <w:rFonts w:ascii="Calibri" w:hAnsi="Calibri" w:cs="Calibri"/>
                <w:color w:val="000000" w:themeColor="text1"/>
                <w:sz w:val="20"/>
                <w:szCs w:val="20"/>
              </w:rPr>
              <w:t>y</w:t>
            </w:r>
            <w:r w:rsidRPr="000333CB">
              <w:rPr>
                <w:rFonts w:ascii="Calibri" w:hAnsi="Calibri" w:cs="Calibri"/>
                <w:color w:val="000000" w:themeColor="text1"/>
                <w:sz w:val="20"/>
                <w:szCs w:val="20"/>
              </w:rPr>
              <w:t xml:space="preserve"> výsledků nebude dosažen</w:t>
            </w:r>
            <w:r w:rsidR="0085781F">
              <w:rPr>
                <w:rFonts w:ascii="Calibri" w:hAnsi="Calibri" w:cs="Calibri"/>
                <w:color w:val="000000" w:themeColor="text1"/>
                <w:sz w:val="20"/>
                <w:szCs w:val="20"/>
              </w:rPr>
              <w:t>o</w:t>
            </w:r>
            <w:r w:rsidRPr="000333CB">
              <w:rPr>
                <w:rFonts w:ascii="Calibri" w:hAnsi="Calibri" w:cs="Calibri"/>
                <w:color w:val="000000" w:themeColor="text1"/>
                <w:sz w:val="20"/>
                <w:szCs w:val="20"/>
              </w:rPr>
              <w:t xml:space="preserve"> (</w:t>
            </w:r>
            <w:r w:rsidR="0085781F">
              <w:rPr>
                <w:rFonts w:ascii="Calibri" w:hAnsi="Calibri" w:cs="Calibri"/>
                <w:color w:val="000000" w:themeColor="text1"/>
                <w:sz w:val="20"/>
                <w:szCs w:val="20"/>
              </w:rPr>
              <w:t xml:space="preserve">nebudou </w:t>
            </w:r>
            <w:r w:rsidRPr="000333CB">
              <w:rPr>
                <w:rFonts w:ascii="Calibri" w:hAnsi="Calibri" w:cs="Calibri"/>
                <w:color w:val="000000" w:themeColor="text1"/>
                <w:sz w:val="20"/>
                <w:szCs w:val="20"/>
              </w:rPr>
              <w:t>využit</w:t>
            </w:r>
            <w:r w:rsidR="0085781F">
              <w:rPr>
                <w:rFonts w:ascii="Calibri" w:hAnsi="Calibri" w:cs="Calibri"/>
                <w:color w:val="000000" w:themeColor="text1"/>
                <w:sz w:val="20"/>
                <w:szCs w:val="20"/>
              </w:rPr>
              <w:t>y</w:t>
            </w:r>
            <w:r w:rsidRPr="000333CB">
              <w:rPr>
                <w:rFonts w:ascii="Calibri" w:hAnsi="Calibri" w:cs="Calibri"/>
                <w:color w:val="000000" w:themeColor="text1"/>
                <w:sz w:val="20"/>
                <w:szCs w:val="20"/>
              </w:rPr>
              <w:t xml:space="preserve">). </w:t>
            </w:r>
          </w:p>
          <w:p w14:paraId="1AE6E40F" w14:textId="56832AE3" w:rsidR="00604B88" w:rsidRPr="000333CB" w:rsidRDefault="00604B88" w:rsidP="001611C5">
            <w:pPr>
              <w:spacing w:after="0" w:line="240" w:lineRule="auto"/>
              <w:jc w:val="both"/>
              <w:rPr>
                <w:rFonts w:ascii="Calibri" w:hAnsi="Calibri" w:cs="Calibri"/>
                <w:color w:val="000000" w:themeColor="text1"/>
                <w:sz w:val="20"/>
                <w:szCs w:val="20"/>
              </w:rPr>
            </w:pPr>
            <w:r w:rsidRPr="000333CB">
              <w:rPr>
                <w:rFonts w:ascii="Calibri" w:hAnsi="Calibri" w:cs="Calibri"/>
                <w:color w:val="000000" w:themeColor="text1"/>
                <w:sz w:val="20"/>
                <w:szCs w:val="20"/>
              </w:rPr>
              <w:t>Žádný z výsledků není v současnosti využíván, resp. využití je zcela marginální, a u zpracovatele projektu nebyly prokázány kroky k oslovení potenciálních uživatelů k využití výsledků</w:t>
            </w:r>
            <w:r w:rsidR="00D7249E">
              <w:rPr>
                <w:rFonts w:ascii="Calibri" w:hAnsi="Calibri" w:cs="Calibri"/>
                <w:color w:val="000000" w:themeColor="text1"/>
                <w:sz w:val="20"/>
                <w:szCs w:val="20"/>
              </w:rPr>
              <w:t>,</w:t>
            </w:r>
            <w:r w:rsidRPr="000333CB">
              <w:rPr>
                <w:rFonts w:ascii="Calibri" w:hAnsi="Calibri" w:cs="Calibri"/>
                <w:color w:val="000000" w:themeColor="text1"/>
                <w:sz w:val="20"/>
                <w:szCs w:val="20"/>
              </w:rPr>
              <w:t xml:space="preserve"> a tedy zlepšení situace v budoucnu.</w:t>
            </w:r>
          </w:p>
          <w:p w14:paraId="26C7C966" w14:textId="70716DE2" w:rsidR="00604B88" w:rsidRPr="000333CB" w:rsidRDefault="00604B88" w:rsidP="001611C5">
            <w:pPr>
              <w:spacing w:after="0" w:line="240" w:lineRule="auto"/>
              <w:jc w:val="both"/>
              <w:rPr>
                <w:rFonts w:ascii="Calibri" w:hAnsi="Calibri" w:cs="Calibri"/>
                <w:color w:val="000000" w:themeColor="text1"/>
                <w:sz w:val="20"/>
                <w:szCs w:val="20"/>
              </w:rPr>
            </w:pPr>
            <w:r w:rsidRPr="000333CB">
              <w:rPr>
                <w:rFonts w:ascii="Calibri" w:hAnsi="Calibri" w:cs="Calibri"/>
                <w:color w:val="000000" w:themeColor="text1"/>
                <w:sz w:val="20"/>
                <w:szCs w:val="20"/>
              </w:rPr>
              <w:t>Nebo se projekt zcela odchýlil od původního zadání a účelu</w:t>
            </w:r>
            <w:r w:rsidR="00D7249E">
              <w:rPr>
                <w:rFonts w:ascii="Calibri" w:hAnsi="Calibri" w:cs="Calibri"/>
                <w:color w:val="000000" w:themeColor="text1"/>
                <w:sz w:val="20"/>
                <w:szCs w:val="20"/>
              </w:rPr>
              <w:t>,</w:t>
            </w:r>
            <w:r w:rsidRPr="000333CB">
              <w:rPr>
                <w:rFonts w:ascii="Calibri" w:hAnsi="Calibri" w:cs="Calibri"/>
                <w:color w:val="000000" w:themeColor="text1"/>
                <w:sz w:val="20"/>
                <w:szCs w:val="20"/>
              </w:rPr>
              <w:t xml:space="preserve"> a nemůže tak naplnit svůj smysl a důvod výběru pro účely bezpečnostní politiky. Příjemce významně porušil podmínky </w:t>
            </w:r>
            <w:r w:rsidR="00D7249E">
              <w:rPr>
                <w:rFonts w:ascii="Calibri" w:hAnsi="Calibri" w:cs="Calibri"/>
                <w:color w:val="000000" w:themeColor="text1"/>
                <w:sz w:val="20"/>
                <w:szCs w:val="20"/>
              </w:rPr>
              <w:t>s</w:t>
            </w:r>
            <w:r w:rsidRPr="000333CB">
              <w:rPr>
                <w:rFonts w:ascii="Calibri" w:hAnsi="Calibri" w:cs="Calibri"/>
                <w:color w:val="000000" w:themeColor="text1"/>
                <w:sz w:val="20"/>
                <w:szCs w:val="20"/>
              </w:rPr>
              <w:t>mlouvy s poskytovatelem.</w:t>
            </w:r>
          </w:p>
          <w:p w14:paraId="59861F80" w14:textId="35879A13" w:rsidR="00604B88" w:rsidRPr="000333CB" w:rsidRDefault="00604B88" w:rsidP="00D7249E">
            <w:pPr>
              <w:spacing w:after="0" w:line="240" w:lineRule="auto"/>
              <w:jc w:val="both"/>
              <w:rPr>
                <w:rFonts w:ascii="Calibri" w:hAnsi="Calibri" w:cs="Calibri"/>
                <w:color w:val="000000" w:themeColor="text1"/>
                <w:sz w:val="20"/>
                <w:szCs w:val="20"/>
              </w:rPr>
            </w:pPr>
            <w:r w:rsidRPr="000333CB">
              <w:rPr>
                <w:rFonts w:ascii="Calibri" w:hAnsi="Calibri" w:cs="Calibri"/>
                <w:color w:val="000000" w:themeColor="text1"/>
                <w:sz w:val="20"/>
                <w:szCs w:val="20"/>
              </w:rPr>
              <w:t xml:space="preserve">Nebo byl </w:t>
            </w:r>
            <w:r w:rsidR="00D7249E" w:rsidRPr="000333CB">
              <w:rPr>
                <w:rFonts w:ascii="Calibri" w:hAnsi="Calibri" w:cs="Calibri"/>
                <w:color w:val="000000" w:themeColor="text1"/>
                <w:sz w:val="20"/>
                <w:szCs w:val="20"/>
              </w:rPr>
              <w:t xml:space="preserve">projekt </w:t>
            </w:r>
            <w:r w:rsidRPr="000333CB">
              <w:rPr>
                <w:rFonts w:ascii="Calibri" w:hAnsi="Calibri" w:cs="Calibri"/>
                <w:color w:val="000000" w:themeColor="text1"/>
                <w:sz w:val="20"/>
                <w:szCs w:val="20"/>
              </w:rPr>
              <w:t>poskytovatelem dotace vybrán zcela v rozporu s příslušnými předpisy a pravidly</w:t>
            </w:r>
            <w:r w:rsidR="00D7249E">
              <w:rPr>
                <w:rFonts w:ascii="Calibri" w:hAnsi="Calibri" w:cs="Calibri"/>
                <w:color w:val="000000" w:themeColor="text1"/>
                <w:sz w:val="20"/>
                <w:szCs w:val="20"/>
              </w:rPr>
              <w:t>,</w:t>
            </w:r>
            <w:r w:rsidRPr="000333CB">
              <w:rPr>
                <w:rFonts w:ascii="Calibri" w:hAnsi="Calibri" w:cs="Calibri"/>
                <w:color w:val="000000" w:themeColor="text1"/>
                <w:sz w:val="20"/>
                <w:szCs w:val="20"/>
              </w:rPr>
              <w:t xml:space="preserve"> a byl tak od počátku nezpůsobilý.</w:t>
            </w:r>
          </w:p>
        </w:tc>
      </w:tr>
    </w:tbl>
    <w:p w14:paraId="29AA9CEC" w14:textId="77777777" w:rsidR="00604B88" w:rsidRPr="000333CB" w:rsidRDefault="00604B88" w:rsidP="00604B88">
      <w:pPr>
        <w:spacing w:after="0" w:line="240" w:lineRule="auto"/>
        <w:jc w:val="both"/>
        <w:rPr>
          <w:rFonts w:ascii="Calibri" w:hAnsi="Calibri" w:cs="Calibri"/>
          <w:color w:val="000000" w:themeColor="text1"/>
          <w:sz w:val="20"/>
          <w:szCs w:val="20"/>
        </w:rPr>
      </w:pPr>
    </w:p>
    <w:p w14:paraId="1152D45E" w14:textId="77777777" w:rsidR="00604B88" w:rsidRDefault="00604B88" w:rsidP="00604B88">
      <w:pPr>
        <w:rPr>
          <w:b/>
          <w:color w:val="000000" w:themeColor="text1"/>
          <w:sz w:val="24"/>
          <w:szCs w:val="20"/>
        </w:rPr>
      </w:pPr>
      <w:r>
        <w:rPr>
          <w:rFonts w:eastAsia="Calibri"/>
          <w:b/>
          <w:color w:val="000000" w:themeColor="text1"/>
          <w:sz w:val="24"/>
          <w:szCs w:val="20"/>
        </w:rPr>
        <w:br w:type="page"/>
      </w:r>
    </w:p>
    <w:p w14:paraId="31A9CA54" w14:textId="77777777" w:rsidR="00604B88" w:rsidRPr="00604B88" w:rsidRDefault="00604B88" w:rsidP="00604B88">
      <w:pPr>
        <w:spacing w:after="40" w:line="240" w:lineRule="auto"/>
        <w:rPr>
          <w:b/>
          <w:sz w:val="24"/>
        </w:rPr>
      </w:pPr>
      <w:r w:rsidRPr="00604B88">
        <w:rPr>
          <w:b/>
          <w:sz w:val="24"/>
        </w:rPr>
        <w:lastRenderedPageBreak/>
        <w:t>2. Vyhodnocení efektivnosti (a hospodárnosti jako její součásti).</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5953"/>
      </w:tblGrid>
      <w:tr w:rsidR="00604B88" w:rsidRPr="000333CB" w14:paraId="60E576CD" w14:textId="77777777" w:rsidTr="00604B88">
        <w:trPr>
          <w:trHeight w:val="520"/>
          <w:jc w:val="center"/>
        </w:trPr>
        <w:tc>
          <w:tcPr>
            <w:tcW w:w="3118" w:type="dxa"/>
            <w:tcBorders>
              <w:top w:val="single" w:sz="4" w:space="0" w:color="000000"/>
              <w:left w:val="single" w:sz="4" w:space="0" w:color="000000"/>
              <w:bottom w:val="single" w:sz="4" w:space="0" w:color="000000"/>
              <w:right w:val="single" w:sz="4" w:space="0" w:color="000000"/>
            </w:tcBorders>
            <w:vAlign w:val="center"/>
            <w:hideMark/>
          </w:tcPr>
          <w:p w14:paraId="59C3CA7C" w14:textId="77777777" w:rsidR="00604B88" w:rsidRPr="000333CB" w:rsidRDefault="00604B88" w:rsidP="001611C5">
            <w:pPr>
              <w:spacing w:after="0" w:line="240" w:lineRule="auto"/>
              <w:jc w:val="center"/>
              <w:rPr>
                <w:rFonts w:ascii="Calibri" w:hAnsi="Calibri" w:cs="Calibri"/>
                <w:b/>
                <w:color w:val="000000" w:themeColor="text1"/>
                <w:sz w:val="20"/>
                <w:szCs w:val="20"/>
              </w:rPr>
            </w:pPr>
            <w:r w:rsidRPr="000333CB">
              <w:rPr>
                <w:rFonts w:ascii="Calibri" w:hAnsi="Calibri" w:cs="Calibri"/>
                <w:b/>
                <w:color w:val="000000" w:themeColor="text1"/>
                <w:sz w:val="20"/>
                <w:szCs w:val="20"/>
              </w:rPr>
              <w:t>Stupeň efektivnosti projektu</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473BEC4F" w14:textId="77777777" w:rsidR="00604B88" w:rsidRPr="000333CB" w:rsidRDefault="00604B88" w:rsidP="001611C5">
            <w:pPr>
              <w:spacing w:after="0" w:line="240" w:lineRule="auto"/>
              <w:jc w:val="center"/>
              <w:rPr>
                <w:rFonts w:ascii="Calibri" w:hAnsi="Calibri" w:cs="Calibri"/>
                <w:b/>
                <w:color w:val="000000" w:themeColor="text1"/>
                <w:sz w:val="20"/>
                <w:szCs w:val="20"/>
              </w:rPr>
            </w:pPr>
            <w:r w:rsidRPr="000333CB">
              <w:rPr>
                <w:rFonts w:ascii="Calibri" w:hAnsi="Calibri" w:cs="Calibri"/>
                <w:b/>
                <w:color w:val="000000" w:themeColor="text1"/>
                <w:sz w:val="20"/>
                <w:szCs w:val="20"/>
              </w:rPr>
              <w:t>Definice stupně efektivnosti</w:t>
            </w:r>
          </w:p>
        </w:tc>
      </w:tr>
      <w:tr w:rsidR="00604B88" w:rsidRPr="000333CB" w14:paraId="7B0AF418" w14:textId="77777777" w:rsidTr="00604B88">
        <w:trPr>
          <w:jc w:val="center"/>
        </w:trPr>
        <w:tc>
          <w:tcPr>
            <w:tcW w:w="3118" w:type="dxa"/>
            <w:tcBorders>
              <w:top w:val="single" w:sz="4" w:space="0" w:color="000000"/>
              <w:left w:val="single" w:sz="4" w:space="0" w:color="000000"/>
              <w:bottom w:val="single" w:sz="4" w:space="0" w:color="000000"/>
              <w:right w:val="single" w:sz="4" w:space="0" w:color="000000"/>
            </w:tcBorders>
            <w:vAlign w:val="center"/>
            <w:hideMark/>
          </w:tcPr>
          <w:p w14:paraId="5E0B8A16" w14:textId="77777777" w:rsidR="00604B88" w:rsidRPr="000333CB" w:rsidRDefault="00604B88" w:rsidP="001611C5">
            <w:pPr>
              <w:spacing w:after="0" w:line="240" w:lineRule="auto"/>
              <w:jc w:val="center"/>
              <w:rPr>
                <w:rFonts w:ascii="Calibri" w:hAnsi="Calibri" w:cs="Calibri"/>
                <w:b/>
                <w:color w:val="000000" w:themeColor="text1"/>
                <w:sz w:val="20"/>
                <w:szCs w:val="20"/>
              </w:rPr>
            </w:pPr>
            <w:r w:rsidRPr="000333CB">
              <w:rPr>
                <w:rFonts w:ascii="Calibri" w:hAnsi="Calibri" w:cs="Calibri"/>
                <w:b/>
                <w:color w:val="000000" w:themeColor="text1"/>
                <w:sz w:val="20"/>
                <w:szCs w:val="20"/>
              </w:rPr>
              <w:t>1.</w:t>
            </w:r>
          </w:p>
          <w:p w14:paraId="7BBD523E" w14:textId="77777777" w:rsidR="00604B88" w:rsidRPr="000333CB" w:rsidRDefault="00604B88" w:rsidP="001611C5">
            <w:pPr>
              <w:spacing w:after="0" w:line="240" w:lineRule="auto"/>
              <w:jc w:val="center"/>
              <w:rPr>
                <w:rFonts w:ascii="Calibri" w:hAnsi="Calibri" w:cs="Calibri"/>
                <w:color w:val="000000" w:themeColor="text1"/>
                <w:sz w:val="20"/>
                <w:szCs w:val="20"/>
              </w:rPr>
            </w:pPr>
            <w:r w:rsidRPr="000333CB">
              <w:rPr>
                <w:rFonts w:ascii="Calibri" w:hAnsi="Calibri" w:cs="Calibri"/>
                <w:b/>
                <w:color w:val="000000" w:themeColor="text1"/>
                <w:sz w:val="20"/>
                <w:szCs w:val="20"/>
              </w:rPr>
              <w:t>Projekt je efektivní</w:t>
            </w:r>
          </w:p>
        </w:tc>
        <w:tc>
          <w:tcPr>
            <w:tcW w:w="5953" w:type="dxa"/>
            <w:tcBorders>
              <w:top w:val="single" w:sz="4" w:space="0" w:color="000000"/>
              <w:left w:val="single" w:sz="4" w:space="0" w:color="000000"/>
              <w:bottom w:val="single" w:sz="4" w:space="0" w:color="000000"/>
              <w:right w:val="single" w:sz="4" w:space="0" w:color="000000"/>
            </w:tcBorders>
            <w:vAlign w:val="center"/>
          </w:tcPr>
          <w:p w14:paraId="29091614" w14:textId="77777777" w:rsidR="00604B88" w:rsidRPr="000333CB" w:rsidRDefault="00604B88" w:rsidP="001611C5">
            <w:pPr>
              <w:spacing w:after="0" w:line="240" w:lineRule="auto"/>
              <w:jc w:val="both"/>
              <w:rPr>
                <w:rFonts w:ascii="Calibri" w:hAnsi="Calibri" w:cs="Calibri"/>
                <w:b/>
                <w:sz w:val="20"/>
                <w:szCs w:val="20"/>
              </w:rPr>
            </w:pPr>
            <w:r w:rsidRPr="000333CB">
              <w:rPr>
                <w:rFonts w:ascii="Calibri" w:hAnsi="Calibri" w:cs="Calibri"/>
                <w:b/>
                <w:sz w:val="20"/>
                <w:szCs w:val="20"/>
              </w:rPr>
              <w:t xml:space="preserve">Je splněn předpokládaný výsledek a přínos projektu s odpovídající výší vynaložených prostředků. </w:t>
            </w:r>
          </w:p>
          <w:p w14:paraId="5CA0B2FD" w14:textId="77777777" w:rsidR="00604B88" w:rsidRPr="000333CB" w:rsidRDefault="00604B88" w:rsidP="001611C5">
            <w:pPr>
              <w:spacing w:after="0" w:line="240" w:lineRule="auto"/>
              <w:jc w:val="both"/>
              <w:rPr>
                <w:rFonts w:ascii="Calibri" w:hAnsi="Calibri" w:cs="Calibri"/>
                <w:sz w:val="20"/>
                <w:szCs w:val="20"/>
              </w:rPr>
            </w:pPr>
            <w:r w:rsidRPr="000333CB">
              <w:rPr>
                <w:rFonts w:ascii="Calibri" w:hAnsi="Calibri" w:cs="Calibri"/>
                <w:sz w:val="20"/>
                <w:szCs w:val="20"/>
              </w:rPr>
              <w:t>Byly splněny očekávané přínosy implementace výsledků, indikátory uživatelského přínosu, plán hodnocení indikátorů uživatelského přínosu v období udržitelnosti projektu dle projektu, přičemž celkové náklady vynaložené na projekt nejsou neúměrné dosaženým výsledkům a přínosu.</w:t>
            </w:r>
          </w:p>
          <w:p w14:paraId="1BFF76D1" w14:textId="22233193" w:rsidR="00604B88" w:rsidRPr="000333CB" w:rsidRDefault="00604B88" w:rsidP="001611C5">
            <w:pPr>
              <w:spacing w:after="0" w:line="240" w:lineRule="auto"/>
              <w:jc w:val="both"/>
              <w:rPr>
                <w:rFonts w:ascii="Calibri" w:hAnsi="Calibri" w:cs="Calibri"/>
                <w:sz w:val="20"/>
                <w:szCs w:val="20"/>
              </w:rPr>
            </w:pPr>
            <w:r w:rsidRPr="000333CB">
              <w:rPr>
                <w:rFonts w:ascii="Calibri" w:hAnsi="Calibri" w:cs="Calibri"/>
                <w:sz w:val="20"/>
                <w:szCs w:val="20"/>
              </w:rPr>
              <w:t>Rozsah prací a provedených aktivit odpovídal plánovanému harmonogramu jak termínově, tak věcně</w:t>
            </w:r>
            <w:r w:rsidR="00EA66FB">
              <w:rPr>
                <w:rFonts w:ascii="Calibri" w:hAnsi="Calibri" w:cs="Calibri"/>
                <w:sz w:val="20"/>
                <w:szCs w:val="20"/>
              </w:rPr>
              <w:t>.</w:t>
            </w:r>
          </w:p>
          <w:p w14:paraId="327E00C6" w14:textId="77777777" w:rsidR="00604B88" w:rsidRPr="000333CB" w:rsidRDefault="00604B88" w:rsidP="001611C5">
            <w:pPr>
              <w:spacing w:after="0" w:line="240" w:lineRule="auto"/>
              <w:jc w:val="both"/>
              <w:rPr>
                <w:rFonts w:ascii="Calibri" w:hAnsi="Calibri" w:cs="Calibri"/>
                <w:sz w:val="20"/>
                <w:szCs w:val="20"/>
              </w:rPr>
            </w:pPr>
            <w:r w:rsidRPr="000333CB">
              <w:rPr>
                <w:rFonts w:ascii="Calibri" w:hAnsi="Calibri" w:cs="Calibri"/>
                <w:sz w:val="20"/>
                <w:szCs w:val="20"/>
              </w:rPr>
              <w:t>Všechny vynaložené prostředky byly v přímé souvislosti s realizací projektu a byly nezbytné pro naplnění cílů projektu (z hlediska věcného obsahu).</w:t>
            </w:r>
          </w:p>
          <w:p w14:paraId="26F08565" w14:textId="7D7BBAE8" w:rsidR="00604B88" w:rsidRPr="000333CB" w:rsidRDefault="00604B88" w:rsidP="001611C5">
            <w:pPr>
              <w:spacing w:after="0" w:line="240" w:lineRule="auto"/>
              <w:jc w:val="both"/>
              <w:rPr>
                <w:rFonts w:ascii="Calibri" w:hAnsi="Calibri" w:cs="Calibri"/>
                <w:sz w:val="20"/>
                <w:szCs w:val="20"/>
              </w:rPr>
            </w:pPr>
            <w:r w:rsidRPr="000333CB">
              <w:rPr>
                <w:rFonts w:ascii="Calibri" w:hAnsi="Calibri" w:cs="Calibri"/>
                <w:sz w:val="20"/>
                <w:szCs w:val="20"/>
              </w:rPr>
              <w:t>Činnosti a služby byly prováděny za odpovídající ceny v místě a čase obvyklé</w:t>
            </w:r>
            <w:r w:rsidR="00EA66FB">
              <w:rPr>
                <w:rFonts w:ascii="Calibri" w:hAnsi="Calibri" w:cs="Calibri"/>
                <w:sz w:val="20"/>
                <w:szCs w:val="20"/>
              </w:rPr>
              <w:t>m</w:t>
            </w:r>
            <w:r w:rsidRPr="000333CB">
              <w:rPr>
                <w:rFonts w:ascii="Calibri" w:hAnsi="Calibri" w:cs="Calibri"/>
                <w:sz w:val="20"/>
                <w:szCs w:val="20"/>
              </w:rPr>
              <w:t>, byly v souladu se zadávací dokumentací (v případě, že se nebude jednat o specifické činnosti) – například zda ohodnocení manažera projektu bylo v souladu se zadávací dokumentací nejvýše do 50 tis. Kč ročně, zda příslušná část mzdy nebo platu stálých zaměstnanců odpovídala prokazatelné účasti na řešení projektu. Ceny nebyly nadhodnocené ve vztahu k výkonům, za které byly hrazeny, a to i ve vztahu ke kvalifikaci řešitelů (srovnání cen v rámci vybraných kontrolovaných projektů).</w:t>
            </w:r>
          </w:p>
          <w:p w14:paraId="743A48E2" w14:textId="77777777" w:rsidR="00604B88" w:rsidRPr="000333CB" w:rsidRDefault="00604B88" w:rsidP="001611C5">
            <w:pPr>
              <w:spacing w:after="0" w:line="240" w:lineRule="auto"/>
              <w:jc w:val="both"/>
              <w:rPr>
                <w:rFonts w:ascii="Calibri" w:hAnsi="Calibri" w:cs="Calibri"/>
                <w:sz w:val="20"/>
                <w:szCs w:val="20"/>
              </w:rPr>
            </w:pPr>
            <w:r w:rsidRPr="000333CB">
              <w:rPr>
                <w:rFonts w:ascii="Calibri" w:hAnsi="Calibri" w:cs="Calibri"/>
                <w:sz w:val="20"/>
                <w:szCs w:val="20"/>
              </w:rPr>
              <w:t>Nebyl realizován duplicitní projekt k jinému projektu (ať už daného nebo jiného řešitele) nebo jehož výsledky pro danou oblast bezpečnosti již byly v době realizace známy (riziko duplicity nebo efektu mrtvé váhy).</w:t>
            </w:r>
          </w:p>
        </w:tc>
      </w:tr>
      <w:tr w:rsidR="00604B88" w:rsidRPr="000333CB" w14:paraId="683AB179" w14:textId="77777777" w:rsidTr="00604B88">
        <w:trPr>
          <w:jc w:val="center"/>
        </w:trPr>
        <w:tc>
          <w:tcPr>
            <w:tcW w:w="3118" w:type="dxa"/>
            <w:tcBorders>
              <w:top w:val="single" w:sz="4" w:space="0" w:color="000000"/>
              <w:left w:val="single" w:sz="4" w:space="0" w:color="000000"/>
              <w:bottom w:val="single" w:sz="4" w:space="0" w:color="000000"/>
              <w:right w:val="single" w:sz="4" w:space="0" w:color="000000"/>
            </w:tcBorders>
            <w:vAlign w:val="center"/>
            <w:hideMark/>
          </w:tcPr>
          <w:p w14:paraId="6E432F6E" w14:textId="77777777" w:rsidR="00604B88" w:rsidRPr="000333CB" w:rsidRDefault="00604B88" w:rsidP="001611C5">
            <w:pPr>
              <w:spacing w:after="0" w:line="240" w:lineRule="auto"/>
              <w:jc w:val="center"/>
              <w:rPr>
                <w:rFonts w:ascii="Calibri" w:hAnsi="Calibri" w:cs="Calibri"/>
                <w:b/>
                <w:color w:val="000000" w:themeColor="text1"/>
                <w:sz w:val="20"/>
                <w:szCs w:val="20"/>
              </w:rPr>
            </w:pPr>
            <w:r w:rsidRPr="000333CB">
              <w:rPr>
                <w:rFonts w:ascii="Calibri" w:hAnsi="Calibri" w:cs="Calibri"/>
                <w:b/>
                <w:color w:val="000000" w:themeColor="text1"/>
                <w:sz w:val="20"/>
                <w:szCs w:val="20"/>
              </w:rPr>
              <w:t>2.</w:t>
            </w:r>
          </w:p>
          <w:p w14:paraId="227F92C3" w14:textId="77777777" w:rsidR="00604B88" w:rsidRPr="000333CB" w:rsidRDefault="00604B88" w:rsidP="001611C5">
            <w:pPr>
              <w:spacing w:after="0" w:line="240" w:lineRule="auto"/>
              <w:jc w:val="center"/>
              <w:rPr>
                <w:rFonts w:ascii="Calibri" w:hAnsi="Calibri" w:cs="Calibri"/>
                <w:b/>
                <w:color w:val="000000" w:themeColor="text1"/>
                <w:sz w:val="20"/>
                <w:szCs w:val="20"/>
              </w:rPr>
            </w:pPr>
            <w:r w:rsidRPr="000333CB">
              <w:rPr>
                <w:rFonts w:ascii="Calibri" w:hAnsi="Calibri" w:cs="Calibri"/>
                <w:b/>
                <w:color w:val="000000" w:themeColor="text1"/>
                <w:sz w:val="20"/>
                <w:szCs w:val="20"/>
              </w:rPr>
              <w:t>Projekt je efektivní s mírnými nedostatky</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132E09CD" w14:textId="6C16DECD" w:rsidR="00604B88" w:rsidRPr="000333CB" w:rsidRDefault="00604B88" w:rsidP="001611C5">
            <w:pPr>
              <w:spacing w:after="0" w:line="240" w:lineRule="auto"/>
              <w:jc w:val="both"/>
              <w:rPr>
                <w:rFonts w:ascii="Calibri" w:hAnsi="Calibri" w:cs="Calibri"/>
                <w:sz w:val="20"/>
                <w:szCs w:val="20"/>
              </w:rPr>
            </w:pPr>
            <w:r w:rsidRPr="000333CB">
              <w:rPr>
                <w:rFonts w:ascii="Calibri" w:hAnsi="Calibri" w:cs="Calibri"/>
                <w:sz w:val="20"/>
                <w:szCs w:val="20"/>
              </w:rPr>
              <w:t>Některý z předpokladů uvedených pro efektivnost projektu není zcela naplněn, ale má to jen dílčí</w:t>
            </w:r>
            <w:r w:rsidR="00EA66FB">
              <w:rPr>
                <w:rFonts w:ascii="Calibri" w:hAnsi="Calibri" w:cs="Calibri"/>
                <w:sz w:val="20"/>
                <w:szCs w:val="20"/>
              </w:rPr>
              <w:t>,</w:t>
            </w:r>
            <w:r w:rsidRPr="000333CB">
              <w:rPr>
                <w:rFonts w:ascii="Calibri" w:hAnsi="Calibri" w:cs="Calibri"/>
                <w:sz w:val="20"/>
                <w:szCs w:val="20"/>
              </w:rPr>
              <w:t xml:space="preserve"> resp. nevýznamný vliv na celkové pozitivní hodnocení efektivnosti projektu. Bylo např. zjištěno nehospodárné vynaložení malé části projektových nákladů (např. vyšší než obvyklá cena). Dílčí, ale z hlediska celku nevýznamný výdaj neměl prokazatelnou přímou souvislost se zajištěním cílů projektu.</w:t>
            </w:r>
          </w:p>
        </w:tc>
      </w:tr>
      <w:tr w:rsidR="00604B88" w:rsidRPr="000333CB" w14:paraId="63B66DAA" w14:textId="77777777" w:rsidTr="00604B88">
        <w:trPr>
          <w:jc w:val="center"/>
        </w:trPr>
        <w:tc>
          <w:tcPr>
            <w:tcW w:w="3118" w:type="dxa"/>
            <w:tcBorders>
              <w:top w:val="single" w:sz="4" w:space="0" w:color="000000"/>
              <w:left w:val="single" w:sz="4" w:space="0" w:color="000000"/>
              <w:bottom w:val="single" w:sz="4" w:space="0" w:color="000000"/>
              <w:right w:val="single" w:sz="4" w:space="0" w:color="000000"/>
            </w:tcBorders>
            <w:vAlign w:val="center"/>
            <w:hideMark/>
          </w:tcPr>
          <w:p w14:paraId="2EB74B0C" w14:textId="77777777" w:rsidR="00604B88" w:rsidRPr="000333CB" w:rsidRDefault="00604B88" w:rsidP="001611C5">
            <w:pPr>
              <w:spacing w:after="0" w:line="240" w:lineRule="auto"/>
              <w:jc w:val="center"/>
              <w:rPr>
                <w:rFonts w:ascii="Calibri" w:hAnsi="Calibri" w:cs="Calibri"/>
                <w:b/>
                <w:color w:val="000000" w:themeColor="text1"/>
                <w:sz w:val="20"/>
                <w:szCs w:val="20"/>
              </w:rPr>
            </w:pPr>
            <w:r w:rsidRPr="000333CB">
              <w:rPr>
                <w:rFonts w:ascii="Calibri" w:hAnsi="Calibri" w:cs="Calibri"/>
                <w:b/>
                <w:color w:val="000000" w:themeColor="text1"/>
                <w:sz w:val="20"/>
                <w:szCs w:val="20"/>
              </w:rPr>
              <w:t>3.</w:t>
            </w:r>
          </w:p>
          <w:p w14:paraId="48C6C7E7" w14:textId="7C02C52A" w:rsidR="00604B88" w:rsidRPr="000333CB" w:rsidRDefault="00604B88" w:rsidP="0085781F">
            <w:pPr>
              <w:spacing w:after="0" w:line="240" w:lineRule="auto"/>
              <w:jc w:val="center"/>
              <w:rPr>
                <w:rFonts w:ascii="Calibri" w:hAnsi="Calibri" w:cs="Calibri"/>
                <w:b/>
                <w:color w:val="000000" w:themeColor="text1"/>
                <w:sz w:val="20"/>
                <w:szCs w:val="20"/>
              </w:rPr>
            </w:pPr>
            <w:r w:rsidRPr="000333CB">
              <w:rPr>
                <w:rFonts w:ascii="Calibri" w:hAnsi="Calibri" w:cs="Calibri"/>
                <w:b/>
                <w:color w:val="000000" w:themeColor="text1"/>
                <w:sz w:val="20"/>
                <w:szCs w:val="20"/>
              </w:rPr>
              <w:t>Projekt je efektivní pouze omezeně</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0CEFB9C5" w14:textId="2EBA21B9" w:rsidR="00604B88" w:rsidRPr="000333CB" w:rsidRDefault="00604B88" w:rsidP="00EA66FB">
            <w:pPr>
              <w:spacing w:after="0" w:line="240" w:lineRule="auto"/>
              <w:jc w:val="both"/>
              <w:rPr>
                <w:rFonts w:ascii="Calibri" w:hAnsi="Calibri" w:cs="Calibri"/>
                <w:color w:val="000000" w:themeColor="text1"/>
                <w:sz w:val="20"/>
                <w:szCs w:val="20"/>
              </w:rPr>
            </w:pPr>
            <w:r w:rsidRPr="000333CB">
              <w:rPr>
                <w:rFonts w:ascii="Calibri" w:hAnsi="Calibri" w:cs="Calibri"/>
                <w:color w:val="000000" w:themeColor="text1"/>
                <w:sz w:val="20"/>
                <w:szCs w:val="20"/>
              </w:rPr>
              <w:t>Více z předpokladů efektivnosti není naplněno, resp. jejich vliv není jen dílčí a omezuje celkovou efektivnost projektu. U více nákladů bylo zjištěno nehospodárné vynaložení, resp. nehospodárnost je u</w:t>
            </w:r>
            <w:r>
              <w:rPr>
                <w:color w:val="000000" w:themeColor="text1"/>
                <w:sz w:val="20"/>
                <w:szCs w:val="20"/>
              </w:rPr>
              <w:t> </w:t>
            </w:r>
            <w:r w:rsidRPr="000333CB">
              <w:rPr>
                <w:rFonts w:ascii="Calibri" w:hAnsi="Calibri" w:cs="Calibri"/>
                <w:color w:val="000000" w:themeColor="text1"/>
                <w:sz w:val="20"/>
                <w:szCs w:val="20"/>
              </w:rPr>
              <w:t xml:space="preserve">některého z nich významná. Vzhledem k horším než předpokládaným výsledkům projektu, resp. jeho omezenému využití v praxi, </w:t>
            </w:r>
            <w:r w:rsidR="00EA66FB" w:rsidRPr="000333CB">
              <w:rPr>
                <w:rFonts w:ascii="Calibri" w:hAnsi="Calibri" w:cs="Calibri"/>
                <w:color w:val="000000" w:themeColor="text1"/>
                <w:sz w:val="20"/>
                <w:szCs w:val="20"/>
              </w:rPr>
              <w:t xml:space="preserve">omezuje </w:t>
            </w:r>
            <w:r w:rsidRPr="000333CB">
              <w:rPr>
                <w:rFonts w:ascii="Calibri" w:hAnsi="Calibri" w:cs="Calibri"/>
                <w:color w:val="000000" w:themeColor="text1"/>
                <w:sz w:val="20"/>
                <w:szCs w:val="20"/>
              </w:rPr>
              <w:t>celková částka vynaložených nákladů jeho efektivnost, příp. již od počátku předpokládané výsledky a přínosy nebyly zcela úměrné výši projektových nákladů. Nebo více výdajů vynaložených v rámci projektu nemělo prokazatelnou přímou souvislost se zajištěním jeho cílů. Nebo k dokončení původně plánovaných výsledků projektu nebo k jeho původně předpokládanému využití v praxi musí být vynaloženy další veřejné prostředky.</w:t>
            </w:r>
          </w:p>
        </w:tc>
      </w:tr>
      <w:tr w:rsidR="00604B88" w:rsidRPr="000333CB" w14:paraId="1C465DE9" w14:textId="77777777" w:rsidTr="00604B88">
        <w:trPr>
          <w:jc w:val="center"/>
        </w:trPr>
        <w:tc>
          <w:tcPr>
            <w:tcW w:w="3118" w:type="dxa"/>
            <w:tcBorders>
              <w:top w:val="single" w:sz="4" w:space="0" w:color="000000"/>
              <w:left w:val="single" w:sz="4" w:space="0" w:color="000000"/>
              <w:bottom w:val="single" w:sz="4" w:space="0" w:color="000000"/>
              <w:right w:val="single" w:sz="4" w:space="0" w:color="000000"/>
            </w:tcBorders>
            <w:vAlign w:val="center"/>
            <w:hideMark/>
          </w:tcPr>
          <w:p w14:paraId="689A0E50" w14:textId="77777777" w:rsidR="00604B88" w:rsidRPr="000333CB" w:rsidRDefault="00604B88" w:rsidP="001611C5">
            <w:pPr>
              <w:spacing w:after="0" w:line="240" w:lineRule="auto"/>
              <w:jc w:val="center"/>
              <w:rPr>
                <w:rFonts w:ascii="Calibri" w:hAnsi="Calibri" w:cs="Calibri"/>
                <w:b/>
                <w:color w:val="000000" w:themeColor="text1"/>
                <w:sz w:val="20"/>
                <w:szCs w:val="20"/>
              </w:rPr>
            </w:pPr>
            <w:r w:rsidRPr="000333CB">
              <w:rPr>
                <w:rFonts w:ascii="Calibri" w:hAnsi="Calibri" w:cs="Calibri"/>
                <w:b/>
                <w:color w:val="000000" w:themeColor="text1"/>
                <w:sz w:val="20"/>
                <w:szCs w:val="20"/>
              </w:rPr>
              <w:t>4.</w:t>
            </w:r>
          </w:p>
          <w:p w14:paraId="7924010E" w14:textId="77777777" w:rsidR="00604B88" w:rsidRPr="000333CB" w:rsidRDefault="00604B88" w:rsidP="001611C5">
            <w:pPr>
              <w:spacing w:after="0" w:line="240" w:lineRule="auto"/>
              <w:jc w:val="center"/>
              <w:rPr>
                <w:rFonts w:ascii="Calibri" w:hAnsi="Calibri" w:cs="Calibri"/>
                <w:b/>
                <w:color w:val="000000" w:themeColor="text1"/>
                <w:sz w:val="20"/>
                <w:szCs w:val="20"/>
              </w:rPr>
            </w:pPr>
            <w:r w:rsidRPr="000333CB">
              <w:rPr>
                <w:rFonts w:ascii="Calibri" w:hAnsi="Calibri" w:cs="Calibri"/>
                <w:b/>
                <w:color w:val="000000" w:themeColor="text1"/>
                <w:sz w:val="20"/>
                <w:szCs w:val="20"/>
              </w:rPr>
              <w:t>Projekt není efektivní</w:t>
            </w:r>
          </w:p>
        </w:tc>
        <w:tc>
          <w:tcPr>
            <w:tcW w:w="5953" w:type="dxa"/>
            <w:tcBorders>
              <w:top w:val="single" w:sz="4" w:space="0" w:color="000000"/>
              <w:left w:val="single" w:sz="4" w:space="0" w:color="000000"/>
              <w:bottom w:val="single" w:sz="4" w:space="0" w:color="000000"/>
              <w:right w:val="single" w:sz="4" w:space="0" w:color="000000"/>
            </w:tcBorders>
            <w:vAlign w:val="center"/>
          </w:tcPr>
          <w:p w14:paraId="754968CC" w14:textId="77777777" w:rsidR="00604B88" w:rsidRPr="000333CB" w:rsidRDefault="00604B88" w:rsidP="001611C5">
            <w:pPr>
              <w:spacing w:after="0" w:line="240" w:lineRule="auto"/>
              <w:jc w:val="both"/>
              <w:rPr>
                <w:rFonts w:ascii="Calibri" w:hAnsi="Calibri" w:cs="Calibri"/>
                <w:color w:val="000000" w:themeColor="text1"/>
                <w:sz w:val="20"/>
                <w:szCs w:val="20"/>
              </w:rPr>
            </w:pPr>
            <w:r w:rsidRPr="000333CB">
              <w:rPr>
                <w:rFonts w:ascii="Calibri" w:hAnsi="Calibri" w:cs="Calibri"/>
                <w:color w:val="000000" w:themeColor="text1"/>
                <w:sz w:val="20"/>
                <w:szCs w:val="20"/>
              </w:rPr>
              <w:t>Projekt a jeho realizaci doprovází zásadní nedostatky, pokud jde o</w:t>
            </w:r>
            <w:r>
              <w:rPr>
                <w:color w:val="000000" w:themeColor="text1"/>
                <w:sz w:val="20"/>
                <w:szCs w:val="20"/>
              </w:rPr>
              <w:t> </w:t>
            </w:r>
            <w:r w:rsidRPr="000333CB">
              <w:rPr>
                <w:rFonts w:ascii="Calibri" w:hAnsi="Calibri" w:cs="Calibri"/>
                <w:color w:val="000000" w:themeColor="text1"/>
                <w:sz w:val="20"/>
                <w:szCs w:val="20"/>
              </w:rPr>
              <w:t xml:space="preserve">efektivnost vynaložených výdajů. Výdaje na daný projekt jsou např. zcela neúměrné dosaženým výsledkům, např. proto, že většiny výsledků nebylo dosaženo. Významné části výdajů byly nadhodnoceny a neodpovídají cenám obvyklým v místě a čase. Nebo je projekt zcela nebo z velké části duplicitní k jinému projektu, resp. výsledky, které se od projektu očekávají, již existují. Nebo rozpočet projektu byl výrazně překročen bez řádného opodstatnění. </w:t>
            </w:r>
            <w:r w:rsidRPr="000333CB">
              <w:rPr>
                <w:rFonts w:ascii="Calibri" w:hAnsi="Calibri" w:cs="Calibri"/>
                <w:b/>
                <w:color w:val="000000" w:themeColor="text1"/>
                <w:sz w:val="20"/>
                <w:szCs w:val="20"/>
              </w:rPr>
              <w:t>Projekt je vždy hodnocen jako</w:t>
            </w:r>
            <w:r w:rsidRPr="000333CB">
              <w:rPr>
                <w:rFonts w:ascii="Calibri" w:hAnsi="Calibri" w:cs="Calibri"/>
                <w:color w:val="000000" w:themeColor="text1"/>
                <w:sz w:val="20"/>
                <w:szCs w:val="20"/>
              </w:rPr>
              <w:t xml:space="preserve"> </w:t>
            </w:r>
            <w:r w:rsidRPr="000333CB">
              <w:rPr>
                <w:rFonts w:ascii="Calibri" w:hAnsi="Calibri" w:cs="Calibri"/>
                <w:b/>
                <w:color w:val="000000" w:themeColor="text1"/>
                <w:sz w:val="20"/>
                <w:szCs w:val="20"/>
              </w:rPr>
              <w:t>neefektivní, je-li hodnocen jako neúčelný</w:t>
            </w:r>
            <w:r w:rsidRPr="003B2242">
              <w:rPr>
                <w:rFonts w:ascii="Calibri" w:hAnsi="Calibri" w:cs="Calibri"/>
                <w:b/>
                <w:color w:val="000000" w:themeColor="text1"/>
                <w:sz w:val="20"/>
                <w:szCs w:val="20"/>
              </w:rPr>
              <w:t>.</w:t>
            </w:r>
          </w:p>
        </w:tc>
      </w:tr>
    </w:tbl>
    <w:p w14:paraId="4F004883" w14:textId="77777777" w:rsidR="005E41DB" w:rsidRPr="00795184" w:rsidRDefault="005E41DB" w:rsidP="00795184">
      <w:pPr>
        <w:tabs>
          <w:tab w:val="left" w:pos="4536"/>
          <w:tab w:val="center" w:pos="5954"/>
          <w:tab w:val="center" w:pos="7655"/>
          <w:tab w:val="right" w:pos="9072"/>
        </w:tabs>
        <w:spacing w:after="120" w:line="240" w:lineRule="auto"/>
        <w:rPr>
          <w:rFonts w:ascii="Calibri" w:hAnsi="Calibri" w:cs="Calibri"/>
          <w:color w:val="000000" w:themeColor="text1"/>
          <w:sz w:val="24"/>
          <w:szCs w:val="24"/>
        </w:rPr>
      </w:pPr>
    </w:p>
    <w:sectPr w:rsidR="005E41DB" w:rsidRPr="00795184" w:rsidSect="00425DA2">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02E66" w14:textId="77777777" w:rsidR="00EA2965" w:rsidRDefault="00EA2965" w:rsidP="00B47D21">
      <w:pPr>
        <w:spacing w:after="0" w:line="240" w:lineRule="auto"/>
      </w:pPr>
      <w:r>
        <w:separator/>
      </w:r>
    </w:p>
  </w:endnote>
  <w:endnote w:type="continuationSeparator" w:id="0">
    <w:p w14:paraId="2B45A324" w14:textId="77777777" w:rsidR="00EA2965" w:rsidRDefault="00EA2965" w:rsidP="00B47D21">
      <w:pPr>
        <w:spacing w:after="0" w:line="240" w:lineRule="auto"/>
      </w:pPr>
      <w:r>
        <w:continuationSeparator/>
      </w:r>
    </w:p>
  </w:endnote>
  <w:endnote w:type="continuationNotice" w:id="1">
    <w:p w14:paraId="1714FC0C" w14:textId="77777777" w:rsidR="00EA2965" w:rsidRDefault="00EA2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F08B" w14:textId="77777777" w:rsidR="009930C8" w:rsidRDefault="009930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995841"/>
      <w:docPartObj>
        <w:docPartGallery w:val="Page Numbers (Bottom of Page)"/>
        <w:docPartUnique/>
      </w:docPartObj>
    </w:sdtPr>
    <w:sdtEndPr/>
    <w:sdtContent>
      <w:p w14:paraId="253F5319" w14:textId="30245868" w:rsidR="00EA2965" w:rsidRDefault="00EA2965" w:rsidP="00BE748F">
        <w:pPr>
          <w:pStyle w:val="Zpat"/>
          <w:jc w:val="center"/>
        </w:pPr>
        <w:r>
          <w:fldChar w:fldCharType="begin"/>
        </w:r>
        <w:r>
          <w:instrText>PAGE   \* MERGEFORMAT</w:instrText>
        </w:r>
        <w:r>
          <w:fldChar w:fldCharType="separate"/>
        </w:r>
        <w:r w:rsidR="009930C8">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2EE7" w14:textId="77777777" w:rsidR="009930C8" w:rsidRDefault="009930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0A1D" w14:textId="77777777" w:rsidR="00EA2965" w:rsidRDefault="00EA2965" w:rsidP="00B47D21">
      <w:pPr>
        <w:spacing w:after="0" w:line="240" w:lineRule="auto"/>
      </w:pPr>
      <w:r>
        <w:separator/>
      </w:r>
    </w:p>
  </w:footnote>
  <w:footnote w:type="continuationSeparator" w:id="0">
    <w:p w14:paraId="0004EEED" w14:textId="77777777" w:rsidR="00EA2965" w:rsidRDefault="00EA2965" w:rsidP="00B47D21">
      <w:pPr>
        <w:spacing w:after="0" w:line="240" w:lineRule="auto"/>
      </w:pPr>
      <w:r>
        <w:continuationSeparator/>
      </w:r>
    </w:p>
  </w:footnote>
  <w:footnote w:type="continuationNotice" w:id="1">
    <w:p w14:paraId="0B0225C3" w14:textId="77777777" w:rsidR="00EA2965" w:rsidRDefault="00EA2965">
      <w:pPr>
        <w:spacing w:after="0" w:line="240" w:lineRule="auto"/>
      </w:pPr>
    </w:p>
  </w:footnote>
  <w:footnote w:id="2">
    <w:p w14:paraId="199B3CBA" w14:textId="51DD1E84" w:rsidR="00EA2965" w:rsidRPr="002A4E5F" w:rsidRDefault="00EA2965" w:rsidP="0034720A">
      <w:pPr>
        <w:spacing w:after="0" w:line="240" w:lineRule="auto"/>
        <w:ind w:left="284" w:hanging="284"/>
        <w:jc w:val="both"/>
        <w:rPr>
          <w:rFonts w:ascii="Calibri" w:hAnsi="Calibri" w:cs="Calibri"/>
          <w:sz w:val="20"/>
          <w:szCs w:val="20"/>
        </w:rPr>
      </w:pPr>
      <w:r w:rsidRPr="002A4E5F">
        <w:rPr>
          <w:rStyle w:val="Znakapoznpodarou"/>
          <w:rFonts w:ascii="Calibri" w:hAnsi="Calibri" w:cs="Calibri"/>
          <w:sz w:val="20"/>
          <w:szCs w:val="20"/>
        </w:rPr>
        <w:footnoteRef/>
      </w:r>
      <w:r w:rsidRPr="002A4E5F">
        <w:rPr>
          <w:rFonts w:ascii="Calibri" w:hAnsi="Calibri" w:cs="Calibri"/>
          <w:sz w:val="20"/>
          <w:szCs w:val="20"/>
        </w:rPr>
        <w:t xml:space="preserve"> </w:t>
      </w:r>
      <w:r w:rsidRPr="002A4E5F">
        <w:rPr>
          <w:rFonts w:ascii="Calibri" w:hAnsi="Calibri" w:cs="Calibri"/>
          <w:sz w:val="20"/>
          <w:szCs w:val="20"/>
        </w:rPr>
        <w:tab/>
        <w:t xml:space="preserve">Jeden z programů účelové podpory, tj. </w:t>
      </w:r>
      <w:r w:rsidRPr="002A4E5F">
        <w:rPr>
          <w:rFonts w:ascii="Calibri" w:eastAsia="Times New Roman" w:hAnsi="Calibri" w:cs="Calibri"/>
          <w:i/>
          <w:sz w:val="20"/>
          <w:szCs w:val="20"/>
        </w:rPr>
        <w:t>Program bezpečnostního výzkumu České republiky,</w:t>
      </w:r>
      <w:r w:rsidRPr="002A4E5F">
        <w:rPr>
          <w:rFonts w:ascii="Calibri" w:eastAsia="Times New Roman" w:hAnsi="Calibri" w:cs="Calibri"/>
          <w:sz w:val="20"/>
          <w:szCs w:val="20"/>
        </w:rPr>
        <w:t xml:space="preserve"> byl zahájen již v roce 2015, zatímco </w:t>
      </w:r>
      <w:r w:rsidRPr="002A4E5F">
        <w:rPr>
          <w:rFonts w:ascii="Calibri" w:eastAsia="Times New Roman" w:hAnsi="Calibri" w:cs="Calibri"/>
          <w:i/>
          <w:sz w:val="20"/>
          <w:szCs w:val="20"/>
        </w:rPr>
        <w:t>Program bezpečnostního výzkumu pro potřeby státu</w:t>
      </w:r>
      <w:r w:rsidRPr="002A4E5F">
        <w:rPr>
          <w:rFonts w:ascii="Calibri" w:eastAsia="Times New Roman" w:hAnsi="Calibri" w:cs="Calibri"/>
          <w:sz w:val="20"/>
          <w:szCs w:val="20"/>
        </w:rPr>
        <w:t xml:space="preserve"> v roce 2016.</w:t>
      </w:r>
    </w:p>
  </w:footnote>
  <w:footnote w:id="3">
    <w:p w14:paraId="7375681C" w14:textId="26EFD006" w:rsidR="00EA2965" w:rsidRPr="002A4E5F" w:rsidRDefault="00EA2965" w:rsidP="0034720A">
      <w:pPr>
        <w:pStyle w:val="Textpoznpodarou"/>
        <w:ind w:left="284" w:hanging="284"/>
        <w:jc w:val="both"/>
        <w:rPr>
          <w:rFonts w:ascii="Calibri" w:hAnsi="Calibri" w:cs="Calibri"/>
        </w:rPr>
      </w:pPr>
      <w:r w:rsidRPr="002A4E5F">
        <w:rPr>
          <w:rStyle w:val="Znakapoznpodarou"/>
          <w:rFonts w:ascii="Calibri" w:hAnsi="Calibri" w:cs="Calibri"/>
        </w:rPr>
        <w:footnoteRef/>
      </w:r>
      <w:r w:rsidRPr="002A4E5F">
        <w:rPr>
          <w:rFonts w:ascii="Calibri" w:hAnsi="Calibri" w:cs="Calibri"/>
        </w:rPr>
        <w:t xml:space="preserve"> </w:t>
      </w:r>
      <w:r w:rsidRPr="002A4E5F">
        <w:rPr>
          <w:rFonts w:ascii="Calibri" w:hAnsi="Calibri" w:cs="Calibri"/>
        </w:rPr>
        <w:tab/>
        <w:t xml:space="preserve">SMART = </w:t>
      </w:r>
      <w:r>
        <w:rPr>
          <w:rFonts w:ascii="Calibri" w:hAnsi="Calibri" w:cs="Calibri"/>
        </w:rPr>
        <w:t xml:space="preserve">akronym </w:t>
      </w:r>
      <w:r w:rsidRPr="002A4E5F">
        <w:rPr>
          <w:rFonts w:ascii="Calibri" w:hAnsi="Calibri" w:cs="Calibri"/>
        </w:rPr>
        <w:t>z anglick</w:t>
      </w:r>
      <w:r>
        <w:rPr>
          <w:rFonts w:ascii="Calibri" w:hAnsi="Calibri" w:cs="Calibri"/>
        </w:rPr>
        <w:t>ých slov</w:t>
      </w:r>
      <w:r w:rsidRPr="002A4E5F">
        <w:rPr>
          <w:rFonts w:ascii="Calibri" w:hAnsi="Calibri" w:cs="Calibri"/>
        </w:rPr>
        <w:t xml:space="preserve">: </w:t>
      </w:r>
      <w:proofErr w:type="spellStart"/>
      <w:r>
        <w:rPr>
          <w:rFonts w:ascii="Calibri" w:hAnsi="Calibri" w:cs="Calibri"/>
        </w:rPr>
        <w:t>s</w:t>
      </w:r>
      <w:r w:rsidRPr="002A4E5F">
        <w:rPr>
          <w:rFonts w:ascii="Calibri" w:hAnsi="Calibri" w:cs="Calibri"/>
        </w:rPr>
        <w:t>pecific</w:t>
      </w:r>
      <w:proofErr w:type="spellEnd"/>
      <w:r w:rsidRPr="002A4E5F">
        <w:rPr>
          <w:rFonts w:ascii="Calibri" w:hAnsi="Calibri" w:cs="Calibri"/>
        </w:rPr>
        <w:t xml:space="preserve"> (konkrétní), </w:t>
      </w:r>
      <w:proofErr w:type="spellStart"/>
      <w:r>
        <w:rPr>
          <w:rFonts w:ascii="Calibri" w:hAnsi="Calibri" w:cs="Calibri"/>
        </w:rPr>
        <w:t>m</w:t>
      </w:r>
      <w:r w:rsidRPr="002A4E5F">
        <w:rPr>
          <w:rFonts w:ascii="Calibri" w:hAnsi="Calibri" w:cs="Calibri"/>
        </w:rPr>
        <w:t>easurable</w:t>
      </w:r>
      <w:proofErr w:type="spellEnd"/>
      <w:r w:rsidRPr="002A4E5F">
        <w:rPr>
          <w:rFonts w:ascii="Calibri" w:hAnsi="Calibri" w:cs="Calibri"/>
        </w:rPr>
        <w:t xml:space="preserve"> (měřitelný), </w:t>
      </w:r>
      <w:proofErr w:type="spellStart"/>
      <w:r>
        <w:rPr>
          <w:rFonts w:ascii="Calibri" w:hAnsi="Calibri" w:cs="Calibri"/>
        </w:rPr>
        <w:t>a</w:t>
      </w:r>
      <w:r w:rsidRPr="002A4E5F">
        <w:rPr>
          <w:rFonts w:ascii="Calibri" w:hAnsi="Calibri" w:cs="Calibri"/>
        </w:rPr>
        <w:t>chievable</w:t>
      </w:r>
      <w:proofErr w:type="spellEnd"/>
      <w:r w:rsidRPr="002A4E5F">
        <w:rPr>
          <w:rFonts w:ascii="Calibri" w:hAnsi="Calibri" w:cs="Calibri"/>
        </w:rPr>
        <w:t xml:space="preserve"> (dosažitelný), </w:t>
      </w:r>
      <w:proofErr w:type="spellStart"/>
      <w:r>
        <w:rPr>
          <w:rFonts w:ascii="Calibri" w:hAnsi="Calibri" w:cs="Calibri"/>
        </w:rPr>
        <w:t>r</w:t>
      </w:r>
      <w:r w:rsidRPr="002A4E5F">
        <w:rPr>
          <w:rFonts w:ascii="Calibri" w:hAnsi="Calibri" w:cs="Calibri"/>
        </w:rPr>
        <w:t>elevant</w:t>
      </w:r>
      <w:proofErr w:type="spellEnd"/>
      <w:r w:rsidRPr="002A4E5F">
        <w:rPr>
          <w:rFonts w:ascii="Calibri" w:hAnsi="Calibri" w:cs="Calibri"/>
        </w:rPr>
        <w:t xml:space="preserve"> (relevantní), </w:t>
      </w:r>
      <w:proofErr w:type="spellStart"/>
      <w:r>
        <w:rPr>
          <w:rFonts w:ascii="Calibri" w:hAnsi="Calibri" w:cs="Calibri"/>
        </w:rPr>
        <w:t>t</w:t>
      </w:r>
      <w:r w:rsidRPr="002A4E5F">
        <w:rPr>
          <w:rFonts w:ascii="Calibri" w:hAnsi="Calibri" w:cs="Calibri"/>
        </w:rPr>
        <w:t>ime</w:t>
      </w:r>
      <w:proofErr w:type="spellEnd"/>
      <w:r w:rsidRPr="002A4E5F">
        <w:rPr>
          <w:rFonts w:ascii="Calibri" w:hAnsi="Calibri" w:cs="Calibri"/>
        </w:rPr>
        <w:t xml:space="preserve"> </w:t>
      </w:r>
      <w:proofErr w:type="spellStart"/>
      <w:r>
        <w:rPr>
          <w:rFonts w:ascii="Calibri" w:hAnsi="Calibri" w:cs="Calibri"/>
        </w:rPr>
        <w:t>b</w:t>
      </w:r>
      <w:r w:rsidRPr="002A4E5F">
        <w:rPr>
          <w:rFonts w:ascii="Calibri" w:hAnsi="Calibri" w:cs="Calibri"/>
        </w:rPr>
        <w:t>ound</w:t>
      </w:r>
      <w:proofErr w:type="spellEnd"/>
      <w:r w:rsidRPr="002A4E5F">
        <w:rPr>
          <w:rFonts w:ascii="Calibri" w:hAnsi="Calibri" w:cs="Calibri"/>
        </w:rPr>
        <w:t xml:space="preserve"> (časově vymezený).</w:t>
      </w:r>
    </w:p>
  </w:footnote>
  <w:footnote w:id="4">
    <w:p w14:paraId="7A27F161" w14:textId="77777777" w:rsidR="00EA2965" w:rsidRPr="002A4E5F" w:rsidRDefault="00EA2965" w:rsidP="00785F12">
      <w:pPr>
        <w:pStyle w:val="Textpoznpodarou"/>
        <w:ind w:left="284" w:hanging="284"/>
        <w:jc w:val="both"/>
        <w:rPr>
          <w:rFonts w:ascii="Calibri" w:hAnsi="Calibri"/>
        </w:rPr>
      </w:pPr>
      <w:r w:rsidRPr="002A4E5F">
        <w:rPr>
          <w:rStyle w:val="Znakapoznpodarou"/>
          <w:rFonts w:ascii="Calibri" w:hAnsi="Calibri"/>
        </w:rPr>
        <w:footnoteRef/>
      </w:r>
      <w:r w:rsidRPr="002A4E5F">
        <w:rPr>
          <w:rFonts w:ascii="Calibri" w:hAnsi="Calibri"/>
        </w:rPr>
        <w:t xml:space="preserve"> </w:t>
      </w:r>
      <w:r w:rsidRPr="002A4E5F">
        <w:rPr>
          <w:rFonts w:ascii="Calibri" w:hAnsi="Calibri"/>
        </w:rPr>
        <w:tab/>
        <w:t>Zákon č. 130/2002 Sb., o podpoře výzkumu, experimentálního vývoje a inovací z veřejných prostředků a o změně některých souvisejících zákonů (zákon o podpoře výzkumu, experimentálního vývoje a inovací).</w:t>
      </w:r>
    </w:p>
  </w:footnote>
  <w:footnote w:id="5">
    <w:p w14:paraId="69641624" w14:textId="77777777" w:rsidR="00EA2965" w:rsidRPr="002A4E5F" w:rsidRDefault="00EA2965" w:rsidP="00785F12">
      <w:pPr>
        <w:pStyle w:val="Textpoznpodarou"/>
        <w:ind w:left="284" w:hanging="284"/>
        <w:jc w:val="both"/>
      </w:pPr>
      <w:r w:rsidRPr="002A4E5F">
        <w:rPr>
          <w:rStyle w:val="Znakapoznpodarou"/>
        </w:rPr>
        <w:footnoteRef/>
      </w:r>
      <w:r w:rsidRPr="002A4E5F">
        <w:t xml:space="preserve"> </w:t>
      </w:r>
      <w:r w:rsidRPr="002A4E5F">
        <w:tab/>
        <w:t xml:space="preserve">Usnesení vlády České republiky ze dne 19. 7. 2012 č. 552, </w:t>
      </w:r>
      <w:r w:rsidRPr="008A6560">
        <w:rPr>
          <w:i/>
        </w:rPr>
        <w:t>o Národních prioritách orientovaného výzkumu, experimentálního vývoje a inovací</w:t>
      </w:r>
      <w:r w:rsidRPr="002A4E5F">
        <w:t xml:space="preserve">. </w:t>
      </w:r>
    </w:p>
  </w:footnote>
  <w:footnote w:id="6">
    <w:p w14:paraId="3FB23F51" w14:textId="77777777" w:rsidR="00EA2965" w:rsidRPr="002A4E5F" w:rsidRDefault="00EA2965" w:rsidP="00785F12">
      <w:pPr>
        <w:spacing w:after="0" w:line="240" w:lineRule="auto"/>
        <w:ind w:left="284" w:hanging="284"/>
        <w:jc w:val="both"/>
        <w:rPr>
          <w:rFonts w:ascii="Calibri" w:hAnsi="Calibri"/>
          <w:sz w:val="20"/>
          <w:szCs w:val="20"/>
        </w:rPr>
      </w:pPr>
      <w:r w:rsidRPr="002A4E5F">
        <w:rPr>
          <w:rStyle w:val="Znakapoznpodarou"/>
          <w:rFonts w:ascii="Calibri" w:hAnsi="Calibri"/>
          <w:sz w:val="20"/>
          <w:szCs w:val="20"/>
        </w:rPr>
        <w:footnoteRef/>
      </w:r>
      <w:r w:rsidRPr="002A4E5F">
        <w:rPr>
          <w:rFonts w:ascii="Calibri" w:hAnsi="Calibri"/>
          <w:sz w:val="20"/>
          <w:szCs w:val="20"/>
        </w:rPr>
        <w:t xml:space="preserve"> </w:t>
      </w:r>
      <w:r w:rsidRPr="002A4E5F">
        <w:rPr>
          <w:rFonts w:ascii="Calibri" w:hAnsi="Calibri"/>
          <w:sz w:val="20"/>
          <w:szCs w:val="20"/>
        </w:rPr>
        <w:tab/>
        <w:t xml:space="preserve">Usnesení vlády České republiky </w:t>
      </w:r>
      <w:r w:rsidRPr="002A4E5F">
        <w:rPr>
          <w:rFonts w:ascii="Calibri" w:hAnsi="Calibri" w:cs="Arial"/>
          <w:sz w:val="20"/>
          <w:szCs w:val="20"/>
        </w:rPr>
        <w:t xml:space="preserve">ze dne 10. 7. 2017 č. 509, </w:t>
      </w:r>
      <w:r w:rsidRPr="008A6560">
        <w:rPr>
          <w:rFonts w:ascii="Calibri" w:hAnsi="Calibri"/>
          <w:i/>
          <w:sz w:val="20"/>
          <w:szCs w:val="20"/>
        </w:rPr>
        <w:t>o Meziresortní koncepci podpory bezpečnostního výzkumu ČR 2017–2023 s výhledem do roku 2030</w:t>
      </w:r>
      <w:r w:rsidRPr="002A4E5F">
        <w:rPr>
          <w:rFonts w:ascii="Calibri" w:hAnsi="Calibri"/>
          <w:sz w:val="20"/>
          <w:szCs w:val="20"/>
        </w:rPr>
        <w:t>.</w:t>
      </w:r>
    </w:p>
  </w:footnote>
  <w:footnote w:id="7">
    <w:p w14:paraId="3433D0E8" w14:textId="77777777" w:rsidR="00EA2965" w:rsidRPr="002A4E5F" w:rsidRDefault="00EA2965" w:rsidP="00785F12">
      <w:pPr>
        <w:pStyle w:val="Textpoznpodarou"/>
        <w:ind w:left="284" w:hanging="284"/>
        <w:jc w:val="both"/>
      </w:pPr>
      <w:r w:rsidRPr="002A4E5F">
        <w:rPr>
          <w:rStyle w:val="Znakapoznpodarou"/>
        </w:rPr>
        <w:footnoteRef/>
      </w:r>
      <w:r w:rsidRPr="002A4E5F">
        <w:t xml:space="preserve"> </w:t>
      </w:r>
      <w:r w:rsidRPr="002A4E5F">
        <w:tab/>
        <w:t xml:space="preserve">Oblast </w:t>
      </w:r>
      <w:r w:rsidRPr="008A6560">
        <w:rPr>
          <w:i/>
        </w:rPr>
        <w:t>Obrana, obranyschopnost a nasazení ozbrojených sil</w:t>
      </w:r>
      <w:r w:rsidRPr="002A4E5F">
        <w:t xml:space="preserve"> je v gesci Ministerstva obrany.</w:t>
      </w:r>
    </w:p>
  </w:footnote>
  <w:footnote w:id="8">
    <w:p w14:paraId="42E21CE3" w14:textId="77777777" w:rsidR="00EA2965" w:rsidRPr="00D512FE" w:rsidRDefault="00EA2965" w:rsidP="00785F12">
      <w:pPr>
        <w:spacing w:after="0" w:line="240" w:lineRule="auto"/>
        <w:ind w:left="284" w:hanging="284"/>
        <w:jc w:val="both"/>
        <w:rPr>
          <w:rFonts w:ascii="Calibri" w:hAnsi="Calibri" w:cs="Calibri"/>
          <w:sz w:val="20"/>
          <w:szCs w:val="20"/>
        </w:rPr>
      </w:pPr>
      <w:r w:rsidRPr="00D512FE">
        <w:rPr>
          <w:rStyle w:val="Znakapoznpodarou"/>
          <w:rFonts w:ascii="Calibri" w:hAnsi="Calibri" w:cs="Calibri"/>
          <w:sz w:val="20"/>
          <w:szCs w:val="20"/>
        </w:rPr>
        <w:footnoteRef/>
      </w:r>
      <w:r w:rsidRPr="00D512FE">
        <w:rPr>
          <w:rFonts w:ascii="Calibri" w:hAnsi="Calibri" w:cs="Calibri"/>
          <w:sz w:val="20"/>
          <w:szCs w:val="20"/>
        </w:rPr>
        <w:t xml:space="preserve"> </w:t>
      </w:r>
      <w:r w:rsidRPr="00D512FE">
        <w:rPr>
          <w:rFonts w:ascii="Calibri" w:hAnsi="Calibri" w:cs="Calibri"/>
          <w:sz w:val="20"/>
          <w:szCs w:val="20"/>
        </w:rPr>
        <w:tab/>
        <w:t>Oba tyto programy navazují na programy bezpečnostního výzkumu z předcházejícího období:</w:t>
      </w:r>
    </w:p>
    <w:p w14:paraId="777B0AAD" w14:textId="77777777" w:rsidR="00EA2965" w:rsidRPr="00D512FE" w:rsidRDefault="00EA2965" w:rsidP="00785F12">
      <w:pPr>
        <w:pStyle w:val="Odstavecseseznamem"/>
        <w:numPr>
          <w:ilvl w:val="1"/>
          <w:numId w:val="10"/>
        </w:numPr>
        <w:spacing w:after="0" w:line="240" w:lineRule="auto"/>
        <w:ind w:left="709"/>
        <w:contextualSpacing w:val="0"/>
        <w:jc w:val="both"/>
        <w:rPr>
          <w:rFonts w:ascii="Calibri" w:hAnsi="Calibri" w:cs="Calibri"/>
          <w:sz w:val="20"/>
          <w:szCs w:val="20"/>
        </w:rPr>
      </w:pPr>
      <w:r w:rsidRPr="008A6560">
        <w:rPr>
          <w:rFonts w:ascii="Calibri" w:hAnsi="Calibri" w:cs="Calibri"/>
          <w:i/>
          <w:sz w:val="20"/>
          <w:szCs w:val="20"/>
        </w:rPr>
        <w:t>Program bezpečnostního výzkumu České republiky v letech 2010–2015</w:t>
      </w:r>
      <w:r w:rsidRPr="00D512FE">
        <w:rPr>
          <w:rFonts w:ascii="Calibri" w:hAnsi="Calibri" w:cs="Calibri"/>
          <w:sz w:val="20"/>
          <w:szCs w:val="20"/>
        </w:rPr>
        <w:t>;</w:t>
      </w:r>
    </w:p>
    <w:p w14:paraId="4655835C" w14:textId="77777777" w:rsidR="00EA2965" w:rsidRPr="00D512FE" w:rsidRDefault="00EA2965" w:rsidP="00785F12">
      <w:pPr>
        <w:pStyle w:val="Odstavecseseznamem"/>
        <w:numPr>
          <w:ilvl w:val="1"/>
          <w:numId w:val="10"/>
        </w:numPr>
        <w:spacing w:after="0" w:line="240" w:lineRule="auto"/>
        <w:ind w:left="709"/>
        <w:contextualSpacing w:val="0"/>
        <w:jc w:val="both"/>
        <w:rPr>
          <w:rFonts w:ascii="Calibri" w:hAnsi="Calibri" w:cs="Calibri"/>
          <w:sz w:val="20"/>
          <w:szCs w:val="20"/>
        </w:rPr>
      </w:pPr>
      <w:r w:rsidRPr="008A6560">
        <w:rPr>
          <w:rFonts w:ascii="Calibri" w:hAnsi="Calibri" w:cs="Calibri"/>
          <w:i/>
          <w:sz w:val="20"/>
          <w:szCs w:val="20"/>
        </w:rPr>
        <w:t>Program bezpečnostního výzkumu pro potřeby státu v letech 2010–2015</w:t>
      </w:r>
      <w:r w:rsidRPr="00D512FE">
        <w:rPr>
          <w:rFonts w:ascii="Calibri" w:hAnsi="Calibri" w:cs="Calibri"/>
          <w:sz w:val="20"/>
          <w:szCs w:val="20"/>
        </w:rPr>
        <w:t>.</w:t>
      </w:r>
    </w:p>
  </w:footnote>
  <w:footnote w:id="9">
    <w:p w14:paraId="599D4BA5" w14:textId="77777777" w:rsidR="00EA2965" w:rsidRPr="00D512FE" w:rsidRDefault="00EA2965" w:rsidP="00785F12">
      <w:pPr>
        <w:pStyle w:val="Textpoznpodarou"/>
        <w:ind w:left="284" w:hanging="284"/>
        <w:rPr>
          <w:rFonts w:ascii="Calibri" w:hAnsi="Calibri" w:cs="Calibri"/>
        </w:rPr>
      </w:pPr>
      <w:r w:rsidRPr="00D512FE">
        <w:rPr>
          <w:rStyle w:val="Znakapoznpodarou"/>
          <w:rFonts w:ascii="Calibri" w:hAnsi="Calibri" w:cs="Calibri"/>
        </w:rPr>
        <w:footnoteRef/>
      </w:r>
      <w:r w:rsidRPr="00D512FE">
        <w:rPr>
          <w:rFonts w:ascii="Calibri" w:hAnsi="Calibri" w:cs="Calibri"/>
        </w:rPr>
        <w:t xml:space="preserve"> </w:t>
      </w:r>
      <w:r w:rsidRPr="00D512FE">
        <w:rPr>
          <w:rFonts w:ascii="Calibri" w:hAnsi="Calibri" w:cs="Calibri"/>
        </w:rPr>
        <w:tab/>
        <w:t>Původně byl Program VI naplánován na období 2015–2020.</w:t>
      </w:r>
    </w:p>
  </w:footnote>
  <w:footnote w:id="10">
    <w:p w14:paraId="026BD003" w14:textId="77777777" w:rsidR="00EA2965" w:rsidRPr="00D512FE" w:rsidRDefault="00EA2965" w:rsidP="00314BD2">
      <w:pPr>
        <w:pStyle w:val="Textpoznpodarou"/>
        <w:ind w:left="284" w:hanging="284"/>
        <w:jc w:val="both"/>
        <w:rPr>
          <w:rFonts w:ascii="Calibri" w:hAnsi="Calibri" w:cs="Calibri"/>
        </w:rPr>
      </w:pPr>
      <w:r w:rsidRPr="00D512FE">
        <w:rPr>
          <w:rStyle w:val="Znakapoznpodarou"/>
          <w:rFonts w:ascii="Calibri" w:hAnsi="Calibri" w:cs="Calibri"/>
        </w:rPr>
        <w:footnoteRef/>
      </w:r>
      <w:r w:rsidRPr="00D512FE">
        <w:rPr>
          <w:rFonts w:ascii="Calibri" w:hAnsi="Calibri" w:cs="Calibri"/>
        </w:rPr>
        <w:t xml:space="preserve"> </w:t>
      </w:r>
      <w:r w:rsidRPr="00D512FE">
        <w:rPr>
          <w:rFonts w:ascii="Calibri" w:hAnsi="Calibri" w:cs="Calibri"/>
        </w:rPr>
        <w:tab/>
      </w:r>
      <w:r w:rsidRPr="00D512FE">
        <w:rPr>
          <w:rFonts w:ascii="Calibri" w:hAnsi="Calibri" w:cs="Calibri"/>
          <w:lang w:eastAsia="cs-CZ"/>
        </w:rPr>
        <w:t xml:space="preserve">Usnesení vlády České republiky ze dne 9. 5. 2018 č. 286, </w:t>
      </w:r>
      <w:r w:rsidRPr="008A6560">
        <w:rPr>
          <w:rFonts w:ascii="Calibri" w:hAnsi="Calibri" w:cs="Calibri"/>
          <w:i/>
          <w:lang w:eastAsia="cs-CZ"/>
        </w:rPr>
        <w:t>o změně Programu bezpečnostního výzkumu České republiky v letech 2015 až 2020</w:t>
      </w:r>
      <w:r w:rsidRPr="00D512FE">
        <w:rPr>
          <w:rFonts w:ascii="Calibri" w:hAnsi="Calibri" w:cs="Calibri"/>
          <w:lang w:eastAsia="cs-CZ"/>
        </w:rPr>
        <w:t>.</w:t>
      </w:r>
    </w:p>
  </w:footnote>
  <w:footnote w:id="11">
    <w:p w14:paraId="7D17B91C" w14:textId="77777777" w:rsidR="00EA2965" w:rsidRPr="00457E1C" w:rsidRDefault="00EA2965" w:rsidP="00166D55">
      <w:pPr>
        <w:pStyle w:val="Textpoznpodarou"/>
        <w:ind w:left="284" w:hanging="284"/>
        <w:jc w:val="both"/>
        <w:rPr>
          <w:rFonts w:ascii="Calibri" w:hAnsi="Calibri" w:cs="Calibri"/>
        </w:rPr>
      </w:pPr>
      <w:r w:rsidRPr="00457E1C">
        <w:rPr>
          <w:rStyle w:val="Znakapoznpodarou"/>
          <w:rFonts w:ascii="Calibri" w:hAnsi="Calibri" w:cs="Calibri"/>
        </w:rPr>
        <w:footnoteRef/>
      </w:r>
      <w:r w:rsidRPr="00457E1C">
        <w:rPr>
          <w:rFonts w:ascii="Calibri" w:hAnsi="Calibri" w:cs="Calibri"/>
        </w:rPr>
        <w:t xml:space="preserve"> </w:t>
      </w:r>
      <w:r w:rsidRPr="00457E1C">
        <w:rPr>
          <w:rFonts w:ascii="Calibri" w:hAnsi="Calibri" w:cs="Calibri"/>
        </w:rPr>
        <w:tab/>
        <w:t>Ustanovení § 39 zákona č. 218/2000 Sb., o rozpočtových pravidlech a o změně některých souvisejících zákonů (rozpočtová pravidla), ustanovení § 2 písm. m) až o) zákona č. 320/2001 Sb., o finanční kontrole ve veřejné správě a o změně některých zákonů (zákon o finanční kontrole).</w:t>
      </w:r>
    </w:p>
  </w:footnote>
  <w:footnote w:id="12">
    <w:p w14:paraId="122565F5" w14:textId="1D5C78B9" w:rsidR="00EA2965" w:rsidRPr="00457E1C" w:rsidRDefault="00EA2965" w:rsidP="00457E1C">
      <w:pPr>
        <w:pStyle w:val="Textpoznpodarou"/>
        <w:ind w:left="284" w:hanging="284"/>
        <w:jc w:val="both"/>
        <w:rPr>
          <w:rFonts w:ascii="Calibri" w:hAnsi="Calibri" w:cs="Calibri"/>
        </w:rPr>
      </w:pPr>
      <w:r w:rsidRPr="00457E1C">
        <w:rPr>
          <w:rStyle w:val="Znakapoznpodarou"/>
          <w:rFonts w:ascii="Calibri" w:hAnsi="Calibri" w:cs="Calibri"/>
        </w:rPr>
        <w:footnoteRef/>
      </w:r>
      <w:r w:rsidRPr="00457E1C">
        <w:rPr>
          <w:rFonts w:ascii="Calibri" w:hAnsi="Calibri" w:cs="Calibri"/>
        </w:rPr>
        <w:tab/>
        <w:t>Použitá definice účelnosti vychází</w:t>
      </w:r>
      <w:r>
        <w:rPr>
          <w:rFonts w:ascii="Calibri" w:hAnsi="Calibri" w:cs="Calibri"/>
        </w:rPr>
        <w:t xml:space="preserve"> </w:t>
      </w:r>
      <w:r w:rsidRPr="00457E1C">
        <w:rPr>
          <w:rFonts w:ascii="Calibri" w:hAnsi="Calibri" w:cs="Calibri"/>
        </w:rPr>
        <w:t xml:space="preserve">z ustanovení § 2 písm. o) zákona č. 320/2001 Sb. </w:t>
      </w:r>
    </w:p>
  </w:footnote>
  <w:footnote w:id="13">
    <w:p w14:paraId="3FC51915" w14:textId="26C532AB" w:rsidR="00EA2965" w:rsidRPr="00457E1C" w:rsidRDefault="00EA2965" w:rsidP="00457E1C">
      <w:pPr>
        <w:pStyle w:val="Textpoznpodarou"/>
        <w:ind w:left="284" w:hanging="284"/>
        <w:jc w:val="both"/>
        <w:rPr>
          <w:rFonts w:ascii="Calibri" w:hAnsi="Calibri" w:cs="Calibri"/>
        </w:rPr>
      </w:pPr>
      <w:r w:rsidRPr="00457E1C">
        <w:rPr>
          <w:rStyle w:val="Znakapoznpodarou"/>
          <w:rFonts w:ascii="Calibri" w:hAnsi="Calibri" w:cs="Calibri"/>
        </w:rPr>
        <w:footnoteRef/>
      </w:r>
      <w:r>
        <w:rPr>
          <w:rFonts w:ascii="Calibri" w:hAnsi="Calibri" w:cs="Calibri"/>
        </w:rPr>
        <w:tab/>
      </w:r>
      <w:r w:rsidRPr="00457E1C">
        <w:rPr>
          <w:rFonts w:ascii="Calibri" w:hAnsi="Calibri" w:cs="Calibri"/>
        </w:rPr>
        <w:t>Např. patentů, průmyslových vzorů, softwarů, publikovaných článků apod. – viz tabulka č. 4.</w:t>
      </w:r>
    </w:p>
  </w:footnote>
  <w:footnote w:id="14">
    <w:p w14:paraId="0760137F" w14:textId="45E8308E" w:rsidR="00EA2965" w:rsidRPr="00457E1C" w:rsidRDefault="00EA2965" w:rsidP="00457E1C">
      <w:pPr>
        <w:pStyle w:val="Textpoznpodarou"/>
        <w:ind w:left="284" w:hanging="284"/>
        <w:jc w:val="both"/>
        <w:rPr>
          <w:rFonts w:ascii="Calibri" w:hAnsi="Calibri" w:cs="Calibri"/>
          <w:i/>
        </w:rPr>
      </w:pPr>
      <w:r w:rsidRPr="00457E1C">
        <w:rPr>
          <w:rStyle w:val="Znakapoznpodarou"/>
          <w:rFonts w:ascii="Calibri" w:hAnsi="Calibri" w:cs="Calibri"/>
        </w:rPr>
        <w:footnoteRef/>
      </w:r>
      <w:r w:rsidRPr="00457E1C">
        <w:rPr>
          <w:rFonts w:ascii="Calibri" w:hAnsi="Calibri" w:cs="Calibri"/>
        </w:rPr>
        <w:tab/>
        <w:t>Ani skutečnost, že cíle programu či projektů nejsou nastaveny a schváleny jako SMART</w:t>
      </w:r>
      <w:r>
        <w:rPr>
          <w:rFonts w:ascii="Calibri" w:hAnsi="Calibri" w:cs="Calibri"/>
        </w:rPr>
        <w:t>,</w:t>
      </w:r>
      <w:r w:rsidRPr="00457E1C">
        <w:rPr>
          <w:rFonts w:ascii="Calibri" w:hAnsi="Calibri" w:cs="Calibri"/>
        </w:rPr>
        <w:t xml:space="preserve"> ale neznamená, že NKÚ neprovede vlastní posouzení podle nastavených kritérií na základě získaných dokladů, dalších důkazů a s použitím odborného úsudku: „</w:t>
      </w:r>
      <w:r w:rsidRPr="00457E1C">
        <w:rPr>
          <w:rFonts w:ascii="Calibri" w:hAnsi="Calibri" w:cs="Calibri"/>
          <w:i/>
        </w:rPr>
        <w:t xml:space="preserve">Kontrolující stanoví vhodná kritéria, která odpovídají auditním otázkám a vztahují se k principům hospodárnosti, efektivnosti a účelnosti. ... Kritéria poskytují základ pro hodnocení důkazních informací a dokladů, formulování zjištěných skutečností a dosažení kontrolních závěrů.“ </w:t>
      </w:r>
      <w:r w:rsidRPr="008A6560">
        <w:rPr>
          <w:rFonts w:ascii="Calibri" w:hAnsi="Calibri" w:cs="Calibri"/>
        </w:rPr>
        <w:t>(Mezinárodní auditorské standardy pro nejvyšší kontrolní instituce – ISSAI 300 – Audit výkonnosti</w:t>
      </w:r>
      <w:r w:rsidRPr="00440775">
        <w:rPr>
          <w:rFonts w:ascii="Calibri" w:hAnsi="Calibri" w:cs="Calibri"/>
        </w:rPr>
        <w:t>, článek 27</w:t>
      </w:r>
      <w:r>
        <w:rPr>
          <w:rFonts w:ascii="Calibri" w:hAnsi="Calibri" w:cs="Calibri"/>
        </w:rPr>
        <w:t>.</w:t>
      </w:r>
      <w:r w:rsidRPr="00440775">
        <w:rPr>
          <w:rFonts w:ascii="Calibri" w:hAnsi="Calibri" w:cs="Calibri"/>
        </w:rPr>
        <w:t>)</w:t>
      </w:r>
    </w:p>
  </w:footnote>
  <w:footnote w:id="15">
    <w:p w14:paraId="0BD8B2F3" w14:textId="77777777" w:rsidR="00EA2965" w:rsidRPr="00457E1C" w:rsidRDefault="00EA2965" w:rsidP="00457E1C">
      <w:pPr>
        <w:pStyle w:val="Textpoznpodarou"/>
        <w:ind w:left="284" w:hanging="284"/>
        <w:rPr>
          <w:rFonts w:ascii="Calibri" w:hAnsi="Calibri" w:cs="Calibri"/>
        </w:rPr>
      </w:pPr>
      <w:r w:rsidRPr="00457E1C">
        <w:rPr>
          <w:rStyle w:val="Znakapoznpodarou"/>
          <w:rFonts w:ascii="Calibri" w:hAnsi="Calibri" w:cs="Calibri"/>
        </w:rPr>
        <w:footnoteRef/>
      </w:r>
      <w:r w:rsidRPr="00457E1C">
        <w:rPr>
          <w:rFonts w:ascii="Calibri" w:hAnsi="Calibri" w:cs="Calibri"/>
        </w:rPr>
        <w:tab/>
        <w:t>Kritéria pro hodnocení účelnosti projektů jsou podrobněji rozvedena v příloze č. 3.</w:t>
      </w:r>
    </w:p>
  </w:footnote>
  <w:footnote w:id="16">
    <w:p w14:paraId="1355D684" w14:textId="77777777" w:rsidR="00EA2965" w:rsidRPr="005A6C8E" w:rsidRDefault="00EA2965" w:rsidP="00F4560E">
      <w:pPr>
        <w:pStyle w:val="Textpoznpodarou"/>
        <w:ind w:left="284" w:hanging="284"/>
        <w:jc w:val="both"/>
        <w:rPr>
          <w:rFonts w:ascii="Calibri" w:hAnsi="Calibri"/>
        </w:rPr>
      </w:pPr>
      <w:r w:rsidRPr="005A6C8E">
        <w:rPr>
          <w:rStyle w:val="Znakapoznpodarou"/>
          <w:rFonts w:ascii="Calibri" w:hAnsi="Calibri"/>
        </w:rPr>
        <w:footnoteRef/>
      </w:r>
      <w:r w:rsidRPr="005A6C8E">
        <w:rPr>
          <w:rFonts w:ascii="Calibri" w:hAnsi="Calibri"/>
        </w:rPr>
        <w:t xml:space="preserve"> </w:t>
      </w:r>
      <w:r w:rsidRPr="005A6C8E">
        <w:rPr>
          <w:rFonts w:ascii="Calibri" w:hAnsi="Calibri"/>
        </w:rPr>
        <w:tab/>
      </w:r>
      <w:r w:rsidRPr="005A6C8E">
        <w:t xml:space="preserve">Usnesení vlády České republiky ze dne 19. </w:t>
      </w:r>
      <w:r>
        <w:t>7.</w:t>
      </w:r>
      <w:r w:rsidRPr="005A6C8E">
        <w:t xml:space="preserve"> 2012 č. 552</w:t>
      </w:r>
      <w:r>
        <w:t>,</w:t>
      </w:r>
      <w:r w:rsidRPr="005A6C8E">
        <w:t xml:space="preserve"> </w:t>
      </w:r>
      <w:r w:rsidRPr="00784FA6">
        <w:rPr>
          <w:i/>
        </w:rPr>
        <w:t>o Národních prioritách orientovaného výzkumu, experimentálního vývoje a inovací</w:t>
      </w:r>
      <w:r w:rsidRPr="005A6C8E">
        <w:t>.</w:t>
      </w:r>
    </w:p>
  </w:footnote>
  <w:footnote w:id="17">
    <w:p w14:paraId="5F134F4E" w14:textId="0FA12784" w:rsidR="00EA2965" w:rsidRPr="005A6C8E" w:rsidRDefault="00EA2965" w:rsidP="00F4560E">
      <w:pPr>
        <w:pStyle w:val="Textpoznpodarou"/>
        <w:ind w:left="284" w:hanging="284"/>
        <w:jc w:val="both"/>
      </w:pPr>
      <w:r w:rsidRPr="005A6C8E">
        <w:rPr>
          <w:rStyle w:val="Znakapoznpodarou"/>
        </w:rPr>
        <w:footnoteRef/>
      </w:r>
      <w:r w:rsidRPr="005A6C8E">
        <w:t xml:space="preserve"> </w:t>
      </w:r>
      <w:r w:rsidRPr="005A6C8E">
        <w:tab/>
      </w:r>
      <w:r>
        <w:rPr>
          <w:rFonts w:ascii="Calibri" w:hAnsi="Calibri" w:cs="Calibri"/>
          <w:color w:val="000000"/>
          <w:lang w:eastAsia="cs-CZ"/>
        </w:rPr>
        <w:t xml:space="preserve">Rada pro výzkum, vývoj a inovace je odborným a poradním orgánem vlády pro oblast výzkumu, vývoje a inovací, který je mj. odpovědný za zpracování priorit </w:t>
      </w:r>
      <w:proofErr w:type="spellStart"/>
      <w:r>
        <w:rPr>
          <w:rFonts w:ascii="Calibri" w:hAnsi="Calibri" w:cs="Calibri"/>
          <w:color w:val="000000"/>
          <w:lang w:eastAsia="cs-CZ"/>
        </w:rPr>
        <w:t>VaVaI</w:t>
      </w:r>
      <w:proofErr w:type="spellEnd"/>
      <w:r>
        <w:rPr>
          <w:rFonts w:ascii="Calibri" w:hAnsi="Calibri" w:cs="Calibri"/>
          <w:color w:val="000000"/>
          <w:lang w:eastAsia="cs-CZ"/>
        </w:rPr>
        <w:t xml:space="preserve"> podle ustanovení § 35 odst. 2 písm. f) zákona č. 130/2002 Sb</w:t>
      </w:r>
      <w:r w:rsidRPr="005A6C8E">
        <w:rPr>
          <w:rFonts w:ascii="Calibri" w:hAnsi="Calibri" w:cs="Calibri"/>
          <w:color w:val="000000"/>
          <w:lang w:eastAsia="cs-CZ"/>
        </w:rPr>
        <w:t>.</w:t>
      </w:r>
    </w:p>
  </w:footnote>
  <w:footnote w:id="18">
    <w:p w14:paraId="02D65CE0" w14:textId="7DACDAE6" w:rsidR="00EA2965" w:rsidRPr="005A6C8E" w:rsidRDefault="00EA2965" w:rsidP="00F4560E">
      <w:pPr>
        <w:pStyle w:val="Textpoznpodarou"/>
        <w:ind w:left="284" w:hanging="284"/>
        <w:jc w:val="both"/>
        <w:rPr>
          <w:rFonts w:cstheme="minorHAnsi"/>
        </w:rPr>
      </w:pPr>
      <w:r w:rsidRPr="005A6C8E">
        <w:rPr>
          <w:rStyle w:val="Znakapoznpodarou"/>
          <w:rFonts w:cstheme="minorHAnsi"/>
        </w:rPr>
        <w:footnoteRef/>
      </w:r>
      <w:r w:rsidRPr="005A6C8E">
        <w:rPr>
          <w:rFonts w:cstheme="minorHAnsi"/>
        </w:rPr>
        <w:t xml:space="preserve"> </w:t>
      </w:r>
      <w:r w:rsidRPr="005A6C8E">
        <w:rPr>
          <w:rFonts w:cstheme="minorHAnsi"/>
        </w:rPr>
        <w:tab/>
      </w:r>
      <w:r>
        <w:rPr>
          <w:rFonts w:cstheme="minorHAnsi"/>
        </w:rPr>
        <w:t xml:space="preserve">Čtyři hlavní oblasti: </w:t>
      </w:r>
      <w:r w:rsidRPr="00784FA6">
        <w:rPr>
          <w:rFonts w:cstheme="minorHAnsi"/>
          <w:i/>
          <w:color w:val="000000"/>
          <w:lang w:eastAsia="cs-CZ"/>
        </w:rPr>
        <w:t>Bezpečnost občanů</w:t>
      </w:r>
      <w:r w:rsidRPr="005A6C8E">
        <w:rPr>
          <w:rFonts w:cstheme="minorHAnsi"/>
          <w:color w:val="000000"/>
          <w:lang w:eastAsia="cs-CZ"/>
        </w:rPr>
        <w:t xml:space="preserve">, </w:t>
      </w:r>
      <w:r w:rsidRPr="00784FA6">
        <w:rPr>
          <w:rFonts w:cstheme="minorHAnsi"/>
          <w:i/>
          <w:color w:val="000000"/>
          <w:lang w:eastAsia="cs-CZ"/>
        </w:rPr>
        <w:t>Bezpečnost kritických infrastruktur a zdrojů</w:t>
      </w:r>
      <w:r w:rsidRPr="005A6C8E">
        <w:rPr>
          <w:rFonts w:cstheme="minorHAnsi"/>
          <w:color w:val="000000"/>
          <w:lang w:eastAsia="cs-CZ"/>
        </w:rPr>
        <w:t xml:space="preserve">, </w:t>
      </w:r>
      <w:r w:rsidRPr="00784FA6">
        <w:rPr>
          <w:rFonts w:cstheme="minorHAnsi"/>
          <w:i/>
          <w:color w:val="000000"/>
          <w:lang w:eastAsia="cs-CZ"/>
        </w:rPr>
        <w:t>Krizové řízení a bezpečnostní politika</w:t>
      </w:r>
      <w:r w:rsidRPr="005A6C8E">
        <w:rPr>
          <w:rFonts w:cstheme="minorHAnsi"/>
          <w:color w:val="000000"/>
          <w:lang w:eastAsia="cs-CZ"/>
        </w:rPr>
        <w:t xml:space="preserve"> a</w:t>
      </w:r>
      <w:r>
        <w:rPr>
          <w:rFonts w:cstheme="minorHAnsi"/>
          <w:color w:val="000000"/>
          <w:lang w:eastAsia="cs-CZ"/>
        </w:rPr>
        <w:t> </w:t>
      </w:r>
      <w:r w:rsidRPr="00784FA6">
        <w:rPr>
          <w:rFonts w:cstheme="minorHAnsi"/>
          <w:i/>
          <w:color w:val="000000"/>
          <w:lang w:eastAsia="cs-CZ"/>
        </w:rPr>
        <w:t>Obrana, obranyschopnost a nasazení ozbrojených sil</w:t>
      </w:r>
      <w:r w:rsidRPr="005A6C8E">
        <w:rPr>
          <w:rFonts w:cstheme="minorHAnsi"/>
          <w:color w:val="000000"/>
          <w:lang w:eastAsia="cs-CZ"/>
        </w:rPr>
        <w:t>.</w:t>
      </w:r>
    </w:p>
  </w:footnote>
  <w:footnote w:id="19">
    <w:p w14:paraId="74B5A250" w14:textId="6B7D5078" w:rsidR="00EA2965" w:rsidRPr="005A6C8E" w:rsidRDefault="00EA2965" w:rsidP="00F4560E">
      <w:pPr>
        <w:pStyle w:val="Textpoznpodarou"/>
        <w:ind w:left="284" w:hanging="284"/>
        <w:jc w:val="both"/>
        <w:rPr>
          <w:rFonts w:cstheme="minorHAnsi"/>
        </w:rPr>
      </w:pPr>
      <w:r w:rsidRPr="005A6C8E">
        <w:rPr>
          <w:rStyle w:val="Znakapoznpodarou"/>
          <w:rFonts w:cstheme="minorHAnsi"/>
        </w:rPr>
        <w:footnoteRef/>
      </w:r>
      <w:r w:rsidRPr="005A6C8E">
        <w:rPr>
          <w:rFonts w:cstheme="minorHAnsi"/>
        </w:rPr>
        <w:t xml:space="preserve"> </w:t>
      </w:r>
      <w:r w:rsidRPr="005A6C8E">
        <w:rPr>
          <w:rFonts w:cstheme="minorHAnsi"/>
        </w:rPr>
        <w:tab/>
        <w:t>Povinnost definovat cíle strategických dokumentů v souladu s principy SMART vychází z usnesení vlády</w:t>
      </w:r>
      <w:r>
        <w:rPr>
          <w:rFonts w:cstheme="minorHAnsi"/>
        </w:rPr>
        <w:t xml:space="preserve"> České republiky</w:t>
      </w:r>
      <w:r w:rsidRPr="005A6C8E">
        <w:rPr>
          <w:rFonts w:cstheme="minorHAnsi"/>
        </w:rPr>
        <w:t xml:space="preserve"> ze dne 2. 5. 2013</w:t>
      </w:r>
      <w:r>
        <w:rPr>
          <w:rFonts w:cstheme="minorHAnsi"/>
        </w:rPr>
        <w:t xml:space="preserve"> č. 318/2013,</w:t>
      </w:r>
      <w:r w:rsidRPr="005A6C8E">
        <w:rPr>
          <w:rFonts w:cstheme="minorHAnsi"/>
        </w:rPr>
        <w:t xml:space="preserve"> </w:t>
      </w:r>
      <w:r w:rsidRPr="00784FA6">
        <w:rPr>
          <w:rFonts w:cstheme="minorHAnsi"/>
          <w:i/>
        </w:rPr>
        <w:t>k Metodice přípravy veřejných strategií</w:t>
      </w:r>
      <w:r w:rsidRPr="005A6C8E">
        <w:rPr>
          <w:rFonts w:cstheme="minorHAnsi"/>
        </w:rPr>
        <w:t>.</w:t>
      </w:r>
    </w:p>
  </w:footnote>
  <w:footnote w:id="20">
    <w:p w14:paraId="7720C5F5" w14:textId="77777777" w:rsidR="00EA2965" w:rsidRDefault="00EA2965" w:rsidP="00F4560E">
      <w:pPr>
        <w:spacing w:after="0" w:line="240" w:lineRule="auto"/>
        <w:ind w:left="284" w:hanging="284"/>
        <w:jc w:val="both"/>
        <w:rPr>
          <w:rFonts w:ascii="Calibri" w:hAnsi="Calibri"/>
          <w:sz w:val="20"/>
          <w:szCs w:val="20"/>
        </w:rPr>
      </w:pPr>
      <w:r w:rsidRPr="00CF1BF8">
        <w:rPr>
          <w:rStyle w:val="Znakapoznpodarou"/>
          <w:rFonts w:cstheme="minorHAnsi"/>
          <w:sz w:val="20"/>
          <w:szCs w:val="20"/>
        </w:rPr>
        <w:footnoteRef/>
      </w:r>
      <w:r w:rsidRPr="005A6C8E">
        <w:rPr>
          <w:rFonts w:cstheme="minorHAnsi"/>
          <w:sz w:val="20"/>
          <w:szCs w:val="20"/>
        </w:rPr>
        <w:t xml:space="preserve"> </w:t>
      </w:r>
      <w:r w:rsidRPr="005A6C8E">
        <w:rPr>
          <w:rFonts w:cstheme="minorHAnsi"/>
          <w:sz w:val="20"/>
          <w:szCs w:val="20"/>
        </w:rPr>
        <w:tab/>
        <w:t>Usnesení vlády České republiky ze dne 10. 7. 2017 č. 509</w:t>
      </w:r>
      <w:r>
        <w:rPr>
          <w:rFonts w:cstheme="minorHAnsi"/>
          <w:sz w:val="20"/>
          <w:szCs w:val="20"/>
        </w:rPr>
        <w:t>,</w:t>
      </w:r>
      <w:r w:rsidRPr="005A6C8E">
        <w:rPr>
          <w:rFonts w:cstheme="minorHAnsi"/>
          <w:sz w:val="20"/>
          <w:szCs w:val="20"/>
        </w:rPr>
        <w:t xml:space="preserve"> </w:t>
      </w:r>
      <w:r w:rsidRPr="00784FA6">
        <w:rPr>
          <w:rFonts w:cstheme="minorHAnsi"/>
          <w:i/>
          <w:sz w:val="20"/>
          <w:szCs w:val="20"/>
        </w:rPr>
        <w:t>o Meziresortní koncepci podpory bezpečnostního výzkumu ČR 2017–2023 s výhledem do roku 2030</w:t>
      </w:r>
      <w:r w:rsidRPr="005A6C8E">
        <w:rPr>
          <w:rFonts w:cstheme="minorHAnsi"/>
          <w:sz w:val="20"/>
          <w:szCs w:val="20"/>
        </w:rPr>
        <w:t>.</w:t>
      </w:r>
    </w:p>
  </w:footnote>
  <w:footnote w:id="21">
    <w:p w14:paraId="3F573254" w14:textId="77777777" w:rsidR="00EA2965" w:rsidRPr="00A845B6" w:rsidRDefault="00EA2965" w:rsidP="007B2942">
      <w:pPr>
        <w:pStyle w:val="Textpoznpodarou"/>
        <w:ind w:left="284" w:hanging="284"/>
        <w:jc w:val="both"/>
      </w:pPr>
      <w:r w:rsidRPr="00A845B6">
        <w:rPr>
          <w:rStyle w:val="Znakapoznpodarou"/>
        </w:rPr>
        <w:footnoteRef/>
      </w:r>
      <w:r w:rsidRPr="00A845B6">
        <w:t xml:space="preserve"> </w:t>
      </w:r>
      <w:r w:rsidRPr="00A845B6">
        <w:tab/>
        <w:t>Původně byl Program VI nap</w:t>
      </w:r>
      <w:r>
        <w:t>lánován na období 2015–</w:t>
      </w:r>
      <w:r w:rsidRPr="00A845B6">
        <w:t>2020</w:t>
      </w:r>
      <w:r>
        <w:t xml:space="preserve"> se schválenými prostředky ve výši 2 200 mil. Kč</w:t>
      </w:r>
      <w:r w:rsidRPr="00A845B6">
        <w:t>.</w:t>
      </w:r>
    </w:p>
  </w:footnote>
  <w:footnote w:id="22">
    <w:p w14:paraId="1185F644" w14:textId="77777777" w:rsidR="00EA2965" w:rsidRPr="009E73E1" w:rsidRDefault="00EA2965" w:rsidP="007B2942">
      <w:pPr>
        <w:pStyle w:val="Textpoznpodarou"/>
        <w:ind w:left="284" w:hanging="284"/>
        <w:jc w:val="both"/>
      </w:pPr>
      <w:r>
        <w:rPr>
          <w:rStyle w:val="Znakapoznpodarou"/>
        </w:rPr>
        <w:footnoteRef/>
      </w:r>
      <w:r>
        <w:t xml:space="preserve"> </w:t>
      </w:r>
      <w:r>
        <w:tab/>
      </w:r>
      <w:r w:rsidRPr="00001ED8">
        <w:rPr>
          <w:rFonts w:ascii="Calibri" w:hAnsi="Calibri" w:cs="Calibri"/>
          <w:bCs/>
          <w:color w:val="000000"/>
          <w:lang w:eastAsia="cs-CZ"/>
        </w:rPr>
        <w:t xml:space="preserve">Podle dokumentu </w:t>
      </w:r>
      <w:r w:rsidRPr="00001ED8">
        <w:rPr>
          <w:rFonts w:ascii="Calibri" w:hAnsi="Calibri" w:cs="Calibri"/>
          <w:bCs/>
          <w:i/>
          <w:color w:val="000000"/>
          <w:lang w:eastAsia="cs-CZ"/>
        </w:rPr>
        <w:t xml:space="preserve">Průběžné hodnocení </w:t>
      </w:r>
      <w:r>
        <w:rPr>
          <w:rFonts w:ascii="Calibri" w:hAnsi="Calibri" w:cs="Calibri"/>
          <w:bCs/>
          <w:i/>
          <w:color w:val="000000"/>
          <w:lang w:eastAsia="cs-CZ"/>
        </w:rPr>
        <w:t>programu bezpečnostního výzkumu ČR v letech 2015–2017 k </w:t>
      </w:r>
      <w:r w:rsidRPr="00001ED8">
        <w:rPr>
          <w:rFonts w:ascii="Calibri" w:hAnsi="Calibri" w:cs="Calibri"/>
          <w:bCs/>
          <w:i/>
          <w:color w:val="000000"/>
          <w:lang w:eastAsia="cs-CZ"/>
        </w:rPr>
        <w:t>původnímu Programu VI (dle smluv)</w:t>
      </w:r>
      <w:r>
        <w:rPr>
          <w:rFonts w:ascii="Calibri" w:hAnsi="Calibri" w:cs="Calibri"/>
          <w:bCs/>
          <w:i/>
          <w:color w:val="000000"/>
          <w:lang w:eastAsia="cs-CZ"/>
        </w:rPr>
        <w:t>.</w:t>
      </w:r>
    </w:p>
  </w:footnote>
  <w:footnote w:id="23">
    <w:p w14:paraId="5B453A9C" w14:textId="77777777" w:rsidR="00EA2965" w:rsidRPr="001831C1" w:rsidRDefault="00EA2965" w:rsidP="007B2942">
      <w:pPr>
        <w:pStyle w:val="Textpoznpodarou"/>
        <w:ind w:left="284" w:hanging="284"/>
        <w:jc w:val="both"/>
      </w:pPr>
      <w:r w:rsidRPr="001831C1">
        <w:rPr>
          <w:rStyle w:val="Znakapoznpodarou"/>
        </w:rPr>
        <w:footnoteRef/>
      </w:r>
      <w:r w:rsidRPr="001831C1">
        <w:t xml:space="preserve"> </w:t>
      </w:r>
      <w:r>
        <w:tab/>
        <w:t xml:space="preserve">Podle </w:t>
      </w:r>
      <w:r w:rsidRPr="00633758">
        <w:t xml:space="preserve">dokumentu </w:t>
      </w:r>
      <w:r w:rsidRPr="007566FA">
        <w:rPr>
          <w:rFonts w:cstheme="minorHAnsi"/>
          <w:i/>
          <w:lang w:eastAsia="cs-CZ"/>
        </w:rPr>
        <w:t>Zpráva o realizaci Programu BV ČR v letech 2015–2022 se zaměřením na výsledky třetí veřejné soutěže</w:t>
      </w:r>
      <w:r w:rsidRPr="00001ED8">
        <w:rPr>
          <w:rFonts w:ascii="Calibri" w:hAnsi="Calibri" w:cs="Calibri"/>
          <w:bCs/>
          <w:i/>
          <w:lang w:eastAsia="cs-CZ"/>
        </w:rPr>
        <w:t xml:space="preserve"> (dle smluv)</w:t>
      </w:r>
      <w:r>
        <w:rPr>
          <w:rFonts w:ascii="Calibri" w:hAnsi="Calibri" w:cs="Calibri"/>
          <w:bCs/>
          <w:i/>
          <w:lang w:eastAsia="cs-CZ"/>
        </w:rPr>
        <w:t>.</w:t>
      </w:r>
    </w:p>
  </w:footnote>
  <w:footnote w:id="24">
    <w:p w14:paraId="6E34FB51" w14:textId="77777777" w:rsidR="00EA2965" w:rsidRPr="00944EEE" w:rsidRDefault="00EA2965" w:rsidP="00F22AE3">
      <w:pPr>
        <w:pStyle w:val="Textpoznpodarou"/>
        <w:ind w:left="284" w:hanging="284"/>
        <w:rPr>
          <w:rFonts w:ascii="Calibri" w:hAnsi="Calibri" w:cs="Calibri"/>
        </w:rPr>
      </w:pPr>
      <w:r w:rsidRPr="00944EEE">
        <w:rPr>
          <w:rStyle w:val="Znakapoznpodarou"/>
          <w:rFonts w:ascii="Calibri" w:hAnsi="Calibri" w:cs="Calibri"/>
        </w:rPr>
        <w:footnoteRef/>
      </w:r>
      <w:r w:rsidRPr="00944EEE">
        <w:rPr>
          <w:rFonts w:ascii="Calibri" w:hAnsi="Calibri" w:cs="Calibri"/>
        </w:rPr>
        <w:t xml:space="preserve"> </w:t>
      </w:r>
      <w:r w:rsidRPr="00944EEE">
        <w:rPr>
          <w:rFonts w:ascii="Calibri" w:hAnsi="Calibri" w:cs="Calibri"/>
        </w:rPr>
        <w:tab/>
        <w:t>Usnesení vlády České republiky ze dne 14. prosince 2016 č. 1125</w:t>
      </w:r>
      <w:r>
        <w:rPr>
          <w:rFonts w:ascii="Calibri" w:hAnsi="Calibri" w:cs="Calibri"/>
        </w:rPr>
        <w:t>,</w:t>
      </w:r>
      <w:r w:rsidRPr="00944EEE">
        <w:rPr>
          <w:rFonts w:ascii="Calibri" w:hAnsi="Calibri" w:cs="Calibri"/>
        </w:rPr>
        <w:t xml:space="preserve"> </w:t>
      </w:r>
      <w:r w:rsidRPr="007566FA">
        <w:rPr>
          <w:rFonts w:ascii="Calibri" w:hAnsi="Calibri" w:cs="Calibri"/>
          <w:i/>
        </w:rPr>
        <w:t>o Auditu národní bezpečnosti</w:t>
      </w:r>
      <w:r w:rsidRPr="00944EEE">
        <w:rPr>
          <w:rFonts w:ascii="Calibri" w:hAnsi="Calibri" w:cs="Calibri"/>
        </w:rPr>
        <w:t>.</w:t>
      </w:r>
    </w:p>
  </w:footnote>
  <w:footnote w:id="25">
    <w:p w14:paraId="019A3D6D" w14:textId="77777777" w:rsidR="00EA2965" w:rsidRDefault="00EA2965" w:rsidP="009F2F4C">
      <w:pPr>
        <w:pStyle w:val="Textpoznpodarou"/>
        <w:ind w:left="284" w:hanging="284"/>
      </w:pPr>
      <w:r>
        <w:rPr>
          <w:rStyle w:val="Znakapoznpodarou"/>
        </w:rPr>
        <w:footnoteRef/>
      </w:r>
      <w:r>
        <w:t xml:space="preserve"> </w:t>
      </w:r>
      <w:r>
        <w:tab/>
        <w:t>První veřejná soutěž vyhlášená 26. 11. 2014.</w:t>
      </w:r>
    </w:p>
  </w:footnote>
  <w:footnote w:id="26">
    <w:p w14:paraId="153340C3" w14:textId="77777777" w:rsidR="00EA2965" w:rsidRDefault="00EA2965" w:rsidP="00F802D2">
      <w:pPr>
        <w:pStyle w:val="Textpoznpodarou"/>
        <w:ind w:left="284" w:hanging="284"/>
      </w:pPr>
      <w:r>
        <w:rPr>
          <w:rStyle w:val="Znakapoznpodarou"/>
        </w:rPr>
        <w:footnoteRef/>
      </w:r>
      <w:r>
        <w:t xml:space="preserve"> </w:t>
      </w:r>
      <w:r>
        <w:tab/>
        <w:t>Stanovení důležitosti výzkumných potřeb.</w:t>
      </w:r>
    </w:p>
  </w:footnote>
  <w:footnote w:id="27">
    <w:p w14:paraId="6A483B3A" w14:textId="77777777" w:rsidR="00EA2965" w:rsidRPr="00032EA4" w:rsidRDefault="00EA2965" w:rsidP="004F6783">
      <w:pPr>
        <w:pStyle w:val="Textpoznpodarou"/>
        <w:ind w:left="284" w:hanging="284"/>
        <w:rPr>
          <w:rFonts w:ascii="Calibri" w:hAnsi="Calibri" w:cs="Calibri"/>
        </w:rPr>
      </w:pPr>
      <w:r w:rsidRPr="00032EA4">
        <w:rPr>
          <w:rStyle w:val="Znakapoznpodarou"/>
          <w:rFonts w:ascii="Calibri" w:hAnsi="Calibri" w:cs="Calibri"/>
        </w:rPr>
        <w:footnoteRef/>
      </w:r>
      <w:r w:rsidRPr="00032EA4">
        <w:rPr>
          <w:rFonts w:ascii="Calibri" w:hAnsi="Calibri" w:cs="Calibri"/>
        </w:rPr>
        <w:t xml:space="preserve"> </w:t>
      </w:r>
      <w:r w:rsidRPr="00032EA4">
        <w:rPr>
          <w:rFonts w:ascii="Calibri" w:hAnsi="Calibri" w:cs="Calibri"/>
        </w:rPr>
        <w:tab/>
        <w:t>U projektů BV se provádějí finanční, průběžné a závěrečné kontroly.</w:t>
      </w:r>
    </w:p>
  </w:footnote>
  <w:footnote w:id="28">
    <w:p w14:paraId="701502DC" w14:textId="60148E54" w:rsidR="00EA2965" w:rsidRPr="00032EA4" w:rsidRDefault="00EA2965" w:rsidP="007B2942">
      <w:pPr>
        <w:pStyle w:val="Textpoznpodarou"/>
        <w:ind w:left="284" w:hanging="284"/>
        <w:jc w:val="both"/>
        <w:rPr>
          <w:rFonts w:ascii="Calibri" w:hAnsi="Calibri" w:cs="Calibri"/>
        </w:rPr>
      </w:pPr>
      <w:r w:rsidRPr="00032EA4">
        <w:rPr>
          <w:rStyle w:val="Znakapoznpodarou"/>
          <w:rFonts w:ascii="Calibri" w:hAnsi="Calibri" w:cs="Calibri"/>
        </w:rPr>
        <w:footnoteRef/>
      </w:r>
      <w:r w:rsidRPr="00032EA4">
        <w:rPr>
          <w:rFonts w:ascii="Calibri" w:hAnsi="Calibri" w:cs="Calibri"/>
          <w:bCs/>
        </w:rPr>
        <w:t xml:space="preserve"> </w:t>
      </w:r>
      <w:r w:rsidRPr="00032EA4">
        <w:rPr>
          <w:rFonts w:ascii="Calibri" w:hAnsi="Calibri" w:cs="Calibri"/>
          <w:bCs/>
        </w:rPr>
        <w:tab/>
        <w:t xml:space="preserve">Mimořádnou zprávu předkládá příjemce poskytovateli v průběhu řešení </w:t>
      </w:r>
      <w:r>
        <w:rPr>
          <w:rFonts w:ascii="Calibri" w:hAnsi="Calibri" w:cs="Calibri"/>
          <w:bCs/>
        </w:rPr>
        <w:t>p</w:t>
      </w:r>
      <w:r w:rsidRPr="00032EA4">
        <w:rPr>
          <w:rFonts w:ascii="Calibri" w:hAnsi="Calibri" w:cs="Calibri"/>
          <w:bCs/>
        </w:rPr>
        <w:t>rojektu na vyžádání poskytovatele, který zároveň stanoví předmět zprávy a termín jejího předložení.</w:t>
      </w:r>
    </w:p>
  </w:footnote>
  <w:footnote w:id="29">
    <w:p w14:paraId="711BB1E6" w14:textId="1FF4AD5F" w:rsidR="00EA2965" w:rsidRPr="00032EA4" w:rsidRDefault="00EA2965" w:rsidP="00032EA4">
      <w:pPr>
        <w:pStyle w:val="Textpoznpodarou"/>
        <w:ind w:left="284" w:hanging="284"/>
        <w:jc w:val="both"/>
        <w:rPr>
          <w:rFonts w:ascii="Calibri" w:hAnsi="Calibri" w:cs="Calibri"/>
        </w:rPr>
      </w:pPr>
      <w:r w:rsidRPr="00032EA4">
        <w:rPr>
          <w:rStyle w:val="Znakapoznpodarou"/>
          <w:rFonts w:ascii="Calibri" w:hAnsi="Calibri" w:cs="Calibri"/>
        </w:rPr>
        <w:footnoteRef/>
      </w:r>
      <w:r w:rsidRPr="00032EA4">
        <w:rPr>
          <w:rFonts w:ascii="Calibri" w:hAnsi="Calibri" w:cs="Calibri"/>
        </w:rPr>
        <w:t xml:space="preserve"> </w:t>
      </w:r>
      <w:r w:rsidRPr="00032EA4">
        <w:rPr>
          <w:rFonts w:ascii="Calibri" w:hAnsi="Calibri" w:cs="Calibri"/>
        </w:rPr>
        <w:tab/>
        <w:t xml:space="preserve">Definice efektivnosti vychází z ustanovení § 2 písm. n) zákona č. 320/2001 Sb. </w:t>
      </w:r>
    </w:p>
  </w:footnote>
  <w:footnote w:id="30">
    <w:p w14:paraId="4E84A7AF" w14:textId="514B717C" w:rsidR="00EA2965" w:rsidRPr="00032EA4" w:rsidRDefault="00EA2965" w:rsidP="00032EA4">
      <w:pPr>
        <w:pStyle w:val="Textpoznpodarou"/>
        <w:ind w:left="284" w:hanging="284"/>
        <w:rPr>
          <w:rFonts w:ascii="Calibri" w:hAnsi="Calibri" w:cs="Calibri"/>
        </w:rPr>
      </w:pPr>
      <w:r w:rsidRPr="00032EA4">
        <w:rPr>
          <w:rStyle w:val="Znakapoznpodarou"/>
          <w:rFonts w:ascii="Calibri" w:hAnsi="Calibri" w:cs="Calibri"/>
        </w:rPr>
        <w:footnoteRef/>
      </w:r>
      <w:r w:rsidRPr="00032EA4">
        <w:rPr>
          <w:rFonts w:ascii="Calibri" w:hAnsi="Calibri" w:cs="Calibri"/>
        </w:rPr>
        <w:t xml:space="preserve"> </w:t>
      </w:r>
      <w:r w:rsidRPr="00032EA4">
        <w:rPr>
          <w:rFonts w:ascii="Calibri" w:hAnsi="Calibri" w:cs="Calibri"/>
        </w:rPr>
        <w:tab/>
        <w:t xml:space="preserve">Definice hospodárnosti vychází z ustanovení § 2 písm. m) zákona č. 320/2001 Sb. </w:t>
      </w:r>
    </w:p>
  </w:footnote>
  <w:footnote w:id="31">
    <w:p w14:paraId="5221CA67" w14:textId="1F6E918B" w:rsidR="00EA2965" w:rsidRPr="00032EA4" w:rsidRDefault="00EA2965" w:rsidP="00032EA4">
      <w:pPr>
        <w:pStyle w:val="Textpoznpodarou"/>
        <w:ind w:left="284" w:hanging="284"/>
        <w:rPr>
          <w:rFonts w:ascii="Calibri" w:hAnsi="Calibri" w:cs="Calibri"/>
        </w:rPr>
      </w:pPr>
      <w:r w:rsidRPr="00032EA4">
        <w:rPr>
          <w:rStyle w:val="Znakapoznpodarou"/>
          <w:rFonts w:ascii="Calibri" w:hAnsi="Calibri" w:cs="Calibri"/>
        </w:rPr>
        <w:footnoteRef/>
      </w:r>
      <w:r w:rsidRPr="00032EA4">
        <w:rPr>
          <w:rFonts w:ascii="Calibri" w:hAnsi="Calibri" w:cs="Calibri"/>
        </w:rPr>
        <w:t xml:space="preserve"> </w:t>
      </w:r>
      <w:r>
        <w:rPr>
          <w:rFonts w:ascii="Calibri" w:hAnsi="Calibri" w:cs="Calibri"/>
        </w:rPr>
        <w:tab/>
      </w:r>
      <w:r w:rsidRPr="00032EA4">
        <w:rPr>
          <w:rFonts w:ascii="Calibri" w:hAnsi="Calibri" w:cs="Calibri"/>
        </w:rPr>
        <w:t>Podrobný popis kritérií efektivnosti je uveden v příloze č. 3</w:t>
      </w:r>
      <w:r>
        <w:rPr>
          <w:rFonts w:ascii="Calibri" w:hAnsi="Calibri" w:cs="Calibri"/>
        </w:rPr>
        <w:t>.</w:t>
      </w:r>
    </w:p>
  </w:footnote>
  <w:footnote w:id="32">
    <w:p w14:paraId="755EA57C" w14:textId="77777777" w:rsidR="00EA2965" w:rsidRPr="00095948" w:rsidRDefault="00EA2965" w:rsidP="007B2942">
      <w:pPr>
        <w:pStyle w:val="Textpoznpodarou"/>
        <w:ind w:left="284" w:hanging="284"/>
        <w:jc w:val="both"/>
        <w:rPr>
          <w:color w:val="000000" w:themeColor="text1"/>
        </w:rPr>
      </w:pPr>
      <w:r w:rsidRPr="00095948">
        <w:rPr>
          <w:rStyle w:val="Znakapoznpodarou"/>
          <w:color w:val="000000" w:themeColor="text1"/>
        </w:rPr>
        <w:footnoteRef/>
      </w:r>
      <w:r w:rsidRPr="00095948">
        <w:rPr>
          <w:color w:val="000000" w:themeColor="text1"/>
        </w:rPr>
        <w:t xml:space="preserve"> </w:t>
      </w:r>
      <w:r w:rsidRPr="00095948">
        <w:rPr>
          <w:color w:val="000000" w:themeColor="text1"/>
        </w:rPr>
        <w:tab/>
      </w:r>
      <w:r w:rsidRPr="00095948">
        <w:rPr>
          <w:rStyle w:val="Hypertextovodkaz"/>
          <w:rFonts w:cstheme="minorHAnsi"/>
          <w:color w:val="000000" w:themeColor="text1"/>
          <w:u w:val="none"/>
        </w:rPr>
        <w:t xml:space="preserve">Informační systém výzkumu, experimentální vývoje a inovací (IS </w:t>
      </w:r>
      <w:proofErr w:type="spellStart"/>
      <w:r w:rsidRPr="00095948">
        <w:rPr>
          <w:rStyle w:val="Hypertextovodkaz"/>
          <w:rFonts w:cstheme="minorHAnsi"/>
          <w:color w:val="000000" w:themeColor="text1"/>
          <w:u w:val="none"/>
        </w:rPr>
        <w:t>VaV</w:t>
      </w:r>
      <w:proofErr w:type="spellEnd"/>
      <w:r w:rsidRPr="00095948">
        <w:rPr>
          <w:rStyle w:val="Hypertextovodkaz"/>
          <w:rFonts w:cstheme="minorHAnsi"/>
          <w:color w:val="000000" w:themeColor="text1"/>
          <w:u w:val="none"/>
        </w:rPr>
        <w:t>), ve kterém jsou shromažďovány informace o výsledcích projektů výzkumu a vývoje a výzkumných záměrů podporovaných z veřejných prostředků.</w:t>
      </w:r>
    </w:p>
  </w:footnote>
  <w:footnote w:id="33">
    <w:p w14:paraId="4AFF7E9B" w14:textId="3F8E7DE5" w:rsidR="00EA2965" w:rsidRDefault="00EA2965" w:rsidP="005B4CA8">
      <w:pPr>
        <w:pStyle w:val="Textpoznpodarou"/>
        <w:ind w:left="284" w:hanging="284"/>
      </w:pPr>
      <w:r>
        <w:rPr>
          <w:rStyle w:val="Znakapoznpodarou"/>
        </w:rPr>
        <w:footnoteRef/>
      </w:r>
      <w:r>
        <w:t xml:space="preserve"> </w:t>
      </w:r>
      <w:r>
        <w:tab/>
      </w:r>
      <w:r>
        <w:rPr>
          <w:rFonts w:cstheme="minorHAnsi"/>
          <w:color w:val="222222"/>
          <w:shd w:val="clear" w:color="auto" w:fill="FFFFFF"/>
        </w:rPr>
        <w:t xml:space="preserve">Rychlost přenosu dat nad jeden </w:t>
      </w:r>
      <w:hyperlink r:id="rId1" w:tooltip="Gigabit za sekundu" w:history="1">
        <w:r w:rsidRPr="00332B6F">
          <w:rPr>
            <w:rStyle w:val="Hypertextovodkaz"/>
            <w:rFonts w:cstheme="minorHAnsi"/>
            <w:color w:val="222222"/>
            <w:u w:val="none"/>
          </w:rPr>
          <w:t>gigabit za sekundu</w:t>
        </w:r>
      </w:hyperlink>
      <w:r w:rsidRPr="00332B6F">
        <w:rPr>
          <w:rFonts w:cstheme="minorHAnsi"/>
          <w:color w:val="222222"/>
          <w:shd w:val="clear" w:color="auto" w:fill="FFFFFF"/>
        </w:rPr>
        <w:t>.</w:t>
      </w:r>
    </w:p>
  </w:footnote>
  <w:footnote w:id="34">
    <w:p w14:paraId="46A8E430" w14:textId="77777777" w:rsidR="00EA2965" w:rsidRDefault="00EA2965" w:rsidP="003D7936">
      <w:pPr>
        <w:pStyle w:val="Textpoznpodarou"/>
        <w:ind w:left="284" w:hanging="284"/>
      </w:pPr>
      <w:r>
        <w:rPr>
          <w:rStyle w:val="Znakapoznpodarou"/>
        </w:rPr>
        <w:footnoteRef/>
      </w:r>
      <w:r>
        <w:t xml:space="preserve"> </w:t>
      </w:r>
      <w:r>
        <w:tab/>
        <w:t xml:space="preserve">Usnesení vlády České republiky ze dne 5. 10. 2016 č. 885, </w:t>
      </w:r>
      <w:r w:rsidRPr="00C71487">
        <w:rPr>
          <w:i/>
        </w:rPr>
        <w:t>o Národním plánu rozvoje sítí nové generace</w:t>
      </w:r>
      <w:r>
        <w:t>.</w:t>
      </w:r>
    </w:p>
  </w:footnote>
  <w:footnote w:id="35">
    <w:p w14:paraId="5846E425" w14:textId="4991B497" w:rsidR="00EA2965" w:rsidRPr="009E7E37" w:rsidRDefault="00EA2965" w:rsidP="0063537C">
      <w:pPr>
        <w:shd w:val="clear" w:color="auto" w:fill="FFFFFF"/>
        <w:spacing w:after="0" w:line="240" w:lineRule="auto"/>
        <w:ind w:left="284" w:hanging="284"/>
        <w:jc w:val="both"/>
        <w:rPr>
          <w:rFonts w:eastAsia="Times New Roman" w:cstheme="minorHAnsi"/>
          <w:color w:val="000000" w:themeColor="text1"/>
          <w:lang w:eastAsia="cs-CZ"/>
        </w:rPr>
      </w:pPr>
      <w:r w:rsidRPr="008372E5">
        <w:rPr>
          <w:rStyle w:val="Znakapoznpodarou"/>
          <w:sz w:val="20"/>
          <w:szCs w:val="20"/>
        </w:rPr>
        <w:footnoteRef/>
      </w:r>
      <w:r w:rsidRPr="008372E5">
        <w:rPr>
          <w:sz w:val="20"/>
          <w:szCs w:val="20"/>
        </w:rPr>
        <w:t xml:space="preserve"> </w:t>
      </w:r>
      <w:r>
        <w:rPr>
          <w:sz w:val="20"/>
          <w:szCs w:val="20"/>
        </w:rPr>
        <w:tab/>
      </w:r>
      <w:r w:rsidRPr="008372E5">
        <w:rPr>
          <w:rFonts w:eastAsia="Times New Roman" w:cstheme="minorHAnsi"/>
          <w:color w:val="000000" w:themeColor="text1"/>
          <w:sz w:val="20"/>
          <w:szCs w:val="20"/>
          <w:lang w:eastAsia="cs-CZ"/>
        </w:rPr>
        <w:t xml:space="preserve">Jedná se o </w:t>
      </w:r>
      <w:r>
        <w:rPr>
          <w:rFonts w:eastAsia="Times New Roman" w:cstheme="minorHAnsi"/>
          <w:color w:val="000000" w:themeColor="text1"/>
          <w:sz w:val="20"/>
          <w:szCs w:val="20"/>
          <w:lang w:eastAsia="cs-CZ"/>
        </w:rPr>
        <w:t xml:space="preserve">tyto organizace: </w:t>
      </w:r>
      <w:r w:rsidRPr="008372E5">
        <w:rPr>
          <w:rFonts w:eastAsia="Times New Roman" w:cstheme="minorHAnsi"/>
          <w:color w:val="000000" w:themeColor="text1"/>
          <w:sz w:val="20"/>
          <w:szCs w:val="20"/>
          <w:lang w:eastAsia="cs-CZ"/>
        </w:rPr>
        <w:t>Státní ústav radiační ochrany,</w:t>
      </w:r>
      <w:r>
        <w:rPr>
          <w:rFonts w:eastAsia="Times New Roman" w:cstheme="minorHAnsi"/>
          <w:color w:val="000000" w:themeColor="text1"/>
          <w:sz w:val="20"/>
          <w:szCs w:val="20"/>
          <w:lang w:eastAsia="cs-CZ"/>
        </w:rPr>
        <w:t xml:space="preserve"> </w:t>
      </w:r>
      <w:proofErr w:type="spellStart"/>
      <w:proofErr w:type="gramStart"/>
      <w:r w:rsidRPr="008372E5">
        <w:rPr>
          <w:rFonts w:eastAsia="Times New Roman" w:cstheme="minorHAnsi"/>
          <w:color w:val="000000" w:themeColor="text1"/>
          <w:sz w:val="20"/>
          <w:szCs w:val="20"/>
          <w:lang w:eastAsia="cs-CZ"/>
        </w:rPr>
        <w:t>v.v.</w:t>
      </w:r>
      <w:proofErr w:type="gramEnd"/>
      <w:r w:rsidRPr="008372E5">
        <w:rPr>
          <w:rFonts w:eastAsia="Times New Roman" w:cstheme="minorHAnsi"/>
          <w:color w:val="000000" w:themeColor="text1"/>
          <w:sz w:val="20"/>
          <w:szCs w:val="20"/>
          <w:lang w:eastAsia="cs-CZ"/>
        </w:rPr>
        <w:t>i</w:t>
      </w:r>
      <w:proofErr w:type="spellEnd"/>
      <w:r w:rsidRPr="008372E5">
        <w:rPr>
          <w:rFonts w:eastAsia="Times New Roman" w:cstheme="minorHAnsi"/>
          <w:color w:val="000000" w:themeColor="text1"/>
          <w:sz w:val="20"/>
          <w:szCs w:val="20"/>
          <w:lang w:eastAsia="cs-CZ"/>
        </w:rPr>
        <w:t>.,</w:t>
      </w:r>
      <w:r>
        <w:rPr>
          <w:rFonts w:eastAsia="Times New Roman" w:cstheme="minorHAnsi"/>
          <w:color w:val="000000" w:themeColor="text1"/>
          <w:sz w:val="20"/>
          <w:szCs w:val="20"/>
          <w:lang w:eastAsia="cs-CZ"/>
        </w:rPr>
        <w:t xml:space="preserve"> </w:t>
      </w:r>
      <w:r w:rsidRPr="008372E5">
        <w:rPr>
          <w:rFonts w:eastAsia="Times New Roman" w:cstheme="minorHAnsi"/>
          <w:color w:val="000000" w:themeColor="text1"/>
          <w:sz w:val="20"/>
          <w:szCs w:val="20"/>
          <w:lang w:eastAsia="cs-CZ"/>
        </w:rPr>
        <w:t xml:space="preserve">Státní ústav jaderné, chemické a biologické ochrany, </w:t>
      </w:r>
      <w:proofErr w:type="spellStart"/>
      <w:r w:rsidRPr="008372E5">
        <w:rPr>
          <w:rFonts w:eastAsia="Times New Roman" w:cstheme="minorHAnsi"/>
          <w:color w:val="000000" w:themeColor="text1"/>
          <w:sz w:val="20"/>
          <w:szCs w:val="20"/>
          <w:lang w:eastAsia="cs-CZ"/>
        </w:rPr>
        <w:t>v.v.i</w:t>
      </w:r>
      <w:proofErr w:type="spellEnd"/>
      <w:r w:rsidRPr="008372E5">
        <w:rPr>
          <w:rFonts w:eastAsia="Times New Roman" w:cstheme="minorHAnsi"/>
          <w:color w:val="000000" w:themeColor="text1"/>
          <w:sz w:val="20"/>
          <w:szCs w:val="20"/>
          <w:lang w:eastAsia="cs-CZ"/>
        </w:rPr>
        <w:t>.,</w:t>
      </w:r>
      <w:r>
        <w:rPr>
          <w:rFonts w:eastAsia="Times New Roman" w:cstheme="minorHAnsi"/>
          <w:color w:val="000000" w:themeColor="text1"/>
          <w:sz w:val="20"/>
          <w:szCs w:val="20"/>
          <w:lang w:eastAsia="cs-CZ"/>
        </w:rPr>
        <w:t xml:space="preserve"> </w:t>
      </w:r>
      <w:r w:rsidRPr="008372E5">
        <w:rPr>
          <w:rFonts w:eastAsia="Times New Roman" w:cstheme="minorHAnsi"/>
          <w:color w:val="000000" w:themeColor="text1"/>
          <w:sz w:val="20"/>
          <w:szCs w:val="20"/>
          <w:lang w:eastAsia="cs-CZ"/>
        </w:rPr>
        <w:t>Policie České republiky Kriminalistický ústav Praha, Policejní akademie České republiky v Praze, MV-GŘ HZS ČR, Institut ochrany obyvatels</w:t>
      </w:r>
      <w:r>
        <w:rPr>
          <w:rFonts w:eastAsia="Times New Roman" w:cstheme="minorHAnsi"/>
          <w:color w:val="000000" w:themeColor="text1"/>
          <w:sz w:val="20"/>
          <w:szCs w:val="20"/>
          <w:lang w:eastAsia="cs-CZ"/>
        </w:rPr>
        <w:t>tva Lázně Bohdaneč</w:t>
      </w:r>
      <w:r w:rsidRPr="008372E5">
        <w:rPr>
          <w:rFonts w:eastAsia="Times New Roman" w:cstheme="minorHAnsi"/>
          <w:color w:val="000000" w:themeColor="text1"/>
          <w:sz w:val="20"/>
          <w:szCs w:val="20"/>
          <w:lang w:eastAsia="cs-CZ"/>
        </w:rPr>
        <w:t>, Technický ústav požární ochrany, Institut pro kriminologii a sociální prevenci a Národní archiv.</w:t>
      </w:r>
    </w:p>
  </w:footnote>
  <w:footnote w:id="36">
    <w:p w14:paraId="32AB500F" w14:textId="77777777" w:rsidR="00EA2965" w:rsidRPr="0087443E" w:rsidRDefault="00EA2965" w:rsidP="00C958B6">
      <w:pPr>
        <w:pStyle w:val="Textpoznpodarou"/>
        <w:ind w:left="284" w:hanging="284"/>
        <w:rPr>
          <w:rFonts w:ascii="Calibri" w:hAnsi="Calibri" w:cs="Calibri"/>
        </w:rPr>
      </w:pPr>
      <w:r w:rsidRPr="0087443E">
        <w:rPr>
          <w:rStyle w:val="Znakapoznpodarou"/>
          <w:rFonts w:ascii="Calibri" w:hAnsi="Calibri" w:cs="Calibri"/>
        </w:rPr>
        <w:footnoteRef/>
      </w:r>
      <w:r w:rsidRPr="0087443E">
        <w:rPr>
          <w:rFonts w:ascii="Calibri" w:hAnsi="Calibri" w:cs="Calibri"/>
        </w:rPr>
        <w:t xml:space="preserve"> </w:t>
      </w:r>
      <w:r w:rsidRPr="0087443E">
        <w:rPr>
          <w:rFonts w:ascii="Calibri" w:hAnsi="Calibri" w:cs="Calibri"/>
        </w:rPr>
        <w:tab/>
        <w:t>Zákon č. 137/2006 Sb., o veřejných zakázkách.</w:t>
      </w:r>
    </w:p>
  </w:footnote>
  <w:footnote w:id="37">
    <w:p w14:paraId="712B2983" w14:textId="77777777" w:rsidR="00EA2965" w:rsidRPr="0087443E" w:rsidRDefault="00EA2965" w:rsidP="00C958B6">
      <w:pPr>
        <w:pStyle w:val="Textpoznpodarou"/>
        <w:ind w:left="284" w:hanging="284"/>
        <w:rPr>
          <w:rFonts w:ascii="Calibri" w:hAnsi="Calibri" w:cs="Calibri"/>
        </w:rPr>
      </w:pPr>
      <w:r w:rsidRPr="0087443E">
        <w:rPr>
          <w:rStyle w:val="Znakapoznpodarou"/>
          <w:rFonts w:ascii="Calibri" w:hAnsi="Calibri" w:cs="Calibri"/>
        </w:rPr>
        <w:footnoteRef/>
      </w:r>
      <w:r w:rsidRPr="0087443E">
        <w:rPr>
          <w:rFonts w:ascii="Calibri" w:hAnsi="Calibri" w:cs="Calibri"/>
        </w:rPr>
        <w:t xml:space="preserve"> </w:t>
      </w:r>
      <w:r w:rsidRPr="0087443E">
        <w:rPr>
          <w:rFonts w:ascii="Calibri" w:hAnsi="Calibri" w:cs="Calibri"/>
        </w:rPr>
        <w:tab/>
        <w:t>Zákon č. 134/2016 Sb., o zadávání veřejných zakázek.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BF08" w14:textId="77777777" w:rsidR="009930C8" w:rsidRDefault="009930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6C90" w14:textId="77777777" w:rsidR="00EA2965" w:rsidRDefault="00EA296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DCA7" w14:textId="77777777" w:rsidR="009930C8" w:rsidRDefault="009930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2DF"/>
    <w:multiLevelType w:val="hybridMultilevel"/>
    <w:tmpl w:val="F0688E36"/>
    <w:lvl w:ilvl="0" w:tplc="375E913C">
      <w:start w:val="1"/>
      <w:numFmt w:val="bullet"/>
      <w:lvlText w:val=""/>
      <w:lvlJc w:val="left"/>
      <w:pPr>
        <w:ind w:left="720" w:hanging="360"/>
      </w:pPr>
      <w:rPr>
        <w:rFonts w:ascii="Wingdings" w:hAnsi="Wingding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11685"/>
    <w:multiLevelType w:val="hybridMultilevel"/>
    <w:tmpl w:val="A9CEE3FC"/>
    <w:lvl w:ilvl="0" w:tplc="5D8C306E">
      <w:start w:val="1"/>
      <w:numFmt w:val="decimal"/>
      <w:lvlText w:val="4.%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F030E6"/>
    <w:multiLevelType w:val="hybridMultilevel"/>
    <w:tmpl w:val="DA768E6E"/>
    <w:lvl w:ilvl="0" w:tplc="7CB0F728">
      <w:start w:val="1"/>
      <w:numFmt w:val="bullet"/>
      <w:lvlText w:val=""/>
      <w:lvlJc w:val="left"/>
      <w:pPr>
        <w:ind w:left="720" w:hanging="360"/>
      </w:pPr>
      <w:rPr>
        <w:rFonts w:ascii="Wingdings" w:hAnsi="Wingding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6B24E6"/>
    <w:multiLevelType w:val="hybridMultilevel"/>
    <w:tmpl w:val="AF5AA90C"/>
    <w:lvl w:ilvl="0" w:tplc="375E913C">
      <w:start w:val="1"/>
      <w:numFmt w:val="bullet"/>
      <w:lvlText w:val=""/>
      <w:lvlJc w:val="left"/>
      <w:pPr>
        <w:ind w:left="720" w:hanging="360"/>
      </w:pPr>
      <w:rPr>
        <w:rFonts w:ascii="Wingdings" w:hAnsi="Wingding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636720"/>
    <w:multiLevelType w:val="hybridMultilevel"/>
    <w:tmpl w:val="751E9E7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D970CC"/>
    <w:multiLevelType w:val="hybridMultilevel"/>
    <w:tmpl w:val="024C93F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2F1628C9"/>
    <w:multiLevelType w:val="hybridMultilevel"/>
    <w:tmpl w:val="AC6A0D3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2661D37"/>
    <w:multiLevelType w:val="hybridMultilevel"/>
    <w:tmpl w:val="5C1E653A"/>
    <w:lvl w:ilvl="0" w:tplc="8F2AAB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7364B2D"/>
    <w:multiLevelType w:val="hybridMultilevel"/>
    <w:tmpl w:val="7EBA4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AC4F29"/>
    <w:multiLevelType w:val="hybridMultilevel"/>
    <w:tmpl w:val="4CCC97CE"/>
    <w:lvl w:ilvl="0" w:tplc="1D50D720">
      <w:start w:val="49"/>
      <w:numFmt w:val="decimal"/>
      <w:lvlText w:val="4.%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0A34E3"/>
    <w:multiLevelType w:val="hybridMultilevel"/>
    <w:tmpl w:val="70E8EC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D2229F"/>
    <w:multiLevelType w:val="multilevel"/>
    <w:tmpl w:val="D5ACA7F2"/>
    <w:lvl w:ilvl="0">
      <w:start w:val="4"/>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563366"/>
    <w:multiLevelType w:val="hybridMultilevel"/>
    <w:tmpl w:val="C846D3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2A5DE5"/>
    <w:multiLevelType w:val="hybridMultilevel"/>
    <w:tmpl w:val="1584EC3E"/>
    <w:lvl w:ilvl="0" w:tplc="F37C679A">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CF06F8"/>
    <w:multiLevelType w:val="multilevel"/>
    <w:tmpl w:val="ED72E89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5F7A65"/>
    <w:multiLevelType w:val="hybridMultilevel"/>
    <w:tmpl w:val="76F40EF0"/>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0F95DDD"/>
    <w:multiLevelType w:val="hybridMultilevel"/>
    <w:tmpl w:val="AE14BFE0"/>
    <w:lvl w:ilvl="0" w:tplc="BCE425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E346322"/>
    <w:multiLevelType w:val="hybridMultilevel"/>
    <w:tmpl w:val="C1E05370"/>
    <w:lvl w:ilvl="0" w:tplc="04050001">
      <w:start w:val="1"/>
      <w:numFmt w:val="bullet"/>
      <w:lvlText w:val=""/>
      <w:lvlJc w:val="left"/>
      <w:pPr>
        <w:ind w:left="2424" w:hanging="360"/>
      </w:pPr>
      <w:rPr>
        <w:rFonts w:ascii="Symbol" w:hAnsi="Symbol" w:hint="default"/>
      </w:rPr>
    </w:lvl>
    <w:lvl w:ilvl="1" w:tplc="04050003">
      <w:start w:val="1"/>
      <w:numFmt w:val="bullet"/>
      <w:lvlText w:val="o"/>
      <w:lvlJc w:val="left"/>
      <w:pPr>
        <w:ind w:left="3144" w:hanging="360"/>
      </w:pPr>
      <w:rPr>
        <w:rFonts w:ascii="Courier New" w:hAnsi="Courier New" w:cs="Courier New" w:hint="default"/>
      </w:rPr>
    </w:lvl>
    <w:lvl w:ilvl="2" w:tplc="04050005" w:tentative="1">
      <w:start w:val="1"/>
      <w:numFmt w:val="bullet"/>
      <w:lvlText w:val=""/>
      <w:lvlJc w:val="left"/>
      <w:pPr>
        <w:ind w:left="3864" w:hanging="360"/>
      </w:pPr>
      <w:rPr>
        <w:rFonts w:ascii="Wingdings" w:hAnsi="Wingdings" w:hint="default"/>
      </w:rPr>
    </w:lvl>
    <w:lvl w:ilvl="3" w:tplc="04050001" w:tentative="1">
      <w:start w:val="1"/>
      <w:numFmt w:val="bullet"/>
      <w:lvlText w:val=""/>
      <w:lvlJc w:val="left"/>
      <w:pPr>
        <w:ind w:left="4584" w:hanging="360"/>
      </w:pPr>
      <w:rPr>
        <w:rFonts w:ascii="Symbol" w:hAnsi="Symbol" w:hint="default"/>
      </w:rPr>
    </w:lvl>
    <w:lvl w:ilvl="4" w:tplc="04050003" w:tentative="1">
      <w:start w:val="1"/>
      <w:numFmt w:val="bullet"/>
      <w:lvlText w:val="o"/>
      <w:lvlJc w:val="left"/>
      <w:pPr>
        <w:ind w:left="5304" w:hanging="360"/>
      </w:pPr>
      <w:rPr>
        <w:rFonts w:ascii="Courier New" w:hAnsi="Courier New" w:cs="Courier New" w:hint="default"/>
      </w:rPr>
    </w:lvl>
    <w:lvl w:ilvl="5" w:tplc="04050005" w:tentative="1">
      <w:start w:val="1"/>
      <w:numFmt w:val="bullet"/>
      <w:lvlText w:val=""/>
      <w:lvlJc w:val="left"/>
      <w:pPr>
        <w:ind w:left="6024" w:hanging="360"/>
      </w:pPr>
      <w:rPr>
        <w:rFonts w:ascii="Wingdings" w:hAnsi="Wingdings" w:hint="default"/>
      </w:rPr>
    </w:lvl>
    <w:lvl w:ilvl="6" w:tplc="04050001" w:tentative="1">
      <w:start w:val="1"/>
      <w:numFmt w:val="bullet"/>
      <w:lvlText w:val=""/>
      <w:lvlJc w:val="left"/>
      <w:pPr>
        <w:ind w:left="6744" w:hanging="360"/>
      </w:pPr>
      <w:rPr>
        <w:rFonts w:ascii="Symbol" w:hAnsi="Symbol" w:hint="default"/>
      </w:rPr>
    </w:lvl>
    <w:lvl w:ilvl="7" w:tplc="04050003" w:tentative="1">
      <w:start w:val="1"/>
      <w:numFmt w:val="bullet"/>
      <w:lvlText w:val="o"/>
      <w:lvlJc w:val="left"/>
      <w:pPr>
        <w:ind w:left="7464" w:hanging="360"/>
      </w:pPr>
      <w:rPr>
        <w:rFonts w:ascii="Courier New" w:hAnsi="Courier New" w:cs="Courier New" w:hint="default"/>
      </w:rPr>
    </w:lvl>
    <w:lvl w:ilvl="8" w:tplc="04050005" w:tentative="1">
      <w:start w:val="1"/>
      <w:numFmt w:val="bullet"/>
      <w:lvlText w:val=""/>
      <w:lvlJc w:val="left"/>
      <w:pPr>
        <w:ind w:left="8184" w:hanging="360"/>
      </w:pPr>
      <w:rPr>
        <w:rFonts w:ascii="Wingdings" w:hAnsi="Wingdings" w:hint="default"/>
      </w:rPr>
    </w:lvl>
  </w:abstractNum>
  <w:num w:numId="1">
    <w:abstractNumId w:val="15"/>
  </w:num>
  <w:num w:numId="2">
    <w:abstractNumId w:val="10"/>
  </w:num>
  <w:num w:numId="3">
    <w:abstractNumId w:val="12"/>
  </w:num>
  <w:num w:numId="4">
    <w:abstractNumId w:val="0"/>
  </w:num>
  <w:num w:numId="5">
    <w:abstractNumId w:val="2"/>
  </w:num>
  <w:num w:numId="6">
    <w:abstractNumId w:val="3"/>
  </w:num>
  <w:num w:numId="7">
    <w:abstractNumId w:val="1"/>
  </w:num>
  <w:num w:numId="8">
    <w:abstractNumId w:val="6"/>
  </w:num>
  <w:num w:numId="9">
    <w:abstractNumId w:val="5"/>
  </w:num>
  <w:num w:numId="10">
    <w:abstractNumId w:val="17"/>
  </w:num>
  <w:num w:numId="11">
    <w:abstractNumId w:val="8"/>
  </w:num>
  <w:num w:numId="12">
    <w:abstractNumId w:val="4"/>
  </w:num>
  <w:num w:numId="13">
    <w:abstractNumId w:val="9"/>
  </w:num>
  <w:num w:numId="14">
    <w:abstractNumId w:val="2"/>
  </w:num>
  <w:num w:numId="15">
    <w:abstractNumId w:val="3"/>
  </w:num>
  <w:num w:numId="16">
    <w:abstractNumId w:val="0"/>
  </w:num>
  <w:num w:numId="17">
    <w:abstractNumId w:val="14"/>
  </w:num>
  <w:num w:numId="18">
    <w:abstractNumId w:val="16"/>
  </w:num>
  <w:num w:numId="19">
    <w:abstractNumId w:val="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21"/>
    <w:rsid w:val="00003107"/>
    <w:rsid w:val="00004AB7"/>
    <w:rsid w:val="0001122E"/>
    <w:rsid w:val="000133F0"/>
    <w:rsid w:val="00013E37"/>
    <w:rsid w:val="00016EBA"/>
    <w:rsid w:val="00020EA9"/>
    <w:rsid w:val="00026868"/>
    <w:rsid w:val="00030427"/>
    <w:rsid w:val="00032EA4"/>
    <w:rsid w:val="0003423C"/>
    <w:rsid w:val="000360DF"/>
    <w:rsid w:val="000360E0"/>
    <w:rsid w:val="00037F76"/>
    <w:rsid w:val="00040B1C"/>
    <w:rsid w:val="00040FBA"/>
    <w:rsid w:val="000458CF"/>
    <w:rsid w:val="00052118"/>
    <w:rsid w:val="0006196C"/>
    <w:rsid w:val="00064BCA"/>
    <w:rsid w:val="00067DFF"/>
    <w:rsid w:val="000707F5"/>
    <w:rsid w:val="00082BF0"/>
    <w:rsid w:val="00084512"/>
    <w:rsid w:val="00084D8A"/>
    <w:rsid w:val="00084DA8"/>
    <w:rsid w:val="000875E2"/>
    <w:rsid w:val="00093B83"/>
    <w:rsid w:val="00095948"/>
    <w:rsid w:val="000A078E"/>
    <w:rsid w:val="000A45C9"/>
    <w:rsid w:val="000A73BE"/>
    <w:rsid w:val="000B006A"/>
    <w:rsid w:val="000B0D12"/>
    <w:rsid w:val="000B4C0B"/>
    <w:rsid w:val="000C0307"/>
    <w:rsid w:val="000D7844"/>
    <w:rsid w:val="000E00F4"/>
    <w:rsid w:val="000E5C67"/>
    <w:rsid w:val="000F7A8F"/>
    <w:rsid w:val="001041EB"/>
    <w:rsid w:val="001105A7"/>
    <w:rsid w:val="00111837"/>
    <w:rsid w:val="00116BFF"/>
    <w:rsid w:val="00127C7D"/>
    <w:rsid w:val="00130E35"/>
    <w:rsid w:val="001325F0"/>
    <w:rsid w:val="00133966"/>
    <w:rsid w:val="00135A1D"/>
    <w:rsid w:val="00137A2F"/>
    <w:rsid w:val="00140CD3"/>
    <w:rsid w:val="00140E64"/>
    <w:rsid w:val="00142270"/>
    <w:rsid w:val="00145B46"/>
    <w:rsid w:val="00145CB4"/>
    <w:rsid w:val="00147940"/>
    <w:rsid w:val="0015099C"/>
    <w:rsid w:val="001526BD"/>
    <w:rsid w:val="00154EC7"/>
    <w:rsid w:val="001611C5"/>
    <w:rsid w:val="00163CC8"/>
    <w:rsid w:val="00166D55"/>
    <w:rsid w:val="00167E41"/>
    <w:rsid w:val="001725E6"/>
    <w:rsid w:val="00180704"/>
    <w:rsid w:val="001831C1"/>
    <w:rsid w:val="001851EC"/>
    <w:rsid w:val="00190E37"/>
    <w:rsid w:val="00196F11"/>
    <w:rsid w:val="001A1A5D"/>
    <w:rsid w:val="001A23EF"/>
    <w:rsid w:val="001A3839"/>
    <w:rsid w:val="001A42CA"/>
    <w:rsid w:val="001A5C22"/>
    <w:rsid w:val="001B6C81"/>
    <w:rsid w:val="001C0448"/>
    <w:rsid w:val="001C0D0E"/>
    <w:rsid w:val="001C494D"/>
    <w:rsid w:val="001C7572"/>
    <w:rsid w:val="001D3C4B"/>
    <w:rsid w:val="001E13BD"/>
    <w:rsid w:val="001E3EE5"/>
    <w:rsid w:val="001E6FC3"/>
    <w:rsid w:val="001F39EE"/>
    <w:rsid w:val="001F5674"/>
    <w:rsid w:val="001F739F"/>
    <w:rsid w:val="001F7522"/>
    <w:rsid w:val="001F7F23"/>
    <w:rsid w:val="00200F41"/>
    <w:rsid w:val="00201609"/>
    <w:rsid w:val="0020238B"/>
    <w:rsid w:val="00206B49"/>
    <w:rsid w:val="002144A5"/>
    <w:rsid w:val="002162AD"/>
    <w:rsid w:val="0021701F"/>
    <w:rsid w:val="00222517"/>
    <w:rsid w:val="002233F2"/>
    <w:rsid w:val="00227C86"/>
    <w:rsid w:val="002341D8"/>
    <w:rsid w:val="002444FD"/>
    <w:rsid w:val="002453B9"/>
    <w:rsid w:val="00251642"/>
    <w:rsid w:val="002538E5"/>
    <w:rsid w:val="002614C9"/>
    <w:rsid w:val="002647D6"/>
    <w:rsid w:val="00276834"/>
    <w:rsid w:val="00276F46"/>
    <w:rsid w:val="00277C19"/>
    <w:rsid w:val="0028136A"/>
    <w:rsid w:val="002817A7"/>
    <w:rsid w:val="0028348C"/>
    <w:rsid w:val="00285522"/>
    <w:rsid w:val="002923F0"/>
    <w:rsid w:val="002948B9"/>
    <w:rsid w:val="00296158"/>
    <w:rsid w:val="002A2B6C"/>
    <w:rsid w:val="002A450E"/>
    <w:rsid w:val="002A4A2F"/>
    <w:rsid w:val="002A4E5F"/>
    <w:rsid w:val="002A5344"/>
    <w:rsid w:val="002B40FD"/>
    <w:rsid w:val="002B6B91"/>
    <w:rsid w:val="002C1851"/>
    <w:rsid w:val="002C723F"/>
    <w:rsid w:val="002D5231"/>
    <w:rsid w:val="002F0E93"/>
    <w:rsid w:val="002F5C60"/>
    <w:rsid w:val="00301D81"/>
    <w:rsid w:val="00303048"/>
    <w:rsid w:val="00304795"/>
    <w:rsid w:val="00307A7D"/>
    <w:rsid w:val="00311A45"/>
    <w:rsid w:val="00314BD2"/>
    <w:rsid w:val="0031754E"/>
    <w:rsid w:val="003248F6"/>
    <w:rsid w:val="0033117B"/>
    <w:rsid w:val="003326F8"/>
    <w:rsid w:val="00332B6F"/>
    <w:rsid w:val="003341DC"/>
    <w:rsid w:val="0033486A"/>
    <w:rsid w:val="00343AAA"/>
    <w:rsid w:val="0034720A"/>
    <w:rsid w:val="003473C0"/>
    <w:rsid w:val="00356543"/>
    <w:rsid w:val="0035699F"/>
    <w:rsid w:val="0036300D"/>
    <w:rsid w:val="0036580F"/>
    <w:rsid w:val="00365D02"/>
    <w:rsid w:val="00366884"/>
    <w:rsid w:val="00377393"/>
    <w:rsid w:val="00384C45"/>
    <w:rsid w:val="003A28DC"/>
    <w:rsid w:val="003A3981"/>
    <w:rsid w:val="003B1424"/>
    <w:rsid w:val="003B2242"/>
    <w:rsid w:val="003B4323"/>
    <w:rsid w:val="003C3AF8"/>
    <w:rsid w:val="003C3F9B"/>
    <w:rsid w:val="003C7F98"/>
    <w:rsid w:val="003D2875"/>
    <w:rsid w:val="003D35BC"/>
    <w:rsid w:val="003D6BAD"/>
    <w:rsid w:val="003D7936"/>
    <w:rsid w:val="003E483F"/>
    <w:rsid w:val="003F1037"/>
    <w:rsid w:val="003F1FA2"/>
    <w:rsid w:val="003F4120"/>
    <w:rsid w:val="00406726"/>
    <w:rsid w:val="00412507"/>
    <w:rsid w:val="00414522"/>
    <w:rsid w:val="004146D5"/>
    <w:rsid w:val="00421764"/>
    <w:rsid w:val="00423727"/>
    <w:rsid w:val="00425DA2"/>
    <w:rsid w:val="00431AA9"/>
    <w:rsid w:val="00440775"/>
    <w:rsid w:val="00444D39"/>
    <w:rsid w:val="0044565C"/>
    <w:rsid w:val="00445B4D"/>
    <w:rsid w:val="0045220B"/>
    <w:rsid w:val="004547F7"/>
    <w:rsid w:val="0045592B"/>
    <w:rsid w:val="00457E1C"/>
    <w:rsid w:val="00462311"/>
    <w:rsid w:val="00465F73"/>
    <w:rsid w:val="0046708A"/>
    <w:rsid w:val="004677F7"/>
    <w:rsid w:val="004710C3"/>
    <w:rsid w:val="0047360A"/>
    <w:rsid w:val="0048174C"/>
    <w:rsid w:val="00481810"/>
    <w:rsid w:val="00482420"/>
    <w:rsid w:val="0048584B"/>
    <w:rsid w:val="004902A1"/>
    <w:rsid w:val="00492EC3"/>
    <w:rsid w:val="004A53B2"/>
    <w:rsid w:val="004B4FF2"/>
    <w:rsid w:val="004B6110"/>
    <w:rsid w:val="004C1368"/>
    <w:rsid w:val="004E112E"/>
    <w:rsid w:val="004E433C"/>
    <w:rsid w:val="004F6783"/>
    <w:rsid w:val="004F67A3"/>
    <w:rsid w:val="005008B3"/>
    <w:rsid w:val="0050112D"/>
    <w:rsid w:val="005012A1"/>
    <w:rsid w:val="00501B76"/>
    <w:rsid w:val="005061FC"/>
    <w:rsid w:val="00506A92"/>
    <w:rsid w:val="00511FCE"/>
    <w:rsid w:val="0052027F"/>
    <w:rsid w:val="005222A3"/>
    <w:rsid w:val="00523457"/>
    <w:rsid w:val="00531A8C"/>
    <w:rsid w:val="00545E30"/>
    <w:rsid w:val="0054632E"/>
    <w:rsid w:val="0055172F"/>
    <w:rsid w:val="0055325C"/>
    <w:rsid w:val="00554301"/>
    <w:rsid w:val="005667D3"/>
    <w:rsid w:val="005759D6"/>
    <w:rsid w:val="00583A2A"/>
    <w:rsid w:val="005A0172"/>
    <w:rsid w:val="005A03B6"/>
    <w:rsid w:val="005A27BB"/>
    <w:rsid w:val="005A6C8E"/>
    <w:rsid w:val="005B4CA8"/>
    <w:rsid w:val="005C72EE"/>
    <w:rsid w:val="005D5860"/>
    <w:rsid w:val="005D63D4"/>
    <w:rsid w:val="005E41DB"/>
    <w:rsid w:val="00600D2C"/>
    <w:rsid w:val="006020E3"/>
    <w:rsid w:val="00604B88"/>
    <w:rsid w:val="0060568B"/>
    <w:rsid w:val="00605C00"/>
    <w:rsid w:val="00607281"/>
    <w:rsid w:val="00612268"/>
    <w:rsid w:val="00614817"/>
    <w:rsid w:val="00615912"/>
    <w:rsid w:val="0061789A"/>
    <w:rsid w:val="00633758"/>
    <w:rsid w:val="0063537C"/>
    <w:rsid w:val="00642230"/>
    <w:rsid w:val="00642785"/>
    <w:rsid w:val="00643DF4"/>
    <w:rsid w:val="00644017"/>
    <w:rsid w:val="00646B87"/>
    <w:rsid w:val="00646D2F"/>
    <w:rsid w:val="00647621"/>
    <w:rsid w:val="0065196E"/>
    <w:rsid w:val="00656C03"/>
    <w:rsid w:val="00657FA9"/>
    <w:rsid w:val="006617E3"/>
    <w:rsid w:val="0066772A"/>
    <w:rsid w:val="0067056F"/>
    <w:rsid w:val="006740DA"/>
    <w:rsid w:val="00674732"/>
    <w:rsid w:val="00675ABF"/>
    <w:rsid w:val="006777C3"/>
    <w:rsid w:val="00684C28"/>
    <w:rsid w:val="00685AA2"/>
    <w:rsid w:val="006955E7"/>
    <w:rsid w:val="0069713B"/>
    <w:rsid w:val="006A15CC"/>
    <w:rsid w:val="006A6EF3"/>
    <w:rsid w:val="006C05E1"/>
    <w:rsid w:val="006C168A"/>
    <w:rsid w:val="006C39BE"/>
    <w:rsid w:val="006C5606"/>
    <w:rsid w:val="006D7FBF"/>
    <w:rsid w:val="006E2539"/>
    <w:rsid w:val="006E3A04"/>
    <w:rsid w:val="006F3BFD"/>
    <w:rsid w:val="006F471E"/>
    <w:rsid w:val="006F6E98"/>
    <w:rsid w:val="007038E2"/>
    <w:rsid w:val="0071596F"/>
    <w:rsid w:val="00726D13"/>
    <w:rsid w:val="00731224"/>
    <w:rsid w:val="007346DB"/>
    <w:rsid w:val="00736FCE"/>
    <w:rsid w:val="00740C4F"/>
    <w:rsid w:val="00743F0A"/>
    <w:rsid w:val="00744480"/>
    <w:rsid w:val="00753AEA"/>
    <w:rsid w:val="007566FA"/>
    <w:rsid w:val="0075732C"/>
    <w:rsid w:val="0076215C"/>
    <w:rsid w:val="00764214"/>
    <w:rsid w:val="00772749"/>
    <w:rsid w:val="00772803"/>
    <w:rsid w:val="0077345A"/>
    <w:rsid w:val="00774DE6"/>
    <w:rsid w:val="00775955"/>
    <w:rsid w:val="0077689A"/>
    <w:rsid w:val="00776BAD"/>
    <w:rsid w:val="007825A8"/>
    <w:rsid w:val="00784FA6"/>
    <w:rsid w:val="00785F12"/>
    <w:rsid w:val="007870EB"/>
    <w:rsid w:val="007936EC"/>
    <w:rsid w:val="00795184"/>
    <w:rsid w:val="007B26E3"/>
    <w:rsid w:val="007B2942"/>
    <w:rsid w:val="007B7D0D"/>
    <w:rsid w:val="007C2909"/>
    <w:rsid w:val="007C41AF"/>
    <w:rsid w:val="007C750E"/>
    <w:rsid w:val="007D6012"/>
    <w:rsid w:val="007D6273"/>
    <w:rsid w:val="007D78BF"/>
    <w:rsid w:val="007E0956"/>
    <w:rsid w:val="007E1774"/>
    <w:rsid w:val="007E6AF6"/>
    <w:rsid w:val="007E6B9C"/>
    <w:rsid w:val="007F532F"/>
    <w:rsid w:val="008049B6"/>
    <w:rsid w:val="0081138F"/>
    <w:rsid w:val="008125E6"/>
    <w:rsid w:val="00821B5F"/>
    <w:rsid w:val="008232DA"/>
    <w:rsid w:val="00824C7E"/>
    <w:rsid w:val="008401BD"/>
    <w:rsid w:val="00840628"/>
    <w:rsid w:val="008439D5"/>
    <w:rsid w:val="0084649E"/>
    <w:rsid w:val="00846C3D"/>
    <w:rsid w:val="0085612B"/>
    <w:rsid w:val="0085781F"/>
    <w:rsid w:val="00857DE3"/>
    <w:rsid w:val="00865E78"/>
    <w:rsid w:val="00866CE1"/>
    <w:rsid w:val="00867917"/>
    <w:rsid w:val="0087443E"/>
    <w:rsid w:val="00887072"/>
    <w:rsid w:val="008A242F"/>
    <w:rsid w:val="008A55D9"/>
    <w:rsid w:val="008A6560"/>
    <w:rsid w:val="008B0BD2"/>
    <w:rsid w:val="008B4412"/>
    <w:rsid w:val="008B4F81"/>
    <w:rsid w:val="008C3186"/>
    <w:rsid w:val="008C575E"/>
    <w:rsid w:val="008D2513"/>
    <w:rsid w:val="008D6B0E"/>
    <w:rsid w:val="008E6471"/>
    <w:rsid w:val="008F02D3"/>
    <w:rsid w:val="008F1B13"/>
    <w:rsid w:val="009232BD"/>
    <w:rsid w:val="00925056"/>
    <w:rsid w:val="00927605"/>
    <w:rsid w:val="00931714"/>
    <w:rsid w:val="00931F71"/>
    <w:rsid w:val="0093257E"/>
    <w:rsid w:val="009369EA"/>
    <w:rsid w:val="00943EE7"/>
    <w:rsid w:val="00944EAF"/>
    <w:rsid w:val="00944EEE"/>
    <w:rsid w:val="0094545E"/>
    <w:rsid w:val="00945B88"/>
    <w:rsid w:val="00947C2B"/>
    <w:rsid w:val="009600DA"/>
    <w:rsid w:val="009667AB"/>
    <w:rsid w:val="00974B72"/>
    <w:rsid w:val="00983145"/>
    <w:rsid w:val="00983752"/>
    <w:rsid w:val="00983B8A"/>
    <w:rsid w:val="00984697"/>
    <w:rsid w:val="00990680"/>
    <w:rsid w:val="00991450"/>
    <w:rsid w:val="00992539"/>
    <w:rsid w:val="009930C8"/>
    <w:rsid w:val="009A36A9"/>
    <w:rsid w:val="009A797D"/>
    <w:rsid w:val="009B20DB"/>
    <w:rsid w:val="009B5BDF"/>
    <w:rsid w:val="009B5D95"/>
    <w:rsid w:val="009B61E6"/>
    <w:rsid w:val="009D6A46"/>
    <w:rsid w:val="009D6AC7"/>
    <w:rsid w:val="009D6F1A"/>
    <w:rsid w:val="009D7FAF"/>
    <w:rsid w:val="009E1958"/>
    <w:rsid w:val="009E73E1"/>
    <w:rsid w:val="009E7785"/>
    <w:rsid w:val="009F0DCE"/>
    <w:rsid w:val="009F2E3F"/>
    <w:rsid w:val="009F2F4C"/>
    <w:rsid w:val="009F50AB"/>
    <w:rsid w:val="009F5A23"/>
    <w:rsid w:val="009F6922"/>
    <w:rsid w:val="009F6B3D"/>
    <w:rsid w:val="009F7224"/>
    <w:rsid w:val="00A0221E"/>
    <w:rsid w:val="00A2568C"/>
    <w:rsid w:val="00A26E6F"/>
    <w:rsid w:val="00A34548"/>
    <w:rsid w:val="00A37C2B"/>
    <w:rsid w:val="00A402C5"/>
    <w:rsid w:val="00A408B6"/>
    <w:rsid w:val="00A529B7"/>
    <w:rsid w:val="00A532F5"/>
    <w:rsid w:val="00A57047"/>
    <w:rsid w:val="00A57E05"/>
    <w:rsid w:val="00A6128D"/>
    <w:rsid w:val="00A67274"/>
    <w:rsid w:val="00A700E3"/>
    <w:rsid w:val="00A70AE3"/>
    <w:rsid w:val="00A864C7"/>
    <w:rsid w:val="00A87050"/>
    <w:rsid w:val="00A93D44"/>
    <w:rsid w:val="00AA1F3D"/>
    <w:rsid w:val="00AA3587"/>
    <w:rsid w:val="00AA3B88"/>
    <w:rsid w:val="00AA55A1"/>
    <w:rsid w:val="00AB1EA0"/>
    <w:rsid w:val="00AB3E1B"/>
    <w:rsid w:val="00AB5DA6"/>
    <w:rsid w:val="00AB6F54"/>
    <w:rsid w:val="00AB6FF3"/>
    <w:rsid w:val="00AB7788"/>
    <w:rsid w:val="00AB7F41"/>
    <w:rsid w:val="00AD20EA"/>
    <w:rsid w:val="00AE5695"/>
    <w:rsid w:val="00AE5F42"/>
    <w:rsid w:val="00AE6018"/>
    <w:rsid w:val="00AF085C"/>
    <w:rsid w:val="00AF738B"/>
    <w:rsid w:val="00B107AE"/>
    <w:rsid w:val="00B2695E"/>
    <w:rsid w:val="00B40746"/>
    <w:rsid w:val="00B47D21"/>
    <w:rsid w:val="00B51982"/>
    <w:rsid w:val="00B554D7"/>
    <w:rsid w:val="00B56B52"/>
    <w:rsid w:val="00B61B92"/>
    <w:rsid w:val="00B8721F"/>
    <w:rsid w:val="00B936DB"/>
    <w:rsid w:val="00B96090"/>
    <w:rsid w:val="00BC17B8"/>
    <w:rsid w:val="00BC2B65"/>
    <w:rsid w:val="00BC50E9"/>
    <w:rsid w:val="00BC538C"/>
    <w:rsid w:val="00BC5F0D"/>
    <w:rsid w:val="00BD78C6"/>
    <w:rsid w:val="00BE0B46"/>
    <w:rsid w:val="00BE4013"/>
    <w:rsid w:val="00BE5D6B"/>
    <w:rsid w:val="00BE6B85"/>
    <w:rsid w:val="00BE748F"/>
    <w:rsid w:val="00BF2195"/>
    <w:rsid w:val="00BF2720"/>
    <w:rsid w:val="00BF2982"/>
    <w:rsid w:val="00BF5629"/>
    <w:rsid w:val="00BF6E1B"/>
    <w:rsid w:val="00BF7267"/>
    <w:rsid w:val="00C00C23"/>
    <w:rsid w:val="00C04C8E"/>
    <w:rsid w:val="00C13FE2"/>
    <w:rsid w:val="00C23192"/>
    <w:rsid w:val="00C23E47"/>
    <w:rsid w:val="00C24807"/>
    <w:rsid w:val="00C27A83"/>
    <w:rsid w:val="00C31D4D"/>
    <w:rsid w:val="00C34B23"/>
    <w:rsid w:val="00C40268"/>
    <w:rsid w:val="00C405F2"/>
    <w:rsid w:val="00C449EE"/>
    <w:rsid w:val="00C45631"/>
    <w:rsid w:val="00C45CD3"/>
    <w:rsid w:val="00C462CD"/>
    <w:rsid w:val="00C477C2"/>
    <w:rsid w:val="00C50D21"/>
    <w:rsid w:val="00C510B6"/>
    <w:rsid w:val="00C55B2C"/>
    <w:rsid w:val="00C57A57"/>
    <w:rsid w:val="00C60C24"/>
    <w:rsid w:val="00C71487"/>
    <w:rsid w:val="00C720B0"/>
    <w:rsid w:val="00C8144D"/>
    <w:rsid w:val="00C87720"/>
    <w:rsid w:val="00C90CC2"/>
    <w:rsid w:val="00C9394D"/>
    <w:rsid w:val="00C9400F"/>
    <w:rsid w:val="00C958B6"/>
    <w:rsid w:val="00CB1792"/>
    <w:rsid w:val="00CB1D99"/>
    <w:rsid w:val="00CB378E"/>
    <w:rsid w:val="00CB4472"/>
    <w:rsid w:val="00CB6688"/>
    <w:rsid w:val="00CB7D96"/>
    <w:rsid w:val="00CC1422"/>
    <w:rsid w:val="00CC495A"/>
    <w:rsid w:val="00CC668B"/>
    <w:rsid w:val="00CC6A7D"/>
    <w:rsid w:val="00CD0CAC"/>
    <w:rsid w:val="00CD7684"/>
    <w:rsid w:val="00CE1C25"/>
    <w:rsid w:val="00CE3F6F"/>
    <w:rsid w:val="00CE413E"/>
    <w:rsid w:val="00CE6A41"/>
    <w:rsid w:val="00CE7880"/>
    <w:rsid w:val="00CF1BF8"/>
    <w:rsid w:val="00CF5E77"/>
    <w:rsid w:val="00CF62D2"/>
    <w:rsid w:val="00CF7583"/>
    <w:rsid w:val="00D0259C"/>
    <w:rsid w:val="00D04BB0"/>
    <w:rsid w:val="00D05BC4"/>
    <w:rsid w:val="00D106CF"/>
    <w:rsid w:val="00D11A93"/>
    <w:rsid w:val="00D20FEF"/>
    <w:rsid w:val="00D248E7"/>
    <w:rsid w:val="00D330EA"/>
    <w:rsid w:val="00D33101"/>
    <w:rsid w:val="00D34883"/>
    <w:rsid w:val="00D41D02"/>
    <w:rsid w:val="00D512FE"/>
    <w:rsid w:val="00D51BAE"/>
    <w:rsid w:val="00D53382"/>
    <w:rsid w:val="00D54B16"/>
    <w:rsid w:val="00D551F2"/>
    <w:rsid w:val="00D5693F"/>
    <w:rsid w:val="00D62651"/>
    <w:rsid w:val="00D64409"/>
    <w:rsid w:val="00D656E2"/>
    <w:rsid w:val="00D66B43"/>
    <w:rsid w:val="00D703D8"/>
    <w:rsid w:val="00D7070B"/>
    <w:rsid w:val="00D7249E"/>
    <w:rsid w:val="00D770F1"/>
    <w:rsid w:val="00D86AA8"/>
    <w:rsid w:val="00D9394E"/>
    <w:rsid w:val="00D97B30"/>
    <w:rsid w:val="00DA011B"/>
    <w:rsid w:val="00DA540D"/>
    <w:rsid w:val="00DB2D6E"/>
    <w:rsid w:val="00DB440A"/>
    <w:rsid w:val="00DB6165"/>
    <w:rsid w:val="00DC0063"/>
    <w:rsid w:val="00DC52E9"/>
    <w:rsid w:val="00DC63D8"/>
    <w:rsid w:val="00DC65FC"/>
    <w:rsid w:val="00DD01C0"/>
    <w:rsid w:val="00DD03DA"/>
    <w:rsid w:val="00DD05FC"/>
    <w:rsid w:val="00DD360D"/>
    <w:rsid w:val="00DD4733"/>
    <w:rsid w:val="00DD4FF5"/>
    <w:rsid w:val="00DD71A8"/>
    <w:rsid w:val="00E01172"/>
    <w:rsid w:val="00E03A45"/>
    <w:rsid w:val="00E07819"/>
    <w:rsid w:val="00E10CE6"/>
    <w:rsid w:val="00E121E4"/>
    <w:rsid w:val="00E17BE7"/>
    <w:rsid w:val="00E20741"/>
    <w:rsid w:val="00E21890"/>
    <w:rsid w:val="00E227EC"/>
    <w:rsid w:val="00E23664"/>
    <w:rsid w:val="00E2535B"/>
    <w:rsid w:val="00E25844"/>
    <w:rsid w:val="00E25ED1"/>
    <w:rsid w:val="00E2671A"/>
    <w:rsid w:val="00E358F8"/>
    <w:rsid w:val="00E452A1"/>
    <w:rsid w:val="00E4762D"/>
    <w:rsid w:val="00E52EB2"/>
    <w:rsid w:val="00E5439E"/>
    <w:rsid w:val="00E64DC6"/>
    <w:rsid w:val="00E67F0F"/>
    <w:rsid w:val="00E74EB4"/>
    <w:rsid w:val="00E753C4"/>
    <w:rsid w:val="00E76A63"/>
    <w:rsid w:val="00E7747D"/>
    <w:rsid w:val="00E815BE"/>
    <w:rsid w:val="00E8665F"/>
    <w:rsid w:val="00E87AB6"/>
    <w:rsid w:val="00E87FEB"/>
    <w:rsid w:val="00E903C4"/>
    <w:rsid w:val="00E96892"/>
    <w:rsid w:val="00EA2221"/>
    <w:rsid w:val="00EA2236"/>
    <w:rsid w:val="00EA2965"/>
    <w:rsid w:val="00EA4422"/>
    <w:rsid w:val="00EA66FB"/>
    <w:rsid w:val="00EB2C94"/>
    <w:rsid w:val="00EC515E"/>
    <w:rsid w:val="00EC5BA7"/>
    <w:rsid w:val="00EC763A"/>
    <w:rsid w:val="00ED033B"/>
    <w:rsid w:val="00ED5321"/>
    <w:rsid w:val="00EE42D5"/>
    <w:rsid w:val="00EE5869"/>
    <w:rsid w:val="00EE6353"/>
    <w:rsid w:val="00EF0CF5"/>
    <w:rsid w:val="00EF388D"/>
    <w:rsid w:val="00EF3A81"/>
    <w:rsid w:val="00F06D40"/>
    <w:rsid w:val="00F22AE3"/>
    <w:rsid w:val="00F27C4A"/>
    <w:rsid w:val="00F31389"/>
    <w:rsid w:val="00F34F04"/>
    <w:rsid w:val="00F408CC"/>
    <w:rsid w:val="00F415AB"/>
    <w:rsid w:val="00F4560E"/>
    <w:rsid w:val="00F527EB"/>
    <w:rsid w:val="00F5780A"/>
    <w:rsid w:val="00F62A8A"/>
    <w:rsid w:val="00F6318F"/>
    <w:rsid w:val="00F73B3C"/>
    <w:rsid w:val="00F802D2"/>
    <w:rsid w:val="00F843A0"/>
    <w:rsid w:val="00F85696"/>
    <w:rsid w:val="00F87B22"/>
    <w:rsid w:val="00F90416"/>
    <w:rsid w:val="00F9275E"/>
    <w:rsid w:val="00F94274"/>
    <w:rsid w:val="00FA0447"/>
    <w:rsid w:val="00FA3E37"/>
    <w:rsid w:val="00FA7793"/>
    <w:rsid w:val="00FB3020"/>
    <w:rsid w:val="00FB4B41"/>
    <w:rsid w:val="00FB631D"/>
    <w:rsid w:val="00FC1976"/>
    <w:rsid w:val="00FC70AD"/>
    <w:rsid w:val="00FC739F"/>
    <w:rsid w:val="00FD4CAB"/>
    <w:rsid w:val="00FE2B6E"/>
    <w:rsid w:val="00FE4915"/>
    <w:rsid w:val="00FF4CF0"/>
    <w:rsid w:val="00FF6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98D1"/>
  <w15:chartTrackingRefBased/>
  <w15:docId w15:val="{C5B708FE-34F3-42C6-BF2F-986AFD47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4E5F"/>
  </w:style>
  <w:style w:type="paragraph" w:styleId="Nadpis1">
    <w:name w:val="heading 1"/>
    <w:basedOn w:val="Normln"/>
    <w:next w:val="Normln"/>
    <w:link w:val="Nadpis1Char"/>
    <w:uiPriority w:val="9"/>
    <w:qFormat/>
    <w:rsid w:val="00604B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604B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47D21"/>
    <w:pPr>
      <w:spacing w:after="120" w:line="240" w:lineRule="auto"/>
      <w:outlineLvl w:val="2"/>
    </w:pPr>
    <w:rPr>
      <w:rFonts w:eastAsia="Times New Roman" w:cstheme="minorHAns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47D21"/>
    <w:rPr>
      <w:rFonts w:eastAsia="Times New Roman" w:cstheme="minorHAnsi"/>
      <w:b/>
      <w:sz w:val="24"/>
      <w:szCs w:val="24"/>
    </w:rPr>
  </w:style>
  <w:style w:type="paragraph" w:styleId="Odstavecseseznamem">
    <w:name w:val="List Paragraph"/>
    <w:aliases w:val="Nadpis pro KZ,odrážky,Odstavec_muj,List Paragraph_0,List Paragraph1,List Paragraph2,Nad,Nad1,Nad2,Odstavec_muj1,Odstavec_muj10,Odstavec_muj2,Odstavec_muj3,Odstavec_muj4,Odstavec_muj5,Odstavec_muj6,Odstavec_muj7,Odstavec_muj8"/>
    <w:basedOn w:val="Normln"/>
    <w:link w:val="OdstavecseseznamemChar"/>
    <w:uiPriority w:val="34"/>
    <w:qFormat/>
    <w:rsid w:val="00B47D21"/>
    <w:pPr>
      <w:ind w:left="720"/>
      <w:contextualSpacing/>
    </w:p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uiPriority w:val="99"/>
    <w:unhideWhenUsed/>
    <w:qFormat/>
    <w:rsid w:val="00B47D21"/>
    <w:pPr>
      <w:spacing w:after="0" w:line="240" w:lineRule="auto"/>
    </w:pPr>
    <w:rPr>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B47D21"/>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basedOn w:val="Standardnpsmoodstavce"/>
    <w:uiPriority w:val="99"/>
    <w:unhideWhenUsed/>
    <w:rsid w:val="00B47D21"/>
    <w:rPr>
      <w:vertAlign w:val="superscript"/>
    </w:rPr>
  </w:style>
  <w:style w:type="character" w:customStyle="1" w:styleId="OdstavecseseznamemChar">
    <w:name w:val="Odstavec se seznamem Char"/>
    <w:aliases w:val="Nadpis pro KZ Char,odrážky Char,Odstavec_muj Char,List Paragraph_0 Char,List Paragraph1 Char,List Paragraph2 Char,Nad Char,Nad1 Char,Nad2 Char,Odstavec_muj1 Char,Odstavec_muj10 Char,Odstavec_muj2 Char,Odstavec_muj3 Char"/>
    <w:basedOn w:val="Standardnpsmoodstavce"/>
    <w:link w:val="Odstavecseseznamem"/>
    <w:uiPriority w:val="34"/>
    <w:locked/>
    <w:rsid w:val="00B47D21"/>
  </w:style>
  <w:style w:type="character" w:styleId="Hypertextovodkaz">
    <w:name w:val="Hyperlink"/>
    <w:basedOn w:val="Standardnpsmoodstavce"/>
    <w:uiPriority w:val="99"/>
    <w:unhideWhenUsed/>
    <w:rsid w:val="00B47D21"/>
    <w:rPr>
      <w:color w:val="0563C1" w:themeColor="hyperlink"/>
      <w:u w:val="single"/>
    </w:rPr>
  </w:style>
  <w:style w:type="paragraph" w:styleId="Normlnweb">
    <w:name w:val="Normal (Web)"/>
    <w:basedOn w:val="Normln"/>
    <w:uiPriority w:val="99"/>
    <w:semiHidden/>
    <w:rsid w:val="00B47D21"/>
    <w:pPr>
      <w:spacing w:after="0" w:line="240" w:lineRule="auto"/>
    </w:pPr>
    <w:rPr>
      <w:rFonts w:ascii="Times New Roman" w:eastAsia="Times New Roman" w:hAnsi="Times New Roman" w:cs="Times New Roman"/>
      <w:sz w:val="24"/>
      <w:szCs w:val="24"/>
    </w:rPr>
  </w:style>
  <w:style w:type="table" w:styleId="Mkatabulky">
    <w:name w:val="Table Grid"/>
    <w:basedOn w:val="Normlntabulka"/>
    <w:uiPriority w:val="39"/>
    <w:rsid w:val="0025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A3587"/>
    <w:rPr>
      <w:sz w:val="16"/>
      <w:szCs w:val="16"/>
    </w:rPr>
  </w:style>
  <w:style w:type="paragraph" w:styleId="Textkomente">
    <w:name w:val="annotation text"/>
    <w:basedOn w:val="Normln"/>
    <w:link w:val="TextkomenteChar"/>
    <w:uiPriority w:val="99"/>
    <w:semiHidden/>
    <w:unhideWhenUsed/>
    <w:rsid w:val="00AA3587"/>
    <w:pPr>
      <w:spacing w:line="240" w:lineRule="auto"/>
    </w:pPr>
    <w:rPr>
      <w:sz w:val="20"/>
      <w:szCs w:val="20"/>
    </w:rPr>
  </w:style>
  <w:style w:type="character" w:customStyle="1" w:styleId="TextkomenteChar">
    <w:name w:val="Text komentáře Char"/>
    <w:basedOn w:val="Standardnpsmoodstavce"/>
    <w:link w:val="Textkomente"/>
    <w:uiPriority w:val="99"/>
    <w:semiHidden/>
    <w:rsid w:val="00AA3587"/>
    <w:rPr>
      <w:sz w:val="20"/>
      <w:szCs w:val="20"/>
    </w:rPr>
  </w:style>
  <w:style w:type="paragraph" w:styleId="Pedmtkomente">
    <w:name w:val="annotation subject"/>
    <w:basedOn w:val="Textkomente"/>
    <w:next w:val="Textkomente"/>
    <w:link w:val="PedmtkomenteChar"/>
    <w:uiPriority w:val="99"/>
    <w:semiHidden/>
    <w:unhideWhenUsed/>
    <w:rsid w:val="00AA3587"/>
    <w:rPr>
      <w:b/>
      <w:bCs/>
    </w:rPr>
  </w:style>
  <w:style w:type="character" w:customStyle="1" w:styleId="PedmtkomenteChar">
    <w:name w:val="Předmět komentáře Char"/>
    <w:basedOn w:val="TextkomenteChar"/>
    <w:link w:val="Pedmtkomente"/>
    <w:uiPriority w:val="99"/>
    <w:semiHidden/>
    <w:rsid w:val="00AA3587"/>
    <w:rPr>
      <w:b/>
      <w:bCs/>
      <w:sz w:val="20"/>
      <w:szCs w:val="20"/>
    </w:rPr>
  </w:style>
  <w:style w:type="paragraph" w:styleId="Textbubliny">
    <w:name w:val="Balloon Text"/>
    <w:basedOn w:val="Normln"/>
    <w:link w:val="TextbublinyChar"/>
    <w:uiPriority w:val="99"/>
    <w:semiHidden/>
    <w:unhideWhenUsed/>
    <w:rsid w:val="00AA35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3587"/>
    <w:rPr>
      <w:rFonts w:ascii="Segoe UI" w:hAnsi="Segoe UI" w:cs="Segoe UI"/>
      <w:sz w:val="18"/>
      <w:szCs w:val="18"/>
    </w:rPr>
  </w:style>
  <w:style w:type="paragraph" w:styleId="Revize">
    <w:name w:val="Revision"/>
    <w:hidden/>
    <w:uiPriority w:val="99"/>
    <w:semiHidden/>
    <w:rsid w:val="003D35BC"/>
    <w:pPr>
      <w:spacing w:after="0" w:line="240" w:lineRule="auto"/>
    </w:pPr>
  </w:style>
  <w:style w:type="table" w:customStyle="1" w:styleId="Mkatabulky1">
    <w:name w:val="Mřížka tabulky1"/>
    <w:basedOn w:val="Normlntabulka"/>
    <w:next w:val="Mkatabulky"/>
    <w:uiPriority w:val="39"/>
    <w:rsid w:val="003F412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AE6018"/>
  </w:style>
  <w:style w:type="paragraph" w:customStyle="1" w:styleId="l4">
    <w:name w:val="l4"/>
    <w:basedOn w:val="Normln"/>
    <w:rsid w:val="000360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25D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DA2"/>
  </w:style>
  <w:style w:type="paragraph" w:styleId="Zpat">
    <w:name w:val="footer"/>
    <w:basedOn w:val="Normln"/>
    <w:link w:val="ZpatChar"/>
    <w:uiPriority w:val="99"/>
    <w:unhideWhenUsed/>
    <w:rsid w:val="00425DA2"/>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DA2"/>
  </w:style>
  <w:style w:type="character" w:customStyle="1" w:styleId="A1">
    <w:name w:val="A1"/>
    <w:uiPriority w:val="99"/>
    <w:rsid w:val="00646B87"/>
    <w:rPr>
      <w:color w:val="000000"/>
      <w:sz w:val="28"/>
      <w:szCs w:val="28"/>
    </w:rPr>
  </w:style>
  <w:style w:type="character" w:customStyle="1" w:styleId="A4">
    <w:name w:val="A4"/>
    <w:uiPriority w:val="99"/>
    <w:rsid w:val="00646B87"/>
    <w:rPr>
      <w:color w:val="000000"/>
      <w:sz w:val="60"/>
      <w:szCs w:val="60"/>
    </w:rPr>
  </w:style>
  <w:style w:type="character" w:customStyle="1" w:styleId="A5">
    <w:name w:val="A5"/>
    <w:uiPriority w:val="99"/>
    <w:rsid w:val="00646B87"/>
    <w:rPr>
      <w:b/>
      <w:bCs/>
      <w:color w:val="000000"/>
      <w:sz w:val="40"/>
      <w:szCs w:val="40"/>
    </w:rPr>
  </w:style>
  <w:style w:type="character" w:customStyle="1" w:styleId="Nadpis1Char">
    <w:name w:val="Nadpis 1 Char"/>
    <w:basedOn w:val="Standardnpsmoodstavce"/>
    <w:link w:val="Nadpis1"/>
    <w:uiPriority w:val="9"/>
    <w:rsid w:val="00604B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604B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2770">
      <w:bodyDiv w:val="1"/>
      <w:marLeft w:val="0"/>
      <w:marRight w:val="0"/>
      <w:marTop w:val="0"/>
      <w:marBottom w:val="0"/>
      <w:divBdr>
        <w:top w:val="none" w:sz="0" w:space="0" w:color="auto"/>
        <w:left w:val="none" w:sz="0" w:space="0" w:color="auto"/>
        <w:bottom w:val="none" w:sz="0" w:space="0" w:color="auto"/>
        <w:right w:val="none" w:sz="0" w:space="0" w:color="auto"/>
      </w:divBdr>
    </w:div>
    <w:div w:id="975985122">
      <w:bodyDiv w:val="1"/>
      <w:marLeft w:val="0"/>
      <w:marRight w:val="0"/>
      <w:marTop w:val="0"/>
      <w:marBottom w:val="0"/>
      <w:divBdr>
        <w:top w:val="none" w:sz="0" w:space="0" w:color="auto"/>
        <w:left w:val="none" w:sz="0" w:space="0" w:color="auto"/>
        <w:bottom w:val="none" w:sz="0" w:space="0" w:color="auto"/>
        <w:right w:val="none" w:sz="0" w:space="0" w:color="auto"/>
      </w:divBdr>
    </w:div>
    <w:div w:id="1000306189">
      <w:bodyDiv w:val="1"/>
      <w:marLeft w:val="0"/>
      <w:marRight w:val="0"/>
      <w:marTop w:val="0"/>
      <w:marBottom w:val="0"/>
      <w:divBdr>
        <w:top w:val="none" w:sz="0" w:space="0" w:color="auto"/>
        <w:left w:val="none" w:sz="0" w:space="0" w:color="auto"/>
        <w:bottom w:val="none" w:sz="0" w:space="0" w:color="auto"/>
        <w:right w:val="none" w:sz="0" w:space="0" w:color="auto"/>
      </w:divBdr>
    </w:div>
    <w:div w:id="1276715964">
      <w:bodyDiv w:val="1"/>
      <w:marLeft w:val="0"/>
      <w:marRight w:val="0"/>
      <w:marTop w:val="0"/>
      <w:marBottom w:val="0"/>
      <w:divBdr>
        <w:top w:val="none" w:sz="0" w:space="0" w:color="auto"/>
        <w:left w:val="none" w:sz="0" w:space="0" w:color="auto"/>
        <w:bottom w:val="none" w:sz="0" w:space="0" w:color="auto"/>
        <w:right w:val="none" w:sz="0" w:space="0" w:color="auto"/>
      </w:divBdr>
    </w:div>
    <w:div w:id="1730570313">
      <w:bodyDiv w:val="1"/>
      <w:marLeft w:val="0"/>
      <w:marRight w:val="0"/>
      <w:marTop w:val="0"/>
      <w:marBottom w:val="0"/>
      <w:divBdr>
        <w:top w:val="none" w:sz="0" w:space="0" w:color="auto"/>
        <w:left w:val="none" w:sz="0" w:space="0" w:color="auto"/>
        <w:bottom w:val="none" w:sz="0" w:space="0" w:color="auto"/>
        <w:right w:val="none" w:sz="0" w:space="0" w:color="auto"/>
      </w:divBdr>
    </w:div>
    <w:div w:id="19054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www.rvvi.cz/cep?s=jednoduche-vyhledavani&amp;ss=detail&amp;n=0&amp;h=VH20182019034" TargetMode="External"/><Relationship Id="rId39" Type="http://schemas.openxmlformats.org/officeDocument/2006/relationships/footer" Target="footer3.xml"/><Relationship Id="rId21" Type="http://schemas.openxmlformats.org/officeDocument/2006/relationships/chart" Target="charts/chart2.xm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www.rvvi.cz/cep?s=jednoduche-vyhledavani&amp;ss=detail&amp;n=0&amp;h=VI2015201804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5.xml"/><Relationship Id="rId32" Type="http://schemas.openxmlformats.org/officeDocument/2006/relationships/hyperlink" Target="https://www.rvvi.cz/cep?s=jednoduche-vyhledavani&amp;ss=detail&amp;n=0&amp;h=VI20152019043"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4.xml"/><Relationship Id="rId28" Type="http://schemas.openxmlformats.org/officeDocument/2006/relationships/hyperlink" Target="https://www.rvvi.cz/cep?s=jednoduche-vyhledavani&amp;ss=detail&amp;n=0&amp;h=VI20152018010" TargetMode="External"/><Relationship Id="rId36" Type="http://schemas.openxmlformats.org/officeDocument/2006/relationships/footer" Target="footer1.xml"/><Relationship Id="rId10" Type="http://schemas.openxmlformats.org/officeDocument/2006/relationships/hyperlink" Target="https://www.mvcr.cz/vyzkum/clanek/koncepce-meziresortni-koncepce-podpory-bezpecnostniho-vyzkumu-cr.aspx" TargetMode="External"/><Relationship Id="rId19" Type="http://schemas.openxmlformats.org/officeDocument/2006/relationships/diagramColors" Target="diagrams/colors2.xml"/><Relationship Id="rId31" Type="http://schemas.openxmlformats.org/officeDocument/2006/relationships/hyperlink" Target="https://www.rvvi.cz/cep?s=jednoduche-vyhledavani&amp;ss=detail&amp;n=0&amp;h=VI2015201902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chart" Target="charts/chart3.xml"/><Relationship Id="rId27" Type="http://schemas.openxmlformats.org/officeDocument/2006/relationships/hyperlink" Target="https://www.rvvi.cz/cep?s=jednoduche-vyhledavani&amp;ss=detail&amp;n=0&amp;h=VI20152018002" TargetMode="External"/><Relationship Id="rId30" Type="http://schemas.openxmlformats.org/officeDocument/2006/relationships/hyperlink" Target="https://www.rvvi.cz/cep?s=jednoduche-vyhledavani&amp;ss=detail&amp;n=0&amp;h=VI20152019001"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www.rvvi.cz/cep?s=jednoduche-vyhledavani&amp;ss=detail&amp;n=0&amp;h=VH20162017003" TargetMode="External"/><Relationship Id="rId33" Type="http://schemas.openxmlformats.org/officeDocument/2006/relationships/hyperlink" Target="https://www.rvvi.cz/cep?s=jednoduche-vyhledavani&amp;ss=detail&amp;n=0&amp;h=VI20162018003"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s.wikipedia.org/wiki/Gigabit_za_sekund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Graf%20v%20aplikaci%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823565678451266E-2"/>
          <c:y val="4.0997492239973336E-2"/>
          <c:w val="0.89590797794570975"/>
          <c:h val="0.58096124992249987"/>
        </c:manualLayout>
      </c:layout>
      <c:barChart>
        <c:barDir val="col"/>
        <c:grouping val="stacked"/>
        <c:varyColors val="0"/>
        <c:ser>
          <c:idx val="0"/>
          <c:order val="0"/>
          <c:tx>
            <c:strRef>
              <c:f>List1!$B$1</c:f>
              <c:strCache>
                <c:ptCount val="1"/>
                <c:pt idx="0">
                  <c:v>Hodnota indikátoru „minimální počet aplikovaných výsledků programu“</c:v>
                </c:pt>
              </c:strCache>
            </c:strRef>
          </c:tx>
          <c:spPr>
            <a:solidFill>
              <a:srgbClr val="BD2A33"/>
            </a:solidFill>
            <a:ln>
              <a:solidFill>
                <a:srgbClr val="BD2A33"/>
              </a:solidFill>
            </a:ln>
            <a:effectLst/>
          </c:spPr>
          <c:invertIfNegative val="0"/>
          <c:dLbls>
            <c:dLbl>
              <c:idx val="0"/>
              <c:layout/>
              <c:tx>
                <c:rich>
                  <a:bodyPr/>
                  <a:lstStyle/>
                  <a:p>
                    <a:r>
                      <a:rPr lang="en-US"/>
                      <a:t>74</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7E1-4967-9E6B-D7457C2638AB}"/>
                </c:ext>
              </c:extLst>
            </c:dLbl>
            <c:dLbl>
              <c:idx val="1"/>
              <c:layout/>
              <c:tx>
                <c:rich>
                  <a:bodyPr/>
                  <a:lstStyle/>
                  <a:p>
                    <a:r>
                      <a:rPr lang="en-US"/>
                      <a:t>74</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7E1-4967-9E6B-D7457C2638AB}"/>
                </c:ext>
              </c:extLst>
            </c:dLbl>
            <c:dLbl>
              <c:idx val="2"/>
              <c:layout/>
              <c:tx>
                <c:rich>
                  <a:bodyPr/>
                  <a:lstStyle/>
                  <a:p>
                    <a:r>
                      <a:rPr lang="en-US"/>
                      <a:t>74</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7E1-4967-9E6B-D7457C2638AB}"/>
                </c:ext>
              </c:extLst>
            </c:dLbl>
            <c:dLbl>
              <c:idx val="3"/>
              <c:layout>
                <c:manualLayout>
                  <c:x val="8.8076238789735262E-8"/>
                  <c:y val="0"/>
                </c:manualLayout>
              </c:layout>
              <c:tx>
                <c:rich>
                  <a:bodyPr/>
                  <a:lstStyle/>
                  <a:p>
                    <a:r>
                      <a:rPr lang="en-US"/>
                      <a:t>93</a:t>
                    </a:r>
                  </a:p>
                </c:rich>
              </c:tx>
              <c:dLblPos val="ctr"/>
              <c:showLegendKey val="0"/>
              <c:showVal val="1"/>
              <c:showCatName val="0"/>
              <c:showSerName val="0"/>
              <c:showPercent val="0"/>
              <c:showBubbleSize val="0"/>
              <c:extLst>
                <c:ext xmlns:c15="http://schemas.microsoft.com/office/drawing/2012/chart" uri="{CE6537A1-D6FC-4f65-9D91-7224C49458BB}">
                  <c15:layout>
                    <c:manualLayout>
                      <c:w val="3.5764413676478354E-2"/>
                      <c:h val="3.2530463416246345E-2"/>
                    </c:manualLayout>
                  </c15:layout>
                </c:ext>
                <c:ext xmlns:c16="http://schemas.microsoft.com/office/drawing/2014/chart" uri="{C3380CC4-5D6E-409C-BE32-E72D297353CC}">
                  <c16:uniqueId val="{00000003-F7E1-4967-9E6B-D7457C2638AB}"/>
                </c:ext>
              </c:extLst>
            </c:dLbl>
            <c:dLbl>
              <c:idx val="4"/>
              <c:layout>
                <c:manualLayout>
                  <c:x val="8.8076238789735262E-8"/>
                  <c:y val="0"/>
                </c:manualLayout>
              </c:layout>
              <c:tx>
                <c:rich>
                  <a:bodyPr/>
                  <a:lstStyle/>
                  <a:p>
                    <a:r>
                      <a:rPr lang="en-US"/>
                      <a:t>93</a:t>
                    </a:r>
                  </a:p>
                </c:rich>
              </c:tx>
              <c:dLblPos val="ctr"/>
              <c:showLegendKey val="0"/>
              <c:showVal val="1"/>
              <c:showCatName val="0"/>
              <c:showSerName val="0"/>
              <c:showPercent val="0"/>
              <c:showBubbleSize val="0"/>
              <c:extLst>
                <c:ext xmlns:c15="http://schemas.microsoft.com/office/drawing/2012/chart" uri="{CE6537A1-D6FC-4f65-9D91-7224C49458BB}">
                  <c15:layout>
                    <c:manualLayout>
                      <c:w val="3.5764413676478354E-2"/>
                      <c:h val="3.2530463416246345E-2"/>
                    </c:manualLayout>
                  </c15:layout>
                </c:ext>
                <c:ext xmlns:c16="http://schemas.microsoft.com/office/drawing/2014/chart" uri="{C3380CC4-5D6E-409C-BE32-E72D297353CC}">
                  <c16:uniqueId val="{00000004-F7E1-4967-9E6B-D7457C2638AB}"/>
                </c:ext>
              </c:extLst>
            </c:dLbl>
            <c:spPr>
              <a:solidFill>
                <a:sysClr val="window" lastClr="FFFFFF"/>
              </a:solidFill>
              <a:ln>
                <a:solidFill>
                  <a:sysClr val="windowText" lastClr="000000">
                    <a:lumMod val="25000"/>
                    <a:lumOff val="75000"/>
                  </a:sysClr>
                </a:solidFill>
              </a:ln>
              <a:effectLst>
                <a:outerShdw blurRad="50800" dist="50800" dir="5400000" sx="1000" sy="1000" algn="ctr" rotWithShape="0">
                  <a:srgbClr val="000000">
                    <a:alpha val="43137"/>
                  </a:srgbClr>
                </a:outerShdw>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2015</c:v>
                </c:pt>
                <c:pt idx="1">
                  <c:v>2016</c:v>
                </c:pt>
                <c:pt idx="2">
                  <c:v>2017</c:v>
                </c:pt>
                <c:pt idx="3">
                  <c:v>2018</c:v>
                </c:pt>
                <c:pt idx="4">
                  <c:v>2019</c:v>
                </c:pt>
              </c:numCache>
            </c:numRef>
          </c:cat>
          <c:val>
            <c:numRef>
              <c:f>List1!$B$2:$B$6</c:f>
              <c:numCache>
                <c:formatCode>General</c:formatCode>
                <c:ptCount val="5"/>
                <c:pt idx="0">
                  <c:v>74</c:v>
                </c:pt>
                <c:pt idx="1">
                  <c:v>74</c:v>
                </c:pt>
                <c:pt idx="2">
                  <c:v>74</c:v>
                </c:pt>
                <c:pt idx="3">
                  <c:v>74</c:v>
                </c:pt>
                <c:pt idx="4">
                  <c:v>74</c:v>
                </c:pt>
              </c:numCache>
            </c:numRef>
          </c:val>
          <c:extLst>
            <c:ext xmlns:c16="http://schemas.microsoft.com/office/drawing/2014/chart" uri="{C3380CC4-5D6E-409C-BE32-E72D297353CC}">
              <c16:uniqueId val="{00000005-F7E1-4967-9E6B-D7457C2638AB}"/>
            </c:ext>
          </c:extLst>
        </c:ser>
        <c:ser>
          <c:idx val="1"/>
          <c:order val="1"/>
          <c:tx>
            <c:strRef>
              <c:f>List1!$C$1</c:f>
              <c:strCache>
                <c:ptCount val="1"/>
                <c:pt idx="0">
                  <c:v>Navýšení hodnoty indikátoru po změně programu v roce 2018</c:v>
                </c:pt>
              </c:strCache>
            </c:strRef>
          </c:tx>
          <c:spPr>
            <a:pattFill prst="dkUpDiag">
              <a:fgClr>
                <a:srgbClr val="BD2A33"/>
              </a:fgClr>
              <a:bgClr>
                <a:schemeClr val="bg1"/>
              </a:bgClr>
            </a:pattFill>
            <a:ln>
              <a:solidFill>
                <a:srgbClr val="BD2A33"/>
              </a:solidFill>
            </a:ln>
            <a:effectLst/>
          </c:spPr>
          <c:invertIfNegative val="0"/>
          <c:cat>
            <c:numRef>
              <c:f>List1!$A$2:$A$6</c:f>
              <c:numCache>
                <c:formatCode>General</c:formatCode>
                <c:ptCount val="5"/>
                <c:pt idx="0">
                  <c:v>2015</c:v>
                </c:pt>
                <c:pt idx="1">
                  <c:v>2016</c:v>
                </c:pt>
                <c:pt idx="2">
                  <c:v>2017</c:v>
                </c:pt>
                <c:pt idx="3">
                  <c:v>2018</c:v>
                </c:pt>
                <c:pt idx="4">
                  <c:v>2019</c:v>
                </c:pt>
              </c:numCache>
            </c:numRef>
          </c:cat>
          <c:val>
            <c:numRef>
              <c:f>List1!$C$2:$C$6</c:f>
              <c:numCache>
                <c:formatCode>General</c:formatCode>
                <c:ptCount val="5"/>
                <c:pt idx="0">
                  <c:v>0</c:v>
                </c:pt>
                <c:pt idx="1">
                  <c:v>0</c:v>
                </c:pt>
                <c:pt idx="2">
                  <c:v>0</c:v>
                </c:pt>
                <c:pt idx="3">
                  <c:v>19</c:v>
                </c:pt>
                <c:pt idx="4">
                  <c:v>19</c:v>
                </c:pt>
              </c:numCache>
            </c:numRef>
          </c:val>
          <c:extLst>
            <c:ext xmlns:c16="http://schemas.microsoft.com/office/drawing/2014/chart" uri="{C3380CC4-5D6E-409C-BE32-E72D297353CC}">
              <c16:uniqueId val="{00000006-F7E1-4967-9E6B-D7457C2638AB}"/>
            </c:ext>
          </c:extLst>
        </c:ser>
        <c:ser>
          <c:idx val="2"/>
          <c:order val="2"/>
          <c:tx>
            <c:strRef>
              <c:f>List1!$D$1</c:f>
              <c:strCache>
                <c:ptCount val="1"/>
                <c:pt idx="0">
                  <c:v>Počet skutečně nasmlouvaných aplikovaných výsledků – kumulativní údaj k 10. 8. 2017 a k 6. 6. 2019 (dostupné z průběžných hodnocení programu)</c:v>
                </c:pt>
              </c:strCache>
            </c:strRef>
          </c:tx>
          <c:spPr>
            <a:solidFill>
              <a:srgbClr val="004595"/>
            </a:solidFill>
            <a:ln>
              <a:solidFill>
                <a:srgbClr val="004595"/>
              </a:solidFill>
            </a:ln>
            <a:effectLst/>
          </c:spPr>
          <c:invertIfNegative val="0"/>
          <c:dLbls>
            <c:dLbl>
              <c:idx val="2"/>
              <c:layout/>
              <c:tx>
                <c:rich>
                  <a:bodyPr/>
                  <a:lstStyle/>
                  <a:p>
                    <a:r>
                      <a:rPr lang="en-US"/>
                      <a:t>498</a:t>
                    </a:r>
                  </a:p>
                </c:rich>
              </c:tx>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7E1-4967-9E6B-D7457C2638AB}"/>
                </c:ext>
              </c:extLst>
            </c:dLbl>
            <c:dLbl>
              <c:idx val="4"/>
              <c:layout/>
              <c:tx>
                <c:rich>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mn-lt"/>
                        <a:ea typeface="+mn-ea"/>
                        <a:cs typeface="+mn-cs"/>
                      </a:defRPr>
                    </a:pPr>
                    <a:r>
                      <a:rPr lang="en-US"/>
                      <a:t>693</a:t>
                    </a:r>
                  </a:p>
                </c:rich>
              </c:tx>
              <c:numFmt formatCode="General" sourceLinked="0"/>
              <c:spPr>
                <a:solidFill>
                  <a:sysClr val="window" lastClr="FFFFFF"/>
                </a:solidFill>
                <a:ln w="12700">
                  <a:solidFill>
                    <a:srgbClr val="004595"/>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cs-CZ"/>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8-F7E1-4967-9E6B-D7457C2638AB}"/>
                </c:ext>
              </c:extLst>
            </c:dLbl>
            <c:spPr>
              <a:solidFill>
                <a:sysClr val="window" lastClr="FFFFFF"/>
              </a:solidFill>
              <a:ln w="12700">
                <a:solidFill>
                  <a:srgbClr val="004595"/>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2015</c:v>
                </c:pt>
                <c:pt idx="1">
                  <c:v>2016</c:v>
                </c:pt>
                <c:pt idx="2">
                  <c:v>2017</c:v>
                </c:pt>
                <c:pt idx="3">
                  <c:v>2018</c:v>
                </c:pt>
                <c:pt idx="4">
                  <c:v>2019</c:v>
                </c:pt>
              </c:numCache>
            </c:numRef>
          </c:cat>
          <c:val>
            <c:numRef>
              <c:f>List1!$D$2:$D$6</c:f>
              <c:numCache>
                <c:formatCode>General</c:formatCode>
                <c:ptCount val="5"/>
                <c:pt idx="2">
                  <c:v>424</c:v>
                </c:pt>
                <c:pt idx="4">
                  <c:v>600</c:v>
                </c:pt>
              </c:numCache>
            </c:numRef>
          </c:val>
          <c:extLst>
            <c:ext xmlns:c16="http://schemas.microsoft.com/office/drawing/2014/chart" uri="{C3380CC4-5D6E-409C-BE32-E72D297353CC}">
              <c16:uniqueId val="{00000009-F7E1-4967-9E6B-D7457C2638AB}"/>
            </c:ext>
          </c:extLst>
        </c:ser>
        <c:dLbls>
          <c:showLegendKey val="0"/>
          <c:showVal val="0"/>
          <c:showCatName val="0"/>
          <c:showSerName val="0"/>
          <c:showPercent val="0"/>
          <c:showBubbleSize val="0"/>
        </c:dLbls>
        <c:gapWidth val="150"/>
        <c:overlap val="100"/>
        <c:axId val="1797436271"/>
        <c:axId val="1797438767"/>
      </c:barChart>
      <c:catAx>
        <c:axId val="1797436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97438767"/>
        <c:crosses val="autoZero"/>
        <c:auto val="1"/>
        <c:lblAlgn val="ctr"/>
        <c:lblOffset val="100"/>
        <c:noMultiLvlLbl val="0"/>
      </c:catAx>
      <c:valAx>
        <c:axId val="1797438767"/>
        <c:scaling>
          <c:orientation val="minMax"/>
          <c:max val="700"/>
          <c:min val="0"/>
        </c:scaling>
        <c:delete val="1"/>
        <c:axPos val="l"/>
        <c:majorGridlines>
          <c:spPr>
            <a:ln w="9525" cap="flat" cmpd="sng" algn="ctr">
              <a:noFill/>
              <a:round/>
            </a:ln>
            <a:effectLst/>
          </c:spPr>
        </c:majorGridlines>
        <c:numFmt formatCode="General" sourceLinked="1"/>
        <c:majorTickMark val="none"/>
        <c:minorTickMark val="none"/>
        <c:tickLblPos val="nextTo"/>
        <c:crossAx val="1797436271"/>
        <c:crosses val="autoZero"/>
        <c:crossBetween val="between"/>
      </c:valAx>
      <c:spPr>
        <a:noFill/>
        <a:ln>
          <a:noFill/>
        </a:ln>
        <a:effectLst/>
      </c:spPr>
    </c:plotArea>
    <c:legend>
      <c:legendPos val="b"/>
      <c:layout>
        <c:manualLayout>
          <c:xMode val="edge"/>
          <c:yMode val="edge"/>
          <c:x val="3.775951663760152E-2"/>
          <c:y val="0.72940665881331768"/>
          <c:w val="0.9155324208634994"/>
          <c:h val="0.216848161696323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3786811337578"/>
          <c:y val="0.13900695402765376"/>
          <c:w val="0.5544583003679564"/>
          <c:h val="0.79643838334641159"/>
        </c:manualLayout>
      </c:layout>
      <c:pieChart>
        <c:varyColors val="1"/>
        <c:ser>
          <c:idx val="1"/>
          <c:order val="1"/>
          <c:tx>
            <c:strRef>
              <c:f>List1!$C$1</c:f>
              <c:strCache>
                <c:ptCount val="1"/>
                <c:pt idx="0">
                  <c:v>Sloupec1</c:v>
                </c:pt>
              </c:strCache>
            </c:strRef>
          </c:tx>
          <c:spPr>
            <a:ln w="3175">
              <a:solidFill>
                <a:schemeClr val="tx1"/>
              </a:solidFill>
            </a:ln>
          </c:spPr>
          <c:dPt>
            <c:idx val="0"/>
            <c:bubble3D val="0"/>
            <c:spPr>
              <a:solidFill>
                <a:schemeClr val="accent6">
                  <a:lumMod val="75000"/>
                </a:schemeClr>
              </a:solidFill>
              <a:ln w="3175">
                <a:solidFill>
                  <a:schemeClr val="tx1"/>
                </a:solidFill>
              </a:ln>
              <a:effectLst/>
            </c:spPr>
            <c:extLst>
              <c:ext xmlns:c16="http://schemas.microsoft.com/office/drawing/2014/chart" uri="{C3380CC4-5D6E-409C-BE32-E72D297353CC}">
                <c16:uniqueId val="{00000001-743A-4574-97E9-29FF5B87562E}"/>
              </c:ext>
            </c:extLst>
          </c:dPt>
          <c:dPt>
            <c:idx val="1"/>
            <c:bubble3D val="0"/>
            <c:spPr>
              <a:solidFill>
                <a:schemeClr val="accent2"/>
              </a:solidFill>
              <a:ln w="3175">
                <a:solidFill>
                  <a:schemeClr val="tx1"/>
                </a:solidFill>
              </a:ln>
              <a:effectLst/>
            </c:spPr>
            <c:extLst>
              <c:ext xmlns:c16="http://schemas.microsoft.com/office/drawing/2014/chart" uri="{C3380CC4-5D6E-409C-BE32-E72D297353CC}">
                <c16:uniqueId val="{00000003-743A-4574-97E9-29FF5B87562E}"/>
              </c:ext>
            </c:extLst>
          </c:dPt>
          <c:dPt>
            <c:idx val="2"/>
            <c:bubble3D val="0"/>
            <c:spPr>
              <a:solidFill>
                <a:srgbClr val="FFFF00"/>
              </a:solidFill>
              <a:ln w="3175">
                <a:solidFill>
                  <a:schemeClr val="tx1"/>
                </a:solidFill>
              </a:ln>
              <a:effectLst/>
            </c:spPr>
            <c:extLst>
              <c:ext xmlns:c16="http://schemas.microsoft.com/office/drawing/2014/chart" uri="{C3380CC4-5D6E-409C-BE32-E72D297353CC}">
                <c16:uniqueId val="{00000005-743A-4574-97E9-29FF5B87562E}"/>
              </c:ext>
            </c:extLst>
          </c:dPt>
          <c:dPt>
            <c:idx val="3"/>
            <c:bubble3D val="0"/>
            <c:spPr>
              <a:solidFill>
                <a:srgbClr val="C00000"/>
              </a:solidFill>
              <a:ln w="3175">
                <a:solidFill>
                  <a:schemeClr val="tx1"/>
                </a:solidFill>
              </a:ln>
              <a:effectLst/>
            </c:spPr>
            <c:extLst>
              <c:ext xmlns:c16="http://schemas.microsoft.com/office/drawing/2014/chart" uri="{C3380CC4-5D6E-409C-BE32-E72D297353CC}">
                <c16:uniqueId val="{00000007-743A-4574-97E9-29FF5B87562E}"/>
              </c:ext>
            </c:extLst>
          </c:dPt>
          <c:cat>
            <c:strRef>
              <c:f>List1!$A$2:$A$5</c:f>
              <c:strCache>
                <c:ptCount val="4"/>
                <c:pt idx="0">
                  <c:v>Účelný</c:v>
                </c:pt>
                <c:pt idx="1">
                  <c:v>Účelný s mírnými nedostatky</c:v>
                </c:pt>
                <c:pt idx="2">
                  <c:v>Omezeně účelný</c:v>
                </c:pt>
                <c:pt idx="3">
                  <c:v>Neúčelný</c:v>
                </c:pt>
              </c:strCache>
            </c:strRef>
          </c:cat>
          <c:val>
            <c:numRef>
              <c:f>List1!$C$2:$C$5</c:f>
              <c:numCache>
                <c:formatCode>General</c:formatCode>
                <c:ptCount val="4"/>
              </c:numCache>
            </c:numRef>
          </c:val>
          <c:extLst>
            <c:ext xmlns:c16="http://schemas.microsoft.com/office/drawing/2014/chart" uri="{C3380CC4-5D6E-409C-BE32-E72D297353CC}">
              <c16:uniqueId val="{00000008-743A-4574-97E9-29FF5B87562E}"/>
            </c:ext>
          </c:extLst>
        </c:ser>
        <c:dLbls>
          <c:showLegendKey val="0"/>
          <c:showVal val="0"/>
          <c:showCatName val="0"/>
          <c:showSerName val="0"/>
          <c:showPercent val="0"/>
          <c:showBubbleSize val="0"/>
          <c:showLeaderLines val="1"/>
        </c:dLbls>
        <c:firstSliceAng val="0"/>
      </c:pieChart>
      <c:doughnutChart>
        <c:varyColors val="1"/>
        <c:ser>
          <c:idx val="0"/>
          <c:order val="0"/>
          <c:tx>
            <c:strRef>
              <c:f>List1!$B$1</c:f>
              <c:strCache>
                <c:ptCount val="1"/>
                <c:pt idx="0">
                  <c:v>projekty</c:v>
                </c:pt>
              </c:strCache>
            </c:strRef>
          </c:tx>
          <c:spPr>
            <a:ln w="3175">
              <a:solidFill>
                <a:schemeClr val="bg1"/>
              </a:solidFill>
            </a:ln>
          </c:spPr>
          <c:dPt>
            <c:idx val="0"/>
            <c:bubble3D val="0"/>
            <c:spPr>
              <a:solidFill>
                <a:schemeClr val="accent6">
                  <a:lumMod val="75000"/>
                </a:schemeClr>
              </a:solidFill>
              <a:ln w="3175">
                <a:solidFill>
                  <a:schemeClr val="bg1"/>
                </a:solidFill>
              </a:ln>
              <a:effectLst/>
            </c:spPr>
            <c:extLst>
              <c:ext xmlns:c16="http://schemas.microsoft.com/office/drawing/2014/chart" uri="{C3380CC4-5D6E-409C-BE32-E72D297353CC}">
                <c16:uniqueId val="{0000000A-743A-4574-97E9-29FF5B87562E}"/>
              </c:ext>
            </c:extLst>
          </c:dPt>
          <c:dPt>
            <c:idx val="1"/>
            <c:bubble3D val="0"/>
            <c:spPr>
              <a:solidFill>
                <a:schemeClr val="accent6">
                  <a:lumMod val="40000"/>
                  <a:lumOff val="60000"/>
                </a:schemeClr>
              </a:solidFill>
              <a:ln w="3175">
                <a:solidFill>
                  <a:schemeClr val="bg1"/>
                </a:solidFill>
              </a:ln>
              <a:effectLst/>
            </c:spPr>
            <c:extLst>
              <c:ext xmlns:c16="http://schemas.microsoft.com/office/drawing/2014/chart" uri="{C3380CC4-5D6E-409C-BE32-E72D297353CC}">
                <c16:uniqueId val="{0000000C-743A-4574-97E9-29FF5B87562E}"/>
              </c:ext>
            </c:extLst>
          </c:dPt>
          <c:dPt>
            <c:idx val="2"/>
            <c:bubble3D val="0"/>
            <c:spPr>
              <a:solidFill>
                <a:srgbClr val="FFFF00"/>
              </a:solidFill>
              <a:ln w="3175">
                <a:solidFill>
                  <a:schemeClr val="bg1"/>
                </a:solidFill>
              </a:ln>
              <a:effectLst/>
            </c:spPr>
            <c:extLst>
              <c:ext xmlns:c16="http://schemas.microsoft.com/office/drawing/2014/chart" uri="{C3380CC4-5D6E-409C-BE32-E72D297353CC}">
                <c16:uniqueId val="{0000000E-743A-4574-97E9-29FF5B87562E}"/>
              </c:ext>
            </c:extLst>
          </c:dPt>
          <c:dPt>
            <c:idx val="3"/>
            <c:bubble3D val="0"/>
            <c:spPr>
              <a:solidFill>
                <a:srgbClr val="C00000"/>
              </a:solidFill>
              <a:ln w="3175">
                <a:solidFill>
                  <a:schemeClr val="bg1"/>
                </a:solidFill>
              </a:ln>
              <a:effectLst/>
            </c:spPr>
            <c:extLst>
              <c:ext xmlns:c16="http://schemas.microsoft.com/office/drawing/2014/chart" uri="{C3380CC4-5D6E-409C-BE32-E72D297353CC}">
                <c16:uniqueId val="{00000010-743A-4574-97E9-29FF5B87562E}"/>
              </c:ext>
            </c:extLst>
          </c:dPt>
          <c:dLbls>
            <c:dLbl>
              <c:idx val="0"/>
              <c:layout>
                <c:manualLayout>
                  <c:x val="0.14146216992924968"/>
                  <c:y val="-3.7347311923088405E-2"/>
                </c:manualLayout>
              </c:layout>
              <c:tx>
                <c:rich>
                  <a:bodyPr/>
                  <a:lstStyle/>
                  <a:p>
                    <a:fld id="{7AD3F2FA-155F-487E-9469-8E2DBF3E26B3}" type="CATEGORYNAME">
                      <a:rPr lang="en-US" b="1"/>
                      <a:pPr/>
                      <a:t>[NÁZEV KATEGORIE]</a:t>
                    </a:fld>
                    <a:endParaRPr lang="en-US" b="1" baseline="0"/>
                  </a:p>
                  <a:p>
                    <a:r>
                      <a:rPr lang="en-US" baseline="0"/>
                      <a:t> </a:t>
                    </a:r>
                    <a:fld id="{E9EBA088-05D2-43E3-B0A7-1E09B21D0A56}" type="VALUE">
                      <a:rPr lang="en-US" baseline="0"/>
                      <a:pPr/>
                      <a:t>[HODNOTA]</a:t>
                    </a:fld>
                    <a:r>
                      <a:rPr lang="en-US" baseline="0"/>
                      <a:t> projektů</a:t>
                    </a:r>
                  </a:p>
                  <a:p>
                    <a:r>
                      <a:rPr lang="en-US" sz="800" b="0" i="0" u="none" strike="noStrike" kern="1200" baseline="0">
                        <a:solidFill>
                          <a:sysClr val="windowText" lastClr="000000">
                            <a:lumMod val="65000"/>
                            <a:lumOff val="35000"/>
                          </a:sysClr>
                        </a:solidFill>
                      </a:rPr>
                      <a:t>91 325 tis. Kč</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743A-4574-97E9-29FF5B87562E}"/>
                </c:ext>
              </c:extLst>
            </c:dLbl>
            <c:dLbl>
              <c:idx val="1"/>
              <c:delete val="1"/>
              <c:extLst>
                <c:ext xmlns:c15="http://schemas.microsoft.com/office/drawing/2012/chart" uri="{CE6537A1-D6FC-4f65-9D91-7224C49458BB}"/>
                <c:ext xmlns:c16="http://schemas.microsoft.com/office/drawing/2014/chart" uri="{C3380CC4-5D6E-409C-BE32-E72D297353CC}">
                  <c16:uniqueId val="{0000000C-743A-4574-97E9-29FF5B87562E}"/>
                </c:ext>
              </c:extLst>
            </c:dLbl>
            <c:dLbl>
              <c:idx val="2"/>
              <c:layout>
                <c:manualLayout>
                  <c:x val="-0.14779059327894981"/>
                  <c:y val="6.7501253354566634E-3"/>
                </c:manualLayout>
              </c:layout>
              <c:tx>
                <c:rich>
                  <a:bodyPr/>
                  <a:lstStyle/>
                  <a:p>
                    <a:fld id="{29910D76-FFE6-4835-AF37-5BCF14FE9F77}" type="CATEGORYNAME">
                      <a:rPr lang="en-US" b="1"/>
                      <a:pPr/>
                      <a:t>[NÁZEV KATEGORIE]</a:t>
                    </a:fld>
                    <a:endParaRPr lang="en-US" b="1" baseline="0"/>
                  </a:p>
                  <a:p>
                    <a:r>
                      <a:rPr lang="en-US" baseline="0"/>
                      <a:t> </a:t>
                    </a:r>
                    <a:fld id="{F325107B-4464-424B-A726-A0FF7B521B36}" type="VALUE">
                      <a:rPr lang="en-US" baseline="0"/>
                      <a:pPr/>
                      <a:t>[HODNOTA]</a:t>
                    </a:fld>
                    <a:r>
                      <a:rPr lang="en-US" baseline="0"/>
                      <a:t> projekty</a:t>
                    </a:r>
                  </a:p>
                  <a:p>
                    <a:r>
                      <a:rPr lang="en-US" baseline="0"/>
                      <a:t>40 748 tis. Kč</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743A-4574-97E9-29FF5B87562E}"/>
                </c:ext>
              </c:extLst>
            </c:dLbl>
            <c:dLbl>
              <c:idx val="3"/>
              <c:layout>
                <c:manualLayout>
                  <c:x val="-0.13278777959629023"/>
                  <c:y val="-0.13125984251968503"/>
                </c:manualLayout>
              </c:layout>
              <c:tx>
                <c:rich>
                  <a:bodyPr/>
                  <a:lstStyle/>
                  <a:p>
                    <a:fld id="{BA4C98C4-778D-429E-89CC-B80BBFA91261}" type="CATEGORYNAME">
                      <a:rPr lang="en-US" b="1"/>
                      <a:pPr/>
                      <a:t>[NÁZEV KATEGORIE]</a:t>
                    </a:fld>
                    <a:endParaRPr lang="en-US" b="1" baseline="0"/>
                  </a:p>
                  <a:p>
                    <a:r>
                      <a:rPr lang="en-US" baseline="0"/>
                      <a:t> </a:t>
                    </a:r>
                    <a:fld id="{94958596-4B86-47BE-AC49-FD4EF373E252}" type="VALUE">
                      <a:rPr lang="en-US" baseline="0"/>
                      <a:pPr/>
                      <a:t>[HODNOTA]</a:t>
                    </a:fld>
                    <a:r>
                      <a:rPr lang="en-US" baseline="0"/>
                      <a:t> projekt</a:t>
                    </a:r>
                  </a:p>
                  <a:p>
                    <a:r>
                      <a:rPr lang="en-US" baseline="0"/>
                      <a:t>25 170 tis. Kč</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0-743A-4574-97E9-29FF5B87562E}"/>
                </c:ext>
              </c:extLst>
            </c:dLbl>
            <c:spPr>
              <a:solidFill>
                <a:sysClr val="window" lastClr="FFFFFF"/>
              </a:solidFill>
              <a:ln w="317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List1!$A$2:$A$5</c:f>
              <c:strCache>
                <c:ptCount val="4"/>
                <c:pt idx="0">
                  <c:v>Účelný</c:v>
                </c:pt>
                <c:pt idx="1">
                  <c:v>Účelný s mírnými nedostatky</c:v>
                </c:pt>
                <c:pt idx="2">
                  <c:v>Omezeně účelný</c:v>
                </c:pt>
                <c:pt idx="3">
                  <c:v>Neúčelný</c:v>
                </c:pt>
              </c:strCache>
            </c:strRef>
          </c:cat>
          <c:val>
            <c:numRef>
              <c:f>List1!$B$2:$B$5</c:f>
              <c:numCache>
                <c:formatCode>General</c:formatCode>
                <c:ptCount val="4"/>
                <c:pt idx="0">
                  <c:v>7</c:v>
                </c:pt>
                <c:pt idx="1">
                  <c:v>0</c:v>
                </c:pt>
                <c:pt idx="2">
                  <c:v>4</c:v>
                </c:pt>
                <c:pt idx="3">
                  <c:v>1</c:v>
                </c:pt>
              </c:numCache>
            </c:numRef>
          </c:val>
          <c:extLst>
            <c:ext xmlns:c16="http://schemas.microsoft.com/office/drawing/2014/chart" uri="{C3380CC4-5D6E-409C-BE32-E72D297353CC}">
              <c16:uniqueId val="{00000011-743A-4574-97E9-29FF5B87562E}"/>
            </c:ext>
          </c:extLst>
        </c:ser>
        <c:dLbls>
          <c:showLegendKey val="0"/>
          <c:showVal val="0"/>
          <c:showCatName val="0"/>
          <c:showSerName val="0"/>
          <c:showPercent val="0"/>
          <c:showBubbleSize val="0"/>
          <c:showLeaderLines val="0"/>
        </c:dLbls>
        <c:firstSliceAng val="0"/>
        <c:holeSize val="6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a:t>
            </a:r>
            <a:r>
              <a:rPr lang="cs-CZ" baseline="0"/>
              <a:t> toho:</a:t>
            </a:r>
            <a:endParaRPr lang="cs-CZ"/>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stacked"/>
        <c:varyColors val="0"/>
        <c:ser>
          <c:idx val="0"/>
          <c:order val="0"/>
          <c:tx>
            <c:strRef>
              <c:f>'[Graf v aplikaci Microsoft Word]List1'!$B$1</c:f>
              <c:strCache>
                <c:ptCount val="1"/>
                <c:pt idx="0">
                  <c:v>Program VI</c:v>
                </c:pt>
              </c:strCache>
            </c:strRef>
          </c:tx>
          <c:spPr>
            <a:solidFill>
              <a:schemeClr val="accent1">
                <a:shade val="76000"/>
              </a:schemeClr>
            </a:solidFill>
            <a:ln>
              <a:noFill/>
            </a:ln>
            <a:effectLst/>
          </c:spPr>
          <c:invertIfNegative val="0"/>
          <c:cat>
            <c:strRef>
              <c:f>'[Graf v aplikaci Microsoft Word]List1'!$A$2:$A$4</c:f>
              <c:strCache>
                <c:ptCount val="3"/>
                <c:pt idx="0">
                  <c:v>Účelný</c:v>
                </c:pt>
                <c:pt idx="1">
                  <c:v>Omezeně účelný</c:v>
                </c:pt>
                <c:pt idx="2">
                  <c:v>Neúčelný</c:v>
                </c:pt>
              </c:strCache>
            </c:strRef>
          </c:cat>
          <c:val>
            <c:numRef>
              <c:f>'[Graf v aplikaci Microsoft Word]List1'!$B$2:$B$4</c:f>
              <c:numCache>
                <c:formatCode>General</c:formatCode>
                <c:ptCount val="3"/>
                <c:pt idx="0">
                  <c:v>5</c:v>
                </c:pt>
                <c:pt idx="1">
                  <c:v>3</c:v>
                </c:pt>
                <c:pt idx="2">
                  <c:v>1</c:v>
                </c:pt>
              </c:numCache>
            </c:numRef>
          </c:val>
          <c:extLst>
            <c:ext xmlns:c16="http://schemas.microsoft.com/office/drawing/2014/chart" uri="{C3380CC4-5D6E-409C-BE32-E72D297353CC}">
              <c16:uniqueId val="{00000000-2F2D-40CC-A839-E23722C09EB1}"/>
            </c:ext>
          </c:extLst>
        </c:ser>
        <c:ser>
          <c:idx val="1"/>
          <c:order val="1"/>
          <c:tx>
            <c:strRef>
              <c:f>'[Graf v aplikaci Microsoft Word]List1'!$C$1</c:f>
              <c:strCache>
                <c:ptCount val="1"/>
                <c:pt idx="0">
                  <c:v>Program VH</c:v>
                </c:pt>
              </c:strCache>
            </c:strRef>
          </c:tx>
          <c:spPr>
            <a:solidFill>
              <a:schemeClr val="accent1">
                <a:tint val="77000"/>
              </a:schemeClr>
            </a:solidFill>
            <a:ln>
              <a:noFill/>
            </a:ln>
            <a:effectLst/>
          </c:spPr>
          <c:invertIfNegative val="0"/>
          <c:cat>
            <c:strRef>
              <c:f>'[Graf v aplikaci Microsoft Word]List1'!$A$2:$A$4</c:f>
              <c:strCache>
                <c:ptCount val="3"/>
                <c:pt idx="0">
                  <c:v>Účelný</c:v>
                </c:pt>
                <c:pt idx="1">
                  <c:v>Omezeně účelný</c:v>
                </c:pt>
                <c:pt idx="2">
                  <c:v>Neúčelný</c:v>
                </c:pt>
              </c:strCache>
            </c:strRef>
          </c:cat>
          <c:val>
            <c:numRef>
              <c:f>'[Graf v aplikaci Microsoft Word]List1'!$C$2:$C$4</c:f>
              <c:numCache>
                <c:formatCode>General</c:formatCode>
                <c:ptCount val="3"/>
                <c:pt idx="0">
                  <c:v>2</c:v>
                </c:pt>
                <c:pt idx="1">
                  <c:v>1</c:v>
                </c:pt>
                <c:pt idx="2">
                  <c:v>0</c:v>
                </c:pt>
              </c:numCache>
            </c:numRef>
          </c:val>
          <c:extLst>
            <c:ext xmlns:c16="http://schemas.microsoft.com/office/drawing/2014/chart" uri="{C3380CC4-5D6E-409C-BE32-E72D297353CC}">
              <c16:uniqueId val="{00000001-2F2D-40CC-A839-E23722C09EB1}"/>
            </c:ext>
          </c:extLst>
        </c:ser>
        <c:dLbls>
          <c:showLegendKey val="0"/>
          <c:showVal val="0"/>
          <c:showCatName val="0"/>
          <c:showSerName val="0"/>
          <c:showPercent val="0"/>
          <c:showBubbleSize val="0"/>
        </c:dLbls>
        <c:gapWidth val="150"/>
        <c:overlap val="100"/>
        <c:axId val="1821654192"/>
        <c:axId val="1821653776"/>
      </c:barChart>
      <c:catAx>
        <c:axId val="182165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21653776"/>
        <c:crosses val="autoZero"/>
        <c:auto val="1"/>
        <c:lblAlgn val="ctr"/>
        <c:lblOffset val="100"/>
        <c:noMultiLvlLbl val="0"/>
      </c:catAx>
      <c:valAx>
        <c:axId val="1821653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projektů</a:t>
                </a:r>
                <a:endParaRPr lang="cs-CZ"/>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21654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11102297716468"/>
          <c:y val="0.14992162438028578"/>
          <c:w val="0.54285515293389308"/>
          <c:h val="0.76715988626421694"/>
        </c:manualLayout>
      </c:layout>
      <c:pieChart>
        <c:varyColors val="1"/>
        <c:ser>
          <c:idx val="1"/>
          <c:order val="1"/>
          <c:tx>
            <c:strRef>
              <c:f>List1!$C$1</c:f>
              <c:strCache>
                <c:ptCount val="1"/>
                <c:pt idx="0">
                  <c:v>Sloupec1</c:v>
                </c:pt>
              </c:strCache>
            </c:strRef>
          </c:tx>
          <c:spPr>
            <a:ln w="3175">
              <a:solidFill>
                <a:schemeClr val="tx1"/>
              </a:solidFill>
            </a:ln>
          </c:spPr>
          <c:dPt>
            <c:idx val="0"/>
            <c:bubble3D val="0"/>
            <c:spPr>
              <a:solidFill>
                <a:schemeClr val="accent6">
                  <a:lumMod val="75000"/>
                </a:schemeClr>
              </a:solidFill>
              <a:ln w="3175">
                <a:solidFill>
                  <a:schemeClr val="tx1"/>
                </a:solidFill>
              </a:ln>
              <a:effectLst/>
            </c:spPr>
            <c:extLst>
              <c:ext xmlns:c16="http://schemas.microsoft.com/office/drawing/2014/chart" uri="{C3380CC4-5D6E-409C-BE32-E72D297353CC}">
                <c16:uniqueId val="{00000001-8F01-4D3F-8B5A-0ACCB053D44F}"/>
              </c:ext>
            </c:extLst>
          </c:dPt>
          <c:dPt>
            <c:idx val="1"/>
            <c:bubble3D val="0"/>
            <c:spPr>
              <a:solidFill>
                <a:schemeClr val="accent2"/>
              </a:solidFill>
              <a:ln w="3175">
                <a:solidFill>
                  <a:schemeClr val="tx1"/>
                </a:solidFill>
              </a:ln>
              <a:effectLst/>
            </c:spPr>
            <c:extLst>
              <c:ext xmlns:c16="http://schemas.microsoft.com/office/drawing/2014/chart" uri="{C3380CC4-5D6E-409C-BE32-E72D297353CC}">
                <c16:uniqueId val="{00000003-8F01-4D3F-8B5A-0ACCB053D44F}"/>
              </c:ext>
            </c:extLst>
          </c:dPt>
          <c:dPt>
            <c:idx val="2"/>
            <c:bubble3D val="0"/>
            <c:spPr>
              <a:solidFill>
                <a:srgbClr val="FFFF00"/>
              </a:solidFill>
              <a:ln w="3175">
                <a:solidFill>
                  <a:schemeClr val="tx1"/>
                </a:solidFill>
              </a:ln>
              <a:effectLst/>
            </c:spPr>
            <c:extLst>
              <c:ext xmlns:c16="http://schemas.microsoft.com/office/drawing/2014/chart" uri="{C3380CC4-5D6E-409C-BE32-E72D297353CC}">
                <c16:uniqueId val="{00000005-8F01-4D3F-8B5A-0ACCB053D44F}"/>
              </c:ext>
            </c:extLst>
          </c:dPt>
          <c:dPt>
            <c:idx val="3"/>
            <c:bubble3D val="0"/>
            <c:spPr>
              <a:solidFill>
                <a:srgbClr val="C00000"/>
              </a:solidFill>
              <a:ln w="3175">
                <a:solidFill>
                  <a:schemeClr val="tx1"/>
                </a:solidFill>
              </a:ln>
              <a:effectLst/>
            </c:spPr>
            <c:extLst>
              <c:ext xmlns:c16="http://schemas.microsoft.com/office/drawing/2014/chart" uri="{C3380CC4-5D6E-409C-BE32-E72D297353CC}">
                <c16:uniqueId val="{00000007-8F01-4D3F-8B5A-0ACCB053D44F}"/>
              </c:ext>
            </c:extLst>
          </c:dPt>
          <c:cat>
            <c:strRef>
              <c:f>List1!$A$2:$A$5</c:f>
              <c:strCache>
                <c:ptCount val="4"/>
                <c:pt idx="0">
                  <c:v>Účelný</c:v>
                </c:pt>
                <c:pt idx="1">
                  <c:v>Účelný s mírnými nedostatky</c:v>
                </c:pt>
                <c:pt idx="2">
                  <c:v>Omezeně účelný</c:v>
                </c:pt>
                <c:pt idx="3">
                  <c:v>Neúčelný</c:v>
                </c:pt>
              </c:strCache>
            </c:strRef>
          </c:cat>
          <c:val>
            <c:numRef>
              <c:f>List1!$C$2:$C$5</c:f>
              <c:numCache>
                <c:formatCode>General</c:formatCode>
                <c:ptCount val="4"/>
              </c:numCache>
            </c:numRef>
          </c:val>
          <c:extLst>
            <c:ext xmlns:c16="http://schemas.microsoft.com/office/drawing/2014/chart" uri="{C3380CC4-5D6E-409C-BE32-E72D297353CC}">
              <c16:uniqueId val="{00000008-8F01-4D3F-8B5A-0ACCB053D44F}"/>
            </c:ext>
          </c:extLst>
        </c:ser>
        <c:dLbls>
          <c:showLegendKey val="0"/>
          <c:showVal val="0"/>
          <c:showCatName val="0"/>
          <c:showSerName val="0"/>
          <c:showPercent val="0"/>
          <c:showBubbleSize val="0"/>
          <c:showLeaderLines val="1"/>
        </c:dLbls>
        <c:firstSliceAng val="0"/>
      </c:pieChart>
      <c:doughnutChart>
        <c:varyColors val="1"/>
        <c:ser>
          <c:idx val="0"/>
          <c:order val="0"/>
          <c:tx>
            <c:strRef>
              <c:f>List1!$B$1</c:f>
              <c:strCache>
                <c:ptCount val="1"/>
                <c:pt idx="0">
                  <c:v>projekty</c:v>
                </c:pt>
              </c:strCache>
            </c:strRef>
          </c:tx>
          <c:spPr>
            <a:ln w="3175">
              <a:solidFill>
                <a:schemeClr val="bg1"/>
              </a:solidFill>
            </a:ln>
          </c:spPr>
          <c:dPt>
            <c:idx val="0"/>
            <c:bubble3D val="0"/>
            <c:spPr>
              <a:solidFill>
                <a:schemeClr val="accent6">
                  <a:lumMod val="75000"/>
                </a:schemeClr>
              </a:solidFill>
              <a:ln w="3175">
                <a:solidFill>
                  <a:schemeClr val="bg1"/>
                </a:solidFill>
              </a:ln>
              <a:effectLst/>
            </c:spPr>
            <c:extLst>
              <c:ext xmlns:c16="http://schemas.microsoft.com/office/drawing/2014/chart" uri="{C3380CC4-5D6E-409C-BE32-E72D297353CC}">
                <c16:uniqueId val="{0000000A-8F01-4D3F-8B5A-0ACCB053D44F}"/>
              </c:ext>
            </c:extLst>
          </c:dPt>
          <c:dPt>
            <c:idx val="1"/>
            <c:bubble3D val="0"/>
            <c:spPr>
              <a:solidFill>
                <a:schemeClr val="accent6">
                  <a:lumMod val="40000"/>
                  <a:lumOff val="60000"/>
                </a:schemeClr>
              </a:solidFill>
              <a:ln w="3175">
                <a:solidFill>
                  <a:schemeClr val="bg1"/>
                </a:solidFill>
              </a:ln>
              <a:effectLst/>
            </c:spPr>
            <c:extLst>
              <c:ext xmlns:c16="http://schemas.microsoft.com/office/drawing/2014/chart" uri="{C3380CC4-5D6E-409C-BE32-E72D297353CC}">
                <c16:uniqueId val="{0000000C-8F01-4D3F-8B5A-0ACCB053D44F}"/>
              </c:ext>
            </c:extLst>
          </c:dPt>
          <c:dPt>
            <c:idx val="2"/>
            <c:bubble3D val="0"/>
            <c:spPr>
              <a:solidFill>
                <a:srgbClr val="FFFF00"/>
              </a:solidFill>
              <a:ln w="3175">
                <a:solidFill>
                  <a:schemeClr val="bg1"/>
                </a:solidFill>
              </a:ln>
              <a:effectLst/>
            </c:spPr>
            <c:extLst>
              <c:ext xmlns:c16="http://schemas.microsoft.com/office/drawing/2014/chart" uri="{C3380CC4-5D6E-409C-BE32-E72D297353CC}">
                <c16:uniqueId val="{0000000E-8F01-4D3F-8B5A-0ACCB053D44F}"/>
              </c:ext>
            </c:extLst>
          </c:dPt>
          <c:dPt>
            <c:idx val="3"/>
            <c:bubble3D val="0"/>
            <c:spPr>
              <a:solidFill>
                <a:srgbClr val="C00000"/>
              </a:solidFill>
              <a:ln w="3175">
                <a:solidFill>
                  <a:schemeClr val="bg1"/>
                </a:solidFill>
              </a:ln>
              <a:effectLst/>
            </c:spPr>
            <c:extLst>
              <c:ext xmlns:c16="http://schemas.microsoft.com/office/drawing/2014/chart" uri="{C3380CC4-5D6E-409C-BE32-E72D297353CC}">
                <c16:uniqueId val="{00000010-8F01-4D3F-8B5A-0ACCB053D44F}"/>
              </c:ext>
            </c:extLst>
          </c:dPt>
          <c:dLbls>
            <c:dLbl>
              <c:idx val="0"/>
              <c:layout>
                <c:manualLayout>
                  <c:x val="0.17422223941908968"/>
                  <c:y val="-9.5694808982211398E-3"/>
                </c:manualLayout>
              </c:layout>
              <c:tx>
                <c:rich>
                  <a:bodyPr/>
                  <a:lstStyle/>
                  <a:p>
                    <a:r>
                      <a:rPr lang="en-US" b="1"/>
                      <a:t>Efektivní</a:t>
                    </a:r>
                    <a:endParaRPr lang="en-US" b="1" baseline="0"/>
                  </a:p>
                  <a:p>
                    <a:r>
                      <a:rPr lang="en-US" baseline="0"/>
                      <a:t> </a:t>
                    </a:r>
                    <a:fld id="{E9EBA088-05D2-43E3-B0A7-1E09B21D0A56}" type="VALUE">
                      <a:rPr lang="en-US" baseline="0"/>
                      <a:pPr/>
                      <a:t>[HODNOTA]</a:t>
                    </a:fld>
                    <a:r>
                      <a:rPr lang="en-US" baseline="0"/>
                      <a:t> projektů</a:t>
                    </a:r>
                  </a:p>
                  <a:p>
                    <a:r>
                      <a:rPr lang="en-US" sz="800" b="0" i="0" u="none" strike="noStrike" kern="1200" baseline="0">
                        <a:solidFill>
                          <a:sysClr val="windowText" lastClr="000000">
                            <a:lumMod val="65000"/>
                            <a:lumOff val="35000"/>
                          </a:sysClr>
                        </a:solidFill>
                      </a:rPr>
                      <a:t>116 608 tis. Kč</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8F01-4D3F-8B5A-0ACCB053D44F}"/>
                </c:ext>
              </c:extLst>
            </c:dLbl>
            <c:dLbl>
              <c:idx val="1"/>
              <c:delete val="1"/>
              <c:extLst>
                <c:ext xmlns:c15="http://schemas.microsoft.com/office/drawing/2012/chart" uri="{CE6537A1-D6FC-4f65-9D91-7224C49458BB}"/>
                <c:ext xmlns:c16="http://schemas.microsoft.com/office/drawing/2014/chart" uri="{C3380CC4-5D6E-409C-BE32-E72D297353CC}">
                  <c16:uniqueId val="{0000000C-8F01-4D3F-8B5A-0ACCB053D44F}"/>
                </c:ext>
              </c:extLst>
            </c:dLbl>
            <c:dLbl>
              <c:idx val="2"/>
              <c:layout>
                <c:manualLayout>
                  <c:x val="-0.19693061708809739"/>
                  <c:y val="8.5453849518810104E-2"/>
                </c:manualLayout>
              </c:layout>
              <c:tx>
                <c:rich>
                  <a:bodyPr/>
                  <a:lstStyle/>
                  <a:p>
                    <a:r>
                      <a:rPr lang="en-US" b="1"/>
                      <a:t>Omezeně efektivní</a:t>
                    </a:r>
                    <a:endParaRPr lang="en-US" b="1" baseline="0"/>
                  </a:p>
                  <a:p>
                    <a:r>
                      <a:rPr lang="en-US" baseline="0"/>
                      <a:t> </a:t>
                    </a:r>
                    <a:fld id="{F325107B-4464-424B-A726-A0FF7B521B36}" type="VALUE">
                      <a:rPr lang="en-US" baseline="0"/>
                      <a:pPr/>
                      <a:t>[HODNOTA]</a:t>
                    </a:fld>
                    <a:r>
                      <a:rPr lang="en-US" baseline="0"/>
                      <a:t> projekty</a:t>
                    </a:r>
                  </a:p>
                  <a:p>
                    <a:r>
                      <a:rPr lang="en-US" baseline="0"/>
                      <a:t>15 465 tis. Kč</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8F01-4D3F-8B5A-0ACCB053D44F}"/>
                </c:ext>
              </c:extLst>
            </c:dLbl>
            <c:dLbl>
              <c:idx val="3"/>
              <c:layout>
                <c:manualLayout>
                  <c:x val="-0.2081358380570979"/>
                  <c:y val="-0.12663021289005541"/>
                </c:manualLayout>
              </c:layout>
              <c:tx>
                <c:rich>
                  <a:bodyPr/>
                  <a:lstStyle/>
                  <a:p>
                    <a:r>
                      <a:rPr lang="en-US" b="1"/>
                      <a:t>Neefektivní</a:t>
                    </a:r>
                    <a:endParaRPr lang="en-US" b="1" baseline="0"/>
                  </a:p>
                  <a:p>
                    <a:r>
                      <a:rPr lang="en-US" baseline="0"/>
                      <a:t> </a:t>
                    </a:r>
                    <a:fld id="{94958596-4B86-47BE-AC49-FD4EF373E252}" type="VALUE">
                      <a:rPr lang="en-US" baseline="0"/>
                      <a:pPr/>
                      <a:t>[HODNOTA]</a:t>
                    </a:fld>
                    <a:r>
                      <a:rPr lang="en-US" baseline="0"/>
                      <a:t> projekt</a:t>
                    </a:r>
                  </a:p>
                  <a:p>
                    <a:r>
                      <a:rPr lang="en-US" baseline="0"/>
                      <a:t>25 170 tis. Kč</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0-8F01-4D3F-8B5A-0ACCB053D44F}"/>
                </c:ext>
              </c:extLst>
            </c:dLbl>
            <c:spPr>
              <a:solidFill>
                <a:sysClr val="window" lastClr="FFFFFF"/>
              </a:solidFill>
              <a:ln w="317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List1!$A$2:$A$5</c:f>
              <c:strCache>
                <c:ptCount val="4"/>
                <c:pt idx="0">
                  <c:v>Účelný</c:v>
                </c:pt>
                <c:pt idx="1">
                  <c:v>Účelný s mírnými nedostatky</c:v>
                </c:pt>
                <c:pt idx="2">
                  <c:v>Omezeně účelný</c:v>
                </c:pt>
                <c:pt idx="3">
                  <c:v>Neúčelný</c:v>
                </c:pt>
              </c:strCache>
            </c:strRef>
          </c:cat>
          <c:val>
            <c:numRef>
              <c:f>List1!$B$2:$B$5</c:f>
              <c:numCache>
                <c:formatCode>General</c:formatCode>
                <c:ptCount val="4"/>
                <c:pt idx="0">
                  <c:v>9</c:v>
                </c:pt>
                <c:pt idx="1">
                  <c:v>0</c:v>
                </c:pt>
                <c:pt idx="2">
                  <c:v>2</c:v>
                </c:pt>
                <c:pt idx="3">
                  <c:v>1</c:v>
                </c:pt>
              </c:numCache>
            </c:numRef>
          </c:val>
          <c:extLst>
            <c:ext xmlns:c16="http://schemas.microsoft.com/office/drawing/2014/chart" uri="{C3380CC4-5D6E-409C-BE32-E72D297353CC}">
              <c16:uniqueId val="{00000011-8F01-4D3F-8B5A-0ACCB053D44F}"/>
            </c:ext>
          </c:extLst>
        </c:ser>
        <c:dLbls>
          <c:showLegendKey val="0"/>
          <c:showVal val="0"/>
          <c:showCatName val="0"/>
          <c:showSerName val="0"/>
          <c:showPercent val="0"/>
          <c:showBubbleSize val="0"/>
          <c:showLeaderLines val="0"/>
        </c:dLbls>
        <c:firstSliceAng val="0"/>
        <c:holeSize val="6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 toho: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stacked"/>
        <c:varyColors val="0"/>
        <c:ser>
          <c:idx val="0"/>
          <c:order val="0"/>
          <c:tx>
            <c:strRef>
              <c:f>List1!$B$1</c:f>
              <c:strCache>
                <c:ptCount val="1"/>
                <c:pt idx="0">
                  <c:v>Program VI</c:v>
                </c:pt>
              </c:strCache>
            </c:strRef>
          </c:tx>
          <c:spPr>
            <a:solidFill>
              <a:schemeClr val="accent1">
                <a:shade val="76000"/>
              </a:schemeClr>
            </a:solidFill>
            <a:ln>
              <a:noFill/>
            </a:ln>
            <a:effectLst/>
          </c:spPr>
          <c:invertIfNegative val="0"/>
          <c:cat>
            <c:strRef>
              <c:f>List1!$A$2:$A$4</c:f>
              <c:strCache>
                <c:ptCount val="3"/>
                <c:pt idx="0">
                  <c:v>Efektivní</c:v>
                </c:pt>
                <c:pt idx="1">
                  <c:v>Omezeně efektivní</c:v>
                </c:pt>
                <c:pt idx="2">
                  <c:v>Neefektivní</c:v>
                </c:pt>
              </c:strCache>
            </c:strRef>
          </c:cat>
          <c:val>
            <c:numRef>
              <c:f>List1!$B$2:$B$4</c:f>
              <c:numCache>
                <c:formatCode>General</c:formatCode>
                <c:ptCount val="3"/>
                <c:pt idx="0">
                  <c:v>7</c:v>
                </c:pt>
                <c:pt idx="1">
                  <c:v>1</c:v>
                </c:pt>
                <c:pt idx="2">
                  <c:v>1</c:v>
                </c:pt>
              </c:numCache>
            </c:numRef>
          </c:val>
          <c:extLst>
            <c:ext xmlns:c16="http://schemas.microsoft.com/office/drawing/2014/chart" uri="{C3380CC4-5D6E-409C-BE32-E72D297353CC}">
              <c16:uniqueId val="{00000000-EC26-4C3F-920C-E7C542EBB399}"/>
            </c:ext>
          </c:extLst>
        </c:ser>
        <c:ser>
          <c:idx val="1"/>
          <c:order val="1"/>
          <c:tx>
            <c:strRef>
              <c:f>List1!$C$1</c:f>
              <c:strCache>
                <c:ptCount val="1"/>
                <c:pt idx="0">
                  <c:v>Program VH</c:v>
                </c:pt>
              </c:strCache>
            </c:strRef>
          </c:tx>
          <c:spPr>
            <a:solidFill>
              <a:schemeClr val="accent1">
                <a:tint val="77000"/>
              </a:schemeClr>
            </a:solidFill>
            <a:ln>
              <a:noFill/>
            </a:ln>
            <a:effectLst/>
          </c:spPr>
          <c:invertIfNegative val="0"/>
          <c:cat>
            <c:strRef>
              <c:f>List1!$A$2:$A$4</c:f>
              <c:strCache>
                <c:ptCount val="3"/>
                <c:pt idx="0">
                  <c:v>Efektivní</c:v>
                </c:pt>
                <c:pt idx="1">
                  <c:v>Omezeně efektivní</c:v>
                </c:pt>
                <c:pt idx="2">
                  <c:v>Neefektivní</c:v>
                </c:pt>
              </c:strCache>
            </c:strRef>
          </c:cat>
          <c:val>
            <c:numRef>
              <c:f>List1!$C$2:$C$4</c:f>
              <c:numCache>
                <c:formatCode>General</c:formatCode>
                <c:ptCount val="3"/>
                <c:pt idx="0">
                  <c:v>2</c:v>
                </c:pt>
                <c:pt idx="1">
                  <c:v>1</c:v>
                </c:pt>
                <c:pt idx="2">
                  <c:v>0</c:v>
                </c:pt>
              </c:numCache>
            </c:numRef>
          </c:val>
          <c:extLst>
            <c:ext xmlns:c16="http://schemas.microsoft.com/office/drawing/2014/chart" uri="{C3380CC4-5D6E-409C-BE32-E72D297353CC}">
              <c16:uniqueId val="{00000001-EC26-4C3F-920C-E7C542EBB399}"/>
            </c:ext>
          </c:extLst>
        </c:ser>
        <c:dLbls>
          <c:showLegendKey val="0"/>
          <c:showVal val="0"/>
          <c:showCatName val="0"/>
          <c:showSerName val="0"/>
          <c:showPercent val="0"/>
          <c:showBubbleSize val="0"/>
        </c:dLbls>
        <c:gapWidth val="150"/>
        <c:overlap val="100"/>
        <c:axId val="1634378335"/>
        <c:axId val="1632641263"/>
      </c:barChart>
      <c:catAx>
        <c:axId val="1634378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32641263"/>
        <c:crosses val="autoZero"/>
        <c:auto val="1"/>
        <c:lblAlgn val="ctr"/>
        <c:lblOffset val="100"/>
        <c:noMultiLvlLbl val="0"/>
      </c:catAx>
      <c:valAx>
        <c:axId val="16326412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projektů</a:t>
                </a:r>
                <a:endParaRPr lang="cs-CZ"/>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3437833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3E8C6-7FC9-448A-B39F-06A63EE8769A}" type="doc">
      <dgm:prSet loTypeId="urn:microsoft.com/office/officeart/2005/8/layout/process1" loCatId="process" qsTypeId="urn:microsoft.com/office/officeart/2005/8/quickstyle/simple1" qsCatId="simple" csTypeId="urn:microsoft.com/office/officeart/2005/8/colors/accent1_2" csCatId="accent1" phldr="1"/>
      <dgm:spPr/>
    </dgm:pt>
    <dgm:pt modelId="{E3F81A23-E933-49ED-BD07-3DAAC5D82C00}">
      <dgm:prSet phldrT="[Text]" custT="1"/>
      <dgm:spPr/>
      <dgm:t>
        <a:bodyPr/>
        <a:lstStyle/>
        <a:p>
          <a:r>
            <a:rPr lang="cs-CZ" sz="1100"/>
            <a:t>Formální posouzení (</a:t>
          </a:r>
          <a:r>
            <a:rPr lang="cs-CZ" sz="1100" b="1"/>
            <a:t>Komise pro posuzování návrhů projektů</a:t>
          </a:r>
          <a:r>
            <a:rPr lang="cs-CZ" sz="1100"/>
            <a:t>)</a:t>
          </a:r>
        </a:p>
      </dgm:t>
    </dgm:pt>
    <dgm:pt modelId="{AFC7BB90-D5D7-4FE5-B5A0-A611D0411E42}" type="parTrans" cxnId="{13B47692-7B20-4DFB-963B-F93129BB00C8}">
      <dgm:prSet/>
      <dgm:spPr/>
      <dgm:t>
        <a:bodyPr/>
        <a:lstStyle/>
        <a:p>
          <a:endParaRPr lang="cs-CZ"/>
        </a:p>
      </dgm:t>
    </dgm:pt>
    <dgm:pt modelId="{787EF1B4-F2CB-4E12-8C5B-2D0425F80A2D}" type="sibTrans" cxnId="{13B47692-7B20-4DFB-963B-F93129BB00C8}">
      <dgm:prSet/>
      <dgm:spPr/>
      <dgm:t>
        <a:bodyPr/>
        <a:lstStyle/>
        <a:p>
          <a:endParaRPr lang="cs-CZ"/>
        </a:p>
      </dgm:t>
    </dgm:pt>
    <dgm:pt modelId="{1F09010D-6EA0-41C0-B4A8-46C90C617EAB}">
      <dgm:prSet phldrT="[Text]" custT="1"/>
      <dgm:spPr/>
      <dgm:t>
        <a:bodyPr/>
        <a:lstStyle/>
        <a:p>
          <a:r>
            <a:rPr lang="cs-CZ" sz="1100"/>
            <a:t>Odborné posudky (</a:t>
          </a:r>
          <a:r>
            <a:rPr lang="cs-CZ" sz="1100" b="1"/>
            <a:t>nezávislí</a:t>
          </a:r>
          <a:r>
            <a:rPr lang="cs-CZ" sz="1100"/>
            <a:t> </a:t>
          </a:r>
          <a:r>
            <a:rPr lang="cs-CZ" sz="1100" b="1"/>
            <a:t>oponenti </a:t>
          </a:r>
          <a:br>
            <a:rPr lang="cs-CZ" sz="1100" b="1"/>
          </a:br>
          <a:r>
            <a:rPr lang="cs-CZ" sz="1100"/>
            <a:t>a </a:t>
          </a:r>
          <a:r>
            <a:rPr lang="cs-CZ" sz="1100" b="1"/>
            <a:t>zpravodaj</a:t>
          </a:r>
          <a:r>
            <a:rPr lang="cs-CZ" sz="1100"/>
            <a:t>)</a:t>
          </a:r>
        </a:p>
      </dgm:t>
    </dgm:pt>
    <dgm:pt modelId="{4F548DE3-0714-46C1-A719-E6ADC57EC9C0}" type="parTrans" cxnId="{77C4FD1F-6A7F-4785-A9FF-9B517093F57E}">
      <dgm:prSet/>
      <dgm:spPr/>
      <dgm:t>
        <a:bodyPr/>
        <a:lstStyle/>
        <a:p>
          <a:endParaRPr lang="cs-CZ"/>
        </a:p>
      </dgm:t>
    </dgm:pt>
    <dgm:pt modelId="{1BBCC6A3-4DF5-4E3F-98CD-2A8B02A36A62}" type="sibTrans" cxnId="{77C4FD1F-6A7F-4785-A9FF-9B517093F57E}">
      <dgm:prSet/>
      <dgm:spPr/>
      <dgm:t>
        <a:bodyPr/>
        <a:lstStyle/>
        <a:p>
          <a:endParaRPr lang="cs-CZ"/>
        </a:p>
      </dgm:t>
    </dgm:pt>
    <dgm:pt modelId="{688D2976-C599-4D96-99FA-AC4092C0B6BE}">
      <dgm:prSet custT="1"/>
      <dgm:spPr/>
      <dgm:t>
        <a:bodyPr/>
        <a:lstStyle/>
        <a:p>
          <a:r>
            <a:rPr lang="cs-CZ" sz="1100"/>
            <a:t>Projednání projektů, posouzení jejich cílů (</a:t>
          </a:r>
          <a:r>
            <a:rPr lang="cs-CZ" sz="1100" b="1"/>
            <a:t>Rada Programu VI</a:t>
          </a:r>
          <a:r>
            <a:rPr lang="cs-CZ" sz="1100"/>
            <a:t>)</a:t>
          </a:r>
        </a:p>
      </dgm:t>
    </dgm:pt>
    <dgm:pt modelId="{20BEE252-BAB7-44B3-B69D-8AFA6A201BF8}" type="parTrans" cxnId="{4691DB1E-BC2D-487F-B020-47539052D35F}">
      <dgm:prSet/>
      <dgm:spPr/>
      <dgm:t>
        <a:bodyPr/>
        <a:lstStyle/>
        <a:p>
          <a:endParaRPr lang="cs-CZ"/>
        </a:p>
      </dgm:t>
    </dgm:pt>
    <dgm:pt modelId="{9D6A659E-B960-4AE7-8CE2-B3157E5BE339}" type="sibTrans" cxnId="{4691DB1E-BC2D-487F-B020-47539052D35F}">
      <dgm:prSet/>
      <dgm:spPr/>
      <dgm:t>
        <a:bodyPr/>
        <a:lstStyle/>
        <a:p>
          <a:endParaRPr lang="cs-CZ"/>
        </a:p>
      </dgm:t>
    </dgm:pt>
    <dgm:pt modelId="{B5F30FE6-5D3A-443A-8E6E-2B13DAE58F58}">
      <dgm:prSet custT="1"/>
      <dgm:spPr/>
      <dgm:t>
        <a:bodyPr/>
        <a:lstStyle/>
        <a:p>
          <a:r>
            <a:rPr lang="cs-CZ" sz="1100"/>
            <a:t>Návrh projektu </a:t>
          </a:r>
          <a:r>
            <a:rPr lang="cs-CZ" sz="1100" b="1"/>
            <a:t>(předkladatel = potenciální řešitel)</a:t>
          </a:r>
        </a:p>
      </dgm:t>
    </dgm:pt>
    <dgm:pt modelId="{8AE05307-2CFF-444E-B461-5B9656BCAACB}" type="parTrans" cxnId="{2B0F71F5-8516-40C2-B489-4322E7874452}">
      <dgm:prSet/>
      <dgm:spPr/>
      <dgm:t>
        <a:bodyPr/>
        <a:lstStyle/>
        <a:p>
          <a:endParaRPr lang="cs-CZ"/>
        </a:p>
      </dgm:t>
    </dgm:pt>
    <dgm:pt modelId="{44EB0C5F-221F-48DC-A797-597259BF16E7}" type="sibTrans" cxnId="{2B0F71F5-8516-40C2-B489-4322E7874452}">
      <dgm:prSet/>
      <dgm:spPr/>
      <dgm:t>
        <a:bodyPr/>
        <a:lstStyle/>
        <a:p>
          <a:endParaRPr lang="cs-CZ"/>
        </a:p>
      </dgm:t>
    </dgm:pt>
    <dgm:pt modelId="{AD3D409B-2F28-47C9-B65D-C0BC80264D50}">
      <dgm:prSet custT="1"/>
      <dgm:spPr/>
      <dgm:t>
        <a:bodyPr/>
        <a:lstStyle/>
        <a:p>
          <a:r>
            <a:rPr lang="cs-CZ" sz="1100"/>
            <a:t>Schválení doporučených projektů </a:t>
          </a:r>
          <a:r>
            <a:rPr lang="cs-CZ" sz="1100" b="1"/>
            <a:t>(ministr vnitra)</a:t>
          </a:r>
          <a:endParaRPr lang="cs-CZ" sz="1100"/>
        </a:p>
      </dgm:t>
    </dgm:pt>
    <dgm:pt modelId="{B9D8A88A-6533-47EB-9E27-6353E42ECA3F}" type="parTrans" cxnId="{34EDE919-5276-400C-852D-7BAB2FC7A1B0}">
      <dgm:prSet/>
      <dgm:spPr/>
      <dgm:t>
        <a:bodyPr/>
        <a:lstStyle/>
        <a:p>
          <a:endParaRPr lang="cs-CZ"/>
        </a:p>
      </dgm:t>
    </dgm:pt>
    <dgm:pt modelId="{3E8D085D-406C-450F-A88C-2923C8C8FE69}" type="sibTrans" cxnId="{34EDE919-5276-400C-852D-7BAB2FC7A1B0}">
      <dgm:prSet/>
      <dgm:spPr/>
      <dgm:t>
        <a:bodyPr/>
        <a:lstStyle/>
        <a:p>
          <a:endParaRPr lang="cs-CZ"/>
        </a:p>
      </dgm:t>
    </dgm:pt>
    <dgm:pt modelId="{A77562C7-09E0-4097-A823-5EBB72B34774}" type="pres">
      <dgm:prSet presAssocID="{D1C3E8C6-7FC9-448A-B39F-06A63EE8769A}" presName="Name0" presStyleCnt="0">
        <dgm:presLayoutVars>
          <dgm:dir/>
          <dgm:resizeHandles val="exact"/>
        </dgm:presLayoutVars>
      </dgm:prSet>
      <dgm:spPr/>
    </dgm:pt>
    <dgm:pt modelId="{CDD84AF8-5202-4576-AAC2-90CD03C15140}" type="pres">
      <dgm:prSet presAssocID="{B5F30FE6-5D3A-443A-8E6E-2B13DAE58F58}" presName="node" presStyleLbl="node1" presStyleIdx="0" presStyleCnt="5" custScaleX="141890">
        <dgm:presLayoutVars>
          <dgm:bulletEnabled val="1"/>
        </dgm:presLayoutVars>
      </dgm:prSet>
      <dgm:spPr/>
      <dgm:t>
        <a:bodyPr/>
        <a:lstStyle/>
        <a:p>
          <a:endParaRPr lang="cs-CZ"/>
        </a:p>
      </dgm:t>
    </dgm:pt>
    <dgm:pt modelId="{7AFA721C-D7CE-48AB-8C1A-C733D0F83A0D}" type="pres">
      <dgm:prSet presAssocID="{44EB0C5F-221F-48DC-A797-597259BF16E7}" presName="sibTrans" presStyleLbl="sibTrans2D1" presStyleIdx="0" presStyleCnt="4"/>
      <dgm:spPr/>
      <dgm:t>
        <a:bodyPr/>
        <a:lstStyle/>
        <a:p>
          <a:endParaRPr lang="cs-CZ"/>
        </a:p>
      </dgm:t>
    </dgm:pt>
    <dgm:pt modelId="{CFF8F551-5BA6-4FE5-8309-DCBFB5953998}" type="pres">
      <dgm:prSet presAssocID="{44EB0C5F-221F-48DC-A797-597259BF16E7}" presName="connectorText" presStyleLbl="sibTrans2D1" presStyleIdx="0" presStyleCnt="4"/>
      <dgm:spPr/>
      <dgm:t>
        <a:bodyPr/>
        <a:lstStyle/>
        <a:p>
          <a:endParaRPr lang="cs-CZ"/>
        </a:p>
      </dgm:t>
    </dgm:pt>
    <dgm:pt modelId="{144CC137-7000-41B3-B864-0A3A44458D89}" type="pres">
      <dgm:prSet presAssocID="{E3F81A23-E933-49ED-BD07-3DAAC5D82C00}" presName="node" presStyleLbl="node1" presStyleIdx="1" presStyleCnt="5" custScaleX="135343" custScaleY="102649">
        <dgm:presLayoutVars>
          <dgm:bulletEnabled val="1"/>
        </dgm:presLayoutVars>
      </dgm:prSet>
      <dgm:spPr/>
      <dgm:t>
        <a:bodyPr/>
        <a:lstStyle/>
        <a:p>
          <a:endParaRPr lang="cs-CZ"/>
        </a:p>
      </dgm:t>
    </dgm:pt>
    <dgm:pt modelId="{589CAE7B-E0A9-4002-B331-546658FB6F8C}" type="pres">
      <dgm:prSet presAssocID="{787EF1B4-F2CB-4E12-8C5B-2D0425F80A2D}" presName="sibTrans" presStyleLbl="sibTrans2D1" presStyleIdx="1" presStyleCnt="4"/>
      <dgm:spPr/>
      <dgm:t>
        <a:bodyPr/>
        <a:lstStyle/>
        <a:p>
          <a:endParaRPr lang="cs-CZ"/>
        </a:p>
      </dgm:t>
    </dgm:pt>
    <dgm:pt modelId="{9E86E60B-8575-4EBD-9187-2F980B19019F}" type="pres">
      <dgm:prSet presAssocID="{787EF1B4-F2CB-4E12-8C5B-2D0425F80A2D}" presName="connectorText" presStyleLbl="sibTrans2D1" presStyleIdx="1" presStyleCnt="4"/>
      <dgm:spPr/>
      <dgm:t>
        <a:bodyPr/>
        <a:lstStyle/>
        <a:p>
          <a:endParaRPr lang="cs-CZ"/>
        </a:p>
      </dgm:t>
    </dgm:pt>
    <dgm:pt modelId="{400506A9-FCD1-452F-B5A9-7902DA24DCAB}" type="pres">
      <dgm:prSet presAssocID="{1F09010D-6EA0-41C0-B4A8-46C90C617EAB}" presName="node" presStyleLbl="node1" presStyleIdx="2" presStyleCnt="5" custScaleX="133549">
        <dgm:presLayoutVars>
          <dgm:bulletEnabled val="1"/>
        </dgm:presLayoutVars>
      </dgm:prSet>
      <dgm:spPr/>
      <dgm:t>
        <a:bodyPr/>
        <a:lstStyle/>
        <a:p>
          <a:endParaRPr lang="cs-CZ"/>
        </a:p>
      </dgm:t>
    </dgm:pt>
    <dgm:pt modelId="{B6193A77-01AC-4FF3-A89E-2123CF414187}" type="pres">
      <dgm:prSet presAssocID="{1BBCC6A3-4DF5-4E3F-98CD-2A8B02A36A62}" presName="sibTrans" presStyleLbl="sibTrans2D1" presStyleIdx="2" presStyleCnt="4"/>
      <dgm:spPr/>
      <dgm:t>
        <a:bodyPr/>
        <a:lstStyle/>
        <a:p>
          <a:endParaRPr lang="cs-CZ"/>
        </a:p>
      </dgm:t>
    </dgm:pt>
    <dgm:pt modelId="{05A7E5B8-2F25-4090-9C70-04373C14BE03}" type="pres">
      <dgm:prSet presAssocID="{1BBCC6A3-4DF5-4E3F-98CD-2A8B02A36A62}" presName="connectorText" presStyleLbl="sibTrans2D1" presStyleIdx="2" presStyleCnt="4"/>
      <dgm:spPr/>
      <dgm:t>
        <a:bodyPr/>
        <a:lstStyle/>
        <a:p>
          <a:endParaRPr lang="cs-CZ"/>
        </a:p>
      </dgm:t>
    </dgm:pt>
    <dgm:pt modelId="{75924639-5539-4850-817A-9D683D55D90E}" type="pres">
      <dgm:prSet presAssocID="{688D2976-C599-4D96-99FA-AC4092C0B6BE}" presName="node" presStyleLbl="node1" presStyleIdx="3" presStyleCnt="5" custScaleX="149047">
        <dgm:presLayoutVars>
          <dgm:bulletEnabled val="1"/>
        </dgm:presLayoutVars>
      </dgm:prSet>
      <dgm:spPr/>
      <dgm:t>
        <a:bodyPr/>
        <a:lstStyle/>
        <a:p>
          <a:endParaRPr lang="cs-CZ"/>
        </a:p>
      </dgm:t>
    </dgm:pt>
    <dgm:pt modelId="{02F4E83D-7B4F-48C5-807A-770C89C68148}" type="pres">
      <dgm:prSet presAssocID="{9D6A659E-B960-4AE7-8CE2-B3157E5BE339}" presName="sibTrans" presStyleLbl="sibTrans2D1" presStyleIdx="3" presStyleCnt="4"/>
      <dgm:spPr/>
      <dgm:t>
        <a:bodyPr/>
        <a:lstStyle/>
        <a:p>
          <a:endParaRPr lang="cs-CZ"/>
        </a:p>
      </dgm:t>
    </dgm:pt>
    <dgm:pt modelId="{EEB082FE-F5C2-4669-BFAC-F764E5EBF3FD}" type="pres">
      <dgm:prSet presAssocID="{9D6A659E-B960-4AE7-8CE2-B3157E5BE339}" presName="connectorText" presStyleLbl="sibTrans2D1" presStyleIdx="3" presStyleCnt="4"/>
      <dgm:spPr/>
      <dgm:t>
        <a:bodyPr/>
        <a:lstStyle/>
        <a:p>
          <a:endParaRPr lang="cs-CZ"/>
        </a:p>
      </dgm:t>
    </dgm:pt>
    <dgm:pt modelId="{0981B128-43C9-4F12-97C9-296D56D0AB4B}" type="pres">
      <dgm:prSet presAssocID="{AD3D409B-2F28-47C9-B65D-C0BC80264D50}" presName="node" presStyleLbl="node1" presStyleIdx="4" presStyleCnt="5" custScaleX="147754">
        <dgm:presLayoutVars>
          <dgm:bulletEnabled val="1"/>
        </dgm:presLayoutVars>
      </dgm:prSet>
      <dgm:spPr/>
      <dgm:t>
        <a:bodyPr/>
        <a:lstStyle/>
        <a:p>
          <a:endParaRPr lang="cs-CZ"/>
        </a:p>
      </dgm:t>
    </dgm:pt>
  </dgm:ptLst>
  <dgm:cxnLst>
    <dgm:cxn modelId="{77C4FD1F-6A7F-4785-A9FF-9B517093F57E}" srcId="{D1C3E8C6-7FC9-448A-B39F-06A63EE8769A}" destId="{1F09010D-6EA0-41C0-B4A8-46C90C617EAB}" srcOrd="2" destOrd="0" parTransId="{4F548DE3-0714-46C1-A719-E6ADC57EC9C0}" sibTransId="{1BBCC6A3-4DF5-4E3F-98CD-2A8B02A36A62}"/>
    <dgm:cxn modelId="{34EDE919-5276-400C-852D-7BAB2FC7A1B0}" srcId="{D1C3E8C6-7FC9-448A-B39F-06A63EE8769A}" destId="{AD3D409B-2F28-47C9-B65D-C0BC80264D50}" srcOrd="4" destOrd="0" parTransId="{B9D8A88A-6533-47EB-9E27-6353E42ECA3F}" sibTransId="{3E8D085D-406C-450F-A88C-2923C8C8FE69}"/>
    <dgm:cxn modelId="{13B47692-7B20-4DFB-963B-F93129BB00C8}" srcId="{D1C3E8C6-7FC9-448A-B39F-06A63EE8769A}" destId="{E3F81A23-E933-49ED-BD07-3DAAC5D82C00}" srcOrd="1" destOrd="0" parTransId="{AFC7BB90-D5D7-4FE5-B5A0-A611D0411E42}" sibTransId="{787EF1B4-F2CB-4E12-8C5B-2D0425F80A2D}"/>
    <dgm:cxn modelId="{48363806-1469-47C2-9FC3-6A9A70A29887}" type="presOf" srcId="{9D6A659E-B960-4AE7-8CE2-B3157E5BE339}" destId="{02F4E83D-7B4F-48C5-807A-770C89C68148}" srcOrd="0" destOrd="0" presId="urn:microsoft.com/office/officeart/2005/8/layout/process1"/>
    <dgm:cxn modelId="{E22936D5-ECB3-46A0-B932-1711F356795D}" type="presOf" srcId="{787EF1B4-F2CB-4E12-8C5B-2D0425F80A2D}" destId="{589CAE7B-E0A9-4002-B331-546658FB6F8C}" srcOrd="0" destOrd="0" presId="urn:microsoft.com/office/officeart/2005/8/layout/process1"/>
    <dgm:cxn modelId="{66BA6CB0-B44A-4D74-AF32-B7B3321C6EC9}" type="presOf" srcId="{787EF1B4-F2CB-4E12-8C5B-2D0425F80A2D}" destId="{9E86E60B-8575-4EBD-9187-2F980B19019F}" srcOrd="1" destOrd="0" presId="urn:microsoft.com/office/officeart/2005/8/layout/process1"/>
    <dgm:cxn modelId="{91CC039B-FDB6-4F5C-92A2-899EAAC1507B}" type="presOf" srcId="{1BBCC6A3-4DF5-4E3F-98CD-2A8B02A36A62}" destId="{B6193A77-01AC-4FF3-A89E-2123CF414187}" srcOrd="0" destOrd="0" presId="urn:microsoft.com/office/officeart/2005/8/layout/process1"/>
    <dgm:cxn modelId="{AA19FEC5-E47D-4393-8093-B60530A06047}" type="presOf" srcId="{44EB0C5F-221F-48DC-A797-597259BF16E7}" destId="{CFF8F551-5BA6-4FE5-8309-DCBFB5953998}" srcOrd="1" destOrd="0" presId="urn:microsoft.com/office/officeart/2005/8/layout/process1"/>
    <dgm:cxn modelId="{7A5FDB1A-905A-40CE-A3D1-895AD99FFF99}" type="presOf" srcId="{9D6A659E-B960-4AE7-8CE2-B3157E5BE339}" destId="{EEB082FE-F5C2-4669-BFAC-F764E5EBF3FD}" srcOrd="1" destOrd="0" presId="urn:microsoft.com/office/officeart/2005/8/layout/process1"/>
    <dgm:cxn modelId="{88DDD1D8-422E-4885-834D-31F9B45F413C}" type="presOf" srcId="{D1C3E8C6-7FC9-448A-B39F-06A63EE8769A}" destId="{A77562C7-09E0-4097-A823-5EBB72B34774}" srcOrd="0" destOrd="0" presId="urn:microsoft.com/office/officeart/2005/8/layout/process1"/>
    <dgm:cxn modelId="{F12B5B1B-12C8-4FE2-A2E4-55411ACA4ACA}" type="presOf" srcId="{688D2976-C599-4D96-99FA-AC4092C0B6BE}" destId="{75924639-5539-4850-817A-9D683D55D90E}" srcOrd="0" destOrd="0" presId="urn:microsoft.com/office/officeart/2005/8/layout/process1"/>
    <dgm:cxn modelId="{AF099D1B-A66E-4AF6-B8DB-35E19424A417}" type="presOf" srcId="{AD3D409B-2F28-47C9-B65D-C0BC80264D50}" destId="{0981B128-43C9-4F12-97C9-296D56D0AB4B}" srcOrd="0" destOrd="0" presId="urn:microsoft.com/office/officeart/2005/8/layout/process1"/>
    <dgm:cxn modelId="{D5A3EE06-99DD-41B6-A9CF-769D0797CD6D}" type="presOf" srcId="{1BBCC6A3-4DF5-4E3F-98CD-2A8B02A36A62}" destId="{05A7E5B8-2F25-4090-9C70-04373C14BE03}" srcOrd="1" destOrd="0" presId="urn:microsoft.com/office/officeart/2005/8/layout/process1"/>
    <dgm:cxn modelId="{76B0DC13-732F-4844-ABFE-F813B2C02598}" type="presOf" srcId="{E3F81A23-E933-49ED-BD07-3DAAC5D82C00}" destId="{144CC137-7000-41B3-B864-0A3A44458D89}" srcOrd="0" destOrd="0" presId="urn:microsoft.com/office/officeart/2005/8/layout/process1"/>
    <dgm:cxn modelId="{74B99AB7-84A1-4523-AAC2-29FC2C2DBF2E}" type="presOf" srcId="{B5F30FE6-5D3A-443A-8E6E-2B13DAE58F58}" destId="{CDD84AF8-5202-4576-AAC2-90CD03C15140}" srcOrd="0" destOrd="0" presId="urn:microsoft.com/office/officeart/2005/8/layout/process1"/>
    <dgm:cxn modelId="{D088D6A1-6C64-4EEB-B074-FC1BAC8961B5}" type="presOf" srcId="{44EB0C5F-221F-48DC-A797-597259BF16E7}" destId="{7AFA721C-D7CE-48AB-8C1A-C733D0F83A0D}" srcOrd="0" destOrd="0" presId="urn:microsoft.com/office/officeart/2005/8/layout/process1"/>
    <dgm:cxn modelId="{59E52DB2-BB18-45C1-936F-E8EA39BF5258}" type="presOf" srcId="{1F09010D-6EA0-41C0-B4A8-46C90C617EAB}" destId="{400506A9-FCD1-452F-B5A9-7902DA24DCAB}" srcOrd="0" destOrd="0" presId="urn:microsoft.com/office/officeart/2005/8/layout/process1"/>
    <dgm:cxn modelId="{2B0F71F5-8516-40C2-B489-4322E7874452}" srcId="{D1C3E8C6-7FC9-448A-B39F-06A63EE8769A}" destId="{B5F30FE6-5D3A-443A-8E6E-2B13DAE58F58}" srcOrd="0" destOrd="0" parTransId="{8AE05307-2CFF-444E-B461-5B9656BCAACB}" sibTransId="{44EB0C5F-221F-48DC-A797-597259BF16E7}"/>
    <dgm:cxn modelId="{4691DB1E-BC2D-487F-B020-47539052D35F}" srcId="{D1C3E8C6-7FC9-448A-B39F-06A63EE8769A}" destId="{688D2976-C599-4D96-99FA-AC4092C0B6BE}" srcOrd="3" destOrd="0" parTransId="{20BEE252-BAB7-44B3-B69D-8AFA6A201BF8}" sibTransId="{9D6A659E-B960-4AE7-8CE2-B3157E5BE339}"/>
    <dgm:cxn modelId="{134D36EC-7F3D-4290-87A0-521F8D2B8B2D}" type="presParOf" srcId="{A77562C7-09E0-4097-A823-5EBB72B34774}" destId="{CDD84AF8-5202-4576-AAC2-90CD03C15140}" srcOrd="0" destOrd="0" presId="urn:microsoft.com/office/officeart/2005/8/layout/process1"/>
    <dgm:cxn modelId="{D97C9C3F-A42C-4CB0-8226-9358F5348238}" type="presParOf" srcId="{A77562C7-09E0-4097-A823-5EBB72B34774}" destId="{7AFA721C-D7CE-48AB-8C1A-C733D0F83A0D}" srcOrd="1" destOrd="0" presId="urn:microsoft.com/office/officeart/2005/8/layout/process1"/>
    <dgm:cxn modelId="{32939460-A720-46A3-8688-3DCC73D20A50}" type="presParOf" srcId="{7AFA721C-D7CE-48AB-8C1A-C733D0F83A0D}" destId="{CFF8F551-5BA6-4FE5-8309-DCBFB5953998}" srcOrd="0" destOrd="0" presId="urn:microsoft.com/office/officeart/2005/8/layout/process1"/>
    <dgm:cxn modelId="{3AAEE593-FFBC-40AA-9747-672999D135CE}" type="presParOf" srcId="{A77562C7-09E0-4097-A823-5EBB72B34774}" destId="{144CC137-7000-41B3-B864-0A3A44458D89}" srcOrd="2" destOrd="0" presId="urn:microsoft.com/office/officeart/2005/8/layout/process1"/>
    <dgm:cxn modelId="{6BB6C2B1-E5A3-427C-AB4D-6DA2CCB1C850}" type="presParOf" srcId="{A77562C7-09E0-4097-A823-5EBB72B34774}" destId="{589CAE7B-E0A9-4002-B331-546658FB6F8C}" srcOrd="3" destOrd="0" presId="urn:microsoft.com/office/officeart/2005/8/layout/process1"/>
    <dgm:cxn modelId="{CBFC07E3-46E6-4234-B682-534354AC0FB3}" type="presParOf" srcId="{589CAE7B-E0A9-4002-B331-546658FB6F8C}" destId="{9E86E60B-8575-4EBD-9187-2F980B19019F}" srcOrd="0" destOrd="0" presId="urn:microsoft.com/office/officeart/2005/8/layout/process1"/>
    <dgm:cxn modelId="{64AEB510-B080-406B-BCB2-AABF5C255B08}" type="presParOf" srcId="{A77562C7-09E0-4097-A823-5EBB72B34774}" destId="{400506A9-FCD1-452F-B5A9-7902DA24DCAB}" srcOrd="4" destOrd="0" presId="urn:microsoft.com/office/officeart/2005/8/layout/process1"/>
    <dgm:cxn modelId="{F9DE8564-9DFF-48EB-B290-35E531D04B1E}" type="presParOf" srcId="{A77562C7-09E0-4097-A823-5EBB72B34774}" destId="{B6193A77-01AC-4FF3-A89E-2123CF414187}" srcOrd="5" destOrd="0" presId="urn:microsoft.com/office/officeart/2005/8/layout/process1"/>
    <dgm:cxn modelId="{02401993-B79B-431F-8C4D-8A7D0A8D2B3A}" type="presParOf" srcId="{B6193A77-01AC-4FF3-A89E-2123CF414187}" destId="{05A7E5B8-2F25-4090-9C70-04373C14BE03}" srcOrd="0" destOrd="0" presId="urn:microsoft.com/office/officeart/2005/8/layout/process1"/>
    <dgm:cxn modelId="{0A5FE556-C337-489F-A3DC-A962D8003E82}" type="presParOf" srcId="{A77562C7-09E0-4097-A823-5EBB72B34774}" destId="{75924639-5539-4850-817A-9D683D55D90E}" srcOrd="6" destOrd="0" presId="urn:microsoft.com/office/officeart/2005/8/layout/process1"/>
    <dgm:cxn modelId="{B12FE7EA-9B09-49D1-AFA2-A28D62E724C5}" type="presParOf" srcId="{A77562C7-09E0-4097-A823-5EBB72B34774}" destId="{02F4E83D-7B4F-48C5-807A-770C89C68148}" srcOrd="7" destOrd="0" presId="urn:microsoft.com/office/officeart/2005/8/layout/process1"/>
    <dgm:cxn modelId="{2441C628-2EEB-48B3-8443-9ACFFD20CA27}" type="presParOf" srcId="{02F4E83D-7B4F-48C5-807A-770C89C68148}" destId="{EEB082FE-F5C2-4669-BFAC-F764E5EBF3FD}" srcOrd="0" destOrd="0" presId="urn:microsoft.com/office/officeart/2005/8/layout/process1"/>
    <dgm:cxn modelId="{85B8E038-6365-4F0A-8047-BB6CCE6C10DD}" type="presParOf" srcId="{A77562C7-09E0-4097-A823-5EBB72B34774}" destId="{0981B128-43C9-4F12-97C9-296D56D0AB4B}" srcOrd="8"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FBC736-1746-4617-B344-FCE05F8F5D88}" type="doc">
      <dgm:prSet loTypeId="urn:microsoft.com/office/officeart/2005/8/layout/process1" loCatId="process" qsTypeId="urn:microsoft.com/office/officeart/2005/8/quickstyle/simple1" qsCatId="simple" csTypeId="urn:microsoft.com/office/officeart/2005/8/colors/accent1_2" csCatId="accent1" phldr="1"/>
      <dgm:spPr/>
    </dgm:pt>
    <dgm:pt modelId="{883BBC82-B083-41BD-AEE9-E9F1AF46388A}">
      <dgm:prSet phldrT="[Text]" custT="1"/>
      <dgm:spPr>
        <a:xfrm>
          <a:off x="2503" y="184876"/>
          <a:ext cx="1094412" cy="108757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cs-CZ" sz="1050">
              <a:solidFill>
                <a:sysClr val="window" lastClr="FFFFFF"/>
              </a:solidFill>
              <a:latin typeface="Calibri" panose="020F0502020204030204"/>
              <a:ea typeface="+mn-ea"/>
              <a:cs typeface="+mn-cs"/>
            </a:rPr>
            <a:t>Identifikace výzkumných potřeb (předloženy </a:t>
          </a:r>
          <a:r>
            <a:rPr lang="cs-CZ" sz="1050" b="0">
              <a:solidFill>
                <a:sysClr val="window" lastClr="FFFFFF"/>
              </a:solidFill>
              <a:latin typeface="Calibri" panose="020F0502020204030204"/>
              <a:ea typeface="+mn-ea"/>
              <a:cs typeface="+mn-cs"/>
            </a:rPr>
            <a:t>orgány státní správy</a:t>
          </a:r>
          <a:r>
            <a:rPr lang="cs-CZ" sz="1050">
              <a:solidFill>
                <a:sysClr val="window" lastClr="FFFFFF"/>
              </a:solidFill>
              <a:latin typeface="Calibri" panose="020F0502020204030204"/>
              <a:ea typeface="+mn-ea"/>
              <a:cs typeface="+mn-cs"/>
            </a:rPr>
            <a:t>)</a:t>
          </a:r>
        </a:p>
      </dgm:t>
    </dgm:pt>
    <dgm:pt modelId="{563824EA-351D-4493-8522-84AFA593C9DD}" type="parTrans" cxnId="{7345D174-4C02-4060-8609-0B64BFA44648}">
      <dgm:prSet/>
      <dgm:spPr/>
      <dgm:t>
        <a:bodyPr/>
        <a:lstStyle/>
        <a:p>
          <a:endParaRPr lang="cs-CZ"/>
        </a:p>
      </dgm:t>
    </dgm:pt>
    <dgm:pt modelId="{42671F75-2FC2-49E0-B199-D8D14584C0DA}" type="sibTrans" cxnId="{7345D174-4C02-4060-8609-0B64BFA44648}">
      <dgm:prSet/>
      <dgm:spPr>
        <a:xfrm>
          <a:off x="1206356" y="592955"/>
          <a:ext cx="232015" cy="27141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cs-CZ">
            <a:solidFill>
              <a:sysClr val="window" lastClr="FFFFFF"/>
            </a:solidFill>
            <a:latin typeface="Calibri" panose="020F0502020204030204"/>
            <a:ea typeface="+mn-ea"/>
            <a:cs typeface="+mn-cs"/>
          </a:endParaRPr>
        </a:p>
      </dgm:t>
    </dgm:pt>
    <dgm:pt modelId="{80D00371-ECA4-4EB0-8434-EB1E502E4567}">
      <dgm:prSet phldrT="[Text]"/>
      <dgm:spPr>
        <a:xfrm>
          <a:off x="1534680" y="184876"/>
          <a:ext cx="1094412" cy="108757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cs-CZ">
              <a:solidFill>
                <a:sysClr val="window" lastClr="FFFFFF"/>
              </a:solidFill>
              <a:latin typeface="Calibri" panose="020F0502020204030204"/>
              <a:ea typeface="+mn-ea"/>
              <a:cs typeface="+mn-cs"/>
            </a:rPr>
            <a:t>Hodnocení způsobilosti a prioritizace potřeb (</a:t>
          </a:r>
          <a:r>
            <a:rPr lang="cs-CZ" b="1">
              <a:solidFill>
                <a:sysClr val="window" lastClr="FFFFFF"/>
              </a:solidFill>
              <a:latin typeface="Calibri" panose="020F0502020204030204"/>
              <a:ea typeface="+mn-ea"/>
              <a:cs typeface="+mn-cs"/>
            </a:rPr>
            <a:t>Rada programu VH</a:t>
          </a:r>
          <a:r>
            <a:rPr lang="cs-CZ">
              <a:solidFill>
                <a:sysClr val="window" lastClr="FFFFFF"/>
              </a:solidFill>
              <a:latin typeface="Calibri" panose="020F0502020204030204"/>
              <a:ea typeface="+mn-ea"/>
              <a:cs typeface="+mn-cs"/>
            </a:rPr>
            <a:t>)</a:t>
          </a:r>
        </a:p>
      </dgm:t>
    </dgm:pt>
    <dgm:pt modelId="{5B1A9E5D-5306-407B-A38B-4DA0C692DC3C}" type="parTrans" cxnId="{44929F4A-5D55-4C08-A265-9B9600A86ABF}">
      <dgm:prSet/>
      <dgm:spPr/>
      <dgm:t>
        <a:bodyPr/>
        <a:lstStyle/>
        <a:p>
          <a:endParaRPr lang="cs-CZ"/>
        </a:p>
      </dgm:t>
    </dgm:pt>
    <dgm:pt modelId="{37B72426-9C37-4D7C-8EF2-D24241027E22}" type="sibTrans" cxnId="{44929F4A-5D55-4C08-A265-9B9600A86ABF}">
      <dgm:prSet/>
      <dgm:spPr>
        <a:xfrm>
          <a:off x="2738533" y="592955"/>
          <a:ext cx="232015" cy="27141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cs-CZ">
            <a:solidFill>
              <a:sysClr val="window" lastClr="FFFFFF"/>
            </a:solidFill>
            <a:latin typeface="Calibri" panose="020F0502020204030204"/>
            <a:ea typeface="+mn-ea"/>
            <a:cs typeface="+mn-cs"/>
          </a:endParaRPr>
        </a:p>
      </dgm:t>
    </dgm:pt>
    <dgm:pt modelId="{AE5FAA99-8FCF-4DA4-AB11-565157054F98}">
      <dgm:prSet/>
      <dgm:spPr>
        <a:xfrm>
          <a:off x="4599034" y="184876"/>
          <a:ext cx="1094412" cy="108757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60000"/>
            </a:lnSpc>
          </a:pPr>
          <a:r>
            <a:rPr lang="cs-CZ">
              <a:solidFill>
                <a:sysClr val="window" lastClr="FFFFFF"/>
              </a:solidFill>
              <a:latin typeface="Calibri" panose="020F0502020204030204"/>
              <a:ea typeface="+mn-ea"/>
              <a:cs typeface="+mn-cs"/>
            </a:rPr>
            <a:t>Zadání a  realizace VZ</a:t>
          </a:r>
        </a:p>
        <a:p>
          <a:pPr>
            <a:lnSpc>
              <a:spcPct val="60000"/>
            </a:lnSpc>
          </a:pPr>
          <a:r>
            <a:rPr lang="cs-CZ">
              <a:solidFill>
                <a:sysClr val="window" lastClr="FFFFFF"/>
              </a:solidFill>
              <a:latin typeface="Calibri" panose="020F0502020204030204"/>
              <a:ea typeface="+mn-ea"/>
              <a:cs typeface="+mn-cs"/>
            </a:rPr>
            <a:t>(</a:t>
          </a:r>
          <a:r>
            <a:rPr lang="cs-CZ" b="1">
              <a:solidFill>
                <a:sysClr val="window" lastClr="FFFFFF"/>
              </a:solidFill>
              <a:latin typeface="Calibri" panose="020F0502020204030204"/>
              <a:ea typeface="+mn-ea"/>
              <a:cs typeface="+mn-cs"/>
            </a:rPr>
            <a:t>řešitel</a:t>
          </a:r>
          <a:r>
            <a:rPr lang="cs-CZ">
              <a:solidFill>
                <a:sysClr val="window" lastClr="FFFFFF"/>
              </a:solidFill>
              <a:latin typeface="Calibri" panose="020F0502020204030204"/>
              <a:ea typeface="+mn-ea"/>
              <a:cs typeface="+mn-cs"/>
            </a:rPr>
            <a:t> </a:t>
          </a:r>
          <a:r>
            <a:rPr lang="cs-CZ" b="1">
              <a:solidFill>
                <a:sysClr val="window" lastClr="FFFFFF"/>
              </a:solidFill>
              <a:latin typeface="Calibri" panose="020F0502020204030204"/>
              <a:ea typeface="+mn-ea"/>
              <a:cs typeface="+mn-cs"/>
            </a:rPr>
            <a:t>projektu</a:t>
          </a:r>
          <a:r>
            <a:rPr lang="cs-CZ">
              <a:solidFill>
                <a:sysClr val="window" lastClr="FFFFFF"/>
              </a:solidFill>
              <a:latin typeface="Calibri" panose="020F0502020204030204"/>
              <a:ea typeface="+mn-ea"/>
              <a:cs typeface="+mn-cs"/>
            </a:rPr>
            <a:t>)</a:t>
          </a:r>
        </a:p>
      </dgm:t>
    </dgm:pt>
    <dgm:pt modelId="{61C50161-A5E5-4FC1-9819-2426D030FEDF}" type="parTrans" cxnId="{73526021-9162-472F-B76C-A2107CF2A130}">
      <dgm:prSet/>
      <dgm:spPr/>
      <dgm:t>
        <a:bodyPr/>
        <a:lstStyle/>
        <a:p>
          <a:endParaRPr lang="cs-CZ"/>
        </a:p>
      </dgm:t>
    </dgm:pt>
    <dgm:pt modelId="{8F26BEBA-731E-4F83-AC9D-0E527CCE6322}" type="sibTrans" cxnId="{73526021-9162-472F-B76C-A2107CF2A130}">
      <dgm:prSet/>
      <dgm:spPr/>
      <dgm:t>
        <a:bodyPr/>
        <a:lstStyle/>
        <a:p>
          <a:endParaRPr lang="cs-CZ"/>
        </a:p>
      </dgm:t>
    </dgm:pt>
    <dgm:pt modelId="{746A526B-C65A-4AD7-954E-13EADE222EE6}" type="pres">
      <dgm:prSet presAssocID="{57FBC736-1746-4617-B344-FCE05F8F5D88}" presName="Name0" presStyleCnt="0">
        <dgm:presLayoutVars>
          <dgm:dir/>
          <dgm:resizeHandles val="exact"/>
        </dgm:presLayoutVars>
      </dgm:prSet>
      <dgm:spPr/>
    </dgm:pt>
    <dgm:pt modelId="{AEC752BD-DF8F-4DC4-9789-2075A4229809}" type="pres">
      <dgm:prSet presAssocID="{883BBC82-B083-41BD-AEE9-E9F1AF46388A}" presName="node" presStyleLbl="node1" presStyleIdx="0" presStyleCnt="3">
        <dgm:presLayoutVars>
          <dgm:bulletEnabled val="1"/>
        </dgm:presLayoutVars>
      </dgm:prSet>
      <dgm:spPr/>
      <dgm:t>
        <a:bodyPr/>
        <a:lstStyle/>
        <a:p>
          <a:endParaRPr lang="cs-CZ"/>
        </a:p>
      </dgm:t>
    </dgm:pt>
    <dgm:pt modelId="{4C29AA38-F08E-4EFA-AF16-371A7D5D40B3}" type="pres">
      <dgm:prSet presAssocID="{42671F75-2FC2-49E0-B199-D8D14584C0DA}" presName="sibTrans" presStyleLbl="sibTrans2D1" presStyleIdx="0" presStyleCnt="2"/>
      <dgm:spPr/>
      <dgm:t>
        <a:bodyPr/>
        <a:lstStyle/>
        <a:p>
          <a:endParaRPr lang="cs-CZ"/>
        </a:p>
      </dgm:t>
    </dgm:pt>
    <dgm:pt modelId="{B2EE3F53-85C8-4093-B12D-39D8B0329417}" type="pres">
      <dgm:prSet presAssocID="{42671F75-2FC2-49E0-B199-D8D14584C0DA}" presName="connectorText" presStyleLbl="sibTrans2D1" presStyleIdx="0" presStyleCnt="2"/>
      <dgm:spPr/>
      <dgm:t>
        <a:bodyPr/>
        <a:lstStyle/>
        <a:p>
          <a:endParaRPr lang="cs-CZ"/>
        </a:p>
      </dgm:t>
    </dgm:pt>
    <dgm:pt modelId="{7B714445-18B3-4686-8BD7-92CCA0DD8543}" type="pres">
      <dgm:prSet presAssocID="{80D00371-ECA4-4EB0-8434-EB1E502E4567}" presName="node" presStyleLbl="node1" presStyleIdx="1" presStyleCnt="3">
        <dgm:presLayoutVars>
          <dgm:bulletEnabled val="1"/>
        </dgm:presLayoutVars>
      </dgm:prSet>
      <dgm:spPr/>
      <dgm:t>
        <a:bodyPr/>
        <a:lstStyle/>
        <a:p>
          <a:endParaRPr lang="cs-CZ"/>
        </a:p>
      </dgm:t>
    </dgm:pt>
    <dgm:pt modelId="{F43D54AE-1949-41DA-B204-53FA2E447114}" type="pres">
      <dgm:prSet presAssocID="{37B72426-9C37-4D7C-8EF2-D24241027E22}" presName="sibTrans" presStyleLbl="sibTrans2D1" presStyleIdx="1" presStyleCnt="2"/>
      <dgm:spPr/>
      <dgm:t>
        <a:bodyPr/>
        <a:lstStyle/>
        <a:p>
          <a:endParaRPr lang="cs-CZ"/>
        </a:p>
      </dgm:t>
    </dgm:pt>
    <dgm:pt modelId="{B3118D75-E9C7-48BF-9268-9ECD134BFA4F}" type="pres">
      <dgm:prSet presAssocID="{37B72426-9C37-4D7C-8EF2-D24241027E22}" presName="connectorText" presStyleLbl="sibTrans2D1" presStyleIdx="1" presStyleCnt="2"/>
      <dgm:spPr/>
      <dgm:t>
        <a:bodyPr/>
        <a:lstStyle/>
        <a:p>
          <a:endParaRPr lang="cs-CZ"/>
        </a:p>
      </dgm:t>
    </dgm:pt>
    <dgm:pt modelId="{BE070BF5-0BFE-4540-8D53-BBD261B48571}" type="pres">
      <dgm:prSet presAssocID="{AE5FAA99-8FCF-4DA4-AB11-565157054F98}" presName="node" presStyleLbl="node1" presStyleIdx="2" presStyleCnt="3" custLinFactNeighborX="981">
        <dgm:presLayoutVars>
          <dgm:bulletEnabled val="1"/>
        </dgm:presLayoutVars>
      </dgm:prSet>
      <dgm:spPr/>
      <dgm:t>
        <a:bodyPr/>
        <a:lstStyle/>
        <a:p>
          <a:endParaRPr lang="cs-CZ"/>
        </a:p>
      </dgm:t>
    </dgm:pt>
  </dgm:ptLst>
  <dgm:cxnLst>
    <dgm:cxn modelId="{FE7CC69D-88E8-4946-A135-8812ADE8186C}" type="presOf" srcId="{42671F75-2FC2-49E0-B199-D8D14584C0DA}" destId="{4C29AA38-F08E-4EFA-AF16-371A7D5D40B3}" srcOrd="0" destOrd="0" presId="urn:microsoft.com/office/officeart/2005/8/layout/process1"/>
    <dgm:cxn modelId="{6FA3FFB6-9AA3-42E5-8B1C-B90215825EEF}" type="presOf" srcId="{80D00371-ECA4-4EB0-8434-EB1E502E4567}" destId="{7B714445-18B3-4686-8BD7-92CCA0DD8543}" srcOrd="0" destOrd="0" presId="urn:microsoft.com/office/officeart/2005/8/layout/process1"/>
    <dgm:cxn modelId="{489D93C5-FA05-4D6B-9C5F-4243081AF011}" type="presOf" srcId="{57FBC736-1746-4617-B344-FCE05F8F5D88}" destId="{746A526B-C65A-4AD7-954E-13EADE222EE6}" srcOrd="0" destOrd="0" presId="urn:microsoft.com/office/officeart/2005/8/layout/process1"/>
    <dgm:cxn modelId="{032866A0-61F2-4FC3-8248-8989BC5C8250}" type="presOf" srcId="{42671F75-2FC2-49E0-B199-D8D14584C0DA}" destId="{B2EE3F53-85C8-4093-B12D-39D8B0329417}" srcOrd="1" destOrd="0" presId="urn:microsoft.com/office/officeart/2005/8/layout/process1"/>
    <dgm:cxn modelId="{7590DFB4-FD0A-4A9A-A0D6-95F7A0A97438}" type="presOf" srcId="{37B72426-9C37-4D7C-8EF2-D24241027E22}" destId="{F43D54AE-1949-41DA-B204-53FA2E447114}" srcOrd="0" destOrd="0" presId="urn:microsoft.com/office/officeart/2005/8/layout/process1"/>
    <dgm:cxn modelId="{73526021-9162-472F-B76C-A2107CF2A130}" srcId="{57FBC736-1746-4617-B344-FCE05F8F5D88}" destId="{AE5FAA99-8FCF-4DA4-AB11-565157054F98}" srcOrd="2" destOrd="0" parTransId="{61C50161-A5E5-4FC1-9819-2426D030FEDF}" sibTransId="{8F26BEBA-731E-4F83-AC9D-0E527CCE6322}"/>
    <dgm:cxn modelId="{8227B2B1-906C-4516-AB98-EE9F5F3BB283}" type="presOf" srcId="{AE5FAA99-8FCF-4DA4-AB11-565157054F98}" destId="{BE070BF5-0BFE-4540-8D53-BBD261B48571}" srcOrd="0" destOrd="0" presId="urn:microsoft.com/office/officeart/2005/8/layout/process1"/>
    <dgm:cxn modelId="{87350226-F9A7-4331-BA42-24653C2B21AB}" type="presOf" srcId="{37B72426-9C37-4D7C-8EF2-D24241027E22}" destId="{B3118D75-E9C7-48BF-9268-9ECD134BFA4F}" srcOrd="1" destOrd="0" presId="urn:microsoft.com/office/officeart/2005/8/layout/process1"/>
    <dgm:cxn modelId="{21D72C7B-2A79-4851-991B-96674AB9E572}" type="presOf" srcId="{883BBC82-B083-41BD-AEE9-E9F1AF46388A}" destId="{AEC752BD-DF8F-4DC4-9789-2075A4229809}" srcOrd="0" destOrd="0" presId="urn:microsoft.com/office/officeart/2005/8/layout/process1"/>
    <dgm:cxn modelId="{7345D174-4C02-4060-8609-0B64BFA44648}" srcId="{57FBC736-1746-4617-B344-FCE05F8F5D88}" destId="{883BBC82-B083-41BD-AEE9-E9F1AF46388A}" srcOrd="0" destOrd="0" parTransId="{563824EA-351D-4493-8522-84AFA593C9DD}" sibTransId="{42671F75-2FC2-49E0-B199-D8D14584C0DA}"/>
    <dgm:cxn modelId="{44929F4A-5D55-4C08-A265-9B9600A86ABF}" srcId="{57FBC736-1746-4617-B344-FCE05F8F5D88}" destId="{80D00371-ECA4-4EB0-8434-EB1E502E4567}" srcOrd="1" destOrd="0" parTransId="{5B1A9E5D-5306-407B-A38B-4DA0C692DC3C}" sibTransId="{37B72426-9C37-4D7C-8EF2-D24241027E22}"/>
    <dgm:cxn modelId="{2CEB17E5-CE8B-4006-A49F-9C6188137B68}" type="presParOf" srcId="{746A526B-C65A-4AD7-954E-13EADE222EE6}" destId="{AEC752BD-DF8F-4DC4-9789-2075A4229809}" srcOrd="0" destOrd="0" presId="urn:microsoft.com/office/officeart/2005/8/layout/process1"/>
    <dgm:cxn modelId="{F7E0AACC-2496-4362-8276-F2B916674F24}" type="presParOf" srcId="{746A526B-C65A-4AD7-954E-13EADE222EE6}" destId="{4C29AA38-F08E-4EFA-AF16-371A7D5D40B3}" srcOrd="1" destOrd="0" presId="urn:microsoft.com/office/officeart/2005/8/layout/process1"/>
    <dgm:cxn modelId="{71BEB0F1-5DC9-45D6-A5F2-41997FD233C4}" type="presParOf" srcId="{4C29AA38-F08E-4EFA-AF16-371A7D5D40B3}" destId="{B2EE3F53-85C8-4093-B12D-39D8B0329417}" srcOrd="0" destOrd="0" presId="urn:microsoft.com/office/officeart/2005/8/layout/process1"/>
    <dgm:cxn modelId="{19FD2A35-AA97-40AB-B273-673DA2CA91D0}" type="presParOf" srcId="{746A526B-C65A-4AD7-954E-13EADE222EE6}" destId="{7B714445-18B3-4686-8BD7-92CCA0DD8543}" srcOrd="2" destOrd="0" presId="urn:microsoft.com/office/officeart/2005/8/layout/process1"/>
    <dgm:cxn modelId="{DE7D2138-14A3-4869-B768-518F67A8ED44}" type="presParOf" srcId="{746A526B-C65A-4AD7-954E-13EADE222EE6}" destId="{F43D54AE-1949-41DA-B204-53FA2E447114}" srcOrd="3" destOrd="0" presId="urn:microsoft.com/office/officeart/2005/8/layout/process1"/>
    <dgm:cxn modelId="{080BFD78-C02D-4D3C-8348-FEDB13D3532E}" type="presParOf" srcId="{F43D54AE-1949-41DA-B204-53FA2E447114}" destId="{B3118D75-E9C7-48BF-9268-9ECD134BFA4F}" srcOrd="0" destOrd="0" presId="urn:microsoft.com/office/officeart/2005/8/layout/process1"/>
    <dgm:cxn modelId="{A01E7333-147A-4B0B-AF9E-E63DF71AB458}" type="presParOf" srcId="{746A526B-C65A-4AD7-954E-13EADE222EE6}" destId="{BE070BF5-0BFE-4540-8D53-BBD261B48571}"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84AF8-5202-4576-AAC2-90CD03C15140}">
      <dsp:nvSpPr>
        <dsp:cNvPr id="0" name=""/>
        <dsp:cNvSpPr/>
      </dsp:nvSpPr>
      <dsp:spPr>
        <a:xfrm>
          <a:off x="3499" y="55112"/>
          <a:ext cx="935287" cy="10656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Návrh projektu </a:t>
          </a:r>
          <a:r>
            <a:rPr lang="cs-CZ" sz="1100" b="1" kern="1200"/>
            <a:t>(předkladatel = potenciální řešitel)</a:t>
          </a:r>
        </a:p>
      </dsp:txBody>
      <dsp:txXfrm>
        <a:off x="30893" y="82506"/>
        <a:ext cx="880499" cy="1010813"/>
      </dsp:txXfrm>
    </dsp:sp>
    <dsp:sp modelId="{7AFA721C-D7CE-48AB-8C1A-C733D0F83A0D}">
      <dsp:nvSpPr>
        <dsp:cNvPr id="0" name=""/>
        <dsp:cNvSpPr/>
      </dsp:nvSpPr>
      <dsp:spPr>
        <a:xfrm>
          <a:off x="1004704" y="506177"/>
          <a:ext cx="139742" cy="1634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p>
      </dsp:txBody>
      <dsp:txXfrm>
        <a:off x="1004704" y="538871"/>
        <a:ext cx="97819" cy="98084"/>
      </dsp:txXfrm>
    </dsp:sp>
    <dsp:sp modelId="{144CC137-7000-41B3-B864-0A3A44458D89}">
      <dsp:nvSpPr>
        <dsp:cNvPr id="0" name=""/>
        <dsp:cNvSpPr/>
      </dsp:nvSpPr>
      <dsp:spPr>
        <a:xfrm>
          <a:off x="1202453" y="40998"/>
          <a:ext cx="892132" cy="10938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Formální posouzení (</a:t>
          </a:r>
          <a:r>
            <a:rPr lang="cs-CZ" sz="1100" b="1" kern="1200"/>
            <a:t>Komise pro posuzování návrhů projektů</a:t>
          </a:r>
          <a:r>
            <a:rPr lang="cs-CZ" sz="1100" kern="1200"/>
            <a:t>)</a:t>
          </a:r>
        </a:p>
      </dsp:txBody>
      <dsp:txXfrm>
        <a:off x="1228583" y="67128"/>
        <a:ext cx="839872" cy="1041569"/>
      </dsp:txXfrm>
    </dsp:sp>
    <dsp:sp modelId="{589CAE7B-E0A9-4002-B331-546658FB6F8C}">
      <dsp:nvSpPr>
        <dsp:cNvPr id="0" name=""/>
        <dsp:cNvSpPr/>
      </dsp:nvSpPr>
      <dsp:spPr>
        <a:xfrm>
          <a:off x="2160502" y="506177"/>
          <a:ext cx="139742" cy="1634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p>
      </dsp:txBody>
      <dsp:txXfrm>
        <a:off x="2160502" y="538871"/>
        <a:ext cx="97819" cy="98084"/>
      </dsp:txXfrm>
    </dsp:sp>
    <dsp:sp modelId="{400506A9-FCD1-452F-B5A9-7902DA24DCAB}">
      <dsp:nvSpPr>
        <dsp:cNvPr id="0" name=""/>
        <dsp:cNvSpPr/>
      </dsp:nvSpPr>
      <dsp:spPr>
        <a:xfrm>
          <a:off x="2358251" y="55112"/>
          <a:ext cx="880307" cy="10656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Odborné posudky (</a:t>
          </a:r>
          <a:r>
            <a:rPr lang="cs-CZ" sz="1100" b="1" kern="1200"/>
            <a:t>nezávislí</a:t>
          </a:r>
          <a:r>
            <a:rPr lang="cs-CZ" sz="1100" kern="1200"/>
            <a:t> </a:t>
          </a:r>
          <a:r>
            <a:rPr lang="cs-CZ" sz="1100" b="1" kern="1200"/>
            <a:t>oponenti </a:t>
          </a:r>
          <a:br>
            <a:rPr lang="cs-CZ" sz="1100" b="1" kern="1200"/>
          </a:br>
          <a:r>
            <a:rPr lang="cs-CZ" sz="1100" kern="1200"/>
            <a:t>a </a:t>
          </a:r>
          <a:r>
            <a:rPr lang="cs-CZ" sz="1100" b="1" kern="1200"/>
            <a:t>zpravodaj</a:t>
          </a:r>
          <a:r>
            <a:rPr lang="cs-CZ" sz="1100" kern="1200"/>
            <a:t>)</a:t>
          </a:r>
        </a:p>
      </dsp:txBody>
      <dsp:txXfrm>
        <a:off x="2384034" y="80895"/>
        <a:ext cx="828741" cy="1014035"/>
      </dsp:txXfrm>
    </dsp:sp>
    <dsp:sp modelId="{B6193A77-01AC-4FF3-A89E-2123CF414187}">
      <dsp:nvSpPr>
        <dsp:cNvPr id="0" name=""/>
        <dsp:cNvSpPr/>
      </dsp:nvSpPr>
      <dsp:spPr>
        <a:xfrm>
          <a:off x="3304474" y="506177"/>
          <a:ext cx="139742" cy="1634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p>
      </dsp:txBody>
      <dsp:txXfrm>
        <a:off x="3304474" y="538871"/>
        <a:ext cx="97819" cy="98084"/>
      </dsp:txXfrm>
    </dsp:sp>
    <dsp:sp modelId="{75924639-5539-4850-817A-9D683D55D90E}">
      <dsp:nvSpPr>
        <dsp:cNvPr id="0" name=""/>
        <dsp:cNvSpPr/>
      </dsp:nvSpPr>
      <dsp:spPr>
        <a:xfrm>
          <a:off x="3502224" y="55112"/>
          <a:ext cx="982464" cy="10656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Projednání projektů, posouzení jejich cílů (</a:t>
          </a:r>
          <a:r>
            <a:rPr lang="cs-CZ" sz="1100" b="1" kern="1200"/>
            <a:t>Rada Programu VI</a:t>
          </a:r>
          <a:r>
            <a:rPr lang="cs-CZ" sz="1100" kern="1200"/>
            <a:t>)</a:t>
          </a:r>
        </a:p>
      </dsp:txBody>
      <dsp:txXfrm>
        <a:off x="3530999" y="83887"/>
        <a:ext cx="924914" cy="1008051"/>
      </dsp:txXfrm>
    </dsp:sp>
    <dsp:sp modelId="{02F4E83D-7B4F-48C5-807A-770C89C68148}">
      <dsp:nvSpPr>
        <dsp:cNvPr id="0" name=""/>
        <dsp:cNvSpPr/>
      </dsp:nvSpPr>
      <dsp:spPr>
        <a:xfrm>
          <a:off x="4550604" y="506177"/>
          <a:ext cx="139742" cy="1634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p>
      </dsp:txBody>
      <dsp:txXfrm>
        <a:off x="4550604" y="538871"/>
        <a:ext cx="97819" cy="98084"/>
      </dsp:txXfrm>
    </dsp:sp>
    <dsp:sp modelId="{0981B128-43C9-4F12-97C9-296D56D0AB4B}">
      <dsp:nvSpPr>
        <dsp:cNvPr id="0" name=""/>
        <dsp:cNvSpPr/>
      </dsp:nvSpPr>
      <dsp:spPr>
        <a:xfrm>
          <a:off x="4748353" y="55112"/>
          <a:ext cx="973941" cy="10656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t>Schválení doporučených projektů </a:t>
          </a:r>
          <a:r>
            <a:rPr lang="cs-CZ" sz="1100" b="1" kern="1200"/>
            <a:t>(ministr vnitra)</a:t>
          </a:r>
          <a:endParaRPr lang="cs-CZ" sz="1100" kern="1200"/>
        </a:p>
      </dsp:txBody>
      <dsp:txXfrm>
        <a:off x="4776879" y="83638"/>
        <a:ext cx="916889" cy="10085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752BD-DF8F-4DC4-9789-2075A4229809}">
      <dsp:nvSpPr>
        <dsp:cNvPr id="0" name=""/>
        <dsp:cNvSpPr/>
      </dsp:nvSpPr>
      <dsp:spPr>
        <a:xfrm>
          <a:off x="5022" y="0"/>
          <a:ext cx="1501303" cy="7316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cs-CZ" sz="1050" kern="1200">
              <a:solidFill>
                <a:sysClr val="window" lastClr="FFFFFF"/>
              </a:solidFill>
              <a:latin typeface="Calibri" panose="020F0502020204030204"/>
              <a:ea typeface="+mn-ea"/>
              <a:cs typeface="+mn-cs"/>
            </a:rPr>
            <a:t>Identifikace výzkumných potřeb (předloženy </a:t>
          </a:r>
          <a:r>
            <a:rPr lang="cs-CZ" sz="1050" b="0" kern="1200">
              <a:solidFill>
                <a:sysClr val="window" lastClr="FFFFFF"/>
              </a:solidFill>
              <a:latin typeface="Calibri" panose="020F0502020204030204"/>
              <a:ea typeface="+mn-ea"/>
              <a:cs typeface="+mn-cs"/>
            </a:rPr>
            <a:t>orgány státní správy</a:t>
          </a:r>
          <a:r>
            <a:rPr lang="cs-CZ" sz="1050" kern="1200">
              <a:solidFill>
                <a:sysClr val="window" lastClr="FFFFFF"/>
              </a:solidFill>
              <a:latin typeface="Calibri" panose="020F0502020204030204"/>
              <a:ea typeface="+mn-ea"/>
              <a:cs typeface="+mn-cs"/>
            </a:rPr>
            <a:t>)</a:t>
          </a:r>
        </a:p>
      </dsp:txBody>
      <dsp:txXfrm>
        <a:off x="26451" y="21429"/>
        <a:ext cx="1458445" cy="688773"/>
      </dsp:txXfrm>
    </dsp:sp>
    <dsp:sp modelId="{4C29AA38-F08E-4EFA-AF16-371A7D5D40B3}">
      <dsp:nvSpPr>
        <dsp:cNvPr id="0" name=""/>
        <dsp:cNvSpPr/>
      </dsp:nvSpPr>
      <dsp:spPr>
        <a:xfrm>
          <a:off x="1656457" y="179653"/>
          <a:ext cx="318276" cy="3723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solidFill>
              <a:sysClr val="window" lastClr="FFFFFF"/>
            </a:solidFill>
            <a:latin typeface="Calibri" panose="020F0502020204030204"/>
            <a:ea typeface="+mn-ea"/>
            <a:cs typeface="+mn-cs"/>
          </a:endParaRPr>
        </a:p>
      </dsp:txBody>
      <dsp:txXfrm>
        <a:off x="1656457" y="254118"/>
        <a:ext cx="222793" cy="223393"/>
      </dsp:txXfrm>
    </dsp:sp>
    <dsp:sp modelId="{7B714445-18B3-4686-8BD7-92CCA0DD8543}">
      <dsp:nvSpPr>
        <dsp:cNvPr id="0" name=""/>
        <dsp:cNvSpPr/>
      </dsp:nvSpPr>
      <dsp:spPr>
        <a:xfrm>
          <a:off x="2106848" y="0"/>
          <a:ext cx="1501303" cy="7316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kern="1200">
              <a:solidFill>
                <a:sysClr val="window" lastClr="FFFFFF"/>
              </a:solidFill>
              <a:latin typeface="Calibri" panose="020F0502020204030204"/>
              <a:ea typeface="+mn-ea"/>
              <a:cs typeface="+mn-cs"/>
            </a:rPr>
            <a:t>Hodnocení způsobilosti a prioritizace potřeb (</a:t>
          </a:r>
          <a:r>
            <a:rPr lang="cs-CZ" sz="1100" b="1" kern="1200">
              <a:solidFill>
                <a:sysClr val="window" lastClr="FFFFFF"/>
              </a:solidFill>
              <a:latin typeface="Calibri" panose="020F0502020204030204"/>
              <a:ea typeface="+mn-ea"/>
              <a:cs typeface="+mn-cs"/>
            </a:rPr>
            <a:t>Rada programu VH</a:t>
          </a:r>
          <a:r>
            <a:rPr lang="cs-CZ" sz="1100" kern="1200">
              <a:solidFill>
                <a:sysClr val="window" lastClr="FFFFFF"/>
              </a:solidFill>
              <a:latin typeface="Calibri" panose="020F0502020204030204"/>
              <a:ea typeface="+mn-ea"/>
              <a:cs typeface="+mn-cs"/>
            </a:rPr>
            <a:t>)</a:t>
          </a:r>
        </a:p>
      </dsp:txBody>
      <dsp:txXfrm>
        <a:off x="2128277" y="21429"/>
        <a:ext cx="1458445" cy="688773"/>
      </dsp:txXfrm>
    </dsp:sp>
    <dsp:sp modelId="{F43D54AE-1949-41DA-B204-53FA2E447114}">
      <dsp:nvSpPr>
        <dsp:cNvPr id="0" name=""/>
        <dsp:cNvSpPr/>
      </dsp:nvSpPr>
      <dsp:spPr>
        <a:xfrm>
          <a:off x="3759537" y="179653"/>
          <a:ext cx="320938" cy="372323"/>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solidFill>
              <a:sysClr val="window" lastClr="FFFFFF"/>
            </a:solidFill>
            <a:latin typeface="Calibri" panose="020F0502020204030204"/>
            <a:ea typeface="+mn-ea"/>
            <a:cs typeface="+mn-cs"/>
          </a:endParaRPr>
        </a:p>
      </dsp:txBody>
      <dsp:txXfrm>
        <a:off x="3759537" y="254118"/>
        <a:ext cx="224657" cy="223393"/>
      </dsp:txXfrm>
    </dsp:sp>
    <dsp:sp modelId="{BE070BF5-0BFE-4540-8D53-BBD261B48571}">
      <dsp:nvSpPr>
        <dsp:cNvPr id="0" name=""/>
        <dsp:cNvSpPr/>
      </dsp:nvSpPr>
      <dsp:spPr>
        <a:xfrm>
          <a:off x="4213696" y="0"/>
          <a:ext cx="1501303" cy="7316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60000"/>
            </a:lnSpc>
            <a:spcBef>
              <a:spcPct val="0"/>
            </a:spcBef>
            <a:spcAft>
              <a:spcPct val="35000"/>
            </a:spcAft>
          </a:pPr>
          <a:r>
            <a:rPr lang="cs-CZ" sz="1100" kern="1200">
              <a:solidFill>
                <a:sysClr val="window" lastClr="FFFFFF"/>
              </a:solidFill>
              <a:latin typeface="Calibri" panose="020F0502020204030204"/>
              <a:ea typeface="+mn-ea"/>
              <a:cs typeface="+mn-cs"/>
            </a:rPr>
            <a:t>Zadání a  realizace VZ</a:t>
          </a:r>
        </a:p>
        <a:p>
          <a:pPr lvl="0" algn="ctr" defTabSz="488950">
            <a:lnSpc>
              <a:spcPct val="60000"/>
            </a:lnSpc>
            <a:spcBef>
              <a:spcPct val="0"/>
            </a:spcBef>
            <a:spcAft>
              <a:spcPct val="35000"/>
            </a:spcAft>
          </a:pPr>
          <a:r>
            <a:rPr lang="cs-CZ" sz="1100" kern="1200">
              <a:solidFill>
                <a:sysClr val="window" lastClr="FFFFFF"/>
              </a:solidFill>
              <a:latin typeface="Calibri" panose="020F0502020204030204"/>
              <a:ea typeface="+mn-ea"/>
              <a:cs typeface="+mn-cs"/>
            </a:rPr>
            <a:t>(</a:t>
          </a:r>
          <a:r>
            <a:rPr lang="cs-CZ" sz="1100" b="1" kern="1200">
              <a:solidFill>
                <a:sysClr val="window" lastClr="FFFFFF"/>
              </a:solidFill>
              <a:latin typeface="Calibri" panose="020F0502020204030204"/>
              <a:ea typeface="+mn-ea"/>
              <a:cs typeface="+mn-cs"/>
            </a:rPr>
            <a:t>řešitel</a:t>
          </a:r>
          <a:r>
            <a:rPr lang="cs-CZ" sz="1100" kern="1200">
              <a:solidFill>
                <a:sysClr val="window" lastClr="FFFFFF"/>
              </a:solidFill>
              <a:latin typeface="Calibri" panose="020F0502020204030204"/>
              <a:ea typeface="+mn-ea"/>
              <a:cs typeface="+mn-cs"/>
            </a:rPr>
            <a:t> </a:t>
          </a:r>
          <a:r>
            <a:rPr lang="cs-CZ" sz="1100" b="1" kern="1200">
              <a:solidFill>
                <a:sysClr val="window" lastClr="FFFFFF"/>
              </a:solidFill>
              <a:latin typeface="Calibri" panose="020F0502020204030204"/>
              <a:ea typeface="+mn-ea"/>
              <a:cs typeface="+mn-cs"/>
            </a:rPr>
            <a:t>projektu</a:t>
          </a:r>
          <a:r>
            <a:rPr lang="cs-CZ" sz="1100" kern="1200">
              <a:solidFill>
                <a:sysClr val="window" lastClr="FFFFFF"/>
              </a:solidFill>
              <a:latin typeface="Calibri" panose="020F0502020204030204"/>
              <a:ea typeface="+mn-ea"/>
              <a:cs typeface="+mn-cs"/>
            </a:rPr>
            <a:t>)</a:t>
          </a:r>
        </a:p>
      </dsp:txBody>
      <dsp:txXfrm>
        <a:off x="4235125" y="21429"/>
        <a:ext cx="1458445" cy="6887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0.63199</cdr:x>
      <cdr:y>0.13858</cdr:y>
    </cdr:from>
    <cdr:to>
      <cdr:x>0.79709</cdr:x>
      <cdr:y>0.3685</cdr:y>
    </cdr:to>
    <cdr:sp macro="" textlink="">
      <cdr:nvSpPr>
        <cdr:cNvPr id="4" name="Textové pole 2"/>
        <cdr:cNvSpPr txBox="1">
          <a:spLocks xmlns:a="http://schemas.openxmlformats.org/drawingml/2006/main" noChangeArrowheads="1"/>
        </cdr:cNvSpPr>
      </cdr:nvSpPr>
      <cdr:spPr bwMode="auto">
        <a:xfrm xmlns:a="http://schemas.openxmlformats.org/drawingml/2006/main">
          <a:off x="3587750" y="558800"/>
          <a:ext cx="937260" cy="92710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07000"/>
            </a:lnSpc>
            <a:spcAft>
              <a:spcPts val="800"/>
            </a:spcAft>
          </a:pPr>
          <a:r>
            <a:rPr lang="cs-CZ" sz="800">
              <a:solidFill>
                <a:srgbClr val="C00000"/>
              </a:solidFill>
              <a:effectLst/>
              <a:latin typeface="Calibri" panose="020F0502020204030204" pitchFamily="34" charset="0"/>
              <a:ea typeface="Calibri" panose="020F0502020204030204" pitchFamily="34" charset="0"/>
              <a:cs typeface="Times New Roman" panose="02020603050405020304" pitchFamily="18" charset="0"/>
            </a:rPr>
            <a:t>Nízké navýšení indikátorů navzdory vysokému počtu nasmlouvaných výsledků.</a:t>
          </a:r>
          <a:endParaRPr lang="cs-CZ"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0.53121</cdr:x>
      <cdr:y>0.17417</cdr:y>
    </cdr:from>
    <cdr:to>
      <cdr:x>0.69217</cdr:x>
      <cdr:y>0.53701</cdr:y>
    </cdr:to>
    <cdr:pic>
      <cdr:nvPicPr>
        <cdr:cNvPr id="5" name="Obrázek 4" descr="SIPKA_Kreslicí plátno 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015615" y="702310"/>
          <a:ext cx="913765" cy="1463040"/>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24E8-1D78-4710-A604-29F0DCBC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80FD9508.dotm</Template>
  <TotalTime>3</TotalTime>
  <Pages>25</Pages>
  <Words>8409</Words>
  <Characters>49618</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Kontrolní závěr z kontrolní akce NKÚ č. 19/11 - Podpora bezpečnostního výzkumu poskytovaná z rozpočtové kapitoly Ministerstvo vnitra</vt:lpstr>
    </vt:vector>
  </TitlesOfParts>
  <Company>NKU</Company>
  <LinksUpToDate>false</LinksUpToDate>
  <CharactersWithSpaces>57912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19/11 - Podpora bezpečnostního výzkumu poskytovaná z rozpočtové kapitoly Ministerstvo vnitra</dc:title>
  <dc:subject/>
  <dc:creator>Nejvyšší kontrolní úřad</dc:creator>
  <cp:keywords>kontrolní závěr; bezpečnostní výzkum; bezpečnost státu; ministerstvo vnitra; MV</cp:keywords>
  <dc:description/>
  <cp:lastModifiedBy>KOKRDA Daniel</cp:lastModifiedBy>
  <cp:revision>4</cp:revision>
  <cp:lastPrinted>2020-03-09T12:20:00Z</cp:lastPrinted>
  <dcterms:created xsi:type="dcterms:W3CDTF">2020-03-09T12:19:00Z</dcterms:created>
  <dcterms:modified xsi:type="dcterms:W3CDTF">2020-03-09T12:21:00Z</dcterms:modified>
</cp:coreProperties>
</file>