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E78A" w14:textId="77777777" w:rsidR="000B5E04" w:rsidRDefault="000B5E04" w:rsidP="0099191B">
      <w:pPr>
        <w:rPr>
          <w:rFonts w:ascii="Calibri" w:hAnsi="Calibri" w:cs="Calibri"/>
        </w:rPr>
      </w:pPr>
    </w:p>
    <w:p w14:paraId="01D16258" w14:textId="77777777" w:rsidR="00462F78" w:rsidRPr="00840C68" w:rsidRDefault="00CD2800" w:rsidP="00840C68">
      <w:pPr>
        <w:rPr>
          <w:rFonts w:ascii="Calibri" w:hAnsi="Calibri" w:cs="Calibri"/>
        </w:rPr>
      </w:pPr>
      <w:r w:rsidRPr="003D1C56">
        <w:rPr>
          <w:noProof/>
        </w:rPr>
        <w:drawing>
          <wp:anchor distT="0" distB="0" distL="114300" distR="114300" simplePos="0" relativeHeight="251658245" behindDoc="0" locked="0" layoutInCell="1" allowOverlap="1" wp14:anchorId="4CD42F42" wp14:editId="0325DE88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668D7" w14:textId="77777777" w:rsidR="00462F78" w:rsidRPr="003D1C56" w:rsidRDefault="00CD2800" w:rsidP="001B72F6">
      <w:pPr>
        <w:jc w:val="center"/>
        <w:rPr>
          <w:rFonts w:cstheme="minorHAnsi"/>
          <w:b/>
          <w:sz w:val="28"/>
        </w:rPr>
      </w:pPr>
      <w:r w:rsidRPr="003D1C56">
        <w:rPr>
          <w:rFonts w:cstheme="minorHAnsi"/>
          <w:b/>
          <w:sz w:val="28"/>
        </w:rPr>
        <w:t>Kontrolní závěr z kontrolní akce</w:t>
      </w:r>
    </w:p>
    <w:p w14:paraId="68E0D3A7" w14:textId="77777777" w:rsidR="00462F78" w:rsidRPr="003D1C56" w:rsidRDefault="00462F78" w:rsidP="001B72F6">
      <w:pPr>
        <w:jc w:val="center"/>
        <w:rPr>
          <w:rFonts w:ascii="Calibri" w:hAnsi="Calibri" w:cs="Calibri"/>
        </w:rPr>
      </w:pPr>
    </w:p>
    <w:p w14:paraId="14248C75" w14:textId="77777777" w:rsidR="00462F78" w:rsidRPr="00840C68" w:rsidRDefault="00CD2800" w:rsidP="00840C68">
      <w:pPr>
        <w:ind w:right="68"/>
        <w:jc w:val="center"/>
        <w:rPr>
          <w:rFonts w:ascii="Calibri" w:hAnsi="Calibri" w:cs="Calibri"/>
          <w:b/>
          <w:bCs/>
          <w:sz w:val="28"/>
        </w:rPr>
      </w:pPr>
      <w:r w:rsidRPr="003D1C56">
        <w:rPr>
          <w:rFonts w:ascii="Calibri" w:hAnsi="Calibri" w:cs="Calibri"/>
          <w:b/>
          <w:bCs/>
          <w:sz w:val="28"/>
        </w:rPr>
        <w:t>1</w:t>
      </w:r>
      <w:r w:rsidR="00167E39">
        <w:rPr>
          <w:rFonts w:ascii="Calibri" w:hAnsi="Calibri" w:cs="Calibri"/>
          <w:b/>
          <w:bCs/>
          <w:sz w:val="28"/>
        </w:rPr>
        <w:t>9</w:t>
      </w:r>
      <w:r w:rsidRPr="003D1C56">
        <w:rPr>
          <w:rFonts w:ascii="Calibri" w:hAnsi="Calibri" w:cs="Calibri"/>
          <w:b/>
          <w:bCs/>
          <w:sz w:val="28"/>
        </w:rPr>
        <w:t>/</w:t>
      </w:r>
      <w:r w:rsidR="00167E39">
        <w:rPr>
          <w:rFonts w:ascii="Calibri" w:hAnsi="Calibri" w:cs="Calibri"/>
          <w:b/>
          <w:bCs/>
          <w:sz w:val="28"/>
        </w:rPr>
        <w:t>19</w:t>
      </w:r>
    </w:p>
    <w:p w14:paraId="592D0F5D" w14:textId="2C41EAB4" w:rsidR="007347A4" w:rsidRPr="003D1C56" w:rsidRDefault="00CD2800" w:rsidP="001B72F6">
      <w:pPr>
        <w:jc w:val="center"/>
        <w:rPr>
          <w:rFonts w:cstheme="minorHAnsi"/>
          <w:b/>
          <w:sz w:val="28"/>
          <w:szCs w:val="28"/>
        </w:rPr>
      </w:pPr>
      <w:r w:rsidRPr="003D1C56">
        <w:rPr>
          <w:rFonts w:cstheme="minorHAnsi"/>
          <w:b/>
          <w:sz w:val="28"/>
          <w:szCs w:val="28"/>
        </w:rPr>
        <w:t>Peněžní</w:t>
      </w:r>
      <w:r w:rsidRPr="003D1C56">
        <w:t xml:space="preserve"> </w:t>
      </w:r>
      <w:r w:rsidRPr="003D1C56">
        <w:rPr>
          <w:rFonts w:cstheme="minorHAnsi"/>
          <w:b/>
          <w:sz w:val="28"/>
          <w:szCs w:val="28"/>
        </w:rPr>
        <w:t>prostředky</w:t>
      </w:r>
      <w:r w:rsidR="00167E39">
        <w:rPr>
          <w:rFonts w:cstheme="minorHAnsi"/>
          <w:b/>
          <w:sz w:val="28"/>
          <w:szCs w:val="28"/>
        </w:rPr>
        <w:t xml:space="preserve"> Evropské unie a státního rozpočtu vynaklád</w:t>
      </w:r>
      <w:r w:rsidR="00F50840">
        <w:rPr>
          <w:rFonts w:cstheme="minorHAnsi"/>
          <w:b/>
          <w:sz w:val="28"/>
          <w:szCs w:val="28"/>
        </w:rPr>
        <w:t>a</w:t>
      </w:r>
      <w:r w:rsidR="008F3154">
        <w:rPr>
          <w:rFonts w:cstheme="minorHAnsi"/>
          <w:b/>
          <w:sz w:val="28"/>
          <w:szCs w:val="28"/>
        </w:rPr>
        <w:t>né na </w:t>
      </w:r>
      <w:r w:rsidR="00167E39">
        <w:rPr>
          <w:rFonts w:cstheme="minorHAnsi"/>
          <w:b/>
          <w:sz w:val="28"/>
          <w:szCs w:val="28"/>
        </w:rPr>
        <w:t>podporu společného vzdělávání žáků</w:t>
      </w:r>
      <w:r w:rsidRPr="003D1C56">
        <w:rPr>
          <w:rFonts w:cstheme="minorHAnsi"/>
          <w:b/>
          <w:sz w:val="28"/>
          <w:szCs w:val="28"/>
        </w:rPr>
        <w:t xml:space="preserve"> </w:t>
      </w:r>
    </w:p>
    <w:p w14:paraId="30B338BB" w14:textId="77777777" w:rsidR="00462F78" w:rsidRPr="003D1C56" w:rsidRDefault="00462F78" w:rsidP="0099191B">
      <w:pPr>
        <w:spacing w:line="264" w:lineRule="auto"/>
        <w:rPr>
          <w:rFonts w:ascii="Calibri" w:hAnsi="Calibri" w:cs="Calibri"/>
        </w:rPr>
      </w:pPr>
    </w:p>
    <w:p w14:paraId="5B63C42F" w14:textId="0D395B4E" w:rsidR="00462F78" w:rsidRPr="003D1C56" w:rsidRDefault="00CD2800" w:rsidP="00E07045">
      <w:pPr>
        <w:pStyle w:val="Zkladn"/>
        <w:spacing w:before="0"/>
        <w:rPr>
          <w:rFonts w:ascii="Calibri" w:hAnsi="Calibri" w:cs="Calibri"/>
        </w:rPr>
      </w:pPr>
      <w:r w:rsidRPr="003D1C56">
        <w:rPr>
          <w:rFonts w:ascii="Calibri" w:hAnsi="Calibri" w:cs="Calibri"/>
        </w:rPr>
        <w:t>Kontrolní akce byla zařazena do plánu kontrolní činnosti Nejvyššího kontrolního úřadu (dále </w:t>
      </w:r>
      <w:r w:rsidR="000579F3" w:rsidRPr="003D1C56">
        <w:rPr>
          <w:rFonts w:ascii="Calibri" w:hAnsi="Calibri" w:cs="Calibri"/>
        </w:rPr>
        <w:t>t</w:t>
      </w:r>
      <w:r w:rsidR="0097252C">
        <w:rPr>
          <w:rFonts w:ascii="Calibri" w:hAnsi="Calibri" w:cs="Calibri"/>
        </w:rPr>
        <w:t>éž</w:t>
      </w:r>
      <w:r w:rsidR="000579F3" w:rsidRPr="003D1C56">
        <w:rPr>
          <w:rFonts w:ascii="Calibri" w:hAnsi="Calibri" w:cs="Calibri"/>
        </w:rPr>
        <w:t xml:space="preserve"> </w:t>
      </w:r>
      <w:r w:rsidRPr="003D1C56">
        <w:rPr>
          <w:rFonts w:ascii="Calibri" w:hAnsi="Calibri" w:cs="Calibri"/>
        </w:rPr>
        <w:t>„NKÚ“) na rok 201</w:t>
      </w:r>
      <w:r w:rsidR="00167E39">
        <w:rPr>
          <w:rFonts w:ascii="Calibri" w:hAnsi="Calibri" w:cs="Calibri"/>
        </w:rPr>
        <w:t>9</w:t>
      </w:r>
      <w:r w:rsidRPr="003D1C56">
        <w:rPr>
          <w:rFonts w:ascii="Calibri" w:hAnsi="Calibri" w:cs="Calibri"/>
        </w:rPr>
        <w:t xml:space="preserve"> pod číslem 1</w:t>
      </w:r>
      <w:r w:rsidR="00167E39">
        <w:rPr>
          <w:rFonts w:ascii="Calibri" w:hAnsi="Calibri" w:cs="Calibri"/>
        </w:rPr>
        <w:t>9</w:t>
      </w:r>
      <w:r w:rsidRPr="003D1C56">
        <w:rPr>
          <w:rFonts w:ascii="Calibri" w:hAnsi="Calibri" w:cs="Calibri"/>
        </w:rPr>
        <w:t>/</w:t>
      </w:r>
      <w:r w:rsidR="00167E39">
        <w:rPr>
          <w:rFonts w:ascii="Calibri" w:hAnsi="Calibri" w:cs="Calibri"/>
        </w:rPr>
        <w:t>19</w:t>
      </w:r>
      <w:r w:rsidRPr="003D1C56">
        <w:rPr>
          <w:rFonts w:ascii="Calibri" w:hAnsi="Calibri" w:cs="Calibri"/>
        </w:rPr>
        <w:t xml:space="preserve">. Kontrolní akci řídil a kontrolní závěr vypracoval člen NKÚ </w:t>
      </w:r>
      <w:r w:rsidR="001D380D" w:rsidRPr="003D1C56">
        <w:rPr>
          <w:rFonts w:ascii="Calibri" w:hAnsi="Calibri" w:cs="Calibri"/>
        </w:rPr>
        <w:t>Ing</w:t>
      </w:r>
      <w:r w:rsidRPr="003D1C56">
        <w:rPr>
          <w:rFonts w:ascii="Calibri" w:hAnsi="Calibri" w:cs="Calibri"/>
        </w:rPr>
        <w:t>.</w:t>
      </w:r>
      <w:r w:rsidR="001D380D" w:rsidRPr="003D1C56">
        <w:rPr>
          <w:rFonts w:ascii="Calibri" w:hAnsi="Calibri" w:cs="Calibri"/>
        </w:rPr>
        <w:t xml:space="preserve"> </w:t>
      </w:r>
      <w:r w:rsidR="00055D97" w:rsidRPr="003D1C56">
        <w:rPr>
          <w:rFonts w:ascii="Calibri" w:hAnsi="Calibri" w:cs="Calibri"/>
        </w:rPr>
        <w:t>Adolf Beznoska</w:t>
      </w:r>
      <w:r w:rsidR="001D380D" w:rsidRPr="003D1C56">
        <w:rPr>
          <w:rFonts w:ascii="Calibri" w:hAnsi="Calibri" w:cs="Calibri"/>
        </w:rPr>
        <w:t>.</w:t>
      </w:r>
    </w:p>
    <w:p w14:paraId="1D6A202F" w14:textId="69859DF6" w:rsidR="00462F78" w:rsidRPr="003D1C56" w:rsidRDefault="00CD2800" w:rsidP="00E07045">
      <w:pPr>
        <w:rPr>
          <w:rFonts w:cstheme="minorHAnsi"/>
          <w:noProof/>
          <w:color w:val="000000"/>
        </w:rPr>
      </w:pPr>
      <w:r w:rsidRPr="003D1C56">
        <w:rPr>
          <w:rFonts w:cstheme="minorHAnsi"/>
          <w:lang w:eastAsia="en-US"/>
        </w:rPr>
        <w:t xml:space="preserve">Cílem kontroly </w:t>
      </w:r>
      <w:r w:rsidR="00055D97" w:rsidRPr="003D1C56">
        <w:rPr>
          <w:rFonts w:cstheme="minorHAnsi"/>
          <w:lang w:eastAsia="en-US"/>
        </w:rPr>
        <w:t xml:space="preserve">bylo prověřit, zda </w:t>
      </w:r>
      <w:r w:rsidR="00167E39">
        <w:rPr>
          <w:rFonts w:cstheme="minorHAnsi"/>
          <w:lang w:eastAsia="en-US"/>
        </w:rPr>
        <w:t>jsou peněžní prostředky E</w:t>
      </w:r>
      <w:r w:rsidR="000826CA">
        <w:rPr>
          <w:rFonts w:cstheme="minorHAnsi"/>
          <w:lang w:eastAsia="en-US"/>
        </w:rPr>
        <w:t>vropské unie (dále též „EU“)</w:t>
      </w:r>
      <w:r w:rsidR="009978BC">
        <w:rPr>
          <w:rFonts w:cstheme="minorHAnsi"/>
          <w:lang w:eastAsia="en-US"/>
        </w:rPr>
        <w:t xml:space="preserve"> </w:t>
      </w:r>
      <w:r w:rsidR="009978BC">
        <w:rPr>
          <w:rFonts w:cstheme="minorHAnsi"/>
          <w:lang w:eastAsia="en-US"/>
        </w:rPr>
        <w:br/>
      </w:r>
      <w:r w:rsidR="00294E99">
        <w:rPr>
          <w:rFonts w:cstheme="minorHAnsi"/>
          <w:lang w:eastAsia="en-US"/>
        </w:rPr>
        <w:t>a</w:t>
      </w:r>
      <w:r w:rsidR="009978BC">
        <w:rPr>
          <w:rFonts w:cstheme="minorHAnsi"/>
          <w:lang w:eastAsia="en-US"/>
        </w:rPr>
        <w:t xml:space="preserve"> </w:t>
      </w:r>
      <w:r w:rsidR="008F3154">
        <w:rPr>
          <w:rFonts w:cstheme="minorHAnsi"/>
          <w:lang w:eastAsia="en-US"/>
        </w:rPr>
        <w:t xml:space="preserve">státního rozpočtu </w:t>
      </w:r>
      <w:r w:rsidR="0097252C">
        <w:rPr>
          <w:rFonts w:cstheme="minorHAnsi"/>
          <w:lang w:eastAsia="en-US"/>
        </w:rPr>
        <w:t xml:space="preserve">(dále též „SR“) </w:t>
      </w:r>
      <w:r w:rsidR="008F3154">
        <w:rPr>
          <w:rFonts w:cstheme="minorHAnsi"/>
          <w:lang w:eastAsia="en-US"/>
        </w:rPr>
        <w:t>určené na</w:t>
      </w:r>
      <w:r w:rsidR="003B553B">
        <w:rPr>
          <w:rFonts w:cstheme="minorHAnsi"/>
          <w:lang w:eastAsia="en-US"/>
        </w:rPr>
        <w:t xml:space="preserve"> </w:t>
      </w:r>
      <w:r w:rsidR="00167E39">
        <w:rPr>
          <w:rFonts w:cstheme="minorHAnsi"/>
          <w:lang w:eastAsia="en-US"/>
        </w:rPr>
        <w:t>podporu společného vzdělávání žáků poskytovány a používány účelně a hospodárně.</w:t>
      </w:r>
    </w:p>
    <w:p w14:paraId="0B616E23" w14:textId="23F06119" w:rsidR="00462F78" w:rsidRPr="003D1C56" w:rsidRDefault="00CD2800" w:rsidP="00E07045">
      <w:pPr>
        <w:pStyle w:val="Zkladntextodsazen"/>
        <w:ind w:left="0"/>
        <w:rPr>
          <w:rFonts w:ascii="Calibri" w:hAnsi="Calibri" w:cs="Calibri"/>
        </w:rPr>
      </w:pPr>
      <w:r w:rsidRPr="003D1C56">
        <w:rPr>
          <w:rFonts w:ascii="Calibri" w:hAnsi="Calibri" w:cs="Calibri"/>
        </w:rPr>
        <w:t>Kontrolováno bylo období od roku 201</w:t>
      </w:r>
      <w:r w:rsidR="00167E39">
        <w:rPr>
          <w:rFonts w:ascii="Calibri" w:hAnsi="Calibri" w:cs="Calibri"/>
        </w:rPr>
        <w:t>5</w:t>
      </w:r>
      <w:r w:rsidRPr="003D1C56">
        <w:rPr>
          <w:rFonts w:ascii="Calibri" w:hAnsi="Calibri" w:cs="Calibri"/>
        </w:rPr>
        <w:t xml:space="preserve"> do roku 201</w:t>
      </w:r>
      <w:r w:rsidR="00167E39">
        <w:rPr>
          <w:rFonts w:ascii="Calibri" w:hAnsi="Calibri" w:cs="Calibri"/>
        </w:rPr>
        <w:t>9</w:t>
      </w:r>
      <w:r w:rsidRPr="003D1C56">
        <w:rPr>
          <w:rFonts w:ascii="Calibri" w:hAnsi="Calibri" w:cs="Calibri"/>
        </w:rPr>
        <w:t>, v přípa</w:t>
      </w:r>
      <w:r w:rsidR="00055D97" w:rsidRPr="003D1C56">
        <w:rPr>
          <w:rFonts w:ascii="Calibri" w:hAnsi="Calibri" w:cs="Calibri"/>
        </w:rPr>
        <w:t xml:space="preserve">dě věcných souvislostí i období </w:t>
      </w:r>
      <w:r w:rsidRPr="003D1C56">
        <w:rPr>
          <w:rFonts w:ascii="Calibri" w:hAnsi="Calibri" w:cs="Calibri"/>
        </w:rPr>
        <w:t xml:space="preserve">předcházející a následující. Kontrola byla u kontrolovaných osob </w:t>
      </w:r>
      <w:r w:rsidR="00057447" w:rsidRPr="003D1C56">
        <w:rPr>
          <w:rFonts w:ascii="Calibri" w:hAnsi="Calibri" w:cs="Calibri"/>
        </w:rPr>
        <w:t xml:space="preserve">prováděna </w:t>
      </w:r>
      <w:r w:rsidRPr="003D1C56">
        <w:rPr>
          <w:rFonts w:ascii="Calibri" w:hAnsi="Calibri" w:cs="Calibri"/>
        </w:rPr>
        <w:t xml:space="preserve">od </w:t>
      </w:r>
      <w:r w:rsidR="00167E39">
        <w:rPr>
          <w:rFonts w:ascii="Calibri" w:hAnsi="Calibri" w:cs="Calibri"/>
        </w:rPr>
        <w:t>srpna</w:t>
      </w:r>
      <w:r w:rsidRPr="003D1C56">
        <w:rPr>
          <w:rFonts w:ascii="Calibri" w:hAnsi="Calibri" w:cs="Calibri"/>
        </w:rPr>
        <w:t xml:space="preserve"> </w:t>
      </w:r>
      <w:r w:rsidR="001D380D" w:rsidRPr="003D1C56">
        <w:rPr>
          <w:rFonts w:ascii="Calibri" w:hAnsi="Calibri" w:cs="Calibri"/>
        </w:rPr>
        <w:t>201</w:t>
      </w:r>
      <w:r w:rsidR="00167E39">
        <w:rPr>
          <w:rFonts w:ascii="Calibri" w:hAnsi="Calibri" w:cs="Calibri"/>
        </w:rPr>
        <w:t>9</w:t>
      </w:r>
      <w:r w:rsidR="001D380D" w:rsidRPr="003D1C56">
        <w:rPr>
          <w:rFonts w:ascii="Calibri" w:hAnsi="Calibri" w:cs="Calibri"/>
        </w:rPr>
        <w:t xml:space="preserve"> </w:t>
      </w:r>
      <w:r w:rsidR="008F3154">
        <w:rPr>
          <w:rFonts w:ascii="Calibri" w:hAnsi="Calibri" w:cs="Calibri"/>
        </w:rPr>
        <w:t>do </w:t>
      </w:r>
      <w:r w:rsidR="001A199B">
        <w:rPr>
          <w:rFonts w:ascii="Calibri" w:hAnsi="Calibri" w:cs="Calibri"/>
        </w:rPr>
        <w:t xml:space="preserve">března </w:t>
      </w:r>
      <w:r w:rsidRPr="003D1C56">
        <w:rPr>
          <w:rFonts w:ascii="Calibri" w:hAnsi="Calibri" w:cs="Calibri"/>
        </w:rPr>
        <w:t>20</w:t>
      </w:r>
      <w:r w:rsidR="00167E39">
        <w:rPr>
          <w:rFonts w:ascii="Calibri" w:hAnsi="Calibri" w:cs="Calibri"/>
        </w:rPr>
        <w:t>20</w:t>
      </w:r>
      <w:r w:rsidRPr="003D1C56">
        <w:rPr>
          <w:rFonts w:ascii="Calibri" w:hAnsi="Calibri" w:cs="Calibri"/>
        </w:rPr>
        <w:t>.</w:t>
      </w:r>
    </w:p>
    <w:p w14:paraId="0D7EEBD8" w14:textId="77777777" w:rsidR="00462F78" w:rsidRPr="003D1C56" w:rsidRDefault="00CD2800" w:rsidP="00FE5543">
      <w:pPr>
        <w:pStyle w:val="Zkladn"/>
        <w:spacing w:before="0" w:after="0"/>
        <w:rPr>
          <w:rFonts w:ascii="Calibri" w:hAnsi="Calibri" w:cs="Calibri"/>
          <w:b/>
        </w:rPr>
      </w:pPr>
      <w:r w:rsidRPr="003D1C56">
        <w:rPr>
          <w:rFonts w:ascii="Calibri" w:hAnsi="Calibri" w:cs="Calibri"/>
          <w:b/>
        </w:rPr>
        <w:t>Kontrolované osoby:</w:t>
      </w:r>
    </w:p>
    <w:p w14:paraId="592A6687" w14:textId="1FF64FE6" w:rsidR="005E5302" w:rsidRDefault="00CD2800" w:rsidP="00FE5543">
      <w:pPr>
        <w:pStyle w:val="Zkladn"/>
        <w:spacing w:before="0"/>
        <w:rPr>
          <w:rFonts w:ascii="Calibri" w:hAnsi="Calibri" w:cs="Calibri"/>
        </w:rPr>
      </w:pPr>
      <w:r w:rsidRPr="00510C79">
        <w:rPr>
          <w:rFonts w:ascii="Calibri" w:hAnsi="Calibri" w:cs="Calibri"/>
        </w:rPr>
        <w:t xml:space="preserve">Ministerstvo </w:t>
      </w:r>
      <w:r w:rsidR="00167E39" w:rsidRPr="00510C79">
        <w:rPr>
          <w:rFonts w:ascii="Calibri" w:hAnsi="Calibri" w:cs="Calibri"/>
        </w:rPr>
        <w:t>školství, mládeže a tělovýchovy</w:t>
      </w:r>
      <w:r w:rsidRPr="00510C79">
        <w:rPr>
          <w:rFonts w:ascii="Calibri" w:hAnsi="Calibri" w:cs="Calibri"/>
        </w:rPr>
        <w:t xml:space="preserve"> (dále t</w:t>
      </w:r>
      <w:r w:rsidR="0097252C" w:rsidRPr="00510C79">
        <w:rPr>
          <w:rFonts w:ascii="Calibri" w:hAnsi="Calibri" w:cs="Calibri"/>
        </w:rPr>
        <w:t>éž</w:t>
      </w:r>
      <w:r w:rsidRPr="00510C79">
        <w:rPr>
          <w:rFonts w:ascii="Calibri" w:hAnsi="Calibri" w:cs="Calibri"/>
        </w:rPr>
        <w:t xml:space="preserve"> „M</w:t>
      </w:r>
      <w:r w:rsidR="00167E39" w:rsidRPr="00510C79">
        <w:rPr>
          <w:rFonts w:ascii="Calibri" w:hAnsi="Calibri" w:cs="Calibri"/>
        </w:rPr>
        <w:t>ŠMT</w:t>
      </w:r>
      <w:r w:rsidRPr="00510C79">
        <w:rPr>
          <w:rFonts w:ascii="Calibri" w:hAnsi="Calibri" w:cs="Calibri"/>
        </w:rPr>
        <w:t xml:space="preserve">“); </w:t>
      </w:r>
      <w:r w:rsidR="00556693">
        <w:rPr>
          <w:rFonts w:ascii="Calibri" w:hAnsi="Calibri" w:cs="Calibri"/>
        </w:rPr>
        <w:t>hlavní město Praha</w:t>
      </w:r>
      <w:r w:rsidR="00167E39" w:rsidRPr="00510C79">
        <w:rPr>
          <w:rFonts w:ascii="Calibri" w:hAnsi="Calibri" w:cs="Calibri"/>
        </w:rPr>
        <w:t xml:space="preserve"> (dále též „HMP“)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Ministerstvo pro místní rozvoj (dále též „MMR“)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Centrum pro regionální rozvoj České republiky</w:t>
      </w:r>
      <w:r w:rsidR="00A0186E" w:rsidRPr="00510C79">
        <w:rPr>
          <w:rFonts w:ascii="Calibri" w:hAnsi="Calibri" w:cs="Calibri"/>
        </w:rPr>
        <w:t>, Praha</w:t>
      </w:r>
      <w:r w:rsidR="00EA5761" w:rsidRPr="00510C79" w:rsidDel="00EA5761">
        <w:rPr>
          <w:rFonts w:ascii="Calibri" w:hAnsi="Calibri" w:cs="Calibri"/>
        </w:rPr>
        <w:t xml:space="preserve"> </w:t>
      </w:r>
      <w:r w:rsidR="00167E39" w:rsidRPr="00510C79">
        <w:rPr>
          <w:rFonts w:ascii="Calibri" w:hAnsi="Calibri" w:cs="Calibri"/>
        </w:rPr>
        <w:t>(dále též „CRR ČR“)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Úřad vlády České republiky (dále též „ÚV ČR“)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Národní institut pro další vzdělávání (zařízení pro další vzdělávání pedagogických pracovníků)</w:t>
      </w:r>
      <w:r w:rsidR="0003790F" w:rsidRPr="00510C79">
        <w:rPr>
          <w:rFonts w:ascii="Calibri" w:hAnsi="Calibri" w:cs="Calibri"/>
        </w:rPr>
        <w:t>, Praha</w:t>
      </w:r>
      <w:r w:rsidR="00167E39" w:rsidRPr="00510C79">
        <w:rPr>
          <w:rFonts w:ascii="Calibri" w:hAnsi="Calibri" w:cs="Calibri"/>
        </w:rPr>
        <w:t xml:space="preserve"> (dále též „NIDV“)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Národní ústav pro vzdělávání, školské poradenské zařízení a zařízení pro další vzdělávání pedagogických pracovníků</w:t>
      </w:r>
      <w:r w:rsidR="00AE7634" w:rsidRPr="00510C79">
        <w:rPr>
          <w:rFonts w:ascii="Calibri" w:hAnsi="Calibri" w:cs="Calibri"/>
        </w:rPr>
        <w:t>, Praha</w:t>
      </w:r>
      <w:r w:rsidR="00167E39" w:rsidRPr="00510C79">
        <w:rPr>
          <w:rFonts w:ascii="Calibri" w:hAnsi="Calibri" w:cs="Calibri"/>
        </w:rPr>
        <w:t xml:space="preserve"> (dále též „NÚV“)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</w:t>
      </w:r>
      <w:r w:rsidR="00BE3C20" w:rsidRPr="00510C79">
        <w:rPr>
          <w:rFonts w:ascii="Calibri" w:hAnsi="Calibri" w:cs="Calibri"/>
        </w:rPr>
        <w:t>Národní pedagogický institut Č</w:t>
      </w:r>
      <w:r w:rsidR="00596924" w:rsidRPr="00510C79">
        <w:rPr>
          <w:rFonts w:ascii="Calibri" w:hAnsi="Calibri" w:cs="Calibri"/>
        </w:rPr>
        <w:t>eské republiky</w:t>
      </w:r>
      <w:r w:rsidR="00BE3C20" w:rsidRPr="00510C79">
        <w:rPr>
          <w:rFonts w:ascii="Calibri" w:hAnsi="Calibri" w:cs="Calibri"/>
        </w:rPr>
        <w:t xml:space="preserve"> </w:t>
      </w:r>
      <w:r w:rsidR="00446599" w:rsidRPr="00510C79">
        <w:rPr>
          <w:rFonts w:ascii="Calibri" w:hAnsi="Calibri" w:cs="Calibri"/>
        </w:rPr>
        <w:t>(zařízení pro další vzdělávání pedagogických pracovníků)</w:t>
      </w:r>
      <w:r w:rsidR="00D04464" w:rsidRPr="00510C79">
        <w:rPr>
          <w:rFonts w:ascii="Calibri" w:hAnsi="Calibri" w:cs="Calibri"/>
        </w:rPr>
        <w:t>, Praha</w:t>
      </w:r>
      <w:r w:rsidR="00A30003" w:rsidRPr="00510C79">
        <w:rPr>
          <w:rFonts w:ascii="Calibri" w:hAnsi="Calibri" w:cs="Calibri"/>
        </w:rPr>
        <w:t xml:space="preserve"> </w:t>
      </w:r>
      <w:r w:rsidR="00D80E0A" w:rsidRPr="00510C79">
        <w:rPr>
          <w:rFonts w:ascii="Calibri" w:hAnsi="Calibri" w:cs="Calibri"/>
        </w:rPr>
        <w:t xml:space="preserve">(dále též „NPI“) </w:t>
      </w:r>
      <w:r w:rsidR="00BE3C20" w:rsidRPr="00510C79">
        <w:rPr>
          <w:rFonts w:ascii="Calibri" w:hAnsi="Calibri" w:cs="Calibri"/>
        </w:rPr>
        <w:t>(</w:t>
      </w:r>
      <w:r w:rsidR="00596924" w:rsidRPr="00510C79">
        <w:rPr>
          <w:rFonts w:ascii="Calibri" w:hAnsi="Calibri" w:cs="Calibri"/>
        </w:rPr>
        <w:t xml:space="preserve">instituce vznikla sloučením NIDV a </w:t>
      </w:r>
      <w:r w:rsidR="003760C3" w:rsidRPr="00510C79">
        <w:rPr>
          <w:rFonts w:ascii="Calibri" w:hAnsi="Calibri" w:cs="Calibri"/>
        </w:rPr>
        <w:t xml:space="preserve">NÚV </w:t>
      </w:r>
      <w:r w:rsidR="00BE3C20" w:rsidRPr="00510C79">
        <w:rPr>
          <w:rFonts w:ascii="Calibri" w:hAnsi="Calibri" w:cs="Calibri"/>
        </w:rPr>
        <w:t>a změn</w:t>
      </w:r>
      <w:r w:rsidR="00596924" w:rsidRPr="00510C79">
        <w:rPr>
          <w:rFonts w:ascii="Calibri" w:hAnsi="Calibri" w:cs="Calibri"/>
        </w:rPr>
        <w:t xml:space="preserve">ou názvu právního nástupce); </w:t>
      </w:r>
      <w:r w:rsidR="007B3127" w:rsidRPr="00510C79">
        <w:rPr>
          <w:rFonts w:ascii="Calibri" w:hAnsi="Calibri" w:cs="Calibri"/>
        </w:rPr>
        <w:t>Člověk v </w:t>
      </w:r>
      <w:r w:rsidR="00167E39" w:rsidRPr="00510C79">
        <w:rPr>
          <w:rFonts w:ascii="Calibri" w:hAnsi="Calibri" w:cs="Calibri"/>
        </w:rPr>
        <w:t>tísni, o.p.s.</w:t>
      </w:r>
      <w:r w:rsidR="007637F8" w:rsidRPr="00510C79">
        <w:rPr>
          <w:rFonts w:ascii="Calibri" w:hAnsi="Calibri" w:cs="Calibri"/>
        </w:rPr>
        <w:t>, Praha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META, o.p.s.</w:t>
      </w:r>
      <w:r w:rsidR="008F3154" w:rsidRPr="00510C79">
        <w:rPr>
          <w:rFonts w:ascii="Calibri" w:hAnsi="Calibri" w:cs="Calibri"/>
        </w:rPr>
        <w:t> </w:t>
      </w:r>
      <w:r w:rsidR="00167E39" w:rsidRPr="00510C79">
        <w:rPr>
          <w:rFonts w:ascii="Calibri" w:hAnsi="Calibri" w:cs="Calibri"/>
        </w:rPr>
        <w:t>–</w:t>
      </w:r>
      <w:r w:rsidR="008F3154" w:rsidRPr="00510C79">
        <w:rPr>
          <w:rFonts w:ascii="Calibri" w:hAnsi="Calibri" w:cs="Calibri"/>
        </w:rPr>
        <w:t> </w:t>
      </w:r>
      <w:r w:rsidR="00167E39" w:rsidRPr="00510C79">
        <w:rPr>
          <w:rFonts w:ascii="Calibri" w:hAnsi="Calibri" w:cs="Calibri"/>
        </w:rPr>
        <w:t>Společnost pro příležitosti mladých migrantů</w:t>
      </w:r>
      <w:r w:rsidR="00662541" w:rsidRPr="00510C79">
        <w:rPr>
          <w:rFonts w:ascii="Calibri" w:hAnsi="Calibri" w:cs="Calibri"/>
        </w:rPr>
        <w:t>, Praha</w:t>
      </w:r>
      <w:r w:rsidR="00446599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Moravskoslezský kraj</w:t>
      </w:r>
      <w:r w:rsidR="007637F8" w:rsidRPr="00510C79">
        <w:rPr>
          <w:rFonts w:ascii="Calibri" w:hAnsi="Calibri" w:cs="Calibri"/>
        </w:rPr>
        <w:t>, Ostrava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Střední škola André </w:t>
      </w:r>
      <w:proofErr w:type="spellStart"/>
      <w:r w:rsidR="00167E39" w:rsidRPr="00510C79">
        <w:rPr>
          <w:rFonts w:ascii="Calibri" w:hAnsi="Calibri" w:cs="Calibri"/>
        </w:rPr>
        <w:t>Citroëna</w:t>
      </w:r>
      <w:proofErr w:type="spellEnd"/>
      <w:r w:rsidR="00167E39" w:rsidRPr="00510C79">
        <w:rPr>
          <w:rFonts w:ascii="Calibri" w:hAnsi="Calibri" w:cs="Calibri"/>
        </w:rPr>
        <w:t xml:space="preserve"> Boskovice, příspěvková organizace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Střední průmyslová škola chemická Brno,</w:t>
      </w:r>
      <w:r w:rsidR="00A40BD5" w:rsidRPr="00510C79">
        <w:rPr>
          <w:rFonts w:ascii="Calibri" w:hAnsi="Calibri" w:cs="Calibri"/>
        </w:rPr>
        <w:t xml:space="preserve"> </w:t>
      </w:r>
      <w:r w:rsidR="00446599" w:rsidRPr="00510C79">
        <w:rPr>
          <w:rFonts w:ascii="Calibri" w:hAnsi="Calibri" w:cs="Calibri"/>
        </w:rPr>
        <w:t>Vranovská,</w:t>
      </w:r>
      <w:r w:rsidR="00202989" w:rsidRPr="00510C79">
        <w:rPr>
          <w:rFonts w:ascii="Calibri" w:hAnsi="Calibri" w:cs="Calibri"/>
        </w:rPr>
        <w:t xml:space="preserve"> </w:t>
      </w:r>
      <w:r w:rsidR="00A40BD5" w:rsidRPr="00510C79">
        <w:rPr>
          <w:rFonts w:ascii="Calibri" w:hAnsi="Calibri" w:cs="Calibri"/>
        </w:rPr>
        <w:t>příspěvková organizace;</w:t>
      </w:r>
      <w:r w:rsidR="00167E39" w:rsidRPr="00510C79">
        <w:rPr>
          <w:rFonts w:ascii="Calibri" w:hAnsi="Calibri" w:cs="Calibri"/>
        </w:rPr>
        <w:t xml:space="preserve"> Střední škola obchodní,</w:t>
      </w:r>
      <w:r w:rsidR="00A40BD5" w:rsidRPr="00510C79">
        <w:rPr>
          <w:rFonts w:ascii="Calibri" w:hAnsi="Calibri" w:cs="Calibri"/>
        </w:rPr>
        <w:t xml:space="preserve"> České Budějovice</w:t>
      </w:r>
      <w:r w:rsidR="00202989" w:rsidRPr="00510C79">
        <w:rPr>
          <w:rFonts w:ascii="Calibri" w:hAnsi="Calibri" w:cs="Calibri"/>
        </w:rPr>
        <w:t>, Husova 9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Vyšší odborná škola, Střední průmyslová škola automobilní a</w:t>
      </w:r>
      <w:r w:rsidR="008F3154" w:rsidRPr="00510C79">
        <w:rPr>
          <w:rFonts w:ascii="Calibri" w:hAnsi="Calibri" w:cs="Calibri"/>
        </w:rPr>
        <w:t> </w:t>
      </w:r>
      <w:r w:rsidR="00167E39" w:rsidRPr="00510C79">
        <w:rPr>
          <w:rFonts w:ascii="Calibri" w:hAnsi="Calibri" w:cs="Calibri"/>
        </w:rPr>
        <w:t>technická, České Budějovice</w:t>
      </w:r>
      <w:r w:rsidR="00202989" w:rsidRPr="00510C79">
        <w:rPr>
          <w:rFonts w:ascii="Calibri" w:hAnsi="Calibri" w:cs="Calibri"/>
        </w:rPr>
        <w:t xml:space="preserve">, </w:t>
      </w:r>
      <w:proofErr w:type="spellStart"/>
      <w:r w:rsidR="00202989" w:rsidRPr="00510C79">
        <w:rPr>
          <w:rFonts w:ascii="Calibri" w:hAnsi="Calibri" w:cs="Calibri"/>
        </w:rPr>
        <w:t>Skuherského</w:t>
      </w:r>
      <w:proofErr w:type="spellEnd"/>
      <w:r w:rsidR="00202989" w:rsidRPr="00510C79">
        <w:rPr>
          <w:rFonts w:ascii="Calibri" w:hAnsi="Calibri" w:cs="Calibri"/>
        </w:rPr>
        <w:t xml:space="preserve"> 3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Základní škola a Mateřská škola Holoubkov, okres Rokycany, příspěvková organizace</w:t>
      </w:r>
      <w:r w:rsidR="00A40BD5" w:rsidRPr="00510C79">
        <w:rPr>
          <w:rFonts w:ascii="Calibri" w:hAnsi="Calibri" w:cs="Calibri"/>
        </w:rPr>
        <w:t>;</w:t>
      </w:r>
      <w:r w:rsidR="00167E39" w:rsidRPr="00510C79">
        <w:rPr>
          <w:rFonts w:ascii="Calibri" w:hAnsi="Calibri" w:cs="Calibri"/>
        </w:rPr>
        <w:t xml:space="preserve"> Základní škola Odry, </w:t>
      </w:r>
      <w:r w:rsidR="00202989" w:rsidRPr="00510C79">
        <w:rPr>
          <w:rFonts w:ascii="Calibri" w:hAnsi="Calibri" w:cs="Calibri"/>
        </w:rPr>
        <w:t>Komenského 6</w:t>
      </w:r>
      <w:r w:rsidR="00A30003" w:rsidRPr="00510C79">
        <w:rPr>
          <w:rFonts w:ascii="Calibri" w:hAnsi="Calibri" w:cs="Calibri"/>
        </w:rPr>
        <w:t>,</w:t>
      </w:r>
      <w:r w:rsidR="00202989" w:rsidRPr="00510C79">
        <w:rPr>
          <w:rFonts w:ascii="Calibri" w:hAnsi="Calibri" w:cs="Calibri"/>
        </w:rPr>
        <w:t xml:space="preserve"> </w:t>
      </w:r>
      <w:r w:rsidR="00A40BD5" w:rsidRPr="00510C79">
        <w:rPr>
          <w:rFonts w:ascii="Calibri" w:hAnsi="Calibri" w:cs="Calibri"/>
        </w:rPr>
        <w:t xml:space="preserve">příspěvková organizace; </w:t>
      </w:r>
      <w:r w:rsidR="00167E39" w:rsidRPr="00510C79">
        <w:rPr>
          <w:rFonts w:ascii="Calibri" w:hAnsi="Calibri" w:cs="Calibri"/>
        </w:rPr>
        <w:t>Západočeská univerzita v Plzni.</w:t>
      </w:r>
      <w:r w:rsidR="00167E39">
        <w:rPr>
          <w:rFonts w:ascii="Calibri" w:hAnsi="Calibri" w:cs="Calibri"/>
        </w:rPr>
        <w:t xml:space="preserve"> </w:t>
      </w:r>
    </w:p>
    <w:p w14:paraId="4AAC3790" w14:textId="77777777" w:rsidR="00462F78" w:rsidRPr="003D1C56" w:rsidRDefault="00462F78" w:rsidP="0099191B">
      <w:pPr>
        <w:ind w:right="70"/>
        <w:rPr>
          <w:rFonts w:ascii="Calibri" w:hAnsi="Calibri" w:cs="Calibri"/>
        </w:rPr>
      </w:pPr>
    </w:p>
    <w:p w14:paraId="4BDC6614" w14:textId="3FC042AF" w:rsidR="00462F78" w:rsidRPr="003D1C56" w:rsidRDefault="00CD2800" w:rsidP="0099191B">
      <w:pPr>
        <w:ind w:right="70"/>
        <w:rPr>
          <w:rFonts w:ascii="Calibri" w:hAnsi="Calibri" w:cs="Calibri"/>
        </w:rPr>
      </w:pPr>
      <w:r w:rsidRPr="003D1C56">
        <w:rPr>
          <w:rFonts w:ascii="Calibri" w:hAnsi="Calibri" w:cs="Calibri"/>
          <w:b/>
          <w:bCs/>
          <w:i/>
          <w:iCs/>
        </w:rPr>
        <w:t>K o l e g i u m</w:t>
      </w:r>
      <w:r w:rsidRPr="003D1C56">
        <w:rPr>
          <w:rFonts w:ascii="Calibri" w:hAnsi="Calibri" w:cs="Calibri"/>
        </w:rPr>
        <w:t xml:space="preserve">   </w:t>
      </w:r>
      <w:r w:rsidRPr="003D1C56">
        <w:rPr>
          <w:rFonts w:ascii="Calibri" w:hAnsi="Calibri" w:cs="Calibri"/>
          <w:b/>
          <w:bCs/>
          <w:i/>
          <w:iCs/>
        </w:rPr>
        <w:t xml:space="preserve">N K Ú  </w:t>
      </w:r>
      <w:r w:rsidRPr="003D1C56">
        <w:rPr>
          <w:rFonts w:ascii="Calibri" w:hAnsi="Calibri" w:cs="Calibri"/>
          <w:b/>
          <w:bCs/>
          <w:iCs/>
        </w:rPr>
        <w:t xml:space="preserve"> </w:t>
      </w:r>
      <w:r w:rsidR="00293B21" w:rsidRPr="003D1C56">
        <w:rPr>
          <w:rFonts w:ascii="Calibri" w:hAnsi="Calibri" w:cs="Calibri"/>
        </w:rPr>
        <w:t xml:space="preserve">na </w:t>
      </w:r>
      <w:r w:rsidR="00293B21" w:rsidRPr="008D3D9A">
        <w:rPr>
          <w:rFonts w:ascii="Calibri" w:hAnsi="Calibri" w:cs="Calibri"/>
        </w:rPr>
        <w:t xml:space="preserve">svém </w:t>
      </w:r>
      <w:r w:rsidR="00CC570B">
        <w:rPr>
          <w:rFonts w:ascii="Calibri" w:hAnsi="Calibri" w:cs="Calibri"/>
        </w:rPr>
        <w:t>XII</w:t>
      </w:r>
      <w:r w:rsidR="00AA3071" w:rsidRPr="008D3D9A">
        <w:rPr>
          <w:rFonts w:ascii="Calibri" w:hAnsi="Calibri" w:cs="Calibri"/>
        </w:rPr>
        <w:t>.</w:t>
      </w:r>
      <w:r w:rsidRPr="008D3D9A">
        <w:rPr>
          <w:rFonts w:ascii="Calibri" w:hAnsi="Calibri" w:cs="Calibri"/>
        </w:rPr>
        <w:t xml:space="preserve"> jednání</w:t>
      </w:r>
      <w:r w:rsidRPr="003D1C56">
        <w:rPr>
          <w:rFonts w:ascii="Calibri" w:hAnsi="Calibri" w:cs="Calibri"/>
        </w:rPr>
        <w:t xml:space="preserve">, které se konalo dne </w:t>
      </w:r>
      <w:r w:rsidR="00CC570B">
        <w:rPr>
          <w:rFonts w:ascii="Calibri" w:hAnsi="Calibri" w:cs="Calibri"/>
        </w:rPr>
        <w:t xml:space="preserve">17. </w:t>
      </w:r>
      <w:r w:rsidR="008D3D9A">
        <w:rPr>
          <w:rFonts w:ascii="Calibri" w:hAnsi="Calibri" w:cs="Calibri"/>
        </w:rPr>
        <w:t xml:space="preserve">srpna </w:t>
      </w:r>
      <w:r w:rsidRPr="008D3D9A">
        <w:rPr>
          <w:rFonts w:ascii="Calibri" w:hAnsi="Calibri" w:cs="Calibri"/>
        </w:rPr>
        <w:t>20</w:t>
      </w:r>
      <w:r w:rsidR="00167E39" w:rsidRPr="008D3D9A">
        <w:rPr>
          <w:rFonts w:ascii="Calibri" w:hAnsi="Calibri" w:cs="Calibri"/>
        </w:rPr>
        <w:t>20</w:t>
      </w:r>
      <w:r w:rsidRPr="008D3D9A">
        <w:rPr>
          <w:rFonts w:ascii="Calibri" w:hAnsi="Calibri" w:cs="Calibri"/>
        </w:rPr>
        <w:t>,</w:t>
      </w:r>
      <w:r w:rsidRPr="003D1C56">
        <w:rPr>
          <w:rFonts w:ascii="Calibri" w:hAnsi="Calibri" w:cs="Calibri"/>
        </w:rPr>
        <w:t xml:space="preserve"> </w:t>
      </w:r>
    </w:p>
    <w:p w14:paraId="6144F424" w14:textId="2E459B72" w:rsidR="00462F78" w:rsidRPr="003D1C56" w:rsidRDefault="00CD2800" w:rsidP="0099191B">
      <w:pPr>
        <w:ind w:right="68"/>
        <w:rPr>
          <w:rFonts w:ascii="Calibri" w:hAnsi="Calibri" w:cs="Calibri"/>
        </w:rPr>
      </w:pPr>
      <w:proofErr w:type="gramStart"/>
      <w:r w:rsidRPr="003D1C56">
        <w:rPr>
          <w:rFonts w:ascii="Calibri" w:hAnsi="Calibri" w:cs="Calibri"/>
          <w:b/>
          <w:bCs/>
          <w:i/>
          <w:iCs/>
        </w:rPr>
        <w:t>s c h v á l i l o</w:t>
      </w:r>
      <w:r w:rsidRPr="003D1C56">
        <w:rPr>
          <w:rFonts w:ascii="Calibri" w:hAnsi="Calibri" w:cs="Calibri"/>
        </w:rPr>
        <w:t xml:space="preserve">   usnesením č</w:t>
      </w:r>
      <w:r w:rsidRPr="008D3D9A">
        <w:rPr>
          <w:rFonts w:ascii="Calibri" w:hAnsi="Calibri" w:cs="Calibri"/>
        </w:rPr>
        <w:t>.</w:t>
      </w:r>
      <w:proofErr w:type="gramEnd"/>
      <w:r w:rsidRPr="008D3D9A">
        <w:rPr>
          <w:rFonts w:ascii="Calibri" w:hAnsi="Calibri" w:cs="Calibri"/>
        </w:rPr>
        <w:t xml:space="preserve"> </w:t>
      </w:r>
      <w:r w:rsidR="00C05CE1">
        <w:rPr>
          <w:rFonts w:ascii="Calibri" w:hAnsi="Calibri" w:cs="Calibri"/>
        </w:rPr>
        <w:t>9</w:t>
      </w:r>
      <w:r w:rsidRPr="008D3D9A">
        <w:rPr>
          <w:rFonts w:ascii="Calibri" w:hAnsi="Calibri" w:cs="Calibri"/>
        </w:rPr>
        <w:t>/</w:t>
      </w:r>
      <w:r w:rsidR="00CC570B">
        <w:rPr>
          <w:rFonts w:ascii="Calibri" w:hAnsi="Calibri" w:cs="Calibri"/>
        </w:rPr>
        <w:t>XII</w:t>
      </w:r>
      <w:r w:rsidRPr="008D3D9A">
        <w:rPr>
          <w:rFonts w:ascii="Calibri" w:hAnsi="Calibri" w:cs="Calibri"/>
        </w:rPr>
        <w:t>/20</w:t>
      </w:r>
      <w:r w:rsidR="00167E39" w:rsidRPr="008D3D9A">
        <w:rPr>
          <w:rFonts w:ascii="Calibri" w:hAnsi="Calibri" w:cs="Calibri"/>
        </w:rPr>
        <w:t>20</w:t>
      </w:r>
      <w:r w:rsidRPr="003D1C56">
        <w:rPr>
          <w:rFonts w:ascii="Calibri" w:hAnsi="Calibri" w:cs="Calibri"/>
        </w:rPr>
        <w:t xml:space="preserve"> </w:t>
      </w:r>
    </w:p>
    <w:p w14:paraId="2D56F1FB" w14:textId="77777777" w:rsidR="00462F78" w:rsidRPr="003D1C56" w:rsidRDefault="00CD2800" w:rsidP="00556693">
      <w:pPr>
        <w:spacing w:after="240"/>
        <w:ind w:right="70"/>
        <w:rPr>
          <w:rFonts w:ascii="Calibri" w:hAnsi="Calibri" w:cs="Calibri"/>
        </w:rPr>
      </w:pPr>
      <w:r w:rsidRPr="003D1C56">
        <w:rPr>
          <w:rFonts w:ascii="Calibri" w:hAnsi="Calibri" w:cs="Calibri"/>
          <w:b/>
          <w:bCs/>
          <w:i/>
          <w:iCs/>
        </w:rPr>
        <w:t>k o n t r o l n í   z á v ě r</w:t>
      </w:r>
      <w:r w:rsidRPr="003D1C56">
        <w:rPr>
          <w:rFonts w:ascii="Calibri" w:hAnsi="Calibri" w:cs="Calibri"/>
        </w:rPr>
        <w:t xml:space="preserve">   v tomto znění:</w:t>
      </w:r>
    </w:p>
    <w:p w14:paraId="0571FB77" w14:textId="0AFDB75B" w:rsidR="00760777" w:rsidRDefault="005F304A" w:rsidP="006770B0">
      <w:pPr>
        <w:widowControl w:val="0"/>
        <w:spacing w:after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94" behindDoc="0" locked="0" layoutInCell="1" allowOverlap="1" wp14:anchorId="5C83AFD0" wp14:editId="4E318C31">
            <wp:simplePos x="0" y="0"/>
            <wp:positionH relativeFrom="column">
              <wp:posOffset>539170</wp:posOffset>
            </wp:positionH>
            <wp:positionV relativeFrom="paragraph">
              <wp:posOffset>402590</wp:posOffset>
            </wp:positionV>
            <wp:extent cx="4623846" cy="2764800"/>
            <wp:effectExtent l="0" t="0" r="571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4623846" cy="27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C1" w:rsidRPr="00DF2814">
        <w:rPr>
          <w:b/>
        </w:rPr>
        <w:t xml:space="preserve">Výdaje, které </w:t>
      </w:r>
      <w:r w:rsidR="00B86DCD">
        <w:rPr>
          <w:b/>
        </w:rPr>
        <w:t xml:space="preserve">k 30. 6. 2019 </w:t>
      </w:r>
      <w:r w:rsidR="00BF7BC1">
        <w:rPr>
          <w:b/>
        </w:rPr>
        <w:t>proplatil</w:t>
      </w:r>
      <w:r w:rsidR="008611D7">
        <w:rPr>
          <w:b/>
        </w:rPr>
        <w:t>y</w:t>
      </w:r>
      <w:r w:rsidR="00BF7BC1">
        <w:rPr>
          <w:b/>
        </w:rPr>
        <w:t xml:space="preserve"> </w:t>
      </w:r>
      <w:r w:rsidR="00BF7BC1" w:rsidRPr="00DF2814">
        <w:rPr>
          <w:b/>
        </w:rPr>
        <w:t>MŠMT</w:t>
      </w:r>
      <w:r w:rsidR="00BF7BC1">
        <w:rPr>
          <w:b/>
        </w:rPr>
        <w:t xml:space="preserve">, MMR a HMP </w:t>
      </w:r>
      <w:r w:rsidR="00BF7BC1" w:rsidRPr="00DF2814">
        <w:rPr>
          <w:b/>
        </w:rPr>
        <w:t xml:space="preserve">v projektech a programech zaměřených </w:t>
      </w:r>
      <w:r w:rsidR="00A87455">
        <w:rPr>
          <w:b/>
        </w:rPr>
        <w:t xml:space="preserve">na </w:t>
      </w:r>
      <w:r w:rsidR="00AB24A9">
        <w:rPr>
          <w:b/>
        </w:rPr>
        <w:t xml:space="preserve">podporu </w:t>
      </w:r>
      <w:r w:rsidR="00BF7BC1" w:rsidRPr="00DF2814">
        <w:rPr>
          <w:b/>
        </w:rPr>
        <w:t>společné</w:t>
      </w:r>
      <w:r w:rsidR="00AB24A9">
        <w:rPr>
          <w:b/>
        </w:rPr>
        <w:t xml:space="preserve">ho </w:t>
      </w:r>
      <w:r w:rsidR="00BF7BC1" w:rsidRPr="00DF2814">
        <w:rPr>
          <w:b/>
        </w:rPr>
        <w:t xml:space="preserve">vzdělávání žáků (inkluzi), dosáhly </w:t>
      </w:r>
      <w:r w:rsidR="00BF7BC1">
        <w:rPr>
          <w:b/>
        </w:rPr>
        <w:t>32,3 m</w:t>
      </w:r>
      <w:r w:rsidR="00BF7BC1" w:rsidRPr="00DF2814">
        <w:rPr>
          <w:b/>
        </w:rPr>
        <w:t xml:space="preserve">ld. Kč. </w:t>
      </w:r>
    </w:p>
    <w:p w14:paraId="5CD82D71" w14:textId="699B6EFC" w:rsidR="00EA5761" w:rsidRPr="00BF7BC1" w:rsidRDefault="00EA5761" w:rsidP="006770B0">
      <w:pPr>
        <w:widowControl w:val="0"/>
        <w:spacing w:after="0"/>
        <w:rPr>
          <w:b/>
        </w:rPr>
      </w:pPr>
    </w:p>
    <w:p w14:paraId="2E5C33FB" w14:textId="4CE3D12D" w:rsidR="00DE677B" w:rsidRPr="00873805" w:rsidRDefault="00D647DB" w:rsidP="00DE677B">
      <w:pPr>
        <w:widowControl w:val="0"/>
        <w:rPr>
          <w:b/>
        </w:rPr>
      </w:pPr>
      <w:r>
        <w:rPr>
          <w:b/>
        </w:rPr>
        <w:t>P</w:t>
      </w:r>
      <w:r w:rsidRPr="00BC0E9D">
        <w:rPr>
          <w:b/>
        </w:rPr>
        <w:t>očet žáků se speciálními vzdělávacími potřebami</w:t>
      </w:r>
      <w:r w:rsidR="00DE677B">
        <w:rPr>
          <w:rStyle w:val="Znakapoznpodarou"/>
          <w:b/>
        </w:rPr>
        <w:footnoteReference w:id="2"/>
      </w:r>
      <w:r w:rsidRPr="00BC0E9D">
        <w:rPr>
          <w:b/>
        </w:rPr>
        <w:t xml:space="preserve"> v</w:t>
      </w:r>
      <w:r w:rsidR="00EC2A90">
        <w:rPr>
          <w:b/>
        </w:rPr>
        <w:t xml:space="preserve"> </w:t>
      </w:r>
      <w:r w:rsidRPr="00BC0E9D">
        <w:rPr>
          <w:b/>
        </w:rPr>
        <w:t>základních školách vzrostl od roku 2010 o více než polovinu</w:t>
      </w:r>
      <w:r w:rsidR="00EC2A90">
        <w:rPr>
          <w:b/>
        </w:rPr>
        <w:t>.</w:t>
      </w:r>
      <w:r w:rsidRPr="00873805">
        <w:rPr>
          <w:b/>
        </w:rPr>
        <w:t xml:space="preserve"> </w:t>
      </w:r>
    </w:p>
    <w:p w14:paraId="03080532" w14:textId="630431D5" w:rsidR="00DE677B" w:rsidRDefault="00DE677B" w:rsidP="007B3127">
      <w:pPr>
        <w:widowControl w:val="0"/>
        <w:spacing w:after="0"/>
        <w:rPr>
          <w:b/>
        </w:rPr>
      </w:pPr>
      <w:r>
        <w:rPr>
          <w:b/>
        </w:rPr>
        <w:t>T</w:t>
      </w:r>
      <w:r w:rsidRPr="00BC0E9D">
        <w:rPr>
          <w:b/>
        </w:rPr>
        <w:t>éměř 80 % žáků se speciálními vzdělávacími potřebami se vzdělává</w:t>
      </w:r>
      <w:r>
        <w:rPr>
          <w:b/>
        </w:rPr>
        <w:t xml:space="preserve"> </w:t>
      </w:r>
      <w:r w:rsidRPr="00BC0E9D">
        <w:rPr>
          <w:b/>
        </w:rPr>
        <w:t>v běžných základních školách (ve školním roce 2019/2020).</w:t>
      </w:r>
    </w:p>
    <w:p w14:paraId="22B3A078" w14:textId="6E0252A8" w:rsidR="00D67DE4" w:rsidRDefault="00D67DE4" w:rsidP="003D2671">
      <w:pPr>
        <w:widowControl w:val="0"/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29D943" wp14:editId="2618827E">
            <wp:extent cx="4362832" cy="40214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2886"/>
                    <a:stretch/>
                  </pic:blipFill>
                  <pic:spPr bwMode="auto">
                    <a:xfrm>
                      <a:off x="0" y="0"/>
                      <a:ext cx="4364866" cy="402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E341C" w14:textId="6EA05753" w:rsidR="00462F78" w:rsidRDefault="008124D7" w:rsidP="008124D7">
      <w:pPr>
        <w:pStyle w:val="Nadpis1"/>
      </w:pPr>
      <w:r w:rsidRPr="008124D7">
        <w:lastRenderedPageBreak/>
        <w:t>I.</w:t>
      </w:r>
      <w:r>
        <w:t xml:space="preserve"> </w:t>
      </w:r>
      <w:r w:rsidR="00CD2800" w:rsidRPr="008124D7">
        <w:t>Shrnutí</w:t>
      </w:r>
      <w:r w:rsidR="00CD2800" w:rsidRPr="003D1C56">
        <w:t xml:space="preserve"> a vyhodnocení</w:t>
      </w:r>
      <w:r w:rsidR="00421CE8" w:rsidRPr="003D1C56">
        <w:t xml:space="preserve"> </w:t>
      </w:r>
    </w:p>
    <w:p w14:paraId="7B11D5DC" w14:textId="49064C5E" w:rsidR="00167E39" w:rsidRDefault="00167E39" w:rsidP="006C7E3C">
      <w:r>
        <w:t xml:space="preserve">NKÚ provedl kontrolu zaměřenou na poskytování a čerpání </w:t>
      </w:r>
      <w:r w:rsidR="006C5309">
        <w:t xml:space="preserve">peněžních </w:t>
      </w:r>
      <w:r w:rsidR="008F3154">
        <w:t>prostředků určených na</w:t>
      </w:r>
      <w:r w:rsidR="001125F6">
        <w:t xml:space="preserve"> </w:t>
      </w:r>
      <w:r>
        <w:t xml:space="preserve">podporu společného vzdělávání žáků z operačních programů </w:t>
      </w:r>
      <w:r w:rsidRPr="00FE5543">
        <w:rPr>
          <w:i/>
        </w:rPr>
        <w:t>Výzkum, vývoj a vzdělávání</w:t>
      </w:r>
      <w:r>
        <w:t xml:space="preserve"> (dále též „OP VVV“), </w:t>
      </w:r>
      <w:r w:rsidRPr="00FE5543">
        <w:rPr>
          <w:i/>
        </w:rPr>
        <w:t xml:space="preserve">Praha – pól růstu </w:t>
      </w:r>
      <w:r w:rsidR="00A87455" w:rsidRPr="00FE5543">
        <w:rPr>
          <w:i/>
        </w:rPr>
        <w:t>ČR</w:t>
      </w:r>
      <w:r w:rsidR="00A87455">
        <w:t xml:space="preserve"> </w:t>
      </w:r>
      <w:r>
        <w:t>(dále též „OP PPR“) a z </w:t>
      </w:r>
      <w:r w:rsidRPr="00FE5543">
        <w:rPr>
          <w:i/>
        </w:rPr>
        <w:t xml:space="preserve">Integrovaného </w:t>
      </w:r>
      <w:r w:rsidR="00A87455" w:rsidRPr="00FE5543">
        <w:rPr>
          <w:i/>
        </w:rPr>
        <w:t xml:space="preserve">regionálního </w:t>
      </w:r>
      <w:r w:rsidRPr="00FE5543">
        <w:rPr>
          <w:i/>
        </w:rPr>
        <w:t>operačního programu</w:t>
      </w:r>
      <w:r>
        <w:t xml:space="preserve"> (dále též „IROP“). </w:t>
      </w:r>
    </w:p>
    <w:p w14:paraId="764641E5" w14:textId="11AC8625" w:rsidR="00167E39" w:rsidRPr="0074767F" w:rsidRDefault="00167E39" w:rsidP="006C7E3C">
      <w:pPr>
        <w:rPr>
          <w:b/>
        </w:rPr>
      </w:pPr>
      <w:r w:rsidRPr="0074767F">
        <w:rPr>
          <w:rFonts w:cstheme="minorHAnsi"/>
          <w:b/>
          <w:lang w:eastAsia="en-US"/>
        </w:rPr>
        <w:t>Cílem kontroly bylo prověřit, zda jsou peněžní prostředky E</w:t>
      </w:r>
      <w:r w:rsidR="008F3154" w:rsidRPr="0074767F">
        <w:rPr>
          <w:rFonts w:cstheme="minorHAnsi"/>
          <w:b/>
          <w:lang w:eastAsia="en-US"/>
        </w:rPr>
        <w:t>U a státního rozpočtu určené na</w:t>
      </w:r>
      <w:r w:rsidR="001125F6">
        <w:rPr>
          <w:rFonts w:cstheme="minorHAnsi"/>
          <w:b/>
          <w:lang w:eastAsia="en-US"/>
        </w:rPr>
        <w:t xml:space="preserve"> </w:t>
      </w:r>
      <w:r w:rsidRPr="0074767F">
        <w:rPr>
          <w:rFonts w:cstheme="minorHAnsi"/>
          <w:b/>
          <w:lang w:eastAsia="en-US"/>
        </w:rPr>
        <w:t>podporu společného vzdělávání žáků poskytovány a používány účelně</w:t>
      </w:r>
      <w:r w:rsidR="00B86DCD" w:rsidRPr="0074767F">
        <w:rPr>
          <w:rFonts w:cstheme="minorHAnsi"/>
          <w:b/>
          <w:lang w:eastAsia="en-US"/>
        </w:rPr>
        <w:t xml:space="preserve"> a hospodárně.</w:t>
      </w:r>
    </w:p>
    <w:p w14:paraId="005ADA78" w14:textId="7F23822B" w:rsidR="00167E39" w:rsidRDefault="00010C7A" w:rsidP="006C7E3C">
      <w:r>
        <w:t xml:space="preserve">NKÚ kontroloval u MŠMT, HMP a MMR činnost řídicího orgánu </w:t>
      </w:r>
      <w:r w:rsidR="0097252C">
        <w:t xml:space="preserve">(dále též </w:t>
      </w:r>
      <w:r w:rsidR="00A30003">
        <w:t>„</w:t>
      </w:r>
      <w:r w:rsidR="0097252C">
        <w:t xml:space="preserve">ŘO“) </w:t>
      </w:r>
      <w:r w:rsidR="00167E39">
        <w:t xml:space="preserve">v oblastech plánování a řízení </w:t>
      </w:r>
      <w:proofErr w:type="spellStart"/>
      <w:r w:rsidR="00584808">
        <w:t>proinkluzivních</w:t>
      </w:r>
      <w:proofErr w:type="spellEnd"/>
      <w:r w:rsidR="00584808">
        <w:t xml:space="preserve"> </w:t>
      </w:r>
      <w:r w:rsidR="00167E39">
        <w:t>výzev</w:t>
      </w:r>
      <w:r w:rsidR="0097252C">
        <w:t xml:space="preserve"> k předkládání žádostí o podporu</w:t>
      </w:r>
      <w:r w:rsidR="00167E39">
        <w:t xml:space="preserve">, hodnocení </w:t>
      </w:r>
      <w:r w:rsidR="00CE563E">
        <w:br/>
      </w:r>
      <w:r w:rsidR="00167E39">
        <w:t xml:space="preserve">a výběr </w:t>
      </w:r>
      <w:r w:rsidR="00584808">
        <w:t xml:space="preserve">příslušných </w:t>
      </w:r>
      <w:r w:rsidR="00167E39">
        <w:t>projektů, provádění kontrolní činn</w:t>
      </w:r>
      <w:r w:rsidR="00F12888">
        <w:t>osti a monitorování a</w:t>
      </w:r>
      <w:r w:rsidR="005E3236">
        <w:t xml:space="preserve"> </w:t>
      </w:r>
      <w:r w:rsidR="00167E39">
        <w:t xml:space="preserve">hodnocení </w:t>
      </w:r>
      <w:r w:rsidR="00CE563E">
        <w:br/>
      </w:r>
      <w:r w:rsidR="00167E39">
        <w:t>přínosů podporovaných projektů</w:t>
      </w:r>
      <w:r w:rsidR="00ED2F1B">
        <w:t xml:space="preserve">. </w:t>
      </w:r>
      <w:r w:rsidR="0097252C">
        <w:t xml:space="preserve">NKÚ prověřil u </w:t>
      </w:r>
      <w:r w:rsidR="006A393F">
        <w:t>C</w:t>
      </w:r>
      <w:r w:rsidR="00817ECF">
        <w:t>R</w:t>
      </w:r>
      <w:r w:rsidR="006A393F">
        <w:t>R</w:t>
      </w:r>
      <w:r w:rsidR="00F51AA7">
        <w:t> </w:t>
      </w:r>
      <w:r w:rsidR="006A393F">
        <w:t>ČR</w:t>
      </w:r>
      <w:r w:rsidR="00ED2F1B">
        <w:t xml:space="preserve"> </w:t>
      </w:r>
      <w:r w:rsidR="006A393F">
        <w:t>zajištění delegovaných funkcí zprostředkujícího subjektu</w:t>
      </w:r>
      <w:r w:rsidR="00ED2F1B">
        <w:t xml:space="preserve"> IROP</w:t>
      </w:r>
      <w:r w:rsidR="006A393F">
        <w:t>.</w:t>
      </w:r>
      <w:r w:rsidR="00C83628">
        <w:t xml:space="preserve"> </w:t>
      </w:r>
    </w:p>
    <w:p w14:paraId="387BCCD7" w14:textId="6D88B7E7" w:rsidR="00167E39" w:rsidRPr="00873805" w:rsidRDefault="00167E39" w:rsidP="006C7E3C">
      <w:r w:rsidRPr="004C77E7">
        <w:t xml:space="preserve">NKÚ provedl </w:t>
      </w:r>
      <w:r w:rsidR="00582661" w:rsidRPr="004C77E7">
        <w:t xml:space="preserve">na vzorku výdajů </w:t>
      </w:r>
      <w:r w:rsidRPr="004C77E7">
        <w:t>ko</w:t>
      </w:r>
      <w:r w:rsidR="00817ECF" w:rsidRPr="004C77E7">
        <w:t>n</w:t>
      </w:r>
      <w:r w:rsidRPr="004C77E7">
        <w:t xml:space="preserve">trolu </w:t>
      </w:r>
      <w:r w:rsidR="008F3154" w:rsidRPr="004C77E7">
        <w:t>účelnosti a</w:t>
      </w:r>
      <w:r w:rsidR="001125F6">
        <w:t xml:space="preserve"> </w:t>
      </w:r>
      <w:r w:rsidR="00ED2F1B" w:rsidRPr="004C77E7">
        <w:t>hospodárnosti</w:t>
      </w:r>
      <w:r w:rsidR="00582661" w:rsidRPr="004C77E7">
        <w:t xml:space="preserve"> </w:t>
      </w:r>
      <w:r w:rsidR="00ED2F1B" w:rsidRPr="004C77E7">
        <w:t>čerpání peněžních prostředků</w:t>
      </w:r>
      <w:r w:rsidR="00582661" w:rsidRPr="004C77E7">
        <w:t xml:space="preserve"> </w:t>
      </w:r>
      <w:r w:rsidR="008561AD" w:rsidRPr="004C77E7">
        <w:t>u 14 projektů OP VVV, OP PPR a IROP</w:t>
      </w:r>
      <w:r w:rsidR="008561AD">
        <w:t xml:space="preserve">, u kterých byla proplacena dotace ve výši </w:t>
      </w:r>
      <w:r w:rsidR="008561AD" w:rsidRPr="00F120BC">
        <w:t>372 459 017,66</w:t>
      </w:r>
      <w:r w:rsidR="009A0C46">
        <w:t xml:space="preserve"> </w:t>
      </w:r>
      <w:r w:rsidR="008561AD" w:rsidRPr="00F120BC">
        <w:t>Kč</w:t>
      </w:r>
      <w:r w:rsidR="00F55A5F">
        <w:t>, z čehož podíl EU činil</w:t>
      </w:r>
      <w:r w:rsidR="00502B00">
        <w:t xml:space="preserve"> 322 729 826,08 Kč a podíl </w:t>
      </w:r>
      <w:r w:rsidR="009B1883">
        <w:t>státního rozpočtu</w:t>
      </w:r>
      <w:r w:rsidR="00F55A5F">
        <w:t xml:space="preserve"> představoval</w:t>
      </w:r>
      <w:r w:rsidR="00502B00">
        <w:t xml:space="preserve"> 49 729 191,58 Kč</w:t>
      </w:r>
      <w:r w:rsidR="008561AD">
        <w:t>.</w:t>
      </w:r>
    </w:p>
    <w:p w14:paraId="63330104" w14:textId="31040C29" w:rsidR="00532CF2" w:rsidRPr="005C34AC" w:rsidRDefault="005C34AC" w:rsidP="006C7E3C">
      <w:r w:rsidRPr="005C34AC">
        <w:t>NKÚ ověřil i plnění opatření k</w:t>
      </w:r>
      <w:r w:rsidR="005126ED">
        <w:t xml:space="preserve"> odstranění </w:t>
      </w:r>
      <w:r w:rsidRPr="005C34AC">
        <w:t>nedostatků zjištěný</w:t>
      </w:r>
      <w:r w:rsidR="005126ED">
        <w:t>ch</w:t>
      </w:r>
      <w:r w:rsidRPr="005C34AC">
        <w:t xml:space="preserve"> </w:t>
      </w:r>
      <w:r>
        <w:t xml:space="preserve">u MŠMT </w:t>
      </w:r>
      <w:r w:rsidRPr="005C34AC">
        <w:t>v předchozích kontrolních akcích</w:t>
      </w:r>
      <w:r w:rsidR="002F10C3">
        <w:rPr>
          <w:rStyle w:val="Znakapoznpodarou"/>
        </w:rPr>
        <w:footnoteReference w:id="3"/>
      </w:r>
      <w:r>
        <w:t xml:space="preserve"> č. </w:t>
      </w:r>
      <w:r w:rsidR="006249C0">
        <w:t xml:space="preserve">11/17 (se zaměřením na projekty typu „šablony“) a č. </w:t>
      </w:r>
      <w:r>
        <w:t xml:space="preserve">14/24 a </w:t>
      </w:r>
      <w:r w:rsidR="00681A81">
        <w:t xml:space="preserve">č. </w:t>
      </w:r>
      <w:r>
        <w:t xml:space="preserve">15/06, </w:t>
      </w:r>
      <w:r w:rsidR="006249C0">
        <w:t xml:space="preserve">které </w:t>
      </w:r>
      <w:r>
        <w:t>se vztahovaly k projektům systémového charakteru podpořeným z prostředků EU</w:t>
      </w:r>
      <w:r w:rsidR="00931B58">
        <w:t xml:space="preserve"> v programovém období 2007–</w:t>
      </w:r>
      <w:r w:rsidR="004C77E7">
        <w:t>2013.</w:t>
      </w:r>
      <w:r w:rsidRPr="005C34AC">
        <w:t xml:space="preserve"> </w:t>
      </w:r>
    </w:p>
    <w:p w14:paraId="006E2422" w14:textId="31929CD9" w:rsidR="00B8760C" w:rsidRDefault="00B8760C" w:rsidP="006C7E3C">
      <w:r w:rsidRPr="00BE5A54">
        <w:t xml:space="preserve">NKÚ </w:t>
      </w:r>
      <w:r w:rsidR="007B5E70">
        <w:t>provedl</w:t>
      </w:r>
      <w:r w:rsidR="007B5E70" w:rsidRPr="00BE5A54">
        <w:t xml:space="preserve"> </w:t>
      </w:r>
      <w:r w:rsidRPr="00BE5A54">
        <w:t xml:space="preserve">v rámci </w:t>
      </w:r>
      <w:r w:rsidR="00FB353E" w:rsidRPr="00BE5A54">
        <w:t xml:space="preserve">kontrolní akce rovněž </w:t>
      </w:r>
      <w:r w:rsidR="0097252C">
        <w:t>d</w:t>
      </w:r>
      <w:r w:rsidR="00FB353E" w:rsidRPr="00BE5A54">
        <w:t xml:space="preserve">otazníkové šetření </w:t>
      </w:r>
      <w:r w:rsidR="008F3154" w:rsidRPr="00BE5A54">
        <w:t>zaměřené na</w:t>
      </w:r>
      <w:r w:rsidR="001125F6">
        <w:t xml:space="preserve"> </w:t>
      </w:r>
      <w:r w:rsidR="00FB353E" w:rsidRPr="00BE5A54">
        <w:t xml:space="preserve">dopady </w:t>
      </w:r>
      <w:r w:rsidR="00582661" w:rsidRPr="00BE5A54">
        <w:t xml:space="preserve">společného vzdělávání </w:t>
      </w:r>
      <w:r w:rsidR="007B5E70">
        <w:t xml:space="preserve">na </w:t>
      </w:r>
      <w:r w:rsidR="00582661" w:rsidRPr="00BE5A54">
        <w:t>činnost</w:t>
      </w:r>
      <w:r w:rsidR="007B5E70">
        <w:t>i</w:t>
      </w:r>
      <w:r w:rsidR="00764CDF" w:rsidRPr="00BE5A54">
        <w:t xml:space="preserve"> </w:t>
      </w:r>
      <w:r w:rsidR="00FB353E" w:rsidRPr="00BE5A54">
        <w:t xml:space="preserve">běžných </w:t>
      </w:r>
      <w:r w:rsidRPr="00BE5A54">
        <w:t>základních škol</w:t>
      </w:r>
      <w:r w:rsidR="00FB353E" w:rsidRPr="00BE5A54">
        <w:t xml:space="preserve">. </w:t>
      </w:r>
      <w:r w:rsidR="00BE5A54" w:rsidRPr="00BE5A54">
        <w:t>Výsledky dotazníkové</w:t>
      </w:r>
      <w:r w:rsidR="004C77E7">
        <w:t>ho</w:t>
      </w:r>
      <w:r w:rsidR="00BE5A54" w:rsidRPr="00BE5A54">
        <w:t xml:space="preserve"> šetření jsou uvedeny v datové příloze č. 1 </w:t>
      </w:r>
      <w:r w:rsidR="007B5E70">
        <w:t xml:space="preserve">tohoto </w:t>
      </w:r>
      <w:r w:rsidR="00BE5A54" w:rsidRPr="00BE5A54">
        <w:t xml:space="preserve">kontrolního závěru. </w:t>
      </w:r>
    </w:p>
    <w:p w14:paraId="249933E4" w14:textId="62978AB1" w:rsidR="00BE5A54" w:rsidRPr="00977FBC" w:rsidRDefault="005C34AC" w:rsidP="006C7E3C">
      <w:pPr>
        <w:rPr>
          <w:b/>
        </w:rPr>
      </w:pPr>
      <w:r w:rsidRPr="00977FBC">
        <w:rPr>
          <w:b/>
        </w:rPr>
        <w:t>Peněžní prostředky vynakládané na společné (inkluzivní</w:t>
      </w:r>
      <w:r w:rsidR="004C77E7" w:rsidRPr="00977FBC">
        <w:rPr>
          <w:b/>
        </w:rPr>
        <w:t>)</w:t>
      </w:r>
      <w:r w:rsidRPr="00977FBC">
        <w:rPr>
          <w:b/>
        </w:rPr>
        <w:t xml:space="preserve"> vzdělávání</w:t>
      </w:r>
      <w:r w:rsidR="004C77E7" w:rsidRPr="00977FBC">
        <w:rPr>
          <w:b/>
        </w:rPr>
        <w:t xml:space="preserve"> z OP VVV</w:t>
      </w:r>
      <w:r w:rsidR="00AF2E83">
        <w:rPr>
          <w:b/>
        </w:rPr>
        <w:t xml:space="preserve"> a </w:t>
      </w:r>
      <w:r w:rsidR="004C77E7" w:rsidRPr="00977FBC">
        <w:rPr>
          <w:b/>
        </w:rPr>
        <w:t xml:space="preserve">OP PPR </w:t>
      </w:r>
      <w:r w:rsidR="003A5C6D" w:rsidRPr="00977FBC">
        <w:rPr>
          <w:b/>
        </w:rPr>
        <w:t xml:space="preserve">byly u kontrolovaného vzorku projektů </w:t>
      </w:r>
      <w:r w:rsidR="004C77E7" w:rsidRPr="00977FBC">
        <w:rPr>
          <w:b/>
        </w:rPr>
        <w:t xml:space="preserve">poskytovány </w:t>
      </w:r>
      <w:r w:rsidR="00484B85" w:rsidRPr="00D166DA">
        <w:rPr>
          <w:b/>
        </w:rPr>
        <w:t>a</w:t>
      </w:r>
      <w:r w:rsidR="004C77E7" w:rsidRPr="00977FBC">
        <w:rPr>
          <w:b/>
        </w:rPr>
        <w:t xml:space="preserve"> používány </w:t>
      </w:r>
      <w:r w:rsidR="00484B85" w:rsidRPr="00D166DA">
        <w:rPr>
          <w:b/>
        </w:rPr>
        <w:t xml:space="preserve">částečně </w:t>
      </w:r>
      <w:r w:rsidR="004C77E7" w:rsidRPr="00977FBC">
        <w:rPr>
          <w:b/>
        </w:rPr>
        <w:t>účelně</w:t>
      </w:r>
      <w:r w:rsidR="00484B85" w:rsidRPr="00D166DA">
        <w:rPr>
          <w:b/>
        </w:rPr>
        <w:t xml:space="preserve">, zejména v případě </w:t>
      </w:r>
      <w:r w:rsidR="004C77E7" w:rsidRPr="00977FBC">
        <w:rPr>
          <w:b/>
        </w:rPr>
        <w:t>systémov</w:t>
      </w:r>
      <w:r w:rsidR="00484B85" w:rsidRPr="00977FBC">
        <w:rPr>
          <w:b/>
        </w:rPr>
        <w:t>ého</w:t>
      </w:r>
      <w:r w:rsidR="004C77E7" w:rsidRPr="00977FBC">
        <w:rPr>
          <w:b/>
        </w:rPr>
        <w:t xml:space="preserve"> projekt</w:t>
      </w:r>
      <w:r w:rsidR="00484B85" w:rsidRPr="00977FBC">
        <w:rPr>
          <w:b/>
        </w:rPr>
        <w:t>u</w:t>
      </w:r>
      <w:r w:rsidR="004C77E7" w:rsidRPr="00977FBC">
        <w:rPr>
          <w:b/>
        </w:rPr>
        <w:t xml:space="preserve"> </w:t>
      </w:r>
      <w:r w:rsidR="00CE6C60" w:rsidRPr="00977FBC">
        <w:rPr>
          <w:b/>
        </w:rPr>
        <w:t>financovan</w:t>
      </w:r>
      <w:r w:rsidR="00484B85" w:rsidRPr="00977FBC">
        <w:rPr>
          <w:b/>
        </w:rPr>
        <w:t>ého z</w:t>
      </w:r>
      <w:r w:rsidR="00CE6C60" w:rsidRPr="00977FBC">
        <w:rPr>
          <w:b/>
        </w:rPr>
        <w:t> </w:t>
      </w:r>
      <w:proofErr w:type="gramStart"/>
      <w:r w:rsidR="00CE6C60" w:rsidRPr="00977FBC">
        <w:rPr>
          <w:b/>
        </w:rPr>
        <w:t>OP</w:t>
      </w:r>
      <w:proofErr w:type="gramEnd"/>
      <w:r w:rsidR="00CE6C60" w:rsidRPr="00977FBC">
        <w:rPr>
          <w:b/>
        </w:rPr>
        <w:t xml:space="preserve"> VVV, který realizoval Úřad vlády ČR,</w:t>
      </w:r>
      <w:r w:rsidR="00CF70E3" w:rsidRPr="00977FBC">
        <w:rPr>
          <w:b/>
        </w:rPr>
        <w:t xml:space="preserve"> </w:t>
      </w:r>
      <w:r w:rsidR="004C77E7" w:rsidRPr="00977FBC">
        <w:rPr>
          <w:b/>
        </w:rPr>
        <w:t xml:space="preserve">kde </w:t>
      </w:r>
      <w:r w:rsidR="00484B85" w:rsidRPr="00977FBC">
        <w:rPr>
          <w:b/>
        </w:rPr>
        <w:t xml:space="preserve">byla </w:t>
      </w:r>
      <w:r w:rsidR="004C77E7" w:rsidRPr="00977FBC">
        <w:rPr>
          <w:b/>
        </w:rPr>
        <w:t>účelnost poskytovaných a čerpaných peněžn</w:t>
      </w:r>
      <w:r w:rsidR="00C064D8" w:rsidRPr="00977FBC">
        <w:rPr>
          <w:b/>
        </w:rPr>
        <w:t>í</w:t>
      </w:r>
      <w:r w:rsidR="004C77E7" w:rsidRPr="00977FBC">
        <w:rPr>
          <w:b/>
        </w:rPr>
        <w:t>ch prostředků omezená.</w:t>
      </w:r>
      <w:r w:rsidR="007945C9" w:rsidRPr="00977FBC">
        <w:rPr>
          <w:b/>
        </w:rPr>
        <w:t xml:space="preserve"> </w:t>
      </w:r>
      <w:r w:rsidR="009A0C46">
        <w:rPr>
          <w:b/>
        </w:rPr>
        <w:t>NKÚ neshledal u kontrolovaného vzorku projektů všech tří operačních programů nehospodárné p</w:t>
      </w:r>
      <w:r w:rsidR="00002EF5" w:rsidRPr="00977FBC">
        <w:rPr>
          <w:b/>
        </w:rPr>
        <w:t xml:space="preserve">oskytování </w:t>
      </w:r>
      <w:r w:rsidR="00977FBC" w:rsidRPr="00977FBC">
        <w:rPr>
          <w:b/>
        </w:rPr>
        <w:t xml:space="preserve">a čerpání </w:t>
      </w:r>
      <w:r w:rsidR="009A0C46">
        <w:rPr>
          <w:b/>
        </w:rPr>
        <w:t>peněžních prostředků</w:t>
      </w:r>
      <w:r w:rsidR="008F41CF">
        <w:rPr>
          <w:b/>
        </w:rPr>
        <w:t>.</w:t>
      </w:r>
    </w:p>
    <w:p w14:paraId="265BE3B0" w14:textId="77777777" w:rsidR="003F03BD" w:rsidRDefault="003F03B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65CD961" w14:textId="05EE69C2" w:rsidR="00AE6317" w:rsidRPr="00AE6317" w:rsidRDefault="00793793" w:rsidP="006C7E3C">
      <w:pPr>
        <w:rPr>
          <w:b/>
          <w:u w:val="single"/>
        </w:rPr>
      </w:pPr>
      <w:r>
        <w:rPr>
          <w:b/>
          <w:u w:val="single"/>
        </w:rPr>
        <w:lastRenderedPageBreak/>
        <w:t>Shrnutí a v</w:t>
      </w:r>
      <w:r w:rsidR="00AE6317" w:rsidRPr="00AE6317">
        <w:rPr>
          <w:b/>
          <w:u w:val="single"/>
        </w:rPr>
        <w:t>yhodnocení vy</w:t>
      </w:r>
      <w:r>
        <w:rPr>
          <w:b/>
          <w:u w:val="single"/>
        </w:rPr>
        <w:t xml:space="preserve">chází z </w:t>
      </w:r>
      <w:r w:rsidR="00AE6317" w:rsidRPr="00AE6317">
        <w:rPr>
          <w:b/>
          <w:u w:val="single"/>
        </w:rPr>
        <w:t xml:space="preserve">následujících </w:t>
      </w:r>
      <w:r w:rsidR="007526B7">
        <w:rPr>
          <w:b/>
          <w:u w:val="single"/>
        </w:rPr>
        <w:t>skutečností</w:t>
      </w:r>
      <w:r w:rsidR="00AE6317" w:rsidRPr="00AE6317">
        <w:rPr>
          <w:b/>
          <w:u w:val="single"/>
        </w:rPr>
        <w:t>:</w:t>
      </w:r>
    </w:p>
    <w:p w14:paraId="52C5B3B4" w14:textId="0C361082" w:rsidR="006F4E05" w:rsidRPr="003332A8" w:rsidRDefault="00AE21A4" w:rsidP="006F4E05">
      <w:pPr>
        <w:rPr>
          <w:rFonts w:cs="Arial"/>
          <w:color w:val="4C4C4C"/>
        </w:rPr>
      </w:pPr>
      <w:r w:rsidRPr="00535F06">
        <w:rPr>
          <w:b/>
        </w:rPr>
        <w:t>1.</w:t>
      </w:r>
      <w:r>
        <w:t xml:space="preserve"> </w:t>
      </w:r>
      <w:r w:rsidR="007D37B7" w:rsidRPr="000B30FA">
        <w:t xml:space="preserve">Systémová změna vzdělávacího systému </w:t>
      </w:r>
      <w:r w:rsidR="001D056B" w:rsidRPr="000B30FA">
        <w:t xml:space="preserve">v České republice </w:t>
      </w:r>
      <w:r w:rsidR="00294E99">
        <w:t xml:space="preserve">(dále též „ČR“) </w:t>
      </w:r>
      <w:r w:rsidR="007D37B7" w:rsidRPr="000B30FA">
        <w:t xml:space="preserve">byla zahájena </w:t>
      </w:r>
      <w:r w:rsidR="00242EE3" w:rsidRPr="000B30FA">
        <w:t xml:space="preserve">v roce </w:t>
      </w:r>
      <w:r w:rsidR="001D056B" w:rsidRPr="000B30FA">
        <w:t xml:space="preserve">2009 </w:t>
      </w:r>
      <w:r w:rsidR="007D37B7" w:rsidRPr="000B30FA">
        <w:rPr>
          <w:b/>
        </w:rPr>
        <w:t xml:space="preserve">na základě </w:t>
      </w:r>
      <w:r w:rsidR="002D411E" w:rsidRPr="000B30FA">
        <w:rPr>
          <w:b/>
        </w:rPr>
        <w:t>rozsudku Evropského soudu pro lidská práva v případu D.</w:t>
      </w:r>
      <w:r w:rsidR="002D3E0E">
        <w:rPr>
          <w:b/>
        </w:rPr>
        <w:t xml:space="preserve"> </w:t>
      </w:r>
      <w:r w:rsidR="002D411E" w:rsidRPr="000B30FA">
        <w:rPr>
          <w:b/>
        </w:rPr>
        <w:t>H. a ostatní proti České republice</w:t>
      </w:r>
      <w:r w:rsidR="00242EE3" w:rsidRPr="000B30FA">
        <w:rPr>
          <w:rStyle w:val="Znakapoznpodarou"/>
          <w:b/>
        </w:rPr>
        <w:footnoteReference w:id="4"/>
      </w:r>
      <w:r w:rsidR="002D411E" w:rsidRPr="000B30FA">
        <w:rPr>
          <w:b/>
        </w:rPr>
        <w:t>.</w:t>
      </w:r>
      <w:r w:rsidR="00882508" w:rsidRPr="000B30FA">
        <w:rPr>
          <w:b/>
        </w:rPr>
        <w:t xml:space="preserve"> </w:t>
      </w:r>
    </w:p>
    <w:p w14:paraId="39DD23C1" w14:textId="11787EE7" w:rsidR="00511DEC" w:rsidRPr="0097252C" w:rsidRDefault="00AE21A4" w:rsidP="00511DEC">
      <w:pPr>
        <w:rPr>
          <w:rFonts w:cstheme="minorHAnsi"/>
        </w:rPr>
      </w:pPr>
      <w:r>
        <w:rPr>
          <w:rFonts w:cstheme="minorHAnsi"/>
          <w:b/>
        </w:rPr>
        <w:t xml:space="preserve">2. </w:t>
      </w:r>
      <w:r w:rsidR="00584808" w:rsidRPr="003F16DC">
        <w:rPr>
          <w:rFonts w:cstheme="minorHAnsi"/>
          <w:b/>
        </w:rPr>
        <w:t>Financování opatření</w:t>
      </w:r>
      <w:r w:rsidR="00E774DF" w:rsidRPr="003F16DC">
        <w:rPr>
          <w:rFonts w:cstheme="minorHAnsi"/>
          <w:b/>
        </w:rPr>
        <w:t xml:space="preserve"> k</w:t>
      </w:r>
      <w:r w:rsidR="00A33CFA" w:rsidRPr="003F16DC">
        <w:rPr>
          <w:rFonts w:cstheme="minorHAnsi"/>
          <w:b/>
        </w:rPr>
        <w:t xml:space="preserve"> zajištění rovných podmínek pro kvalitní vzdělávání pro všechny žáky </w:t>
      </w:r>
      <w:r w:rsidR="00584808" w:rsidRPr="003F16DC">
        <w:rPr>
          <w:rFonts w:cstheme="minorHAnsi"/>
          <w:b/>
        </w:rPr>
        <w:t xml:space="preserve">je </w:t>
      </w:r>
      <w:r w:rsidR="00A33CFA" w:rsidRPr="003F16DC">
        <w:rPr>
          <w:rFonts w:cstheme="minorHAnsi"/>
          <w:b/>
        </w:rPr>
        <w:t xml:space="preserve">do značné míry závislé </w:t>
      </w:r>
      <w:r w:rsidR="00584808" w:rsidRPr="003F16DC">
        <w:rPr>
          <w:rFonts w:cstheme="minorHAnsi"/>
          <w:b/>
        </w:rPr>
        <w:t>na prostředcích z </w:t>
      </w:r>
      <w:r w:rsidR="0097252C">
        <w:rPr>
          <w:rFonts w:cstheme="minorHAnsi"/>
          <w:b/>
        </w:rPr>
        <w:t>e</w:t>
      </w:r>
      <w:r w:rsidR="00584808" w:rsidRPr="003F16DC">
        <w:rPr>
          <w:rFonts w:cstheme="minorHAnsi"/>
          <w:b/>
        </w:rPr>
        <w:t>vropských strukturálních a investičních fondů</w:t>
      </w:r>
      <w:r w:rsidR="00E774DF" w:rsidRPr="003F16DC">
        <w:rPr>
          <w:rStyle w:val="Znakapoznpodarou"/>
          <w:rFonts w:cstheme="minorHAnsi"/>
          <w:b/>
        </w:rPr>
        <w:footnoteReference w:id="5"/>
      </w:r>
      <w:r w:rsidR="0097252C">
        <w:rPr>
          <w:rFonts w:cstheme="minorHAnsi"/>
          <w:b/>
        </w:rPr>
        <w:t xml:space="preserve"> </w:t>
      </w:r>
      <w:r w:rsidR="0097252C" w:rsidRPr="0097252C">
        <w:rPr>
          <w:rFonts w:cstheme="minorHAnsi"/>
        </w:rPr>
        <w:t>(dále t</w:t>
      </w:r>
      <w:r w:rsidR="0097252C">
        <w:rPr>
          <w:rFonts w:cstheme="minorHAnsi"/>
        </w:rPr>
        <w:t>éž „ESIF“)</w:t>
      </w:r>
      <w:r w:rsidR="00084FA0" w:rsidRPr="0097252C">
        <w:rPr>
          <w:rFonts w:cstheme="minorHAnsi"/>
        </w:rPr>
        <w:t xml:space="preserve">. </w:t>
      </w:r>
    </w:p>
    <w:p w14:paraId="0F6993EF" w14:textId="5969CCD5" w:rsidR="007945C9" w:rsidRPr="00873805" w:rsidRDefault="00AE21A4" w:rsidP="007945C9">
      <w:pPr>
        <w:spacing w:before="120"/>
        <w:rPr>
          <w:b/>
        </w:rPr>
      </w:pPr>
      <w:r>
        <w:rPr>
          <w:b/>
        </w:rPr>
        <w:t xml:space="preserve">3. </w:t>
      </w:r>
      <w:r w:rsidR="007945C9" w:rsidRPr="000B30FA">
        <w:rPr>
          <w:b/>
        </w:rPr>
        <w:t>MŠMT, HMP a MMR poskytly</w:t>
      </w:r>
      <w:r w:rsidR="007945C9" w:rsidRPr="000B30FA">
        <w:t xml:space="preserve"> k datu 30. 6. 2019 p</w:t>
      </w:r>
      <w:r w:rsidR="00F12888">
        <w:t>říjemcům podpory v projektech a </w:t>
      </w:r>
      <w:r w:rsidR="007945C9" w:rsidRPr="000B30FA">
        <w:t xml:space="preserve">programech s tematikou společného vzdělávání žáků </w:t>
      </w:r>
      <w:r w:rsidR="007945C9" w:rsidRPr="000B30FA">
        <w:rPr>
          <w:b/>
        </w:rPr>
        <w:t xml:space="preserve">prostředky </w:t>
      </w:r>
      <w:r w:rsidR="007945C9" w:rsidRPr="00D573D1">
        <w:rPr>
          <w:b/>
        </w:rPr>
        <w:t>ve výši 32,3 mld. Kč.</w:t>
      </w:r>
      <w:r w:rsidR="007945C9" w:rsidRPr="000B30FA">
        <w:rPr>
          <w:b/>
        </w:rPr>
        <w:t xml:space="preserve"> </w:t>
      </w:r>
    </w:p>
    <w:p w14:paraId="49A23A31" w14:textId="5B56DB4F" w:rsidR="00243521" w:rsidRPr="00873805" w:rsidRDefault="00AE21A4" w:rsidP="00511DEC">
      <w:pPr>
        <w:rPr>
          <w:rFonts w:cstheme="minorHAnsi"/>
          <w:b/>
        </w:rPr>
      </w:pPr>
      <w:r w:rsidRPr="00535F06">
        <w:rPr>
          <w:rFonts w:cstheme="minorHAnsi"/>
          <w:b/>
        </w:rPr>
        <w:t>4.</w:t>
      </w:r>
      <w:r>
        <w:rPr>
          <w:rFonts w:cstheme="minorHAnsi"/>
        </w:rPr>
        <w:t xml:space="preserve"> </w:t>
      </w:r>
      <w:r w:rsidR="001930B9" w:rsidRPr="003F16DC">
        <w:rPr>
          <w:rFonts w:cstheme="minorHAnsi"/>
        </w:rPr>
        <w:t xml:space="preserve">Významnou měrou jsou </w:t>
      </w:r>
      <w:r w:rsidR="000B30FA" w:rsidRPr="003F16DC">
        <w:rPr>
          <w:rFonts w:cstheme="minorHAnsi"/>
        </w:rPr>
        <w:t xml:space="preserve">z prostředků OP VVV </w:t>
      </w:r>
      <w:r w:rsidR="001930B9" w:rsidRPr="003F16DC">
        <w:rPr>
          <w:rFonts w:cstheme="minorHAnsi"/>
        </w:rPr>
        <w:t xml:space="preserve">podporovány </w:t>
      </w:r>
      <w:r w:rsidR="00243521" w:rsidRPr="003F16DC">
        <w:rPr>
          <w:rFonts w:cstheme="minorHAnsi"/>
        </w:rPr>
        <w:t xml:space="preserve">i </w:t>
      </w:r>
      <w:r w:rsidR="00243521" w:rsidRPr="003F16DC">
        <w:rPr>
          <w:rFonts w:cstheme="minorHAnsi"/>
          <w:b/>
        </w:rPr>
        <w:t>projekty, které skuteč</w:t>
      </w:r>
      <w:r w:rsidR="001930B9" w:rsidRPr="003F16DC">
        <w:rPr>
          <w:rFonts w:cstheme="minorHAnsi"/>
          <w:b/>
        </w:rPr>
        <w:t>né</w:t>
      </w:r>
      <w:r w:rsidR="00243521" w:rsidRPr="003F16DC">
        <w:rPr>
          <w:rFonts w:cstheme="minorHAnsi"/>
          <w:b/>
        </w:rPr>
        <w:t xml:space="preserve"> začlenění žáků </w:t>
      </w:r>
      <w:r w:rsidR="001D056B" w:rsidRPr="003F16DC">
        <w:rPr>
          <w:rFonts w:cstheme="minorHAnsi"/>
          <w:b/>
        </w:rPr>
        <w:t xml:space="preserve">se speciálními vzdělávacími potřebami </w:t>
      </w:r>
      <w:r w:rsidR="009E67A7" w:rsidRPr="003F16DC">
        <w:rPr>
          <w:rFonts w:cstheme="minorHAnsi"/>
          <w:b/>
        </w:rPr>
        <w:t>a sociáln</w:t>
      </w:r>
      <w:r w:rsidR="0045764C">
        <w:rPr>
          <w:rFonts w:cstheme="minorHAnsi"/>
          <w:b/>
        </w:rPr>
        <w:t>ě</w:t>
      </w:r>
      <w:r w:rsidR="009E67A7" w:rsidRPr="003F16DC">
        <w:rPr>
          <w:rFonts w:cstheme="minorHAnsi"/>
          <w:b/>
        </w:rPr>
        <w:t xml:space="preserve"> znevýhodněn</w:t>
      </w:r>
      <w:r w:rsidR="0045764C">
        <w:rPr>
          <w:rFonts w:cstheme="minorHAnsi"/>
          <w:b/>
        </w:rPr>
        <w:t>ých</w:t>
      </w:r>
      <w:r w:rsidR="009E67A7" w:rsidRPr="003F16DC">
        <w:rPr>
          <w:rFonts w:cstheme="minorHAnsi"/>
          <w:b/>
        </w:rPr>
        <w:t xml:space="preserve"> </w:t>
      </w:r>
      <w:r w:rsidR="0045764C" w:rsidRPr="003F16DC">
        <w:rPr>
          <w:rFonts w:cstheme="minorHAnsi"/>
          <w:b/>
        </w:rPr>
        <w:t xml:space="preserve">žáků </w:t>
      </w:r>
      <w:r w:rsidR="003F16DC" w:rsidRPr="003F16DC">
        <w:rPr>
          <w:rFonts w:cstheme="minorHAnsi"/>
          <w:b/>
        </w:rPr>
        <w:t xml:space="preserve">do běžných škol </w:t>
      </w:r>
      <w:r w:rsidR="007945C9">
        <w:rPr>
          <w:rFonts w:cstheme="minorHAnsi"/>
          <w:b/>
        </w:rPr>
        <w:t>nezaručují</w:t>
      </w:r>
      <w:r w:rsidR="00502B00" w:rsidRPr="003332A8">
        <w:rPr>
          <w:rFonts w:cstheme="minorHAnsi"/>
          <w:b/>
        </w:rPr>
        <w:t>,</w:t>
      </w:r>
      <w:r w:rsidR="00502B00">
        <w:rPr>
          <w:rFonts w:cstheme="minorHAnsi"/>
        </w:rPr>
        <w:t xml:space="preserve"> mimo jiné z důvodu nevhodně stanovených cílů</w:t>
      </w:r>
      <w:r w:rsidR="007208B2">
        <w:rPr>
          <w:rFonts w:cstheme="minorHAnsi"/>
          <w:b/>
        </w:rPr>
        <w:t xml:space="preserve"> </w:t>
      </w:r>
      <w:r w:rsidR="007208B2">
        <w:rPr>
          <w:rFonts w:cstheme="minorHAnsi"/>
        </w:rPr>
        <w:t xml:space="preserve">(viz také bod </w:t>
      </w:r>
      <w:proofErr w:type="gramStart"/>
      <w:r w:rsidR="007208B2">
        <w:rPr>
          <w:rFonts w:cstheme="minorHAnsi"/>
        </w:rPr>
        <w:t>IV.2.1.1</w:t>
      </w:r>
      <w:proofErr w:type="gramEnd"/>
      <w:r w:rsidR="007208B2">
        <w:rPr>
          <w:rFonts w:cstheme="minorHAnsi"/>
        </w:rPr>
        <w:t>)</w:t>
      </w:r>
      <w:r w:rsidR="007945C9" w:rsidRPr="003332A8">
        <w:rPr>
          <w:rFonts w:cstheme="minorHAnsi"/>
        </w:rPr>
        <w:t>.</w:t>
      </w:r>
    </w:p>
    <w:p w14:paraId="6E332B0B" w14:textId="1CCB6842" w:rsidR="00AB24A9" w:rsidRPr="00873805" w:rsidRDefault="00AE21A4" w:rsidP="00E34E79">
      <w:pPr>
        <w:rPr>
          <w:rFonts w:cstheme="minorHAnsi"/>
        </w:rPr>
      </w:pPr>
      <w:r>
        <w:rPr>
          <w:rFonts w:cstheme="minorHAnsi"/>
          <w:b/>
        </w:rPr>
        <w:t xml:space="preserve">5. </w:t>
      </w:r>
      <w:r w:rsidR="00AB24A9" w:rsidRPr="00AF373E">
        <w:rPr>
          <w:rFonts w:cstheme="minorHAnsi"/>
          <w:b/>
        </w:rPr>
        <w:t xml:space="preserve">Za posledních 10 let se zvýšil počet žáků se </w:t>
      </w:r>
      <w:r w:rsidR="009B1883" w:rsidRPr="003F16DC">
        <w:rPr>
          <w:rFonts w:cstheme="minorHAnsi"/>
          <w:b/>
        </w:rPr>
        <w:t xml:space="preserve">speciálními vzdělávacími potřebami </w:t>
      </w:r>
      <w:r w:rsidR="00E774DF" w:rsidRPr="00AF373E">
        <w:rPr>
          <w:rFonts w:cstheme="minorHAnsi"/>
          <w:b/>
        </w:rPr>
        <w:t>o více než polovinu</w:t>
      </w:r>
      <w:r w:rsidR="001C539E">
        <w:rPr>
          <w:rFonts w:cstheme="minorHAnsi"/>
          <w:b/>
        </w:rPr>
        <w:t xml:space="preserve"> </w:t>
      </w:r>
      <w:r w:rsidR="001C539E" w:rsidRPr="00AF373E">
        <w:rPr>
          <w:rFonts w:cstheme="minorHAnsi"/>
        </w:rPr>
        <w:t xml:space="preserve">(viz podrobnosti </w:t>
      </w:r>
      <w:r w:rsidR="001C539E" w:rsidRPr="00D573D1">
        <w:rPr>
          <w:rFonts w:cstheme="minorHAnsi"/>
        </w:rPr>
        <w:t xml:space="preserve">v příloze č. 3 </w:t>
      </w:r>
      <w:r w:rsidR="00414388">
        <w:rPr>
          <w:rFonts w:cstheme="minorHAnsi"/>
        </w:rPr>
        <w:t xml:space="preserve">tohoto </w:t>
      </w:r>
      <w:r w:rsidR="001C539E" w:rsidRPr="00D573D1">
        <w:rPr>
          <w:rFonts w:cstheme="minorHAnsi"/>
        </w:rPr>
        <w:t>kontrolního závěru)</w:t>
      </w:r>
      <w:r w:rsidR="00E774DF" w:rsidRPr="00D573D1">
        <w:rPr>
          <w:rFonts w:cstheme="minorHAnsi"/>
        </w:rPr>
        <w:t xml:space="preserve">; </w:t>
      </w:r>
      <w:r w:rsidR="00414388">
        <w:rPr>
          <w:rFonts w:cstheme="minorHAnsi"/>
        </w:rPr>
        <w:t>pokud bude</w:t>
      </w:r>
      <w:r w:rsidR="00E774DF" w:rsidRPr="00AF373E">
        <w:rPr>
          <w:rFonts w:cstheme="minorHAnsi"/>
        </w:rPr>
        <w:t xml:space="preserve"> trend každoročního nárůstu </w:t>
      </w:r>
      <w:r w:rsidR="00AB24A9" w:rsidRPr="00AF373E">
        <w:rPr>
          <w:rFonts w:cstheme="minorHAnsi"/>
        </w:rPr>
        <w:t>počt</w:t>
      </w:r>
      <w:r w:rsidR="00E774DF" w:rsidRPr="00AF373E">
        <w:rPr>
          <w:rFonts w:cstheme="minorHAnsi"/>
        </w:rPr>
        <w:t xml:space="preserve">u </w:t>
      </w:r>
      <w:r w:rsidR="00735A9C" w:rsidRPr="00AF373E">
        <w:rPr>
          <w:rFonts w:cstheme="minorHAnsi"/>
        </w:rPr>
        <w:t xml:space="preserve">těchto </w:t>
      </w:r>
      <w:r w:rsidR="00AB24A9" w:rsidRPr="00AF373E">
        <w:rPr>
          <w:rFonts w:cstheme="minorHAnsi"/>
        </w:rPr>
        <w:t>žáků</w:t>
      </w:r>
      <w:r w:rsidR="00414388">
        <w:rPr>
          <w:rFonts w:cstheme="minorHAnsi"/>
        </w:rPr>
        <w:t xml:space="preserve"> pokračovat,</w:t>
      </w:r>
      <w:r w:rsidR="00AB24A9" w:rsidRPr="00AF373E">
        <w:rPr>
          <w:rFonts w:cstheme="minorHAnsi"/>
        </w:rPr>
        <w:t xml:space="preserve"> </w:t>
      </w:r>
      <w:r w:rsidR="00E774DF" w:rsidRPr="00AF373E">
        <w:rPr>
          <w:rFonts w:cstheme="minorHAnsi"/>
        </w:rPr>
        <w:t>budou kladeny vyšší</w:t>
      </w:r>
      <w:r w:rsidR="00E52C0E" w:rsidRPr="00AF373E">
        <w:rPr>
          <w:rFonts w:cstheme="minorHAnsi"/>
        </w:rPr>
        <w:t xml:space="preserve"> </w:t>
      </w:r>
      <w:r w:rsidR="00AB24A9" w:rsidRPr="00AF373E">
        <w:rPr>
          <w:rFonts w:cstheme="minorHAnsi"/>
        </w:rPr>
        <w:t xml:space="preserve">nároky na zabezpečení zdrojů pro </w:t>
      </w:r>
      <w:r w:rsidR="00E774DF" w:rsidRPr="00AF373E">
        <w:rPr>
          <w:rFonts w:cstheme="minorHAnsi"/>
        </w:rPr>
        <w:t>zajištění rovných podmín</w:t>
      </w:r>
      <w:r w:rsidR="00973B30" w:rsidRPr="00AF373E">
        <w:rPr>
          <w:rFonts w:cstheme="minorHAnsi"/>
        </w:rPr>
        <w:t xml:space="preserve">ek </w:t>
      </w:r>
      <w:r w:rsidR="00F12888">
        <w:rPr>
          <w:rFonts w:cstheme="minorHAnsi"/>
        </w:rPr>
        <w:t>pro </w:t>
      </w:r>
      <w:r w:rsidR="00735A9C" w:rsidRPr="00AF373E">
        <w:rPr>
          <w:rFonts w:cstheme="minorHAnsi"/>
        </w:rPr>
        <w:t xml:space="preserve">přístup ke kvalitnímu </w:t>
      </w:r>
      <w:r w:rsidR="00973B30" w:rsidRPr="00AE21A4">
        <w:rPr>
          <w:rFonts w:cstheme="minorHAnsi"/>
        </w:rPr>
        <w:t>vzdělávání pro všechny žáky.</w:t>
      </w:r>
      <w:r w:rsidR="00F90A10" w:rsidRPr="00AE21A4">
        <w:rPr>
          <w:rFonts w:cstheme="minorHAnsi"/>
        </w:rPr>
        <w:t xml:space="preserve"> </w:t>
      </w:r>
    </w:p>
    <w:p w14:paraId="43EE4438" w14:textId="202241E7" w:rsidR="00817ECF" w:rsidRPr="00873805" w:rsidRDefault="00AE21A4" w:rsidP="00BB47A4">
      <w:pPr>
        <w:rPr>
          <w:strike/>
        </w:rPr>
      </w:pPr>
      <w:r>
        <w:rPr>
          <w:b/>
        </w:rPr>
        <w:t xml:space="preserve">6. </w:t>
      </w:r>
      <w:r w:rsidR="00817ECF" w:rsidRPr="00573B1F">
        <w:rPr>
          <w:b/>
        </w:rPr>
        <w:t xml:space="preserve">MŠMT spustilo </w:t>
      </w:r>
      <w:r w:rsidR="00584808" w:rsidRPr="00573B1F">
        <w:rPr>
          <w:b/>
        </w:rPr>
        <w:t xml:space="preserve">v září 2016 </w:t>
      </w:r>
      <w:r w:rsidR="007945C9">
        <w:rPr>
          <w:b/>
        </w:rPr>
        <w:t xml:space="preserve">nejvýznamnější </w:t>
      </w:r>
      <w:r w:rsidR="00817ECF" w:rsidRPr="00EE1FFD">
        <w:rPr>
          <w:b/>
        </w:rPr>
        <w:t xml:space="preserve">legislativní změny </w:t>
      </w:r>
      <w:r w:rsidR="00584808">
        <w:rPr>
          <w:b/>
        </w:rPr>
        <w:t xml:space="preserve">týkající se </w:t>
      </w:r>
      <w:r w:rsidR="00817ECF" w:rsidRPr="00EE1FFD">
        <w:rPr>
          <w:b/>
        </w:rPr>
        <w:t>společné</w:t>
      </w:r>
      <w:r w:rsidR="00584808">
        <w:rPr>
          <w:b/>
        </w:rPr>
        <w:t>ho</w:t>
      </w:r>
      <w:r w:rsidR="00817ECF" w:rsidRPr="00EE1FFD">
        <w:rPr>
          <w:b/>
        </w:rPr>
        <w:t xml:space="preserve"> vzdělávání žáků, aniž by s dostatečným časovým předstihem připravilo pedagogy v běžných školách na práci s dětmi se </w:t>
      </w:r>
      <w:r w:rsidR="009B1883" w:rsidRPr="003F16DC">
        <w:rPr>
          <w:rFonts w:cstheme="minorHAnsi"/>
          <w:b/>
        </w:rPr>
        <w:t>speciálními vzdělávacími potřebami</w:t>
      </w:r>
      <w:r w:rsidR="00BB47A4">
        <w:rPr>
          <w:b/>
        </w:rPr>
        <w:t xml:space="preserve"> různého typu</w:t>
      </w:r>
      <w:r w:rsidR="00BB47A4">
        <w:t xml:space="preserve"> (viz také bod </w:t>
      </w:r>
      <w:proofErr w:type="gramStart"/>
      <w:r w:rsidR="00BB47A4" w:rsidRPr="008E2212">
        <w:t>IV.1.</w:t>
      </w:r>
      <w:r w:rsidR="0038656A">
        <w:t>1</w:t>
      </w:r>
      <w:r w:rsidR="00BB47A4" w:rsidRPr="008E2212">
        <w:t>.1</w:t>
      </w:r>
      <w:proofErr w:type="gramEnd"/>
      <w:r w:rsidR="00BB47A4">
        <w:t>)</w:t>
      </w:r>
      <w:r w:rsidR="001930B9">
        <w:t>.</w:t>
      </w:r>
    </w:p>
    <w:p w14:paraId="09D1BC35" w14:textId="22797573" w:rsidR="00CB6081" w:rsidRPr="00E07045" w:rsidRDefault="00AE21A4" w:rsidP="00573F41">
      <w:pPr>
        <w:rPr>
          <w:rFonts w:cstheme="minorHAnsi"/>
          <w:strike/>
        </w:rPr>
      </w:pPr>
      <w:r>
        <w:rPr>
          <w:rFonts w:cstheme="minorHAnsi"/>
          <w:b/>
        </w:rPr>
        <w:t xml:space="preserve">7. </w:t>
      </w:r>
      <w:r w:rsidR="00CB6081" w:rsidRPr="00E07045">
        <w:rPr>
          <w:rFonts w:cstheme="minorHAnsi"/>
          <w:b/>
        </w:rPr>
        <w:t xml:space="preserve">MŠMT nestanovilo ve výzvách </w:t>
      </w:r>
      <w:r w:rsidR="007C69A0">
        <w:rPr>
          <w:rFonts w:cstheme="minorHAnsi"/>
          <w:b/>
        </w:rPr>
        <w:t xml:space="preserve">OP VVV </w:t>
      </w:r>
      <w:r w:rsidR="00CB6081" w:rsidRPr="00E07045">
        <w:rPr>
          <w:rFonts w:cstheme="minorHAnsi"/>
          <w:b/>
        </w:rPr>
        <w:t xml:space="preserve">pro </w:t>
      </w:r>
      <w:r w:rsidR="00E07045">
        <w:rPr>
          <w:rFonts w:cstheme="minorHAnsi"/>
          <w:b/>
        </w:rPr>
        <w:t xml:space="preserve">tzv. </w:t>
      </w:r>
      <w:r w:rsidR="00CB6081" w:rsidRPr="00E07045">
        <w:rPr>
          <w:rFonts w:cstheme="minorHAnsi"/>
          <w:b/>
        </w:rPr>
        <w:t>systémové projekty žádnou udržitelnost</w:t>
      </w:r>
      <w:r w:rsidR="00115542" w:rsidRPr="00E07045">
        <w:rPr>
          <w:rStyle w:val="Znakapoznpodarou"/>
          <w:rFonts w:cstheme="minorHAnsi"/>
          <w:b/>
        </w:rPr>
        <w:footnoteReference w:id="6"/>
      </w:r>
      <w:r w:rsidR="008F3154" w:rsidRPr="00E07045">
        <w:rPr>
          <w:rFonts w:cstheme="minorHAnsi"/>
          <w:b/>
        </w:rPr>
        <w:t xml:space="preserve"> aktivit a</w:t>
      </w:r>
      <w:r w:rsidR="00556693">
        <w:rPr>
          <w:rFonts w:cstheme="minorHAnsi"/>
          <w:b/>
        </w:rPr>
        <w:t xml:space="preserve"> </w:t>
      </w:r>
      <w:r w:rsidR="00CB6081" w:rsidRPr="00E07045">
        <w:rPr>
          <w:rFonts w:cstheme="minorHAnsi"/>
          <w:b/>
        </w:rPr>
        <w:t>výstupů</w:t>
      </w:r>
      <w:r w:rsidR="007C5AF5" w:rsidRPr="00E07045">
        <w:rPr>
          <w:rFonts w:cstheme="minorHAnsi"/>
          <w:b/>
        </w:rPr>
        <w:t xml:space="preserve">, </w:t>
      </w:r>
      <w:r w:rsidR="00CB6081" w:rsidRPr="00E07045">
        <w:rPr>
          <w:rFonts w:cstheme="minorHAnsi"/>
        </w:rPr>
        <w:t xml:space="preserve">což </w:t>
      </w:r>
      <w:r w:rsidR="00AE1BA4" w:rsidRPr="00E07045">
        <w:rPr>
          <w:rFonts w:cstheme="minorHAnsi"/>
        </w:rPr>
        <w:t xml:space="preserve">je </w:t>
      </w:r>
      <w:r w:rsidR="00CB6081" w:rsidRPr="00E07045">
        <w:rPr>
          <w:rFonts w:cstheme="minorHAnsi"/>
        </w:rPr>
        <w:t>nedostatek, který NKÚ zjistil již v předchozích kontrolních akcích</w:t>
      </w:r>
      <w:r w:rsidR="00F12888">
        <w:rPr>
          <w:rFonts w:cstheme="minorHAnsi"/>
        </w:rPr>
        <w:t xml:space="preserve"> (viz </w:t>
      </w:r>
      <w:r w:rsidR="00BB47A4" w:rsidRPr="00E07045">
        <w:rPr>
          <w:rFonts w:cstheme="minorHAnsi"/>
        </w:rPr>
        <w:t>také bod</w:t>
      </w:r>
      <w:r w:rsidR="00565E84">
        <w:rPr>
          <w:rFonts w:cstheme="minorHAnsi"/>
        </w:rPr>
        <w:t xml:space="preserve"> </w:t>
      </w:r>
      <w:proofErr w:type="gramStart"/>
      <w:r w:rsidR="00565E84">
        <w:rPr>
          <w:rFonts w:cstheme="minorHAnsi"/>
        </w:rPr>
        <w:t>IV.1.1.1</w:t>
      </w:r>
      <w:proofErr w:type="gramEnd"/>
      <w:r w:rsidR="00565E84">
        <w:rPr>
          <w:rFonts w:cstheme="minorHAnsi"/>
        </w:rPr>
        <w:t xml:space="preserve"> a</w:t>
      </w:r>
      <w:r w:rsidR="00BB47A4" w:rsidRPr="00E07045">
        <w:rPr>
          <w:rFonts w:cstheme="minorHAnsi"/>
        </w:rPr>
        <w:t xml:space="preserve"> </w:t>
      </w:r>
      <w:r w:rsidR="00BB47A4" w:rsidRPr="00E07045">
        <w:t>IV.1.5.2</w:t>
      </w:r>
      <w:r w:rsidR="00BB47A4" w:rsidRPr="00E07045">
        <w:rPr>
          <w:rFonts w:cstheme="minorHAnsi"/>
        </w:rPr>
        <w:t>).</w:t>
      </w:r>
      <w:r w:rsidR="00CB6081" w:rsidRPr="00E07045">
        <w:rPr>
          <w:rFonts w:cstheme="minorHAnsi"/>
        </w:rPr>
        <w:t xml:space="preserve"> </w:t>
      </w:r>
    </w:p>
    <w:p w14:paraId="7B51BEE7" w14:textId="158BE4F3" w:rsidR="00293A08" w:rsidRPr="003332A8" w:rsidRDefault="00AE21A4" w:rsidP="00BB47A4">
      <w:r>
        <w:rPr>
          <w:b/>
        </w:rPr>
        <w:t xml:space="preserve">8. </w:t>
      </w:r>
      <w:r w:rsidR="00293A08" w:rsidRPr="00AB24A9">
        <w:rPr>
          <w:b/>
        </w:rPr>
        <w:t>Cíle koncep</w:t>
      </w:r>
      <w:r w:rsidR="00293A08">
        <w:rPr>
          <w:b/>
        </w:rPr>
        <w:t>tu inkluze</w:t>
      </w:r>
      <w:r w:rsidR="00293A08" w:rsidRPr="00AB24A9">
        <w:rPr>
          <w:b/>
        </w:rPr>
        <w:t xml:space="preserve"> k zajištění rovného přístupu všech </w:t>
      </w:r>
      <w:r w:rsidR="008F3154">
        <w:rPr>
          <w:b/>
        </w:rPr>
        <w:t>žáků ke kvalitnímu vzdělávání v </w:t>
      </w:r>
      <w:r w:rsidR="00293A08" w:rsidRPr="00AB24A9">
        <w:rPr>
          <w:b/>
        </w:rPr>
        <w:t xml:space="preserve">běžných školách </w:t>
      </w:r>
      <w:r w:rsidR="003A5610">
        <w:rPr>
          <w:b/>
        </w:rPr>
        <w:t xml:space="preserve">definovalo MŠMT </w:t>
      </w:r>
      <w:r w:rsidR="00440555">
        <w:rPr>
          <w:b/>
        </w:rPr>
        <w:t xml:space="preserve">ve strategických dokumentech </w:t>
      </w:r>
      <w:r w:rsidR="004E2E3C">
        <w:rPr>
          <w:b/>
        </w:rPr>
        <w:t xml:space="preserve">všech úrovní </w:t>
      </w:r>
      <w:r w:rsidR="000D58C6">
        <w:rPr>
          <w:b/>
        </w:rPr>
        <w:t xml:space="preserve">velmi </w:t>
      </w:r>
      <w:r w:rsidR="00293A08" w:rsidRPr="00AB24A9">
        <w:rPr>
          <w:b/>
        </w:rPr>
        <w:lastRenderedPageBreak/>
        <w:t>obecně</w:t>
      </w:r>
      <w:r w:rsidR="00293A08">
        <w:rPr>
          <w:rStyle w:val="Znakapoznpodarou"/>
          <w:b/>
        </w:rPr>
        <w:footnoteReference w:id="7"/>
      </w:r>
      <w:r w:rsidR="00293A08">
        <w:rPr>
          <w:b/>
        </w:rPr>
        <w:t>.</w:t>
      </w:r>
      <w:r w:rsidR="00293A08">
        <w:t xml:space="preserve"> V obecné rovině je definován i cíl </w:t>
      </w:r>
      <w:r w:rsidR="00293A08" w:rsidRPr="00CC108D">
        <w:rPr>
          <w:i/>
        </w:rPr>
        <w:t>Akčního plánu inkluzi</w:t>
      </w:r>
      <w:r w:rsidR="00931B58">
        <w:rPr>
          <w:i/>
        </w:rPr>
        <w:t>vního vzdělávání na období 2016–</w:t>
      </w:r>
      <w:r w:rsidR="00293A08" w:rsidRPr="00CC108D">
        <w:rPr>
          <w:i/>
        </w:rPr>
        <w:t>2018</w:t>
      </w:r>
      <w:r w:rsidR="00293A08">
        <w:rPr>
          <w:rStyle w:val="Znakapoznpodarou"/>
        </w:rPr>
        <w:footnoteReference w:id="8"/>
      </w:r>
      <w:r w:rsidR="00293A08">
        <w:t xml:space="preserve">. </w:t>
      </w:r>
      <w:r w:rsidR="00B610D3">
        <w:t>Nejčastěji uváděným cílem ve</w:t>
      </w:r>
      <w:r w:rsidR="00293A08">
        <w:t xml:space="preserve"> strategických dokumentech </w:t>
      </w:r>
      <w:r w:rsidR="00B610D3">
        <w:t xml:space="preserve">pro oblast inkluze </w:t>
      </w:r>
      <w:r w:rsidR="00293A08">
        <w:t>j</w:t>
      </w:r>
      <w:r w:rsidR="00CC108D">
        <w:t>e</w:t>
      </w:r>
      <w:r w:rsidR="001125F6">
        <w:t xml:space="preserve"> </w:t>
      </w:r>
      <w:r w:rsidR="000D640B">
        <w:t>„</w:t>
      </w:r>
      <w:r w:rsidR="00293A08" w:rsidRPr="00CC108D">
        <w:t>podpora</w:t>
      </w:r>
      <w:r w:rsidR="000D640B">
        <w:t>“</w:t>
      </w:r>
      <w:r w:rsidR="00B64A71" w:rsidRPr="00684952">
        <w:rPr>
          <w:i/>
        </w:rPr>
        <w:t>.</w:t>
      </w:r>
      <w:r w:rsidR="00B610D3" w:rsidRPr="00684952">
        <w:rPr>
          <w:i/>
        </w:rPr>
        <w:t xml:space="preserve"> </w:t>
      </w:r>
      <w:r w:rsidR="00BB47A4">
        <w:t>Nekonkrétní a neměřitelné cíl</w:t>
      </w:r>
      <w:r w:rsidR="00925DA9">
        <w:t>e</w:t>
      </w:r>
      <w:r w:rsidR="00BB47A4">
        <w:t xml:space="preserve"> pro tuto</w:t>
      </w:r>
      <w:r w:rsidR="00CC108D">
        <w:t xml:space="preserve"> oblast se často promítly až</w:t>
      </w:r>
      <w:r w:rsidR="001125F6">
        <w:t xml:space="preserve"> </w:t>
      </w:r>
      <w:r w:rsidR="00CC108D">
        <w:t>do</w:t>
      </w:r>
      <w:r w:rsidR="001125F6">
        <w:t xml:space="preserve"> </w:t>
      </w:r>
      <w:r w:rsidR="00BB47A4">
        <w:t>úrovně projektů</w:t>
      </w:r>
      <w:r w:rsidR="00EC2A90">
        <w:t xml:space="preserve"> </w:t>
      </w:r>
      <w:r w:rsidR="00BB47A4">
        <w:t xml:space="preserve">(viz také bod </w:t>
      </w:r>
      <w:proofErr w:type="gramStart"/>
      <w:r w:rsidR="00BB47A4">
        <w:t>IV.2.1</w:t>
      </w:r>
      <w:proofErr w:type="gramEnd"/>
      <w:r w:rsidR="00BB47A4">
        <w:t>).</w:t>
      </w:r>
    </w:p>
    <w:p w14:paraId="2CE0801F" w14:textId="725702D0" w:rsidR="00354FD0" w:rsidRPr="00233263" w:rsidRDefault="00AE21A4" w:rsidP="00573F41">
      <w:pPr>
        <w:rPr>
          <w:rFonts w:eastAsiaTheme="minorEastAsia" w:cstheme="minorHAnsi"/>
          <w:color w:val="000000" w:themeColor="text1"/>
          <w:kern w:val="24"/>
        </w:rPr>
      </w:pPr>
      <w:r w:rsidRPr="00535F06">
        <w:rPr>
          <w:rFonts w:cstheme="minorHAnsi"/>
          <w:b/>
        </w:rPr>
        <w:t>9.</w:t>
      </w:r>
      <w:r>
        <w:rPr>
          <w:rFonts w:cstheme="minorHAnsi"/>
        </w:rPr>
        <w:t xml:space="preserve"> </w:t>
      </w:r>
      <w:r w:rsidR="00704D35" w:rsidRPr="00C82CFF">
        <w:rPr>
          <w:rFonts w:cstheme="minorHAnsi"/>
        </w:rPr>
        <w:t>NKÚ</w:t>
      </w:r>
      <w:r w:rsidR="0021468D" w:rsidRPr="00C82CFF">
        <w:rPr>
          <w:rFonts w:cstheme="minorHAnsi"/>
        </w:rPr>
        <w:t xml:space="preserve"> </w:t>
      </w:r>
      <w:r w:rsidR="00704D35" w:rsidRPr="00C82CFF">
        <w:rPr>
          <w:rFonts w:cstheme="minorHAnsi"/>
        </w:rPr>
        <w:t xml:space="preserve">zjistil </w:t>
      </w:r>
      <w:r w:rsidR="00684952">
        <w:rPr>
          <w:rFonts w:cstheme="minorHAnsi"/>
        </w:rPr>
        <w:t xml:space="preserve">konkrétní </w:t>
      </w:r>
      <w:r w:rsidR="00704D35" w:rsidRPr="003F0B75">
        <w:rPr>
          <w:rFonts w:cstheme="minorHAnsi"/>
          <w:b/>
        </w:rPr>
        <w:t>nedostatky v nastavení cílů a monitorovacích indikátorů</w:t>
      </w:r>
      <w:r w:rsidR="008F3154">
        <w:rPr>
          <w:rFonts w:cstheme="minorHAnsi"/>
          <w:b/>
        </w:rPr>
        <w:t xml:space="preserve"> u </w:t>
      </w:r>
      <w:r w:rsidR="00F83184" w:rsidRPr="003F0B75">
        <w:rPr>
          <w:rFonts w:cstheme="minorHAnsi"/>
          <w:b/>
        </w:rPr>
        <w:t>projekt</w:t>
      </w:r>
      <w:r w:rsidR="0021468D" w:rsidRPr="003F0B75">
        <w:rPr>
          <w:rFonts w:cstheme="minorHAnsi"/>
          <w:b/>
        </w:rPr>
        <w:t xml:space="preserve">ů </w:t>
      </w:r>
      <w:r w:rsidR="00684952">
        <w:rPr>
          <w:rFonts w:cstheme="minorHAnsi"/>
          <w:b/>
        </w:rPr>
        <w:t xml:space="preserve">podpořených </w:t>
      </w:r>
      <w:r w:rsidR="00402913">
        <w:rPr>
          <w:rFonts w:cstheme="minorHAnsi"/>
          <w:b/>
        </w:rPr>
        <w:t xml:space="preserve">peněžními </w:t>
      </w:r>
      <w:r w:rsidR="007C69A0">
        <w:rPr>
          <w:rFonts w:cstheme="minorHAnsi"/>
          <w:b/>
        </w:rPr>
        <w:t xml:space="preserve">prostředky z </w:t>
      </w:r>
      <w:r w:rsidR="00F83184" w:rsidRPr="003F0B75">
        <w:rPr>
          <w:rFonts w:cstheme="minorHAnsi"/>
          <w:b/>
        </w:rPr>
        <w:t xml:space="preserve">OP VVV a </w:t>
      </w:r>
      <w:r w:rsidR="007C69A0">
        <w:rPr>
          <w:rFonts w:cstheme="minorHAnsi"/>
          <w:b/>
        </w:rPr>
        <w:t xml:space="preserve">z </w:t>
      </w:r>
      <w:proofErr w:type="gramStart"/>
      <w:r w:rsidR="00F83184" w:rsidRPr="003F0B75">
        <w:rPr>
          <w:rFonts w:cstheme="minorHAnsi"/>
          <w:b/>
        </w:rPr>
        <w:t>OP</w:t>
      </w:r>
      <w:proofErr w:type="gramEnd"/>
      <w:r w:rsidR="00F83184" w:rsidRPr="003F0B75">
        <w:rPr>
          <w:rFonts w:cstheme="minorHAnsi"/>
          <w:b/>
        </w:rPr>
        <w:t xml:space="preserve"> PPR</w:t>
      </w:r>
      <w:r w:rsidR="008561AD">
        <w:rPr>
          <w:rFonts w:cstheme="minorHAnsi"/>
          <w:b/>
        </w:rPr>
        <w:t xml:space="preserve">. </w:t>
      </w:r>
      <w:r w:rsidR="00354FD0" w:rsidRPr="00233263">
        <w:rPr>
          <w:rFonts w:eastAsiaTheme="minorEastAsia" w:cstheme="minorHAnsi"/>
          <w:color w:val="000000" w:themeColor="text1"/>
          <w:kern w:val="24"/>
        </w:rPr>
        <w:t>MŠMT po</w:t>
      </w:r>
      <w:r w:rsidR="007D45B7">
        <w:rPr>
          <w:rFonts w:eastAsiaTheme="minorEastAsia" w:cstheme="minorHAnsi"/>
          <w:color w:val="000000" w:themeColor="text1"/>
          <w:kern w:val="24"/>
        </w:rPr>
        <w:t>dpořilo z</w:t>
      </w:r>
      <w:r w:rsidR="004259E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="007D45B7">
        <w:rPr>
          <w:rFonts w:eastAsiaTheme="minorEastAsia" w:cstheme="minorHAnsi"/>
          <w:color w:val="000000" w:themeColor="text1"/>
          <w:kern w:val="24"/>
        </w:rPr>
        <w:t>OP</w:t>
      </w:r>
      <w:proofErr w:type="gramEnd"/>
      <w:r w:rsidR="007D45B7">
        <w:rPr>
          <w:rFonts w:eastAsiaTheme="minorEastAsia" w:cstheme="minorHAnsi"/>
          <w:color w:val="000000" w:themeColor="text1"/>
          <w:kern w:val="24"/>
        </w:rPr>
        <w:t xml:space="preserve"> VVV i </w:t>
      </w:r>
      <w:r w:rsidR="00354FD0">
        <w:rPr>
          <w:rFonts w:eastAsiaTheme="minorEastAsia" w:cstheme="minorHAnsi"/>
          <w:color w:val="000000" w:themeColor="text1"/>
          <w:kern w:val="24"/>
        </w:rPr>
        <w:t>systémový projekt</w:t>
      </w:r>
      <w:r w:rsidR="0090335C">
        <w:rPr>
          <w:rFonts w:eastAsiaTheme="minorEastAsia" w:cstheme="minorHAnsi"/>
          <w:color w:val="000000" w:themeColor="text1"/>
          <w:kern w:val="24"/>
        </w:rPr>
        <w:t xml:space="preserve"> </w:t>
      </w:r>
      <w:r w:rsidR="00AF373E" w:rsidRPr="003332A8">
        <w:rPr>
          <w:rFonts w:eastAsiaTheme="minorEastAsia" w:hAnsi="Calibri" w:cstheme="minorBidi"/>
          <w:i/>
          <w:color w:val="000000" w:themeColor="text1"/>
          <w:kern w:val="24"/>
        </w:rPr>
        <w:t>Inkluzivní a kvalitní vzdělávání v</w:t>
      </w:r>
      <w:r w:rsidR="0097252C" w:rsidRPr="003332A8">
        <w:rPr>
          <w:rFonts w:eastAsiaTheme="minorEastAsia" w:hAnsi="Calibri" w:cstheme="minorBidi"/>
          <w:i/>
          <w:color w:val="000000" w:themeColor="text1"/>
          <w:kern w:val="24"/>
        </w:rPr>
        <w:t xml:space="preserve"> územích se </w:t>
      </w:r>
      <w:r w:rsidR="00AF373E" w:rsidRPr="003332A8">
        <w:rPr>
          <w:rFonts w:eastAsiaTheme="minorEastAsia" w:hAnsi="Calibri" w:cstheme="minorBidi"/>
          <w:i/>
          <w:color w:val="000000" w:themeColor="text1"/>
          <w:kern w:val="24"/>
        </w:rPr>
        <w:t>sociálně vyloučený</w:t>
      </w:r>
      <w:r w:rsidR="0097252C" w:rsidRPr="003332A8">
        <w:rPr>
          <w:rFonts w:eastAsiaTheme="minorEastAsia" w:hAnsi="Calibri" w:cstheme="minorBidi"/>
          <w:i/>
          <w:color w:val="000000" w:themeColor="text1"/>
          <w:kern w:val="24"/>
        </w:rPr>
        <w:t xml:space="preserve">mi </w:t>
      </w:r>
      <w:r w:rsidR="00AF373E" w:rsidRPr="003332A8">
        <w:rPr>
          <w:rFonts w:eastAsiaTheme="minorEastAsia" w:hAnsi="Calibri" w:cstheme="minorBidi"/>
          <w:i/>
          <w:color w:val="000000" w:themeColor="text1"/>
          <w:kern w:val="24"/>
        </w:rPr>
        <w:t>lokalit</w:t>
      </w:r>
      <w:r w:rsidR="0097252C" w:rsidRPr="003332A8">
        <w:rPr>
          <w:rFonts w:eastAsiaTheme="minorEastAsia" w:hAnsi="Calibri" w:cstheme="minorBidi"/>
          <w:i/>
          <w:color w:val="000000" w:themeColor="text1"/>
          <w:kern w:val="24"/>
        </w:rPr>
        <w:t>ami</w:t>
      </w:r>
      <w:r w:rsidR="00242EE3">
        <w:rPr>
          <w:rFonts w:eastAsiaTheme="minorEastAsia" w:hAnsi="Calibri" w:cstheme="minorBidi"/>
          <w:color w:val="000000" w:themeColor="text1"/>
          <w:kern w:val="24"/>
        </w:rPr>
        <w:t xml:space="preserve"> (dále též „projekt IKV“)</w:t>
      </w:r>
      <w:r w:rsidR="00354FD0">
        <w:rPr>
          <w:rFonts w:eastAsiaTheme="minorEastAsia" w:cstheme="minorHAnsi"/>
          <w:color w:val="000000" w:themeColor="text1"/>
          <w:kern w:val="24"/>
        </w:rPr>
        <w:t xml:space="preserve">, </w:t>
      </w:r>
      <w:r w:rsidR="00573F41">
        <w:rPr>
          <w:rFonts w:eastAsiaTheme="minorEastAsia" w:cstheme="minorHAnsi"/>
          <w:color w:val="000000" w:themeColor="text1"/>
          <w:kern w:val="24"/>
        </w:rPr>
        <w:t xml:space="preserve">jehož účelnost je </w:t>
      </w:r>
      <w:r w:rsidR="00B610D3">
        <w:rPr>
          <w:rFonts w:eastAsiaTheme="minorEastAsia" w:cstheme="minorHAnsi"/>
          <w:color w:val="000000" w:themeColor="text1"/>
          <w:kern w:val="24"/>
        </w:rPr>
        <w:t xml:space="preserve">významně </w:t>
      </w:r>
      <w:r w:rsidR="00354FD0" w:rsidRPr="00233263">
        <w:rPr>
          <w:rFonts w:eastAsiaTheme="minorEastAsia" w:cstheme="minorHAnsi"/>
          <w:color w:val="000000" w:themeColor="text1"/>
          <w:kern w:val="24"/>
        </w:rPr>
        <w:t>omezen</w:t>
      </w:r>
      <w:r w:rsidR="0031720F">
        <w:rPr>
          <w:rFonts w:eastAsiaTheme="minorEastAsia" w:cstheme="minorHAnsi"/>
          <w:color w:val="000000" w:themeColor="text1"/>
          <w:kern w:val="24"/>
        </w:rPr>
        <w:t>a</w:t>
      </w:r>
      <w:r w:rsidR="00D2401B">
        <w:rPr>
          <w:rFonts w:eastAsiaTheme="minorEastAsia" w:cstheme="minorHAnsi"/>
          <w:color w:val="000000" w:themeColor="text1"/>
          <w:kern w:val="24"/>
        </w:rPr>
        <w:t xml:space="preserve"> (viz také bod </w:t>
      </w:r>
      <w:r w:rsidR="00D2401B" w:rsidRPr="00DA1B53">
        <w:t>IV.2.1</w:t>
      </w:r>
      <w:r w:rsidR="000D58C6">
        <w:t>.1).</w:t>
      </w:r>
      <w:r w:rsidR="00354FD0" w:rsidRPr="00233263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1AE56A81" w14:textId="2201AE15" w:rsidR="00233263" w:rsidRPr="00C82CFF" w:rsidRDefault="00AE21A4" w:rsidP="00233263">
      <w:pPr>
        <w:rPr>
          <w:rFonts w:cstheme="minorHAnsi"/>
        </w:rPr>
      </w:pPr>
      <w:r w:rsidRPr="00535F06">
        <w:rPr>
          <w:rFonts w:cstheme="minorHAnsi"/>
          <w:b/>
        </w:rPr>
        <w:t>10.</w:t>
      </w:r>
      <w:r>
        <w:rPr>
          <w:rFonts w:cstheme="minorHAnsi"/>
        </w:rPr>
        <w:t xml:space="preserve"> </w:t>
      </w:r>
      <w:r w:rsidR="00233263" w:rsidRPr="00C82CFF">
        <w:rPr>
          <w:rFonts w:cstheme="minorHAnsi"/>
        </w:rPr>
        <w:t xml:space="preserve">NKÚ </w:t>
      </w:r>
      <w:r w:rsidR="00207E32">
        <w:rPr>
          <w:rFonts w:cstheme="minorHAnsi"/>
        </w:rPr>
        <w:t xml:space="preserve">identifikoval </w:t>
      </w:r>
      <w:r w:rsidR="00233263">
        <w:rPr>
          <w:rFonts w:cstheme="minorHAnsi"/>
        </w:rPr>
        <w:t xml:space="preserve">u poskytovatelů podpory </w:t>
      </w:r>
      <w:r w:rsidR="00990F72" w:rsidRPr="00990F72">
        <w:rPr>
          <w:rFonts w:cstheme="minorHAnsi"/>
          <w:b/>
        </w:rPr>
        <w:t>nedostatky</w:t>
      </w:r>
      <w:r w:rsidR="00AC387C" w:rsidRPr="00990F72">
        <w:rPr>
          <w:rFonts w:cstheme="minorHAnsi"/>
          <w:b/>
        </w:rPr>
        <w:t xml:space="preserve"> v</w:t>
      </w:r>
      <w:r w:rsidR="00A87455" w:rsidRPr="00990F72">
        <w:rPr>
          <w:rFonts w:cstheme="minorHAnsi"/>
          <w:b/>
        </w:rPr>
        <w:t xml:space="preserve"> </w:t>
      </w:r>
      <w:r w:rsidR="00233263" w:rsidRPr="00990F72">
        <w:rPr>
          <w:rFonts w:cstheme="minorHAnsi"/>
          <w:b/>
        </w:rPr>
        <w:t>kontrolní</w:t>
      </w:r>
      <w:r w:rsidR="00233263" w:rsidRPr="00844AF1">
        <w:rPr>
          <w:rFonts w:cstheme="minorHAnsi"/>
          <w:b/>
        </w:rPr>
        <w:t xml:space="preserve"> činnosti řídicích orgánů OP VVV a OP PPR</w:t>
      </w:r>
      <w:r w:rsidR="00982552">
        <w:rPr>
          <w:rFonts w:cstheme="minorHAnsi"/>
          <w:b/>
        </w:rPr>
        <w:t>, zatímco u IROP neshledal v oblasti výkonu kontroly žádné nedostatky</w:t>
      </w:r>
      <w:r w:rsidR="00CE6C60">
        <w:rPr>
          <w:rFonts w:cstheme="minorHAnsi"/>
          <w:b/>
        </w:rPr>
        <w:t xml:space="preserve"> </w:t>
      </w:r>
      <w:r w:rsidR="00D2401B">
        <w:rPr>
          <w:rFonts w:cstheme="minorHAnsi"/>
        </w:rPr>
        <w:t xml:space="preserve">(viz </w:t>
      </w:r>
      <w:r w:rsidR="00705D4B">
        <w:rPr>
          <w:rFonts w:cstheme="minorHAnsi"/>
        </w:rPr>
        <w:t xml:space="preserve">také </w:t>
      </w:r>
      <w:r w:rsidR="007D45B7">
        <w:rPr>
          <w:rFonts w:cstheme="minorHAnsi"/>
        </w:rPr>
        <w:t>bod</w:t>
      </w:r>
      <w:r w:rsidR="00D2401B">
        <w:rPr>
          <w:rFonts w:cstheme="minorHAnsi"/>
        </w:rPr>
        <w:t xml:space="preserve"> </w:t>
      </w:r>
      <w:proofErr w:type="gramStart"/>
      <w:r w:rsidR="00D2401B">
        <w:rPr>
          <w:rFonts w:cstheme="minorHAnsi"/>
        </w:rPr>
        <w:t>IV.1.</w:t>
      </w:r>
      <w:r w:rsidR="007D45B7">
        <w:rPr>
          <w:rFonts w:cstheme="minorHAnsi"/>
        </w:rPr>
        <w:t>3</w:t>
      </w:r>
      <w:proofErr w:type="gramEnd"/>
      <w:r w:rsidR="00D2401B">
        <w:rPr>
          <w:rFonts w:cstheme="minorHAnsi"/>
        </w:rPr>
        <w:t>)</w:t>
      </w:r>
      <w:r w:rsidR="005748DC" w:rsidRPr="003332A8">
        <w:rPr>
          <w:rFonts w:cstheme="minorHAnsi"/>
        </w:rPr>
        <w:t>.</w:t>
      </w:r>
    </w:p>
    <w:p w14:paraId="75BD6C0E" w14:textId="6D5B8EB8" w:rsidR="002F0941" w:rsidRDefault="00AE21A4" w:rsidP="007C69A0">
      <w:pPr>
        <w:rPr>
          <w:rFonts w:cs="Calibri"/>
        </w:rPr>
      </w:pPr>
      <w:r>
        <w:rPr>
          <w:b/>
        </w:rPr>
        <w:t xml:space="preserve">11. </w:t>
      </w:r>
      <w:r w:rsidR="000B19ED" w:rsidRPr="00844AF1">
        <w:rPr>
          <w:b/>
        </w:rPr>
        <w:t>NKÚ</w:t>
      </w:r>
      <w:r w:rsidR="000B19ED">
        <w:rPr>
          <w:b/>
        </w:rPr>
        <w:t xml:space="preserve"> </w:t>
      </w:r>
      <w:r w:rsidR="00222BAE">
        <w:rPr>
          <w:b/>
        </w:rPr>
        <w:t xml:space="preserve">zjistil, že v </w:t>
      </w:r>
      <w:r w:rsidR="00B133D4">
        <w:rPr>
          <w:b/>
        </w:rPr>
        <w:t xml:space="preserve">několika </w:t>
      </w:r>
      <w:r w:rsidR="00F83184" w:rsidRPr="00844AF1">
        <w:rPr>
          <w:b/>
        </w:rPr>
        <w:t xml:space="preserve">kontrolovaných </w:t>
      </w:r>
      <w:r w:rsidR="00F83184" w:rsidRPr="00844AF1">
        <w:rPr>
          <w:rFonts w:cstheme="minorHAnsi"/>
          <w:b/>
        </w:rPr>
        <w:t xml:space="preserve">projektech </w:t>
      </w:r>
      <w:r w:rsidR="00705D4B">
        <w:rPr>
          <w:rFonts w:cstheme="minorHAnsi"/>
          <w:b/>
        </w:rPr>
        <w:t>OP VVV a </w:t>
      </w:r>
      <w:r w:rsidR="00222BAE">
        <w:rPr>
          <w:rFonts w:cstheme="minorHAnsi"/>
          <w:b/>
        </w:rPr>
        <w:t xml:space="preserve">v jednom projektu </w:t>
      </w:r>
      <w:r w:rsidR="005748DC" w:rsidRPr="00844AF1">
        <w:rPr>
          <w:rFonts w:cstheme="minorHAnsi"/>
          <w:b/>
        </w:rPr>
        <w:t xml:space="preserve">OP PPR </w:t>
      </w:r>
      <w:r w:rsidR="00222BAE">
        <w:rPr>
          <w:rFonts w:cstheme="minorHAnsi"/>
          <w:b/>
        </w:rPr>
        <w:t xml:space="preserve">příjemci vynaložili </w:t>
      </w:r>
      <w:r w:rsidR="009D69D4" w:rsidRPr="00844AF1">
        <w:rPr>
          <w:rFonts w:cstheme="minorHAnsi"/>
          <w:b/>
        </w:rPr>
        <w:t xml:space="preserve">peněžní </w:t>
      </w:r>
      <w:r w:rsidR="00F83184" w:rsidRPr="00844AF1">
        <w:rPr>
          <w:rFonts w:cstheme="minorHAnsi"/>
          <w:b/>
        </w:rPr>
        <w:t>prostředky</w:t>
      </w:r>
      <w:r w:rsidR="00222BAE">
        <w:rPr>
          <w:rFonts w:cstheme="minorHAnsi"/>
          <w:b/>
        </w:rPr>
        <w:t xml:space="preserve"> neúčelně.</w:t>
      </w:r>
      <w:r w:rsidR="002F0941">
        <w:rPr>
          <w:rFonts w:cstheme="minorHAnsi"/>
          <w:b/>
        </w:rPr>
        <w:t xml:space="preserve"> </w:t>
      </w:r>
      <w:r w:rsidR="002F0941" w:rsidRPr="00D2401B">
        <w:rPr>
          <w:rFonts w:cs="Calibri"/>
        </w:rPr>
        <w:t>Na základě</w:t>
      </w:r>
      <w:r w:rsidR="002F0941" w:rsidRPr="00412600">
        <w:rPr>
          <w:rFonts w:cs="Calibri"/>
        </w:rPr>
        <w:t xml:space="preserve"> zjištěných skutečností</w:t>
      </w:r>
      <w:r w:rsidR="002F0941">
        <w:rPr>
          <w:rFonts w:cs="Calibri"/>
        </w:rPr>
        <w:t xml:space="preserve"> </w:t>
      </w:r>
      <w:r w:rsidR="002F0941" w:rsidRPr="00412600">
        <w:rPr>
          <w:rFonts w:cs="Calibri"/>
        </w:rPr>
        <w:t xml:space="preserve">podal </w:t>
      </w:r>
      <w:r w:rsidR="002F0941">
        <w:rPr>
          <w:rFonts w:cs="Calibri"/>
        </w:rPr>
        <w:t>NKÚ</w:t>
      </w:r>
      <w:r w:rsidR="002F0941" w:rsidRPr="00412600">
        <w:rPr>
          <w:rFonts w:cs="Calibri"/>
        </w:rPr>
        <w:t xml:space="preserve"> správci daně oznámení</w:t>
      </w:r>
      <w:r w:rsidR="002F0941">
        <w:rPr>
          <w:rFonts w:cs="Calibri"/>
        </w:rPr>
        <w:t xml:space="preserve"> o</w:t>
      </w:r>
      <w:r w:rsidR="002F0941" w:rsidRPr="00412600">
        <w:rPr>
          <w:rFonts w:cs="Calibri"/>
        </w:rPr>
        <w:t xml:space="preserve"> porušení rozpočtové kázně</w:t>
      </w:r>
      <w:r w:rsidR="006B7987">
        <w:rPr>
          <w:rFonts w:cs="Calibri"/>
        </w:rPr>
        <w:t xml:space="preserve"> </w:t>
      </w:r>
      <w:r w:rsidR="00D2401B">
        <w:rPr>
          <w:rFonts w:cs="Calibri"/>
        </w:rPr>
        <w:t xml:space="preserve">(viz také </w:t>
      </w:r>
      <w:r w:rsidR="00D2401B" w:rsidRPr="0041467A">
        <w:rPr>
          <w:rFonts w:cs="Calibri"/>
        </w:rPr>
        <w:t xml:space="preserve">body </w:t>
      </w:r>
      <w:proofErr w:type="gramStart"/>
      <w:r w:rsidR="00D2401B" w:rsidRPr="0041467A">
        <w:rPr>
          <w:rFonts w:cs="Calibri"/>
        </w:rPr>
        <w:t>IV.2.1</w:t>
      </w:r>
      <w:proofErr w:type="gramEnd"/>
      <w:r w:rsidR="00D2401B" w:rsidRPr="0041467A">
        <w:rPr>
          <w:rFonts w:cs="Calibri"/>
        </w:rPr>
        <w:t xml:space="preserve"> a IV.2.2).</w:t>
      </w:r>
    </w:p>
    <w:p w14:paraId="48BCFED7" w14:textId="0B92A7E1" w:rsidR="0043028B" w:rsidRPr="00821DA1" w:rsidRDefault="00AE21A4" w:rsidP="0043028B">
      <w:pPr>
        <w:pStyle w:val="Normlnweb"/>
        <w:spacing w:before="0" w:beforeAutospacing="0" w:after="120" w:afterAutospacing="0"/>
        <w:rPr>
          <w:rFonts w:asciiTheme="minorHAnsi" w:hAnsiTheme="minorHAnsi" w:cstheme="minorHAnsi"/>
          <w:b/>
          <w:u w:val="single"/>
        </w:rPr>
      </w:pPr>
      <w:r w:rsidRPr="00535F06">
        <w:rPr>
          <w:rFonts w:asciiTheme="minorHAnsi" w:eastAsiaTheme="minorEastAsia" w:hAnsiTheme="minorHAnsi" w:cstheme="minorHAnsi"/>
          <w:b/>
          <w:kern w:val="24"/>
        </w:rPr>
        <w:t>12.</w:t>
      </w:r>
      <w:r>
        <w:rPr>
          <w:rFonts w:asciiTheme="minorHAnsi" w:eastAsiaTheme="minorEastAsia" w:hAnsiTheme="minorHAnsi" w:cstheme="minorHAnsi"/>
          <w:kern w:val="24"/>
        </w:rPr>
        <w:t xml:space="preserve"> </w:t>
      </w:r>
      <w:r w:rsidR="000F444C">
        <w:rPr>
          <w:rFonts w:asciiTheme="minorHAnsi" w:eastAsiaTheme="minorEastAsia" w:hAnsiTheme="minorHAnsi" w:cstheme="minorHAnsi"/>
          <w:kern w:val="24"/>
        </w:rPr>
        <w:t>MŠMT poskytuje podporu z</w:t>
      </w:r>
      <w:r w:rsidR="0043028B" w:rsidRPr="0043028B">
        <w:rPr>
          <w:rFonts w:asciiTheme="minorHAnsi" w:eastAsiaTheme="minorEastAsia" w:hAnsiTheme="minorHAnsi" w:cstheme="minorHAnsi"/>
          <w:kern w:val="24"/>
        </w:rPr>
        <w:t> </w:t>
      </w:r>
      <w:proofErr w:type="gramStart"/>
      <w:r w:rsidR="0043028B" w:rsidRPr="0043028B">
        <w:rPr>
          <w:rFonts w:asciiTheme="minorHAnsi" w:eastAsiaTheme="minorEastAsia" w:hAnsiTheme="minorHAnsi" w:cstheme="minorHAnsi"/>
          <w:kern w:val="24"/>
        </w:rPr>
        <w:t>OP</w:t>
      </w:r>
      <w:proofErr w:type="gramEnd"/>
      <w:r w:rsidR="0043028B" w:rsidRPr="0043028B">
        <w:rPr>
          <w:rFonts w:asciiTheme="minorHAnsi" w:eastAsiaTheme="minorEastAsia" w:hAnsiTheme="minorHAnsi" w:cstheme="minorHAnsi"/>
          <w:kern w:val="24"/>
        </w:rPr>
        <w:t xml:space="preserve"> VVV jen běžn</w:t>
      </w:r>
      <w:r w:rsidR="00573F41">
        <w:rPr>
          <w:rFonts w:asciiTheme="minorHAnsi" w:eastAsiaTheme="minorEastAsia" w:hAnsiTheme="minorHAnsi" w:cstheme="minorHAnsi"/>
          <w:kern w:val="24"/>
        </w:rPr>
        <w:t xml:space="preserve">ým </w:t>
      </w:r>
      <w:r w:rsidR="00A32459">
        <w:rPr>
          <w:rFonts w:asciiTheme="minorHAnsi" w:eastAsiaTheme="minorEastAsia" w:hAnsiTheme="minorHAnsi" w:cstheme="minorHAnsi"/>
          <w:kern w:val="24"/>
        </w:rPr>
        <w:t>základní</w:t>
      </w:r>
      <w:r w:rsidR="00573F41">
        <w:rPr>
          <w:rFonts w:asciiTheme="minorHAnsi" w:eastAsiaTheme="minorEastAsia" w:hAnsiTheme="minorHAnsi" w:cstheme="minorHAnsi"/>
          <w:kern w:val="24"/>
        </w:rPr>
        <w:t xml:space="preserve">m </w:t>
      </w:r>
      <w:r w:rsidR="00A32459">
        <w:rPr>
          <w:rFonts w:asciiTheme="minorHAnsi" w:eastAsiaTheme="minorEastAsia" w:hAnsiTheme="minorHAnsi" w:cstheme="minorHAnsi"/>
          <w:kern w:val="24"/>
        </w:rPr>
        <w:t>školá</w:t>
      </w:r>
      <w:r w:rsidR="000F444C">
        <w:rPr>
          <w:rFonts w:asciiTheme="minorHAnsi" w:eastAsiaTheme="minorEastAsia" w:hAnsiTheme="minorHAnsi" w:cstheme="minorHAnsi"/>
          <w:kern w:val="24"/>
        </w:rPr>
        <w:t>m</w:t>
      </w:r>
      <w:r w:rsidR="0043028B" w:rsidRPr="0043028B">
        <w:rPr>
          <w:rFonts w:asciiTheme="minorHAnsi" w:eastAsiaTheme="minorEastAsia" w:hAnsiTheme="minorHAnsi" w:cstheme="minorHAnsi"/>
          <w:kern w:val="24"/>
          <w:vertAlign w:val="superscript"/>
        </w:rPr>
        <w:footnoteReference w:id="9"/>
      </w:r>
      <w:r w:rsidR="0043028B" w:rsidRPr="0043028B">
        <w:rPr>
          <w:rFonts w:asciiTheme="minorHAnsi" w:eastAsiaTheme="minorEastAsia" w:hAnsiTheme="minorHAnsi" w:cstheme="minorHAnsi"/>
          <w:kern w:val="24"/>
        </w:rPr>
        <w:t xml:space="preserve">. </w:t>
      </w:r>
      <w:r w:rsidR="0043028B" w:rsidRPr="004302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Podpora </w:t>
      </w:r>
      <w:r w:rsidR="006D5858">
        <w:rPr>
          <w:rFonts w:asciiTheme="minorHAnsi" w:eastAsiaTheme="minorEastAsia" w:hAnsiTheme="minorHAnsi" w:cstheme="minorHAnsi"/>
          <w:color w:val="000000" w:themeColor="text1"/>
          <w:kern w:val="24"/>
        </w:rPr>
        <w:t>speciální</w:t>
      </w:r>
      <w:r w:rsidR="00E4680C">
        <w:rPr>
          <w:rFonts w:asciiTheme="minorHAnsi" w:eastAsiaTheme="minorEastAsia" w:hAnsiTheme="minorHAnsi" w:cstheme="minorHAnsi"/>
          <w:color w:val="000000" w:themeColor="text1"/>
          <w:kern w:val="24"/>
        </w:rPr>
        <w:t>ch</w:t>
      </w:r>
      <w:r w:rsidR="006D585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škol</w:t>
      </w:r>
      <w:r w:rsidR="0074767F">
        <w:rPr>
          <w:rStyle w:val="Znakapoznpodarou"/>
          <w:rFonts w:asciiTheme="minorHAnsi" w:eastAsiaTheme="minorEastAsia" w:hAnsiTheme="minorHAnsi" w:cstheme="minorHAnsi"/>
          <w:color w:val="000000" w:themeColor="text1"/>
          <w:kern w:val="24"/>
        </w:rPr>
        <w:footnoteReference w:id="10"/>
      </w:r>
      <w:r w:rsidR="006D585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43028B" w:rsidRPr="004302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 kapitoly MŠMT prostřednictvím rozvojových a dotačních programů </w:t>
      </w:r>
      <w:r w:rsidR="00F03EA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(tj. nad rámec financování regionálního školství) </w:t>
      </w:r>
      <w:proofErr w:type="gramStart"/>
      <w:r w:rsidR="0043028B" w:rsidRPr="0043028B">
        <w:rPr>
          <w:rFonts w:asciiTheme="minorHAnsi" w:eastAsiaTheme="minorEastAsia" w:hAnsiTheme="minorHAnsi" w:cstheme="minorHAnsi"/>
          <w:color w:val="000000" w:themeColor="text1"/>
          <w:kern w:val="24"/>
        </w:rPr>
        <w:t>byla</w:t>
      </w:r>
      <w:proofErr w:type="gramEnd"/>
      <w:r w:rsidR="0043028B" w:rsidRPr="004302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ukončena v roce 2015</w:t>
      </w:r>
      <w:r w:rsidR="0043028B" w:rsidRPr="0043028B">
        <w:rPr>
          <w:rFonts w:asciiTheme="minorHAnsi" w:eastAsiaTheme="minorEastAsia" w:hAnsiTheme="minorHAnsi" w:cstheme="minorHAnsi"/>
          <w:kern w:val="24"/>
        </w:rPr>
        <w:t>.</w:t>
      </w:r>
      <w:r w:rsidR="00F806BA">
        <w:rPr>
          <w:rFonts w:asciiTheme="minorHAnsi" w:eastAsiaTheme="minorEastAsia" w:hAnsiTheme="minorHAnsi" w:cstheme="minorHAnsi"/>
          <w:kern w:val="24"/>
        </w:rPr>
        <w:t xml:space="preserve"> </w:t>
      </w:r>
      <w:r w:rsidR="00F806BA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MŠMT v současné době </w:t>
      </w:r>
      <w:proofErr w:type="gramStart"/>
      <w:r w:rsidR="00F806BA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nepočítá</w:t>
      </w:r>
      <w:proofErr w:type="gramEnd"/>
      <w:r w:rsidR="00F806BA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 s vyhlášením </w:t>
      </w:r>
      <w:r w:rsidR="00F03EA8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zvláštního </w:t>
      </w:r>
      <w:r w:rsidR="00F806BA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programu určeného </w:t>
      </w:r>
      <w:r w:rsidR="005748DC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výhradně na podporu </w:t>
      </w:r>
      <w:r w:rsidR="00F806BA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speciální</w:t>
      </w:r>
      <w:r w:rsidR="006D5858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ch</w:t>
      </w:r>
      <w:r w:rsidR="00F806BA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 škol</w:t>
      </w:r>
      <w:r w:rsidR="006D5858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.</w:t>
      </w:r>
      <w:r w:rsidR="00D2401B" w:rsidRPr="00821DA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 </w:t>
      </w:r>
    </w:p>
    <w:p w14:paraId="15896B81" w14:textId="2967E3B9" w:rsidR="0043028B" w:rsidRPr="00584094" w:rsidRDefault="00AE21A4" w:rsidP="0043028B">
      <w:pPr>
        <w:pStyle w:val="Normlnweb"/>
        <w:spacing w:before="0" w:beforeAutospacing="0" w:after="12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13. </w:t>
      </w:r>
      <w:r w:rsidR="0043028B" w:rsidRPr="00584094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Základní školy </w:t>
      </w:r>
      <w:r w:rsidR="006D5858" w:rsidRPr="00584094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speciální </w:t>
      </w:r>
      <w:r w:rsidR="00A87455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nejsou </w:t>
      </w:r>
      <w:r w:rsidR="0043028B" w:rsidRPr="00584094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identifikov</w:t>
      </w:r>
      <w:r w:rsidR="00A87455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ány </w:t>
      </w:r>
      <w:r w:rsidR="0043028B" w:rsidRPr="00584094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ve </w:t>
      </w:r>
      <w:r w:rsidR="00B26F19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veřejně dostupném </w:t>
      </w:r>
      <w:r w:rsidR="0043028B" w:rsidRPr="00584094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školském rejstříku</w:t>
      </w:r>
      <w:r w:rsidR="006D5858" w:rsidRPr="00584094">
        <w:rPr>
          <w:rStyle w:val="Znakapoznpodarou"/>
          <w:rFonts w:asciiTheme="minorHAnsi" w:eastAsiaTheme="minorEastAsia" w:hAnsiTheme="minorHAnsi" w:cstheme="minorHAnsi"/>
          <w:b/>
          <w:color w:val="000000" w:themeColor="text1"/>
          <w:kern w:val="24"/>
        </w:rPr>
        <w:footnoteReference w:id="11"/>
      </w:r>
      <w:r w:rsidR="00EC5589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 žádným identifikátorem.</w:t>
      </w:r>
    </w:p>
    <w:p w14:paraId="187C7A7F" w14:textId="77777777" w:rsidR="000F5042" w:rsidRDefault="000F5042">
      <w:pPr>
        <w:rPr>
          <w:rFonts w:eastAsiaTheme="minorEastAsia" w:hAnsi="Calibri" w:cstheme="minorBidi"/>
          <w:b/>
          <w:kern w:val="24"/>
        </w:rPr>
      </w:pPr>
      <w:r>
        <w:rPr>
          <w:rFonts w:eastAsiaTheme="minorEastAsia" w:hAnsi="Calibri" w:cstheme="minorBidi"/>
          <w:b/>
          <w:kern w:val="24"/>
        </w:rPr>
        <w:br w:type="page"/>
      </w:r>
    </w:p>
    <w:p w14:paraId="53EDEED5" w14:textId="764528A3" w:rsidR="00FB353E" w:rsidRPr="00873805" w:rsidRDefault="00AE21A4" w:rsidP="00FB353E">
      <w:pPr>
        <w:rPr>
          <w:rFonts w:cstheme="minorHAnsi"/>
        </w:rPr>
      </w:pPr>
      <w:r w:rsidRPr="00535F06">
        <w:rPr>
          <w:rFonts w:eastAsiaTheme="minorEastAsia" w:hAnsi="Calibri" w:cstheme="minorBidi"/>
          <w:b/>
          <w:kern w:val="24"/>
        </w:rPr>
        <w:lastRenderedPageBreak/>
        <w:t>14.</w:t>
      </w:r>
      <w:r>
        <w:rPr>
          <w:rFonts w:eastAsiaTheme="minorEastAsia" w:hAnsi="Calibri" w:cstheme="minorBidi"/>
          <w:kern w:val="24"/>
        </w:rPr>
        <w:t xml:space="preserve"> </w:t>
      </w:r>
      <w:r w:rsidR="00E40694" w:rsidRPr="00E40694">
        <w:rPr>
          <w:rFonts w:eastAsiaTheme="minorEastAsia" w:hAnsi="Calibri" w:cstheme="minorBidi"/>
          <w:kern w:val="24"/>
        </w:rPr>
        <w:t>Doplňkovost</w:t>
      </w:r>
      <w:r w:rsidR="00573F41" w:rsidRPr="00E40694">
        <w:rPr>
          <w:rStyle w:val="Znakapoznpodarou"/>
          <w:rFonts w:eastAsiaTheme="minorEastAsia" w:hAnsi="Calibri" w:cstheme="minorBidi"/>
          <w:kern w:val="24"/>
        </w:rPr>
        <w:footnoteReference w:id="12"/>
      </w:r>
      <w:r w:rsidR="00FB353E" w:rsidRPr="00E40694">
        <w:rPr>
          <w:rFonts w:eastAsiaTheme="minorEastAsia" w:hAnsi="Calibri" w:cstheme="minorBidi"/>
          <w:kern w:val="24"/>
        </w:rPr>
        <w:t xml:space="preserve"> </w:t>
      </w:r>
      <w:r w:rsidR="00E40694" w:rsidRPr="00E40694">
        <w:rPr>
          <w:rFonts w:eastAsiaTheme="minorEastAsia" w:hAnsi="Calibri" w:cstheme="minorBidi"/>
          <w:kern w:val="24"/>
        </w:rPr>
        <w:t xml:space="preserve">a vzájemná provázanost výzev </w:t>
      </w:r>
      <w:r w:rsidR="00FB353E" w:rsidRPr="00E40694">
        <w:rPr>
          <w:rFonts w:eastAsiaTheme="minorEastAsia" w:hAnsi="Calibri" w:cstheme="minorBidi"/>
          <w:kern w:val="24"/>
        </w:rPr>
        <w:t>OP</w:t>
      </w:r>
      <w:r w:rsidR="001150F2">
        <w:rPr>
          <w:rFonts w:eastAsiaTheme="minorEastAsia" w:hAnsi="Calibri" w:cstheme="minorBidi"/>
          <w:kern w:val="24"/>
        </w:rPr>
        <w:t> </w:t>
      </w:r>
      <w:r w:rsidR="00FB353E" w:rsidRPr="00E40694">
        <w:rPr>
          <w:rFonts w:eastAsiaTheme="minorEastAsia" w:hAnsi="Calibri" w:cstheme="minorBidi"/>
          <w:kern w:val="24"/>
        </w:rPr>
        <w:t xml:space="preserve">PPR </w:t>
      </w:r>
      <w:r w:rsidR="006D5858" w:rsidRPr="00E40694">
        <w:rPr>
          <w:rFonts w:eastAsiaTheme="minorEastAsia" w:hAnsi="Calibri" w:cstheme="minorBidi"/>
          <w:kern w:val="24"/>
        </w:rPr>
        <w:t>k výzvám OP</w:t>
      </w:r>
      <w:r w:rsidR="001150F2">
        <w:rPr>
          <w:rFonts w:eastAsiaTheme="minorEastAsia" w:hAnsi="Calibri" w:cstheme="minorBidi"/>
          <w:kern w:val="24"/>
        </w:rPr>
        <w:t> </w:t>
      </w:r>
      <w:r w:rsidR="006D5858" w:rsidRPr="00E40694">
        <w:rPr>
          <w:rFonts w:eastAsiaTheme="minorEastAsia" w:hAnsi="Calibri" w:cstheme="minorBidi"/>
          <w:kern w:val="24"/>
        </w:rPr>
        <w:t>VVV zaměřený</w:t>
      </w:r>
      <w:r w:rsidR="004259EF">
        <w:rPr>
          <w:rFonts w:eastAsiaTheme="minorEastAsia" w:hAnsi="Calibri" w:cstheme="minorBidi"/>
          <w:kern w:val="24"/>
        </w:rPr>
        <w:t>m</w:t>
      </w:r>
      <w:r w:rsidR="008F3154">
        <w:rPr>
          <w:rFonts w:eastAsiaTheme="minorEastAsia" w:hAnsi="Calibri" w:cstheme="minorBidi"/>
          <w:kern w:val="24"/>
        </w:rPr>
        <w:t xml:space="preserve"> na</w:t>
      </w:r>
      <w:r w:rsidR="001125F6">
        <w:rPr>
          <w:rFonts w:eastAsiaTheme="minorEastAsia" w:hAnsi="Calibri" w:cstheme="minorBidi"/>
          <w:kern w:val="24"/>
        </w:rPr>
        <w:t xml:space="preserve"> </w:t>
      </w:r>
      <w:r w:rsidR="00FB353E" w:rsidRPr="00E40694">
        <w:rPr>
          <w:rFonts w:eastAsiaTheme="minorEastAsia" w:hAnsi="Calibri" w:cstheme="minorBidi"/>
          <w:kern w:val="24"/>
        </w:rPr>
        <w:t>inkluzivní</w:t>
      </w:r>
      <w:r w:rsidR="006D5858" w:rsidRPr="00E40694">
        <w:rPr>
          <w:rFonts w:eastAsiaTheme="minorEastAsia" w:hAnsi="Calibri" w:cstheme="minorBidi"/>
          <w:kern w:val="24"/>
        </w:rPr>
        <w:t xml:space="preserve"> </w:t>
      </w:r>
      <w:r w:rsidR="00FB353E" w:rsidRPr="00E40694">
        <w:rPr>
          <w:rFonts w:eastAsiaTheme="minorEastAsia" w:hAnsi="Calibri" w:cstheme="minorBidi"/>
          <w:kern w:val="24"/>
        </w:rPr>
        <w:t xml:space="preserve">vzdělávání </w:t>
      </w:r>
      <w:r w:rsidR="00FB353E" w:rsidRPr="00D2401B">
        <w:rPr>
          <w:rFonts w:eastAsiaTheme="minorEastAsia" w:hAnsi="Calibri" w:cstheme="minorBidi"/>
          <w:b/>
          <w:kern w:val="24"/>
        </w:rPr>
        <w:t xml:space="preserve">je </w:t>
      </w:r>
      <w:r w:rsidR="001C539E">
        <w:rPr>
          <w:rFonts w:eastAsiaTheme="minorEastAsia" w:hAnsi="Calibri" w:cstheme="minorBidi"/>
          <w:b/>
          <w:kern w:val="24"/>
        </w:rPr>
        <w:t xml:space="preserve">pouze </w:t>
      </w:r>
      <w:r w:rsidR="00FB353E" w:rsidRPr="00D2401B">
        <w:rPr>
          <w:rFonts w:eastAsiaTheme="minorEastAsia" w:hAnsi="Calibri" w:cstheme="minorBidi"/>
          <w:b/>
          <w:kern w:val="24"/>
        </w:rPr>
        <w:t>formální</w:t>
      </w:r>
      <w:r w:rsidR="00D2401B">
        <w:rPr>
          <w:rFonts w:eastAsiaTheme="minorEastAsia" w:hAnsi="Calibri" w:cstheme="minorBidi"/>
          <w:kern w:val="24"/>
        </w:rPr>
        <w:t xml:space="preserve"> (viz také bod </w:t>
      </w:r>
      <w:proofErr w:type="gramStart"/>
      <w:r w:rsidR="00D2401B" w:rsidRPr="00716155">
        <w:t>IV.1.</w:t>
      </w:r>
      <w:r w:rsidR="00F175F3">
        <w:t>2</w:t>
      </w:r>
      <w:r w:rsidR="00D2401B" w:rsidRPr="00716155">
        <w:t>.2</w:t>
      </w:r>
      <w:proofErr w:type="gramEnd"/>
      <w:r w:rsidR="00D2401B">
        <w:rPr>
          <w:rFonts w:eastAsiaTheme="minorEastAsia" w:hAnsi="Calibri" w:cstheme="minorBidi"/>
          <w:kern w:val="24"/>
        </w:rPr>
        <w:t>).</w:t>
      </w:r>
      <w:r w:rsidR="00FB353E" w:rsidRPr="00E40694">
        <w:rPr>
          <w:rFonts w:eastAsiaTheme="minorEastAsia" w:hAnsi="Calibri" w:cstheme="minorBidi"/>
          <w:kern w:val="24"/>
        </w:rPr>
        <w:t xml:space="preserve"> </w:t>
      </w:r>
      <w:r w:rsidR="002A52DB">
        <w:rPr>
          <w:rFonts w:eastAsiaTheme="minorEastAsia" w:hAnsi="Calibri" w:cstheme="minorBidi"/>
          <w:kern w:val="24"/>
        </w:rPr>
        <w:t>Očekávané doplňující efekty</w:t>
      </w:r>
      <w:r w:rsidR="00B97C87">
        <w:rPr>
          <w:rFonts w:eastAsiaTheme="minorEastAsia" w:hAnsi="Calibri" w:cstheme="minorBidi"/>
          <w:kern w:val="24"/>
        </w:rPr>
        <w:t xml:space="preserve"> mezi</w:t>
      </w:r>
      <w:r w:rsidR="002A52DB">
        <w:rPr>
          <w:rFonts w:eastAsiaTheme="minorEastAsia" w:hAnsi="Calibri" w:cstheme="minorBidi"/>
          <w:kern w:val="24"/>
        </w:rPr>
        <w:t xml:space="preserve"> projekt</w:t>
      </w:r>
      <w:r w:rsidR="00B97C87">
        <w:rPr>
          <w:rFonts w:eastAsiaTheme="minorEastAsia" w:hAnsi="Calibri" w:cstheme="minorBidi"/>
          <w:kern w:val="24"/>
        </w:rPr>
        <w:t>y</w:t>
      </w:r>
      <w:r w:rsidR="002A52DB">
        <w:rPr>
          <w:rFonts w:eastAsiaTheme="minorEastAsia" w:hAnsi="Calibri" w:cstheme="minorBidi"/>
          <w:kern w:val="24"/>
        </w:rPr>
        <w:t xml:space="preserve"> OP PPR </w:t>
      </w:r>
      <w:r w:rsidR="00B97C87">
        <w:rPr>
          <w:rFonts w:eastAsiaTheme="minorEastAsia" w:hAnsi="Calibri" w:cstheme="minorBidi"/>
          <w:kern w:val="24"/>
        </w:rPr>
        <w:t xml:space="preserve">a </w:t>
      </w:r>
      <w:r w:rsidR="002A52DB">
        <w:rPr>
          <w:rFonts w:eastAsiaTheme="minorEastAsia" w:hAnsi="Calibri" w:cstheme="minorBidi"/>
          <w:kern w:val="24"/>
        </w:rPr>
        <w:t>projekty OP VVV tak nejsou zajištěny.</w:t>
      </w:r>
    </w:p>
    <w:p w14:paraId="56A5518B" w14:textId="1DE26BF4" w:rsidR="00B02790" w:rsidRPr="00D166DA" w:rsidRDefault="00AE21A4" w:rsidP="00B02790">
      <w:pPr>
        <w:rPr>
          <w:rFonts w:cstheme="minorHAnsi"/>
        </w:rPr>
      </w:pPr>
      <w:r w:rsidRPr="009165AA">
        <w:rPr>
          <w:rFonts w:cstheme="minorHAnsi"/>
          <w:b/>
        </w:rPr>
        <w:t>15.</w:t>
      </w:r>
      <w:r w:rsidRPr="009165AA">
        <w:rPr>
          <w:rFonts w:cstheme="minorHAnsi"/>
        </w:rPr>
        <w:t xml:space="preserve"> </w:t>
      </w:r>
      <w:r w:rsidR="00051976" w:rsidRPr="0049530F">
        <w:rPr>
          <w:rFonts w:cstheme="minorHAnsi"/>
        </w:rPr>
        <w:t>V</w:t>
      </w:r>
      <w:r w:rsidR="00914DF0" w:rsidRPr="0049530F">
        <w:rPr>
          <w:rFonts w:cstheme="minorHAnsi"/>
        </w:rPr>
        <w:t xml:space="preserve">e </w:t>
      </w:r>
      <w:r w:rsidR="00051976" w:rsidRPr="0049530F">
        <w:rPr>
          <w:rFonts w:cstheme="minorHAnsi"/>
        </w:rPr>
        <w:t xml:space="preserve">výzvách OP VVV a IROP určených </w:t>
      </w:r>
      <w:r w:rsidR="00914DF0" w:rsidRPr="0049530F">
        <w:rPr>
          <w:rFonts w:cstheme="minorHAnsi"/>
        </w:rPr>
        <w:t xml:space="preserve">přímo </w:t>
      </w:r>
      <w:r w:rsidR="00051976" w:rsidRPr="0049530F">
        <w:rPr>
          <w:rFonts w:cstheme="minorHAnsi"/>
        </w:rPr>
        <w:t>na podporu inkluze v sociálně vyloučených lokalitách bylo alokováno celkem 16,37 mld. Kč</w:t>
      </w:r>
      <w:r w:rsidR="00A32459" w:rsidRPr="0049530F">
        <w:rPr>
          <w:rFonts w:cstheme="minorHAnsi"/>
        </w:rPr>
        <w:t xml:space="preserve">. </w:t>
      </w:r>
      <w:r w:rsidR="00D03579" w:rsidRPr="0049530F">
        <w:rPr>
          <w:rFonts w:cstheme="minorHAnsi"/>
          <w:b/>
        </w:rPr>
        <w:t>A</w:t>
      </w:r>
      <w:r w:rsidR="00A32459" w:rsidRPr="0049530F">
        <w:rPr>
          <w:rFonts w:cstheme="minorHAnsi"/>
          <w:b/>
        </w:rPr>
        <w:t>bsorpční kapacita</w:t>
      </w:r>
      <w:r w:rsidR="00AE3994" w:rsidRPr="0049530F">
        <w:rPr>
          <w:rFonts w:cstheme="minorHAnsi"/>
          <w:b/>
        </w:rPr>
        <w:t xml:space="preserve"> výzev pro </w:t>
      </w:r>
      <w:r w:rsidR="00C63EB2" w:rsidRPr="0049530F">
        <w:rPr>
          <w:rFonts w:cstheme="minorHAnsi"/>
          <w:b/>
        </w:rPr>
        <w:t>tyto lokality</w:t>
      </w:r>
      <w:r w:rsidR="00AE3994" w:rsidRPr="0049530F">
        <w:rPr>
          <w:rFonts w:cstheme="minorHAnsi"/>
          <w:b/>
        </w:rPr>
        <w:t xml:space="preserve"> </w:t>
      </w:r>
      <w:r w:rsidR="00E40694" w:rsidRPr="0049530F">
        <w:rPr>
          <w:rFonts w:cstheme="minorHAnsi"/>
          <w:b/>
        </w:rPr>
        <w:t>u</w:t>
      </w:r>
      <w:r w:rsidR="001150F2">
        <w:rPr>
          <w:rFonts w:cstheme="minorHAnsi"/>
          <w:b/>
        </w:rPr>
        <w:t> </w:t>
      </w:r>
      <w:proofErr w:type="gramStart"/>
      <w:r w:rsidR="00E40694" w:rsidRPr="0049530F">
        <w:rPr>
          <w:rFonts w:cstheme="minorHAnsi"/>
          <w:b/>
        </w:rPr>
        <w:t>OP</w:t>
      </w:r>
      <w:proofErr w:type="gramEnd"/>
      <w:r w:rsidR="00E40694" w:rsidRPr="0049530F">
        <w:rPr>
          <w:rFonts w:cstheme="minorHAnsi"/>
          <w:b/>
        </w:rPr>
        <w:t xml:space="preserve"> VVV</w:t>
      </w:r>
      <w:r w:rsidR="00A32459" w:rsidRPr="009165AA">
        <w:rPr>
          <w:rStyle w:val="Znakapoznpodarou"/>
          <w:rFonts w:cstheme="minorHAnsi"/>
          <w:b/>
        </w:rPr>
        <w:footnoteReference w:id="13"/>
      </w:r>
      <w:r w:rsidR="00D03579" w:rsidRPr="009165AA">
        <w:rPr>
          <w:rFonts w:cstheme="minorHAnsi"/>
          <w:b/>
        </w:rPr>
        <w:t xml:space="preserve"> je však nízká</w:t>
      </w:r>
      <w:r w:rsidR="00E40694" w:rsidRPr="009165AA">
        <w:rPr>
          <w:rFonts w:cstheme="minorHAnsi"/>
          <w:b/>
        </w:rPr>
        <w:t>;</w:t>
      </w:r>
      <w:r w:rsidR="006D5858" w:rsidRPr="0049530F">
        <w:rPr>
          <w:rFonts w:cstheme="minorHAnsi"/>
          <w:b/>
        </w:rPr>
        <w:t xml:space="preserve"> u čtyř</w:t>
      </w:r>
      <w:r w:rsidR="00AE3994" w:rsidRPr="0049530F">
        <w:rPr>
          <w:rFonts w:cstheme="minorHAnsi"/>
          <w:b/>
        </w:rPr>
        <w:t xml:space="preserve"> vyhlášených výzev </w:t>
      </w:r>
      <w:r w:rsidR="00E40694" w:rsidRPr="0049530F">
        <w:rPr>
          <w:rFonts w:cstheme="minorHAnsi"/>
          <w:b/>
        </w:rPr>
        <w:t xml:space="preserve">bylo využito </w:t>
      </w:r>
      <w:r w:rsidR="00540E83" w:rsidRPr="0049530F">
        <w:rPr>
          <w:rFonts w:cstheme="minorHAnsi"/>
          <w:b/>
        </w:rPr>
        <w:t xml:space="preserve">pouze </w:t>
      </w:r>
      <w:r w:rsidR="00AE3994" w:rsidRPr="0049530F">
        <w:rPr>
          <w:rFonts w:cstheme="minorHAnsi"/>
          <w:b/>
        </w:rPr>
        <w:t>5</w:t>
      </w:r>
      <w:r w:rsidR="00502B00" w:rsidRPr="0049530F">
        <w:rPr>
          <w:rFonts w:cstheme="minorHAnsi"/>
          <w:b/>
        </w:rPr>
        <w:t>1</w:t>
      </w:r>
      <w:r w:rsidR="00AE3994" w:rsidRPr="0049530F">
        <w:rPr>
          <w:rFonts w:cstheme="minorHAnsi"/>
          <w:b/>
        </w:rPr>
        <w:t xml:space="preserve"> % z</w:t>
      </w:r>
      <w:r w:rsidR="00B02790" w:rsidRPr="0049530F">
        <w:rPr>
          <w:rFonts w:cstheme="minorHAnsi"/>
          <w:b/>
        </w:rPr>
        <w:t> </w:t>
      </w:r>
      <w:r w:rsidR="00AE3994" w:rsidRPr="0049530F">
        <w:rPr>
          <w:rFonts w:cstheme="minorHAnsi"/>
          <w:b/>
        </w:rPr>
        <w:t>celkové alokace</w:t>
      </w:r>
      <w:r w:rsidR="00A32459" w:rsidRPr="0049530F">
        <w:rPr>
          <w:rFonts w:cstheme="minorHAnsi"/>
          <w:b/>
        </w:rPr>
        <w:t>.</w:t>
      </w:r>
      <w:r w:rsidR="00B02790" w:rsidRPr="0049530F">
        <w:rPr>
          <w:rFonts w:cstheme="minorHAnsi"/>
        </w:rPr>
        <w:t xml:space="preserve"> Poskytování peněžních prostředků </w:t>
      </w:r>
      <w:r w:rsidR="00591B96" w:rsidRPr="0049530F">
        <w:rPr>
          <w:rFonts w:cstheme="minorHAnsi"/>
        </w:rPr>
        <w:t>na podporu inkluze v</w:t>
      </w:r>
      <w:r w:rsidR="00C63EB2" w:rsidRPr="0049530F">
        <w:rPr>
          <w:rFonts w:cstheme="minorHAnsi"/>
        </w:rPr>
        <w:t xml:space="preserve"> sociálně vyloučených lokalitách</w:t>
      </w:r>
      <w:r w:rsidR="00591B96" w:rsidRPr="0049530F">
        <w:rPr>
          <w:rFonts w:cstheme="minorHAnsi"/>
        </w:rPr>
        <w:t xml:space="preserve"> </w:t>
      </w:r>
      <w:r w:rsidR="008F3154" w:rsidRPr="0049530F">
        <w:rPr>
          <w:rFonts w:cstheme="minorHAnsi"/>
        </w:rPr>
        <w:t>se odvíjí od</w:t>
      </w:r>
      <w:r w:rsidR="001125F6">
        <w:rPr>
          <w:rFonts w:cstheme="minorHAnsi"/>
        </w:rPr>
        <w:t xml:space="preserve"> </w:t>
      </w:r>
      <w:r w:rsidR="00B02790" w:rsidRPr="0049530F">
        <w:rPr>
          <w:rFonts w:cstheme="minorHAnsi"/>
        </w:rPr>
        <w:t xml:space="preserve">přehledu </w:t>
      </w:r>
      <w:r w:rsidR="00591B96" w:rsidRPr="0049530F">
        <w:rPr>
          <w:rFonts w:cstheme="minorHAnsi"/>
        </w:rPr>
        <w:t xml:space="preserve">vyloučených lokalit </w:t>
      </w:r>
      <w:r w:rsidR="00B02790" w:rsidRPr="0049530F">
        <w:rPr>
          <w:rFonts w:cstheme="minorHAnsi"/>
        </w:rPr>
        <w:t xml:space="preserve">uvedených v </w:t>
      </w:r>
      <w:r w:rsidR="00B02790" w:rsidRPr="0049530F">
        <w:rPr>
          <w:rFonts w:cstheme="minorHAnsi"/>
          <w:i/>
        </w:rPr>
        <w:t>Mapě sociálně vyloučených lokalit</w:t>
      </w:r>
      <w:r w:rsidR="00A8409B" w:rsidRPr="00D166DA">
        <w:rPr>
          <w:rStyle w:val="Znakapoznpodarou"/>
          <w:rFonts w:cstheme="minorHAnsi"/>
        </w:rPr>
        <w:footnoteReference w:id="14"/>
      </w:r>
      <w:r w:rsidR="00B02790" w:rsidRPr="00D166DA">
        <w:rPr>
          <w:rFonts w:cstheme="minorHAnsi"/>
        </w:rPr>
        <w:t xml:space="preserve">, která však nebyla </w:t>
      </w:r>
      <w:r w:rsidR="00EC461A" w:rsidRPr="00D166DA">
        <w:rPr>
          <w:rFonts w:cstheme="minorHAnsi"/>
        </w:rPr>
        <w:t>ze</w:t>
      </w:r>
      <w:r w:rsidR="001125F6">
        <w:rPr>
          <w:rFonts w:cstheme="minorHAnsi"/>
        </w:rPr>
        <w:t xml:space="preserve"> </w:t>
      </w:r>
      <w:r w:rsidR="00D03579" w:rsidRPr="00D166DA">
        <w:rPr>
          <w:rFonts w:cstheme="minorHAnsi"/>
        </w:rPr>
        <w:t xml:space="preserve">strany </w:t>
      </w:r>
      <w:r w:rsidR="00EC461A" w:rsidRPr="00D166DA">
        <w:rPr>
          <w:rFonts w:cstheme="minorHAnsi"/>
        </w:rPr>
        <w:t>Ministerstva práce a sociálních věcí</w:t>
      </w:r>
      <w:r w:rsidR="00D03579" w:rsidRPr="00D166DA">
        <w:rPr>
          <w:rFonts w:cstheme="minorHAnsi"/>
        </w:rPr>
        <w:t xml:space="preserve"> </w:t>
      </w:r>
      <w:r w:rsidR="00B02790" w:rsidRPr="00D166DA">
        <w:rPr>
          <w:rFonts w:cstheme="minorHAnsi"/>
        </w:rPr>
        <w:t>od roku 2015 aktualizová</w:t>
      </w:r>
      <w:r w:rsidR="00591B96" w:rsidRPr="00D166DA">
        <w:rPr>
          <w:rFonts w:cstheme="minorHAnsi"/>
        </w:rPr>
        <w:t xml:space="preserve">na. </w:t>
      </w:r>
      <w:r w:rsidR="00A87455" w:rsidRPr="00D166DA">
        <w:rPr>
          <w:rFonts w:cstheme="minorHAnsi"/>
        </w:rPr>
        <w:t xml:space="preserve">Vzhledem k charakteristikám </w:t>
      </w:r>
      <w:r w:rsidR="00C63EB2" w:rsidRPr="00D166DA">
        <w:rPr>
          <w:rFonts w:cstheme="minorHAnsi"/>
        </w:rPr>
        <w:t>sociálně vyloučených lokalit</w:t>
      </w:r>
      <w:r w:rsidR="00A87455" w:rsidRPr="00D166DA">
        <w:rPr>
          <w:rFonts w:cstheme="minorHAnsi"/>
        </w:rPr>
        <w:t xml:space="preserve"> </w:t>
      </w:r>
      <w:r w:rsidR="00A87455" w:rsidRPr="00D166DA">
        <w:rPr>
          <w:rFonts w:cstheme="minorHAnsi"/>
          <w:b/>
        </w:rPr>
        <w:t xml:space="preserve">není </w:t>
      </w:r>
      <w:r w:rsidR="00591B96" w:rsidRPr="00D166DA">
        <w:rPr>
          <w:rFonts w:cstheme="minorHAnsi"/>
          <w:b/>
        </w:rPr>
        <w:t>tato pět let neaktualizovaná m</w:t>
      </w:r>
      <w:r w:rsidR="00584094" w:rsidRPr="00D166DA">
        <w:rPr>
          <w:rFonts w:cstheme="minorHAnsi"/>
          <w:b/>
        </w:rPr>
        <w:t xml:space="preserve">apa </w:t>
      </w:r>
      <w:r w:rsidR="0049530F" w:rsidRPr="00D166DA">
        <w:rPr>
          <w:rFonts w:cstheme="minorHAnsi"/>
          <w:b/>
        </w:rPr>
        <w:t xml:space="preserve">spolehlivým </w:t>
      </w:r>
      <w:r w:rsidR="005861CE">
        <w:rPr>
          <w:rFonts w:cstheme="minorHAnsi"/>
          <w:b/>
        </w:rPr>
        <w:t xml:space="preserve">informačním </w:t>
      </w:r>
      <w:r w:rsidR="0049530F" w:rsidRPr="00D166DA">
        <w:rPr>
          <w:rFonts w:cstheme="minorHAnsi"/>
          <w:b/>
        </w:rPr>
        <w:t>zdro</w:t>
      </w:r>
      <w:r w:rsidR="00584094" w:rsidRPr="00D166DA">
        <w:rPr>
          <w:rFonts w:cstheme="minorHAnsi"/>
          <w:b/>
        </w:rPr>
        <w:t xml:space="preserve">jem </w:t>
      </w:r>
      <w:r w:rsidR="00B02790" w:rsidRPr="00D166DA">
        <w:rPr>
          <w:rFonts w:cstheme="minorHAnsi"/>
          <w:b/>
        </w:rPr>
        <w:t xml:space="preserve">pro </w:t>
      </w:r>
      <w:r w:rsidR="00591B96" w:rsidRPr="00D166DA">
        <w:rPr>
          <w:rFonts w:cstheme="minorHAnsi"/>
          <w:b/>
        </w:rPr>
        <w:t>účelné poskytování veře</w:t>
      </w:r>
      <w:r w:rsidR="000D58C6" w:rsidRPr="00D166DA">
        <w:rPr>
          <w:rFonts w:cstheme="minorHAnsi"/>
          <w:b/>
        </w:rPr>
        <w:t>j</w:t>
      </w:r>
      <w:r w:rsidR="00591B96" w:rsidRPr="00D166DA">
        <w:rPr>
          <w:rFonts w:cstheme="minorHAnsi"/>
          <w:b/>
        </w:rPr>
        <w:t xml:space="preserve">ných </w:t>
      </w:r>
      <w:r w:rsidR="00B02790" w:rsidRPr="00D166DA">
        <w:rPr>
          <w:rFonts w:cstheme="minorHAnsi"/>
          <w:b/>
        </w:rPr>
        <w:t>prostředků</w:t>
      </w:r>
      <w:r w:rsidR="00D2401B" w:rsidRPr="00D166DA">
        <w:rPr>
          <w:rFonts w:cstheme="minorHAnsi"/>
          <w:b/>
        </w:rPr>
        <w:t xml:space="preserve"> </w:t>
      </w:r>
      <w:r w:rsidR="00D2401B" w:rsidRPr="00D166DA">
        <w:rPr>
          <w:rFonts w:cstheme="minorHAnsi"/>
        </w:rPr>
        <w:t xml:space="preserve">(viz také bod </w:t>
      </w:r>
      <w:proofErr w:type="gramStart"/>
      <w:r w:rsidR="00D2401B" w:rsidRPr="009165AA">
        <w:t>IV.1.1.1</w:t>
      </w:r>
      <w:proofErr w:type="gramEnd"/>
      <w:r w:rsidR="00D2401B" w:rsidRPr="00D166DA">
        <w:rPr>
          <w:rFonts w:cstheme="minorHAnsi"/>
        </w:rPr>
        <w:t>).</w:t>
      </w:r>
      <w:r w:rsidR="00B02790" w:rsidRPr="00D166DA">
        <w:rPr>
          <w:rFonts w:cstheme="minorHAnsi"/>
        </w:rPr>
        <w:t xml:space="preserve"> </w:t>
      </w:r>
    </w:p>
    <w:p w14:paraId="61130C93" w14:textId="1AA4CD7E" w:rsidR="009C4CA4" w:rsidRDefault="00AE21A4" w:rsidP="00BE6FE4">
      <w:pPr>
        <w:pStyle w:val="Normlnweb"/>
        <w:spacing w:before="0" w:beforeAutospacing="0" w:after="12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C461A">
        <w:rPr>
          <w:rFonts w:asciiTheme="minorHAnsi" w:eastAsiaTheme="minorEastAsia" w:hAnsi="Calibri" w:cstheme="minorBidi"/>
          <w:b/>
          <w:color w:val="000000" w:themeColor="text1"/>
          <w:kern w:val="24"/>
        </w:rPr>
        <w:t>16.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9C4CA4">
        <w:rPr>
          <w:rFonts w:asciiTheme="minorHAnsi" w:eastAsiaTheme="minorEastAsia" w:hAnsi="Calibri" w:cstheme="minorBidi"/>
          <w:color w:val="000000" w:themeColor="text1"/>
          <w:kern w:val="24"/>
        </w:rPr>
        <w:t xml:space="preserve">MŠMT podpořilo </w:t>
      </w:r>
      <w:r w:rsidR="008A661C">
        <w:rPr>
          <w:rFonts w:asciiTheme="minorHAnsi" w:eastAsiaTheme="minorEastAsia" w:hAnsi="Calibri" w:cstheme="minorBidi"/>
          <w:color w:val="000000" w:themeColor="text1"/>
          <w:kern w:val="24"/>
        </w:rPr>
        <w:t>z </w:t>
      </w:r>
      <w:proofErr w:type="gramStart"/>
      <w:r w:rsidR="008A661C">
        <w:rPr>
          <w:rFonts w:asciiTheme="minorHAnsi" w:eastAsiaTheme="minorEastAsia" w:hAnsi="Calibri" w:cstheme="minorBidi"/>
          <w:color w:val="000000" w:themeColor="text1"/>
          <w:kern w:val="24"/>
        </w:rPr>
        <w:t>OP</w:t>
      </w:r>
      <w:proofErr w:type="gramEnd"/>
      <w:r w:rsidR="008A661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VVV </w:t>
      </w:r>
      <w:r w:rsidR="00F90A10" w:rsidRPr="00D648EE">
        <w:rPr>
          <w:rFonts w:asciiTheme="minorHAnsi" w:eastAsiaTheme="minorEastAsia" w:hAnsi="Calibri" w:cstheme="minorBidi"/>
          <w:kern w:val="24"/>
        </w:rPr>
        <w:t xml:space="preserve">částkou </w:t>
      </w:r>
      <w:r w:rsidR="009C4CA4" w:rsidRPr="00D648EE">
        <w:rPr>
          <w:rFonts w:asciiTheme="minorHAnsi" w:eastAsiaTheme="minorEastAsia" w:hAnsi="Calibri" w:cstheme="minorBidi"/>
          <w:kern w:val="24"/>
        </w:rPr>
        <w:t xml:space="preserve">téměř </w:t>
      </w:r>
      <w:r w:rsidR="00F90A10" w:rsidRPr="00D573D1">
        <w:rPr>
          <w:rFonts w:asciiTheme="minorHAnsi" w:eastAsiaTheme="minorEastAsia" w:hAnsi="Calibri" w:cstheme="minorBidi"/>
          <w:kern w:val="24"/>
        </w:rPr>
        <w:t>2</w:t>
      </w:r>
      <w:r w:rsidR="00D648EE" w:rsidRPr="00D573D1">
        <w:rPr>
          <w:rFonts w:asciiTheme="minorHAnsi" w:eastAsiaTheme="minorEastAsia" w:hAnsi="Calibri" w:cstheme="minorBidi"/>
          <w:kern w:val="24"/>
        </w:rPr>
        <w:t>3</w:t>
      </w:r>
      <w:r w:rsidR="00F90A10" w:rsidRPr="00D573D1">
        <w:rPr>
          <w:rFonts w:asciiTheme="minorHAnsi" w:eastAsiaTheme="minorEastAsia" w:hAnsi="Calibri" w:cstheme="minorBidi"/>
          <w:kern w:val="24"/>
        </w:rPr>
        <w:t>0 mil</w:t>
      </w:r>
      <w:r w:rsidR="00D648EE" w:rsidRPr="00D573D1">
        <w:rPr>
          <w:rFonts w:asciiTheme="minorHAnsi" w:eastAsiaTheme="minorEastAsia" w:hAnsi="Calibri" w:cstheme="minorBidi"/>
          <w:kern w:val="24"/>
        </w:rPr>
        <w:t xml:space="preserve">. </w:t>
      </w:r>
      <w:r w:rsidR="00F90A10" w:rsidRPr="00D573D1">
        <w:rPr>
          <w:rFonts w:asciiTheme="minorHAnsi" w:eastAsiaTheme="minorEastAsia" w:hAnsi="Calibri" w:cstheme="minorBidi"/>
          <w:kern w:val="24"/>
        </w:rPr>
        <w:t>Kč</w:t>
      </w:r>
      <w:r w:rsidR="00F90A10" w:rsidRPr="00D648EE">
        <w:rPr>
          <w:rFonts w:asciiTheme="minorHAnsi" w:eastAsiaTheme="minorEastAsia" w:hAnsi="Calibri" w:cstheme="minorBidi"/>
          <w:kern w:val="24"/>
        </w:rPr>
        <w:t xml:space="preserve"> </w:t>
      </w:r>
      <w:r w:rsidR="009C4CA4">
        <w:rPr>
          <w:rFonts w:asciiTheme="minorHAnsi" w:eastAsiaTheme="minorEastAsia" w:hAnsi="Calibri" w:cstheme="minorBidi"/>
          <w:color w:val="000000" w:themeColor="text1"/>
          <w:kern w:val="24"/>
        </w:rPr>
        <w:t>systémový projekt</w:t>
      </w:r>
      <w:r w:rsidR="0005197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73B1F">
        <w:rPr>
          <w:rFonts w:asciiTheme="minorHAnsi" w:eastAsiaTheme="minorEastAsia" w:hAnsi="Calibri" w:cstheme="minorBidi"/>
          <w:color w:val="000000" w:themeColor="text1"/>
          <w:kern w:val="24"/>
        </w:rPr>
        <w:t xml:space="preserve">IKV, </w:t>
      </w:r>
      <w:r w:rsidR="009C4CA4">
        <w:rPr>
          <w:rFonts w:asciiTheme="minorHAnsi" w:eastAsiaTheme="minorEastAsia" w:hAnsi="Calibri" w:cstheme="minorBidi"/>
          <w:color w:val="000000" w:themeColor="text1"/>
          <w:kern w:val="24"/>
        </w:rPr>
        <w:t>jehož výstupy a výsledky jsou závislé spíše na externích vlivech než na samotném realizátorovi projektu</w:t>
      </w:r>
      <w:r w:rsidR="002D16D1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kterým </w:t>
      </w:r>
      <w:r w:rsidR="00222B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byl </w:t>
      </w:r>
      <w:r w:rsidR="00573B1F">
        <w:rPr>
          <w:rFonts w:asciiTheme="minorHAnsi" w:eastAsiaTheme="minorEastAsia" w:hAnsi="Calibri" w:cstheme="minorBidi"/>
          <w:color w:val="000000" w:themeColor="text1"/>
          <w:kern w:val="24"/>
        </w:rPr>
        <w:t xml:space="preserve">do 31. 12. 2019 </w:t>
      </w:r>
      <w:r w:rsidR="00222BAE" w:rsidRPr="00222BAE">
        <w:rPr>
          <w:rFonts w:asciiTheme="minorHAnsi" w:eastAsiaTheme="minorEastAsia" w:hAnsi="Calibri" w:cstheme="minorBidi"/>
          <w:color w:val="000000" w:themeColor="text1"/>
          <w:kern w:val="24"/>
        </w:rPr>
        <w:t>Úřad vlády ČR – odbor</w:t>
      </w:r>
      <w:r w:rsidR="00222B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2D16D1" w:rsidRPr="00F90A10">
        <w:rPr>
          <w:rFonts w:asciiTheme="minorHAnsi" w:eastAsiaTheme="minorEastAsia" w:hAnsi="Calibri" w:cstheme="minorBidi"/>
          <w:b/>
          <w:color w:val="000000" w:themeColor="text1"/>
          <w:kern w:val="24"/>
        </w:rPr>
        <w:t>A</w:t>
      </w:r>
      <w:r w:rsidR="00222BAE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gentura pro sociální začleňování </w:t>
      </w:r>
      <w:r w:rsidR="00222BAE">
        <w:rPr>
          <w:rFonts w:asciiTheme="minorHAnsi" w:eastAsiaTheme="minorEastAsia" w:hAnsi="Calibri" w:cstheme="minorBidi"/>
          <w:color w:val="000000" w:themeColor="text1"/>
          <w:kern w:val="24"/>
        </w:rPr>
        <w:t>(dále též „A</w:t>
      </w:r>
      <w:r w:rsidR="00C63EB2">
        <w:rPr>
          <w:rFonts w:asciiTheme="minorHAnsi" w:eastAsiaTheme="minorEastAsia" w:hAnsi="Calibri" w:cstheme="minorBidi"/>
          <w:color w:val="000000" w:themeColor="text1"/>
          <w:kern w:val="24"/>
        </w:rPr>
        <w:t>gentura</w:t>
      </w:r>
      <w:r w:rsidR="00222BAE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“). </w:t>
      </w:r>
      <w:r w:rsidR="006D1F47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>V projektu</w:t>
      </w:r>
      <w:r w:rsidR="00584094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IKV</w:t>
      </w:r>
      <w:r w:rsidR="006D1F47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tvoří přímá </w:t>
      </w:r>
      <w:r w:rsidR="00FE0045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podpora </w:t>
      </w:r>
      <w:r w:rsidR="006D1F47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>cílový</w:t>
      </w:r>
      <w:r w:rsidR="00FE0045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ch </w:t>
      </w:r>
      <w:r w:rsidR="006D1F47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>skupin</w:t>
      </w:r>
      <w:r w:rsidR="008F3154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z</w:t>
      </w:r>
      <w:r w:rsidR="00C63EB2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e </w:t>
      </w:r>
      <w:r w:rsidR="00C63EB2" w:rsidRPr="00C63EB2">
        <w:rPr>
          <w:rFonts w:asciiTheme="minorHAnsi" w:eastAsiaTheme="minorEastAsia" w:hAnsi="Calibri" w:cstheme="minorBidi"/>
          <w:b/>
          <w:color w:val="000000" w:themeColor="text1"/>
          <w:kern w:val="24"/>
        </w:rPr>
        <w:t>sociálně vyloučených lokalit</w:t>
      </w:r>
      <w:r w:rsidR="007424D5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pouhých </w:t>
      </w:r>
      <w:r w:rsidR="006D1F47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>0,8 % rozpočtu</w:t>
      </w:r>
      <w:r w:rsidR="00FE0045" w:rsidRPr="00584094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projektu </w:t>
      </w:r>
      <w:r w:rsidR="00D2401B" w:rsidRPr="00D2401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(viz také bod </w:t>
      </w:r>
      <w:proofErr w:type="gramStart"/>
      <w:r w:rsidR="00D2401B" w:rsidRPr="00D2401B">
        <w:rPr>
          <w:rFonts w:asciiTheme="minorHAnsi" w:hAnsiTheme="minorHAnsi"/>
        </w:rPr>
        <w:t>IV.2.1.1</w:t>
      </w:r>
      <w:proofErr w:type="gramEnd"/>
      <w:r w:rsidR="00D2401B" w:rsidRPr="00D2401B">
        <w:rPr>
          <w:rFonts w:asciiTheme="minorHAnsi" w:hAnsiTheme="minorHAnsi"/>
        </w:rPr>
        <w:t>)</w:t>
      </w:r>
      <w:r w:rsidR="00D2401B">
        <w:rPr>
          <w:rFonts w:asciiTheme="minorHAnsi" w:hAnsiTheme="minorHAnsi"/>
        </w:rPr>
        <w:t>.</w:t>
      </w:r>
      <w:r w:rsidR="006D1F4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62932731" w14:textId="4E494BC5" w:rsidR="002D16D1" w:rsidRPr="00D2401B" w:rsidRDefault="00AE21A4" w:rsidP="00FB353E">
      <w:pPr>
        <w:pStyle w:val="Normlnweb"/>
        <w:spacing w:before="0" w:beforeAutospacing="0" w:after="12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17. </w:t>
      </w:r>
      <w:r w:rsidR="00E774DF">
        <w:rPr>
          <w:rFonts w:asciiTheme="minorHAnsi" w:eastAsiaTheme="minorEastAsia" w:hAnsi="Calibri" w:cstheme="minorBidi"/>
          <w:b/>
          <w:color w:val="000000" w:themeColor="text1"/>
          <w:kern w:val="24"/>
        </w:rPr>
        <w:t>V projektu IKV je z</w:t>
      </w:r>
      <w:r w:rsidR="002D16D1" w:rsidRPr="006F6586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apojení </w:t>
      </w:r>
      <w:r w:rsidR="006D1F47" w:rsidRPr="006F6586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samotných obyvatel </w:t>
      </w:r>
      <w:r w:rsidR="00C63EB2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ze </w:t>
      </w:r>
      <w:r w:rsidR="00C63EB2" w:rsidRPr="00C63EB2">
        <w:rPr>
          <w:rFonts w:asciiTheme="minorHAnsi" w:eastAsiaTheme="minorEastAsia" w:hAnsi="Calibri" w:cstheme="minorBidi"/>
          <w:b/>
          <w:color w:val="000000" w:themeColor="text1"/>
          <w:kern w:val="24"/>
        </w:rPr>
        <w:t>sociálně vyloučených lokalit</w:t>
      </w:r>
      <w:r w:rsidR="006D1F4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1150F2">
        <w:rPr>
          <w:rFonts w:asciiTheme="minorHAnsi" w:eastAsiaTheme="minorEastAsia" w:hAnsi="Calibri" w:cstheme="minorBidi"/>
          <w:b/>
          <w:color w:val="000000" w:themeColor="text1"/>
          <w:kern w:val="24"/>
        </w:rPr>
        <w:t>do</w:t>
      </w:r>
      <w:r w:rsidR="00556693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</w:t>
      </w:r>
      <w:proofErr w:type="spellStart"/>
      <w:r w:rsidR="006D1F47" w:rsidRPr="00E774DF">
        <w:rPr>
          <w:rFonts w:asciiTheme="minorHAnsi" w:eastAsiaTheme="minorEastAsia" w:hAnsi="Calibri" w:cstheme="minorBidi"/>
          <w:b/>
          <w:color w:val="000000" w:themeColor="text1"/>
          <w:kern w:val="24"/>
        </w:rPr>
        <w:t>proinkluz</w:t>
      </w:r>
      <w:r w:rsidR="00555F1C">
        <w:rPr>
          <w:rFonts w:asciiTheme="minorHAnsi" w:eastAsiaTheme="minorEastAsia" w:hAnsi="Calibri" w:cstheme="minorBidi"/>
          <w:b/>
          <w:color w:val="000000" w:themeColor="text1"/>
          <w:kern w:val="24"/>
        </w:rPr>
        <w:t>i</w:t>
      </w:r>
      <w:r w:rsidR="006D1F47" w:rsidRPr="00E774DF">
        <w:rPr>
          <w:rFonts w:asciiTheme="minorHAnsi" w:eastAsiaTheme="minorEastAsia" w:hAnsi="Calibri" w:cstheme="minorBidi"/>
          <w:b/>
          <w:color w:val="000000" w:themeColor="text1"/>
          <w:kern w:val="24"/>
        </w:rPr>
        <w:t>vních</w:t>
      </w:r>
      <w:proofErr w:type="spellEnd"/>
      <w:r w:rsidR="006D1F47" w:rsidRPr="00E774DF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aktivit</w:t>
      </w:r>
      <w:r w:rsidR="002D16D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B3347" w:rsidRPr="006F6586">
        <w:rPr>
          <w:rFonts w:asciiTheme="minorHAnsi" w:eastAsiaTheme="minorEastAsia" w:hAnsi="Calibri" w:cstheme="minorBidi"/>
          <w:b/>
          <w:color w:val="000000" w:themeColor="text1"/>
          <w:kern w:val="24"/>
        </w:rPr>
        <w:t>minimální</w:t>
      </w:r>
      <w:r w:rsidR="00D2401B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což </w:t>
      </w:r>
      <w:r w:rsidR="00821DA1">
        <w:rPr>
          <w:rFonts w:asciiTheme="minorHAnsi" w:eastAsiaTheme="minorEastAsia" w:hAnsi="Calibri" w:cstheme="minorBidi"/>
          <w:color w:val="000000" w:themeColor="text1"/>
          <w:kern w:val="24"/>
        </w:rPr>
        <w:t>nepřispívá k </w:t>
      </w:r>
      <w:r w:rsidR="0057664D" w:rsidRPr="00511DEC">
        <w:rPr>
          <w:rFonts w:asciiTheme="minorHAnsi" w:eastAsiaTheme="minorEastAsia" w:hAnsi="Calibri" w:cstheme="minorBidi"/>
          <w:kern w:val="24"/>
        </w:rPr>
        <w:t>úspěšn</w:t>
      </w:r>
      <w:r w:rsidR="00821DA1">
        <w:rPr>
          <w:rFonts w:asciiTheme="minorHAnsi" w:eastAsiaTheme="minorEastAsia" w:hAnsi="Calibri" w:cstheme="minorBidi"/>
          <w:kern w:val="24"/>
        </w:rPr>
        <w:t xml:space="preserve">é </w:t>
      </w:r>
      <w:r w:rsidR="0057664D" w:rsidRPr="00511DEC">
        <w:rPr>
          <w:rFonts w:asciiTheme="minorHAnsi" w:eastAsiaTheme="minorEastAsia" w:hAnsi="Calibri" w:cstheme="minorBidi"/>
          <w:kern w:val="24"/>
        </w:rPr>
        <w:t>inkluz</w:t>
      </w:r>
      <w:r w:rsidR="00821DA1">
        <w:rPr>
          <w:rFonts w:asciiTheme="minorHAnsi" w:eastAsiaTheme="minorEastAsia" w:hAnsi="Calibri" w:cstheme="minorBidi"/>
          <w:kern w:val="24"/>
        </w:rPr>
        <w:t>i</w:t>
      </w:r>
      <w:r w:rsidR="0057664D" w:rsidRPr="00511DEC">
        <w:rPr>
          <w:rFonts w:asciiTheme="minorHAnsi" w:eastAsiaTheme="minorEastAsia" w:hAnsi="Calibri" w:cstheme="minorBidi"/>
          <w:kern w:val="24"/>
        </w:rPr>
        <w:t xml:space="preserve"> </w:t>
      </w:r>
      <w:r w:rsidR="00511DEC">
        <w:rPr>
          <w:rFonts w:asciiTheme="minorHAnsi" w:eastAsiaTheme="minorEastAsia" w:hAnsi="Calibri" w:cstheme="minorBidi"/>
          <w:kern w:val="24"/>
        </w:rPr>
        <w:t xml:space="preserve">žáků </w:t>
      </w:r>
      <w:r w:rsidR="00691C00" w:rsidRPr="00511DEC">
        <w:rPr>
          <w:rFonts w:asciiTheme="minorHAnsi" w:eastAsiaTheme="minorEastAsia" w:hAnsi="Calibri" w:cstheme="minorBidi"/>
          <w:kern w:val="24"/>
        </w:rPr>
        <w:t>v</w:t>
      </w:r>
      <w:r w:rsidR="00C63EB2">
        <w:rPr>
          <w:rFonts w:asciiTheme="minorHAnsi" w:eastAsiaTheme="minorEastAsia" w:hAnsi="Calibri" w:cstheme="minorBidi"/>
          <w:kern w:val="24"/>
        </w:rPr>
        <w:t> těchto lokalitách</w:t>
      </w:r>
      <w:r w:rsidR="00E774DF">
        <w:rPr>
          <w:rFonts w:asciiTheme="minorHAnsi" w:eastAsiaTheme="minorEastAsia" w:hAnsi="Calibri" w:cstheme="minorBidi"/>
          <w:kern w:val="24"/>
        </w:rPr>
        <w:t xml:space="preserve">. </w:t>
      </w:r>
      <w:r w:rsidR="006F6586" w:rsidRPr="00D2401B">
        <w:rPr>
          <w:rFonts w:asciiTheme="minorHAnsi" w:eastAsiaTheme="minorEastAsia" w:hAnsi="Calibri" w:cstheme="minorBidi"/>
          <w:b/>
          <w:color w:val="000000" w:themeColor="text1"/>
          <w:kern w:val="24"/>
        </w:rPr>
        <w:t>Projekt IKV je</w:t>
      </w:r>
      <w:r w:rsidR="006F6586" w:rsidRPr="006F6586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zaměřen </w:t>
      </w:r>
      <w:r w:rsidR="00AC387C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výhradně </w:t>
      </w:r>
      <w:r w:rsidR="006F6586" w:rsidRPr="006F6586">
        <w:rPr>
          <w:rFonts w:asciiTheme="minorHAnsi" w:eastAsiaTheme="minorEastAsia" w:hAnsi="Calibri" w:cstheme="minorBidi"/>
          <w:b/>
          <w:color w:val="000000" w:themeColor="text1"/>
          <w:kern w:val="24"/>
        </w:rPr>
        <w:t>na tvorbu produktových výstupů</w:t>
      </w:r>
      <w:r w:rsidR="006F6586" w:rsidRPr="006F6586">
        <w:rPr>
          <w:rStyle w:val="Znakapoznpodarou"/>
          <w:rFonts w:asciiTheme="minorHAnsi" w:eastAsiaTheme="minorEastAsia" w:hAnsi="Calibri" w:cstheme="minorBidi"/>
          <w:b/>
          <w:color w:val="000000" w:themeColor="text1"/>
          <w:kern w:val="24"/>
        </w:rPr>
        <w:footnoteReference w:id="15"/>
      </w:r>
      <w:r w:rsidR="00115542">
        <w:rPr>
          <w:rFonts w:asciiTheme="minorHAnsi" w:eastAsiaTheme="minorEastAsia" w:hAnsi="Calibri" w:cstheme="minorBidi"/>
          <w:b/>
          <w:color w:val="000000" w:themeColor="text1"/>
          <w:kern w:val="24"/>
        </w:rPr>
        <w:t>;</w:t>
      </w:r>
      <w:r w:rsidR="006F658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91B96">
        <w:rPr>
          <w:rFonts w:asciiTheme="minorHAnsi" w:eastAsiaTheme="minorEastAsia" w:hAnsi="Calibri" w:cstheme="minorBidi"/>
          <w:color w:val="000000" w:themeColor="text1"/>
          <w:kern w:val="24"/>
        </w:rPr>
        <w:t>d</w:t>
      </w:r>
      <w:r w:rsidR="00051976">
        <w:rPr>
          <w:rFonts w:asciiTheme="minorHAnsi" w:eastAsiaTheme="minorEastAsia" w:hAnsi="Calibri" w:cstheme="minorBidi"/>
          <w:color w:val="000000" w:themeColor="text1"/>
          <w:kern w:val="24"/>
        </w:rPr>
        <w:t xml:space="preserve">oposud </w:t>
      </w:r>
      <w:r w:rsidR="00591B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bylo z plánovaných </w:t>
      </w:r>
      <w:r w:rsidR="00670D69">
        <w:rPr>
          <w:rFonts w:asciiTheme="minorHAnsi" w:eastAsiaTheme="minorEastAsia" w:hAnsi="Calibri" w:cstheme="minorBidi"/>
          <w:color w:val="000000" w:themeColor="text1"/>
          <w:kern w:val="24"/>
        </w:rPr>
        <w:t xml:space="preserve">814 výstupů </w:t>
      </w:r>
      <w:r w:rsidR="00051976" w:rsidRPr="00051976">
        <w:rPr>
          <w:rFonts w:asciiTheme="minorHAnsi" w:eastAsiaTheme="minorEastAsia" w:hAnsi="Calibri" w:cstheme="minorBidi"/>
          <w:color w:val="000000" w:themeColor="text1"/>
          <w:kern w:val="24"/>
        </w:rPr>
        <w:t xml:space="preserve">vytvořeno </w:t>
      </w:r>
      <w:r w:rsidR="00670D69">
        <w:rPr>
          <w:rFonts w:asciiTheme="minorHAnsi" w:eastAsiaTheme="minorEastAsia" w:hAnsi="Calibri" w:cstheme="minorBidi"/>
          <w:color w:val="000000" w:themeColor="text1"/>
          <w:kern w:val="24"/>
        </w:rPr>
        <w:t xml:space="preserve">jen </w:t>
      </w:r>
      <w:r w:rsidR="00051976" w:rsidRPr="00051976">
        <w:rPr>
          <w:rFonts w:asciiTheme="minorHAnsi" w:eastAsiaTheme="minorEastAsia" w:hAnsi="Calibri" w:cstheme="minorBidi"/>
          <w:color w:val="000000" w:themeColor="text1"/>
          <w:kern w:val="24"/>
        </w:rPr>
        <w:t>261 výstupů</w:t>
      </w:r>
      <w:r w:rsidR="00591B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r w:rsidR="00051976" w:rsidRPr="00051976">
        <w:rPr>
          <w:rFonts w:asciiTheme="minorHAnsi" w:eastAsiaTheme="minorEastAsia" w:hAnsi="Calibri" w:cstheme="minorBidi"/>
          <w:color w:val="000000" w:themeColor="text1"/>
          <w:kern w:val="24"/>
        </w:rPr>
        <w:t xml:space="preserve">na které byly vynaloženy výdaje ve </w:t>
      </w:r>
      <w:r w:rsidR="00051976" w:rsidRPr="00D573D1">
        <w:rPr>
          <w:rFonts w:asciiTheme="minorHAnsi" w:eastAsiaTheme="minorEastAsia" w:hAnsi="Calibri" w:cstheme="minorBidi"/>
          <w:color w:val="000000" w:themeColor="text1"/>
          <w:kern w:val="24"/>
        </w:rPr>
        <w:t>výši 94</w:t>
      </w:r>
      <w:r w:rsidR="00D648EE" w:rsidRPr="00D573D1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 w:rsidR="00051976" w:rsidRPr="00D573D1">
        <w:rPr>
          <w:rFonts w:asciiTheme="minorHAnsi" w:eastAsiaTheme="minorEastAsia" w:hAnsi="Calibri" w:cstheme="minorBidi"/>
          <w:color w:val="000000" w:themeColor="text1"/>
          <w:kern w:val="24"/>
        </w:rPr>
        <w:t>99</w:t>
      </w:r>
      <w:r w:rsidR="00D648EE" w:rsidRPr="00D573D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mil. </w:t>
      </w:r>
      <w:r w:rsidR="00051976" w:rsidRPr="00D573D1">
        <w:rPr>
          <w:rFonts w:asciiTheme="minorHAnsi" w:eastAsiaTheme="minorEastAsia" w:hAnsiTheme="minorHAnsi" w:cstheme="minorBidi"/>
          <w:color w:val="000000" w:themeColor="text1"/>
          <w:kern w:val="24"/>
        </w:rPr>
        <w:t>Kč</w:t>
      </w:r>
      <w:r w:rsidR="00255E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(viz </w:t>
      </w:r>
      <w:r w:rsidR="001150F2">
        <w:rPr>
          <w:rFonts w:asciiTheme="minorHAnsi" w:eastAsiaTheme="minorEastAsia" w:hAnsiTheme="minorHAnsi" w:cstheme="minorBidi"/>
          <w:color w:val="000000" w:themeColor="text1"/>
          <w:kern w:val="24"/>
        </w:rPr>
        <w:t>také bod</w:t>
      </w:r>
      <w:r w:rsidR="00255E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gramStart"/>
      <w:r w:rsidR="00255ED1" w:rsidRPr="00D2401B">
        <w:rPr>
          <w:rFonts w:asciiTheme="minorHAnsi" w:hAnsiTheme="minorHAnsi"/>
        </w:rPr>
        <w:t>IV.2.1.1</w:t>
      </w:r>
      <w:proofErr w:type="gramEnd"/>
      <w:r w:rsidR="00255ED1">
        <w:rPr>
          <w:rFonts w:asciiTheme="minorHAnsi" w:hAnsiTheme="minorHAnsi"/>
        </w:rPr>
        <w:t>)</w:t>
      </w:r>
      <w:r w:rsidR="00D2401B"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</w:p>
    <w:p w14:paraId="4DED295D" w14:textId="7A8175DC" w:rsidR="000F5042" w:rsidRDefault="00AE21A4" w:rsidP="00F02802">
      <w:pPr>
        <w:pStyle w:val="Normlnweb"/>
        <w:spacing w:before="0" w:beforeAutospacing="0" w:after="120" w:afterAutospacing="0"/>
      </w:pPr>
      <w:r w:rsidRPr="00EC461A">
        <w:rPr>
          <w:rFonts w:asciiTheme="minorHAnsi" w:eastAsiaTheme="minorEastAsia" w:hAnsi="Calibri" w:cstheme="minorBidi"/>
          <w:b/>
          <w:color w:val="000000" w:themeColor="text1"/>
          <w:kern w:val="24"/>
        </w:rPr>
        <w:t>18.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F01068">
        <w:rPr>
          <w:rFonts w:asciiTheme="minorHAnsi" w:eastAsiaTheme="minorEastAsia" w:hAnsi="Calibri" w:cstheme="minorBidi"/>
          <w:color w:val="000000" w:themeColor="text1"/>
          <w:kern w:val="24"/>
        </w:rPr>
        <w:t>U příjemců podpory z</w:t>
      </w:r>
      <w:r w:rsidR="00C46924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proofErr w:type="gramStart"/>
      <w:r w:rsidR="00C46924">
        <w:rPr>
          <w:rFonts w:asciiTheme="minorHAnsi" w:eastAsiaTheme="minorEastAsia" w:hAnsi="Calibri" w:cstheme="minorBidi"/>
          <w:color w:val="000000" w:themeColor="text1"/>
          <w:kern w:val="24"/>
        </w:rPr>
        <w:t>OP</w:t>
      </w:r>
      <w:proofErr w:type="gramEnd"/>
      <w:r w:rsidR="00C46924">
        <w:rPr>
          <w:rFonts w:asciiTheme="minorHAnsi" w:eastAsiaTheme="minorEastAsia" w:hAnsi="Calibri" w:cstheme="minorBidi"/>
          <w:color w:val="000000" w:themeColor="text1"/>
          <w:kern w:val="24"/>
        </w:rPr>
        <w:t> VVV a OP </w:t>
      </w:r>
      <w:r w:rsidR="00F010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PPR </w:t>
      </w:r>
      <w:r w:rsidR="00F01068" w:rsidRPr="00844AF1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nejsou </w:t>
      </w:r>
      <w:r w:rsidR="00F01068" w:rsidRPr="0090335C">
        <w:rPr>
          <w:rFonts w:asciiTheme="minorHAnsi" w:eastAsiaTheme="minorEastAsia" w:hAnsi="Calibri" w:cstheme="minorBidi"/>
          <w:b/>
          <w:color w:val="000000" w:themeColor="text1"/>
          <w:kern w:val="24"/>
        </w:rPr>
        <w:t>v některých projektech</w:t>
      </w:r>
      <w:r w:rsidR="00F0106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F01068" w:rsidRPr="0090335C">
        <w:rPr>
          <w:rFonts w:asciiTheme="minorHAnsi" w:eastAsiaTheme="minorEastAsia" w:hAnsi="Calibri" w:cstheme="minorBidi"/>
          <w:b/>
          <w:color w:val="000000" w:themeColor="text1"/>
          <w:kern w:val="24"/>
        </w:rPr>
        <w:t>sledovány a</w:t>
      </w:r>
      <w:r w:rsidR="008F3154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="00F01068" w:rsidRPr="00844AF1">
        <w:rPr>
          <w:rFonts w:asciiTheme="minorHAnsi" w:eastAsiaTheme="minorEastAsia" w:hAnsi="Calibri" w:cstheme="minorBidi"/>
          <w:b/>
          <w:color w:val="000000" w:themeColor="text1"/>
          <w:kern w:val="24"/>
        </w:rPr>
        <w:t>vyhodnocovány dopady poskytnuté podpory na cílové skupiny</w:t>
      </w:r>
      <w:r w:rsidR="00255ED1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</w:t>
      </w:r>
      <w:r w:rsidR="00255ED1">
        <w:rPr>
          <w:rFonts w:asciiTheme="minorHAnsi" w:eastAsiaTheme="minorEastAsia" w:hAnsi="Calibri" w:cstheme="minorBidi"/>
          <w:color w:val="000000" w:themeColor="text1"/>
          <w:kern w:val="24"/>
        </w:rPr>
        <w:t xml:space="preserve">(viz </w:t>
      </w:r>
      <w:r w:rsidR="00C46924">
        <w:rPr>
          <w:rFonts w:asciiTheme="minorHAnsi" w:eastAsiaTheme="minorEastAsia" w:hAnsi="Calibri" w:cstheme="minorBidi"/>
          <w:color w:val="000000" w:themeColor="text1"/>
          <w:kern w:val="24"/>
        </w:rPr>
        <w:t>také body IV.2.1 a </w:t>
      </w:r>
      <w:r w:rsidR="00255ED1">
        <w:rPr>
          <w:rFonts w:asciiTheme="minorHAnsi" w:eastAsiaTheme="minorEastAsia" w:hAnsi="Calibri" w:cstheme="minorBidi"/>
          <w:color w:val="000000" w:themeColor="text1"/>
          <w:kern w:val="24"/>
        </w:rPr>
        <w:t>IV.2.2)</w:t>
      </w:r>
      <w:r w:rsidR="00F01068" w:rsidRPr="00F02802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14:paraId="74A3C31B" w14:textId="48DD4F3C" w:rsidR="00F02802" w:rsidRDefault="00F02802" w:rsidP="00F02802">
      <w:pPr>
        <w:pStyle w:val="Normlnweb"/>
        <w:spacing w:before="0" w:beforeAutospacing="0" w:after="120" w:afterAutospacing="0"/>
      </w:pPr>
    </w:p>
    <w:p w14:paraId="6D357A60" w14:textId="77777777" w:rsidR="00F02802" w:rsidRPr="00F02802" w:rsidRDefault="00F02802" w:rsidP="00F02802">
      <w:pPr>
        <w:pStyle w:val="Normlnweb"/>
        <w:spacing w:before="0" w:beforeAutospacing="0" w:after="12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78858748" w14:textId="3E43E677" w:rsidR="004E31D6" w:rsidRDefault="00CD2800" w:rsidP="008124D7">
      <w:pPr>
        <w:pStyle w:val="Nadpis1"/>
      </w:pPr>
      <w:r w:rsidRPr="008124D7">
        <w:lastRenderedPageBreak/>
        <w:t xml:space="preserve">II. </w:t>
      </w:r>
      <w:r w:rsidR="00D932E3" w:rsidRPr="008124D7">
        <w:t>Informace o kontrolované oblasti</w:t>
      </w:r>
    </w:p>
    <w:p w14:paraId="7F64582F" w14:textId="1E76A4C2" w:rsidR="003260C8" w:rsidRPr="00AE21A4" w:rsidRDefault="003260C8" w:rsidP="00AE21A4">
      <w:pPr>
        <w:rPr>
          <w:rFonts w:cstheme="minorHAnsi"/>
        </w:rPr>
      </w:pPr>
      <w:r w:rsidRPr="003260C8">
        <w:rPr>
          <w:rFonts w:cstheme="minorHAnsi"/>
        </w:rPr>
        <w:t xml:space="preserve">Česká republika </w:t>
      </w:r>
      <w:r w:rsidR="00573B1F">
        <w:rPr>
          <w:rFonts w:cstheme="minorHAnsi"/>
        </w:rPr>
        <w:t>zav</w:t>
      </w:r>
      <w:r w:rsidR="00982552">
        <w:rPr>
          <w:rFonts w:cstheme="minorHAnsi"/>
        </w:rPr>
        <w:t>edla</w:t>
      </w:r>
      <w:r w:rsidR="00573B1F">
        <w:rPr>
          <w:rFonts w:cstheme="minorHAnsi"/>
        </w:rPr>
        <w:t xml:space="preserve"> </w:t>
      </w:r>
      <w:r w:rsidRPr="003260C8">
        <w:rPr>
          <w:rFonts w:cstheme="minorHAnsi"/>
        </w:rPr>
        <w:t xml:space="preserve">opatření </w:t>
      </w:r>
      <w:r w:rsidR="002F64EE">
        <w:rPr>
          <w:rFonts w:cstheme="minorHAnsi"/>
        </w:rPr>
        <w:t xml:space="preserve">směřující k inkluzivnímu vzdělávání </w:t>
      </w:r>
      <w:r w:rsidRPr="003260C8">
        <w:rPr>
          <w:rFonts w:cstheme="minorHAnsi"/>
        </w:rPr>
        <w:t>za účelem řádného výkonu rozsudku Evropského soudu pro lidská práva ve věci D. H. a ostatní proti České republice</w:t>
      </w:r>
      <w:r w:rsidR="003760C3">
        <w:rPr>
          <w:rFonts w:cstheme="minorHAnsi"/>
        </w:rPr>
        <w:t xml:space="preserve">, jímž bylo </w:t>
      </w:r>
      <w:r w:rsidR="00AE21A4">
        <w:rPr>
          <w:rFonts w:cstheme="minorHAnsi"/>
        </w:rPr>
        <w:t xml:space="preserve">uznáno, že </w:t>
      </w:r>
      <w:r w:rsidR="00AE21A4" w:rsidRPr="00AE21A4">
        <w:rPr>
          <w:rFonts w:cstheme="minorHAnsi"/>
        </w:rPr>
        <w:t xml:space="preserve">počet romských dětí ve zvláštních školách </w:t>
      </w:r>
      <w:r w:rsidR="00AE21A4">
        <w:rPr>
          <w:rFonts w:cstheme="minorHAnsi"/>
        </w:rPr>
        <w:t xml:space="preserve">v ČR </w:t>
      </w:r>
      <w:r w:rsidR="00AE21A4" w:rsidRPr="00AE21A4">
        <w:rPr>
          <w:rFonts w:cstheme="minorHAnsi"/>
        </w:rPr>
        <w:t>byl nepřiměřeně vysoký a že romské děti představovaly většinu žáků těchto škol</w:t>
      </w:r>
      <w:r w:rsidR="00AE21A4">
        <w:rPr>
          <w:rStyle w:val="Znakapoznpodarou"/>
          <w:rFonts w:cstheme="minorHAnsi"/>
        </w:rPr>
        <w:footnoteReference w:id="16"/>
      </w:r>
      <w:r w:rsidR="00AE21A4" w:rsidRPr="00AE21A4">
        <w:rPr>
          <w:rFonts w:cstheme="minorHAnsi"/>
        </w:rPr>
        <w:t xml:space="preserve">. </w:t>
      </w:r>
    </w:p>
    <w:p w14:paraId="755920B3" w14:textId="3994F292" w:rsidR="0034659F" w:rsidRPr="00D573D1" w:rsidRDefault="0034659F" w:rsidP="0034659F">
      <w:pPr>
        <w:rPr>
          <w:rFonts w:cstheme="minorHAnsi"/>
          <w:b/>
        </w:rPr>
      </w:pPr>
      <w:r w:rsidRPr="00E45FF6">
        <w:rPr>
          <w:rFonts w:cstheme="minorHAnsi"/>
        </w:rPr>
        <w:t xml:space="preserve">Rozsáhlá novelizace </w:t>
      </w:r>
      <w:r>
        <w:rPr>
          <w:rFonts w:cstheme="minorHAnsi"/>
        </w:rPr>
        <w:t>školského zákona</w:t>
      </w:r>
      <w:r>
        <w:rPr>
          <w:rStyle w:val="Znakapoznpodarou"/>
          <w:rFonts w:cstheme="minorHAnsi"/>
        </w:rPr>
        <w:footnoteReference w:id="17"/>
      </w:r>
      <w:r>
        <w:rPr>
          <w:rFonts w:cstheme="minorHAnsi"/>
        </w:rPr>
        <w:t xml:space="preserve"> </w:t>
      </w:r>
      <w:r w:rsidRPr="00E45FF6">
        <w:rPr>
          <w:rFonts w:cstheme="minorHAnsi"/>
        </w:rPr>
        <w:t>s účinností od 1. září 2016 m</w:t>
      </w:r>
      <w:r>
        <w:rPr>
          <w:rFonts w:cstheme="minorHAnsi"/>
        </w:rPr>
        <w:t>ěla z</w:t>
      </w:r>
      <w:r w:rsidRPr="00E45FF6">
        <w:rPr>
          <w:rFonts w:cstheme="minorHAnsi"/>
        </w:rPr>
        <w:t xml:space="preserve">a cíl komplexní změnu ve vzdělávání žáků se </w:t>
      </w:r>
      <w:r w:rsidR="009B1883" w:rsidRPr="009B1883">
        <w:rPr>
          <w:rFonts w:cstheme="minorHAnsi"/>
        </w:rPr>
        <w:t xml:space="preserve">speciálními vzdělávacími potřebami </w:t>
      </w:r>
      <w:r w:rsidR="009B1883">
        <w:rPr>
          <w:rFonts w:cstheme="minorHAnsi"/>
        </w:rPr>
        <w:t>(dále též „</w:t>
      </w:r>
      <w:r>
        <w:rPr>
          <w:rFonts w:cstheme="minorHAnsi"/>
        </w:rPr>
        <w:t>SVP</w:t>
      </w:r>
      <w:r w:rsidR="009B1883">
        <w:rPr>
          <w:rFonts w:cstheme="minorHAnsi"/>
        </w:rPr>
        <w:t>“)</w:t>
      </w:r>
      <w:r>
        <w:rPr>
          <w:rFonts w:cstheme="minorHAnsi"/>
        </w:rPr>
        <w:t xml:space="preserve">, </w:t>
      </w:r>
      <w:r w:rsidRPr="00E45FF6">
        <w:rPr>
          <w:rFonts w:cstheme="minorHAnsi"/>
        </w:rPr>
        <w:t xml:space="preserve">posílení inkluzivního prostředí </w:t>
      </w:r>
      <w:r w:rsidR="00F01068">
        <w:rPr>
          <w:rFonts w:cstheme="minorHAnsi"/>
        </w:rPr>
        <w:t>škol</w:t>
      </w:r>
      <w:r>
        <w:rPr>
          <w:rFonts w:cstheme="minorHAnsi"/>
        </w:rPr>
        <w:t xml:space="preserve"> a </w:t>
      </w:r>
      <w:r w:rsidRPr="007117FE">
        <w:t>garan</w:t>
      </w:r>
      <w:r w:rsidR="00670450">
        <w:t>ci</w:t>
      </w:r>
      <w:r>
        <w:t xml:space="preserve"> </w:t>
      </w:r>
      <w:r w:rsidR="00F01068">
        <w:t xml:space="preserve">práv žáků se SVP </w:t>
      </w:r>
      <w:r w:rsidRPr="007117FE">
        <w:t>na tzv. podpůrná opatření</w:t>
      </w:r>
      <w:r w:rsidR="0048008D">
        <w:rPr>
          <w:rStyle w:val="Znakapoznpodarou"/>
        </w:rPr>
        <w:footnoteReference w:id="18"/>
      </w:r>
      <w:r w:rsidRPr="007117FE">
        <w:t xml:space="preserve">. Tato opatření </w:t>
      </w:r>
      <w:r w:rsidR="00F01068">
        <w:t xml:space="preserve">by měla pomoci </w:t>
      </w:r>
      <w:r w:rsidRPr="007117FE">
        <w:t xml:space="preserve">překonávat </w:t>
      </w:r>
      <w:r w:rsidR="002F64EE">
        <w:t xml:space="preserve">jejich </w:t>
      </w:r>
      <w:r w:rsidRPr="007117FE">
        <w:t>znevýhodnění – ať už se jedná o děti a žáky zdravotně postižené a znevýhodněné</w:t>
      </w:r>
      <w:r w:rsidR="003677AA">
        <w:t>,</w:t>
      </w:r>
      <w:r w:rsidR="00AE21A4">
        <w:t xml:space="preserve"> nebo </w:t>
      </w:r>
      <w:r>
        <w:t xml:space="preserve">o </w:t>
      </w:r>
      <w:r w:rsidR="008F3154">
        <w:t>děti a</w:t>
      </w:r>
      <w:r w:rsidR="001125F6">
        <w:t xml:space="preserve"> </w:t>
      </w:r>
      <w:r w:rsidRPr="007117FE">
        <w:t xml:space="preserve">žáky </w:t>
      </w:r>
      <w:r w:rsidR="0048008D">
        <w:t>s o</w:t>
      </w:r>
      <w:r w:rsidR="00261F83">
        <w:t>dlišnými životními podmínkami a </w:t>
      </w:r>
      <w:r w:rsidR="0048008D">
        <w:t>kulturním prostředím</w:t>
      </w:r>
      <w:r w:rsidR="00AE21A4">
        <w:t xml:space="preserve">. </w:t>
      </w:r>
      <w:r w:rsidR="004E7A96">
        <w:t>Právní úprava</w:t>
      </w:r>
      <w:r w:rsidR="00C36540">
        <w:t xml:space="preserve"> školského zákona a jeho prováděcí předpis</w:t>
      </w:r>
      <w:r>
        <w:rPr>
          <w:rStyle w:val="Znakapoznpodarou"/>
          <w:rFonts w:cstheme="minorHAnsi"/>
        </w:rPr>
        <w:footnoteReference w:id="19"/>
      </w:r>
      <w:r w:rsidRPr="00070355">
        <w:rPr>
          <w:rFonts w:cstheme="minorHAnsi"/>
        </w:rPr>
        <w:t xml:space="preserve"> </w:t>
      </w:r>
      <w:r>
        <w:rPr>
          <w:rFonts w:cstheme="minorHAnsi"/>
        </w:rPr>
        <w:t>měl</w:t>
      </w:r>
      <w:r w:rsidR="003677AA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070355">
        <w:rPr>
          <w:rFonts w:cstheme="minorHAnsi"/>
        </w:rPr>
        <w:t>přin</w:t>
      </w:r>
      <w:r>
        <w:rPr>
          <w:rFonts w:cstheme="minorHAnsi"/>
        </w:rPr>
        <w:t xml:space="preserve">ést </w:t>
      </w:r>
      <w:r w:rsidRPr="00070355">
        <w:rPr>
          <w:rFonts w:cstheme="minorHAnsi"/>
        </w:rPr>
        <w:t>narovnání podmínek a</w:t>
      </w:r>
      <w:r w:rsidR="003677AA">
        <w:rPr>
          <w:rFonts w:cstheme="minorHAnsi"/>
        </w:rPr>
        <w:t xml:space="preserve"> </w:t>
      </w:r>
      <w:r w:rsidRPr="00070355">
        <w:rPr>
          <w:rFonts w:cstheme="minorHAnsi"/>
        </w:rPr>
        <w:t>vyjasni</w:t>
      </w:r>
      <w:r>
        <w:rPr>
          <w:rFonts w:cstheme="minorHAnsi"/>
        </w:rPr>
        <w:t>t</w:t>
      </w:r>
      <w:r w:rsidRPr="00070355">
        <w:rPr>
          <w:rFonts w:cstheme="minorHAnsi"/>
        </w:rPr>
        <w:t xml:space="preserve"> </w:t>
      </w:r>
      <w:r>
        <w:rPr>
          <w:rFonts w:cstheme="minorHAnsi"/>
        </w:rPr>
        <w:t xml:space="preserve">financování </w:t>
      </w:r>
      <w:r w:rsidRPr="00070355">
        <w:rPr>
          <w:rFonts w:cstheme="minorHAnsi"/>
        </w:rPr>
        <w:t>podpůrných opatření</w:t>
      </w:r>
      <w:r w:rsidR="00F01068">
        <w:rPr>
          <w:rFonts w:cstheme="minorHAnsi"/>
        </w:rPr>
        <w:t xml:space="preserve"> a m</w:t>
      </w:r>
      <w:r w:rsidRPr="009415BB">
        <w:rPr>
          <w:rFonts w:cstheme="minorHAnsi"/>
        </w:rPr>
        <w:t>ěl</w:t>
      </w:r>
      <w:r w:rsidR="003677AA">
        <w:rPr>
          <w:rFonts w:cstheme="minorHAnsi"/>
        </w:rPr>
        <w:t>y</w:t>
      </w:r>
      <w:r w:rsidRPr="009415BB">
        <w:rPr>
          <w:rFonts w:cstheme="minorHAnsi"/>
        </w:rPr>
        <w:t xml:space="preserve"> by </w:t>
      </w:r>
      <w:r>
        <w:rPr>
          <w:rFonts w:cstheme="minorHAnsi"/>
        </w:rPr>
        <w:t xml:space="preserve">rovněž </w:t>
      </w:r>
      <w:r w:rsidRPr="009415BB">
        <w:rPr>
          <w:rFonts w:cstheme="minorHAnsi"/>
        </w:rPr>
        <w:t xml:space="preserve">přispět ke snazšímu získání finančních prostředků k udržení systému individuální podpory. </w:t>
      </w:r>
      <w:r w:rsidR="002F64EE" w:rsidRPr="00F90A10">
        <w:rPr>
          <w:rFonts w:cstheme="minorHAnsi"/>
          <w:b/>
        </w:rPr>
        <w:t xml:space="preserve">Podrobný časový přehled legislativních a finančních </w:t>
      </w:r>
      <w:r w:rsidR="00354F2F">
        <w:rPr>
          <w:rFonts w:cstheme="minorHAnsi"/>
          <w:b/>
        </w:rPr>
        <w:t>opatření v návaznosti na výkon r</w:t>
      </w:r>
      <w:r w:rsidR="002F64EE" w:rsidRPr="00F90A10">
        <w:rPr>
          <w:rFonts w:cstheme="minorHAnsi"/>
          <w:b/>
        </w:rPr>
        <w:t>ozsudku D.</w:t>
      </w:r>
      <w:r w:rsidR="00B03C76">
        <w:rPr>
          <w:rFonts w:cstheme="minorHAnsi"/>
          <w:b/>
        </w:rPr>
        <w:t> </w:t>
      </w:r>
      <w:r w:rsidR="002F64EE" w:rsidRPr="00F90A10">
        <w:rPr>
          <w:rFonts w:cstheme="minorHAnsi"/>
          <w:b/>
        </w:rPr>
        <w:t>H. a ostatní proti Č</w:t>
      </w:r>
      <w:r w:rsidR="003760C3">
        <w:rPr>
          <w:rFonts w:cstheme="minorHAnsi"/>
          <w:b/>
        </w:rPr>
        <w:t>eské republice</w:t>
      </w:r>
      <w:r w:rsidR="002F64EE" w:rsidRPr="00F90A10">
        <w:rPr>
          <w:rFonts w:cstheme="minorHAnsi"/>
          <w:b/>
        </w:rPr>
        <w:t xml:space="preserve"> uvádí </w:t>
      </w:r>
      <w:r w:rsidR="003C4130" w:rsidRPr="00D573D1">
        <w:rPr>
          <w:rFonts w:cstheme="minorHAnsi"/>
          <w:b/>
        </w:rPr>
        <w:t>příloha č. 2</w:t>
      </w:r>
      <w:r w:rsidR="002F64EE" w:rsidRPr="00D573D1">
        <w:rPr>
          <w:rFonts w:cstheme="minorHAnsi"/>
          <w:b/>
        </w:rPr>
        <w:t xml:space="preserve"> </w:t>
      </w:r>
      <w:r w:rsidR="003677AA">
        <w:rPr>
          <w:rFonts w:cstheme="minorHAnsi"/>
          <w:b/>
        </w:rPr>
        <w:t xml:space="preserve">tohoto </w:t>
      </w:r>
      <w:r w:rsidR="002F64EE" w:rsidRPr="00D573D1">
        <w:rPr>
          <w:rFonts w:cstheme="minorHAnsi"/>
          <w:b/>
        </w:rPr>
        <w:t>kontrolního závěru.</w:t>
      </w:r>
    </w:p>
    <w:p w14:paraId="343EB214" w14:textId="57801A55" w:rsidR="0034659F" w:rsidRPr="00873805" w:rsidRDefault="0034659F" w:rsidP="0034659F">
      <w:pPr>
        <w:rPr>
          <w:rFonts w:cstheme="minorHAnsi"/>
        </w:rPr>
      </w:pPr>
      <w:r w:rsidRPr="00334F45">
        <w:rPr>
          <w:rFonts w:cstheme="minorHAnsi"/>
        </w:rPr>
        <w:t xml:space="preserve">Opatření navazující na novelu </w:t>
      </w:r>
      <w:r>
        <w:rPr>
          <w:rFonts w:cstheme="minorHAnsi"/>
        </w:rPr>
        <w:t xml:space="preserve">školského zákona vztahující se </w:t>
      </w:r>
      <w:r w:rsidR="008F3154">
        <w:rPr>
          <w:rFonts w:cstheme="minorHAnsi"/>
        </w:rPr>
        <w:t>k zajištění rovného přístupu ke </w:t>
      </w:r>
      <w:r>
        <w:rPr>
          <w:rFonts w:cstheme="minorHAnsi"/>
        </w:rPr>
        <w:t>vzdělávání pro všech</w:t>
      </w:r>
      <w:r w:rsidR="00F01068">
        <w:rPr>
          <w:rFonts w:cstheme="minorHAnsi"/>
        </w:rPr>
        <w:t>ny žáky jsou finančně pokryta ze</w:t>
      </w:r>
      <w:r>
        <w:rPr>
          <w:rFonts w:cstheme="minorHAnsi"/>
        </w:rPr>
        <w:t xml:space="preserve"> </w:t>
      </w:r>
      <w:r w:rsidR="00F605FC">
        <w:rPr>
          <w:rFonts w:cstheme="minorHAnsi"/>
        </w:rPr>
        <w:t xml:space="preserve">státního rozpočtu </w:t>
      </w:r>
      <w:r>
        <w:rPr>
          <w:rFonts w:cstheme="minorHAnsi"/>
        </w:rPr>
        <w:t>a z</w:t>
      </w:r>
      <w:r w:rsidR="00F605FC">
        <w:rPr>
          <w:rFonts w:cstheme="minorHAnsi"/>
        </w:rPr>
        <w:t> </w:t>
      </w:r>
      <w:r>
        <w:rPr>
          <w:rFonts w:cstheme="minorHAnsi"/>
        </w:rPr>
        <w:t xml:space="preserve">ESIF. </w:t>
      </w:r>
      <w:r>
        <w:t>Financování opatření na</w:t>
      </w:r>
      <w:r w:rsidR="001125F6">
        <w:t xml:space="preserve"> </w:t>
      </w:r>
      <w:r>
        <w:t>podporu společného vzdělávání žáků probíhalo již před schválením novely školského zákona z roku 2016</w:t>
      </w:r>
      <w:r w:rsidR="00E56B61">
        <w:t>. N</w:t>
      </w:r>
      <w:r w:rsidRPr="0055686C">
        <w:rPr>
          <w:rFonts w:cstheme="minorHAnsi"/>
        </w:rPr>
        <w:t>a podporu inkluz</w:t>
      </w:r>
      <w:r>
        <w:rPr>
          <w:rFonts w:cstheme="minorHAnsi"/>
        </w:rPr>
        <w:t>e</w:t>
      </w:r>
      <w:r w:rsidRPr="0055686C">
        <w:rPr>
          <w:rFonts w:cstheme="minorHAnsi"/>
        </w:rPr>
        <w:t xml:space="preserve"> byly vynaloženy peněžní prost</w:t>
      </w:r>
      <w:r w:rsidR="00E308E7">
        <w:rPr>
          <w:rFonts w:cstheme="minorHAnsi"/>
        </w:rPr>
        <w:t>ředky v programovém období 2007–</w:t>
      </w:r>
      <w:r w:rsidRPr="0055686C">
        <w:rPr>
          <w:rFonts w:cstheme="minorHAnsi"/>
        </w:rPr>
        <w:t>2013, a to zejména z</w:t>
      </w:r>
      <w:r w:rsidR="00DA059B">
        <w:rPr>
          <w:rFonts w:cstheme="minorHAnsi"/>
        </w:rPr>
        <w:t> ope</w:t>
      </w:r>
      <w:r w:rsidR="00354F2F">
        <w:rPr>
          <w:rFonts w:cstheme="minorHAnsi"/>
        </w:rPr>
        <w:t xml:space="preserve">račního programu </w:t>
      </w:r>
      <w:r w:rsidR="00354F2F" w:rsidRPr="00F02802">
        <w:rPr>
          <w:rFonts w:cstheme="minorHAnsi"/>
          <w:i/>
        </w:rPr>
        <w:t>Vzdělávání pro</w:t>
      </w:r>
      <w:r w:rsidR="003677AA">
        <w:rPr>
          <w:rFonts w:cstheme="minorHAnsi"/>
          <w:i/>
        </w:rPr>
        <w:t xml:space="preserve"> </w:t>
      </w:r>
      <w:r w:rsidR="00DA059B" w:rsidRPr="00F02802">
        <w:rPr>
          <w:rFonts w:cstheme="minorHAnsi"/>
          <w:i/>
        </w:rPr>
        <w:t>konkurenceschopnost</w:t>
      </w:r>
      <w:r w:rsidR="00DA059B">
        <w:rPr>
          <w:rFonts w:cstheme="minorHAnsi"/>
        </w:rPr>
        <w:t xml:space="preserve"> (dále též „</w:t>
      </w:r>
      <w:r w:rsidRPr="0055686C">
        <w:rPr>
          <w:rFonts w:cstheme="minorHAnsi"/>
        </w:rPr>
        <w:t>OP VK</w:t>
      </w:r>
      <w:r w:rsidR="00DA059B">
        <w:rPr>
          <w:rFonts w:cstheme="minorHAnsi"/>
        </w:rPr>
        <w:t>“)</w:t>
      </w:r>
      <w:r w:rsidRPr="0055686C">
        <w:rPr>
          <w:rFonts w:cstheme="minorHAnsi"/>
        </w:rPr>
        <w:t xml:space="preserve">. </w:t>
      </w:r>
    </w:p>
    <w:p w14:paraId="05FD1DBC" w14:textId="1DFC87D4" w:rsidR="0034659F" w:rsidRDefault="0034659F" w:rsidP="0034659F">
      <w:pPr>
        <w:rPr>
          <w:rFonts w:ascii="Calibri" w:hAnsi="Calibri" w:cs="Calibri"/>
          <w:lang w:eastAsia="en-US"/>
        </w:rPr>
      </w:pPr>
      <w:r>
        <w:rPr>
          <w:rFonts w:cstheme="minorHAnsi"/>
          <w:color w:val="000000"/>
        </w:rPr>
        <w:t>Projekty, které mají přispět k zajištění rovného přístupu všech žáků ke kvalitnímu vzdělávání,</w:t>
      </w:r>
      <w:r w:rsidR="00261F83">
        <w:rPr>
          <w:rFonts w:cstheme="minorHAnsi"/>
          <w:color w:val="000000"/>
        </w:rPr>
        <w:t xml:space="preserve"> jsou financovány aktuálně z</w:t>
      </w:r>
      <w:r w:rsidR="004956F8">
        <w:rPr>
          <w:rFonts w:cstheme="minorHAnsi"/>
          <w:color w:val="000000"/>
        </w:rPr>
        <w:t xml:space="preserve"> </w:t>
      </w:r>
      <w:proofErr w:type="gramStart"/>
      <w:r w:rsidR="00261F83">
        <w:rPr>
          <w:rFonts w:cstheme="minorHAnsi"/>
          <w:color w:val="000000"/>
        </w:rPr>
        <w:t>OP</w:t>
      </w:r>
      <w:proofErr w:type="gramEnd"/>
      <w:r w:rsidR="00261F83">
        <w:rPr>
          <w:rFonts w:cstheme="minorHAnsi"/>
          <w:color w:val="000000"/>
        </w:rPr>
        <w:t> VVV, OP </w:t>
      </w:r>
      <w:r>
        <w:rPr>
          <w:rFonts w:cstheme="minorHAnsi"/>
          <w:color w:val="000000"/>
        </w:rPr>
        <w:t>PPR a IROP. Společně by opatření měla přispět k naplnění tematick</w:t>
      </w:r>
      <w:r w:rsidR="0048008D">
        <w:rPr>
          <w:rFonts w:cstheme="minorHAnsi"/>
          <w:color w:val="000000"/>
        </w:rPr>
        <w:t xml:space="preserve">ých </w:t>
      </w:r>
      <w:r>
        <w:rPr>
          <w:rFonts w:cstheme="minorHAnsi"/>
          <w:color w:val="000000"/>
        </w:rPr>
        <w:t>cíl</w:t>
      </w:r>
      <w:r w:rsidR="0048008D">
        <w:rPr>
          <w:rFonts w:cstheme="minorHAnsi"/>
          <w:color w:val="000000"/>
        </w:rPr>
        <w:t>ů</w:t>
      </w:r>
      <w:r w:rsidR="00F01068">
        <w:rPr>
          <w:rStyle w:val="Znakapoznpodarou"/>
          <w:rFonts w:cstheme="minorHAnsi"/>
          <w:color w:val="000000"/>
        </w:rPr>
        <w:footnoteReference w:id="20"/>
      </w:r>
      <w:r>
        <w:rPr>
          <w:rFonts w:cstheme="minorHAnsi"/>
          <w:color w:val="000000"/>
        </w:rPr>
        <w:t xml:space="preserve"> č. 10 </w:t>
      </w:r>
      <w:r w:rsidR="007F26CD">
        <w:rPr>
          <w:rFonts w:cstheme="minorHAnsi"/>
          <w:i/>
          <w:color w:val="000000"/>
        </w:rPr>
        <w:t>Investice do vzdělávání, odborného vzdělávání, včetně odborné přípravy pro získání dovedností a do celoživotního učení</w:t>
      </w:r>
      <w:r w:rsidR="00BD427A">
        <w:rPr>
          <w:rFonts w:cstheme="minorHAnsi"/>
          <w:i/>
          <w:color w:val="000000"/>
        </w:rPr>
        <w:t xml:space="preserve"> </w:t>
      </w:r>
      <w:r w:rsidR="00B133D4">
        <w:rPr>
          <w:rFonts w:cstheme="minorHAnsi"/>
          <w:color w:val="000000"/>
        </w:rPr>
        <w:t xml:space="preserve">a </w:t>
      </w:r>
      <w:r w:rsidR="0048008D">
        <w:rPr>
          <w:rFonts w:cstheme="minorHAnsi"/>
          <w:color w:val="000000"/>
        </w:rPr>
        <w:t xml:space="preserve">č. </w:t>
      </w:r>
      <w:r w:rsidR="00B133D4">
        <w:rPr>
          <w:rFonts w:cstheme="minorHAnsi"/>
          <w:color w:val="000000"/>
        </w:rPr>
        <w:t xml:space="preserve">9 </w:t>
      </w:r>
      <w:r w:rsidR="00B133D4">
        <w:rPr>
          <w:rFonts w:cstheme="minorHAnsi"/>
          <w:i/>
          <w:color w:val="000000"/>
        </w:rPr>
        <w:t>Podpora sociálního začleňování a boj proti chudobě a diskriminaci</w:t>
      </w:r>
      <w:r w:rsidRPr="004D757E">
        <w:rPr>
          <w:rFonts w:cstheme="minorHAnsi"/>
          <w:color w:val="000000"/>
        </w:rPr>
        <w:t>.</w:t>
      </w:r>
      <w:r>
        <w:rPr>
          <w:rFonts w:cstheme="minorHAnsi"/>
          <w:i/>
          <w:color w:val="000000"/>
        </w:rPr>
        <w:t xml:space="preserve"> </w:t>
      </w:r>
      <w:r w:rsidRPr="008B287D">
        <w:rPr>
          <w:rFonts w:ascii="Calibri" w:hAnsi="Calibri" w:cs="Calibri"/>
          <w:lang w:eastAsia="en-US"/>
        </w:rPr>
        <w:t xml:space="preserve">V rámci kontrolní akce </w:t>
      </w:r>
      <w:r w:rsidR="00DA059B">
        <w:rPr>
          <w:rFonts w:ascii="Calibri" w:hAnsi="Calibri" w:cs="Calibri"/>
          <w:lang w:eastAsia="en-US"/>
        </w:rPr>
        <w:t>č.</w:t>
      </w:r>
      <w:r w:rsidR="003677AA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19/19 bylo </w:t>
      </w:r>
      <w:r w:rsidRPr="008B287D">
        <w:rPr>
          <w:rFonts w:ascii="Calibri" w:hAnsi="Calibri" w:cs="Calibri"/>
          <w:lang w:eastAsia="en-US"/>
        </w:rPr>
        <w:t xml:space="preserve">prověřováno poskytování a použití peněžních prostředků </w:t>
      </w:r>
      <w:r w:rsidR="0048008D">
        <w:rPr>
          <w:rFonts w:ascii="Calibri" w:hAnsi="Calibri" w:cs="Calibri"/>
          <w:lang w:eastAsia="en-US"/>
        </w:rPr>
        <w:t xml:space="preserve">ze všech </w:t>
      </w:r>
      <w:r w:rsidRPr="008B287D">
        <w:rPr>
          <w:rFonts w:ascii="Calibri" w:hAnsi="Calibri" w:cs="Calibri"/>
          <w:lang w:eastAsia="en-US"/>
        </w:rPr>
        <w:t xml:space="preserve">tří </w:t>
      </w:r>
      <w:r w:rsidR="0048008D">
        <w:rPr>
          <w:rFonts w:ascii="Calibri" w:hAnsi="Calibri" w:cs="Calibri"/>
          <w:lang w:eastAsia="en-US"/>
        </w:rPr>
        <w:t xml:space="preserve">uvedených </w:t>
      </w:r>
      <w:r w:rsidRPr="008B287D">
        <w:rPr>
          <w:rFonts w:ascii="Calibri" w:hAnsi="Calibri" w:cs="Calibri"/>
          <w:lang w:eastAsia="en-US"/>
        </w:rPr>
        <w:t>operačních programů</w:t>
      </w:r>
      <w:r w:rsidR="0048008D">
        <w:rPr>
          <w:rFonts w:ascii="Calibri" w:hAnsi="Calibri" w:cs="Calibri"/>
          <w:lang w:eastAsia="en-US"/>
        </w:rPr>
        <w:t xml:space="preserve"> </w:t>
      </w:r>
      <w:r w:rsidR="007F4B60">
        <w:rPr>
          <w:rFonts w:ascii="Calibri" w:hAnsi="Calibri" w:cs="Calibri"/>
          <w:lang w:eastAsia="en-US"/>
        </w:rPr>
        <w:t>v rámci vybraných prioritních os (dále též „PO“)</w:t>
      </w:r>
      <w:r w:rsidRPr="008B287D">
        <w:rPr>
          <w:rFonts w:ascii="Calibri" w:hAnsi="Calibri" w:cs="Calibri"/>
          <w:lang w:eastAsia="en-US"/>
        </w:rPr>
        <w:t xml:space="preserve">. </w:t>
      </w:r>
      <w:r w:rsidR="007F394B" w:rsidRPr="007F394B">
        <w:rPr>
          <w:rFonts w:ascii="Calibri" w:hAnsi="Calibri" w:cs="Calibri"/>
          <w:lang w:eastAsia="en-US"/>
        </w:rPr>
        <w:t xml:space="preserve">Kontrolovatelný objem ve výši alokací výzev vyhlášených </w:t>
      </w:r>
      <w:r w:rsidR="006C590F">
        <w:rPr>
          <w:rFonts w:ascii="Calibri" w:hAnsi="Calibri" w:cs="Calibri"/>
          <w:lang w:eastAsia="en-US"/>
        </w:rPr>
        <w:t xml:space="preserve">na podporu vzdělávání </w:t>
      </w:r>
      <w:r w:rsidR="007F394B" w:rsidRPr="007F394B">
        <w:rPr>
          <w:rFonts w:ascii="Calibri" w:hAnsi="Calibri" w:cs="Calibri"/>
          <w:lang w:eastAsia="en-US"/>
        </w:rPr>
        <w:t xml:space="preserve">v rámci těchto tří OP činil </w:t>
      </w:r>
      <w:r w:rsidR="006C590F">
        <w:rPr>
          <w:rFonts w:ascii="Calibri" w:hAnsi="Calibri" w:cs="Calibri"/>
          <w:lang w:eastAsia="en-US"/>
        </w:rPr>
        <w:t>9</w:t>
      </w:r>
      <w:r w:rsidR="002A52DB">
        <w:rPr>
          <w:rFonts w:ascii="Calibri" w:hAnsi="Calibri" w:cs="Calibri"/>
          <w:lang w:eastAsia="en-US"/>
        </w:rPr>
        <w:t>,</w:t>
      </w:r>
      <w:r w:rsidR="007F394B" w:rsidRPr="007F394B">
        <w:rPr>
          <w:rFonts w:ascii="Calibri" w:hAnsi="Calibri" w:cs="Calibri"/>
          <w:lang w:eastAsia="en-US"/>
        </w:rPr>
        <w:t>1</w:t>
      </w:r>
      <w:r w:rsidR="006C590F">
        <w:rPr>
          <w:rFonts w:ascii="Calibri" w:hAnsi="Calibri" w:cs="Calibri"/>
          <w:lang w:eastAsia="en-US"/>
        </w:rPr>
        <w:t>2</w:t>
      </w:r>
      <w:r w:rsidR="007F394B" w:rsidRPr="007F394B">
        <w:rPr>
          <w:rFonts w:ascii="Calibri" w:hAnsi="Calibri" w:cs="Calibri"/>
          <w:lang w:eastAsia="en-US"/>
        </w:rPr>
        <w:t xml:space="preserve"> m</w:t>
      </w:r>
      <w:r w:rsidR="002A52DB">
        <w:rPr>
          <w:rFonts w:ascii="Calibri" w:hAnsi="Calibri" w:cs="Calibri"/>
          <w:lang w:eastAsia="en-US"/>
        </w:rPr>
        <w:t>ld.</w:t>
      </w:r>
      <w:r w:rsidR="007F394B" w:rsidRPr="007F394B">
        <w:rPr>
          <w:rFonts w:ascii="Calibri" w:hAnsi="Calibri" w:cs="Calibri"/>
          <w:lang w:eastAsia="en-US"/>
        </w:rPr>
        <w:t xml:space="preserve"> Kč.</w:t>
      </w:r>
    </w:p>
    <w:p w14:paraId="67BEAD71" w14:textId="60408AB7" w:rsidR="008B287D" w:rsidRDefault="008B287D" w:rsidP="000F5042">
      <w:pPr>
        <w:keepNext/>
        <w:ind w:left="1276" w:hanging="1276"/>
        <w:rPr>
          <w:rFonts w:ascii="Calibri" w:hAnsi="Calibri" w:cs="Calibri"/>
          <w:lang w:eastAsia="en-US"/>
        </w:rPr>
      </w:pPr>
      <w:r w:rsidRPr="008B287D">
        <w:rPr>
          <w:rFonts w:ascii="Calibri" w:hAnsi="Calibri" w:cs="Calibri"/>
          <w:lang w:eastAsia="en-US"/>
        </w:rPr>
        <w:lastRenderedPageBreak/>
        <w:t xml:space="preserve">Tabulka č. </w:t>
      </w:r>
      <w:r w:rsidR="0084327A">
        <w:rPr>
          <w:rFonts w:ascii="Calibri" w:hAnsi="Calibri" w:cs="Calibri"/>
          <w:lang w:eastAsia="en-US"/>
        </w:rPr>
        <w:t>1</w:t>
      </w:r>
      <w:r w:rsidRPr="008B287D">
        <w:rPr>
          <w:rFonts w:ascii="Calibri" w:hAnsi="Calibri" w:cs="Calibri"/>
          <w:lang w:eastAsia="en-US"/>
        </w:rPr>
        <w:t xml:space="preserve">: </w:t>
      </w:r>
      <w:r w:rsidR="006A0ADD">
        <w:rPr>
          <w:rFonts w:ascii="Calibri" w:hAnsi="Calibri" w:cs="Calibri"/>
          <w:lang w:eastAsia="en-US"/>
        </w:rPr>
        <w:tab/>
      </w:r>
      <w:r w:rsidRPr="008B287D">
        <w:rPr>
          <w:rFonts w:ascii="Calibri" w:hAnsi="Calibri" w:cs="Calibri"/>
          <w:lang w:eastAsia="en-US"/>
        </w:rPr>
        <w:t>Přehled prioritních os a specifickýc</w:t>
      </w:r>
      <w:r>
        <w:rPr>
          <w:rFonts w:ascii="Calibri" w:hAnsi="Calibri" w:cs="Calibri"/>
          <w:lang w:eastAsia="en-US"/>
        </w:rPr>
        <w:t xml:space="preserve">h cílů relevantních pro kontrolní akci </w:t>
      </w:r>
      <w:r w:rsidR="00DA059B">
        <w:rPr>
          <w:rFonts w:ascii="Calibri" w:hAnsi="Calibri" w:cs="Calibri"/>
          <w:lang w:eastAsia="en-US"/>
        </w:rPr>
        <w:t>č. </w:t>
      </w:r>
      <w:r>
        <w:rPr>
          <w:rFonts w:ascii="Calibri" w:hAnsi="Calibri" w:cs="Calibri"/>
          <w:lang w:eastAsia="en-US"/>
        </w:rPr>
        <w:t>19/19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510"/>
        <w:gridCol w:w="6237"/>
      </w:tblGrid>
      <w:tr w:rsidR="008F3154" w:rsidRPr="008F3154" w14:paraId="5C96D644" w14:textId="77777777" w:rsidTr="005C34AC">
        <w:trPr>
          <w:trHeight w:val="5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24308B4" w14:textId="77777777" w:rsidR="008F3154" w:rsidRPr="006F4E05" w:rsidRDefault="008F3154" w:rsidP="000F5042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Operační program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0B1AB6B" w14:textId="77777777" w:rsidR="008F3154" w:rsidRPr="006F4E05" w:rsidRDefault="008F3154" w:rsidP="000F5042">
            <w:pPr>
              <w:keepNext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Prioritní osa / specifický cíl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B0A1365" w14:textId="77777777" w:rsidR="008F3154" w:rsidRPr="006F4E05" w:rsidRDefault="008F3154" w:rsidP="000F5042">
            <w:pPr>
              <w:keepNext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 prioritní osy / specifického cíle</w:t>
            </w:r>
          </w:p>
        </w:tc>
      </w:tr>
      <w:tr w:rsidR="008F3154" w:rsidRPr="008F3154" w14:paraId="4CDAE06B" w14:textId="77777777" w:rsidTr="005C34AC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E0F9" w14:textId="77777777" w:rsidR="008F3154" w:rsidRPr="005C34AC" w:rsidRDefault="008F3154" w:rsidP="000F5042">
            <w:pPr>
              <w:keepNext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 VVV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6403" w14:textId="77777777" w:rsidR="008F3154" w:rsidRPr="005C34AC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95E" w14:textId="21F03C09" w:rsidR="008F3154" w:rsidRPr="005C34AC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Rovný přístup ke kvalitnímu předškolnímu, primárnímu a </w:t>
            </w:r>
            <w:r w:rsidR="006A0ADD"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ekundárnímu vzdělávání</w:t>
            </w:r>
          </w:p>
        </w:tc>
      </w:tr>
      <w:tr w:rsidR="008F3154" w:rsidRPr="008F3154" w14:paraId="32F7BABE" w14:textId="77777777" w:rsidTr="005C34AC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377A" w14:textId="77777777" w:rsidR="008F3154" w:rsidRPr="005C34AC" w:rsidRDefault="008F3154" w:rsidP="004D757E">
            <w:pPr>
              <w:keepNext/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530" w14:textId="77777777" w:rsidR="008F3154" w:rsidRPr="006F4E05" w:rsidRDefault="008F3154" w:rsidP="004D757E">
            <w:pPr>
              <w:keepNext/>
              <w:spacing w:after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 02.3.61.1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402D" w14:textId="16D2C50A" w:rsidR="008F3154" w:rsidRPr="006F4E05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Sociální integrace</w:t>
            </w:r>
            <w:r w:rsidR="00DA059B"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dětí a žáků včet</w:t>
            </w:r>
            <w:r w:rsidR="006A0ADD"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ně začleňování romských dětí do </w:t>
            </w: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vzdělávání v rámci OP VVV</w:t>
            </w:r>
          </w:p>
        </w:tc>
      </w:tr>
      <w:tr w:rsidR="008F3154" w:rsidRPr="008F3154" w14:paraId="65BC7DDE" w14:textId="77777777" w:rsidTr="005C34AC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DEF" w14:textId="77777777" w:rsidR="008F3154" w:rsidRPr="005C34AC" w:rsidRDefault="008F3154" w:rsidP="000F5042">
            <w:pPr>
              <w:keepNext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 PPR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B88" w14:textId="77777777" w:rsidR="008F3154" w:rsidRPr="005C34AC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4D9" w14:textId="77777777" w:rsidR="008F3154" w:rsidRPr="005C34AC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Vzdělávání a vzdělanost a podpora zaměstnanosti</w:t>
            </w:r>
          </w:p>
        </w:tc>
      </w:tr>
      <w:tr w:rsidR="008F3154" w:rsidRPr="008F3154" w14:paraId="2C657411" w14:textId="77777777" w:rsidTr="005C34AC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A337" w14:textId="77777777" w:rsidR="008F3154" w:rsidRPr="005C34AC" w:rsidRDefault="008F3154" w:rsidP="004D757E">
            <w:pPr>
              <w:keepNext/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283C" w14:textId="77777777" w:rsidR="008F3154" w:rsidRPr="006F4E05" w:rsidRDefault="008F3154" w:rsidP="004D757E">
            <w:pPr>
              <w:keepNext/>
              <w:spacing w:after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 07.4.68.4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291" w14:textId="571FE116" w:rsidR="008F3154" w:rsidRPr="006F4E05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Zvýšení kvality vzdělávání pro</w:t>
            </w:r>
            <w:r w:rsidR="006A0ADD"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střednictvím posílení inkluze v </w:t>
            </w: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multikulturní společnosti v rámci OP PPR</w:t>
            </w:r>
          </w:p>
        </w:tc>
      </w:tr>
      <w:tr w:rsidR="008F3154" w:rsidRPr="008F3154" w14:paraId="0A4BCB36" w14:textId="77777777" w:rsidTr="005C34AC">
        <w:trPr>
          <w:trHeight w:val="437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7D47" w14:textId="77777777" w:rsidR="008F3154" w:rsidRPr="005C34AC" w:rsidRDefault="008F3154" w:rsidP="000F5042">
            <w:pPr>
              <w:keepNext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E31D" w14:textId="77777777" w:rsidR="008F3154" w:rsidRPr="005C34AC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8C9B" w14:textId="77777777" w:rsidR="008F3154" w:rsidRPr="005C34AC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C34A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Zkvalitnění veřejných služeb a podmínek života pro obyvatele regionů</w:t>
            </w:r>
          </w:p>
        </w:tc>
      </w:tr>
      <w:tr w:rsidR="008F3154" w:rsidRPr="008F3154" w14:paraId="79F3E6CE" w14:textId="77777777" w:rsidTr="005C34AC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933D" w14:textId="77777777" w:rsidR="008F3154" w:rsidRPr="006F4E05" w:rsidRDefault="008F3154" w:rsidP="004D757E">
            <w:pPr>
              <w:keepNext/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C9E" w14:textId="77777777" w:rsidR="008F3154" w:rsidRPr="006F4E05" w:rsidRDefault="008F3154" w:rsidP="004D757E">
            <w:pPr>
              <w:keepNext/>
              <w:spacing w:after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 06.2.67.2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2861" w14:textId="44C0C4EC" w:rsidR="008F3154" w:rsidRPr="006F4E05" w:rsidRDefault="008F3154" w:rsidP="000F5042">
            <w:pPr>
              <w:keepNext/>
              <w:spacing w:after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Zvýšení kvality a dostupnosti </w:t>
            </w:r>
            <w:r w:rsidR="006A0ADD"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infrastruktury pro vzdělávání a </w:t>
            </w:r>
            <w:r w:rsidRPr="006F4E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celoživotní učení v rámci IROP</w:t>
            </w:r>
          </w:p>
        </w:tc>
      </w:tr>
    </w:tbl>
    <w:p w14:paraId="7F4BE85D" w14:textId="4D9D4A8A" w:rsidR="008B287D" w:rsidRPr="00AA3357" w:rsidRDefault="008B287D" w:rsidP="00B410C0">
      <w:pPr>
        <w:spacing w:after="0"/>
        <w:ind w:left="709" w:hanging="709"/>
        <w:rPr>
          <w:rFonts w:ascii="Calibri" w:hAnsi="Calibri"/>
          <w:sz w:val="20"/>
          <w:szCs w:val="20"/>
          <w:lang w:eastAsia="en-US"/>
        </w:rPr>
      </w:pPr>
      <w:r w:rsidRPr="00AA3357">
        <w:rPr>
          <w:rFonts w:ascii="Calibri" w:hAnsi="Calibri"/>
          <w:b/>
          <w:sz w:val="20"/>
          <w:szCs w:val="20"/>
          <w:lang w:eastAsia="en-US"/>
        </w:rPr>
        <w:t xml:space="preserve">Zdroj: </w:t>
      </w:r>
      <w:r w:rsidR="003677AA">
        <w:rPr>
          <w:rFonts w:ascii="Calibri" w:hAnsi="Calibri"/>
          <w:sz w:val="20"/>
          <w:szCs w:val="20"/>
          <w:lang w:eastAsia="en-US"/>
        </w:rPr>
        <w:t>p</w:t>
      </w:r>
      <w:r w:rsidRPr="00AA3357">
        <w:rPr>
          <w:rFonts w:ascii="Calibri" w:hAnsi="Calibri"/>
          <w:sz w:val="20"/>
          <w:szCs w:val="20"/>
          <w:lang w:eastAsia="en-US"/>
        </w:rPr>
        <w:t xml:space="preserve">rogramové dokumenty </w:t>
      </w:r>
      <w:r w:rsidR="00B957F8" w:rsidRPr="00AA3357">
        <w:rPr>
          <w:rFonts w:ascii="Calibri" w:hAnsi="Calibri"/>
          <w:sz w:val="20"/>
          <w:szCs w:val="20"/>
          <w:lang w:eastAsia="en-US"/>
        </w:rPr>
        <w:t>OP VVV, OP PPR a IROP</w:t>
      </w:r>
      <w:r w:rsidR="006A0ADD" w:rsidRPr="00AA3357">
        <w:rPr>
          <w:rFonts w:ascii="Calibri" w:hAnsi="Calibri"/>
          <w:sz w:val="20"/>
          <w:szCs w:val="20"/>
          <w:lang w:eastAsia="en-US"/>
        </w:rPr>
        <w:t>.</w:t>
      </w:r>
    </w:p>
    <w:p w14:paraId="029DF3C2" w14:textId="26415C09" w:rsidR="00B410C0" w:rsidRPr="00B410C0" w:rsidRDefault="00B410C0" w:rsidP="006A0ADD">
      <w:pPr>
        <w:ind w:left="709" w:hanging="709"/>
        <w:rPr>
          <w:rFonts w:ascii="Calibri" w:hAnsi="Calibri"/>
          <w:sz w:val="20"/>
          <w:szCs w:val="20"/>
          <w:lang w:eastAsia="en-US"/>
        </w:rPr>
      </w:pPr>
      <w:r w:rsidRPr="00AA3357">
        <w:rPr>
          <w:rFonts w:ascii="Calibri" w:hAnsi="Calibri"/>
          <w:b/>
          <w:sz w:val="20"/>
          <w:szCs w:val="20"/>
          <w:lang w:eastAsia="en-US"/>
        </w:rPr>
        <w:t>Pozn</w:t>
      </w:r>
      <w:r w:rsidR="003677AA">
        <w:rPr>
          <w:rFonts w:ascii="Calibri" w:hAnsi="Calibri"/>
          <w:b/>
          <w:sz w:val="20"/>
          <w:szCs w:val="20"/>
          <w:lang w:eastAsia="en-US"/>
        </w:rPr>
        <w:t>.:</w:t>
      </w:r>
      <w:r>
        <w:rPr>
          <w:rFonts w:ascii="Calibri" w:hAnsi="Calibri"/>
          <w:sz w:val="20"/>
          <w:szCs w:val="20"/>
          <w:lang w:eastAsia="en-US"/>
        </w:rPr>
        <w:t xml:space="preserve"> SC = specifický cíl.</w:t>
      </w:r>
    </w:p>
    <w:p w14:paraId="359F4B76" w14:textId="28A6C10B" w:rsidR="009E4C5D" w:rsidRPr="008243FF" w:rsidRDefault="00F01068" w:rsidP="009E4C5D">
      <w:p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Vzdělávání, respektive i</w:t>
      </w:r>
      <w:r w:rsidR="00F46D96">
        <w:rPr>
          <w:rFonts w:cstheme="minorHAnsi"/>
          <w:color w:val="000000"/>
        </w:rPr>
        <w:t xml:space="preserve">nkluzivní vzdělávání je </w:t>
      </w:r>
      <w:r w:rsidR="00573B1F">
        <w:rPr>
          <w:rFonts w:cstheme="minorHAnsi"/>
          <w:color w:val="000000"/>
        </w:rPr>
        <w:t xml:space="preserve">i </w:t>
      </w:r>
      <w:r w:rsidR="00F46D96">
        <w:rPr>
          <w:rFonts w:cstheme="minorHAnsi"/>
          <w:color w:val="000000"/>
        </w:rPr>
        <w:t>jednou z</w:t>
      </w:r>
      <w:r w:rsidR="00FD41D4">
        <w:rPr>
          <w:rFonts w:cstheme="minorHAnsi"/>
          <w:color w:val="000000"/>
        </w:rPr>
        <w:t xml:space="preserve"> podporovaných </w:t>
      </w:r>
      <w:r w:rsidR="00F46D96">
        <w:rPr>
          <w:rFonts w:cstheme="minorHAnsi"/>
          <w:color w:val="000000"/>
        </w:rPr>
        <w:t>oblastí sociálního začleňování</w:t>
      </w:r>
      <w:r w:rsidR="00FD41D4">
        <w:rPr>
          <w:rFonts w:cstheme="minorHAnsi"/>
          <w:color w:val="000000"/>
        </w:rPr>
        <w:t>.</w:t>
      </w:r>
      <w:r w:rsidR="00F46D96">
        <w:rPr>
          <w:rFonts w:cstheme="minorHAnsi"/>
          <w:color w:val="000000"/>
        </w:rPr>
        <w:t xml:space="preserve"> </w:t>
      </w:r>
      <w:r w:rsidR="009E4C5D">
        <w:rPr>
          <w:rFonts w:cstheme="minorHAnsi"/>
          <w:color w:val="000000"/>
        </w:rPr>
        <w:t xml:space="preserve">Nástrojem pomoci obcím a jejich svazkům při začleňování sociálně vyloučených obyvatel </w:t>
      </w:r>
      <w:r w:rsidR="00440809">
        <w:rPr>
          <w:rFonts w:cstheme="minorHAnsi"/>
          <w:color w:val="000000"/>
        </w:rPr>
        <w:t xml:space="preserve">(nejen) v oblasti vzdělávání je </w:t>
      </w:r>
      <w:r w:rsidR="009E4C5D">
        <w:rPr>
          <w:rFonts w:cstheme="minorHAnsi"/>
          <w:color w:val="000000"/>
        </w:rPr>
        <w:t xml:space="preserve">tzv. </w:t>
      </w:r>
      <w:r w:rsidR="009E4C5D" w:rsidRPr="00354F2F">
        <w:rPr>
          <w:rFonts w:cstheme="minorHAnsi"/>
          <w:i/>
          <w:color w:val="000000"/>
        </w:rPr>
        <w:t>Koordinovaný přístup k sociálně vyloučeným lokalitám</w:t>
      </w:r>
      <w:r w:rsidR="009E4C5D">
        <w:rPr>
          <w:rFonts w:cstheme="minorHAnsi"/>
          <w:color w:val="000000"/>
        </w:rPr>
        <w:t xml:space="preserve"> (dále též „KPSVL“). </w:t>
      </w:r>
      <w:r w:rsidR="00C5770A">
        <w:rPr>
          <w:rFonts w:cstheme="minorHAnsi"/>
          <w:color w:val="000000"/>
        </w:rPr>
        <w:t>P</w:t>
      </w:r>
      <w:r w:rsidR="009E4C5D" w:rsidRPr="000B0AAD">
        <w:rPr>
          <w:rFonts w:cstheme="minorHAnsi"/>
          <w:color w:val="000000"/>
        </w:rPr>
        <w:t>rostřednictvím</w:t>
      </w:r>
      <w:r w:rsidR="00C5770A">
        <w:rPr>
          <w:rFonts w:cstheme="minorHAnsi"/>
          <w:color w:val="000000"/>
        </w:rPr>
        <w:t xml:space="preserve"> KPSVL</w:t>
      </w:r>
      <w:r w:rsidR="009E4C5D">
        <w:rPr>
          <w:rFonts w:cstheme="minorHAnsi"/>
          <w:color w:val="000000"/>
        </w:rPr>
        <w:t xml:space="preserve"> </w:t>
      </w:r>
      <w:r w:rsidR="00440809">
        <w:rPr>
          <w:rFonts w:cstheme="minorHAnsi"/>
          <w:color w:val="000000"/>
        </w:rPr>
        <w:t xml:space="preserve">poskytuje obcím věcnou a metodickou podporu </w:t>
      </w:r>
      <w:r w:rsidR="00C63EB2">
        <w:rPr>
          <w:rFonts w:cstheme="minorHAnsi"/>
          <w:color w:val="000000"/>
        </w:rPr>
        <w:t>Agentura</w:t>
      </w:r>
      <w:r w:rsidR="00294E99">
        <w:rPr>
          <w:rFonts w:cstheme="minorHAnsi"/>
          <w:color w:val="000000"/>
        </w:rPr>
        <w:t xml:space="preserve">, </w:t>
      </w:r>
      <w:r w:rsidR="00440809">
        <w:rPr>
          <w:rFonts w:cstheme="minorHAnsi"/>
          <w:color w:val="000000"/>
        </w:rPr>
        <w:t xml:space="preserve">a sice </w:t>
      </w:r>
      <w:r w:rsidR="009E4C5D" w:rsidRPr="000B0AAD">
        <w:rPr>
          <w:rFonts w:cstheme="minorHAnsi"/>
          <w:color w:val="000000"/>
        </w:rPr>
        <w:t xml:space="preserve">v plánování, implementaci </w:t>
      </w:r>
      <w:r w:rsidR="00396E4D">
        <w:rPr>
          <w:rFonts w:cstheme="minorHAnsi"/>
          <w:color w:val="000000"/>
        </w:rPr>
        <w:t xml:space="preserve">a </w:t>
      </w:r>
      <w:r w:rsidR="009E4C5D" w:rsidRPr="008243FF">
        <w:rPr>
          <w:rFonts w:cstheme="minorHAnsi"/>
          <w:b/>
          <w:color w:val="000000"/>
        </w:rPr>
        <w:t>zajištění pro</w:t>
      </w:r>
      <w:r w:rsidR="00354F2F">
        <w:rPr>
          <w:rFonts w:cstheme="minorHAnsi"/>
          <w:b/>
          <w:color w:val="000000"/>
        </w:rPr>
        <w:t>středků na realizaci opatření a</w:t>
      </w:r>
      <w:r w:rsidR="004956F8">
        <w:rPr>
          <w:rFonts w:cstheme="minorHAnsi"/>
          <w:b/>
          <w:color w:val="000000"/>
        </w:rPr>
        <w:t xml:space="preserve"> </w:t>
      </w:r>
      <w:r w:rsidR="009E4C5D" w:rsidRPr="008243FF">
        <w:rPr>
          <w:rFonts w:cstheme="minorHAnsi"/>
          <w:b/>
          <w:color w:val="000000"/>
        </w:rPr>
        <w:t>aktivit, zejména z prostředků ESIF</w:t>
      </w:r>
      <w:r w:rsidR="00165253">
        <w:rPr>
          <w:rFonts w:cstheme="minorHAnsi"/>
          <w:b/>
          <w:color w:val="000000"/>
        </w:rPr>
        <w:t>.</w:t>
      </w:r>
      <w:r w:rsidR="009E4C5D" w:rsidRPr="008243FF">
        <w:rPr>
          <w:rFonts w:cstheme="minorHAnsi"/>
          <w:b/>
          <w:color w:val="000000"/>
        </w:rPr>
        <w:t xml:space="preserve"> </w:t>
      </w:r>
    </w:p>
    <w:p w14:paraId="0BAECC7A" w14:textId="507F30FC" w:rsidR="00440809" w:rsidRDefault="00440809" w:rsidP="00440809">
      <w:pPr>
        <w:rPr>
          <w:rFonts w:cstheme="minorHAnsi"/>
        </w:rPr>
      </w:pPr>
      <w:r>
        <w:rPr>
          <w:rFonts w:cstheme="minorHAnsi"/>
          <w:color w:val="000000"/>
        </w:rPr>
        <w:t xml:space="preserve">Oblast vzdělávání je na regionální úrovni spolu s oblastí zaměstnávání, bydlení, sociálních služeb a bezpečnosti pokryta obecnou zastřešující strategií, kterou je </w:t>
      </w:r>
      <w:r w:rsidRPr="00354F2F">
        <w:rPr>
          <w:rFonts w:cstheme="minorHAnsi"/>
          <w:i/>
          <w:color w:val="000000"/>
        </w:rPr>
        <w:t xml:space="preserve">Strategický plán sociálního začleňování </w:t>
      </w:r>
      <w:r>
        <w:rPr>
          <w:rFonts w:cstheme="minorHAnsi"/>
          <w:color w:val="000000"/>
        </w:rPr>
        <w:t>(dále též „SPSZ“)</w:t>
      </w:r>
      <w:r w:rsidR="003760C3">
        <w:rPr>
          <w:rFonts w:cstheme="minorHAnsi"/>
          <w:color w:val="000000"/>
        </w:rPr>
        <w:t>, jehož n</w:t>
      </w:r>
      <w:r>
        <w:rPr>
          <w:rFonts w:cstheme="minorHAnsi"/>
          <w:color w:val="000000"/>
        </w:rPr>
        <w:t>ositeli jsou obce/svazky obcí. N</w:t>
      </w:r>
      <w:r w:rsidR="006A0ADD">
        <w:rPr>
          <w:rFonts w:cstheme="minorHAnsi"/>
          <w:color w:val="000000"/>
        </w:rPr>
        <w:t>a</w:t>
      </w:r>
      <w:r w:rsidRPr="00423E81">
        <w:rPr>
          <w:rFonts w:cstheme="minorHAnsi"/>
          <w:color w:val="000000"/>
        </w:rPr>
        <w:t xml:space="preserve"> oblast vzdělávání je zaměřen </w:t>
      </w:r>
      <w:r>
        <w:rPr>
          <w:rFonts w:cstheme="minorHAnsi"/>
          <w:color w:val="000000"/>
        </w:rPr>
        <w:t xml:space="preserve">tzv. </w:t>
      </w:r>
      <w:r w:rsidRPr="00354F2F">
        <w:rPr>
          <w:rFonts w:cstheme="minorHAnsi"/>
          <w:i/>
          <w:color w:val="000000"/>
        </w:rPr>
        <w:t>Místní plán inkluze ve vzdělávání</w:t>
      </w:r>
      <w:r w:rsidR="003760C3">
        <w:rPr>
          <w:rFonts w:cstheme="minorHAnsi"/>
          <w:color w:val="000000"/>
        </w:rPr>
        <w:t xml:space="preserve"> jako součást </w:t>
      </w:r>
      <w:r>
        <w:rPr>
          <w:rFonts w:cstheme="minorHAnsi"/>
          <w:color w:val="000000"/>
        </w:rPr>
        <w:t xml:space="preserve">SPSZ. </w:t>
      </w:r>
      <w:r w:rsidR="00FD33C3">
        <w:rPr>
          <w:rFonts w:cstheme="minorHAnsi"/>
          <w:color w:val="000000"/>
        </w:rPr>
        <w:t>Z</w:t>
      </w:r>
      <w:r w:rsidR="003D5F47">
        <w:rPr>
          <w:rFonts w:cstheme="minorHAnsi"/>
          <w:color w:val="000000"/>
        </w:rPr>
        <w:t>drojem pro</w:t>
      </w:r>
      <w:r w:rsidR="009365E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tvorbu a naplňování SPSZ je </w:t>
      </w:r>
      <w:r w:rsidRPr="00354F2F">
        <w:rPr>
          <w:rFonts w:cstheme="minorHAnsi"/>
          <w:i/>
          <w:color w:val="000000"/>
        </w:rPr>
        <w:t>Mapa sociálně vyloučených lokalit</w:t>
      </w:r>
      <w:r w:rsidR="005A2EB7">
        <w:rPr>
          <w:rFonts w:cstheme="minorHAnsi"/>
          <w:color w:val="000000"/>
        </w:rPr>
        <w:t xml:space="preserve"> z</w:t>
      </w:r>
      <w:r w:rsidRPr="00AE21A4">
        <w:rPr>
          <w:rFonts w:cstheme="minorHAnsi"/>
          <w:color w:val="000000"/>
        </w:rPr>
        <w:t xml:space="preserve"> roku 2015</w:t>
      </w:r>
      <w:r w:rsidR="005A2EB7">
        <w:rPr>
          <w:rFonts w:cstheme="minorHAnsi"/>
          <w:color w:val="000000"/>
        </w:rPr>
        <w:t xml:space="preserve">. </w:t>
      </w:r>
      <w:r w:rsidR="00691C00" w:rsidRPr="00171BF6">
        <w:rPr>
          <w:rFonts w:cstheme="minorHAnsi"/>
        </w:rPr>
        <w:t>A</w:t>
      </w:r>
      <w:r w:rsidR="00396E4D">
        <w:rPr>
          <w:rFonts w:cstheme="minorHAnsi"/>
        </w:rPr>
        <w:t>kt</w:t>
      </w:r>
      <w:r w:rsidR="00DA059B">
        <w:rPr>
          <w:rFonts w:cstheme="minorHAnsi"/>
        </w:rPr>
        <w:t>u</w:t>
      </w:r>
      <w:r w:rsidR="00396E4D">
        <w:rPr>
          <w:rFonts w:cstheme="minorHAnsi"/>
        </w:rPr>
        <w:t xml:space="preserve">alizovanými údaji o počtu a stavu sociálně vyloučených lokalit nedisponuje ani Agentura pro sociální začleňování. </w:t>
      </w:r>
    </w:p>
    <w:p w14:paraId="06ACE692" w14:textId="77777777" w:rsidR="00FA60F9" w:rsidRPr="00171BF6" w:rsidRDefault="00FA60F9" w:rsidP="00440809">
      <w:pPr>
        <w:rPr>
          <w:rFonts w:cstheme="minorHAnsi"/>
        </w:rPr>
      </w:pPr>
    </w:p>
    <w:p w14:paraId="3FA6BFCB" w14:textId="77777777" w:rsidR="00EF7CF3" w:rsidRPr="00BE6FE4" w:rsidRDefault="00EF7CF3" w:rsidP="00BE6FE4">
      <w:pPr>
        <w:pStyle w:val="Nadpis1"/>
      </w:pPr>
      <w:r w:rsidRPr="00BE6FE4">
        <w:t>III. Rozsah kontroly</w:t>
      </w:r>
    </w:p>
    <w:p w14:paraId="7B18B758" w14:textId="26E1F9F1" w:rsidR="00F448C6" w:rsidRPr="00873805" w:rsidRDefault="00CD2800" w:rsidP="00C13001">
      <w:pPr>
        <w:rPr>
          <w:rFonts w:cstheme="minorHAnsi"/>
          <w:lang w:eastAsia="en-US"/>
        </w:rPr>
      </w:pPr>
      <w:r w:rsidRPr="00806119">
        <w:rPr>
          <w:rFonts w:cstheme="minorHAnsi"/>
          <w:lang w:eastAsia="en-US"/>
        </w:rPr>
        <w:t xml:space="preserve">Kontrolní akcí </w:t>
      </w:r>
      <w:r w:rsidR="000D6413" w:rsidRPr="00806119">
        <w:rPr>
          <w:rFonts w:cstheme="minorHAnsi"/>
          <w:lang w:eastAsia="en-US"/>
        </w:rPr>
        <w:t xml:space="preserve">č. </w:t>
      </w:r>
      <w:r w:rsidRPr="00806119">
        <w:rPr>
          <w:rFonts w:cstheme="minorHAnsi"/>
          <w:lang w:eastAsia="en-US"/>
        </w:rPr>
        <w:t>1</w:t>
      </w:r>
      <w:r w:rsidR="00162999" w:rsidRPr="00806119">
        <w:rPr>
          <w:rFonts w:cstheme="minorHAnsi"/>
          <w:lang w:eastAsia="en-US"/>
        </w:rPr>
        <w:t>9</w:t>
      </w:r>
      <w:r w:rsidR="00C955A5" w:rsidRPr="00806119">
        <w:rPr>
          <w:rFonts w:cstheme="minorHAnsi"/>
          <w:lang w:eastAsia="en-US"/>
        </w:rPr>
        <w:t>/</w:t>
      </w:r>
      <w:r w:rsidR="00162999" w:rsidRPr="00806119">
        <w:rPr>
          <w:rFonts w:cstheme="minorHAnsi"/>
          <w:lang w:eastAsia="en-US"/>
        </w:rPr>
        <w:t>19</w:t>
      </w:r>
      <w:r w:rsidR="00C955A5" w:rsidRPr="00806119">
        <w:rPr>
          <w:rFonts w:cstheme="minorHAnsi"/>
          <w:lang w:eastAsia="en-US"/>
        </w:rPr>
        <w:t xml:space="preserve"> </w:t>
      </w:r>
      <w:r w:rsidRPr="00806119">
        <w:rPr>
          <w:rFonts w:cstheme="minorHAnsi"/>
          <w:lang w:eastAsia="en-US"/>
        </w:rPr>
        <w:t>bylo prověřeno, zda kontrolované osoby poskytují a čerpají peněžní prostředky na realizaci vybraných opatření účelně</w:t>
      </w:r>
      <w:r w:rsidR="00DA059B">
        <w:rPr>
          <w:rFonts w:cstheme="minorHAnsi"/>
          <w:lang w:eastAsia="en-US"/>
        </w:rPr>
        <w:t xml:space="preserve"> a</w:t>
      </w:r>
      <w:r w:rsidRPr="00806119">
        <w:rPr>
          <w:rFonts w:cstheme="minorHAnsi"/>
          <w:lang w:eastAsia="en-US"/>
        </w:rPr>
        <w:t xml:space="preserve"> hospodárně</w:t>
      </w:r>
      <w:r w:rsidR="007523DB">
        <w:rPr>
          <w:rFonts w:cstheme="minorHAnsi"/>
          <w:lang w:eastAsia="en-US"/>
        </w:rPr>
        <w:t xml:space="preserve">. </w:t>
      </w:r>
    </w:p>
    <w:p w14:paraId="7E3E9AAF" w14:textId="43F1EF18" w:rsidR="009E130F" w:rsidRPr="004D6E87" w:rsidRDefault="00DA059B" w:rsidP="00C13001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V rámci </w:t>
      </w:r>
      <w:r w:rsidR="00A87455">
        <w:rPr>
          <w:rFonts w:cstheme="minorHAnsi"/>
          <w:lang w:eastAsia="en-US"/>
        </w:rPr>
        <w:t xml:space="preserve">ověření </w:t>
      </w:r>
      <w:r w:rsidR="009E130F" w:rsidRPr="004D6E87">
        <w:rPr>
          <w:rFonts w:cstheme="minorHAnsi"/>
          <w:lang w:eastAsia="en-US"/>
        </w:rPr>
        <w:t xml:space="preserve">účelnosti bylo </w:t>
      </w:r>
      <w:r w:rsidR="00A87455">
        <w:rPr>
          <w:rFonts w:cstheme="minorHAnsi"/>
          <w:lang w:eastAsia="en-US"/>
        </w:rPr>
        <w:t>posuzováno především</w:t>
      </w:r>
      <w:r w:rsidR="009E130F" w:rsidRPr="004D6E87">
        <w:rPr>
          <w:rFonts w:cstheme="minorHAnsi"/>
          <w:lang w:eastAsia="en-US"/>
        </w:rPr>
        <w:t xml:space="preserve"> to, jak vynaložené zdroje přispěly k dosahov</w:t>
      </w:r>
      <w:r w:rsidR="00AB62C7">
        <w:rPr>
          <w:rFonts w:cstheme="minorHAnsi"/>
          <w:lang w:eastAsia="en-US"/>
        </w:rPr>
        <w:t>á</w:t>
      </w:r>
      <w:r w:rsidR="009E130F" w:rsidRPr="004D6E87">
        <w:rPr>
          <w:rFonts w:cstheme="minorHAnsi"/>
          <w:lang w:eastAsia="en-US"/>
        </w:rPr>
        <w:t>ní stanovených cílů určených poskytovatelem podpory. Kritériem hospodárnosti bylo především dodržení podmínek pro výběr dodavatelů a respektování cen v místě a čase obvyklých.</w:t>
      </w:r>
    </w:p>
    <w:p w14:paraId="42C1252F" w14:textId="6A158CCB" w:rsidR="00487B6C" w:rsidRPr="00DB14E2" w:rsidRDefault="00CD2800" w:rsidP="00C13001">
      <w:pPr>
        <w:pStyle w:val="Zkladntextodsazen"/>
        <w:ind w:left="0"/>
        <w:rPr>
          <w:rFonts w:cstheme="minorHAnsi"/>
        </w:rPr>
      </w:pPr>
      <w:r w:rsidRPr="00DB14E2">
        <w:rPr>
          <w:rFonts w:cstheme="minorHAnsi"/>
        </w:rPr>
        <w:t>Kontrolováno bylo období od roku 201</w:t>
      </w:r>
      <w:r w:rsidR="00162999" w:rsidRPr="00DB14E2">
        <w:rPr>
          <w:rFonts w:cstheme="minorHAnsi"/>
        </w:rPr>
        <w:t>5</w:t>
      </w:r>
      <w:r w:rsidRPr="00DB14E2">
        <w:rPr>
          <w:rFonts w:cstheme="minorHAnsi"/>
        </w:rPr>
        <w:t xml:space="preserve"> do roku 201</w:t>
      </w:r>
      <w:r w:rsidR="00162999" w:rsidRPr="00DB14E2">
        <w:rPr>
          <w:rFonts w:cstheme="minorHAnsi"/>
        </w:rPr>
        <w:t>9</w:t>
      </w:r>
      <w:r w:rsidRPr="00DB14E2">
        <w:rPr>
          <w:rFonts w:cstheme="minorHAnsi"/>
        </w:rPr>
        <w:t xml:space="preserve">, v případě věcných souvislostí i období předcházející a následující. </w:t>
      </w:r>
    </w:p>
    <w:p w14:paraId="06BC4E6D" w14:textId="77777777" w:rsidR="00487B6C" w:rsidRPr="004D6E87" w:rsidRDefault="00CD2800" w:rsidP="00ED2F1B">
      <w:pPr>
        <w:spacing w:after="0"/>
        <w:rPr>
          <w:rFonts w:cstheme="minorHAnsi"/>
        </w:rPr>
      </w:pPr>
      <w:r w:rsidRPr="004D6E87">
        <w:rPr>
          <w:rFonts w:cstheme="minorHAnsi"/>
        </w:rPr>
        <w:t>Nejvyšší kontrolní úřad prověřil:</w:t>
      </w:r>
    </w:p>
    <w:p w14:paraId="0119509E" w14:textId="77AC6F39" w:rsidR="00487B6C" w:rsidRPr="00806119" w:rsidRDefault="009365E2" w:rsidP="004D757E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CD2800" w:rsidRPr="00806119">
        <w:rPr>
          <w:rFonts w:cstheme="minorHAnsi"/>
        </w:rPr>
        <w:t>lnění povinnost</w:t>
      </w:r>
      <w:r w:rsidR="006204F8" w:rsidRPr="00806119">
        <w:rPr>
          <w:rFonts w:cstheme="minorHAnsi"/>
        </w:rPr>
        <w:t>í</w:t>
      </w:r>
      <w:r w:rsidR="00CD2800" w:rsidRPr="00806119">
        <w:rPr>
          <w:rFonts w:cstheme="minorHAnsi"/>
        </w:rPr>
        <w:t xml:space="preserve"> </w:t>
      </w:r>
      <w:r w:rsidR="005A78E3" w:rsidRPr="00806119">
        <w:rPr>
          <w:rFonts w:cstheme="minorHAnsi"/>
        </w:rPr>
        <w:t>M</w:t>
      </w:r>
      <w:r w:rsidR="00162999" w:rsidRPr="00806119">
        <w:rPr>
          <w:rFonts w:cstheme="minorHAnsi"/>
        </w:rPr>
        <w:t xml:space="preserve">ŠMT, HMP a MMR </w:t>
      </w:r>
      <w:r w:rsidR="005A78E3" w:rsidRPr="00806119">
        <w:rPr>
          <w:rFonts w:cstheme="minorHAnsi"/>
        </w:rPr>
        <w:t>jakožto řídicí</w:t>
      </w:r>
      <w:r w:rsidR="00162999" w:rsidRPr="00806119">
        <w:rPr>
          <w:rFonts w:cstheme="minorHAnsi"/>
        </w:rPr>
        <w:t>ch</w:t>
      </w:r>
      <w:r w:rsidR="005A78E3" w:rsidRPr="00806119">
        <w:rPr>
          <w:rFonts w:cstheme="minorHAnsi"/>
        </w:rPr>
        <w:t xml:space="preserve"> orgán</w:t>
      </w:r>
      <w:r w:rsidR="00162999" w:rsidRPr="00806119">
        <w:rPr>
          <w:rFonts w:cstheme="minorHAnsi"/>
        </w:rPr>
        <w:t xml:space="preserve">ů </w:t>
      </w:r>
      <w:r w:rsidR="006C0CA5" w:rsidRPr="00806119">
        <w:rPr>
          <w:rFonts w:cstheme="minorHAnsi"/>
        </w:rPr>
        <w:t>OP</w:t>
      </w:r>
      <w:r w:rsidR="00162999" w:rsidRPr="00806119">
        <w:rPr>
          <w:rFonts w:cstheme="minorHAnsi"/>
        </w:rPr>
        <w:t xml:space="preserve"> VVV, OP PPR a IROP</w:t>
      </w:r>
      <w:r w:rsidR="00354F2F">
        <w:rPr>
          <w:rFonts w:cstheme="minorHAnsi"/>
        </w:rPr>
        <w:t xml:space="preserve"> a </w:t>
      </w:r>
      <w:r w:rsidR="00162999" w:rsidRPr="00806119">
        <w:rPr>
          <w:rFonts w:cstheme="minorHAnsi"/>
        </w:rPr>
        <w:t>povinností CRR ČR jako</w:t>
      </w:r>
      <w:r w:rsidR="003548C8" w:rsidRPr="00806119">
        <w:rPr>
          <w:rFonts w:cstheme="minorHAnsi"/>
        </w:rPr>
        <w:t>žto</w:t>
      </w:r>
      <w:r w:rsidR="00162999" w:rsidRPr="00806119">
        <w:rPr>
          <w:rFonts w:cstheme="minorHAnsi"/>
        </w:rPr>
        <w:t xml:space="preserve"> zprostředkujícího subjektu IROP </w:t>
      </w:r>
      <w:r>
        <w:rPr>
          <w:rFonts w:cstheme="minorHAnsi"/>
        </w:rPr>
        <w:t>–</w:t>
      </w:r>
      <w:r w:rsidR="00162999" w:rsidRPr="00806119">
        <w:rPr>
          <w:rFonts w:cstheme="minorHAnsi"/>
        </w:rPr>
        <w:t xml:space="preserve"> </w:t>
      </w:r>
      <w:r w:rsidR="006C0CA5" w:rsidRPr="00806119">
        <w:rPr>
          <w:rFonts w:cstheme="minorHAnsi"/>
        </w:rPr>
        <w:t xml:space="preserve">zejména </w:t>
      </w:r>
      <w:r w:rsidR="00396E4D">
        <w:rPr>
          <w:rFonts w:cstheme="minorHAnsi"/>
        </w:rPr>
        <w:t xml:space="preserve">v oblasti </w:t>
      </w:r>
      <w:r w:rsidR="006C0CA5" w:rsidRPr="00806119">
        <w:rPr>
          <w:rFonts w:cstheme="minorHAnsi"/>
        </w:rPr>
        <w:t>hodnocení, výběr</w:t>
      </w:r>
      <w:r w:rsidR="00396E4D">
        <w:rPr>
          <w:rFonts w:cstheme="minorHAnsi"/>
        </w:rPr>
        <w:t>u</w:t>
      </w:r>
      <w:r w:rsidR="006C0CA5" w:rsidRPr="00806119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r w:rsidR="005A78E3" w:rsidRPr="00806119">
        <w:rPr>
          <w:rFonts w:cstheme="minorHAnsi"/>
        </w:rPr>
        <w:t>schvalování projektů a jejich změn, kontroly projektů</w:t>
      </w:r>
      <w:r w:rsidR="00A87455">
        <w:rPr>
          <w:rFonts w:cstheme="minorHAnsi"/>
        </w:rPr>
        <w:t xml:space="preserve"> a</w:t>
      </w:r>
      <w:r w:rsidR="005A78E3" w:rsidRPr="00806119">
        <w:rPr>
          <w:rFonts w:cstheme="minorHAnsi"/>
        </w:rPr>
        <w:t xml:space="preserve"> </w:t>
      </w:r>
      <w:r w:rsidR="00162999" w:rsidRPr="00806119">
        <w:rPr>
          <w:rFonts w:cstheme="minorHAnsi"/>
        </w:rPr>
        <w:t>monitorování</w:t>
      </w:r>
      <w:r w:rsidR="00CD2800" w:rsidRPr="00806119">
        <w:rPr>
          <w:rFonts w:cstheme="minorHAnsi"/>
        </w:rPr>
        <w:t>.</w:t>
      </w:r>
      <w:r w:rsidR="005A78E3" w:rsidRPr="00806119">
        <w:rPr>
          <w:rFonts w:cstheme="minorHAnsi"/>
        </w:rPr>
        <w:t xml:space="preserve"> </w:t>
      </w:r>
      <w:r w:rsidR="009C2017" w:rsidRPr="009C2017">
        <w:rPr>
          <w:rFonts w:cstheme="minorHAnsi"/>
        </w:rPr>
        <w:lastRenderedPageBreak/>
        <w:t>Kontrolovaný objem na úrovni systému byl ve výši 8</w:t>
      </w:r>
      <w:r w:rsidR="006C590F">
        <w:rPr>
          <w:rFonts w:cstheme="minorHAnsi"/>
        </w:rPr>
        <w:t>,</w:t>
      </w:r>
      <w:r w:rsidR="009C2017" w:rsidRPr="009C2017">
        <w:rPr>
          <w:rFonts w:cstheme="minorHAnsi"/>
        </w:rPr>
        <w:t>58</w:t>
      </w:r>
      <w:r w:rsidR="006C590F">
        <w:rPr>
          <w:rFonts w:cstheme="minorHAnsi"/>
        </w:rPr>
        <w:t xml:space="preserve"> mld.</w:t>
      </w:r>
      <w:r w:rsidR="009C2017" w:rsidRPr="009C2017">
        <w:rPr>
          <w:rFonts w:cstheme="minorHAnsi"/>
        </w:rPr>
        <w:t xml:space="preserve"> Kč</w:t>
      </w:r>
      <w:r w:rsidR="009C2017">
        <w:rPr>
          <w:rFonts w:cstheme="minorHAnsi"/>
        </w:rPr>
        <w:t xml:space="preserve">. </w:t>
      </w:r>
      <w:r w:rsidR="005A78E3" w:rsidRPr="00806119">
        <w:rPr>
          <w:rFonts w:cstheme="minorHAnsi"/>
        </w:rPr>
        <w:t>NKÚ dále kontroloval činnosti M</w:t>
      </w:r>
      <w:r w:rsidR="00162999" w:rsidRPr="00806119">
        <w:rPr>
          <w:rFonts w:cstheme="minorHAnsi"/>
        </w:rPr>
        <w:t xml:space="preserve">ŠMT </w:t>
      </w:r>
      <w:r w:rsidR="005A78E3" w:rsidRPr="00806119">
        <w:rPr>
          <w:rFonts w:cstheme="minorHAnsi"/>
        </w:rPr>
        <w:t>spojené se strategickým řízením OP</w:t>
      </w:r>
      <w:r w:rsidR="00162999" w:rsidRPr="00806119">
        <w:rPr>
          <w:rFonts w:cstheme="minorHAnsi"/>
        </w:rPr>
        <w:t xml:space="preserve"> VVV</w:t>
      </w:r>
      <w:r>
        <w:rPr>
          <w:rFonts w:cstheme="minorHAnsi"/>
        </w:rPr>
        <w:t>;</w:t>
      </w:r>
      <w:r w:rsidR="00162999" w:rsidRPr="00806119">
        <w:rPr>
          <w:rFonts w:cstheme="minorHAnsi"/>
        </w:rPr>
        <w:t xml:space="preserve"> </w:t>
      </w:r>
    </w:p>
    <w:p w14:paraId="43366689" w14:textId="2D33D9DD" w:rsidR="00B95E97" w:rsidRPr="00806119" w:rsidRDefault="009365E2" w:rsidP="00C1300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č</w:t>
      </w:r>
      <w:r w:rsidR="00197ABA" w:rsidRPr="00806119">
        <w:rPr>
          <w:rFonts w:cstheme="minorHAnsi"/>
        </w:rPr>
        <w:t xml:space="preserve">trnáct </w:t>
      </w:r>
      <w:r w:rsidR="003D03D6" w:rsidRPr="00806119">
        <w:rPr>
          <w:rFonts w:cstheme="minorHAnsi"/>
        </w:rPr>
        <w:t xml:space="preserve">projektů, na jejichž realizaci </w:t>
      </w:r>
      <w:r w:rsidR="00162999" w:rsidRPr="00806119">
        <w:rPr>
          <w:rFonts w:cstheme="minorHAnsi"/>
        </w:rPr>
        <w:t xml:space="preserve">řídicí orgány </w:t>
      </w:r>
      <w:r w:rsidR="00162999" w:rsidRPr="00B2290E">
        <w:rPr>
          <w:rFonts w:cstheme="minorHAnsi"/>
        </w:rPr>
        <w:t xml:space="preserve">poskytly </w:t>
      </w:r>
      <w:r w:rsidR="00487B6C" w:rsidRPr="00D573D1">
        <w:rPr>
          <w:rFonts w:cstheme="minorHAnsi"/>
        </w:rPr>
        <w:t xml:space="preserve">celkem </w:t>
      </w:r>
      <w:r w:rsidR="00820167" w:rsidRPr="00D573D1">
        <w:rPr>
          <w:rFonts w:cstheme="minorHAnsi"/>
        </w:rPr>
        <w:t>372</w:t>
      </w:r>
      <w:r w:rsidR="006B7987" w:rsidRPr="00D573D1">
        <w:rPr>
          <w:rFonts w:cstheme="minorHAnsi"/>
        </w:rPr>
        <w:t xml:space="preserve">,46 mil. </w:t>
      </w:r>
      <w:r w:rsidR="00487B6C" w:rsidRPr="00D573D1">
        <w:rPr>
          <w:rFonts w:cstheme="minorHAnsi"/>
        </w:rPr>
        <w:t>Kč.</w:t>
      </w:r>
      <w:r w:rsidR="00487B6C" w:rsidRPr="00B2290E">
        <w:rPr>
          <w:rFonts w:cstheme="minorHAnsi"/>
        </w:rPr>
        <w:t xml:space="preserve"> </w:t>
      </w:r>
      <w:r w:rsidR="00CD2800" w:rsidRPr="00806119">
        <w:rPr>
          <w:rFonts w:cstheme="minorHAnsi"/>
        </w:rPr>
        <w:t>Jednalo se</w:t>
      </w:r>
      <w:r w:rsidR="00377099" w:rsidRPr="00806119">
        <w:rPr>
          <w:rFonts w:cstheme="minorHAnsi"/>
        </w:rPr>
        <w:t xml:space="preserve"> o</w:t>
      </w:r>
      <w:r w:rsidR="006C0CA5" w:rsidRPr="00806119">
        <w:rPr>
          <w:rFonts w:cstheme="minorHAnsi"/>
        </w:rPr>
        <w:t> </w:t>
      </w:r>
      <w:r w:rsidR="00A87455">
        <w:rPr>
          <w:rFonts w:cstheme="minorHAnsi"/>
        </w:rPr>
        <w:t>tři</w:t>
      </w:r>
      <w:r w:rsidR="00197ABA" w:rsidRPr="00806119">
        <w:rPr>
          <w:rFonts w:cstheme="minorHAnsi"/>
        </w:rPr>
        <w:t xml:space="preserve"> </w:t>
      </w:r>
      <w:r w:rsidR="00246731">
        <w:rPr>
          <w:rFonts w:cstheme="minorHAnsi"/>
        </w:rPr>
        <w:t>tzv. indivi</w:t>
      </w:r>
      <w:r w:rsidR="00821DA1">
        <w:rPr>
          <w:rFonts w:cstheme="minorHAnsi"/>
        </w:rPr>
        <w:t>d</w:t>
      </w:r>
      <w:r w:rsidR="00246731">
        <w:rPr>
          <w:rFonts w:cstheme="minorHAnsi"/>
        </w:rPr>
        <w:t xml:space="preserve">uální projekty </w:t>
      </w:r>
      <w:r w:rsidR="00197ABA" w:rsidRPr="00806119">
        <w:rPr>
          <w:rFonts w:cstheme="minorHAnsi"/>
        </w:rPr>
        <w:t>systémové</w:t>
      </w:r>
      <w:r w:rsidR="00246731">
        <w:rPr>
          <w:rStyle w:val="Znakapoznpodarou"/>
          <w:rFonts w:cstheme="minorHAnsi"/>
        </w:rPr>
        <w:footnoteReference w:id="21"/>
      </w:r>
      <w:r w:rsidR="00197ABA" w:rsidRPr="00806119">
        <w:rPr>
          <w:rFonts w:cstheme="minorHAnsi"/>
        </w:rPr>
        <w:t xml:space="preserve"> </w:t>
      </w:r>
      <w:r w:rsidR="00DA059B">
        <w:rPr>
          <w:rFonts w:cstheme="minorHAnsi"/>
        </w:rPr>
        <w:t xml:space="preserve">financované </w:t>
      </w:r>
      <w:r w:rsidR="00197ABA" w:rsidRPr="00806119">
        <w:rPr>
          <w:rFonts w:cstheme="minorHAnsi"/>
        </w:rPr>
        <w:t xml:space="preserve">z OP VVV a 11 </w:t>
      </w:r>
      <w:r w:rsidR="00246731">
        <w:rPr>
          <w:rFonts w:cstheme="minorHAnsi"/>
        </w:rPr>
        <w:t xml:space="preserve">dalších </w:t>
      </w:r>
      <w:r w:rsidR="006A0ADD">
        <w:rPr>
          <w:rFonts w:cstheme="minorHAnsi"/>
        </w:rPr>
        <w:t xml:space="preserve">projektů </w:t>
      </w:r>
      <w:r w:rsidR="00DA059B">
        <w:rPr>
          <w:rFonts w:cstheme="minorHAnsi"/>
        </w:rPr>
        <w:t xml:space="preserve">podpořených </w:t>
      </w:r>
      <w:r w:rsidR="003D5F47">
        <w:rPr>
          <w:rFonts w:cstheme="minorHAnsi"/>
        </w:rPr>
        <w:t>z </w:t>
      </w:r>
      <w:proofErr w:type="gramStart"/>
      <w:r w:rsidR="003D5F47">
        <w:rPr>
          <w:rFonts w:cstheme="minorHAnsi"/>
        </w:rPr>
        <w:t>OP</w:t>
      </w:r>
      <w:proofErr w:type="gramEnd"/>
      <w:r w:rsidR="003D5F47">
        <w:rPr>
          <w:rFonts w:cstheme="minorHAnsi"/>
        </w:rPr>
        <w:t> </w:t>
      </w:r>
      <w:r w:rsidR="00197ABA" w:rsidRPr="00806119">
        <w:rPr>
          <w:rFonts w:cstheme="minorHAnsi"/>
        </w:rPr>
        <w:t>VVV, OP</w:t>
      </w:r>
      <w:r w:rsidR="003D5F47">
        <w:rPr>
          <w:rFonts w:cstheme="minorHAnsi"/>
        </w:rPr>
        <w:t> </w:t>
      </w:r>
      <w:r w:rsidR="00D74460">
        <w:rPr>
          <w:rFonts w:cstheme="minorHAnsi"/>
        </w:rPr>
        <w:t>P</w:t>
      </w:r>
      <w:r w:rsidR="00197ABA" w:rsidRPr="00806119">
        <w:rPr>
          <w:rFonts w:cstheme="minorHAnsi"/>
        </w:rPr>
        <w:t>PR a IROP.</w:t>
      </w:r>
      <w:r w:rsidR="004D6E87">
        <w:rPr>
          <w:rFonts w:cstheme="minorHAnsi"/>
        </w:rPr>
        <w:t xml:space="preserve"> Kontrolu u</w:t>
      </w:r>
      <w:r w:rsidR="00354F2F">
        <w:rPr>
          <w:rFonts w:cstheme="minorHAnsi"/>
        </w:rPr>
        <w:t>vedených projektů provedl NKÚ u 13 </w:t>
      </w:r>
      <w:r w:rsidR="004D6E87">
        <w:rPr>
          <w:rFonts w:cstheme="minorHAnsi"/>
        </w:rPr>
        <w:t>příjemců.</w:t>
      </w:r>
      <w:r w:rsidR="00197ABA" w:rsidRPr="00806119">
        <w:rPr>
          <w:rFonts w:cstheme="minorHAnsi"/>
        </w:rPr>
        <w:t xml:space="preserve"> </w:t>
      </w:r>
    </w:p>
    <w:p w14:paraId="4891C5FF" w14:textId="3E3956B6" w:rsidR="00197ABA" w:rsidRPr="00C13001" w:rsidRDefault="003548C8" w:rsidP="00C13001">
      <w:pPr>
        <w:rPr>
          <w:rFonts w:eastAsiaTheme="minorHAnsi" w:cstheme="minorHAnsi"/>
        </w:rPr>
      </w:pPr>
      <w:r w:rsidRPr="00C13001">
        <w:rPr>
          <w:rFonts w:cstheme="minorHAnsi"/>
        </w:rPr>
        <w:t xml:space="preserve">Vzorek kontrolovaných projektů vybral NKÚ tak, aby byly </w:t>
      </w:r>
      <w:r w:rsidR="00197ABA" w:rsidRPr="00C13001">
        <w:rPr>
          <w:rFonts w:cstheme="minorHAnsi"/>
        </w:rPr>
        <w:t xml:space="preserve">poměrně </w:t>
      </w:r>
      <w:r w:rsidRPr="00C13001">
        <w:rPr>
          <w:rFonts w:cstheme="minorHAnsi"/>
        </w:rPr>
        <w:t>zastoupeny projekty z </w:t>
      </w:r>
      <w:proofErr w:type="spellStart"/>
      <w:r w:rsidRPr="00C13001">
        <w:rPr>
          <w:rFonts w:cstheme="minorHAnsi"/>
        </w:rPr>
        <w:t>pr</w:t>
      </w:r>
      <w:r w:rsidR="003D5F47">
        <w:rPr>
          <w:rFonts w:cstheme="minorHAnsi"/>
        </w:rPr>
        <w:t>oinkluzivně</w:t>
      </w:r>
      <w:proofErr w:type="spellEnd"/>
      <w:r w:rsidR="003D5F47">
        <w:rPr>
          <w:rFonts w:cstheme="minorHAnsi"/>
        </w:rPr>
        <w:t xml:space="preserve"> zaměřených výzev OP </w:t>
      </w:r>
      <w:r w:rsidRPr="00C13001">
        <w:rPr>
          <w:rFonts w:cstheme="minorHAnsi"/>
        </w:rPr>
        <w:t>VVV, OP</w:t>
      </w:r>
      <w:r w:rsidR="003D5F47">
        <w:rPr>
          <w:rFonts w:cstheme="minorHAnsi"/>
        </w:rPr>
        <w:t> </w:t>
      </w:r>
      <w:r w:rsidRPr="00C13001">
        <w:rPr>
          <w:rFonts w:cstheme="minorHAnsi"/>
        </w:rPr>
        <w:t xml:space="preserve">PPR a IROP, které dosáhly </w:t>
      </w:r>
      <w:r w:rsidR="006A0ADD">
        <w:rPr>
          <w:rFonts w:cstheme="minorHAnsi"/>
        </w:rPr>
        <w:t>vyšší míry věcného a </w:t>
      </w:r>
      <w:r w:rsidR="00197ABA" w:rsidRPr="00C13001">
        <w:rPr>
          <w:rFonts w:cstheme="minorHAnsi"/>
        </w:rPr>
        <w:t xml:space="preserve">finančního pokroku. </w:t>
      </w:r>
      <w:r w:rsidR="00197ABA" w:rsidRPr="00FD41D4">
        <w:rPr>
          <w:rFonts w:eastAsiaTheme="minorHAnsi" w:cstheme="minorHAnsi"/>
          <w:b/>
        </w:rPr>
        <w:t xml:space="preserve">Výběr vzorku </w:t>
      </w:r>
      <w:r w:rsidR="00CA63EE" w:rsidRPr="00FD41D4">
        <w:rPr>
          <w:rFonts w:eastAsiaTheme="minorHAnsi" w:cstheme="minorHAnsi"/>
          <w:b/>
        </w:rPr>
        <w:t xml:space="preserve">příjemců </w:t>
      </w:r>
      <w:r w:rsidR="00197ABA" w:rsidRPr="00FD41D4">
        <w:rPr>
          <w:rFonts w:eastAsiaTheme="minorHAnsi" w:cstheme="minorHAnsi"/>
          <w:b/>
        </w:rPr>
        <w:t>pokrýval sektor státní správy</w:t>
      </w:r>
      <w:r w:rsidR="00CA63EE" w:rsidRPr="00FD41D4">
        <w:rPr>
          <w:rFonts w:eastAsiaTheme="minorHAnsi" w:cstheme="minorHAnsi"/>
          <w:b/>
        </w:rPr>
        <w:t xml:space="preserve">, </w:t>
      </w:r>
      <w:r w:rsidR="00197ABA" w:rsidRPr="00FD41D4">
        <w:rPr>
          <w:rFonts w:eastAsiaTheme="minorHAnsi" w:cstheme="minorHAnsi"/>
          <w:b/>
        </w:rPr>
        <w:t>sektor neziskový</w:t>
      </w:r>
      <w:r w:rsidR="00CA63EE" w:rsidRPr="00FD41D4">
        <w:rPr>
          <w:rFonts w:eastAsiaTheme="minorHAnsi" w:cstheme="minorHAnsi"/>
          <w:b/>
        </w:rPr>
        <w:t xml:space="preserve">, </w:t>
      </w:r>
      <w:r w:rsidR="00197ABA" w:rsidRPr="00FD41D4">
        <w:rPr>
          <w:rFonts w:eastAsiaTheme="minorHAnsi" w:cstheme="minorHAnsi"/>
          <w:b/>
        </w:rPr>
        <w:t>segment regionálního a vysokého školství</w:t>
      </w:r>
      <w:r w:rsidR="00CA63EE" w:rsidRPr="00FD41D4">
        <w:rPr>
          <w:rFonts w:eastAsiaTheme="minorHAnsi" w:cstheme="minorHAnsi"/>
          <w:b/>
        </w:rPr>
        <w:t xml:space="preserve"> i </w:t>
      </w:r>
      <w:r w:rsidR="00E34B9F">
        <w:rPr>
          <w:rFonts w:eastAsiaTheme="minorHAnsi" w:cstheme="minorHAnsi"/>
          <w:b/>
        </w:rPr>
        <w:t xml:space="preserve">regiony se </w:t>
      </w:r>
      <w:r w:rsidR="00197ABA" w:rsidRPr="00FD41D4">
        <w:rPr>
          <w:rFonts w:eastAsiaTheme="minorHAnsi" w:cstheme="minorHAnsi"/>
          <w:b/>
        </w:rPr>
        <w:t>sociálně vyloučen</w:t>
      </w:r>
      <w:r w:rsidR="00E34B9F">
        <w:rPr>
          <w:rFonts w:eastAsiaTheme="minorHAnsi" w:cstheme="minorHAnsi"/>
          <w:b/>
        </w:rPr>
        <w:t xml:space="preserve">ými </w:t>
      </w:r>
      <w:r w:rsidR="00CA63EE" w:rsidRPr="00FD41D4">
        <w:rPr>
          <w:rFonts w:eastAsiaTheme="minorHAnsi" w:cstheme="minorHAnsi"/>
          <w:b/>
        </w:rPr>
        <w:t>l</w:t>
      </w:r>
      <w:r w:rsidR="00197ABA" w:rsidRPr="00FD41D4">
        <w:rPr>
          <w:rFonts w:eastAsiaTheme="minorHAnsi" w:cstheme="minorHAnsi"/>
          <w:b/>
        </w:rPr>
        <w:t>okalit</w:t>
      </w:r>
      <w:r w:rsidR="00E34B9F">
        <w:rPr>
          <w:rFonts w:eastAsiaTheme="minorHAnsi" w:cstheme="minorHAnsi"/>
          <w:b/>
        </w:rPr>
        <w:t>ami</w:t>
      </w:r>
      <w:r w:rsidR="00A55E5A">
        <w:rPr>
          <w:rFonts w:eastAsiaTheme="minorHAnsi" w:cstheme="minorHAnsi"/>
          <w:b/>
        </w:rPr>
        <w:t>.</w:t>
      </w:r>
      <w:r w:rsidR="00197ABA" w:rsidRPr="00FD41D4">
        <w:rPr>
          <w:rFonts w:eastAsiaTheme="minorHAnsi" w:cstheme="minorHAnsi"/>
          <w:b/>
        </w:rPr>
        <w:t xml:space="preserve"> </w:t>
      </w:r>
      <w:r w:rsidR="00197ABA" w:rsidRPr="00C13001">
        <w:rPr>
          <w:rFonts w:eastAsiaTheme="minorHAnsi" w:cstheme="minorHAnsi"/>
        </w:rPr>
        <w:t xml:space="preserve">V kontrolním vzorku byly zastoupeny projekty neinvestičního </w:t>
      </w:r>
      <w:r w:rsidR="006A0ADD">
        <w:rPr>
          <w:rFonts w:eastAsiaTheme="minorHAnsi" w:cstheme="minorHAnsi"/>
        </w:rPr>
        <w:t>i </w:t>
      </w:r>
      <w:r w:rsidR="00CA63EE" w:rsidRPr="00C13001">
        <w:rPr>
          <w:rFonts w:eastAsiaTheme="minorHAnsi" w:cstheme="minorHAnsi"/>
        </w:rPr>
        <w:t>investičního charakteru.</w:t>
      </w:r>
    </w:p>
    <w:p w14:paraId="1B65B243" w14:textId="0DE2A59C" w:rsidR="00E77357" w:rsidRPr="00B957F8" w:rsidRDefault="00CD2800" w:rsidP="00C13001">
      <w:pPr>
        <w:rPr>
          <w:rFonts w:cstheme="minorHAnsi"/>
          <w:b/>
        </w:rPr>
      </w:pPr>
      <w:r w:rsidRPr="00C13001">
        <w:rPr>
          <w:rFonts w:cstheme="minorHAnsi"/>
        </w:rPr>
        <w:t>Kontrola projektů se zaměřila především na plnění podmínek</w:t>
      </w:r>
      <w:r w:rsidR="00A54B42" w:rsidRPr="00C13001">
        <w:rPr>
          <w:rFonts w:cstheme="minorHAnsi"/>
        </w:rPr>
        <w:t>, které stanovil</w:t>
      </w:r>
      <w:r w:rsidR="00197ABA" w:rsidRPr="00C13001">
        <w:rPr>
          <w:rFonts w:cstheme="minorHAnsi"/>
        </w:rPr>
        <w:t xml:space="preserve">i </w:t>
      </w:r>
      <w:r w:rsidR="00582158" w:rsidRPr="00C13001">
        <w:rPr>
          <w:rFonts w:cstheme="minorHAnsi"/>
        </w:rPr>
        <w:t xml:space="preserve">příjemcům podpory </w:t>
      </w:r>
      <w:r w:rsidR="00197ABA" w:rsidRPr="00C13001">
        <w:rPr>
          <w:rFonts w:cstheme="minorHAnsi"/>
        </w:rPr>
        <w:t>poskytovatelé.</w:t>
      </w:r>
      <w:r w:rsidR="00246731">
        <w:rPr>
          <w:rFonts w:cstheme="minorHAnsi"/>
        </w:rPr>
        <w:t xml:space="preserve"> </w:t>
      </w:r>
      <w:r w:rsidR="00246731" w:rsidRPr="00B957F8">
        <w:rPr>
          <w:rFonts w:cstheme="minorHAnsi"/>
          <w:b/>
        </w:rPr>
        <w:t xml:space="preserve">Prověřena byla oblast způsobilosti výdajů, realizace veřejných zakázek, stanovení cílů projektů a monitorování </w:t>
      </w:r>
      <w:r w:rsidR="00E34B9F">
        <w:rPr>
          <w:rFonts w:cstheme="minorHAnsi"/>
          <w:b/>
        </w:rPr>
        <w:t xml:space="preserve">i </w:t>
      </w:r>
      <w:r w:rsidR="00246731" w:rsidRPr="00B957F8">
        <w:rPr>
          <w:rFonts w:cstheme="minorHAnsi"/>
          <w:b/>
        </w:rPr>
        <w:t xml:space="preserve">hodnocení jejich naplňování. </w:t>
      </w:r>
    </w:p>
    <w:p w14:paraId="27747A06" w14:textId="38C05471" w:rsidR="00ED2F1B" w:rsidRPr="00873805" w:rsidRDefault="009F1F08" w:rsidP="00ED2F1B">
      <w:pPr>
        <w:rPr>
          <w:rFonts w:ascii="Calibri" w:hAnsi="Calibri" w:cs="Calibri"/>
          <w:lang w:eastAsia="en-US"/>
        </w:rPr>
      </w:pPr>
      <w:r w:rsidRPr="00DE3CFF">
        <w:rPr>
          <w:rFonts w:cstheme="minorHAnsi"/>
        </w:rPr>
        <w:t xml:space="preserve">NKÚ provedl </w:t>
      </w:r>
      <w:r w:rsidR="00ED2F1B" w:rsidRPr="00DE3CFF">
        <w:rPr>
          <w:rFonts w:cstheme="minorHAnsi"/>
        </w:rPr>
        <w:t xml:space="preserve">v rámci kontrolní akce </w:t>
      </w:r>
      <w:r w:rsidRPr="00DE3CFF">
        <w:rPr>
          <w:rFonts w:cstheme="minorHAnsi"/>
        </w:rPr>
        <w:t xml:space="preserve">rovněž dotazníkové šetření </w:t>
      </w:r>
      <w:r w:rsidR="00ED2F1B" w:rsidRPr="00DE3CFF">
        <w:rPr>
          <w:rFonts w:cstheme="minorHAnsi"/>
        </w:rPr>
        <w:t xml:space="preserve">zaměřené na </w:t>
      </w:r>
      <w:r w:rsidR="007A6B69" w:rsidRPr="00DE3CFF">
        <w:rPr>
          <w:rFonts w:cstheme="minorHAnsi"/>
        </w:rPr>
        <w:t>získání informací o stavu a dopadech zaváděné inkluze na jednotlivých školách</w:t>
      </w:r>
      <w:r w:rsidR="00DE3CFF" w:rsidRPr="00DE3CFF">
        <w:rPr>
          <w:rFonts w:cstheme="minorHAnsi"/>
        </w:rPr>
        <w:t xml:space="preserve">. </w:t>
      </w:r>
      <w:r w:rsidR="00ED2F1B" w:rsidRPr="009C2A5C">
        <w:rPr>
          <w:rFonts w:ascii="Calibri" w:hAnsi="Calibri" w:cs="Calibri"/>
          <w:b/>
          <w:lang w:eastAsia="en-US"/>
        </w:rPr>
        <w:t xml:space="preserve">NKÚ oslovil dne 6. </w:t>
      </w:r>
      <w:r w:rsidR="00A30003">
        <w:rPr>
          <w:rFonts w:ascii="Calibri" w:hAnsi="Calibri" w:cs="Calibri"/>
          <w:b/>
          <w:lang w:eastAsia="en-US"/>
        </w:rPr>
        <w:t xml:space="preserve">1. </w:t>
      </w:r>
      <w:r w:rsidR="00ED2F1B" w:rsidRPr="009C2A5C">
        <w:rPr>
          <w:rFonts w:ascii="Calibri" w:hAnsi="Calibri" w:cs="Calibri"/>
          <w:b/>
          <w:lang w:eastAsia="en-US"/>
        </w:rPr>
        <w:t>2020 plošně 4 164 základních škol</w:t>
      </w:r>
      <w:r w:rsidR="00ED2F1B" w:rsidRPr="009C2A5C">
        <w:rPr>
          <w:rFonts w:ascii="Calibri" w:eastAsia="Calibri" w:hAnsi="Calibri" w:cs="Calibri"/>
          <w:vertAlign w:val="superscript"/>
          <w:lang w:eastAsia="en-US"/>
        </w:rPr>
        <w:footnoteReference w:id="22"/>
      </w:r>
      <w:r w:rsidR="009233FE">
        <w:rPr>
          <w:rFonts w:ascii="Calibri" w:hAnsi="Calibri" w:cs="Calibri"/>
          <w:b/>
          <w:lang w:eastAsia="en-US"/>
        </w:rPr>
        <w:t xml:space="preserve"> </w:t>
      </w:r>
      <w:r w:rsidR="009233FE">
        <w:rPr>
          <w:rFonts w:ascii="Calibri" w:hAnsi="Calibri" w:cs="Calibri"/>
          <w:lang w:eastAsia="en-US"/>
        </w:rPr>
        <w:t xml:space="preserve">(dále též „ZŠ“), </w:t>
      </w:r>
      <w:r w:rsidR="009C2A5C" w:rsidRPr="00D166DA">
        <w:rPr>
          <w:rFonts w:ascii="Calibri" w:hAnsi="Calibri" w:cs="Calibri"/>
          <w:lang w:eastAsia="en-US"/>
        </w:rPr>
        <w:t xml:space="preserve">z toho 3 842 běžných </w:t>
      </w:r>
      <w:r w:rsidR="009233FE">
        <w:rPr>
          <w:rFonts w:ascii="Calibri" w:hAnsi="Calibri" w:cs="Calibri"/>
          <w:lang w:eastAsia="en-US"/>
        </w:rPr>
        <w:t xml:space="preserve">ZŠ </w:t>
      </w:r>
      <w:r w:rsidR="009C2A5C" w:rsidRPr="00D166DA">
        <w:rPr>
          <w:rFonts w:ascii="Calibri" w:hAnsi="Calibri" w:cs="Calibri"/>
          <w:lang w:eastAsia="en-US"/>
        </w:rPr>
        <w:t xml:space="preserve">a 322 speciálních </w:t>
      </w:r>
      <w:r w:rsidR="009233FE">
        <w:rPr>
          <w:rFonts w:ascii="Calibri" w:hAnsi="Calibri" w:cs="Calibri"/>
          <w:lang w:eastAsia="en-US"/>
        </w:rPr>
        <w:t xml:space="preserve">ZŠ. </w:t>
      </w:r>
    </w:p>
    <w:p w14:paraId="34B7A776" w14:textId="45612037" w:rsidR="00ED2F1B" w:rsidRPr="00ED2F1B" w:rsidRDefault="00ED2F1B" w:rsidP="00ED2F1B">
      <w:pPr>
        <w:rPr>
          <w:rFonts w:ascii="Calibri" w:hAnsi="Calibri" w:cs="Calibri"/>
          <w:b/>
          <w:lang w:eastAsia="en-US"/>
        </w:rPr>
      </w:pPr>
      <w:r w:rsidRPr="00DE3CFF">
        <w:rPr>
          <w:rFonts w:ascii="Calibri" w:hAnsi="Calibri" w:cs="Calibri"/>
          <w:b/>
          <w:lang w:eastAsia="en-US"/>
        </w:rPr>
        <w:t>Z celkového počtu 3 842 oslovených běžných ZŠ, kterých</w:t>
      </w:r>
      <w:r w:rsidRPr="00ED2F1B">
        <w:rPr>
          <w:rFonts w:ascii="Calibri" w:hAnsi="Calibri" w:cs="Calibri"/>
          <w:b/>
          <w:lang w:eastAsia="en-US"/>
        </w:rPr>
        <w:t xml:space="preserve"> se potenciálně inkluze</w:t>
      </w:r>
      <w:r w:rsidR="00C5770A">
        <w:rPr>
          <w:rFonts w:ascii="Calibri" w:hAnsi="Calibri" w:cs="Calibri"/>
          <w:b/>
          <w:lang w:eastAsia="en-US"/>
        </w:rPr>
        <w:t xml:space="preserve"> týká</w:t>
      </w:r>
      <w:r w:rsidRPr="00ED2F1B">
        <w:rPr>
          <w:rFonts w:ascii="Calibri" w:hAnsi="Calibri" w:cs="Calibri"/>
          <w:b/>
          <w:lang w:eastAsia="en-US"/>
        </w:rPr>
        <w:t>, vyplnilo dotazník 1</w:t>
      </w:r>
      <w:r w:rsidR="00243521">
        <w:rPr>
          <w:rFonts w:ascii="Calibri" w:hAnsi="Calibri" w:cs="Calibri"/>
          <w:b/>
          <w:lang w:eastAsia="en-US"/>
        </w:rPr>
        <w:t xml:space="preserve"> </w:t>
      </w:r>
      <w:r w:rsidRPr="00ED2F1B">
        <w:rPr>
          <w:rFonts w:ascii="Calibri" w:hAnsi="Calibri" w:cs="Calibri"/>
          <w:b/>
          <w:lang w:eastAsia="en-US"/>
        </w:rPr>
        <w:t>789 škol.</w:t>
      </w:r>
      <w:r w:rsidRPr="00ED2F1B">
        <w:rPr>
          <w:rFonts w:ascii="Calibri" w:hAnsi="Calibri" w:cs="Calibri"/>
          <w:lang w:eastAsia="en-US"/>
        </w:rPr>
        <w:t xml:space="preserve"> </w:t>
      </w:r>
      <w:r w:rsidRPr="00ED2F1B">
        <w:rPr>
          <w:rFonts w:ascii="Calibri" w:hAnsi="Calibri" w:cs="Calibri"/>
          <w:b/>
          <w:lang w:eastAsia="en-US"/>
        </w:rPr>
        <w:t xml:space="preserve">Míra návratnosti dotazníku </w:t>
      </w:r>
      <w:r w:rsidR="004D6E87">
        <w:rPr>
          <w:rFonts w:ascii="Calibri" w:hAnsi="Calibri" w:cs="Calibri"/>
          <w:b/>
          <w:lang w:eastAsia="en-US"/>
        </w:rPr>
        <w:t xml:space="preserve">tak </w:t>
      </w:r>
      <w:r w:rsidRPr="00ED2F1B">
        <w:rPr>
          <w:rFonts w:ascii="Calibri" w:hAnsi="Calibri" w:cs="Calibri"/>
          <w:b/>
          <w:lang w:eastAsia="en-US"/>
        </w:rPr>
        <w:t xml:space="preserve">dosáhla 46,6 %. </w:t>
      </w:r>
    </w:p>
    <w:p w14:paraId="0D35033C" w14:textId="0E955599" w:rsidR="00ED2F1B" w:rsidRDefault="00ED2F1B" w:rsidP="0084327A">
      <w:pPr>
        <w:rPr>
          <w:rFonts w:cstheme="minorHAnsi"/>
        </w:rPr>
      </w:pPr>
      <w:r w:rsidRPr="00ED2F1B">
        <w:rPr>
          <w:rFonts w:ascii="Calibri" w:hAnsi="Calibri" w:cs="Calibri"/>
          <w:lang w:eastAsia="en-US"/>
        </w:rPr>
        <w:t>K závěrečnému vyhodnocení výsledků dotazníkového šetření NKÚ bylo zařazeno 1</w:t>
      </w:r>
      <w:r>
        <w:rPr>
          <w:rFonts w:ascii="Calibri" w:hAnsi="Calibri" w:cs="Calibri"/>
          <w:lang w:eastAsia="en-US"/>
        </w:rPr>
        <w:t> </w:t>
      </w:r>
      <w:r w:rsidRPr="00ED2F1B">
        <w:rPr>
          <w:rFonts w:ascii="Calibri" w:hAnsi="Calibri" w:cs="Calibri"/>
          <w:lang w:eastAsia="en-US"/>
        </w:rPr>
        <w:t>778</w:t>
      </w:r>
      <w:r>
        <w:rPr>
          <w:rFonts w:ascii="Calibri" w:hAnsi="Calibri" w:cs="Calibri"/>
          <w:lang w:eastAsia="en-US"/>
        </w:rPr>
        <w:t xml:space="preserve"> </w:t>
      </w:r>
      <w:r w:rsidRPr="00ED2F1B">
        <w:rPr>
          <w:rFonts w:ascii="Calibri" w:hAnsi="Calibri" w:cs="Calibri"/>
          <w:lang w:eastAsia="en-US"/>
        </w:rPr>
        <w:t>kompletně vyplněných dotazníků</w:t>
      </w:r>
      <w:r>
        <w:rPr>
          <w:rStyle w:val="Znakapoznpodarou"/>
          <w:rFonts w:ascii="Calibri" w:hAnsi="Calibri" w:cs="Calibri"/>
          <w:lang w:eastAsia="en-US"/>
        </w:rPr>
        <w:footnoteReference w:id="23"/>
      </w:r>
      <w:r w:rsidRPr="00ED2F1B">
        <w:rPr>
          <w:rFonts w:ascii="Calibri" w:hAnsi="Calibri" w:cs="Calibri"/>
          <w:lang w:eastAsia="en-US"/>
        </w:rPr>
        <w:t xml:space="preserve">, což činí 46,3 % z celkového počtu 3 842 oslovených běžných škol. </w:t>
      </w:r>
      <w:r w:rsidR="0062709F">
        <w:rPr>
          <w:rFonts w:cstheme="minorHAnsi"/>
        </w:rPr>
        <w:t>Z</w:t>
      </w:r>
      <w:r w:rsidR="007A6B69">
        <w:rPr>
          <w:rFonts w:cstheme="minorHAnsi"/>
        </w:rPr>
        <w:t>pracování v</w:t>
      </w:r>
      <w:r>
        <w:rPr>
          <w:rFonts w:cstheme="minorHAnsi"/>
        </w:rPr>
        <w:t>ýsledk</w:t>
      </w:r>
      <w:r w:rsidR="007A6B69">
        <w:rPr>
          <w:rFonts w:cstheme="minorHAnsi"/>
        </w:rPr>
        <w:t>ů</w:t>
      </w:r>
      <w:r>
        <w:rPr>
          <w:rFonts w:cstheme="minorHAnsi"/>
        </w:rPr>
        <w:t xml:space="preserve"> dotazníkového šetření NKÚ </w:t>
      </w:r>
      <w:r w:rsidR="00246731">
        <w:rPr>
          <w:rFonts w:cstheme="minorHAnsi"/>
        </w:rPr>
        <w:t xml:space="preserve">formou vizualizace dat </w:t>
      </w:r>
      <w:r>
        <w:rPr>
          <w:rFonts w:cstheme="minorHAnsi"/>
        </w:rPr>
        <w:t xml:space="preserve">tvoří </w:t>
      </w:r>
      <w:r w:rsidR="003D5F47">
        <w:rPr>
          <w:rFonts w:cstheme="minorHAnsi"/>
        </w:rPr>
        <w:t>p</w:t>
      </w:r>
      <w:r>
        <w:rPr>
          <w:rFonts w:cstheme="minorHAnsi"/>
        </w:rPr>
        <w:t xml:space="preserve">řílohu č. 1 </w:t>
      </w:r>
      <w:r w:rsidR="00204DB3">
        <w:rPr>
          <w:rFonts w:cstheme="minorHAnsi"/>
        </w:rPr>
        <w:t xml:space="preserve">tohoto </w:t>
      </w:r>
      <w:r>
        <w:rPr>
          <w:rFonts w:cstheme="minorHAnsi"/>
        </w:rPr>
        <w:t>kontrolního závěru.</w:t>
      </w:r>
      <w:r w:rsidR="003D5F47">
        <w:rPr>
          <w:rFonts w:cstheme="minorHAnsi"/>
        </w:rPr>
        <w:t xml:space="preserve"> Součástí p</w:t>
      </w:r>
      <w:r w:rsidR="00246731">
        <w:rPr>
          <w:rFonts w:cstheme="minorHAnsi"/>
        </w:rPr>
        <w:t xml:space="preserve">řílohy č. 1 je i </w:t>
      </w:r>
      <w:r w:rsidR="0062709F">
        <w:rPr>
          <w:rFonts w:cstheme="minorHAnsi"/>
        </w:rPr>
        <w:t xml:space="preserve">kompletní </w:t>
      </w:r>
      <w:r w:rsidR="00246731">
        <w:rPr>
          <w:rFonts w:cstheme="minorHAnsi"/>
        </w:rPr>
        <w:t xml:space="preserve">znění otázek, </w:t>
      </w:r>
      <w:r w:rsidR="0062709F">
        <w:rPr>
          <w:rFonts w:cstheme="minorHAnsi"/>
        </w:rPr>
        <w:t>na které základní školy v dotazníku odpovídaly.</w:t>
      </w:r>
    </w:p>
    <w:p w14:paraId="0DBF4DFC" w14:textId="77777777" w:rsidR="002B6DB9" w:rsidRDefault="002B6DB9" w:rsidP="002B6DB9">
      <w:pPr>
        <w:ind w:left="624" w:hanging="624"/>
        <w:rPr>
          <w:rFonts w:cstheme="minorHAnsi"/>
          <w:sz w:val="20"/>
          <w:szCs w:val="20"/>
        </w:rPr>
      </w:pPr>
      <w:r w:rsidRPr="003D1C56">
        <w:rPr>
          <w:rFonts w:cstheme="minorHAnsi"/>
          <w:b/>
          <w:sz w:val="20"/>
          <w:szCs w:val="20"/>
        </w:rPr>
        <w:t>Pozn.:</w:t>
      </w:r>
      <w:r w:rsidRPr="003D1C56">
        <w:rPr>
          <w:rFonts w:cstheme="minorHAnsi"/>
          <w:sz w:val="20"/>
          <w:szCs w:val="20"/>
        </w:rPr>
        <w:tab/>
        <w:t>Právní předpisy uvedené v tomto kontrolním závěru jsou aplikovány ve znění účinném pro kontrolované období.</w:t>
      </w:r>
    </w:p>
    <w:p w14:paraId="1315E155" w14:textId="29502A16" w:rsidR="000F5042" w:rsidRDefault="000F5042">
      <w:pPr>
        <w:rPr>
          <w:rFonts w:cstheme="minorHAnsi"/>
        </w:rPr>
      </w:pPr>
      <w:r>
        <w:rPr>
          <w:rFonts w:cstheme="minorHAnsi"/>
        </w:rPr>
        <w:br w:type="page"/>
      </w:r>
    </w:p>
    <w:p w14:paraId="49723D8A" w14:textId="0641A486" w:rsidR="00264646" w:rsidRPr="00C13001" w:rsidRDefault="00CD2800" w:rsidP="00C13001">
      <w:pPr>
        <w:pStyle w:val="Nadpis1"/>
        <w:spacing w:before="0"/>
        <w:rPr>
          <w:rFonts w:cstheme="minorHAnsi"/>
        </w:rPr>
      </w:pPr>
      <w:r w:rsidRPr="00C13001">
        <w:rPr>
          <w:rFonts w:cstheme="minorHAnsi"/>
        </w:rPr>
        <w:lastRenderedPageBreak/>
        <w:t>IV. Podrobn</w:t>
      </w:r>
      <w:r w:rsidR="009233FE">
        <w:rPr>
          <w:rFonts w:cstheme="minorHAnsi"/>
        </w:rPr>
        <w:t>é skutečnosti zjištěné kontrolou</w:t>
      </w:r>
    </w:p>
    <w:p w14:paraId="3EAFB1CC" w14:textId="75DC8BF2" w:rsidR="00FB1CD1" w:rsidRDefault="00D84024" w:rsidP="00D84024">
      <w:pPr>
        <w:pStyle w:val="Nadpis2"/>
      </w:pPr>
      <w:proofErr w:type="gramStart"/>
      <w:r>
        <w:rPr>
          <w:u w:val="none"/>
        </w:rPr>
        <w:t>IV.1</w:t>
      </w:r>
      <w:r>
        <w:rPr>
          <w:u w:val="none"/>
        </w:rPr>
        <w:tab/>
      </w:r>
      <w:r w:rsidR="00CD2800" w:rsidRPr="00C13001">
        <w:t>Poskytování</w:t>
      </w:r>
      <w:proofErr w:type="gramEnd"/>
      <w:r w:rsidR="00B86AE5" w:rsidRPr="00C13001">
        <w:t xml:space="preserve"> peněžních prostředků </w:t>
      </w:r>
      <w:r w:rsidR="00333E7B" w:rsidRPr="00C13001">
        <w:t xml:space="preserve">určených </w:t>
      </w:r>
      <w:r w:rsidR="00B86AE5" w:rsidRPr="00C13001">
        <w:t xml:space="preserve">na podporu </w:t>
      </w:r>
      <w:r w:rsidR="000F612E" w:rsidRPr="00C13001">
        <w:t>společného vzdělávání žáků</w:t>
      </w:r>
    </w:p>
    <w:p w14:paraId="642011F8" w14:textId="7A6C79DB" w:rsidR="00D2401B" w:rsidRPr="00D2401B" w:rsidRDefault="00540E83" w:rsidP="00C5770A">
      <w:pPr>
        <w:pStyle w:val="Default"/>
      </w:pPr>
      <w:r>
        <w:rPr>
          <w:color w:val="auto"/>
        </w:rPr>
        <w:t xml:space="preserve">Garantem </w:t>
      </w:r>
      <w:r w:rsidR="00FD0CF8" w:rsidRPr="003F16DC">
        <w:rPr>
          <w:color w:val="auto"/>
        </w:rPr>
        <w:t>koncepce společného vzdělávání žáků (inkluze)</w:t>
      </w:r>
      <w:r>
        <w:rPr>
          <w:color w:val="auto"/>
        </w:rPr>
        <w:t xml:space="preserve"> je MŠMT</w:t>
      </w:r>
      <w:r w:rsidR="00FD0CF8" w:rsidRPr="003F16DC">
        <w:rPr>
          <w:color w:val="auto"/>
        </w:rPr>
        <w:t xml:space="preserve">. </w:t>
      </w:r>
      <w:r w:rsidR="00403C70">
        <w:t>Výdaje, které k datu 30. 6. </w:t>
      </w:r>
      <w:r w:rsidR="00D2401B" w:rsidRPr="00D2401B">
        <w:t xml:space="preserve">2019 </w:t>
      </w:r>
      <w:r w:rsidR="005A2EB7">
        <w:t xml:space="preserve">kromě MŠMT </w:t>
      </w:r>
      <w:r w:rsidR="00D2401B" w:rsidRPr="00D2401B">
        <w:t xml:space="preserve">poskytly </w:t>
      </w:r>
      <w:r w:rsidR="005A2EB7">
        <w:t>i</w:t>
      </w:r>
      <w:r w:rsidR="00D2401B" w:rsidRPr="00D2401B">
        <w:t xml:space="preserve"> HMP a MMR p</w:t>
      </w:r>
      <w:r w:rsidR="00403C70">
        <w:t>říjemcům podpory v projektech a </w:t>
      </w:r>
      <w:r w:rsidR="00D2401B" w:rsidRPr="00D2401B">
        <w:t xml:space="preserve">programech s tematikou společného vzdělávání žáků, </w:t>
      </w:r>
      <w:r w:rsidR="00D2401B" w:rsidRPr="00D573D1">
        <w:t>dosáhly 32,3 mld. Kč:</w:t>
      </w:r>
    </w:p>
    <w:p w14:paraId="51664690" w14:textId="34F563AF" w:rsidR="00D2401B" w:rsidRPr="00D573D1" w:rsidRDefault="00D2401B" w:rsidP="00D2401B">
      <w:pPr>
        <w:pStyle w:val="Odstavecseseznamem"/>
        <w:numPr>
          <w:ilvl w:val="0"/>
          <w:numId w:val="20"/>
        </w:numPr>
        <w:spacing w:after="0"/>
      </w:pPr>
      <w:r w:rsidRPr="00D573D1">
        <w:t xml:space="preserve">MŠMT proplatilo </w:t>
      </w:r>
      <w:r w:rsidR="00C2790B">
        <w:t>v období 2009–</w:t>
      </w:r>
      <w:r w:rsidR="003760C3">
        <w:t xml:space="preserve">2019 </w:t>
      </w:r>
      <w:r w:rsidRPr="00D573D1">
        <w:t>v projektech OP</w:t>
      </w:r>
      <w:r w:rsidR="00592734">
        <w:t> </w:t>
      </w:r>
      <w:r w:rsidRPr="00D573D1">
        <w:t>VK</w:t>
      </w:r>
      <w:r w:rsidRPr="00D573D1">
        <w:rPr>
          <w:rStyle w:val="Znakapoznpodarou"/>
        </w:rPr>
        <w:footnoteReference w:id="24"/>
      </w:r>
      <w:r w:rsidR="00592734">
        <w:t>, OP </w:t>
      </w:r>
      <w:r w:rsidRPr="00D573D1">
        <w:t>VVV a v dotačních a</w:t>
      </w:r>
      <w:r w:rsidR="00403C70">
        <w:t> </w:t>
      </w:r>
      <w:r w:rsidRPr="00D573D1">
        <w:t xml:space="preserve">rozvojových programech týkajících se </w:t>
      </w:r>
      <w:r w:rsidR="00BE12C5" w:rsidRPr="00D573D1">
        <w:t xml:space="preserve">v různé míře </w:t>
      </w:r>
      <w:r w:rsidRPr="00D573D1">
        <w:t>inkluze celkem 25,7 mld. Kč</w:t>
      </w:r>
      <w:r w:rsidRPr="00D573D1">
        <w:rPr>
          <w:rStyle w:val="Znakapoznpodarou"/>
        </w:rPr>
        <w:footnoteReference w:id="25"/>
      </w:r>
      <w:r w:rsidRPr="00D573D1">
        <w:t>;</w:t>
      </w:r>
    </w:p>
    <w:p w14:paraId="5BADF613" w14:textId="7032D308" w:rsidR="00D2401B" w:rsidRPr="00D2401B" w:rsidRDefault="00D2401B" w:rsidP="00D2401B">
      <w:pPr>
        <w:pStyle w:val="Odstavecseseznamem"/>
        <w:numPr>
          <w:ilvl w:val="0"/>
          <w:numId w:val="20"/>
        </w:numPr>
        <w:spacing w:after="0"/>
      </w:pPr>
      <w:r w:rsidRPr="00D2401B">
        <w:t xml:space="preserve">HMP </w:t>
      </w:r>
      <w:proofErr w:type="gramStart"/>
      <w:r w:rsidRPr="00D2401B">
        <w:t>proplatilo</w:t>
      </w:r>
      <w:proofErr w:type="gramEnd"/>
      <w:r w:rsidRPr="00D2401B">
        <w:t xml:space="preserve"> v projektech OP PPR vztahujících se výhradně k inkluzi 0,2 mld. Kč; </w:t>
      </w:r>
    </w:p>
    <w:p w14:paraId="3BC62918" w14:textId="77777777" w:rsidR="00D2401B" w:rsidRPr="00D2401B" w:rsidRDefault="00D2401B" w:rsidP="00D2401B">
      <w:pPr>
        <w:pStyle w:val="Odstavecseseznamem"/>
        <w:numPr>
          <w:ilvl w:val="0"/>
          <w:numId w:val="20"/>
        </w:numPr>
      </w:pPr>
      <w:r w:rsidRPr="00D2401B">
        <w:t>MMR poskytlo příjemcům v projektech IROP s přímou vazbou na inkluzi</w:t>
      </w:r>
      <w:r w:rsidRPr="00D2401B">
        <w:rPr>
          <w:rStyle w:val="Znakapoznpodarou"/>
        </w:rPr>
        <w:footnoteReference w:id="26"/>
      </w:r>
      <w:r w:rsidRPr="00D2401B">
        <w:t xml:space="preserve"> 6,4 mld. Kč.</w:t>
      </w:r>
    </w:p>
    <w:p w14:paraId="08CB12DE" w14:textId="53F82292" w:rsidR="00084FA0" w:rsidRPr="005C34AC" w:rsidRDefault="008A04F9" w:rsidP="00084FA0">
      <w:pPr>
        <w:rPr>
          <w:rFonts w:cstheme="minorHAnsi"/>
        </w:rPr>
      </w:pPr>
      <w:r>
        <w:rPr>
          <w:rFonts w:cstheme="minorHAnsi"/>
          <w:b/>
        </w:rPr>
        <w:t>Závislost f</w:t>
      </w:r>
      <w:r w:rsidR="00084FA0">
        <w:rPr>
          <w:rFonts w:cstheme="minorHAnsi"/>
          <w:b/>
        </w:rPr>
        <w:t>inancování opatření k zajištění rovných podmí</w:t>
      </w:r>
      <w:r w:rsidR="00403C70">
        <w:rPr>
          <w:rFonts w:cstheme="minorHAnsi"/>
          <w:b/>
        </w:rPr>
        <w:t>nek pro kvalitní vzdělávání pro</w:t>
      </w:r>
      <w:r w:rsidR="001125F6">
        <w:rPr>
          <w:rFonts w:cstheme="minorHAnsi"/>
          <w:b/>
        </w:rPr>
        <w:t xml:space="preserve"> </w:t>
      </w:r>
      <w:r w:rsidR="00084FA0">
        <w:rPr>
          <w:rFonts w:cstheme="minorHAnsi"/>
          <w:b/>
        </w:rPr>
        <w:t>všechny žáky na prostředcích z</w:t>
      </w:r>
      <w:r>
        <w:rPr>
          <w:rFonts w:cstheme="minorHAnsi"/>
          <w:b/>
        </w:rPr>
        <w:t xml:space="preserve"> ESIF </w:t>
      </w:r>
      <w:r w:rsidR="00084FA0" w:rsidRPr="005C34AC">
        <w:rPr>
          <w:rFonts w:cstheme="minorHAnsi"/>
        </w:rPr>
        <w:t>představuje riziko, že s ukončením stávajícího programového období nebudou mít školy dostatek peněžních prostředků např. na</w:t>
      </w:r>
      <w:r w:rsidR="001125F6">
        <w:rPr>
          <w:rFonts w:cstheme="minorHAnsi"/>
        </w:rPr>
        <w:t xml:space="preserve"> </w:t>
      </w:r>
      <w:r w:rsidR="00084FA0" w:rsidRPr="005C34AC">
        <w:rPr>
          <w:rFonts w:cstheme="minorHAnsi"/>
        </w:rPr>
        <w:t>zaměstná</w:t>
      </w:r>
      <w:r w:rsidR="00086B17">
        <w:rPr>
          <w:rFonts w:cstheme="minorHAnsi"/>
        </w:rPr>
        <w:t>vá</w:t>
      </w:r>
      <w:r w:rsidR="00084FA0" w:rsidRPr="005C34AC">
        <w:rPr>
          <w:rFonts w:cstheme="minorHAnsi"/>
        </w:rPr>
        <w:t>ní školních psychologů a speciálních pedagogů nebo na vzdělávání pedagogických pracovníků k získání odborných kompetencí pro</w:t>
      </w:r>
      <w:r w:rsidR="00086B17">
        <w:rPr>
          <w:rFonts w:cstheme="minorHAnsi"/>
        </w:rPr>
        <w:t xml:space="preserve"> </w:t>
      </w:r>
      <w:r w:rsidR="00084FA0" w:rsidRPr="005C34AC">
        <w:rPr>
          <w:rFonts w:cstheme="minorHAnsi"/>
        </w:rPr>
        <w:t>práci s žáky se speciálními vzdělávacími potřebami</w:t>
      </w:r>
      <w:r w:rsidRPr="005C34AC">
        <w:rPr>
          <w:rFonts w:cstheme="minorHAnsi"/>
        </w:rPr>
        <w:t xml:space="preserve">. </w:t>
      </w:r>
    </w:p>
    <w:p w14:paraId="69E58E2B" w14:textId="114E2373" w:rsidR="00B42443" w:rsidRDefault="00B42443" w:rsidP="00B42443">
      <w:pPr>
        <w:rPr>
          <w:rFonts w:cstheme="minorHAnsi"/>
        </w:rPr>
      </w:pPr>
      <w:r w:rsidRPr="005C34AC">
        <w:rPr>
          <w:rFonts w:cstheme="minorHAnsi"/>
        </w:rPr>
        <w:t>Systém poskytování podpory z </w:t>
      </w:r>
      <w:proofErr w:type="gramStart"/>
      <w:r w:rsidRPr="005C34AC">
        <w:rPr>
          <w:rFonts w:cstheme="minorHAnsi"/>
        </w:rPr>
        <w:t>OP</w:t>
      </w:r>
      <w:proofErr w:type="gramEnd"/>
      <w:r w:rsidRPr="005C34AC">
        <w:rPr>
          <w:rFonts w:cstheme="minorHAnsi"/>
        </w:rPr>
        <w:t xml:space="preserve"> VVV, OP PPR a IROP určené na realizaci projektů v oblasti </w:t>
      </w:r>
      <w:r w:rsidRPr="00AB6BEE">
        <w:rPr>
          <w:rFonts w:cstheme="minorHAnsi"/>
        </w:rPr>
        <w:t>podpory společného vzdělávání žáků prověřil NKÚ v oblasti plánování a vyhlašování výzev, hodnocení a výběru projektů, kontrolní činnost</w:t>
      </w:r>
      <w:r>
        <w:rPr>
          <w:rFonts w:cstheme="minorHAnsi"/>
        </w:rPr>
        <w:t xml:space="preserve">i MŠMT, </w:t>
      </w:r>
      <w:r w:rsidRPr="00AB6BEE">
        <w:rPr>
          <w:rFonts w:cstheme="minorHAnsi"/>
        </w:rPr>
        <w:t>HMP</w:t>
      </w:r>
      <w:r>
        <w:rPr>
          <w:rFonts w:cstheme="minorHAnsi"/>
        </w:rPr>
        <w:t xml:space="preserve"> a MMR</w:t>
      </w:r>
      <w:r w:rsidRPr="00AB6BEE">
        <w:rPr>
          <w:rFonts w:cstheme="minorHAnsi"/>
        </w:rPr>
        <w:t xml:space="preserve"> v roli řídicí</w:t>
      </w:r>
      <w:r>
        <w:rPr>
          <w:rFonts w:cstheme="minorHAnsi"/>
        </w:rPr>
        <w:t xml:space="preserve">ch </w:t>
      </w:r>
      <w:r w:rsidRPr="00AB6BEE">
        <w:rPr>
          <w:rFonts w:cstheme="minorHAnsi"/>
        </w:rPr>
        <w:t>orgán</w:t>
      </w:r>
      <w:r w:rsidR="006A0ADD">
        <w:rPr>
          <w:rFonts w:cstheme="minorHAnsi"/>
        </w:rPr>
        <w:t>ů a</w:t>
      </w:r>
      <w:r w:rsidR="001125F6">
        <w:rPr>
          <w:rFonts w:cstheme="minorHAnsi"/>
        </w:rPr>
        <w:t> </w:t>
      </w:r>
      <w:r w:rsidRPr="00AB6BEE">
        <w:rPr>
          <w:rFonts w:cstheme="minorHAnsi"/>
        </w:rPr>
        <w:t xml:space="preserve">v oblasti monitoringu a vyhodnocování plnění projektových cílů a přínosů realizovaných opatření. NKÚ také prověřil, zda finančně podpořené projekty </w:t>
      </w:r>
      <w:r>
        <w:rPr>
          <w:rFonts w:cstheme="minorHAnsi"/>
        </w:rPr>
        <w:t xml:space="preserve">těchto tří operačních programů </w:t>
      </w:r>
      <w:r w:rsidRPr="00AB6BEE">
        <w:rPr>
          <w:rFonts w:cstheme="minorHAnsi"/>
        </w:rPr>
        <w:t xml:space="preserve">byly </w:t>
      </w:r>
      <w:r>
        <w:rPr>
          <w:rFonts w:cstheme="minorHAnsi"/>
        </w:rPr>
        <w:t xml:space="preserve">vzájemně </w:t>
      </w:r>
      <w:r w:rsidRPr="00AB6BEE">
        <w:rPr>
          <w:rFonts w:cstheme="minorHAnsi"/>
        </w:rPr>
        <w:t>komplementární</w:t>
      </w:r>
      <w:r>
        <w:rPr>
          <w:rFonts w:cstheme="minorHAnsi"/>
        </w:rPr>
        <w:t xml:space="preserve">. </w:t>
      </w:r>
    </w:p>
    <w:p w14:paraId="2A8894D9" w14:textId="0CEE48B1" w:rsidR="0056191F" w:rsidRDefault="008B7C7F" w:rsidP="000143BC">
      <w:pPr>
        <w:rPr>
          <w:rFonts w:cstheme="minorHAnsi"/>
        </w:rPr>
      </w:pPr>
      <w:r w:rsidRPr="008B7C7F">
        <w:rPr>
          <w:rFonts w:cstheme="minorHAnsi"/>
        </w:rPr>
        <w:t>V rámci kontroly u CRR</w:t>
      </w:r>
      <w:r w:rsidR="00206E9C">
        <w:rPr>
          <w:rFonts w:cstheme="minorHAnsi"/>
        </w:rPr>
        <w:t xml:space="preserve"> ČR</w:t>
      </w:r>
      <w:r w:rsidRPr="008B7C7F">
        <w:rPr>
          <w:rFonts w:cstheme="minorHAnsi"/>
        </w:rPr>
        <w:t xml:space="preserve"> byly prověřovány činnosti, které mu byly delegovány </w:t>
      </w:r>
      <w:r w:rsidR="00E37708">
        <w:rPr>
          <w:rFonts w:cstheme="minorHAnsi"/>
        </w:rPr>
        <w:t>ř</w:t>
      </w:r>
      <w:r w:rsidRPr="008B7C7F">
        <w:rPr>
          <w:rFonts w:cstheme="minorHAnsi"/>
        </w:rPr>
        <w:t>ídicím orgánem IROP, tj. MMR.</w:t>
      </w:r>
    </w:p>
    <w:p w14:paraId="519889C6" w14:textId="77777777" w:rsidR="00DA1B53" w:rsidRDefault="00DA1B53" w:rsidP="008B7C7F">
      <w:pPr>
        <w:spacing w:after="0"/>
        <w:rPr>
          <w:rFonts w:cstheme="minorHAnsi"/>
        </w:rPr>
      </w:pPr>
    </w:p>
    <w:p w14:paraId="54C31149" w14:textId="7DB2A7F9" w:rsidR="006B42B1" w:rsidRDefault="0099387D" w:rsidP="00136EF9">
      <w:pPr>
        <w:pStyle w:val="Nadpis3"/>
      </w:pPr>
      <w:proofErr w:type="gramStart"/>
      <w:r w:rsidRPr="00F15411">
        <w:t>IV.1.1</w:t>
      </w:r>
      <w:proofErr w:type="gramEnd"/>
      <w:r w:rsidRPr="00F15411">
        <w:t xml:space="preserve"> </w:t>
      </w:r>
      <w:r w:rsidR="00740166">
        <w:t xml:space="preserve">Nedostatky </w:t>
      </w:r>
      <w:r w:rsidR="00086B17">
        <w:t>v</w:t>
      </w:r>
      <w:r w:rsidR="00740166">
        <w:t xml:space="preserve"> p</w:t>
      </w:r>
      <w:r w:rsidR="00C045F1" w:rsidRPr="00F15411">
        <w:t>lánování a vyhlašování výzev</w:t>
      </w:r>
      <w:r w:rsidR="007A43C8" w:rsidRPr="00F15411">
        <w:t xml:space="preserve"> </w:t>
      </w:r>
      <w:r w:rsidR="00740166">
        <w:t>byly zjištěny jen u MŠMT</w:t>
      </w:r>
    </w:p>
    <w:p w14:paraId="618BE555" w14:textId="23A99679" w:rsidR="002711D2" w:rsidRPr="00716155" w:rsidRDefault="002711D2" w:rsidP="00987B74">
      <w:pPr>
        <w:pStyle w:val="Nadpis4"/>
      </w:pPr>
      <w:proofErr w:type="gramStart"/>
      <w:r w:rsidRPr="00716155">
        <w:t>IV.</w:t>
      </w:r>
      <w:r w:rsidR="001C437F" w:rsidRPr="00716155">
        <w:t>1</w:t>
      </w:r>
      <w:r w:rsidRPr="00716155">
        <w:t>.1.1</w:t>
      </w:r>
      <w:proofErr w:type="gramEnd"/>
      <w:r w:rsidRPr="00716155">
        <w:t xml:space="preserve"> M</w:t>
      </w:r>
      <w:r w:rsidR="00AD6FD9" w:rsidRPr="00716155">
        <w:t>ŠMT</w:t>
      </w:r>
    </w:p>
    <w:p w14:paraId="4060BE0F" w14:textId="276BF425" w:rsidR="00402A7E" w:rsidRPr="003F16DC" w:rsidRDefault="00402A7E" w:rsidP="00402A7E">
      <w:pPr>
        <w:pStyle w:val="Default"/>
        <w:rPr>
          <w:color w:val="auto"/>
        </w:rPr>
      </w:pPr>
      <w:r>
        <w:rPr>
          <w:color w:val="auto"/>
        </w:rPr>
        <w:t>C</w:t>
      </w:r>
      <w:r w:rsidRPr="003F16DC">
        <w:rPr>
          <w:color w:val="auto"/>
        </w:rPr>
        <w:t>íle programového dokumentu OP VVV týkající se společného vzdělávání žáků jako konceptu k zajištění rovného přístupu všech žáků ke kvalitnímu</w:t>
      </w:r>
      <w:r>
        <w:rPr>
          <w:color w:val="auto"/>
        </w:rPr>
        <w:t xml:space="preserve"> vzdělávání</w:t>
      </w:r>
      <w:r w:rsidRPr="003F16DC">
        <w:rPr>
          <w:color w:val="auto"/>
        </w:rPr>
        <w:t xml:space="preserve"> vycházejí ze strategií MŠMT a dalších mezire</w:t>
      </w:r>
      <w:r w:rsidR="00086B17">
        <w:rPr>
          <w:color w:val="auto"/>
        </w:rPr>
        <w:t>s</w:t>
      </w:r>
      <w:r w:rsidRPr="003F16DC">
        <w:rPr>
          <w:color w:val="auto"/>
        </w:rPr>
        <w:t>ortních strategií.</w:t>
      </w:r>
    </w:p>
    <w:p w14:paraId="0F73CD94" w14:textId="48A10B2E" w:rsidR="00AE21A4" w:rsidRPr="00873805" w:rsidRDefault="00B822AC" w:rsidP="00AE21A4">
      <w:pPr>
        <w:rPr>
          <w:rFonts w:cstheme="minorHAnsi"/>
          <w:sz w:val="20"/>
          <w:szCs w:val="20"/>
          <w:lang w:eastAsia="en-US"/>
        </w:rPr>
      </w:pPr>
      <w:r w:rsidRPr="004C21EF">
        <w:rPr>
          <w:rFonts w:cstheme="minorHAnsi"/>
        </w:rPr>
        <w:t xml:space="preserve">Alokace všech </w:t>
      </w:r>
      <w:r w:rsidRPr="00BE4F3B">
        <w:rPr>
          <w:rFonts w:cstheme="minorHAnsi"/>
        </w:rPr>
        <w:t>výzev PO 3</w:t>
      </w:r>
      <w:r w:rsidR="00396E4D" w:rsidRPr="00BE4F3B">
        <w:rPr>
          <w:rFonts w:cstheme="minorHAnsi"/>
        </w:rPr>
        <w:t xml:space="preserve"> OP VVV </w:t>
      </w:r>
      <w:r w:rsidR="00396E4D" w:rsidRPr="004C21EF">
        <w:rPr>
          <w:rFonts w:cstheme="minorHAnsi"/>
        </w:rPr>
        <w:t xml:space="preserve">vyhlášených </w:t>
      </w:r>
      <w:r w:rsidR="004B6342">
        <w:rPr>
          <w:rFonts w:cstheme="minorHAnsi"/>
        </w:rPr>
        <w:t>k datu ukončení kontroly NKÚ</w:t>
      </w:r>
      <w:r w:rsidRPr="004C21EF">
        <w:rPr>
          <w:rFonts w:cstheme="minorHAnsi"/>
        </w:rPr>
        <w:t xml:space="preserve"> </w:t>
      </w:r>
      <w:r w:rsidRPr="00D573D1">
        <w:rPr>
          <w:rFonts w:cstheme="minorHAnsi"/>
        </w:rPr>
        <w:t xml:space="preserve">činí </w:t>
      </w:r>
      <w:r w:rsidR="00BE4F3B">
        <w:rPr>
          <w:rFonts w:cstheme="minorHAnsi"/>
        </w:rPr>
        <w:t xml:space="preserve">téměř </w:t>
      </w:r>
      <w:r w:rsidRPr="00D573D1">
        <w:rPr>
          <w:rFonts w:cstheme="minorHAnsi"/>
        </w:rPr>
        <w:t>3</w:t>
      </w:r>
      <w:r w:rsidR="009C2A5C">
        <w:rPr>
          <w:rFonts w:cstheme="minorHAnsi"/>
        </w:rPr>
        <w:t>7</w:t>
      </w:r>
      <w:r w:rsidR="004B6342">
        <w:rPr>
          <w:rFonts w:cstheme="minorHAnsi"/>
        </w:rPr>
        <w:t> </w:t>
      </w:r>
      <w:r w:rsidRPr="00D573D1">
        <w:rPr>
          <w:rFonts w:cstheme="minorHAnsi"/>
        </w:rPr>
        <w:t>mld. Kč.</w:t>
      </w:r>
      <w:r w:rsidR="004C21EF">
        <w:rPr>
          <w:rFonts w:cstheme="minorHAnsi"/>
        </w:rPr>
        <w:t xml:space="preserve"> </w:t>
      </w:r>
      <w:r w:rsidR="00AE21A4" w:rsidRPr="00AE21A4">
        <w:rPr>
          <w:rFonts w:cstheme="minorHAnsi"/>
          <w:b/>
          <w:lang w:eastAsia="en-US"/>
        </w:rPr>
        <w:t>Žádná z</w:t>
      </w:r>
      <w:r w:rsidR="00E37708">
        <w:rPr>
          <w:rFonts w:cstheme="minorHAnsi"/>
          <w:b/>
          <w:lang w:eastAsia="en-US"/>
        </w:rPr>
        <w:t xml:space="preserve"> těchto </w:t>
      </w:r>
      <w:r w:rsidR="00AE21A4" w:rsidRPr="00AE21A4">
        <w:rPr>
          <w:rFonts w:cstheme="minorHAnsi"/>
          <w:b/>
          <w:lang w:eastAsia="en-US"/>
        </w:rPr>
        <w:t xml:space="preserve">výzev PO 3 OP VVV nebyla </w:t>
      </w:r>
      <w:r w:rsidR="00AE21A4">
        <w:rPr>
          <w:rFonts w:cstheme="minorHAnsi"/>
          <w:b/>
          <w:lang w:eastAsia="en-US"/>
        </w:rPr>
        <w:t xml:space="preserve">ale cíleně </w:t>
      </w:r>
      <w:r w:rsidR="00AE21A4" w:rsidRPr="00AE21A4">
        <w:rPr>
          <w:rFonts w:cstheme="minorHAnsi"/>
          <w:b/>
          <w:lang w:eastAsia="en-US"/>
        </w:rPr>
        <w:t xml:space="preserve">zaměřena </w:t>
      </w:r>
      <w:r w:rsidR="00AE21A4">
        <w:rPr>
          <w:rFonts w:cstheme="minorHAnsi"/>
          <w:b/>
          <w:lang w:eastAsia="en-US"/>
        </w:rPr>
        <w:t xml:space="preserve">např. </w:t>
      </w:r>
      <w:r w:rsidR="00AE21A4" w:rsidRPr="00AE21A4">
        <w:rPr>
          <w:rFonts w:cstheme="minorHAnsi"/>
          <w:b/>
          <w:lang w:eastAsia="en-US"/>
        </w:rPr>
        <w:t>na podporu nadaných žáků</w:t>
      </w:r>
      <w:r w:rsidR="00B20B21" w:rsidRPr="006E0A37">
        <w:rPr>
          <w:rFonts w:cstheme="minorHAnsi"/>
          <w:b/>
          <w:lang w:eastAsia="en-US"/>
        </w:rPr>
        <w:t>,</w:t>
      </w:r>
      <w:r w:rsidR="00B20B21">
        <w:rPr>
          <w:rFonts w:cstheme="minorHAnsi"/>
          <w:lang w:eastAsia="en-US"/>
        </w:rPr>
        <w:t xml:space="preserve"> kterých se inkluze rovněž týká</w:t>
      </w:r>
      <w:r w:rsidR="00B20B21" w:rsidRPr="006E0A37">
        <w:rPr>
          <w:rFonts w:cstheme="minorHAnsi"/>
          <w:lang w:eastAsia="en-US"/>
        </w:rPr>
        <w:t>.</w:t>
      </w:r>
    </w:p>
    <w:p w14:paraId="08F2D897" w14:textId="6B00A7FA" w:rsidR="00C51305" w:rsidRPr="00AE21A4" w:rsidRDefault="00C51305" w:rsidP="00B42443">
      <w:pPr>
        <w:rPr>
          <w:rFonts w:cstheme="minorHAnsi"/>
          <w:b/>
          <w:lang w:eastAsia="en-US"/>
        </w:rPr>
      </w:pPr>
      <w:r>
        <w:rPr>
          <w:rFonts w:cstheme="minorHAnsi"/>
          <w:lang w:eastAsia="en-US"/>
        </w:rPr>
        <w:t xml:space="preserve">NKÚ ověřil na vzorku vybraných výzev 15_001, 16_020 a 15_007, že </w:t>
      </w:r>
      <w:r w:rsidRPr="00716155">
        <w:rPr>
          <w:rFonts w:cstheme="minorHAnsi"/>
          <w:b/>
          <w:lang w:eastAsia="en-US"/>
        </w:rPr>
        <w:t>zacílení výzev je v souladu s vymezením v programovém dokumentu OP VVV.</w:t>
      </w:r>
      <w:r w:rsidR="0044556F">
        <w:rPr>
          <w:rFonts w:cstheme="minorHAnsi"/>
          <w:b/>
          <w:lang w:eastAsia="en-US"/>
        </w:rPr>
        <w:t xml:space="preserve"> </w:t>
      </w:r>
    </w:p>
    <w:p w14:paraId="27FE8D2F" w14:textId="77777777" w:rsidR="005768D0" w:rsidRDefault="005768D0" w:rsidP="00882508"/>
    <w:p w14:paraId="50781846" w14:textId="75ED345B" w:rsidR="00882508" w:rsidRPr="008A04F9" w:rsidRDefault="00882508" w:rsidP="00882508">
      <w:pPr>
        <w:rPr>
          <w:rFonts w:cstheme="minorHAnsi"/>
        </w:rPr>
      </w:pPr>
      <w:r w:rsidRPr="00175D25">
        <w:t xml:space="preserve">MŠMT </w:t>
      </w:r>
      <w:r w:rsidR="00086B17">
        <w:t>v rámci</w:t>
      </w:r>
      <w:r w:rsidRPr="00175D25">
        <w:t xml:space="preserve"> podpor</w:t>
      </w:r>
      <w:r w:rsidR="00086B17">
        <w:t>y</w:t>
      </w:r>
      <w:r w:rsidRPr="00175D25">
        <w:t xml:space="preserve"> inkluz</w:t>
      </w:r>
      <w:r w:rsidR="00086B17">
        <w:t>i</w:t>
      </w:r>
      <w:r w:rsidRPr="00175D25">
        <w:t>vního vzdělávání poskytuje peněžní prostředky mimo jiné i na tzv. „individuální projekty systémové“ a projekty akčního plánování na úrovni krajů a obcí.</w:t>
      </w:r>
      <w:r w:rsidRPr="00175D25">
        <w:rPr>
          <w:rFonts w:cstheme="minorHAnsi"/>
        </w:rPr>
        <w:t xml:space="preserve"> Nejedná se o prostředky, které jsou určeny přímo školám. </w:t>
      </w:r>
      <w:r w:rsidR="00393268">
        <w:rPr>
          <w:rFonts w:cstheme="minorHAnsi"/>
          <w:b/>
        </w:rPr>
        <w:t>Alokace výzev OP </w:t>
      </w:r>
      <w:r w:rsidR="007B347D">
        <w:rPr>
          <w:rFonts w:cstheme="minorHAnsi"/>
          <w:b/>
        </w:rPr>
        <w:t>VVV pro</w:t>
      </w:r>
      <w:r w:rsidR="001125F6">
        <w:rPr>
          <w:rFonts w:cstheme="minorHAnsi"/>
          <w:b/>
        </w:rPr>
        <w:t xml:space="preserve"> </w:t>
      </w:r>
      <w:r w:rsidRPr="008A04F9">
        <w:rPr>
          <w:rFonts w:cstheme="minorHAnsi"/>
          <w:b/>
        </w:rPr>
        <w:t>systémové projekty a projekty akčního plánování</w:t>
      </w:r>
      <w:r w:rsidRPr="008A04F9">
        <w:rPr>
          <w:rStyle w:val="Znakapoznpodarou"/>
          <w:rFonts w:cstheme="minorHAnsi"/>
          <w:b/>
        </w:rPr>
        <w:footnoteReference w:id="27"/>
      </w:r>
      <w:r w:rsidRPr="008A04F9">
        <w:rPr>
          <w:rFonts w:cstheme="minorHAnsi"/>
          <w:b/>
        </w:rPr>
        <w:t xml:space="preserve"> v územích </w:t>
      </w:r>
      <w:r w:rsidRPr="00D573D1">
        <w:rPr>
          <w:rFonts w:cstheme="minorHAnsi"/>
          <w:b/>
        </w:rPr>
        <w:t>představuje 12,7 mld. Kč, tj.</w:t>
      </w:r>
      <w:r w:rsidR="001125F6">
        <w:rPr>
          <w:rFonts w:cstheme="minorHAnsi"/>
          <w:b/>
        </w:rPr>
        <w:t> </w:t>
      </w:r>
      <w:r w:rsidRPr="008A04F9">
        <w:rPr>
          <w:rFonts w:cstheme="minorHAnsi"/>
          <w:b/>
        </w:rPr>
        <w:t xml:space="preserve">34 % z celkové alokace všech výzev v rámci prioritní osy 3 tohoto operačního programu </w:t>
      </w:r>
      <w:r w:rsidRPr="008A04F9">
        <w:rPr>
          <w:rFonts w:cstheme="minorHAnsi"/>
        </w:rPr>
        <w:t xml:space="preserve">(viz také bod </w:t>
      </w:r>
      <w:proofErr w:type="gramStart"/>
      <w:r w:rsidRPr="008A04F9">
        <w:t>IV.2.1.1</w:t>
      </w:r>
      <w:proofErr w:type="gramEnd"/>
      <w:r w:rsidRPr="008A04F9">
        <w:rPr>
          <w:rFonts w:cstheme="minorHAnsi"/>
        </w:rPr>
        <w:t>).</w:t>
      </w:r>
      <w:r w:rsidRPr="008A04F9">
        <w:rPr>
          <w:rFonts w:cstheme="minorHAnsi"/>
          <w:b/>
        </w:rPr>
        <w:t xml:space="preserve"> </w:t>
      </w:r>
    </w:p>
    <w:p w14:paraId="69029E0A" w14:textId="14C9B832" w:rsidR="00FD0CF8" w:rsidRPr="00873805" w:rsidRDefault="00BB47A4" w:rsidP="00BB47A4">
      <w:pPr>
        <w:rPr>
          <w:rFonts w:cstheme="minorHAnsi"/>
        </w:rPr>
      </w:pPr>
      <w:r w:rsidRPr="008A04F9">
        <w:rPr>
          <w:rFonts w:cstheme="minorHAnsi"/>
          <w:b/>
        </w:rPr>
        <w:t>MŠMT nestanovilo ve výzvá</w:t>
      </w:r>
      <w:r w:rsidRPr="00BB47A4">
        <w:rPr>
          <w:rFonts w:cstheme="minorHAnsi"/>
          <w:b/>
        </w:rPr>
        <w:t>ch pro systémové projekty žádnou</w:t>
      </w:r>
      <w:r w:rsidR="00393268">
        <w:rPr>
          <w:rFonts w:cstheme="minorHAnsi"/>
          <w:b/>
        </w:rPr>
        <w:t xml:space="preserve"> udržitelnost aktivit a výstupů.</w:t>
      </w:r>
      <w:r w:rsidRPr="00393268">
        <w:rPr>
          <w:rFonts w:cstheme="minorHAnsi"/>
        </w:rPr>
        <w:t xml:space="preserve"> </w:t>
      </w:r>
      <w:r w:rsidR="00393268" w:rsidRPr="00393268">
        <w:rPr>
          <w:rFonts w:cstheme="minorHAnsi"/>
        </w:rPr>
        <w:t>V</w:t>
      </w:r>
      <w:r w:rsidRPr="00BB47A4">
        <w:rPr>
          <w:rFonts w:cstheme="minorHAnsi"/>
        </w:rPr>
        <w:t> důsledku toho není po ukončení financování projektů z ESIF garantováno využití projektových aktivit a výstupů, které mají sloužit k rozvoji národních politik.</w:t>
      </w:r>
      <w:r w:rsidR="008A04F9">
        <w:rPr>
          <w:rFonts w:cstheme="minorHAnsi"/>
        </w:rPr>
        <w:t xml:space="preserve"> </w:t>
      </w:r>
      <w:r w:rsidR="00B20B21">
        <w:rPr>
          <w:rFonts w:cstheme="minorHAnsi"/>
        </w:rPr>
        <w:t xml:space="preserve">Např. </w:t>
      </w:r>
      <w:r w:rsidR="00B20B21">
        <w:rPr>
          <w:rFonts w:cstheme="minorHAnsi"/>
          <w:b/>
        </w:rPr>
        <w:t>v</w:t>
      </w:r>
      <w:r w:rsidR="008A04F9" w:rsidRPr="008A04F9">
        <w:rPr>
          <w:rFonts w:cstheme="minorHAnsi"/>
          <w:b/>
        </w:rPr>
        <w:t xml:space="preserve">yužití </w:t>
      </w:r>
      <w:r w:rsidR="00B20B21">
        <w:rPr>
          <w:rFonts w:cstheme="minorHAnsi"/>
          <w:b/>
        </w:rPr>
        <w:t xml:space="preserve">zpracovaných metodik </w:t>
      </w:r>
      <w:r w:rsidR="008A04F9" w:rsidRPr="008A04F9">
        <w:rPr>
          <w:rFonts w:cstheme="minorHAnsi"/>
          <w:b/>
        </w:rPr>
        <w:t xml:space="preserve">není u příjemců </w:t>
      </w:r>
      <w:r w:rsidR="00525D9A">
        <w:rPr>
          <w:rFonts w:cstheme="minorHAnsi"/>
          <w:b/>
        </w:rPr>
        <w:t xml:space="preserve">ani u koncových uživatelů </w:t>
      </w:r>
      <w:r w:rsidR="008A04F9" w:rsidRPr="008A04F9">
        <w:rPr>
          <w:rFonts w:cstheme="minorHAnsi"/>
          <w:b/>
        </w:rPr>
        <w:t>nijak vymahatelné.</w:t>
      </w:r>
      <w:r w:rsidRPr="00873805">
        <w:rPr>
          <w:rFonts w:cstheme="minorHAnsi"/>
        </w:rPr>
        <w:t xml:space="preserve"> </w:t>
      </w:r>
    </w:p>
    <w:p w14:paraId="4B7F27E4" w14:textId="41D35328" w:rsidR="00E21F1C" w:rsidRDefault="00E21F1C" w:rsidP="00E21F1C">
      <w:r w:rsidRPr="00BB47A4">
        <w:t xml:space="preserve">MŠMT spustilo v září 2016 legislativní změny týkající se společného vzdělávání žáků, aniž by s dostatečným časovým předstihem připravilo pedagogy v běžných školách na práci s dětmi se SVP různého typu. Např. </w:t>
      </w:r>
      <w:r w:rsidR="00086B17" w:rsidRPr="00D2401B">
        <w:rPr>
          <w:b/>
        </w:rPr>
        <w:t xml:space="preserve">systémové </w:t>
      </w:r>
      <w:r w:rsidRPr="00D2401B">
        <w:rPr>
          <w:b/>
        </w:rPr>
        <w:t xml:space="preserve">projekty </w:t>
      </w:r>
      <w:r w:rsidR="00393268">
        <w:rPr>
          <w:b/>
        </w:rPr>
        <w:t xml:space="preserve">APIV A </w:t>
      </w:r>
      <w:proofErr w:type="spellStart"/>
      <w:r w:rsidR="00393268">
        <w:rPr>
          <w:b/>
        </w:rPr>
        <w:t>a</w:t>
      </w:r>
      <w:proofErr w:type="spellEnd"/>
      <w:r w:rsidR="00393268">
        <w:rPr>
          <w:b/>
        </w:rPr>
        <w:t xml:space="preserve"> APIV </w:t>
      </w:r>
      <w:r w:rsidR="00492DA0">
        <w:rPr>
          <w:b/>
        </w:rPr>
        <w:t xml:space="preserve">B </w:t>
      </w:r>
      <w:r w:rsidRPr="00D2401B">
        <w:rPr>
          <w:b/>
        </w:rPr>
        <w:t xml:space="preserve">určené k podpoře společného vzdělávání v pedagogické praxi </w:t>
      </w:r>
      <w:r w:rsidR="002006E5">
        <w:rPr>
          <w:b/>
        </w:rPr>
        <w:t xml:space="preserve">byly schváleny v roce 2017 a </w:t>
      </w:r>
      <w:r w:rsidRPr="00D2401B">
        <w:rPr>
          <w:b/>
        </w:rPr>
        <w:t>přináš</w:t>
      </w:r>
      <w:r w:rsidR="002006E5">
        <w:rPr>
          <w:b/>
        </w:rPr>
        <w:t>ejí</w:t>
      </w:r>
      <w:r w:rsidRPr="00D2401B">
        <w:rPr>
          <w:b/>
        </w:rPr>
        <w:t xml:space="preserve"> vybran</w:t>
      </w:r>
      <w:r w:rsidR="007B347D">
        <w:rPr>
          <w:b/>
        </w:rPr>
        <w:t>ým školám potřebné kompetence a </w:t>
      </w:r>
      <w:r w:rsidRPr="00D2401B">
        <w:rPr>
          <w:b/>
        </w:rPr>
        <w:t>metodickou podporu</w:t>
      </w:r>
      <w:r w:rsidRPr="00D2401B">
        <w:rPr>
          <w:rStyle w:val="Znakapoznpodarou"/>
          <w:b/>
        </w:rPr>
        <w:footnoteReference w:id="28"/>
      </w:r>
      <w:r w:rsidRPr="00D2401B">
        <w:rPr>
          <w:b/>
        </w:rPr>
        <w:t xml:space="preserve"> fakticky až od roku 2018</w:t>
      </w:r>
      <w:r w:rsidRPr="001B58BE">
        <w:rPr>
          <w:b/>
        </w:rPr>
        <w:t>,</w:t>
      </w:r>
      <w:r w:rsidRPr="00BB47A4">
        <w:t xml:space="preserve"> respektive 2019. </w:t>
      </w:r>
    </w:p>
    <w:p w14:paraId="682A3E47" w14:textId="1D504A5B" w:rsidR="00E21F1C" w:rsidRPr="008A04F9" w:rsidRDefault="00E21F1C" w:rsidP="00E21F1C">
      <w:pPr>
        <w:rPr>
          <w:rFonts w:eastAsiaTheme="minorEastAsia" w:hAnsi="Calibri" w:cstheme="minorBidi"/>
          <w:kern w:val="24"/>
        </w:rPr>
      </w:pPr>
      <w:r w:rsidRPr="008A04F9">
        <w:rPr>
          <w:rFonts w:cstheme="minorHAnsi"/>
          <w:b/>
        </w:rPr>
        <w:t xml:space="preserve">Učitelé </w:t>
      </w:r>
      <w:r>
        <w:rPr>
          <w:rFonts w:cstheme="minorHAnsi"/>
          <w:b/>
        </w:rPr>
        <w:t xml:space="preserve">v běžných základních školách </w:t>
      </w:r>
      <w:r w:rsidRPr="008A04F9">
        <w:rPr>
          <w:rFonts w:cstheme="minorHAnsi"/>
          <w:b/>
        </w:rPr>
        <w:t>se nestihli s dostatečným předstihem vzdělat v problematice práce s žáky se SVP</w:t>
      </w:r>
      <w:r w:rsidRPr="008A04F9">
        <w:rPr>
          <w:rFonts w:cstheme="minorHAnsi"/>
        </w:rPr>
        <w:t xml:space="preserve"> a odborní pracovníci, kteří by jim mohli pomoci (</w:t>
      </w:r>
      <w:r w:rsidRPr="008A04F9">
        <w:rPr>
          <w:rFonts w:cstheme="minorHAnsi"/>
          <w:i/>
        </w:rPr>
        <w:t>školní psycholog, speciální pedagog</w:t>
      </w:r>
      <w:r>
        <w:rPr>
          <w:rFonts w:cstheme="minorHAnsi"/>
        </w:rPr>
        <w:t xml:space="preserve">), jsou ve školách </w:t>
      </w:r>
      <w:proofErr w:type="gramStart"/>
      <w:r w:rsidRPr="005A2EB7">
        <w:rPr>
          <w:rFonts w:cstheme="minorHAnsi"/>
        </w:rPr>
        <w:t>podporováni</w:t>
      </w:r>
      <w:proofErr w:type="gramEnd"/>
      <w:r w:rsidRPr="005A2EB7">
        <w:rPr>
          <w:rFonts w:cstheme="minorHAnsi"/>
        </w:rPr>
        <w:t xml:space="preserve"> jen </w:t>
      </w:r>
      <w:r>
        <w:rPr>
          <w:rFonts w:cstheme="minorHAnsi"/>
        </w:rPr>
        <w:t xml:space="preserve">po dobu realizace </w:t>
      </w:r>
      <w:r w:rsidRPr="008A04F9">
        <w:rPr>
          <w:rFonts w:eastAsiaTheme="minorEastAsia" w:hAnsi="Calibri" w:cstheme="minorBidi"/>
          <w:kern w:val="24"/>
        </w:rPr>
        <w:t>projekt</w:t>
      </w:r>
      <w:r>
        <w:rPr>
          <w:rFonts w:eastAsiaTheme="minorEastAsia" w:hAnsi="Calibri" w:cstheme="minorBidi"/>
          <w:kern w:val="24"/>
        </w:rPr>
        <w:t>ů</w:t>
      </w:r>
      <w:r w:rsidRPr="008A04F9">
        <w:rPr>
          <w:rStyle w:val="Znakapoznpodarou"/>
          <w:rFonts w:eastAsiaTheme="minorEastAsia" w:hAnsi="Calibri" w:cstheme="minorBidi"/>
          <w:kern w:val="24"/>
        </w:rPr>
        <w:footnoteReference w:id="29"/>
      </w:r>
      <w:r w:rsidRPr="008A04F9">
        <w:rPr>
          <w:rFonts w:eastAsiaTheme="minorEastAsia" w:hAnsi="Calibri" w:cstheme="minorBidi"/>
          <w:kern w:val="24"/>
        </w:rPr>
        <w:t xml:space="preserve"> OP</w:t>
      </w:r>
      <w:r w:rsidR="00393268">
        <w:rPr>
          <w:rFonts w:eastAsiaTheme="minorEastAsia" w:hAnsi="Calibri" w:cstheme="minorBidi"/>
          <w:kern w:val="24"/>
        </w:rPr>
        <w:t> </w:t>
      </w:r>
      <w:r w:rsidRPr="008A04F9">
        <w:rPr>
          <w:rFonts w:eastAsiaTheme="minorEastAsia" w:hAnsi="Calibri" w:cstheme="minorBidi"/>
          <w:kern w:val="24"/>
        </w:rPr>
        <w:t>VVV</w:t>
      </w:r>
      <w:r>
        <w:rPr>
          <w:rFonts w:eastAsiaTheme="minorEastAsia" w:hAnsi="Calibri" w:cstheme="minorBidi"/>
          <w:kern w:val="24"/>
        </w:rPr>
        <w:t xml:space="preserve">. </w:t>
      </w:r>
      <w:r w:rsidRPr="008A04F9">
        <w:rPr>
          <w:rFonts w:cstheme="minorHAnsi"/>
        </w:rPr>
        <w:t xml:space="preserve">MŠMT zatím nezajistilo </w:t>
      </w:r>
      <w:r w:rsidRPr="008A04F9">
        <w:rPr>
          <w:rFonts w:eastAsiaTheme="minorEastAsia" w:hAnsi="Calibri" w:cstheme="minorBidi"/>
          <w:kern w:val="24"/>
        </w:rPr>
        <w:t>finanční udržitelnost odborných služeb poskytovaných školním psychologem</w:t>
      </w:r>
      <w:r w:rsidRPr="008A04F9">
        <w:rPr>
          <w:rStyle w:val="Znakapoznpodarou"/>
          <w:rFonts w:eastAsiaTheme="minorEastAsia" w:hAnsi="Calibri" w:cstheme="minorBidi"/>
          <w:kern w:val="24"/>
        </w:rPr>
        <w:footnoteReference w:id="30"/>
      </w:r>
      <w:r w:rsidRPr="008A04F9">
        <w:rPr>
          <w:rFonts w:eastAsiaTheme="minorEastAsia" w:hAnsi="Calibri" w:cstheme="minorBidi"/>
          <w:kern w:val="24"/>
        </w:rPr>
        <w:t xml:space="preserve"> nebo speciálním pedagogem přímo v běžných školách </w:t>
      </w:r>
      <w:r w:rsidR="00086B17">
        <w:rPr>
          <w:rFonts w:eastAsiaTheme="minorEastAsia" w:hAnsi="Calibri" w:cstheme="minorBidi"/>
          <w:kern w:val="24"/>
        </w:rPr>
        <w:t xml:space="preserve">v podobě </w:t>
      </w:r>
      <w:r w:rsidRPr="008A04F9">
        <w:rPr>
          <w:rFonts w:eastAsiaTheme="minorEastAsia" w:hAnsi="Calibri" w:cstheme="minorBidi"/>
          <w:kern w:val="24"/>
        </w:rPr>
        <w:t>podpor</w:t>
      </w:r>
      <w:r w:rsidR="00086B17">
        <w:rPr>
          <w:rFonts w:eastAsiaTheme="minorEastAsia" w:hAnsi="Calibri" w:cstheme="minorBidi"/>
          <w:kern w:val="24"/>
        </w:rPr>
        <w:t>y</w:t>
      </w:r>
      <w:r w:rsidRPr="008A04F9">
        <w:rPr>
          <w:rFonts w:eastAsiaTheme="minorEastAsia" w:hAnsi="Calibri" w:cstheme="minorBidi"/>
          <w:kern w:val="24"/>
        </w:rPr>
        <w:t xml:space="preserve"> žákům, rodičům i pedagogům</w:t>
      </w:r>
      <w:r>
        <w:rPr>
          <w:rFonts w:eastAsiaTheme="minorEastAsia" w:hAnsi="Calibri" w:cstheme="minorBidi"/>
          <w:kern w:val="24"/>
        </w:rPr>
        <w:t xml:space="preserve">. </w:t>
      </w:r>
    </w:p>
    <w:p w14:paraId="658A1A12" w14:textId="60CEA726" w:rsidR="00C51305" w:rsidRDefault="00C51305" w:rsidP="00B42443">
      <w:pPr>
        <w:rPr>
          <w:rFonts w:cstheme="minorHAnsi"/>
          <w:b/>
          <w:lang w:eastAsia="en-US"/>
        </w:rPr>
      </w:pPr>
      <w:r>
        <w:rPr>
          <w:rFonts w:cstheme="minorHAnsi"/>
          <w:lang w:eastAsia="en-US"/>
        </w:rPr>
        <w:t xml:space="preserve">MŠMT stanovilo v prověřovaných výzvách </w:t>
      </w:r>
      <w:r w:rsidR="00C44DB2">
        <w:rPr>
          <w:rFonts w:cstheme="minorHAnsi"/>
          <w:lang w:eastAsia="en-US"/>
        </w:rPr>
        <w:t xml:space="preserve">reálné </w:t>
      </w:r>
      <w:r>
        <w:rPr>
          <w:rFonts w:cstheme="minorHAnsi"/>
          <w:lang w:eastAsia="en-US"/>
        </w:rPr>
        <w:t>podmínky pro realizaci projektů</w:t>
      </w:r>
      <w:r w:rsidR="00525D9A">
        <w:rPr>
          <w:rFonts w:cstheme="minorHAnsi"/>
          <w:lang w:eastAsia="en-US"/>
        </w:rPr>
        <w:t>,</w:t>
      </w:r>
      <w:r>
        <w:rPr>
          <w:rFonts w:cstheme="minorHAnsi"/>
          <w:lang w:eastAsia="en-US"/>
        </w:rPr>
        <w:t xml:space="preserve"> s výjimkou </w:t>
      </w:r>
      <w:r w:rsidR="00716155">
        <w:rPr>
          <w:rFonts w:cstheme="minorHAnsi"/>
          <w:lang w:eastAsia="en-US"/>
        </w:rPr>
        <w:t>„</w:t>
      </w:r>
      <w:r>
        <w:rPr>
          <w:rFonts w:cstheme="minorHAnsi"/>
          <w:lang w:eastAsia="en-US"/>
        </w:rPr>
        <w:t>aktivity D</w:t>
      </w:r>
      <w:r w:rsidR="00716155">
        <w:rPr>
          <w:rFonts w:cstheme="minorHAnsi"/>
          <w:lang w:eastAsia="en-US"/>
        </w:rPr>
        <w:t>“</w:t>
      </w:r>
      <w:r>
        <w:rPr>
          <w:rFonts w:cstheme="minorHAnsi"/>
          <w:lang w:eastAsia="en-US"/>
        </w:rPr>
        <w:t xml:space="preserve"> výzvy č. 15_00</w:t>
      </w:r>
      <w:r w:rsidR="00E37708">
        <w:rPr>
          <w:rFonts w:cstheme="minorHAnsi"/>
          <w:lang w:eastAsia="en-US"/>
        </w:rPr>
        <w:t>1</w:t>
      </w:r>
      <w:r>
        <w:rPr>
          <w:rFonts w:cstheme="minorHAnsi"/>
          <w:lang w:eastAsia="en-US"/>
        </w:rPr>
        <w:t xml:space="preserve"> pro </w:t>
      </w:r>
      <w:r w:rsidR="00B410C0">
        <w:rPr>
          <w:rFonts w:cstheme="minorHAnsi"/>
          <w:lang w:eastAsia="en-US"/>
        </w:rPr>
        <w:t>systémové projekty</w:t>
      </w:r>
      <w:r>
        <w:rPr>
          <w:rFonts w:cstheme="minorHAnsi"/>
          <w:lang w:eastAsia="en-US"/>
        </w:rPr>
        <w:t xml:space="preserve">. </w:t>
      </w:r>
      <w:r w:rsidRPr="00716155">
        <w:rPr>
          <w:rFonts w:cstheme="minorHAnsi"/>
          <w:b/>
          <w:lang w:eastAsia="en-US"/>
        </w:rPr>
        <w:t>Aktivita přímo</w:t>
      </w:r>
      <w:r w:rsidR="00AE2C2B">
        <w:rPr>
          <w:rFonts w:cstheme="minorHAnsi"/>
          <w:b/>
          <w:lang w:eastAsia="en-US"/>
        </w:rPr>
        <w:t xml:space="preserve"> určená Agentuře pro</w:t>
      </w:r>
      <w:r w:rsidR="001125F6">
        <w:rPr>
          <w:rFonts w:cstheme="minorHAnsi"/>
          <w:b/>
          <w:lang w:eastAsia="en-US"/>
        </w:rPr>
        <w:t xml:space="preserve"> </w:t>
      </w:r>
      <w:r w:rsidRPr="00716155">
        <w:rPr>
          <w:rFonts w:cstheme="minorHAnsi"/>
          <w:b/>
          <w:lang w:eastAsia="en-US"/>
        </w:rPr>
        <w:t>sociální začleňování zahrnula do očekávaných výstupů projektu i výstupy</w:t>
      </w:r>
      <w:r w:rsidR="00716155" w:rsidRPr="00716155">
        <w:rPr>
          <w:rStyle w:val="Znakapoznpodarou"/>
          <w:rFonts w:cstheme="minorHAnsi"/>
          <w:b/>
          <w:lang w:eastAsia="en-US"/>
        </w:rPr>
        <w:footnoteReference w:id="31"/>
      </w:r>
      <w:r w:rsidRPr="00716155">
        <w:rPr>
          <w:rFonts w:cstheme="minorHAnsi"/>
          <w:b/>
          <w:lang w:eastAsia="en-US"/>
        </w:rPr>
        <w:t>, které byly vytvořeny ještě před vyhlášením předmětné výzvy.</w:t>
      </w:r>
    </w:p>
    <w:p w14:paraId="548CA7C3" w14:textId="18930690" w:rsidR="004C21EF" w:rsidRDefault="00393268" w:rsidP="004C21EF">
      <w:pPr>
        <w:rPr>
          <w:rFonts w:cstheme="minorHAnsi"/>
          <w:b/>
        </w:rPr>
      </w:pPr>
      <w:r>
        <w:rPr>
          <w:rFonts w:cstheme="minorHAnsi"/>
          <w:b/>
        </w:rPr>
        <w:t>V samostatných výzvách OP </w:t>
      </w:r>
      <w:r w:rsidR="004C21EF" w:rsidRPr="004C21EF">
        <w:rPr>
          <w:rFonts w:cstheme="minorHAnsi"/>
          <w:b/>
        </w:rPr>
        <w:t xml:space="preserve">VVV určených na podporu inkluze v sociálně vyloučených lokalitách bylo </w:t>
      </w:r>
      <w:r w:rsidR="004C21EF" w:rsidRPr="00D573D1">
        <w:rPr>
          <w:rFonts w:cstheme="minorHAnsi"/>
          <w:b/>
        </w:rPr>
        <w:t>alokováno 1,65 mld. Kč.</w:t>
      </w:r>
      <w:r w:rsidR="004C21EF" w:rsidRPr="000A2E54">
        <w:rPr>
          <w:rFonts w:cstheme="minorHAnsi"/>
        </w:rPr>
        <w:t xml:space="preserve"> </w:t>
      </w:r>
      <w:r w:rsidR="004C21EF">
        <w:rPr>
          <w:rFonts w:cstheme="minorHAnsi"/>
        </w:rPr>
        <w:t>Většina výzev byla již pro příjem žádostí uzavřena</w:t>
      </w:r>
      <w:r w:rsidR="004C21EF">
        <w:rPr>
          <w:rStyle w:val="Znakapoznpodarou"/>
          <w:rFonts w:cstheme="minorHAnsi"/>
        </w:rPr>
        <w:footnoteReference w:id="32"/>
      </w:r>
      <w:r w:rsidR="00525D9A">
        <w:rPr>
          <w:rFonts w:cstheme="minorHAnsi"/>
        </w:rPr>
        <w:t>.</w:t>
      </w:r>
      <w:r w:rsidR="004C21EF">
        <w:rPr>
          <w:rFonts w:cstheme="minorHAnsi"/>
        </w:rPr>
        <w:t xml:space="preserve"> </w:t>
      </w:r>
      <w:r w:rsidR="00525D9A">
        <w:rPr>
          <w:rFonts w:cstheme="minorHAnsi"/>
        </w:rPr>
        <w:t>K</w:t>
      </w:r>
      <w:r w:rsidR="004C21EF">
        <w:rPr>
          <w:rFonts w:cstheme="minorHAnsi"/>
        </w:rPr>
        <w:t xml:space="preserve"> datu </w:t>
      </w:r>
      <w:r w:rsidR="004C21EF" w:rsidRPr="000A2E54">
        <w:rPr>
          <w:rFonts w:cstheme="minorHAnsi"/>
        </w:rPr>
        <w:t xml:space="preserve">1. 4. 2020 </w:t>
      </w:r>
      <w:r>
        <w:rPr>
          <w:rFonts w:cstheme="minorHAnsi"/>
        </w:rPr>
        <w:t>činil</w:t>
      </w:r>
      <w:r w:rsidR="004C21EF">
        <w:rPr>
          <w:rFonts w:cstheme="minorHAnsi"/>
        </w:rPr>
        <w:t xml:space="preserve"> </w:t>
      </w:r>
      <w:r w:rsidR="004C21EF" w:rsidRPr="004C21EF">
        <w:rPr>
          <w:rFonts w:cstheme="minorHAnsi"/>
          <w:b/>
        </w:rPr>
        <w:t>objem finančních prostředků u žádostí podpořených v těchto čtyřech výzvá</w:t>
      </w:r>
      <w:r>
        <w:rPr>
          <w:rFonts w:cstheme="minorHAnsi"/>
          <w:b/>
        </w:rPr>
        <w:t>ch 0,85 mld. Kč, což představovalo</w:t>
      </w:r>
      <w:r w:rsidR="004C21EF" w:rsidRPr="004C21EF">
        <w:rPr>
          <w:rFonts w:cstheme="minorHAnsi"/>
          <w:b/>
        </w:rPr>
        <w:t xml:space="preserve"> </w:t>
      </w:r>
      <w:r w:rsidR="00D77351">
        <w:rPr>
          <w:rFonts w:cstheme="minorHAnsi"/>
          <w:b/>
        </w:rPr>
        <w:t xml:space="preserve">jen </w:t>
      </w:r>
      <w:r w:rsidR="004C21EF" w:rsidRPr="004C21EF">
        <w:rPr>
          <w:rFonts w:cstheme="minorHAnsi"/>
          <w:b/>
        </w:rPr>
        <w:t>5</w:t>
      </w:r>
      <w:r w:rsidR="009C2A5C">
        <w:rPr>
          <w:rFonts w:cstheme="minorHAnsi"/>
          <w:b/>
        </w:rPr>
        <w:t>1</w:t>
      </w:r>
      <w:r w:rsidR="004C21EF" w:rsidRPr="004C21EF">
        <w:rPr>
          <w:rFonts w:cstheme="minorHAnsi"/>
          <w:b/>
        </w:rPr>
        <w:t xml:space="preserve"> % využité alokace. </w:t>
      </w:r>
    </w:p>
    <w:p w14:paraId="2D2CCA0C" w14:textId="77777777" w:rsidR="000F5042" w:rsidRDefault="000F5042">
      <w:pPr>
        <w:rPr>
          <w:rFonts w:cstheme="minorHAnsi"/>
        </w:rPr>
      </w:pPr>
      <w:r>
        <w:rPr>
          <w:rFonts w:cstheme="minorHAnsi"/>
        </w:rPr>
        <w:br w:type="page"/>
      </w:r>
    </w:p>
    <w:p w14:paraId="330CC4CC" w14:textId="169D575A" w:rsidR="004C21EF" w:rsidRPr="000A2E54" w:rsidRDefault="004C21EF" w:rsidP="001125F6">
      <w:pPr>
        <w:ind w:left="1276" w:hanging="1276"/>
        <w:rPr>
          <w:rFonts w:cstheme="minorHAnsi"/>
        </w:rPr>
      </w:pPr>
      <w:r>
        <w:rPr>
          <w:rFonts w:cstheme="minorHAnsi"/>
        </w:rPr>
        <w:lastRenderedPageBreak/>
        <w:t xml:space="preserve">Tabulka č. </w:t>
      </w:r>
      <w:r w:rsidR="0084327A">
        <w:rPr>
          <w:rFonts w:cstheme="minorHAnsi"/>
        </w:rPr>
        <w:t>2</w:t>
      </w:r>
      <w:r>
        <w:rPr>
          <w:rFonts w:cstheme="minorHAnsi"/>
        </w:rPr>
        <w:t xml:space="preserve">: </w:t>
      </w:r>
      <w:r w:rsidR="006A0ADD">
        <w:rPr>
          <w:rFonts w:cstheme="minorHAnsi"/>
        </w:rPr>
        <w:tab/>
      </w:r>
      <w:r w:rsidR="00461A4B">
        <w:rPr>
          <w:rFonts w:cstheme="minorHAnsi"/>
        </w:rPr>
        <w:t>Údaje o s</w:t>
      </w:r>
      <w:r>
        <w:rPr>
          <w:rFonts w:cstheme="minorHAnsi"/>
        </w:rPr>
        <w:t>tavu výzev</w:t>
      </w:r>
      <w:r w:rsidR="00314C4A">
        <w:rPr>
          <w:rFonts w:cstheme="minorHAnsi"/>
        </w:rPr>
        <w:t xml:space="preserve"> OP </w:t>
      </w:r>
      <w:r w:rsidR="00DA0051">
        <w:rPr>
          <w:rFonts w:cstheme="minorHAnsi"/>
        </w:rPr>
        <w:t>VVV</w:t>
      </w:r>
      <w:r>
        <w:rPr>
          <w:rFonts w:cstheme="minorHAnsi"/>
        </w:rPr>
        <w:t xml:space="preserve"> určených pro sociálně vyloučené lokality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409"/>
        <w:gridCol w:w="1620"/>
        <w:gridCol w:w="1384"/>
        <w:gridCol w:w="1559"/>
      </w:tblGrid>
      <w:tr w:rsidR="004C21EF" w:rsidRPr="00BE6FE4" w14:paraId="3F284ECA" w14:textId="77777777" w:rsidTr="00E67C7D">
        <w:trPr>
          <w:trHeight w:val="9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BE6A19A" w14:textId="77777777" w:rsidR="004C21EF" w:rsidRPr="00BE6FE4" w:rsidRDefault="004C21EF" w:rsidP="006A091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FE4">
              <w:rPr>
                <w:rFonts w:ascii="Calibri" w:hAnsi="Calibri" w:cs="Calibri"/>
                <w:b/>
                <w:bCs/>
                <w:sz w:val="20"/>
                <w:szCs w:val="20"/>
              </w:rPr>
              <w:t>Číslo výzvy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9D23C1B" w14:textId="77777777" w:rsidR="004C21EF" w:rsidRPr="00BE6FE4" w:rsidRDefault="004C21EF" w:rsidP="006A091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FE4">
              <w:rPr>
                <w:rFonts w:ascii="Calibri" w:hAnsi="Calibri" w:cs="Calibri"/>
                <w:b/>
                <w:bCs/>
                <w:sz w:val="20"/>
                <w:szCs w:val="20"/>
              </w:rPr>
              <w:t>Název výzvy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158A344" w14:textId="7CA2D8AB" w:rsidR="004C21EF" w:rsidRPr="00BE6FE4" w:rsidRDefault="004C21EF" w:rsidP="00C77EC8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FE4">
              <w:rPr>
                <w:rFonts w:ascii="Calibri" w:hAnsi="Calibri" w:cs="Calibri"/>
                <w:b/>
                <w:bCs/>
                <w:sz w:val="20"/>
                <w:szCs w:val="20"/>
              </w:rPr>
              <w:t>Finanční alokace výzvy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 mil. Kč</w:t>
            </w:r>
            <w:r w:rsidRPr="00BE6FE4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07C17CF" w14:textId="0C3FC5E4" w:rsidR="004C21EF" w:rsidRPr="00D573D1" w:rsidRDefault="004C21EF" w:rsidP="006A091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FE4">
              <w:rPr>
                <w:rFonts w:ascii="Calibri" w:hAnsi="Calibri" w:cs="Calibri"/>
                <w:b/>
                <w:bCs/>
                <w:sz w:val="20"/>
                <w:szCs w:val="20"/>
              </w:rPr>
              <w:t>Nasmlouváno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86B17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schválené žádosti o</w:t>
            </w:r>
            <w:r w:rsidR="00C77EC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D573D1">
              <w:rPr>
                <w:rFonts w:ascii="Calibri" w:hAnsi="Calibri" w:cs="Calibri"/>
                <w:b/>
                <w:bCs/>
                <w:sz w:val="20"/>
                <w:szCs w:val="20"/>
              </w:rPr>
              <w:t>podporu</w:t>
            </w:r>
          </w:p>
          <w:p w14:paraId="73AA2B33" w14:textId="77777777" w:rsidR="004C21EF" w:rsidRPr="00BE6FE4" w:rsidRDefault="004C21EF" w:rsidP="006A091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73D1">
              <w:rPr>
                <w:rFonts w:ascii="Calibri" w:hAnsi="Calibri" w:cs="Calibri"/>
                <w:b/>
                <w:bCs/>
                <w:sz w:val="20"/>
                <w:szCs w:val="20"/>
              </w:rPr>
              <w:t>(v mil.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BAEAD8A" w14:textId="58CEBEEF" w:rsidR="00E67C7D" w:rsidRDefault="00E67C7D" w:rsidP="00E67C7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FE4">
              <w:rPr>
                <w:rFonts w:ascii="Calibri" w:hAnsi="Calibri" w:cs="Calibri"/>
                <w:b/>
                <w:bCs/>
                <w:sz w:val="20"/>
                <w:szCs w:val="20"/>
              </w:rPr>
              <w:t>Nasmlouváno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086B17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schválené žádosti o</w:t>
            </w:r>
            <w:r w:rsidR="00C77EC8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podporu</w:t>
            </w:r>
          </w:p>
          <w:p w14:paraId="0A0D66AA" w14:textId="3144312F" w:rsidR="004C21EF" w:rsidRPr="00BE6FE4" w:rsidRDefault="00E67C7D" w:rsidP="00E67C7D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(v %)</w:t>
            </w:r>
          </w:p>
        </w:tc>
      </w:tr>
      <w:tr w:rsidR="004C21EF" w:rsidRPr="00BE6FE4" w14:paraId="077EC32F" w14:textId="77777777" w:rsidTr="00D70221">
        <w:trPr>
          <w:trHeight w:val="55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CB8" w14:textId="77777777" w:rsidR="004C21EF" w:rsidRPr="00BE6FE4" w:rsidRDefault="004C21EF" w:rsidP="006A09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02_16_021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5072" w14:textId="77777777" w:rsidR="004C21EF" w:rsidRPr="00BE6FE4" w:rsidRDefault="004C21EF" w:rsidP="006A09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Výzva č. 02_16_021 pro Inkluzivní vzdělávání pro KPSVL v prioritní ose 3 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8B1" w14:textId="0E7FB623" w:rsidR="004C21EF" w:rsidRPr="00BE6FE4" w:rsidRDefault="004C21EF" w:rsidP="00D70221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211" w14:textId="547B11FD" w:rsidR="004C21EF" w:rsidRPr="0038532C" w:rsidRDefault="004C21E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214" w14:textId="77777777" w:rsidR="004C21EF" w:rsidRPr="00BE6FE4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48 %</w:t>
            </w:r>
          </w:p>
        </w:tc>
      </w:tr>
      <w:tr w:rsidR="004C21EF" w:rsidRPr="00BE6FE4" w14:paraId="4B222634" w14:textId="77777777" w:rsidTr="00E67C7D">
        <w:trPr>
          <w:trHeight w:val="55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45A" w14:textId="77777777" w:rsidR="004C21EF" w:rsidRPr="00BE6FE4" w:rsidRDefault="004C21EF" w:rsidP="006A09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02_16_039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15F6" w14:textId="77777777" w:rsidR="004C21EF" w:rsidRPr="00BE6FE4" w:rsidRDefault="004C21EF" w:rsidP="006A09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Výzva č. 02_16_039 pro Inkluzivní vzdělávání pro KPSVL II. v prioritní ose 3 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355" w14:textId="77777777" w:rsidR="004C21EF" w:rsidRPr="00BE6FE4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24C1C" w14:textId="77777777" w:rsidR="004C21EF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4BEABE9" w14:textId="77777777" w:rsidR="004C21EF" w:rsidRPr="0038532C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C609" w14:textId="77777777" w:rsidR="004C21EF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11B308B" w14:textId="77777777" w:rsidR="004C21EF" w:rsidRPr="0038532C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56 %</w:t>
            </w:r>
          </w:p>
        </w:tc>
      </w:tr>
      <w:tr w:rsidR="004C21EF" w:rsidRPr="00BE6FE4" w14:paraId="6B2E78DB" w14:textId="77777777" w:rsidTr="00E67C7D">
        <w:trPr>
          <w:trHeight w:val="55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D55" w14:textId="77777777" w:rsidR="004C21EF" w:rsidRPr="00BE6FE4" w:rsidRDefault="004C21EF" w:rsidP="006A09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02_17_051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4AEC" w14:textId="77777777" w:rsidR="004C21EF" w:rsidRPr="00BE6FE4" w:rsidRDefault="004C21EF" w:rsidP="006A09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Výzva č. 02_17_051 pro Inkluzivní vzdělávání pro SVL v prioritní ose 3 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8B8" w14:textId="77777777" w:rsidR="004C21EF" w:rsidRPr="00BE6FE4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1C264" w14:textId="77777777" w:rsidR="004C21EF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D2B7793" w14:textId="77777777" w:rsidR="004C21EF" w:rsidRPr="0038532C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4F59" w14:textId="77777777" w:rsidR="004C21EF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52CBB012" w14:textId="77777777" w:rsidR="004C21EF" w:rsidRPr="0038532C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9 %</w:t>
            </w:r>
          </w:p>
        </w:tc>
      </w:tr>
      <w:tr w:rsidR="004C21EF" w:rsidRPr="00BE6FE4" w14:paraId="565EA7FD" w14:textId="77777777" w:rsidTr="00E67C7D">
        <w:trPr>
          <w:trHeight w:val="55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CFC" w14:textId="77777777" w:rsidR="004C21EF" w:rsidRPr="00BE6FE4" w:rsidRDefault="004C21EF" w:rsidP="006A09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02_19_075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613F" w14:textId="77777777" w:rsidR="004C21EF" w:rsidRPr="00BE6FE4" w:rsidRDefault="004C21EF" w:rsidP="006A09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Výzva č. 02_19_075 pro Inkluzivní vzdělávání pro SVL II v prioritní ose 3 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7E9" w14:textId="77777777" w:rsidR="004C21EF" w:rsidRPr="00BE6FE4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E6FE4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4A04E" w14:textId="77777777" w:rsidR="004C21EF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C76C84D" w14:textId="77777777" w:rsidR="004C21EF" w:rsidRPr="0038532C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DE08" w14:textId="77777777" w:rsidR="004C21EF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DC8AB41" w14:textId="77777777" w:rsidR="004C21EF" w:rsidRPr="0038532C" w:rsidRDefault="004C21EF" w:rsidP="006A091D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64 %</w:t>
            </w:r>
          </w:p>
        </w:tc>
      </w:tr>
    </w:tbl>
    <w:p w14:paraId="085F8AC7" w14:textId="106DF65F" w:rsidR="004C21EF" w:rsidRDefault="004C21EF" w:rsidP="00D70221">
      <w:pPr>
        <w:ind w:left="567" w:hanging="567"/>
        <w:jc w:val="left"/>
        <w:rPr>
          <w:sz w:val="20"/>
          <w:szCs w:val="20"/>
        </w:rPr>
      </w:pPr>
      <w:r w:rsidRPr="00C2790B">
        <w:rPr>
          <w:rFonts w:cstheme="minorHAnsi"/>
          <w:b/>
          <w:sz w:val="20"/>
          <w:szCs w:val="20"/>
          <w:lang w:eastAsia="en-US"/>
        </w:rPr>
        <w:t>Zdroj:</w:t>
      </w:r>
      <w:r w:rsidRPr="0038532C">
        <w:rPr>
          <w:rFonts w:cstheme="minorHAnsi"/>
          <w:sz w:val="20"/>
          <w:szCs w:val="20"/>
          <w:lang w:eastAsia="en-US"/>
        </w:rPr>
        <w:t xml:space="preserve"> </w:t>
      </w:r>
      <w:r w:rsidR="006A0ADD">
        <w:rPr>
          <w:rFonts w:cstheme="minorHAnsi"/>
          <w:sz w:val="20"/>
          <w:szCs w:val="20"/>
          <w:lang w:eastAsia="en-US"/>
        </w:rPr>
        <w:tab/>
      </w:r>
      <w:r w:rsidR="00086B17">
        <w:rPr>
          <w:rFonts w:cstheme="minorHAnsi"/>
          <w:sz w:val="20"/>
          <w:szCs w:val="20"/>
          <w:lang w:eastAsia="en-US"/>
        </w:rPr>
        <w:t>m</w:t>
      </w:r>
      <w:r w:rsidR="009233FE">
        <w:rPr>
          <w:rFonts w:cstheme="minorHAnsi"/>
          <w:sz w:val="20"/>
          <w:szCs w:val="20"/>
          <w:lang w:eastAsia="en-US"/>
        </w:rPr>
        <w:t xml:space="preserve">onitorovací </w:t>
      </w:r>
      <w:r w:rsidR="00810E4B">
        <w:rPr>
          <w:rFonts w:cstheme="minorHAnsi"/>
          <w:sz w:val="20"/>
          <w:szCs w:val="20"/>
          <w:lang w:eastAsia="en-US"/>
        </w:rPr>
        <w:t>systém programového období 2014–</w:t>
      </w:r>
      <w:r w:rsidR="009233FE">
        <w:rPr>
          <w:rFonts w:cstheme="minorHAnsi"/>
          <w:sz w:val="20"/>
          <w:szCs w:val="20"/>
          <w:lang w:eastAsia="en-US"/>
        </w:rPr>
        <w:t xml:space="preserve">2020 </w:t>
      </w:r>
      <w:r w:rsidR="00086B17">
        <w:rPr>
          <w:rFonts w:cstheme="minorHAnsi"/>
          <w:sz w:val="20"/>
          <w:szCs w:val="20"/>
          <w:lang w:eastAsia="en-US"/>
        </w:rPr>
        <w:t>(</w:t>
      </w:r>
      <w:r w:rsidRPr="006A0ADD">
        <w:rPr>
          <w:rFonts w:ascii="Calibri" w:hAnsi="Calibri"/>
          <w:sz w:val="20"/>
          <w:szCs w:val="20"/>
          <w:lang w:eastAsia="en-US"/>
        </w:rPr>
        <w:t>MS2014</w:t>
      </w:r>
      <w:r w:rsidRPr="0038532C">
        <w:rPr>
          <w:rFonts w:cstheme="minorHAnsi"/>
          <w:sz w:val="20"/>
          <w:szCs w:val="20"/>
          <w:lang w:eastAsia="en-US"/>
        </w:rPr>
        <w:t>+</w:t>
      </w:r>
      <w:r w:rsidR="00086B17">
        <w:rPr>
          <w:rFonts w:cstheme="minorHAnsi"/>
          <w:sz w:val="20"/>
          <w:szCs w:val="20"/>
          <w:lang w:eastAsia="en-US"/>
        </w:rPr>
        <w:t>)</w:t>
      </w:r>
      <w:r w:rsidRPr="0038532C">
        <w:rPr>
          <w:rFonts w:cstheme="minorHAnsi"/>
          <w:sz w:val="20"/>
          <w:szCs w:val="20"/>
          <w:lang w:eastAsia="en-US"/>
        </w:rPr>
        <w:t>, web MŠMT</w:t>
      </w:r>
      <w:r w:rsidR="00086B17">
        <w:rPr>
          <w:rFonts w:cstheme="minorHAnsi"/>
          <w:sz w:val="20"/>
          <w:szCs w:val="20"/>
          <w:lang w:eastAsia="en-US"/>
        </w:rPr>
        <w:t>:</w:t>
      </w:r>
      <w:r w:rsidRPr="0038532C">
        <w:rPr>
          <w:rFonts w:cstheme="minorHAnsi"/>
          <w:sz w:val="20"/>
          <w:szCs w:val="20"/>
          <w:lang w:eastAsia="en-US"/>
        </w:rPr>
        <w:t xml:space="preserve"> </w:t>
      </w:r>
      <w:hyperlink r:id="rId15" w:history="1">
        <w:r w:rsidRPr="0038532C">
          <w:rPr>
            <w:rStyle w:val="Hypertextovodkaz"/>
            <w:sz w:val="20"/>
            <w:szCs w:val="20"/>
          </w:rPr>
          <w:t>https://opvvv.msmt.cz/ukoncene-vyzvy</w:t>
        </w:r>
      </w:hyperlink>
      <w:r>
        <w:rPr>
          <w:sz w:val="20"/>
          <w:szCs w:val="20"/>
        </w:rPr>
        <w:t xml:space="preserve">; </w:t>
      </w:r>
      <w:hyperlink r:id="rId16" w:history="1">
        <w:r w:rsidRPr="003A0462">
          <w:rPr>
            <w:rStyle w:val="Hypertextovodkaz"/>
            <w:sz w:val="20"/>
            <w:szCs w:val="20"/>
          </w:rPr>
          <w:t>https://opvvv.msmt.cz/aktualni-vyzvy</w:t>
        </w:r>
      </w:hyperlink>
      <w:r w:rsidR="006A0ADD" w:rsidRPr="006A0ADD">
        <w:rPr>
          <w:rFonts w:cstheme="minorHAnsi"/>
          <w:sz w:val="20"/>
          <w:szCs w:val="20"/>
          <w:lang w:eastAsia="en-US"/>
        </w:rPr>
        <w:t>.</w:t>
      </w:r>
    </w:p>
    <w:p w14:paraId="4992D449" w14:textId="65915DB8" w:rsidR="004C21EF" w:rsidRDefault="004C21EF" w:rsidP="00DA1B53">
      <w:pPr>
        <w:spacing w:after="0"/>
        <w:rPr>
          <w:rFonts w:cstheme="minorHAnsi"/>
          <w:b/>
          <w:lang w:eastAsia="en-US"/>
        </w:rPr>
      </w:pPr>
      <w:r w:rsidRPr="00C51305">
        <w:rPr>
          <w:rFonts w:cstheme="minorHAnsi"/>
          <w:lang w:eastAsia="en-US"/>
        </w:rPr>
        <w:t xml:space="preserve">Výše stanovených </w:t>
      </w:r>
      <w:r>
        <w:rPr>
          <w:rFonts w:cstheme="minorHAnsi"/>
          <w:lang w:eastAsia="en-US"/>
        </w:rPr>
        <w:t>alokací pro výzvy určené na inkluzivní vzdělávání v </w:t>
      </w:r>
      <w:r w:rsidR="00C63EB2" w:rsidRPr="005748DC">
        <w:rPr>
          <w:rFonts w:cstheme="minorHAnsi"/>
        </w:rPr>
        <w:t>sociálně vyloučených lokalitách</w:t>
      </w:r>
      <w:r w:rsidR="00C63EB2">
        <w:rPr>
          <w:rFonts w:cstheme="minorHAnsi"/>
          <w:lang w:eastAsia="en-US"/>
        </w:rPr>
        <w:t xml:space="preserve"> (dále též „</w:t>
      </w:r>
      <w:r>
        <w:rPr>
          <w:rFonts w:cstheme="minorHAnsi"/>
          <w:lang w:eastAsia="en-US"/>
        </w:rPr>
        <w:t>SVL</w:t>
      </w:r>
      <w:r w:rsidR="00C63EB2">
        <w:rPr>
          <w:rFonts w:cstheme="minorHAnsi"/>
          <w:lang w:eastAsia="en-US"/>
        </w:rPr>
        <w:t>“)</w:t>
      </w:r>
      <w:r>
        <w:rPr>
          <w:rFonts w:cstheme="minorHAnsi"/>
          <w:lang w:eastAsia="en-US"/>
        </w:rPr>
        <w:t xml:space="preserve"> vycházely z analýz spolupráce </w:t>
      </w:r>
      <w:r w:rsidR="00C63EB2">
        <w:rPr>
          <w:rFonts w:cstheme="minorHAnsi"/>
          <w:lang w:eastAsia="en-US"/>
        </w:rPr>
        <w:t xml:space="preserve">Agentury </w:t>
      </w:r>
      <w:r>
        <w:rPr>
          <w:rFonts w:cstheme="minorHAnsi"/>
          <w:lang w:eastAsia="en-US"/>
        </w:rPr>
        <w:t xml:space="preserve">s obcemi, kde se tyto lokality nacházejí. Ukázalo se však, že </w:t>
      </w:r>
      <w:r w:rsidR="006A0ADD">
        <w:rPr>
          <w:rFonts w:cstheme="minorHAnsi"/>
          <w:b/>
          <w:lang w:eastAsia="en-US"/>
        </w:rPr>
        <w:t>přísliby obcí ke</w:t>
      </w:r>
      <w:r w:rsidR="00B21B1C">
        <w:rPr>
          <w:rFonts w:cstheme="minorHAnsi"/>
          <w:b/>
          <w:lang w:eastAsia="en-US"/>
        </w:rPr>
        <w:t xml:space="preserve"> </w:t>
      </w:r>
      <w:r w:rsidRPr="00716155">
        <w:rPr>
          <w:rFonts w:cstheme="minorHAnsi"/>
          <w:b/>
          <w:lang w:eastAsia="en-US"/>
        </w:rPr>
        <w:t>spolupráci, respektive využití alokovaných zdrojů pro plánované projekty, nebyly naplněny</w:t>
      </w:r>
      <w:r w:rsidR="005A1FBD">
        <w:rPr>
          <w:rFonts w:cstheme="minorHAnsi"/>
          <w:b/>
          <w:lang w:eastAsia="en-US"/>
        </w:rPr>
        <w:t>.</w:t>
      </w:r>
    </w:p>
    <w:p w14:paraId="337CA5BD" w14:textId="2F123420" w:rsidR="002711D2" w:rsidRPr="00716155" w:rsidRDefault="002711D2" w:rsidP="00987B74">
      <w:pPr>
        <w:pStyle w:val="Nadpis4"/>
      </w:pPr>
      <w:proofErr w:type="gramStart"/>
      <w:r w:rsidRPr="00716155">
        <w:t>IV.</w:t>
      </w:r>
      <w:r w:rsidR="001C437F" w:rsidRPr="00716155">
        <w:t>1</w:t>
      </w:r>
      <w:r w:rsidRPr="00716155">
        <w:t>.1.2</w:t>
      </w:r>
      <w:proofErr w:type="gramEnd"/>
      <w:r w:rsidRPr="00716155">
        <w:t xml:space="preserve"> </w:t>
      </w:r>
      <w:r w:rsidR="00B21B1C" w:rsidRPr="00D70221">
        <w:rPr>
          <w:i/>
        </w:rPr>
        <w:t>Hlavní město Praha</w:t>
      </w:r>
      <w:r w:rsidR="00AD6FD9" w:rsidRPr="00716155">
        <w:t xml:space="preserve"> </w:t>
      </w:r>
    </w:p>
    <w:p w14:paraId="71E245F5" w14:textId="12D06516" w:rsidR="001C437F" w:rsidRDefault="001C437F" w:rsidP="00D2401B">
      <w:pPr>
        <w:rPr>
          <w:rFonts w:cstheme="minorHAnsi"/>
          <w:b/>
        </w:rPr>
      </w:pPr>
      <w:r w:rsidRPr="00417CB1">
        <w:rPr>
          <w:rFonts w:cstheme="minorHAnsi"/>
        </w:rPr>
        <w:t xml:space="preserve">Specifický cíl </w:t>
      </w:r>
      <w:r w:rsidR="00525D9A">
        <w:rPr>
          <w:rFonts w:cstheme="minorHAnsi"/>
        </w:rPr>
        <w:t xml:space="preserve">(dále též „SC“) </w:t>
      </w:r>
      <w:r w:rsidRPr="00417CB1">
        <w:rPr>
          <w:rFonts w:cstheme="minorHAnsi"/>
        </w:rPr>
        <w:t>4.2 OP</w:t>
      </w:r>
      <w:r w:rsidR="00314C4A">
        <w:rPr>
          <w:rFonts w:cstheme="minorHAnsi"/>
        </w:rPr>
        <w:t> </w:t>
      </w:r>
      <w:r w:rsidRPr="00417CB1">
        <w:rPr>
          <w:rFonts w:cstheme="minorHAnsi"/>
        </w:rPr>
        <w:t>PPR se týká zvýšení kvality vzdělávání prostřednictvím posílení inkluze v multikulturní společnosti. Aktivity podpo</w:t>
      </w:r>
      <w:r w:rsidR="00B410C0">
        <w:rPr>
          <w:rFonts w:cstheme="minorHAnsi"/>
        </w:rPr>
        <w:t>rova</w:t>
      </w:r>
      <w:r w:rsidRPr="00417CB1">
        <w:rPr>
          <w:rFonts w:cstheme="minorHAnsi"/>
        </w:rPr>
        <w:t xml:space="preserve">né </w:t>
      </w:r>
      <w:r w:rsidR="009906AF">
        <w:rPr>
          <w:rFonts w:cstheme="minorHAnsi"/>
        </w:rPr>
        <w:t>v rámci</w:t>
      </w:r>
      <w:r w:rsidRPr="00417CB1">
        <w:rPr>
          <w:rFonts w:cstheme="minorHAnsi"/>
        </w:rPr>
        <w:t xml:space="preserve"> </w:t>
      </w:r>
      <w:r w:rsidR="00525D9A">
        <w:rPr>
          <w:rFonts w:cstheme="minorHAnsi"/>
        </w:rPr>
        <w:t>SC</w:t>
      </w:r>
      <w:r w:rsidR="00B410C0">
        <w:rPr>
          <w:rFonts w:cstheme="minorHAnsi"/>
        </w:rPr>
        <w:t xml:space="preserve"> </w:t>
      </w:r>
      <w:r w:rsidR="00314C4A">
        <w:rPr>
          <w:rFonts w:cstheme="minorHAnsi"/>
        </w:rPr>
        <w:t>4.2 OP </w:t>
      </w:r>
      <w:r w:rsidRPr="00417CB1">
        <w:rPr>
          <w:rFonts w:cstheme="minorHAnsi"/>
        </w:rPr>
        <w:t>PPR by měly být komplementární s prioritní osou 3 OP VVV nebo s akti</w:t>
      </w:r>
      <w:r w:rsidR="00314C4A">
        <w:rPr>
          <w:rFonts w:cstheme="minorHAnsi"/>
        </w:rPr>
        <w:t>vitami podpořenými ze SC 4.1 OP </w:t>
      </w:r>
      <w:r w:rsidRPr="00417CB1">
        <w:rPr>
          <w:rFonts w:cstheme="minorHAnsi"/>
        </w:rPr>
        <w:t xml:space="preserve">PPR, tj. měly by </w:t>
      </w:r>
      <w:r w:rsidR="00314C4A">
        <w:rPr>
          <w:rFonts w:cstheme="minorHAnsi"/>
        </w:rPr>
        <w:t>navazovat na prioritní osu 3 OP </w:t>
      </w:r>
      <w:r w:rsidRPr="00417CB1">
        <w:rPr>
          <w:rFonts w:cstheme="minorHAnsi"/>
        </w:rPr>
        <w:t>VVV nebo by na tyto podpořené aktivity měla</w:t>
      </w:r>
      <w:r w:rsidR="00314C4A">
        <w:rPr>
          <w:rFonts w:cstheme="minorHAnsi"/>
        </w:rPr>
        <w:t xml:space="preserve"> navazovat podpora ze SC 4.1 OP </w:t>
      </w:r>
      <w:r w:rsidRPr="00417CB1">
        <w:rPr>
          <w:rFonts w:cstheme="minorHAnsi"/>
        </w:rPr>
        <w:t xml:space="preserve">PPR, která má charakter investic. </w:t>
      </w:r>
      <w:r w:rsidR="00CB6449" w:rsidRPr="00413E04">
        <w:rPr>
          <w:rFonts w:cstheme="minorHAnsi"/>
          <w:b/>
        </w:rPr>
        <w:t xml:space="preserve">NKÚ ověřil, že HMP </w:t>
      </w:r>
      <w:proofErr w:type="gramStart"/>
      <w:r w:rsidR="00CB6449" w:rsidRPr="00413E04">
        <w:rPr>
          <w:rFonts w:cstheme="minorHAnsi"/>
          <w:b/>
        </w:rPr>
        <w:t>vyhlásil</w:t>
      </w:r>
      <w:r w:rsidR="00E21F1C">
        <w:rPr>
          <w:rFonts w:cstheme="minorHAnsi"/>
          <w:b/>
        </w:rPr>
        <w:t>o</w:t>
      </w:r>
      <w:proofErr w:type="gramEnd"/>
      <w:r w:rsidR="009F7A39">
        <w:rPr>
          <w:rFonts w:cstheme="minorHAnsi"/>
          <w:b/>
        </w:rPr>
        <w:t xml:space="preserve"> výzvu č. </w:t>
      </w:r>
      <w:r w:rsidR="00314C4A">
        <w:rPr>
          <w:rFonts w:cstheme="minorHAnsi"/>
          <w:b/>
        </w:rPr>
        <w:t>2 OP </w:t>
      </w:r>
      <w:r w:rsidR="00CB6449" w:rsidRPr="00413E04">
        <w:rPr>
          <w:rFonts w:cstheme="minorHAnsi"/>
          <w:b/>
        </w:rPr>
        <w:t>PPR v</w:t>
      </w:r>
      <w:r w:rsidRPr="00413E04">
        <w:rPr>
          <w:rFonts w:cstheme="minorHAnsi"/>
          <w:b/>
        </w:rPr>
        <w:t> souladu s t</w:t>
      </w:r>
      <w:r w:rsidR="00512E1C">
        <w:rPr>
          <w:rFonts w:cstheme="minorHAnsi"/>
          <w:b/>
        </w:rPr>
        <w:t>ímto předpokladem</w:t>
      </w:r>
      <w:r w:rsidR="00B21B1C">
        <w:rPr>
          <w:rFonts w:cstheme="minorHAnsi"/>
          <w:b/>
        </w:rPr>
        <w:t>,</w:t>
      </w:r>
      <w:r w:rsidR="00512E1C">
        <w:rPr>
          <w:rFonts w:cstheme="minorHAnsi"/>
          <w:b/>
        </w:rPr>
        <w:t xml:space="preserve"> stanoveným v p</w:t>
      </w:r>
      <w:r w:rsidRPr="00413E04">
        <w:rPr>
          <w:rFonts w:cstheme="minorHAnsi"/>
          <w:b/>
        </w:rPr>
        <w:t>rogramovém dokumentu</w:t>
      </w:r>
      <w:r w:rsidR="00314C4A">
        <w:rPr>
          <w:rFonts w:cstheme="minorHAnsi"/>
          <w:b/>
        </w:rPr>
        <w:t xml:space="preserve"> pro tento operační program</w:t>
      </w:r>
      <w:r w:rsidR="00CB6449" w:rsidRPr="00413E04">
        <w:rPr>
          <w:rFonts w:cstheme="minorHAnsi"/>
          <w:b/>
        </w:rPr>
        <w:t>.</w:t>
      </w:r>
    </w:p>
    <w:p w14:paraId="457D6AF0" w14:textId="1A64AA2C" w:rsidR="008B7C7F" w:rsidRPr="00987B74" w:rsidRDefault="002711D2" w:rsidP="00987B74">
      <w:pPr>
        <w:pStyle w:val="Nadpis4"/>
      </w:pPr>
      <w:proofErr w:type="gramStart"/>
      <w:r w:rsidRPr="00987B74">
        <w:t>IV.1.</w:t>
      </w:r>
      <w:r w:rsidR="001C437F" w:rsidRPr="00987B74">
        <w:t>1.</w:t>
      </w:r>
      <w:r w:rsidRPr="00987B74">
        <w:t>3</w:t>
      </w:r>
      <w:proofErr w:type="gramEnd"/>
      <w:r w:rsidRPr="00987B74">
        <w:t xml:space="preserve"> </w:t>
      </w:r>
      <w:r w:rsidR="00B21B1C" w:rsidRPr="00D70221">
        <w:rPr>
          <w:i/>
        </w:rPr>
        <w:t>Ministerstvo pro místní rozvoj a Centrum pro regionální rozvoj České republiky</w:t>
      </w:r>
      <w:r w:rsidR="00B21B1C">
        <w:t xml:space="preserve"> </w:t>
      </w:r>
    </w:p>
    <w:p w14:paraId="1DCFF7FD" w14:textId="22E1206B" w:rsidR="00280839" w:rsidRDefault="00AD6FD9" w:rsidP="006009AB">
      <w:pPr>
        <w:rPr>
          <w:rFonts w:cstheme="minorHAnsi"/>
          <w:b/>
        </w:rPr>
      </w:pPr>
      <w:r w:rsidRPr="00280839">
        <w:rPr>
          <w:rFonts w:cstheme="minorHAnsi"/>
        </w:rPr>
        <w:t xml:space="preserve">Projekty financované z IROP v rámci </w:t>
      </w:r>
      <w:r w:rsidR="00525D9A">
        <w:rPr>
          <w:rFonts w:cstheme="minorHAnsi"/>
        </w:rPr>
        <w:t>SC</w:t>
      </w:r>
      <w:r w:rsidRPr="00280839">
        <w:rPr>
          <w:rFonts w:cstheme="minorHAnsi"/>
        </w:rPr>
        <w:t xml:space="preserve"> 2.4 by měly vytvořit podmínky pro uplatnění rovného přístupu ke vzdělávání sociálně vyloučeným osobám. Podpora je </w:t>
      </w:r>
      <w:r w:rsidR="00B21B1C">
        <w:rPr>
          <w:rFonts w:cstheme="minorHAnsi"/>
        </w:rPr>
        <w:t>určena</w:t>
      </w:r>
      <w:r w:rsidRPr="00280839">
        <w:rPr>
          <w:rFonts w:cstheme="minorHAnsi"/>
        </w:rPr>
        <w:t xml:space="preserve"> primárně k pořízení kvalitní a dostupné infrastruktury, tj. provedení s</w:t>
      </w:r>
      <w:r w:rsidR="00AE2C2B">
        <w:rPr>
          <w:rFonts w:cstheme="minorHAnsi"/>
        </w:rPr>
        <w:t>tavebních úprav budov, učeben a </w:t>
      </w:r>
      <w:r w:rsidRPr="00280839">
        <w:rPr>
          <w:rFonts w:cstheme="minorHAnsi"/>
        </w:rPr>
        <w:t xml:space="preserve">venkovních prostor, pořízení vybavení, kompenzačních pomůcek a kompenzačního vybavení. </w:t>
      </w:r>
    </w:p>
    <w:p w14:paraId="4B45319D" w14:textId="647227BA" w:rsidR="00AD6FD9" w:rsidRPr="00D70221" w:rsidRDefault="00AD6FD9" w:rsidP="006009AB">
      <w:pPr>
        <w:rPr>
          <w:rFonts w:cstheme="minorHAnsi"/>
          <w:b/>
        </w:rPr>
      </w:pPr>
      <w:r w:rsidRPr="00461A4B">
        <w:rPr>
          <w:rFonts w:cstheme="minorHAnsi"/>
          <w:b/>
        </w:rPr>
        <w:t>Z hlediska územního zacílení směřovalo 85 % alokovaných zdrojů na podporu infrastruktury středních a vyšších odborných škol do sociálně vyloučených lokalit, které byly identifikovány jako území obce s</w:t>
      </w:r>
      <w:r w:rsidR="00CB6449" w:rsidRPr="00461A4B">
        <w:rPr>
          <w:rFonts w:cstheme="minorHAnsi"/>
          <w:b/>
        </w:rPr>
        <w:t> </w:t>
      </w:r>
      <w:r w:rsidRPr="00461A4B">
        <w:rPr>
          <w:rFonts w:cstheme="minorHAnsi"/>
          <w:b/>
        </w:rPr>
        <w:t>rozšířenou</w:t>
      </w:r>
      <w:r w:rsidR="00CB6449" w:rsidRPr="00461A4B">
        <w:rPr>
          <w:rFonts w:cstheme="minorHAnsi"/>
          <w:b/>
        </w:rPr>
        <w:t xml:space="preserve"> působností </w:t>
      </w:r>
      <w:r w:rsidRPr="00461A4B">
        <w:rPr>
          <w:rFonts w:cstheme="minorHAnsi"/>
          <w:b/>
        </w:rPr>
        <w:t xml:space="preserve">podle </w:t>
      </w:r>
      <w:r w:rsidR="00EA1121" w:rsidRPr="00AE2C2B">
        <w:rPr>
          <w:rFonts w:cstheme="minorHAnsi"/>
          <w:b/>
          <w:i/>
        </w:rPr>
        <w:t>M</w:t>
      </w:r>
      <w:r w:rsidR="005B00C4">
        <w:rPr>
          <w:rFonts w:cstheme="minorHAnsi"/>
          <w:b/>
          <w:i/>
        </w:rPr>
        <w:t>apy sociálně vyloučených lokalit</w:t>
      </w:r>
      <w:r w:rsidR="00810E4B">
        <w:rPr>
          <w:rFonts w:cstheme="minorHAnsi"/>
          <w:b/>
        </w:rPr>
        <w:t xml:space="preserve"> z</w:t>
      </w:r>
      <w:r w:rsidR="00B21B1C">
        <w:rPr>
          <w:rFonts w:cstheme="minorHAnsi"/>
          <w:b/>
        </w:rPr>
        <w:t> </w:t>
      </w:r>
      <w:r w:rsidR="00810E4B">
        <w:rPr>
          <w:rFonts w:cstheme="minorHAnsi"/>
          <w:b/>
        </w:rPr>
        <w:t>roku</w:t>
      </w:r>
      <w:r w:rsidR="00B21B1C">
        <w:rPr>
          <w:rFonts w:cstheme="minorHAnsi"/>
          <w:b/>
        </w:rPr>
        <w:t xml:space="preserve"> </w:t>
      </w:r>
      <w:r w:rsidRPr="00461A4B">
        <w:rPr>
          <w:rFonts w:cstheme="minorHAnsi"/>
          <w:b/>
        </w:rPr>
        <w:t xml:space="preserve">2015. </w:t>
      </w:r>
    </w:p>
    <w:p w14:paraId="388D2CAD" w14:textId="0A6AF259" w:rsidR="00AD6FD9" w:rsidRPr="00417CB1" w:rsidRDefault="00AD6FD9" w:rsidP="006009AB">
      <w:pPr>
        <w:rPr>
          <w:rFonts w:cstheme="minorHAnsi"/>
        </w:rPr>
      </w:pPr>
      <w:r w:rsidRPr="00D573D1">
        <w:rPr>
          <w:rFonts w:cstheme="minorHAnsi"/>
        </w:rPr>
        <w:t xml:space="preserve">V rámci </w:t>
      </w:r>
      <w:r w:rsidR="006A23B8" w:rsidRPr="00D573D1">
        <w:rPr>
          <w:rFonts w:cstheme="minorHAnsi"/>
        </w:rPr>
        <w:t>KPSVL</w:t>
      </w:r>
      <w:r w:rsidRPr="00D573D1">
        <w:rPr>
          <w:rFonts w:cstheme="minorHAnsi"/>
        </w:rPr>
        <w:t xml:space="preserve"> bylo ze SC 2.4 IROP podpořeno celkem 39 projektů </w:t>
      </w:r>
      <w:r w:rsidR="00B410C0" w:rsidRPr="00D573D1">
        <w:rPr>
          <w:rFonts w:cstheme="minorHAnsi"/>
        </w:rPr>
        <w:t>z</w:t>
      </w:r>
      <w:r w:rsidRPr="00D573D1">
        <w:rPr>
          <w:rFonts w:cstheme="minorHAnsi"/>
        </w:rPr>
        <w:t xml:space="preserve"> pěti výzev. V právních aktech bylo na realizaci těchto projektů určeno celkem 614</w:t>
      </w:r>
      <w:r w:rsidR="00D573D1" w:rsidRPr="00D573D1">
        <w:rPr>
          <w:rFonts w:cstheme="minorHAnsi"/>
        </w:rPr>
        <w:t>,</w:t>
      </w:r>
      <w:r w:rsidRPr="00D573D1">
        <w:rPr>
          <w:rFonts w:cstheme="minorHAnsi"/>
        </w:rPr>
        <w:t>1</w:t>
      </w:r>
      <w:r w:rsidR="00D573D1" w:rsidRPr="00D573D1">
        <w:rPr>
          <w:rFonts w:cstheme="minorHAnsi"/>
        </w:rPr>
        <w:t>2 mil.</w:t>
      </w:r>
      <w:r w:rsidRPr="00D573D1">
        <w:rPr>
          <w:rFonts w:cstheme="minorHAnsi"/>
        </w:rPr>
        <w:t> Kč, z toho 580</w:t>
      </w:r>
      <w:r w:rsidR="00D573D1" w:rsidRPr="00D573D1">
        <w:rPr>
          <w:rFonts w:cstheme="minorHAnsi"/>
        </w:rPr>
        <w:t>,3</w:t>
      </w:r>
      <w:r w:rsidR="00525D9A">
        <w:rPr>
          <w:rFonts w:cstheme="minorHAnsi"/>
        </w:rPr>
        <w:t>0</w:t>
      </w:r>
      <w:r w:rsidR="00D573D1" w:rsidRPr="00D573D1">
        <w:rPr>
          <w:rFonts w:cstheme="minorHAnsi"/>
        </w:rPr>
        <w:t xml:space="preserve"> mil. </w:t>
      </w:r>
      <w:r w:rsidRPr="00D573D1">
        <w:rPr>
          <w:rFonts w:cstheme="minorHAnsi"/>
        </w:rPr>
        <w:t xml:space="preserve">Kč ze zdrojů </w:t>
      </w:r>
      <w:r w:rsidR="001454A1" w:rsidRPr="00D573D1">
        <w:rPr>
          <w:rFonts w:cstheme="minorHAnsi"/>
        </w:rPr>
        <w:t>ESIF</w:t>
      </w:r>
      <w:r w:rsidR="006A0ADD" w:rsidRPr="00D573D1">
        <w:rPr>
          <w:rFonts w:cstheme="minorHAnsi"/>
        </w:rPr>
        <w:t xml:space="preserve"> a </w:t>
      </w:r>
      <w:r w:rsidRPr="00D573D1">
        <w:rPr>
          <w:rFonts w:cstheme="minorHAnsi"/>
        </w:rPr>
        <w:t>33</w:t>
      </w:r>
      <w:r w:rsidR="00D573D1" w:rsidRPr="00D573D1">
        <w:rPr>
          <w:rFonts w:cstheme="minorHAnsi"/>
        </w:rPr>
        <w:t>,</w:t>
      </w:r>
      <w:r w:rsidRPr="00D573D1">
        <w:rPr>
          <w:rFonts w:cstheme="minorHAnsi"/>
        </w:rPr>
        <w:t>82</w:t>
      </w:r>
      <w:r w:rsidR="00D573D1" w:rsidRPr="00D573D1">
        <w:rPr>
          <w:rFonts w:cstheme="minorHAnsi"/>
        </w:rPr>
        <w:t xml:space="preserve"> mil.</w:t>
      </w:r>
      <w:r w:rsidRPr="00D573D1">
        <w:rPr>
          <w:rFonts w:cstheme="minorHAnsi"/>
        </w:rPr>
        <w:t> Kč ze zdrojů státního rozpočtu</w:t>
      </w:r>
      <w:r w:rsidR="001454A1" w:rsidRPr="00D573D1">
        <w:rPr>
          <w:rFonts w:cstheme="minorHAnsi"/>
        </w:rPr>
        <w:t>.</w:t>
      </w:r>
      <w:r w:rsidR="001454A1">
        <w:rPr>
          <w:rFonts w:cstheme="minorHAnsi"/>
        </w:rPr>
        <w:t xml:space="preserve"> </w:t>
      </w:r>
    </w:p>
    <w:p w14:paraId="7906DEBD" w14:textId="16A156B2" w:rsidR="00AD6FD9" w:rsidRPr="00280839" w:rsidRDefault="00AD6FD9" w:rsidP="00AD6FD9">
      <w:pPr>
        <w:rPr>
          <w:rFonts w:cstheme="minorHAnsi"/>
        </w:rPr>
      </w:pPr>
      <w:r w:rsidRPr="00280839">
        <w:rPr>
          <w:rFonts w:cstheme="minorHAnsi"/>
        </w:rPr>
        <w:lastRenderedPageBreak/>
        <w:t>S kontrolovanými výzvami byly komplementární výzvy z</w:t>
      </w:r>
      <w:r w:rsidR="00677A78">
        <w:rPr>
          <w:rFonts w:cstheme="minorHAnsi"/>
        </w:rPr>
        <w:t> </w:t>
      </w:r>
      <w:proofErr w:type="gramStart"/>
      <w:r w:rsidRPr="00280839">
        <w:rPr>
          <w:rFonts w:cstheme="minorHAnsi"/>
        </w:rPr>
        <w:t>OP</w:t>
      </w:r>
      <w:proofErr w:type="gramEnd"/>
      <w:r w:rsidR="00677A78">
        <w:rPr>
          <w:rFonts w:cstheme="minorHAnsi"/>
        </w:rPr>
        <w:t> </w:t>
      </w:r>
      <w:r w:rsidRPr="00280839">
        <w:rPr>
          <w:rFonts w:cstheme="minorHAnsi"/>
        </w:rPr>
        <w:t>VVV, zejména tři výzvy</w:t>
      </w:r>
      <w:r w:rsidRPr="00280839">
        <w:rPr>
          <w:rStyle w:val="Znakapoznpodarou"/>
          <w:rFonts w:cstheme="minorHAnsi"/>
        </w:rPr>
        <w:footnoteReference w:id="33"/>
      </w:r>
      <w:r w:rsidRPr="00280839">
        <w:rPr>
          <w:rFonts w:cstheme="minorHAnsi"/>
        </w:rPr>
        <w:t xml:space="preserve">, které byly zaměřeny na podporu a implementaci </w:t>
      </w:r>
      <w:r w:rsidR="004B2724">
        <w:rPr>
          <w:rFonts w:cstheme="minorHAnsi"/>
          <w:i/>
        </w:rPr>
        <w:t>k</w:t>
      </w:r>
      <w:r w:rsidR="008F0883" w:rsidRPr="00C06147">
        <w:rPr>
          <w:rFonts w:cstheme="minorHAnsi"/>
          <w:i/>
        </w:rPr>
        <w:t>rajských akčních plánů</w:t>
      </w:r>
      <w:r w:rsidR="008F0883">
        <w:rPr>
          <w:rFonts w:cstheme="minorHAnsi"/>
        </w:rPr>
        <w:t xml:space="preserve"> (dále též „</w:t>
      </w:r>
      <w:r w:rsidR="00716155" w:rsidRPr="00280839">
        <w:rPr>
          <w:rFonts w:cstheme="minorHAnsi"/>
        </w:rPr>
        <w:t>KAP</w:t>
      </w:r>
      <w:r w:rsidR="008F0883">
        <w:rPr>
          <w:rFonts w:cstheme="minorHAnsi"/>
        </w:rPr>
        <w:t>“)</w:t>
      </w:r>
      <w:r w:rsidR="00716155" w:rsidRPr="00280839">
        <w:rPr>
          <w:rFonts w:cstheme="minorHAnsi"/>
        </w:rPr>
        <w:t xml:space="preserve">. </w:t>
      </w:r>
      <w:r w:rsidRPr="00280839">
        <w:rPr>
          <w:rFonts w:cstheme="minorHAnsi"/>
        </w:rPr>
        <w:t>Podpořeny mohly být pouze projekty, které byly součástí KAP</w:t>
      </w:r>
      <w:r w:rsidR="00716155" w:rsidRPr="00280839">
        <w:rPr>
          <w:rFonts w:cstheme="minorHAnsi"/>
        </w:rPr>
        <w:t xml:space="preserve"> zajišťující</w:t>
      </w:r>
      <w:r w:rsidR="00B03C76">
        <w:rPr>
          <w:rFonts w:cstheme="minorHAnsi"/>
        </w:rPr>
        <w:t>ch</w:t>
      </w:r>
      <w:r w:rsidR="00716155" w:rsidRPr="00280839">
        <w:rPr>
          <w:rFonts w:cstheme="minorHAnsi"/>
        </w:rPr>
        <w:t xml:space="preserve"> </w:t>
      </w:r>
      <w:proofErr w:type="spellStart"/>
      <w:r w:rsidR="00C06147">
        <w:rPr>
          <w:rFonts w:cstheme="minorHAnsi"/>
        </w:rPr>
        <w:t>prioritizaci</w:t>
      </w:r>
      <w:proofErr w:type="spellEnd"/>
      <w:r w:rsidR="00C06147">
        <w:rPr>
          <w:rFonts w:cstheme="minorHAnsi"/>
        </w:rPr>
        <w:t xml:space="preserve"> potřeb s </w:t>
      </w:r>
      <w:r w:rsidRPr="00280839">
        <w:rPr>
          <w:rFonts w:cstheme="minorHAnsi"/>
        </w:rPr>
        <w:t>ohledem na daný region</w:t>
      </w:r>
      <w:r w:rsidR="006A23B8" w:rsidRPr="00280839">
        <w:rPr>
          <w:rStyle w:val="Znakapoznpodarou"/>
          <w:rFonts w:cstheme="minorHAnsi"/>
        </w:rPr>
        <w:footnoteReference w:id="34"/>
      </w:r>
      <w:r w:rsidRPr="00280839">
        <w:rPr>
          <w:rFonts w:cstheme="minorHAnsi"/>
        </w:rPr>
        <w:t xml:space="preserve">. </w:t>
      </w:r>
    </w:p>
    <w:p w14:paraId="179BE589" w14:textId="77E1B2FD" w:rsidR="00AD6FD9" w:rsidRDefault="008F0883" w:rsidP="00DA1B53">
      <w:pPr>
        <w:rPr>
          <w:rFonts w:cstheme="minorHAnsi"/>
        </w:rPr>
      </w:pPr>
      <w:r w:rsidRPr="00175D25">
        <w:rPr>
          <w:rFonts w:cstheme="minorHAnsi"/>
        </w:rPr>
        <w:t>Doplňkovost</w:t>
      </w:r>
      <w:r w:rsidR="00AD6FD9" w:rsidRPr="00175D25">
        <w:rPr>
          <w:rFonts w:cstheme="minorHAnsi"/>
        </w:rPr>
        <w:t xml:space="preserve"> </w:t>
      </w:r>
      <w:r w:rsidR="00677A78">
        <w:rPr>
          <w:rFonts w:cstheme="minorHAnsi"/>
        </w:rPr>
        <w:t>mezi IROP a OP </w:t>
      </w:r>
      <w:r w:rsidR="00AD6FD9" w:rsidRPr="00175D25">
        <w:rPr>
          <w:rFonts w:cstheme="minorHAnsi"/>
        </w:rPr>
        <w:t xml:space="preserve">VVV </w:t>
      </w:r>
      <w:r w:rsidR="00716155" w:rsidRPr="00175D25">
        <w:rPr>
          <w:rFonts w:cstheme="minorHAnsi"/>
        </w:rPr>
        <w:t xml:space="preserve">existuje </w:t>
      </w:r>
      <w:r w:rsidRPr="00175D25">
        <w:rPr>
          <w:rFonts w:cstheme="minorHAnsi"/>
        </w:rPr>
        <w:t xml:space="preserve">například </w:t>
      </w:r>
      <w:r w:rsidR="00716155" w:rsidRPr="00175D25">
        <w:rPr>
          <w:rFonts w:cstheme="minorHAnsi"/>
        </w:rPr>
        <w:t xml:space="preserve">u </w:t>
      </w:r>
      <w:r w:rsidR="00AD6FD9" w:rsidRPr="00175D25">
        <w:rPr>
          <w:rFonts w:cstheme="minorHAnsi"/>
        </w:rPr>
        <w:t>opatření vedoucí</w:t>
      </w:r>
      <w:r w:rsidR="00B21B1C">
        <w:rPr>
          <w:rFonts w:cstheme="minorHAnsi"/>
        </w:rPr>
        <w:t>ho</w:t>
      </w:r>
      <w:r w:rsidR="00AD6FD9" w:rsidRPr="00175D25">
        <w:rPr>
          <w:rFonts w:cstheme="minorHAnsi"/>
        </w:rPr>
        <w:t xml:space="preserve"> k sociální inkluzi </w:t>
      </w:r>
      <w:r w:rsidRPr="00175D25">
        <w:rPr>
          <w:rFonts w:cstheme="minorHAnsi"/>
        </w:rPr>
        <w:t>(</w:t>
      </w:r>
      <w:r w:rsidR="00AD6FD9" w:rsidRPr="00175D25">
        <w:rPr>
          <w:rFonts w:cstheme="minorHAnsi"/>
        </w:rPr>
        <w:t xml:space="preserve">výzva </w:t>
      </w:r>
      <w:r w:rsidRPr="00175D25">
        <w:rPr>
          <w:rFonts w:cstheme="minorHAnsi"/>
        </w:rPr>
        <w:t xml:space="preserve">IROP </w:t>
      </w:r>
      <w:r w:rsidR="00AD6FD9" w:rsidRPr="00175D25">
        <w:rPr>
          <w:rFonts w:cstheme="minorHAnsi"/>
        </w:rPr>
        <w:t>č.</w:t>
      </w:r>
      <w:r w:rsidR="00677A78">
        <w:rPr>
          <w:rFonts w:cstheme="minorHAnsi"/>
        </w:rPr>
        <w:t xml:space="preserve"> 86 a na ní navazující výzva OP </w:t>
      </w:r>
      <w:r w:rsidR="00AD6FD9" w:rsidRPr="00175D25">
        <w:rPr>
          <w:rFonts w:cstheme="minorHAnsi"/>
        </w:rPr>
        <w:t>VVV č. 02_19_077</w:t>
      </w:r>
      <w:r w:rsidRPr="00175D25">
        <w:rPr>
          <w:rFonts w:cstheme="minorHAnsi"/>
        </w:rPr>
        <w:t>)</w:t>
      </w:r>
      <w:r w:rsidR="00AD6FD9" w:rsidRPr="00175D25">
        <w:rPr>
          <w:rFonts w:cstheme="minorHAnsi"/>
        </w:rPr>
        <w:t xml:space="preserve">. </w:t>
      </w:r>
      <w:r w:rsidR="00590DD0" w:rsidRPr="00175D25">
        <w:rPr>
          <w:rFonts w:cstheme="minorHAnsi"/>
        </w:rPr>
        <w:t>Ve</w:t>
      </w:r>
      <w:r w:rsidRPr="00175D25">
        <w:rPr>
          <w:rFonts w:cstheme="minorHAnsi"/>
        </w:rPr>
        <w:t> </w:t>
      </w:r>
      <w:r w:rsidR="00590DD0" w:rsidRPr="00175D25">
        <w:rPr>
          <w:rFonts w:cstheme="minorHAnsi"/>
        </w:rPr>
        <w:t>výzvě</w:t>
      </w:r>
      <w:r w:rsidRPr="00175D25">
        <w:rPr>
          <w:rFonts w:cstheme="minorHAnsi"/>
        </w:rPr>
        <w:t xml:space="preserve"> IROP č. 86 j</w:t>
      </w:r>
      <w:r w:rsidR="00590DD0" w:rsidRPr="00175D25">
        <w:rPr>
          <w:rFonts w:cstheme="minorHAnsi"/>
        </w:rPr>
        <w:t>e</w:t>
      </w:r>
      <w:r w:rsidR="00372AEA">
        <w:rPr>
          <w:rFonts w:cstheme="minorHAnsi"/>
        </w:rPr>
        <w:t xml:space="preserve"> </w:t>
      </w:r>
      <w:r w:rsidRPr="00175D25">
        <w:rPr>
          <w:rFonts w:cstheme="minorHAnsi"/>
        </w:rPr>
        <w:t>podpor</w:t>
      </w:r>
      <w:r w:rsidR="00590DD0" w:rsidRPr="00175D25">
        <w:rPr>
          <w:rFonts w:cstheme="minorHAnsi"/>
        </w:rPr>
        <w:t>a určena pro</w:t>
      </w:r>
      <w:r w:rsidRPr="00175D25">
        <w:rPr>
          <w:rFonts w:cstheme="minorHAnsi"/>
        </w:rPr>
        <w:t xml:space="preserve"> dět</w:t>
      </w:r>
      <w:r w:rsidR="00590DD0" w:rsidRPr="00175D25">
        <w:rPr>
          <w:rFonts w:cstheme="minorHAnsi"/>
        </w:rPr>
        <w:t>i</w:t>
      </w:r>
      <w:r w:rsidRPr="00175D25">
        <w:rPr>
          <w:rFonts w:cstheme="minorHAnsi"/>
        </w:rPr>
        <w:t xml:space="preserve"> a žák</w:t>
      </w:r>
      <w:r w:rsidR="00590DD0" w:rsidRPr="00175D25">
        <w:rPr>
          <w:rFonts w:cstheme="minorHAnsi"/>
        </w:rPr>
        <w:t>y</w:t>
      </w:r>
      <w:r w:rsidRPr="00175D25">
        <w:rPr>
          <w:rFonts w:cstheme="minorHAnsi"/>
        </w:rPr>
        <w:t xml:space="preserve"> ze </w:t>
      </w:r>
      <w:r w:rsidR="00590DD0" w:rsidRPr="00BD427A">
        <w:rPr>
          <w:rFonts w:cstheme="minorHAnsi"/>
        </w:rPr>
        <w:t xml:space="preserve">speciálních </w:t>
      </w:r>
      <w:r w:rsidRPr="00BD427A">
        <w:rPr>
          <w:rFonts w:cstheme="minorHAnsi"/>
        </w:rPr>
        <w:t>škol</w:t>
      </w:r>
      <w:r w:rsidR="00BD427A">
        <w:rPr>
          <w:rFonts w:cstheme="minorHAnsi"/>
        </w:rPr>
        <w:t xml:space="preserve"> </w:t>
      </w:r>
      <w:r w:rsidRPr="00BD427A">
        <w:rPr>
          <w:rFonts w:cstheme="minorHAnsi"/>
        </w:rPr>
        <w:t xml:space="preserve">a </w:t>
      </w:r>
      <w:r w:rsidR="00590DD0" w:rsidRPr="00BD427A">
        <w:rPr>
          <w:rFonts w:cstheme="minorHAnsi"/>
        </w:rPr>
        <w:t xml:space="preserve">pro </w:t>
      </w:r>
      <w:r w:rsidRPr="00BD427A">
        <w:rPr>
          <w:rFonts w:cstheme="minorHAnsi"/>
        </w:rPr>
        <w:t>školská poradenská zařízení</w:t>
      </w:r>
      <w:r w:rsidRPr="00BD427A">
        <w:rPr>
          <w:rStyle w:val="Znakapoznpodarou"/>
          <w:rFonts w:cstheme="minorHAnsi"/>
        </w:rPr>
        <w:footnoteReference w:id="35"/>
      </w:r>
      <w:r w:rsidRPr="00BD427A">
        <w:rPr>
          <w:rFonts w:cstheme="minorHAnsi"/>
        </w:rPr>
        <w:t xml:space="preserve"> s cílem </w:t>
      </w:r>
      <w:r w:rsidRPr="00175D25">
        <w:rPr>
          <w:rFonts w:cstheme="minorHAnsi"/>
        </w:rPr>
        <w:t xml:space="preserve">zajistit plynulý přechod do škol hlavního vzdělávacího proudu a k samostatnému způsobu života. </w:t>
      </w:r>
      <w:r w:rsidR="00EA1121" w:rsidRPr="00C44DB2">
        <w:rPr>
          <w:rFonts w:cstheme="minorHAnsi"/>
        </w:rPr>
        <w:t>Údaje</w:t>
      </w:r>
      <w:r w:rsidR="00C44DB2">
        <w:rPr>
          <w:rFonts w:cstheme="minorHAnsi"/>
        </w:rPr>
        <w:t xml:space="preserve"> o </w:t>
      </w:r>
      <w:r w:rsidR="00EA1121" w:rsidRPr="00C44DB2">
        <w:rPr>
          <w:rFonts w:cstheme="minorHAnsi"/>
        </w:rPr>
        <w:t xml:space="preserve">faktickém </w:t>
      </w:r>
      <w:r w:rsidR="00AD6FD9" w:rsidRPr="00C44DB2">
        <w:rPr>
          <w:rFonts w:cstheme="minorHAnsi"/>
        </w:rPr>
        <w:t>začlen</w:t>
      </w:r>
      <w:r w:rsidR="00EA1121" w:rsidRPr="00C44DB2">
        <w:rPr>
          <w:rFonts w:cstheme="minorHAnsi"/>
        </w:rPr>
        <w:t>ění</w:t>
      </w:r>
      <w:r w:rsidR="00AD6FD9" w:rsidRPr="00C44DB2">
        <w:rPr>
          <w:rFonts w:cstheme="minorHAnsi"/>
        </w:rPr>
        <w:t xml:space="preserve"> dět</w:t>
      </w:r>
      <w:r w:rsidR="00C44DB2">
        <w:rPr>
          <w:rFonts w:cstheme="minorHAnsi"/>
        </w:rPr>
        <w:t>í</w:t>
      </w:r>
      <w:r w:rsidR="00AD6FD9" w:rsidRPr="00C44DB2">
        <w:rPr>
          <w:rFonts w:cstheme="minorHAnsi"/>
        </w:rPr>
        <w:t xml:space="preserve"> a</w:t>
      </w:r>
      <w:r w:rsidR="006A0ADD" w:rsidRPr="00C44DB2">
        <w:rPr>
          <w:rFonts w:cstheme="minorHAnsi"/>
        </w:rPr>
        <w:t xml:space="preserve"> žák</w:t>
      </w:r>
      <w:r w:rsidR="00C44DB2">
        <w:rPr>
          <w:rFonts w:cstheme="minorHAnsi"/>
        </w:rPr>
        <w:t>ů</w:t>
      </w:r>
      <w:r w:rsidR="006A0ADD" w:rsidRPr="00C44DB2">
        <w:rPr>
          <w:rFonts w:cstheme="minorHAnsi"/>
        </w:rPr>
        <w:t xml:space="preserve"> z podpořených projektů do</w:t>
      </w:r>
      <w:r w:rsidR="00372AEA">
        <w:rPr>
          <w:rFonts w:cstheme="minorHAnsi"/>
        </w:rPr>
        <w:t xml:space="preserve"> </w:t>
      </w:r>
      <w:r w:rsidR="00AD6FD9" w:rsidRPr="00C44DB2">
        <w:rPr>
          <w:rFonts w:cstheme="minorHAnsi"/>
        </w:rPr>
        <w:t>hlavního vzdělávacího proudu a samostatného ži</w:t>
      </w:r>
      <w:r w:rsidR="00987B74" w:rsidRPr="00C44DB2">
        <w:rPr>
          <w:rFonts w:cstheme="minorHAnsi"/>
        </w:rPr>
        <w:t>vota</w:t>
      </w:r>
      <w:r w:rsidR="00AB6295" w:rsidRPr="00C44DB2">
        <w:rPr>
          <w:rFonts w:cstheme="minorHAnsi"/>
        </w:rPr>
        <w:t xml:space="preserve"> nelze </w:t>
      </w:r>
      <w:r w:rsidR="00C44DB2">
        <w:rPr>
          <w:rFonts w:cstheme="minorHAnsi"/>
        </w:rPr>
        <w:t>získat</w:t>
      </w:r>
      <w:r w:rsidR="00AB6295" w:rsidRPr="00C44DB2">
        <w:rPr>
          <w:rFonts w:cstheme="minorHAnsi"/>
        </w:rPr>
        <w:t xml:space="preserve">, neboť neexistuje ukazatel </w:t>
      </w:r>
      <w:r w:rsidR="00372AEA">
        <w:rPr>
          <w:rFonts w:cstheme="minorHAnsi"/>
        </w:rPr>
        <w:t xml:space="preserve">pro </w:t>
      </w:r>
      <w:r w:rsidR="00AB6295" w:rsidRPr="00C44DB2">
        <w:rPr>
          <w:rFonts w:cstheme="minorHAnsi"/>
        </w:rPr>
        <w:t>t</w:t>
      </w:r>
      <w:r w:rsidR="00C44DB2">
        <w:rPr>
          <w:rFonts w:cstheme="minorHAnsi"/>
        </w:rPr>
        <w:t xml:space="preserve">akové </w:t>
      </w:r>
      <w:r w:rsidR="00AD6FD9" w:rsidRPr="00C44DB2">
        <w:rPr>
          <w:rFonts w:cstheme="minorHAnsi"/>
        </w:rPr>
        <w:t>sledování</w:t>
      </w:r>
      <w:r w:rsidR="00AB6295" w:rsidRPr="00C44DB2">
        <w:rPr>
          <w:rFonts w:cstheme="minorHAnsi"/>
        </w:rPr>
        <w:t xml:space="preserve">. </w:t>
      </w:r>
    </w:p>
    <w:p w14:paraId="56C4CF9D" w14:textId="77777777" w:rsidR="000143BC" w:rsidRPr="00C44DB2" w:rsidRDefault="000143BC" w:rsidP="00DA1B53">
      <w:pPr>
        <w:rPr>
          <w:rFonts w:cstheme="minorHAnsi"/>
          <w:strike/>
        </w:rPr>
      </w:pPr>
    </w:p>
    <w:p w14:paraId="497B2CBF" w14:textId="5F616C65" w:rsidR="006B42B1" w:rsidRDefault="0099387D" w:rsidP="00136EF9">
      <w:pPr>
        <w:pStyle w:val="Nadpis3"/>
      </w:pPr>
      <w:proofErr w:type="gramStart"/>
      <w:r w:rsidRPr="00C44DB2">
        <w:t>IV.1.2</w:t>
      </w:r>
      <w:proofErr w:type="gramEnd"/>
      <w:r w:rsidRPr="00C44DB2">
        <w:t xml:space="preserve"> </w:t>
      </w:r>
      <w:r w:rsidR="00136EF9">
        <w:tab/>
      </w:r>
      <w:r w:rsidR="00C045F1" w:rsidRPr="00C44DB2">
        <w:t>Hodnocení a výběr projektů</w:t>
      </w:r>
      <w:r w:rsidR="00293A08" w:rsidRPr="00C44DB2">
        <w:t xml:space="preserve"> provádě</w:t>
      </w:r>
      <w:r w:rsidR="00FD0CF8" w:rsidRPr="00C44DB2">
        <w:t>li</w:t>
      </w:r>
      <w:r w:rsidR="00293A08" w:rsidRPr="00C44DB2">
        <w:t xml:space="preserve"> </w:t>
      </w:r>
      <w:r w:rsidR="006C5CEA" w:rsidRPr="00C44DB2">
        <w:t>poskytovatel</w:t>
      </w:r>
      <w:r w:rsidR="00FD0CF8" w:rsidRPr="00C44DB2">
        <w:t>é</w:t>
      </w:r>
      <w:r w:rsidR="006C5CEA" w:rsidRPr="00C44DB2">
        <w:t xml:space="preserve"> dotací</w:t>
      </w:r>
      <w:r w:rsidR="00293A08" w:rsidRPr="00C44DB2">
        <w:t xml:space="preserve"> </w:t>
      </w:r>
      <w:r w:rsidR="007A43C8" w:rsidRPr="00C44DB2">
        <w:t>v souladu s právními předpisy</w:t>
      </w:r>
    </w:p>
    <w:p w14:paraId="39B8BE5C" w14:textId="44215198" w:rsidR="001C437F" w:rsidRPr="00246731" w:rsidRDefault="001C437F" w:rsidP="00987B74">
      <w:pPr>
        <w:pStyle w:val="Nadpis4"/>
      </w:pPr>
      <w:proofErr w:type="gramStart"/>
      <w:r w:rsidRPr="00246731">
        <w:t>IV.</w:t>
      </w:r>
      <w:r w:rsidR="00B42443" w:rsidRPr="00246731">
        <w:t>1</w:t>
      </w:r>
      <w:r w:rsidRPr="00246731">
        <w:t>.</w:t>
      </w:r>
      <w:r w:rsidR="00B42443" w:rsidRPr="00246731">
        <w:t>2</w:t>
      </w:r>
      <w:r w:rsidRPr="00246731">
        <w:t>.1</w:t>
      </w:r>
      <w:proofErr w:type="gramEnd"/>
      <w:r w:rsidRPr="00246731">
        <w:t xml:space="preserve"> </w:t>
      </w:r>
      <w:r w:rsidR="00B21B1C" w:rsidRPr="00D70221">
        <w:rPr>
          <w:rFonts w:ascii="Calibri" w:hAnsi="Calibri" w:cs="Calibri"/>
          <w:i/>
        </w:rPr>
        <w:t>Ministerstvo školství, mládeže a tělovýchovy</w:t>
      </w:r>
      <w:r w:rsidR="00B21B1C" w:rsidRPr="00510C79">
        <w:rPr>
          <w:rFonts w:ascii="Calibri" w:hAnsi="Calibri" w:cs="Calibri"/>
        </w:rPr>
        <w:t xml:space="preserve"> </w:t>
      </w:r>
    </w:p>
    <w:p w14:paraId="3D421728" w14:textId="3E75F9B7" w:rsidR="00F74247" w:rsidRPr="00716155" w:rsidRDefault="00F74247" w:rsidP="00F74247">
      <w:pPr>
        <w:rPr>
          <w:b/>
        </w:rPr>
      </w:pPr>
      <w:r>
        <w:t>Hodno</w:t>
      </w:r>
      <w:r w:rsidR="00677A78">
        <w:t>cení a výběr projektů z PO 3 OP </w:t>
      </w:r>
      <w:r>
        <w:t>VVV zajišť</w:t>
      </w:r>
      <w:r w:rsidR="001E7E9A">
        <w:t>ují</w:t>
      </w:r>
      <w:r>
        <w:t xml:space="preserve"> interní i externí hodnotitel</w:t>
      </w:r>
      <w:r w:rsidR="001E7E9A">
        <w:t>é</w:t>
      </w:r>
      <w:r>
        <w:t>, popř. arbit</w:t>
      </w:r>
      <w:r w:rsidR="001E7E9A">
        <w:t>ři</w:t>
      </w:r>
      <w:r>
        <w:t xml:space="preserve"> a hodnoticí komis</w:t>
      </w:r>
      <w:r w:rsidR="001E7E9A">
        <w:t>e</w:t>
      </w:r>
      <w:r>
        <w:t>.</w:t>
      </w:r>
      <w:r w:rsidR="00716155">
        <w:t xml:space="preserve"> </w:t>
      </w:r>
      <w:r>
        <w:t>NKÚ ověřil, že je zachována a</w:t>
      </w:r>
      <w:r w:rsidRPr="00F74247">
        <w:t xml:space="preserve">uditní stopa schvalování výběrových kritérií </w:t>
      </w:r>
      <w:r>
        <w:t>M</w:t>
      </w:r>
      <w:r w:rsidRPr="00F74247">
        <w:t xml:space="preserve">onitorovacím výborem </w:t>
      </w:r>
      <w:r w:rsidR="00677A78">
        <w:t>OP </w:t>
      </w:r>
      <w:r>
        <w:t>VVV.</w:t>
      </w:r>
      <w:r w:rsidRPr="00F74247">
        <w:t xml:space="preserve"> </w:t>
      </w:r>
      <w:r w:rsidRPr="00716155">
        <w:rPr>
          <w:b/>
        </w:rPr>
        <w:t>MŠMT vymezilo hodnot</w:t>
      </w:r>
      <w:r w:rsidR="00E67C7D">
        <w:rPr>
          <w:b/>
        </w:rPr>
        <w:t>i</w:t>
      </w:r>
      <w:r w:rsidRPr="00716155">
        <w:rPr>
          <w:b/>
        </w:rPr>
        <w:t xml:space="preserve">cí kritéria </w:t>
      </w:r>
      <w:r w:rsidR="001E7E9A" w:rsidRPr="00716155">
        <w:rPr>
          <w:b/>
        </w:rPr>
        <w:t xml:space="preserve">jednoznačně </w:t>
      </w:r>
      <w:r w:rsidRPr="00716155">
        <w:rPr>
          <w:b/>
        </w:rPr>
        <w:t>a</w:t>
      </w:r>
      <w:r w:rsidR="001E7E9A">
        <w:rPr>
          <w:b/>
        </w:rPr>
        <w:t> </w:t>
      </w:r>
      <w:r w:rsidRPr="00716155">
        <w:rPr>
          <w:b/>
        </w:rPr>
        <w:t>minimalizovalo úroveň jejich obecnosti</w:t>
      </w:r>
      <w:r w:rsidR="00716155" w:rsidRPr="00716155">
        <w:rPr>
          <w:b/>
        </w:rPr>
        <w:t xml:space="preserve"> tak, aby </w:t>
      </w:r>
      <w:r w:rsidR="00C06147">
        <w:rPr>
          <w:b/>
        </w:rPr>
        <w:t>bylo zabráněno duplicitám a</w:t>
      </w:r>
      <w:r w:rsidR="005E3236">
        <w:rPr>
          <w:b/>
        </w:rPr>
        <w:t xml:space="preserve"> </w:t>
      </w:r>
      <w:r w:rsidRPr="00716155">
        <w:rPr>
          <w:b/>
        </w:rPr>
        <w:t>překrývání kritérií.</w:t>
      </w:r>
    </w:p>
    <w:p w14:paraId="5B54A411" w14:textId="66FB76F9" w:rsidR="00F74247" w:rsidRPr="00F74247" w:rsidRDefault="00F74247" w:rsidP="00F74247">
      <w:r>
        <w:t>Na vybraném vzorku projektů z výzev č. 15_001, 16_020 a 15_007 ověřil</w:t>
      </w:r>
      <w:r w:rsidR="00525D9A">
        <w:t xml:space="preserve"> NKÚ</w:t>
      </w:r>
      <w:r>
        <w:t>, že p</w:t>
      </w:r>
      <w:r w:rsidRPr="00F74247">
        <w:t>oužívaná kritéria umožňují hodnocení přiměřenost</w:t>
      </w:r>
      <w:r w:rsidR="00E30CC8">
        <w:t>i</w:t>
      </w:r>
      <w:r w:rsidRPr="00F74247">
        <w:t xml:space="preserve"> očekávaných výstupů/výsledků ve vztahu k jednotlivým položkám rozpočtu</w:t>
      </w:r>
      <w:r w:rsidR="00E30CC8">
        <w:t>,</w:t>
      </w:r>
      <w:r w:rsidRPr="00F74247">
        <w:t xml:space="preserve"> resp. rozpočtu jako celku.</w:t>
      </w:r>
    </w:p>
    <w:p w14:paraId="067FCEC1" w14:textId="6E0819F9" w:rsidR="001C437F" w:rsidRPr="00C51305" w:rsidRDefault="001C437F" w:rsidP="00987B74">
      <w:pPr>
        <w:pStyle w:val="Nadpis4"/>
      </w:pPr>
      <w:proofErr w:type="gramStart"/>
      <w:r w:rsidRPr="00C51305">
        <w:t>IV.</w:t>
      </w:r>
      <w:r w:rsidR="00B42443" w:rsidRPr="00C51305">
        <w:t>1</w:t>
      </w:r>
      <w:r w:rsidRPr="00C51305">
        <w:t>.</w:t>
      </w:r>
      <w:r w:rsidR="00B42443" w:rsidRPr="00C51305">
        <w:t>2</w:t>
      </w:r>
      <w:r w:rsidRPr="00C51305">
        <w:t>.2</w:t>
      </w:r>
      <w:proofErr w:type="gramEnd"/>
      <w:r w:rsidRPr="00C51305">
        <w:t xml:space="preserve"> </w:t>
      </w:r>
      <w:r w:rsidR="00B21B1C" w:rsidRPr="00D70221">
        <w:rPr>
          <w:i/>
        </w:rPr>
        <w:t>Hlavní město Praha</w:t>
      </w:r>
      <w:r w:rsidR="00AD6FD9" w:rsidRPr="00C51305">
        <w:t xml:space="preserve"> </w:t>
      </w:r>
    </w:p>
    <w:p w14:paraId="4AF583D3" w14:textId="6DB9C9CF" w:rsidR="00B42443" w:rsidRDefault="00B42443" w:rsidP="00B42443">
      <w:pPr>
        <w:rPr>
          <w:rFonts w:cstheme="minorHAnsi"/>
        </w:rPr>
      </w:pPr>
      <w:r w:rsidRPr="00AB6BEE">
        <w:rPr>
          <w:rFonts w:cstheme="minorHAnsi"/>
        </w:rPr>
        <w:t xml:space="preserve">Hlavní město Praha </w:t>
      </w:r>
      <w:r w:rsidR="00677A78">
        <w:rPr>
          <w:rFonts w:cstheme="minorHAnsi"/>
        </w:rPr>
        <w:t>stanovilo</w:t>
      </w:r>
      <w:r w:rsidRPr="00AB6BEE">
        <w:rPr>
          <w:rFonts w:cstheme="minorHAnsi"/>
        </w:rPr>
        <w:t xml:space="preserve"> hodnot</w:t>
      </w:r>
      <w:r w:rsidR="00E67C7D">
        <w:rPr>
          <w:rFonts w:cstheme="minorHAnsi"/>
        </w:rPr>
        <w:t>i</w:t>
      </w:r>
      <w:r w:rsidRPr="00AB6BEE">
        <w:rPr>
          <w:rFonts w:cstheme="minorHAnsi"/>
        </w:rPr>
        <w:t xml:space="preserve">cí kritéria </w:t>
      </w:r>
      <w:r>
        <w:rPr>
          <w:rFonts w:cstheme="minorHAnsi"/>
        </w:rPr>
        <w:t xml:space="preserve">tak, </w:t>
      </w:r>
      <w:r w:rsidR="00700BC2">
        <w:rPr>
          <w:rFonts w:cstheme="minorHAnsi"/>
        </w:rPr>
        <w:t xml:space="preserve">aby bylo možné </w:t>
      </w:r>
      <w:r w:rsidRPr="00AB6BEE">
        <w:rPr>
          <w:rFonts w:cstheme="minorHAnsi"/>
        </w:rPr>
        <w:t xml:space="preserve">dostatečně </w:t>
      </w:r>
      <w:r w:rsidR="00E67C7D">
        <w:rPr>
          <w:rFonts w:cstheme="minorHAnsi"/>
        </w:rPr>
        <w:t xml:space="preserve">hodnotit </w:t>
      </w:r>
      <w:r w:rsidRPr="00AB6BEE">
        <w:rPr>
          <w:rFonts w:cstheme="minorHAnsi"/>
        </w:rPr>
        <w:t>přiměřenost projektových výsledků</w:t>
      </w:r>
      <w:r w:rsidR="00B13A72">
        <w:rPr>
          <w:rFonts w:cstheme="minorHAnsi"/>
        </w:rPr>
        <w:t xml:space="preserve">. </w:t>
      </w:r>
      <w:r w:rsidR="00E67C7D" w:rsidRPr="00E67C7D">
        <w:rPr>
          <w:rFonts w:cstheme="minorHAnsi"/>
        </w:rPr>
        <w:t xml:space="preserve">Určitým nedostatkem při výběru projektů je </w:t>
      </w:r>
      <w:r w:rsidR="00C06147">
        <w:rPr>
          <w:rFonts w:cstheme="minorHAnsi"/>
        </w:rPr>
        <w:t>skutečnost</w:t>
      </w:r>
      <w:r w:rsidR="00E67C7D" w:rsidRPr="00E67C7D">
        <w:rPr>
          <w:rFonts w:cstheme="minorHAnsi"/>
        </w:rPr>
        <w:t>, že se příslušné orgány HMP</w:t>
      </w:r>
      <w:r w:rsidR="00B13A72">
        <w:rPr>
          <w:rStyle w:val="Znakapoznpodarou"/>
          <w:rFonts w:cstheme="minorHAnsi"/>
        </w:rPr>
        <w:footnoteReference w:id="36"/>
      </w:r>
      <w:r w:rsidR="00E67C7D">
        <w:rPr>
          <w:rFonts w:cstheme="minorHAnsi"/>
        </w:rPr>
        <w:t xml:space="preserve"> </w:t>
      </w:r>
      <w:r w:rsidR="00E67C7D" w:rsidRPr="00E67C7D">
        <w:rPr>
          <w:rFonts w:cstheme="minorHAnsi"/>
        </w:rPr>
        <w:t>vyjadřují k celému seznamu</w:t>
      </w:r>
      <w:r w:rsidR="00E67C7D">
        <w:rPr>
          <w:rFonts w:cstheme="minorHAnsi"/>
        </w:rPr>
        <w:t xml:space="preserve"> </w:t>
      </w:r>
      <w:r w:rsidRPr="00AB6BEE">
        <w:rPr>
          <w:rFonts w:cstheme="minorHAnsi"/>
        </w:rPr>
        <w:t>projektových žádostí, nikoliv k jednotlivým hodnoceným projektům</w:t>
      </w:r>
      <w:r w:rsidR="00700BC2">
        <w:rPr>
          <w:rFonts w:cstheme="minorHAnsi"/>
        </w:rPr>
        <w:t>. H</w:t>
      </w:r>
      <w:r w:rsidRPr="00AB6BEE">
        <w:rPr>
          <w:rFonts w:cstheme="minorHAnsi"/>
        </w:rPr>
        <w:t xml:space="preserve">odnocení </w:t>
      </w:r>
      <w:r w:rsidR="00700BC2">
        <w:rPr>
          <w:rFonts w:cstheme="minorHAnsi"/>
        </w:rPr>
        <w:t xml:space="preserve">tak </w:t>
      </w:r>
      <w:r w:rsidRPr="00640AC0">
        <w:rPr>
          <w:rFonts w:cstheme="minorHAnsi"/>
          <w:b/>
        </w:rPr>
        <w:t>vykazuje určité známky formálnosti</w:t>
      </w:r>
      <w:r w:rsidR="00640AC0">
        <w:rPr>
          <w:rStyle w:val="Znakapoznpodarou"/>
          <w:rFonts w:cstheme="minorHAnsi"/>
        </w:rPr>
        <w:footnoteReference w:id="37"/>
      </w:r>
      <w:r w:rsidR="00716155">
        <w:rPr>
          <w:rFonts w:cstheme="minorHAnsi"/>
        </w:rPr>
        <w:t xml:space="preserve">. </w:t>
      </w:r>
      <w:r w:rsidR="00700BC2">
        <w:rPr>
          <w:rFonts w:cstheme="minorHAnsi"/>
        </w:rPr>
        <w:t xml:space="preserve">Při </w:t>
      </w:r>
      <w:r w:rsidRPr="00417CB1">
        <w:rPr>
          <w:rFonts w:cstheme="minorHAnsi"/>
        </w:rPr>
        <w:t>formálnost</w:t>
      </w:r>
      <w:r w:rsidR="00700BC2">
        <w:rPr>
          <w:rFonts w:cstheme="minorHAnsi"/>
        </w:rPr>
        <w:t>i</w:t>
      </w:r>
      <w:r w:rsidRPr="00417CB1">
        <w:rPr>
          <w:rFonts w:cstheme="minorHAnsi"/>
        </w:rPr>
        <w:t xml:space="preserve"> </w:t>
      </w:r>
      <w:r w:rsidR="00640AC0">
        <w:rPr>
          <w:rFonts w:cstheme="minorHAnsi"/>
        </w:rPr>
        <w:t xml:space="preserve">hodnocení vyvstává riziko </w:t>
      </w:r>
      <w:r w:rsidRPr="00417CB1">
        <w:rPr>
          <w:rFonts w:cstheme="minorHAnsi"/>
        </w:rPr>
        <w:t xml:space="preserve">nehospodárnosti a neúčelnosti </w:t>
      </w:r>
      <w:r w:rsidR="00F008C8">
        <w:rPr>
          <w:rFonts w:cstheme="minorHAnsi"/>
        </w:rPr>
        <w:t xml:space="preserve">pozdějšího </w:t>
      </w:r>
      <w:r w:rsidRPr="00417CB1">
        <w:rPr>
          <w:rFonts w:cstheme="minorHAnsi"/>
        </w:rPr>
        <w:t>vyn</w:t>
      </w:r>
      <w:r w:rsidR="00F008C8">
        <w:rPr>
          <w:rFonts w:cstheme="minorHAnsi"/>
        </w:rPr>
        <w:t xml:space="preserve">akládání peněžních </w:t>
      </w:r>
      <w:r w:rsidRPr="00417CB1">
        <w:rPr>
          <w:rFonts w:cstheme="minorHAnsi"/>
        </w:rPr>
        <w:t>prostředků.</w:t>
      </w:r>
    </w:p>
    <w:p w14:paraId="167D9801" w14:textId="0C440634" w:rsidR="00DA1B53" w:rsidRDefault="00D037A9" w:rsidP="00DA1B53">
      <w:pPr>
        <w:spacing w:after="0"/>
        <w:rPr>
          <w:rFonts w:cstheme="minorHAnsi"/>
        </w:rPr>
      </w:pPr>
      <w:r w:rsidRPr="00417CB1">
        <w:rPr>
          <w:rFonts w:cstheme="minorHAnsi"/>
        </w:rPr>
        <w:lastRenderedPageBreak/>
        <w:t>V rámci hodnocení pro</w:t>
      </w:r>
      <w:r>
        <w:rPr>
          <w:rFonts w:cstheme="minorHAnsi"/>
        </w:rPr>
        <w:t>j</w:t>
      </w:r>
      <w:r w:rsidRPr="00417CB1">
        <w:rPr>
          <w:rFonts w:cstheme="minorHAnsi"/>
        </w:rPr>
        <w:t xml:space="preserve">ektových žádostí </w:t>
      </w:r>
      <w:r w:rsidR="00677A78">
        <w:rPr>
          <w:rFonts w:cstheme="minorHAnsi"/>
        </w:rPr>
        <w:t>stanovilo</w:t>
      </w:r>
      <w:r w:rsidR="00525D9A">
        <w:rPr>
          <w:rFonts w:cstheme="minorHAnsi"/>
        </w:rPr>
        <w:t xml:space="preserve"> HMP</w:t>
      </w:r>
      <w:r w:rsidRPr="00417CB1">
        <w:rPr>
          <w:rFonts w:cstheme="minorHAnsi"/>
        </w:rPr>
        <w:t xml:space="preserve"> </w:t>
      </w:r>
      <w:r w:rsidRPr="00640AC0">
        <w:rPr>
          <w:rFonts w:cstheme="minorHAnsi"/>
          <w:b/>
        </w:rPr>
        <w:t>hodnot</w:t>
      </w:r>
      <w:r w:rsidR="00E67C7D">
        <w:rPr>
          <w:rFonts w:cstheme="minorHAnsi"/>
          <w:b/>
        </w:rPr>
        <w:t>i</w:t>
      </w:r>
      <w:r w:rsidRPr="00640AC0">
        <w:rPr>
          <w:rFonts w:cstheme="minorHAnsi"/>
          <w:b/>
        </w:rPr>
        <w:t xml:space="preserve">cí kritérium komplementarity, které v celém procesu hodnocení formou přidělování bodů mělo </w:t>
      </w:r>
      <w:r w:rsidR="00F008C8">
        <w:rPr>
          <w:rFonts w:cstheme="minorHAnsi"/>
          <w:b/>
        </w:rPr>
        <w:t xml:space="preserve">jen </w:t>
      </w:r>
      <w:r w:rsidRPr="00640AC0">
        <w:rPr>
          <w:rFonts w:cstheme="minorHAnsi"/>
          <w:b/>
        </w:rPr>
        <w:t>zanedbatelný význam.</w:t>
      </w:r>
      <w:r w:rsidRPr="00417CB1">
        <w:rPr>
          <w:rFonts w:cstheme="minorHAnsi"/>
        </w:rPr>
        <w:t xml:space="preserve"> HMP tak nezajistil</w:t>
      </w:r>
      <w:r w:rsidR="00DC3CFE">
        <w:rPr>
          <w:rFonts w:cstheme="minorHAnsi"/>
        </w:rPr>
        <w:t>o</w:t>
      </w:r>
      <w:r w:rsidRPr="00417CB1">
        <w:rPr>
          <w:rFonts w:cstheme="minorHAnsi"/>
        </w:rPr>
        <w:t xml:space="preserve">, aby byly k financování </w:t>
      </w:r>
      <w:r w:rsidR="00400674" w:rsidRPr="00417CB1">
        <w:rPr>
          <w:rFonts w:cstheme="minorHAnsi"/>
        </w:rPr>
        <w:t xml:space="preserve">vybírány </w:t>
      </w:r>
      <w:r w:rsidR="00B13A72" w:rsidRPr="00417CB1">
        <w:rPr>
          <w:rFonts w:cstheme="minorHAnsi"/>
        </w:rPr>
        <w:t xml:space="preserve">především </w:t>
      </w:r>
      <w:r w:rsidRPr="00417CB1">
        <w:rPr>
          <w:rFonts w:cstheme="minorHAnsi"/>
        </w:rPr>
        <w:t xml:space="preserve">projekty, jejichž přínos by byl </w:t>
      </w:r>
      <w:r w:rsidR="00B13A72">
        <w:rPr>
          <w:rFonts w:cstheme="minorHAnsi"/>
        </w:rPr>
        <w:t xml:space="preserve">významnější </w:t>
      </w:r>
      <w:r w:rsidRPr="00417CB1">
        <w:rPr>
          <w:rFonts w:cstheme="minorHAnsi"/>
        </w:rPr>
        <w:t>v důsledku kompleme</w:t>
      </w:r>
      <w:r w:rsidR="00B03C76">
        <w:rPr>
          <w:rFonts w:cstheme="minorHAnsi"/>
        </w:rPr>
        <w:t>n</w:t>
      </w:r>
      <w:r w:rsidRPr="00417CB1">
        <w:rPr>
          <w:rFonts w:cstheme="minorHAnsi"/>
        </w:rPr>
        <w:t>tárních vazeb s jinými projekty</w:t>
      </w:r>
      <w:r w:rsidR="00640AC0">
        <w:rPr>
          <w:rFonts w:cstheme="minorHAnsi"/>
        </w:rPr>
        <w:t xml:space="preserve"> </w:t>
      </w:r>
      <w:r w:rsidR="00F008C8">
        <w:rPr>
          <w:rFonts w:cstheme="minorHAnsi"/>
        </w:rPr>
        <w:t xml:space="preserve">(projekty z PO 3 </w:t>
      </w:r>
      <w:r w:rsidR="00677A78">
        <w:rPr>
          <w:rFonts w:cstheme="minorHAnsi"/>
        </w:rPr>
        <w:t>OP </w:t>
      </w:r>
      <w:r w:rsidRPr="00417CB1">
        <w:rPr>
          <w:rFonts w:cstheme="minorHAnsi"/>
        </w:rPr>
        <w:t xml:space="preserve">VVV nebo </w:t>
      </w:r>
      <w:r w:rsidR="00B13A72">
        <w:rPr>
          <w:rFonts w:cstheme="minorHAnsi"/>
        </w:rPr>
        <w:t xml:space="preserve">projekty </w:t>
      </w:r>
      <w:r w:rsidR="00C038CE">
        <w:rPr>
          <w:rFonts w:cstheme="minorHAnsi"/>
        </w:rPr>
        <w:t>z PO 4 OP </w:t>
      </w:r>
      <w:r w:rsidR="00F008C8">
        <w:rPr>
          <w:rFonts w:cstheme="minorHAnsi"/>
        </w:rPr>
        <w:t xml:space="preserve">PPR v rámci </w:t>
      </w:r>
      <w:r w:rsidRPr="00417CB1">
        <w:rPr>
          <w:rFonts w:cstheme="minorHAnsi"/>
        </w:rPr>
        <w:t>SC 4.1</w:t>
      </w:r>
      <w:r w:rsidR="00F008C8">
        <w:rPr>
          <w:rFonts w:cstheme="minorHAnsi"/>
        </w:rPr>
        <w:t xml:space="preserve">). </w:t>
      </w:r>
      <w:r>
        <w:rPr>
          <w:rFonts w:cstheme="minorHAnsi"/>
        </w:rPr>
        <w:t>V</w:t>
      </w:r>
      <w:r w:rsidRPr="00417CB1">
        <w:rPr>
          <w:rFonts w:cstheme="minorHAnsi"/>
        </w:rPr>
        <w:t xml:space="preserve"> rámci výzvy </w:t>
      </w:r>
      <w:r w:rsidR="00563C32">
        <w:rPr>
          <w:rFonts w:cstheme="minorHAnsi"/>
        </w:rPr>
        <w:t xml:space="preserve">č. </w:t>
      </w:r>
      <w:r w:rsidR="00B862A4">
        <w:rPr>
          <w:rFonts w:cstheme="minorHAnsi"/>
        </w:rPr>
        <w:t>07_</w:t>
      </w:r>
      <w:r w:rsidR="00563C32">
        <w:rPr>
          <w:rFonts w:cstheme="minorHAnsi"/>
        </w:rPr>
        <w:t>15_005 t</w:t>
      </w:r>
      <w:r>
        <w:rPr>
          <w:rFonts w:cstheme="minorHAnsi"/>
        </w:rPr>
        <w:t xml:space="preserve">ak </w:t>
      </w:r>
      <w:r w:rsidRPr="00417CB1">
        <w:rPr>
          <w:rFonts w:cstheme="minorHAnsi"/>
        </w:rPr>
        <w:t xml:space="preserve">nebyl podpořen žádný projekt, který by byl komplementární s jiným projektem podpořeným </w:t>
      </w:r>
      <w:r w:rsidR="00563C32">
        <w:rPr>
          <w:rFonts w:cstheme="minorHAnsi"/>
        </w:rPr>
        <w:t>ve výzvách v rámci S</w:t>
      </w:r>
      <w:r w:rsidRPr="00417CB1">
        <w:rPr>
          <w:rFonts w:cstheme="minorHAnsi"/>
        </w:rPr>
        <w:t>C 4.1</w:t>
      </w:r>
      <w:r w:rsidR="00563C32">
        <w:rPr>
          <w:rFonts w:cstheme="minorHAnsi"/>
        </w:rPr>
        <w:t xml:space="preserve">. </w:t>
      </w:r>
      <w:r w:rsidRPr="00640AC0">
        <w:rPr>
          <w:rFonts w:cstheme="minorHAnsi"/>
          <w:b/>
        </w:rPr>
        <w:t xml:space="preserve">U </w:t>
      </w:r>
      <w:proofErr w:type="gramStart"/>
      <w:r w:rsidRPr="00640AC0">
        <w:rPr>
          <w:rFonts w:cstheme="minorHAnsi"/>
          <w:b/>
        </w:rPr>
        <w:t xml:space="preserve">žádného </w:t>
      </w:r>
      <w:r w:rsidR="006C5CEA">
        <w:rPr>
          <w:rFonts w:cstheme="minorHAnsi"/>
          <w:b/>
        </w:rPr>
        <w:t>z 41</w:t>
      </w:r>
      <w:proofErr w:type="gramEnd"/>
      <w:r w:rsidR="006C5CEA">
        <w:rPr>
          <w:rFonts w:cstheme="minorHAnsi"/>
          <w:b/>
        </w:rPr>
        <w:t xml:space="preserve"> </w:t>
      </w:r>
      <w:r w:rsidRPr="00640AC0">
        <w:rPr>
          <w:rFonts w:cstheme="minorHAnsi"/>
          <w:b/>
        </w:rPr>
        <w:t>projekt</w:t>
      </w:r>
      <w:r w:rsidR="0076229A">
        <w:rPr>
          <w:rFonts w:cstheme="minorHAnsi"/>
          <w:b/>
        </w:rPr>
        <w:t>ů</w:t>
      </w:r>
      <w:r w:rsidRPr="00640AC0">
        <w:rPr>
          <w:rFonts w:cstheme="minorHAnsi"/>
          <w:b/>
        </w:rPr>
        <w:t xml:space="preserve"> z výzvy </w:t>
      </w:r>
      <w:r w:rsidR="00B862A4">
        <w:rPr>
          <w:rFonts w:cstheme="minorHAnsi"/>
          <w:b/>
        </w:rPr>
        <w:t>07_15_005</w:t>
      </w:r>
      <w:r w:rsidRPr="00640AC0">
        <w:rPr>
          <w:rFonts w:cstheme="minorHAnsi"/>
          <w:b/>
        </w:rPr>
        <w:t xml:space="preserve"> OP PPR nebyla prokazatelně doložena ani komplementární vazba s jiným projektem podpořeným z prioritní osy 3 OP VVV.</w:t>
      </w:r>
    </w:p>
    <w:p w14:paraId="1445FD89" w14:textId="04FD373B" w:rsidR="001C437F" w:rsidRPr="00246731" w:rsidRDefault="001C437F" w:rsidP="00987B74">
      <w:pPr>
        <w:pStyle w:val="Nadpis4"/>
      </w:pPr>
      <w:proofErr w:type="gramStart"/>
      <w:r w:rsidRPr="00246731">
        <w:t>IV.</w:t>
      </w:r>
      <w:r w:rsidR="00B42443" w:rsidRPr="00246731">
        <w:t>1</w:t>
      </w:r>
      <w:r w:rsidRPr="00246731">
        <w:t>.</w:t>
      </w:r>
      <w:r w:rsidR="00B42443" w:rsidRPr="00246731">
        <w:t>2</w:t>
      </w:r>
      <w:r w:rsidRPr="00246731">
        <w:t>.3</w:t>
      </w:r>
      <w:proofErr w:type="gramEnd"/>
      <w:r w:rsidR="00B21B1C">
        <w:t xml:space="preserve"> </w:t>
      </w:r>
      <w:r w:rsidR="00B21B1C" w:rsidRPr="00C64A07">
        <w:rPr>
          <w:i/>
        </w:rPr>
        <w:t>Ministerstvo pro místní rozvoj a Centrum pro regionální rozvoj České republiky</w:t>
      </w:r>
    </w:p>
    <w:p w14:paraId="2CCCC540" w14:textId="798AAA94" w:rsidR="008B7C7F" w:rsidRDefault="006A23B8" w:rsidP="008B7C7F">
      <w:pPr>
        <w:rPr>
          <w:rFonts w:cstheme="minorHAnsi"/>
          <w:b/>
        </w:rPr>
      </w:pPr>
      <w:r w:rsidRPr="006A23B8">
        <w:rPr>
          <w:rFonts w:cstheme="minorHAnsi"/>
        </w:rPr>
        <w:t xml:space="preserve">Projekty z kontrolovaných výzev </w:t>
      </w:r>
      <w:r w:rsidR="00A5378C">
        <w:rPr>
          <w:rFonts w:cstheme="minorHAnsi"/>
        </w:rPr>
        <w:t xml:space="preserve">č. </w:t>
      </w:r>
      <w:r w:rsidR="00A5378C" w:rsidRPr="00A5378C">
        <w:rPr>
          <w:rFonts w:cstheme="minorHAnsi"/>
        </w:rPr>
        <w:t>06_16_0</w:t>
      </w:r>
      <w:r w:rsidR="00A5378C">
        <w:rPr>
          <w:rFonts w:cstheme="minorHAnsi"/>
        </w:rPr>
        <w:t xml:space="preserve">49 a </w:t>
      </w:r>
      <w:r w:rsidR="00E40694">
        <w:rPr>
          <w:rFonts w:cstheme="minorHAnsi"/>
        </w:rPr>
        <w:t xml:space="preserve">č. </w:t>
      </w:r>
      <w:r w:rsidR="00A5378C">
        <w:rPr>
          <w:rFonts w:cstheme="minorHAnsi"/>
        </w:rPr>
        <w:t>0</w:t>
      </w:r>
      <w:r w:rsidR="00A5378C" w:rsidRPr="00A5378C">
        <w:rPr>
          <w:rFonts w:cstheme="minorHAnsi"/>
        </w:rPr>
        <w:t>6_16_050</w:t>
      </w:r>
      <w:r w:rsidR="00E40694">
        <w:rPr>
          <w:rFonts w:cstheme="minorHAnsi"/>
        </w:rPr>
        <w:t xml:space="preserve"> (výzva p</w:t>
      </w:r>
      <w:r w:rsidR="00A5378C">
        <w:rPr>
          <w:rFonts w:cstheme="minorHAnsi"/>
        </w:rPr>
        <w:t>ro SVL</w:t>
      </w:r>
      <w:r w:rsidR="00E40694">
        <w:rPr>
          <w:rFonts w:cstheme="minorHAnsi"/>
        </w:rPr>
        <w:t>)</w:t>
      </w:r>
      <w:r w:rsidR="00A5378C">
        <w:rPr>
          <w:rFonts w:cstheme="minorHAnsi"/>
        </w:rPr>
        <w:t xml:space="preserve"> </w:t>
      </w:r>
      <w:r w:rsidRPr="006A23B8">
        <w:rPr>
          <w:rFonts w:cstheme="minorHAnsi"/>
        </w:rPr>
        <w:t>byly k financování vybírán</w:t>
      </w:r>
      <w:r w:rsidR="00280839">
        <w:rPr>
          <w:rFonts w:cstheme="minorHAnsi"/>
        </w:rPr>
        <w:t>y na základě výsledků hodnocení př</w:t>
      </w:r>
      <w:r w:rsidRPr="006A23B8">
        <w:rPr>
          <w:rFonts w:cstheme="minorHAnsi"/>
        </w:rPr>
        <w:t>ijatelnosti</w:t>
      </w:r>
      <w:r w:rsidR="00F008C8">
        <w:rPr>
          <w:rFonts w:cstheme="minorHAnsi"/>
        </w:rPr>
        <w:t xml:space="preserve">, </w:t>
      </w:r>
      <w:r w:rsidR="00C06147">
        <w:rPr>
          <w:rFonts w:cstheme="minorHAnsi"/>
        </w:rPr>
        <w:t>formálních náležitostí a </w:t>
      </w:r>
      <w:r w:rsidRPr="006A23B8">
        <w:rPr>
          <w:rFonts w:cstheme="minorHAnsi"/>
        </w:rPr>
        <w:t>věcné</w:t>
      </w:r>
      <w:r w:rsidR="0071443C">
        <w:rPr>
          <w:rFonts w:cstheme="minorHAnsi"/>
        </w:rPr>
        <w:t>ho</w:t>
      </w:r>
      <w:r w:rsidRPr="006A23B8">
        <w:rPr>
          <w:rFonts w:cstheme="minorHAnsi"/>
        </w:rPr>
        <w:t xml:space="preserve"> hodnocení. </w:t>
      </w:r>
      <w:r w:rsidR="00280839">
        <w:rPr>
          <w:rFonts w:cstheme="minorHAnsi"/>
        </w:rPr>
        <w:t xml:space="preserve">U těchto dvou </w:t>
      </w:r>
      <w:r w:rsidRPr="006A23B8">
        <w:rPr>
          <w:rFonts w:cstheme="minorHAnsi"/>
        </w:rPr>
        <w:t xml:space="preserve">kontrolovaných výzev </w:t>
      </w:r>
      <w:r w:rsidR="00280839">
        <w:rPr>
          <w:rFonts w:cstheme="minorHAnsi"/>
        </w:rPr>
        <w:t xml:space="preserve">byla schválena </w:t>
      </w:r>
      <w:r w:rsidRPr="006A23B8">
        <w:rPr>
          <w:rFonts w:cstheme="minorHAnsi"/>
        </w:rPr>
        <w:t xml:space="preserve">také dvě duplicitní kritéria hodnotící schopnost příjemce projekt realizovat. </w:t>
      </w:r>
      <w:r w:rsidRPr="00A5378C">
        <w:rPr>
          <w:rFonts w:cstheme="minorHAnsi"/>
        </w:rPr>
        <w:t xml:space="preserve">Kontrolou hodnocení projektových žádostí </w:t>
      </w:r>
      <w:r w:rsidR="00A5378C" w:rsidRPr="00A5378C">
        <w:rPr>
          <w:rFonts w:cstheme="minorHAnsi"/>
        </w:rPr>
        <w:t xml:space="preserve">bylo </w:t>
      </w:r>
      <w:r w:rsidR="00A5378C">
        <w:rPr>
          <w:rFonts w:cstheme="minorHAnsi"/>
        </w:rPr>
        <w:t xml:space="preserve">ověřeno, </w:t>
      </w:r>
      <w:r w:rsidRPr="00A5378C">
        <w:rPr>
          <w:rFonts w:cstheme="minorHAnsi"/>
        </w:rPr>
        <w:t xml:space="preserve">že obě kritéria byla posuzována </w:t>
      </w:r>
      <w:r w:rsidR="00E67C7D">
        <w:rPr>
          <w:rFonts w:cstheme="minorHAnsi"/>
        </w:rPr>
        <w:t>u všech projektů shodně</w:t>
      </w:r>
      <w:r w:rsidRPr="00A5378C">
        <w:rPr>
          <w:rFonts w:cstheme="minorHAnsi"/>
        </w:rPr>
        <w:t xml:space="preserve"> a všem projektům byly přiděleny body ve stejné výši. </w:t>
      </w:r>
      <w:r w:rsidR="008B7C7F" w:rsidRPr="00640AC0">
        <w:rPr>
          <w:rFonts w:cstheme="minorHAnsi"/>
          <w:b/>
        </w:rPr>
        <w:t xml:space="preserve">CRR </w:t>
      </w:r>
      <w:r w:rsidR="00206E9C">
        <w:rPr>
          <w:rFonts w:cstheme="minorHAnsi"/>
          <w:b/>
        </w:rPr>
        <w:t xml:space="preserve">ČR </w:t>
      </w:r>
      <w:r w:rsidR="008B7C7F" w:rsidRPr="00640AC0">
        <w:rPr>
          <w:rFonts w:cstheme="minorHAnsi"/>
          <w:b/>
        </w:rPr>
        <w:t>při hodnocení projekt</w:t>
      </w:r>
      <w:r w:rsidR="00C06147">
        <w:rPr>
          <w:rFonts w:cstheme="minorHAnsi"/>
          <w:b/>
        </w:rPr>
        <w:t>ových žádostí a </w:t>
      </w:r>
      <w:r w:rsidR="009F7A39">
        <w:rPr>
          <w:rFonts w:cstheme="minorHAnsi"/>
          <w:b/>
        </w:rPr>
        <w:t>jejich výběru k </w:t>
      </w:r>
      <w:r w:rsidR="008B7C7F" w:rsidRPr="00640AC0">
        <w:rPr>
          <w:rFonts w:cstheme="minorHAnsi"/>
          <w:b/>
        </w:rPr>
        <w:t>realizaci postupoval</w:t>
      </w:r>
      <w:r w:rsidR="00E67C7D">
        <w:rPr>
          <w:rFonts w:cstheme="minorHAnsi"/>
          <w:b/>
        </w:rPr>
        <w:t>o</w:t>
      </w:r>
      <w:r w:rsidR="008B7C7F" w:rsidRPr="00640AC0">
        <w:rPr>
          <w:rFonts w:cstheme="minorHAnsi"/>
          <w:b/>
        </w:rPr>
        <w:t xml:space="preserve"> v souladu s nastavenými pravidly IROP. </w:t>
      </w:r>
    </w:p>
    <w:p w14:paraId="0457461D" w14:textId="77777777" w:rsidR="00DA1B53" w:rsidRPr="00640AC0" w:rsidRDefault="00DA1B53" w:rsidP="00DA1B53">
      <w:pPr>
        <w:spacing w:after="0"/>
        <w:rPr>
          <w:rFonts w:cstheme="minorHAnsi"/>
          <w:b/>
        </w:rPr>
      </w:pPr>
    </w:p>
    <w:p w14:paraId="31DF5C4D" w14:textId="5D9D8D9F" w:rsidR="00F87FD8" w:rsidRPr="006C5CE9" w:rsidRDefault="0099387D" w:rsidP="00136EF9">
      <w:pPr>
        <w:pStyle w:val="Nadpis3"/>
        <w:rPr>
          <w:strike/>
        </w:rPr>
      </w:pPr>
      <w:proofErr w:type="gramStart"/>
      <w:r w:rsidRPr="00C44DB2">
        <w:t>IV.1.3</w:t>
      </w:r>
      <w:proofErr w:type="gramEnd"/>
      <w:r w:rsidRPr="00C44DB2">
        <w:t xml:space="preserve"> </w:t>
      </w:r>
      <w:r w:rsidR="003C4130" w:rsidRPr="00C44DB2">
        <w:t>Poskytovatelé dotací se při provádění kontrol dopouštěli chyb</w:t>
      </w:r>
    </w:p>
    <w:p w14:paraId="3249A29E" w14:textId="698B417F" w:rsidR="00B42443" w:rsidRPr="00246731" w:rsidRDefault="00B42443" w:rsidP="00987B74">
      <w:pPr>
        <w:pStyle w:val="Nadpis4"/>
      </w:pPr>
      <w:proofErr w:type="gramStart"/>
      <w:r w:rsidRPr="00246731">
        <w:t>IV.1.3.1</w:t>
      </w:r>
      <w:proofErr w:type="gramEnd"/>
      <w:r w:rsidRPr="00246731">
        <w:t xml:space="preserve"> </w:t>
      </w:r>
      <w:r w:rsidR="00B21B1C" w:rsidRPr="00C64A07">
        <w:rPr>
          <w:rFonts w:ascii="Calibri" w:hAnsi="Calibri" w:cs="Calibri"/>
          <w:i/>
        </w:rPr>
        <w:t>Ministerstvo školství, mládeže a tělovýchovy</w:t>
      </w:r>
    </w:p>
    <w:p w14:paraId="366CF48B" w14:textId="1E5C8828" w:rsidR="00045714" w:rsidRPr="00045714" w:rsidRDefault="00045714" w:rsidP="00045714">
      <w:r w:rsidRPr="00045714">
        <w:t>NKÚ neshledal podstatné nedo</w:t>
      </w:r>
      <w:r>
        <w:t xml:space="preserve">statky v nastavení pravidel pro kontroly na místě ani </w:t>
      </w:r>
      <w:r w:rsidR="00C06147">
        <w:t>pro</w:t>
      </w:r>
      <w:r w:rsidR="005E0801">
        <w:t xml:space="preserve"> </w:t>
      </w:r>
      <w:r w:rsidR="007A43C8">
        <w:t xml:space="preserve">administrativní ověření zpráv o realizaci (dále též </w:t>
      </w:r>
      <w:r w:rsidR="00271564">
        <w:t>„</w:t>
      </w:r>
      <w:proofErr w:type="spellStart"/>
      <w:r w:rsidR="007A43C8">
        <w:t>ZoR</w:t>
      </w:r>
      <w:proofErr w:type="spellEnd"/>
      <w:r w:rsidR="007A43C8">
        <w:t>“) a žádostí o platbu (dále též „</w:t>
      </w:r>
      <w:proofErr w:type="spellStart"/>
      <w:r w:rsidR="007A43C8">
        <w:t>ŽoP</w:t>
      </w:r>
      <w:proofErr w:type="spellEnd"/>
      <w:r w:rsidR="007A43C8">
        <w:t xml:space="preserve">“). </w:t>
      </w:r>
    </w:p>
    <w:p w14:paraId="5C34D981" w14:textId="5EE02E9C" w:rsidR="00B1568C" w:rsidRDefault="00045714" w:rsidP="00B73D57">
      <w:pPr>
        <w:spacing w:after="0"/>
      </w:pPr>
      <w:r w:rsidRPr="00045714">
        <w:t>NKÚ však zjistil nedostatky v</w:t>
      </w:r>
      <w:r w:rsidR="00FC5946">
        <w:t xml:space="preserve"> samotném </w:t>
      </w:r>
      <w:r w:rsidRPr="00045714">
        <w:t xml:space="preserve">provádění administrativních kontrol </w:t>
      </w:r>
      <w:proofErr w:type="spellStart"/>
      <w:r w:rsidRPr="00045714">
        <w:t>ZoR</w:t>
      </w:r>
      <w:proofErr w:type="spellEnd"/>
      <w:r w:rsidRPr="00045714">
        <w:t xml:space="preserve"> a </w:t>
      </w:r>
      <w:proofErr w:type="spellStart"/>
      <w:r w:rsidRPr="00045714">
        <w:t>ŽoP</w:t>
      </w:r>
      <w:proofErr w:type="spellEnd"/>
      <w:r w:rsidR="00C06147">
        <w:t xml:space="preserve"> ze</w:t>
      </w:r>
      <w:r w:rsidR="005E0801">
        <w:t xml:space="preserve"> </w:t>
      </w:r>
      <w:r w:rsidR="00AE0B44">
        <w:t>strany MŠMT:</w:t>
      </w:r>
    </w:p>
    <w:p w14:paraId="50CEDBB0" w14:textId="2E1E3261" w:rsidR="007A43C8" w:rsidRPr="007A43C8" w:rsidRDefault="006135A5" w:rsidP="00B73D57">
      <w:pPr>
        <w:pStyle w:val="Odstavecseseznamem"/>
        <w:numPr>
          <w:ilvl w:val="0"/>
          <w:numId w:val="19"/>
        </w:numPr>
        <w:spacing w:after="0"/>
        <w:contextualSpacing/>
        <w:rPr>
          <w:b/>
        </w:rPr>
      </w:pPr>
      <w:r>
        <w:rPr>
          <w:b/>
        </w:rPr>
        <w:t>n</w:t>
      </w:r>
      <w:r w:rsidR="007A43C8" w:rsidRPr="007A43C8">
        <w:rPr>
          <w:b/>
        </w:rPr>
        <w:t>eodhalení nezpůsobilých výdajů</w:t>
      </w:r>
      <w:r>
        <w:rPr>
          <w:b/>
        </w:rPr>
        <w:t xml:space="preserve"> –</w:t>
      </w:r>
      <w:r w:rsidR="007A43C8" w:rsidRPr="007A43C8">
        <w:rPr>
          <w:b/>
        </w:rPr>
        <w:t xml:space="preserve"> překročení povolené výše úvazku</w:t>
      </w:r>
      <w:r w:rsidR="0076229A">
        <w:rPr>
          <w:b/>
        </w:rPr>
        <w:t>,</w:t>
      </w:r>
      <w:r w:rsidR="007A43C8" w:rsidRPr="007A43C8">
        <w:rPr>
          <w:b/>
        </w:rPr>
        <w:t xml:space="preserve"> neoprávněně nárokované výdaje za mzdové příspěvky a </w:t>
      </w:r>
      <w:r w:rsidR="007A43C8">
        <w:rPr>
          <w:b/>
        </w:rPr>
        <w:t>n</w:t>
      </w:r>
      <w:r w:rsidR="007A43C8" w:rsidRPr="007A43C8">
        <w:rPr>
          <w:b/>
        </w:rPr>
        <w:t>epodložení části výdaje účetním dokladem</w:t>
      </w:r>
      <w:r w:rsidR="0076229A">
        <w:rPr>
          <w:b/>
        </w:rPr>
        <w:t>;</w:t>
      </w:r>
      <w:r w:rsidR="007A43C8" w:rsidRPr="007A43C8">
        <w:rPr>
          <w:b/>
        </w:rPr>
        <w:t xml:space="preserve"> </w:t>
      </w:r>
    </w:p>
    <w:p w14:paraId="59E24D00" w14:textId="4FC7B2CE" w:rsidR="007A43C8" w:rsidRPr="00D15207" w:rsidRDefault="006135A5" w:rsidP="00B73D57">
      <w:pPr>
        <w:pStyle w:val="Odstavecseseznamem"/>
        <w:numPr>
          <w:ilvl w:val="0"/>
          <w:numId w:val="19"/>
        </w:numPr>
        <w:spacing w:after="0"/>
        <w:contextualSpacing/>
      </w:pPr>
      <w:r>
        <w:t>a</w:t>
      </w:r>
      <w:r w:rsidR="007A43C8" w:rsidRPr="00D15207">
        <w:t>bsenc</w:t>
      </w:r>
      <w:r>
        <w:t>i</w:t>
      </w:r>
      <w:r w:rsidR="007A43C8" w:rsidRPr="00D15207">
        <w:t xml:space="preserve"> dokladů </w:t>
      </w:r>
      <w:r w:rsidR="004C74CF">
        <w:t>v </w:t>
      </w:r>
      <w:proofErr w:type="spellStart"/>
      <w:proofErr w:type="gramStart"/>
      <w:r w:rsidR="004C74CF">
        <w:t>ŽoP</w:t>
      </w:r>
      <w:proofErr w:type="spellEnd"/>
      <w:proofErr w:type="gramEnd"/>
      <w:r w:rsidR="004C74CF">
        <w:t xml:space="preserve"> </w:t>
      </w:r>
      <w:r w:rsidR="007A43C8" w:rsidRPr="00D15207">
        <w:t xml:space="preserve">prokazujících způsobilost </w:t>
      </w:r>
      <w:r w:rsidR="004C74CF">
        <w:t xml:space="preserve">jiných než </w:t>
      </w:r>
      <w:r w:rsidR="007A43C8" w:rsidRPr="00D15207">
        <w:t xml:space="preserve">mzdových </w:t>
      </w:r>
      <w:r w:rsidR="00525D9A">
        <w:t>výdajů</w:t>
      </w:r>
      <w:r w:rsidR="004C74CF">
        <w:t xml:space="preserve">; </w:t>
      </w:r>
    </w:p>
    <w:p w14:paraId="6EB51DDD" w14:textId="3B236021" w:rsidR="007A43C8" w:rsidRPr="00D15207" w:rsidRDefault="006135A5" w:rsidP="00B73D57">
      <w:pPr>
        <w:pStyle w:val="Odstavecseseznamem"/>
        <w:numPr>
          <w:ilvl w:val="0"/>
          <w:numId w:val="19"/>
        </w:numPr>
        <w:spacing w:after="0"/>
        <w:contextualSpacing/>
      </w:pPr>
      <w:r>
        <w:t>n</w:t>
      </w:r>
      <w:r w:rsidR="007A43C8" w:rsidRPr="00D15207">
        <w:t>edůslednost – administrativní chyby v procesu ověřování</w:t>
      </w:r>
      <w:r w:rsidR="0076229A">
        <w:t>;</w:t>
      </w:r>
    </w:p>
    <w:p w14:paraId="35478F36" w14:textId="3F2FAF6C" w:rsidR="007A43C8" w:rsidRPr="00D15207" w:rsidRDefault="006135A5" w:rsidP="00B73D57">
      <w:pPr>
        <w:pStyle w:val="Odstavecseseznamem"/>
        <w:numPr>
          <w:ilvl w:val="0"/>
          <w:numId w:val="19"/>
        </w:numPr>
        <w:contextualSpacing/>
      </w:pPr>
      <w:r>
        <w:t>c</w:t>
      </w:r>
      <w:r w:rsidR="007A43C8" w:rsidRPr="00D15207">
        <w:t>hybějící auditní stop</w:t>
      </w:r>
      <w:r>
        <w:t>u</w:t>
      </w:r>
      <w:r w:rsidR="007A43C8" w:rsidRPr="00D15207">
        <w:t xml:space="preserve"> u podkladů k</w:t>
      </w:r>
      <w:r w:rsidR="00127519">
        <w:t> </w:t>
      </w:r>
      <w:proofErr w:type="spellStart"/>
      <w:proofErr w:type="gramStart"/>
      <w:r w:rsidR="007A43C8" w:rsidRPr="00D15207">
        <w:t>ZoR</w:t>
      </w:r>
      <w:proofErr w:type="spellEnd"/>
      <w:proofErr w:type="gramEnd"/>
      <w:r w:rsidR="00127519">
        <w:t>.</w:t>
      </w:r>
    </w:p>
    <w:p w14:paraId="6ED36536" w14:textId="195EB34E" w:rsidR="00A876BE" w:rsidRPr="0084327A" w:rsidRDefault="0084327A" w:rsidP="00E67C7D">
      <w:pPr>
        <w:rPr>
          <w:b/>
        </w:rPr>
      </w:pPr>
      <w:r>
        <w:t xml:space="preserve">Některé chybné postupy </w:t>
      </w:r>
      <w:r w:rsidR="00B73D57">
        <w:t>MŠMT</w:t>
      </w:r>
      <w:r>
        <w:t xml:space="preserve"> vedly ke vzniku nesrovnalosti. </w:t>
      </w:r>
      <w:r w:rsidR="00A876BE" w:rsidRPr="00901BF4">
        <w:t xml:space="preserve">Míra významnosti finančního objemu vyčíslených zjištěných nedostatků ve vztahu ke kontrolovanému finančnímu objemu </w:t>
      </w:r>
      <w:r w:rsidR="00A876BE" w:rsidRPr="00901BF4">
        <w:rPr>
          <w:rFonts w:ascii="Calibri" w:hAnsi="Calibri" w:cs="Calibri"/>
        </w:rPr>
        <w:t>je nízká</w:t>
      </w:r>
      <w:r w:rsidR="00E67C7D">
        <w:rPr>
          <w:rFonts w:ascii="Calibri" w:hAnsi="Calibri" w:cs="Calibri"/>
        </w:rPr>
        <w:t>. S</w:t>
      </w:r>
      <w:r w:rsidR="00A876BE">
        <w:rPr>
          <w:rFonts w:ascii="Calibri" w:hAnsi="Calibri" w:cs="Calibri"/>
        </w:rPr>
        <w:t> ohledem na tut</w:t>
      </w:r>
      <w:r w:rsidR="00E67C7D">
        <w:rPr>
          <w:rFonts w:ascii="Calibri" w:hAnsi="Calibri" w:cs="Calibri"/>
        </w:rPr>
        <w:t>o</w:t>
      </w:r>
      <w:r w:rsidR="00A876BE">
        <w:rPr>
          <w:rFonts w:ascii="Calibri" w:hAnsi="Calibri" w:cs="Calibri"/>
        </w:rPr>
        <w:t xml:space="preserve"> skutečnost </w:t>
      </w:r>
      <w:r w:rsidR="00A876BE" w:rsidRPr="0084327A">
        <w:rPr>
          <w:b/>
        </w:rPr>
        <w:t>hodnotí NKÚ administrativní ověř</w:t>
      </w:r>
      <w:r w:rsidR="00C06147">
        <w:rPr>
          <w:b/>
        </w:rPr>
        <w:t>ování v </w:t>
      </w:r>
      <w:r w:rsidR="00614FB5">
        <w:rPr>
          <w:b/>
        </w:rPr>
        <w:t>rámci PO</w:t>
      </w:r>
      <w:r w:rsidR="00372AEA">
        <w:rPr>
          <w:b/>
        </w:rPr>
        <w:t> </w:t>
      </w:r>
      <w:r w:rsidR="00614FB5">
        <w:rPr>
          <w:b/>
        </w:rPr>
        <w:t>3</w:t>
      </w:r>
      <w:r w:rsidR="00372AEA">
        <w:rPr>
          <w:b/>
        </w:rPr>
        <w:t> </w:t>
      </w:r>
      <w:r w:rsidR="00614FB5">
        <w:rPr>
          <w:b/>
        </w:rPr>
        <w:t>OP </w:t>
      </w:r>
      <w:r w:rsidR="00A876BE" w:rsidRPr="0084327A">
        <w:rPr>
          <w:b/>
        </w:rPr>
        <w:t>VVV jako účinn</w:t>
      </w:r>
      <w:r w:rsidR="00064770">
        <w:rPr>
          <w:b/>
        </w:rPr>
        <w:t>é</w:t>
      </w:r>
      <w:r w:rsidR="00A876BE" w:rsidRPr="0084327A">
        <w:rPr>
          <w:b/>
        </w:rPr>
        <w:t xml:space="preserve"> s mírnými nedostatky.</w:t>
      </w:r>
    </w:p>
    <w:p w14:paraId="0BC92EC3" w14:textId="32B5B14A" w:rsidR="00B42443" w:rsidRPr="00246731" w:rsidRDefault="00B42443" w:rsidP="00987B74">
      <w:pPr>
        <w:pStyle w:val="Nadpis4"/>
      </w:pPr>
      <w:proofErr w:type="gramStart"/>
      <w:r w:rsidRPr="00246731">
        <w:t>IV.1.3.2</w:t>
      </w:r>
      <w:proofErr w:type="gramEnd"/>
      <w:r w:rsidRPr="00246731">
        <w:t xml:space="preserve"> </w:t>
      </w:r>
      <w:r w:rsidR="00B21B1C" w:rsidRPr="00C64A07">
        <w:rPr>
          <w:i/>
        </w:rPr>
        <w:t>Hlavní město Praha</w:t>
      </w:r>
      <w:r w:rsidR="00AD6FD9" w:rsidRPr="00246731">
        <w:t xml:space="preserve"> </w:t>
      </w:r>
    </w:p>
    <w:p w14:paraId="5C6C226D" w14:textId="10FB8DA1" w:rsidR="00DF31BF" w:rsidRPr="00DF31BF" w:rsidRDefault="00DF31BF" w:rsidP="00DF31BF">
      <w:pPr>
        <w:rPr>
          <w:rFonts w:cstheme="minorHAnsi"/>
        </w:rPr>
      </w:pPr>
      <w:r w:rsidRPr="00DF31BF">
        <w:rPr>
          <w:b/>
        </w:rPr>
        <w:t>HMP provádělo nedostatečným způsobem administrativní kontrolu zpráv o realiz</w:t>
      </w:r>
      <w:r w:rsidR="00491AD6">
        <w:rPr>
          <w:b/>
        </w:rPr>
        <w:t>a</w:t>
      </w:r>
      <w:r w:rsidR="00C06147">
        <w:rPr>
          <w:b/>
        </w:rPr>
        <w:t>ci a </w:t>
      </w:r>
      <w:r w:rsidRPr="00DF31BF">
        <w:rPr>
          <w:b/>
        </w:rPr>
        <w:t>žádostí o platbu a</w:t>
      </w:r>
      <w:r w:rsidR="006135A5">
        <w:rPr>
          <w:b/>
        </w:rPr>
        <w:t xml:space="preserve"> v důsledku toho</w:t>
      </w:r>
      <w:r w:rsidRPr="00DF31BF">
        <w:rPr>
          <w:b/>
        </w:rPr>
        <w:t xml:space="preserve"> n</w:t>
      </w:r>
      <w:r w:rsidRPr="00DF31BF">
        <w:rPr>
          <w:rFonts w:cstheme="minorHAnsi"/>
          <w:b/>
        </w:rPr>
        <w:t xml:space="preserve">eodhalilo nezpůsobilé výdaje </w:t>
      </w:r>
      <w:r w:rsidRPr="00DF31BF">
        <w:rPr>
          <w:rFonts w:cstheme="minorHAnsi"/>
        </w:rPr>
        <w:t xml:space="preserve">v projektu </w:t>
      </w:r>
      <w:r w:rsidRPr="00D70221">
        <w:rPr>
          <w:rFonts w:cstheme="minorHAnsi"/>
          <w:i/>
        </w:rPr>
        <w:t>Rovnost a</w:t>
      </w:r>
      <w:r w:rsidR="006135A5">
        <w:rPr>
          <w:rFonts w:cstheme="minorHAnsi"/>
          <w:i/>
        </w:rPr>
        <w:t> </w:t>
      </w:r>
      <w:r w:rsidRPr="00D70221">
        <w:rPr>
          <w:rFonts w:cstheme="minorHAnsi"/>
          <w:i/>
        </w:rPr>
        <w:t>rozdílnost</w:t>
      </w:r>
      <w:r w:rsidR="00D6016D">
        <w:rPr>
          <w:rFonts w:cstheme="minorHAnsi"/>
          <w:i/>
        </w:rPr>
        <w:t xml:space="preserve"> </w:t>
      </w:r>
      <w:r w:rsidRPr="00D70221">
        <w:rPr>
          <w:rFonts w:cstheme="minorHAnsi"/>
          <w:i/>
        </w:rPr>
        <w:t>–</w:t>
      </w:r>
      <w:r w:rsidR="004E7F8C" w:rsidRPr="00D70221">
        <w:rPr>
          <w:rFonts w:cstheme="minorHAnsi"/>
          <w:i/>
        </w:rPr>
        <w:t xml:space="preserve"> </w:t>
      </w:r>
      <w:r w:rsidRPr="00D70221">
        <w:rPr>
          <w:rFonts w:cstheme="minorHAnsi"/>
          <w:i/>
        </w:rPr>
        <w:t>Komplexní podpora pedagogů při začleňování principů mul</w:t>
      </w:r>
      <w:r w:rsidR="00C06147" w:rsidRPr="00D70221">
        <w:rPr>
          <w:rFonts w:cstheme="minorHAnsi"/>
          <w:i/>
        </w:rPr>
        <w:t>tikulturní výchovy a</w:t>
      </w:r>
      <w:r w:rsidR="006135A5">
        <w:rPr>
          <w:rFonts w:cstheme="minorHAnsi"/>
          <w:i/>
        </w:rPr>
        <w:t> </w:t>
      </w:r>
      <w:r w:rsidR="00C06147" w:rsidRPr="00D70221">
        <w:rPr>
          <w:rFonts w:cstheme="minorHAnsi"/>
          <w:i/>
        </w:rPr>
        <w:t>inkluze do</w:t>
      </w:r>
      <w:r w:rsidR="004E7F8C" w:rsidRPr="00D70221">
        <w:rPr>
          <w:rFonts w:cstheme="minorHAnsi"/>
          <w:i/>
        </w:rPr>
        <w:t xml:space="preserve"> </w:t>
      </w:r>
      <w:r w:rsidRPr="00D70221">
        <w:rPr>
          <w:rFonts w:cstheme="minorHAnsi"/>
          <w:i/>
        </w:rPr>
        <w:t>života školy</w:t>
      </w:r>
      <w:r w:rsidRPr="00DF31BF">
        <w:rPr>
          <w:rFonts w:cstheme="minorHAnsi"/>
        </w:rPr>
        <w:t xml:space="preserve">. </w:t>
      </w:r>
      <w:r>
        <w:rPr>
          <w:rFonts w:cstheme="minorHAnsi"/>
        </w:rPr>
        <w:t>HMP příjemci schválilo a proplatilo výdaje za výukové materiály, které nesplňovaly podmínku účeln</w:t>
      </w:r>
      <w:r w:rsidR="00E958FD">
        <w:rPr>
          <w:rFonts w:cstheme="minorHAnsi"/>
        </w:rPr>
        <w:t xml:space="preserve">osti </w:t>
      </w:r>
      <w:r>
        <w:rPr>
          <w:rFonts w:cstheme="minorHAnsi"/>
        </w:rPr>
        <w:t>výdajů.</w:t>
      </w:r>
    </w:p>
    <w:p w14:paraId="5F5A1AD4" w14:textId="0F205B0D" w:rsidR="00E21F1C" w:rsidRPr="00DF31BF" w:rsidRDefault="00E21F1C" w:rsidP="00E21F1C">
      <w:pPr>
        <w:rPr>
          <w:rFonts w:cstheme="minorHAnsi"/>
          <w:strike/>
        </w:rPr>
      </w:pPr>
      <w:r w:rsidRPr="00DF31BF">
        <w:rPr>
          <w:rFonts w:cstheme="minorHAnsi"/>
        </w:rPr>
        <w:t>Ne</w:t>
      </w:r>
      <w:r w:rsidR="00614FB5">
        <w:rPr>
          <w:rFonts w:cstheme="minorHAnsi"/>
        </w:rPr>
        <w:t>dostatky zjištěné u projektů OP </w:t>
      </w:r>
      <w:r w:rsidRPr="00DF31BF">
        <w:rPr>
          <w:rFonts w:cstheme="minorHAnsi"/>
        </w:rPr>
        <w:t>PPR nemají z hlediska hladiny významnosti vliv na celkové hodnocení účelnosti vynakládání prostředků</w:t>
      </w:r>
      <w:r w:rsidR="00DF31BF" w:rsidRPr="00DF31BF">
        <w:rPr>
          <w:rFonts w:cstheme="minorHAnsi"/>
        </w:rPr>
        <w:t xml:space="preserve"> v rámci OP PPR</w:t>
      </w:r>
      <w:r w:rsidRPr="00DF31BF">
        <w:rPr>
          <w:rFonts w:cstheme="minorHAnsi"/>
        </w:rPr>
        <w:t xml:space="preserve">. </w:t>
      </w:r>
    </w:p>
    <w:p w14:paraId="61B4C168" w14:textId="7C318D25" w:rsidR="008E2212" w:rsidRDefault="00246731" w:rsidP="00D037A9">
      <w:pPr>
        <w:rPr>
          <w:rFonts w:cstheme="minorHAnsi"/>
        </w:rPr>
      </w:pPr>
      <w:r w:rsidRPr="00DF31BF">
        <w:rPr>
          <w:rFonts w:cstheme="minorHAnsi"/>
          <w:b/>
        </w:rPr>
        <w:lastRenderedPageBreak/>
        <w:t xml:space="preserve">HMP </w:t>
      </w:r>
      <w:r w:rsidRPr="006C233F">
        <w:rPr>
          <w:rFonts w:cstheme="minorHAnsi"/>
          <w:b/>
        </w:rPr>
        <w:t>nestanovil</w:t>
      </w:r>
      <w:r w:rsidR="006C233F" w:rsidRPr="006C233F">
        <w:rPr>
          <w:rFonts w:cstheme="minorHAnsi"/>
          <w:b/>
        </w:rPr>
        <w:t>o</w:t>
      </w:r>
      <w:r w:rsidRPr="006C233F">
        <w:rPr>
          <w:rFonts w:cstheme="minorHAnsi"/>
          <w:b/>
        </w:rPr>
        <w:t xml:space="preserve"> v</w:t>
      </w:r>
      <w:r w:rsidR="00D037A9" w:rsidRPr="006C233F">
        <w:rPr>
          <w:rFonts w:cstheme="minorHAnsi"/>
          <w:b/>
        </w:rPr>
        <w:t> pravidlech pro podávání žádostí o podstatnou</w:t>
      </w:r>
      <w:r w:rsidR="00F208DC">
        <w:rPr>
          <w:rStyle w:val="Znakapoznpodarou"/>
          <w:rFonts w:cstheme="minorHAnsi"/>
          <w:b/>
        </w:rPr>
        <w:footnoteReference w:id="38"/>
      </w:r>
      <w:r w:rsidR="00D037A9" w:rsidRPr="006C233F">
        <w:rPr>
          <w:rFonts w:cstheme="minorHAnsi"/>
          <w:b/>
        </w:rPr>
        <w:t xml:space="preserve"> změnu </w:t>
      </w:r>
      <w:r w:rsidRPr="006C233F">
        <w:rPr>
          <w:rFonts w:cstheme="minorHAnsi"/>
          <w:b/>
        </w:rPr>
        <w:t xml:space="preserve">jednoznačným způsobem, </w:t>
      </w:r>
      <w:r w:rsidR="00D037A9" w:rsidRPr="006C233F">
        <w:rPr>
          <w:rFonts w:cstheme="minorHAnsi"/>
          <w:b/>
        </w:rPr>
        <w:t>kdy má příjemce</w:t>
      </w:r>
      <w:r w:rsidRPr="006C233F">
        <w:rPr>
          <w:rFonts w:cstheme="minorHAnsi"/>
          <w:b/>
        </w:rPr>
        <w:t xml:space="preserve"> </w:t>
      </w:r>
      <w:r w:rsidR="006135A5">
        <w:rPr>
          <w:rFonts w:cstheme="minorHAnsi"/>
          <w:b/>
        </w:rPr>
        <w:t>předložit</w:t>
      </w:r>
      <w:r w:rsidR="006135A5" w:rsidRPr="006C233F">
        <w:rPr>
          <w:rFonts w:cstheme="minorHAnsi"/>
          <w:b/>
        </w:rPr>
        <w:t xml:space="preserve"> </w:t>
      </w:r>
      <w:r w:rsidR="00F008C8" w:rsidRPr="006C233F">
        <w:rPr>
          <w:rFonts w:cstheme="minorHAnsi"/>
          <w:b/>
        </w:rPr>
        <w:t xml:space="preserve">příslušnou žádost o změnu poskytovateli </w:t>
      </w:r>
      <w:r w:rsidRPr="006C233F">
        <w:rPr>
          <w:rFonts w:cstheme="minorHAnsi"/>
          <w:b/>
        </w:rPr>
        <w:t>dotace</w:t>
      </w:r>
      <w:r w:rsidR="00F008C8" w:rsidRPr="006C233F">
        <w:rPr>
          <w:rFonts w:cstheme="minorHAnsi"/>
          <w:b/>
        </w:rPr>
        <w:t>.</w:t>
      </w:r>
      <w:r w:rsidR="00F008C8">
        <w:rPr>
          <w:rFonts w:cstheme="minorHAnsi"/>
        </w:rPr>
        <w:t xml:space="preserve"> HMP nespecifikoval</w:t>
      </w:r>
      <w:r w:rsidR="006C233F">
        <w:rPr>
          <w:rFonts w:cstheme="minorHAnsi"/>
        </w:rPr>
        <w:t>o</w:t>
      </w:r>
      <w:r w:rsidR="006C233F">
        <w:rPr>
          <w:rStyle w:val="Znakapoznpodarou"/>
          <w:rFonts w:cstheme="minorHAnsi"/>
        </w:rPr>
        <w:footnoteReference w:id="39"/>
      </w:r>
      <w:r w:rsidR="006C233F">
        <w:rPr>
          <w:rFonts w:cstheme="minorHAnsi"/>
        </w:rPr>
        <w:t xml:space="preserve"> </w:t>
      </w:r>
      <w:r w:rsidR="006135A5">
        <w:rPr>
          <w:rFonts w:cstheme="minorHAnsi"/>
        </w:rPr>
        <w:t>přesně okamžik</w:t>
      </w:r>
      <w:r w:rsidR="00F008C8">
        <w:rPr>
          <w:rFonts w:cstheme="minorHAnsi"/>
        </w:rPr>
        <w:t xml:space="preserve"> rozhodn</w:t>
      </w:r>
      <w:r w:rsidR="006135A5">
        <w:rPr>
          <w:rFonts w:cstheme="minorHAnsi"/>
        </w:rPr>
        <w:t>ý</w:t>
      </w:r>
      <w:r w:rsidR="00F008C8">
        <w:rPr>
          <w:rFonts w:cstheme="minorHAnsi"/>
        </w:rPr>
        <w:t xml:space="preserve"> pro podání žádosti o změnu. </w:t>
      </w:r>
      <w:r w:rsidR="008E2212">
        <w:rPr>
          <w:rFonts w:cstheme="minorHAnsi"/>
        </w:rPr>
        <w:t>Nejednoznačn</w:t>
      </w:r>
      <w:r w:rsidR="00F208DC">
        <w:rPr>
          <w:rFonts w:cstheme="minorHAnsi"/>
        </w:rPr>
        <w:t xml:space="preserve">é stanovení </w:t>
      </w:r>
      <w:r w:rsidR="008E2212">
        <w:rPr>
          <w:rFonts w:cstheme="minorHAnsi"/>
        </w:rPr>
        <w:t>pravidel OP PPR m</w:t>
      </w:r>
      <w:r w:rsidR="00D037A9" w:rsidRPr="00417CB1">
        <w:rPr>
          <w:rFonts w:cstheme="minorHAnsi"/>
        </w:rPr>
        <w:t xml:space="preserve">ůže </w:t>
      </w:r>
      <w:r w:rsidR="00F208DC">
        <w:rPr>
          <w:rFonts w:cstheme="minorHAnsi"/>
        </w:rPr>
        <w:t xml:space="preserve">znamenat pro každého z příjemců odlišný výklad (např. </w:t>
      </w:r>
      <w:r w:rsidR="00D037A9" w:rsidRPr="00417CB1">
        <w:rPr>
          <w:rFonts w:cstheme="minorHAnsi"/>
        </w:rPr>
        <w:t xml:space="preserve">okamžik </w:t>
      </w:r>
      <w:r w:rsidR="00F008C8">
        <w:rPr>
          <w:rFonts w:cstheme="minorHAnsi"/>
        </w:rPr>
        <w:t xml:space="preserve">identifikace </w:t>
      </w:r>
      <w:r w:rsidR="00030E53">
        <w:rPr>
          <w:rFonts w:cstheme="minorHAnsi"/>
        </w:rPr>
        <w:t>potřeby změny, tj.</w:t>
      </w:r>
      <w:r w:rsidR="00F208DC">
        <w:rPr>
          <w:rFonts w:cstheme="minorHAnsi"/>
        </w:rPr>
        <w:t xml:space="preserve"> </w:t>
      </w:r>
      <w:r w:rsidR="00D037A9" w:rsidRPr="00417CB1">
        <w:rPr>
          <w:rFonts w:cstheme="minorHAnsi"/>
        </w:rPr>
        <w:t>před vystavením dokladu</w:t>
      </w:r>
      <w:r w:rsidR="00F208DC">
        <w:rPr>
          <w:rFonts w:cstheme="minorHAnsi"/>
        </w:rPr>
        <w:t xml:space="preserve">, </w:t>
      </w:r>
      <w:r w:rsidR="00D037A9" w:rsidRPr="00417CB1">
        <w:rPr>
          <w:rFonts w:cstheme="minorHAnsi"/>
        </w:rPr>
        <w:t>okamžik uskutečnění změny</w:t>
      </w:r>
      <w:r w:rsidR="00B73D57">
        <w:rPr>
          <w:rFonts w:cstheme="minorHAnsi"/>
        </w:rPr>
        <w:t>, tj.</w:t>
      </w:r>
      <w:r w:rsidR="00F208DC">
        <w:rPr>
          <w:rFonts w:cstheme="minorHAnsi"/>
        </w:rPr>
        <w:t xml:space="preserve"> </w:t>
      </w:r>
      <w:r w:rsidR="00D6016D">
        <w:rPr>
          <w:rFonts w:cstheme="minorHAnsi"/>
        </w:rPr>
        <w:t xml:space="preserve">v době </w:t>
      </w:r>
      <w:r w:rsidR="00D037A9" w:rsidRPr="00417CB1">
        <w:rPr>
          <w:rFonts w:cstheme="minorHAnsi"/>
        </w:rPr>
        <w:t xml:space="preserve">vystavení či </w:t>
      </w:r>
      <w:r w:rsidR="00F008C8">
        <w:rPr>
          <w:rFonts w:cstheme="minorHAnsi"/>
        </w:rPr>
        <w:t>samotn</w:t>
      </w:r>
      <w:r w:rsidR="00D6016D">
        <w:rPr>
          <w:rFonts w:cstheme="minorHAnsi"/>
        </w:rPr>
        <w:t>é</w:t>
      </w:r>
      <w:r w:rsidR="00F208DC">
        <w:rPr>
          <w:rFonts w:cstheme="minorHAnsi"/>
        </w:rPr>
        <w:t xml:space="preserve"> ú</w:t>
      </w:r>
      <w:r w:rsidR="00D037A9" w:rsidRPr="00417CB1">
        <w:rPr>
          <w:rFonts w:cstheme="minorHAnsi"/>
        </w:rPr>
        <w:t>hrad</w:t>
      </w:r>
      <w:r w:rsidR="00D6016D">
        <w:rPr>
          <w:rFonts w:cstheme="minorHAnsi"/>
        </w:rPr>
        <w:t>y</w:t>
      </w:r>
      <w:r w:rsidR="00D037A9" w:rsidRPr="00417CB1">
        <w:rPr>
          <w:rFonts w:cstheme="minorHAnsi"/>
        </w:rPr>
        <w:t xml:space="preserve"> dokladu</w:t>
      </w:r>
      <w:r w:rsidR="00D6016D">
        <w:rPr>
          <w:rFonts w:cstheme="minorHAnsi"/>
        </w:rPr>
        <w:t>,</w:t>
      </w:r>
      <w:r w:rsidR="00F208DC">
        <w:rPr>
          <w:rFonts w:cstheme="minorHAnsi"/>
        </w:rPr>
        <w:t xml:space="preserve"> </w:t>
      </w:r>
      <w:r w:rsidR="00D037A9" w:rsidRPr="00417CB1">
        <w:rPr>
          <w:rFonts w:cstheme="minorHAnsi"/>
        </w:rPr>
        <w:t xml:space="preserve">nebo dokonce </w:t>
      </w:r>
      <w:r w:rsidR="00F208DC">
        <w:rPr>
          <w:rFonts w:cstheme="minorHAnsi"/>
        </w:rPr>
        <w:t xml:space="preserve">okamžik </w:t>
      </w:r>
      <w:r w:rsidR="00030E53">
        <w:rPr>
          <w:rFonts w:cstheme="minorHAnsi"/>
        </w:rPr>
        <w:t>před</w:t>
      </w:r>
      <w:r w:rsidR="005E0801">
        <w:rPr>
          <w:rFonts w:cstheme="minorHAnsi"/>
        </w:rPr>
        <w:t xml:space="preserve"> </w:t>
      </w:r>
      <w:r w:rsidR="00D037A9" w:rsidRPr="00417CB1">
        <w:rPr>
          <w:rFonts w:cstheme="minorHAnsi"/>
        </w:rPr>
        <w:t>podáním zprávy o realizaci</w:t>
      </w:r>
      <w:r w:rsidR="00F208DC">
        <w:rPr>
          <w:rFonts w:cstheme="minorHAnsi"/>
        </w:rPr>
        <w:t xml:space="preserve"> </w:t>
      </w:r>
      <w:r w:rsidR="00684085">
        <w:rPr>
          <w:rFonts w:cstheme="minorHAnsi"/>
        </w:rPr>
        <w:t>a</w:t>
      </w:r>
      <w:r w:rsidR="00F208DC">
        <w:rPr>
          <w:rFonts w:cstheme="minorHAnsi"/>
        </w:rPr>
        <w:t xml:space="preserve"> ž</w:t>
      </w:r>
      <w:r w:rsidR="00D037A9" w:rsidRPr="00417CB1">
        <w:rPr>
          <w:rFonts w:cstheme="minorHAnsi"/>
        </w:rPr>
        <w:t xml:space="preserve">ádosti o platbu </w:t>
      </w:r>
      <w:r w:rsidR="004B390D">
        <w:rPr>
          <w:rFonts w:cstheme="minorHAnsi"/>
        </w:rPr>
        <w:t>ř</w:t>
      </w:r>
      <w:r w:rsidR="00F008C8">
        <w:rPr>
          <w:rFonts w:cstheme="minorHAnsi"/>
        </w:rPr>
        <w:t>ídicímu orgánu OP PPR</w:t>
      </w:r>
      <w:r w:rsidR="009906AF">
        <w:rPr>
          <w:rFonts w:cstheme="minorHAnsi"/>
        </w:rPr>
        <w:t xml:space="preserve">, </w:t>
      </w:r>
      <w:r w:rsidR="00B73D57">
        <w:rPr>
          <w:rFonts w:cstheme="minorHAnsi"/>
        </w:rPr>
        <w:t>tj.</w:t>
      </w:r>
      <w:r w:rsidR="00D6016D">
        <w:rPr>
          <w:rFonts w:cstheme="minorHAnsi"/>
        </w:rPr>
        <w:t xml:space="preserve"> </w:t>
      </w:r>
      <w:r w:rsidR="00030E53">
        <w:rPr>
          <w:rFonts w:cstheme="minorHAnsi"/>
        </w:rPr>
        <w:t>před</w:t>
      </w:r>
      <w:r w:rsidR="00D6016D">
        <w:rPr>
          <w:rFonts w:cstheme="minorHAnsi"/>
        </w:rPr>
        <w:t xml:space="preserve"> </w:t>
      </w:r>
      <w:r w:rsidR="00D037A9" w:rsidRPr="00417CB1">
        <w:rPr>
          <w:rFonts w:cstheme="minorHAnsi"/>
        </w:rPr>
        <w:t xml:space="preserve">koncem </w:t>
      </w:r>
      <w:r w:rsidR="00F008C8">
        <w:rPr>
          <w:rFonts w:cstheme="minorHAnsi"/>
        </w:rPr>
        <w:t xml:space="preserve">monitorovaného období, </w:t>
      </w:r>
      <w:r w:rsidR="00D037A9" w:rsidRPr="00417CB1">
        <w:rPr>
          <w:rFonts w:cstheme="minorHAnsi"/>
        </w:rPr>
        <w:t>do kterého změna spadá</w:t>
      </w:r>
      <w:r w:rsidR="00F208DC">
        <w:rPr>
          <w:rFonts w:cstheme="minorHAnsi"/>
        </w:rPr>
        <w:t>)</w:t>
      </w:r>
      <w:r w:rsidR="00D037A9" w:rsidRPr="00417CB1">
        <w:rPr>
          <w:rFonts w:cstheme="minorHAnsi"/>
        </w:rPr>
        <w:t xml:space="preserve">. </w:t>
      </w:r>
    </w:p>
    <w:p w14:paraId="578A5924" w14:textId="432BA102" w:rsidR="00D037A9" w:rsidRPr="00873805" w:rsidRDefault="00D037A9" w:rsidP="00D77351">
      <w:pPr>
        <w:rPr>
          <w:rFonts w:cstheme="minorHAnsi"/>
          <w:b/>
        </w:rPr>
      </w:pPr>
      <w:r w:rsidRPr="00417CB1">
        <w:rPr>
          <w:rFonts w:cstheme="minorHAnsi"/>
        </w:rPr>
        <w:t xml:space="preserve">Z nejednoznačného stanovení </w:t>
      </w:r>
      <w:r w:rsidR="004B390D">
        <w:rPr>
          <w:rFonts w:cstheme="minorHAnsi"/>
        </w:rPr>
        <w:t xml:space="preserve">rozhodného </w:t>
      </w:r>
      <w:r w:rsidRPr="00417CB1">
        <w:rPr>
          <w:rFonts w:cstheme="minorHAnsi"/>
        </w:rPr>
        <w:t xml:space="preserve">okamžiku pro podání </w:t>
      </w:r>
      <w:r w:rsidR="00F208DC">
        <w:rPr>
          <w:rFonts w:cstheme="minorHAnsi"/>
        </w:rPr>
        <w:t>žádost</w:t>
      </w:r>
      <w:r w:rsidR="00D6016D">
        <w:rPr>
          <w:rFonts w:cstheme="minorHAnsi"/>
        </w:rPr>
        <w:t>i</w:t>
      </w:r>
      <w:r w:rsidR="00F208DC">
        <w:rPr>
          <w:rFonts w:cstheme="minorHAnsi"/>
        </w:rPr>
        <w:t xml:space="preserve"> o podstatnou změnu </w:t>
      </w:r>
      <w:r w:rsidRPr="00417CB1">
        <w:rPr>
          <w:rFonts w:cstheme="minorHAnsi"/>
        </w:rPr>
        <w:t xml:space="preserve">vyplývá </w:t>
      </w:r>
      <w:r w:rsidR="008E2212">
        <w:rPr>
          <w:rFonts w:cstheme="minorHAnsi"/>
        </w:rPr>
        <w:t>pro příjemce podpory z </w:t>
      </w:r>
      <w:proofErr w:type="gramStart"/>
      <w:r w:rsidR="008E2212">
        <w:rPr>
          <w:rFonts w:cstheme="minorHAnsi"/>
        </w:rPr>
        <w:t>OP</w:t>
      </w:r>
      <w:proofErr w:type="gramEnd"/>
      <w:r w:rsidR="008E2212">
        <w:rPr>
          <w:rFonts w:cstheme="minorHAnsi"/>
        </w:rPr>
        <w:t xml:space="preserve"> PPR </w:t>
      </w:r>
      <w:r w:rsidRPr="00417CB1">
        <w:rPr>
          <w:rFonts w:cstheme="minorHAnsi"/>
        </w:rPr>
        <w:t>riziko</w:t>
      </w:r>
      <w:r w:rsidR="008E2212">
        <w:rPr>
          <w:rFonts w:cstheme="minorHAnsi"/>
        </w:rPr>
        <w:t xml:space="preserve">, </w:t>
      </w:r>
      <w:r w:rsidRPr="00417CB1">
        <w:rPr>
          <w:rFonts w:cstheme="minorHAnsi"/>
        </w:rPr>
        <w:t>že někteří nemusí podstatnou změnu projektu z pohledu poskytovatele oznámit včas</w:t>
      </w:r>
      <w:r w:rsidR="008E2212">
        <w:rPr>
          <w:rFonts w:cstheme="minorHAnsi"/>
        </w:rPr>
        <w:t xml:space="preserve">. </w:t>
      </w:r>
      <w:r w:rsidR="008E2212" w:rsidRPr="00F008C8">
        <w:rPr>
          <w:rFonts w:cstheme="minorHAnsi"/>
          <w:b/>
        </w:rPr>
        <w:t xml:space="preserve">Rizikem je i to, že </w:t>
      </w:r>
      <w:r w:rsidRPr="00F008C8">
        <w:rPr>
          <w:rFonts w:cstheme="minorHAnsi"/>
          <w:b/>
        </w:rPr>
        <w:t>HMP bude v různých případech rozhodovat různě</w:t>
      </w:r>
      <w:r w:rsidR="00F008C8" w:rsidRPr="005A1FBD">
        <w:rPr>
          <w:rFonts w:cstheme="minorHAnsi"/>
          <w:b/>
        </w:rPr>
        <w:t xml:space="preserve">, </w:t>
      </w:r>
      <w:r w:rsidR="00D6016D">
        <w:rPr>
          <w:rFonts w:cstheme="minorHAnsi"/>
          <w:b/>
        </w:rPr>
        <w:t>což znamená</w:t>
      </w:r>
      <w:r w:rsidR="00F008C8" w:rsidRPr="005A1FBD">
        <w:rPr>
          <w:rFonts w:cstheme="minorHAnsi"/>
          <w:b/>
        </w:rPr>
        <w:t>, že nebude garantován rovný přístup k příjemcům</w:t>
      </w:r>
      <w:r w:rsidRPr="005A1FBD">
        <w:rPr>
          <w:rFonts w:cstheme="minorHAnsi"/>
          <w:b/>
        </w:rPr>
        <w:t xml:space="preserve">. </w:t>
      </w:r>
    </w:p>
    <w:p w14:paraId="7C9E4545" w14:textId="292154A8" w:rsidR="00B42443" w:rsidRPr="00D56D0C" w:rsidRDefault="00B42443" w:rsidP="00987B74">
      <w:pPr>
        <w:pStyle w:val="Nadpis4"/>
      </w:pPr>
      <w:proofErr w:type="gramStart"/>
      <w:r w:rsidRPr="00D56D0C">
        <w:t>IV.1.3.3</w:t>
      </w:r>
      <w:proofErr w:type="gramEnd"/>
      <w:r w:rsidRPr="00D56D0C">
        <w:t xml:space="preserve"> </w:t>
      </w:r>
      <w:r w:rsidR="00B21B1C" w:rsidRPr="00C64A07">
        <w:rPr>
          <w:i/>
        </w:rPr>
        <w:t>Ministerstvo pro místní rozvoj a Centrum pro regionální rozvoj České republiky</w:t>
      </w:r>
      <w:r w:rsidR="00B21B1C">
        <w:t xml:space="preserve"> </w:t>
      </w:r>
    </w:p>
    <w:p w14:paraId="293B04EF" w14:textId="4A67A436" w:rsidR="00C1082E" w:rsidRPr="005818B6" w:rsidRDefault="00C1082E" w:rsidP="00C1082E">
      <w:pPr>
        <w:rPr>
          <w:rFonts w:cstheme="minorHAnsi"/>
        </w:rPr>
      </w:pPr>
      <w:r w:rsidRPr="005818B6">
        <w:rPr>
          <w:rFonts w:cstheme="minorHAnsi"/>
        </w:rPr>
        <w:t xml:space="preserve">Kontrolní činnost delegovalo </w:t>
      </w:r>
      <w:r w:rsidR="00271564" w:rsidRPr="005818B6">
        <w:rPr>
          <w:rFonts w:cstheme="minorHAnsi"/>
        </w:rPr>
        <w:t xml:space="preserve">MMR </w:t>
      </w:r>
      <w:r w:rsidRPr="005818B6">
        <w:rPr>
          <w:rFonts w:cstheme="minorHAnsi"/>
        </w:rPr>
        <w:t>na zprostředkující subjekt, tj. na CRR</w:t>
      </w:r>
      <w:r w:rsidR="009C2159">
        <w:rPr>
          <w:rFonts w:cstheme="minorHAnsi"/>
        </w:rPr>
        <w:t> </w:t>
      </w:r>
      <w:r w:rsidR="00206E9C">
        <w:rPr>
          <w:rFonts w:cstheme="minorHAnsi"/>
        </w:rPr>
        <w:t>ČR</w:t>
      </w:r>
      <w:r w:rsidRPr="005818B6">
        <w:rPr>
          <w:rFonts w:cstheme="minorHAnsi"/>
        </w:rPr>
        <w:t xml:space="preserve">. V rámci kontroly prověřil </w:t>
      </w:r>
      <w:r w:rsidR="00206E9C" w:rsidRPr="005818B6">
        <w:rPr>
          <w:rFonts w:cstheme="minorHAnsi"/>
        </w:rPr>
        <w:t xml:space="preserve">NKÚ </w:t>
      </w:r>
      <w:r w:rsidR="009C2159">
        <w:rPr>
          <w:rFonts w:cstheme="minorHAnsi"/>
        </w:rPr>
        <w:t>u CRR </w:t>
      </w:r>
      <w:r w:rsidR="00206E9C">
        <w:rPr>
          <w:rFonts w:cstheme="minorHAnsi"/>
        </w:rPr>
        <w:t xml:space="preserve">ČR </w:t>
      </w:r>
      <w:r w:rsidRPr="005818B6">
        <w:rPr>
          <w:rFonts w:cstheme="minorHAnsi"/>
        </w:rPr>
        <w:t>výkon kontrol před vydáním právního aktu o poskytnutí podpory, provádění kontrol zakázek financovaných z poskytnuté podpory a administrativní ověřo</w:t>
      </w:r>
      <w:r w:rsidR="009F7A39">
        <w:rPr>
          <w:rFonts w:cstheme="minorHAnsi"/>
        </w:rPr>
        <w:t xml:space="preserve">vání </w:t>
      </w:r>
      <w:proofErr w:type="spellStart"/>
      <w:r w:rsidR="00206E9C">
        <w:rPr>
          <w:rFonts w:cstheme="minorHAnsi"/>
        </w:rPr>
        <w:t>ŽoP</w:t>
      </w:r>
      <w:proofErr w:type="spellEnd"/>
      <w:r w:rsidRPr="005818B6">
        <w:rPr>
          <w:rFonts w:cstheme="minorHAnsi"/>
        </w:rPr>
        <w:t xml:space="preserve"> a </w:t>
      </w:r>
      <w:proofErr w:type="spellStart"/>
      <w:r w:rsidR="00206E9C">
        <w:rPr>
          <w:rFonts w:cstheme="minorHAnsi"/>
        </w:rPr>
        <w:t>ZoR</w:t>
      </w:r>
      <w:proofErr w:type="spellEnd"/>
      <w:r w:rsidRPr="005818B6">
        <w:rPr>
          <w:rFonts w:cstheme="minorHAnsi"/>
        </w:rPr>
        <w:t xml:space="preserve">, které předkládají příjemci podpory. </w:t>
      </w:r>
    </w:p>
    <w:p w14:paraId="2E0A9741" w14:textId="2ECDD1B9" w:rsidR="0002454E" w:rsidRPr="008975E6" w:rsidRDefault="008975E6" w:rsidP="008B7C7F">
      <w:pPr>
        <w:rPr>
          <w:rFonts w:cstheme="minorHAnsi"/>
        </w:rPr>
      </w:pPr>
      <w:r w:rsidRPr="008975E6">
        <w:rPr>
          <w:rFonts w:cstheme="minorHAnsi"/>
        </w:rPr>
        <w:t xml:space="preserve">NKÚ na vzorku projektů z výzev č. 06_16_049 a 06_16_050 pro SVL </w:t>
      </w:r>
      <w:r w:rsidR="00B73D57">
        <w:rPr>
          <w:rFonts w:cstheme="minorHAnsi"/>
        </w:rPr>
        <w:t>zjistil</w:t>
      </w:r>
      <w:r w:rsidRPr="008975E6">
        <w:rPr>
          <w:rFonts w:cstheme="minorHAnsi"/>
        </w:rPr>
        <w:t xml:space="preserve">, že </w:t>
      </w:r>
      <w:r w:rsidR="008B7C7F" w:rsidRPr="008975E6">
        <w:rPr>
          <w:rFonts w:cstheme="minorHAnsi"/>
        </w:rPr>
        <w:t>CRR ČR prováděl</w:t>
      </w:r>
      <w:r w:rsidR="000B1503">
        <w:rPr>
          <w:rFonts w:cstheme="minorHAnsi"/>
        </w:rPr>
        <w:t>o</w:t>
      </w:r>
      <w:r w:rsidR="008B7C7F" w:rsidRPr="008975E6">
        <w:rPr>
          <w:rFonts w:cstheme="minorHAnsi"/>
        </w:rPr>
        <w:t xml:space="preserve"> </w:t>
      </w:r>
      <w:r w:rsidRPr="008975E6">
        <w:rPr>
          <w:rFonts w:cstheme="minorHAnsi"/>
        </w:rPr>
        <w:t>kontrolu</w:t>
      </w:r>
      <w:r w:rsidR="004B390D">
        <w:rPr>
          <w:rFonts w:cstheme="minorHAnsi"/>
        </w:rPr>
        <w:t>,</w:t>
      </w:r>
      <w:r w:rsidRPr="008975E6">
        <w:rPr>
          <w:rFonts w:cstheme="minorHAnsi"/>
        </w:rPr>
        <w:t xml:space="preserve"> jako jednu z delegovaných činností</w:t>
      </w:r>
      <w:r w:rsidR="004B390D">
        <w:rPr>
          <w:rFonts w:cstheme="minorHAnsi"/>
        </w:rPr>
        <w:t>,</w:t>
      </w:r>
      <w:r w:rsidRPr="008975E6">
        <w:rPr>
          <w:rFonts w:cstheme="minorHAnsi"/>
        </w:rPr>
        <w:t xml:space="preserve"> </w:t>
      </w:r>
      <w:r w:rsidR="008B7C7F" w:rsidRPr="008975E6">
        <w:rPr>
          <w:rFonts w:cstheme="minorHAnsi"/>
        </w:rPr>
        <w:t>účinn</w:t>
      </w:r>
      <w:r w:rsidRPr="008975E6">
        <w:rPr>
          <w:rFonts w:cstheme="minorHAnsi"/>
        </w:rPr>
        <w:t xml:space="preserve">ě. </w:t>
      </w:r>
    </w:p>
    <w:p w14:paraId="34AE5A35" w14:textId="77777777" w:rsidR="00A5378C" w:rsidRPr="00666E5C" w:rsidRDefault="00A5378C" w:rsidP="00DA1B53">
      <w:pPr>
        <w:spacing w:after="0"/>
        <w:rPr>
          <w:rFonts w:cstheme="minorHAnsi"/>
        </w:rPr>
      </w:pPr>
    </w:p>
    <w:p w14:paraId="25FF55A8" w14:textId="0227C87F" w:rsidR="00F87FD8" w:rsidRDefault="0099387D" w:rsidP="00136EF9">
      <w:pPr>
        <w:pStyle w:val="Nadpis3"/>
      </w:pPr>
      <w:proofErr w:type="gramStart"/>
      <w:r w:rsidRPr="00C44DB2">
        <w:t>IV.1.4</w:t>
      </w:r>
      <w:proofErr w:type="gramEnd"/>
      <w:r w:rsidRPr="00C44DB2">
        <w:t xml:space="preserve"> </w:t>
      </w:r>
      <w:r w:rsidR="00C045F1" w:rsidRPr="00C44DB2">
        <w:t xml:space="preserve">Monitorování </w:t>
      </w:r>
      <w:r w:rsidR="003C48BF" w:rsidRPr="00C44DB2">
        <w:t xml:space="preserve">projektů </w:t>
      </w:r>
      <w:r w:rsidR="00C045F1" w:rsidRPr="00C44DB2">
        <w:t xml:space="preserve">a vyhodnocování </w:t>
      </w:r>
      <w:r w:rsidR="003C48BF" w:rsidRPr="00C44DB2">
        <w:t xml:space="preserve">jejich </w:t>
      </w:r>
      <w:r w:rsidR="005403F5" w:rsidRPr="00C44DB2">
        <w:t xml:space="preserve">přínosů </w:t>
      </w:r>
      <w:r w:rsidR="003C48BF" w:rsidRPr="00C44DB2">
        <w:t>ne</w:t>
      </w:r>
      <w:r w:rsidR="0084327A" w:rsidRPr="00C44DB2">
        <w:t>provádě</w:t>
      </w:r>
      <w:r w:rsidR="003C4130" w:rsidRPr="00C44DB2">
        <w:t xml:space="preserve">li </w:t>
      </w:r>
      <w:r w:rsidR="006C5CE9" w:rsidRPr="00C44DB2">
        <w:t>posk</w:t>
      </w:r>
      <w:r w:rsidR="003C48BF" w:rsidRPr="00C44DB2">
        <w:t>y</w:t>
      </w:r>
      <w:r w:rsidR="006C5CE9" w:rsidRPr="00C44DB2">
        <w:t>tovatelé</w:t>
      </w:r>
      <w:r w:rsidR="0084327A" w:rsidRPr="00C44DB2">
        <w:t xml:space="preserve"> </w:t>
      </w:r>
      <w:r w:rsidR="00293A08" w:rsidRPr="00C44DB2">
        <w:t>d</w:t>
      </w:r>
      <w:r w:rsidR="003C48BF" w:rsidRPr="00C44DB2">
        <w:t>ůsledně</w:t>
      </w:r>
    </w:p>
    <w:p w14:paraId="54044DAA" w14:textId="4F0EE584" w:rsidR="0002454E" w:rsidRPr="0002454E" w:rsidRDefault="0002454E" w:rsidP="0002454E">
      <w:r w:rsidRPr="004F6417">
        <w:rPr>
          <w:b/>
        </w:rPr>
        <w:t>NKÚ ověřil, že cíle na úrovni příslušných prioritních os OP VVV, OP PPR a IROP jsou nastaveny v souladu s principy SMART</w:t>
      </w:r>
      <w:r>
        <w:rPr>
          <w:rStyle w:val="Znakapoznpodarou"/>
        </w:rPr>
        <w:footnoteReference w:id="40"/>
      </w:r>
      <w:r>
        <w:t>.</w:t>
      </w:r>
    </w:p>
    <w:p w14:paraId="707C1AD8" w14:textId="436B2C20" w:rsidR="00B42443" w:rsidRPr="008E2212" w:rsidRDefault="00B42443" w:rsidP="00987B74">
      <w:pPr>
        <w:pStyle w:val="Nadpis4"/>
      </w:pPr>
      <w:proofErr w:type="gramStart"/>
      <w:r w:rsidRPr="008E2212">
        <w:t>IV.1.4.1</w:t>
      </w:r>
      <w:proofErr w:type="gramEnd"/>
      <w:r w:rsidRPr="008E2212">
        <w:t xml:space="preserve"> </w:t>
      </w:r>
      <w:r w:rsidR="00B21B1C" w:rsidRPr="00C64A07">
        <w:rPr>
          <w:rFonts w:ascii="Calibri" w:hAnsi="Calibri" w:cs="Calibri"/>
          <w:i/>
        </w:rPr>
        <w:t>Ministerstvo školství, mládeže a tělovýchovy</w:t>
      </w:r>
    </w:p>
    <w:p w14:paraId="712D38F6" w14:textId="11997BDD" w:rsidR="000E2A4F" w:rsidRDefault="00D2401B" w:rsidP="000E2A4F">
      <w:r>
        <w:t xml:space="preserve">MŠMT v roli </w:t>
      </w:r>
      <w:r w:rsidR="00B73D57">
        <w:t xml:space="preserve">řídicího orgánu </w:t>
      </w:r>
      <w:proofErr w:type="gramStart"/>
      <w:r w:rsidR="00684085">
        <w:t>stanovilo</w:t>
      </w:r>
      <w:proofErr w:type="gramEnd"/>
      <w:r w:rsidR="00684085">
        <w:t xml:space="preserve"> </w:t>
      </w:r>
      <w:r w:rsidR="009C2159">
        <w:t>pro PO </w:t>
      </w:r>
      <w:r w:rsidR="00BE4CE8">
        <w:t xml:space="preserve">3 </w:t>
      </w:r>
      <w:r w:rsidR="00684085">
        <w:t xml:space="preserve">OP VVV </w:t>
      </w:r>
      <w:r w:rsidR="00BE4CE8">
        <w:t xml:space="preserve">celkem </w:t>
      </w:r>
      <w:r w:rsidR="00CF65EB">
        <w:t xml:space="preserve">tři </w:t>
      </w:r>
      <w:r w:rsidR="00BE4CE8">
        <w:t>programové indikátory výstupu</w:t>
      </w:r>
      <w:r w:rsidR="00030E53">
        <w:t>, a</w:t>
      </w:r>
      <w:r w:rsidR="00684085">
        <w:t xml:space="preserve"> </w:t>
      </w:r>
      <w:r w:rsidR="00CF65EB">
        <w:t>to</w:t>
      </w:r>
      <w:r w:rsidR="0002454E">
        <w:t xml:space="preserve"> </w:t>
      </w:r>
      <w:r w:rsidR="00BE4CE8">
        <w:rPr>
          <w:i/>
        </w:rPr>
        <w:t>Počet podpořených produktů</w:t>
      </w:r>
      <w:r w:rsidR="0002454E" w:rsidRPr="00092FBB">
        <w:t xml:space="preserve">, </w:t>
      </w:r>
      <w:r w:rsidR="00BE4CE8">
        <w:rPr>
          <w:i/>
        </w:rPr>
        <w:t>Počet produktů v systémových projektech</w:t>
      </w:r>
      <w:r w:rsidR="0002454E">
        <w:rPr>
          <w:i/>
        </w:rPr>
        <w:t xml:space="preserve"> </w:t>
      </w:r>
      <w:r w:rsidR="0002454E">
        <w:t>a</w:t>
      </w:r>
      <w:r w:rsidR="005E3236">
        <w:t> </w:t>
      </w:r>
      <w:r w:rsidR="00BE4CE8">
        <w:rPr>
          <w:i/>
        </w:rPr>
        <w:t>Celkový počet účastníků</w:t>
      </w:r>
      <w:r w:rsidR="0002454E">
        <w:rPr>
          <w:i/>
        </w:rPr>
        <w:t xml:space="preserve">. </w:t>
      </w:r>
      <w:r w:rsidR="000E2A4F">
        <w:t xml:space="preserve">Soubor </w:t>
      </w:r>
      <w:r w:rsidR="00B73D57">
        <w:t xml:space="preserve">těchto </w:t>
      </w:r>
      <w:r w:rsidR="000E2A4F">
        <w:t xml:space="preserve">indikátorů </w:t>
      </w:r>
      <w:r w:rsidR="006A091D">
        <w:t xml:space="preserve">byl </w:t>
      </w:r>
      <w:r w:rsidR="000E2A4F">
        <w:t>doplněn o kontextové (statistické) monitorovací indikátory.</w:t>
      </w:r>
    </w:p>
    <w:p w14:paraId="32D734B7" w14:textId="54D16267" w:rsidR="00AE21A4" w:rsidRPr="00AE21A4" w:rsidRDefault="00684085" w:rsidP="00E21F1C">
      <w:r>
        <w:t>S</w:t>
      </w:r>
      <w:r w:rsidR="000B1503">
        <w:t>pecifick</w:t>
      </w:r>
      <w:r>
        <w:t>é</w:t>
      </w:r>
      <w:r w:rsidR="000B1503">
        <w:t xml:space="preserve"> cíl</w:t>
      </w:r>
      <w:r>
        <w:t>e</w:t>
      </w:r>
      <w:r w:rsidR="009C2159">
        <w:t xml:space="preserve"> PO </w:t>
      </w:r>
      <w:r w:rsidR="000B1503">
        <w:t xml:space="preserve">3 </w:t>
      </w:r>
      <w:r>
        <w:t>jsou téměř všechny</w:t>
      </w:r>
      <w:r w:rsidR="000B1503">
        <w:t xml:space="preserve"> k</w:t>
      </w:r>
      <w:r w:rsidR="00BE4CE8" w:rsidRPr="004730D9">
        <w:t>onkrétní</w:t>
      </w:r>
      <w:r w:rsidR="004730D9" w:rsidRPr="004730D9">
        <w:t>, časově vymezen</w:t>
      </w:r>
      <w:r>
        <w:t>é</w:t>
      </w:r>
      <w:r w:rsidR="004730D9">
        <w:rPr>
          <w:rStyle w:val="Znakapoznpodarou"/>
        </w:rPr>
        <w:footnoteReference w:id="41"/>
      </w:r>
      <w:r w:rsidR="004730D9" w:rsidRPr="004730D9">
        <w:t xml:space="preserve"> </w:t>
      </w:r>
      <w:r w:rsidR="004730D9">
        <w:t xml:space="preserve">a </w:t>
      </w:r>
      <w:r w:rsidR="004730D9" w:rsidRPr="004730D9">
        <w:t>relevantní</w:t>
      </w:r>
      <w:r w:rsidR="004730D9">
        <w:rPr>
          <w:rStyle w:val="Znakapoznpodarou"/>
        </w:rPr>
        <w:footnoteReference w:id="42"/>
      </w:r>
      <w:r w:rsidR="000B1503">
        <w:t xml:space="preserve">. </w:t>
      </w:r>
      <w:r w:rsidR="00030E53">
        <w:rPr>
          <w:b/>
        </w:rPr>
        <w:t>Sporná je</w:t>
      </w:r>
      <w:r w:rsidR="004E7F8C">
        <w:rPr>
          <w:b/>
        </w:rPr>
        <w:t xml:space="preserve"> </w:t>
      </w:r>
      <w:r w:rsidR="004F6417" w:rsidRPr="004F6417">
        <w:rPr>
          <w:b/>
        </w:rPr>
        <w:t xml:space="preserve">relevance </w:t>
      </w:r>
      <w:r w:rsidR="00F91F39">
        <w:rPr>
          <w:b/>
        </w:rPr>
        <w:t>SC</w:t>
      </w:r>
      <w:r w:rsidR="004C2F7C">
        <w:rPr>
          <w:b/>
        </w:rPr>
        <w:t xml:space="preserve"> </w:t>
      </w:r>
      <w:r w:rsidR="004F6417" w:rsidRPr="004F6417">
        <w:rPr>
          <w:b/>
        </w:rPr>
        <w:t xml:space="preserve">1 </w:t>
      </w:r>
      <w:r w:rsidR="004F6417" w:rsidRPr="004F6417">
        <w:rPr>
          <w:b/>
          <w:i/>
        </w:rPr>
        <w:t>Sociální integrace dětí a žáků v</w:t>
      </w:r>
      <w:r w:rsidR="001F3F29">
        <w:rPr>
          <w:b/>
          <w:i/>
        </w:rPr>
        <w:t>č. začleňování romských dětí do</w:t>
      </w:r>
      <w:r w:rsidR="004E7F8C">
        <w:rPr>
          <w:b/>
          <w:i/>
        </w:rPr>
        <w:t xml:space="preserve"> </w:t>
      </w:r>
      <w:r w:rsidR="004F6417" w:rsidRPr="004F6417">
        <w:rPr>
          <w:b/>
          <w:i/>
        </w:rPr>
        <w:t xml:space="preserve">vzdělávání </w:t>
      </w:r>
      <w:r w:rsidR="004F6417" w:rsidRPr="004F6417">
        <w:rPr>
          <w:b/>
        </w:rPr>
        <w:t>u</w:t>
      </w:r>
      <w:r w:rsidR="004E7F8C">
        <w:rPr>
          <w:b/>
        </w:rPr>
        <w:t> </w:t>
      </w:r>
      <w:r>
        <w:rPr>
          <w:b/>
        </w:rPr>
        <w:t>i</w:t>
      </w:r>
      <w:r w:rsidR="004F6417" w:rsidRPr="004F6417">
        <w:rPr>
          <w:b/>
        </w:rPr>
        <w:t>nvestiční priority 3</w:t>
      </w:r>
      <w:r w:rsidR="004F6417" w:rsidRPr="004F6417">
        <w:rPr>
          <w:b/>
          <w:i/>
        </w:rPr>
        <w:t xml:space="preserve">, </w:t>
      </w:r>
      <w:r w:rsidR="004F6417" w:rsidRPr="004F6417">
        <w:rPr>
          <w:b/>
        </w:rPr>
        <w:t xml:space="preserve">neboť nelze přesně </w:t>
      </w:r>
      <w:r w:rsidR="000E2A4F">
        <w:rPr>
          <w:b/>
        </w:rPr>
        <w:t xml:space="preserve">identifikovat </w:t>
      </w:r>
      <w:r w:rsidR="001F3F29">
        <w:rPr>
          <w:b/>
        </w:rPr>
        <w:t>cílovou skupinu a</w:t>
      </w:r>
      <w:r w:rsidR="004C2F7C">
        <w:rPr>
          <w:b/>
        </w:rPr>
        <w:t xml:space="preserve"> </w:t>
      </w:r>
      <w:r w:rsidR="001F3F29">
        <w:rPr>
          <w:b/>
        </w:rPr>
        <w:t>o</w:t>
      </w:r>
      <w:r w:rsidR="004C2F7C">
        <w:rPr>
          <w:b/>
        </w:rPr>
        <w:t xml:space="preserve"> </w:t>
      </w:r>
      <w:r w:rsidR="00030E53">
        <w:rPr>
          <w:b/>
        </w:rPr>
        <w:t>Romech se</w:t>
      </w:r>
      <w:r w:rsidR="004E7F8C">
        <w:rPr>
          <w:b/>
        </w:rPr>
        <w:t xml:space="preserve"> </w:t>
      </w:r>
      <w:r w:rsidR="00030E53">
        <w:rPr>
          <w:b/>
        </w:rPr>
        <w:t>ve</w:t>
      </w:r>
      <w:r w:rsidR="004E7F8C">
        <w:rPr>
          <w:b/>
        </w:rPr>
        <w:t xml:space="preserve"> </w:t>
      </w:r>
      <w:r w:rsidR="000E2A4F">
        <w:rPr>
          <w:b/>
        </w:rPr>
        <w:t xml:space="preserve">školách </w:t>
      </w:r>
      <w:r w:rsidR="004F6417" w:rsidRPr="00D573D1">
        <w:rPr>
          <w:b/>
        </w:rPr>
        <w:t xml:space="preserve">nevedou </w:t>
      </w:r>
      <w:r w:rsidR="00C514C9" w:rsidRPr="00D573D1">
        <w:rPr>
          <w:b/>
        </w:rPr>
        <w:t xml:space="preserve">přesné </w:t>
      </w:r>
      <w:r w:rsidR="000E2A4F" w:rsidRPr="00D573D1">
        <w:rPr>
          <w:b/>
        </w:rPr>
        <w:t xml:space="preserve">oficiální </w:t>
      </w:r>
      <w:r w:rsidR="004F6417" w:rsidRPr="00D573D1">
        <w:rPr>
          <w:b/>
        </w:rPr>
        <w:t xml:space="preserve">statistiky. </w:t>
      </w:r>
      <w:r w:rsidR="00E21F1C">
        <w:t>Ú</w:t>
      </w:r>
      <w:r w:rsidR="00030E53">
        <w:t>daje o počtech romských žáků ve</w:t>
      </w:r>
      <w:r w:rsidR="005E0801">
        <w:t xml:space="preserve"> </w:t>
      </w:r>
      <w:r w:rsidR="00E21F1C">
        <w:t xml:space="preserve">vzdělávacích </w:t>
      </w:r>
      <w:r w:rsidR="00E21F1C">
        <w:lastRenderedPageBreak/>
        <w:t>programech uvádí MŠMT odhadem, ú</w:t>
      </w:r>
      <w:r w:rsidR="00AE21A4" w:rsidRPr="00AE21A4">
        <w:t xml:space="preserve">daje nejsou ověřitelné a v souhrnných </w:t>
      </w:r>
      <w:r w:rsidR="00DA5745">
        <w:t>školských evidencích</w:t>
      </w:r>
      <w:r w:rsidR="00461439">
        <w:t xml:space="preserve"> jsou </w:t>
      </w:r>
      <w:r w:rsidR="004219AE">
        <w:t xml:space="preserve">údaje za neparticipující školy </w:t>
      </w:r>
      <w:r w:rsidR="00461439">
        <w:t>ze</w:t>
      </w:r>
      <w:r w:rsidR="00AE21A4" w:rsidRPr="00AE21A4">
        <w:t xml:space="preserve"> strany MŠMT </w:t>
      </w:r>
      <w:r w:rsidR="00461439">
        <w:t>uprav</w:t>
      </w:r>
      <w:r w:rsidR="00DA5745">
        <w:t>ovány</w:t>
      </w:r>
      <w:r w:rsidR="00DE76BB">
        <w:rPr>
          <w:rStyle w:val="Znakapoznpodarou"/>
        </w:rPr>
        <w:footnoteReference w:id="43"/>
      </w:r>
      <w:r w:rsidR="00AE21A4" w:rsidRPr="00AE21A4">
        <w:t>.</w:t>
      </w:r>
      <w:r w:rsidR="00E21F1C">
        <w:t xml:space="preserve"> </w:t>
      </w:r>
    </w:p>
    <w:p w14:paraId="3A7276EC" w14:textId="26345BDE" w:rsidR="000E2A4F" w:rsidRPr="00AE21A4" w:rsidRDefault="004730D9" w:rsidP="00AE21A4">
      <w:r>
        <w:t xml:space="preserve">U výsledkových </w:t>
      </w:r>
      <w:r w:rsidR="004F6417">
        <w:t xml:space="preserve">monitorovacích indikátorů k měření naplňování </w:t>
      </w:r>
      <w:r w:rsidR="00F91F39">
        <w:t>SC</w:t>
      </w:r>
      <w:r w:rsidR="004F6417">
        <w:t xml:space="preserve"> stanovilo MŠMT </w:t>
      </w:r>
      <w:r>
        <w:t>výchozí hodnoty</w:t>
      </w:r>
      <w:r w:rsidR="00C514C9">
        <w:t xml:space="preserve">, </w:t>
      </w:r>
      <w:r w:rsidR="00AE21A4">
        <w:t>u</w:t>
      </w:r>
      <w:r>
        <w:t xml:space="preserve"> </w:t>
      </w:r>
      <w:r w:rsidR="004F6417">
        <w:t xml:space="preserve">indikátoru </w:t>
      </w:r>
      <w:r w:rsidR="004F6417" w:rsidRPr="004F6417">
        <w:rPr>
          <w:i/>
        </w:rPr>
        <w:t>P</w:t>
      </w:r>
      <w:r w:rsidRPr="004F6417">
        <w:rPr>
          <w:i/>
        </w:rPr>
        <w:t>očet dětí a žáků Romů, začleněných do vzdělávání</w:t>
      </w:r>
      <w:r w:rsidR="004F6417">
        <w:rPr>
          <w:i/>
        </w:rPr>
        <w:t xml:space="preserve"> </w:t>
      </w:r>
      <w:r w:rsidR="004F6417">
        <w:t xml:space="preserve">u SC 1 pro </w:t>
      </w:r>
      <w:r w:rsidR="007F15D3">
        <w:t>i</w:t>
      </w:r>
      <w:r w:rsidR="00127519">
        <w:t>nvestiční prioritu</w:t>
      </w:r>
      <w:r w:rsidR="004F6417">
        <w:t xml:space="preserve"> 3</w:t>
      </w:r>
      <w:r w:rsidR="00AE21A4">
        <w:t xml:space="preserve"> </w:t>
      </w:r>
      <w:r w:rsidR="004C2F7C">
        <w:t>tak učinilo</w:t>
      </w:r>
      <w:r w:rsidR="00AE21A4">
        <w:t xml:space="preserve"> až v roce 2016. </w:t>
      </w:r>
      <w:r w:rsidR="004F6417">
        <w:t xml:space="preserve">Tento </w:t>
      </w:r>
      <w:r w:rsidR="00F91F39">
        <w:t>SC</w:t>
      </w:r>
      <w:r w:rsidR="004F6417">
        <w:t xml:space="preserve"> </w:t>
      </w:r>
      <w:r w:rsidR="004F6417" w:rsidRPr="000E2A4F">
        <w:rPr>
          <w:b/>
        </w:rPr>
        <w:t>není měřitelný</w:t>
      </w:r>
      <w:r w:rsidR="000E2A4F" w:rsidRPr="000E2A4F">
        <w:rPr>
          <w:b/>
        </w:rPr>
        <w:t xml:space="preserve">, </w:t>
      </w:r>
      <w:r w:rsidR="004F6417" w:rsidRPr="000E2A4F">
        <w:rPr>
          <w:b/>
        </w:rPr>
        <w:t xml:space="preserve">a není tedy možné </w:t>
      </w:r>
      <w:r w:rsidR="00E45A42">
        <w:rPr>
          <w:b/>
        </w:rPr>
        <w:t xml:space="preserve">posoudit </w:t>
      </w:r>
      <w:r w:rsidR="004F6417" w:rsidRPr="000E2A4F">
        <w:rPr>
          <w:b/>
        </w:rPr>
        <w:t>jeho dosažitelnost</w:t>
      </w:r>
      <w:r w:rsidR="000E2A4F" w:rsidRPr="000E2A4F">
        <w:rPr>
          <w:b/>
        </w:rPr>
        <w:t xml:space="preserve"> </w:t>
      </w:r>
      <w:r w:rsidR="004E7F8C">
        <w:rPr>
          <w:b/>
        </w:rPr>
        <w:t>–</w:t>
      </w:r>
      <w:r w:rsidR="000E2A4F" w:rsidRPr="000E2A4F">
        <w:rPr>
          <w:b/>
        </w:rPr>
        <w:t xml:space="preserve"> cílová skupina není evidována</w:t>
      </w:r>
      <w:r w:rsidR="003B67DD">
        <w:rPr>
          <w:rStyle w:val="Znakapoznpodarou"/>
          <w:b/>
        </w:rPr>
        <w:footnoteReference w:id="44"/>
      </w:r>
      <w:r w:rsidR="004E7F8C">
        <w:rPr>
          <w:b/>
        </w:rPr>
        <w:t>,</w:t>
      </w:r>
      <w:r w:rsidR="000E2A4F" w:rsidRPr="000E2A4F">
        <w:rPr>
          <w:b/>
        </w:rPr>
        <w:t xml:space="preserve"> a její pokrok</w:t>
      </w:r>
      <w:r w:rsidR="00E67C7D">
        <w:rPr>
          <w:b/>
        </w:rPr>
        <w:t xml:space="preserve"> tudíž nemůže</w:t>
      </w:r>
      <w:r w:rsidR="000E2A4F" w:rsidRPr="000E2A4F">
        <w:rPr>
          <w:b/>
        </w:rPr>
        <w:t xml:space="preserve"> být monitorován ani vyhodnocován.</w:t>
      </w:r>
      <w:r w:rsidR="000F2EB5">
        <w:rPr>
          <w:b/>
        </w:rPr>
        <w:t xml:space="preserve"> </w:t>
      </w:r>
    </w:p>
    <w:p w14:paraId="439E23CD" w14:textId="2670C810" w:rsidR="00243521" w:rsidRPr="002F64EE" w:rsidRDefault="00243521" w:rsidP="00243521">
      <w:r w:rsidRPr="002F64EE">
        <w:t xml:space="preserve">MŠMT akceptovalo při definování národního cíle strategie </w:t>
      </w:r>
      <w:r w:rsidRPr="00092FBB">
        <w:rPr>
          <w:i/>
        </w:rPr>
        <w:t>Evropa 2020</w:t>
      </w:r>
      <w:r w:rsidRPr="002F64EE">
        <w:t xml:space="preserve"> </w:t>
      </w:r>
      <w:r w:rsidRPr="002F64EE">
        <w:rPr>
          <w:i/>
        </w:rPr>
        <w:t xml:space="preserve">Předčasné odchody žáků ze vzdělávání </w:t>
      </w:r>
      <w:r w:rsidRPr="002F64EE">
        <w:t>cílovou hodnotu 5,5 %, kterou pro ČR k naplnění do roku 2020 navrhla Evropská komise</w:t>
      </w:r>
      <w:r w:rsidR="004351B8">
        <w:t xml:space="preserve"> v roce 2010</w:t>
      </w:r>
      <w:r w:rsidR="004351B8">
        <w:rPr>
          <w:rStyle w:val="Znakapoznpodarou"/>
        </w:rPr>
        <w:footnoteReference w:id="45"/>
      </w:r>
      <w:r w:rsidRPr="002F64EE">
        <w:t xml:space="preserve">. </w:t>
      </w:r>
      <w:r w:rsidRPr="002F64EE">
        <w:rPr>
          <w:b/>
        </w:rPr>
        <w:t>Aktuální stav naplňování cíle za rok 2019 je 6,7 % žáků předčasně odcházejících ze vzdělávání, což představuje kontinuálně jeden z nejlepších výsledků v evropském srovnání</w:t>
      </w:r>
      <w:r w:rsidRPr="002F64EE">
        <w:rPr>
          <w:rStyle w:val="Znakapoznpodarou"/>
        </w:rPr>
        <w:footnoteReference w:id="46"/>
      </w:r>
      <w:r w:rsidRPr="002F64EE">
        <w:t>. Údaje o naplňování uveden</w:t>
      </w:r>
      <w:r w:rsidR="009C2159">
        <w:t>ého cíle předkládá MŠMT ve</w:t>
      </w:r>
      <w:r w:rsidR="005E0801">
        <w:t xml:space="preserve"> </w:t>
      </w:r>
      <w:r w:rsidR="004C2F7C">
        <w:t>v</w:t>
      </w:r>
      <w:r w:rsidR="009C2159">
        <w:t>ýročních zprávách OP </w:t>
      </w:r>
      <w:r w:rsidRPr="002F64EE">
        <w:t>VVV a v</w:t>
      </w:r>
      <w:r w:rsidR="004C2F7C">
        <w:t xml:space="preserve"> </w:t>
      </w:r>
      <w:r w:rsidRPr="002F64EE">
        <w:t>po</w:t>
      </w:r>
      <w:r w:rsidR="004C2F7C">
        <w:t>d</w:t>
      </w:r>
      <w:r w:rsidRPr="002F64EE">
        <w:t xml:space="preserve">kladech pro roční aktualizace </w:t>
      </w:r>
      <w:r w:rsidR="004C2F7C">
        <w:t>n</w:t>
      </w:r>
      <w:r w:rsidRPr="002F64EE">
        <w:t>árodní</w:t>
      </w:r>
      <w:r w:rsidR="004C2F7C">
        <w:t>ch</w:t>
      </w:r>
      <w:r w:rsidRPr="002F64EE">
        <w:t xml:space="preserve"> program</w:t>
      </w:r>
      <w:r w:rsidR="004C2F7C">
        <w:t>ů</w:t>
      </w:r>
      <w:r w:rsidRPr="002F64EE">
        <w:t xml:space="preserve"> reforem.</w:t>
      </w:r>
      <w:r w:rsidRPr="002F64EE">
        <w:rPr>
          <w:rStyle w:val="Znakapoznpodarou"/>
        </w:rPr>
        <w:footnoteReference w:id="47"/>
      </w:r>
      <w:r w:rsidRPr="002F64EE">
        <w:t xml:space="preserve"> </w:t>
      </w:r>
    </w:p>
    <w:p w14:paraId="6D1BBF46" w14:textId="7D189716" w:rsidR="00413E04" w:rsidRDefault="00B42443" w:rsidP="00987B74">
      <w:pPr>
        <w:pStyle w:val="Nadpis4"/>
      </w:pPr>
      <w:proofErr w:type="gramStart"/>
      <w:r w:rsidRPr="008E2212">
        <w:t>IV.1.4.2</w:t>
      </w:r>
      <w:proofErr w:type="gramEnd"/>
      <w:r w:rsidRPr="008E2212">
        <w:t xml:space="preserve"> </w:t>
      </w:r>
      <w:r w:rsidR="00B21B1C" w:rsidRPr="00C64A07">
        <w:rPr>
          <w:i/>
        </w:rPr>
        <w:t>Hlavní město Praha</w:t>
      </w:r>
      <w:r w:rsidR="00AD6FD9" w:rsidRPr="008E2212">
        <w:t xml:space="preserve"> </w:t>
      </w:r>
    </w:p>
    <w:p w14:paraId="08D43ABA" w14:textId="61C4357F" w:rsidR="00B42443" w:rsidRPr="00B1568C" w:rsidRDefault="00D67130" w:rsidP="001F3F29">
      <w:pPr>
        <w:spacing w:after="0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S</w:t>
      </w:r>
      <w:r w:rsidR="009C2159">
        <w:rPr>
          <w:rFonts w:eastAsiaTheme="majorEastAsia"/>
          <w:lang w:eastAsia="en-US"/>
        </w:rPr>
        <w:t>pecifický cíl 4.2 OP </w:t>
      </w:r>
      <w:r w:rsidR="008234AD" w:rsidRPr="00B1568C">
        <w:rPr>
          <w:rFonts w:eastAsiaTheme="majorEastAsia"/>
          <w:lang w:eastAsia="en-US"/>
        </w:rPr>
        <w:t>PPR a cíle kontrolovaných projektů jsou relevant</w:t>
      </w:r>
      <w:r w:rsidR="001F3F29" w:rsidRPr="00B1568C">
        <w:rPr>
          <w:rFonts w:eastAsiaTheme="majorEastAsia"/>
          <w:lang w:eastAsia="en-US"/>
        </w:rPr>
        <w:t>ní a</w:t>
      </w:r>
      <w:r w:rsidR="004E7F8C">
        <w:rPr>
          <w:rFonts w:eastAsiaTheme="majorEastAsia"/>
          <w:lang w:eastAsia="en-US"/>
        </w:rPr>
        <w:t xml:space="preserve"> </w:t>
      </w:r>
      <w:r w:rsidR="008234AD" w:rsidRPr="00B1568C">
        <w:rPr>
          <w:rFonts w:eastAsiaTheme="majorEastAsia"/>
          <w:lang w:eastAsia="en-US"/>
        </w:rPr>
        <w:t xml:space="preserve">konkrétní. Tyto cíle jsou </w:t>
      </w:r>
      <w:r w:rsidR="00B1568C">
        <w:rPr>
          <w:rFonts w:eastAsiaTheme="majorEastAsia"/>
          <w:lang w:eastAsia="en-US"/>
        </w:rPr>
        <w:t xml:space="preserve">i </w:t>
      </w:r>
      <w:r w:rsidR="008234AD" w:rsidRPr="00B1568C">
        <w:rPr>
          <w:rFonts w:eastAsiaTheme="majorEastAsia"/>
          <w:lang w:eastAsia="en-US"/>
        </w:rPr>
        <w:t>časově vymezené</w:t>
      </w:r>
      <w:r w:rsidR="00B1568C">
        <w:rPr>
          <w:rFonts w:eastAsiaTheme="majorEastAsia"/>
          <w:lang w:eastAsia="en-US"/>
        </w:rPr>
        <w:t xml:space="preserve"> a </w:t>
      </w:r>
      <w:r w:rsidR="008234AD" w:rsidRPr="00B1568C">
        <w:rPr>
          <w:rFonts w:eastAsiaTheme="majorEastAsia"/>
          <w:lang w:eastAsia="en-US"/>
        </w:rPr>
        <w:t>splňují hledisko dosažitelnosti</w:t>
      </w:r>
      <w:r w:rsidR="00B1568C">
        <w:rPr>
          <w:rFonts w:eastAsiaTheme="majorEastAsia"/>
          <w:lang w:eastAsia="en-US"/>
        </w:rPr>
        <w:t>. Je</w:t>
      </w:r>
      <w:r w:rsidR="008234AD" w:rsidRPr="00B1568C">
        <w:rPr>
          <w:rFonts w:eastAsiaTheme="majorEastAsia"/>
          <w:lang w:eastAsia="en-US"/>
        </w:rPr>
        <w:t>jich plnění lze měřit konkrétně stanovenými monitorovacími indikátory. Takto stanovené cíle umožňují HMP účinně monitorovat pokrok na všech úrovních p</w:t>
      </w:r>
      <w:r w:rsidR="009C2159">
        <w:rPr>
          <w:rFonts w:eastAsiaTheme="majorEastAsia"/>
          <w:lang w:eastAsia="en-US"/>
        </w:rPr>
        <w:t>rovádění opatření v rámci SC</w:t>
      </w:r>
      <w:r w:rsidR="004E7F8C">
        <w:rPr>
          <w:rFonts w:eastAsiaTheme="majorEastAsia"/>
          <w:lang w:eastAsia="en-US"/>
        </w:rPr>
        <w:t xml:space="preserve"> </w:t>
      </w:r>
      <w:r w:rsidR="00B1568C">
        <w:rPr>
          <w:rFonts w:eastAsiaTheme="majorEastAsia"/>
          <w:lang w:eastAsia="en-US"/>
        </w:rPr>
        <w:t>4.2</w:t>
      </w:r>
      <w:r w:rsidR="00F91F39">
        <w:rPr>
          <w:rFonts w:eastAsiaTheme="majorEastAsia"/>
          <w:lang w:eastAsia="en-US"/>
        </w:rPr>
        <w:t xml:space="preserve">. </w:t>
      </w:r>
      <w:r w:rsidR="008234AD" w:rsidRPr="00B1568C">
        <w:rPr>
          <w:rFonts w:eastAsiaTheme="majorEastAsia"/>
          <w:lang w:eastAsia="en-US"/>
        </w:rPr>
        <w:t>K vyhodnocování provádění opatření zároveň</w:t>
      </w:r>
      <w:r w:rsidR="00F91F39">
        <w:rPr>
          <w:rFonts w:eastAsiaTheme="majorEastAsia"/>
          <w:lang w:eastAsia="en-US"/>
        </w:rPr>
        <w:t xml:space="preserve"> HMP</w:t>
      </w:r>
      <w:r w:rsidR="008234AD" w:rsidRPr="00B1568C">
        <w:rPr>
          <w:rFonts w:eastAsiaTheme="majorEastAsia"/>
          <w:lang w:eastAsia="en-US"/>
        </w:rPr>
        <w:t xml:space="preserve"> využívá průběžné evaluace a na základě definovaných doporučení </w:t>
      </w:r>
      <w:r w:rsidR="00D84024" w:rsidRPr="00B1568C">
        <w:rPr>
          <w:rFonts w:eastAsiaTheme="majorEastAsia"/>
          <w:lang w:eastAsia="en-US"/>
        </w:rPr>
        <w:t>přijímá adekvátní opatření k optimalizaci poskytování podpory.</w:t>
      </w:r>
    </w:p>
    <w:p w14:paraId="62032FAD" w14:textId="67E58BFF" w:rsidR="00B42443" w:rsidRPr="008E2212" w:rsidRDefault="00B42443" w:rsidP="00987B74">
      <w:pPr>
        <w:pStyle w:val="Nadpis4"/>
      </w:pPr>
      <w:proofErr w:type="gramStart"/>
      <w:r w:rsidRPr="008E2212">
        <w:t>IV.1.4.3</w:t>
      </w:r>
      <w:proofErr w:type="gramEnd"/>
      <w:r w:rsidRPr="008E2212">
        <w:t xml:space="preserve"> </w:t>
      </w:r>
      <w:r w:rsidR="00B21B1C" w:rsidRPr="00C64A07">
        <w:rPr>
          <w:i/>
        </w:rPr>
        <w:t>Ministerstvo pro místní rozvoj a Centrum pro regionální rozvoj České republiky</w:t>
      </w:r>
      <w:r w:rsidR="00B21B1C">
        <w:t xml:space="preserve"> </w:t>
      </w:r>
    </w:p>
    <w:p w14:paraId="371467B3" w14:textId="65CAEDF0" w:rsidR="006A23B8" w:rsidRPr="006A23B8" w:rsidRDefault="006A23B8" w:rsidP="006A23B8">
      <w:pPr>
        <w:rPr>
          <w:rFonts w:cstheme="minorHAnsi"/>
        </w:rPr>
      </w:pPr>
      <w:r w:rsidRPr="006A23B8">
        <w:rPr>
          <w:rFonts w:cstheme="minorHAnsi"/>
        </w:rPr>
        <w:t>MMR stanovilo ke sledování</w:t>
      </w:r>
      <w:r w:rsidR="00501D0F">
        <w:rPr>
          <w:rFonts w:cstheme="minorHAnsi"/>
        </w:rPr>
        <w:t xml:space="preserve"> </w:t>
      </w:r>
      <w:r w:rsidRPr="006A23B8">
        <w:rPr>
          <w:rFonts w:cstheme="minorHAnsi"/>
        </w:rPr>
        <w:t>dosažení cíle, respektive výsledků a výstupů intervencí</w:t>
      </w:r>
      <w:r w:rsidR="00030E53">
        <w:rPr>
          <w:rFonts w:cstheme="minorHAnsi"/>
        </w:rPr>
        <w:t>,</w:t>
      </w:r>
      <w:r w:rsidRPr="006A23B8">
        <w:rPr>
          <w:rFonts w:cstheme="minorHAnsi"/>
        </w:rPr>
        <w:t xml:space="preserve"> monitorovací indikátory</w:t>
      </w:r>
      <w:r w:rsidR="00D67130">
        <w:rPr>
          <w:rFonts w:cstheme="minorHAnsi"/>
        </w:rPr>
        <w:t>.</w:t>
      </w:r>
      <w:r w:rsidRPr="006A23B8">
        <w:rPr>
          <w:rFonts w:cstheme="minorHAnsi"/>
        </w:rPr>
        <w:t xml:space="preserve"> </w:t>
      </w:r>
      <w:r w:rsidR="00D67130">
        <w:rPr>
          <w:rFonts w:cstheme="minorHAnsi"/>
        </w:rPr>
        <w:t>I</w:t>
      </w:r>
      <w:r w:rsidRPr="006A23B8">
        <w:rPr>
          <w:rFonts w:cstheme="minorHAnsi"/>
        </w:rPr>
        <w:t xml:space="preserve">ndikátory výsledku jsou </w:t>
      </w:r>
      <w:r w:rsidRPr="006A23B8">
        <w:rPr>
          <w:rFonts w:cstheme="minorHAnsi"/>
          <w:i/>
        </w:rPr>
        <w:t>Po</w:t>
      </w:r>
      <w:r w:rsidR="00D84024">
        <w:rPr>
          <w:rFonts w:cstheme="minorHAnsi"/>
          <w:i/>
        </w:rPr>
        <w:t>díl tříletých dětí umístěných v </w:t>
      </w:r>
      <w:r w:rsidRPr="006A23B8">
        <w:rPr>
          <w:rFonts w:cstheme="minorHAnsi"/>
          <w:i/>
        </w:rPr>
        <w:t>předškolním zařízení</w:t>
      </w:r>
      <w:r w:rsidRPr="006A23B8">
        <w:rPr>
          <w:rFonts w:cstheme="minorHAnsi"/>
        </w:rPr>
        <w:t xml:space="preserve"> a </w:t>
      </w:r>
      <w:r w:rsidRPr="006A23B8">
        <w:rPr>
          <w:rFonts w:cstheme="minorHAnsi"/>
          <w:i/>
        </w:rPr>
        <w:t>Podíl osob předčasně opouštějících vzdělávací systém</w:t>
      </w:r>
      <w:r w:rsidRPr="006A23B8">
        <w:rPr>
          <w:rFonts w:cstheme="minorHAnsi"/>
        </w:rPr>
        <w:t>. Ke každému výsledkovému indikátoru MMR stanovilo jak základní, tj. výchozí, tak i cílové hodnoty.</w:t>
      </w:r>
    </w:p>
    <w:p w14:paraId="24DB1B51" w14:textId="55307D4B" w:rsidR="006A23B8" w:rsidRPr="008E2212" w:rsidRDefault="006A23B8" w:rsidP="006A23B8">
      <w:pPr>
        <w:rPr>
          <w:rFonts w:cstheme="minorHAnsi"/>
          <w:b/>
        </w:rPr>
      </w:pPr>
      <w:r w:rsidRPr="008E2212">
        <w:rPr>
          <w:rFonts w:cstheme="minorHAnsi"/>
          <w:b/>
        </w:rPr>
        <w:t xml:space="preserve">Cílová hodnota 5 % výsledkového indikátoru </w:t>
      </w:r>
      <w:r w:rsidRPr="008E2212">
        <w:rPr>
          <w:rFonts w:cstheme="minorHAnsi"/>
          <w:b/>
          <w:i/>
        </w:rPr>
        <w:t xml:space="preserve">Podíl osob předčasně opouštějících vzdělávací systém </w:t>
      </w:r>
      <w:r w:rsidRPr="008E2212">
        <w:rPr>
          <w:rFonts w:cstheme="minorHAnsi"/>
          <w:b/>
        </w:rPr>
        <w:t>se i s ohledem na trend posledních pěti let (od roku 2013 do roku 2018) jeví jako nízká.</w:t>
      </w:r>
      <w:r>
        <w:rPr>
          <w:rFonts w:cstheme="minorHAnsi"/>
        </w:rPr>
        <w:t xml:space="preserve"> </w:t>
      </w:r>
      <w:r w:rsidRPr="006A23B8">
        <w:rPr>
          <w:rFonts w:cstheme="minorHAnsi"/>
        </w:rPr>
        <w:t xml:space="preserve">NKÚ má </w:t>
      </w:r>
      <w:r w:rsidR="00F91F39">
        <w:rPr>
          <w:rFonts w:cstheme="minorHAnsi"/>
        </w:rPr>
        <w:t xml:space="preserve">proto </w:t>
      </w:r>
      <w:r w:rsidRPr="006A23B8">
        <w:rPr>
          <w:rFonts w:cstheme="minorHAnsi"/>
        </w:rPr>
        <w:t>pochybnosti o její dosažitelnosti. MMR stanovilo cílovou hodnotu o půl procentního bodu niž</w:t>
      </w:r>
      <w:r w:rsidR="00D84024">
        <w:rPr>
          <w:rFonts w:cstheme="minorHAnsi"/>
        </w:rPr>
        <w:t>ší, než jaká byla definována ve</w:t>
      </w:r>
      <w:r w:rsidR="004E7F8C">
        <w:rPr>
          <w:rFonts w:cstheme="minorHAnsi"/>
        </w:rPr>
        <w:t xml:space="preserve"> </w:t>
      </w:r>
      <w:r w:rsidR="00F91F39" w:rsidRPr="00F91F39">
        <w:rPr>
          <w:rFonts w:cstheme="minorHAnsi"/>
        </w:rPr>
        <w:t>s</w:t>
      </w:r>
      <w:r w:rsidRPr="00F91F39">
        <w:rPr>
          <w:rFonts w:cstheme="minorHAnsi"/>
        </w:rPr>
        <w:t xml:space="preserve">trategii </w:t>
      </w:r>
      <w:r w:rsidRPr="00FB0809">
        <w:rPr>
          <w:rFonts w:cstheme="minorHAnsi"/>
          <w:i/>
        </w:rPr>
        <w:t>Evropa 2020</w:t>
      </w:r>
      <w:r w:rsidRPr="009C2159">
        <w:rPr>
          <w:rFonts w:cstheme="minorHAnsi"/>
        </w:rPr>
        <w:t xml:space="preserve"> a v </w:t>
      </w:r>
      <w:r w:rsidRPr="00FB0809">
        <w:rPr>
          <w:rFonts w:cstheme="minorHAnsi"/>
          <w:i/>
        </w:rPr>
        <w:t xml:space="preserve">Národním </w:t>
      </w:r>
      <w:r w:rsidRPr="00FB0809">
        <w:rPr>
          <w:rFonts w:cstheme="minorHAnsi"/>
          <w:i/>
        </w:rPr>
        <w:lastRenderedPageBreak/>
        <w:t>programu reforem 2014</w:t>
      </w:r>
      <w:r w:rsidRPr="006A23B8">
        <w:rPr>
          <w:rFonts w:cstheme="minorHAnsi"/>
          <w:i/>
        </w:rPr>
        <w:t xml:space="preserve">. </w:t>
      </w:r>
      <w:r w:rsidRPr="006A23B8">
        <w:rPr>
          <w:rFonts w:cstheme="minorHAnsi"/>
        </w:rPr>
        <w:t>Hodnotu tohoto indikátoru navíc výrazně ovlivňují i jiné faktory, než jen intervence pro</w:t>
      </w:r>
      <w:r w:rsidR="00D84024">
        <w:rPr>
          <w:rFonts w:cstheme="minorHAnsi"/>
        </w:rPr>
        <w:t>střednictvím podpory v rámci SC </w:t>
      </w:r>
      <w:r w:rsidRPr="006A23B8">
        <w:rPr>
          <w:rFonts w:cstheme="minorHAnsi"/>
        </w:rPr>
        <w:t xml:space="preserve">2.4 IROP. Bylo by nepřesné spojit vývoj hodnoty indikátoru </w:t>
      </w:r>
      <w:r w:rsidR="00D67130" w:rsidRPr="00D67130">
        <w:rPr>
          <w:rFonts w:cstheme="minorHAnsi"/>
          <w:i/>
        </w:rPr>
        <w:t>Podíl osob předčasně opouštějících vzdělávací systém</w:t>
      </w:r>
      <w:r w:rsidR="00D67130" w:rsidRPr="006A23B8">
        <w:rPr>
          <w:rFonts w:cstheme="minorHAnsi"/>
        </w:rPr>
        <w:t xml:space="preserve"> </w:t>
      </w:r>
      <w:r w:rsidRPr="006A23B8">
        <w:rPr>
          <w:rFonts w:cstheme="minorHAnsi"/>
        </w:rPr>
        <w:t>pouze s</w:t>
      </w:r>
      <w:r w:rsidR="0096493A">
        <w:rPr>
          <w:rFonts w:cstheme="minorHAnsi"/>
        </w:rPr>
        <w:t> </w:t>
      </w:r>
      <w:r w:rsidRPr="006A23B8">
        <w:rPr>
          <w:rFonts w:cstheme="minorHAnsi"/>
        </w:rPr>
        <w:t>intervenc</w:t>
      </w:r>
      <w:r w:rsidR="00D67130">
        <w:rPr>
          <w:rFonts w:cstheme="minorHAnsi"/>
        </w:rPr>
        <w:t>emi</w:t>
      </w:r>
      <w:r w:rsidRPr="006A23B8">
        <w:rPr>
          <w:rFonts w:cstheme="minorHAnsi"/>
        </w:rPr>
        <w:t xml:space="preserve"> IROP, </w:t>
      </w:r>
      <w:r w:rsidR="00A62917">
        <w:rPr>
          <w:rFonts w:cstheme="minorHAnsi"/>
        </w:rPr>
        <w:t xml:space="preserve">neboť </w:t>
      </w:r>
      <w:r w:rsidR="00A62917" w:rsidRPr="00A62917">
        <w:rPr>
          <w:rFonts w:cstheme="minorHAnsi"/>
        </w:rPr>
        <w:t xml:space="preserve">je obtížné prokázat </w:t>
      </w:r>
      <w:r w:rsidR="00D67130">
        <w:rPr>
          <w:rFonts w:cstheme="minorHAnsi"/>
        </w:rPr>
        <w:t xml:space="preserve">jejich </w:t>
      </w:r>
      <w:r w:rsidR="00A62917" w:rsidRPr="00A62917">
        <w:rPr>
          <w:rFonts w:cstheme="minorHAnsi"/>
        </w:rPr>
        <w:t>vliv na hodnotu tohoto indikátoru</w:t>
      </w:r>
      <w:r w:rsidR="00A62917">
        <w:rPr>
          <w:rFonts w:cstheme="minorHAnsi"/>
        </w:rPr>
        <w:t xml:space="preserve">. </w:t>
      </w:r>
    </w:p>
    <w:p w14:paraId="415BBB56" w14:textId="1642B257" w:rsidR="00A62917" w:rsidRDefault="006A23B8" w:rsidP="006A23B8">
      <w:pPr>
        <w:rPr>
          <w:rFonts w:cstheme="minorHAnsi"/>
          <w:b/>
        </w:rPr>
      </w:pPr>
      <w:r w:rsidRPr="006A23B8">
        <w:rPr>
          <w:rFonts w:cstheme="minorHAnsi"/>
        </w:rPr>
        <w:t xml:space="preserve">Výstupy jsou měřeny monitorovacími indikátory </w:t>
      </w:r>
      <w:r w:rsidRPr="006A23B8">
        <w:rPr>
          <w:rFonts w:cstheme="minorHAnsi"/>
          <w:i/>
        </w:rPr>
        <w:t>Počet podpořených vzdělávacích zařízení</w:t>
      </w:r>
      <w:r w:rsidRPr="006A23B8">
        <w:rPr>
          <w:rFonts w:cstheme="minorHAnsi"/>
        </w:rPr>
        <w:t xml:space="preserve">, </w:t>
      </w:r>
      <w:r w:rsidRPr="006A23B8">
        <w:rPr>
          <w:rFonts w:cstheme="minorHAnsi"/>
          <w:i/>
        </w:rPr>
        <w:t>Kapacita podporovaných zařízení péče o děti nebo vzdělávacích zařízení</w:t>
      </w:r>
      <w:r w:rsidRPr="006A23B8">
        <w:rPr>
          <w:rFonts w:cstheme="minorHAnsi"/>
        </w:rPr>
        <w:t xml:space="preserve"> a </w:t>
      </w:r>
      <w:r w:rsidRPr="006A23B8">
        <w:rPr>
          <w:rFonts w:cstheme="minorHAnsi"/>
          <w:i/>
        </w:rPr>
        <w:t>Počet osob využívající zařízení péče o děti do 3 let</w:t>
      </w:r>
      <w:r w:rsidRPr="006A23B8">
        <w:rPr>
          <w:rFonts w:cstheme="minorHAnsi"/>
        </w:rPr>
        <w:t xml:space="preserve">. </w:t>
      </w:r>
      <w:r w:rsidR="00D67130">
        <w:rPr>
          <w:rFonts w:cstheme="minorHAnsi"/>
        </w:rPr>
        <w:t>I</w:t>
      </w:r>
      <w:r w:rsidRPr="006A23B8">
        <w:rPr>
          <w:rFonts w:cstheme="minorHAnsi"/>
        </w:rPr>
        <w:t xml:space="preserve">ndikátory </w:t>
      </w:r>
      <w:r w:rsidRPr="006A23B8">
        <w:rPr>
          <w:rFonts w:cstheme="minorHAnsi"/>
          <w:i/>
        </w:rPr>
        <w:t>Počet podpořených vzdělávacích zařízení</w:t>
      </w:r>
      <w:r w:rsidR="0096493A">
        <w:rPr>
          <w:rFonts w:cstheme="minorHAnsi"/>
        </w:rPr>
        <w:t xml:space="preserve"> a </w:t>
      </w:r>
      <w:r w:rsidRPr="006A23B8">
        <w:rPr>
          <w:rFonts w:cstheme="minorHAnsi"/>
          <w:i/>
        </w:rPr>
        <w:t>Kapacita podporovaných zařízení péče o děti nebo vzdělávacích zařízení</w:t>
      </w:r>
      <w:r w:rsidRPr="006A23B8">
        <w:rPr>
          <w:rFonts w:cstheme="minorHAnsi"/>
        </w:rPr>
        <w:t xml:space="preserve"> </w:t>
      </w:r>
      <w:r w:rsidRPr="008E2212">
        <w:rPr>
          <w:rFonts w:cstheme="minorHAnsi"/>
          <w:b/>
        </w:rPr>
        <w:t xml:space="preserve">mohou vykazovat duplicitní započítání hodnot </w:t>
      </w:r>
      <w:r w:rsidR="00A62917" w:rsidRPr="00A62917">
        <w:rPr>
          <w:rFonts w:cstheme="minorHAnsi"/>
          <w:b/>
        </w:rPr>
        <w:t xml:space="preserve">v případech, kdy je </w:t>
      </w:r>
      <w:r w:rsidR="00D67130">
        <w:rPr>
          <w:rFonts w:cstheme="minorHAnsi"/>
          <w:b/>
        </w:rPr>
        <w:t>jedním</w:t>
      </w:r>
      <w:r w:rsidR="00A62917" w:rsidRPr="00A62917">
        <w:rPr>
          <w:rFonts w:cstheme="minorHAnsi"/>
          <w:b/>
        </w:rPr>
        <w:t xml:space="preserve"> vzdělávací</w:t>
      </w:r>
      <w:r w:rsidR="00D67130">
        <w:rPr>
          <w:rFonts w:cstheme="minorHAnsi"/>
          <w:b/>
        </w:rPr>
        <w:t>m</w:t>
      </w:r>
      <w:r w:rsidR="00A62917" w:rsidRPr="00A62917">
        <w:rPr>
          <w:rFonts w:cstheme="minorHAnsi"/>
          <w:b/>
        </w:rPr>
        <w:t xml:space="preserve"> zařízení</w:t>
      </w:r>
      <w:r w:rsidR="00D67130">
        <w:rPr>
          <w:rFonts w:cstheme="minorHAnsi"/>
          <w:b/>
        </w:rPr>
        <w:t>m</w:t>
      </w:r>
      <w:r w:rsidR="00A62917" w:rsidRPr="00A62917">
        <w:rPr>
          <w:rFonts w:cstheme="minorHAnsi"/>
          <w:b/>
        </w:rPr>
        <w:t xml:space="preserve"> rea</w:t>
      </w:r>
      <w:r w:rsidR="00A62917">
        <w:rPr>
          <w:rFonts w:cstheme="minorHAnsi"/>
          <w:b/>
        </w:rPr>
        <w:t>lizováno více projektů</w:t>
      </w:r>
      <w:r w:rsidR="0084327A">
        <w:rPr>
          <w:rStyle w:val="Znakapoznpodarou"/>
          <w:rFonts w:cstheme="minorHAnsi"/>
          <w:b/>
        </w:rPr>
        <w:footnoteReference w:id="48"/>
      </w:r>
      <w:r w:rsidR="00A62917" w:rsidRPr="00A62917">
        <w:rPr>
          <w:rFonts w:cstheme="minorHAnsi"/>
          <w:b/>
        </w:rPr>
        <w:t>.</w:t>
      </w:r>
    </w:p>
    <w:p w14:paraId="71A16D01" w14:textId="77777777" w:rsidR="000143BC" w:rsidRDefault="000143BC" w:rsidP="006A23B8">
      <w:pPr>
        <w:rPr>
          <w:rFonts w:cstheme="minorHAnsi"/>
          <w:b/>
        </w:rPr>
      </w:pPr>
    </w:p>
    <w:p w14:paraId="42AECC16" w14:textId="32D61C58" w:rsidR="00C045F1" w:rsidRPr="005C3593" w:rsidRDefault="00C045F1" w:rsidP="00136EF9">
      <w:pPr>
        <w:pStyle w:val="Nadpis3"/>
      </w:pPr>
      <w:proofErr w:type="gramStart"/>
      <w:r w:rsidRPr="00C44DB2">
        <w:t>IV.1.5</w:t>
      </w:r>
      <w:proofErr w:type="gramEnd"/>
      <w:r w:rsidRPr="00C44DB2">
        <w:t xml:space="preserve"> Vyhodnocení poskytování peněžních prostředků příjemc</w:t>
      </w:r>
      <w:r w:rsidR="00DE47C3" w:rsidRPr="00C44DB2">
        <w:t xml:space="preserve">ům </w:t>
      </w:r>
      <w:r w:rsidRPr="00C44DB2">
        <w:t>podpory</w:t>
      </w:r>
    </w:p>
    <w:p w14:paraId="4A84D4F5" w14:textId="35F7584A" w:rsidR="002711D2" w:rsidRPr="00462B9D" w:rsidRDefault="002711D2" w:rsidP="00987B74">
      <w:pPr>
        <w:pStyle w:val="Nadpis4"/>
      </w:pPr>
      <w:proofErr w:type="gramStart"/>
      <w:r w:rsidRPr="00462B9D">
        <w:t>IV.1.5.1</w:t>
      </w:r>
      <w:proofErr w:type="gramEnd"/>
      <w:r w:rsidRPr="00462B9D">
        <w:t xml:space="preserve"> </w:t>
      </w:r>
      <w:r w:rsidR="00DE47C3" w:rsidRPr="00462B9D">
        <w:t>Vyhodnocení účinnosti řídicích a kontrolních systémů OP VVV, OP PPR a IROP</w:t>
      </w:r>
    </w:p>
    <w:p w14:paraId="2610ABB6" w14:textId="5B0A2DA4" w:rsidR="00E57CC1" w:rsidRPr="00E029D7" w:rsidRDefault="00E57CC1" w:rsidP="005F6C68">
      <w:pPr>
        <w:pStyle w:val="Odstavecseseznamem"/>
        <w:numPr>
          <w:ilvl w:val="0"/>
          <w:numId w:val="17"/>
        </w:numPr>
        <w:spacing w:after="0"/>
        <w:rPr>
          <w:rFonts w:cstheme="minorHAnsi"/>
          <w:lang w:eastAsia="en-US"/>
        </w:rPr>
      </w:pPr>
      <w:r>
        <w:rPr>
          <w:rFonts w:cstheme="minorHAnsi"/>
          <w:b/>
        </w:rPr>
        <w:t>Řídicí a k</w:t>
      </w:r>
      <w:r w:rsidR="005F6C68" w:rsidRPr="00280839">
        <w:rPr>
          <w:rFonts w:cstheme="minorHAnsi"/>
          <w:b/>
        </w:rPr>
        <w:t xml:space="preserve">ontrolní </w:t>
      </w:r>
      <w:r w:rsidR="005F6C68" w:rsidRPr="00E029D7">
        <w:rPr>
          <w:rFonts w:cstheme="minorHAnsi"/>
          <w:b/>
        </w:rPr>
        <w:t xml:space="preserve">systém </w:t>
      </w:r>
      <w:r w:rsidR="00E029D7" w:rsidRPr="00E029D7">
        <w:rPr>
          <w:rFonts w:cstheme="minorHAnsi"/>
        </w:rPr>
        <w:t>(dále též „ŘKS“)</w:t>
      </w:r>
      <w:r w:rsidR="005F6C68" w:rsidRPr="00E029D7">
        <w:rPr>
          <w:rFonts w:cstheme="minorHAnsi"/>
        </w:rPr>
        <w:t xml:space="preserve"> </w:t>
      </w:r>
      <w:r w:rsidR="005F6C68" w:rsidRPr="00280839">
        <w:rPr>
          <w:rFonts w:cstheme="minorHAnsi"/>
          <w:b/>
        </w:rPr>
        <w:t xml:space="preserve">OP VVV hodnotí </w:t>
      </w:r>
      <w:r w:rsidR="005F6C68">
        <w:rPr>
          <w:rFonts w:cstheme="minorHAnsi"/>
          <w:b/>
        </w:rPr>
        <w:t xml:space="preserve">NKÚ </w:t>
      </w:r>
      <w:r w:rsidR="005F6C68" w:rsidRPr="00280839">
        <w:rPr>
          <w:rFonts w:cstheme="minorHAnsi"/>
          <w:b/>
        </w:rPr>
        <w:t>s ohledem na počet projektů se zjištěnými nedostatky jako „</w:t>
      </w:r>
      <w:r w:rsidR="005F6C68">
        <w:rPr>
          <w:rFonts w:cstheme="minorHAnsi"/>
          <w:b/>
        </w:rPr>
        <w:t xml:space="preserve">částečně </w:t>
      </w:r>
      <w:r w:rsidR="005F6C68" w:rsidRPr="00E029D7">
        <w:rPr>
          <w:rFonts w:cstheme="minorHAnsi"/>
          <w:b/>
        </w:rPr>
        <w:t>účinn</w:t>
      </w:r>
      <w:r w:rsidR="00E029D7" w:rsidRPr="00E029D7">
        <w:rPr>
          <w:rFonts w:cstheme="minorHAnsi"/>
          <w:b/>
        </w:rPr>
        <w:t>ý</w:t>
      </w:r>
      <w:r w:rsidR="005F6C68" w:rsidRPr="00E029D7">
        <w:rPr>
          <w:rFonts w:cstheme="minorHAnsi"/>
          <w:b/>
        </w:rPr>
        <w:t>“</w:t>
      </w:r>
      <w:r w:rsidR="00E029D7" w:rsidRPr="00E029D7">
        <w:rPr>
          <w:rFonts w:cstheme="minorHAnsi"/>
          <w:b/>
        </w:rPr>
        <w:t>, ŘKS OP PPR hodnotí NKÚ jako „účinný s mírnými nedostatky“.</w:t>
      </w:r>
      <w:r>
        <w:rPr>
          <w:rFonts w:cstheme="minorHAnsi"/>
          <w:b/>
        </w:rPr>
        <w:t xml:space="preserve"> </w:t>
      </w:r>
      <w:r w:rsidRPr="00E029D7">
        <w:rPr>
          <w:rFonts w:cstheme="minorHAnsi"/>
        </w:rPr>
        <w:t>Hodnocení vychází u obou operačních programů z nedostatků v oblasti schvalování projektů, v obla</w:t>
      </w:r>
      <w:r w:rsidR="0096493A">
        <w:rPr>
          <w:rFonts w:cstheme="minorHAnsi"/>
        </w:rPr>
        <w:t>sti změnových řízení projektů a </w:t>
      </w:r>
      <w:r w:rsidRPr="00E029D7">
        <w:rPr>
          <w:rFonts w:cstheme="minorHAnsi"/>
        </w:rPr>
        <w:t>v kontrolní činnosti</w:t>
      </w:r>
      <w:r w:rsidR="009C2A5C">
        <w:rPr>
          <w:rFonts w:cstheme="minorHAnsi"/>
        </w:rPr>
        <w:t xml:space="preserve"> ŘO</w:t>
      </w:r>
      <w:r w:rsidRPr="00E029D7">
        <w:rPr>
          <w:rFonts w:cstheme="minorHAnsi"/>
        </w:rPr>
        <w:t>, zejména v části administrativního ověřování.</w:t>
      </w:r>
    </w:p>
    <w:p w14:paraId="270993F4" w14:textId="70C9F79F" w:rsidR="005F6C68" w:rsidRPr="00280839" w:rsidRDefault="00E57CC1" w:rsidP="005F6C68">
      <w:pPr>
        <w:pStyle w:val="Odstavecseseznamem"/>
        <w:numPr>
          <w:ilvl w:val="0"/>
          <w:numId w:val="17"/>
        </w:numPr>
        <w:spacing w:after="0"/>
        <w:rPr>
          <w:rFonts w:cstheme="minorHAnsi"/>
          <w:lang w:eastAsia="en-US"/>
        </w:rPr>
      </w:pPr>
      <w:r>
        <w:rPr>
          <w:rFonts w:cstheme="minorHAnsi"/>
          <w:b/>
        </w:rPr>
        <w:t xml:space="preserve">Řídicí a </w:t>
      </w:r>
      <w:r w:rsidR="005F6C68">
        <w:rPr>
          <w:rFonts w:cstheme="minorHAnsi"/>
          <w:b/>
        </w:rPr>
        <w:t>k</w:t>
      </w:r>
      <w:r w:rsidR="005F6C68" w:rsidRPr="00280839">
        <w:rPr>
          <w:rFonts w:cstheme="minorHAnsi"/>
          <w:b/>
          <w:lang w:eastAsia="en-US"/>
        </w:rPr>
        <w:t>ontrolní systém IROP hodnotí NKÚ jako „účinný“.</w:t>
      </w:r>
    </w:p>
    <w:p w14:paraId="5E02970C" w14:textId="737B4CD6" w:rsidR="00985358" w:rsidRPr="00E029D7" w:rsidRDefault="00C56D85" w:rsidP="00985358">
      <w:pPr>
        <w:pStyle w:val="Odstavecseseznamem"/>
        <w:numPr>
          <w:ilvl w:val="0"/>
          <w:numId w:val="17"/>
        </w:numPr>
        <w:spacing w:after="0"/>
        <w:rPr>
          <w:rFonts w:cstheme="minorHAnsi"/>
          <w:b/>
          <w:lang w:eastAsia="en-US"/>
        </w:rPr>
      </w:pPr>
      <w:r w:rsidRPr="00B1568C">
        <w:rPr>
          <w:rFonts w:cstheme="minorHAnsi"/>
          <w:b/>
          <w:lang w:eastAsia="en-US"/>
        </w:rPr>
        <w:t>Ř</w:t>
      </w:r>
      <w:r w:rsidR="00DE47C3" w:rsidRPr="00B1568C">
        <w:rPr>
          <w:rFonts w:cstheme="minorHAnsi"/>
          <w:b/>
          <w:lang w:eastAsia="en-US"/>
        </w:rPr>
        <w:t xml:space="preserve">ídicí orgány </w:t>
      </w:r>
      <w:r w:rsidR="00E35E01" w:rsidRPr="00B1568C">
        <w:rPr>
          <w:rFonts w:cstheme="minorHAnsi"/>
          <w:b/>
          <w:lang w:eastAsia="en-US"/>
        </w:rPr>
        <w:t>OP VVV</w:t>
      </w:r>
      <w:r w:rsidRPr="00B1568C">
        <w:rPr>
          <w:rFonts w:cstheme="minorHAnsi"/>
          <w:b/>
          <w:lang w:eastAsia="en-US"/>
        </w:rPr>
        <w:t xml:space="preserve"> a </w:t>
      </w:r>
      <w:r w:rsidR="00E35E01" w:rsidRPr="00B1568C">
        <w:rPr>
          <w:rFonts w:cstheme="minorHAnsi"/>
          <w:b/>
          <w:lang w:eastAsia="en-US"/>
        </w:rPr>
        <w:t>OP PPR</w:t>
      </w:r>
      <w:r w:rsidRPr="00B1568C">
        <w:rPr>
          <w:rFonts w:cstheme="minorHAnsi"/>
          <w:b/>
          <w:lang w:eastAsia="en-US"/>
        </w:rPr>
        <w:t xml:space="preserve"> p</w:t>
      </w:r>
      <w:r w:rsidR="00DE47C3" w:rsidRPr="00B1568C">
        <w:rPr>
          <w:rFonts w:cstheme="minorHAnsi"/>
          <w:b/>
          <w:lang w:eastAsia="en-US"/>
        </w:rPr>
        <w:t xml:space="preserve">oskytují peněžní prostředky </w:t>
      </w:r>
      <w:r w:rsidRPr="00B1568C">
        <w:rPr>
          <w:rFonts w:cstheme="minorHAnsi"/>
          <w:b/>
          <w:lang w:eastAsia="en-US"/>
        </w:rPr>
        <w:t xml:space="preserve">jen částečně </w:t>
      </w:r>
      <w:r w:rsidR="00DE47C3" w:rsidRPr="00B1568C">
        <w:rPr>
          <w:rFonts w:cstheme="minorHAnsi"/>
          <w:b/>
          <w:lang w:eastAsia="en-US"/>
        </w:rPr>
        <w:t>účelně</w:t>
      </w:r>
      <w:r w:rsidRPr="00B1568C">
        <w:rPr>
          <w:rFonts w:cstheme="minorHAnsi"/>
          <w:b/>
          <w:lang w:eastAsia="en-US"/>
        </w:rPr>
        <w:t xml:space="preserve">; </w:t>
      </w:r>
      <w:r w:rsidR="00E35E01" w:rsidRPr="00B1568C">
        <w:rPr>
          <w:rFonts w:cstheme="minorHAnsi"/>
          <w:lang w:eastAsia="en-US"/>
        </w:rPr>
        <w:t xml:space="preserve">NKÚ má výhrady k podpořeným projektům, jejichž cíle nejsou konkrétní a měřitelné, </w:t>
      </w:r>
      <w:r w:rsidR="009F3762">
        <w:rPr>
          <w:rFonts w:cstheme="minorHAnsi"/>
          <w:lang w:eastAsia="en-US"/>
        </w:rPr>
        <w:t>což znamená</w:t>
      </w:r>
      <w:r w:rsidR="00E35E01" w:rsidRPr="00B1568C">
        <w:rPr>
          <w:rFonts w:cstheme="minorHAnsi"/>
          <w:lang w:eastAsia="en-US"/>
        </w:rPr>
        <w:t xml:space="preserve">, že je obtížné </w:t>
      </w:r>
      <w:r w:rsidR="00E45A42">
        <w:rPr>
          <w:rFonts w:cstheme="minorHAnsi"/>
          <w:lang w:eastAsia="en-US"/>
        </w:rPr>
        <w:t>posoudit</w:t>
      </w:r>
      <w:r w:rsidRPr="00B1568C">
        <w:rPr>
          <w:rFonts w:cstheme="minorHAnsi"/>
          <w:lang w:eastAsia="en-US"/>
        </w:rPr>
        <w:t xml:space="preserve"> </w:t>
      </w:r>
      <w:r w:rsidR="00E35E01" w:rsidRPr="00B1568C">
        <w:rPr>
          <w:rFonts w:cstheme="minorHAnsi"/>
          <w:lang w:eastAsia="en-US"/>
        </w:rPr>
        <w:t xml:space="preserve">jejich dosažitelnost. </w:t>
      </w:r>
      <w:r w:rsidR="00985358" w:rsidRPr="00E029D7">
        <w:rPr>
          <w:rFonts w:cstheme="minorHAnsi"/>
          <w:lang w:eastAsia="en-US"/>
        </w:rPr>
        <w:t>Cíle těchto projektů řídicí orgány schválily bez výhrad</w:t>
      </w:r>
      <w:r w:rsidR="00985358">
        <w:rPr>
          <w:rFonts w:cstheme="minorHAnsi"/>
          <w:lang w:eastAsia="en-US"/>
        </w:rPr>
        <w:t>. Jedná</w:t>
      </w:r>
      <w:r w:rsidRPr="00B1568C">
        <w:rPr>
          <w:rFonts w:cstheme="minorHAnsi"/>
          <w:lang w:eastAsia="en-US"/>
        </w:rPr>
        <w:t xml:space="preserve"> se </w:t>
      </w:r>
      <w:r w:rsidR="00985358">
        <w:rPr>
          <w:rFonts w:cstheme="minorHAnsi"/>
          <w:lang w:eastAsia="en-US"/>
        </w:rPr>
        <w:t>o projekty IKV</w:t>
      </w:r>
      <w:r w:rsidR="00B1568C" w:rsidRPr="00B1568C">
        <w:rPr>
          <w:rFonts w:cstheme="minorHAnsi"/>
          <w:lang w:eastAsia="en-US"/>
        </w:rPr>
        <w:t xml:space="preserve"> </w:t>
      </w:r>
      <w:r w:rsidR="001F6057" w:rsidRPr="00B1568C">
        <w:rPr>
          <w:rFonts w:cstheme="minorHAnsi"/>
          <w:lang w:eastAsia="en-US"/>
        </w:rPr>
        <w:t xml:space="preserve">(OP VVV) a </w:t>
      </w:r>
      <w:r w:rsidR="00985358" w:rsidRPr="00FB0809">
        <w:rPr>
          <w:rFonts w:cstheme="minorHAnsi"/>
          <w:i/>
        </w:rPr>
        <w:t>Češtinou k inkluzi</w:t>
      </w:r>
      <w:r w:rsidR="00985358">
        <w:rPr>
          <w:rFonts w:cstheme="minorHAnsi"/>
        </w:rPr>
        <w:t xml:space="preserve"> (OP</w:t>
      </w:r>
      <w:r w:rsidR="009F3762">
        <w:rPr>
          <w:rFonts w:cstheme="minorHAnsi"/>
        </w:rPr>
        <w:t> </w:t>
      </w:r>
      <w:r w:rsidR="00985358">
        <w:rPr>
          <w:rFonts w:cstheme="minorHAnsi"/>
        </w:rPr>
        <w:t>PPR)</w:t>
      </w:r>
      <w:r w:rsidR="00985358" w:rsidRPr="00E029D7">
        <w:rPr>
          <w:rFonts w:cstheme="minorHAnsi"/>
          <w:lang w:eastAsia="en-US"/>
        </w:rPr>
        <w:t xml:space="preserve">. </w:t>
      </w:r>
    </w:p>
    <w:p w14:paraId="79A7DFE8" w14:textId="1134D7C5" w:rsidR="00DE76BB" w:rsidRPr="00DE76BB" w:rsidRDefault="00985358" w:rsidP="006009AB">
      <w:pPr>
        <w:pStyle w:val="Odstavecseseznamem"/>
        <w:numPr>
          <w:ilvl w:val="0"/>
          <w:numId w:val="17"/>
        </w:numPr>
        <w:spacing w:after="0"/>
        <w:rPr>
          <w:rFonts w:cstheme="minorHAnsi"/>
          <w:b/>
          <w:lang w:eastAsia="en-US"/>
        </w:rPr>
      </w:pPr>
      <w:r>
        <w:rPr>
          <w:rFonts w:cstheme="minorHAnsi"/>
          <w:lang w:eastAsia="en-US"/>
        </w:rPr>
        <w:t>ŘO OP VVV a OP PPR rovněž schválily neúčelné výdaje v projektech IKV (OP VVV) a</w:t>
      </w:r>
      <w:r w:rsidR="0096493A">
        <w:rPr>
          <w:rFonts w:cstheme="minorHAnsi"/>
          <w:lang w:eastAsia="en-US"/>
        </w:rPr>
        <w:t> </w:t>
      </w:r>
      <w:r w:rsidR="001F6057" w:rsidRPr="00FB0809">
        <w:rPr>
          <w:rFonts w:cstheme="minorHAnsi"/>
          <w:i/>
        </w:rPr>
        <w:t>Rovnost a rozdílnost – Komplexní podpora pedagogů při začleňování principů multikulturní výchovy a</w:t>
      </w:r>
      <w:r w:rsidR="00D84024" w:rsidRPr="00FB0809">
        <w:rPr>
          <w:rFonts w:cstheme="minorHAnsi"/>
          <w:i/>
        </w:rPr>
        <w:t> </w:t>
      </w:r>
      <w:r w:rsidR="001F6057" w:rsidRPr="00FB0809">
        <w:rPr>
          <w:rFonts w:cstheme="minorHAnsi"/>
          <w:i/>
        </w:rPr>
        <w:t>inkluze do života školy</w:t>
      </w:r>
      <w:r w:rsidR="001F6057" w:rsidRPr="00B1568C">
        <w:rPr>
          <w:rFonts w:cstheme="minorHAnsi"/>
        </w:rPr>
        <w:t xml:space="preserve"> (</w:t>
      </w:r>
      <w:r w:rsidR="00C56D85" w:rsidRPr="00B1568C">
        <w:rPr>
          <w:rFonts w:cstheme="minorHAnsi"/>
          <w:lang w:eastAsia="en-US"/>
        </w:rPr>
        <w:t xml:space="preserve">OP PPR). </w:t>
      </w:r>
    </w:p>
    <w:p w14:paraId="02690A52" w14:textId="6E096656" w:rsidR="001F6057" w:rsidRPr="00B1568C" w:rsidRDefault="00023DA9" w:rsidP="006009AB">
      <w:pPr>
        <w:pStyle w:val="Odstavecseseznamem"/>
        <w:numPr>
          <w:ilvl w:val="0"/>
          <w:numId w:val="17"/>
        </w:numPr>
        <w:spacing w:after="0"/>
        <w:rPr>
          <w:rFonts w:cstheme="minorHAnsi"/>
          <w:b/>
          <w:lang w:eastAsia="en-US"/>
        </w:rPr>
      </w:pPr>
      <w:r w:rsidRPr="00B1568C">
        <w:rPr>
          <w:rFonts w:cstheme="minorHAnsi"/>
          <w:b/>
          <w:lang w:eastAsia="en-US"/>
        </w:rPr>
        <w:t>Řídicí orgány OP VVV</w:t>
      </w:r>
      <w:r w:rsidR="00C56D85" w:rsidRPr="00B1568C">
        <w:rPr>
          <w:rFonts w:cstheme="minorHAnsi"/>
          <w:b/>
          <w:lang w:eastAsia="en-US"/>
        </w:rPr>
        <w:t xml:space="preserve"> a </w:t>
      </w:r>
      <w:r w:rsidRPr="00B1568C">
        <w:rPr>
          <w:rFonts w:cstheme="minorHAnsi"/>
          <w:b/>
          <w:lang w:eastAsia="en-US"/>
        </w:rPr>
        <w:t xml:space="preserve">OP PPR poskytují </w:t>
      </w:r>
      <w:r w:rsidR="00DE47C3" w:rsidRPr="00B1568C">
        <w:rPr>
          <w:rFonts w:cstheme="minorHAnsi"/>
          <w:b/>
          <w:lang w:eastAsia="en-US"/>
        </w:rPr>
        <w:t>peněžní prostředky hospodárně.</w:t>
      </w:r>
      <w:r w:rsidR="0062709F" w:rsidRPr="00B1568C">
        <w:rPr>
          <w:rFonts w:cstheme="minorHAnsi"/>
          <w:b/>
          <w:lang w:eastAsia="en-US"/>
        </w:rPr>
        <w:t xml:space="preserve"> </w:t>
      </w:r>
    </w:p>
    <w:p w14:paraId="0AD63447" w14:textId="2775194D" w:rsidR="00B1568C" w:rsidRPr="00B1568C" w:rsidRDefault="00B1568C" w:rsidP="006009AB">
      <w:pPr>
        <w:pStyle w:val="Odstavecseseznamem"/>
        <w:numPr>
          <w:ilvl w:val="0"/>
          <w:numId w:val="17"/>
        </w:numPr>
        <w:spacing w:after="0"/>
        <w:rPr>
          <w:rFonts w:cstheme="minorHAnsi"/>
          <w:b/>
          <w:lang w:eastAsia="en-US"/>
        </w:rPr>
      </w:pPr>
      <w:r w:rsidRPr="00B1568C">
        <w:rPr>
          <w:rFonts w:cstheme="minorHAnsi"/>
          <w:b/>
          <w:lang w:eastAsia="en-US"/>
        </w:rPr>
        <w:t>Řídicí orgán IROP poskytuje peněžní prostředky účelně i hospodárně</w:t>
      </w:r>
      <w:r>
        <w:rPr>
          <w:rFonts w:cstheme="minorHAnsi"/>
          <w:b/>
          <w:lang w:eastAsia="en-US"/>
        </w:rPr>
        <w:t>.</w:t>
      </w:r>
    </w:p>
    <w:p w14:paraId="5319F8C4" w14:textId="319716E4" w:rsidR="002711D2" w:rsidRDefault="002711D2" w:rsidP="00987B74">
      <w:pPr>
        <w:pStyle w:val="Nadpis4"/>
      </w:pPr>
      <w:proofErr w:type="gramStart"/>
      <w:r w:rsidRPr="00C13001">
        <w:t>IV.1.</w:t>
      </w:r>
      <w:r>
        <w:t>5</w:t>
      </w:r>
      <w:r w:rsidRPr="00C13001">
        <w:t>.</w:t>
      </w:r>
      <w:r>
        <w:t>2</w:t>
      </w:r>
      <w:proofErr w:type="gramEnd"/>
      <w:r w:rsidRPr="00C13001">
        <w:t xml:space="preserve"> </w:t>
      </w:r>
      <w:r w:rsidR="00483F23">
        <w:t>O</w:t>
      </w:r>
      <w:r w:rsidRPr="00C13001">
        <w:t xml:space="preserve">patření </w:t>
      </w:r>
      <w:r w:rsidR="00483F23">
        <w:t xml:space="preserve">k nápravě nedostatků </w:t>
      </w:r>
      <w:r w:rsidRPr="00C13001">
        <w:t>z</w:t>
      </w:r>
      <w:r w:rsidR="0084241C">
        <w:t xml:space="preserve">jištěných </w:t>
      </w:r>
      <w:r w:rsidRPr="00C13001">
        <w:t>p</w:t>
      </w:r>
      <w:r>
        <w:t>ředchozí</w:t>
      </w:r>
      <w:r w:rsidR="0084241C">
        <w:t>mi</w:t>
      </w:r>
      <w:r>
        <w:t xml:space="preserve"> kontrolní</w:t>
      </w:r>
      <w:r w:rsidR="0084241C">
        <w:t>mi</w:t>
      </w:r>
      <w:r>
        <w:t xml:space="preserve"> akc</w:t>
      </w:r>
      <w:r w:rsidR="0084241C">
        <w:t>emi</w:t>
      </w:r>
      <w:r>
        <w:t xml:space="preserve"> NKÚ</w:t>
      </w:r>
    </w:p>
    <w:p w14:paraId="266958C3" w14:textId="53CBC9EB" w:rsidR="002711D2" w:rsidRDefault="002711D2" w:rsidP="001F6057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NKÚ </w:t>
      </w:r>
      <w:r w:rsidR="00CA03A3">
        <w:rPr>
          <w:rFonts w:eastAsiaTheme="majorEastAsia"/>
          <w:lang w:eastAsia="en-US"/>
        </w:rPr>
        <w:t xml:space="preserve">ověřil plnění nápravných opatření k nedostatkům, které zjistil v předchozích kontrolních akcích při kontrole u MŠMT. </w:t>
      </w:r>
      <w:r w:rsidR="00F91F39">
        <w:rPr>
          <w:rFonts w:eastAsiaTheme="majorEastAsia"/>
          <w:lang w:eastAsia="en-US"/>
        </w:rPr>
        <w:t>Tyto n</w:t>
      </w:r>
      <w:r w:rsidR="00A12B8A">
        <w:rPr>
          <w:rFonts w:eastAsiaTheme="majorEastAsia"/>
          <w:lang w:eastAsia="en-US"/>
        </w:rPr>
        <w:t>edostatky se týkaly nastavení stupnice jednotkových nákl</w:t>
      </w:r>
      <w:r w:rsidR="0096493A">
        <w:rPr>
          <w:rFonts w:eastAsiaTheme="majorEastAsia"/>
          <w:lang w:eastAsia="en-US"/>
        </w:rPr>
        <w:t>adů u projektů typu „šablony“ (</w:t>
      </w:r>
      <w:r w:rsidR="0096493A" w:rsidRPr="0096493A">
        <w:rPr>
          <w:rFonts w:eastAsiaTheme="majorEastAsia"/>
          <w:i/>
          <w:lang w:eastAsia="en-US"/>
        </w:rPr>
        <w:t>EU peníze školám</w:t>
      </w:r>
      <w:r w:rsidR="00A12B8A">
        <w:rPr>
          <w:rFonts w:eastAsiaTheme="majorEastAsia"/>
          <w:lang w:eastAsia="en-US"/>
        </w:rPr>
        <w:t>) a dále realizace tzv. národních projektů</w:t>
      </w:r>
      <w:r w:rsidR="00A12B8A">
        <w:rPr>
          <w:rStyle w:val="Znakapoznpodarou"/>
          <w:rFonts w:eastAsiaTheme="majorEastAsia"/>
          <w:lang w:eastAsia="en-US"/>
        </w:rPr>
        <w:footnoteReference w:id="49"/>
      </w:r>
      <w:r w:rsidR="00A12B8A">
        <w:rPr>
          <w:rFonts w:eastAsiaTheme="majorEastAsia"/>
          <w:lang w:eastAsia="en-US"/>
        </w:rPr>
        <w:t xml:space="preserve">, </w:t>
      </w:r>
      <w:r w:rsidR="0084241C">
        <w:rPr>
          <w:rFonts w:eastAsiaTheme="majorEastAsia"/>
          <w:lang w:eastAsia="en-US"/>
        </w:rPr>
        <w:t>u nichž</w:t>
      </w:r>
      <w:r w:rsidR="00A12B8A">
        <w:rPr>
          <w:rFonts w:eastAsiaTheme="majorEastAsia"/>
          <w:lang w:eastAsia="en-US"/>
        </w:rPr>
        <w:t xml:space="preserve"> MŠMT nestanovilo </w:t>
      </w:r>
      <w:r>
        <w:rPr>
          <w:rFonts w:eastAsiaTheme="majorEastAsia"/>
          <w:lang w:eastAsia="en-US"/>
        </w:rPr>
        <w:t>udržitelnost</w:t>
      </w:r>
      <w:r w:rsidR="008975E6">
        <w:rPr>
          <w:rFonts w:eastAsiaTheme="majorEastAsia"/>
          <w:lang w:eastAsia="en-US"/>
        </w:rPr>
        <w:t xml:space="preserve"> aktivit a výstupů</w:t>
      </w:r>
      <w:r w:rsidR="0084241C">
        <w:rPr>
          <w:rFonts w:eastAsiaTheme="majorEastAsia"/>
          <w:lang w:eastAsia="en-US"/>
        </w:rPr>
        <w:t>, přestože</w:t>
      </w:r>
      <w:r w:rsidR="0096493A">
        <w:rPr>
          <w:rFonts w:eastAsiaTheme="majorEastAsia"/>
          <w:lang w:eastAsia="en-US"/>
        </w:rPr>
        <w:t xml:space="preserve"> na</w:t>
      </w:r>
      <w:r w:rsidR="004E7F8C">
        <w:rPr>
          <w:rFonts w:eastAsiaTheme="majorEastAsia"/>
          <w:lang w:eastAsia="en-US"/>
        </w:rPr>
        <w:t xml:space="preserve"> </w:t>
      </w:r>
      <w:r w:rsidR="00A12B8A">
        <w:rPr>
          <w:rFonts w:eastAsiaTheme="majorEastAsia"/>
          <w:lang w:eastAsia="en-US"/>
        </w:rPr>
        <w:t>tyto projekty byly vynaloženy prostředky ve výši několika set mili</w:t>
      </w:r>
      <w:r w:rsidR="0084241C">
        <w:rPr>
          <w:rFonts w:eastAsiaTheme="majorEastAsia"/>
          <w:lang w:eastAsia="en-US"/>
        </w:rPr>
        <w:t>o</w:t>
      </w:r>
      <w:r w:rsidR="00A12B8A">
        <w:rPr>
          <w:rFonts w:eastAsiaTheme="majorEastAsia"/>
          <w:lang w:eastAsia="en-US"/>
        </w:rPr>
        <w:t xml:space="preserve">nů </w:t>
      </w:r>
      <w:r w:rsidR="0084241C">
        <w:rPr>
          <w:rFonts w:eastAsiaTheme="majorEastAsia"/>
          <w:lang w:eastAsia="en-US"/>
        </w:rPr>
        <w:t>korun</w:t>
      </w:r>
      <w:r w:rsidR="00CA03A3">
        <w:rPr>
          <w:rFonts w:eastAsiaTheme="majorEastAsia"/>
          <w:lang w:eastAsia="en-US"/>
        </w:rPr>
        <w:t xml:space="preserve">. </w:t>
      </w:r>
    </w:p>
    <w:p w14:paraId="18E34220" w14:textId="77777777" w:rsidR="000F5042" w:rsidRDefault="000F5042" w:rsidP="001F6057">
      <w:pPr>
        <w:rPr>
          <w:rFonts w:eastAsiaTheme="majorEastAsia"/>
          <w:lang w:eastAsia="en-US"/>
        </w:rPr>
      </w:pPr>
    </w:p>
    <w:p w14:paraId="437BC8B3" w14:textId="54393B88" w:rsidR="00A12B8A" w:rsidRPr="008A3BF2" w:rsidRDefault="00A12B8A" w:rsidP="00795FB0">
      <w:pPr>
        <w:spacing w:after="0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lastRenderedPageBreak/>
        <w:t xml:space="preserve">NKÚ ověřil, že </w:t>
      </w:r>
      <w:r w:rsidRPr="00A12B8A">
        <w:rPr>
          <w:rFonts w:eastAsiaTheme="majorEastAsia"/>
          <w:b/>
          <w:lang w:eastAsia="en-US"/>
        </w:rPr>
        <w:t>MŠMT realizovalo opatření k</w:t>
      </w:r>
      <w:r w:rsidR="00755349">
        <w:rPr>
          <w:rFonts w:eastAsiaTheme="majorEastAsia"/>
          <w:b/>
          <w:lang w:eastAsia="en-US"/>
        </w:rPr>
        <w:t xml:space="preserve"> nápravě </w:t>
      </w:r>
      <w:r w:rsidRPr="00A12B8A">
        <w:rPr>
          <w:rFonts w:eastAsiaTheme="majorEastAsia"/>
          <w:b/>
          <w:lang w:eastAsia="en-US"/>
        </w:rPr>
        <w:t>nedostatků zjištěný</w:t>
      </w:r>
      <w:r w:rsidR="00745761">
        <w:rPr>
          <w:rFonts w:eastAsiaTheme="majorEastAsia"/>
          <w:b/>
          <w:lang w:eastAsia="en-US"/>
        </w:rPr>
        <w:t>ch</w:t>
      </w:r>
      <w:r w:rsidRPr="00A12B8A">
        <w:rPr>
          <w:rFonts w:eastAsiaTheme="majorEastAsia"/>
          <w:b/>
          <w:lang w:eastAsia="en-US"/>
        </w:rPr>
        <w:t xml:space="preserve"> kontrolní akc</w:t>
      </w:r>
      <w:r w:rsidR="0084241C">
        <w:rPr>
          <w:rFonts w:eastAsiaTheme="majorEastAsia"/>
          <w:b/>
          <w:lang w:eastAsia="en-US"/>
        </w:rPr>
        <w:t>í</w:t>
      </w:r>
      <w:r w:rsidRPr="00A12B8A">
        <w:rPr>
          <w:rFonts w:eastAsiaTheme="majorEastAsia"/>
          <w:b/>
          <w:lang w:eastAsia="en-US"/>
        </w:rPr>
        <w:t xml:space="preserve"> NKÚ č. 11/17; </w:t>
      </w:r>
      <w:r w:rsidRPr="00D845C2">
        <w:rPr>
          <w:rFonts w:eastAsiaTheme="majorEastAsia"/>
          <w:b/>
          <w:lang w:eastAsia="en-US"/>
        </w:rPr>
        <w:t xml:space="preserve">nedošlo však k nápravě nedostatků </w:t>
      </w:r>
      <w:r w:rsidR="008A3BF2">
        <w:rPr>
          <w:rFonts w:eastAsiaTheme="majorEastAsia"/>
          <w:b/>
          <w:lang w:eastAsia="en-US"/>
        </w:rPr>
        <w:t xml:space="preserve">zjištěných </w:t>
      </w:r>
      <w:r w:rsidR="00D84024">
        <w:rPr>
          <w:rFonts w:eastAsiaTheme="majorEastAsia"/>
          <w:b/>
          <w:lang w:eastAsia="en-US"/>
        </w:rPr>
        <w:t>kontrolní</w:t>
      </w:r>
      <w:r w:rsidR="0084241C">
        <w:rPr>
          <w:rFonts w:eastAsiaTheme="majorEastAsia"/>
          <w:b/>
          <w:lang w:eastAsia="en-US"/>
        </w:rPr>
        <w:t>mi</w:t>
      </w:r>
      <w:r w:rsidR="00D84024">
        <w:rPr>
          <w:rFonts w:eastAsiaTheme="majorEastAsia"/>
          <w:b/>
          <w:lang w:eastAsia="en-US"/>
        </w:rPr>
        <w:t xml:space="preserve"> akc</w:t>
      </w:r>
      <w:r w:rsidR="0084241C">
        <w:rPr>
          <w:rFonts w:eastAsiaTheme="majorEastAsia"/>
          <w:b/>
          <w:lang w:eastAsia="en-US"/>
        </w:rPr>
        <w:t>emi</w:t>
      </w:r>
      <w:r w:rsidR="00D84024">
        <w:rPr>
          <w:rFonts w:eastAsiaTheme="majorEastAsia"/>
          <w:b/>
          <w:lang w:eastAsia="en-US"/>
        </w:rPr>
        <w:t xml:space="preserve"> č. </w:t>
      </w:r>
      <w:r w:rsidR="00DF0525">
        <w:rPr>
          <w:rFonts w:eastAsiaTheme="majorEastAsia"/>
          <w:b/>
          <w:lang w:eastAsia="en-US"/>
        </w:rPr>
        <w:t>14/24 a </w:t>
      </w:r>
      <w:r w:rsidR="00D500B9">
        <w:rPr>
          <w:rFonts w:eastAsiaTheme="majorEastAsia"/>
          <w:b/>
          <w:lang w:eastAsia="en-US"/>
        </w:rPr>
        <w:t xml:space="preserve">č. </w:t>
      </w:r>
      <w:r w:rsidR="008A3BF2">
        <w:rPr>
          <w:rFonts w:eastAsiaTheme="majorEastAsia"/>
          <w:b/>
          <w:lang w:eastAsia="en-US"/>
        </w:rPr>
        <w:t>15/</w:t>
      </w:r>
      <w:r w:rsidR="00A63458">
        <w:rPr>
          <w:rFonts w:eastAsiaTheme="majorEastAsia"/>
          <w:b/>
          <w:lang w:eastAsia="en-US"/>
        </w:rPr>
        <w:t>0</w:t>
      </w:r>
      <w:r w:rsidR="008A3BF2">
        <w:rPr>
          <w:rFonts w:eastAsiaTheme="majorEastAsia"/>
          <w:b/>
          <w:lang w:eastAsia="en-US"/>
        </w:rPr>
        <w:t xml:space="preserve">6 </w:t>
      </w:r>
      <w:r w:rsidRPr="008A3BF2">
        <w:rPr>
          <w:rFonts w:eastAsiaTheme="majorEastAsia"/>
          <w:lang w:eastAsia="en-US"/>
        </w:rPr>
        <w:t>v oblasti udržitelnosti aktivit a výstupů z</w:t>
      </w:r>
      <w:r w:rsidR="00A81B48" w:rsidRPr="008A3BF2">
        <w:rPr>
          <w:rFonts w:eastAsiaTheme="majorEastAsia"/>
          <w:lang w:eastAsia="en-US"/>
        </w:rPr>
        <w:t xml:space="preserve"> tzv. „národních“ </w:t>
      </w:r>
      <w:r w:rsidRPr="008A3BF2">
        <w:rPr>
          <w:rFonts w:eastAsiaTheme="majorEastAsia"/>
          <w:lang w:eastAsia="en-US"/>
        </w:rPr>
        <w:t>projektů</w:t>
      </w:r>
      <w:r w:rsidR="008A3BF2" w:rsidRPr="008A3BF2">
        <w:rPr>
          <w:rFonts w:eastAsiaTheme="majorEastAsia"/>
          <w:lang w:eastAsia="en-US"/>
        </w:rPr>
        <w:t xml:space="preserve">: </w:t>
      </w:r>
    </w:p>
    <w:p w14:paraId="10D03D94" w14:textId="32ADB15D" w:rsidR="00D845C2" w:rsidRPr="00D845C2" w:rsidRDefault="00D845C2" w:rsidP="008E5EDF">
      <w:pPr>
        <w:pStyle w:val="Odstavecseseznamem"/>
        <w:numPr>
          <w:ilvl w:val="0"/>
          <w:numId w:val="16"/>
        </w:numPr>
        <w:spacing w:after="0"/>
        <w:ind w:left="851" w:hanging="284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MŠMT nestanovilo udržitelnost podporovaných aktivit a výstupů v žádné ze tří výzev, které byly dosud vyhlášeny pro individuální projekty systémové</w:t>
      </w:r>
      <w:r w:rsidR="00795FB0">
        <w:rPr>
          <w:rFonts w:eastAsiaTheme="majorEastAsia"/>
          <w:lang w:eastAsia="en-US"/>
        </w:rPr>
        <w:t xml:space="preserve"> </w:t>
      </w:r>
      <w:r w:rsidR="00E45A42">
        <w:rPr>
          <w:rFonts w:eastAsiaTheme="majorEastAsia"/>
          <w:lang w:eastAsia="en-US"/>
        </w:rPr>
        <w:t xml:space="preserve">z </w:t>
      </w:r>
      <w:proofErr w:type="gramStart"/>
      <w:r w:rsidR="00795FB0">
        <w:rPr>
          <w:rFonts w:eastAsiaTheme="majorEastAsia"/>
          <w:lang w:eastAsia="en-US"/>
        </w:rPr>
        <w:t>OP</w:t>
      </w:r>
      <w:proofErr w:type="gramEnd"/>
      <w:r w:rsidR="00795FB0">
        <w:rPr>
          <w:rFonts w:eastAsiaTheme="majorEastAsia"/>
          <w:lang w:eastAsia="en-US"/>
        </w:rPr>
        <w:t xml:space="preserve"> VVV</w:t>
      </w:r>
      <w:r>
        <w:rPr>
          <w:rFonts w:eastAsiaTheme="majorEastAsia"/>
          <w:lang w:eastAsia="en-US"/>
        </w:rPr>
        <w:t>;</w:t>
      </w:r>
    </w:p>
    <w:p w14:paraId="1ECD49BE" w14:textId="05786F9F" w:rsidR="00D845C2" w:rsidRPr="00D573D1" w:rsidRDefault="00DF0525" w:rsidP="00285B68">
      <w:pPr>
        <w:pStyle w:val="Odstavecseseznamem"/>
        <w:numPr>
          <w:ilvl w:val="0"/>
          <w:numId w:val="15"/>
        </w:numPr>
        <w:spacing w:after="0"/>
        <w:ind w:left="851" w:hanging="284"/>
        <w:rPr>
          <w:rFonts w:cstheme="minorHAnsi"/>
        </w:rPr>
      </w:pPr>
      <w:r>
        <w:rPr>
          <w:rFonts w:cstheme="minorHAnsi"/>
        </w:rPr>
        <w:t xml:space="preserve">MŠMT podpořilo </w:t>
      </w:r>
      <w:r w:rsidR="0084241C">
        <w:rPr>
          <w:rFonts w:cstheme="minorHAnsi"/>
        </w:rPr>
        <w:t xml:space="preserve">z </w:t>
      </w:r>
      <w:proofErr w:type="gramStart"/>
      <w:r>
        <w:rPr>
          <w:rFonts w:cstheme="minorHAnsi"/>
        </w:rPr>
        <w:t>OP</w:t>
      </w:r>
      <w:proofErr w:type="gramEnd"/>
      <w:r>
        <w:rPr>
          <w:rFonts w:cstheme="minorHAnsi"/>
        </w:rPr>
        <w:t> </w:t>
      </w:r>
      <w:r w:rsidR="00D845C2" w:rsidRPr="00D573D1">
        <w:rPr>
          <w:rFonts w:cstheme="minorHAnsi"/>
        </w:rPr>
        <w:t>VVV projekt APIV</w:t>
      </w:r>
      <w:r>
        <w:rPr>
          <w:rFonts w:cstheme="minorHAnsi"/>
        </w:rPr>
        <w:t> </w:t>
      </w:r>
      <w:r w:rsidR="002F07EF">
        <w:rPr>
          <w:rFonts w:cstheme="minorHAnsi"/>
        </w:rPr>
        <w:t>B</w:t>
      </w:r>
      <w:r w:rsidR="00F005B2">
        <w:rPr>
          <w:rStyle w:val="Znakapoznpodarou"/>
          <w:rFonts w:cstheme="minorHAnsi"/>
        </w:rPr>
        <w:footnoteReference w:id="50"/>
      </w:r>
      <w:r w:rsidR="00D845C2" w:rsidRPr="00D573D1">
        <w:rPr>
          <w:rFonts w:cstheme="minorHAnsi"/>
        </w:rPr>
        <w:t>, který zajišťuje financování nově zřízených center podpory inkluze na platformě krajských pracovišť</w:t>
      </w:r>
      <w:r w:rsidR="00795FB0" w:rsidRPr="00D573D1">
        <w:rPr>
          <w:rFonts w:cstheme="minorHAnsi"/>
        </w:rPr>
        <w:t xml:space="preserve"> NIDV/NPI</w:t>
      </w:r>
      <w:r w:rsidR="008A3BF2" w:rsidRPr="00D573D1">
        <w:rPr>
          <w:rFonts w:cstheme="minorHAnsi"/>
        </w:rPr>
        <w:t>; n</w:t>
      </w:r>
      <w:r w:rsidR="00D845C2" w:rsidRPr="00D573D1">
        <w:rPr>
          <w:rFonts w:cstheme="minorHAnsi"/>
        </w:rPr>
        <w:t xml:space="preserve">ově zřízená centra zajišťují v krajích totéž, co bez náhrady zrušená </w:t>
      </w:r>
      <w:r w:rsidR="008A3BF2" w:rsidRPr="00D573D1">
        <w:rPr>
          <w:rFonts w:cstheme="minorHAnsi"/>
        </w:rPr>
        <w:t>Centra podpory inkluzivního vzdělávání</w:t>
      </w:r>
      <w:r w:rsidR="00030E53">
        <w:rPr>
          <w:rFonts w:cstheme="minorHAnsi"/>
        </w:rPr>
        <w:t xml:space="preserve"> (dále též „CPIV“</w:t>
      </w:r>
      <w:r w:rsidR="00F4513E">
        <w:rPr>
          <w:rFonts w:cstheme="minorHAnsi"/>
        </w:rPr>
        <w:t xml:space="preserve"> nebo „Centra“</w:t>
      </w:r>
      <w:r w:rsidR="00030E53">
        <w:rPr>
          <w:rFonts w:cstheme="minorHAnsi"/>
        </w:rPr>
        <w:t>)</w:t>
      </w:r>
      <w:r w:rsidR="008A3BF2" w:rsidRPr="00D573D1">
        <w:rPr>
          <w:rFonts w:cstheme="minorHAnsi"/>
        </w:rPr>
        <w:t>, jejich</w:t>
      </w:r>
      <w:r w:rsidR="007F1A2C" w:rsidRPr="00D573D1">
        <w:rPr>
          <w:rFonts w:cstheme="minorHAnsi"/>
        </w:rPr>
        <w:t>ž</w:t>
      </w:r>
      <w:r w:rsidR="008A3BF2" w:rsidRPr="00D573D1">
        <w:rPr>
          <w:rFonts w:cstheme="minorHAnsi"/>
        </w:rPr>
        <w:t xml:space="preserve"> zřízení a činnost podpořil projekt</w:t>
      </w:r>
      <w:r w:rsidR="00987B74" w:rsidRPr="00D573D1">
        <w:rPr>
          <w:rFonts w:cstheme="minorHAnsi"/>
        </w:rPr>
        <w:t xml:space="preserve"> </w:t>
      </w:r>
      <w:r w:rsidR="0084241C" w:rsidRPr="00CF0F62">
        <w:rPr>
          <w:rFonts w:cstheme="minorHAnsi"/>
          <w:i/>
        </w:rPr>
        <w:t>Centra podpory inkluzivního vzdělávání</w:t>
      </w:r>
      <w:r w:rsidR="0084241C">
        <w:rPr>
          <w:rFonts w:cstheme="minorHAnsi"/>
        </w:rPr>
        <w:t xml:space="preserve"> </w:t>
      </w:r>
      <w:r w:rsidR="003841D6">
        <w:rPr>
          <w:rFonts w:cstheme="minorHAnsi"/>
        </w:rPr>
        <w:t xml:space="preserve">realizovaný v letech </w:t>
      </w:r>
      <w:r w:rsidR="00801E5C">
        <w:rPr>
          <w:rFonts w:cstheme="minorHAnsi"/>
        </w:rPr>
        <w:br/>
      </w:r>
      <w:r w:rsidR="003841D6">
        <w:rPr>
          <w:rFonts w:cstheme="minorHAnsi"/>
        </w:rPr>
        <w:t>2009–</w:t>
      </w:r>
      <w:r w:rsidR="008A3BF2" w:rsidRPr="00D573D1">
        <w:rPr>
          <w:rFonts w:cstheme="minorHAnsi"/>
        </w:rPr>
        <w:t>2013</w:t>
      </w:r>
      <w:r w:rsidR="00DA3797" w:rsidRPr="00D573D1">
        <w:rPr>
          <w:rFonts w:cstheme="minorHAnsi"/>
        </w:rPr>
        <w:t xml:space="preserve">, v němž </w:t>
      </w:r>
      <w:r w:rsidR="007F1A2C" w:rsidRPr="00D573D1">
        <w:rPr>
          <w:rFonts w:cstheme="minorHAnsi"/>
        </w:rPr>
        <w:t xml:space="preserve">výdaje dosáhly </w:t>
      </w:r>
      <w:r w:rsidR="00DA3797" w:rsidRPr="00D573D1">
        <w:rPr>
          <w:rFonts w:cstheme="minorHAnsi"/>
        </w:rPr>
        <w:t xml:space="preserve">částky </w:t>
      </w:r>
      <w:r w:rsidR="007F1A2C" w:rsidRPr="00D573D1">
        <w:rPr>
          <w:rFonts w:cstheme="minorHAnsi"/>
        </w:rPr>
        <w:t>113</w:t>
      </w:r>
      <w:r w:rsidR="00D573D1" w:rsidRPr="00D573D1">
        <w:rPr>
          <w:rFonts w:cstheme="minorHAnsi"/>
        </w:rPr>
        <w:t>,</w:t>
      </w:r>
      <w:r w:rsidR="007F1A2C" w:rsidRPr="00D573D1">
        <w:rPr>
          <w:rFonts w:cstheme="minorHAnsi"/>
        </w:rPr>
        <w:t>81</w:t>
      </w:r>
      <w:r w:rsidR="00D573D1" w:rsidRPr="00D573D1">
        <w:rPr>
          <w:rFonts w:cstheme="minorHAnsi"/>
        </w:rPr>
        <w:t xml:space="preserve"> mil. </w:t>
      </w:r>
      <w:r w:rsidR="007F1A2C" w:rsidRPr="00D573D1">
        <w:rPr>
          <w:rFonts w:cstheme="minorHAnsi"/>
        </w:rPr>
        <w:t xml:space="preserve">Kč; </w:t>
      </w:r>
    </w:p>
    <w:p w14:paraId="2B3B685D" w14:textId="053C9E19" w:rsidR="00D845C2" w:rsidRPr="008A3BF2" w:rsidRDefault="008A3BF2" w:rsidP="008E5EDF">
      <w:pPr>
        <w:pStyle w:val="Odstavecseseznamem"/>
        <w:numPr>
          <w:ilvl w:val="0"/>
          <w:numId w:val="15"/>
        </w:numPr>
        <w:ind w:left="851" w:hanging="284"/>
        <w:rPr>
          <w:rFonts w:cstheme="minorHAnsi"/>
        </w:rPr>
      </w:pPr>
      <w:r w:rsidRPr="008A3BF2">
        <w:rPr>
          <w:rFonts w:cstheme="minorHAnsi"/>
        </w:rPr>
        <w:t>v</w:t>
      </w:r>
      <w:r w:rsidR="00D845C2" w:rsidRPr="008A3BF2">
        <w:rPr>
          <w:rFonts w:cstheme="minorHAnsi"/>
        </w:rPr>
        <w:t>ýstup</w:t>
      </w:r>
      <w:r w:rsidR="00A7004B" w:rsidRPr="008A3BF2">
        <w:rPr>
          <w:rFonts w:cstheme="minorHAnsi"/>
        </w:rPr>
        <w:t>em</w:t>
      </w:r>
      <w:r w:rsidR="00D845C2" w:rsidRPr="008A3BF2">
        <w:rPr>
          <w:rFonts w:cstheme="minorHAnsi"/>
        </w:rPr>
        <w:t xml:space="preserve"> projektu CPIV </w:t>
      </w:r>
      <w:r w:rsidR="007F1A2C">
        <w:rPr>
          <w:rFonts w:cstheme="minorHAnsi"/>
        </w:rPr>
        <w:t xml:space="preserve">byly </w:t>
      </w:r>
      <w:r w:rsidR="00A63458">
        <w:rPr>
          <w:rFonts w:cstheme="minorHAnsi"/>
        </w:rPr>
        <w:t>také</w:t>
      </w:r>
      <w:r w:rsidR="007F1A2C">
        <w:rPr>
          <w:rFonts w:cstheme="minorHAnsi"/>
        </w:rPr>
        <w:t xml:space="preserve"> </w:t>
      </w:r>
      <w:r w:rsidRPr="008A3BF2">
        <w:rPr>
          <w:rFonts w:cstheme="minorHAnsi"/>
        </w:rPr>
        <w:t xml:space="preserve">metodiky vytvořené v roce 2013; tyto dokumenty </w:t>
      </w:r>
      <w:r>
        <w:rPr>
          <w:rFonts w:cstheme="minorHAnsi"/>
        </w:rPr>
        <w:t xml:space="preserve">jsou </w:t>
      </w:r>
      <w:r w:rsidRPr="008A3BF2">
        <w:rPr>
          <w:rFonts w:cstheme="minorHAnsi"/>
        </w:rPr>
        <w:t xml:space="preserve">v současnosti </w:t>
      </w:r>
      <w:r>
        <w:rPr>
          <w:rFonts w:cstheme="minorHAnsi"/>
        </w:rPr>
        <w:t xml:space="preserve">teprve </w:t>
      </w:r>
      <w:r w:rsidR="00D845C2" w:rsidRPr="008A3BF2">
        <w:rPr>
          <w:rFonts w:cstheme="minorHAnsi"/>
        </w:rPr>
        <w:t>podrobo</w:t>
      </w:r>
      <w:r w:rsidR="00D84024">
        <w:rPr>
          <w:rFonts w:cstheme="minorHAnsi"/>
        </w:rPr>
        <w:t>vány analýze a MŠMT rozhoduje o</w:t>
      </w:r>
      <w:r w:rsidR="00801E5C">
        <w:rPr>
          <w:rFonts w:cstheme="minorHAnsi"/>
        </w:rPr>
        <w:t xml:space="preserve"> </w:t>
      </w:r>
      <w:r w:rsidR="00D845C2" w:rsidRPr="008A3BF2">
        <w:rPr>
          <w:rFonts w:cstheme="minorHAnsi"/>
        </w:rPr>
        <w:t>jejich dalším využití.</w:t>
      </w:r>
    </w:p>
    <w:p w14:paraId="7C9BD0A8" w14:textId="1923FBE1" w:rsidR="00A12B8A" w:rsidRDefault="002711D2" w:rsidP="001F3F29">
      <w:pPr>
        <w:spacing w:after="0"/>
        <w:rPr>
          <w:rFonts w:cstheme="minorHAnsi"/>
        </w:rPr>
      </w:pPr>
      <w:r w:rsidRPr="00A7004B">
        <w:rPr>
          <w:rFonts w:cstheme="minorHAnsi"/>
        </w:rPr>
        <w:t>Centra podpory inkluzivního vzdělávání vybudovaná v rámci projektu CPIV</w:t>
      </w:r>
      <w:r w:rsidRPr="00A7004B">
        <w:rPr>
          <w:rStyle w:val="Znakapoznpodarou"/>
          <w:rFonts w:cstheme="minorHAnsi"/>
        </w:rPr>
        <w:footnoteReference w:id="51"/>
      </w:r>
      <w:r w:rsidRPr="00A7004B">
        <w:rPr>
          <w:rFonts w:cstheme="minorHAnsi"/>
        </w:rPr>
        <w:t xml:space="preserve"> byla po ukončení projektu zrušena. Míru spolupráce ZŠ s</w:t>
      </w:r>
      <w:r w:rsidR="00280839">
        <w:rPr>
          <w:rFonts w:cstheme="minorHAnsi"/>
        </w:rPr>
        <w:t xml:space="preserve"> těmito </w:t>
      </w:r>
      <w:r w:rsidRPr="00A7004B">
        <w:rPr>
          <w:rFonts w:cstheme="minorHAnsi"/>
        </w:rPr>
        <w:t xml:space="preserve">Centry v době, kdy byla </w:t>
      </w:r>
      <w:r w:rsidR="00280839">
        <w:rPr>
          <w:rFonts w:cstheme="minorHAnsi"/>
        </w:rPr>
        <w:t>C</w:t>
      </w:r>
      <w:r w:rsidRPr="00A7004B">
        <w:rPr>
          <w:rFonts w:cstheme="minorHAnsi"/>
        </w:rPr>
        <w:t xml:space="preserve">entra </w:t>
      </w:r>
      <w:r w:rsidR="00CA03A3" w:rsidRPr="00A7004B">
        <w:rPr>
          <w:rFonts w:cstheme="minorHAnsi"/>
        </w:rPr>
        <w:t>podporována z projektu CPIV</w:t>
      </w:r>
      <w:r w:rsidRPr="00A7004B">
        <w:rPr>
          <w:rFonts w:cstheme="minorHAnsi"/>
        </w:rPr>
        <w:t xml:space="preserve">, ověřoval NKÚ i v rámci </w:t>
      </w:r>
      <w:r w:rsidR="00280839">
        <w:rPr>
          <w:rFonts w:cstheme="minorHAnsi"/>
        </w:rPr>
        <w:t>d</w:t>
      </w:r>
      <w:r w:rsidRPr="00A7004B">
        <w:rPr>
          <w:rFonts w:cstheme="minorHAnsi"/>
        </w:rPr>
        <w:t>otazníkového šetření</w:t>
      </w:r>
      <w:r w:rsidR="00280839">
        <w:rPr>
          <w:rFonts w:cstheme="minorHAnsi"/>
        </w:rPr>
        <w:t xml:space="preserve">. </w:t>
      </w:r>
      <w:r w:rsidRPr="00A7004B">
        <w:rPr>
          <w:rFonts w:cstheme="minorHAnsi"/>
        </w:rPr>
        <w:t xml:space="preserve">Z výsledků šetření vyplynulo, že </w:t>
      </w:r>
      <w:r w:rsidRPr="00A7004B">
        <w:rPr>
          <w:rFonts w:cstheme="minorHAnsi"/>
          <w:b/>
        </w:rPr>
        <w:t>spolupráci s Ce</w:t>
      </w:r>
      <w:r w:rsidR="00B82BFD" w:rsidRPr="00A7004B">
        <w:rPr>
          <w:rFonts w:cstheme="minorHAnsi"/>
          <w:b/>
        </w:rPr>
        <w:t>ntry nikdy nenavázalo 74 % škol</w:t>
      </w:r>
      <w:r w:rsidR="009A1B91" w:rsidRPr="00A7004B">
        <w:rPr>
          <w:rFonts w:cstheme="minorHAnsi"/>
          <w:b/>
        </w:rPr>
        <w:t>,</w:t>
      </w:r>
      <w:r w:rsidR="009A1B91" w:rsidRPr="00A7004B">
        <w:rPr>
          <w:rFonts w:cstheme="minorHAnsi"/>
        </w:rPr>
        <w:t xml:space="preserve"> o</w:t>
      </w:r>
      <w:r w:rsidRPr="00A7004B">
        <w:rPr>
          <w:rFonts w:cstheme="minorHAnsi"/>
        </w:rPr>
        <w:t xml:space="preserve">bčasnou spolupráci s Centry uvedlo 22 % respondentů. </w:t>
      </w:r>
      <w:r w:rsidRPr="00A7004B">
        <w:rPr>
          <w:rFonts w:cstheme="minorHAnsi"/>
          <w:b/>
        </w:rPr>
        <w:t xml:space="preserve">Pouhá 4 % </w:t>
      </w:r>
      <w:proofErr w:type="spellStart"/>
      <w:r w:rsidRPr="00A7004B">
        <w:rPr>
          <w:rFonts w:cstheme="minorHAnsi"/>
          <w:b/>
        </w:rPr>
        <w:t>respondujících</w:t>
      </w:r>
      <w:proofErr w:type="spellEnd"/>
      <w:r w:rsidRPr="00A7004B">
        <w:rPr>
          <w:rFonts w:cstheme="minorHAnsi"/>
          <w:b/>
        </w:rPr>
        <w:t xml:space="preserve"> škol deklaroval</w:t>
      </w:r>
      <w:r w:rsidR="00F91F39">
        <w:rPr>
          <w:rFonts w:cstheme="minorHAnsi"/>
          <w:b/>
        </w:rPr>
        <w:t>a</w:t>
      </w:r>
      <w:r w:rsidRPr="00A7004B">
        <w:rPr>
          <w:rFonts w:cstheme="minorHAnsi"/>
          <w:b/>
        </w:rPr>
        <w:t xml:space="preserve"> pravidelnou spolupráci s C</w:t>
      </w:r>
      <w:r w:rsidR="00CA03A3" w:rsidRPr="00A7004B">
        <w:rPr>
          <w:rFonts w:cstheme="minorHAnsi"/>
          <w:b/>
        </w:rPr>
        <w:t>PIV</w:t>
      </w:r>
      <w:r w:rsidRPr="00CF0F62">
        <w:rPr>
          <w:rFonts w:cstheme="minorHAnsi"/>
          <w:b/>
        </w:rPr>
        <w:t>,</w:t>
      </w:r>
      <w:r w:rsidRPr="00A7004B">
        <w:rPr>
          <w:rFonts w:cstheme="minorHAnsi"/>
        </w:rPr>
        <w:t xml:space="preserve"> a to zejména v krajích Ústeckém, Zlínském, Středočeském a v Kraji Vysočina.</w:t>
      </w:r>
    </w:p>
    <w:p w14:paraId="2D496C3D" w14:textId="13989279" w:rsidR="00DE47C3" w:rsidRDefault="00DE47C3" w:rsidP="00987B74">
      <w:pPr>
        <w:pStyle w:val="Nadpis4"/>
      </w:pPr>
      <w:proofErr w:type="gramStart"/>
      <w:r w:rsidRPr="00C13001">
        <w:t>IV.1.</w:t>
      </w:r>
      <w:r>
        <w:t>5</w:t>
      </w:r>
      <w:r w:rsidRPr="00C13001">
        <w:t>.</w:t>
      </w:r>
      <w:r>
        <w:t>3</w:t>
      </w:r>
      <w:proofErr w:type="gramEnd"/>
      <w:r w:rsidRPr="00C13001">
        <w:t xml:space="preserve"> </w:t>
      </w:r>
      <w:r w:rsidR="002E3E49">
        <w:t>V</w:t>
      </w:r>
      <w:r>
        <w:t>ýsledky dotazníkového šetření</w:t>
      </w:r>
      <w:r w:rsidR="00496217">
        <w:t xml:space="preserve"> provedeného NKÚ</w:t>
      </w:r>
    </w:p>
    <w:p w14:paraId="7E14A69F" w14:textId="44AD7C00" w:rsidR="00623ED9" w:rsidRPr="00623ED9" w:rsidRDefault="007235C4" w:rsidP="00B662A6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Dopady </w:t>
      </w:r>
      <w:r w:rsidR="004D47C7">
        <w:rPr>
          <w:rFonts w:asciiTheme="minorHAnsi" w:hAnsiTheme="minorHAnsi" w:cstheme="minorHAnsi"/>
        </w:rPr>
        <w:t xml:space="preserve">zaváděného společného vzdělávání žáků na jednotlivých </w:t>
      </w:r>
      <w:r w:rsidR="00F91F39">
        <w:rPr>
          <w:rFonts w:asciiTheme="minorHAnsi" w:hAnsiTheme="minorHAnsi" w:cstheme="minorHAnsi"/>
        </w:rPr>
        <w:t>ZŠ</w:t>
      </w:r>
      <w:r w:rsidR="004D47C7">
        <w:rPr>
          <w:rFonts w:asciiTheme="minorHAnsi" w:hAnsiTheme="minorHAnsi" w:cstheme="minorHAnsi"/>
        </w:rPr>
        <w:t xml:space="preserve"> </w:t>
      </w:r>
      <w:r w:rsidR="00D84024">
        <w:rPr>
          <w:rFonts w:asciiTheme="minorHAnsi" w:hAnsiTheme="minorHAnsi" w:cstheme="minorHAnsi"/>
        </w:rPr>
        <w:t>se</w:t>
      </w:r>
      <w:r w:rsidR="005E08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promítly ve výsledcích d</w:t>
      </w:r>
      <w:r w:rsidR="00623ED9">
        <w:rPr>
          <w:rFonts w:asciiTheme="minorHAnsi" w:hAnsiTheme="minorHAnsi" w:cstheme="minorHAnsi"/>
        </w:rPr>
        <w:t>otazníkové</w:t>
      </w:r>
      <w:r>
        <w:rPr>
          <w:rFonts w:asciiTheme="minorHAnsi" w:hAnsiTheme="minorHAnsi" w:cstheme="minorHAnsi"/>
        </w:rPr>
        <w:t>ho šetření</w:t>
      </w:r>
      <w:r w:rsidR="004D47C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které </w:t>
      </w:r>
      <w:r w:rsidR="00B662A6">
        <w:rPr>
          <w:rFonts w:asciiTheme="minorHAnsi" w:hAnsiTheme="minorHAnsi" w:cstheme="minorHAnsi"/>
        </w:rPr>
        <w:t>se zaměřilo na několik oblastí:</w:t>
      </w:r>
    </w:p>
    <w:p w14:paraId="68E53673" w14:textId="271AEFF1" w:rsidR="00B662A6" w:rsidRDefault="00462B9D" w:rsidP="008E5EDF">
      <w:pPr>
        <w:pStyle w:val="Odstavecseseznamem"/>
        <w:numPr>
          <w:ilvl w:val="0"/>
          <w:numId w:val="4"/>
        </w:numPr>
        <w:spacing w:after="0"/>
        <w:rPr>
          <w:rFonts w:eastAsiaTheme="majorEastAsia"/>
          <w:lang w:eastAsia="en-US"/>
        </w:rPr>
      </w:pPr>
      <w:r w:rsidRPr="00B662A6">
        <w:rPr>
          <w:rFonts w:eastAsiaTheme="majorEastAsia"/>
          <w:lang w:eastAsia="en-US"/>
        </w:rPr>
        <w:t>mír</w:t>
      </w:r>
      <w:r w:rsidR="00A52AEB">
        <w:rPr>
          <w:rFonts w:eastAsiaTheme="majorEastAsia"/>
          <w:lang w:eastAsia="en-US"/>
        </w:rPr>
        <w:t>u</w:t>
      </w:r>
      <w:r w:rsidRPr="00B662A6">
        <w:rPr>
          <w:rFonts w:eastAsiaTheme="majorEastAsia"/>
          <w:lang w:eastAsia="en-US"/>
        </w:rPr>
        <w:t xml:space="preserve"> zapojení zástupců </w:t>
      </w:r>
      <w:r w:rsidR="00F91F39">
        <w:rPr>
          <w:rFonts w:eastAsiaTheme="majorEastAsia"/>
          <w:lang w:eastAsia="en-US"/>
        </w:rPr>
        <w:t xml:space="preserve">ZŠ </w:t>
      </w:r>
      <w:r w:rsidRPr="00B662A6">
        <w:rPr>
          <w:rFonts w:eastAsiaTheme="majorEastAsia"/>
          <w:lang w:eastAsia="en-US"/>
        </w:rPr>
        <w:t xml:space="preserve">do </w:t>
      </w:r>
      <w:r w:rsidR="00271777">
        <w:rPr>
          <w:rFonts w:eastAsiaTheme="majorEastAsia"/>
          <w:lang w:eastAsia="en-US"/>
        </w:rPr>
        <w:t xml:space="preserve">diskuzí a </w:t>
      </w:r>
      <w:r w:rsidRPr="00B662A6">
        <w:rPr>
          <w:rFonts w:eastAsiaTheme="majorEastAsia"/>
          <w:lang w:eastAsia="en-US"/>
        </w:rPr>
        <w:t xml:space="preserve">příprav </w:t>
      </w:r>
      <w:r w:rsidR="00A52AEB">
        <w:rPr>
          <w:rFonts w:eastAsiaTheme="majorEastAsia"/>
          <w:lang w:eastAsia="en-US"/>
        </w:rPr>
        <w:t xml:space="preserve">souvisejících s </w:t>
      </w:r>
      <w:r w:rsidRPr="00B662A6">
        <w:rPr>
          <w:rFonts w:eastAsiaTheme="majorEastAsia"/>
          <w:lang w:eastAsia="en-US"/>
        </w:rPr>
        <w:t>novel</w:t>
      </w:r>
      <w:r w:rsidR="00A52AEB">
        <w:rPr>
          <w:rFonts w:eastAsiaTheme="majorEastAsia"/>
          <w:lang w:eastAsia="en-US"/>
        </w:rPr>
        <w:t>ou</w:t>
      </w:r>
      <w:r w:rsidRPr="00B662A6">
        <w:rPr>
          <w:rFonts w:eastAsiaTheme="majorEastAsia"/>
          <w:lang w:eastAsia="en-US"/>
        </w:rPr>
        <w:t xml:space="preserve"> </w:t>
      </w:r>
      <w:r w:rsidR="00867670">
        <w:rPr>
          <w:rFonts w:eastAsiaTheme="majorEastAsia"/>
          <w:lang w:eastAsia="en-US"/>
        </w:rPr>
        <w:t xml:space="preserve">školského zákona s účinností od </w:t>
      </w:r>
      <w:r w:rsidRPr="00B662A6">
        <w:rPr>
          <w:rFonts w:eastAsiaTheme="majorEastAsia"/>
          <w:lang w:eastAsia="en-US"/>
        </w:rPr>
        <w:t>1. 9. 2016</w:t>
      </w:r>
      <w:r w:rsidR="00F91F39">
        <w:rPr>
          <w:rFonts w:eastAsiaTheme="majorEastAsia"/>
          <w:lang w:eastAsia="en-US"/>
        </w:rPr>
        <w:t>;</w:t>
      </w:r>
      <w:r w:rsidRPr="00B662A6">
        <w:rPr>
          <w:rFonts w:eastAsiaTheme="majorEastAsia"/>
          <w:lang w:eastAsia="en-US"/>
        </w:rPr>
        <w:t xml:space="preserve"> </w:t>
      </w:r>
    </w:p>
    <w:p w14:paraId="58E55B1C" w14:textId="62B5FA3C" w:rsidR="00B662A6" w:rsidRDefault="00462B9D" w:rsidP="008E5EDF">
      <w:pPr>
        <w:pStyle w:val="Odstavecseseznamem"/>
        <w:numPr>
          <w:ilvl w:val="0"/>
          <w:numId w:val="4"/>
        </w:numPr>
        <w:spacing w:after="0"/>
        <w:rPr>
          <w:rFonts w:eastAsiaTheme="majorEastAsia"/>
          <w:lang w:eastAsia="en-US"/>
        </w:rPr>
      </w:pPr>
      <w:r w:rsidRPr="00B662A6">
        <w:rPr>
          <w:rFonts w:eastAsiaTheme="majorEastAsia"/>
          <w:lang w:eastAsia="en-US"/>
        </w:rPr>
        <w:t>aktuální situac</w:t>
      </w:r>
      <w:r w:rsidR="007235C4">
        <w:rPr>
          <w:rFonts w:eastAsiaTheme="majorEastAsia"/>
          <w:lang w:eastAsia="en-US"/>
        </w:rPr>
        <w:t>i</w:t>
      </w:r>
      <w:r w:rsidRPr="00B662A6">
        <w:rPr>
          <w:rFonts w:eastAsiaTheme="majorEastAsia"/>
          <w:lang w:eastAsia="en-US"/>
        </w:rPr>
        <w:t xml:space="preserve"> ve školách, zejména s ohledem na počty žáků </w:t>
      </w:r>
      <w:r w:rsidR="00EB6C80">
        <w:rPr>
          <w:rFonts w:eastAsiaTheme="majorEastAsia"/>
          <w:lang w:eastAsia="en-US"/>
        </w:rPr>
        <w:t>v třídách a počty žáků se SVP;</w:t>
      </w:r>
    </w:p>
    <w:p w14:paraId="424CF9AD" w14:textId="7A4DCAAD" w:rsidR="00B662A6" w:rsidRDefault="00462B9D" w:rsidP="008E5EDF">
      <w:pPr>
        <w:pStyle w:val="Odstavecseseznamem"/>
        <w:numPr>
          <w:ilvl w:val="0"/>
          <w:numId w:val="4"/>
        </w:numPr>
        <w:spacing w:after="0"/>
        <w:rPr>
          <w:rFonts w:eastAsiaTheme="majorEastAsia"/>
          <w:lang w:eastAsia="en-US"/>
        </w:rPr>
      </w:pPr>
      <w:r w:rsidRPr="00B662A6">
        <w:rPr>
          <w:rFonts w:eastAsiaTheme="majorEastAsia"/>
          <w:lang w:eastAsia="en-US"/>
        </w:rPr>
        <w:t>spoluprác</w:t>
      </w:r>
      <w:r w:rsidR="00A52AEB">
        <w:rPr>
          <w:rFonts w:eastAsiaTheme="majorEastAsia"/>
          <w:lang w:eastAsia="en-US"/>
        </w:rPr>
        <w:t>i</w:t>
      </w:r>
      <w:r w:rsidR="007235C4">
        <w:rPr>
          <w:rFonts w:eastAsiaTheme="majorEastAsia"/>
          <w:lang w:eastAsia="en-US"/>
        </w:rPr>
        <w:t xml:space="preserve"> </w:t>
      </w:r>
      <w:r w:rsidRPr="00B662A6">
        <w:rPr>
          <w:rFonts w:eastAsiaTheme="majorEastAsia"/>
          <w:lang w:eastAsia="en-US"/>
        </w:rPr>
        <w:t>se školskými poraden</w:t>
      </w:r>
      <w:r w:rsidR="00271777">
        <w:rPr>
          <w:rFonts w:eastAsiaTheme="majorEastAsia"/>
          <w:lang w:eastAsia="en-US"/>
        </w:rPr>
        <w:t>skými zařízeními a hodnocení jejich práce;</w:t>
      </w:r>
    </w:p>
    <w:p w14:paraId="2DC7671D" w14:textId="643C1F8B" w:rsidR="00031FB9" w:rsidRDefault="00462B9D" w:rsidP="008E5EDF">
      <w:pPr>
        <w:pStyle w:val="Odstavecseseznamem"/>
        <w:numPr>
          <w:ilvl w:val="0"/>
          <w:numId w:val="4"/>
        </w:numPr>
        <w:spacing w:after="0"/>
        <w:rPr>
          <w:rFonts w:eastAsiaTheme="majorEastAsia"/>
          <w:lang w:eastAsia="en-US"/>
        </w:rPr>
      </w:pPr>
      <w:r w:rsidRPr="00B662A6">
        <w:rPr>
          <w:rFonts w:eastAsiaTheme="majorEastAsia"/>
          <w:lang w:eastAsia="en-US"/>
        </w:rPr>
        <w:t>zajištění financování podpůrných opatření přiznaných žákům se SVP</w:t>
      </w:r>
      <w:r w:rsidR="00271777">
        <w:rPr>
          <w:rFonts w:eastAsiaTheme="majorEastAsia"/>
          <w:lang w:eastAsia="en-US"/>
        </w:rPr>
        <w:t>;</w:t>
      </w:r>
      <w:r w:rsidRPr="00B662A6">
        <w:rPr>
          <w:rFonts w:eastAsiaTheme="majorEastAsia"/>
          <w:lang w:eastAsia="en-US"/>
        </w:rPr>
        <w:t xml:space="preserve"> </w:t>
      </w:r>
    </w:p>
    <w:p w14:paraId="7234E824" w14:textId="3E0B8586" w:rsidR="00462B9D" w:rsidRDefault="00462B9D" w:rsidP="008E5EDF">
      <w:pPr>
        <w:pStyle w:val="Odstavecseseznamem"/>
        <w:numPr>
          <w:ilvl w:val="0"/>
          <w:numId w:val="4"/>
        </w:numPr>
        <w:spacing w:after="0"/>
        <w:rPr>
          <w:rFonts w:eastAsiaTheme="majorEastAsia"/>
          <w:lang w:eastAsia="en-US"/>
        </w:rPr>
      </w:pPr>
      <w:r w:rsidRPr="00B662A6">
        <w:rPr>
          <w:rFonts w:eastAsiaTheme="majorEastAsia"/>
          <w:lang w:eastAsia="en-US"/>
        </w:rPr>
        <w:t>zkušenosti se zapojením/využitím asistentů pedagoga</w:t>
      </w:r>
      <w:r w:rsidR="00271777">
        <w:rPr>
          <w:rFonts w:eastAsiaTheme="majorEastAsia"/>
          <w:lang w:eastAsia="en-US"/>
        </w:rPr>
        <w:t>;</w:t>
      </w:r>
    </w:p>
    <w:p w14:paraId="7DF4F37E" w14:textId="15654ADB" w:rsidR="00031FB9" w:rsidRDefault="00031FB9" w:rsidP="008E5EDF">
      <w:pPr>
        <w:pStyle w:val="Odstavecseseznamem"/>
        <w:numPr>
          <w:ilvl w:val="0"/>
          <w:numId w:val="4"/>
        </w:num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vzdělávání pedagogů v oblasti práce s žáky se SVP.</w:t>
      </w:r>
    </w:p>
    <w:p w14:paraId="2EE33DA6" w14:textId="4C5EC00E" w:rsidR="00B662A6" w:rsidRPr="004E5FB1" w:rsidRDefault="00B662A6" w:rsidP="00B662A6">
      <w:pPr>
        <w:spacing w:after="0"/>
        <w:rPr>
          <w:rFonts w:eastAsiaTheme="majorEastAsia"/>
          <w:b/>
          <w:lang w:eastAsia="en-US"/>
        </w:rPr>
      </w:pPr>
      <w:r w:rsidRPr="004E5FB1">
        <w:rPr>
          <w:rFonts w:eastAsiaTheme="majorEastAsia"/>
          <w:b/>
          <w:lang w:eastAsia="en-US"/>
        </w:rPr>
        <w:t>Hlavní výsledky dotazníkového šetření lze shrnout následovně:</w:t>
      </w:r>
    </w:p>
    <w:p w14:paraId="700498CA" w14:textId="055F1941" w:rsidR="00DE47C3" w:rsidRPr="009F2ABA" w:rsidRDefault="00A63458" w:rsidP="008E5EDF">
      <w:pPr>
        <w:pStyle w:val="Odstavecseseznamem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Ze všech </w:t>
      </w:r>
      <w:proofErr w:type="spellStart"/>
      <w:r>
        <w:rPr>
          <w:rFonts w:cstheme="minorHAnsi"/>
          <w:b/>
        </w:rPr>
        <w:t>respondujících</w:t>
      </w:r>
      <w:proofErr w:type="spellEnd"/>
      <w:r>
        <w:rPr>
          <w:rFonts w:cstheme="minorHAnsi"/>
          <w:b/>
        </w:rPr>
        <w:t xml:space="preserve"> škol</w:t>
      </w:r>
      <w:r w:rsidR="00F94466" w:rsidRPr="00271777">
        <w:rPr>
          <w:rStyle w:val="Znakapoznpodarou"/>
          <w:rFonts w:cstheme="minorHAnsi"/>
          <w:b/>
        </w:rPr>
        <w:footnoteReference w:id="52"/>
      </w:r>
      <w:r w:rsidR="00DE47C3" w:rsidRPr="0027177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uvedla pouhá </w:t>
      </w:r>
      <w:r w:rsidRPr="00271777">
        <w:rPr>
          <w:rFonts w:cstheme="minorHAnsi"/>
          <w:b/>
        </w:rPr>
        <w:t>3</w:t>
      </w:r>
      <w:r w:rsidR="002D2DF3">
        <w:rPr>
          <w:rFonts w:cstheme="minorHAnsi"/>
          <w:b/>
        </w:rPr>
        <w:t> </w:t>
      </w:r>
      <w:r w:rsidRPr="00271777">
        <w:rPr>
          <w:rFonts w:cstheme="minorHAnsi"/>
          <w:b/>
        </w:rPr>
        <w:t>%</w:t>
      </w:r>
      <w:r>
        <w:rPr>
          <w:rFonts w:cstheme="minorHAnsi"/>
          <w:b/>
        </w:rPr>
        <w:t xml:space="preserve"> z nich, že nemají </w:t>
      </w:r>
      <w:r w:rsidR="00DE47C3" w:rsidRPr="00271777">
        <w:rPr>
          <w:rFonts w:cstheme="minorHAnsi"/>
          <w:b/>
        </w:rPr>
        <w:t>žádné žáky se SVP</w:t>
      </w:r>
      <w:r w:rsidR="00F94466" w:rsidRPr="00271777">
        <w:rPr>
          <w:rFonts w:cstheme="minorHAnsi"/>
          <w:b/>
        </w:rPr>
        <w:t>;</w:t>
      </w:r>
      <w:r w:rsidR="00F94466">
        <w:rPr>
          <w:rFonts w:cstheme="minorHAnsi"/>
        </w:rPr>
        <w:t xml:space="preserve"> na </w:t>
      </w:r>
      <w:r w:rsidR="00DA44C8">
        <w:rPr>
          <w:rFonts w:cstheme="minorHAnsi"/>
        </w:rPr>
        <w:t xml:space="preserve">jednu </w:t>
      </w:r>
      <w:r w:rsidR="00F94466">
        <w:rPr>
          <w:rFonts w:cstheme="minorHAnsi"/>
        </w:rPr>
        <w:t xml:space="preserve">ZŠ připadá průměrně 35 žáků se SVP. </w:t>
      </w:r>
    </w:p>
    <w:p w14:paraId="5E77C3E3" w14:textId="70E826CA" w:rsidR="00623ED9" w:rsidRDefault="00271777" w:rsidP="008E5EDF">
      <w:pPr>
        <w:pStyle w:val="Odstavecseseznamem"/>
        <w:numPr>
          <w:ilvl w:val="0"/>
          <w:numId w:val="5"/>
        </w:numPr>
        <w:spacing w:after="0"/>
        <w:rPr>
          <w:rFonts w:cstheme="minorHAnsi"/>
        </w:rPr>
      </w:pPr>
      <w:r w:rsidRPr="000D0B7B">
        <w:rPr>
          <w:rFonts w:cstheme="minorHAnsi"/>
          <w:b/>
        </w:rPr>
        <w:t>V</w:t>
      </w:r>
      <w:r w:rsidR="00DE47C3" w:rsidRPr="000D0B7B">
        <w:rPr>
          <w:rFonts w:cstheme="minorHAnsi"/>
          <w:b/>
        </w:rPr>
        <w:t>íce než 6</w:t>
      </w:r>
      <w:r w:rsidR="00623ED9" w:rsidRPr="000D0B7B">
        <w:rPr>
          <w:rFonts w:cstheme="minorHAnsi"/>
          <w:b/>
        </w:rPr>
        <w:t>3</w:t>
      </w:r>
      <w:r w:rsidR="00DE47C3" w:rsidRPr="000D0B7B">
        <w:rPr>
          <w:rFonts w:cstheme="minorHAnsi"/>
          <w:b/>
        </w:rPr>
        <w:t xml:space="preserve"> % respond</w:t>
      </w:r>
      <w:r w:rsidR="00FD0D67">
        <w:rPr>
          <w:rFonts w:cstheme="minorHAnsi"/>
          <w:b/>
        </w:rPr>
        <w:t>entů</w:t>
      </w:r>
      <w:r w:rsidR="00623ED9" w:rsidRPr="000D0B7B">
        <w:rPr>
          <w:rFonts w:cstheme="minorHAnsi"/>
          <w:b/>
        </w:rPr>
        <w:t xml:space="preserve"> </w:t>
      </w:r>
      <w:r w:rsidR="00496217">
        <w:rPr>
          <w:rFonts w:cstheme="minorHAnsi"/>
          <w:b/>
        </w:rPr>
        <w:t>uvedl</w:t>
      </w:r>
      <w:r w:rsidR="00FD0D67">
        <w:rPr>
          <w:rFonts w:cstheme="minorHAnsi"/>
          <w:b/>
        </w:rPr>
        <w:t>o</w:t>
      </w:r>
      <w:r w:rsidR="00496217">
        <w:rPr>
          <w:rFonts w:cstheme="minorHAnsi"/>
          <w:b/>
        </w:rPr>
        <w:t xml:space="preserve">, že </w:t>
      </w:r>
      <w:r w:rsidR="00623ED9" w:rsidRPr="000D0B7B">
        <w:rPr>
          <w:rFonts w:cstheme="minorHAnsi"/>
          <w:b/>
        </w:rPr>
        <w:t>nebyl</w:t>
      </w:r>
      <w:r w:rsidR="00D440E6">
        <w:rPr>
          <w:rFonts w:cstheme="minorHAnsi"/>
          <w:b/>
        </w:rPr>
        <w:t>i</w:t>
      </w:r>
      <w:r w:rsidR="00623ED9" w:rsidRPr="000D0B7B">
        <w:rPr>
          <w:rFonts w:cstheme="minorHAnsi"/>
          <w:b/>
        </w:rPr>
        <w:t xml:space="preserve"> </w:t>
      </w:r>
      <w:r w:rsidR="00DE47C3" w:rsidRPr="000D0B7B">
        <w:rPr>
          <w:rFonts w:cstheme="minorHAnsi"/>
          <w:b/>
        </w:rPr>
        <w:t>přizván</w:t>
      </w:r>
      <w:r w:rsidR="00D440E6">
        <w:rPr>
          <w:rFonts w:cstheme="minorHAnsi"/>
          <w:b/>
        </w:rPr>
        <w:t>i</w:t>
      </w:r>
      <w:r w:rsidR="00DE47C3" w:rsidRPr="000D0B7B">
        <w:rPr>
          <w:rFonts w:cstheme="minorHAnsi"/>
          <w:b/>
        </w:rPr>
        <w:t xml:space="preserve"> </w:t>
      </w:r>
      <w:r w:rsidR="00623ED9" w:rsidRPr="000D0B7B">
        <w:rPr>
          <w:rFonts w:cstheme="minorHAnsi"/>
          <w:b/>
        </w:rPr>
        <w:t>k přípravným jednáním před spuštěním legislativních změn</w:t>
      </w:r>
      <w:r w:rsidR="0095151C">
        <w:rPr>
          <w:rFonts w:cstheme="minorHAnsi"/>
        </w:rPr>
        <w:t xml:space="preserve"> s účinností od září 2016 t</w:t>
      </w:r>
      <w:r w:rsidR="00623ED9" w:rsidRPr="00623ED9">
        <w:rPr>
          <w:rFonts w:cstheme="minorHAnsi"/>
        </w:rPr>
        <w:t>ýkajících se inkluze</w:t>
      </w:r>
      <w:r w:rsidR="00D23496">
        <w:rPr>
          <w:rFonts w:cstheme="minorHAnsi"/>
        </w:rPr>
        <w:t>; téměř ¾</w:t>
      </w:r>
      <w:r w:rsidR="008F2D5F">
        <w:rPr>
          <w:rFonts w:cstheme="minorHAnsi"/>
        </w:rPr>
        <w:t xml:space="preserve"> </w:t>
      </w:r>
      <w:r w:rsidR="008F2D5F">
        <w:rPr>
          <w:rFonts w:cstheme="minorHAnsi"/>
        </w:rPr>
        <w:lastRenderedPageBreak/>
        <w:t>škol</w:t>
      </w:r>
      <w:r w:rsidR="00496217">
        <w:rPr>
          <w:rFonts w:cstheme="minorHAnsi"/>
        </w:rPr>
        <w:t xml:space="preserve">, </w:t>
      </w:r>
      <w:r w:rsidR="007235C4">
        <w:rPr>
          <w:rFonts w:cstheme="minorHAnsi"/>
        </w:rPr>
        <w:t xml:space="preserve">které byly přizvány a </w:t>
      </w:r>
      <w:r w:rsidR="00D23496">
        <w:rPr>
          <w:rFonts w:cstheme="minorHAnsi"/>
        </w:rPr>
        <w:t>zapojen</w:t>
      </w:r>
      <w:r w:rsidR="007235C4">
        <w:rPr>
          <w:rFonts w:cstheme="minorHAnsi"/>
        </w:rPr>
        <w:t xml:space="preserve">y </w:t>
      </w:r>
      <w:r w:rsidR="00D23496">
        <w:rPr>
          <w:rFonts w:cstheme="minorHAnsi"/>
        </w:rPr>
        <w:t>do diskuzí</w:t>
      </w:r>
      <w:r w:rsidR="007235C4">
        <w:rPr>
          <w:rFonts w:cstheme="minorHAnsi"/>
        </w:rPr>
        <w:t>,</w:t>
      </w:r>
      <w:r w:rsidR="00D23496">
        <w:rPr>
          <w:rFonts w:cstheme="minorHAnsi"/>
        </w:rPr>
        <w:t xml:space="preserve"> nem</w:t>
      </w:r>
      <w:r w:rsidR="008F2D5F">
        <w:rPr>
          <w:rFonts w:cstheme="minorHAnsi"/>
        </w:rPr>
        <w:t>ají</w:t>
      </w:r>
      <w:r w:rsidR="00D23496">
        <w:rPr>
          <w:rFonts w:cstheme="minorHAnsi"/>
        </w:rPr>
        <w:t xml:space="preserve"> zpětnou vazbu, zda byly jejich připomínky zohledněny.</w:t>
      </w:r>
      <w:r w:rsidR="00623ED9" w:rsidRPr="00623ED9">
        <w:rPr>
          <w:rFonts w:cstheme="minorHAnsi"/>
        </w:rPr>
        <w:t xml:space="preserve"> </w:t>
      </w:r>
    </w:p>
    <w:p w14:paraId="29E66C41" w14:textId="396FC4C2" w:rsidR="00573F41" w:rsidRDefault="00271777" w:rsidP="008E5EDF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573F41" w:rsidRPr="00031FB9">
        <w:rPr>
          <w:rFonts w:asciiTheme="minorHAnsi" w:hAnsiTheme="minorHAnsi" w:cstheme="minorHAnsi"/>
        </w:rPr>
        <w:t xml:space="preserve">ýsledky dotazníkového šetření NKÚ </w:t>
      </w:r>
      <w:r w:rsidR="00496217">
        <w:rPr>
          <w:rFonts w:asciiTheme="minorHAnsi" w:hAnsiTheme="minorHAnsi" w:cstheme="minorHAnsi"/>
        </w:rPr>
        <w:t>ukazují</w:t>
      </w:r>
      <w:r w:rsidR="004D47C7">
        <w:rPr>
          <w:rFonts w:asciiTheme="minorHAnsi" w:hAnsiTheme="minorHAnsi" w:cstheme="minorHAnsi"/>
        </w:rPr>
        <w:t xml:space="preserve"> nespokojenost škol se skutečností, </w:t>
      </w:r>
      <w:r w:rsidR="00573F41" w:rsidRPr="00031FB9">
        <w:rPr>
          <w:rFonts w:asciiTheme="minorHAnsi" w:hAnsiTheme="minorHAnsi" w:cstheme="minorHAnsi"/>
        </w:rPr>
        <w:t>že zapojení odborných pracovníků</w:t>
      </w:r>
      <w:r w:rsidR="00573F41" w:rsidRPr="00031FB9">
        <w:rPr>
          <w:rStyle w:val="Znakapoznpodarou"/>
          <w:rFonts w:asciiTheme="minorHAnsi" w:hAnsiTheme="minorHAnsi" w:cstheme="minorHAnsi"/>
        </w:rPr>
        <w:footnoteReference w:id="53"/>
      </w:r>
      <w:r w:rsidR="00573F41" w:rsidRPr="00031FB9">
        <w:rPr>
          <w:rFonts w:asciiTheme="minorHAnsi" w:hAnsiTheme="minorHAnsi" w:cstheme="minorHAnsi"/>
        </w:rPr>
        <w:t xml:space="preserve"> do </w:t>
      </w:r>
      <w:r w:rsidR="00E253EA">
        <w:rPr>
          <w:rFonts w:asciiTheme="minorHAnsi" w:hAnsiTheme="minorHAnsi" w:cstheme="minorHAnsi"/>
        </w:rPr>
        <w:t>činnosti</w:t>
      </w:r>
      <w:r w:rsidR="004D47C7">
        <w:rPr>
          <w:rFonts w:asciiTheme="minorHAnsi" w:hAnsiTheme="minorHAnsi" w:cstheme="minorHAnsi"/>
        </w:rPr>
        <w:t xml:space="preserve"> </w:t>
      </w:r>
      <w:r w:rsidR="005963FB">
        <w:rPr>
          <w:rFonts w:asciiTheme="minorHAnsi" w:hAnsiTheme="minorHAnsi" w:cstheme="minorHAnsi"/>
        </w:rPr>
        <w:t xml:space="preserve">škol </w:t>
      </w:r>
      <w:r w:rsidR="00573F41" w:rsidRPr="00031FB9">
        <w:rPr>
          <w:rFonts w:asciiTheme="minorHAnsi" w:hAnsiTheme="minorHAnsi" w:cstheme="minorHAnsi"/>
        </w:rPr>
        <w:t>je hrazeno výhradně z prostředků E</w:t>
      </w:r>
      <w:r w:rsidR="005963FB">
        <w:rPr>
          <w:rFonts w:asciiTheme="minorHAnsi" w:hAnsiTheme="minorHAnsi" w:cstheme="minorHAnsi"/>
        </w:rPr>
        <w:t>SIF</w:t>
      </w:r>
      <w:r w:rsidR="00573F41" w:rsidRPr="00031FB9">
        <w:rPr>
          <w:rFonts w:asciiTheme="minorHAnsi" w:hAnsiTheme="minorHAnsi" w:cstheme="minorHAnsi"/>
        </w:rPr>
        <w:t xml:space="preserve">, tj. krátkodobě, v omezeném rozsahu a </w:t>
      </w:r>
      <w:r w:rsidR="00C514C9">
        <w:rPr>
          <w:rFonts w:asciiTheme="minorHAnsi" w:hAnsiTheme="minorHAnsi" w:cstheme="minorHAnsi"/>
        </w:rPr>
        <w:t>bez záruky udrž</w:t>
      </w:r>
      <w:r w:rsidR="00573F41" w:rsidRPr="00031FB9">
        <w:rPr>
          <w:rFonts w:asciiTheme="minorHAnsi" w:hAnsiTheme="minorHAnsi" w:cstheme="minorHAnsi"/>
        </w:rPr>
        <w:t>iteln</w:t>
      </w:r>
      <w:r w:rsidR="00C514C9">
        <w:rPr>
          <w:rFonts w:asciiTheme="minorHAnsi" w:hAnsiTheme="minorHAnsi" w:cstheme="minorHAnsi"/>
        </w:rPr>
        <w:t>osti</w:t>
      </w:r>
      <w:r w:rsidR="00573F41" w:rsidRPr="00031FB9">
        <w:rPr>
          <w:rFonts w:asciiTheme="minorHAnsi" w:hAnsiTheme="minorHAnsi" w:cstheme="minorHAnsi"/>
        </w:rPr>
        <w:t>.</w:t>
      </w:r>
      <w:r w:rsidR="00573F41" w:rsidRPr="00031FB9">
        <w:rPr>
          <w:rStyle w:val="Znakapoznpodarou"/>
          <w:rFonts w:asciiTheme="minorHAnsi" w:hAnsiTheme="minorHAnsi" w:cstheme="minorHAnsi"/>
        </w:rPr>
        <w:footnoteReference w:id="54"/>
      </w:r>
      <w:r w:rsidR="00573F41" w:rsidRPr="00031FB9">
        <w:rPr>
          <w:rFonts w:asciiTheme="minorHAnsi" w:hAnsiTheme="minorHAnsi" w:cstheme="minorHAnsi"/>
        </w:rPr>
        <w:t xml:space="preserve"> </w:t>
      </w:r>
    </w:p>
    <w:p w14:paraId="60A73510" w14:textId="055851E4" w:rsidR="00031FB9" w:rsidRPr="005963FB" w:rsidRDefault="00E253EA" w:rsidP="008E5EDF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031FB9" w:rsidRPr="005963FB">
        <w:rPr>
          <w:rFonts w:asciiTheme="minorHAnsi" w:hAnsiTheme="minorHAnsi" w:cstheme="minorHAnsi"/>
          <w:b/>
        </w:rPr>
        <w:t>řekážk</w:t>
      </w:r>
      <w:r>
        <w:rPr>
          <w:rFonts w:asciiTheme="minorHAnsi" w:hAnsiTheme="minorHAnsi" w:cstheme="minorHAnsi"/>
          <w:b/>
        </w:rPr>
        <w:t>ami</w:t>
      </w:r>
      <w:r w:rsidR="00031FB9" w:rsidRPr="005963FB">
        <w:rPr>
          <w:rFonts w:asciiTheme="minorHAnsi" w:hAnsiTheme="minorHAnsi" w:cstheme="minorHAnsi"/>
          <w:b/>
        </w:rPr>
        <w:t xml:space="preserve"> pro úspěšnou inkluzi j</w:t>
      </w:r>
      <w:r w:rsidR="00066028">
        <w:rPr>
          <w:rFonts w:asciiTheme="minorHAnsi" w:hAnsiTheme="minorHAnsi" w:cstheme="minorHAnsi"/>
          <w:b/>
        </w:rPr>
        <w:t>sou</w:t>
      </w:r>
      <w:r w:rsidR="00031FB9" w:rsidRPr="005963FB">
        <w:rPr>
          <w:rFonts w:asciiTheme="minorHAnsi" w:hAnsiTheme="minorHAnsi" w:cstheme="minorHAnsi"/>
          <w:b/>
        </w:rPr>
        <w:t xml:space="preserve"> nadbytečná administrativa, </w:t>
      </w:r>
      <w:r w:rsidR="00F4513E">
        <w:rPr>
          <w:rFonts w:asciiTheme="minorHAnsi" w:hAnsiTheme="minorHAnsi" w:cstheme="minorHAnsi"/>
          <w:b/>
        </w:rPr>
        <w:t>vysoké počty žáků v</w:t>
      </w:r>
      <w:r w:rsidR="00066028">
        <w:rPr>
          <w:rFonts w:asciiTheme="minorHAnsi" w:hAnsiTheme="minorHAnsi" w:cstheme="minorHAnsi"/>
          <w:b/>
        </w:rPr>
        <w:t> </w:t>
      </w:r>
      <w:r w:rsidR="00031FB9" w:rsidRPr="005963FB">
        <w:rPr>
          <w:rFonts w:asciiTheme="minorHAnsi" w:hAnsiTheme="minorHAnsi" w:cstheme="minorHAnsi"/>
          <w:b/>
        </w:rPr>
        <w:t>třídách a nedostatečné kapacity (vybavení třídy/školy).</w:t>
      </w:r>
    </w:p>
    <w:p w14:paraId="427F06E2" w14:textId="284A5D37" w:rsidR="00A63458" w:rsidRDefault="00F4513E" w:rsidP="00A63458">
      <w:pPr>
        <w:pStyle w:val="Odstavecseseznamem"/>
        <w:numPr>
          <w:ilvl w:val="0"/>
          <w:numId w:val="5"/>
        </w:numPr>
        <w:spacing w:after="0"/>
        <w:rPr>
          <w:noProof/>
        </w:rPr>
      </w:pPr>
      <w:r>
        <w:rPr>
          <w:noProof/>
        </w:rPr>
        <w:t>Téměř 93 </w:t>
      </w:r>
      <w:r w:rsidR="00A63458" w:rsidRPr="00A63458">
        <w:rPr>
          <w:noProof/>
        </w:rPr>
        <w:t>% škol hodnot</w:t>
      </w:r>
      <w:r w:rsidR="0021786A">
        <w:rPr>
          <w:noProof/>
        </w:rPr>
        <w:t>ilo</w:t>
      </w:r>
      <w:r w:rsidR="00A63458" w:rsidRPr="00A63458">
        <w:rPr>
          <w:noProof/>
        </w:rPr>
        <w:t xml:space="preserve"> klad</w:t>
      </w:r>
      <w:r w:rsidR="0021786A">
        <w:rPr>
          <w:noProof/>
        </w:rPr>
        <w:t xml:space="preserve">ně spolupráci s </w:t>
      </w:r>
      <w:r w:rsidR="00A63458" w:rsidRPr="00A63458">
        <w:rPr>
          <w:noProof/>
        </w:rPr>
        <w:t>poradenskými zařízeními</w:t>
      </w:r>
      <w:r w:rsidR="00F03843">
        <w:rPr>
          <w:noProof/>
        </w:rPr>
        <w:t>;</w:t>
      </w:r>
      <w:r w:rsidR="00A63458" w:rsidRPr="00A63458">
        <w:rPr>
          <w:b/>
          <w:noProof/>
        </w:rPr>
        <w:t xml:space="preserve"> </w:t>
      </w:r>
      <w:r w:rsidR="00F03843">
        <w:rPr>
          <w:noProof/>
        </w:rPr>
        <w:t>n</w:t>
      </w:r>
      <w:r w:rsidR="00A63458" w:rsidRPr="007235C4">
        <w:rPr>
          <w:noProof/>
        </w:rPr>
        <w:t>espokojen</w:t>
      </w:r>
      <w:r w:rsidR="00A63458">
        <w:rPr>
          <w:noProof/>
        </w:rPr>
        <w:t xml:space="preserve">ost v této oblasti vyjádřilo jen </w:t>
      </w:r>
      <w:r w:rsidR="00F03843">
        <w:rPr>
          <w:noProof/>
        </w:rPr>
        <w:t xml:space="preserve">cca 7 </w:t>
      </w:r>
      <w:r w:rsidR="00A63458">
        <w:rPr>
          <w:noProof/>
        </w:rPr>
        <w:t xml:space="preserve">% </w:t>
      </w:r>
      <w:r w:rsidR="00066028">
        <w:rPr>
          <w:noProof/>
        </w:rPr>
        <w:t>respondentů</w:t>
      </w:r>
      <w:r w:rsidR="00A63458">
        <w:rPr>
          <w:noProof/>
        </w:rPr>
        <w:t>.</w:t>
      </w:r>
    </w:p>
    <w:p w14:paraId="3433E9ED" w14:textId="77777777" w:rsidR="00BF1F8F" w:rsidRDefault="00BF1F8F" w:rsidP="00BF1F8F">
      <w:pPr>
        <w:spacing w:after="0"/>
        <w:ind w:left="360"/>
        <w:rPr>
          <w:noProof/>
        </w:rPr>
      </w:pPr>
    </w:p>
    <w:p w14:paraId="4BD64D8D" w14:textId="65EC72C3" w:rsidR="00BF1F8F" w:rsidRPr="002518F3" w:rsidRDefault="00BF1F8F" w:rsidP="00BF1F8F">
      <w:pPr>
        <w:spacing w:after="0"/>
        <w:rPr>
          <w:noProof/>
        </w:rPr>
      </w:pPr>
      <w:r>
        <w:rPr>
          <w:rFonts w:cstheme="minorHAnsi"/>
          <w:noProof/>
          <w:color w:val="000000"/>
        </w:rPr>
        <w:t xml:space="preserve">Pro ilustraci většinového vnímání dopadů inkluze na práci škol lze </w:t>
      </w:r>
      <w:r w:rsidR="00CF0F04">
        <w:rPr>
          <w:rFonts w:cstheme="minorHAnsi"/>
          <w:noProof/>
          <w:color w:val="000000"/>
        </w:rPr>
        <w:t>uvést</w:t>
      </w:r>
      <w:r>
        <w:rPr>
          <w:rFonts w:cstheme="minorHAnsi"/>
          <w:noProof/>
          <w:color w:val="000000"/>
        </w:rPr>
        <w:t xml:space="preserve"> jednu z</w:t>
      </w:r>
      <w:r w:rsidR="00CF0F04">
        <w:rPr>
          <w:rFonts w:cstheme="minorHAnsi"/>
          <w:noProof/>
          <w:color w:val="000000"/>
        </w:rPr>
        <w:t xml:space="preserve"> obdržených </w:t>
      </w:r>
      <w:r>
        <w:rPr>
          <w:rFonts w:cstheme="minorHAnsi"/>
          <w:noProof/>
          <w:color w:val="000000"/>
        </w:rPr>
        <w:t>odpovědí na otevřenou otázku</w:t>
      </w:r>
      <w:r w:rsidRPr="002518F3">
        <w:rPr>
          <w:rFonts w:cstheme="minorHAnsi"/>
          <w:noProof/>
          <w:color w:val="000000"/>
        </w:rPr>
        <w:t>: „</w:t>
      </w:r>
      <w:r w:rsidRPr="00CF0F62">
        <w:rPr>
          <w:rFonts w:cstheme="minorHAnsi"/>
          <w:i/>
          <w:noProof/>
          <w:color w:val="000000"/>
        </w:rPr>
        <w:t>Děláme to odjakživa, jedinou změnou je nárůst agendy</w:t>
      </w:r>
      <w:r w:rsidR="00CF0F04">
        <w:rPr>
          <w:rFonts w:cstheme="minorHAnsi"/>
          <w:i/>
          <w:noProof/>
          <w:color w:val="000000"/>
        </w:rPr>
        <w:t>.</w:t>
      </w:r>
      <w:r w:rsidRPr="002518F3">
        <w:rPr>
          <w:rFonts w:cstheme="minorHAnsi"/>
          <w:noProof/>
          <w:color w:val="000000"/>
        </w:rPr>
        <w:t>“</w:t>
      </w:r>
    </w:p>
    <w:p w14:paraId="78CD78AD" w14:textId="5DB9E792" w:rsidR="0017715E" w:rsidRPr="004E5FB1" w:rsidRDefault="007235C4" w:rsidP="000D0B7B">
      <w:pPr>
        <w:spacing w:before="120"/>
        <w:rPr>
          <w:b/>
          <w:noProof/>
        </w:rPr>
      </w:pPr>
      <w:r>
        <w:rPr>
          <w:noProof/>
        </w:rPr>
        <w:t xml:space="preserve">Školy </w:t>
      </w:r>
      <w:r w:rsidR="0062709F">
        <w:rPr>
          <w:noProof/>
        </w:rPr>
        <w:t xml:space="preserve">dále </w:t>
      </w:r>
      <w:r>
        <w:rPr>
          <w:noProof/>
        </w:rPr>
        <w:t xml:space="preserve">uváděly </w:t>
      </w:r>
      <w:r w:rsidR="008E2212">
        <w:rPr>
          <w:noProof/>
        </w:rPr>
        <w:t>v</w:t>
      </w:r>
      <w:r>
        <w:rPr>
          <w:noProof/>
        </w:rPr>
        <w:t> </w:t>
      </w:r>
      <w:r w:rsidR="008E2212">
        <w:rPr>
          <w:noProof/>
        </w:rPr>
        <w:t>odpověd</w:t>
      </w:r>
      <w:r w:rsidR="00CF0F04">
        <w:rPr>
          <w:noProof/>
        </w:rPr>
        <w:t>ích</w:t>
      </w:r>
      <w:r>
        <w:rPr>
          <w:noProof/>
        </w:rPr>
        <w:t xml:space="preserve"> </w:t>
      </w:r>
      <w:r w:rsidR="008E2212">
        <w:rPr>
          <w:noProof/>
        </w:rPr>
        <w:t xml:space="preserve">na </w:t>
      </w:r>
      <w:r w:rsidR="00F36E91">
        <w:rPr>
          <w:noProof/>
        </w:rPr>
        <w:t xml:space="preserve">doplňující </w:t>
      </w:r>
      <w:r w:rsidR="001B6267">
        <w:rPr>
          <w:noProof/>
        </w:rPr>
        <w:t>otevřen</w:t>
      </w:r>
      <w:r w:rsidR="005963FB">
        <w:rPr>
          <w:noProof/>
        </w:rPr>
        <w:t>ou</w:t>
      </w:r>
      <w:r w:rsidR="008E2212">
        <w:rPr>
          <w:noProof/>
        </w:rPr>
        <w:t xml:space="preserve"> </w:t>
      </w:r>
      <w:r w:rsidR="005963FB">
        <w:rPr>
          <w:noProof/>
        </w:rPr>
        <w:t>otázku</w:t>
      </w:r>
      <w:r w:rsidR="008B3357">
        <w:rPr>
          <w:rStyle w:val="Znakapoznpodarou"/>
          <w:noProof/>
        </w:rPr>
        <w:footnoteReference w:id="55"/>
      </w:r>
      <w:r w:rsidR="005963FB">
        <w:rPr>
          <w:noProof/>
        </w:rPr>
        <w:t xml:space="preserve"> </w:t>
      </w:r>
      <w:r w:rsidR="000D0B7B">
        <w:rPr>
          <w:noProof/>
        </w:rPr>
        <w:t xml:space="preserve">k tématu </w:t>
      </w:r>
      <w:r w:rsidR="001B6267">
        <w:rPr>
          <w:noProof/>
        </w:rPr>
        <w:t>spolupráce s</w:t>
      </w:r>
      <w:r>
        <w:rPr>
          <w:noProof/>
        </w:rPr>
        <w:t> </w:t>
      </w:r>
      <w:r w:rsidR="001B6267">
        <w:rPr>
          <w:noProof/>
        </w:rPr>
        <w:t>porad</w:t>
      </w:r>
      <w:r>
        <w:rPr>
          <w:noProof/>
        </w:rPr>
        <w:t>nami, že</w:t>
      </w:r>
      <w:r w:rsidR="0017715E">
        <w:rPr>
          <w:noProof/>
        </w:rPr>
        <w:t xml:space="preserve"> hlavními důvody nespokojenosti jsou zejména </w:t>
      </w:r>
      <w:r w:rsidR="00E51B73">
        <w:rPr>
          <w:noProof/>
        </w:rPr>
        <w:t>dlouhé čekací lhůty, chybné zprávy</w:t>
      </w:r>
      <w:r w:rsidR="0017715E">
        <w:rPr>
          <w:noProof/>
        </w:rPr>
        <w:t xml:space="preserve">, </w:t>
      </w:r>
      <w:r w:rsidR="00E51B73">
        <w:rPr>
          <w:noProof/>
        </w:rPr>
        <w:t>formálnost závěrů, nedostatečná komunikace</w:t>
      </w:r>
      <w:r w:rsidR="001B6267">
        <w:rPr>
          <w:noProof/>
        </w:rPr>
        <w:t xml:space="preserve"> </w:t>
      </w:r>
      <w:r>
        <w:rPr>
          <w:noProof/>
        </w:rPr>
        <w:t xml:space="preserve">poraden se školami </w:t>
      </w:r>
      <w:r w:rsidR="00E51B73">
        <w:rPr>
          <w:noProof/>
        </w:rPr>
        <w:t>a snaha vyhovět neoprávněným požadavkům</w:t>
      </w:r>
      <w:r w:rsidR="00E51205">
        <w:rPr>
          <w:noProof/>
        </w:rPr>
        <w:t xml:space="preserve"> nebo </w:t>
      </w:r>
      <w:r w:rsidR="00E51B73">
        <w:rPr>
          <w:noProof/>
        </w:rPr>
        <w:t>přáním</w:t>
      </w:r>
      <w:r w:rsidR="00E51205">
        <w:rPr>
          <w:noProof/>
        </w:rPr>
        <w:t xml:space="preserve"> a </w:t>
      </w:r>
      <w:r w:rsidR="00E51B73">
        <w:rPr>
          <w:noProof/>
        </w:rPr>
        <w:t>tlaku rodičů</w:t>
      </w:r>
      <w:r w:rsidR="00E51B73">
        <w:rPr>
          <w:rStyle w:val="Znakapoznpodarou"/>
          <w:noProof/>
        </w:rPr>
        <w:footnoteReference w:id="56"/>
      </w:r>
      <w:r w:rsidR="00F36E91">
        <w:rPr>
          <w:noProof/>
        </w:rPr>
        <w:t>.</w:t>
      </w:r>
      <w:r w:rsidR="00E51205">
        <w:rPr>
          <w:noProof/>
        </w:rPr>
        <w:t xml:space="preserve"> </w:t>
      </w:r>
    </w:p>
    <w:p w14:paraId="1E2D3935" w14:textId="0F7F1F55" w:rsidR="004551EF" w:rsidRDefault="00D37435" w:rsidP="0084327A">
      <w:pPr>
        <w:rPr>
          <w:rFonts w:eastAsiaTheme="minorEastAsia" w:cstheme="minorHAnsi"/>
          <w:kern w:val="24"/>
        </w:rPr>
      </w:pPr>
      <w:r w:rsidRPr="008D7A5B">
        <w:rPr>
          <w:rFonts w:cstheme="minorHAnsi"/>
        </w:rPr>
        <w:t>Deset</w:t>
      </w:r>
      <w:r w:rsidR="00280839">
        <w:rPr>
          <w:rFonts w:cstheme="minorHAnsi"/>
        </w:rPr>
        <w:t xml:space="preserve"> </w:t>
      </w:r>
      <w:r w:rsidRPr="008D7A5B">
        <w:rPr>
          <w:rFonts w:cstheme="minorHAnsi"/>
        </w:rPr>
        <w:t xml:space="preserve">otázek bylo </w:t>
      </w:r>
      <w:r w:rsidR="00F94466" w:rsidRPr="008D7A5B">
        <w:rPr>
          <w:rFonts w:cstheme="minorHAnsi"/>
        </w:rPr>
        <w:t xml:space="preserve">věnováno vybranému podpůrnému opatření </w:t>
      </w:r>
      <w:r w:rsidR="00F94466" w:rsidRPr="008D7A5B">
        <w:rPr>
          <w:rFonts w:cstheme="minorHAnsi"/>
          <w:i/>
        </w:rPr>
        <w:t>asistent pedagoga</w:t>
      </w:r>
      <w:r w:rsidR="0069280F" w:rsidRPr="008D7A5B">
        <w:rPr>
          <w:rFonts w:cstheme="minorHAnsi"/>
          <w:i/>
        </w:rPr>
        <w:t xml:space="preserve"> </w:t>
      </w:r>
      <w:r w:rsidR="0069280F" w:rsidRPr="008D7A5B">
        <w:rPr>
          <w:rFonts w:cstheme="minorHAnsi"/>
        </w:rPr>
        <w:t>(dále též „AP“)</w:t>
      </w:r>
      <w:r w:rsidRPr="008D7A5B">
        <w:rPr>
          <w:rFonts w:cstheme="minorHAnsi"/>
          <w:i/>
        </w:rPr>
        <w:t xml:space="preserve">. </w:t>
      </w:r>
      <w:r w:rsidR="007235C4">
        <w:rPr>
          <w:rFonts w:cstheme="minorHAnsi"/>
        </w:rPr>
        <w:t>Z dotazníkového šetření vyplývá, že ZŠ</w:t>
      </w:r>
      <w:r w:rsidR="0069280F" w:rsidRPr="008D7A5B">
        <w:rPr>
          <w:rFonts w:cstheme="minorHAnsi"/>
        </w:rPr>
        <w:t xml:space="preserve"> zaměstnávají průměrně </w:t>
      </w:r>
      <w:r w:rsidR="00D61E7C">
        <w:rPr>
          <w:rFonts w:cstheme="minorHAnsi"/>
        </w:rPr>
        <w:t>pět</w:t>
      </w:r>
      <w:r w:rsidR="0069280F" w:rsidRPr="008D7A5B">
        <w:rPr>
          <w:rFonts w:cstheme="minorHAnsi"/>
        </w:rPr>
        <w:t xml:space="preserve"> AP na jednu školu. </w:t>
      </w:r>
      <w:r w:rsidR="00C37860">
        <w:rPr>
          <w:rFonts w:cstheme="minorHAnsi"/>
          <w:noProof/>
          <w:color w:val="000000"/>
        </w:rPr>
        <w:t>Celkem 65</w:t>
      </w:r>
      <w:r w:rsidR="009D03D6">
        <w:rPr>
          <w:rFonts w:cstheme="minorHAnsi"/>
          <w:noProof/>
          <w:color w:val="000000"/>
        </w:rPr>
        <w:t> </w:t>
      </w:r>
      <w:r w:rsidR="00C37860">
        <w:rPr>
          <w:rFonts w:cstheme="minorHAnsi"/>
          <w:noProof/>
          <w:color w:val="000000"/>
        </w:rPr>
        <w:t>% respondentů očekává u</w:t>
      </w:r>
      <w:r w:rsidR="004E7F8C">
        <w:rPr>
          <w:rFonts w:cstheme="minorHAnsi"/>
          <w:noProof/>
          <w:color w:val="000000"/>
        </w:rPr>
        <w:t xml:space="preserve"> </w:t>
      </w:r>
      <w:r w:rsidR="00C37860">
        <w:rPr>
          <w:rFonts w:cstheme="minorHAnsi"/>
          <w:noProof/>
          <w:color w:val="000000"/>
        </w:rPr>
        <w:t>asistentů pedagog</w:t>
      </w:r>
      <w:r w:rsidR="00DB1FA2">
        <w:rPr>
          <w:rFonts w:cstheme="minorHAnsi"/>
          <w:noProof/>
          <w:color w:val="000000"/>
        </w:rPr>
        <w:t>a</w:t>
      </w:r>
      <w:r w:rsidR="00C37860">
        <w:rPr>
          <w:rFonts w:cstheme="minorHAnsi"/>
          <w:noProof/>
          <w:color w:val="000000"/>
        </w:rPr>
        <w:t xml:space="preserve"> středoškolské vzdělání</w:t>
      </w:r>
      <w:r w:rsidR="004E7F8C">
        <w:rPr>
          <w:rFonts w:cstheme="minorHAnsi"/>
          <w:noProof/>
          <w:color w:val="000000"/>
        </w:rPr>
        <w:t>,</w:t>
      </w:r>
      <w:r w:rsidR="00C37860">
        <w:rPr>
          <w:rFonts w:cstheme="minorHAnsi"/>
          <w:noProof/>
          <w:color w:val="000000"/>
        </w:rPr>
        <w:t xml:space="preserve"> vč</w:t>
      </w:r>
      <w:r w:rsidR="004E7F8C">
        <w:rPr>
          <w:rFonts w:cstheme="minorHAnsi"/>
          <w:noProof/>
          <w:color w:val="000000"/>
        </w:rPr>
        <w:t xml:space="preserve">etně </w:t>
      </w:r>
      <w:r w:rsidR="00C37860">
        <w:rPr>
          <w:rFonts w:cstheme="minorHAnsi"/>
          <w:noProof/>
          <w:color w:val="000000"/>
        </w:rPr>
        <w:t>certifikovaného školení</w:t>
      </w:r>
      <w:r w:rsidR="005F2A5D">
        <w:rPr>
          <w:rFonts w:cstheme="minorHAnsi"/>
          <w:noProof/>
          <w:color w:val="000000"/>
        </w:rPr>
        <w:t>.</w:t>
      </w:r>
      <w:r w:rsidR="00DB1FA2">
        <w:rPr>
          <w:rFonts w:eastAsiaTheme="minorEastAsia" w:cstheme="minorHAnsi"/>
          <w:b/>
          <w:kern w:val="24"/>
        </w:rPr>
        <w:t xml:space="preserve"> </w:t>
      </w:r>
      <w:r w:rsidR="005F2A5D">
        <w:rPr>
          <w:rFonts w:eastAsiaTheme="minorEastAsia" w:cstheme="minorHAnsi"/>
          <w:b/>
          <w:kern w:val="24"/>
        </w:rPr>
        <w:t>T</w:t>
      </w:r>
      <w:r w:rsidR="00B70BDE" w:rsidRPr="004E5FB1">
        <w:rPr>
          <w:rFonts w:eastAsiaTheme="minorEastAsia" w:cstheme="minorHAnsi"/>
          <w:b/>
          <w:kern w:val="24"/>
        </w:rPr>
        <w:t>éměř 30 % respondentů očekáv</w:t>
      </w:r>
      <w:r w:rsidR="000455DD">
        <w:rPr>
          <w:rFonts w:eastAsiaTheme="minorEastAsia" w:cstheme="minorHAnsi"/>
          <w:b/>
          <w:kern w:val="24"/>
        </w:rPr>
        <w:t>á</w:t>
      </w:r>
      <w:r w:rsidR="00B70BDE" w:rsidRPr="004E5FB1">
        <w:rPr>
          <w:rFonts w:eastAsiaTheme="minorEastAsia" w:cstheme="minorHAnsi"/>
          <w:b/>
          <w:kern w:val="24"/>
        </w:rPr>
        <w:t>, že</w:t>
      </w:r>
      <w:r w:rsidR="004E5FB1" w:rsidRPr="004E5FB1">
        <w:rPr>
          <w:rFonts w:eastAsiaTheme="minorEastAsia" w:cstheme="minorHAnsi"/>
          <w:b/>
          <w:kern w:val="24"/>
        </w:rPr>
        <w:t xml:space="preserve"> </w:t>
      </w:r>
      <w:r w:rsidR="004E5FB1">
        <w:rPr>
          <w:rFonts w:eastAsiaTheme="minorEastAsia" w:cstheme="minorHAnsi"/>
          <w:b/>
          <w:kern w:val="24"/>
        </w:rPr>
        <w:t xml:space="preserve">asistenti pedagoga </w:t>
      </w:r>
      <w:r w:rsidR="00B70BDE" w:rsidRPr="004E5FB1">
        <w:rPr>
          <w:rFonts w:eastAsiaTheme="minorEastAsia" w:cstheme="minorHAnsi"/>
          <w:b/>
          <w:kern w:val="24"/>
        </w:rPr>
        <w:t>bud</w:t>
      </w:r>
      <w:r w:rsidR="004E5FB1" w:rsidRPr="004E5FB1">
        <w:rPr>
          <w:rFonts w:eastAsiaTheme="minorEastAsia" w:cstheme="minorHAnsi"/>
          <w:b/>
          <w:kern w:val="24"/>
        </w:rPr>
        <w:t xml:space="preserve">ou </w:t>
      </w:r>
      <w:r w:rsidR="00B70BDE" w:rsidRPr="004E5FB1">
        <w:rPr>
          <w:rFonts w:eastAsiaTheme="minorEastAsia" w:cstheme="minorHAnsi"/>
          <w:b/>
          <w:kern w:val="24"/>
        </w:rPr>
        <w:t xml:space="preserve">mít vysokoškolské vzdělání v oboru speciální pedagogika. </w:t>
      </w:r>
      <w:r w:rsidR="00B70BDE" w:rsidRPr="00DB1FA2">
        <w:rPr>
          <w:rFonts w:eastAsiaTheme="minorEastAsia" w:cstheme="minorHAnsi"/>
          <w:kern w:val="24"/>
        </w:rPr>
        <w:t xml:space="preserve">Toto očekávání </w:t>
      </w:r>
      <w:r w:rsidR="004E5FB1" w:rsidRPr="00DB1FA2">
        <w:rPr>
          <w:rFonts w:eastAsiaTheme="minorEastAsia" w:cstheme="minorHAnsi"/>
          <w:kern w:val="24"/>
        </w:rPr>
        <w:t xml:space="preserve">však </w:t>
      </w:r>
      <w:r w:rsidR="00987B74" w:rsidRPr="00DB1FA2">
        <w:rPr>
          <w:rFonts w:eastAsiaTheme="minorEastAsia" w:cstheme="minorHAnsi"/>
          <w:kern w:val="24"/>
        </w:rPr>
        <w:t>splňují pouhá 3 </w:t>
      </w:r>
      <w:r w:rsidR="00B70BDE" w:rsidRPr="00DB1FA2">
        <w:rPr>
          <w:rFonts w:eastAsiaTheme="minorEastAsia" w:cstheme="minorHAnsi"/>
          <w:kern w:val="24"/>
        </w:rPr>
        <w:t>%</w:t>
      </w:r>
      <w:r w:rsidR="000455DD">
        <w:rPr>
          <w:rFonts w:eastAsiaTheme="minorEastAsia" w:cstheme="minorHAnsi"/>
          <w:kern w:val="24"/>
        </w:rPr>
        <w:t> </w:t>
      </w:r>
      <w:r w:rsidR="004E5FB1" w:rsidRPr="00DB1FA2">
        <w:rPr>
          <w:rFonts w:eastAsiaTheme="minorEastAsia" w:cstheme="minorHAnsi"/>
          <w:kern w:val="24"/>
        </w:rPr>
        <w:t xml:space="preserve">AP. </w:t>
      </w:r>
      <w:r w:rsidR="002906A0" w:rsidRPr="00DB1FA2">
        <w:rPr>
          <w:rFonts w:eastAsiaTheme="minorEastAsia" w:cstheme="minorHAnsi"/>
          <w:kern w:val="24"/>
        </w:rPr>
        <w:t xml:space="preserve">Vysokoškolsky vzdělaných AP je </w:t>
      </w:r>
      <w:r w:rsidR="00D61E7C" w:rsidRPr="00DB1FA2">
        <w:rPr>
          <w:rFonts w:eastAsiaTheme="minorEastAsia" w:cstheme="minorHAnsi"/>
          <w:kern w:val="24"/>
        </w:rPr>
        <w:t>v</w:t>
      </w:r>
      <w:r w:rsidR="002D2DF3">
        <w:rPr>
          <w:rFonts w:eastAsiaTheme="minorEastAsia" w:cstheme="minorHAnsi"/>
          <w:kern w:val="24"/>
        </w:rPr>
        <w:t>e</w:t>
      </w:r>
      <w:r w:rsidR="00D61E7C" w:rsidRPr="00DB1FA2">
        <w:rPr>
          <w:rFonts w:eastAsiaTheme="minorEastAsia" w:cstheme="minorHAnsi"/>
          <w:kern w:val="24"/>
        </w:rPr>
        <w:t xml:space="preserve"> školách</w:t>
      </w:r>
      <w:r w:rsidR="002D2DF3">
        <w:rPr>
          <w:rFonts w:eastAsiaTheme="minorEastAsia" w:cstheme="minorHAnsi"/>
          <w:kern w:val="24"/>
        </w:rPr>
        <w:t xml:space="preserve"> zú</w:t>
      </w:r>
      <w:r w:rsidR="002D2DF3" w:rsidRPr="00CF0F62">
        <w:rPr>
          <w:rFonts w:cstheme="minorHAnsi"/>
        </w:rPr>
        <w:t>častn</w:t>
      </w:r>
      <w:r w:rsidR="002D2DF3">
        <w:rPr>
          <w:rFonts w:cstheme="minorHAnsi"/>
        </w:rPr>
        <w:t>ěných</w:t>
      </w:r>
      <w:r w:rsidR="002D2DF3" w:rsidRPr="00CF0F62">
        <w:rPr>
          <w:rFonts w:cstheme="minorHAnsi"/>
        </w:rPr>
        <w:t xml:space="preserve"> </w:t>
      </w:r>
      <w:r w:rsidR="002D2DF3">
        <w:rPr>
          <w:rFonts w:cstheme="minorHAnsi"/>
        </w:rPr>
        <w:t>v</w:t>
      </w:r>
      <w:r w:rsidR="002D2DF3" w:rsidRPr="00CF0F62">
        <w:rPr>
          <w:rFonts w:cstheme="minorHAnsi"/>
        </w:rPr>
        <w:t xml:space="preserve"> dotazníkové</w:t>
      </w:r>
      <w:r w:rsidR="002D2DF3">
        <w:rPr>
          <w:rFonts w:cstheme="minorHAnsi"/>
        </w:rPr>
        <w:t>m</w:t>
      </w:r>
      <w:r w:rsidR="002D2DF3" w:rsidRPr="00CF0F62">
        <w:rPr>
          <w:rFonts w:cstheme="minorHAnsi"/>
        </w:rPr>
        <w:t xml:space="preserve"> šetření</w:t>
      </w:r>
      <w:r w:rsidR="00D61E7C" w:rsidRPr="00DB1FA2">
        <w:rPr>
          <w:rFonts w:eastAsiaTheme="minorEastAsia" w:cstheme="minorHAnsi"/>
          <w:kern w:val="24"/>
        </w:rPr>
        <w:t xml:space="preserve"> </w:t>
      </w:r>
      <w:r w:rsidR="002906A0" w:rsidRPr="00DB1FA2">
        <w:rPr>
          <w:rFonts w:eastAsiaTheme="minorEastAsia" w:cstheme="minorHAnsi"/>
          <w:kern w:val="24"/>
        </w:rPr>
        <w:t>necelých 16</w:t>
      </w:r>
      <w:r w:rsidR="000455DD">
        <w:rPr>
          <w:rFonts w:eastAsiaTheme="minorEastAsia" w:cstheme="minorHAnsi"/>
          <w:kern w:val="24"/>
        </w:rPr>
        <w:t> </w:t>
      </w:r>
      <w:r w:rsidR="002906A0" w:rsidRPr="00DB1FA2">
        <w:rPr>
          <w:rFonts w:eastAsiaTheme="minorEastAsia" w:cstheme="minorHAnsi"/>
          <w:kern w:val="24"/>
        </w:rPr>
        <w:t>%</w:t>
      </w:r>
      <w:r w:rsidR="002906A0">
        <w:rPr>
          <w:rFonts w:eastAsiaTheme="minorEastAsia" w:cstheme="minorHAnsi"/>
          <w:b/>
          <w:kern w:val="24"/>
        </w:rPr>
        <w:t xml:space="preserve"> </w:t>
      </w:r>
      <w:r w:rsidR="002906A0" w:rsidRPr="002906A0">
        <w:rPr>
          <w:rFonts w:eastAsiaTheme="minorEastAsia" w:cstheme="minorHAnsi"/>
          <w:kern w:val="24"/>
        </w:rPr>
        <w:t>(</w:t>
      </w:r>
      <w:r w:rsidR="002906A0">
        <w:rPr>
          <w:rFonts w:eastAsiaTheme="minorEastAsia" w:cstheme="minorHAnsi"/>
          <w:kern w:val="24"/>
        </w:rPr>
        <w:t>vystudované obory speciální pedagogika</w:t>
      </w:r>
      <w:r w:rsidR="002906A0" w:rsidRPr="002906A0">
        <w:rPr>
          <w:rFonts w:eastAsiaTheme="minorEastAsia" w:cstheme="minorHAnsi"/>
          <w:kern w:val="24"/>
        </w:rPr>
        <w:t xml:space="preserve">, všeobecná pedagogika, popř. jiné vysokoškolské vzdělání). </w:t>
      </w:r>
    </w:p>
    <w:p w14:paraId="7BCEC65A" w14:textId="16CDABA2" w:rsidR="008C67BA" w:rsidRDefault="002906A0" w:rsidP="008237DB">
      <w:pPr>
        <w:pStyle w:val="Normlnweb"/>
        <w:keepNext/>
        <w:keepLines/>
        <w:spacing w:before="0" w:beforeAutospacing="0" w:after="120" w:afterAutospacing="0"/>
        <w:ind w:left="993" w:hanging="993"/>
        <w:rPr>
          <w:rFonts w:asciiTheme="minorHAnsi" w:eastAsiaTheme="minorEastAsia" w:hAnsiTheme="minorHAnsi" w:cstheme="minorHAnsi"/>
          <w:i/>
          <w:kern w:val="24"/>
        </w:rPr>
      </w:pPr>
      <w:r w:rsidRPr="002906A0">
        <w:rPr>
          <w:rFonts w:asciiTheme="minorHAnsi" w:eastAsiaTheme="minorEastAsia" w:hAnsiTheme="minorHAnsi" w:cstheme="minorHAnsi"/>
          <w:kern w:val="24"/>
        </w:rPr>
        <w:lastRenderedPageBreak/>
        <w:t xml:space="preserve">Graf č. </w:t>
      </w:r>
      <w:r w:rsidR="008237DB">
        <w:rPr>
          <w:rFonts w:asciiTheme="minorHAnsi" w:eastAsiaTheme="minorEastAsia" w:hAnsiTheme="minorHAnsi" w:cstheme="minorHAnsi"/>
          <w:kern w:val="24"/>
        </w:rPr>
        <w:t>1:</w:t>
      </w:r>
      <w:r w:rsidR="008237DB">
        <w:rPr>
          <w:rFonts w:asciiTheme="minorHAnsi" w:eastAsiaTheme="minorEastAsia" w:hAnsiTheme="minorHAnsi" w:cstheme="minorHAnsi"/>
          <w:kern w:val="24"/>
        </w:rPr>
        <w:tab/>
      </w:r>
      <w:r w:rsidRPr="002906A0">
        <w:rPr>
          <w:rFonts w:asciiTheme="minorHAnsi" w:eastAsiaTheme="minorEastAsia" w:hAnsiTheme="minorHAnsi" w:cstheme="minorHAnsi"/>
          <w:kern w:val="24"/>
        </w:rPr>
        <w:t xml:space="preserve">Vyhodnocení odpovědí na otázky č. </w:t>
      </w:r>
      <w:r>
        <w:rPr>
          <w:rFonts w:asciiTheme="minorHAnsi" w:eastAsiaTheme="minorEastAsia" w:hAnsiTheme="minorHAnsi" w:cstheme="minorHAnsi"/>
          <w:kern w:val="24"/>
        </w:rPr>
        <w:t>20</w:t>
      </w:r>
      <w:r w:rsidRPr="002906A0">
        <w:rPr>
          <w:rFonts w:asciiTheme="minorHAnsi" w:eastAsiaTheme="minorEastAsia" w:hAnsiTheme="minorHAnsi" w:cstheme="minorHAnsi"/>
          <w:kern w:val="24"/>
        </w:rPr>
        <w:t xml:space="preserve"> a </w:t>
      </w:r>
      <w:r>
        <w:rPr>
          <w:rFonts w:asciiTheme="minorHAnsi" w:eastAsiaTheme="minorEastAsia" w:hAnsiTheme="minorHAnsi" w:cstheme="minorHAnsi"/>
          <w:kern w:val="24"/>
        </w:rPr>
        <w:t>22</w:t>
      </w:r>
      <w:r w:rsidRPr="002906A0">
        <w:rPr>
          <w:rFonts w:asciiTheme="minorHAnsi" w:eastAsiaTheme="minorEastAsia" w:hAnsiTheme="minorHAnsi" w:cstheme="minorHAnsi"/>
          <w:kern w:val="24"/>
        </w:rPr>
        <w:t xml:space="preserve">: </w:t>
      </w:r>
      <w:r w:rsidRPr="002906A0">
        <w:rPr>
          <w:rFonts w:asciiTheme="minorHAnsi" w:eastAsiaTheme="minorEastAsia" w:hAnsiTheme="minorHAnsi" w:cstheme="minorHAnsi"/>
          <w:i/>
          <w:kern w:val="24"/>
        </w:rPr>
        <w:t>„Jaké je skutečné převažující nejvyšší dosažené vzdělání asistentů pedagoga ve Vaší škole v aktuálním školním roce 2019/2020?</w:t>
      </w:r>
      <w:r>
        <w:rPr>
          <w:rFonts w:asciiTheme="minorHAnsi" w:eastAsiaTheme="minorEastAsia" w:hAnsiTheme="minorHAnsi" w:cstheme="minorHAnsi"/>
          <w:i/>
          <w:kern w:val="24"/>
        </w:rPr>
        <w:t xml:space="preserve">“ </w:t>
      </w:r>
      <w:r w:rsidR="00D84024">
        <w:rPr>
          <w:rFonts w:asciiTheme="minorHAnsi" w:eastAsiaTheme="minorEastAsia" w:hAnsiTheme="minorHAnsi" w:cstheme="minorHAnsi"/>
          <w:kern w:val="24"/>
        </w:rPr>
        <w:t>a</w:t>
      </w:r>
      <w:r w:rsidR="005E0801">
        <w:rPr>
          <w:rFonts w:asciiTheme="minorHAnsi" w:eastAsiaTheme="minorEastAsia" w:hAnsiTheme="minorHAnsi" w:cstheme="minorHAnsi"/>
          <w:kern w:val="24"/>
        </w:rPr>
        <w:t xml:space="preserve"> </w:t>
      </w:r>
      <w:r w:rsidRPr="002906A0">
        <w:rPr>
          <w:rFonts w:asciiTheme="minorHAnsi" w:eastAsiaTheme="minorEastAsia" w:hAnsiTheme="minorHAnsi" w:cstheme="minorHAnsi"/>
          <w:i/>
          <w:kern w:val="24"/>
        </w:rPr>
        <w:t>„</w:t>
      </w:r>
      <w:r w:rsidR="004551EF">
        <w:rPr>
          <w:rFonts w:asciiTheme="minorHAnsi" w:eastAsiaTheme="minorEastAsia" w:hAnsiTheme="minorHAnsi" w:cstheme="minorHAnsi"/>
          <w:i/>
          <w:kern w:val="24"/>
        </w:rPr>
        <w:t>Uveďte minimální očekávanou kvalifikaci asistenta pedagoga (nejvyšší dosažené vzdělání</w:t>
      </w:r>
      <w:r w:rsidRPr="002906A0">
        <w:rPr>
          <w:rFonts w:asciiTheme="minorHAnsi" w:eastAsiaTheme="minorEastAsia" w:hAnsiTheme="minorHAnsi" w:cstheme="minorHAnsi"/>
          <w:i/>
          <w:kern w:val="24"/>
        </w:rPr>
        <w:t>)</w:t>
      </w:r>
      <w:r w:rsidR="00D84024">
        <w:rPr>
          <w:rFonts w:asciiTheme="minorHAnsi" w:eastAsiaTheme="minorEastAsia" w:hAnsiTheme="minorHAnsi" w:cstheme="minorHAnsi"/>
          <w:i/>
          <w:kern w:val="24"/>
        </w:rPr>
        <w:t> – </w:t>
      </w:r>
      <w:r w:rsidR="004551EF">
        <w:rPr>
          <w:rFonts w:asciiTheme="minorHAnsi" w:eastAsiaTheme="minorEastAsia" w:hAnsiTheme="minorHAnsi" w:cstheme="minorHAnsi"/>
          <w:i/>
          <w:kern w:val="24"/>
        </w:rPr>
        <w:t>jaká jsou Vaše očekávání?</w:t>
      </w:r>
      <w:r w:rsidRPr="002906A0">
        <w:rPr>
          <w:rFonts w:asciiTheme="minorHAnsi" w:eastAsiaTheme="minorEastAsia" w:hAnsiTheme="minorHAnsi" w:cstheme="minorHAnsi"/>
          <w:i/>
          <w:kern w:val="24"/>
        </w:rPr>
        <w:t>“</w:t>
      </w:r>
    </w:p>
    <w:p w14:paraId="4673A319" w14:textId="188478AB" w:rsidR="008C67BA" w:rsidRDefault="00D17CAE" w:rsidP="008237DB">
      <w:pPr>
        <w:pStyle w:val="Normlnweb"/>
        <w:keepNext/>
        <w:keepLines/>
        <w:spacing w:before="0" w:beforeAutospacing="0" w:after="120" w:afterAutospacing="0"/>
        <w:ind w:left="993" w:hanging="993"/>
        <w:rPr>
          <w:rFonts w:asciiTheme="minorHAnsi" w:eastAsiaTheme="minorEastAsia" w:hAnsiTheme="minorHAnsi" w:cstheme="minorHAnsi"/>
          <w:i/>
          <w:kern w:val="24"/>
        </w:rPr>
      </w:pPr>
      <w:r>
        <w:rPr>
          <w:rFonts w:asciiTheme="minorHAnsi" w:eastAsiaTheme="minorEastAsia" w:hAnsiTheme="minorHAnsi" w:cstheme="minorHAnsi"/>
          <w:i/>
          <w:noProof/>
          <w:kern w:val="24"/>
        </w:rPr>
        <w:drawing>
          <wp:inline distT="0" distB="0" distL="0" distR="0" wp14:anchorId="74E8B7E2" wp14:editId="01973BA3">
            <wp:extent cx="5686425" cy="185240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92" cy="186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3DF18" w14:textId="6C6D4265" w:rsidR="00795FB0" w:rsidRDefault="00987B74" w:rsidP="00280839">
      <w:pPr>
        <w:widowControl w:val="0"/>
        <w:ind w:left="709" w:hanging="709"/>
        <w:rPr>
          <w:sz w:val="20"/>
          <w:szCs w:val="20"/>
        </w:rPr>
      </w:pPr>
      <w:r w:rsidRPr="00C2790B">
        <w:rPr>
          <w:b/>
          <w:sz w:val="20"/>
          <w:szCs w:val="20"/>
        </w:rPr>
        <w:t>Zdroj:</w:t>
      </w:r>
      <w:r w:rsidR="00241148">
        <w:rPr>
          <w:sz w:val="20"/>
          <w:szCs w:val="20"/>
        </w:rPr>
        <w:t xml:space="preserve"> </w:t>
      </w:r>
      <w:r w:rsidR="00D61E7C">
        <w:rPr>
          <w:sz w:val="20"/>
          <w:szCs w:val="20"/>
        </w:rPr>
        <w:t>d</w:t>
      </w:r>
      <w:r w:rsidR="00795FB0" w:rsidRPr="00B1568C">
        <w:rPr>
          <w:sz w:val="20"/>
          <w:szCs w:val="20"/>
        </w:rPr>
        <w:t>otazníkové šetření NKÚ</w:t>
      </w:r>
      <w:r w:rsidR="00D61E7C">
        <w:rPr>
          <w:sz w:val="20"/>
          <w:szCs w:val="20"/>
        </w:rPr>
        <w:t xml:space="preserve">. </w:t>
      </w:r>
    </w:p>
    <w:p w14:paraId="4ED94BE4" w14:textId="36E3CCE1" w:rsidR="004551EF" w:rsidRDefault="001B040B" w:rsidP="00280839">
      <w:pPr>
        <w:pStyle w:val="Normlnweb"/>
        <w:widowControl w:val="0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 xml:space="preserve">Dosažená úroveň vzdělání AP je v jednotlivých krajích odlišná. </w:t>
      </w:r>
      <w:r w:rsidR="004551EF">
        <w:rPr>
          <w:rFonts w:asciiTheme="minorHAnsi" w:eastAsiaTheme="minorEastAsia" w:hAnsiTheme="minorHAnsi" w:cstheme="minorHAnsi"/>
          <w:kern w:val="24"/>
        </w:rPr>
        <w:t>Nejméně vysokoškolsky vzdělaných asisten</w:t>
      </w:r>
      <w:r w:rsidR="00294E99">
        <w:rPr>
          <w:rFonts w:asciiTheme="minorHAnsi" w:eastAsiaTheme="minorEastAsia" w:hAnsiTheme="minorHAnsi" w:cstheme="minorHAnsi"/>
          <w:kern w:val="24"/>
        </w:rPr>
        <w:t>t</w:t>
      </w:r>
      <w:r w:rsidR="004551EF">
        <w:rPr>
          <w:rFonts w:asciiTheme="minorHAnsi" w:eastAsiaTheme="minorEastAsia" w:hAnsiTheme="minorHAnsi" w:cstheme="minorHAnsi"/>
          <w:kern w:val="24"/>
        </w:rPr>
        <w:t xml:space="preserve">ů pedagoga je v Karlovarském </w:t>
      </w:r>
      <w:r>
        <w:rPr>
          <w:rFonts w:asciiTheme="minorHAnsi" w:eastAsiaTheme="minorEastAsia" w:hAnsiTheme="minorHAnsi" w:cstheme="minorHAnsi"/>
          <w:kern w:val="24"/>
        </w:rPr>
        <w:t>kraji</w:t>
      </w:r>
      <w:r w:rsidR="00F62121">
        <w:rPr>
          <w:rFonts w:asciiTheme="minorHAnsi" w:eastAsiaTheme="minorEastAsia" w:hAnsiTheme="minorHAnsi" w:cstheme="minorHAnsi"/>
          <w:kern w:val="24"/>
        </w:rPr>
        <w:t xml:space="preserve"> (jed</w:t>
      </w:r>
      <w:r w:rsidR="004D2A6A">
        <w:rPr>
          <w:rFonts w:asciiTheme="minorHAnsi" w:eastAsiaTheme="minorEastAsia" w:hAnsiTheme="minorHAnsi" w:cstheme="minorHAnsi"/>
          <w:kern w:val="24"/>
        </w:rPr>
        <w:t xml:space="preserve">iný </w:t>
      </w:r>
      <w:r w:rsidR="00CD6E2F">
        <w:rPr>
          <w:rFonts w:asciiTheme="minorHAnsi" w:eastAsiaTheme="minorEastAsia" w:hAnsiTheme="minorHAnsi" w:cstheme="minorHAnsi"/>
          <w:kern w:val="24"/>
        </w:rPr>
        <w:t>asistent pedagoga</w:t>
      </w:r>
      <w:r w:rsidR="00F62121">
        <w:rPr>
          <w:rFonts w:asciiTheme="minorHAnsi" w:eastAsiaTheme="minorEastAsia" w:hAnsiTheme="minorHAnsi" w:cstheme="minorHAnsi"/>
          <w:kern w:val="24"/>
        </w:rPr>
        <w:t>)</w:t>
      </w:r>
      <w:r w:rsidR="00E35E01">
        <w:rPr>
          <w:rFonts w:asciiTheme="minorHAnsi" w:eastAsiaTheme="minorEastAsia" w:hAnsiTheme="minorHAnsi" w:cstheme="minorHAnsi"/>
          <w:kern w:val="24"/>
        </w:rPr>
        <w:t>, d</w:t>
      </w:r>
      <w:r>
        <w:rPr>
          <w:rFonts w:asciiTheme="minorHAnsi" w:eastAsiaTheme="minorEastAsia" w:hAnsiTheme="minorHAnsi" w:cstheme="minorHAnsi"/>
          <w:kern w:val="24"/>
        </w:rPr>
        <w:t>ále v krajích Pardubickém, Plzeňském a v Kraji Vysočina. Neuspokojivá situace v oblasti kvalifikace</w:t>
      </w:r>
      <w:r w:rsidR="00CD6E2F">
        <w:rPr>
          <w:rFonts w:asciiTheme="minorHAnsi" w:eastAsiaTheme="minorEastAsia" w:hAnsiTheme="minorHAnsi" w:cstheme="minorHAnsi"/>
          <w:kern w:val="24"/>
        </w:rPr>
        <w:t xml:space="preserve"> asistentů pedagoga</w:t>
      </w:r>
      <w:r>
        <w:rPr>
          <w:rFonts w:asciiTheme="minorHAnsi" w:eastAsiaTheme="minorEastAsia" w:hAnsiTheme="minorHAnsi" w:cstheme="minorHAnsi"/>
          <w:kern w:val="24"/>
        </w:rPr>
        <w:t xml:space="preserve"> však panuje ve všech regionech.</w:t>
      </w:r>
      <w:r w:rsidR="004551EF" w:rsidRPr="00B00A3C">
        <w:rPr>
          <w:rFonts w:asciiTheme="minorHAnsi" w:eastAsiaTheme="minorEastAsia" w:hAnsiTheme="minorHAnsi" w:cstheme="minorHAnsi"/>
          <w:kern w:val="24"/>
          <w:vertAlign w:val="superscript"/>
        </w:rPr>
        <w:footnoteReference w:id="57"/>
      </w:r>
    </w:p>
    <w:p w14:paraId="12BDE689" w14:textId="6D77131B" w:rsidR="002906A0" w:rsidRDefault="002906A0" w:rsidP="002906A0">
      <w:pPr>
        <w:rPr>
          <w:noProof/>
        </w:rPr>
      </w:pPr>
      <w:r>
        <w:rPr>
          <w:noProof/>
        </w:rPr>
        <w:t xml:space="preserve">Z výsledků dotazníkového šetření dále vyplynulo, že </w:t>
      </w:r>
      <w:r w:rsidRPr="002906A0">
        <w:rPr>
          <w:b/>
          <w:noProof/>
        </w:rPr>
        <w:t xml:space="preserve">školy </w:t>
      </w:r>
      <w:r w:rsidR="001B040B">
        <w:rPr>
          <w:b/>
          <w:noProof/>
        </w:rPr>
        <w:t xml:space="preserve">by </w:t>
      </w:r>
      <w:r w:rsidRPr="002906A0">
        <w:rPr>
          <w:b/>
          <w:noProof/>
        </w:rPr>
        <w:t xml:space="preserve">nejvíce </w:t>
      </w:r>
      <w:r w:rsidR="00E253EA">
        <w:rPr>
          <w:b/>
          <w:noProof/>
        </w:rPr>
        <w:t>finančně ohodnotily</w:t>
      </w:r>
      <w:r w:rsidR="001B040B">
        <w:rPr>
          <w:b/>
          <w:noProof/>
        </w:rPr>
        <w:t xml:space="preserve"> </w:t>
      </w:r>
      <w:r w:rsidRPr="002906A0">
        <w:rPr>
          <w:b/>
          <w:noProof/>
        </w:rPr>
        <w:t>práci asistentů pedagoga</w:t>
      </w:r>
      <w:r w:rsidR="001B040B">
        <w:rPr>
          <w:b/>
          <w:noProof/>
        </w:rPr>
        <w:t>, kteří pracují s</w:t>
      </w:r>
      <w:r w:rsidRPr="002906A0">
        <w:rPr>
          <w:b/>
          <w:noProof/>
        </w:rPr>
        <w:t xml:space="preserve"> žáky s poruchami chování</w:t>
      </w:r>
      <w:r w:rsidR="001B040B">
        <w:rPr>
          <w:noProof/>
        </w:rPr>
        <w:t>;</w:t>
      </w:r>
      <w:r w:rsidRPr="002906A0">
        <w:rPr>
          <w:b/>
          <w:noProof/>
        </w:rPr>
        <w:t xml:space="preserve"> </w:t>
      </w:r>
      <w:r>
        <w:rPr>
          <w:noProof/>
        </w:rPr>
        <w:t xml:space="preserve">nejméně je </w:t>
      </w:r>
      <w:r w:rsidR="001B040B">
        <w:rPr>
          <w:noProof/>
        </w:rPr>
        <w:t xml:space="preserve">ceněna </w:t>
      </w:r>
      <w:r>
        <w:rPr>
          <w:noProof/>
        </w:rPr>
        <w:t xml:space="preserve">práce asistentů pedagoga </w:t>
      </w:r>
      <w:r w:rsidR="00CE1221">
        <w:rPr>
          <w:noProof/>
        </w:rPr>
        <w:t>pomáhajících</w:t>
      </w:r>
      <w:r>
        <w:rPr>
          <w:noProof/>
        </w:rPr>
        <w:t xml:space="preserve"> žák</w:t>
      </w:r>
      <w:r w:rsidR="00CE1221">
        <w:rPr>
          <w:noProof/>
        </w:rPr>
        <w:t>ům</w:t>
      </w:r>
      <w:r>
        <w:rPr>
          <w:noProof/>
        </w:rPr>
        <w:t xml:space="preserve"> sociálně znevýhodněným.</w:t>
      </w:r>
    </w:p>
    <w:p w14:paraId="52B64D8E" w14:textId="1C4234D9" w:rsidR="00BF66F7" w:rsidRDefault="00F94466" w:rsidP="008237DB">
      <w:pPr>
        <w:keepNext/>
        <w:spacing w:after="0"/>
        <w:ind w:left="993" w:hanging="993"/>
      </w:pPr>
      <w:r>
        <w:t xml:space="preserve">Graf č. </w:t>
      </w:r>
      <w:r w:rsidR="008237DB">
        <w:t>2</w:t>
      </w:r>
      <w:r>
        <w:t>:</w:t>
      </w:r>
      <w:r w:rsidR="008237DB">
        <w:tab/>
      </w:r>
      <w:r>
        <w:t>Vyhodnocení odpovědí na otázk</w:t>
      </w:r>
      <w:r w:rsidR="00B70BDE">
        <w:t>y</w:t>
      </w:r>
      <w:r w:rsidR="000D0B7B">
        <w:t xml:space="preserve"> č. 15</w:t>
      </w:r>
      <w:r w:rsidR="00B70BDE">
        <w:t xml:space="preserve"> a 16</w:t>
      </w:r>
      <w:r>
        <w:t xml:space="preserve">: </w:t>
      </w:r>
      <w:r w:rsidRPr="00CF0F62">
        <w:t>„</w:t>
      </w:r>
      <w:r w:rsidRPr="001B6267">
        <w:rPr>
          <w:i/>
        </w:rPr>
        <w:t>Zohled</w:t>
      </w:r>
      <w:r>
        <w:rPr>
          <w:i/>
        </w:rPr>
        <w:t>ňujete při reálném finančním ohodnocení asistenta pedagoga rozdílnou náročnost práce</w:t>
      </w:r>
      <w:r w:rsidR="00CE1221">
        <w:rPr>
          <w:i/>
        </w:rPr>
        <w:t>…?</w:t>
      </w:r>
      <w:r w:rsidRPr="00CF0F62">
        <w:t>“</w:t>
      </w:r>
      <w:r>
        <w:rPr>
          <w:i/>
        </w:rPr>
        <w:t xml:space="preserve"> </w:t>
      </w:r>
      <w:r>
        <w:t xml:space="preserve">a </w:t>
      </w:r>
      <w:r w:rsidR="008237DB" w:rsidRPr="00CF0F62">
        <w:t>„</w:t>
      </w:r>
      <w:r w:rsidR="008237DB">
        <w:rPr>
          <w:i/>
        </w:rPr>
        <w:t>Která oblast by ve</w:t>
      </w:r>
      <w:r w:rsidR="005337D4">
        <w:rPr>
          <w:i/>
        </w:rPr>
        <w:t xml:space="preserve"> </w:t>
      </w:r>
      <w:r>
        <w:rPr>
          <w:i/>
        </w:rPr>
        <w:t>srovnání s ostatními vyžadovala zvýšené finanční oh</w:t>
      </w:r>
      <w:r w:rsidR="00D84024">
        <w:rPr>
          <w:i/>
        </w:rPr>
        <w:t xml:space="preserve">odnocení (asistent pedagoga pro </w:t>
      </w:r>
      <w:r>
        <w:rPr>
          <w:i/>
        </w:rPr>
        <w:t>... )</w:t>
      </w:r>
      <w:r w:rsidR="00CE1221">
        <w:rPr>
          <w:i/>
        </w:rPr>
        <w:t>?</w:t>
      </w:r>
      <w:r w:rsidRPr="00CF0F62">
        <w:t>“</w:t>
      </w:r>
    </w:p>
    <w:p w14:paraId="1A34713B" w14:textId="036B4389" w:rsidR="0077386B" w:rsidRDefault="0077386B" w:rsidP="00B00B88">
      <w:pPr>
        <w:keepNext/>
        <w:spacing w:after="0"/>
        <w:ind w:left="993" w:hanging="709"/>
      </w:pPr>
      <w:r>
        <w:rPr>
          <w:noProof/>
        </w:rPr>
        <w:drawing>
          <wp:inline distT="0" distB="0" distL="0" distR="0" wp14:anchorId="6B80E742" wp14:editId="26DC2CDC">
            <wp:extent cx="5122800" cy="2649600"/>
            <wp:effectExtent l="0" t="0" r="190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6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FA92" w14:textId="4FFA1611" w:rsidR="00F94466" w:rsidRPr="008237DB" w:rsidRDefault="00987B74" w:rsidP="008237DB">
      <w:pPr>
        <w:widowControl w:val="0"/>
        <w:ind w:left="709" w:hanging="709"/>
        <w:rPr>
          <w:sz w:val="20"/>
          <w:szCs w:val="20"/>
        </w:rPr>
      </w:pPr>
      <w:r w:rsidRPr="00C2790B">
        <w:rPr>
          <w:b/>
          <w:sz w:val="20"/>
          <w:szCs w:val="20"/>
        </w:rPr>
        <w:t>Zdroj:</w:t>
      </w:r>
      <w:r w:rsidR="00241148">
        <w:rPr>
          <w:b/>
          <w:sz w:val="20"/>
          <w:szCs w:val="20"/>
        </w:rPr>
        <w:t xml:space="preserve"> </w:t>
      </w:r>
      <w:r w:rsidR="00D61E7C">
        <w:rPr>
          <w:sz w:val="20"/>
          <w:szCs w:val="20"/>
        </w:rPr>
        <w:t>d</w:t>
      </w:r>
      <w:r w:rsidR="00F94466" w:rsidRPr="00B1568C">
        <w:rPr>
          <w:sz w:val="20"/>
          <w:szCs w:val="20"/>
        </w:rPr>
        <w:t>otazníkové šetření NKÚ</w:t>
      </w:r>
      <w:r w:rsidR="002F07EF">
        <w:rPr>
          <w:sz w:val="20"/>
          <w:szCs w:val="20"/>
        </w:rPr>
        <w:t xml:space="preserve">. </w:t>
      </w:r>
    </w:p>
    <w:p w14:paraId="776F234E" w14:textId="18EB07D2" w:rsidR="00780B4A" w:rsidRPr="00C13001" w:rsidRDefault="00FD5AA7" w:rsidP="00B00B88">
      <w:pPr>
        <w:pStyle w:val="Nadpis2"/>
        <w:spacing w:before="240"/>
      </w:pPr>
      <w:proofErr w:type="gramStart"/>
      <w:r w:rsidRPr="00D84024">
        <w:rPr>
          <w:u w:val="none"/>
        </w:rPr>
        <w:lastRenderedPageBreak/>
        <w:t xml:space="preserve">IV.2 </w:t>
      </w:r>
      <w:r w:rsidR="00D84024" w:rsidRPr="00D84024">
        <w:rPr>
          <w:u w:val="none"/>
        </w:rPr>
        <w:tab/>
      </w:r>
      <w:r w:rsidR="00D92A68">
        <w:t>Použití</w:t>
      </w:r>
      <w:proofErr w:type="gramEnd"/>
      <w:r w:rsidR="00D92A68">
        <w:t xml:space="preserve"> </w:t>
      </w:r>
      <w:r w:rsidR="00CD2800" w:rsidRPr="00C13001">
        <w:t xml:space="preserve">peněžních prostředků určených na podporu </w:t>
      </w:r>
      <w:r w:rsidR="00BF7879" w:rsidRPr="00C13001">
        <w:t>společného vzdělávání žáků</w:t>
      </w:r>
      <w:r w:rsidR="00D92A68">
        <w:t xml:space="preserve"> </w:t>
      </w:r>
    </w:p>
    <w:p w14:paraId="1209DD62" w14:textId="667DBC76" w:rsidR="00DF7A67" w:rsidRDefault="00F62121" w:rsidP="00256086">
      <w:pPr>
        <w:contextualSpacing/>
        <w:rPr>
          <w:rFonts w:eastAsiaTheme="minorEastAsia" w:cstheme="minorHAnsi"/>
          <w:kern w:val="24"/>
        </w:rPr>
      </w:pPr>
      <w:r>
        <w:rPr>
          <w:rFonts w:eastAsiaTheme="minorEastAsia" w:cstheme="minorHAnsi"/>
          <w:kern w:val="24"/>
        </w:rPr>
        <w:t xml:space="preserve">NKÚ prověřil </w:t>
      </w:r>
      <w:r w:rsidR="002A5EF9">
        <w:rPr>
          <w:rFonts w:eastAsiaTheme="minorEastAsia" w:cstheme="minorHAnsi"/>
          <w:kern w:val="24"/>
        </w:rPr>
        <w:t xml:space="preserve">z hlediska </w:t>
      </w:r>
      <w:r>
        <w:rPr>
          <w:rFonts w:eastAsiaTheme="minorEastAsia" w:cstheme="minorHAnsi"/>
          <w:kern w:val="24"/>
        </w:rPr>
        <w:t>účelnost</w:t>
      </w:r>
      <w:r w:rsidR="002A5EF9">
        <w:rPr>
          <w:rFonts w:eastAsiaTheme="minorEastAsia" w:cstheme="minorHAnsi"/>
          <w:kern w:val="24"/>
        </w:rPr>
        <w:t>i</w:t>
      </w:r>
      <w:r>
        <w:rPr>
          <w:rFonts w:eastAsiaTheme="minorEastAsia" w:cstheme="minorHAnsi"/>
          <w:kern w:val="24"/>
        </w:rPr>
        <w:t xml:space="preserve"> a hospodárnost</w:t>
      </w:r>
      <w:r w:rsidR="002A5EF9">
        <w:rPr>
          <w:rFonts w:eastAsiaTheme="minorEastAsia" w:cstheme="minorHAnsi"/>
          <w:kern w:val="24"/>
        </w:rPr>
        <w:t>i</w:t>
      </w:r>
      <w:r>
        <w:rPr>
          <w:rFonts w:eastAsiaTheme="minorEastAsia" w:cstheme="minorHAnsi"/>
          <w:kern w:val="24"/>
        </w:rPr>
        <w:t xml:space="preserve"> vynaložených prostředků </w:t>
      </w:r>
      <w:r w:rsidR="002A5EF9">
        <w:rPr>
          <w:rFonts w:eastAsiaTheme="minorEastAsia" w:cstheme="minorHAnsi"/>
          <w:kern w:val="24"/>
        </w:rPr>
        <w:t xml:space="preserve">oblast naplňování cílů projektů, oblast realizace klíčových aktivit, </w:t>
      </w:r>
      <w:r w:rsidR="00AC5F11">
        <w:rPr>
          <w:rFonts w:eastAsiaTheme="minorEastAsia" w:cstheme="minorHAnsi"/>
          <w:kern w:val="24"/>
        </w:rPr>
        <w:t xml:space="preserve">oblast </w:t>
      </w:r>
      <w:r w:rsidR="002A5EF9">
        <w:rPr>
          <w:rFonts w:eastAsiaTheme="minorEastAsia" w:cstheme="minorHAnsi"/>
          <w:kern w:val="24"/>
        </w:rPr>
        <w:t>práce s cílový</w:t>
      </w:r>
      <w:r w:rsidR="008237DB">
        <w:rPr>
          <w:rFonts w:eastAsiaTheme="minorEastAsia" w:cstheme="minorHAnsi"/>
          <w:kern w:val="24"/>
        </w:rPr>
        <w:t>mi skupinami (projekty OP </w:t>
      </w:r>
      <w:r w:rsidR="00D84024">
        <w:rPr>
          <w:rFonts w:eastAsiaTheme="minorEastAsia" w:cstheme="minorHAnsi"/>
          <w:kern w:val="24"/>
        </w:rPr>
        <w:t>VVV a </w:t>
      </w:r>
      <w:r w:rsidR="002A5EF9">
        <w:rPr>
          <w:rFonts w:eastAsiaTheme="minorEastAsia" w:cstheme="minorHAnsi"/>
          <w:kern w:val="24"/>
        </w:rPr>
        <w:t>OP PPR), oblast zadávání veřejných zakázek a způsobilost výdajů.</w:t>
      </w:r>
    </w:p>
    <w:p w14:paraId="64A38861" w14:textId="0A450C73" w:rsidR="00F62121" w:rsidRPr="00F62121" w:rsidRDefault="00F62121" w:rsidP="00886332">
      <w:pPr>
        <w:spacing w:after="0"/>
        <w:contextualSpacing/>
        <w:rPr>
          <w:rFonts w:eastAsiaTheme="minorEastAsia" w:cstheme="minorHAnsi"/>
          <w:kern w:val="24"/>
        </w:rPr>
      </w:pPr>
    </w:p>
    <w:p w14:paraId="275723E8" w14:textId="644950DF" w:rsidR="00FD5AA7" w:rsidRPr="005C3593" w:rsidRDefault="00FD5AA7" w:rsidP="00136EF9">
      <w:pPr>
        <w:pStyle w:val="Nadpis3"/>
      </w:pPr>
      <w:proofErr w:type="gramStart"/>
      <w:r w:rsidRPr="000143BC">
        <w:t>IV.2.1</w:t>
      </w:r>
      <w:proofErr w:type="gramEnd"/>
      <w:r w:rsidRPr="000143BC">
        <w:t xml:space="preserve"> </w:t>
      </w:r>
      <w:r w:rsidR="00BF6854" w:rsidRPr="000143BC">
        <w:t>Projekty OP VVV</w:t>
      </w:r>
      <w:r w:rsidR="00C353A3" w:rsidRPr="000143BC">
        <w:t xml:space="preserve"> nemají vhodně nastavené cíle</w:t>
      </w:r>
    </w:p>
    <w:p w14:paraId="55094216" w14:textId="42B2D145" w:rsidR="003E0F3C" w:rsidRPr="00DA1B53" w:rsidRDefault="002C167B" w:rsidP="00987B74">
      <w:pPr>
        <w:pStyle w:val="Nadpis4"/>
      </w:pPr>
      <w:proofErr w:type="gramStart"/>
      <w:r w:rsidRPr="00DA1B53">
        <w:t>IV.2</w:t>
      </w:r>
      <w:r w:rsidR="003E0F3C" w:rsidRPr="00DA1B53">
        <w:t>.1.1</w:t>
      </w:r>
      <w:proofErr w:type="gramEnd"/>
      <w:r w:rsidR="003E0F3C" w:rsidRPr="00DA1B53">
        <w:t xml:space="preserve"> </w:t>
      </w:r>
      <w:r w:rsidR="00A525C3" w:rsidRPr="00DA1B53">
        <w:t>Individuální projekty systémové</w:t>
      </w:r>
    </w:p>
    <w:p w14:paraId="418F28AB" w14:textId="49D31262" w:rsidR="00012FA7" w:rsidRDefault="00602616" w:rsidP="00012FA7">
      <w:pPr>
        <w:rPr>
          <w:rFonts w:cstheme="minorHAnsi"/>
        </w:rPr>
      </w:pPr>
      <w:r w:rsidRPr="00012FA7">
        <w:t>MŠMT na podporu inkluz</w:t>
      </w:r>
      <w:r w:rsidR="001F6057" w:rsidRPr="00012FA7">
        <w:t>i</w:t>
      </w:r>
      <w:r w:rsidRPr="00012FA7">
        <w:t xml:space="preserve">vního vzdělávání realizuje </w:t>
      </w:r>
      <w:r w:rsidR="00012FA7" w:rsidRPr="00012FA7">
        <w:t xml:space="preserve">několik </w:t>
      </w:r>
      <w:r w:rsidR="004D2011" w:rsidRPr="00012FA7">
        <w:t xml:space="preserve">tzv. </w:t>
      </w:r>
      <w:r w:rsidRPr="00012FA7">
        <w:t>„in</w:t>
      </w:r>
      <w:r w:rsidR="004D2011" w:rsidRPr="00012FA7">
        <w:t>dividuální</w:t>
      </w:r>
      <w:r w:rsidR="00012FA7" w:rsidRPr="00012FA7">
        <w:t>ch</w:t>
      </w:r>
      <w:r w:rsidR="004D2011" w:rsidRPr="00012FA7">
        <w:t xml:space="preserve"> projekt</w:t>
      </w:r>
      <w:r w:rsidR="00012FA7" w:rsidRPr="00012FA7">
        <w:t>ů</w:t>
      </w:r>
      <w:r w:rsidR="004D2011" w:rsidRPr="00012FA7">
        <w:t xml:space="preserve"> systémov</w:t>
      </w:r>
      <w:r w:rsidR="00012FA7" w:rsidRPr="00012FA7">
        <w:t>ých“</w:t>
      </w:r>
      <w:r w:rsidR="00464280">
        <w:t>.</w:t>
      </w:r>
      <w:r w:rsidR="00012FA7" w:rsidRPr="00012FA7">
        <w:t xml:space="preserve"> </w:t>
      </w:r>
      <w:r w:rsidR="004A4436" w:rsidRPr="00012FA7">
        <w:t xml:space="preserve">Dosud </w:t>
      </w:r>
      <w:r w:rsidR="004D2011" w:rsidRPr="00012FA7">
        <w:t xml:space="preserve">byly vyhlášeny pro tento typ projektů tři samostatné výzvy. </w:t>
      </w:r>
      <w:r w:rsidR="00E9529E">
        <w:rPr>
          <w:rFonts w:cstheme="minorHAnsi"/>
        </w:rPr>
        <w:t xml:space="preserve">NKÚ prověřil čerpání prostředků </w:t>
      </w:r>
      <w:r w:rsidR="00E9529E" w:rsidRPr="00D56D0C">
        <w:rPr>
          <w:rFonts w:cstheme="minorHAnsi"/>
        </w:rPr>
        <w:t xml:space="preserve">u tří </w:t>
      </w:r>
      <w:r w:rsidR="00012FA7">
        <w:rPr>
          <w:rFonts w:cstheme="minorHAnsi"/>
        </w:rPr>
        <w:t xml:space="preserve">systémových </w:t>
      </w:r>
      <w:r w:rsidR="00E9529E" w:rsidRPr="00D56D0C">
        <w:rPr>
          <w:rFonts w:cstheme="minorHAnsi"/>
        </w:rPr>
        <w:t xml:space="preserve">projektů </w:t>
      </w:r>
      <w:r w:rsidR="00E9529E">
        <w:rPr>
          <w:rFonts w:cstheme="minorHAnsi"/>
        </w:rPr>
        <w:t>z výzev č. 02</w:t>
      </w:r>
      <w:r w:rsidR="00E9529E" w:rsidRPr="00C13001">
        <w:rPr>
          <w:rFonts w:cstheme="minorHAnsi"/>
        </w:rPr>
        <w:t>_15_00</w:t>
      </w:r>
      <w:r w:rsidR="00E9529E">
        <w:rPr>
          <w:rFonts w:cstheme="minorHAnsi"/>
        </w:rPr>
        <w:t xml:space="preserve">1 </w:t>
      </w:r>
      <w:r w:rsidR="0090335C">
        <w:rPr>
          <w:rFonts w:cstheme="minorHAnsi"/>
        </w:rPr>
        <w:t xml:space="preserve">a </w:t>
      </w:r>
      <w:r w:rsidR="00E9529E">
        <w:rPr>
          <w:rFonts w:cstheme="minorHAnsi"/>
        </w:rPr>
        <w:t>02</w:t>
      </w:r>
      <w:r w:rsidR="004F2695">
        <w:rPr>
          <w:rFonts w:cstheme="minorHAnsi"/>
        </w:rPr>
        <w:t>_</w:t>
      </w:r>
      <w:r w:rsidR="00E9529E">
        <w:rPr>
          <w:rFonts w:cstheme="minorHAnsi"/>
        </w:rPr>
        <w:t>16_020</w:t>
      </w:r>
      <w:r w:rsidR="00EC1A08">
        <w:rPr>
          <w:rFonts w:cstheme="minorHAnsi"/>
        </w:rPr>
        <w:t xml:space="preserve"> </w:t>
      </w:r>
      <w:r w:rsidR="00987B74">
        <w:rPr>
          <w:rFonts w:cstheme="minorHAnsi"/>
        </w:rPr>
        <w:t>(výzvy pro</w:t>
      </w:r>
      <w:r w:rsidR="003B553B">
        <w:rPr>
          <w:rFonts w:cstheme="minorHAnsi"/>
        </w:rPr>
        <w:t xml:space="preserve"> </w:t>
      </w:r>
      <w:r w:rsidR="00EC1A08" w:rsidRPr="00EC1A08">
        <w:rPr>
          <w:rFonts w:cstheme="minorHAnsi"/>
        </w:rPr>
        <w:t>individuální projekty systémové</w:t>
      </w:r>
      <w:r w:rsidR="0090335C">
        <w:rPr>
          <w:rFonts w:cstheme="minorHAnsi"/>
        </w:rPr>
        <w:t xml:space="preserve"> I. a </w:t>
      </w:r>
      <w:r w:rsidR="00EC1A08" w:rsidRPr="00EC1A08">
        <w:rPr>
          <w:rFonts w:cstheme="minorHAnsi"/>
        </w:rPr>
        <w:t>II</w:t>
      </w:r>
      <w:r w:rsidR="0090335C">
        <w:rPr>
          <w:rFonts w:cstheme="minorHAnsi"/>
        </w:rPr>
        <w:t>.).</w:t>
      </w:r>
    </w:p>
    <w:p w14:paraId="02CE9DF1" w14:textId="45A82E81" w:rsidR="00026B72" w:rsidRDefault="00026B72" w:rsidP="00026B72">
      <w:pPr>
        <w:spacing w:after="0"/>
        <w:rPr>
          <w:rFonts w:eastAsiaTheme="minorEastAsia" w:cstheme="minorHAnsi"/>
          <w:u w:val="single"/>
        </w:rPr>
      </w:pPr>
      <w:r w:rsidRPr="00E9529E">
        <w:rPr>
          <w:rFonts w:eastAsiaTheme="minorEastAsia" w:cstheme="minorHAnsi"/>
          <w:u w:val="single"/>
        </w:rPr>
        <w:t>Projekt</w:t>
      </w:r>
      <w:r w:rsidR="00415708">
        <w:rPr>
          <w:rFonts w:eastAsiaTheme="minorEastAsia" w:cstheme="minorHAnsi"/>
          <w:u w:val="single"/>
        </w:rPr>
        <w:t xml:space="preserve"> APIV A (</w:t>
      </w:r>
      <w:r w:rsidR="00CD2AEF">
        <w:rPr>
          <w:rFonts w:eastAsiaTheme="minorEastAsia" w:cstheme="minorHAnsi"/>
          <w:u w:val="single"/>
        </w:rPr>
        <w:t xml:space="preserve">projekt </w:t>
      </w:r>
      <w:r w:rsidR="0026709A" w:rsidRPr="00CF0F62">
        <w:rPr>
          <w:rFonts w:eastAsiaTheme="minorEastAsia" w:cstheme="minorHAnsi"/>
          <w:i/>
          <w:u w:val="single"/>
        </w:rPr>
        <w:t>Společné vzdělávání a podpora škol krok za krokem. Implementace Akčního plánu inkluzivního vzdělávání – metodická podpora</w:t>
      </w:r>
      <w:r w:rsidR="00415708">
        <w:rPr>
          <w:rFonts w:eastAsiaTheme="minorEastAsia" w:cstheme="minorHAnsi"/>
          <w:u w:val="single"/>
        </w:rPr>
        <w:t>)</w:t>
      </w:r>
    </w:p>
    <w:p w14:paraId="2A4AE412" w14:textId="7EB8E75F" w:rsidR="00F30A6D" w:rsidRPr="00BF52B4" w:rsidRDefault="00BF52B4" w:rsidP="00F30A6D">
      <w:pPr>
        <w:rPr>
          <w:rFonts w:cstheme="minorHAnsi"/>
        </w:rPr>
      </w:pPr>
      <w:r>
        <w:t>C</w:t>
      </w:r>
      <w:r w:rsidR="001F6057">
        <w:t>ílem projektu APIV A je podpořit zavádění a realizaci inkluz</w:t>
      </w:r>
      <w:r w:rsidR="002121BA">
        <w:t>i</w:t>
      </w:r>
      <w:r w:rsidR="001F6057">
        <w:t xml:space="preserve">vního vzdělávání a zajistit efektivní implementaci určených úkolů </w:t>
      </w:r>
      <w:r w:rsidR="001F6057" w:rsidRPr="008237DB">
        <w:rPr>
          <w:i/>
        </w:rPr>
        <w:t>Akčního plánu inkluz</w:t>
      </w:r>
      <w:r w:rsidR="002121BA">
        <w:rPr>
          <w:i/>
        </w:rPr>
        <w:t>i</w:t>
      </w:r>
      <w:r w:rsidR="001F6057" w:rsidRPr="008237DB">
        <w:rPr>
          <w:i/>
        </w:rPr>
        <w:t>vního vzdělávání</w:t>
      </w:r>
      <w:r w:rsidR="001F6057">
        <w:t xml:space="preserve"> na systémové úrovni</w:t>
      </w:r>
      <w:r w:rsidR="00045714">
        <w:t xml:space="preserve">. </w:t>
      </w:r>
      <w:r w:rsidR="0026709A" w:rsidRPr="00BF52B4">
        <w:rPr>
          <w:rFonts w:cstheme="minorHAnsi"/>
        </w:rPr>
        <w:t xml:space="preserve">Příjemce </w:t>
      </w:r>
      <w:r w:rsidR="0026709A" w:rsidRPr="00CF0F62">
        <w:rPr>
          <w:rFonts w:cstheme="minorHAnsi"/>
        </w:rPr>
        <w:t>Národní ústav</w:t>
      </w:r>
      <w:r w:rsidR="00F30A6D" w:rsidRPr="00CF0F62">
        <w:rPr>
          <w:rFonts w:cstheme="minorHAnsi"/>
        </w:rPr>
        <w:t xml:space="preserve"> pro </w:t>
      </w:r>
      <w:r w:rsidR="0026709A" w:rsidRPr="00CF0F62">
        <w:rPr>
          <w:rFonts w:cstheme="minorHAnsi"/>
        </w:rPr>
        <w:t>vzdělávání</w:t>
      </w:r>
      <w:r w:rsidR="0026709A" w:rsidRPr="00BF52B4">
        <w:rPr>
          <w:rFonts w:cstheme="minorHAnsi"/>
          <w:i/>
        </w:rPr>
        <w:t xml:space="preserve"> </w:t>
      </w:r>
      <w:r w:rsidR="0026709A" w:rsidRPr="00BF52B4">
        <w:rPr>
          <w:rFonts w:cstheme="minorHAnsi"/>
        </w:rPr>
        <w:t xml:space="preserve">realizuje projekt APIV A </w:t>
      </w:r>
      <w:r w:rsidR="008237DB">
        <w:rPr>
          <w:b/>
        </w:rPr>
        <w:t>od 1. 5. 2017 do</w:t>
      </w:r>
      <w:r w:rsidR="005E0801">
        <w:rPr>
          <w:b/>
        </w:rPr>
        <w:t xml:space="preserve"> </w:t>
      </w:r>
      <w:r w:rsidR="008237DB">
        <w:rPr>
          <w:b/>
        </w:rPr>
        <w:t>30. 4. </w:t>
      </w:r>
      <w:r w:rsidRPr="00BF52B4">
        <w:rPr>
          <w:b/>
        </w:rPr>
        <w:t xml:space="preserve">2022. </w:t>
      </w:r>
      <w:r w:rsidR="0026709A" w:rsidRPr="00BF52B4">
        <w:rPr>
          <w:rFonts w:cstheme="minorHAnsi"/>
          <w:b/>
        </w:rPr>
        <w:t xml:space="preserve">Schválená výše dotace tohoto </w:t>
      </w:r>
      <w:r w:rsidR="0026709A" w:rsidRPr="00D573D1">
        <w:rPr>
          <w:rFonts w:cstheme="minorHAnsi"/>
          <w:b/>
        </w:rPr>
        <w:t xml:space="preserve">projektu činí </w:t>
      </w:r>
      <w:r w:rsidR="00F30A6D" w:rsidRPr="00D573D1">
        <w:rPr>
          <w:rFonts w:cstheme="minorHAnsi"/>
          <w:b/>
        </w:rPr>
        <w:t>156</w:t>
      </w:r>
      <w:r w:rsidR="003C4130" w:rsidRPr="00D573D1">
        <w:rPr>
          <w:rFonts w:cstheme="minorHAnsi"/>
          <w:b/>
        </w:rPr>
        <w:t>,</w:t>
      </w:r>
      <w:r w:rsidR="00F30A6D" w:rsidRPr="00D573D1">
        <w:rPr>
          <w:rFonts w:cstheme="minorHAnsi"/>
          <w:b/>
        </w:rPr>
        <w:t>62</w:t>
      </w:r>
      <w:r w:rsidR="003C4130" w:rsidRPr="00D573D1">
        <w:rPr>
          <w:rFonts w:cstheme="minorHAnsi"/>
          <w:b/>
        </w:rPr>
        <w:t xml:space="preserve"> mil.</w:t>
      </w:r>
      <w:r w:rsidR="00F30A6D" w:rsidRPr="00D573D1">
        <w:rPr>
          <w:rFonts w:cstheme="minorHAnsi"/>
          <w:b/>
        </w:rPr>
        <w:t xml:space="preserve"> Kč.</w:t>
      </w:r>
      <w:r w:rsidR="00F30A6D" w:rsidRPr="00BF52B4">
        <w:rPr>
          <w:rFonts w:cstheme="minorHAnsi"/>
          <w:b/>
        </w:rPr>
        <w:t xml:space="preserve"> </w:t>
      </w:r>
    </w:p>
    <w:p w14:paraId="2F4DEB1C" w14:textId="6FA2005B" w:rsidR="00415708" w:rsidRPr="00BF52B4" w:rsidRDefault="00415708" w:rsidP="00415708">
      <w:pPr>
        <w:spacing w:after="0"/>
        <w:rPr>
          <w:rFonts w:eastAsiaTheme="minorEastAsia" w:cstheme="minorHAnsi"/>
          <w:b/>
          <w:u w:val="single"/>
        </w:rPr>
      </w:pPr>
      <w:r w:rsidRPr="00BF52B4">
        <w:rPr>
          <w:rFonts w:eastAsiaTheme="minorEastAsia" w:cstheme="minorHAnsi"/>
          <w:b/>
        </w:rPr>
        <w:t xml:space="preserve">Projekt APIV A má nedostatky v nastavení cílů: </w:t>
      </w:r>
    </w:p>
    <w:p w14:paraId="39DB7939" w14:textId="57FE3CA0" w:rsidR="004A4436" w:rsidRPr="00D26D28" w:rsidRDefault="00415708" w:rsidP="008E5EDF">
      <w:pPr>
        <w:pStyle w:val="Odstavecseseznamem"/>
        <w:numPr>
          <w:ilvl w:val="0"/>
          <w:numId w:val="13"/>
        </w:numPr>
        <w:spacing w:after="0"/>
        <w:ind w:left="851" w:hanging="284"/>
        <w:rPr>
          <w:rFonts w:cstheme="minorHAnsi"/>
          <w:b/>
        </w:rPr>
      </w:pPr>
      <w:r w:rsidRPr="00D26D28">
        <w:rPr>
          <w:rFonts w:cstheme="minorHAnsi"/>
        </w:rPr>
        <w:t>Obecný cíl „</w:t>
      </w:r>
      <w:r w:rsidR="00F30A6D" w:rsidRPr="00D26D28">
        <w:rPr>
          <w:rFonts w:cstheme="minorHAnsi"/>
          <w:i/>
        </w:rPr>
        <w:t>podpořit zavádění a realizaci společného vzdělávání a zajistit efektivní implementaci určených úkolů Akčního plánu inkluzivního vzdělávání“</w:t>
      </w:r>
      <w:r w:rsidRPr="00D26D28">
        <w:rPr>
          <w:rFonts w:cstheme="minorHAnsi"/>
          <w:i/>
        </w:rPr>
        <w:t xml:space="preserve"> </w:t>
      </w:r>
      <w:r w:rsidR="00F30A6D" w:rsidRPr="00D26D28">
        <w:rPr>
          <w:rFonts w:cstheme="minorHAnsi"/>
        </w:rPr>
        <w:t>je nastaven volně, nejsou v něm uvedeny specifické, konkrétní</w:t>
      </w:r>
      <w:r w:rsidR="001A5080">
        <w:rPr>
          <w:rFonts w:cstheme="minorHAnsi"/>
        </w:rPr>
        <w:t>,</w:t>
      </w:r>
      <w:r w:rsidR="00F30A6D" w:rsidRPr="00D26D28">
        <w:rPr>
          <w:rFonts w:cstheme="minorHAnsi"/>
        </w:rPr>
        <w:t xml:space="preserve"> měřitelné vlastnosti </w:t>
      </w:r>
      <w:r w:rsidR="001A5080">
        <w:rPr>
          <w:rFonts w:cstheme="minorHAnsi"/>
        </w:rPr>
        <w:t xml:space="preserve">ani </w:t>
      </w:r>
      <w:r w:rsidR="00F30A6D" w:rsidRPr="00D26D28">
        <w:rPr>
          <w:rFonts w:cstheme="minorHAnsi"/>
        </w:rPr>
        <w:t>požadavky na výstupy, přičemž jako obecný byl i nazván.</w:t>
      </w:r>
      <w:r w:rsidR="00F30A6D" w:rsidRPr="00D26D28">
        <w:rPr>
          <w:rFonts w:cstheme="minorHAnsi"/>
          <w:b/>
        </w:rPr>
        <w:t xml:space="preserve"> </w:t>
      </w:r>
    </w:p>
    <w:p w14:paraId="24EEF753" w14:textId="2F8C85C3" w:rsidR="00F30A6D" w:rsidRPr="00D26D28" w:rsidRDefault="00F30A6D" w:rsidP="008E5EDF">
      <w:pPr>
        <w:pStyle w:val="Odstavecseseznamem"/>
        <w:numPr>
          <w:ilvl w:val="0"/>
          <w:numId w:val="13"/>
        </w:numPr>
        <w:spacing w:after="0"/>
        <w:ind w:left="851" w:hanging="284"/>
        <w:rPr>
          <w:rFonts w:cstheme="minorHAnsi"/>
        </w:rPr>
      </w:pPr>
      <w:r w:rsidRPr="00D26D28">
        <w:rPr>
          <w:rFonts w:cstheme="minorHAnsi"/>
        </w:rPr>
        <w:t xml:space="preserve">Obecný cíl byl rozpracován do cílů dílčích a jejich podcílů, </w:t>
      </w:r>
      <w:r w:rsidR="00280839">
        <w:rPr>
          <w:rFonts w:cstheme="minorHAnsi"/>
        </w:rPr>
        <w:t xml:space="preserve">ani tyto cíle </w:t>
      </w:r>
      <w:r w:rsidRPr="00D26D28">
        <w:rPr>
          <w:rFonts w:cstheme="minorHAnsi"/>
        </w:rPr>
        <w:t>nevyhovují plně požadavkům na nastavení cíl</w:t>
      </w:r>
      <w:r w:rsidR="00280839">
        <w:rPr>
          <w:rFonts w:cstheme="minorHAnsi"/>
        </w:rPr>
        <w:t xml:space="preserve">ů projektu podle principů SMART. </w:t>
      </w:r>
    </w:p>
    <w:p w14:paraId="6DF0A610" w14:textId="30A8A097" w:rsidR="00F03843" w:rsidRPr="0044556F" w:rsidRDefault="00F30A6D" w:rsidP="0044556F">
      <w:pPr>
        <w:pStyle w:val="Odstavecseseznamem"/>
        <w:numPr>
          <w:ilvl w:val="0"/>
          <w:numId w:val="13"/>
        </w:numPr>
        <w:ind w:left="851" w:hanging="284"/>
        <w:rPr>
          <w:rFonts w:eastAsiaTheme="minorEastAsia" w:cstheme="minorHAnsi"/>
        </w:rPr>
      </w:pPr>
      <w:r w:rsidRPr="0044556F">
        <w:rPr>
          <w:rFonts w:cstheme="minorHAnsi"/>
        </w:rPr>
        <w:t>Klíčové aktivity jsou podle zásad řízení projektů pouhým nástrojem, který má realizovat cíle projektu, nikoliv je nastavovat/stanovovat.</w:t>
      </w:r>
    </w:p>
    <w:p w14:paraId="7DF24D7E" w14:textId="54F80556" w:rsidR="00012FA7" w:rsidRDefault="00026B72" w:rsidP="00026B72">
      <w:pPr>
        <w:spacing w:after="0"/>
        <w:rPr>
          <w:rFonts w:eastAsiaTheme="minorEastAsia" w:cstheme="minorHAnsi"/>
          <w:u w:val="single"/>
        </w:rPr>
      </w:pPr>
      <w:r w:rsidRPr="00E9529E">
        <w:rPr>
          <w:rFonts w:eastAsiaTheme="minorEastAsia" w:cstheme="minorHAnsi"/>
          <w:u w:val="single"/>
        </w:rPr>
        <w:t xml:space="preserve">Projekt APIV </w:t>
      </w:r>
      <w:r w:rsidRPr="00012FA7">
        <w:rPr>
          <w:rFonts w:eastAsiaTheme="minorEastAsia" w:cstheme="minorHAnsi"/>
          <w:u w:val="single"/>
        </w:rPr>
        <w:t>B</w:t>
      </w:r>
      <w:r w:rsidR="00CD2AEF" w:rsidRPr="00012FA7">
        <w:rPr>
          <w:rFonts w:eastAsiaTheme="minorEastAsia" w:cstheme="minorHAnsi"/>
          <w:u w:val="single"/>
        </w:rPr>
        <w:t xml:space="preserve"> (projekt </w:t>
      </w:r>
      <w:r w:rsidR="006F0758" w:rsidRPr="00931A64">
        <w:rPr>
          <w:rFonts w:eastAsiaTheme="minorEastAsia" w:cstheme="minorHAnsi"/>
          <w:i/>
          <w:u w:val="single"/>
        </w:rPr>
        <w:t>Podpora</w:t>
      </w:r>
      <w:r w:rsidR="004B2724">
        <w:rPr>
          <w:rFonts w:eastAsiaTheme="minorEastAsia" w:cstheme="minorHAnsi"/>
          <w:i/>
          <w:u w:val="single"/>
        </w:rPr>
        <w:t xml:space="preserve"> společného </w:t>
      </w:r>
      <w:r w:rsidR="006F0758" w:rsidRPr="00931A64">
        <w:rPr>
          <w:rFonts w:eastAsiaTheme="minorEastAsia" w:cstheme="minorHAnsi"/>
          <w:i/>
          <w:u w:val="single"/>
        </w:rPr>
        <w:t>vzdělávání v pedagogické praxi</w:t>
      </w:r>
      <w:r w:rsidR="00012FA7">
        <w:rPr>
          <w:rFonts w:eastAsiaTheme="minorEastAsia" w:cstheme="minorHAnsi"/>
          <w:u w:val="single"/>
        </w:rPr>
        <w:t>)</w:t>
      </w:r>
    </w:p>
    <w:p w14:paraId="3BB42852" w14:textId="57153BCE" w:rsidR="004D2011" w:rsidRDefault="006F0758" w:rsidP="00946BFE">
      <w:pPr>
        <w:rPr>
          <w:rFonts w:cstheme="minorHAnsi"/>
        </w:rPr>
      </w:pPr>
      <w:r w:rsidRPr="006F0758">
        <w:rPr>
          <w:rFonts w:eastAsiaTheme="minorEastAsia" w:cstheme="minorHAnsi"/>
        </w:rPr>
        <w:t xml:space="preserve">Projekt </w:t>
      </w:r>
      <w:r w:rsidR="00012FA7">
        <w:rPr>
          <w:rFonts w:eastAsiaTheme="minorEastAsia" w:cstheme="minorHAnsi"/>
        </w:rPr>
        <w:t>by měl zpřístupnit š</w:t>
      </w:r>
      <w:r w:rsidRPr="006F0758">
        <w:rPr>
          <w:rFonts w:eastAsiaTheme="minorEastAsia" w:cstheme="minorHAnsi"/>
        </w:rPr>
        <w:t>kolám komplexní n</w:t>
      </w:r>
      <w:r w:rsidR="00D84024">
        <w:rPr>
          <w:rFonts w:eastAsiaTheme="minorEastAsia" w:cstheme="minorHAnsi"/>
        </w:rPr>
        <w:t xml:space="preserve">abídku vzdělávání, poradenských </w:t>
      </w:r>
      <w:r w:rsidRPr="006F0758">
        <w:rPr>
          <w:rFonts w:eastAsiaTheme="minorEastAsia" w:cstheme="minorHAnsi"/>
        </w:rPr>
        <w:t>a</w:t>
      </w:r>
      <w:r w:rsidR="00D84024">
        <w:rPr>
          <w:rFonts w:eastAsiaTheme="minorEastAsia" w:cstheme="minorHAnsi"/>
        </w:rPr>
        <w:t> </w:t>
      </w:r>
      <w:r w:rsidRPr="006F0758">
        <w:rPr>
          <w:rFonts w:eastAsiaTheme="minorEastAsia" w:cstheme="minorHAnsi"/>
        </w:rPr>
        <w:t xml:space="preserve">konzultačních služeb, mentorského vedení, </w:t>
      </w:r>
      <w:proofErr w:type="spellStart"/>
      <w:r w:rsidRPr="006F0758">
        <w:rPr>
          <w:rFonts w:eastAsiaTheme="minorEastAsia" w:cstheme="minorHAnsi"/>
        </w:rPr>
        <w:t>koučinku</w:t>
      </w:r>
      <w:proofErr w:type="spellEnd"/>
      <w:r w:rsidRPr="006F0758">
        <w:rPr>
          <w:rFonts w:eastAsiaTheme="minorEastAsia" w:cstheme="minorHAnsi"/>
        </w:rPr>
        <w:t xml:space="preserve"> a výměnu zkušeností prostřednictvím stáží</w:t>
      </w:r>
      <w:r w:rsidR="00012FA7">
        <w:rPr>
          <w:rFonts w:eastAsiaTheme="minorEastAsia" w:cstheme="minorHAnsi"/>
        </w:rPr>
        <w:t xml:space="preserve">. Příjemce </w:t>
      </w:r>
      <w:r w:rsidR="00012FA7" w:rsidRPr="00931A64">
        <w:rPr>
          <w:rFonts w:eastAsiaTheme="minorEastAsia" w:cstheme="minorHAnsi"/>
        </w:rPr>
        <w:t>Národní institut pro další vzdělávání</w:t>
      </w:r>
      <w:r w:rsidR="00012FA7">
        <w:rPr>
          <w:rFonts w:eastAsiaTheme="minorEastAsia" w:cstheme="minorHAnsi"/>
          <w:i/>
        </w:rPr>
        <w:t xml:space="preserve"> </w:t>
      </w:r>
      <w:r w:rsidR="00012FA7">
        <w:rPr>
          <w:rFonts w:eastAsiaTheme="minorEastAsia" w:cstheme="minorHAnsi"/>
        </w:rPr>
        <w:t xml:space="preserve">realizuje projekt </w:t>
      </w:r>
      <w:r w:rsidR="00FA777E">
        <w:rPr>
          <w:rFonts w:eastAsiaTheme="minorEastAsia" w:cstheme="minorHAnsi"/>
        </w:rPr>
        <w:t xml:space="preserve">APIV B </w:t>
      </w:r>
      <w:r w:rsidR="00D84024">
        <w:rPr>
          <w:rFonts w:eastAsiaTheme="minorEastAsia" w:cstheme="minorHAnsi"/>
          <w:b/>
        </w:rPr>
        <w:t>od 1. 4. 2017 do 31. 3. </w:t>
      </w:r>
      <w:r w:rsidR="00FA777E" w:rsidRPr="006F0758">
        <w:rPr>
          <w:rFonts w:eastAsiaTheme="minorEastAsia" w:cstheme="minorHAnsi"/>
          <w:b/>
        </w:rPr>
        <w:t>2022</w:t>
      </w:r>
      <w:r w:rsidR="00FA777E">
        <w:rPr>
          <w:rFonts w:eastAsiaTheme="minorEastAsia" w:cstheme="minorHAnsi"/>
          <w:b/>
        </w:rPr>
        <w:t xml:space="preserve"> </w:t>
      </w:r>
      <w:r w:rsidRPr="00F03843">
        <w:rPr>
          <w:rFonts w:eastAsiaTheme="minorEastAsia" w:cstheme="minorHAnsi"/>
          <w:b/>
        </w:rPr>
        <w:t xml:space="preserve">s </w:t>
      </w:r>
      <w:r w:rsidRPr="00D573D1">
        <w:rPr>
          <w:rFonts w:eastAsiaTheme="minorEastAsia" w:cstheme="minorHAnsi"/>
          <w:b/>
        </w:rPr>
        <w:t>rozpočtem 14</w:t>
      </w:r>
      <w:r w:rsidR="00D573D1" w:rsidRPr="00D573D1">
        <w:rPr>
          <w:rFonts w:eastAsiaTheme="minorEastAsia" w:cstheme="minorHAnsi"/>
          <w:b/>
        </w:rPr>
        <w:t>8,80</w:t>
      </w:r>
      <w:r w:rsidRPr="00D573D1">
        <w:rPr>
          <w:rFonts w:eastAsiaTheme="minorEastAsia" w:cstheme="minorHAnsi"/>
          <w:b/>
        </w:rPr>
        <w:t xml:space="preserve"> mil</w:t>
      </w:r>
      <w:r w:rsidR="00484C68" w:rsidRPr="00D573D1">
        <w:rPr>
          <w:rFonts w:eastAsiaTheme="minorEastAsia" w:cstheme="minorHAnsi"/>
          <w:b/>
        </w:rPr>
        <w:t>.</w:t>
      </w:r>
      <w:r w:rsidRPr="00D573D1">
        <w:rPr>
          <w:rFonts w:eastAsiaTheme="minorEastAsia" w:cstheme="minorHAnsi"/>
          <w:b/>
        </w:rPr>
        <w:t xml:space="preserve"> Kč</w:t>
      </w:r>
      <w:r w:rsidR="00FA777E" w:rsidRPr="00931A64">
        <w:rPr>
          <w:rFonts w:eastAsiaTheme="minorEastAsia" w:cstheme="minorHAnsi"/>
          <w:b/>
        </w:rPr>
        <w:t>.</w:t>
      </w:r>
      <w:r w:rsidR="00FA777E">
        <w:rPr>
          <w:rFonts w:eastAsiaTheme="minorEastAsia" w:cstheme="minorHAnsi"/>
        </w:rPr>
        <w:t xml:space="preserve"> </w:t>
      </w:r>
    </w:p>
    <w:p w14:paraId="42F525DE" w14:textId="6E51BF77" w:rsidR="00796EE2" w:rsidRPr="00D166DA" w:rsidRDefault="00946BFE" w:rsidP="00D166DA">
      <w:pPr>
        <w:pStyle w:val="Odstavecseseznamem"/>
        <w:numPr>
          <w:ilvl w:val="0"/>
          <w:numId w:val="21"/>
        </w:numPr>
        <w:spacing w:after="0"/>
        <w:ind w:left="851" w:hanging="284"/>
        <w:rPr>
          <w:rFonts w:cstheme="minorHAnsi"/>
        </w:rPr>
      </w:pPr>
      <w:r w:rsidRPr="008211DF">
        <w:rPr>
          <w:rFonts w:cstheme="minorHAnsi"/>
        </w:rPr>
        <w:t xml:space="preserve">Hlavní cíl projektu </w:t>
      </w:r>
      <w:r w:rsidR="00796EE2" w:rsidRPr="008211DF">
        <w:rPr>
          <w:rFonts w:cstheme="minorHAnsi"/>
          <w:i/>
        </w:rPr>
        <w:t>„</w:t>
      </w:r>
      <w:r w:rsidRPr="00D166DA">
        <w:rPr>
          <w:rFonts w:cstheme="minorHAnsi"/>
          <w:i/>
        </w:rPr>
        <w:t xml:space="preserve">zvýšit podporu společného vzdělávání </w:t>
      </w:r>
      <w:r w:rsidR="00D831F3">
        <w:rPr>
          <w:rFonts w:cstheme="minorHAnsi"/>
          <w:i/>
        </w:rPr>
        <w:t xml:space="preserve">u všech zainteresovaných skupin (odborné, pedagogické i široké veřejnosti) </w:t>
      </w:r>
      <w:r w:rsidRPr="00D166DA">
        <w:rPr>
          <w:rFonts w:cstheme="minorHAnsi"/>
          <w:i/>
        </w:rPr>
        <w:t xml:space="preserve">a posílit </w:t>
      </w:r>
      <w:r w:rsidR="00D831F3">
        <w:rPr>
          <w:rFonts w:cstheme="minorHAnsi"/>
          <w:i/>
        </w:rPr>
        <w:t xml:space="preserve">osobnostní a profesní </w:t>
      </w:r>
      <w:r w:rsidRPr="00D166DA">
        <w:rPr>
          <w:rFonts w:cstheme="minorHAnsi"/>
          <w:i/>
        </w:rPr>
        <w:t>kompetence pedagogických pracovníků</w:t>
      </w:r>
      <w:r w:rsidR="009E6E0A">
        <w:rPr>
          <w:rFonts w:cstheme="minorHAnsi"/>
          <w:i/>
        </w:rPr>
        <w:t xml:space="preserve"> (managementu škol a</w:t>
      </w:r>
      <w:r w:rsidR="00380F0D">
        <w:rPr>
          <w:rFonts w:cstheme="minorHAnsi"/>
          <w:i/>
        </w:rPr>
        <w:t xml:space="preserve"> </w:t>
      </w:r>
      <w:r w:rsidR="00D831F3">
        <w:rPr>
          <w:rFonts w:cstheme="minorHAnsi"/>
          <w:i/>
        </w:rPr>
        <w:t>školských zařízení, učitelů, vychovatelů, pedagogů volného času aj.) potřebné k</w:t>
      </w:r>
      <w:r w:rsidR="00380F0D">
        <w:rPr>
          <w:rFonts w:cstheme="minorHAnsi"/>
          <w:i/>
        </w:rPr>
        <w:t xml:space="preserve"> </w:t>
      </w:r>
      <w:r w:rsidR="00D831F3">
        <w:rPr>
          <w:rFonts w:cstheme="minorHAnsi"/>
          <w:i/>
        </w:rPr>
        <w:t>realizaci společného vzdělávání v</w:t>
      </w:r>
      <w:r w:rsidR="00380F0D">
        <w:rPr>
          <w:rFonts w:cstheme="minorHAnsi"/>
          <w:i/>
        </w:rPr>
        <w:t xml:space="preserve"> </w:t>
      </w:r>
      <w:r w:rsidR="00D831F3">
        <w:rPr>
          <w:rFonts w:cstheme="minorHAnsi"/>
          <w:i/>
        </w:rPr>
        <w:t>předškolním, z</w:t>
      </w:r>
      <w:r w:rsidR="009E6E0A">
        <w:rPr>
          <w:rFonts w:cstheme="minorHAnsi"/>
          <w:i/>
        </w:rPr>
        <w:t>ákladním, středním a zájmovém a</w:t>
      </w:r>
      <w:r w:rsidR="00380F0D">
        <w:rPr>
          <w:rFonts w:cstheme="minorHAnsi"/>
          <w:i/>
        </w:rPr>
        <w:t xml:space="preserve"> </w:t>
      </w:r>
      <w:r w:rsidR="00D831F3">
        <w:rPr>
          <w:rFonts w:cstheme="minorHAnsi"/>
          <w:i/>
        </w:rPr>
        <w:t xml:space="preserve">neformálním vzdělávání“ </w:t>
      </w:r>
      <w:r w:rsidRPr="00D831F3">
        <w:rPr>
          <w:rFonts w:cstheme="minorHAnsi"/>
        </w:rPr>
        <w:t xml:space="preserve">je stanoven obecně a NIDV k němu neuvedl cílové hodnoty. </w:t>
      </w:r>
      <w:r w:rsidRPr="008211DF">
        <w:rPr>
          <w:rFonts w:cstheme="minorHAnsi"/>
          <w:b/>
        </w:rPr>
        <w:t xml:space="preserve">Hlavní cíl projektu je tedy obtížně měřitelný, není konkrétní a jeho naplnění nelze vyhodnotit, </w:t>
      </w:r>
      <w:proofErr w:type="gramStart"/>
      <w:r w:rsidRPr="008211DF">
        <w:rPr>
          <w:rFonts w:cstheme="minorHAnsi"/>
          <w:b/>
        </w:rPr>
        <w:t>tzn. nebyl</w:t>
      </w:r>
      <w:proofErr w:type="gramEnd"/>
      <w:r w:rsidRPr="008211DF">
        <w:rPr>
          <w:rFonts w:cstheme="minorHAnsi"/>
          <w:b/>
        </w:rPr>
        <w:t xml:space="preserve"> stanoven v souladu s principy SMART.</w:t>
      </w:r>
      <w:r w:rsidR="00E73B0F" w:rsidRPr="00CB3F55">
        <w:rPr>
          <w:rFonts w:cstheme="minorHAnsi"/>
          <w:b/>
        </w:rPr>
        <w:t xml:space="preserve"> </w:t>
      </w:r>
    </w:p>
    <w:p w14:paraId="5BAB9369" w14:textId="53461735" w:rsidR="00BF52B4" w:rsidRPr="00CB3F55" w:rsidRDefault="00946BFE" w:rsidP="00D166DA">
      <w:pPr>
        <w:pStyle w:val="Odstavecseseznamem"/>
        <w:numPr>
          <w:ilvl w:val="0"/>
          <w:numId w:val="21"/>
        </w:numPr>
        <w:ind w:left="851" w:hanging="284"/>
        <w:rPr>
          <w:rFonts w:cstheme="minorHAnsi"/>
        </w:rPr>
      </w:pPr>
      <w:r w:rsidRPr="008211DF">
        <w:rPr>
          <w:rFonts w:cstheme="minorHAnsi"/>
        </w:rPr>
        <w:t xml:space="preserve">V projektu byly stanoveny konkrétní cílové hodnoty hlavních výstupů. Stanovená akceptační kritéria </w:t>
      </w:r>
      <w:r w:rsidR="00E73B0F" w:rsidRPr="008211DF">
        <w:rPr>
          <w:rFonts w:cstheme="minorHAnsi"/>
        </w:rPr>
        <w:t xml:space="preserve">(výstupy projektu) </w:t>
      </w:r>
      <w:r w:rsidRPr="00CB3F55">
        <w:rPr>
          <w:rFonts w:cstheme="minorHAnsi"/>
        </w:rPr>
        <w:t>jsou časově vymezená re</w:t>
      </w:r>
      <w:r w:rsidR="00987B74" w:rsidRPr="00CB3F55">
        <w:rPr>
          <w:rFonts w:cstheme="minorHAnsi"/>
        </w:rPr>
        <w:t>alizací projektu, dosažitelná a </w:t>
      </w:r>
      <w:r w:rsidRPr="00CB3F55">
        <w:rPr>
          <w:rFonts w:cstheme="minorHAnsi"/>
        </w:rPr>
        <w:t>vyhodnotitelná.</w:t>
      </w:r>
    </w:p>
    <w:p w14:paraId="6EE22C6A" w14:textId="599D5DF4" w:rsidR="0013492A" w:rsidRDefault="00DF7A67" w:rsidP="00F03843">
      <w:pPr>
        <w:rPr>
          <w:rFonts w:eastAsiaTheme="minorEastAsia" w:cstheme="minorHAnsi"/>
          <w:kern w:val="24"/>
        </w:rPr>
      </w:pPr>
      <w:r w:rsidRPr="004A4436">
        <w:rPr>
          <w:rFonts w:eastAsiaTheme="minorEastAsia" w:cstheme="minorHAnsi"/>
          <w:b/>
        </w:rPr>
        <w:t xml:space="preserve">Oba projekty APIV </w:t>
      </w:r>
      <w:r>
        <w:rPr>
          <w:rFonts w:eastAsiaTheme="minorEastAsia" w:cstheme="minorHAnsi"/>
          <w:b/>
        </w:rPr>
        <w:t xml:space="preserve">byly zahájeny v roce 2017. </w:t>
      </w:r>
      <w:r w:rsidR="00E73B0F">
        <w:rPr>
          <w:rFonts w:eastAsiaTheme="minorEastAsia" w:cstheme="minorHAnsi"/>
        </w:rPr>
        <w:t>Vy</w:t>
      </w:r>
      <w:r w:rsidR="006D2892">
        <w:rPr>
          <w:rFonts w:eastAsiaTheme="minorEastAsia" w:cstheme="minorHAnsi"/>
        </w:rPr>
        <w:t>tvoření vzdělávacích modulů pro</w:t>
      </w:r>
      <w:r w:rsidR="005E0801">
        <w:rPr>
          <w:rFonts w:eastAsiaTheme="minorEastAsia" w:cstheme="minorHAnsi"/>
        </w:rPr>
        <w:t xml:space="preserve"> </w:t>
      </w:r>
      <w:r w:rsidR="00E73B0F">
        <w:rPr>
          <w:rFonts w:eastAsiaTheme="minorEastAsia" w:cstheme="minorHAnsi"/>
        </w:rPr>
        <w:t xml:space="preserve">pedagogické pracovníky a zavedení vzdělávacích akcí do praxe nekoresponduje časově </w:t>
      </w:r>
      <w:r w:rsidR="00E73B0F">
        <w:rPr>
          <w:rFonts w:eastAsiaTheme="minorEastAsia" w:cstheme="minorHAnsi"/>
        </w:rPr>
        <w:lastRenderedPageBreak/>
        <w:t>s potřebami pedagogů získávat potřebné kompetence pro práci s žáky se SVP již se zavedením legislativních změn</w:t>
      </w:r>
      <w:r w:rsidR="006D2892">
        <w:rPr>
          <w:rFonts w:eastAsiaTheme="minorEastAsia" w:cstheme="minorHAnsi"/>
        </w:rPr>
        <w:t>.</w:t>
      </w:r>
      <w:r w:rsidR="00F03843">
        <w:rPr>
          <w:rFonts w:eastAsiaTheme="minorEastAsia" w:cstheme="minorHAnsi"/>
        </w:rPr>
        <w:t xml:space="preserve"> </w:t>
      </w:r>
      <w:r w:rsidR="006D2892">
        <w:rPr>
          <w:rFonts w:eastAsiaTheme="minorEastAsia" w:cstheme="minorHAnsi"/>
        </w:rPr>
        <w:t>V</w:t>
      </w:r>
      <w:r w:rsidR="00F03843">
        <w:rPr>
          <w:rFonts w:eastAsiaTheme="minorEastAsia" w:cstheme="minorHAnsi"/>
        </w:rPr>
        <w:t xml:space="preserve"> současné době není zřejmé, zda </w:t>
      </w:r>
      <w:r w:rsidR="00E73B0F">
        <w:rPr>
          <w:rFonts w:eastAsiaTheme="minorEastAsia" w:cstheme="minorHAnsi"/>
        </w:rPr>
        <w:t xml:space="preserve">jsou vzdělávací moduly vytvářené </w:t>
      </w:r>
      <w:r w:rsidR="009E6E0A">
        <w:rPr>
          <w:rFonts w:eastAsiaTheme="minorEastAsia" w:cstheme="minorHAnsi"/>
        </w:rPr>
        <w:t>v rámci projektů APIV </w:t>
      </w:r>
      <w:r w:rsidR="00E73B0F">
        <w:rPr>
          <w:rFonts w:eastAsiaTheme="minorEastAsia" w:cstheme="minorHAnsi"/>
        </w:rPr>
        <w:t xml:space="preserve">A </w:t>
      </w:r>
      <w:proofErr w:type="spellStart"/>
      <w:r w:rsidR="00E73B0F">
        <w:rPr>
          <w:rFonts w:eastAsiaTheme="minorEastAsia" w:cstheme="minorHAnsi"/>
        </w:rPr>
        <w:t>a</w:t>
      </w:r>
      <w:proofErr w:type="spellEnd"/>
      <w:r w:rsidR="00E73B0F">
        <w:rPr>
          <w:rFonts w:eastAsiaTheme="minorEastAsia" w:cstheme="minorHAnsi"/>
        </w:rPr>
        <w:t xml:space="preserve"> </w:t>
      </w:r>
      <w:r w:rsidR="006D2892">
        <w:rPr>
          <w:rFonts w:eastAsiaTheme="minorEastAsia" w:cstheme="minorHAnsi"/>
        </w:rPr>
        <w:t>APIV</w:t>
      </w:r>
      <w:r w:rsidR="009E6E0A">
        <w:rPr>
          <w:rFonts w:eastAsiaTheme="minorEastAsia" w:cstheme="minorHAnsi"/>
        </w:rPr>
        <w:t> </w:t>
      </w:r>
      <w:r w:rsidR="00E73B0F">
        <w:rPr>
          <w:rFonts w:eastAsiaTheme="minorEastAsia" w:cstheme="minorHAnsi"/>
        </w:rPr>
        <w:t xml:space="preserve">B pro pedagogy vhodným zdrojem pro získání potřebné </w:t>
      </w:r>
      <w:r w:rsidR="00E73B0F" w:rsidRPr="00E73B0F">
        <w:rPr>
          <w:rFonts w:eastAsiaTheme="minorEastAsia" w:cstheme="minorHAnsi"/>
        </w:rPr>
        <w:t>kompetence</w:t>
      </w:r>
      <w:r w:rsidRPr="00E73B0F">
        <w:rPr>
          <w:rFonts w:eastAsiaTheme="minorEastAsia" w:cstheme="minorHAnsi"/>
          <w:kern w:val="24"/>
          <w:vertAlign w:val="superscript"/>
        </w:rPr>
        <w:footnoteReference w:id="58"/>
      </w:r>
      <w:r w:rsidRPr="00E73B0F">
        <w:rPr>
          <w:rFonts w:eastAsiaTheme="minorEastAsia" w:cstheme="minorHAnsi"/>
          <w:kern w:val="24"/>
        </w:rPr>
        <w:t xml:space="preserve">. </w:t>
      </w:r>
    </w:p>
    <w:p w14:paraId="3DEAFB3F" w14:textId="3E480FE4" w:rsidR="006F0758" w:rsidRPr="00E9529E" w:rsidRDefault="006F0758" w:rsidP="006F0758">
      <w:pPr>
        <w:spacing w:after="0"/>
        <w:rPr>
          <w:rFonts w:eastAsiaTheme="minorEastAsia" w:cstheme="minorHAnsi"/>
          <w:u w:val="single"/>
        </w:rPr>
      </w:pPr>
      <w:r w:rsidRPr="00E9529E">
        <w:rPr>
          <w:rFonts w:eastAsiaTheme="minorEastAsia" w:cstheme="minorHAnsi"/>
          <w:u w:val="single"/>
        </w:rPr>
        <w:t xml:space="preserve">Projekt </w:t>
      </w:r>
      <w:r>
        <w:rPr>
          <w:rFonts w:eastAsiaTheme="minorEastAsia" w:cstheme="minorHAnsi"/>
          <w:u w:val="single"/>
        </w:rPr>
        <w:t xml:space="preserve">IKV (projekt </w:t>
      </w:r>
      <w:r w:rsidRPr="00931A64">
        <w:rPr>
          <w:rFonts w:eastAsiaTheme="minorEastAsia" w:cstheme="minorHAnsi"/>
          <w:i/>
          <w:u w:val="single"/>
        </w:rPr>
        <w:t>Inkluzivní a kvalitní vzdělávání v</w:t>
      </w:r>
      <w:r w:rsidR="00D61E7C" w:rsidRPr="00931A64">
        <w:rPr>
          <w:rFonts w:eastAsiaTheme="minorEastAsia" w:cstheme="minorHAnsi"/>
          <w:i/>
          <w:u w:val="single"/>
        </w:rPr>
        <w:t xml:space="preserve"> územích se </w:t>
      </w:r>
      <w:r w:rsidRPr="00931A64">
        <w:rPr>
          <w:rFonts w:eastAsiaTheme="minorEastAsia" w:cstheme="minorHAnsi"/>
          <w:i/>
          <w:u w:val="single"/>
        </w:rPr>
        <w:t>sociálně vyloučený</w:t>
      </w:r>
      <w:r w:rsidR="00D61E7C" w:rsidRPr="00931A64">
        <w:rPr>
          <w:rFonts w:eastAsiaTheme="minorEastAsia" w:cstheme="minorHAnsi"/>
          <w:i/>
          <w:u w:val="single"/>
        </w:rPr>
        <w:t>mi l</w:t>
      </w:r>
      <w:r w:rsidRPr="00931A64">
        <w:rPr>
          <w:rFonts w:eastAsiaTheme="minorEastAsia" w:cstheme="minorHAnsi"/>
          <w:i/>
          <w:u w:val="single"/>
        </w:rPr>
        <w:t>okalit</w:t>
      </w:r>
      <w:r w:rsidR="00D61E7C" w:rsidRPr="00931A64">
        <w:rPr>
          <w:rFonts w:eastAsiaTheme="minorEastAsia" w:cstheme="minorHAnsi"/>
          <w:i/>
          <w:u w:val="single"/>
        </w:rPr>
        <w:t>ami</w:t>
      </w:r>
      <w:r>
        <w:rPr>
          <w:rFonts w:eastAsiaTheme="minorEastAsia" w:cstheme="minorHAnsi"/>
          <w:u w:val="single"/>
        </w:rPr>
        <w:t>)</w:t>
      </w:r>
    </w:p>
    <w:p w14:paraId="7AB584BD" w14:textId="553D1B08" w:rsidR="006F0758" w:rsidRDefault="006F0758" w:rsidP="006F0758">
      <w:pPr>
        <w:rPr>
          <w:rFonts w:cstheme="minorHAnsi"/>
          <w:b/>
        </w:rPr>
      </w:pPr>
      <w:r w:rsidRPr="004D2011">
        <w:rPr>
          <w:rFonts w:cstheme="minorHAnsi"/>
        </w:rPr>
        <w:t xml:space="preserve">Příjemce </w:t>
      </w:r>
      <w:r w:rsidRPr="00931A64">
        <w:rPr>
          <w:rFonts w:cstheme="minorHAnsi"/>
        </w:rPr>
        <w:t>Agentura pro sociální začleňování</w:t>
      </w:r>
      <w:r w:rsidRPr="004D2011">
        <w:rPr>
          <w:rFonts w:cstheme="minorHAnsi"/>
          <w:i/>
        </w:rPr>
        <w:t xml:space="preserve"> </w:t>
      </w:r>
      <w:r>
        <w:rPr>
          <w:rFonts w:cstheme="minorHAnsi"/>
        </w:rPr>
        <w:t xml:space="preserve">realizuje projekt IKV od července 2016. </w:t>
      </w:r>
      <w:r w:rsidRPr="0009385A">
        <w:rPr>
          <w:rFonts w:cstheme="minorHAnsi"/>
          <w:b/>
        </w:rPr>
        <w:t xml:space="preserve">Schválená výše dotace tohoto projektu </w:t>
      </w:r>
      <w:r w:rsidRPr="00D573D1">
        <w:rPr>
          <w:rFonts w:cstheme="minorHAnsi"/>
          <w:b/>
        </w:rPr>
        <w:t>činí 228</w:t>
      </w:r>
      <w:r w:rsidR="00CD425C" w:rsidRPr="00D573D1">
        <w:rPr>
          <w:rFonts w:cstheme="minorHAnsi"/>
          <w:b/>
        </w:rPr>
        <w:t>,</w:t>
      </w:r>
      <w:r w:rsidRPr="00D573D1">
        <w:rPr>
          <w:rFonts w:cstheme="minorHAnsi"/>
          <w:b/>
        </w:rPr>
        <w:t>8</w:t>
      </w:r>
      <w:r w:rsidR="00CD425C" w:rsidRPr="00D573D1">
        <w:rPr>
          <w:rFonts w:cstheme="minorHAnsi"/>
          <w:b/>
        </w:rPr>
        <w:t>2 mil.</w:t>
      </w:r>
      <w:r w:rsidRPr="00D573D1">
        <w:rPr>
          <w:rFonts w:cstheme="minorHAnsi"/>
          <w:b/>
        </w:rPr>
        <w:t xml:space="preserve"> Kč.</w:t>
      </w:r>
      <w:r w:rsidRPr="0009385A">
        <w:rPr>
          <w:rFonts w:cstheme="minorHAnsi"/>
          <w:b/>
        </w:rPr>
        <w:t xml:space="preserve"> </w:t>
      </w:r>
      <w:r w:rsidRPr="004D2011">
        <w:rPr>
          <w:rFonts w:cstheme="minorHAnsi"/>
        </w:rPr>
        <w:t>Účel</w:t>
      </w:r>
      <w:r>
        <w:rPr>
          <w:rStyle w:val="Znakapoznpodarou"/>
          <w:rFonts w:cstheme="minorHAnsi"/>
        </w:rPr>
        <w:footnoteReference w:id="59"/>
      </w:r>
      <w:r w:rsidRPr="004D2011">
        <w:rPr>
          <w:rFonts w:cstheme="minorHAnsi"/>
        </w:rPr>
        <w:t xml:space="preserve"> projektu IKV je v právním aktu vymezen tak, že </w:t>
      </w:r>
      <w:r w:rsidR="00D83919">
        <w:rPr>
          <w:rFonts w:cstheme="minorHAnsi"/>
          <w:b/>
        </w:rPr>
        <w:t>cílov</w:t>
      </w:r>
      <w:r w:rsidR="00BE3C20">
        <w:rPr>
          <w:rFonts w:cstheme="minorHAnsi"/>
          <w:b/>
        </w:rPr>
        <w:t>ou</w:t>
      </w:r>
      <w:r w:rsidR="00D83919">
        <w:rPr>
          <w:rFonts w:cstheme="minorHAnsi"/>
          <w:b/>
        </w:rPr>
        <w:t xml:space="preserve"> skupin</w:t>
      </w:r>
      <w:r w:rsidR="00BE3C20">
        <w:rPr>
          <w:rFonts w:cstheme="minorHAnsi"/>
          <w:b/>
        </w:rPr>
        <w:t>ou</w:t>
      </w:r>
      <w:r w:rsidR="00D83919">
        <w:rPr>
          <w:rFonts w:cstheme="minorHAnsi"/>
          <w:b/>
        </w:rPr>
        <w:t xml:space="preserve"> </w:t>
      </w:r>
      <w:r w:rsidR="00F927AE">
        <w:rPr>
          <w:rFonts w:cstheme="minorHAnsi"/>
          <w:b/>
        </w:rPr>
        <w:t xml:space="preserve">je </w:t>
      </w:r>
      <w:r w:rsidR="00D83919">
        <w:rPr>
          <w:rFonts w:cstheme="minorHAnsi"/>
          <w:b/>
        </w:rPr>
        <w:t>samotn</w:t>
      </w:r>
      <w:r w:rsidR="00F927AE">
        <w:rPr>
          <w:rFonts w:cstheme="minorHAnsi"/>
          <w:b/>
        </w:rPr>
        <w:t xml:space="preserve">á </w:t>
      </w:r>
      <w:r w:rsidR="00C63EB2">
        <w:rPr>
          <w:rFonts w:cstheme="minorHAnsi"/>
          <w:b/>
        </w:rPr>
        <w:t>Agentura</w:t>
      </w:r>
      <w:r w:rsidR="00C63EB2" w:rsidRPr="0009385A">
        <w:rPr>
          <w:rFonts w:cstheme="minorHAnsi"/>
          <w:b/>
        </w:rPr>
        <w:t xml:space="preserve"> </w:t>
      </w:r>
      <w:r w:rsidRPr="0009385A">
        <w:rPr>
          <w:rFonts w:cstheme="minorHAnsi"/>
          <w:b/>
        </w:rPr>
        <w:t xml:space="preserve">jako realizátor projektu. </w:t>
      </w:r>
    </w:p>
    <w:p w14:paraId="20B2333C" w14:textId="6FAA029B" w:rsidR="006F0758" w:rsidRPr="00AE6551" w:rsidRDefault="006F0758" w:rsidP="006F0758">
      <w:pPr>
        <w:spacing w:after="0"/>
        <w:rPr>
          <w:rFonts w:eastAsiaTheme="minorEastAsia" w:cstheme="minorHAnsi"/>
          <w:b/>
          <w:u w:val="single"/>
        </w:rPr>
      </w:pPr>
      <w:r w:rsidRPr="00AE6551">
        <w:rPr>
          <w:rFonts w:eastAsiaTheme="minorEastAsia" w:cstheme="minorHAnsi"/>
          <w:b/>
        </w:rPr>
        <w:t xml:space="preserve">Projekt IKV má nedostatky v nastavení cílů a </w:t>
      </w:r>
      <w:r>
        <w:rPr>
          <w:rFonts w:eastAsiaTheme="minorEastAsia" w:cstheme="minorHAnsi"/>
          <w:b/>
        </w:rPr>
        <w:t xml:space="preserve">monitorovacích </w:t>
      </w:r>
      <w:r w:rsidRPr="00AE6551">
        <w:rPr>
          <w:rFonts w:eastAsiaTheme="minorEastAsia" w:cstheme="minorHAnsi"/>
          <w:b/>
        </w:rPr>
        <w:t>indikátorů:</w:t>
      </w:r>
    </w:p>
    <w:p w14:paraId="73F4D9E8" w14:textId="40ECA79F" w:rsidR="006F0758" w:rsidRPr="00670D69" w:rsidRDefault="006009AB" w:rsidP="008E5EDF">
      <w:pPr>
        <w:pStyle w:val="Odstavecseseznamem"/>
        <w:numPr>
          <w:ilvl w:val="1"/>
          <w:numId w:val="7"/>
        </w:numPr>
        <w:spacing w:after="0"/>
        <w:ind w:left="851" w:hanging="284"/>
        <w:rPr>
          <w:b/>
        </w:rPr>
      </w:pPr>
      <w:r>
        <w:t>H</w:t>
      </w:r>
      <w:r w:rsidR="006F0758">
        <w:t>lavní cíl projektu IKV „</w:t>
      </w:r>
      <w:r w:rsidR="006F0758" w:rsidRPr="00670D69">
        <w:rPr>
          <w:i/>
        </w:rPr>
        <w:t>v do projektu zapojených obcích dosáhnout uplatnění principu IKV na participativním základě a vytvořit podmínky pro dlouhodobé udržení a rozvoj opatření vzniklých v průběhu projektu na lokální úrovni</w:t>
      </w:r>
      <w:r w:rsidR="006F0758" w:rsidRPr="006A3BCE">
        <w:t>“</w:t>
      </w:r>
      <w:r w:rsidR="00E910AF">
        <w:t xml:space="preserve"> je nastaven velmi obecně a </w:t>
      </w:r>
      <w:r w:rsidR="006F0758">
        <w:t>vágně a nenaplňuje většinu pri</w:t>
      </w:r>
      <w:r w:rsidR="00294E99">
        <w:t>n</w:t>
      </w:r>
      <w:r w:rsidR="006F0758">
        <w:t>cipů SMART</w:t>
      </w:r>
      <w:r w:rsidR="00886332">
        <w:t xml:space="preserve"> – </w:t>
      </w:r>
      <w:r w:rsidR="006F0758">
        <w:t xml:space="preserve">cíl je sice relevantní </w:t>
      </w:r>
      <w:r w:rsidR="00886332">
        <w:t xml:space="preserve">ve vztahu </w:t>
      </w:r>
      <w:r w:rsidR="006F0758">
        <w:t>k vyšším cílům (s</w:t>
      </w:r>
      <w:r w:rsidR="006F0758" w:rsidRPr="00F9547F">
        <w:t xml:space="preserve">pecifický cíl </w:t>
      </w:r>
      <w:r w:rsidR="009E6E0A">
        <w:t>OP </w:t>
      </w:r>
      <w:r w:rsidR="006F0758">
        <w:t xml:space="preserve">VVV </w:t>
      </w:r>
      <w:r w:rsidR="006F0758" w:rsidRPr="00F9547F">
        <w:t xml:space="preserve">02.3.61.1 </w:t>
      </w:r>
      <w:r w:rsidR="006F0758" w:rsidRPr="006009AB">
        <w:rPr>
          <w:i/>
        </w:rPr>
        <w:t>Sociální integrace dětí a žáků včetně začleňování romských dětí do vzdělávání</w:t>
      </w:r>
      <w:r w:rsidR="006F0758" w:rsidRPr="00F9547F">
        <w:t xml:space="preserve">), </w:t>
      </w:r>
      <w:r w:rsidR="006F0758">
        <w:t>není však konkrétní, časově vymezený, měřitelný ani dosažitelný</w:t>
      </w:r>
      <w:r w:rsidR="006F0758">
        <w:rPr>
          <w:rStyle w:val="Znakapoznpodarou"/>
        </w:rPr>
        <w:footnoteReference w:id="60"/>
      </w:r>
      <w:r w:rsidR="006F0758">
        <w:t xml:space="preserve">; </w:t>
      </w:r>
      <w:r w:rsidR="006F0758" w:rsidRPr="00670D69">
        <w:rPr>
          <w:b/>
        </w:rPr>
        <w:t>takto nastavený hlavní cíl projektu nemůže garantovat skutečné začlenění dětí a žáků ze SVL do hlavního vzdělávacího proudu</w:t>
      </w:r>
      <w:r>
        <w:rPr>
          <w:b/>
        </w:rPr>
        <w:t>.</w:t>
      </w:r>
      <w:r w:rsidR="00901E2D">
        <w:rPr>
          <w:b/>
        </w:rPr>
        <w:t xml:space="preserve"> </w:t>
      </w:r>
    </w:p>
    <w:p w14:paraId="13589AAF" w14:textId="5CE7F089" w:rsidR="006F0758" w:rsidRDefault="00BB1762" w:rsidP="008E5EDF">
      <w:pPr>
        <w:pStyle w:val="Odstavecseseznamem"/>
        <w:numPr>
          <w:ilvl w:val="1"/>
          <w:numId w:val="7"/>
        </w:numPr>
        <w:spacing w:after="0"/>
        <w:ind w:left="851" w:hanging="284"/>
      </w:pPr>
      <w:r>
        <w:rPr>
          <w:rFonts w:ascii="Calibri" w:hAnsi="Calibri" w:cs="Calibri"/>
          <w:color w:val="000000"/>
        </w:rPr>
        <w:t>Ž</w:t>
      </w:r>
      <w:r w:rsidR="006F0758" w:rsidRPr="00B852A9">
        <w:rPr>
          <w:rFonts w:ascii="Calibri" w:hAnsi="Calibri" w:cs="Calibri"/>
          <w:color w:val="000000"/>
        </w:rPr>
        <w:t>ádný z aspektů principu SMART nenaplňuje dílčí cíl „</w:t>
      </w:r>
      <w:r w:rsidR="00353181">
        <w:rPr>
          <w:rFonts w:ascii="Calibri" w:hAnsi="Calibri" w:cs="Calibri"/>
          <w:i/>
          <w:color w:val="000000"/>
        </w:rPr>
        <w:t>p</w:t>
      </w:r>
      <w:r w:rsidR="006F0758" w:rsidRPr="00B852A9">
        <w:rPr>
          <w:rFonts w:ascii="Calibri" w:hAnsi="Calibri" w:cs="Calibri"/>
          <w:i/>
          <w:color w:val="000000"/>
        </w:rPr>
        <w:t>odpořit změn</w:t>
      </w:r>
      <w:r w:rsidR="00E910AF">
        <w:rPr>
          <w:rFonts w:ascii="Calibri" w:hAnsi="Calibri" w:cs="Calibri"/>
          <w:i/>
          <w:color w:val="000000"/>
        </w:rPr>
        <w:t>u postojů relevantních aktérů v </w:t>
      </w:r>
      <w:r w:rsidR="006F0758" w:rsidRPr="00B852A9">
        <w:rPr>
          <w:rFonts w:ascii="Calibri" w:hAnsi="Calibri" w:cs="Calibri"/>
          <w:i/>
          <w:color w:val="000000"/>
        </w:rPr>
        <w:t>zapojených obcích k problematice IKV</w:t>
      </w:r>
      <w:r w:rsidR="006F0758" w:rsidRPr="00B852A9">
        <w:rPr>
          <w:rFonts w:ascii="Calibri" w:hAnsi="Calibri" w:cs="Calibri"/>
          <w:color w:val="000000"/>
        </w:rPr>
        <w:t>“</w:t>
      </w:r>
      <w:r w:rsidR="006009AB">
        <w:rPr>
          <w:rFonts w:ascii="Calibri" w:hAnsi="Calibri" w:cs="Calibri"/>
          <w:color w:val="000000"/>
        </w:rPr>
        <w:t>.</w:t>
      </w:r>
    </w:p>
    <w:p w14:paraId="43A3195B" w14:textId="68C0B86A" w:rsidR="006F0758" w:rsidRPr="00557780" w:rsidRDefault="006009AB" w:rsidP="0074767F">
      <w:pPr>
        <w:pStyle w:val="Odstavecseseznamem"/>
        <w:numPr>
          <w:ilvl w:val="1"/>
          <w:numId w:val="7"/>
        </w:numPr>
        <w:spacing w:after="0"/>
        <w:ind w:left="851" w:hanging="284"/>
      </w:pPr>
      <w:r>
        <w:t>M</w:t>
      </w:r>
      <w:r w:rsidR="006F0758">
        <w:t>onitorovací indikátory (</w:t>
      </w:r>
      <w:r w:rsidR="0070047A">
        <w:t>v</w:t>
      </w:r>
      <w:r w:rsidR="006F0758">
        <w:t>ýkonnostní ukazatele) byly stanoveny až na úrovni výstupů klíčových aktivit, nikoli pro cíle jako takové;</w:t>
      </w:r>
      <w:r>
        <w:t xml:space="preserve"> </w:t>
      </w:r>
      <w:r w:rsidR="00670D69">
        <w:t>v</w:t>
      </w:r>
      <w:r w:rsidR="006F0758" w:rsidRPr="00557780">
        <w:t>ýsledkové</w:t>
      </w:r>
      <w:r w:rsidR="006F0758">
        <w:t xml:space="preserve"> </w:t>
      </w:r>
      <w:r w:rsidR="006F0758" w:rsidRPr="00557780">
        <w:t xml:space="preserve">indikátory projektu jsou stanoveny </w:t>
      </w:r>
      <w:r w:rsidR="0070047A">
        <w:t xml:space="preserve">jen </w:t>
      </w:r>
      <w:r w:rsidR="006F0758" w:rsidRPr="00557780">
        <w:t xml:space="preserve">pro monitorování cílových skupin </w:t>
      </w:r>
      <w:r w:rsidR="006F0758" w:rsidRPr="006009AB">
        <w:rPr>
          <w:i/>
        </w:rPr>
        <w:t xml:space="preserve">pracovníci ve </w:t>
      </w:r>
      <w:proofErr w:type="gramStart"/>
      <w:r w:rsidR="006F0758" w:rsidRPr="006009AB">
        <w:rPr>
          <w:i/>
        </w:rPr>
        <w:t>vzdělávání</w:t>
      </w:r>
      <w:proofErr w:type="gramEnd"/>
      <w:r w:rsidR="006F0758" w:rsidRPr="006009AB">
        <w:rPr>
          <w:i/>
        </w:rPr>
        <w:t xml:space="preserve"> </w:t>
      </w:r>
      <w:r w:rsidR="00A56526">
        <w:t>a </w:t>
      </w:r>
      <w:r w:rsidR="006F0758" w:rsidRPr="006009AB">
        <w:rPr>
          <w:i/>
        </w:rPr>
        <w:t>organizace;</w:t>
      </w:r>
      <w:r w:rsidR="006F0758" w:rsidRPr="00557780">
        <w:t xml:space="preserve"> </w:t>
      </w:r>
      <w:r w:rsidR="006F0758" w:rsidRPr="006009AB">
        <w:rPr>
          <w:b/>
        </w:rPr>
        <w:t xml:space="preserve">míra dopadu na cílové skupiny </w:t>
      </w:r>
      <w:r w:rsidR="00E910AF" w:rsidRPr="006009AB">
        <w:rPr>
          <w:b/>
          <w:i/>
        </w:rPr>
        <w:t>děti a</w:t>
      </w:r>
      <w:r w:rsidR="00886332">
        <w:rPr>
          <w:b/>
          <w:i/>
        </w:rPr>
        <w:t xml:space="preserve"> </w:t>
      </w:r>
      <w:r w:rsidR="006F0758" w:rsidRPr="006009AB">
        <w:rPr>
          <w:b/>
          <w:i/>
        </w:rPr>
        <w:t>žáci</w:t>
      </w:r>
      <w:r w:rsidR="006F0758" w:rsidRPr="006009AB">
        <w:rPr>
          <w:b/>
        </w:rPr>
        <w:t xml:space="preserve"> a </w:t>
      </w:r>
      <w:r w:rsidR="006F0758" w:rsidRPr="006009AB">
        <w:rPr>
          <w:b/>
          <w:i/>
        </w:rPr>
        <w:t>rodiče dětí a žáků</w:t>
      </w:r>
      <w:r w:rsidR="006F0758" w:rsidRPr="006009AB">
        <w:rPr>
          <w:b/>
        </w:rPr>
        <w:t xml:space="preserve"> není vůbec </w:t>
      </w:r>
      <w:r w:rsidR="0070047A">
        <w:rPr>
          <w:b/>
        </w:rPr>
        <w:t xml:space="preserve">sledována </w:t>
      </w:r>
      <w:r w:rsidR="006F0758" w:rsidRPr="00557780">
        <w:t>(indikátory ani jinou evidencí)</w:t>
      </w:r>
      <w:r>
        <w:t>.</w:t>
      </w:r>
      <w:r w:rsidR="006F0758" w:rsidRPr="00557780">
        <w:t xml:space="preserve"> </w:t>
      </w:r>
    </w:p>
    <w:p w14:paraId="2C8D3DC6" w14:textId="07FCA79C" w:rsidR="00BB1762" w:rsidRPr="00BB1762" w:rsidRDefault="00C63EB2" w:rsidP="00BB1762">
      <w:pPr>
        <w:pStyle w:val="Odstavecseseznamem"/>
        <w:numPr>
          <w:ilvl w:val="1"/>
          <w:numId w:val="7"/>
        </w:numPr>
        <w:ind w:left="851" w:hanging="284"/>
        <w:rPr>
          <w:b/>
        </w:rPr>
      </w:pPr>
      <w:r>
        <w:t>Agentura</w:t>
      </w:r>
      <w:r w:rsidRPr="0070047A">
        <w:t xml:space="preserve"> </w:t>
      </w:r>
      <w:r w:rsidR="00B631A3" w:rsidRPr="0070047A">
        <w:t xml:space="preserve">monitoruje </w:t>
      </w:r>
      <w:r w:rsidR="006F0758" w:rsidRPr="0070047A">
        <w:t xml:space="preserve">plnění </w:t>
      </w:r>
      <w:r w:rsidR="00DA2D78" w:rsidRPr="0070047A">
        <w:t xml:space="preserve">pouze </w:t>
      </w:r>
      <w:r w:rsidR="00BE3C20">
        <w:t xml:space="preserve">části </w:t>
      </w:r>
      <w:r w:rsidR="006F0758" w:rsidRPr="0070047A">
        <w:t xml:space="preserve">výstupů z dílčích činností, ale </w:t>
      </w:r>
      <w:r w:rsidR="0070047A">
        <w:t xml:space="preserve">nesleduje </w:t>
      </w:r>
      <w:r w:rsidR="006F0758" w:rsidRPr="0070047A">
        <w:t>přím</w:t>
      </w:r>
      <w:r w:rsidR="00B631A3" w:rsidRPr="0070047A">
        <w:t>ý</w:t>
      </w:r>
      <w:r w:rsidR="006F0758" w:rsidRPr="0070047A">
        <w:t xml:space="preserve"> dopad podpory </w:t>
      </w:r>
      <w:r w:rsidR="00B631A3" w:rsidRPr="0070047A">
        <w:t xml:space="preserve">za účelem vyhodnocení přínosu </w:t>
      </w:r>
      <w:r w:rsidR="0070047A">
        <w:t>projektu</w:t>
      </w:r>
      <w:r w:rsidR="00BB1762">
        <w:t xml:space="preserve"> pro cílové skupiny</w:t>
      </w:r>
      <w:r w:rsidR="00BB1762">
        <w:rPr>
          <w:rStyle w:val="Znakapoznpodarou"/>
        </w:rPr>
        <w:footnoteReference w:id="61"/>
      </w:r>
      <w:r w:rsidR="00BB1762">
        <w:t xml:space="preserve">. </w:t>
      </w:r>
    </w:p>
    <w:p w14:paraId="326622AD" w14:textId="34737A5F" w:rsidR="006F0758" w:rsidRPr="00BB1762" w:rsidRDefault="00C63EB2" w:rsidP="00A56526">
      <w:pPr>
        <w:keepNext/>
        <w:spacing w:after="0"/>
        <w:ind w:left="567"/>
        <w:rPr>
          <w:b/>
        </w:rPr>
      </w:pPr>
      <w:r>
        <w:rPr>
          <w:b/>
        </w:rPr>
        <w:lastRenderedPageBreak/>
        <w:t>Agentura</w:t>
      </w:r>
      <w:r w:rsidRPr="00BB1762">
        <w:rPr>
          <w:b/>
        </w:rPr>
        <w:t xml:space="preserve"> </w:t>
      </w:r>
      <w:r w:rsidR="006F0758" w:rsidRPr="00BB1762">
        <w:rPr>
          <w:b/>
        </w:rPr>
        <w:t>nenaplní plánované hodnoty – produktové výstupy:</w:t>
      </w:r>
    </w:p>
    <w:p w14:paraId="134D0ABC" w14:textId="58241C8F" w:rsidR="006F0758" w:rsidRPr="007429FD" w:rsidRDefault="00E910AF" w:rsidP="008E5EDF">
      <w:pPr>
        <w:pStyle w:val="Odstavecseseznamem"/>
        <w:numPr>
          <w:ilvl w:val="1"/>
          <w:numId w:val="7"/>
        </w:numPr>
        <w:spacing w:after="0"/>
        <w:ind w:left="851" w:hanging="284"/>
      </w:pPr>
      <w:r>
        <w:t>d</w:t>
      </w:r>
      <w:r w:rsidR="007429FD" w:rsidRPr="007429FD">
        <w:t>osud se nepodařilo navázat spolupráci v KPSV</w:t>
      </w:r>
      <w:r w:rsidR="00B631A3">
        <w:t>L</w:t>
      </w:r>
      <w:r w:rsidR="007429FD" w:rsidRPr="007429FD">
        <w:t xml:space="preserve"> se všemi obcemi, se kterými </w:t>
      </w:r>
      <w:r w:rsidR="00C63EB2">
        <w:t>Agentura</w:t>
      </w:r>
      <w:r w:rsidR="00C63EB2" w:rsidRPr="007429FD">
        <w:t xml:space="preserve"> </w:t>
      </w:r>
      <w:r w:rsidR="007429FD" w:rsidRPr="007429FD">
        <w:t xml:space="preserve">počítala </w:t>
      </w:r>
      <w:r w:rsidR="00DA2D78">
        <w:t xml:space="preserve">pro </w:t>
      </w:r>
      <w:r w:rsidR="007429FD" w:rsidRPr="007429FD">
        <w:t>uzavření memoranda o spolupráci; nezájem obcí znamená nižší počet výstupů určených k využití při realizaci inkluze v SVL;</w:t>
      </w:r>
    </w:p>
    <w:p w14:paraId="0DA19781" w14:textId="4C52EEF6" w:rsidR="006F0758" w:rsidRDefault="00C63EB2" w:rsidP="008E5EDF">
      <w:pPr>
        <w:pStyle w:val="Odstavecseseznamem"/>
        <w:numPr>
          <w:ilvl w:val="1"/>
          <w:numId w:val="7"/>
        </w:numPr>
        <w:ind w:left="851" w:hanging="284"/>
      </w:pPr>
      <w:r>
        <w:t>Agentura</w:t>
      </w:r>
      <w:r w:rsidRPr="00D024AC">
        <w:t xml:space="preserve"> </w:t>
      </w:r>
      <w:r w:rsidR="006F0758">
        <w:t>přip</w:t>
      </w:r>
      <w:r w:rsidR="00734C24">
        <w:t xml:space="preserve">ustila, </w:t>
      </w:r>
      <w:r w:rsidR="006F0758">
        <w:t xml:space="preserve">že </w:t>
      </w:r>
      <w:r w:rsidR="006F0758" w:rsidRPr="00670D69">
        <w:rPr>
          <w:b/>
        </w:rPr>
        <w:t xml:space="preserve">nastavení cílové hodnoty indikátoru </w:t>
      </w:r>
      <w:r w:rsidR="006F0758" w:rsidRPr="00670D69">
        <w:rPr>
          <w:b/>
          <w:i/>
        </w:rPr>
        <w:t>Regionální systémy komplexní odborné a metodické podpory IKV v souladu s</w:t>
      </w:r>
      <w:r w:rsidR="00935FE5">
        <w:rPr>
          <w:b/>
          <w:i/>
        </w:rPr>
        <w:t> </w:t>
      </w:r>
      <w:r w:rsidR="006F0758" w:rsidRPr="00670D69">
        <w:rPr>
          <w:b/>
          <w:i/>
        </w:rPr>
        <w:t>KPSVL</w:t>
      </w:r>
      <w:r w:rsidR="006F0758" w:rsidRPr="00670D69">
        <w:rPr>
          <w:b/>
        </w:rPr>
        <w:t xml:space="preserve"> </w:t>
      </w:r>
      <w:r w:rsidR="004017AF">
        <w:rPr>
          <w:b/>
        </w:rPr>
        <w:t>je</w:t>
      </w:r>
      <w:r w:rsidR="006F0758" w:rsidRPr="00670D69">
        <w:rPr>
          <w:b/>
        </w:rPr>
        <w:t xml:space="preserve"> nereálné</w:t>
      </w:r>
      <w:r w:rsidR="006F0758" w:rsidRPr="00931A64">
        <w:rPr>
          <w:rStyle w:val="Znakapoznpodarou"/>
          <w:b/>
        </w:rPr>
        <w:footnoteReference w:id="62"/>
      </w:r>
      <w:r w:rsidR="006F0758" w:rsidRPr="00931A64">
        <w:rPr>
          <w:b/>
        </w:rPr>
        <w:t>.</w:t>
      </w:r>
    </w:p>
    <w:p w14:paraId="0B3DF51A" w14:textId="1BAD0C07" w:rsidR="006F0758" w:rsidRPr="00873805" w:rsidRDefault="006F0758" w:rsidP="006F0758">
      <w:pPr>
        <w:rPr>
          <w:rFonts w:cstheme="minorHAnsi"/>
        </w:rPr>
      </w:pPr>
      <w:r w:rsidRPr="0070047A">
        <w:rPr>
          <w:rFonts w:cstheme="minorHAnsi"/>
        </w:rPr>
        <w:t>V samotné realizaci projektu IKV není akcentován význa</w:t>
      </w:r>
      <w:r w:rsidR="00E910AF" w:rsidRPr="0070047A">
        <w:rPr>
          <w:rFonts w:cstheme="minorHAnsi"/>
        </w:rPr>
        <w:t>m posílení aktivního přístupu a </w:t>
      </w:r>
      <w:r w:rsidRPr="0070047A">
        <w:rPr>
          <w:rFonts w:cstheme="minorHAnsi"/>
        </w:rPr>
        <w:t xml:space="preserve">spolupráce s obyvateli SVL, zejména s rodiči žáků v oblasti předškolního vzdělávání, </w:t>
      </w:r>
      <w:r w:rsidR="00DA2D78">
        <w:rPr>
          <w:rFonts w:cstheme="minorHAnsi"/>
        </w:rPr>
        <w:t>přestože se jedná o</w:t>
      </w:r>
      <w:r w:rsidRPr="0070047A">
        <w:rPr>
          <w:rFonts w:cstheme="minorHAnsi"/>
        </w:rPr>
        <w:t xml:space="preserve"> nutnou podmínku pro úspěšnou inkluzi dětí a žáků ze SVL. </w:t>
      </w:r>
      <w:r w:rsidR="00C63EB2">
        <w:rPr>
          <w:rFonts w:cstheme="minorHAnsi"/>
        </w:rPr>
        <w:t xml:space="preserve">Agentura </w:t>
      </w:r>
      <w:proofErr w:type="gramStart"/>
      <w:r>
        <w:rPr>
          <w:rFonts w:cstheme="minorHAnsi"/>
        </w:rPr>
        <w:t>zrušila</w:t>
      </w:r>
      <w:proofErr w:type="gramEnd"/>
      <w:r>
        <w:rPr>
          <w:rFonts w:cstheme="minorHAnsi"/>
        </w:rPr>
        <w:t xml:space="preserve"> původně zapojenou pozici </w:t>
      </w:r>
      <w:r>
        <w:rPr>
          <w:rFonts w:cstheme="minorHAnsi"/>
          <w:i/>
        </w:rPr>
        <w:t>Expert na ranou péči a práci s</w:t>
      </w:r>
      <w:r w:rsidR="00DA2D78">
        <w:rPr>
          <w:rFonts w:cstheme="minorHAnsi"/>
          <w:i/>
        </w:rPr>
        <w:t xml:space="preserve"> </w:t>
      </w:r>
      <w:r>
        <w:rPr>
          <w:rFonts w:cstheme="minorHAnsi"/>
          <w:i/>
        </w:rPr>
        <w:t>rodinou</w:t>
      </w:r>
      <w:r w:rsidR="000D58C6">
        <w:rPr>
          <w:rFonts w:cstheme="minorHAnsi"/>
        </w:rPr>
        <w:t>, která měla působit v projektu po celou dobu jeho realizace.</w:t>
      </w:r>
      <w:r>
        <w:rPr>
          <w:rFonts w:cstheme="minorHAnsi"/>
          <w:i/>
        </w:rPr>
        <w:t xml:space="preserve"> </w:t>
      </w:r>
      <w:r w:rsidR="00E910AF">
        <w:rPr>
          <w:rFonts w:cstheme="minorHAnsi"/>
          <w:b/>
        </w:rPr>
        <w:t xml:space="preserve">Míra zapojení obyvatel SVL </w:t>
      </w:r>
      <w:r w:rsidR="00DA2D78">
        <w:rPr>
          <w:rFonts w:cstheme="minorHAnsi"/>
          <w:b/>
        </w:rPr>
        <w:t xml:space="preserve">do </w:t>
      </w:r>
      <w:r w:rsidRPr="008F7F9A">
        <w:rPr>
          <w:rFonts w:cstheme="minorHAnsi"/>
          <w:b/>
        </w:rPr>
        <w:t>spoluprác</w:t>
      </w:r>
      <w:r w:rsidR="00DA2D78">
        <w:rPr>
          <w:rFonts w:cstheme="minorHAnsi"/>
          <w:b/>
        </w:rPr>
        <w:t>e</w:t>
      </w:r>
      <w:r w:rsidRPr="008F7F9A">
        <w:rPr>
          <w:rFonts w:cstheme="minorHAnsi"/>
          <w:b/>
        </w:rPr>
        <w:t xml:space="preserve"> </w:t>
      </w:r>
      <w:r w:rsidR="000D58C6">
        <w:rPr>
          <w:rFonts w:cstheme="minorHAnsi"/>
          <w:b/>
        </w:rPr>
        <w:t>s </w:t>
      </w:r>
      <w:r w:rsidR="00C63EB2">
        <w:rPr>
          <w:rFonts w:cstheme="minorHAnsi"/>
          <w:b/>
        </w:rPr>
        <w:t>Agentur</w:t>
      </w:r>
      <w:r w:rsidR="00DA2D78">
        <w:rPr>
          <w:rFonts w:cstheme="minorHAnsi"/>
          <w:b/>
        </w:rPr>
        <w:t>ou</w:t>
      </w:r>
      <w:r w:rsidR="00C63EB2">
        <w:rPr>
          <w:rFonts w:cstheme="minorHAnsi"/>
          <w:b/>
        </w:rPr>
        <w:t xml:space="preserve"> </w:t>
      </w:r>
      <w:r w:rsidRPr="008F7F9A">
        <w:rPr>
          <w:rFonts w:cstheme="minorHAnsi"/>
          <w:b/>
        </w:rPr>
        <w:t>při řešení problémů inkluzivního vzdělávání v SVL je nízká.</w:t>
      </w:r>
      <w:r w:rsidRPr="004D2011">
        <w:rPr>
          <w:rFonts w:cstheme="minorHAnsi"/>
        </w:rPr>
        <w:t xml:space="preserve"> </w:t>
      </w:r>
      <w:r w:rsidR="0070047A" w:rsidRPr="004D2011">
        <w:rPr>
          <w:rFonts w:cstheme="minorHAnsi"/>
        </w:rPr>
        <w:t>Z celkového schváleného rozpoč</w:t>
      </w:r>
      <w:r w:rsidR="00A56526">
        <w:rPr>
          <w:rFonts w:cstheme="minorHAnsi"/>
        </w:rPr>
        <w:t>tu projektu IKV je</w:t>
      </w:r>
      <w:r w:rsidR="005E0801">
        <w:rPr>
          <w:rFonts w:cstheme="minorHAnsi"/>
        </w:rPr>
        <w:t xml:space="preserve"> </w:t>
      </w:r>
      <w:r w:rsidR="0070047A">
        <w:rPr>
          <w:rFonts w:cstheme="minorHAnsi"/>
        </w:rPr>
        <w:t>pouze 0,82 </w:t>
      </w:r>
      <w:r w:rsidR="0070047A" w:rsidRPr="004D2011">
        <w:rPr>
          <w:rFonts w:cstheme="minorHAnsi"/>
        </w:rPr>
        <w:t>% zaměřeno na přímou podporu cílov</w:t>
      </w:r>
      <w:r w:rsidR="00DA2D78">
        <w:rPr>
          <w:rFonts w:cstheme="minorHAnsi"/>
        </w:rPr>
        <w:t>é</w:t>
      </w:r>
      <w:r w:rsidR="0070047A" w:rsidRPr="004D2011">
        <w:rPr>
          <w:rFonts w:cstheme="minorHAnsi"/>
        </w:rPr>
        <w:t xml:space="preserve"> skupin</w:t>
      </w:r>
      <w:r w:rsidR="00DA2D78">
        <w:rPr>
          <w:rFonts w:cstheme="minorHAnsi"/>
        </w:rPr>
        <w:t>y</w:t>
      </w:r>
      <w:r w:rsidR="0070047A" w:rsidRPr="004D2011">
        <w:rPr>
          <w:rFonts w:cstheme="minorHAnsi"/>
        </w:rPr>
        <w:t xml:space="preserve"> (</w:t>
      </w:r>
      <w:r w:rsidR="00A56526">
        <w:rPr>
          <w:rFonts w:cstheme="minorHAnsi"/>
        </w:rPr>
        <w:t xml:space="preserve">cílová skupina </w:t>
      </w:r>
      <w:r w:rsidR="00DA2D78">
        <w:rPr>
          <w:rFonts w:cstheme="minorHAnsi"/>
          <w:i/>
        </w:rPr>
        <w:t>p</w:t>
      </w:r>
      <w:r w:rsidR="00A56526">
        <w:rPr>
          <w:rFonts w:cstheme="minorHAnsi"/>
          <w:i/>
        </w:rPr>
        <w:t>racovníci ve</w:t>
      </w:r>
      <w:r w:rsidR="005E0801">
        <w:rPr>
          <w:rFonts w:cstheme="minorHAnsi"/>
          <w:i/>
        </w:rPr>
        <w:t xml:space="preserve"> </w:t>
      </w:r>
      <w:r w:rsidR="00A56526">
        <w:rPr>
          <w:rFonts w:cstheme="minorHAnsi"/>
          <w:i/>
        </w:rPr>
        <w:t>vzdělávání</w:t>
      </w:r>
      <w:r w:rsidR="0070047A" w:rsidRPr="004D2011">
        <w:rPr>
          <w:rFonts w:cstheme="minorHAnsi"/>
        </w:rPr>
        <w:t xml:space="preserve">). </w:t>
      </w:r>
      <w:r w:rsidRPr="004D2011">
        <w:rPr>
          <w:rFonts w:cstheme="minorHAnsi"/>
        </w:rPr>
        <w:t>Nedostatečný kontakt a zapojení obyvatel SVL uvedla již v roce 2015 např. evaluace činnosti vládní</w:t>
      </w:r>
      <w:r w:rsidR="00E910AF">
        <w:rPr>
          <w:rFonts w:cstheme="minorHAnsi"/>
        </w:rPr>
        <w:t xml:space="preserve"> agentury v 18 obcích a městech</w:t>
      </w:r>
      <w:r w:rsidRPr="00662CDE">
        <w:rPr>
          <w:rStyle w:val="Znakapoznpodarou"/>
        </w:rPr>
        <w:footnoteReference w:id="63"/>
      </w:r>
      <w:r w:rsidR="00E910AF">
        <w:rPr>
          <w:rFonts w:cstheme="minorHAnsi"/>
        </w:rPr>
        <w:t>.</w:t>
      </w:r>
      <w:r w:rsidRPr="00873805">
        <w:rPr>
          <w:rStyle w:val="Znakapoznpodarou"/>
          <w:vertAlign w:val="baseline"/>
        </w:rPr>
        <w:t xml:space="preserve"> </w:t>
      </w:r>
    </w:p>
    <w:p w14:paraId="62F093A0" w14:textId="7EEC8BA3" w:rsidR="006F0758" w:rsidRPr="00557780" w:rsidRDefault="006F0758" w:rsidP="006F0758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Nedostatečné zapojení a chybějící </w:t>
      </w:r>
      <w:r w:rsidR="0070047A">
        <w:rPr>
          <w:rFonts w:eastAsiaTheme="minorEastAsia" w:cstheme="minorHAnsi"/>
        </w:rPr>
        <w:t>přím</w:t>
      </w:r>
      <w:r w:rsidR="00E20C74">
        <w:rPr>
          <w:rFonts w:eastAsiaTheme="minorEastAsia" w:cstheme="minorHAnsi"/>
        </w:rPr>
        <w:t>ou</w:t>
      </w:r>
      <w:r w:rsidR="0070047A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spoluprác</w:t>
      </w:r>
      <w:r w:rsidR="00E20C74">
        <w:rPr>
          <w:rFonts w:eastAsiaTheme="minorEastAsia" w:cstheme="minorHAnsi"/>
        </w:rPr>
        <w:t>i</w:t>
      </w:r>
      <w:r>
        <w:rPr>
          <w:rFonts w:eastAsiaTheme="minorEastAsia" w:cstheme="minorHAnsi"/>
        </w:rPr>
        <w:t xml:space="preserve"> se školami</w:t>
      </w:r>
      <w:r w:rsidR="0070047A">
        <w:rPr>
          <w:rFonts w:eastAsiaTheme="minorEastAsia" w:cstheme="minorHAnsi"/>
        </w:rPr>
        <w:t xml:space="preserve">, jichž se inkluze nejvíce týká, </w:t>
      </w:r>
      <w:r w:rsidR="00D43B85">
        <w:rPr>
          <w:rFonts w:eastAsiaTheme="minorEastAsia" w:cstheme="minorHAnsi"/>
        </w:rPr>
        <w:t>konstatuje</w:t>
      </w:r>
      <w:r w:rsidR="004D0B8F">
        <w:rPr>
          <w:rFonts w:eastAsiaTheme="minorEastAsia" w:cstheme="minorHAnsi"/>
        </w:rPr>
        <w:t xml:space="preserve"> i </w:t>
      </w:r>
      <w:r w:rsidR="00D43B85">
        <w:rPr>
          <w:rFonts w:eastAsiaTheme="minorEastAsia" w:cstheme="minorHAnsi"/>
        </w:rPr>
        <w:t>druhá</w:t>
      </w:r>
      <w:r w:rsidRPr="00557780">
        <w:rPr>
          <w:rFonts w:eastAsiaTheme="minorEastAsia" w:cstheme="minorHAnsi"/>
        </w:rPr>
        <w:t xml:space="preserve"> průběžn</w:t>
      </w:r>
      <w:r w:rsidR="00D43B85">
        <w:rPr>
          <w:rFonts w:eastAsiaTheme="minorEastAsia" w:cstheme="minorHAnsi"/>
        </w:rPr>
        <w:t>á</w:t>
      </w:r>
      <w:r w:rsidRPr="0055778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evaluační </w:t>
      </w:r>
      <w:r w:rsidRPr="00557780">
        <w:rPr>
          <w:rFonts w:eastAsiaTheme="minorEastAsia" w:cstheme="minorHAnsi"/>
        </w:rPr>
        <w:t>zpráv</w:t>
      </w:r>
      <w:r w:rsidR="00D43B85">
        <w:rPr>
          <w:rFonts w:eastAsiaTheme="minorEastAsia" w:cstheme="minorHAnsi"/>
        </w:rPr>
        <w:t>a</w:t>
      </w:r>
      <w:r>
        <w:rPr>
          <w:rStyle w:val="Znakapoznpodarou"/>
          <w:rFonts w:eastAsiaTheme="minorEastAsia" w:cstheme="minorHAnsi"/>
        </w:rPr>
        <w:footnoteReference w:id="64"/>
      </w:r>
      <w:r>
        <w:rPr>
          <w:rFonts w:eastAsiaTheme="minorEastAsia" w:cstheme="minorHAnsi"/>
        </w:rPr>
        <w:t>:</w:t>
      </w:r>
    </w:p>
    <w:p w14:paraId="425C4F45" w14:textId="3E3D0CB0" w:rsidR="006F0758" w:rsidRDefault="00D43B85" w:rsidP="008E5EDF">
      <w:pPr>
        <w:pStyle w:val="Odstavecseseznamem"/>
        <w:numPr>
          <w:ilvl w:val="1"/>
          <w:numId w:val="10"/>
        </w:numPr>
        <w:spacing w:after="0"/>
        <w:ind w:left="851" w:hanging="284"/>
        <w:rPr>
          <w:rFonts w:cstheme="minorHAnsi"/>
        </w:rPr>
      </w:pPr>
      <w:r>
        <w:rPr>
          <w:rFonts w:cstheme="minorHAnsi"/>
        </w:rPr>
        <w:t>V</w:t>
      </w:r>
      <w:r w:rsidR="006F0758" w:rsidRPr="00557780">
        <w:rPr>
          <w:rFonts w:cstheme="minorHAnsi"/>
        </w:rPr>
        <w:t xml:space="preserve"> některých případech </w:t>
      </w:r>
      <w:r w:rsidR="006F0758" w:rsidRPr="0006756B">
        <w:rPr>
          <w:rFonts w:cstheme="minorHAnsi"/>
          <w:b/>
        </w:rPr>
        <w:t>aktéři ze školství nemají povědomí o pro</w:t>
      </w:r>
      <w:r w:rsidR="00E910AF" w:rsidRPr="0006756B">
        <w:rPr>
          <w:rFonts w:cstheme="minorHAnsi"/>
          <w:b/>
        </w:rPr>
        <w:t>cesu přípravy a </w:t>
      </w:r>
      <w:r w:rsidR="006F0758" w:rsidRPr="0006756B">
        <w:rPr>
          <w:rFonts w:cstheme="minorHAnsi"/>
          <w:b/>
        </w:rPr>
        <w:t>schvalování strategických dokumentů</w:t>
      </w:r>
      <w:r w:rsidRPr="00931A64">
        <w:rPr>
          <w:rFonts w:cstheme="minorHAnsi"/>
          <w:b/>
        </w:rPr>
        <w:t>.</w:t>
      </w:r>
    </w:p>
    <w:p w14:paraId="6A59E45A" w14:textId="471CA104" w:rsidR="006F0758" w:rsidRPr="00557780" w:rsidRDefault="00D43B85" w:rsidP="008E5EDF">
      <w:pPr>
        <w:pStyle w:val="Odstavecseseznamem"/>
        <w:numPr>
          <w:ilvl w:val="1"/>
          <w:numId w:val="10"/>
        </w:numPr>
        <w:ind w:left="851" w:hanging="284"/>
        <w:rPr>
          <w:rFonts w:cstheme="minorHAnsi"/>
        </w:rPr>
      </w:pPr>
      <w:r>
        <w:rPr>
          <w:rFonts w:cstheme="minorHAnsi"/>
        </w:rPr>
        <w:t>P</w:t>
      </w:r>
      <w:r w:rsidR="006F0758" w:rsidRPr="00557780">
        <w:rPr>
          <w:rFonts w:cstheme="minorHAnsi"/>
        </w:rPr>
        <w:t xml:space="preserve">rojekty, na nichž se podílí </w:t>
      </w:r>
      <w:r w:rsidR="00C63EB2">
        <w:rPr>
          <w:rFonts w:cstheme="minorHAnsi"/>
        </w:rPr>
        <w:t>Agentura</w:t>
      </w:r>
      <w:r w:rsidR="006F0758">
        <w:rPr>
          <w:rFonts w:cstheme="minorHAnsi"/>
        </w:rPr>
        <w:t xml:space="preserve">, </w:t>
      </w:r>
      <w:r w:rsidR="006F0758" w:rsidRPr="0070047A">
        <w:rPr>
          <w:rFonts w:cstheme="minorHAnsi"/>
          <w:b/>
        </w:rPr>
        <w:t>jsou většinou připravovány městy nebo neziskovými organizacemi (školy jsou jen partnery</w:t>
      </w:r>
      <w:r w:rsidR="006F0758" w:rsidRPr="00931A64">
        <w:rPr>
          <w:rFonts w:cstheme="minorHAnsi"/>
          <w:b/>
        </w:rPr>
        <w:t>).</w:t>
      </w:r>
    </w:p>
    <w:p w14:paraId="63465F18" w14:textId="37C322F7" w:rsidR="00901E2D" w:rsidRDefault="006F0758" w:rsidP="006F0758">
      <w:pPr>
        <w:rPr>
          <w:rFonts w:cstheme="minorHAnsi"/>
        </w:rPr>
      </w:pPr>
      <w:r w:rsidRPr="004D2011">
        <w:rPr>
          <w:rFonts w:cstheme="minorHAnsi"/>
        </w:rPr>
        <w:t xml:space="preserve">Četné změny </w:t>
      </w:r>
      <w:r>
        <w:rPr>
          <w:rFonts w:cstheme="minorHAnsi"/>
        </w:rPr>
        <w:t xml:space="preserve">od počátku realizace </w:t>
      </w:r>
      <w:r w:rsidRPr="004D2011">
        <w:rPr>
          <w:rFonts w:cstheme="minorHAnsi"/>
        </w:rPr>
        <w:t xml:space="preserve">projektu </w:t>
      </w:r>
      <w:r>
        <w:rPr>
          <w:rFonts w:cstheme="minorHAnsi"/>
        </w:rPr>
        <w:t xml:space="preserve">IKV </w:t>
      </w:r>
      <w:r w:rsidRPr="004D2011">
        <w:rPr>
          <w:rFonts w:cstheme="minorHAnsi"/>
        </w:rPr>
        <w:t xml:space="preserve">vedly k tomu, že </w:t>
      </w:r>
      <w:r w:rsidR="00045714">
        <w:rPr>
          <w:rFonts w:cstheme="minorHAnsi"/>
          <w:b/>
        </w:rPr>
        <w:t xml:space="preserve">aktuálně realizovaný </w:t>
      </w:r>
      <w:r w:rsidRPr="008F7F9A">
        <w:rPr>
          <w:rFonts w:cstheme="minorHAnsi"/>
          <w:b/>
        </w:rPr>
        <w:t>projekt</w:t>
      </w:r>
      <w:r w:rsidR="00045714">
        <w:rPr>
          <w:rFonts w:cstheme="minorHAnsi"/>
          <w:b/>
        </w:rPr>
        <w:t xml:space="preserve"> je </w:t>
      </w:r>
      <w:r w:rsidRPr="008F7F9A">
        <w:rPr>
          <w:rFonts w:cstheme="minorHAnsi"/>
          <w:b/>
        </w:rPr>
        <w:t>odlišný od projektu,</w:t>
      </w:r>
      <w:r w:rsidR="00A56526">
        <w:rPr>
          <w:rFonts w:cstheme="minorHAnsi"/>
          <w:b/>
        </w:rPr>
        <w:t xml:space="preserve"> který byl hodnocen a schválen ř</w:t>
      </w:r>
      <w:r w:rsidRPr="008F7F9A">
        <w:rPr>
          <w:rFonts w:cstheme="minorHAnsi"/>
          <w:b/>
        </w:rPr>
        <w:t>ídicím orgánem OP VVV</w:t>
      </w:r>
      <w:r>
        <w:rPr>
          <w:rFonts w:cstheme="minorHAnsi"/>
          <w:b/>
        </w:rPr>
        <w:t xml:space="preserve">, </w:t>
      </w:r>
      <w:r w:rsidRPr="004D2011">
        <w:rPr>
          <w:rFonts w:cstheme="minorHAnsi"/>
        </w:rPr>
        <w:t xml:space="preserve">především </w:t>
      </w:r>
      <w:r w:rsidR="00A56526">
        <w:rPr>
          <w:rFonts w:cstheme="minorHAnsi"/>
        </w:rPr>
        <w:t>u </w:t>
      </w:r>
      <w:r w:rsidR="00045714">
        <w:rPr>
          <w:rFonts w:cstheme="minorHAnsi"/>
        </w:rPr>
        <w:t xml:space="preserve">zapojených </w:t>
      </w:r>
      <w:r w:rsidR="00F03843">
        <w:rPr>
          <w:rFonts w:cstheme="minorHAnsi"/>
        </w:rPr>
        <w:t xml:space="preserve">odborných </w:t>
      </w:r>
      <w:r w:rsidRPr="004D2011">
        <w:rPr>
          <w:rFonts w:cstheme="minorHAnsi"/>
        </w:rPr>
        <w:t>pracovních pozic</w:t>
      </w:r>
      <w:r w:rsidR="00045714">
        <w:rPr>
          <w:rFonts w:cstheme="minorHAnsi"/>
        </w:rPr>
        <w:t xml:space="preserve">, z nichž </w:t>
      </w:r>
      <w:r>
        <w:rPr>
          <w:rFonts w:cstheme="minorHAnsi"/>
        </w:rPr>
        <w:t xml:space="preserve">změnami prošly všechny pozice z původně schváleného projektu. </w:t>
      </w:r>
    </w:p>
    <w:p w14:paraId="159A4C2E" w14:textId="112D1AEF" w:rsidR="006F0758" w:rsidRPr="00901E2D" w:rsidRDefault="000D58C6" w:rsidP="006F0758">
      <w:pPr>
        <w:rPr>
          <w:rFonts w:eastAsiaTheme="minorEastAsia" w:cstheme="minorHAnsi"/>
        </w:rPr>
      </w:pPr>
      <w:r w:rsidRPr="00901E2D">
        <w:rPr>
          <w:rFonts w:cstheme="minorHAnsi"/>
        </w:rPr>
        <w:t>NKÚ zjistil u projektu IKV n</w:t>
      </w:r>
      <w:r w:rsidR="006F0758" w:rsidRPr="00901E2D">
        <w:rPr>
          <w:rFonts w:eastAsiaTheme="minorEastAsia" w:cstheme="minorHAnsi"/>
        </w:rPr>
        <w:t xml:space="preserve">edostatky </w:t>
      </w:r>
      <w:r w:rsidR="00E910AF" w:rsidRPr="00901E2D">
        <w:rPr>
          <w:rFonts w:eastAsiaTheme="minorEastAsia" w:cstheme="minorHAnsi"/>
        </w:rPr>
        <w:t>v </w:t>
      </w:r>
      <w:r w:rsidR="006F0758" w:rsidRPr="00901E2D">
        <w:rPr>
          <w:rFonts w:eastAsiaTheme="minorEastAsia" w:cstheme="minorHAnsi"/>
        </w:rPr>
        <w:t>oblasti personálního</w:t>
      </w:r>
      <w:r w:rsidR="00901E2D" w:rsidRPr="00901E2D">
        <w:rPr>
          <w:rFonts w:eastAsiaTheme="minorEastAsia" w:cstheme="minorHAnsi"/>
        </w:rPr>
        <w:t xml:space="preserve"> </w:t>
      </w:r>
      <w:r w:rsidR="004D0B8F">
        <w:rPr>
          <w:rFonts w:eastAsiaTheme="minorEastAsia" w:cstheme="minorHAnsi"/>
        </w:rPr>
        <w:t xml:space="preserve">i </w:t>
      </w:r>
      <w:r w:rsidR="00901E2D" w:rsidRPr="00901E2D">
        <w:rPr>
          <w:rFonts w:eastAsiaTheme="minorEastAsia" w:cstheme="minorHAnsi"/>
        </w:rPr>
        <w:t xml:space="preserve">finančního </w:t>
      </w:r>
      <w:r w:rsidR="006F0758" w:rsidRPr="00901E2D">
        <w:rPr>
          <w:rFonts w:eastAsiaTheme="minorEastAsia" w:cstheme="minorHAnsi"/>
        </w:rPr>
        <w:t>řízení projektu</w:t>
      </w:r>
      <w:r w:rsidR="00A56526">
        <w:rPr>
          <w:rFonts w:eastAsiaTheme="minorEastAsia" w:cstheme="minorHAnsi"/>
        </w:rPr>
        <w:t xml:space="preserve"> a </w:t>
      </w:r>
      <w:r w:rsidR="00901E2D" w:rsidRPr="00901E2D">
        <w:rPr>
          <w:rFonts w:eastAsiaTheme="minorEastAsia" w:cstheme="minorHAnsi"/>
        </w:rPr>
        <w:t>v oblasti řízení rizik.</w:t>
      </w:r>
      <w:r w:rsidRPr="00901E2D">
        <w:rPr>
          <w:rFonts w:eastAsiaTheme="minorEastAsia" w:cstheme="minorHAnsi"/>
        </w:rPr>
        <w:t xml:space="preserve"> </w:t>
      </w:r>
    </w:p>
    <w:p w14:paraId="772EC351" w14:textId="6ADEFE47" w:rsidR="006F0758" w:rsidRDefault="006F0758" w:rsidP="00045714">
      <w:pPr>
        <w:rPr>
          <w:rFonts w:cstheme="minorHAnsi"/>
        </w:rPr>
      </w:pPr>
      <w:r>
        <w:rPr>
          <w:rFonts w:eastAsiaTheme="minorEastAsia" w:cstheme="minorHAnsi"/>
          <w:b/>
        </w:rPr>
        <w:t xml:space="preserve">NKÚ u projektu IKV identifikoval nezpůsobilé výdaje, které </w:t>
      </w:r>
      <w:r w:rsidR="008D1528">
        <w:rPr>
          <w:rFonts w:eastAsiaTheme="minorEastAsia" w:cstheme="minorHAnsi"/>
          <w:b/>
        </w:rPr>
        <w:t>plynou</w:t>
      </w:r>
      <w:r>
        <w:rPr>
          <w:rFonts w:eastAsiaTheme="minorEastAsia" w:cstheme="minorHAnsi"/>
          <w:b/>
        </w:rPr>
        <w:t xml:space="preserve"> z neúčelného používání peněžních </w:t>
      </w:r>
      <w:r w:rsidRPr="008F7F9A">
        <w:rPr>
          <w:rFonts w:eastAsiaTheme="minorEastAsia" w:cstheme="minorHAnsi"/>
          <w:b/>
        </w:rPr>
        <w:t>prostředků</w:t>
      </w:r>
      <w:r w:rsidR="00045714">
        <w:rPr>
          <w:rFonts w:eastAsiaTheme="minorEastAsia" w:cstheme="minorHAnsi"/>
          <w:b/>
        </w:rPr>
        <w:t xml:space="preserve">, </w:t>
      </w:r>
      <w:r w:rsidR="00045714">
        <w:rPr>
          <w:rFonts w:eastAsiaTheme="minorEastAsia" w:cstheme="minorHAnsi"/>
        </w:rPr>
        <w:t xml:space="preserve">kdy </w:t>
      </w:r>
      <w:r w:rsidR="00C63EB2">
        <w:rPr>
          <w:rFonts w:eastAsiaTheme="minorEastAsia" w:cstheme="minorHAnsi"/>
        </w:rPr>
        <w:t xml:space="preserve">Agentura </w:t>
      </w:r>
      <w:r w:rsidR="00045714">
        <w:rPr>
          <w:rFonts w:eastAsiaTheme="minorEastAsia" w:cstheme="minorHAnsi"/>
        </w:rPr>
        <w:t xml:space="preserve">používala </w:t>
      </w:r>
      <w:r w:rsidRPr="00AE6551">
        <w:rPr>
          <w:rFonts w:cstheme="minorHAnsi"/>
        </w:rPr>
        <w:t>tři vo</w:t>
      </w:r>
      <w:r w:rsidR="00B11498">
        <w:rPr>
          <w:rFonts w:cstheme="minorHAnsi"/>
        </w:rPr>
        <w:t>zidla pořízená v rámci projektu na</w:t>
      </w:r>
      <w:r w:rsidR="005E0801">
        <w:rPr>
          <w:rFonts w:cstheme="minorHAnsi"/>
        </w:rPr>
        <w:t xml:space="preserve"> </w:t>
      </w:r>
      <w:r w:rsidRPr="00AE6551">
        <w:rPr>
          <w:rFonts w:cstheme="minorHAnsi"/>
        </w:rPr>
        <w:t>operativní leasing i k jiným účelům než jen pro projekt IKV</w:t>
      </w:r>
      <w:r w:rsidR="000D7281">
        <w:rPr>
          <w:rFonts w:cstheme="minorHAnsi"/>
        </w:rPr>
        <w:t>.</w:t>
      </w:r>
      <w:r w:rsidR="00FC5946">
        <w:rPr>
          <w:rFonts w:cstheme="minorHAnsi"/>
        </w:rPr>
        <w:t xml:space="preserve"> </w:t>
      </w:r>
      <w:r w:rsidR="000D7281">
        <w:rPr>
          <w:rFonts w:cstheme="minorHAnsi"/>
        </w:rPr>
        <w:t>T</w:t>
      </w:r>
      <w:r w:rsidR="00B11498">
        <w:rPr>
          <w:rFonts w:cstheme="minorHAnsi"/>
        </w:rPr>
        <w:t>ato vozidla používali i</w:t>
      </w:r>
      <w:r w:rsidR="005E0801">
        <w:rPr>
          <w:rFonts w:cstheme="minorHAnsi"/>
        </w:rPr>
        <w:t xml:space="preserve"> </w:t>
      </w:r>
      <w:r w:rsidRPr="00AE6551">
        <w:rPr>
          <w:rFonts w:cstheme="minorHAnsi"/>
        </w:rPr>
        <w:t xml:space="preserve">pracovníci, kteří nebyli v projektu </w:t>
      </w:r>
      <w:r>
        <w:rPr>
          <w:rFonts w:cstheme="minorHAnsi"/>
        </w:rPr>
        <w:t xml:space="preserve">vůbec </w:t>
      </w:r>
      <w:r w:rsidRPr="00AE6551">
        <w:rPr>
          <w:rFonts w:cstheme="minorHAnsi"/>
        </w:rPr>
        <w:t>zapojeni</w:t>
      </w:r>
      <w:r w:rsidR="00045714">
        <w:rPr>
          <w:rFonts w:cstheme="minorHAnsi"/>
        </w:rPr>
        <w:t>. S</w:t>
      </w:r>
      <w:r w:rsidRPr="00BB6399">
        <w:rPr>
          <w:rFonts w:cstheme="minorHAnsi"/>
        </w:rPr>
        <w:t> výdaji za vozidla souvis</w:t>
      </w:r>
      <w:r>
        <w:rPr>
          <w:rFonts w:cstheme="minorHAnsi"/>
        </w:rPr>
        <w:t xml:space="preserve">ejí i neúčelné </w:t>
      </w:r>
      <w:r w:rsidRPr="00BB6399">
        <w:rPr>
          <w:rFonts w:cstheme="minorHAnsi"/>
        </w:rPr>
        <w:t>výdaje za nájem</w:t>
      </w:r>
      <w:r w:rsidR="00DA1B53">
        <w:rPr>
          <w:rFonts w:cstheme="minorHAnsi"/>
        </w:rPr>
        <w:t xml:space="preserve"> </w:t>
      </w:r>
      <w:r w:rsidR="00DA1B53">
        <w:rPr>
          <w:rFonts w:cstheme="minorHAnsi"/>
        </w:rPr>
        <w:lastRenderedPageBreak/>
        <w:t>parkovacích míst a výdaje na</w:t>
      </w:r>
      <w:r w:rsidR="005E0801">
        <w:rPr>
          <w:rFonts w:cstheme="minorHAnsi"/>
        </w:rPr>
        <w:t xml:space="preserve"> </w:t>
      </w:r>
      <w:r w:rsidRPr="00BB6399">
        <w:rPr>
          <w:rFonts w:cstheme="minorHAnsi"/>
        </w:rPr>
        <w:t>provoz těchto vozidel</w:t>
      </w:r>
      <w:r>
        <w:rPr>
          <w:rFonts w:cstheme="minorHAnsi"/>
        </w:rPr>
        <w:t xml:space="preserve"> (</w:t>
      </w:r>
      <w:r w:rsidRPr="00BB6399">
        <w:rPr>
          <w:rFonts w:cstheme="minorHAnsi"/>
        </w:rPr>
        <w:t>vozidla byla využívána jen sporadicky</w:t>
      </w:r>
      <w:r>
        <w:rPr>
          <w:rFonts w:cstheme="minorHAnsi"/>
        </w:rPr>
        <w:t xml:space="preserve"> a je zřejmé, že nebyla pro projekt potřeb</w:t>
      </w:r>
      <w:r w:rsidR="000D7281">
        <w:rPr>
          <w:rFonts w:cstheme="minorHAnsi"/>
        </w:rPr>
        <w:t>ná</w:t>
      </w:r>
      <w:r>
        <w:rPr>
          <w:rFonts w:cstheme="minorHAnsi"/>
        </w:rPr>
        <w:t>).</w:t>
      </w:r>
    </w:p>
    <w:p w14:paraId="1D4BCEBD" w14:textId="01ECE982" w:rsidR="006F0758" w:rsidRDefault="006F0758" w:rsidP="00045714">
      <w:pPr>
        <w:rPr>
          <w:rFonts w:cstheme="minorHAnsi"/>
        </w:rPr>
      </w:pPr>
      <w:r>
        <w:rPr>
          <w:rFonts w:cstheme="minorHAnsi"/>
        </w:rPr>
        <w:t>V</w:t>
      </w:r>
      <w:r w:rsidR="000D58C6">
        <w:rPr>
          <w:rFonts w:cstheme="minorHAnsi"/>
        </w:rPr>
        <w:t> </w:t>
      </w:r>
      <w:r w:rsidRPr="00AE6551">
        <w:rPr>
          <w:rFonts w:cstheme="minorHAnsi"/>
        </w:rPr>
        <w:t>projektu</w:t>
      </w:r>
      <w:r w:rsidR="000D58C6">
        <w:rPr>
          <w:rFonts w:cstheme="minorHAnsi"/>
        </w:rPr>
        <w:t xml:space="preserve"> IKV </w:t>
      </w:r>
      <w:r w:rsidRPr="00AE6551">
        <w:rPr>
          <w:rFonts w:cstheme="minorHAnsi"/>
        </w:rPr>
        <w:t xml:space="preserve">existují </w:t>
      </w:r>
      <w:r w:rsidRPr="00AE6551">
        <w:rPr>
          <w:rFonts w:cstheme="minorHAnsi"/>
          <w:b/>
        </w:rPr>
        <w:t>další rizika neúčelně vynaložených prostředků</w:t>
      </w:r>
      <w:r w:rsidR="00901E2D">
        <w:rPr>
          <w:rStyle w:val="Znakapoznpodarou"/>
          <w:rFonts w:cstheme="minorHAnsi"/>
          <w:b/>
        </w:rPr>
        <w:footnoteReference w:id="65"/>
      </w:r>
      <w:r w:rsidR="00901E2D">
        <w:rPr>
          <w:rFonts w:cstheme="minorHAnsi"/>
          <w:b/>
        </w:rPr>
        <w:t xml:space="preserve">. </w:t>
      </w:r>
      <w:r w:rsidR="00045714">
        <w:rPr>
          <w:rFonts w:cstheme="minorHAnsi"/>
        </w:rPr>
        <w:t xml:space="preserve">V </w:t>
      </w:r>
      <w:r w:rsidRPr="001670C3">
        <w:rPr>
          <w:rFonts w:cstheme="minorHAnsi"/>
        </w:rPr>
        <w:t xml:space="preserve">oblasti finančního řízení projektu byla identifikována </w:t>
      </w:r>
      <w:r w:rsidRPr="00045714">
        <w:rPr>
          <w:rFonts w:cstheme="minorHAnsi"/>
          <w:b/>
        </w:rPr>
        <w:t>rizika vytvoření „skrytých finančních rezerv“ u některých pracovních pozic</w:t>
      </w:r>
      <w:r w:rsidRPr="00267A87">
        <w:rPr>
          <w:rFonts w:cstheme="minorHAnsi"/>
          <w:b/>
        </w:rPr>
        <w:t>,</w:t>
      </w:r>
      <w:r w:rsidRPr="001670C3">
        <w:rPr>
          <w:rFonts w:cstheme="minorHAnsi"/>
        </w:rPr>
        <w:t xml:space="preserve"> kdy příjemce významnou část původně rozpočtovaných prostředků převedl do položek, které s původní náplní pozice nesouvis</w:t>
      </w:r>
      <w:r>
        <w:rPr>
          <w:rFonts w:cstheme="minorHAnsi"/>
        </w:rPr>
        <w:t>ejí</w:t>
      </w:r>
      <w:r>
        <w:rPr>
          <w:rStyle w:val="Znakapoznpodarou"/>
          <w:rFonts w:cstheme="minorHAnsi"/>
        </w:rPr>
        <w:footnoteReference w:id="66"/>
      </w:r>
      <w:r w:rsidR="004F2695">
        <w:rPr>
          <w:rFonts w:cstheme="minorHAnsi"/>
        </w:rPr>
        <w:t>,</w:t>
      </w:r>
      <w:r w:rsidRPr="001670C3">
        <w:rPr>
          <w:rFonts w:cstheme="minorHAnsi"/>
        </w:rPr>
        <w:t xml:space="preserve"> nebo je zřejmé, že tyto prostředky nebudou využity k původnímu účelu</w:t>
      </w:r>
      <w:r>
        <w:rPr>
          <w:rStyle w:val="Znakapoznpodarou"/>
          <w:rFonts w:cstheme="minorHAnsi"/>
        </w:rPr>
        <w:footnoteReference w:id="67"/>
      </w:r>
      <w:r w:rsidRPr="001670C3">
        <w:rPr>
          <w:rFonts w:cstheme="minorHAnsi"/>
        </w:rPr>
        <w:t>.</w:t>
      </w:r>
    </w:p>
    <w:p w14:paraId="0046F637" w14:textId="77777777" w:rsidR="006F0758" w:rsidRPr="004D2011" w:rsidRDefault="006F0758" w:rsidP="006F0758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NKÚ identifikoval rovněž </w:t>
      </w:r>
      <w:r w:rsidRPr="00AE6551">
        <w:rPr>
          <w:rFonts w:eastAsiaTheme="minorEastAsia" w:cstheme="minorHAnsi"/>
          <w:b/>
        </w:rPr>
        <w:t>riziko nehospodárného nakládání s peněžními prostředky</w:t>
      </w:r>
      <w:r>
        <w:rPr>
          <w:rFonts w:eastAsiaTheme="minorEastAsia" w:cstheme="minorHAnsi"/>
        </w:rPr>
        <w:t>, a to z následujících důvodů:</w:t>
      </w:r>
    </w:p>
    <w:p w14:paraId="3D604F62" w14:textId="45289E88" w:rsidR="006F0758" w:rsidRPr="001670C3" w:rsidRDefault="006F0758" w:rsidP="008E5EDF">
      <w:pPr>
        <w:pStyle w:val="Odstavecseseznamem"/>
        <w:numPr>
          <w:ilvl w:val="0"/>
          <w:numId w:val="9"/>
        </w:numPr>
        <w:spacing w:after="0"/>
        <w:ind w:left="851" w:hanging="284"/>
        <w:rPr>
          <w:rFonts w:cstheme="minorHAnsi"/>
        </w:rPr>
      </w:pPr>
      <w:r w:rsidRPr="00EB0FA9">
        <w:rPr>
          <w:rFonts w:cstheme="minorHAnsi"/>
          <w:b/>
        </w:rPr>
        <w:t xml:space="preserve">některé pozice členů realizačního týmu v projektu IKV </w:t>
      </w:r>
      <w:r w:rsidR="00E910AF">
        <w:rPr>
          <w:rFonts w:cstheme="minorHAnsi"/>
          <w:b/>
        </w:rPr>
        <w:t xml:space="preserve">jsou </w:t>
      </w:r>
      <w:r w:rsidRPr="00EB0FA9">
        <w:rPr>
          <w:rFonts w:cstheme="minorHAnsi"/>
          <w:b/>
        </w:rPr>
        <w:t>nadbytečné</w:t>
      </w:r>
      <w:r w:rsidR="00FC5946">
        <w:rPr>
          <w:rStyle w:val="Znakapoznpodarou"/>
          <w:rFonts w:cstheme="minorHAnsi"/>
          <w:b/>
        </w:rPr>
        <w:footnoteReference w:id="68"/>
      </w:r>
      <w:r w:rsidRPr="001670C3">
        <w:rPr>
          <w:rFonts w:cstheme="minorHAnsi"/>
        </w:rPr>
        <w:t xml:space="preserve">; </w:t>
      </w:r>
    </w:p>
    <w:p w14:paraId="32D22D4F" w14:textId="5DB1D415" w:rsidR="006F0758" w:rsidRDefault="006F0758" w:rsidP="001419D8">
      <w:pPr>
        <w:pStyle w:val="Odstavecseseznamem"/>
        <w:numPr>
          <w:ilvl w:val="1"/>
          <w:numId w:val="9"/>
        </w:numPr>
        <w:spacing w:after="0"/>
        <w:ind w:left="851" w:hanging="284"/>
        <w:rPr>
          <w:rFonts w:cstheme="minorHAnsi"/>
          <w:b/>
        </w:rPr>
      </w:pPr>
      <w:r w:rsidRPr="004F2695">
        <w:rPr>
          <w:rFonts w:cstheme="minorHAnsi"/>
        </w:rPr>
        <w:t xml:space="preserve">doposud bylo v projektu IKV vytvořeno 261 výstupů (z plánovaných 814), na které byly vynaloženy výdaje </w:t>
      </w:r>
      <w:r w:rsidRPr="00D573D1">
        <w:rPr>
          <w:rFonts w:cstheme="minorHAnsi"/>
        </w:rPr>
        <w:t>ve výši 94</w:t>
      </w:r>
      <w:r w:rsidR="00D573D1" w:rsidRPr="00D573D1">
        <w:rPr>
          <w:rFonts w:cstheme="minorHAnsi"/>
        </w:rPr>
        <w:t>,</w:t>
      </w:r>
      <w:r w:rsidRPr="00D573D1">
        <w:rPr>
          <w:rFonts w:cstheme="minorHAnsi"/>
        </w:rPr>
        <w:t>99</w:t>
      </w:r>
      <w:r w:rsidR="00D573D1" w:rsidRPr="00D573D1">
        <w:rPr>
          <w:rFonts w:cstheme="minorHAnsi"/>
        </w:rPr>
        <w:t xml:space="preserve"> mil. Kč,</w:t>
      </w:r>
      <w:r w:rsidRPr="00D573D1">
        <w:rPr>
          <w:rFonts w:cstheme="minorHAnsi"/>
        </w:rPr>
        <w:t xml:space="preserve"> tedy</w:t>
      </w:r>
      <w:r w:rsidRPr="004F2695">
        <w:rPr>
          <w:rFonts w:cstheme="minorHAnsi"/>
        </w:rPr>
        <w:t xml:space="preserve"> </w:t>
      </w:r>
      <w:r w:rsidRPr="004F2695">
        <w:rPr>
          <w:rFonts w:cstheme="minorHAnsi"/>
          <w:b/>
        </w:rPr>
        <w:t>na jeden vytvořený</w:t>
      </w:r>
      <w:r w:rsidR="00E910AF">
        <w:rPr>
          <w:rFonts w:cstheme="minorHAnsi"/>
          <w:b/>
        </w:rPr>
        <w:t xml:space="preserve"> výstup bylo </w:t>
      </w:r>
      <w:r w:rsidR="00E910AF" w:rsidRPr="00D573D1">
        <w:rPr>
          <w:rFonts w:cstheme="minorHAnsi"/>
          <w:b/>
        </w:rPr>
        <w:t>vynaloženo 363 951 </w:t>
      </w:r>
      <w:r w:rsidRPr="00D573D1">
        <w:rPr>
          <w:rFonts w:cstheme="minorHAnsi"/>
          <w:b/>
        </w:rPr>
        <w:t>Kč</w:t>
      </w:r>
      <w:r w:rsidRPr="004F2695">
        <w:rPr>
          <w:rStyle w:val="Znakapoznpodarou"/>
          <w:rFonts w:cstheme="minorHAnsi"/>
          <w:b/>
        </w:rPr>
        <w:footnoteReference w:id="69"/>
      </w:r>
      <w:r w:rsidR="001419D8">
        <w:rPr>
          <w:rFonts w:cstheme="minorHAnsi"/>
        </w:rPr>
        <w:t>;</w:t>
      </w:r>
      <w:r w:rsidRPr="004F2695">
        <w:rPr>
          <w:rFonts w:cstheme="minorHAnsi"/>
          <w:b/>
        </w:rPr>
        <w:t xml:space="preserve"> </w:t>
      </w:r>
    </w:p>
    <w:p w14:paraId="168007B9" w14:textId="6B8E4CFD" w:rsidR="001419D8" w:rsidRPr="00267A87" w:rsidRDefault="001419D8" w:rsidP="00733774">
      <w:pPr>
        <w:pStyle w:val="Odstavecseseznamem"/>
        <w:numPr>
          <w:ilvl w:val="0"/>
          <w:numId w:val="9"/>
        </w:numPr>
        <w:ind w:left="851" w:hanging="284"/>
        <w:rPr>
          <w:rFonts w:cstheme="minorHAnsi"/>
        </w:rPr>
      </w:pPr>
      <w:r w:rsidRPr="007F3C07">
        <w:rPr>
          <w:rFonts w:cstheme="minorHAnsi"/>
        </w:rPr>
        <w:t xml:space="preserve">jedním z hlavních dosud </w:t>
      </w:r>
      <w:r w:rsidR="00015659">
        <w:rPr>
          <w:rFonts w:cstheme="minorHAnsi"/>
        </w:rPr>
        <w:t xml:space="preserve">dokončených </w:t>
      </w:r>
      <w:r w:rsidR="000D7281">
        <w:rPr>
          <w:rFonts w:cstheme="minorHAnsi"/>
        </w:rPr>
        <w:t xml:space="preserve">výstupů projektu IKV je </w:t>
      </w:r>
      <w:r w:rsidRPr="000D7281">
        <w:rPr>
          <w:rFonts w:cstheme="minorHAnsi"/>
          <w:i/>
        </w:rPr>
        <w:t>Analýza segregace v základních školách z pohledu sociálního vyloučení</w:t>
      </w:r>
      <w:r w:rsidRPr="007F3C07">
        <w:rPr>
          <w:rFonts w:cstheme="minorHAnsi"/>
        </w:rPr>
        <w:t xml:space="preserve"> (dále též „Analýza segregace“), jejímž hlavním doporučením ke snížení tzv. segregačního charakteru školství v ČR je mj. </w:t>
      </w:r>
      <w:r w:rsidRPr="00267A87">
        <w:rPr>
          <w:rFonts w:cstheme="minorHAnsi"/>
          <w:b/>
        </w:rPr>
        <w:t>„</w:t>
      </w:r>
      <w:r w:rsidRPr="007F3C07">
        <w:rPr>
          <w:rFonts w:cstheme="minorHAnsi"/>
          <w:b/>
          <w:i/>
        </w:rPr>
        <w:t>dobré nastavení spádových obvodů</w:t>
      </w:r>
      <w:r w:rsidRPr="007F3C07">
        <w:rPr>
          <w:rFonts w:cstheme="minorHAnsi"/>
          <w:i/>
        </w:rPr>
        <w:t xml:space="preserve"> (včetně stanovení školských obvodů reflektujících výskyt sociálně vyloučených lokalit a úpravy často nadhodnocených rejstříkových kapacit škol), případná změna spádové vyhlášky</w:t>
      </w:r>
      <w:r w:rsidRPr="00267A87">
        <w:rPr>
          <w:rFonts w:cstheme="minorHAnsi"/>
        </w:rPr>
        <w:t>“</w:t>
      </w:r>
      <w:r w:rsidR="00B51781">
        <w:rPr>
          <w:rFonts w:cstheme="minorHAnsi"/>
        </w:rPr>
        <w:t>.</w:t>
      </w:r>
      <w:r w:rsidRPr="007F3C07">
        <w:rPr>
          <w:rFonts w:cstheme="minorHAnsi"/>
        </w:rPr>
        <w:t xml:space="preserve"> Analýza segregace zároveň navrhuje </w:t>
      </w:r>
      <w:r w:rsidRPr="00267A87">
        <w:rPr>
          <w:rFonts w:cstheme="minorHAnsi"/>
        </w:rPr>
        <w:t>„</w:t>
      </w:r>
      <w:r w:rsidRPr="007F3C07">
        <w:rPr>
          <w:rFonts w:cstheme="minorHAnsi"/>
          <w:i/>
        </w:rPr>
        <w:t>přenesení</w:t>
      </w:r>
      <w:r w:rsidR="00DC5CAD" w:rsidRPr="007F3C07">
        <w:rPr>
          <w:rFonts w:cstheme="minorHAnsi"/>
          <w:i/>
        </w:rPr>
        <w:t xml:space="preserve"> určitých pravomocí spojených s řízením lokálního vzdělávacího systému mimo lokální úroveň</w:t>
      </w:r>
      <w:r w:rsidR="00DC5CAD" w:rsidRPr="00267A87">
        <w:rPr>
          <w:rFonts w:cstheme="minorHAnsi"/>
        </w:rPr>
        <w:t>“</w:t>
      </w:r>
      <w:r w:rsidR="00DC5CAD" w:rsidRPr="007F3C07">
        <w:rPr>
          <w:rFonts w:cstheme="minorHAnsi"/>
        </w:rPr>
        <w:t xml:space="preserve"> na nově vzniklé střední články řízení vzdělávací sítě, </w:t>
      </w:r>
      <w:r w:rsidR="00DC5CAD" w:rsidRPr="00733774">
        <w:rPr>
          <w:rFonts w:cstheme="minorHAnsi"/>
          <w:b/>
        </w:rPr>
        <w:t>což dle názoru NKÚ předpok</w:t>
      </w:r>
      <w:r w:rsidR="000D7281">
        <w:rPr>
          <w:rFonts w:cstheme="minorHAnsi"/>
          <w:b/>
        </w:rPr>
        <w:t xml:space="preserve">ládá další náklady s dopadem </w:t>
      </w:r>
      <w:r w:rsidR="00BE4509">
        <w:rPr>
          <w:rFonts w:cstheme="minorHAnsi"/>
          <w:b/>
        </w:rPr>
        <w:t xml:space="preserve">na </w:t>
      </w:r>
      <w:r w:rsidR="00DC5CAD" w:rsidRPr="00733774">
        <w:rPr>
          <w:rFonts w:cstheme="minorHAnsi"/>
          <w:b/>
        </w:rPr>
        <w:t>veřejn</w:t>
      </w:r>
      <w:r w:rsidR="00BE4509">
        <w:rPr>
          <w:rFonts w:cstheme="minorHAnsi"/>
          <w:b/>
        </w:rPr>
        <w:t>é</w:t>
      </w:r>
      <w:r w:rsidR="00DC5CAD" w:rsidRPr="00733774">
        <w:rPr>
          <w:rFonts w:cstheme="minorHAnsi"/>
          <w:b/>
        </w:rPr>
        <w:t xml:space="preserve"> rozpočt</w:t>
      </w:r>
      <w:r w:rsidR="00BE4509">
        <w:rPr>
          <w:rFonts w:cstheme="minorHAnsi"/>
          <w:b/>
        </w:rPr>
        <w:t>y</w:t>
      </w:r>
      <w:r w:rsidR="00DC5CAD" w:rsidRPr="00733774">
        <w:rPr>
          <w:rFonts w:cstheme="minorHAnsi"/>
          <w:b/>
        </w:rPr>
        <w:t>.</w:t>
      </w:r>
      <w:r w:rsidRPr="00733774">
        <w:rPr>
          <w:rFonts w:cstheme="minorHAnsi"/>
          <w:b/>
          <w:i/>
        </w:rPr>
        <w:t xml:space="preserve"> </w:t>
      </w:r>
    </w:p>
    <w:p w14:paraId="4420F53C" w14:textId="53E973F0" w:rsidR="006F0758" w:rsidRPr="00AE6551" w:rsidRDefault="006F0758" w:rsidP="006F075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NKÚ u </w:t>
      </w:r>
      <w:r w:rsidR="00FC5946">
        <w:rPr>
          <w:rFonts w:cstheme="minorHAnsi"/>
          <w:b/>
        </w:rPr>
        <w:t>projektu IKV</w:t>
      </w:r>
      <w:r>
        <w:rPr>
          <w:rFonts w:cstheme="minorHAnsi"/>
          <w:b/>
        </w:rPr>
        <w:t xml:space="preserve"> identi</w:t>
      </w:r>
      <w:r w:rsidR="00733774">
        <w:rPr>
          <w:rFonts w:cstheme="minorHAnsi"/>
          <w:b/>
        </w:rPr>
        <w:t>fi</w:t>
      </w:r>
      <w:r>
        <w:rPr>
          <w:rFonts w:cstheme="minorHAnsi"/>
          <w:b/>
        </w:rPr>
        <w:t xml:space="preserve">koval i riziko </w:t>
      </w:r>
      <w:r w:rsidRPr="00AE6551">
        <w:rPr>
          <w:rFonts w:cstheme="minorHAnsi"/>
          <w:b/>
        </w:rPr>
        <w:t>duplicitního financování</w:t>
      </w:r>
      <w:r>
        <w:rPr>
          <w:rFonts w:cstheme="minorHAnsi"/>
          <w:b/>
        </w:rPr>
        <w:t xml:space="preserve"> některých aktivit z veřejných zdrojů</w:t>
      </w:r>
      <w:r w:rsidRPr="00AE6551">
        <w:rPr>
          <w:rFonts w:cstheme="minorHAnsi"/>
          <w:b/>
        </w:rPr>
        <w:t>:</w:t>
      </w:r>
    </w:p>
    <w:p w14:paraId="3F6CC7DA" w14:textId="5E246C01" w:rsidR="006F0758" w:rsidRPr="00086216" w:rsidRDefault="006F0758" w:rsidP="008E5EDF">
      <w:pPr>
        <w:pStyle w:val="Odstavecseseznamem"/>
        <w:numPr>
          <w:ilvl w:val="1"/>
          <w:numId w:val="10"/>
        </w:numPr>
        <w:spacing w:after="0"/>
        <w:ind w:left="851" w:hanging="284"/>
        <w:rPr>
          <w:rFonts w:cstheme="minorHAnsi"/>
        </w:rPr>
      </w:pPr>
      <w:r>
        <w:rPr>
          <w:rFonts w:cstheme="minorHAnsi"/>
        </w:rPr>
        <w:t>p</w:t>
      </w:r>
      <w:r w:rsidRPr="00086216">
        <w:rPr>
          <w:rFonts w:cstheme="minorHAnsi"/>
        </w:rPr>
        <w:t xml:space="preserve">odle provedené analýzy webu </w:t>
      </w:r>
      <w:r w:rsidR="00C63EB2">
        <w:rPr>
          <w:rFonts w:cstheme="minorHAnsi"/>
        </w:rPr>
        <w:t>Agentury</w:t>
      </w:r>
      <w:r w:rsidR="00C63EB2" w:rsidRPr="00086216">
        <w:rPr>
          <w:rFonts w:cstheme="minorHAnsi"/>
        </w:rPr>
        <w:t xml:space="preserve"> </w:t>
      </w:r>
      <w:r w:rsidRPr="00086216">
        <w:rPr>
          <w:rFonts w:cstheme="minorHAnsi"/>
        </w:rPr>
        <w:t>a dokumentů předložených v rámci kontroly</w:t>
      </w:r>
      <w:r w:rsidR="00CD6E2F">
        <w:rPr>
          <w:rFonts w:cstheme="minorHAnsi"/>
        </w:rPr>
        <w:t xml:space="preserve"> </w:t>
      </w:r>
      <w:r w:rsidRPr="00086216">
        <w:rPr>
          <w:rFonts w:cstheme="minorHAnsi"/>
        </w:rPr>
        <w:t xml:space="preserve">není možné </w:t>
      </w:r>
      <w:r>
        <w:rPr>
          <w:rFonts w:cstheme="minorHAnsi"/>
        </w:rPr>
        <w:t xml:space="preserve">jednoznačně </w:t>
      </w:r>
      <w:r w:rsidRPr="00086216">
        <w:rPr>
          <w:rFonts w:cstheme="minorHAnsi"/>
        </w:rPr>
        <w:t xml:space="preserve">odlišit, které činnosti a výstupy </w:t>
      </w:r>
      <w:r w:rsidR="00FD3DC0">
        <w:rPr>
          <w:rFonts w:cstheme="minorHAnsi"/>
        </w:rPr>
        <w:t xml:space="preserve">byly </w:t>
      </w:r>
      <w:r w:rsidR="00E07045">
        <w:rPr>
          <w:rFonts w:cstheme="minorHAnsi"/>
        </w:rPr>
        <w:t xml:space="preserve">financovány </w:t>
      </w:r>
      <w:r w:rsidR="00FD3DC0">
        <w:rPr>
          <w:rFonts w:cstheme="minorHAnsi"/>
        </w:rPr>
        <w:t xml:space="preserve">v rámci jednotlivých </w:t>
      </w:r>
      <w:r w:rsidRPr="00086216">
        <w:rPr>
          <w:rFonts w:cstheme="minorHAnsi"/>
        </w:rPr>
        <w:t>realizovaných projektů</w:t>
      </w:r>
      <w:r>
        <w:rPr>
          <w:rFonts w:cstheme="minorHAnsi"/>
        </w:rPr>
        <w:t xml:space="preserve"> </w:t>
      </w:r>
      <w:r w:rsidRPr="00086216">
        <w:rPr>
          <w:rFonts w:cstheme="minorHAnsi"/>
        </w:rPr>
        <w:t xml:space="preserve">a které </w:t>
      </w:r>
      <w:r w:rsidR="00E07045">
        <w:rPr>
          <w:rFonts w:cstheme="minorHAnsi"/>
        </w:rPr>
        <w:t>pocházejí z</w:t>
      </w:r>
      <w:r w:rsidR="00FD3DC0">
        <w:rPr>
          <w:rFonts w:cstheme="minorHAnsi"/>
        </w:rPr>
        <w:t xml:space="preserve"> </w:t>
      </w:r>
      <w:r w:rsidRPr="00086216">
        <w:rPr>
          <w:rFonts w:cstheme="minorHAnsi"/>
        </w:rPr>
        <w:t xml:space="preserve">vlastní činnosti </w:t>
      </w:r>
      <w:r w:rsidR="00C63EB2">
        <w:rPr>
          <w:rFonts w:cstheme="minorHAnsi"/>
        </w:rPr>
        <w:t>Agentury</w:t>
      </w:r>
      <w:r>
        <w:rPr>
          <w:rStyle w:val="Znakapoznpodarou"/>
          <w:rFonts w:cstheme="minorHAnsi"/>
        </w:rPr>
        <w:footnoteReference w:id="70"/>
      </w:r>
      <w:r>
        <w:rPr>
          <w:rFonts w:cstheme="minorHAnsi"/>
        </w:rPr>
        <w:t xml:space="preserve">; </w:t>
      </w:r>
    </w:p>
    <w:p w14:paraId="4B3BD3DB" w14:textId="56897083" w:rsidR="006F0758" w:rsidRDefault="006F0758" w:rsidP="004825E1">
      <w:pPr>
        <w:pStyle w:val="Odstavecseseznamem"/>
        <w:numPr>
          <w:ilvl w:val="1"/>
          <w:numId w:val="10"/>
        </w:numPr>
        <w:spacing w:after="0"/>
        <w:ind w:left="851" w:hanging="284"/>
        <w:rPr>
          <w:rFonts w:cstheme="minorHAnsi"/>
        </w:rPr>
      </w:pPr>
      <w:r>
        <w:rPr>
          <w:rFonts w:cstheme="minorHAnsi"/>
        </w:rPr>
        <w:lastRenderedPageBreak/>
        <w:t>n</w:t>
      </w:r>
      <w:r w:rsidRPr="00086216">
        <w:rPr>
          <w:rFonts w:cstheme="minorHAnsi"/>
        </w:rPr>
        <w:t xml:space="preserve">ěkteré akce organizované a realizované </w:t>
      </w:r>
      <w:r w:rsidR="00C63EB2">
        <w:rPr>
          <w:rFonts w:cstheme="minorHAnsi"/>
        </w:rPr>
        <w:t>Agenturou</w:t>
      </w:r>
      <w:r w:rsidR="00C63EB2" w:rsidRPr="00086216">
        <w:rPr>
          <w:rFonts w:cstheme="minorHAnsi"/>
        </w:rPr>
        <w:t xml:space="preserve"> </w:t>
      </w:r>
      <w:r w:rsidR="00661CC4">
        <w:rPr>
          <w:rFonts w:cstheme="minorHAnsi"/>
        </w:rPr>
        <w:t>v lokalitách jsou vykazovány a </w:t>
      </w:r>
      <w:r w:rsidRPr="00086216">
        <w:rPr>
          <w:rFonts w:cstheme="minorHAnsi"/>
        </w:rPr>
        <w:t>reportovány nejen v</w:t>
      </w:r>
      <w:r>
        <w:rPr>
          <w:rFonts w:cstheme="minorHAnsi"/>
        </w:rPr>
        <w:t> </w:t>
      </w:r>
      <w:r w:rsidRPr="00086216">
        <w:rPr>
          <w:rFonts w:cstheme="minorHAnsi"/>
        </w:rPr>
        <w:t xml:space="preserve">projektu IKV, ale i v projektu </w:t>
      </w:r>
      <w:r w:rsidRPr="00267A87">
        <w:rPr>
          <w:rFonts w:cstheme="minorHAnsi"/>
          <w:i/>
        </w:rPr>
        <w:t>Systémové zajištění sociálního začleňování</w:t>
      </w:r>
      <w:r w:rsidRPr="000D7281">
        <w:rPr>
          <w:rFonts w:cstheme="minorHAnsi"/>
        </w:rPr>
        <w:t>,</w:t>
      </w:r>
      <w:r w:rsidRPr="00086216">
        <w:rPr>
          <w:rFonts w:cstheme="minorHAnsi"/>
        </w:rPr>
        <w:t xml:space="preserve"> který je financován z operačního programu </w:t>
      </w:r>
      <w:r w:rsidRPr="00267A87">
        <w:rPr>
          <w:rFonts w:cstheme="minorHAnsi"/>
          <w:i/>
        </w:rPr>
        <w:t>Zaměstnanost</w:t>
      </w:r>
      <w:r>
        <w:rPr>
          <w:rStyle w:val="Znakapoznpodarou"/>
          <w:rFonts w:cstheme="minorHAnsi"/>
        </w:rPr>
        <w:footnoteReference w:id="71"/>
      </w:r>
      <w:r w:rsidR="004825E1">
        <w:rPr>
          <w:rFonts w:cstheme="minorHAnsi"/>
        </w:rPr>
        <w:t>;</w:t>
      </w:r>
    </w:p>
    <w:p w14:paraId="24F88591" w14:textId="221B79F2" w:rsidR="004825E1" w:rsidRDefault="004825E1" w:rsidP="00045202">
      <w:pPr>
        <w:pStyle w:val="Odstavecseseznamem"/>
        <w:numPr>
          <w:ilvl w:val="1"/>
          <w:numId w:val="10"/>
        </w:numPr>
        <w:ind w:left="851" w:hanging="284"/>
        <w:rPr>
          <w:rFonts w:cstheme="minorHAnsi"/>
        </w:rPr>
      </w:pPr>
      <w:r>
        <w:rPr>
          <w:rFonts w:cstheme="minorHAnsi"/>
        </w:rPr>
        <w:t xml:space="preserve">činnosti podporované z projektu IKV jsou činnostmi, které by </w:t>
      </w:r>
      <w:r w:rsidR="00C63EB2">
        <w:rPr>
          <w:rFonts w:cstheme="minorHAnsi"/>
        </w:rPr>
        <w:t xml:space="preserve">Agentura </w:t>
      </w:r>
      <w:r>
        <w:rPr>
          <w:rFonts w:cstheme="minorHAnsi"/>
        </w:rPr>
        <w:t>měla zajišťovat z titulu své působnosti</w:t>
      </w:r>
      <w:r w:rsidR="00901E2D">
        <w:rPr>
          <w:rFonts w:cstheme="minorHAnsi"/>
        </w:rPr>
        <w:t xml:space="preserve">. </w:t>
      </w:r>
    </w:p>
    <w:p w14:paraId="7D04627A" w14:textId="5396D065" w:rsidR="003E0F3C" w:rsidRPr="00C13001" w:rsidRDefault="003E0F3C" w:rsidP="00987B74">
      <w:pPr>
        <w:pStyle w:val="Nadpis4"/>
      </w:pPr>
      <w:proofErr w:type="gramStart"/>
      <w:r w:rsidRPr="00C13001">
        <w:t>IV.</w:t>
      </w:r>
      <w:r w:rsidR="00D92A68">
        <w:t>2</w:t>
      </w:r>
      <w:r w:rsidRPr="00C13001">
        <w:t>.</w:t>
      </w:r>
      <w:r w:rsidR="00D92A68">
        <w:t>1</w:t>
      </w:r>
      <w:r w:rsidRPr="00C13001">
        <w:t>.2</w:t>
      </w:r>
      <w:proofErr w:type="gramEnd"/>
      <w:r w:rsidRPr="00C13001">
        <w:t xml:space="preserve"> </w:t>
      </w:r>
      <w:r w:rsidR="00BF6854" w:rsidRPr="00C13001">
        <w:t>Ind</w:t>
      </w:r>
      <w:r w:rsidR="006737D0">
        <w:t>ividuální projekty ostatní</w:t>
      </w:r>
    </w:p>
    <w:p w14:paraId="17EE7060" w14:textId="60F85242" w:rsidR="00666E5C" w:rsidRPr="00FC5946" w:rsidRDefault="00F133D5" w:rsidP="00C13001">
      <w:pPr>
        <w:rPr>
          <w:rFonts w:cstheme="minorHAnsi"/>
        </w:rPr>
      </w:pPr>
      <w:r w:rsidRPr="00FC5946">
        <w:rPr>
          <w:rFonts w:cstheme="minorHAnsi"/>
        </w:rPr>
        <w:t xml:space="preserve">Ke kontrole byly vybrány </w:t>
      </w:r>
      <w:r w:rsidR="00666E5C" w:rsidRPr="00FC5946">
        <w:rPr>
          <w:rFonts w:cstheme="minorHAnsi"/>
          <w:b/>
        </w:rPr>
        <w:t>čtyři projekty z výzvy č. 02_15_</w:t>
      </w:r>
      <w:r w:rsidR="00661CC4" w:rsidRPr="00FC5946">
        <w:rPr>
          <w:rFonts w:cstheme="minorHAnsi"/>
          <w:b/>
        </w:rPr>
        <w:t xml:space="preserve">007 </w:t>
      </w:r>
      <w:r w:rsidR="00881936">
        <w:rPr>
          <w:rFonts w:cstheme="minorHAnsi"/>
          <w:b/>
        </w:rPr>
        <w:t xml:space="preserve">– </w:t>
      </w:r>
      <w:r w:rsidR="00661CC4" w:rsidRPr="00267A87">
        <w:rPr>
          <w:rFonts w:cstheme="minorHAnsi"/>
          <w:b/>
          <w:i/>
        </w:rPr>
        <w:t>Inkluzivní vzdělávání</w:t>
      </w:r>
      <w:r w:rsidR="00661CC4" w:rsidRPr="00FC5946">
        <w:rPr>
          <w:rFonts w:cstheme="minorHAnsi"/>
          <w:b/>
        </w:rPr>
        <w:t xml:space="preserve"> v </w:t>
      </w:r>
      <w:r w:rsidR="00666E5C" w:rsidRPr="00FC5946">
        <w:rPr>
          <w:rFonts w:cstheme="minorHAnsi"/>
          <w:b/>
        </w:rPr>
        <w:t>prioritní ose 3 OP</w:t>
      </w:r>
      <w:r w:rsidR="00FC5946">
        <w:rPr>
          <w:rFonts w:cstheme="minorHAnsi"/>
          <w:b/>
        </w:rPr>
        <w:t xml:space="preserve"> VVV</w:t>
      </w:r>
      <w:r w:rsidRPr="00267A87">
        <w:rPr>
          <w:rFonts w:cstheme="minorHAnsi"/>
          <w:b/>
        </w:rPr>
        <w:t>.</w:t>
      </w:r>
      <w:r w:rsidRPr="00FC5946">
        <w:rPr>
          <w:rFonts w:cstheme="minorHAnsi"/>
        </w:rPr>
        <w:t xml:space="preserve"> NKÚ prověřil výdaje </w:t>
      </w:r>
      <w:r w:rsidRPr="00D573D1">
        <w:rPr>
          <w:rFonts w:cstheme="minorHAnsi"/>
        </w:rPr>
        <w:t>v</w:t>
      </w:r>
      <w:r w:rsidR="001813AB" w:rsidRPr="00D573D1">
        <w:rPr>
          <w:rFonts w:cstheme="minorHAnsi"/>
        </w:rPr>
        <w:t> </w:t>
      </w:r>
      <w:r w:rsidRPr="00D573D1">
        <w:rPr>
          <w:rFonts w:cstheme="minorHAnsi"/>
        </w:rPr>
        <w:t xml:space="preserve">objemu </w:t>
      </w:r>
      <w:r w:rsidR="001813AB" w:rsidRPr="00D573D1">
        <w:rPr>
          <w:rFonts w:cstheme="minorHAnsi"/>
        </w:rPr>
        <w:t>66</w:t>
      </w:r>
      <w:r w:rsidR="00D573D1" w:rsidRPr="00D573D1">
        <w:rPr>
          <w:rFonts w:cstheme="minorHAnsi"/>
        </w:rPr>
        <w:t>,</w:t>
      </w:r>
      <w:r w:rsidR="001813AB" w:rsidRPr="00D573D1">
        <w:rPr>
          <w:rFonts w:cstheme="minorHAnsi"/>
        </w:rPr>
        <w:t>98</w:t>
      </w:r>
      <w:r w:rsidR="00D573D1" w:rsidRPr="00D573D1">
        <w:rPr>
          <w:rFonts w:cstheme="minorHAnsi"/>
        </w:rPr>
        <w:t xml:space="preserve"> mil. </w:t>
      </w:r>
      <w:r w:rsidR="001813AB" w:rsidRPr="00D573D1">
        <w:rPr>
          <w:rFonts w:cstheme="minorHAnsi"/>
        </w:rPr>
        <w:t>Kč</w:t>
      </w:r>
      <w:r w:rsidR="001813AB" w:rsidRPr="00D573D1">
        <w:rPr>
          <w:rStyle w:val="Znakapoznpodarou"/>
          <w:rFonts w:cstheme="minorHAnsi"/>
        </w:rPr>
        <w:footnoteReference w:id="72"/>
      </w:r>
      <w:r w:rsidR="001813AB" w:rsidRPr="00D573D1">
        <w:rPr>
          <w:rFonts w:cstheme="minorHAnsi"/>
        </w:rPr>
        <w:t>.</w:t>
      </w:r>
      <w:r w:rsidR="006737D0" w:rsidRPr="00FC5946">
        <w:rPr>
          <w:rFonts w:cstheme="minorHAnsi"/>
        </w:rPr>
        <w:t xml:space="preserve"> </w:t>
      </w:r>
    </w:p>
    <w:p w14:paraId="66E7ACBD" w14:textId="77777777" w:rsidR="00A71BA4" w:rsidRPr="00A71BA4" w:rsidRDefault="00FC5946" w:rsidP="00280839">
      <w:pPr>
        <w:spacing w:after="0"/>
        <w:rPr>
          <w:rFonts w:cstheme="minorHAnsi"/>
        </w:rPr>
      </w:pPr>
      <w:r w:rsidRPr="00A71BA4">
        <w:rPr>
          <w:rFonts w:cstheme="minorHAnsi"/>
        </w:rPr>
        <w:t xml:space="preserve">NKÚ zjistil </w:t>
      </w:r>
      <w:r w:rsidRPr="00280839">
        <w:rPr>
          <w:rFonts w:cstheme="minorHAnsi"/>
          <w:b/>
        </w:rPr>
        <w:t>dílčí nedostatky v nastavení cílů</w:t>
      </w:r>
      <w:r w:rsidRPr="00A71BA4">
        <w:rPr>
          <w:rFonts w:cstheme="minorHAnsi"/>
        </w:rPr>
        <w:t xml:space="preserve"> projektů, např.</w:t>
      </w:r>
      <w:r w:rsidR="00A71BA4" w:rsidRPr="00A71BA4">
        <w:rPr>
          <w:rFonts w:cstheme="minorHAnsi"/>
        </w:rPr>
        <w:t>:</w:t>
      </w:r>
    </w:p>
    <w:p w14:paraId="2568E4BA" w14:textId="6AEB9DD1" w:rsidR="00FC5946" w:rsidRPr="008F7AC9" w:rsidRDefault="00FC5946" w:rsidP="00A71BA4">
      <w:pPr>
        <w:pStyle w:val="Odstavecseseznamem"/>
        <w:numPr>
          <w:ilvl w:val="1"/>
          <w:numId w:val="2"/>
        </w:numPr>
        <w:spacing w:after="0"/>
        <w:ind w:left="851" w:hanging="284"/>
        <w:rPr>
          <w:rFonts w:cstheme="minorHAnsi"/>
          <w:b/>
        </w:rPr>
      </w:pPr>
      <w:r w:rsidRPr="008F7AC9">
        <w:rPr>
          <w:rFonts w:cstheme="minorHAnsi"/>
        </w:rPr>
        <w:t xml:space="preserve">Příjemce </w:t>
      </w:r>
      <w:r w:rsidRPr="00267A87">
        <w:rPr>
          <w:rFonts w:cstheme="minorHAnsi"/>
        </w:rPr>
        <w:t>Základní škola a Mateřská škola Holoubkov</w:t>
      </w:r>
      <w:r w:rsidRPr="008F7AC9">
        <w:rPr>
          <w:rFonts w:cstheme="minorHAnsi"/>
          <w:i/>
        </w:rPr>
        <w:t xml:space="preserve"> </w:t>
      </w:r>
      <w:r w:rsidRPr="008F7AC9">
        <w:rPr>
          <w:rFonts w:cstheme="minorHAnsi"/>
        </w:rPr>
        <w:t xml:space="preserve">v projektu </w:t>
      </w:r>
      <w:r w:rsidRPr="00267A87">
        <w:rPr>
          <w:rFonts w:cstheme="minorHAnsi"/>
          <w:i/>
        </w:rPr>
        <w:t xml:space="preserve">Systematická </w:t>
      </w:r>
      <w:r w:rsidR="00176362">
        <w:rPr>
          <w:rFonts w:cstheme="minorHAnsi"/>
          <w:i/>
        </w:rPr>
        <w:br/>
      </w:r>
      <w:r w:rsidRPr="00267A87">
        <w:rPr>
          <w:rFonts w:cstheme="minorHAnsi"/>
          <w:i/>
        </w:rPr>
        <w:t>inkluze – společná cesta k úspěchu</w:t>
      </w:r>
      <w:r w:rsidRPr="008F7AC9">
        <w:rPr>
          <w:rFonts w:cstheme="minorHAnsi"/>
        </w:rPr>
        <w:t xml:space="preserve"> </w:t>
      </w:r>
      <w:r w:rsidRPr="008F7AC9">
        <w:rPr>
          <w:rFonts w:cstheme="minorHAnsi"/>
          <w:b/>
        </w:rPr>
        <w:t>n</w:t>
      </w:r>
      <w:r w:rsidR="003C640C">
        <w:rPr>
          <w:rFonts w:cstheme="minorHAnsi"/>
          <w:b/>
        </w:rPr>
        <w:t>estanovil hlavní cíl projektu a</w:t>
      </w:r>
      <w:r w:rsidR="00176362">
        <w:rPr>
          <w:rFonts w:cstheme="minorHAnsi"/>
          <w:b/>
        </w:rPr>
        <w:t xml:space="preserve"> </w:t>
      </w:r>
      <w:r w:rsidRPr="008F7AC9">
        <w:rPr>
          <w:rFonts w:cstheme="minorHAnsi"/>
          <w:b/>
        </w:rPr>
        <w:t xml:space="preserve">jeden ze specifických cílů v souladu s principy SMART </w:t>
      </w:r>
      <w:r w:rsidRPr="008F7AC9">
        <w:rPr>
          <w:rFonts w:cstheme="minorHAnsi"/>
        </w:rPr>
        <w:t xml:space="preserve">(cíle nejsou měřitelné). Z důvodu obecného nastavení hlavního cíle je </w:t>
      </w:r>
      <w:r w:rsidRPr="008F7AC9">
        <w:rPr>
          <w:rFonts w:cstheme="minorHAnsi"/>
          <w:b/>
        </w:rPr>
        <w:t>obtížné posoudit míru jeho dosažení.</w:t>
      </w:r>
    </w:p>
    <w:p w14:paraId="06F2D7E9" w14:textId="737B3510" w:rsidR="00A71BA4" w:rsidRPr="008F7AC9" w:rsidRDefault="00A71BA4" w:rsidP="00A71BA4">
      <w:pPr>
        <w:pStyle w:val="Odstavecseseznamem"/>
        <w:numPr>
          <w:ilvl w:val="1"/>
          <w:numId w:val="2"/>
        </w:numPr>
        <w:ind w:left="851" w:hanging="284"/>
        <w:rPr>
          <w:rFonts w:cstheme="minorHAnsi"/>
          <w:b/>
        </w:rPr>
      </w:pPr>
      <w:r w:rsidRPr="008F7AC9">
        <w:rPr>
          <w:rFonts w:cstheme="minorHAnsi"/>
        </w:rPr>
        <w:t xml:space="preserve">Příjemce </w:t>
      </w:r>
      <w:r w:rsidRPr="00267A87">
        <w:rPr>
          <w:rFonts w:cstheme="minorHAnsi"/>
        </w:rPr>
        <w:t>Moravskoslezský kraj</w:t>
      </w:r>
      <w:r w:rsidRPr="008F7AC9">
        <w:rPr>
          <w:rFonts w:cstheme="minorHAnsi"/>
          <w:i/>
        </w:rPr>
        <w:t xml:space="preserve"> </w:t>
      </w:r>
      <w:r w:rsidRPr="008F7AC9">
        <w:rPr>
          <w:rFonts w:cstheme="minorHAnsi"/>
        </w:rPr>
        <w:t xml:space="preserve">v projektu </w:t>
      </w:r>
      <w:r w:rsidRPr="00267A87">
        <w:rPr>
          <w:rFonts w:cstheme="minorHAnsi"/>
          <w:i/>
        </w:rPr>
        <w:t>Podpora inkluze v Moravskoslezském kraji</w:t>
      </w:r>
      <w:r w:rsidRPr="008F7AC9">
        <w:rPr>
          <w:rFonts w:cstheme="minorHAnsi"/>
        </w:rPr>
        <w:t xml:space="preserve"> nestanovil </w:t>
      </w:r>
      <w:r w:rsidR="00B74A12">
        <w:rPr>
          <w:rFonts w:cstheme="minorHAnsi"/>
        </w:rPr>
        <w:t xml:space="preserve">některé z </w:t>
      </w:r>
      <w:r w:rsidRPr="008F7AC9">
        <w:rPr>
          <w:rFonts w:cstheme="minorHAnsi"/>
        </w:rPr>
        <w:t>cíl</w:t>
      </w:r>
      <w:r w:rsidR="00B74A12">
        <w:rPr>
          <w:rFonts w:cstheme="minorHAnsi"/>
        </w:rPr>
        <w:t>ů</w:t>
      </w:r>
      <w:r w:rsidRPr="008F7AC9">
        <w:rPr>
          <w:rFonts w:cstheme="minorHAnsi"/>
        </w:rPr>
        <w:t xml:space="preserve"> v souladu s princip</w:t>
      </w:r>
      <w:r w:rsidR="00176362">
        <w:rPr>
          <w:rFonts w:cstheme="minorHAnsi"/>
        </w:rPr>
        <w:t>y</w:t>
      </w:r>
      <w:r w:rsidRPr="008F7AC9">
        <w:rPr>
          <w:rFonts w:cstheme="minorHAnsi"/>
        </w:rPr>
        <w:t xml:space="preserve"> SMART </w:t>
      </w:r>
      <w:r w:rsidR="00176362">
        <w:rPr>
          <w:rFonts w:cstheme="minorHAnsi"/>
        </w:rPr>
        <w:t xml:space="preserve">– </w:t>
      </w:r>
      <w:r w:rsidRPr="008F7AC9">
        <w:rPr>
          <w:rFonts w:cstheme="minorHAnsi"/>
        </w:rPr>
        <w:t>definované cíle formuloval obecně.</w:t>
      </w:r>
    </w:p>
    <w:p w14:paraId="55E15838" w14:textId="1CE00BAB" w:rsidR="00FC5946" w:rsidRPr="00873805" w:rsidRDefault="00FC5946" w:rsidP="004825E1">
      <w:pPr>
        <w:rPr>
          <w:rFonts w:cstheme="minorHAnsi"/>
          <w:sz w:val="20"/>
          <w:szCs w:val="20"/>
        </w:rPr>
      </w:pPr>
      <w:r w:rsidRPr="00A71BA4">
        <w:rPr>
          <w:rFonts w:cstheme="minorHAnsi"/>
        </w:rPr>
        <w:t xml:space="preserve">Zjištěny byly i </w:t>
      </w:r>
      <w:r w:rsidRPr="00280839">
        <w:rPr>
          <w:rFonts w:cstheme="minorHAnsi"/>
          <w:b/>
        </w:rPr>
        <w:t>nedostatky v oblasti způsobilosti výdajů</w:t>
      </w:r>
      <w:r w:rsidR="009B5D03">
        <w:rPr>
          <w:rFonts w:cstheme="minorHAnsi"/>
          <w:b/>
        </w:rPr>
        <w:t xml:space="preserve">. Nehospodárně vynaložené výdaje představují </w:t>
      </w:r>
      <w:r w:rsidR="00A71BA4" w:rsidRPr="00A71BA4">
        <w:rPr>
          <w:rFonts w:cstheme="minorHAnsi"/>
        </w:rPr>
        <w:t xml:space="preserve">porušení rozpočtové kázně. </w:t>
      </w:r>
    </w:p>
    <w:p w14:paraId="54FF050A" w14:textId="23613628" w:rsidR="00FC5946" w:rsidRPr="008F7AC9" w:rsidRDefault="00FC5946" w:rsidP="00AE21A4">
      <w:pPr>
        <w:rPr>
          <w:rFonts w:cstheme="minorHAnsi"/>
        </w:rPr>
      </w:pPr>
      <w:r w:rsidRPr="008F7AC9">
        <w:rPr>
          <w:rFonts w:cstheme="minorHAnsi"/>
        </w:rPr>
        <w:t xml:space="preserve">Příjemce </w:t>
      </w:r>
      <w:r w:rsidRPr="00267A87">
        <w:rPr>
          <w:rFonts w:cstheme="minorHAnsi"/>
        </w:rPr>
        <w:t>Z</w:t>
      </w:r>
      <w:r w:rsidR="00CB29B0">
        <w:rPr>
          <w:rFonts w:cstheme="minorHAnsi"/>
        </w:rPr>
        <w:t>ákladní škola</w:t>
      </w:r>
      <w:r w:rsidRPr="00267A87">
        <w:rPr>
          <w:rFonts w:cstheme="minorHAnsi"/>
        </w:rPr>
        <w:t xml:space="preserve"> Odry</w:t>
      </w:r>
      <w:r w:rsidRPr="008F7AC9">
        <w:rPr>
          <w:rFonts w:cstheme="minorHAnsi"/>
          <w:i/>
        </w:rPr>
        <w:t xml:space="preserve"> </w:t>
      </w:r>
      <w:r w:rsidRPr="008F7AC9">
        <w:rPr>
          <w:rFonts w:cstheme="minorHAnsi"/>
        </w:rPr>
        <w:t xml:space="preserve">v projektu </w:t>
      </w:r>
      <w:r w:rsidRPr="00267A87">
        <w:rPr>
          <w:rFonts w:cstheme="minorHAnsi"/>
          <w:i/>
        </w:rPr>
        <w:t>Od Integrace k Inkluzi</w:t>
      </w:r>
      <w:r w:rsidRPr="008F7AC9">
        <w:rPr>
          <w:rFonts w:cstheme="minorHAnsi"/>
        </w:rPr>
        <w:t xml:space="preserve"> </w:t>
      </w:r>
      <w:r w:rsidR="00AE21A4">
        <w:rPr>
          <w:rFonts w:cstheme="minorHAnsi"/>
          <w:b/>
        </w:rPr>
        <w:t>vykázal nezpůsobilé výdaje v oblasti mzdových výdajů</w:t>
      </w:r>
      <w:r w:rsidR="009B5D03">
        <w:rPr>
          <w:rFonts w:cstheme="minorHAnsi"/>
          <w:b/>
        </w:rPr>
        <w:t xml:space="preserve"> a rovněž vykázal výdaj, jehož část nebyla podložena účetním dokladem</w:t>
      </w:r>
      <w:r w:rsidR="00AE21A4">
        <w:rPr>
          <w:rFonts w:cstheme="minorHAnsi"/>
          <w:b/>
        </w:rPr>
        <w:t>.</w:t>
      </w:r>
    </w:p>
    <w:p w14:paraId="636DAF13" w14:textId="23BA9BD6" w:rsidR="00FC5946" w:rsidRPr="008F7AC9" w:rsidRDefault="00A71BA4" w:rsidP="00AE21A4">
      <w:pPr>
        <w:rPr>
          <w:rFonts w:cstheme="minorHAnsi"/>
        </w:rPr>
      </w:pPr>
      <w:r w:rsidRPr="008F7AC9">
        <w:rPr>
          <w:rFonts w:cstheme="minorHAnsi"/>
        </w:rPr>
        <w:t xml:space="preserve">Příjemce </w:t>
      </w:r>
      <w:r w:rsidRPr="00267A87">
        <w:rPr>
          <w:rFonts w:cstheme="minorHAnsi"/>
        </w:rPr>
        <w:t>Moravskoslezský kraj</w:t>
      </w:r>
      <w:r w:rsidRPr="008F7AC9">
        <w:rPr>
          <w:rFonts w:cstheme="minorHAnsi"/>
          <w:i/>
        </w:rPr>
        <w:t xml:space="preserve"> </w:t>
      </w:r>
      <w:r w:rsidRPr="008F7AC9">
        <w:rPr>
          <w:rFonts w:cstheme="minorHAnsi"/>
        </w:rPr>
        <w:t xml:space="preserve">v projektu </w:t>
      </w:r>
      <w:r w:rsidRPr="00267A87">
        <w:rPr>
          <w:rFonts w:cstheme="minorHAnsi"/>
          <w:i/>
        </w:rPr>
        <w:t>Podpora inkluze v Moravskoslezském kraji</w:t>
      </w:r>
      <w:r w:rsidRPr="008F7AC9">
        <w:rPr>
          <w:rFonts w:cstheme="minorHAnsi"/>
        </w:rPr>
        <w:t xml:space="preserve"> </w:t>
      </w:r>
      <w:r w:rsidR="00FC5946" w:rsidRPr="008F7AC9">
        <w:rPr>
          <w:rFonts w:cstheme="minorHAnsi"/>
          <w:b/>
        </w:rPr>
        <w:t>nárokoval mezi způsobilými výdaji</w:t>
      </w:r>
      <w:r w:rsidR="00AE21A4">
        <w:rPr>
          <w:rFonts w:cstheme="minorHAnsi"/>
          <w:b/>
        </w:rPr>
        <w:t xml:space="preserve"> </w:t>
      </w:r>
      <w:r w:rsidR="00FC5946" w:rsidRPr="00AE21A4">
        <w:rPr>
          <w:rFonts w:cstheme="minorHAnsi"/>
          <w:b/>
        </w:rPr>
        <w:t>výdaje za mzdové příspěvky v rámci přímé podpory,</w:t>
      </w:r>
      <w:r w:rsidR="00FC5946" w:rsidRPr="008F7AC9">
        <w:rPr>
          <w:rFonts w:cstheme="minorHAnsi"/>
        </w:rPr>
        <w:t xml:space="preserve"> které nesplňovaly podmínky způsobilosti</w:t>
      </w:r>
      <w:r w:rsidR="00AE21A4">
        <w:rPr>
          <w:rFonts w:cstheme="minorHAnsi"/>
        </w:rPr>
        <w:t xml:space="preserve">. </w:t>
      </w:r>
    </w:p>
    <w:p w14:paraId="0282B184" w14:textId="15F1DFC1" w:rsidR="001248CC" w:rsidRDefault="00A71BA4" w:rsidP="00267A87">
      <w:pPr>
        <w:spacing w:after="0"/>
        <w:rPr>
          <w:rFonts w:cstheme="minorHAnsi"/>
        </w:rPr>
      </w:pPr>
      <w:r w:rsidRPr="008F7AC9">
        <w:rPr>
          <w:rFonts w:cstheme="minorHAnsi"/>
        </w:rPr>
        <w:t xml:space="preserve">NKÚ </w:t>
      </w:r>
      <w:proofErr w:type="gramStart"/>
      <w:r w:rsidRPr="008F7AC9">
        <w:rPr>
          <w:rFonts w:cstheme="minorHAnsi"/>
        </w:rPr>
        <w:t>nezjistil</w:t>
      </w:r>
      <w:proofErr w:type="gramEnd"/>
      <w:r w:rsidRPr="008F7AC9">
        <w:rPr>
          <w:rFonts w:cstheme="minorHAnsi"/>
        </w:rPr>
        <w:t xml:space="preserve"> žádné nedostatky u p</w:t>
      </w:r>
      <w:r w:rsidR="001813AB" w:rsidRPr="008F7AC9">
        <w:rPr>
          <w:rFonts w:cstheme="minorHAnsi"/>
        </w:rPr>
        <w:t xml:space="preserve">říjemce </w:t>
      </w:r>
      <w:r w:rsidR="001813AB" w:rsidRPr="00267A87">
        <w:rPr>
          <w:rFonts w:cstheme="minorHAnsi"/>
        </w:rPr>
        <w:t>Západočeská univerzita v Plzni</w:t>
      </w:r>
      <w:r w:rsidR="001813AB" w:rsidRPr="008F7AC9">
        <w:rPr>
          <w:rFonts w:cstheme="minorHAnsi"/>
        </w:rPr>
        <w:t xml:space="preserve"> </w:t>
      </w:r>
      <w:r w:rsidR="006F0758" w:rsidRPr="008F7AC9">
        <w:rPr>
          <w:rFonts w:cstheme="minorHAnsi"/>
        </w:rPr>
        <w:t xml:space="preserve">v projektu </w:t>
      </w:r>
      <w:r w:rsidR="006F0758" w:rsidRPr="00267A87">
        <w:rPr>
          <w:rFonts w:cstheme="minorHAnsi"/>
          <w:i/>
        </w:rPr>
        <w:t>C</w:t>
      </w:r>
      <w:r w:rsidR="00B11498" w:rsidRPr="00267A87">
        <w:rPr>
          <w:rFonts w:cstheme="minorHAnsi"/>
          <w:i/>
        </w:rPr>
        <w:t>esty k inkluzi</w:t>
      </w:r>
      <w:r w:rsidRPr="008F7AC9">
        <w:rPr>
          <w:rFonts w:cstheme="minorHAnsi"/>
        </w:rPr>
        <w:t>.</w:t>
      </w:r>
    </w:p>
    <w:p w14:paraId="4B9FE588" w14:textId="77777777" w:rsidR="000143BC" w:rsidRPr="00873805" w:rsidRDefault="000143BC" w:rsidP="00267A87">
      <w:pPr>
        <w:spacing w:after="0"/>
        <w:rPr>
          <w:rFonts w:cstheme="minorHAnsi"/>
        </w:rPr>
      </w:pPr>
    </w:p>
    <w:p w14:paraId="7C3B5C06" w14:textId="49EFD1FD" w:rsidR="00780B4A" w:rsidRDefault="00FD5AA7" w:rsidP="00136EF9">
      <w:pPr>
        <w:pStyle w:val="Nadpis3"/>
      </w:pPr>
      <w:proofErr w:type="gramStart"/>
      <w:r w:rsidRPr="000143BC">
        <w:t>IV.2.2</w:t>
      </w:r>
      <w:proofErr w:type="gramEnd"/>
      <w:r w:rsidRPr="000143BC">
        <w:t xml:space="preserve"> </w:t>
      </w:r>
      <w:r w:rsidR="005B04CA" w:rsidRPr="000143BC">
        <w:t>Projekty OP PPR</w:t>
      </w:r>
      <w:r w:rsidR="00C353A3" w:rsidRPr="000143BC">
        <w:t xml:space="preserve"> </w:t>
      </w:r>
      <w:r w:rsidR="00A35435" w:rsidRPr="000143BC">
        <w:t>byly realizovány s</w:t>
      </w:r>
      <w:r w:rsidR="000143BC">
        <w:t> </w:t>
      </w:r>
      <w:r w:rsidR="00A35435" w:rsidRPr="000143BC">
        <w:t>nedostatky</w:t>
      </w:r>
    </w:p>
    <w:p w14:paraId="2CAE5357" w14:textId="65A0026E" w:rsidR="00A71BA4" w:rsidRPr="00A71BA4" w:rsidRDefault="001D2D32" w:rsidP="006B2A19">
      <w:pPr>
        <w:rPr>
          <w:rFonts w:cstheme="minorHAnsi"/>
          <w:b/>
        </w:rPr>
      </w:pPr>
      <w:r w:rsidRPr="00A71BA4">
        <w:rPr>
          <w:rFonts w:cstheme="minorHAnsi"/>
        </w:rPr>
        <w:t xml:space="preserve">NKÚ prověřil čerpání </w:t>
      </w:r>
      <w:r w:rsidRPr="00D573D1">
        <w:rPr>
          <w:rFonts w:cstheme="minorHAnsi"/>
        </w:rPr>
        <w:t>prostře</w:t>
      </w:r>
      <w:r w:rsidR="00AD6FD9" w:rsidRPr="00D573D1">
        <w:rPr>
          <w:rFonts w:cstheme="minorHAnsi"/>
        </w:rPr>
        <w:t>d</w:t>
      </w:r>
      <w:r w:rsidRPr="00D573D1">
        <w:rPr>
          <w:rFonts w:cstheme="minorHAnsi"/>
        </w:rPr>
        <w:t xml:space="preserve">ků </w:t>
      </w:r>
      <w:r w:rsidR="00AD6FD9" w:rsidRPr="00D573D1">
        <w:rPr>
          <w:rFonts w:cstheme="minorHAnsi"/>
        </w:rPr>
        <w:t>ve výši 5</w:t>
      </w:r>
      <w:r w:rsidR="00D573D1" w:rsidRPr="00D573D1">
        <w:rPr>
          <w:rFonts w:cstheme="minorHAnsi"/>
        </w:rPr>
        <w:t>,</w:t>
      </w:r>
      <w:r w:rsidR="00AD6FD9" w:rsidRPr="00D573D1">
        <w:rPr>
          <w:rFonts w:cstheme="minorHAnsi"/>
        </w:rPr>
        <w:t>18</w:t>
      </w:r>
      <w:r w:rsidR="00D573D1" w:rsidRPr="00D573D1">
        <w:rPr>
          <w:rFonts w:cstheme="minorHAnsi"/>
        </w:rPr>
        <w:t xml:space="preserve"> mil.</w:t>
      </w:r>
      <w:r w:rsidR="00AD6FD9" w:rsidRPr="00D573D1">
        <w:rPr>
          <w:rFonts w:cstheme="minorHAnsi"/>
        </w:rPr>
        <w:t xml:space="preserve"> Kč</w:t>
      </w:r>
      <w:r w:rsidR="00E40CE5" w:rsidRPr="00D573D1">
        <w:rPr>
          <w:rStyle w:val="Znakapoznpodarou"/>
          <w:rFonts w:cstheme="minorHAnsi"/>
        </w:rPr>
        <w:footnoteReference w:id="73"/>
      </w:r>
      <w:r w:rsidR="00E40CE5" w:rsidRPr="00D573D1">
        <w:rPr>
          <w:rFonts w:cstheme="minorHAnsi"/>
        </w:rPr>
        <w:t xml:space="preserve"> </w:t>
      </w:r>
      <w:r w:rsidR="00661CC4" w:rsidRPr="00D573D1">
        <w:rPr>
          <w:rFonts w:cstheme="minorHAnsi"/>
          <w:b/>
        </w:rPr>
        <w:t>u</w:t>
      </w:r>
      <w:r w:rsidR="00661CC4" w:rsidRPr="00A71BA4">
        <w:rPr>
          <w:rFonts w:cstheme="minorHAnsi"/>
          <w:b/>
        </w:rPr>
        <w:t xml:space="preserve"> dvou projektů z výzvy č. </w:t>
      </w:r>
      <w:r w:rsidRPr="00A71BA4">
        <w:rPr>
          <w:rFonts w:cstheme="minorHAnsi"/>
          <w:b/>
        </w:rPr>
        <w:t>05_15_005</w:t>
      </w:r>
      <w:r w:rsidR="00CD6A13">
        <w:rPr>
          <w:rFonts w:cstheme="minorHAnsi"/>
          <w:b/>
        </w:rPr>
        <w:t> </w:t>
      </w:r>
      <w:r w:rsidR="005E0801">
        <w:rPr>
          <w:rFonts w:cstheme="minorHAnsi"/>
          <w:b/>
        </w:rPr>
        <w:t>–</w:t>
      </w:r>
      <w:r w:rsidR="00CD6A13">
        <w:rPr>
          <w:rFonts w:cstheme="minorHAnsi"/>
          <w:b/>
        </w:rPr>
        <w:t> </w:t>
      </w:r>
      <w:r w:rsidRPr="00267A87">
        <w:rPr>
          <w:rFonts w:cstheme="minorHAnsi"/>
          <w:b/>
          <w:i/>
        </w:rPr>
        <w:t>Zvýšení kvality vzdělávání prostřednictvím posílení inkluze v multikulturní společnosti</w:t>
      </w:r>
      <w:r w:rsidR="00AD6FD9" w:rsidRPr="00A71BA4">
        <w:rPr>
          <w:rFonts w:cstheme="minorHAnsi"/>
          <w:b/>
        </w:rPr>
        <w:t xml:space="preserve">. </w:t>
      </w:r>
    </w:p>
    <w:p w14:paraId="2F5A342C" w14:textId="468A1019" w:rsidR="006B2A19" w:rsidRPr="00A71BA4" w:rsidRDefault="00EB6C80" w:rsidP="006B2A19">
      <w:pPr>
        <w:rPr>
          <w:rFonts w:cstheme="minorHAnsi"/>
          <w:b/>
        </w:rPr>
      </w:pPr>
      <w:r w:rsidRPr="00A71BA4">
        <w:rPr>
          <w:b/>
        </w:rPr>
        <w:t xml:space="preserve">Ani jeden </w:t>
      </w:r>
      <w:r w:rsidR="006B2A19" w:rsidRPr="00A71BA4">
        <w:rPr>
          <w:rFonts w:cstheme="minorHAnsi"/>
          <w:b/>
        </w:rPr>
        <w:t xml:space="preserve">z kontrolovaných projektů OP PPR neměl hlavní cíl stanoven </w:t>
      </w:r>
      <w:r w:rsidRPr="00A71BA4">
        <w:rPr>
          <w:rFonts w:cstheme="minorHAnsi"/>
          <w:b/>
        </w:rPr>
        <w:t xml:space="preserve">tak, aby byl </w:t>
      </w:r>
      <w:r w:rsidR="006B2A19" w:rsidRPr="00A71BA4">
        <w:rPr>
          <w:rFonts w:cstheme="minorHAnsi"/>
          <w:b/>
        </w:rPr>
        <w:t xml:space="preserve">konkrétní, měřitelný a dosažitelný. </w:t>
      </w:r>
    </w:p>
    <w:p w14:paraId="7118113E" w14:textId="29F1F565" w:rsidR="006B2A19" w:rsidRPr="008F7AC9" w:rsidRDefault="00C721D6" w:rsidP="006B2A19">
      <w:pPr>
        <w:spacing w:after="0"/>
        <w:rPr>
          <w:rFonts w:cstheme="minorHAnsi"/>
        </w:rPr>
      </w:pPr>
      <w:r w:rsidRPr="008F7AC9">
        <w:rPr>
          <w:rFonts w:cstheme="minorHAnsi"/>
        </w:rPr>
        <w:t>Příjemce</w:t>
      </w:r>
      <w:r w:rsidR="008B7C7F" w:rsidRPr="008F7AC9">
        <w:rPr>
          <w:rFonts w:cstheme="minorHAnsi"/>
        </w:rPr>
        <w:t xml:space="preserve"> </w:t>
      </w:r>
      <w:r w:rsidR="008B7C7F" w:rsidRPr="00267A87">
        <w:rPr>
          <w:rFonts w:cstheme="minorHAnsi"/>
        </w:rPr>
        <w:t>Člověk v tísni, o.p.s.</w:t>
      </w:r>
      <w:r w:rsidR="00D55A14">
        <w:rPr>
          <w:rFonts w:cstheme="minorHAnsi"/>
        </w:rPr>
        <w:t>,</w:t>
      </w:r>
      <w:r w:rsidRPr="008F7AC9">
        <w:rPr>
          <w:rFonts w:cstheme="minorHAnsi"/>
        </w:rPr>
        <w:t xml:space="preserve"> </w:t>
      </w:r>
      <w:r w:rsidR="00EB6C80" w:rsidRPr="008F7AC9">
        <w:rPr>
          <w:rFonts w:cstheme="minorHAnsi"/>
        </w:rPr>
        <w:t xml:space="preserve">realizoval </w:t>
      </w:r>
      <w:r w:rsidRPr="008F7AC9">
        <w:rPr>
          <w:rFonts w:cstheme="minorHAnsi"/>
        </w:rPr>
        <w:t xml:space="preserve">projekt </w:t>
      </w:r>
      <w:r w:rsidRPr="00267A87">
        <w:rPr>
          <w:rFonts w:cstheme="minorHAnsi"/>
          <w:i/>
        </w:rPr>
        <w:t>Rovnost a rozdílnost – Komplexní podpora pedagogů při začleňování principů multikulturní výc</w:t>
      </w:r>
      <w:r w:rsidR="00EB6C80" w:rsidRPr="00267A87">
        <w:rPr>
          <w:rFonts w:cstheme="minorHAnsi"/>
          <w:i/>
        </w:rPr>
        <w:t>hovy a inkluze do života školy</w:t>
      </w:r>
      <w:r w:rsidR="006B2A19" w:rsidRPr="008F7AC9">
        <w:rPr>
          <w:rFonts w:cstheme="minorHAnsi"/>
        </w:rPr>
        <w:t xml:space="preserve"> s</w:t>
      </w:r>
      <w:r w:rsidR="00EB6C80" w:rsidRPr="008F7AC9">
        <w:rPr>
          <w:rFonts w:cstheme="minorHAnsi"/>
        </w:rPr>
        <w:t xml:space="preserve"> těmito </w:t>
      </w:r>
      <w:r w:rsidR="006B2A19" w:rsidRPr="008F7AC9">
        <w:rPr>
          <w:rFonts w:cstheme="minorHAnsi"/>
        </w:rPr>
        <w:t>nedostatky:</w:t>
      </w:r>
    </w:p>
    <w:p w14:paraId="150BEE59" w14:textId="130D2CE5" w:rsidR="006B2A19" w:rsidRPr="00A71BA4" w:rsidRDefault="006B2A19" w:rsidP="008E5EDF">
      <w:pPr>
        <w:pStyle w:val="Odstavecseseznamem"/>
        <w:numPr>
          <w:ilvl w:val="1"/>
          <w:numId w:val="4"/>
        </w:numPr>
        <w:spacing w:after="0"/>
        <w:ind w:left="851" w:hanging="284"/>
        <w:rPr>
          <w:rFonts w:cstheme="minorHAnsi"/>
        </w:rPr>
      </w:pPr>
      <w:r w:rsidRPr="00A71BA4">
        <w:rPr>
          <w:rFonts w:cstheme="minorHAnsi"/>
        </w:rPr>
        <w:t xml:space="preserve">vynaložil </w:t>
      </w:r>
      <w:r w:rsidR="00C721D6" w:rsidRPr="00A71BA4">
        <w:rPr>
          <w:rFonts w:cstheme="minorHAnsi"/>
          <w:b/>
        </w:rPr>
        <w:t>nezpůsobilé výdaje v souvislosti</w:t>
      </w:r>
      <w:r w:rsidR="00C721D6" w:rsidRPr="00A71BA4">
        <w:rPr>
          <w:rFonts w:cstheme="minorHAnsi"/>
        </w:rPr>
        <w:t xml:space="preserve"> </w:t>
      </w:r>
      <w:r w:rsidR="00C721D6" w:rsidRPr="00A71BA4">
        <w:rPr>
          <w:rFonts w:cstheme="minorHAnsi"/>
          <w:b/>
        </w:rPr>
        <w:t xml:space="preserve">se vzdělávacím kurzem </w:t>
      </w:r>
      <w:r w:rsidR="00AD6FD9" w:rsidRPr="00A71BA4">
        <w:rPr>
          <w:rFonts w:cstheme="minorHAnsi"/>
          <w:b/>
        </w:rPr>
        <w:t xml:space="preserve">pro pedagogy </w:t>
      </w:r>
      <w:r w:rsidR="00DE47C3" w:rsidRPr="00A71BA4">
        <w:rPr>
          <w:rFonts w:cstheme="minorHAnsi"/>
          <w:b/>
        </w:rPr>
        <w:t xml:space="preserve">s využitím metody </w:t>
      </w:r>
      <w:r w:rsidR="00C721D6" w:rsidRPr="00267A87">
        <w:rPr>
          <w:rFonts w:cstheme="minorHAnsi"/>
          <w:b/>
          <w:i/>
        </w:rPr>
        <w:t xml:space="preserve">Persona </w:t>
      </w:r>
      <w:proofErr w:type="spellStart"/>
      <w:r w:rsidR="00C721D6" w:rsidRPr="00267A87">
        <w:rPr>
          <w:rFonts w:cstheme="minorHAnsi"/>
          <w:b/>
          <w:i/>
        </w:rPr>
        <w:t>Dolls</w:t>
      </w:r>
      <w:proofErr w:type="spellEnd"/>
      <w:r w:rsidR="00C721D6" w:rsidRPr="00A71BA4">
        <w:rPr>
          <w:rFonts w:cstheme="minorHAnsi"/>
          <w:b/>
        </w:rPr>
        <w:t xml:space="preserve">; </w:t>
      </w:r>
      <w:r w:rsidR="00C721D6" w:rsidRPr="00A71BA4">
        <w:rPr>
          <w:rFonts w:cstheme="minorHAnsi"/>
        </w:rPr>
        <w:t xml:space="preserve">výukové pomůcky určené cílové skupině, </w:t>
      </w:r>
      <w:r w:rsidR="00C721D6" w:rsidRPr="00A71BA4">
        <w:rPr>
          <w:rFonts w:cstheme="minorHAnsi"/>
        </w:rPr>
        <w:lastRenderedPageBreak/>
        <w:t>tj.</w:t>
      </w:r>
      <w:r w:rsidR="00B51781">
        <w:rPr>
          <w:rFonts w:cstheme="minorHAnsi"/>
        </w:rPr>
        <w:t> </w:t>
      </w:r>
      <w:r w:rsidR="00C721D6" w:rsidRPr="00A71BA4">
        <w:rPr>
          <w:rFonts w:cstheme="minorHAnsi"/>
        </w:rPr>
        <w:t>účastníkům kurzu, kteř</w:t>
      </w:r>
      <w:r w:rsidR="00AD6FD9" w:rsidRPr="00A71BA4">
        <w:rPr>
          <w:rFonts w:cstheme="minorHAnsi"/>
        </w:rPr>
        <w:t xml:space="preserve">í jej úspěšně ukončili, převzaly </w:t>
      </w:r>
      <w:r w:rsidR="00C916F4">
        <w:rPr>
          <w:rFonts w:cstheme="minorHAnsi"/>
        </w:rPr>
        <w:t xml:space="preserve">i </w:t>
      </w:r>
      <w:r w:rsidR="00AD6FD9" w:rsidRPr="00A71BA4">
        <w:rPr>
          <w:rFonts w:cstheme="minorHAnsi"/>
        </w:rPr>
        <w:t>osoby,</w:t>
      </w:r>
      <w:r w:rsidR="00C721D6" w:rsidRPr="00A71BA4">
        <w:rPr>
          <w:rFonts w:cstheme="minorHAnsi"/>
        </w:rPr>
        <w:t xml:space="preserve"> kte</w:t>
      </w:r>
      <w:r w:rsidR="00AD6FD9" w:rsidRPr="00A71BA4">
        <w:rPr>
          <w:rFonts w:cstheme="minorHAnsi"/>
        </w:rPr>
        <w:t xml:space="preserve">ré </w:t>
      </w:r>
      <w:r w:rsidR="00C721D6" w:rsidRPr="00A71BA4">
        <w:rPr>
          <w:rFonts w:cstheme="minorHAnsi"/>
        </w:rPr>
        <w:t>nesplnil</w:t>
      </w:r>
      <w:r w:rsidR="00AD6FD9" w:rsidRPr="00A71BA4">
        <w:rPr>
          <w:rFonts w:cstheme="minorHAnsi"/>
        </w:rPr>
        <w:t>y</w:t>
      </w:r>
      <w:r w:rsidR="00C721D6" w:rsidRPr="00A71BA4">
        <w:rPr>
          <w:rFonts w:cstheme="minorHAnsi"/>
        </w:rPr>
        <w:t xml:space="preserve"> podmínky stanovené pro cílovou skupinu</w:t>
      </w:r>
      <w:r w:rsidRPr="00A71BA4">
        <w:rPr>
          <w:rFonts w:cstheme="minorHAnsi"/>
        </w:rPr>
        <w:t xml:space="preserve">; </w:t>
      </w:r>
    </w:p>
    <w:p w14:paraId="45BD47A5" w14:textId="1C299D3F" w:rsidR="00AC59B7" w:rsidRPr="00A71BA4" w:rsidRDefault="00EB6C80" w:rsidP="008E5EDF">
      <w:pPr>
        <w:pStyle w:val="Odstavecseseznamem"/>
        <w:numPr>
          <w:ilvl w:val="0"/>
          <w:numId w:val="14"/>
        </w:numPr>
        <w:spacing w:after="0"/>
        <w:ind w:left="851" w:hanging="284"/>
        <w:rPr>
          <w:rFonts w:cstheme="minorHAnsi"/>
        </w:rPr>
      </w:pPr>
      <w:r w:rsidRPr="00A71BA4">
        <w:rPr>
          <w:rFonts w:cstheme="minorHAnsi"/>
        </w:rPr>
        <w:t>p</w:t>
      </w:r>
      <w:r w:rsidR="00AC59B7" w:rsidRPr="00A71BA4">
        <w:rPr>
          <w:rFonts w:cstheme="minorHAnsi"/>
        </w:rPr>
        <w:t>rovedl v</w:t>
      </w:r>
      <w:r w:rsidR="00AD6FD9" w:rsidRPr="00A71BA4">
        <w:rPr>
          <w:rFonts w:cstheme="minorHAnsi"/>
        </w:rPr>
        <w:t xml:space="preserve"> uvedeném </w:t>
      </w:r>
      <w:r w:rsidR="00AC59B7" w:rsidRPr="00A71BA4">
        <w:rPr>
          <w:rFonts w:cstheme="minorHAnsi"/>
        </w:rPr>
        <w:t xml:space="preserve">projektu </w:t>
      </w:r>
      <w:r w:rsidR="00DE47C3" w:rsidRPr="00A71BA4">
        <w:rPr>
          <w:rFonts w:cstheme="minorHAnsi"/>
        </w:rPr>
        <w:t xml:space="preserve">podstatné </w:t>
      </w:r>
      <w:r w:rsidR="00AC59B7" w:rsidRPr="00A71BA4">
        <w:rPr>
          <w:rFonts w:cstheme="minorHAnsi"/>
        </w:rPr>
        <w:t xml:space="preserve">změny, </w:t>
      </w:r>
      <w:r w:rsidR="00DE47C3" w:rsidRPr="00A71BA4">
        <w:rPr>
          <w:rFonts w:cstheme="minorHAnsi"/>
        </w:rPr>
        <w:t xml:space="preserve">aniž </w:t>
      </w:r>
      <w:r w:rsidRPr="00A71BA4">
        <w:rPr>
          <w:rFonts w:cstheme="minorHAnsi"/>
        </w:rPr>
        <w:t xml:space="preserve">by </w:t>
      </w:r>
      <w:r w:rsidR="00DE47C3" w:rsidRPr="00A71BA4">
        <w:rPr>
          <w:rFonts w:cstheme="minorHAnsi"/>
        </w:rPr>
        <w:t xml:space="preserve">o nich v předstihu informoval </w:t>
      </w:r>
      <w:r w:rsidR="00CD6A13">
        <w:rPr>
          <w:rFonts w:cstheme="minorHAnsi"/>
        </w:rPr>
        <w:t>ř</w:t>
      </w:r>
      <w:r w:rsidRPr="00A71BA4">
        <w:rPr>
          <w:rFonts w:cstheme="minorHAnsi"/>
        </w:rPr>
        <w:t>ídicí orgán OP PP</w:t>
      </w:r>
      <w:r w:rsidR="00661CC4" w:rsidRPr="00A71BA4">
        <w:rPr>
          <w:rFonts w:cstheme="minorHAnsi"/>
        </w:rPr>
        <w:t>R</w:t>
      </w:r>
      <w:r w:rsidRPr="00A71BA4">
        <w:rPr>
          <w:rFonts w:cstheme="minorHAnsi"/>
        </w:rPr>
        <w:t>; t</w:t>
      </w:r>
      <w:r w:rsidR="00DE47C3" w:rsidRPr="00A71BA4">
        <w:rPr>
          <w:rFonts w:cstheme="minorHAnsi"/>
        </w:rPr>
        <w:t>oto jednání</w:t>
      </w:r>
      <w:r w:rsidR="00D26D28" w:rsidRPr="00A71BA4">
        <w:rPr>
          <w:rFonts w:cstheme="minorHAnsi"/>
        </w:rPr>
        <w:t xml:space="preserve"> bylo v rozporu </w:t>
      </w:r>
      <w:r w:rsidR="00D92A68" w:rsidRPr="00A71BA4">
        <w:rPr>
          <w:rFonts w:cstheme="minorHAnsi"/>
        </w:rPr>
        <w:t>s pravidly OP PPR;</w:t>
      </w:r>
    </w:p>
    <w:p w14:paraId="085E53D7" w14:textId="32731DC2" w:rsidR="004F2695" w:rsidRPr="00A71BA4" w:rsidRDefault="004F2695" w:rsidP="008E5EDF">
      <w:pPr>
        <w:pStyle w:val="Odstavecseseznamem"/>
        <w:numPr>
          <w:ilvl w:val="0"/>
          <w:numId w:val="14"/>
        </w:numPr>
        <w:ind w:left="851" w:hanging="284"/>
        <w:rPr>
          <w:rFonts w:cstheme="minorHAnsi"/>
        </w:rPr>
      </w:pPr>
      <w:r w:rsidRPr="00A71BA4">
        <w:rPr>
          <w:rFonts w:cstheme="minorHAnsi"/>
        </w:rPr>
        <w:t xml:space="preserve">pro zahraniční studijní pobyt </w:t>
      </w:r>
      <w:r w:rsidR="00B74A12">
        <w:rPr>
          <w:rFonts w:cstheme="minorHAnsi"/>
        </w:rPr>
        <w:t>v rámci klíčové aktivity</w:t>
      </w:r>
      <w:r w:rsidRPr="00A71BA4">
        <w:rPr>
          <w:rFonts w:cstheme="minorHAnsi"/>
        </w:rPr>
        <w:t xml:space="preserve"> č. V. nestanovil transparentním způsobem kritéria pro výběr úč</w:t>
      </w:r>
      <w:r w:rsidR="00661CC4" w:rsidRPr="00A71BA4">
        <w:rPr>
          <w:rFonts w:cstheme="minorHAnsi"/>
        </w:rPr>
        <w:t>astníků, i když za tuto aktivitu</w:t>
      </w:r>
      <w:r w:rsidRPr="00A71BA4">
        <w:rPr>
          <w:rFonts w:cstheme="minorHAnsi"/>
        </w:rPr>
        <w:t xml:space="preserve"> uplatnil 23 % všech přímých výdajů projektu; částka vynaložená z veřejných prostře</w:t>
      </w:r>
      <w:r w:rsidR="00661CC4" w:rsidRPr="00A71BA4">
        <w:rPr>
          <w:rFonts w:cstheme="minorHAnsi"/>
        </w:rPr>
        <w:t>dků ve výši 617 400 </w:t>
      </w:r>
      <w:r w:rsidRPr="00A71BA4">
        <w:rPr>
          <w:rFonts w:cstheme="minorHAnsi"/>
        </w:rPr>
        <w:t xml:space="preserve">Kč je nepřiměřená mj. </w:t>
      </w:r>
      <w:r w:rsidR="00E07045">
        <w:rPr>
          <w:rFonts w:cstheme="minorHAnsi"/>
        </w:rPr>
        <w:t xml:space="preserve">z toho důvodu, že </w:t>
      </w:r>
      <w:r w:rsidR="00C916F4">
        <w:rPr>
          <w:rFonts w:cstheme="minorHAnsi"/>
        </w:rPr>
        <w:t xml:space="preserve">příjemce </w:t>
      </w:r>
      <w:r w:rsidRPr="00A71BA4">
        <w:rPr>
          <w:rFonts w:cstheme="minorHAnsi"/>
        </w:rPr>
        <w:t>neprok</w:t>
      </w:r>
      <w:r w:rsidR="00661CC4" w:rsidRPr="00A71BA4">
        <w:rPr>
          <w:rFonts w:cstheme="minorHAnsi"/>
        </w:rPr>
        <w:t>ázal odpovídající míru šíření a </w:t>
      </w:r>
      <w:r w:rsidRPr="00A71BA4">
        <w:rPr>
          <w:rFonts w:cstheme="minorHAnsi"/>
        </w:rPr>
        <w:t>využití poznatků získaných v rámci zahraničního studijního pobytu.</w:t>
      </w:r>
    </w:p>
    <w:p w14:paraId="53FA04A5" w14:textId="1965869A" w:rsidR="001D2D32" w:rsidRPr="008F7AC9" w:rsidRDefault="00AC59B7" w:rsidP="00E85843">
      <w:pPr>
        <w:rPr>
          <w:rFonts w:cstheme="minorHAnsi"/>
        </w:rPr>
      </w:pPr>
      <w:r w:rsidRPr="008F7AC9">
        <w:rPr>
          <w:rFonts w:cstheme="minorHAnsi"/>
        </w:rPr>
        <w:t>Příjemce</w:t>
      </w:r>
      <w:r w:rsidR="008B7C7F" w:rsidRPr="008F7AC9">
        <w:rPr>
          <w:rFonts w:cstheme="minorHAnsi"/>
        </w:rPr>
        <w:t xml:space="preserve"> </w:t>
      </w:r>
      <w:r w:rsidR="008B7C7F" w:rsidRPr="009E3185">
        <w:rPr>
          <w:rFonts w:cstheme="minorHAnsi"/>
        </w:rPr>
        <w:t xml:space="preserve">META, o.p.s. – </w:t>
      </w:r>
      <w:r w:rsidR="00D55A14">
        <w:rPr>
          <w:rFonts w:cstheme="minorHAnsi"/>
        </w:rPr>
        <w:t>S</w:t>
      </w:r>
      <w:r w:rsidR="008B7C7F" w:rsidRPr="009E3185">
        <w:rPr>
          <w:rFonts w:cstheme="minorHAnsi"/>
        </w:rPr>
        <w:t>polečnost pro příležitosti mladých migrantů</w:t>
      </w:r>
      <w:r w:rsidR="008B7C7F" w:rsidRPr="008F7AC9">
        <w:rPr>
          <w:rFonts w:cstheme="minorHAnsi"/>
        </w:rPr>
        <w:t xml:space="preserve"> </w:t>
      </w:r>
      <w:r w:rsidRPr="008F7AC9">
        <w:rPr>
          <w:rFonts w:cstheme="minorHAnsi"/>
        </w:rPr>
        <w:t xml:space="preserve">stanovil hlavní cíl projektu </w:t>
      </w:r>
      <w:r w:rsidR="001D2D32" w:rsidRPr="009E3185">
        <w:rPr>
          <w:rFonts w:cstheme="minorHAnsi"/>
          <w:i/>
        </w:rPr>
        <w:t>Češtinou k</w:t>
      </w:r>
      <w:r w:rsidRPr="009E3185">
        <w:rPr>
          <w:rFonts w:cstheme="minorHAnsi"/>
          <w:i/>
        </w:rPr>
        <w:t> </w:t>
      </w:r>
      <w:r w:rsidR="001D2D32" w:rsidRPr="009E3185">
        <w:rPr>
          <w:rFonts w:cstheme="minorHAnsi"/>
          <w:i/>
        </w:rPr>
        <w:t>inkluzi</w:t>
      </w:r>
      <w:r w:rsidRPr="008F7AC9">
        <w:rPr>
          <w:rFonts w:cstheme="minorHAnsi"/>
        </w:rPr>
        <w:t xml:space="preserve"> obecným způsobem</w:t>
      </w:r>
      <w:r w:rsidR="00B51781">
        <w:rPr>
          <w:rFonts w:cstheme="minorHAnsi"/>
        </w:rPr>
        <w:t>,</w:t>
      </w:r>
      <w:r w:rsidRPr="008F7AC9">
        <w:rPr>
          <w:rFonts w:cstheme="minorHAnsi"/>
        </w:rPr>
        <w:t xml:space="preserve"> a nikoliv v souladu se všemi aspekty principu SMART; </w:t>
      </w:r>
      <w:r w:rsidR="00AD6FD9" w:rsidRPr="008F7AC9">
        <w:rPr>
          <w:rFonts w:cstheme="minorHAnsi"/>
        </w:rPr>
        <w:t xml:space="preserve">uvedený </w:t>
      </w:r>
      <w:r w:rsidR="00885550" w:rsidRPr="008F7AC9">
        <w:rPr>
          <w:rFonts w:cstheme="minorHAnsi"/>
        </w:rPr>
        <w:t xml:space="preserve">princip nesplňovaly </w:t>
      </w:r>
      <w:r w:rsidR="00AD6FD9" w:rsidRPr="008F7AC9">
        <w:rPr>
          <w:rFonts w:cstheme="minorHAnsi"/>
        </w:rPr>
        <w:t>ani</w:t>
      </w:r>
      <w:r w:rsidR="00885550" w:rsidRPr="008F7AC9">
        <w:rPr>
          <w:rFonts w:cstheme="minorHAnsi"/>
        </w:rPr>
        <w:t xml:space="preserve"> specific</w:t>
      </w:r>
      <w:r w:rsidR="00AD6FD9" w:rsidRPr="008F7AC9">
        <w:rPr>
          <w:rFonts w:cstheme="minorHAnsi"/>
        </w:rPr>
        <w:t xml:space="preserve">ké </w:t>
      </w:r>
      <w:r w:rsidR="00885550" w:rsidRPr="008F7AC9">
        <w:rPr>
          <w:rFonts w:cstheme="minorHAnsi"/>
        </w:rPr>
        <w:t>cíl</w:t>
      </w:r>
      <w:r w:rsidR="00AD6FD9" w:rsidRPr="008F7AC9">
        <w:rPr>
          <w:rFonts w:cstheme="minorHAnsi"/>
        </w:rPr>
        <w:t>e</w:t>
      </w:r>
      <w:r w:rsidR="00885550" w:rsidRPr="008F7AC9">
        <w:rPr>
          <w:rFonts w:cstheme="minorHAnsi"/>
        </w:rPr>
        <w:t xml:space="preserve"> </w:t>
      </w:r>
      <w:r w:rsidRPr="008F7AC9">
        <w:rPr>
          <w:rFonts w:cstheme="minorHAnsi"/>
        </w:rPr>
        <w:t xml:space="preserve">projektu. </w:t>
      </w:r>
      <w:r w:rsidR="00661CC4" w:rsidRPr="008F7AC9">
        <w:rPr>
          <w:rFonts w:cstheme="minorHAnsi"/>
        </w:rPr>
        <w:t>Kontrolou projektu</w:t>
      </w:r>
      <w:r w:rsidR="00D92A68" w:rsidRPr="008F7AC9">
        <w:rPr>
          <w:rFonts w:cstheme="minorHAnsi"/>
        </w:rPr>
        <w:t xml:space="preserve"> nebyly zjištěny jiné nedostatky.</w:t>
      </w:r>
    </w:p>
    <w:p w14:paraId="2307808D" w14:textId="77777777" w:rsidR="00E40CE5" w:rsidRPr="00A71BA4" w:rsidRDefault="00E40CE5" w:rsidP="00DA1B53">
      <w:pPr>
        <w:pStyle w:val="Odstavecseseznamem"/>
        <w:spacing w:after="0"/>
        <w:ind w:left="720"/>
        <w:rPr>
          <w:rFonts w:cstheme="minorHAnsi"/>
        </w:rPr>
      </w:pPr>
    </w:p>
    <w:p w14:paraId="249D69D6" w14:textId="615C0F94" w:rsidR="005B04CA" w:rsidRPr="00C353A3" w:rsidRDefault="005B04CA" w:rsidP="00136EF9">
      <w:pPr>
        <w:pStyle w:val="Nadpis3"/>
      </w:pPr>
      <w:proofErr w:type="gramStart"/>
      <w:r w:rsidRPr="000143BC">
        <w:t>IV.2.3</w:t>
      </w:r>
      <w:proofErr w:type="gramEnd"/>
      <w:r w:rsidRPr="000143BC">
        <w:t xml:space="preserve"> Projekty</w:t>
      </w:r>
      <w:r w:rsidR="002C46C5" w:rsidRPr="000143BC">
        <w:t xml:space="preserve"> </w:t>
      </w:r>
      <w:r w:rsidR="00C353A3" w:rsidRPr="000143BC">
        <w:t>IROP vytvářejí podmínky pro úspěšné inkluzivní vzdělávání</w:t>
      </w:r>
    </w:p>
    <w:p w14:paraId="5B55D4E7" w14:textId="578CBFE9" w:rsidR="00E85843" w:rsidRPr="00A71BA4" w:rsidRDefault="00E40CE5" w:rsidP="00A5378C">
      <w:pPr>
        <w:rPr>
          <w:rFonts w:cstheme="minorHAnsi"/>
        </w:rPr>
      </w:pPr>
      <w:r w:rsidRPr="00D573D1">
        <w:rPr>
          <w:rFonts w:cstheme="minorHAnsi"/>
        </w:rPr>
        <w:t xml:space="preserve">Kontrolou bylo prověřeno </w:t>
      </w:r>
      <w:r w:rsidRPr="00D573D1">
        <w:rPr>
          <w:rFonts w:cstheme="minorHAnsi"/>
          <w:b/>
        </w:rPr>
        <w:t>pět investičních projektů</w:t>
      </w:r>
      <w:r w:rsidR="006B2A19" w:rsidRPr="00D573D1">
        <w:rPr>
          <w:rFonts w:cstheme="minorHAnsi"/>
          <w:b/>
        </w:rPr>
        <w:t xml:space="preserve">, </w:t>
      </w:r>
      <w:r w:rsidRPr="00D573D1">
        <w:rPr>
          <w:rFonts w:cstheme="minorHAnsi"/>
        </w:rPr>
        <w:t xml:space="preserve">u nichž objem proplacených prostředků činil </w:t>
      </w:r>
      <w:r w:rsidR="00E9529E" w:rsidRPr="00D573D1">
        <w:rPr>
          <w:rFonts w:cstheme="minorHAnsi"/>
        </w:rPr>
        <w:t>113</w:t>
      </w:r>
      <w:r w:rsidR="00D573D1" w:rsidRPr="00D573D1">
        <w:rPr>
          <w:rFonts w:cstheme="minorHAnsi"/>
        </w:rPr>
        <w:t>,</w:t>
      </w:r>
      <w:r w:rsidR="00E9529E" w:rsidRPr="00D573D1">
        <w:rPr>
          <w:rFonts w:cstheme="minorHAnsi"/>
        </w:rPr>
        <w:t>6</w:t>
      </w:r>
      <w:r w:rsidR="00D573D1" w:rsidRPr="00D573D1">
        <w:rPr>
          <w:rFonts w:cstheme="minorHAnsi"/>
        </w:rPr>
        <w:t xml:space="preserve">1 </w:t>
      </w:r>
      <w:r w:rsidR="00E9529E" w:rsidRPr="00D573D1">
        <w:rPr>
          <w:rFonts w:cstheme="minorHAnsi"/>
        </w:rPr>
        <w:t>mil. Kč.</w:t>
      </w:r>
      <w:r w:rsidR="00E9529E" w:rsidRPr="00A71BA4">
        <w:rPr>
          <w:rFonts w:cstheme="minorHAnsi"/>
        </w:rPr>
        <w:t xml:space="preserve"> Projekty byly vybrány z</w:t>
      </w:r>
      <w:r w:rsidR="006B2A19" w:rsidRPr="00A71BA4">
        <w:rPr>
          <w:rFonts w:cstheme="minorHAnsi"/>
        </w:rPr>
        <w:t xml:space="preserve">e dvou </w:t>
      </w:r>
      <w:r w:rsidR="00E9529E" w:rsidRPr="00A71BA4">
        <w:rPr>
          <w:rFonts w:cstheme="minorHAnsi"/>
        </w:rPr>
        <w:t>výzev zaměřených na budován</w:t>
      </w:r>
      <w:r w:rsidR="006B2A19" w:rsidRPr="00A71BA4">
        <w:rPr>
          <w:rFonts w:cstheme="minorHAnsi"/>
        </w:rPr>
        <w:t xml:space="preserve">í infrastruktury středních </w:t>
      </w:r>
      <w:r w:rsidR="00A5378C" w:rsidRPr="00A71BA4">
        <w:rPr>
          <w:rFonts w:cstheme="minorHAnsi"/>
        </w:rPr>
        <w:t>a vyšších odborných škol</w:t>
      </w:r>
      <w:r w:rsidR="006B2A19" w:rsidRPr="00A71BA4">
        <w:rPr>
          <w:rFonts w:cstheme="minorHAnsi"/>
        </w:rPr>
        <w:t>, z </w:t>
      </w:r>
      <w:r w:rsidR="009E5BD2">
        <w:rPr>
          <w:rFonts w:cstheme="minorHAnsi"/>
        </w:rPr>
        <w:t>toho</w:t>
      </w:r>
      <w:r w:rsidR="00661CC4" w:rsidRPr="00A71BA4">
        <w:rPr>
          <w:rFonts w:cstheme="minorHAnsi"/>
        </w:rPr>
        <w:t xml:space="preserve"> jedna výzva byla zaměřena na</w:t>
      </w:r>
      <w:r w:rsidR="005E0801">
        <w:rPr>
          <w:rFonts w:cstheme="minorHAnsi"/>
        </w:rPr>
        <w:t xml:space="preserve"> </w:t>
      </w:r>
      <w:r w:rsidR="00A5378C" w:rsidRPr="00A71BA4">
        <w:rPr>
          <w:rFonts w:cstheme="minorHAnsi"/>
        </w:rPr>
        <w:t>školy v </w:t>
      </w:r>
      <w:r w:rsidR="00280839">
        <w:rPr>
          <w:rFonts w:cstheme="minorHAnsi"/>
        </w:rPr>
        <w:t>SVL</w:t>
      </w:r>
      <w:r w:rsidR="00A5378C" w:rsidRPr="00A71BA4">
        <w:rPr>
          <w:rFonts w:cstheme="minorHAnsi"/>
        </w:rPr>
        <w:t xml:space="preserve">. </w:t>
      </w:r>
      <w:r w:rsidR="00461A4B" w:rsidRPr="00A71BA4">
        <w:rPr>
          <w:rFonts w:cstheme="minorHAnsi"/>
        </w:rPr>
        <w:t xml:space="preserve">Kontrolované projekty </w:t>
      </w:r>
      <w:r w:rsidR="00734841">
        <w:rPr>
          <w:rFonts w:cstheme="minorHAnsi"/>
        </w:rPr>
        <w:t>byly realizovány</w:t>
      </w:r>
      <w:r w:rsidR="00012FA7" w:rsidRPr="00A71BA4">
        <w:rPr>
          <w:rFonts w:cstheme="minorHAnsi"/>
        </w:rPr>
        <w:t xml:space="preserve"> </w:t>
      </w:r>
      <w:r w:rsidR="00461A4B" w:rsidRPr="00A71BA4">
        <w:rPr>
          <w:rFonts w:cstheme="minorHAnsi"/>
        </w:rPr>
        <w:t>na území</w:t>
      </w:r>
      <w:r w:rsidR="006B2A19" w:rsidRPr="00A71BA4">
        <w:rPr>
          <w:rFonts w:cstheme="minorHAnsi"/>
        </w:rPr>
        <w:t xml:space="preserve"> Jihomoravského a Jihočeského kraje.</w:t>
      </w:r>
    </w:p>
    <w:p w14:paraId="598E4405" w14:textId="478CCE8C" w:rsidR="00E9529E" w:rsidRDefault="00D92A68" w:rsidP="00E9529E">
      <w:pPr>
        <w:rPr>
          <w:rFonts w:cstheme="minorHAnsi"/>
          <w:b/>
        </w:rPr>
      </w:pPr>
      <w:r w:rsidRPr="00A71BA4">
        <w:rPr>
          <w:rFonts w:cstheme="minorHAnsi"/>
          <w:b/>
        </w:rPr>
        <w:t xml:space="preserve">NKÚ nezjistil při kontrole u příjemců podpory z IROP </w:t>
      </w:r>
      <w:r w:rsidR="00E9529E" w:rsidRPr="00A71BA4">
        <w:rPr>
          <w:rFonts w:cstheme="minorHAnsi"/>
          <w:b/>
        </w:rPr>
        <w:t xml:space="preserve">nedostatky ani v oblasti způsobilosti výdajů, ani v oblasti zadávání veřejných zakázek. </w:t>
      </w:r>
      <w:r w:rsidR="00461A4B" w:rsidRPr="00A71BA4">
        <w:rPr>
          <w:rFonts w:cstheme="minorHAnsi"/>
          <w:b/>
        </w:rPr>
        <w:t>Cíle projektů naplňují principy SMART</w:t>
      </w:r>
      <w:r w:rsidR="00661CC4" w:rsidRPr="00A71BA4">
        <w:rPr>
          <w:rFonts w:cstheme="minorHAnsi"/>
          <w:b/>
        </w:rPr>
        <w:t xml:space="preserve"> a </w:t>
      </w:r>
      <w:r w:rsidR="00012FA7" w:rsidRPr="00A71BA4">
        <w:rPr>
          <w:rFonts w:cstheme="minorHAnsi"/>
          <w:b/>
        </w:rPr>
        <w:t>vytvářejí předpoklady pro zajištění rovného přístupu všech žáků ke kvalitnímu vzdělávání</w:t>
      </w:r>
      <w:r w:rsidR="00461A4B" w:rsidRPr="00A71BA4">
        <w:rPr>
          <w:rFonts w:cstheme="minorHAnsi"/>
          <w:b/>
        </w:rPr>
        <w:t>.</w:t>
      </w:r>
    </w:p>
    <w:p w14:paraId="7FDC999C" w14:textId="77777777" w:rsidR="000143BC" w:rsidRPr="00A71BA4" w:rsidRDefault="000143BC" w:rsidP="00E9529E">
      <w:pPr>
        <w:rPr>
          <w:rFonts w:cstheme="minorHAnsi"/>
          <w:b/>
        </w:rPr>
      </w:pPr>
    </w:p>
    <w:p w14:paraId="71AD1B66" w14:textId="77777777" w:rsidR="002A5A05" w:rsidRPr="00C353A3" w:rsidRDefault="002A5A05" w:rsidP="00136EF9">
      <w:pPr>
        <w:pStyle w:val="Nadpis3"/>
      </w:pPr>
      <w:proofErr w:type="gramStart"/>
      <w:r w:rsidRPr="000143BC">
        <w:t>IV.2.4</w:t>
      </w:r>
      <w:proofErr w:type="gramEnd"/>
      <w:r w:rsidRPr="000143BC">
        <w:t xml:space="preserve"> Vyhodnocení používání/čerpání</w:t>
      </w:r>
      <w:r w:rsidR="00333E7B" w:rsidRPr="000143BC">
        <w:t xml:space="preserve"> peněžních prostředků příjemci podpory</w:t>
      </w:r>
    </w:p>
    <w:p w14:paraId="1B93DA06" w14:textId="22DBD4CF" w:rsidR="00FB18D1" w:rsidRPr="00FB18D1" w:rsidRDefault="0005617E" w:rsidP="008E5EDF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Hlavní cíle u systémových projektů OP VVV </w:t>
      </w:r>
      <w:r w:rsidR="00FB18D1" w:rsidRPr="00FB18D1">
        <w:rPr>
          <w:rFonts w:cstheme="minorHAnsi"/>
        </w:rPr>
        <w:t xml:space="preserve">jsou nastaveny </w:t>
      </w:r>
      <w:r w:rsidR="00A2326C">
        <w:rPr>
          <w:rFonts w:cstheme="minorHAnsi"/>
        </w:rPr>
        <w:t xml:space="preserve">příliš </w:t>
      </w:r>
      <w:r w:rsidR="00987B74">
        <w:rPr>
          <w:rFonts w:cstheme="minorHAnsi"/>
        </w:rPr>
        <w:t>obecně, nejsou měřitelné a</w:t>
      </w:r>
      <w:r w:rsidR="00A2326C">
        <w:rPr>
          <w:rFonts w:cstheme="minorHAnsi"/>
        </w:rPr>
        <w:t xml:space="preserve"> </w:t>
      </w:r>
      <w:r>
        <w:rPr>
          <w:rFonts w:cstheme="minorHAnsi"/>
        </w:rPr>
        <w:t xml:space="preserve">nelze </w:t>
      </w:r>
      <w:r w:rsidR="00FB18D1" w:rsidRPr="00FB18D1">
        <w:rPr>
          <w:rFonts w:cstheme="minorHAnsi"/>
        </w:rPr>
        <w:t xml:space="preserve">vyhodnotit </w:t>
      </w:r>
      <w:r>
        <w:rPr>
          <w:rFonts w:cstheme="minorHAnsi"/>
        </w:rPr>
        <w:t xml:space="preserve">míru </w:t>
      </w:r>
      <w:r w:rsidR="00FB18D1" w:rsidRPr="00FB18D1">
        <w:rPr>
          <w:rFonts w:cstheme="minorHAnsi"/>
        </w:rPr>
        <w:t>j</w:t>
      </w:r>
      <w:r w:rsidR="009A1B91">
        <w:rPr>
          <w:rFonts w:cstheme="minorHAnsi"/>
        </w:rPr>
        <w:t>ejich naplnění</w:t>
      </w:r>
      <w:r>
        <w:rPr>
          <w:rFonts w:cstheme="minorHAnsi"/>
        </w:rPr>
        <w:t>;</w:t>
      </w:r>
      <w:r w:rsidR="009A1B91">
        <w:rPr>
          <w:rFonts w:cstheme="minorHAnsi"/>
        </w:rPr>
        <w:t xml:space="preserve"> z</w:t>
      </w:r>
      <w:r w:rsidR="00FB18D1" w:rsidRPr="00FB18D1">
        <w:rPr>
          <w:rFonts w:cstheme="minorHAnsi"/>
        </w:rPr>
        <w:t>působ</w:t>
      </w:r>
      <w:r w:rsidR="009A1B91">
        <w:rPr>
          <w:rFonts w:cstheme="minorHAnsi"/>
        </w:rPr>
        <w:t xml:space="preserve">, jakým byly cíle </w:t>
      </w:r>
      <w:r>
        <w:rPr>
          <w:rFonts w:cstheme="minorHAnsi"/>
        </w:rPr>
        <w:t xml:space="preserve">v projektech </w:t>
      </w:r>
      <w:r w:rsidR="009A1B91">
        <w:rPr>
          <w:rFonts w:cstheme="minorHAnsi"/>
        </w:rPr>
        <w:t>definovány, nezavazuj</w:t>
      </w:r>
      <w:r w:rsidR="00A2326C">
        <w:rPr>
          <w:rFonts w:cstheme="minorHAnsi"/>
        </w:rPr>
        <w:t>e</w:t>
      </w:r>
      <w:r w:rsidR="009A1B91">
        <w:rPr>
          <w:rFonts w:cstheme="minorHAnsi"/>
        </w:rPr>
        <w:t xml:space="preserve"> </w:t>
      </w:r>
      <w:r w:rsidR="00FB18D1" w:rsidRPr="00FB18D1">
        <w:rPr>
          <w:rFonts w:cstheme="minorHAnsi"/>
        </w:rPr>
        <w:t xml:space="preserve">realizátory </w:t>
      </w:r>
      <w:r>
        <w:rPr>
          <w:rFonts w:cstheme="minorHAnsi"/>
        </w:rPr>
        <w:t xml:space="preserve">k jejich </w:t>
      </w:r>
      <w:r w:rsidR="009A1B91">
        <w:rPr>
          <w:rFonts w:cstheme="minorHAnsi"/>
        </w:rPr>
        <w:t xml:space="preserve">naplnění. </w:t>
      </w:r>
      <w:r w:rsidR="00A2326C">
        <w:rPr>
          <w:rFonts w:cstheme="minorHAnsi"/>
        </w:rPr>
        <w:t>Jako p</w:t>
      </w:r>
      <w:r w:rsidR="00FB18D1" w:rsidRPr="00FB18D1">
        <w:rPr>
          <w:rFonts w:cstheme="minorHAnsi"/>
        </w:rPr>
        <w:t xml:space="preserve">říklad </w:t>
      </w:r>
      <w:r w:rsidR="00A2326C">
        <w:rPr>
          <w:rFonts w:cstheme="minorHAnsi"/>
        </w:rPr>
        <w:t>lze</w:t>
      </w:r>
      <w:r w:rsidR="00FB18D1" w:rsidRPr="00FB18D1">
        <w:rPr>
          <w:rFonts w:cstheme="minorHAnsi"/>
        </w:rPr>
        <w:t xml:space="preserve"> uvést cíle typu </w:t>
      </w:r>
      <w:r w:rsidR="00A2326C">
        <w:rPr>
          <w:rFonts w:cstheme="minorHAnsi"/>
        </w:rPr>
        <w:t>„</w:t>
      </w:r>
      <w:r w:rsidR="00FB18D1" w:rsidRPr="00FB18D1">
        <w:rPr>
          <w:rFonts w:cstheme="minorHAnsi"/>
          <w:i/>
        </w:rPr>
        <w:t>podpořit společné vzdělávání</w:t>
      </w:r>
      <w:r w:rsidR="00A2326C">
        <w:rPr>
          <w:rFonts w:cstheme="minorHAnsi"/>
        </w:rPr>
        <w:t>“</w:t>
      </w:r>
      <w:r w:rsidR="00FB18D1" w:rsidRPr="00FB18D1">
        <w:rPr>
          <w:rFonts w:cstheme="minorHAnsi"/>
          <w:i/>
        </w:rPr>
        <w:t xml:space="preserve"> </w:t>
      </w:r>
      <w:r w:rsidR="00FB18D1" w:rsidRPr="00FB18D1">
        <w:rPr>
          <w:rFonts w:cstheme="minorHAnsi"/>
        </w:rPr>
        <w:t>apod.</w:t>
      </w:r>
    </w:p>
    <w:p w14:paraId="2E06717A" w14:textId="031DDDF2" w:rsidR="00FB18D1" w:rsidRPr="00FB18D1" w:rsidRDefault="00FB18D1" w:rsidP="008E5EDF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FB18D1">
        <w:rPr>
          <w:rFonts w:eastAsiaTheme="minorEastAsia" w:cstheme="minorHAnsi"/>
        </w:rPr>
        <w:t xml:space="preserve">Většina kontrolovaných projektů přispívá </w:t>
      </w:r>
      <w:r w:rsidR="006B2A19">
        <w:rPr>
          <w:rFonts w:eastAsiaTheme="minorEastAsia" w:cstheme="minorHAnsi"/>
        </w:rPr>
        <w:t xml:space="preserve">v rámci </w:t>
      </w:r>
      <w:r w:rsidRPr="00FB18D1">
        <w:rPr>
          <w:rFonts w:eastAsiaTheme="minorEastAsia" w:cstheme="minorHAnsi"/>
        </w:rPr>
        <w:t>společné</w:t>
      </w:r>
      <w:r w:rsidR="006B2A19">
        <w:rPr>
          <w:rFonts w:eastAsiaTheme="minorEastAsia" w:cstheme="minorHAnsi"/>
        </w:rPr>
        <w:t xml:space="preserve">ho </w:t>
      </w:r>
      <w:r w:rsidRPr="00FB18D1">
        <w:rPr>
          <w:rFonts w:eastAsiaTheme="minorEastAsia" w:cstheme="minorHAnsi"/>
        </w:rPr>
        <w:t>vzdělávání žáků</w:t>
      </w:r>
      <w:r w:rsidR="006B2A19">
        <w:rPr>
          <w:rFonts w:eastAsiaTheme="minorEastAsia" w:cstheme="minorHAnsi"/>
        </w:rPr>
        <w:t xml:space="preserve"> k</w:t>
      </w:r>
      <w:r w:rsidR="00461A4B">
        <w:rPr>
          <w:rFonts w:eastAsiaTheme="minorEastAsia" w:cstheme="minorHAnsi"/>
        </w:rPr>
        <w:t> zajištění rovného přístupu ke kvalitnímu vzdělávání pro všechny žáky</w:t>
      </w:r>
      <w:r w:rsidRPr="00FB18D1">
        <w:rPr>
          <w:rFonts w:eastAsiaTheme="minorEastAsia" w:cstheme="minorHAnsi"/>
        </w:rPr>
        <w:t xml:space="preserve">; u systémového projektu IKV </w:t>
      </w:r>
      <w:r>
        <w:rPr>
          <w:rFonts w:eastAsiaTheme="minorEastAsia" w:cstheme="minorHAnsi"/>
        </w:rPr>
        <w:t xml:space="preserve">však </w:t>
      </w:r>
      <w:r w:rsidRPr="00FB18D1">
        <w:rPr>
          <w:rFonts w:eastAsiaTheme="minorEastAsia" w:cstheme="minorHAnsi"/>
        </w:rPr>
        <w:t xml:space="preserve">nelze posoudit a vyhodnotit, zda a v jaké míře tento projekt </w:t>
      </w:r>
      <w:r w:rsidR="00461A4B">
        <w:rPr>
          <w:rFonts w:eastAsiaTheme="minorEastAsia" w:cstheme="minorHAnsi"/>
        </w:rPr>
        <w:t xml:space="preserve">podporuje </w:t>
      </w:r>
      <w:r w:rsidRPr="00FB18D1">
        <w:rPr>
          <w:rFonts w:eastAsiaTheme="minorEastAsia" w:cstheme="minorHAnsi"/>
        </w:rPr>
        <w:t xml:space="preserve">inkluzi dětí a žáků v sociálně vyloučených lokalitách. </w:t>
      </w:r>
    </w:p>
    <w:p w14:paraId="384DE212" w14:textId="32A002B4" w:rsidR="00FB18D1" w:rsidRDefault="00FB18D1" w:rsidP="008E5EDF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Projekty IROP investičními opatřeními </w:t>
      </w:r>
      <w:r w:rsidR="00B5052F">
        <w:rPr>
          <w:rFonts w:cstheme="minorHAnsi"/>
        </w:rPr>
        <w:t xml:space="preserve">k zajištění bezbariérovosti škol </w:t>
      </w:r>
      <w:r>
        <w:rPr>
          <w:rFonts w:cstheme="minorHAnsi"/>
        </w:rPr>
        <w:t>vytvářejí předpoklady k</w:t>
      </w:r>
      <w:r w:rsidR="00987B74">
        <w:rPr>
          <w:rFonts w:cstheme="minorHAnsi"/>
        </w:rPr>
        <w:t> </w:t>
      </w:r>
      <w:r>
        <w:rPr>
          <w:rFonts w:cstheme="minorHAnsi"/>
        </w:rPr>
        <w:t>naplnění</w:t>
      </w:r>
      <w:r w:rsidR="00987B74">
        <w:rPr>
          <w:rFonts w:cstheme="minorHAnsi"/>
        </w:rPr>
        <w:t xml:space="preserve"> </w:t>
      </w:r>
      <w:r>
        <w:rPr>
          <w:rFonts w:cstheme="minorHAnsi"/>
        </w:rPr>
        <w:t>cílů společného vzdělávání žáků.</w:t>
      </w:r>
    </w:p>
    <w:p w14:paraId="04DDCC3B" w14:textId="11CE9F05" w:rsidR="00695879" w:rsidRPr="003369B3" w:rsidRDefault="0005617E" w:rsidP="003C4130">
      <w:pPr>
        <w:pStyle w:val="Odstavecseseznamem"/>
        <w:numPr>
          <w:ilvl w:val="0"/>
          <w:numId w:val="6"/>
        </w:numPr>
      </w:pPr>
      <w:r w:rsidRPr="006B7987">
        <w:rPr>
          <w:rFonts w:eastAsiaTheme="minorEastAsia" w:cstheme="minorHAnsi"/>
        </w:rPr>
        <w:t xml:space="preserve">Příjemci </w:t>
      </w:r>
      <w:r w:rsidR="005A6F00">
        <w:rPr>
          <w:rFonts w:eastAsiaTheme="minorEastAsia" w:cstheme="minorHAnsi"/>
        </w:rPr>
        <w:t xml:space="preserve">peněžních prostředků z </w:t>
      </w:r>
      <w:proofErr w:type="gramStart"/>
      <w:r w:rsidRPr="006B7987">
        <w:rPr>
          <w:rFonts w:eastAsiaTheme="minorEastAsia" w:cstheme="minorHAnsi"/>
        </w:rPr>
        <w:t>OP</w:t>
      </w:r>
      <w:proofErr w:type="gramEnd"/>
      <w:r w:rsidRPr="006B7987">
        <w:rPr>
          <w:rFonts w:eastAsiaTheme="minorEastAsia" w:cstheme="minorHAnsi"/>
        </w:rPr>
        <w:t xml:space="preserve"> VVV a OP </w:t>
      </w:r>
      <w:r w:rsidR="00566360" w:rsidRPr="006B7987">
        <w:rPr>
          <w:rFonts w:eastAsiaTheme="minorEastAsia" w:cstheme="minorHAnsi"/>
        </w:rPr>
        <w:t>PPR</w:t>
      </w:r>
      <w:r w:rsidRPr="006B7987">
        <w:rPr>
          <w:rFonts w:eastAsiaTheme="minorEastAsia" w:cstheme="minorHAnsi"/>
        </w:rPr>
        <w:t xml:space="preserve"> vynaložili n</w:t>
      </w:r>
      <w:r w:rsidR="00F46D96" w:rsidRPr="006B7987">
        <w:rPr>
          <w:rFonts w:eastAsiaTheme="minorEastAsia" w:cstheme="minorHAnsi"/>
        </w:rPr>
        <w:t>eúčelné a nehospodárné výdaje</w:t>
      </w:r>
      <w:r w:rsidRPr="006B7987">
        <w:rPr>
          <w:rFonts w:eastAsiaTheme="minorEastAsia" w:cstheme="minorHAnsi"/>
        </w:rPr>
        <w:t>, což vedlo k porušení rozpo</w:t>
      </w:r>
      <w:r w:rsidR="000143BC">
        <w:rPr>
          <w:rFonts w:eastAsiaTheme="minorEastAsia" w:cstheme="minorHAnsi"/>
        </w:rPr>
        <w:t>č</w:t>
      </w:r>
      <w:r w:rsidRPr="006B7987">
        <w:rPr>
          <w:rFonts w:eastAsiaTheme="minorEastAsia" w:cstheme="minorHAnsi"/>
        </w:rPr>
        <w:t xml:space="preserve">tové kázně. </w:t>
      </w:r>
      <w:r w:rsidR="00F46D96" w:rsidRPr="006B7987">
        <w:rPr>
          <w:rFonts w:eastAsiaTheme="minorEastAsia" w:cstheme="minorHAnsi"/>
        </w:rPr>
        <w:t>NKÚ o</w:t>
      </w:r>
      <w:r w:rsidR="006737D0" w:rsidRPr="006B7987">
        <w:rPr>
          <w:rFonts w:eastAsiaTheme="minorEastAsia" w:cstheme="minorHAnsi"/>
        </w:rPr>
        <w:t xml:space="preserve">známil </w:t>
      </w:r>
      <w:r w:rsidRPr="006B7987">
        <w:rPr>
          <w:rFonts w:eastAsiaTheme="minorEastAsia" w:cstheme="minorHAnsi"/>
        </w:rPr>
        <w:t xml:space="preserve">tato pochybení </w:t>
      </w:r>
      <w:r w:rsidR="005C3593" w:rsidRPr="006B7987">
        <w:rPr>
          <w:rFonts w:cs="Calibri"/>
        </w:rPr>
        <w:t>příslušnému správci daně.</w:t>
      </w:r>
      <w:r w:rsidR="009A60F5">
        <w:rPr>
          <w:rStyle w:val="Znakapoznpodarou"/>
          <w:rFonts w:cs="Calibri"/>
        </w:rPr>
        <w:footnoteReference w:id="74"/>
      </w:r>
      <w:r w:rsidR="005C3593" w:rsidRPr="006B7987">
        <w:rPr>
          <w:rFonts w:cs="Calibri"/>
        </w:rPr>
        <w:t xml:space="preserve"> </w:t>
      </w:r>
    </w:p>
    <w:p w14:paraId="5E62E90A" w14:textId="7CFBD9CE" w:rsidR="000143BC" w:rsidRPr="00665F08" w:rsidRDefault="00C2790B" w:rsidP="002651AF">
      <w:pPr>
        <w:rPr>
          <w:rFonts w:cstheme="minorHAnsi"/>
        </w:rPr>
      </w:pPr>
      <w:r>
        <w:br w:type="page"/>
      </w:r>
      <w:r w:rsidR="003369B3" w:rsidRPr="00665F08">
        <w:rPr>
          <w:rFonts w:cstheme="minorHAnsi"/>
        </w:rPr>
        <w:lastRenderedPageBreak/>
        <w:t>Seznam zkratek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073927" w:rsidRPr="00665F08" w14:paraId="7E30A217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D42F" w14:textId="4E98CEFF" w:rsidR="00073927" w:rsidRPr="00BE7003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Agentura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085" w14:textId="47A318EF" w:rsidR="00073927" w:rsidRPr="00BE7003" w:rsidDel="009C0CA0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5B3179">
              <w:rPr>
                <w:rFonts w:cstheme="minorHAnsi"/>
                <w:sz w:val="22"/>
                <w:szCs w:val="22"/>
              </w:rPr>
              <w:t xml:space="preserve">Agentura pro sociální začleňování (odbor začleněný v organizační struktuře Úřadu vlády ČR do 31. 12. </w:t>
            </w:r>
            <w:r>
              <w:rPr>
                <w:rFonts w:cstheme="minorHAnsi"/>
                <w:sz w:val="22"/>
                <w:szCs w:val="22"/>
              </w:rPr>
              <w:t>2019</w:t>
            </w:r>
            <w:r w:rsidRPr="005B3179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73927" w:rsidRPr="00665F08" w14:paraId="210C33ED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56E5" w14:textId="4C440BF0" w:rsidR="00073927" w:rsidRPr="00BE7003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BE7003">
              <w:rPr>
                <w:rFonts w:cstheme="minorHAnsi"/>
                <w:sz w:val="22"/>
                <w:szCs w:val="22"/>
              </w:rPr>
              <w:t>Analýza segregace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30A" w14:textId="698AE348" w:rsidR="00073927" w:rsidRPr="009E3185" w:rsidRDefault="00073927" w:rsidP="00073927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9E3185">
              <w:rPr>
                <w:rFonts w:cstheme="minorHAnsi"/>
                <w:i/>
                <w:sz w:val="22"/>
                <w:szCs w:val="22"/>
              </w:rPr>
              <w:t>Analýza segregace v základních školách z pohledu sociálního vyloučení</w:t>
            </w:r>
          </w:p>
        </w:tc>
      </w:tr>
      <w:tr w:rsidR="00073927" w:rsidRPr="00665F08" w14:paraId="4C087EFD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508" w14:textId="77777777" w:rsidR="00073927" w:rsidRPr="006D360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6D3602">
              <w:rPr>
                <w:rFonts w:cstheme="minorHAnsi"/>
                <w:sz w:val="22"/>
                <w:szCs w:val="22"/>
              </w:rPr>
              <w:t>AP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15CF" w14:textId="6F7236FE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Pr="0033490A">
              <w:rPr>
                <w:rFonts w:cstheme="minorHAnsi"/>
                <w:sz w:val="22"/>
                <w:szCs w:val="22"/>
              </w:rPr>
              <w:t>sistent pedagoga</w:t>
            </w:r>
          </w:p>
        </w:tc>
      </w:tr>
      <w:tr w:rsidR="00073927" w:rsidRPr="00665F08" w14:paraId="4B3BEE01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3C4" w14:textId="7A726774" w:rsidR="00073927" w:rsidRPr="006D360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APIV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8C5F" w14:textId="7212E161" w:rsidR="00073927" w:rsidRPr="009E3185" w:rsidDel="009C0CA0" w:rsidRDefault="00073927" w:rsidP="00073927">
            <w:pPr>
              <w:spacing w:after="0"/>
              <w:rPr>
                <w:rFonts w:cstheme="minorHAnsi"/>
                <w:i/>
                <w:sz w:val="22"/>
                <w:szCs w:val="22"/>
              </w:rPr>
            </w:pPr>
            <w:r w:rsidRPr="009E3185">
              <w:rPr>
                <w:i/>
                <w:sz w:val="22"/>
                <w:szCs w:val="22"/>
              </w:rPr>
              <w:t>Akční plán inkluzivního vzdělávání</w:t>
            </w:r>
          </w:p>
        </w:tc>
      </w:tr>
      <w:tr w:rsidR="00073927" w:rsidRPr="00665F08" w14:paraId="5FE19BBD" w14:textId="77777777" w:rsidTr="009E3185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8312" w14:textId="09E6DCF3" w:rsidR="00073927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1DAF" w14:textId="4F7B741A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5B3179">
              <w:rPr>
                <w:rFonts w:cstheme="minorHAnsi"/>
                <w:sz w:val="22"/>
                <w:szCs w:val="22"/>
              </w:rPr>
              <w:t>Agentura pro sociální začleňování</w:t>
            </w:r>
          </w:p>
        </w:tc>
      </w:tr>
      <w:tr w:rsidR="00073927" w:rsidRPr="00665F08" w14:paraId="17691284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FF2" w14:textId="779EC70C" w:rsidR="00073927" w:rsidRPr="005B3179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CPIV</w:t>
            </w:r>
            <w:r w:rsidRPr="00DC2D72">
              <w:rPr>
                <w:rFonts w:cstheme="minorHAnsi"/>
                <w:sz w:val="22"/>
                <w:szCs w:val="22"/>
              </w:rPr>
              <w:t>, Centra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B7A" w14:textId="2D7B7A85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Pr="005B3179">
              <w:rPr>
                <w:rFonts w:cstheme="minorHAnsi"/>
                <w:sz w:val="22"/>
                <w:szCs w:val="22"/>
              </w:rPr>
              <w:t>entra podpory inkluzivního vzdělávání vybudovaná v rámci projektu CPIV</w:t>
            </w:r>
          </w:p>
        </w:tc>
      </w:tr>
      <w:tr w:rsidR="00073927" w:rsidRPr="00665F08" w14:paraId="25821679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1876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CRR ČR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3DC9" w14:textId="77777777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5B3179">
              <w:rPr>
                <w:rFonts w:cstheme="minorHAnsi"/>
                <w:sz w:val="22"/>
                <w:szCs w:val="22"/>
              </w:rPr>
              <w:t xml:space="preserve">Centrum pro regionální rozvoj České republiky </w:t>
            </w:r>
          </w:p>
        </w:tc>
      </w:tr>
      <w:tr w:rsidR="00073927" w:rsidRPr="00665F08" w14:paraId="0EE32CDE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85C4" w14:textId="78EAB69A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ČR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9176" w14:textId="3449EE1A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5B3179">
              <w:rPr>
                <w:rFonts w:cstheme="minorHAnsi"/>
                <w:sz w:val="22"/>
                <w:szCs w:val="22"/>
              </w:rPr>
              <w:t>Česká republika</w:t>
            </w:r>
          </w:p>
        </w:tc>
      </w:tr>
      <w:tr w:rsidR="00073927" w:rsidRPr="00665F08" w14:paraId="7F302613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A41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ESIF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F3A" w14:textId="75181AC0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  <w:r w:rsidRPr="005B3179">
              <w:rPr>
                <w:rFonts w:cstheme="minorHAnsi"/>
                <w:sz w:val="22"/>
                <w:szCs w:val="22"/>
              </w:rPr>
              <w:t>vropské strukturální a investiční fondy</w:t>
            </w:r>
          </w:p>
        </w:tc>
      </w:tr>
      <w:tr w:rsidR="00073927" w:rsidRPr="00665F08" w14:paraId="457CA0CA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062" w14:textId="5E03B1A2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ESLP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007D" w14:textId="12DE00ED" w:rsidR="00073927" w:rsidRPr="005B3179" w:rsidDel="009C0CA0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Evropský soud pro lidská práva</w:t>
            </w:r>
          </w:p>
        </w:tc>
      </w:tr>
      <w:tr w:rsidR="00073927" w:rsidRPr="00665F08" w14:paraId="6407DF32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738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EU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3FA" w14:textId="77777777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5B3179">
              <w:rPr>
                <w:rFonts w:cstheme="minorHAnsi"/>
                <w:sz w:val="22"/>
                <w:szCs w:val="22"/>
              </w:rPr>
              <w:t>Evropská unie</w:t>
            </w:r>
          </w:p>
        </w:tc>
      </w:tr>
      <w:tr w:rsidR="00073927" w:rsidRPr="00665F08" w14:paraId="57A33C68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5E8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HMP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89C" w14:textId="77777777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5B3179">
              <w:rPr>
                <w:rFonts w:cstheme="minorHAnsi"/>
                <w:sz w:val="22"/>
                <w:szCs w:val="22"/>
              </w:rPr>
              <w:t>hlavní město Praha</w:t>
            </w:r>
          </w:p>
        </w:tc>
      </w:tr>
      <w:tr w:rsidR="00073927" w:rsidRPr="00665F08" w14:paraId="3A71E31A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B8BD" w14:textId="30C8A0E5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IKV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E64" w14:textId="4F0DD934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 xml:space="preserve">systémový projekt </w:t>
            </w:r>
            <w:r w:rsidRPr="0090682C">
              <w:rPr>
                <w:i/>
                <w:sz w:val="22"/>
                <w:szCs w:val="22"/>
              </w:rPr>
              <w:t>Inkluzivní a kvalitní vzdělávání v územích se sociálně vyloučenými lokalitami</w:t>
            </w:r>
          </w:p>
        </w:tc>
      </w:tr>
      <w:tr w:rsidR="00073927" w:rsidRPr="00665F08" w14:paraId="7DDCC457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436A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IROP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6FC" w14:textId="77777777" w:rsidR="00073927" w:rsidRPr="009E3185" w:rsidRDefault="00073927" w:rsidP="00073927">
            <w:pPr>
              <w:spacing w:after="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9E3185">
              <w:rPr>
                <w:rFonts w:cstheme="minorHAnsi"/>
                <w:i/>
                <w:sz w:val="22"/>
                <w:szCs w:val="22"/>
              </w:rPr>
              <w:t>Integrovaný regionální operační program</w:t>
            </w:r>
          </w:p>
        </w:tc>
      </w:tr>
      <w:tr w:rsidR="00073927" w:rsidRPr="00665F08" w14:paraId="5AF61979" w14:textId="77777777" w:rsidTr="003369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2CC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KAP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72E1" w14:textId="4F1BED8E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5B3179">
              <w:rPr>
                <w:rFonts w:cstheme="minorHAnsi"/>
                <w:sz w:val="22"/>
                <w:szCs w:val="22"/>
              </w:rPr>
              <w:t>rajsk</w:t>
            </w:r>
            <w:r>
              <w:rPr>
                <w:rFonts w:cstheme="minorHAnsi"/>
                <w:sz w:val="22"/>
                <w:szCs w:val="22"/>
              </w:rPr>
              <w:t>é</w:t>
            </w:r>
            <w:r w:rsidRPr="005B3179">
              <w:rPr>
                <w:rFonts w:cstheme="minorHAnsi"/>
                <w:sz w:val="22"/>
                <w:szCs w:val="22"/>
              </w:rPr>
              <w:t xml:space="preserve"> akční plán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5B3179">
              <w:rPr>
                <w:rFonts w:cstheme="minorHAnsi"/>
                <w:sz w:val="22"/>
                <w:szCs w:val="22"/>
              </w:rPr>
              <w:t xml:space="preserve"> rozvoje vzdělávání</w:t>
            </w:r>
          </w:p>
        </w:tc>
      </w:tr>
      <w:tr w:rsidR="00073927" w:rsidRPr="00665F08" w14:paraId="3873C665" w14:textId="77777777" w:rsidTr="003369B3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1AD6" w14:textId="7D753FBE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33490A">
              <w:rPr>
                <w:rFonts w:cstheme="minorHAnsi"/>
                <w:sz w:val="22"/>
                <w:szCs w:val="22"/>
              </w:rPr>
              <w:t>ontrolní akce NKÚ č. 11/17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273" w14:textId="30DC43C5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5B3179">
              <w:rPr>
                <w:rFonts w:cstheme="minorHAnsi"/>
                <w:sz w:val="22"/>
                <w:szCs w:val="22"/>
              </w:rPr>
              <w:t xml:space="preserve">ontrolní akce 11/17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5B3179">
              <w:rPr>
                <w:rFonts w:cstheme="minorHAnsi"/>
                <w:sz w:val="22"/>
                <w:szCs w:val="22"/>
              </w:rPr>
              <w:t xml:space="preserve">Peněžní prostředky Evropské unie a státního rozpočtu určené v rámci operačního programu </w:t>
            </w:r>
            <w:r w:rsidRPr="009E3185">
              <w:rPr>
                <w:rFonts w:cstheme="minorHAnsi"/>
                <w:i/>
                <w:sz w:val="22"/>
                <w:szCs w:val="22"/>
              </w:rPr>
              <w:t>Vzdělávání pro konkurenceschopnost</w:t>
            </w:r>
            <w:r w:rsidRPr="005B3179">
              <w:rPr>
                <w:rFonts w:cstheme="minorHAnsi"/>
                <w:sz w:val="22"/>
                <w:szCs w:val="22"/>
              </w:rPr>
              <w:t xml:space="preserve"> na prioritní osu </w:t>
            </w:r>
            <w:r w:rsidRPr="009E3185">
              <w:rPr>
                <w:rFonts w:cstheme="minorHAnsi"/>
                <w:i/>
                <w:sz w:val="22"/>
                <w:szCs w:val="22"/>
              </w:rPr>
              <w:t>Počáteční vzdělávání</w:t>
            </w:r>
            <w:r w:rsidRPr="005B317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73927" w:rsidRPr="00665F08" w14:paraId="637C5753" w14:textId="77777777" w:rsidTr="003369B3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AC1" w14:textId="0D20A600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33490A">
              <w:rPr>
                <w:rFonts w:cstheme="minorHAnsi"/>
                <w:sz w:val="22"/>
                <w:szCs w:val="22"/>
              </w:rPr>
              <w:t>ontrolní akce NKÚ č. 14/24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4B1" w14:textId="1489F67A" w:rsidR="00073927" w:rsidRPr="005B3179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5B3179">
              <w:rPr>
                <w:rFonts w:cstheme="minorHAnsi"/>
                <w:sz w:val="22"/>
                <w:szCs w:val="22"/>
              </w:rPr>
              <w:t xml:space="preserve">ontrolní akce 14/24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5B3179">
              <w:rPr>
                <w:rFonts w:cstheme="minorHAnsi"/>
                <w:sz w:val="22"/>
                <w:szCs w:val="22"/>
              </w:rPr>
              <w:t xml:space="preserve">Peněžní prostředky Evropské unie a státního rozpočtu poskytnuté na úhradu výdajů národních projektů v rámci operačního programu </w:t>
            </w:r>
            <w:r w:rsidRPr="009E3185">
              <w:rPr>
                <w:rFonts w:cstheme="minorHAnsi"/>
                <w:i/>
                <w:sz w:val="22"/>
                <w:szCs w:val="22"/>
              </w:rPr>
              <w:t>Vzdělávání pro konkurenceschopnost</w:t>
            </w:r>
            <w:r w:rsidRPr="005B317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73927" w:rsidRPr="00665F08" w14:paraId="7B89BDA0" w14:textId="77777777" w:rsidTr="003369B3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0DE" w14:textId="0BC16F3B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33490A">
              <w:rPr>
                <w:rFonts w:cstheme="minorHAnsi"/>
                <w:sz w:val="22"/>
                <w:szCs w:val="22"/>
              </w:rPr>
              <w:t>ontrolní akce NKÚ č. 15/06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05D7" w14:textId="7DCDF6C6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5B3179">
              <w:rPr>
                <w:rFonts w:cstheme="minorHAnsi"/>
                <w:sz w:val="22"/>
                <w:szCs w:val="22"/>
              </w:rPr>
              <w:t xml:space="preserve">ontrolní akce 15/06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5B3179">
              <w:rPr>
                <w:rFonts w:cstheme="minorHAnsi"/>
                <w:sz w:val="22"/>
                <w:szCs w:val="22"/>
              </w:rPr>
              <w:t>Peněžní prostředky strukturálních fondů Evropské unie a</w:t>
            </w:r>
            <w:r w:rsidRPr="005B3179">
              <w:rPr>
                <w:sz w:val="22"/>
                <w:szCs w:val="22"/>
              </w:rPr>
              <w:t xml:space="preserve"> státního rozpočtu určené na financování operačních programů z hlediska udržitelnosti projektů“ </w:t>
            </w:r>
          </w:p>
        </w:tc>
      </w:tr>
      <w:tr w:rsidR="00073927" w:rsidRPr="00665F08" w14:paraId="742DB56C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AFFD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KPSVL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6955" w14:textId="6180F693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5B3179">
              <w:rPr>
                <w:sz w:val="22"/>
                <w:szCs w:val="22"/>
              </w:rPr>
              <w:t>oordinovaný přístup k sociálně vyloučeným lokalitám</w:t>
            </w:r>
          </w:p>
        </w:tc>
      </w:tr>
      <w:tr w:rsidR="00073927" w:rsidRPr="00665F08" w14:paraId="195D14E8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DE62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MMR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9AD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Ministerstvo pro místní rozvoj</w:t>
            </w:r>
          </w:p>
        </w:tc>
      </w:tr>
      <w:tr w:rsidR="00073927" w:rsidRPr="00665F08" w14:paraId="01315B4F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8D02" w14:textId="05A776D0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9059" w14:textId="236301C0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mateřská škola</w:t>
            </w:r>
          </w:p>
        </w:tc>
      </w:tr>
      <w:tr w:rsidR="00073927" w:rsidRPr="00665F08" w14:paraId="7DDA7EF9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C0B4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MŠMT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A9E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Ministerstvo školství, mládeže a tělovýchovy</w:t>
            </w:r>
          </w:p>
        </w:tc>
      </w:tr>
      <w:tr w:rsidR="00073927" w:rsidRPr="00665F08" w14:paraId="34D63F2C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3C6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NIDV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C96" w14:textId="2B804DEE" w:rsidR="00073927" w:rsidRPr="00665F08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665F08">
              <w:rPr>
                <w:rFonts w:cstheme="minorHAnsi"/>
                <w:sz w:val="22"/>
                <w:szCs w:val="22"/>
              </w:rPr>
              <w:t>Národní institut pro další vzdělávání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65F08">
              <w:rPr>
                <w:rFonts w:cstheme="minorHAnsi"/>
                <w:color w:val="444444"/>
                <w:sz w:val="21"/>
                <w:szCs w:val="21"/>
                <w:shd w:val="clear" w:color="auto" w:fill="FFFFFF"/>
              </w:rPr>
              <w:t>(</w:t>
            </w:r>
            <w:r w:rsidRPr="009E3185">
              <w:rPr>
                <w:rFonts w:cstheme="minorHAnsi"/>
                <w:sz w:val="22"/>
                <w:szCs w:val="22"/>
                <w:shd w:val="clear" w:color="auto" w:fill="FFFFFF"/>
              </w:rPr>
              <w:t>zařízení pro další vzdělávání pedagogických pracovníků)</w:t>
            </w:r>
          </w:p>
        </w:tc>
      </w:tr>
      <w:tr w:rsidR="00073927" w:rsidRPr="00665F08" w14:paraId="0BEA76D5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5C2B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 xml:space="preserve">NKÚ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A7A6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Nejvyšší kontrolní úřad</w:t>
            </w:r>
          </w:p>
        </w:tc>
      </w:tr>
      <w:tr w:rsidR="00073927" w:rsidRPr="00665F08" w14:paraId="2EDC9B21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900C" w14:textId="7B5108DD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 xml:space="preserve">NPI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DFA4" w14:textId="11A9B2CF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Národní pedagogický institut České republiky</w:t>
            </w:r>
          </w:p>
        </w:tc>
      </w:tr>
      <w:tr w:rsidR="00073927" w:rsidRPr="00665F08" w14:paraId="42E57711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6FAB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NÚV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5FF" w14:textId="2162FBA5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 xml:space="preserve">Národní ústav pro vzdělávání, školské poradenské zařízení a zařízení pro </w:t>
            </w:r>
            <w:r>
              <w:rPr>
                <w:sz w:val="22"/>
                <w:szCs w:val="22"/>
              </w:rPr>
              <w:t xml:space="preserve">další </w:t>
            </w:r>
            <w:r w:rsidRPr="005B3179">
              <w:rPr>
                <w:sz w:val="22"/>
                <w:szCs w:val="22"/>
              </w:rPr>
              <w:t>vzdě</w:t>
            </w:r>
            <w:r>
              <w:rPr>
                <w:sz w:val="22"/>
                <w:szCs w:val="22"/>
              </w:rPr>
              <w:t>l</w:t>
            </w:r>
            <w:r w:rsidRPr="005B3179">
              <w:rPr>
                <w:sz w:val="22"/>
                <w:szCs w:val="22"/>
              </w:rPr>
              <w:t>ávání pedagogických pracovníků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73927" w:rsidRPr="00665F08" w14:paraId="1C104168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44E4" w14:textId="743A65D8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obecné nařízení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9873" w14:textId="6F9E4FA0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nařízení </w:t>
            </w:r>
            <w:r w:rsidRPr="00367EB3">
              <w:rPr>
                <w:sz w:val="22"/>
                <w:szCs w:val="22"/>
              </w:rPr>
              <w:t>Evropského parlamentu a Rady (EU) č. 1303/2013</w:t>
            </w:r>
            <w:r>
              <w:rPr>
                <w:sz w:val="22"/>
                <w:szCs w:val="22"/>
              </w:rPr>
              <w:t>,</w:t>
            </w:r>
            <w:r w:rsidRPr="00367EB3">
              <w:rPr>
                <w:sz w:val="22"/>
                <w:szCs w:val="22"/>
              </w:rPr>
              <w:t xml:space="preserve"> o společných ustanoveních o Evropském fondu pro regionální rozvoj, Evropském sociálním fondu, Fondu soudržnosti, Evropském zemědělském fondu pro rozvoj venkova a</w:t>
            </w:r>
            <w:r>
              <w:rPr>
                <w:sz w:val="22"/>
                <w:szCs w:val="22"/>
              </w:rPr>
              <w:t> </w:t>
            </w:r>
            <w:r w:rsidRPr="00367EB3">
              <w:rPr>
                <w:sz w:val="22"/>
                <w:szCs w:val="22"/>
              </w:rPr>
              <w:t>Evropském námořním a rybářském fondu, o obecných ustanoveních o</w:t>
            </w:r>
            <w:r>
              <w:rPr>
                <w:sz w:val="22"/>
                <w:szCs w:val="22"/>
              </w:rPr>
              <w:t> </w:t>
            </w:r>
            <w:r w:rsidRPr="00367EB3">
              <w:rPr>
                <w:sz w:val="22"/>
                <w:szCs w:val="22"/>
              </w:rPr>
              <w:t>Evropském fondu pro regionální rozvoj, Evropském sociálním fondu, Fondu soudržnosti a Evropském námořním a rybářském fondu a o zrušení nařízení Rady (ES) č. 1083/2006</w:t>
            </w:r>
          </w:p>
        </w:tc>
      </w:tr>
      <w:tr w:rsidR="00073927" w:rsidRPr="00665F08" w14:paraId="0FA5604C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A030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OP PPR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98B" w14:textId="68408CE6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B3179">
              <w:rPr>
                <w:sz w:val="22"/>
                <w:szCs w:val="22"/>
              </w:rPr>
              <w:t xml:space="preserve">perační program </w:t>
            </w:r>
            <w:r w:rsidRPr="009E3185">
              <w:rPr>
                <w:i/>
                <w:sz w:val="22"/>
                <w:szCs w:val="22"/>
              </w:rPr>
              <w:t>Praha – pól růstu</w:t>
            </w:r>
          </w:p>
        </w:tc>
      </w:tr>
      <w:tr w:rsidR="00073927" w:rsidRPr="00665F08" w14:paraId="3586CFD5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EE64" w14:textId="678F820C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OP VK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7AB" w14:textId="0F6A4D8B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B3179">
              <w:rPr>
                <w:sz w:val="22"/>
                <w:szCs w:val="22"/>
              </w:rPr>
              <w:t xml:space="preserve">perační program </w:t>
            </w:r>
            <w:r w:rsidRPr="009E3185">
              <w:rPr>
                <w:i/>
                <w:sz w:val="22"/>
                <w:szCs w:val="22"/>
              </w:rPr>
              <w:t>Vzdělávání pro konkurenceschopnost</w:t>
            </w:r>
          </w:p>
        </w:tc>
      </w:tr>
      <w:tr w:rsidR="00073927" w:rsidRPr="00665F08" w14:paraId="61618B39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E783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OP VVV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ADC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 xml:space="preserve">operační program </w:t>
            </w:r>
            <w:r w:rsidRPr="009E3185">
              <w:rPr>
                <w:i/>
                <w:sz w:val="22"/>
                <w:szCs w:val="22"/>
              </w:rPr>
              <w:t>Výzkum, vývoj a vzdělávání</w:t>
            </w:r>
          </w:p>
        </w:tc>
      </w:tr>
      <w:tr w:rsidR="00073927" w:rsidRPr="00665F08" w14:paraId="2101C281" w14:textId="77777777" w:rsidTr="009E318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B84F" w14:textId="375F20BE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8B9C" w14:textId="0399553D" w:rsidR="00073927" w:rsidRPr="00163105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163105">
              <w:rPr>
                <w:rFonts w:cstheme="minorHAnsi"/>
                <w:sz w:val="22"/>
                <w:szCs w:val="22"/>
              </w:rPr>
              <w:t>p</w:t>
            </w:r>
            <w:r w:rsidRPr="009E3185">
              <w:rPr>
                <w:rFonts w:cstheme="minorHAnsi"/>
                <w:sz w:val="22"/>
                <w:szCs w:val="22"/>
              </w:rPr>
              <w:t>oruchy autistického spektra</w:t>
            </w:r>
          </w:p>
        </w:tc>
      </w:tr>
      <w:tr w:rsidR="00073927" w:rsidRPr="00665F08" w14:paraId="66F998B6" w14:textId="77777777" w:rsidTr="009E3185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779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lastRenderedPageBreak/>
              <w:t xml:space="preserve">PO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121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 xml:space="preserve">prioritní osa </w:t>
            </w:r>
          </w:p>
        </w:tc>
      </w:tr>
      <w:tr w:rsidR="00073927" w:rsidRPr="00665F08" w14:paraId="0FFDE69E" w14:textId="77777777" w:rsidTr="009E3185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51FF" w14:textId="0DC0A71B" w:rsidR="00073927" w:rsidRPr="0033490A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PPP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8DF6" w14:textId="297E6F54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pedagogicko-psychologická poradna</w:t>
            </w:r>
          </w:p>
        </w:tc>
      </w:tr>
      <w:tr w:rsidR="00073927" w:rsidRPr="00665F08" w14:paraId="27BC5F0F" w14:textId="77777777" w:rsidTr="009E3185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FE56" w14:textId="1DD4595F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projekty APIV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E6D5" w14:textId="0C91B075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9E3185">
              <w:rPr>
                <w:i/>
                <w:sz w:val="22"/>
                <w:szCs w:val="22"/>
              </w:rPr>
              <w:t>Akční plán inkluzivního vzdělávání</w:t>
            </w:r>
            <w:r>
              <w:rPr>
                <w:sz w:val="22"/>
                <w:szCs w:val="22"/>
              </w:rPr>
              <w:t xml:space="preserve"> (APIV) je implementován prostřednictvím projektů APIV 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APIV B</w:t>
            </w:r>
          </w:p>
        </w:tc>
      </w:tr>
      <w:tr w:rsidR="00073927" w:rsidRPr="00665F08" w14:paraId="3DE0F2BA" w14:textId="77777777" w:rsidTr="009E3185">
        <w:trPr>
          <w:trHeight w:val="5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346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projekt IKV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3025" w14:textId="2A234FDB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 xml:space="preserve">systémový projekt </w:t>
            </w:r>
            <w:r w:rsidRPr="009E3185">
              <w:rPr>
                <w:i/>
                <w:sz w:val="22"/>
                <w:szCs w:val="22"/>
              </w:rPr>
              <w:t>Inkluzivní a kvalitní vzdělávání v územích se sociálně vyloučenými lokalitami</w:t>
            </w:r>
          </w:p>
        </w:tc>
      </w:tr>
      <w:tr w:rsidR="00073927" w:rsidRPr="00665F08" w14:paraId="56066268" w14:textId="77777777" w:rsidTr="009E3185">
        <w:trPr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B11" w14:textId="7F67A9BF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projekt CPIV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EED6" w14:textId="32D472F5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 xml:space="preserve">individuální projekt národní podpořený z </w:t>
            </w:r>
            <w:proofErr w:type="gramStart"/>
            <w:r w:rsidRPr="005B3179">
              <w:rPr>
                <w:sz w:val="22"/>
                <w:szCs w:val="22"/>
              </w:rPr>
              <w:t>OP</w:t>
            </w:r>
            <w:proofErr w:type="gramEnd"/>
            <w:r w:rsidRPr="005B3179">
              <w:rPr>
                <w:sz w:val="22"/>
                <w:szCs w:val="22"/>
              </w:rPr>
              <w:t xml:space="preserve"> VK částkou 113,81 mil. Kč</w:t>
            </w:r>
          </w:p>
        </w:tc>
      </w:tr>
      <w:tr w:rsidR="00073927" w:rsidRPr="00665F08" w14:paraId="74735921" w14:textId="77777777" w:rsidTr="00576E26">
        <w:trPr>
          <w:trHeight w:val="2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58A" w14:textId="21577FE2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 xml:space="preserve">ŘKS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C047" w14:textId="27BB59E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</w:t>
            </w:r>
            <w:r w:rsidRPr="005B3179">
              <w:rPr>
                <w:sz w:val="22"/>
                <w:szCs w:val="22"/>
              </w:rPr>
              <w:t>ídicí a kontrolní systém (příslušného operačního programu)</w:t>
            </w:r>
          </w:p>
        </w:tc>
      </w:tr>
      <w:tr w:rsidR="00073927" w:rsidRPr="00665F08" w14:paraId="1965E6DF" w14:textId="77777777" w:rsidTr="00367EB3">
        <w:trPr>
          <w:trHeight w:val="2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67AD" w14:textId="286E1E55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ŘO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1FA" w14:textId="54C25E8D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řídicí orgán příslušného operačního programu</w:t>
            </w:r>
          </w:p>
        </w:tc>
      </w:tr>
      <w:tr w:rsidR="00073927" w:rsidRPr="00665F08" w14:paraId="6CB0C5D7" w14:textId="77777777" w:rsidTr="00367E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A00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 xml:space="preserve">SC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B970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specifický cíl</w:t>
            </w:r>
          </w:p>
        </w:tc>
      </w:tr>
      <w:tr w:rsidR="00073927" w:rsidRPr="00665F08" w14:paraId="0CEAB962" w14:textId="77777777" w:rsidTr="00367EB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97EC" w14:textId="3EF05115" w:rsidR="00073927" w:rsidRPr="0033490A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SMART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BB7F" w14:textId="4935E40F" w:rsidR="00073927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zkratka sestavená z prvních písmen anglických názvů pro vlastnosti, které by měly být vlastní každému stanovenému cíli</w:t>
            </w:r>
            <w:r w:rsidR="00FE167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cíl by podle principu SMART měl být: </w:t>
            </w:r>
          </w:p>
          <w:p w14:paraId="289C3D5C" w14:textId="002EF5FD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9E3185">
              <w:rPr>
                <w:sz w:val="22"/>
                <w:szCs w:val="22"/>
              </w:rPr>
              <w:t>Specific</w:t>
            </w:r>
            <w:proofErr w:type="spellEnd"/>
            <w:r w:rsidRPr="009E3185">
              <w:rPr>
                <w:sz w:val="22"/>
                <w:szCs w:val="22"/>
              </w:rPr>
              <w:t xml:space="preserve"> (konkrétní), </w:t>
            </w:r>
            <w:proofErr w:type="spellStart"/>
            <w:r w:rsidRPr="009E3185">
              <w:rPr>
                <w:sz w:val="22"/>
                <w:szCs w:val="22"/>
              </w:rPr>
              <w:t>Measurable</w:t>
            </w:r>
            <w:proofErr w:type="spellEnd"/>
            <w:r w:rsidRPr="009E3185">
              <w:rPr>
                <w:sz w:val="22"/>
                <w:szCs w:val="22"/>
              </w:rPr>
              <w:t xml:space="preserve"> (měřiteln</w:t>
            </w:r>
            <w:r>
              <w:rPr>
                <w:sz w:val="22"/>
                <w:szCs w:val="22"/>
              </w:rPr>
              <w:t>ý</w:t>
            </w:r>
            <w:r w:rsidRPr="009E3185">
              <w:rPr>
                <w:sz w:val="22"/>
                <w:szCs w:val="22"/>
              </w:rPr>
              <w:t xml:space="preserve">), </w:t>
            </w:r>
            <w:proofErr w:type="spellStart"/>
            <w:r w:rsidRPr="009E3185">
              <w:rPr>
                <w:sz w:val="22"/>
                <w:szCs w:val="22"/>
              </w:rPr>
              <w:t>Achievable</w:t>
            </w:r>
            <w:proofErr w:type="spellEnd"/>
            <w:r w:rsidRPr="009E3185">
              <w:rPr>
                <w:sz w:val="22"/>
                <w:szCs w:val="22"/>
              </w:rPr>
              <w:t xml:space="preserve"> (dosažiteln</w:t>
            </w:r>
            <w:r>
              <w:rPr>
                <w:sz w:val="22"/>
                <w:szCs w:val="22"/>
              </w:rPr>
              <w:t>ý</w:t>
            </w:r>
            <w:r w:rsidRPr="009E3185">
              <w:rPr>
                <w:sz w:val="22"/>
                <w:szCs w:val="22"/>
              </w:rPr>
              <w:t xml:space="preserve">), </w:t>
            </w:r>
            <w:proofErr w:type="spellStart"/>
            <w:r w:rsidRPr="009E3185">
              <w:rPr>
                <w:sz w:val="22"/>
                <w:szCs w:val="22"/>
              </w:rPr>
              <w:t>Realistic</w:t>
            </w:r>
            <w:proofErr w:type="spellEnd"/>
            <w:r w:rsidRPr="009E3185">
              <w:rPr>
                <w:sz w:val="22"/>
                <w:szCs w:val="22"/>
              </w:rPr>
              <w:t xml:space="preserve"> (realistick</w:t>
            </w:r>
            <w:r>
              <w:rPr>
                <w:sz w:val="22"/>
                <w:szCs w:val="22"/>
              </w:rPr>
              <w:t>ý</w:t>
            </w:r>
            <w:r w:rsidRPr="009E3185">
              <w:rPr>
                <w:sz w:val="22"/>
                <w:szCs w:val="22"/>
              </w:rPr>
              <w:t xml:space="preserve">), </w:t>
            </w:r>
            <w:proofErr w:type="spellStart"/>
            <w:r w:rsidRPr="004F1EA6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>-bound</w:t>
            </w:r>
            <w:proofErr w:type="spellEnd"/>
            <w:r>
              <w:rPr>
                <w:sz w:val="22"/>
                <w:szCs w:val="22"/>
              </w:rPr>
              <w:t xml:space="preserve"> (termínovaný)</w:t>
            </w:r>
          </w:p>
        </w:tc>
      </w:tr>
      <w:tr w:rsidR="00073927" w:rsidRPr="00665F08" w14:paraId="0BF3B921" w14:textId="77777777" w:rsidTr="009E3185">
        <w:trPr>
          <w:trHeight w:val="3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C63C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speciální školy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D2D4" w14:textId="6CABE232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základní školy zřizované dle § 16 odst. 9 školského zákona</w:t>
            </w:r>
          </w:p>
        </w:tc>
      </w:tr>
      <w:tr w:rsidR="00073927" w:rsidRPr="00665F08" w14:paraId="1B794EB8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DD9D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SPSZ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9378" w14:textId="2550658D" w:rsidR="00073927" w:rsidRPr="009E3185" w:rsidRDefault="00073927" w:rsidP="00073927">
            <w:pPr>
              <w:spacing w:after="0"/>
              <w:jc w:val="left"/>
              <w:rPr>
                <w:i/>
                <w:sz w:val="22"/>
                <w:szCs w:val="22"/>
              </w:rPr>
            </w:pPr>
            <w:r w:rsidRPr="009E3185">
              <w:rPr>
                <w:i/>
                <w:sz w:val="22"/>
                <w:szCs w:val="22"/>
              </w:rPr>
              <w:t xml:space="preserve">Strategický plán sociálního začleňování </w:t>
            </w:r>
          </w:p>
        </w:tc>
      </w:tr>
      <w:tr w:rsidR="00073927" w:rsidRPr="00665F08" w14:paraId="3EFB933E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A071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SR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059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státní rozpočet</w:t>
            </w:r>
          </w:p>
        </w:tc>
      </w:tr>
      <w:tr w:rsidR="00073927" w:rsidRPr="00665F08" w14:paraId="2A9F5911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07AC" w14:textId="77F9EC50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SRŠ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2FD1" w14:textId="703C2784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statistické ročenky školství</w:t>
            </w:r>
          </w:p>
        </w:tc>
      </w:tr>
      <w:tr w:rsidR="00073927" w:rsidRPr="00665F08" w14:paraId="33C70F72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F60B" w14:textId="54712593" w:rsidR="00073927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EE9F" w14:textId="6D9C0CF8" w:rsidR="00073927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střední škola</w:t>
            </w:r>
          </w:p>
        </w:tc>
      </w:tr>
      <w:tr w:rsidR="00073927" w:rsidRPr="00665F08" w14:paraId="053644C7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45A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SVL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30F1" w14:textId="7554EFD4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sociálně vyloučen</w:t>
            </w:r>
            <w:r>
              <w:rPr>
                <w:sz w:val="22"/>
                <w:szCs w:val="22"/>
              </w:rPr>
              <w:t>é</w:t>
            </w:r>
            <w:r w:rsidRPr="005B3179">
              <w:rPr>
                <w:sz w:val="22"/>
                <w:szCs w:val="22"/>
              </w:rPr>
              <w:t xml:space="preserve"> lokalit</w:t>
            </w:r>
            <w:r>
              <w:rPr>
                <w:sz w:val="22"/>
                <w:szCs w:val="22"/>
              </w:rPr>
              <w:t>y</w:t>
            </w:r>
          </w:p>
        </w:tc>
      </w:tr>
      <w:tr w:rsidR="00073927" w:rsidRPr="00665F08" w14:paraId="64B6A2E0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4C0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SVP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74E8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 xml:space="preserve">speciální vzdělávací potřeby </w:t>
            </w:r>
          </w:p>
        </w:tc>
      </w:tr>
      <w:tr w:rsidR="00073927" w:rsidRPr="00665F08" w14:paraId="29A599A7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6DD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ÚV ČR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5DCF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Úřad vlády České republiky</w:t>
            </w:r>
          </w:p>
        </w:tc>
      </w:tr>
      <w:tr w:rsidR="00073927" w:rsidRPr="00665F08" w14:paraId="3EC5AF7A" w14:textId="77777777" w:rsidTr="003369B3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D969" w14:textId="41C8B776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4A63" w14:textId="48CDF343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vysoká škola</w:t>
            </w:r>
          </w:p>
        </w:tc>
      </w:tr>
      <w:tr w:rsidR="00073927" w:rsidRPr="00665F08" w14:paraId="10B32CDE" w14:textId="77777777" w:rsidTr="006A1510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222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proofErr w:type="spellStart"/>
            <w:r w:rsidRPr="0033490A">
              <w:rPr>
                <w:rFonts w:cstheme="minorHAnsi"/>
                <w:sz w:val="22"/>
                <w:szCs w:val="22"/>
              </w:rPr>
              <w:t>ZoR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3B8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zpráva o realizaci</w:t>
            </w:r>
          </w:p>
        </w:tc>
      </w:tr>
      <w:tr w:rsidR="00073927" w:rsidRPr="00665F08" w14:paraId="78353E8B" w14:textId="77777777" w:rsidTr="006A1510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3B53" w14:textId="134A9C72" w:rsidR="00073927" w:rsidRPr="0033490A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ZP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A3CA" w14:textId="1078F5BB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postižení</w:t>
            </w:r>
          </w:p>
        </w:tc>
      </w:tr>
      <w:tr w:rsidR="00073927" w:rsidRPr="00665F08" w14:paraId="4B2A7391" w14:textId="77777777" w:rsidTr="006A151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E04" w14:textId="77777777" w:rsidR="00073927" w:rsidRPr="00DC2D72" w:rsidRDefault="00073927" w:rsidP="00073927">
            <w:pPr>
              <w:spacing w:after="0"/>
              <w:jc w:val="left"/>
              <w:rPr>
                <w:rFonts w:cstheme="minorHAnsi"/>
                <w:sz w:val="22"/>
                <w:szCs w:val="22"/>
              </w:rPr>
            </w:pPr>
            <w:r w:rsidRPr="0033490A">
              <w:rPr>
                <w:rFonts w:cstheme="minorHAnsi"/>
                <w:sz w:val="22"/>
                <w:szCs w:val="22"/>
              </w:rPr>
              <w:t>ZŠ nebo škola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03B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základní škola běžná</w:t>
            </w:r>
          </w:p>
        </w:tc>
      </w:tr>
      <w:tr w:rsidR="00073927" w:rsidRPr="00665F08" w14:paraId="74DBF647" w14:textId="77777777" w:rsidTr="006A151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5AFE" w14:textId="77777777" w:rsidR="00073927" w:rsidRPr="00DC2D72" w:rsidRDefault="00073927" w:rsidP="00073927">
            <w:pPr>
              <w:spacing w:after="0"/>
              <w:rPr>
                <w:rFonts w:cstheme="minorHAnsi"/>
                <w:sz w:val="22"/>
                <w:szCs w:val="22"/>
              </w:rPr>
            </w:pPr>
            <w:proofErr w:type="spellStart"/>
            <w:r w:rsidRPr="0033490A">
              <w:rPr>
                <w:rFonts w:cstheme="minorHAnsi"/>
                <w:sz w:val="22"/>
                <w:szCs w:val="22"/>
              </w:rPr>
              <w:t>ŽoP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988" w14:textId="77777777" w:rsidR="00073927" w:rsidRPr="005B3179" w:rsidRDefault="00073927" w:rsidP="00073927">
            <w:pPr>
              <w:spacing w:after="0"/>
              <w:jc w:val="left"/>
              <w:rPr>
                <w:sz w:val="22"/>
                <w:szCs w:val="22"/>
              </w:rPr>
            </w:pPr>
            <w:r w:rsidRPr="005B3179">
              <w:rPr>
                <w:sz w:val="22"/>
                <w:szCs w:val="22"/>
              </w:rPr>
              <w:t>žádost o platbu</w:t>
            </w:r>
          </w:p>
        </w:tc>
      </w:tr>
    </w:tbl>
    <w:p w14:paraId="630C9A6F" w14:textId="77777777" w:rsidR="00C2790B" w:rsidRPr="0033490A" w:rsidRDefault="00C2790B" w:rsidP="006A1510"/>
    <w:p w14:paraId="52543E8D" w14:textId="77777777" w:rsidR="00C2790B" w:rsidRPr="005B3179" w:rsidRDefault="00C2790B">
      <w:pPr>
        <w:rPr>
          <w:rFonts w:cstheme="minorHAnsi"/>
          <w:b/>
          <w:kern w:val="36"/>
        </w:rPr>
      </w:pPr>
      <w:r w:rsidRPr="00DC2D72">
        <w:rPr>
          <w:rFonts w:cstheme="minorHAnsi"/>
        </w:rPr>
        <w:br w:type="page"/>
      </w:r>
    </w:p>
    <w:p w14:paraId="2C29D5E6" w14:textId="26183071" w:rsidR="00FB31E0" w:rsidRPr="00D55E20" w:rsidRDefault="00FB31E0" w:rsidP="00A46851">
      <w:pPr>
        <w:pStyle w:val="Nadpis1"/>
        <w:ind w:left="1276" w:hanging="1276"/>
        <w:rPr>
          <w:sz w:val="24"/>
          <w:szCs w:val="24"/>
        </w:rPr>
      </w:pPr>
      <w:r w:rsidRPr="00D55E20">
        <w:rPr>
          <w:sz w:val="24"/>
          <w:szCs w:val="24"/>
        </w:rPr>
        <w:lastRenderedPageBreak/>
        <w:t>Příloha č. 1</w:t>
      </w:r>
      <w:r w:rsidR="003B4CDF">
        <w:rPr>
          <w:sz w:val="24"/>
          <w:szCs w:val="24"/>
        </w:rPr>
        <w:t xml:space="preserve">: </w:t>
      </w:r>
      <w:r w:rsidR="00DE47C3">
        <w:rPr>
          <w:sz w:val="24"/>
          <w:szCs w:val="24"/>
        </w:rPr>
        <w:t>Datová příloha – výsledky d</w:t>
      </w:r>
      <w:r w:rsidR="00C73CEC">
        <w:rPr>
          <w:sz w:val="24"/>
          <w:szCs w:val="24"/>
        </w:rPr>
        <w:t>otazníkové</w:t>
      </w:r>
      <w:r w:rsidR="00DE47C3">
        <w:rPr>
          <w:sz w:val="24"/>
          <w:szCs w:val="24"/>
        </w:rPr>
        <w:t>ho</w:t>
      </w:r>
      <w:r w:rsidR="00C73CEC">
        <w:rPr>
          <w:sz w:val="24"/>
          <w:szCs w:val="24"/>
        </w:rPr>
        <w:t xml:space="preserve"> šetření </w:t>
      </w:r>
      <w:r w:rsidR="00DE47C3">
        <w:rPr>
          <w:sz w:val="24"/>
          <w:szCs w:val="24"/>
        </w:rPr>
        <w:t xml:space="preserve">u </w:t>
      </w:r>
      <w:r w:rsidR="003B4CDF">
        <w:rPr>
          <w:sz w:val="24"/>
          <w:szCs w:val="24"/>
        </w:rPr>
        <w:t>základních škol</w:t>
      </w:r>
    </w:p>
    <w:p w14:paraId="392C7A81" w14:textId="77777777" w:rsidR="00766B42" w:rsidRDefault="003D2671" w:rsidP="00766B42">
      <w:pPr>
        <w:rPr>
          <w:rStyle w:val="Hypertextovodkaz"/>
        </w:rPr>
      </w:pPr>
      <w:hyperlink r:id="rId19" w:history="1">
        <w:r w:rsidR="00766B42">
          <w:rPr>
            <w:rStyle w:val="Hypertextovodkaz"/>
          </w:rPr>
          <w:t>https://www.nku.cz/scripts/detail.php?id=11151</w:t>
        </w:r>
      </w:hyperlink>
      <w:r w:rsidR="00766B42" w:rsidRPr="009E3185">
        <w:rPr>
          <w:rStyle w:val="Hypertextovodkaz"/>
          <w:color w:val="auto"/>
          <w:u w:val="none"/>
        </w:rPr>
        <w:t>.</w:t>
      </w:r>
    </w:p>
    <w:p w14:paraId="3709306B" w14:textId="77777777" w:rsidR="00CD5750" w:rsidRDefault="00CD5750" w:rsidP="00CD5750"/>
    <w:p w14:paraId="458F5D51" w14:textId="2037BF5B" w:rsidR="00955A7A" w:rsidRPr="00873805" w:rsidRDefault="00F46D96" w:rsidP="00353A2D">
      <w:pPr>
        <w:rPr>
          <w:rFonts w:ascii="Calibri" w:hAnsi="Calibri"/>
          <w:sz w:val="22"/>
          <w:szCs w:val="22"/>
        </w:rPr>
      </w:pPr>
      <w:r w:rsidRPr="00F926F7">
        <w:rPr>
          <w:rFonts w:ascii="Calibri" w:hAnsi="Calibri"/>
          <w:sz w:val="22"/>
          <w:szCs w:val="22"/>
        </w:rPr>
        <w:t>Dotazníkové šetření</w:t>
      </w:r>
      <w:r w:rsidR="003B4CDF">
        <w:rPr>
          <w:rFonts w:ascii="Calibri" w:hAnsi="Calibri"/>
          <w:sz w:val="22"/>
          <w:szCs w:val="22"/>
        </w:rPr>
        <w:t xml:space="preserve"> </w:t>
      </w:r>
      <w:r w:rsidRPr="00F926F7">
        <w:rPr>
          <w:rFonts w:ascii="Calibri" w:hAnsi="Calibri"/>
          <w:sz w:val="22"/>
          <w:szCs w:val="22"/>
        </w:rPr>
        <w:t>– znění dotazníku, který byl základním školám zpřístupněn dne 6.</w:t>
      </w:r>
      <w:r w:rsidR="003B4CDF">
        <w:rPr>
          <w:rFonts w:ascii="Calibri" w:hAnsi="Calibri"/>
          <w:sz w:val="22"/>
          <w:szCs w:val="22"/>
        </w:rPr>
        <w:t xml:space="preserve"> </w:t>
      </w:r>
      <w:r w:rsidR="00A63A31">
        <w:rPr>
          <w:rFonts w:ascii="Calibri" w:hAnsi="Calibri"/>
          <w:sz w:val="22"/>
          <w:szCs w:val="22"/>
        </w:rPr>
        <w:t>1.</w:t>
      </w:r>
      <w:r w:rsidR="003B4CDF">
        <w:rPr>
          <w:rFonts w:ascii="Calibri" w:hAnsi="Calibri"/>
          <w:sz w:val="22"/>
          <w:szCs w:val="22"/>
        </w:rPr>
        <w:t xml:space="preserve"> </w:t>
      </w:r>
      <w:r w:rsidRPr="00F926F7">
        <w:rPr>
          <w:rFonts w:ascii="Calibri" w:hAnsi="Calibri"/>
          <w:sz w:val="22"/>
          <w:szCs w:val="22"/>
        </w:rPr>
        <w:t>2020</w:t>
      </w:r>
      <w:r w:rsidR="003B4CDF">
        <w:rPr>
          <w:rFonts w:ascii="Calibri" w:hAnsi="Calibri"/>
          <w:sz w:val="22"/>
          <w:szCs w:val="22"/>
        </w:rPr>
        <w:t>:</w:t>
      </w:r>
      <w:r w:rsidRPr="00F926F7">
        <w:rPr>
          <w:rFonts w:ascii="Calibri" w:hAnsi="Calibri"/>
          <w:sz w:val="22"/>
          <w:szCs w:val="22"/>
        </w:rPr>
        <w:t xml:space="preserve"> </w:t>
      </w:r>
      <w:hyperlink r:id="rId20" w:history="1">
        <w:r w:rsidR="00353A2D" w:rsidRPr="00F926F7">
          <w:rPr>
            <w:rStyle w:val="Hypertextovodkaz"/>
            <w:rFonts w:ascii="Calibri" w:hAnsi="Calibri"/>
            <w:sz w:val="22"/>
            <w:szCs w:val="22"/>
          </w:rPr>
          <w:t>https://www.nku.cz/assets/nezarazene/dotaznik-ka-19-19.pdf</w:t>
        </w:r>
      </w:hyperlink>
      <w:r w:rsidR="0071483E" w:rsidRPr="00F926F7">
        <w:rPr>
          <w:rFonts w:ascii="Calibri" w:hAnsi="Calibri"/>
          <w:sz w:val="22"/>
          <w:szCs w:val="22"/>
        </w:rPr>
        <w:t>.</w:t>
      </w:r>
    </w:p>
    <w:p w14:paraId="7B5D6E6B" w14:textId="1BF89ABE" w:rsidR="004825E1" w:rsidRPr="004825E1" w:rsidRDefault="003D2671" w:rsidP="008F0304">
      <w:pPr>
        <w:pStyle w:val="Nadpis1"/>
        <w:ind w:left="1276" w:hanging="1276"/>
        <w:rPr>
          <w:sz w:val="24"/>
          <w:szCs w:val="24"/>
        </w:rPr>
      </w:pPr>
      <w:r>
        <w:rPr>
          <w:rFonts w:eastAsiaTheme="minorEastAsia" w:cstheme="minorBidi"/>
          <w:noProof/>
          <w:sz w:val="22"/>
          <w:szCs w:val="22"/>
        </w:rPr>
        <w:lastRenderedPageBreak/>
        <w:object w:dxaOrig="1440" w:dyaOrig="1440" w14:anchorId="68511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37.3pt;width:469.1pt;height:662.65pt;z-index:251658246;mso-position-horizontal-relative:text;mso-position-vertical-relative:text">
            <v:imagedata r:id="rId21" o:title=""/>
            <w10:wrap type="topAndBottom"/>
          </v:shape>
          <o:OLEObject Type="Embed" ProgID="Visio.Drawing.15" ShapeID="_x0000_s1028" DrawAspect="Content" ObjectID="_1663138337" r:id="rId22"/>
        </w:object>
      </w:r>
      <w:r w:rsidR="004825E1" w:rsidRPr="004825E1">
        <w:rPr>
          <w:sz w:val="24"/>
          <w:szCs w:val="24"/>
        </w:rPr>
        <w:t>Příloha č. 2</w:t>
      </w:r>
      <w:r w:rsidR="00015659">
        <w:rPr>
          <w:sz w:val="24"/>
          <w:szCs w:val="24"/>
        </w:rPr>
        <w:t>:</w:t>
      </w:r>
      <w:r w:rsidR="00137E93">
        <w:rPr>
          <w:sz w:val="24"/>
          <w:szCs w:val="24"/>
        </w:rPr>
        <w:tab/>
      </w:r>
      <w:r w:rsidR="004825E1" w:rsidRPr="004825E1">
        <w:rPr>
          <w:sz w:val="24"/>
          <w:szCs w:val="24"/>
        </w:rPr>
        <w:t xml:space="preserve">Časová osa přijatých legislativních a finančních opatření k výkonu rozsudku Evropského soudu pro lidská práva ve věci D. H. a ostatní proti České republice </w:t>
      </w:r>
    </w:p>
    <w:p w14:paraId="14C56479" w14:textId="5FB45475" w:rsidR="00F632BE" w:rsidRDefault="003D2671" w:rsidP="00F632BE">
      <w:pPr>
        <w:spacing w:after="0"/>
      </w:pPr>
      <w:r>
        <w:rPr>
          <w:rFonts w:eastAsiaTheme="minorEastAsia" w:cstheme="minorBidi"/>
          <w:noProof/>
          <w:sz w:val="22"/>
          <w:szCs w:val="22"/>
        </w:rPr>
        <w:lastRenderedPageBreak/>
        <w:object w:dxaOrig="1440" w:dyaOrig="1440" w14:anchorId="35326F2C">
          <v:shape id="_x0000_s1031" type="#_x0000_t75" style="position:absolute;left:0;text-align:left;margin-left:0;margin-top:.35pt;width:458.8pt;height:267pt;z-index:251662342;mso-position-horizontal-relative:text;mso-position-vertical-relative:text">
            <v:imagedata r:id="rId23" o:title=""/>
            <w10:wrap type="topAndBottom"/>
          </v:shape>
          <o:OLEObject Type="Embed" ProgID="Visio.Drawing.15" ShapeID="_x0000_s1031" DrawAspect="Content" ObjectID="_1663138338" r:id="rId24"/>
        </w:object>
      </w:r>
      <w:r w:rsidR="00F632BE">
        <w:br w:type="page"/>
      </w:r>
    </w:p>
    <w:p w14:paraId="61FFC75C" w14:textId="110E7767" w:rsidR="00FB31E0" w:rsidRPr="004825E1" w:rsidRDefault="00FB31E0" w:rsidP="00A46851">
      <w:pPr>
        <w:pStyle w:val="Nadpis1"/>
        <w:ind w:left="1276" w:hanging="1276"/>
        <w:rPr>
          <w:sz w:val="24"/>
          <w:szCs w:val="24"/>
        </w:rPr>
      </w:pPr>
      <w:r w:rsidRPr="004825E1">
        <w:rPr>
          <w:sz w:val="24"/>
          <w:szCs w:val="24"/>
        </w:rPr>
        <w:lastRenderedPageBreak/>
        <w:t xml:space="preserve">Příloha č. </w:t>
      </w:r>
      <w:r w:rsidR="004825E1" w:rsidRPr="004825E1">
        <w:rPr>
          <w:sz w:val="24"/>
          <w:szCs w:val="24"/>
        </w:rPr>
        <w:t>3</w:t>
      </w:r>
      <w:r w:rsidR="002E6BAF">
        <w:rPr>
          <w:sz w:val="24"/>
          <w:szCs w:val="24"/>
        </w:rPr>
        <w:t xml:space="preserve">: </w:t>
      </w:r>
      <w:r w:rsidR="00C73CEC" w:rsidRPr="004825E1">
        <w:rPr>
          <w:sz w:val="24"/>
          <w:szCs w:val="24"/>
        </w:rPr>
        <w:t>Doplňující informace ze školské statistiky</w:t>
      </w:r>
    </w:p>
    <w:p w14:paraId="2D20DF0F" w14:textId="7B457BE5" w:rsidR="00670045" w:rsidRDefault="00670045" w:rsidP="0049514A">
      <w:pPr>
        <w:rPr>
          <w:color w:val="0000FF"/>
          <w:u w:val="single"/>
        </w:rPr>
      </w:pPr>
      <w:r w:rsidRPr="00347FE0">
        <w:rPr>
          <w:rFonts w:cstheme="minorHAnsi"/>
        </w:rPr>
        <w:t xml:space="preserve">Tabulky a grafy – </w:t>
      </w:r>
      <w:r w:rsidR="00C26538" w:rsidRPr="00347FE0">
        <w:rPr>
          <w:rFonts w:cstheme="minorHAnsi"/>
        </w:rPr>
        <w:t>statistick</w:t>
      </w:r>
      <w:r w:rsidR="002E6BAF">
        <w:rPr>
          <w:rFonts w:cstheme="minorHAnsi"/>
        </w:rPr>
        <w:t>é</w:t>
      </w:r>
      <w:r w:rsidR="00C26538" w:rsidRPr="00347FE0">
        <w:rPr>
          <w:rFonts w:cstheme="minorHAnsi"/>
        </w:rPr>
        <w:t xml:space="preserve"> ročenk</w:t>
      </w:r>
      <w:r w:rsidR="002E6BAF">
        <w:rPr>
          <w:rFonts w:cstheme="minorHAnsi"/>
        </w:rPr>
        <w:t>y</w:t>
      </w:r>
      <w:r w:rsidR="00C26538" w:rsidRPr="00347FE0">
        <w:rPr>
          <w:rFonts w:cstheme="minorHAnsi"/>
        </w:rPr>
        <w:t xml:space="preserve"> školství (výkonové ukazatele) </w:t>
      </w:r>
      <w:r w:rsidR="00E3588A">
        <w:rPr>
          <w:rFonts w:cstheme="minorHAnsi"/>
        </w:rPr>
        <w:t xml:space="preserve">(dále též „SRŠ“) </w:t>
      </w:r>
      <w:r w:rsidR="00347FE0" w:rsidRPr="00347FE0">
        <w:rPr>
          <w:rFonts w:cstheme="minorHAnsi"/>
        </w:rPr>
        <w:t>– zdroj</w:t>
      </w:r>
      <w:r w:rsidR="00766B42">
        <w:rPr>
          <w:rFonts w:cstheme="minorHAnsi"/>
        </w:rPr>
        <w:t>e</w:t>
      </w:r>
      <w:r w:rsidR="00347FE0" w:rsidRPr="00347FE0">
        <w:rPr>
          <w:rFonts w:cstheme="minorHAnsi"/>
        </w:rPr>
        <w:t>:</w:t>
      </w:r>
      <w:r w:rsidR="00347FE0">
        <w:rPr>
          <w:rFonts w:cstheme="minorHAnsi"/>
          <w:b/>
        </w:rPr>
        <w:t xml:space="preserve"> </w:t>
      </w:r>
      <w:hyperlink r:id="rId25" w:history="1">
        <w:r w:rsidR="00365E1D" w:rsidRPr="00FB31E0">
          <w:rPr>
            <w:color w:val="0000FF"/>
            <w:u w:val="single"/>
          </w:rPr>
          <w:t>http://toiler.uiv.cz/rocenka/rocenka.asp</w:t>
        </w:r>
      </w:hyperlink>
      <w:r w:rsidR="002E6BAF" w:rsidRPr="00447353">
        <w:rPr>
          <w:color w:val="0000FF"/>
        </w:rPr>
        <w:t>.</w:t>
      </w:r>
    </w:p>
    <w:p w14:paraId="37B2D99C" w14:textId="62066766" w:rsidR="00EC136B" w:rsidRDefault="00EC136B" w:rsidP="00EC136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Situace v základních školách speciálních</w:t>
      </w:r>
    </w:p>
    <w:p w14:paraId="211A694F" w14:textId="5CA65DAE" w:rsidR="00D05C69" w:rsidRDefault="00824245" w:rsidP="00D05C69">
      <w:pPr>
        <w:rPr>
          <w:rFonts w:cstheme="minorHAnsi"/>
        </w:rPr>
      </w:pPr>
      <w:r w:rsidRPr="00D05C69">
        <w:rPr>
          <w:b/>
        </w:rPr>
        <w:t xml:space="preserve">Počet všech žáků se speciálními vzdělávacími potřebami </w:t>
      </w:r>
      <w:r w:rsidR="000A1C82" w:rsidRPr="00D05C69">
        <w:rPr>
          <w:b/>
        </w:rPr>
        <w:t xml:space="preserve">(SVP) </w:t>
      </w:r>
      <w:r w:rsidRPr="00D05C69">
        <w:rPr>
          <w:b/>
        </w:rPr>
        <w:t xml:space="preserve">za posledních 10 let vzrostl </w:t>
      </w:r>
      <w:r w:rsidR="0056004A">
        <w:rPr>
          <w:b/>
        </w:rPr>
        <w:t>o </w:t>
      </w:r>
      <w:r w:rsidRPr="00D05C69">
        <w:rPr>
          <w:b/>
        </w:rPr>
        <w:t xml:space="preserve">více než </w:t>
      </w:r>
      <w:r w:rsidR="00E35C83">
        <w:rPr>
          <w:b/>
        </w:rPr>
        <w:t>polovinu (</w:t>
      </w:r>
      <w:r w:rsidR="002E6BAF">
        <w:rPr>
          <w:b/>
        </w:rPr>
        <w:t xml:space="preserve">o </w:t>
      </w:r>
      <w:r w:rsidR="00E35C83">
        <w:rPr>
          <w:b/>
        </w:rPr>
        <w:t>55 %).</w:t>
      </w:r>
      <w:r>
        <w:t xml:space="preserve"> </w:t>
      </w:r>
      <w:r w:rsidR="00D05C69" w:rsidRPr="00D05C69">
        <w:rPr>
          <w:rFonts w:cstheme="minorHAnsi"/>
        </w:rPr>
        <w:t>V základních školách speciálních se aktuálně vzdělává 22 516 žáků, což je o 22,</w:t>
      </w:r>
      <w:r w:rsidR="00E35C83">
        <w:rPr>
          <w:rFonts w:cstheme="minorHAnsi"/>
        </w:rPr>
        <w:t>6</w:t>
      </w:r>
      <w:r w:rsidR="00D05C69" w:rsidRPr="00D05C69">
        <w:rPr>
          <w:rFonts w:cstheme="minorHAnsi"/>
        </w:rPr>
        <w:t xml:space="preserve"> % méně než před 10 lety. Samotný počet speciálních škol se za posledních 10 let snížil o 27 %. </w:t>
      </w:r>
    </w:p>
    <w:p w14:paraId="0D46BB2B" w14:textId="4502FEB9" w:rsidR="00D05C69" w:rsidRPr="006D09CF" w:rsidRDefault="00661CC4" w:rsidP="00661CC4">
      <w:pPr>
        <w:spacing w:after="0"/>
        <w:ind w:left="2552" w:hanging="2552"/>
        <w:rPr>
          <w:rFonts w:cstheme="minorHAnsi"/>
        </w:rPr>
      </w:pPr>
      <w:r>
        <w:rPr>
          <w:rFonts w:cstheme="minorHAnsi"/>
        </w:rPr>
        <w:t xml:space="preserve">Příloha č. </w:t>
      </w:r>
      <w:r w:rsidR="0081224B">
        <w:rPr>
          <w:rFonts w:cstheme="minorHAnsi"/>
        </w:rPr>
        <w:t>3</w:t>
      </w:r>
      <w:r w:rsidR="00C2790B">
        <w:rPr>
          <w:rFonts w:cstheme="minorHAnsi"/>
        </w:rPr>
        <w:t xml:space="preserve"> –</w:t>
      </w:r>
      <w:r>
        <w:rPr>
          <w:rFonts w:cstheme="minorHAnsi"/>
        </w:rPr>
        <w:t xml:space="preserve"> tabulka č. 1:</w:t>
      </w:r>
      <w:r>
        <w:rPr>
          <w:rFonts w:cstheme="minorHAnsi"/>
        </w:rPr>
        <w:tab/>
      </w:r>
      <w:r w:rsidR="00D05C69" w:rsidRPr="00661CC4">
        <w:rPr>
          <w:rFonts w:cstheme="minorHAnsi"/>
          <w:b/>
        </w:rPr>
        <w:t>Poč</w:t>
      </w:r>
      <w:r w:rsidRPr="00661CC4">
        <w:rPr>
          <w:rFonts w:cstheme="minorHAnsi"/>
          <w:b/>
        </w:rPr>
        <w:t>t</w:t>
      </w:r>
      <w:r w:rsidR="00D05C69" w:rsidRPr="00661CC4">
        <w:rPr>
          <w:rFonts w:cstheme="minorHAnsi"/>
          <w:b/>
        </w:rPr>
        <w:t>y žáků se SVP ve speciálních ZŠ</w:t>
      </w:r>
    </w:p>
    <w:tbl>
      <w:tblPr>
        <w:tblW w:w="90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2948"/>
        <w:gridCol w:w="3061"/>
      </w:tblGrid>
      <w:tr w:rsidR="004E7F0A" w:rsidRPr="008D32C8" w14:paraId="402DE86C" w14:textId="77777777" w:rsidTr="00447353">
        <w:trPr>
          <w:trHeight w:val="6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870E53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Školní rok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13D7EB6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speciálních ZŠ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F32EFFF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Počet žáků se SVP </w:t>
            </w:r>
            <w:r w:rsidRPr="00661CC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ve speciálních ZŠ</w:t>
            </w:r>
          </w:p>
        </w:tc>
      </w:tr>
      <w:tr w:rsidR="004E7F0A" w:rsidRPr="008D32C8" w14:paraId="4E08A1A7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875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2010/2011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8673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A5F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29 090</w:t>
            </w:r>
          </w:p>
        </w:tc>
      </w:tr>
      <w:tr w:rsidR="004E7F0A" w:rsidRPr="008D32C8" w14:paraId="57158894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4C7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F737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D969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27 442</w:t>
            </w:r>
          </w:p>
        </w:tc>
      </w:tr>
      <w:tr w:rsidR="004E7F0A" w:rsidRPr="008D32C8" w14:paraId="0E885930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422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FB8B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F29D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25 825</w:t>
            </w:r>
          </w:p>
        </w:tc>
      </w:tr>
      <w:tr w:rsidR="004E7F0A" w:rsidRPr="008D32C8" w14:paraId="11BA3F0E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4C59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7DD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88B4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24 849</w:t>
            </w:r>
          </w:p>
        </w:tc>
      </w:tr>
      <w:tr w:rsidR="004E7F0A" w:rsidRPr="008D32C8" w14:paraId="661E4EAF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B183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5A0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7617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24 620</w:t>
            </w:r>
          </w:p>
        </w:tc>
      </w:tr>
      <w:tr w:rsidR="004E7F0A" w:rsidRPr="008D32C8" w14:paraId="53C134A0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301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2015/2016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C8A1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51B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24 681</w:t>
            </w:r>
          </w:p>
        </w:tc>
      </w:tr>
      <w:tr w:rsidR="004E7F0A" w:rsidRPr="008D32C8" w14:paraId="42D7FF42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378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2016/2017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D82A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875E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22 934</w:t>
            </w:r>
          </w:p>
        </w:tc>
      </w:tr>
      <w:tr w:rsidR="004E7F0A" w:rsidRPr="008D32C8" w14:paraId="2899B606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635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2017/2018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FA4A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63F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22 126</w:t>
            </w:r>
          </w:p>
        </w:tc>
      </w:tr>
      <w:tr w:rsidR="004E7F0A" w:rsidRPr="008D32C8" w14:paraId="1615C5D4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6AD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2018/2019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842A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684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1CC4">
              <w:rPr>
                <w:rFonts w:ascii="Calibri" w:hAnsi="Calibri" w:cs="Calibri"/>
                <w:sz w:val="22"/>
                <w:szCs w:val="22"/>
              </w:rPr>
              <w:t>22 170</w:t>
            </w:r>
          </w:p>
        </w:tc>
      </w:tr>
      <w:tr w:rsidR="004E7F0A" w:rsidRPr="00D05C69" w14:paraId="640DBC6D" w14:textId="77777777" w:rsidTr="00447353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19E" w14:textId="77777777" w:rsidR="00D05C69" w:rsidRPr="00661CC4" w:rsidRDefault="00D05C69" w:rsidP="009F7A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2019/2020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ECD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1C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3798" w14:textId="77777777" w:rsidR="00D05C69" w:rsidRPr="00661CC4" w:rsidRDefault="00D05C69" w:rsidP="009F7A39">
            <w:pPr>
              <w:spacing w:after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61CC4">
              <w:rPr>
                <w:rFonts w:ascii="Calibri" w:hAnsi="Calibri" w:cs="Calibri"/>
                <w:b/>
                <w:sz w:val="22"/>
                <w:szCs w:val="22"/>
              </w:rPr>
              <w:t>22 516</w:t>
            </w:r>
          </w:p>
        </w:tc>
      </w:tr>
    </w:tbl>
    <w:p w14:paraId="3BD30230" w14:textId="77777777" w:rsidR="00E35C83" w:rsidRDefault="00E35C83" w:rsidP="00E35C83">
      <w:pPr>
        <w:spacing w:after="0"/>
        <w:rPr>
          <w:rFonts w:cstheme="minorHAnsi"/>
          <w:sz w:val="20"/>
          <w:szCs w:val="20"/>
        </w:rPr>
      </w:pPr>
      <w:r w:rsidRPr="00891C99">
        <w:rPr>
          <w:rFonts w:cstheme="minorHAnsi"/>
          <w:b/>
          <w:sz w:val="20"/>
          <w:szCs w:val="20"/>
        </w:rPr>
        <w:t>Zdroj:</w:t>
      </w:r>
      <w:r>
        <w:rPr>
          <w:rFonts w:cstheme="minorHAnsi"/>
          <w:sz w:val="20"/>
          <w:szCs w:val="20"/>
        </w:rPr>
        <w:t xml:space="preserve"> MŠMT.</w:t>
      </w:r>
    </w:p>
    <w:p w14:paraId="70086070" w14:textId="63016169" w:rsidR="00AE21A4" w:rsidRDefault="00E35C83" w:rsidP="00E35C83">
      <w:pPr>
        <w:rPr>
          <w:rFonts w:cstheme="minorHAnsi"/>
          <w:b/>
          <w:u w:val="single"/>
        </w:rPr>
      </w:pPr>
      <w:r w:rsidRPr="00891C99">
        <w:rPr>
          <w:rFonts w:cstheme="minorHAnsi"/>
          <w:b/>
          <w:sz w:val="20"/>
          <w:szCs w:val="20"/>
        </w:rPr>
        <w:t>Pozn</w:t>
      </w:r>
      <w:r w:rsidR="00742C35">
        <w:rPr>
          <w:rFonts w:cstheme="minorHAnsi"/>
          <w:b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Údaje o počtech žáků </w:t>
      </w:r>
      <w:proofErr w:type="gramStart"/>
      <w:r w:rsidR="004E7F0A">
        <w:rPr>
          <w:rFonts w:cstheme="minorHAnsi"/>
          <w:sz w:val="20"/>
          <w:szCs w:val="20"/>
        </w:rPr>
        <w:t>byly</w:t>
      </w:r>
      <w:proofErr w:type="gramEnd"/>
      <w:r w:rsidR="004E7F0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převzaty z</w:t>
      </w:r>
      <w:r w:rsidR="0056004A">
        <w:rPr>
          <w:rFonts w:cstheme="minorHAnsi"/>
          <w:sz w:val="20"/>
          <w:szCs w:val="20"/>
        </w:rPr>
        <w:t xml:space="preserve">e </w:t>
      </w:r>
      <w:proofErr w:type="gramStart"/>
      <w:r w:rsidR="0056004A">
        <w:rPr>
          <w:rFonts w:cstheme="minorHAnsi"/>
          <w:sz w:val="20"/>
          <w:szCs w:val="20"/>
        </w:rPr>
        <w:t>SRŠ</w:t>
      </w:r>
      <w:proofErr w:type="gramEnd"/>
      <w:r w:rsidR="0056004A">
        <w:rPr>
          <w:rFonts w:cstheme="minorHAnsi"/>
          <w:sz w:val="20"/>
          <w:szCs w:val="20"/>
        </w:rPr>
        <w:t>, kapitola C, tabulka č. C1.5b1</w:t>
      </w:r>
      <w:r>
        <w:rPr>
          <w:rFonts w:cstheme="minorHAnsi"/>
          <w:sz w:val="20"/>
          <w:szCs w:val="20"/>
        </w:rPr>
        <w:t>.</w:t>
      </w:r>
    </w:p>
    <w:p w14:paraId="6684473F" w14:textId="13DC7B03" w:rsidR="00D05C69" w:rsidRPr="00D05C69" w:rsidRDefault="00D05C69" w:rsidP="00D05C69">
      <w:pPr>
        <w:rPr>
          <w:rFonts w:cstheme="minorHAnsi"/>
          <w:b/>
          <w:u w:val="single"/>
        </w:rPr>
      </w:pPr>
      <w:r w:rsidRPr="00D05C69">
        <w:rPr>
          <w:rFonts w:cstheme="minorHAnsi"/>
          <w:b/>
          <w:u w:val="single"/>
        </w:rPr>
        <w:t>Situace v běžných základních školách</w:t>
      </w:r>
    </w:p>
    <w:p w14:paraId="501E3FC8" w14:textId="2C70D1D3" w:rsidR="00824245" w:rsidRPr="00ED5F60" w:rsidRDefault="00824245" w:rsidP="000A1C82">
      <w:pPr>
        <w:rPr>
          <w:b/>
        </w:rPr>
      </w:pPr>
      <w:r>
        <w:t>Ve školním roce 2019/2020 se vzdělá</w:t>
      </w:r>
      <w:r w:rsidR="00073927">
        <w:t>v</w:t>
      </w:r>
      <w:r w:rsidR="004E7F0A">
        <w:t>alo</w:t>
      </w:r>
      <w:r>
        <w:t xml:space="preserve"> </w:t>
      </w:r>
      <w:r w:rsidRPr="00175D25">
        <w:rPr>
          <w:b/>
        </w:rPr>
        <w:t xml:space="preserve">ve všech základních školách </w:t>
      </w:r>
      <w:r w:rsidRPr="00B00C51">
        <w:rPr>
          <w:b/>
        </w:rPr>
        <w:t>11</w:t>
      </w:r>
      <w:r w:rsidR="00EB6B58" w:rsidRPr="00D166DA">
        <w:rPr>
          <w:b/>
        </w:rPr>
        <w:t>1</w:t>
      </w:r>
      <w:r w:rsidRPr="00B00C51">
        <w:rPr>
          <w:b/>
        </w:rPr>
        <w:t> </w:t>
      </w:r>
      <w:r w:rsidR="00EB6B58" w:rsidRPr="00D166DA">
        <w:rPr>
          <w:b/>
        </w:rPr>
        <w:t>221</w:t>
      </w:r>
      <w:r w:rsidR="00E35C83" w:rsidRPr="00D166DA">
        <w:rPr>
          <w:rStyle w:val="Znakapoznpodarou"/>
          <w:b/>
        </w:rPr>
        <w:footnoteReference w:id="75"/>
      </w:r>
      <w:r w:rsidRPr="00B00C51">
        <w:rPr>
          <w:b/>
        </w:rPr>
        <w:t xml:space="preserve"> žáků</w:t>
      </w:r>
      <w:r w:rsidR="00DA0051" w:rsidRPr="00B00C51">
        <w:rPr>
          <w:b/>
        </w:rPr>
        <w:t xml:space="preserve"> se SVP</w:t>
      </w:r>
      <w:r w:rsidR="000A1C82" w:rsidRPr="00B00C51">
        <w:rPr>
          <w:b/>
        </w:rPr>
        <w:t>.</w:t>
      </w:r>
      <w:r w:rsidR="000A1C82" w:rsidRPr="00B00C51">
        <w:t xml:space="preserve"> </w:t>
      </w:r>
      <w:r w:rsidR="00ED5F60" w:rsidRPr="00ED5F60">
        <w:rPr>
          <w:b/>
        </w:rPr>
        <w:t xml:space="preserve">Z tohoto počtu navštěvuje </w:t>
      </w:r>
      <w:r w:rsidR="000A1C82" w:rsidRPr="00ED5F60">
        <w:rPr>
          <w:b/>
        </w:rPr>
        <w:t>88 705 žáků</w:t>
      </w:r>
      <w:r w:rsidR="00ED5F60" w:rsidRPr="00ED5F60">
        <w:rPr>
          <w:b/>
        </w:rPr>
        <w:t xml:space="preserve"> běžné základní školy. </w:t>
      </w:r>
    </w:p>
    <w:p w14:paraId="07FB4AFA" w14:textId="51F356A1" w:rsidR="006F0758" w:rsidRPr="00D05C69" w:rsidRDefault="00B63869" w:rsidP="008930BF">
      <w:pPr>
        <w:spacing w:after="0"/>
        <w:ind w:left="2268" w:hanging="226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A4CBD" wp14:editId="70177796">
            <wp:simplePos x="0" y="0"/>
            <wp:positionH relativeFrom="column">
              <wp:posOffset>0</wp:posOffset>
            </wp:positionH>
            <wp:positionV relativeFrom="paragraph">
              <wp:posOffset>258445</wp:posOffset>
            </wp:positionV>
            <wp:extent cx="5761355" cy="251777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EF">
        <w:t xml:space="preserve">Příloha č. </w:t>
      </w:r>
      <w:r w:rsidR="0081224B">
        <w:t>3</w:t>
      </w:r>
      <w:r w:rsidR="00D033EE">
        <w:t xml:space="preserve"> –</w:t>
      </w:r>
      <w:r w:rsidR="004551EF">
        <w:t xml:space="preserve"> </w:t>
      </w:r>
      <w:r w:rsidR="004551EF" w:rsidRPr="00661CC4">
        <w:rPr>
          <w:rFonts w:cstheme="minorHAnsi"/>
        </w:rPr>
        <w:t>g</w:t>
      </w:r>
      <w:r w:rsidR="0049514A" w:rsidRPr="00661CC4">
        <w:rPr>
          <w:rFonts w:cstheme="minorHAnsi"/>
        </w:rPr>
        <w:t>raf</w:t>
      </w:r>
      <w:r w:rsidR="0049514A">
        <w:t xml:space="preserve"> č. 1:</w:t>
      </w:r>
      <w:r w:rsidR="0049514A">
        <w:tab/>
      </w:r>
      <w:r w:rsidR="00824245" w:rsidRPr="00D05C69">
        <w:rPr>
          <w:b/>
        </w:rPr>
        <w:t xml:space="preserve">Počet žáků se SVP v </w:t>
      </w:r>
      <w:r w:rsidR="0049514A" w:rsidRPr="00D05C69">
        <w:rPr>
          <w:b/>
        </w:rPr>
        <w:t>běžných ZŠ</w:t>
      </w:r>
    </w:p>
    <w:p w14:paraId="7FE77501" w14:textId="365BC44D" w:rsidR="00280839" w:rsidRDefault="00ED5F60" w:rsidP="00ED5F60">
      <w:r w:rsidRPr="00144509">
        <w:rPr>
          <w:rFonts w:cstheme="minorHAnsi"/>
          <w:b/>
        </w:rPr>
        <w:lastRenderedPageBreak/>
        <w:t xml:space="preserve">Podíl žáků se SVP zařazených do běžných </w:t>
      </w:r>
      <w:r w:rsidR="00DE0781" w:rsidRPr="00144509">
        <w:rPr>
          <w:rFonts w:cstheme="minorHAnsi"/>
          <w:b/>
        </w:rPr>
        <w:t>ZŠ</w:t>
      </w:r>
      <w:r w:rsidRPr="00144509">
        <w:rPr>
          <w:rFonts w:cstheme="minorHAnsi"/>
          <w:b/>
        </w:rPr>
        <w:t xml:space="preserve"> na celkovém počtu žáků </w:t>
      </w:r>
      <w:r w:rsidR="00E35C83">
        <w:rPr>
          <w:rFonts w:cstheme="minorHAnsi"/>
          <w:b/>
        </w:rPr>
        <w:t>se SVP</w:t>
      </w:r>
      <w:r w:rsidR="00DE0781">
        <w:rPr>
          <w:rFonts w:cstheme="minorHAnsi"/>
        </w:rPr>
        <w:t xml:space="preserve"> </w:t>
      </w:r>
      <w:r w:rsidR="00661CC4" w:rsidRPr="00175D25">
        <w:rPr>
          <w:rFonts w:cstheme="minorHAnsi"/>
          <w:b/>
        </w:rPr>
        <w:t>se</w:t>
      </w:r>
      <w:r w:rsidR="00C77EC8">
        <w:rPr>
          <w:rFonts w:cstheme="minorHAnsi"/>
          <w:b/>
        </w:rPr>
        <w:t xml:space="preserve"> </w:t>
      </w:r>
      <w:r w:rsidR="00661CC4" w:rsidRPr="00175D25">
        <w:rPr>
          <w:rFonts w:cstheme="minorHAnsi"/>
          <w:b/>
        </w:rPr>
        <w:t>ve</w:t>
      </w:r>
      <w:r w:rsidR="00C77EC8">
        <w:rPr>
          <w:rFonts w:cstheme="minorHAnsi"/>
          <w:b/>
        </w:rPr>
        <w:t xml:space="preserve"> </w:t>
      </w:r>
      <w:r w:rsidRPr="00175D25">
        <w:rPr>
          <w:rFonts w:cstheme="minorHAnsi"/>
          <w:b/>
        </w:rPr>
        <w:t xml:space="preserve">školním roce 2019/2020 zvýšil na </w:t>
      </w:r>
      <w:r w:rsidRPr="00175D25">
        <w:rPr>
          <w:b/>
        </w:rPr>
        <w:t>79,</w:t>
      </w:r>
      <w:r w:rsidR="00745761">
        <w:rPr>
          <w:b/>
        </w:rPr>
        <w:t>7</w:t>
      </w:r>
      <w:r w:rsidRPr="00175D25">
        <w:rPr>
          <w:b/>
        </w:rPr>
        <w:t>6 %,</w:t>
      </w:r>
      <w:r>
        <w:t xml:space="preserve"> což </w:t>
      </w:r>
      <w:r w:rsidR="00DE0781">
        <w:t>představuje zv</w:t>
      </w:r>
      <w:r>
        <w:t xml:space="preserve">ýšení o </w:t>
      </w:r>
      <w:r w:rsidR="00661CC4">
        <w:t>celou jednu třetinu za</w:t>
      </w:r>
      <w:r w:rsidR="00C77EC8">
        <w:t xml:space="preserve"> </w:t>
      </w:r>
      <w:r w:rsidR="00DE0781">
        <w:t>posledních 10 let.</w:t>
      </w:r>
      <w:r>
        <w:t xml:space="preserve"> </w:t>
      </w:r>
      <w:r w:rsidR="001A5E65">
        <w:t>Ve stejném školním roce tvoř</w:t>
      </w:r>
      <w:r w:rsidR="00C93B0C">
        <w:t>ili</w:t>
      </w:r>
      <w:r w:rsidR="001A5E65">
        <w:t xml:space="preserve"> žáci se zdravotním postižením</w:t>
      </w:r>
      <w:r w:rsidR="00FD3DC0">
        <w:t xml:space="preserve"> (dále též „ZP“)</w:t>
      </w:r>
      <w:r w:rsidR="00C93B0C">
        <w:t xml:space="preserve"> nebo </w:t>
      </w:r>
      <w:r w:rsidR="001A5E65">
        <w:t>speciálními vzdělávacími potřebami zařazení do běžných ZŠ téměř jednu desetinu všech žáků vzdělávaných v běžných základních školách.</w:t>
      </w:r>
    </w:p>
    <w:p w14:paraId="468E48F9" w14:textId="5F5B30E0" w:rsidR="00D05C69" w:rsidRPr="00DA1B53" w:rsidRDefault="004551EF" w:rsidP="001A5E65">
      <w:pPr>
        <w:spacing w:after="0"/>
        <w:ind w:left="2552" w:hanging="2552"/>
      </w:pPr>
      <w:r w:rsidRPr="00D05C69">
        <w:rPr>
          <w:rFonts w:cstheme="minorHAnsi"/>
        </w:rPr>
        <w:t xml:space="preserve">Příloha č. </w:t>
      </w:r>
      <w:r w:rsidR="0081224B">
        <w:rPr>
          <w:rFonts w:cstheme="minorHAnsi"/>
        </w:rPr>
        <w:t>3</w:t>
      </w:r>
      <w:r w:rsidR="008F4C57">
        <w:rPr>
          <w:rFonts w:cstheme="minorHAnsi"/>
        </w:rPr>
        <w:t xml:space="preserve"> –</w:t>
      </w:r>
      <w:r w:rsidRPr="00D05C69">
        <w:rPr>
          <w:rFonts w:cstheme="minorHAnsi"/>
        </w:rPr>
        <w:t xml:space="preserve"> t</w:t>
      </w:r>
      <w:r w:rsidR="0049514A" w:rsidRPr="00D05C69">
        <w:rPr>
          <w:rFonts w:cstheme="minorHAnsi"/>
        </w:rPr>
        <w:t xml:space="preserve">abulka č. </w:t>
      </w:r>
      <w:r w:rsidRPr="00D05C69">
        <w:rPr>
          <w:rFonts w:cstheme="minorHAnsi"/>
        </w:rPr>
        <w:t>2</w:t>
      </w:r>
      <w:r w:rsidR="0049514A" w:rsidRPr="00D05C69">
        <w:rPr>
          <w:rFonts w:cstheme="minorHAnsi"/>
        </w:rPr>
        <w:t>:</w:t>
      </w:r>
      <w:r w:rsidR="0049514A" w:rsidRPr="00D05C69">
        <w:rPr>
          <w:rFonts w:cstheme="minorHAnsi"/>
        </w:rPr>
        <w:tab/>
      </w:r>
      <w:r w:rsidR="0049514A" w:rsidRPr="00661CC4">
        <w:rPr>
          <w:rFonts w:cstheme="minorHAnsi"/>
          <w:b/>
        </w:rPr>
        <w:t xml:space="preserve">Podíl </w:t>
      </w:r>
      <w:r w:rsidR="00D05C69" w:rsidRPr="00661CC4">
        <w:rPr>
          <w:rFonts w:cstheme="minorHAnsi"/>
          <w:b/>
        </w:rPr>
        <w:t xml:space="preserve">všech </w:t>
      </w:r>
      <w:r w:rsidR="0049514A" w:rsidRPr="00661CC4">
        <w:rPr>
          <w:rFonts w:cstheme="minorHAnsi"/>
          <w:b/>
        </w:rPr>
        <w:t xml:space="preserve">žáků se </w:t>
      </w:r>
      <w:r w:rsidR="001A5E65">
        <w:rPr>
          <w:rFonts w:cstheme="minorHAnsi"/>
          <w:b/>
        </w:rPr>
        <w:t>ZP/</w:t>
      </w:r>
      <w:r w:rsidR="0049514A" w:rsidRPr="00661CC4">
        <w:rPr>
          <w:rFonts w:cstheme="minorHAnsi"/>
          <w:b/>
        </w:rPr>
        <w:t xml:space="preserve">SVP </w:t>
      </w:r>
      <w:r w:rsidR="00D05C69" w:rsidRPr="00661CC4">
        <w:rPr>
          <w:rFonts w:cstheme="minorHAnsi"/>
          <w:b/>
        </w:rPr>
        <w:t>v běžných ZŠ na celkovém počtu žáků</w:t>
      </w:r>
      <w:r w:rsidR="00DE0781" w:rsidRPr="00661CC4">
        <w:rPr>
          <w:rFonts w:cstheme="minorHAnsi"/>
          <w:b/>
        </w:rPr>
        <w:t xml:space="preserve"> v běžných ZŠ</w:t>
      </w:r>
      <w:r w:rsidR="00D05C69" w:rsidRPr="00661CC4">
        <w:rPr>
          <w:rFonts w:cstheme="minorHAnsi"/>
        </w:rPr>
        <w:t xml:space="preserve"> </w:t>
      </w:r>
    </w:p>
    <w:tbl>
      <w:tblPr>
        <w:tblW w:w="9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60"/>
        <w:gridCol w:w="2360"/>
        <w:gridCol w:w="2480"/>
      </w:tblGrid>
      <w:tr w:rsidR="001A5E65" w:rsidRPr="001A5E65" w14:paraId="1A3F8EDD" w14:textId="77777777" w:rsidTr="001A5E65">
        <w:trPr>
          <w:trHeight w:val="163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582448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Školní rok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74C509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Počet žáků se ZP/SVP </w:t>
            </w: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v běžných ZŠ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B7ACCF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Podíl žáků se ZP/SVP zařazených v běžných ZŠ na počtu všech žáků </w:t>
            </w: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se ZP/SVP</w:t>
            </w: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(v %)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6D4011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Podíl žáků se ZP/SVP</w:t>
            </w: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zařazených do běžných ZŠ na počtu všech žáků</w:t>
            </w: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v běžných školách</w:t>
            </w: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(v %)</w:t>
            </w:r>
          </w:p>
        </w:tc>
      </w:tr>
      <w:tr w:rsidR="001A5E65" w:rsidRPr="001A5E65" w14:paraId="5F7CD49E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117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2010/2011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09CD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42 831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B07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60,56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7EF1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5,63</w:t>
            </w:r>
          </w:p>
        </w:tc>
      </w:tr>
      <w:tr w:rsidR="001A5E65" w:rsidRPr="001A5E65" w14:paraId="28B9BFA8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8EE8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4E7F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45 629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2D69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63,56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F5BB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</w:tr>
      <w:tr w:rsidR="001A5E65" w:rsidRPr="001A5E65" w14:paraId="0CCD598E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56C3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62AA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47 259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5EC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65,54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811F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</w:tr>
      <w:tr w:rsidR="001A5E65" w:rsidRPr="001A5E65" w14:paraId="1D346E42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6784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F02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49 594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B137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67,36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5B61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</w:tr>
      <w:tr w:rsidR="001A5E65" w:rsidRPr="001A5E65" w14:paraId="7875C112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A188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CA28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51 971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1BCD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68,52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54F2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6,27</w:t>
            </w:r>
          </w:p>
        </w:tc>
      </w:tr>
      <w:tr w:rsidR="001A5E65" w:rsidRPr="001A5E65" w14:paraId="7820D724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4CD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D0A7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54 837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6AE3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69,67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6699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6,41</w:t>
            </w:r>
          </w:p>
        </w:tc>
      </w:tr>
      <w:tr w:rsidR="001A5E65" w:rsidRPr="001A5E65" w14:paraId="30612D0B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7EEF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5E3C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58 923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B3F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72,17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33F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</w:tr>
      <w:tr w:rsidR="001A5E65" w:rsidRPr="001A5E65" w14:paraId="640BEBCF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BADE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F25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73 678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56A1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77,04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6AD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8,15</w:t>
            </w:r>
          </w:p>
        </w:tc>
      </w:tr>
      <w:tr w:rsidR="001A5E65" w:rsidRPr="001A5E65" w14:paraId="4AEEC701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508C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D75D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80 688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CFB9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79,12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A3E0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1A5E65" w:rsidRPr="001A5E65" w14:paraId="1D316799" w14:textId="77777777" w:rsidTr="001A5E65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4A4E" w14:textId="77777777" w:rsidR="001A5E65" w:rsidRPr="001A5E65" w:rsidRDefault="001A5E65" w:rsidP="001A5E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A5E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5D1D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88 705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604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79,96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9143" w14:textId="77777777" w:rsidR="001A5E65" w:rsidRPr="001A5E65" w:rsidRDefault="001A5E65" w:rsidP="001A5E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E65">
              <w:rPr>
                <w:rFonts w:ascii="Calibri" w:hAnsi="Calibri" w:cs="Calibri"/>
                <w:color w:val="000000"/>
                <w:sz w:val="22"/>
                <w:szCs w:val="22"/>
              </w:rPr>
              <w:t>9,53</w:t>
            </w:r>
          </w:p>
        </w:tc>
      </w:tr>
    </w:tbl>
    <w:p w14:paraId="6C9A0ACC" w14:textId="7F149878" w:rsidR="00D05C69" w:rsidRPr="00DA1B53" w:rsidRDefault="00E35C83" w:rsidP="00DA1B53">
      <w:pPr>
        <w:spacing w:after="0"/>
        <w:ind w:left="1418" w:hanging="1418"/>
      </w:pPr>
      <w:r w:rsidRPr="00891C99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 w:rsidR="005E4A2F">
        <w:rPr>
          <w:sz w:val="20"/>
          <w:szCs w:val="20"/>
        </w:rPr>
        <w:t>v</w:t>
      </w:r>
      <w:r>
        <w:rPr>
          <w:sz w:val="20"/>
          <w:szCs w:val="20"/>
        </w:rPr>
        <w:t>lastní zpracování NKÚ s využitím dat ze SRŠ, kapitola C, tabulka</w:t>
      </w:r>
      <w:r>
        <w:rPr>
          <w:rFonts w:cstheme="minorHAnsi"/>
          <w:sz w:val="20"/>
          <w:szCs w:val="20"/>
        </w:rPr>
        <w:t xml:space="preserve"> č. </w:t>
      </w:r>
      <w:proofErr w:type="gramStart"/>
      <w:r>
        <w:rPr>
          <w:rFonts w:cstheme="minorHAnsi"/>
          <w:sz w:val="20"/>
          <w:szCs w:val="20"/>
        </w:rPr>
        <w:t>C1.1 a č.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974D81">
        <w:rPr>
          <w:rFonts w:cstheme="minorHAnsi"/>
          <w:sz w:val="20"/>
          <w:szCs w:val="20"/>
        </w:rPr>
        <w:t>C1.7.1.1</w:t>
      </w:r>
      <w:r>
        <w:rPr>
          <w:rFonts w:cstheme="minorHAnsi"/>
          <w:sz w:val="20"/>
          <w:szCs w:val="20"/>
        </w:rPr>
        <w:t>.</w:t>
      </w:r>
    </w:p>
    <w:p w14:paraId="1FC9C7FA" w14:textId="77777777" w:rsidR="001A5E65" w:rsidRPr="00DA1B53" w:rsidRDefault="001A5E65" w:rsidP="00DA1B53">
      <w:pPr>
        <w:spacing w:after="0"/>
        <w:ind w:left="1418" w:hanging="1418"/>
      </w:pPr>
    </w:p>
    <w:p w14:paraId="695C72F0" w14:textId="7ACC6F07" w:rsidR="00CA0367" w:rsidRPr="00DE0781" w:rsidRDefault="00CA0367" w:rsidP="0056004A">
      <w:pPr>
        <w:spacing w:after="0"/>
        <w:rPr>
          <w:rFonts w:cstheme="minorHAnsi"/>
        </w:rPr>
      </w:pPr>
      <w:r w:rsidRPr="00DE0781">
        <w:rPr>
          <w:rFonts w:cstheme="minorHAnsi"/>
        </w:rPr>
        <w:t xml:space="preserve">K největšímu nárůstu </w:t>
      </w:r>
      <w:r w:rsidR="00DE0781" w:rsidRPr="00DE0781">
        <w:rPr>
          <w:rFonts w:cstheme="minorHAnsi"/>
        </w:rPr>
        <w:t xml:space="preserve">počtu žáků se SVP </w:t>
      </w:r>
      <w:r w:rsidRPr="00DE0781">
        <w:rPr>
          <w:rFonts w:cstheme="minorHAnsi"/>
        </w:rPr>
        <w:t xml:space="preserve">za posledních 10 let došlo </w:t>
      </w:r>
      <w:r w:rsidRPr="00144509">
        <w:rPr>
          <w:rFonts w:cstheme="minorHAnsi"/>
          <w:b/>
        </w:rPr>
        <w:t>u žáků s</w:t>
      </w:r>
      <w:r w:rsidRPr="00DE0781">
        <w:rPr>
          <w:rFonts w:cstheme="minorHAnsi"/>
        </w:rPr>
        <w:t xml:space="preserve"> </w:t>
      </w:r>
      <w:r w:rsidRPr="00DA6CD8">
        <w:rPr>
          <w:rFonts w:cstheme="minorHAnsi"/>
          <w:b/>
        </w:rPr>
        <w:t>poruchami chování</w:t>
      </w:r>
      <w:r w:rsidR="001A5E65" w:rsidRPr="00925DA9">
        <w:rPr>
          <w:rFonts w:cstheme="minorHAnsi"/>
          <w:b/>
        </w:rPr>
        <w:t xml:space="preserve">. </w:t>
      </w:r>
      <w:r w:rsidR="001A5E65">
        <w:rPr>
          <w:rFonts w:cstheme="minorHAnsi"/>
        </w:rPr>
        <w:t xml:space="preserve">Ve školním roce 2019/2020 </w:t>
      </w:r>
      <w:r w:rsidR="002169C4">
        <w:rPr>
          <w:rFonts w:cstheme="minorHAnsi"/>
        </w:rPr>
        <w:t>bylo</w:t>
      </w:r>
      <w:r w:rsidR="001A5E65">
        <w:rPr>
          <w:rFonts w:cstheme="minorHAnsi"/>
        </w:rPr>
        <w:t xml:space="preserve"> v běžných základních školách mezi žáky se SVP téměř 19,5 % těchto žáků.</w:t>
      </w:r>
    </w:p>
    <w:p w14:paraId="4A431486" w14:textId="04F7F941" w:rsidR="00347FE0" w:rsidRDefault="004551EF" w:rsidP="00015659">
      <w:pPr>
        <w:keepNext/>
        <w:spacing w:before="120" w:after="0"/>
        <w:ind w:left="2268" w:hanging="2268"/>
      </w:pPr>
      <w:r>
        <w:t xml:space="preserve">Příloha č. </w:t>
      </w:r>
      <w:r w:rsidR="0081224B">
        <w:t>3</w:t>
      </w:r>
      <w:r w:rsidR="00891C99">
        <w:t xml:space="preserve"> –</w:t>
      </w:r>
      <w:r>
        <w:t xml:space="preserve"> g</w:t>
      </w:r>
      <w:r w:rsidR="00347FE0" w:rsidRPr="007E7134">
        <w:t xml:space="preserve">raf č. </w:t>
      </w:r>
      <w:r w:rsidR="0049514A" w:rsidRPr="007E7134">
        <w:t>2</w:t>
      </w:r>
      <w:r w:rsidR="00347FE0" w:rsidRPr="007E7134">
        <w:t>:</w:t>
      </w:r>
      <w:r w:rsidR="00347FE0" w:rsidRPr="007E7134">
        <w:tab/>
      </w:r>
      <w:r w:rsidR="00101A00" w:rsidRPr="00B830FD">
        <w:rPr>
          <w:b/>
        </w:rPr>
        <w:t>P</w:t>
      </w:r>
      <w:r w:rsidR="000A1C82" w:rsidRPr="00B830FD">
        <w:rPr>
          <w:b/>
        </w:rPr>
        <w:t>odíl žáků s poruchami chování</w:t>
      </w:r>
      <w:r w:rsidR="000A1C82">
        <w:t xml:space="preserve"> </w:t>
      </w:r>
      <w:r w:rsidR="000A1C82" w:rsidRPr="00661CC4">
        <w:rPr>
          <w:b/>
        </w:rPr>
        <w:t>na počtu všech žáků se SVP v běžných ZŠ</w:t>
      </w:r>
    </w:p>
    <w:p w14:paraId="4352D435" w14:textId="714B9086" w:rsidR="00E35C83" w:rsidRDefault="0056004A" w:rsidP="001125F6">
      <w:pPr>
        <w:spacing w:before="120" w:after="0"/>
        <w:ind w:left="567" w:hanging="567"/>
        <w:rPr>
          <w:sz w:val="20"/>
          <w:szCs w:val="20"/>
        </w:rPr>
      </w:pPr>
      <w:r w:rsidRPr="00891C99">
        <w:rPr>
          <w:b/>
          <w:noProof/>
        </w:rPr>
        <w:drawing>
          <wp:anchor distT="0" distB="0" distL="114300" distR="114300" simplePos="0" relativeHeight="251659270" behindDoc="0" locked="0" layoutInCell="1" allowOverlap="1" wp14:anchorId="31275AA7" wp14:editId="1CDEF5DB">
            <wp:simplePos x="0" y="0"/>
            <wp:positionH relativeFrom="column">
              <wp:posOffset>-2540</wp:posOffset>
            </wp:positionH>
            <wp:positionV relativeFrom="paragraph">
              <wp:posOffset>71755</wp:posOffset>
            </wp:positionV>
            <wp:extent cx="5761355" cy="2517775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C83" w:rsidRPr="00891C99">
        <w:rPr>
          <w:b/>
          <w:sz w:val="20"/>
          <w:szCs w:val="20"/>
        </w:rPr>
        <w:t>Zdroj:</w:t>
      </w:r>
      <w:r w:rsidR="00E35C83">
        <w:rPr>
          <w:sz w:val="20"/>
          <w:szCs w:val="20"/>
        </w:rPr>
        <w:t xml:space="preserve"> </w:t>
      </w:r>
      <w:r w:rsidR="00E35C83">
        <w:rPr>
          <w:sz w:val="20"/>
          <w:szCs w:val="20"/>
        </w:rPr>
        <w:tab/>
      </w:r>
      <w:r w:rsidR="009C0FD1">
        <w:rPr>
          <w:sz w:val="20"/>
          <w:szCs w:val="20"/>
        </w:rPr>
        <w:t>v</w:t>
      </w:r>
      <w:r w:rsidR="00E35C83">
        <w:rPr>
          <w:sz w:val="20"/>
          <w:szCs w:val="20"/>
        </w:rPr>
        <w:t>lastní zpracování NKÚ s využitím dat ze SRŠ, kapitola C, tabulka</w:t>
      </w:r>
      <w:r w:rsidR="00E35C83">
        <w:rPr>
          <w:rFonts w:cstheme="minorHAnsi"/>
          <w:sz w:val="20"/>
          <w:szCs w:val="20"/>
        </w:rPr>
        <w:t xml:space="preserve"> č. </w:t>
      </w:r>
      <w:proofErr w:type="gramStart"/>
      <w:r w:rsidR="00E35C83">
        <w:rPr>
          <w:rFonts w:cstheme="minorHAnsi"/>
          <w:sz w:val="20"/>
          <w:szCs w:val="20"/>
        </w:rPr>
        <w:t>C1.7.1.1</w:t>
      </w:r>
      <w:proofErr w:type="gramEnd"/>
      <w:r w:rsidR="00E35C83">
        <w:rPr>
          <w:rFonts w:cstheme="minorHAnsi"/>
          <w:sz w:val="20"/>
          <w:szCs w:val="20"/>
        </w:rPr>
        <w:t xml:space="preserve">. </w:t>
      </w:r>
      <w:r w:rsidR="00E35C83" w:rsidRPr="00353A2D">
        <w:rPr>
          <w:sz w:val="20"/>
          <w:szCs w:val="20"/>
        </w:rPr>
        <w:t xml:space="preserve">Podíly </w:t>
      </w:r>
      <w:r w:rsidR="00E35C83">
        <w:rPr>
          <w:sz w:val="20"/>
          <w:szCs w:val="20"/>
        </w:rPr>
        <w:t xml:space="preserve">v jednotlivých </w:t>
      </w:r>
      <w:r w:rsidR="00634FC7">
        <w:rPr>
          <w:sz w:val="20"/>
          <w:szCs w:val="20"/>
        </w:rPr>
        <w:t>školních rocích</w:t>
      </w:r>
      <w:r w:rsidR="00E35C83">
        <w:rPr>
          <w:sz w:val="20"/>
          <w:szCs w:val="20"/>
        </w:rPr>
        <w:t xml:space="preserve"> </w:t>
      </w:r>
      <w:r w:rsidR="00E35C83" w:rsidRPr="00353A2D">
        <w:rPr>
          <w:sz w:val="20"/>
          <w:szCs w:val="20"/>
        </w:rPr>
        <w:t>jsou vztaženy k celkovému počtu žáků se SVP, kteří se</w:t>
      </w:r>
      <w:r w:rsidR="00634FC7">
        <w:rPr>
          <w:sz w:val="20"/>
          <w:szCs w:val="20"/>
        </w:rPr>
        <w:t xml:space="preserve"> </w:t>
      </w:r>
      <w:r w:rsidR="00E35C83" w:rsidRPr="00353A2D">
        <w:rPr>
          <w:sz w:val="20"/>
          <w:szCs w:val="20"/>
        </w:rPr>
        <w:t>vzdělávaj</w:t>
      </w:r>
      <w:r w:rsidR="00E35C83">
        <w:rPr>
          <w:sz w:val="20"/>
          <w:szCs w:val="20"/>
        </w:rPr>
        <w:t>í v bě</w:t>
      </w:r>
      <w:r w:rsidR="002A0971">
        <w:rPr>
          <w:sz w:val="20"/>
          <w:szCs w:val="20"/>
        </w:rPr>
        <w:t>ž</w:t>
      </w:r>
      <w:r w:rsidR="00E35C83">
        <w:rPr>
          <w:sz w:val="20"/>
          <w:szCs w:val="20"/>
        </w:rPr>
        <w:t>ných školách (viz graf č. </w:t>
      </w:r>
      <w:r w:rsidR="00E35C83" w:rsidRPr="00353A2D">
        <w:rPr>
          <w:sz w:val="20"/>
          <w:szCs w:val="20"/>
        </w:rPr>
        <w:t>1 v </w:t>
      </w:r>
      <w:r w:rsidR="00925B26">
        <w:rPr>
          <w:sz w:val="20"/>
          <w:szCs w:val="20"/>
        </w:rPr>
        <w:t>p</w:t>
      </w:r>
      <w:r w:rsidR="00E35C83" w:rsidRPr="00353A2D">
        <w:rPr>
          <w:sz w:val="20"/>
          <w:szCs w:val="20"/>
        </w:rPr>
        <w:t xml:space="preserve">říloze č. </w:t>
      </w:r>
      <w:r w:rsidR="00E35C83">
        <w:rPr>
          <w:sz w:val="20"/>
          <w:szCs w:val="20"/>
        </w:rPr>
        <w:t>3</w:t>
      </w:r>
      <w:r w:rsidR="00E35C83" w:rsidRPr="00353A2D">
        <w:rPr>
          <w:sz w:val="20"/>
          <w:szCs w:val="20"/>
        </w:rPr>
        <w:t>).</w:t>
      </w:r>
    </w:p>
    <w:p w14:paraId="5BD33E06" w14:textId="77777777" w:rsidR="00E35C83" w:rsidRDefault="00E35C83" w:rsidP="004E3730">
      <w:pPr>
        <w:rPr>
          <w:b/>
        </w:rPr>
      </w:pPr>
    </w:p>
    <w:p w14:paraId="24F2DE75" w14:textId="2908FDE6" w:rsidR="004E3730" w:rsidRPr="007508E3" w:rsidRDefault="00144509" w:rsidP="004E3730">
      <w:r w:rsidRPr="00144509">
        <w:rPr>
          <w:b/>
        </w:rPr>
        <w:t>Žáci s lehkým</w:t>
      </w:r>
      <w:r w:rsidR="007508E3" w:rsidRPr="00144509">
        <w:rPr>
          <w:b/>
        </w:rPr>
        <w:t xml:space="preserve"> mentální</w:t>
      </w:r>
      <w:r w:rsidRPr="00144509">
        <w:rPr>
          <w:b/>
        </w:rPr>
        <w:t xml:space="preserve">m </w:t>
      </w:r>
      <w:r w:rsidR="007508E3" w:rsidRPr="00144509">
        <w:rPr>
          <w:b/>
        </w:rPr>
        <w:t>postižení</w:t>
      </w:r>
      <w:r w:rsidRPr="00144509">
        <w:rPr>
          <w:b/>
        </w:rPr>
        <w:t>m</w:t>
      </w:r>
      <w:r>
        <w:t xml:space="preserve"> jsou vzděláván</w:t>
      </w:r>
      <w:r w:rsidR="003F1440">
        <w:t>i</w:t>
      </w:r>
      <w:r>
        <w:t xml:space="preserve"> v </w:t>
      </w:r>
      <w:r w:rsidR="009F44EE" w:rsidRPr="007508E3">
        <w:t>běžn</w:t>
      </w:r>
      <w:r w:rsidR="009F44EE">
        <w:t xml:space="preserve">ých </w:t>
      </w:r>
      <w:r w:rsidR="007508E3" w:rsidRPr="007508E3">
        <w:t>základní</w:t>
      </w:r>
      <w:r w:rsidR="009F44EE">
        <w:t>ch</w:t>
      </w:r>
      <w:r w:rsidR="007508E3" w:rsidRPr="007508E3">
        <w:t xml:space="preserve"> škol</w:t>
      </w:r>
      <w:r w:rsidR="009F44EE">
        <w:t>ách</w:t>
      </w:r>
      <w:r w:rsidR="007508E3" w:rsidRPr="007508E3">
        <w:t xml:space="preserve"> nebo </w:t>
      </w:r>
      <w:r w:rsidRPr="001A7B6A">
        <w:t>v</w:t>
      </w:r>
      <w:r w:rsidR="009F44EE">
        <w:t> </w:t>
      </w:r>
      <w:r w:rsidR="007508E3" w:rsidRPr="001A7B6A">
        <w:t>základní</w:t>
      </w:r>
      <w:r w:rsidR="009F44EE" w:rsidRPr="001A7B6A">
        <w:t>ch</w:t>
      </w:r>
      <w:r w:rsidR="007508E3" w:rsidRPr="007508E3">
        <w:t xml:space="preserve"> škol</w:t>
      </w:r>
      <w:r w:rsidR="009F44EE">
        <w:t>ách</w:t>
      </w:r>
      <w:r w:rsidR="007508E3" w:rsidRPr="007508E3">
        <w:t xml:space="preserve"> podle § 16 odst. 9 školského zákona</w:t>
      </w:r>
      <w:r w:rsidR="004E3730">
        <w:rPr>
          <w:rStyle w:val="Znakapoznpodarou"/>
        </w:rPr>
        <w:footnoteReference w:id="76"/>
      </w:r>
      <w:r w:rsidR="004E3730">
        <w:t xml:space="preserve">. </w:t>
      </w:r>
      <w:r w:rsidR="004E3730" w:rsidRPr="007508E3">
        <w:t>Nejzásadnější změna nastala u</w:t>
      </w:r>
      <w:r w:rsidR="009F44EE">
        <w:t> </w:t>
      </w:r>
      <w:r w:rsidR="004E3730" w:rsidRPr="007508E3">
        <w:t xml:space="preserve">diagnózy lehkého mentálního postižení, které je </w:t>
      </w:r>
      <w:r w:rsidR="004E3730">
        <w:t xml:space="preserve">nyní </w:t>
      </w:r>
      <w:r w:rsidR="004E3730" w:rsidRPr="007508E3">
        <w:t>spojováno s hodnotou inteligenčního kvocientu v pásmu 50 až 69.</w:t>
      </w:r>
    </w:p>
    <w:p w14:paraId="456D0092" w14:textId="4757A617" w:rsidR="00883696" w:rsidRDefault="00B63869" w:rsidP="004D7EC3">
      <w:pPr>
        <w:spacing w:after="0"/>
        <w:ind w:left="2268" w:hanging="2268"/>
        <w:jc w:val="left"/>
        <w:rPr>
          <w:rFonts w:ascii="Calibri" w:hAnsi="Calibri" w:cs="Calibri"/>
          <w:color w:val="000000"/>
        </w:rPr>
      </w:pPr>
      <w:r w:rsidRPr="00661CC4">
        <w:rPr>
          <w:noProof/>
        </w:rPr>
        <w:drawing>
          <wp:anchor distT="0" distB="0" distL="114300" distR="114300" simplePos="0" relativeHeight="251658242" behindDoc="0" locked="0" layoutInCell="1" allowOverlap="1" wp14:anchorId="139A38ED" wp14:editId="2FF99DC6">
            <wp:simplePos x="0" y="0"/>
            <wp:positionH relativeFrom="column">
              <wp:posOffset>-465</wp:posOffset>
            </wp:positionH>
            <wp:positionV relativeFrom="paragraph">
              <wp:posOffset>432435</wp:posOffset>
            </wp:positionV>
            <wp:extent cx="5761355" cy="2517775"/>
            <wp:effectExtent l="0" t="0" r="0" b="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EF" w:rsidRPr="00661CC4">
        <w:t>Příloha</w:t>
      </w:r>
      <w:r w:rsidR="004551EF">
        <w:rPr>
          <w:rFonts w:ascii="Calibri" w:hAnsi="Calibri" w:cs="Calibri"/>
          <w:color w:val="000000"/>
        </w:rPr>
        <w:t xml:space="preserve"> č. </w:t>
      </w:r>
      <w:r w:rsidR="003369B3">
        <w:rPr>
          <w:rFonts w:ascii="Calibri" w:hAnsi="Calibri" w:cs="Calibri"/>
          <w:color w:val="000000"/>
        </w:rPr>
        <w:t>3</w:t>
      </w:r>
      <w:r w:rsidR="004551EF">
        <w:rPr>
          <w:rFonts w:ascii="Calibri" w:hAnsi="Calibri" w:cs="Calibri"/>
          <w:color w:val="000000"/>
        </w:rPr>
        <w:t xml:space="preserve"> – graf č. </w:t>
      </w:r>
      <w:r w:rsidR="00883696">
        <w:rPr>
          <w:rFonts w:ascii="Calibri" w:hAnsi="Calibri" w:cs="Calibri"/>
          <w:color w:val="000000"/>
        </w:rPr>
        <w:t>3:</w:t>
      </w:r>
      <w:r w:rsidR="00661CC4">
        <w:rPr>
          <w:rFonts w:ascii="Calibri" w:hAnsi="Calibri" w:cs="Calibri"/>
          <w:color w:val="000000"/>
        </w:rPr>
        <w:tab/>
      </w:r>
      <w:r w:rsidR="00883696" w:rsidRPr="00661CC4">
        <w:rPr>
          <w:rFonts w:ascii="Calibri" w:hAnsi="Calibri" w:cs="Calibri"/>
          <w:b/>
          <w:color w:val="000000"/>
        </w:rPr>
        <w:t>Podíl žáků s mentálním postižením na počtu všech žáků se SVP v běžných ZŠ</w:t>
      </w:r>
    </w:p>
    <w:p w14:paraId="1966AEDE" w14:textId="738CA81A" w:rsidR="002D0D8F" w:rsidRDefault="002D0D8F" w:rsidP="001125F6">
      <w:pPr>
        <w:spacing w:after="0"/>
        <w:ind w:left="567" w:hanging="567"/>
        <w:rPr>
          <w:sz w:val="20"/>
          <w:szCs w:val="20"/>
        </w:rPr>
      </w:pPr>
      <w:r w:rsidRPr="003A228F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0FD1">
        <w:rPr>
          <w:sz w:val="20"/>
          <w:szCs w:val="20"/>
        </w:rPr>
        <w:t>v</w:t>
      </w:r>
      <w:r>
        <w:rPr>
          <w:sz w:val="20"/>
          <w:szCs w:val="20"/>
        </w:rPr>
        <w:t>lastní zpracování NKÚ s využitím dat ze SRŠ, kapitola C, tabulka</w:t>
      </w:r>
      <w:r>
        <w:rPr>
          <w:rFonts w:cstheme="minorHAnsi"/>
          <w:sz w:val="20"/>
          <w:szCs w:val="20"/>
        </w:rPr>
        <w:t xml:space="preserve"> č. </w:t>
      </w:r>
      <w:proofErr w:type="gramStart"/>
      <w:r>
        <w:rPr>
          <w:rFonts w:cstheme="minorHAnsi"/>
          <w:sz w:val="20"/>
          <w:szCs w:val="20"/>
        </w:rPr>
        <w:t>C1.7.1.1</w:t>
      </w:r>
      <w:proofErr w:type="gramEnd"/>
      <w:r>
        <w:rPr>
          <w:rFonts w:cstheme="minorHAnsi"/>
          <w:sz w:val="20"/>
          <w:szCs w:val="20"/>
        </w:rPr>
        <w:t xml:space="preserve">. </w:t>
      </w:r>
      <w:r w:rsidRPr="00353A2D">
        <w:rPr>
          <w:sz w:val="20"/>
          <w:szCs w:val="20"/>
        </w:rPr>
        <w:t xml:space="preserve">Podíly </w:t>
      </w:r>
      <w:r>
        <w:rPr>
          <w:sz w:val="20"/>
          <w:szCs w:val="20"/>
        </w:rPr>
        <w:t xml:space="preserve">v jednotlivých </w:t>
      </w:r>
      <w:r w:rsidR="001A7B6A">
        <w:rPr>
          <w:sz w:val="20"/>
          <w:szCs w:val="20"/>
        </w:rPr>
        <w:t xml:space="preserve">školních rocích </w:t>
      </w:r>
      <w:r w:rsidRPr="00353A2D">
        <w:rPr>
          <w:sz w:val="20"/>
          <w:szCs w:val="20"/>
        </w:rPr>
        <w:t>jsou vztaženy k celkovému počtu žáků se SVP, kteří se</w:t>
      </w:r>
      <w:r w:rsidR="001A7B6A">
        <w:rPr>
          <w:sz w:val="20"/>
          <w:szCs w:val="20"/>
        </w:rPr>
        <w:t xml:space="preserve"> </w:t>
      </w:r>
      <w:r w:rsidRPr="00353A2D">
        <w:rPr>
          <w:sz w:val="20"/>
          <w:szCs w:val="20"/>
        </w:rPr>
        <w:t>vzdělávaj</w:t>
      </w:r>
      <w:r>
        <w:rPr>
          <w:sz w:val="20"/>
          <w:szCs w:val="20"/>
        </w:rPr>
        <w:t>í v bě</w:t>
      </w:r>
      <w:r w:rsidR="002A0971">
        <w:rPr>
          <w:sz w:val="20"/>
          <w:szCs w:val="20"/>
        </w:rPr>
        <w:t>ž</w:t>
      </w:r>
      <w:r>
        <w:rPr>
          <w:sz w:val="20"/>
          <w:szCs w:val="20"/>
        </w:rPr>
        <w:t>ných školách (viz graf č. </w:t>
      </w:r>
      <w:r w:rsidR="00DA66EE">
        <w:rPr>
          <w:sz w:val="20"/>
          <w:szCs w:val="20"/>
        </w:rPr>
        <w:t>1 v p</w:t>
      </w:r>
      <w:r w:rsidRPr="00353A2D">
        <w:rPr>
          <w:sz w:val="20"/>
          <w:szCs w:val="20"/>
        </w:rPr>
        <w:t xml:space="preserve">říloze č. </w:t>
      </w:r>
      <w:r>
        <w:rPr>
          <w:sz w:val="20"/>
          <w:szCs w:val="20"/>
        </w:rPr>
        <w:t>3</w:t>
      </w:r>
      <w:r w:rsidRPr="00353A2D">
        <w:rPr>
          <w:sz w:val="20"/>
          <w:szCs w:val="20"/>
        </w:rPr>
        <w:t>).</w:t>
      </w:r>
    </w:p>
    <w:p w14:paraId="2E6E0608" w14:textId="77777777" w:rsidR="002D0D8F" w:rsidRDefault="002D0D8F" w:rsidP="00144509">
      <w:pPr>
        <w:rPr>
          <w:rFonts w:cstheme="minorHAnsi"/>
          <w:b/>
          <w:shd w:val="clear" w:color="auto" w:fill="FFFFFF"/>
        </w:rPr>
      </w:pPr>
    </w:p>
    <w:p w14:paraId="1D6EC1B3" w14:textId="3CA42491" w:rsidR="00144509" w:rsidRPr="00AE21A4" w:rsidRDefault="00144509" w:rsidP="00144509">
      <w:pPr>
        <w:rPr>
          <w:rFonts w:cstheme="minorHAnsi"/>
        </w:rPr>
      </w:pPr>
      <w:r w:rsidRPr="00AE21A4">
        <w:rPr>
          <w:rFonts w:cstheme="minorHAnsi"/>
          <w:b/>
          <w:shd w:val="clear" w:color="auto" w:fill="FFFFFF"/>
        </w:rPr>
        <w:t>Specifickými poruchami učení</w:t>
      </w:r>
      <w:r w:rsidRPr="00AE21A4">
        <w:rPr>
          <w:rFonts w:cstheme="minorHAnsi"/>
          <w:shd w:val="clear" w:color="auto" w:fill="FFFFFF"/>
        </w:rPr>
        <w:t xml:space="preserve"> j</w:t>
      </w:r>
      <w:r w:rsidR="007928AD">
        <w:rPr>
          <w:rFonts w:cstheme="minorHAnsi"/>
          <w:shd w:val="clear" w:color="auto" w:fill="FFFFFF"/>
        </w:rPr>
        <w:t>sou</w:t>
      </w:r>
      <w:r w:rsidRPr="00AE21A4">
        <w:rPr>
          <w:rFonts w:cstheme="minorHAnsi"/>
          <w:shd w:val="clear" w:color="auto" w:fill="FFFFFF"/>
        </w:rPr>
        <w:t xml:space="preserve"> např. dyslexie, dysgrafie, dysortografie, dyskalkulie, </w:t>
      </w:r>
      <w:proofErr w:type="spellStart"/>
      <w:r w:rsidRPr="00AE21A4">
        <w:rPr>
          <w:rFonts w:cstheme="minorHAnsi"/>
          <w:shd w:val="clear" w:color="auto" w:fill="FFFFFF"/>
        </w:rPr>
        <w:t>dyspinxie</w:t>
      </w:r>
      <w:proofErr w:type="spellEnd"/>
      <w:r w:rsidRPr="00AE21A4">
        <w:rPr>
          <w:rFonts w:cstheme="minorHAnsi"/>
          <w:shd w:val="clear" w:color="auto" w:fill="FFFFFF"/>
        </w:rPr>
        <w:t xml:space="preserve">, </w:t>
      </w:r>
      <w:proofErr w:type="spellStart"/>
      <w:r w:rsidRPr="00AE21A4">
        <w:rPr>
          <w:rFonts w:cstheme="minorHAnsi"/>
          <w:shd w:val="clear" w:color="auto" w:fill="FFFFFF"/>
        </w:rPr>
        <w:t>dysmúzie</w:t>
      </w:r>
      <w:proofErr w:type="spellEnd"/>
      <w:r w:rsidRPr="00AE21A4">
        <w:rPr>
          <w:rFonts w:cstheme="minorHAnsi"/>
          <w:shd w:val="clear" w:color="auto" w:fill="FFFFFF"/>
        </w:rPr>
        <w:t xml:space="preserve"> a dyspraxie. </w:t>
      </w:r>
    </w:p>
    <w:p w14:paraId="389275FF" w14:textId="4FDB22F9" w:rsidR="00347FE0" w:rsidRDefault="00B63869" w:rsidP="001125F6">
      <w:pPr>
        <w:spacing w:after="0"/>
        <w:ind w:left="2268" w:hanging="2268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anchor distT="0" distB="0" distL="114300" distR="114300" simplePos="0" relativeHeight="251658243" behindDoc="0" locked="0" layoutInCell="1" allowOverlap="1" wp14:anchorId="4DE3C1FB" wp14:editId="12240A30">
            <wp:simplePos x="0" y="0"/>
            <wp:positionH relativeFrom="column">
              <wp:posOffset>0</wp:posOffset>
            </wp:positionH>
            <wp:positionV relativeFrom="paragraph">
              <wp:posOffset>382946</wp:posOffset>
            </wp:positionV>
            <wp:extent cx="5761355" cy="2517775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EF">
        <w:rPr>
          <w:rFonts w:ascii="Calibri" w:hAnsi="Calibri" w:cs="Calibri"/>
          <w:color w:val="000000"/>
        </w:rPr>
        <w:t xml:space="preserve">Příloha č. </w:t>
      </w:r>
      <w:r w:rsidR="0081224B">
        <w:rPr>
          <w:rFonts w:ascii="Calibri" w:hAnsi="Calibri" w:cs="Calibri"/>
          <w:color w:val="000000"/>
        </w:rPr>
        <w:t>3</w:t>
      </w:r>
      <w:r w:rsidR="003A228F">
        <w:rPr>
          <w:rFonts w:ascii="Calibri" w:hAnsi="Calibri" w:cs="Calibri"/>
          <w:color w:val="000000"/>
        </w:rPr>
        <w:t xml:space="preserve"> –</w:t>
      </w:r>
      <w:r w:rsidR="004551EF">
        <w:rPr>
          <w:rFonts w:ascii="Calibri" w:hAnsi="Calibri" w:cs="Calibri"/>
          <w:color w:val="000000"/>
        </w:rPr>
        <w:t xml:space="preserve"> g</w:t>
      </w:r>
      <w:r w:rsidR="00347FE0">
        <w:rPr>
          <w:rFonts w:ascii="Calibri" w:hAnsi="Calibri" w:cs="Calibri"/>
          <w:color w:val="000000"/>
        </w:rPr>
        <w:t>raf č</w:t>
      </w:r>
      <w:r w:rsidR="00883696">
        <w:rPr>
          <w:rFonts w:ascii="Calibri" w:hAnsi="Calibri" w:cs="Calibri"/>
          <w:color w:val="000000"/>
        </w:rPr>
        <w:t>.</w:t>
      </w:r>
      <w:r w:rsidR="00347FE0">
        <w:rPr>
          <w:rFonts w:ascii="Calibri" w:hAnsi="Calibri" w:cs="Calibri"/>
          <w:color w:val="000000"/>
        </w:rPr>
        <w:t xml:space="preserve"> </w:t>
      </w:r>
      <w:r w:rsidR="00883696">
        <w:rPr>
          <w:rFonts w:ascii="Calibri" w:hAnsi="Calibri" w:cs="Calibri"/>
          <w:color w:val="000000"/>
        </w:rPr>
        <w:t>4</w:t>
      </w:r>
      <w:r w:rsidR="00347FE0">
        <w:rPr>
          <w:rFonts w:ascii="Calibri" w:hAnsi="Calibri" w:cs="Calibri"/>
          <w:color w:val="000000"/>
        </w:rPr>
        <w:t>:</w:t>
      </w:r>
      <w:r w:rsidR="00347FE0">
        <w:rPr>
          <w:rFonts w:ascii="Calibri" w:hAnsi="Calibri" w:cs="Calibri"/>
          <w:color w:val="000000"/>
        </w:rPr>
        <w:tab/>
      </w:r>
      <w:r w:rsidR="00101A00" w:rsidRPr="00DA6CD8">
        <w:rPr>
          <w:rFonts w:ascii="Calibri" w:hAnsi="Calibri" w:cs="Calibri"/>
          <w:b/>
          <w:color w:val="000000"/>
        </w:rPr>
        <w:t>Podíl žáků s </w:t>
      </w:r>
      <w:r w:rsidR="00347FE0" w:rsidRPr="00DA6CD8">
        <w:rPr>
          <w:rFonts w:ascii="Calibri" w:hAnsi="Calibri" w:cs="Calibri"/>
          <w:b/>
          <w:color w:val="000000"/>
        </w:rPr>
        <w:t>poruch</w:t>
      </w:r>
      <w:r w:rsidR="00101A00" w:rsidRPr="00DA6CD8">
        <w:rPr>
          <w:rFonts w:ascii="Calibri" w:hAnsi="Calibri" w:cs="Calibri"/>
          <w:b/>
          <w:color w:val="000000"/>
        </w:rPr>
        <w:t xml:space="preserve">ami </w:t>
      </w:r>
      <w:r w:rsidR="00347FE0" w:rsidRPr="00DA6CD8">
        <w:rPr>
          <w:rFonts w:ascii="Calibri" w:hAnsi="Calibri" w:cs="Calibri"/>
          <w:b/>
          <w:color w:val="000000"/>
        </w:rPr>
        <w:t xml:space="preserve">učení </w:t>
      </w:r>
      <w:r w:rsidR="00101A00" w:rsidRPr="00DA6CD8">
        <w:rPr>
          <w:rFonts w:ascii="Calibri" w:hAnsi="Calibri" w:cs="Calibri"/>
          <w:b/>
          <w:color w:val="000000"/>
        </w:rPr>
        <w:t xml:space="preserve">na počtu všech </w:t>
      </w:r>
      <w:r w:rsidR="00347FE0" w:rsidRPr="00DA6CD8">
        <w:rPr>
          <w:rFonts w:ascii="Calibri" w:hAnsi="Calibri" w:cs="Calibri"/>
          <w:b/>
          <w:color w:val="000000"/>
        </w:rPr>
        <w:t>žá</w:t>
      </w:r>
      <w:r w:rsidR="00101A00" w:rsidRPr="00DA6CD8">
        <w:rPr>
          <w:rFonts w:ascii="Calibri" w:hAnsi="Calibri" w:cs="Calibri"/>
          <w:b/>
          <w:color w:val="000000"/>
        </w:rPr>
        <w:t>ků</w:t>
      </w:r>
      <w:r w:rsidR="00347FE0" w:rsidRPr="00DA6CD8">
        <w:rPr>
          <w:rFonts w:ascii="Calibri" w:hAnsi="Calibri" w:cs="Calibri"/>
          <w:b/>
          <w:color w:val="000000"/>
        </w:rPr>
        <w:t xml:space="preserve"> </w:t>
      </w:r>
      <w:r w:rsidR="00101A00" w:rsidRPr="00DA6CD8">
        <w:rPr>
          <w:rFonts w:ascii="Calibri" w:hAnsi="Calibri" w:cs="Calibri"/>
          <w:b/>
          <w:color w:val="000000"/>
        </w:rPr>
        <w:t>se SVP v běžných ZŠ</w:t>
      </w:r>
    </w:p>
    <w:p w14:paraId="55A085CF" w14:textId="41B9F663" w:rsidR="002D0D8F" w:rsidRDefault="002D0D8F" w:rsidP="001125F6">
      <w:pPr>
        <w:spacing w:after="0"/>
        <w:ind w:left="567" w:hanging="567"/>
        <w:rPr>
          <w:sz w:val="20"/>
          <w:szCs w:val="20"/>
        </w:rPr>
      </w:pPr>
      <w:r w:rsidRPr="003A228F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0FD1">
        <w:rPr>
          <w:sz w:val="20"/>
          <w:szCs w:val="20"/>
        </w:rPr>
        <w:t>v</w:t>
      </w:r>
      <w:r>
        <w:rPr>
          <w:sz w:val="20"/>
          <w:szCs w:val="20"/>
        </w:rPr>
        <w:t>lastní zpracování NKÚ s využitím dat ze SRŠ, kapitola C, tabulka</w:t>
      </w:r>
      <w:r>
        <w:rPr>
          <w:rFonts w:cstheme="minorHAnsi"/>
          <w:sz w:val="20"/>
          <w:szCs w:val="20"/>
        </w:rPr>
        <w:t xml:space="preserve"> č. </w:t>
      </w:r>
      <w:proofErr w:type="gramStart"/>
      <w:r>
        <w:rPr>
          <w:rFonts w:cstheme="minorHAnsi"/>
          <w:sz w:val="20"/>
          <w:szCs w:val="20"/>
        </w:rPr>
        <w:t>C1.7.1.1</w:t>
      </w:r>
      <w:proofErr w:type="gramEnd"/>
      <w:r>
        <w:rPr>
          <w:rFonts w:cstheme="minorHAnsi"/>
          <w:sz w:val="20"/>
          <w:szCs w:val="20"/>
        </w:rPr>
        <w:t xml:space="preserve">. </w:t>
      </w:r>
      <w:r w:rsidRPr="00353A2D">
        <w:rPr>
          <w:sz w:val="20"/>
          <w:szCs w:val="20"/>
        </w:rPr>
        <w:t xml:space="preserve">Podíly </w:t>
      </w:r>
      <w:r>
        <w:rPr>
          <w:sz w:val="20"/>
          <w:szCs w:val="20"/>
        </w:rPr>
        <w:t xml:space="preserve">v jednotlivých </w:t>
      </w:r>
      <w:r w:rsidR="002169C4">
        <w:rPr>
          <w:sz w:val="20"/>
          <w:szCs w:val="20"/>
        </w:rPr>
        <w:t>školních rocích</w:t>
      </w:r>
      <w:r>
        <w:rPr>
          <w:sz w:val="20"/>
          <w:szCs w:val="20"/>
        </w:rPr>
        <w:t xml:space="preserve"> </w:t>
      </w:r>
      <w:r w:rsidRPr="00353A2D">
        <w:rPr>
          <w:sz w:val="20"/>
          <w:szCs w:val="20"/>
        </w:rPr>
        <w:t>jsou vztaženy k celkovému počtu žáků se SVP, kteří se</w:t>
      </w:r>
      <w:r w:rsidR="002169C4">
        <w:rPr>
          <w:sz w:val="20"/>
          <w:szCs w:val="20"/>
        </w:rPr>
        <w:t xml:space="preserve"> </w:t>
      </w:r>
      <w:r w:rsidRPr="00353A2D">
        <w:rPr>
          <w:sz w:val="20"/>
          <w:szCs w:val="20"/>
        </w:rPr>
        <w:t>vzdělávaj</w:t>
      </w:r>
      <w:r>
        <w:rPr>
          <w:sz w:val="20"/>
          <w:szCs w:val="20"/>
        </w:rPr>
        <w:t>í v bě</w:t>
      </w:r>
      <w:r w:rsidR="002A0971">
        <w:rPr>
          <w:sz w:val="20"/>
          <w:szCs w:val="20"/>
        </w:rPr>
        <w:t>ž</w:t>
      </w:r>
      <w:r>
        <w:rPr>
          <w:sz w:val="20"/>
          <w:szCs w:val="20"/>
        </w:rPr>
        <w:t>ných školách (viz graf č. </w:t>
      </w:r>
      <w:r w:rsidR="00DA66EE">
        <w:rPr>
          <w:sz w:val="20"/>
          <w:szCs w:val="20"/>
        </w:rPr>
        <w:t>1 v p</w:t>
      </w:r>
      <w:r w:rsidRPr="00353A2D">
        <w:rPr>
          <w:sz w:val="20"/>
          <w:szCs w:val="20"/>
        </w:rPr>
        <w:t xml:space="preserve">říloze č. </w:t>
      </w:r>
      <w:r>
        <w:rPr>
          <w:sz w:val="20"/>
          <w:szCs w:val="20"/>
        </w:rPr>
        <w:t>3</w:t>
      </w:r>
      <w:r w:rsidRPr="00353A2D">
        <w:rPr>
          <w:sz w:val="20"/>
          <w:szCs w:val="20"/>
        </w:rPr>
        <w:t>).</w:t>
      </w:r>
    </w:p>
    <w:p w14:paraId="0E88D7B6" w14:textId="77777777" w:rsidR="006009AB" w:rsidRDefault="006009AB" w:rsidP="00360521">
      <w:pPr>
        <w:rPr>
          <w:rFonts w:cstheme="minorHAnsi"/>
          <w:b/>
        </w:rPr>
      </w:pPr>
    </w:p>
    <w:p w14:paraId="6960ED55" w14:textId="162E0C15" w:rsidR="00360521" w:rsidRPr="004D7EC3" w:rsidRDefault="004F3EDB" w:rsidP="00360521">
      <w:pPr>
        <w:rPr>
          <w:rFonts w:cstheme="minorHAnsi"/>
        </w:rPr>
      </w:pPr>
      <w:r w:rsidRPr="00360521">
        <w:rPr>
          <w:rFonts w:cstheme="minorHAnsi"/>
          <w:b/>
        </w:rPr>
        <w:t>P</w:t>
      </w:r>
      <w:r w:rsidR="00360521" w:rsidRPr="00360521">
        <w:rPr>
          <w:rFonts w:cstheme="minorHAnsi"/>
          <w:b/>
        </w:rPr>
        <w:t>oruchy autistického spektra (PAS)</w:t>
      </w:r>
      <w:r w:rsidR="00360521">
        <w:rPr>
          <w:rFonts w:cstheme="minorHAnsi"/>
        </w:rPr>
        <w:t xml:space="preserve"> </w:t>
      </w:r>
      <w:r w:rsidR="00360521" w:rsidRPr="00360521">
        <w:rPr>
          <w:rFonts w:cstheme="minorHAnsi"/>
        </w:rPr>
        <w:t xml:space="preserve">nejsou již považovány za poruchy vzácné. </w:t>
      </w:r>
      <w:r w:rsidR="00A360A3" w:rsidRPr="004D7EC3">
        <w:rPr>
          <w:rFonts w:cstheme="minorHAnsi"/>
        </w:rPr>
        <w:t>„</w:t>
      </w:r>
      <w:r w:rsidR="00360521" w:rsidRPr="00A360A3">
        <w:rPr>
          <w:rFonts w:cstheme="minorHAnsi"/>
          <w:i/>
        </w:rPr>
        <w:t>Jejich výskyt v</w:t>
      </w:r>
      <w:r w:rsidR="0071483E">
        <w:rPr>
          <w:rFonts w:cstheme="minorHAnsi"/>
          <w:i/>
        </w:rPr>
        <w:t> </w:t>
      </w:r>
      <w:r w:rsidR="00360521" w:rsidRPr="00A360A3">
        <w:rPr>
          <w:rFonts w:cstheme="minorHAnsi"/>
          <w:i/>
        </w:rPr>
        <w:t>populaci byl vypočítán na 0,9 %. Toto vysoké číslo znamená, že pravděpodobnost, že se učitel během své praxe setká dříve či později s dítětem s autismem, je opravdu vysoká. Vývojovými poruchami častěji trpí chlapci. Nejčastěji uváděným poměrem u PAS jsou 3–4 chlapci s</w:t>
      </w:r>
      <w:r w:rsidR="0071483E">
        <w:rPr>
          <w:rFonts w:cstheme="minorHAnsi"/>
          <w:i/>
        </w:rPr>
        <w:t> </w:t>
      </w:r>
      <w:r w:rsidR="00360521" w:rsidRPr="00A360A3">
        <w:rPr>
          <w:rFonts w:cstheme="minorHAnsi"/>
          <w:i/>
        </w:rPr>
        <w:t>autismem na jednu dívku. U Aspergerova syndromu je poměr chlapců k děvčatům ještě vyšší (8 : 1).</w:t>
      </w:r>
      <w:r w:rsidR="00A360A3" w:rsidRPr="004D7EC3">
        <w:rPr>
          <w:rFonts w:cstheme="minorHAnsi"/>
        </w:rPr>
        <w:t>“</w:t>
      </w:r>
      <w:r w:rsidR="00A360A3" w:rsidRPr="004D7EC3">
        <w:rPr>
          <w:rStyle w:val="Znakapoznpodarou"/>
          <w:rFonts w:cstheme="minorHAnsi"/>
        </w:rPr>
        <w:footnoteReference w:id="77"/>
      </w:r>
    </w:p>
    <w:p w14:paraId="32553C0E" w14:textId="77777777" w:rsidR="008930BF" w:rsidRDefault="008930B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0103663B" w14:textId="2E7AA694" w:rsidR="00347FE0" w:rsidRDefault="00B63869" w:rsidP="001125F6">
      <w:pPr>
        <w:spacing w:after="0"/>
        <w:ind w:left="2268" w:hanging="2268"/>
      </w:pPr>
      <w:r w:rsidRPr="00DA6CD8">
        <w:rPr>
          <w:rFonts w:ascii="Calibri" w:hAnsi="Calibri" w:cs="Calibri"/>
          <w:noProof/>
          <w:color w:val="000000"/>
        </w:rPr>
        <w:lastRenderedPageBreak/>
        <w:drawing>
          <wp:anchor distT="0" distB="0" distL="114300" distR="114300" simplePos="0" relativeHeight="251658244" behindDoc="0" locked="0" layoutInCell="1" allowOverlap="1" wp14:anchorId="60B73B85" wp14:editId="7D636808">
            <wp:simplePos x="0" y="0"/>
            <wp:positionH relativeFrom="column">
              <wp:posOffset>0</wp:posOffset>
            </wp:positionH>
            <wp:positionV relativeFrom="paragraph">
              <wp:posOffset>454271</wp:posOffset>
            </wp:positionV>
            <wp:extent cx="5761355" cy="2517775"/>
            <wp:effectExtent l="0" t="0" r="0" b="0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EF" w:rsidRPr="00DA6CD8">
        <w:rPr>
          <w:rFonts w:ascii="Calibri" w:hAnsi="Calibri" w:cs="Calibri"/>
          <w:color w:val="000000"/>
        </w:rPr>
        <w:t>Příloha</w:t>
      </w:r>
      <w:r w:rsidR="004551EF">
        <w:t xml:space="preserve"> č. </w:t>
      </w:r>
      <w:r w:rsidR="0081224B">
        <w:t>3</w:t>
      </w:r>
      <w:r w:rsidR="008F4C57">
        <w:t xml:space="preserve"> –</w:t>
      </w:r>
      <w:r w:rsidR="004551EF">
        <w:t xml:space="preserve"> g</w:t>
      </w:r>
      <w:r w:rsidR="00347FE0">
        <w:t xml:space="preserve">raf č. </w:t>
      </w:r>
      <w:r w:rsidR="00883696">
        <w:t>5</w:t>
      </w:r>
      <w:r w:rsidR="00347FE0">
        <w:t>:</w:t>
      </w:r>
      <w:r w:rsidR="00347FE0">
        <w:tab/>
      </w:r>
      <w:r w:rsidR="00883696" w:rsidRPr="00DA6CD8">
        <w:rPr>
          <w:b/>
        </w:rPr>
        <w:t>Podíl žáků s p</w:t>
      </w:r>
      <w:r w:rsidR="00347FE0" w:rsidRPr="00DA6CD8">
        <w:rPr>
          <w:b/>
        </w:rPr>
        <w:t>oruch</w:t>
      </w:r>
      <w:r w:rsidR="00883696" w:rsidRPr="00DA6CD8">
        <w:rPr>
          <w:b/>
        </w:rPr>
        <w:t>ami a</w:t>
      </w:r>
      <w:r w:rsidR="00347FE0" w:rsidRPr="00DA6CD8">
        <w:rPr>
          <w:b/>
        </w:rPr>
        <w:t>utistického spektra</w:t>
      </w:r>
      <w:r w:rsidR="00883696" w:rsidRPr="00DA6CD8">
        <w:rPr>
          <w:b/>
        </w:rPr>
        <w:t xml:space="preserve"> na počtu žáků se SVP v běžných ZŠ</w:t>
      </w:r>
    </w:p>
    <w:p w14:paraId="74943712" w14:textId="039D0042" w:rsidR="002D0D8F" w:rsidRDefault="002D0D8F" w:rsidP="001125F6">
      <w:pPr>
        <w:spacing w:after="0"/>
        <w:ind w:left="567" w:hanging="567"/>
        <w:rPr>
          <w:sz w:val="20"/>
          <w:szCs w:val="20"/>
        </w:rPr>
      </w:pPr>
      <w:r w:rsidRPr="003A228F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0FD1">
        <w:rPr>
          <w:sz w:val="20"/>
          <w:szCs w:val="20"/>
        </w:rPr>
        <w:t>v</w:t>
      </w:r>
      <w:r>
        <w:rPr>
          <w:sz w:val="20"/>
          <w:szCs w:val="20"/>
        </w:rPr>
        <w:t>lastní zpracování NKÚ s využitím dat ze SRŠ, kapitola C, tabulka</w:t>
      </w:r>
      <w:r>
        <w:rPr>
          <w:rFonts w:cstheme="minorHAnsi"/>
          <w:sz w:val="20"/>
          <w:szCs w:val="20"/>
        </w:rPr>
        <w:t xml:space="preserve"> č. </w:t>
      </w:r>
      <w:proofErr w:type="gramStart"/>
      <w:r>
        <w:rPr>
          <w:rFonts w:cstheme="minorHAnsi"/>
          <w:sz w:val="20"/>
          <w:szCs w:val="20"/>
        </w:rPr>
        <w:t>C1.7.1.1</w:t>
      </w:r>
      <w:proofErr w:type="gramEnd"/>
      <w:r>
        <w:rPr>
          <w:rFonts w:cstheme="minorHAnsi"/>
          <w:sz w:val="20"/>
          <w:szCs w:val="20"/>
        </w:rPr>
        <w:t xml:space="preserve">. </w:t>
      </w:r>
      <w:r w:rsidRPr="00353A2D">
        <w:rPr>
          <w:sz w:val="20"/>
          <w:szCs w:val="20"/>
        </w:rPr>
        <w:t xml:space="preserve">Podíly </w:t>
      </w:r>
      <w:r>
        <w:rPr>
          <w:sz w:val="20"/>
          <w:szCs w:val="20"/>
        </w:rPr>
        <w:t xml:space="preserve">v jednotlivých </w:t>
      </w:r>
      <w:r w:rsidR="00163105">
        <w:rPr>
          <w:sz w:val="20"/>
          <w:szCs w:val="20"/>
        </w:rPr>
        <w:t>školních rocích</w:t>
      </w:r>
      <w:r>
        <w:rPr>
          <w:sz w:val="20"/>
          <w:szCs w:val="20"/>
        </w:rPr>
        <w:t xml:space="preserve"> </w:t>
      </w:r>
      <w:r w:rsidRPr="00353A2D">
        <w:rPr>
          <w:sz w:val="20"/>
          <w:szCs w:val="20"/>
        </w:rPr>
        <w:t>jsou vztaženy k celkovému počtu žáků se SVP, kteří se</w:t>
      </w:r>
      <w:r w:rsidR="001125F6">
        <w:rPr>
          <w:sz w:val="20"/>
          <w:szCs w:val="20"/>
        </w:rPr>
        <w:t xml:space="preserve"> </w:t>
      </w:r>
      <w:r w:rsidRPr="00353A2D">
        <w:rPr>
          <w:sz w:val="20"/>
          <w:szCs w:val="20"/>
        </w:rPr>
        <w:t>vzdělávaj</w:t>
      </w:r>
      <w:r>
        <w:rPr>
          <w:sz w:val="20"/>
          <w:szCs w:val="20"/>
        </w:rPr>
        <w:t>í v bě</w:t>
      </w:r>
      <w:r w:rsidR="002A0971">
        <w:rPr>
          <w:sz w:val="20"/>
          <w:szCs w:val="20"/>
        </w:rPr>
        <w:t>ž</w:t>
      </w:r>
      <w:r>
        <w:rPr>
          <w:sz w:val="20"/>
          <w:szCs w:val="20"/>
        </w:rPr>
        <w:t>ných školách (viz graf č. </w:t>
      </w:r>
      <w:r w:rsidR="00DA66EE">
        <w:rPr>
          <w:sz w:val="20"/>
          <w:szCs w:val="20"/>
        </w:rPr>
        <w:t>1 v p</w:t>
      </w:r>
      <w:r w:rsidRPr="00353A2D">
        <w:rPr>
          <w:sz w:val="20"/>
          <w:szCs w:val="20"/>
        </w:rPr>
        <w:t xml:space="preserve">říloze č. </w:t>
      </w:r>
      <w:r>
        <w:rPr>
          <w:sz w:val="20"/>
          <w:szCs w:val="20"/>
        </w:rPr>
        <w:t>3</w:t>
      </w:r>
      <w:r w:rsidRPr="00353A2D">
        <w:rPr>
          <w:sz w:val="20"/>
          <w:szCs w:val="20"/>
        </w:rPr>
        <w:t>).</w:t>
      </w:r>
    </w:p>
    <w:p w14:paraId="22D8BBB9" w14:textId="62577FBA" w:rsidR="006009AB" w:rsidRPr="006009AB" w:rsidRDefault="00987B74" w:rsidP="00742C35">
      <w:pPr>
        <w:ind w:left="567" w:hanging="567"/>
        <w:rPr>
          <w:sz w:val="20"/>
          <w:szCs w:val="20"/>
        </w:rPr>
      </w:pPr>
      <w:r w:rsidRPr="003A228F">
        <w:rPr>
          <w:b/>
          <w:sz w:val="20"/>
          <w:szCs w:val="20"/>
        </w:rPr>
        <w:t>Pozn</w:t>
      </w:r>
      <w:r w:rsidR="00742C35">
        <w:rPr>
          <w:b/>
          <w:sz w:val="20"/>
          <w:szCs w:val="20"/>
        </w:rPr>
        <w:t>.:</w:t>
      </w:r>
      <w:r w:rsidRPr="003A228F">
        <w:rPr>
          <w:b/>
          <w:sz w:val="20"/>
          <w:szCs w:val="20"/>
        </w:rPr>
        <w:tab/>
      </w:r>
      <w:r w:rsidR="0079676E" w:rsidRPr="0079676E">
        <w:rPr>
          <w:sz w:val="20"/>
          <w:szCs w:val="20"/>
        </w:rPr>
        <w:t>MŠMT publikuje od roku 2018 pohled na výskyt PAS bez ohledu na</w:t>
      </w:r>
      <w:r w:rsidR="0090338E">
        <w:rPr>
          <w:sz w:val="20"/>
          <w:szCs w:val="20"/>
        </w:rPr>
        <w:t xml:space="preserve"> případná další znevýhodnění ve</w:t>
      </w:r>
      <w:r w:rsidR="008930BF">
        <w:rPr>
          <w:sz w:val="20"/>
          <w:szCs w:val="20"/>
        </w:rPr>
        <w:t xml:space="preserve"> </w:t>
      </w:r>
      <w:r w:rsidR="0079676E" w:rsidRPr="0079676E">
        <w:rPr>
          <w:sz w:val="20"/>
          <w:szCs w:val="20"/>
        </w:rPr>
        <w:t>statistick</w:t>
      </w:r>
      <w:r w:rsidR="00163105">
        <w:rPr>
          <w:sz w:val="20"/>
          <w:szCs w:val="20"/>
        </w:rPr>
        <w:t>ých</w:t>
      </w:r>
      <w:r w:rsidR="0079676E" w:rsidRPr="0079676E">
        <w:rPr>
          <w:sz w:val="20"/>
          <w:szCs w:val="20"/>
        </w:rPr>
        <w:t xml:space="preserve"> ročen</w:t>
      </w:r>
      <w:r w:rsidR="00163105">
        <w:rPr>
          <w:sz w:val="20"/>
          <w:szCs w:val="20"/>
        </w:rPr>
        <w:t>kách</w:t>
      </w:r>
      <w:r w:rsidR="0079676E" w:rsidRPr="0079676E">
        <w:rPr>
          <w:sz w:val="20"/>
          <w:szCs w:val="20"/>
        </w:rPr>
        <w:t xml:space="preserve"> v </w:t>
      </w:r>
      <w:r w:rsidR="0081224B" w:rsidRPr="00B00C51">
        <w:rPr>
          <w:sz w:val="20"/>
          <w:szCs w:val="20"/>
        </w:rPr>
        <w:t>„</w:t>
      </w:r>
      <w:r w:rsidR="00163105">
        <w:rPr>
          <w:sz w:val="20"/>
          <w:szCs w:val="20"/>
        </w:rPr>
        <w:t>k</w:t>
      </w:r>
      <w:r w:rsidR="0079676E" w:rsidRPr="00B00C51">
        <w:rPr>
          <w:sz w:val="20"/>
          <w:szCs w:val="20"/>
        </w:rPr>
        <w:t>apitole A</w:t>
      </w:r>
      <w:r w:rsidR="0081224B" w:rsidRPr="00B00C51">
        <w:rPr>
          <w:sz w:val="20"/>
          <w:szCs w:val="20"/>
        </w:rPr>
        <w:t>“</w:t>
      </w:r>
      <w:r w:rsidR="0079676E" w:rsidRPr="00B00C51">
        <w:rPr>
          <w:sz w:val="20"/>
          <w:szCs w:val="20"/>
        </w:rPr>
        <w:t xml:space="preserve"> v tabulce A2.5 </w:t>
      </w:r>
      <w:r w:rsidR="0079676E" w:rsidRPr="00B00C51">
        <w:rPr>
          <w:i/>
          <w:sz w:val="20"/>
          <w:szCs w:val="20"/>
        </w:rPr>
        <w:t xml:space="preserve">Žáci/studenti s autismem </w:t>
      </w:r>
      <w:r w:rsidR="0079676E" w:rsidRPr="0079676E">
        <w:rPr>
          <w:i/>
          <w:sz w:val="20"/>
          <w:szCs w:val="20"/>
        </w:rPr>
        <w:t>bez ohledu na jiná znevýhodnění – podle stupně postižení – podle území.</w:t>
      </w:r>
      <w:r w:rsidR="00AE21A4">
        <w:rPr>
          <w:i/>
          <w:sz w:val="20"/>
          <w:szCs w:val="20"/>
        </w:rPr>
        <w:t xml:space="preserve"> </w:t>
      </w:r>
      <w:r w:rsidR="006009AB" w:rsidRPr="006009AB">
        <w:rPr>
          <w:b/>
          <w:sz w:val="20"/>
          <w:szCs w:val="20"/>
        </w:rPr>
        <w:t>Zjevný pokles vykazovan</w:t>
      </w:r>
      <w:r w:rsidR="00163105">
        <w:rPr>
          <w:b/>
          <w:sz w:val="20"/>
          <w:szCs w:val="20"/>
        </w:rPr>
        <w:t>ého</w:t>
      </w:r>
      <w:r w:rsidR="006009AB" w:rsidRPr="006009AB">
        <w:rPr>
          <w:b/>
          <w:sz w:val="20"/>
          <w:szCs w:val="20"/>
        </w:rPr>
        <w:t xml:space="preserve"> </w:t>
      </w:r>
      <w:r w:rsidR="00163105">
        <w:rPr>
          <w:b/>
          <w:sz w:val="20"/>
          <w:szCs w:val="20"/>
        </w:rPr>
        <w:t xml:space="preserve">počtu </w:t>
      </w:r>
      <w:r w:rsidR="006009AB" w:rsidRPr="006009AB">
        <w:rPr>
          <w:b/>
          <w:sz w:val="20"/>
          <w:szCs w:val="20"/>
        </w:rPr>
        <w:t>žáků s PAS od</w:t>
      </w:r>
      <w:r w:rsidR="00163105">
        <w:rPr>
          <w:b/>
          <w:sz w:val="20"/>
          <w:szCs w:val="20"/>
        </w:rPr>
        <w:t xml:space="preserve"> </w:t>
      </w:r>
      <w:r w:rsidR="006009AB" w:rsidRPr="006009AB">
        <w:rPr>
          <w:b/>
          <w:sz w:val="20"/>
          <w:szCs w:val="20"/>
        </w:rPr>
        <w:t xml:space="preserve">školního roku 2017/2018 je dán změnou metodiky; </w:t>
      </w:r>
      <w:r w:rsidR="006009AB" w:rsidRPr="006009AB">
        <w:rPr>
          <w:sz w:val="20"/>
          <w:szCs w:val="20"/>
        </w:rPr>
        <w:t>po zavedení inkluze a financování jednotlivých doporučených a poskytovaných podpůrných opatření se statistika vrátila k vykazování prvního (z hlediska školského poradenského zařízení nejvýznamnějšího) znevýhodnění žáka, neboť škola o finanční podporu pro žáka s PAS díky podpůrným opatřením nepřichází. PAS nemusí u žáka představovat dominantní zdravotní problém (zvláště v kombinaci s jiným těžkým postižením).</w:t>
      </w:r>
    </w:p>
    <w:p w14:paraId="7AAABEA0" w14:textId="129C0632" w:rsidR="00280839" w:rsidRDefault="00BE7B9B" w:rsidP="00353A2D">
      <w:r w:rsidRPr="00BE7B9B">
        <w:rPr>
          <w:b/>
        </w:rPr>
        <w:t xml:space="preserve">Dvacet procent všech žáků se zdravotním postižením/speciálními vzdělávacími potřebami se </w:t>
      </w:r>
      <w:r w:rsidR="009B3D8E">
        <w:rPr>
          <w:b/>
        </w:rPr>
        <w:t xml:space="preserve">vzdělávalo </w:t>
      </w:r>
      <w:r w:rsidRPr="00BE7B9B">
        <w:rPr>
          <w:b/>
        </w:rPr>
        <w:t>ve školním roce 2019/2020</w:t>
      </w:r>
      <w:r>
        <w:rPr>
          <w:b/>
        </w:rPr>
        <w:t xml:space="preserve"> </w:t>
      </w:r>
      <w:r w:rsidRPr="00BE7B9B">
        <w:rPr>
          <w:b/>
        </w:rPr>
        <w:t>v tzv. speciálních školách</w:t>
      </w:r>
      <w:r w:rsidRPr="00BE7B9B">
        <w:t xml:space="preserve"> z</w:t>
      </w:r>
      <w:r w:rsidR="004F3EDB" w:rsidRPr="00BE7B9B">
        <w:t>řizovaný</w:t>
      </w:r>
      <w:r w:rsidRPr="00BE7B9B">
        <w:t>ch</w:t>
      </w:r>
      <w:r w:rsidR="004F3EDB" w:rsidRPr="00BE7B9B">
        <w:t xml:space="preserve"> dl</w:t>
      </w:r>
      <w:r w:rsidR="0090338E">
        <w:t>e</w:t>
      </w:r>
      <w:r w:rsidR="008930BF">
        <w:t xml:space="preserve"> </w:t>
      </w:r>
      <w:r w:rsidR="00CC7B19" w:rsidRPr="00BE7B9B">
        <w:t>§</w:t>
      </w:r>
      <w:r w:rsidR="009B3D8E">
        <w:t xml:space="preserve"> </w:t>
      </w:r>
      <w:r w:rsidR="00CC7B19" w:rsidRPr="00BE7B9B">
        <w:t>16 odst.</w:t>
      </w:r>
      <w:r w:rsidR="009B3D8E">
        <w:t> </w:t>
      </w:r>
      <w:r w:rsidR="00CC7B19" w:rsidRPr="00BE7B9B">
        <w:t>9 školského zákona</w:t>
      </w:r>
      <w:r>
        <w:t xml:space="preserve">, </w:t>
      </w:r>
      <w:r w:rsidR="00CC7B19" w:rsidRPr="00BE7B9B">
        <w:t xml:space="preserve">jejichž počet se od roku 2010 snížil o více než čtvrtinu. </w:t>
      </w:r>
      <w:r>
        <w:t>Jedná se o</w:t>
      </w:r>
      <w:r w:rsidR="009B3D8E">
        <w:t> </w:t>
      </w:r>
      <w:r w:rsidR="00CC7B19" w:rsidRPr="00BE7B9B">
        <w:t>22</w:t>
      </w:r>
      <w:r w:rsidRPr="00BE7B9B">
        <w:t> </w:t>
      </w:r>
      <w:r w:rsidR="00CC7B19" w:rsidRPr="00BE7B9B">
        <w:t>516</w:t>
      </w:r>
      <w:r w:rsidRPr="00BE7B9B">
        <w:t xml:space="preserve"> žáků se zdravotním postižením/se speciálními vzdělávacími potřebami</w:t>
      </w:r>
      <w:r w:rsidR="00CC7B19" w:rsidRPr="00BE7B9B">
        <w:t xml:space="preserve">, </w:t>
      </w:r>
      <w:r>
        <w:t>kteří jsou zařazeni</w:t>
      </w:r>
      <w:r w:rsidR="009B3D8E">
        <w:t xml:space="preserve"> </w:t>
      </w:r>
      <w:r w:rsidR="0081224B">
        <w:t xml:space="preserve">v </w:t>
      </w:r>
      <w:r>
        <w:t>tomto typu základních škol.</w:t>
      </w:r>
    </w:p>
    <w:p w14:paraId="7AEBD041" w14:textId="77777777" w:rsidR="008930BF" w:rsidRDefault="008930BF">
      <w:pPr>
        <w:rPr>
          <w:rFonts w:cstheme="minorHAnsi"/>
        </w:rPr>
      </w:pPr>
      <w:r>
        <w:rPr>
          <w:rFonts w:cstheme="minorHAnsi"/>
        </w:rPr>
        <w:br w:type="page"/>
      </w:r>
    </w:p>
    <w:p w14:paraId="61BEB04E" w14:textId="123AF593" w:rsidR="00353A2D" w:rsidRPr="006D09CF" w:rsidRDefault="00C353A3" w:rsidP="00353A2D">
      <w:pPr>
        <w:spacing w:after="0"/>
        <w:ind w:left="2552" w:hanging="2552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>P</w:t>
      </w:r>
      <w:r w:rsidR="00353A2D">
        <w:rPr>
          <w:rFonts w:cstheme="minorHAnsi"/>
        </w:rPr>
        <w:t xml:space="preserve">říloha č. </w:t>
      </w:r>
      <w:r w:rsidR="0081224B">
        <w:rPr>
          <w:rFonts w:cstheme="minorHAnsi"/>
        </w:rPr>
        <w:t>3</w:t>
      </w:r>
      <w:r w:rsidR="008F4C57">
        <w:rPr>
          <w:rFonts w:cstheme="minorHAnsi"/>
        </w:rPr>
        <w:t xml:space="preserve"> –</w:t>
      </w:r>
      <w:r w:rsidR="00353A2D">
        <w:rPr>
          <w:rFonts w:cstheme="minorHAnsi"/>
        </w:rPr>
        <w:t xml:space="preserve"> tabulka č. </w:t>
      </w:r>
      <w:r w:rsidR="007928AD">
        <w:rPr>
          <w:rFonts w:cstheme="minorHAnsi"/>
        </w:rPr>
        <w:t>3</w:t>
      </w:r>
      <w:r w:rsidR="00353A2D">
        <w:rPr>
          <w:rFonts w:cstheme="minorHAnsi"/>
        </w:rPr>
        <w:t>:</w:t>
      </w:r>
      <w:r w:rsidR="00353A2D">
        <w:rPr>
          <w:rFonts w:cstheme="minorHAnsi"/>
        </w:rPr>
        <w:tab/>
      </w:r>
      <w:r w:rsidR="00353A2D" w:rsidRPr="00661CC4">
        <w:rPr>
          <w:rFonts w:cstheme="minorHAnsi"/>
          <w:b/>
        </w:rPr>
        <w:t xml:space="preserve">Počty žáků se SVP v </w:t>
      </w:r>
      <w:r w:rsidR="002D0D8F">
        <w:rPr>
          <w:rFonts w:cstheme="minorHAnsi"/>
          <w:b/>
        </w:rPr>
        <w:t>běžných</w:t>
      </w:r>
      <w:r w:rsidR="00353A2D" w:rsidRPr="00661CC4">
        <w:rPr>
          <w:rFonts w:cstheme="minorHAnsi"/>
          <w:b/>
        </w:rPr>
        <w:t xml:space="preserve"> ZŠ</w:t>
      </w:r>
    </w:p>
    <w:tbl>
      <w:tblPr>
        <w:tblpPr w:leftFromText="141" w:rightFromText="141" w:vertAnchor="text" w:tblpY="1"/>
        <w:tblOverlap w:val="never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473CD" w:rsidRPr="001473CD" w14:paraId="5839DDFB" w14:textId="77777777" w:rsidTr="00B8771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DE037A" w14:textId="4C1F58B8" w:rsidR="001473CD" w:rsidRPr="001473CD" w:rsidRDefault="00B87712" w:rsidP="001473CD">
            <w:pPr>
              <w:spacing w:after="0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Ostatní typy p</w:t>
            </w:r>
            <w:r w:rsidR="001473CD"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ostižení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385BEE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2010/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2B6FA2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2011/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668035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2012/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51295F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2013/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AD2397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3B17EC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2015/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1177D3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2016/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2EB13F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2017/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527E54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2018/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C51816" w14:textId="77777777" w:rsidR="001473CD" w:rsidRPr="001473CD" w:rsidRDefault="001473CD" w:rsidP="001473C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2019/</w:t>
            </w: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2020</w:t>
            </w:r>
          </w:p>
        </w:tc>
      </w:tr>
      <w:tr w:rsidR="001473CD" w:rsidRPr="001473CD" w14:paraId="4BC69E8E" w14:textId="77777777" w:rsidTr="009B3D8E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5CB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S více vadami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CDE4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992B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CB5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502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425B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74C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AAD9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2086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4 637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786A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4 565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C24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3 590</w:t>
            </w:r>
          </w:p>
        </w:tc>
      </w:tr>
      <w:tr w:rsidR="001473CD" w:rsidRPr="001473CD" w14:paraId="6F85E69A" w14:textId="77777777" w:rsidTr="009B3D8E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8062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E6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2,08 %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B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2,14 %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5A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2,24 %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A501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CFB6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2,06 %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EE0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2,22 %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A9C2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2,62 %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52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6,29 %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6448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5,66 %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EA36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4,05 %</w:t>
            </w:r>
          </w:p>
        </w:tc>
      </w:tr>
      <w:tr w:rsidR="001473CD" w:rsidRPr="001473CD" w14:paraId="54D07A60" w14:textId="77777777" w:rsidTr="009B3D8E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75A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Sluchové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249A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9F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5B24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540F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770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246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09D2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4D0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19E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0DD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797</w:t>
            </w:r>
          </w:p>
        </w:tc>
      </w:tr>
      <w:tr w:rsidR="001473CD" w:rsidRPr="001473CD" w14:paraId="78A7A0FA" w14:textId="77777777" w:rsidTr="009B3D8E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8A3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769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1,39 %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D3BA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1,32 %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6356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1,26 %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8C6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1,24 %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E60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1,28 %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5D8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12D0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1,24 %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83B7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0,96 %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C84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0,88 %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A8C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0,90 %</w:t>
            </w:r>
          </w:p>
        </w:tc>
      </w:tr>
      <w:tr w:rsidR="001473CD" w:rsidRPr="001473CD" w14:paraId="36748EF8" w14:textId="77777777" w:rsidTr="009B3D8E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539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Tělesné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607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11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C3B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3F2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F2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E708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F4E7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F0FA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5CF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799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996</w:t>
            </w:r>
          </w:p>
        </w:tc>
      </w:tr>
      <w:tr w:rsidR="001473CD" w:rsidRPr="001473CD" w14:paraId="281E66AA" w14:textId="77777777" w:rsidTr="009B3D8E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A194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6A4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2,46 %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0D60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2,31 %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9F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2,19 %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374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2,02 %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A3B9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1,85 %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D056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1,72 %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752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1,69 %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CB4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1,27 %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9E9D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1,14 %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9546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1,12 %</w:t>
            </w:r>
          </w:p>
        </w:tc>
      </w:tr>
      <w:tr w:rsidR="001473CD" w:rsidRPr="001473CD" w14:paraId="15379B99" w14:textId="77777777" w:rsidTr="009B3D8E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F22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Závažné vady řeči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B7BF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D4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E51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1 926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DDF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72AF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2 905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992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3 592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D5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4 387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52A6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5 315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9B1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6 647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EC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8 078</w:t>
            </w:r>
          </w:p>
        </w:tc>
      </w:tr>
      <w:tr w:rsidR="001473CD" w:rsidRPr="001473CD" w14:paraId="1BDA25A3" w14:textId="77777777" w:rsidTr="009B3D8E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09F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848B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2,89 %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857D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3,49 %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0B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4,08 %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407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4,56 %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937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5,59 %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8BD9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6,55 %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C7A4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7,45 %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C72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7,21 %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F911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8,24 %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D458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9,11 %</w:t>
            </w:r>
          </w:p>
        </w:tc>
      </w:tr>
      <w:tr w:rsidR="001473CD" w:rsidRPr="001473CD" w14:paraId="29130867" w14:textId="77777777" w:rsidTr="009B3D8E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A6D3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Zrakové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082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430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53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B54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57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BE17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3C3D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DFBA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CE2B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B2B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697</w:t>
            </w:r>
          </w:p>
        </w:tc>
      </w:tr>
      <w:tr w:rsidR="001473CD" w:rsidRPr="001473CD" w14:paraId="59E2D985" w14:textId="77777777" w:rsidTr="009B3D8E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31B5" w14:textId="77777777" w:rsidR="001473CD" w:rsidRPr="001473CD" w:rsidRDefault="001473CD" w:rsidP="001473CD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C1DF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1,00 %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6F0A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0,94 %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A32F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0,97 %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FFAB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0,94 %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0270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1,01 %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48D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1,00 %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7AB9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1,00 %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4A0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0,82 %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1D0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0,79 %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79B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color w:val="000000"/>
                <w:sz w:val="20"/>
                <w:szCs w:val="20"/>
              </w:rPr>
              <w:t>0,79 %</w:t>
            </w:r>
          </w:p>
        </w:tc>
      </w:tr>
      <w:tr w:rsidR="001473CD" w:rsidRPr="001473CD" w14:paraId="2F82C51C" w14:textId="77777777" w:rsidTr="009B3D8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EBFB907" w14:textId="02DA7A60" w:rsidR="001473CD" w:rsidRPr="001473CD" w:rsidRDefault="00DA6CD8" w:rsidP="00DA6CD8">
            <w:pPr>
              <w:spacing w:after="0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Celkový počet žáků s ostatními typy </w:t>
            </w:r>
            <w:r w:rsidR="001473CD"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postižení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C2A2918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4 207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87758C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4 651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594D88D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A447D68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5 506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08BACA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6 127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96AC95A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7 036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0BB36E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935C7AF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12 203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F3A4BE8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13 481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A7EDA20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14 158</w:t>
            </w:r>
          </w:p>
        </w:tc>
      </w:tr>
      <w:tr w:rsidR="001473CD" w:rsidRPr="001473CD" w14:paraId="5CE82582" w14:textId="77777777" w:rsidTr="009B3D8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6D08196" w14:textId="07C4EDB5" w:rsidR="001473CD" w:rsidRPr="001473CD" w:rsidRDefault="00DA6CD8" w:rsidP="00B87712">
            <w:pPr>
              <w:spacing w:after="0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Celkový počet žáků se</w:t>
            </w:r>
            <w:r w:rsidR="00B8771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SVP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8083D18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42 831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F1CA73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948FA73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47 259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FBCCA3E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49 594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8A79CC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51 971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135E8C9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54 837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C306234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58 923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734300C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73 678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823F6F5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80 688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6C5CA21" w14:textId="77777777" w:rsidR="001473CD" w:rsidRPr="001473CD" w:rsidRDefault="001473CD" w:rsidP="009B3D8E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473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88 705</w:t>
            </w:r>
          </w:p>
        </w:tc>
      </w:tr>
    </w:tbl>
    <w:bookmarkEnd w:id="1"/>
    <w:bookmarkEnd w:id="2"/>
    <w:p w14:paraId="52CF34E3" w14:textId="5F217E34" w:rsidR="002D0D8F" w:rsidRDefault="0090338E" w:rsidP="001125F6">
      <w:pPr>
        <w:spacing w:after="0"/>
        <w:ind w:left="567" w:hanging="567"/>
        <w:rPr>
          <w:sz w:val="20"/>
          <w:szCs w:val="20"/>
        </w:rPr>
      </w:pPr>
      <w:r w:rsidRPr="003A228F">
        <w:rPr>
          <w:b/>
          <w:sz w:val="20"/>
          <w:szCs w:val="20"/>
        </w:rPr>
        <w:t>Zdroj:</w:t>
      </w:r>
      <w:r>
        <w:rPr>
          <w:sz w:val="20"/>
          <w:szCs w:val="20"/>
        </w:rPr>
        <w:tab/>
      </w:r>
      <w:r w:rsidR="00742C35">
        <w:rPr>
          <w:sz w:val="20"/>
          <w:szCs w:val="20"/>
        </w:rPr>
        <w:t>v</w:t>
      </w:r>
      <w:r w:rsidR="002D0D8F">
        <w:rPr>
          <w:sz w:val="20"/>
          <w:szCs w:val="20"/>
        </w:rPr>
        <w:t>lastní zpracování NKÚ s využitím dat ze SRŠ, kapitola C, tabulka</w:t>
      </w:r>
      <w:r w:rsidR="002D0D8F">
        <w:rPr>
          <w:rFonts w:cstheme="minorHAnsi"/>
          <w:sz w:val="20"/>
          <w:szCs w:val="20"/>
        </w:rPr>
        <w:t xml:space="preserve"> č. </w:t>
      </w:r>
      <w:proofErr w:type="gramStart"/>
      <w:r w:rsidR="002D0D8F">
        <w:rPr>
          <w:rFonts w:cstheme="minorHAnsi"/>
          <w:sz w:val="20"/>
          <w:szCs w:val="20"/>
        </w:rPr>
        <w:t>C1.7.1.1</w:t>
      </w:r>
      <w:proofErr w:type="gramEnd"/>
      <w:r w:rsidR="002D0D8F">
        <w:rPr>
          <w:rFonts w:cstheme="minorHAnsi"/>
          <w:sz w:val="20"/>
          <w:szCs w:val="20"/>
        </w:rPr>
        <w:t>.</w:t>
      </w:r>
    </w:p>
    <w:p w14:paraId="3064F093" w14:textId="29AFB4A1" w:rsidR="001473CD" w:rsidRPr="00353A2D" w:rsidRDefault="00DA6CD8" w:rsidP="001125F6">
      <w:pPr>
        <w:ind w:left="567" w:hanging="567"/>
      </w:pPr>
      <w:r w:rsidRPr="003A228F">
        <w:rPr>
          <w:b/>
          <w:sz w:val="20"/>
          <w:szCs w:val="20"/>
        </w:rPr>
        <w:t>Pozn</w:t>
      </w:r>
      <w:r w:rsidR="001125F6">
        <w:rPr>
          <w:b/>
          <w:sz w:val="20"/>
          <w:szCs w:val="20"/>
        </w:rPr>
        <w:t>.</w:t>
      </w:r>
      <w:r w:rsidR="00DA1B53" w:rsidRPr="003A228F">
        <w:rPr>
          <w:b/>
          <w:sz w:val="20"/>
          <w:szCs w:val="20"/>
        </w:rPr>
        <w:t>:</w:t>
      </w:r>
      <w:r w:rsidR="00DA1B53" w:rsidRPr="00353A2D">
        <w:rPr>
          <w:sz w:val="20"/>
          <w:szCs w:val="20"/>
        </w:rPr>
        <w:tab/>
      </w:r>
      <w:r w:rsidR="006761B0" w:rsidRPr="00353A2D">
        <w:rPr>
          <w:sz w:val="20"/>
          <w:szCs w:val="20"/>
        </w:rPr>
        <w:t>P</w:t>
      </w:r>
      <w:r w:rsidR="00CD6E2F" w:rsidRPr="00353A2D">
        <w:rPr>
          <w:sz w:val="20"/>
          <w:szCs w:val="20"/>
        </w:rPr>
        <w:t>odíly u jednotlivých typů postižení jsou vztaženy k celkov</w:t>
      </w:r>
      <w:r w:rsidR="00DA1B53" w:rsidRPr="00353A2D">
        <w:rPr>
          <w:sz w:val="20"/>
          <w:szCs w:val="20"/>
        </w:rPr>
        <w:t>ému počtu žáků se SVP, kteří se</w:t>
      </w:r>
      <w:r w:rsidR="001125F6">
        <w:rPr>
          <w:sz w:val="20"/>
          <w:szCs w:val="20"/>
        </w:rPr>
        <w:t xml:space="preserve"> </w:t>
      </w:r>
      <w:r w:rsidR="00CD6E2F" w:rsidRPr="00353A2D">
        <w:rPr>
          <w:sz w:val="20"/>
          <w:szCs w:val="20"/>
        </w:rPr>
        <w:t>vzdělávají v bě</w:t>
      </w:r>
      <w:r w:rsidR="00DA0F22">
        <w:rPr>
          <w:sz w:val="20"/>
          <w:szCs w:val="20"/>
        </w:rPr>
        <w:t>ž</w:t>
      </w:r>
      <w:r w:rsidR="00CD6E2F" w:rsidRPr="00353A2D">
        <w:rPr>
          <w:sz w:val="20"/>
          <w:szCs w:val="20"/>
        </w:rPr>
        <w:t xml:space="preserve">ných školách (viz graf č. </w:t>
      </w:r>
      <w:r w:rsidR="00B87712" w:rsidRPr="00353A2D">
        <w:rPr>
          <w:sz w:val="20"/>
          <w:szCs w:val="20"/>
        </w:rPr>
        <w:t>1 v </w:t>
      </w:r>
      <w:r w:rsidR="00742C35">
        <w:rPr>
          <w:sz w:val="20"/>
          <w:szCs w:val="20"/>
        </w:rPr>
        <w:t>p</w:t>
      </w:r>
      <w:r w:rsidR="00B87712" w:rsidRPr="00353A2D">
        <w:rPr>
          <w:sz w:val="20"/>
          <w:szCs w:val="20"/>
        </w:rPr>
        <w:t xml:space="preserve">říloze č. </w:t>
      </w:r>
      <w:r w:rsidR="0081224B">
        <w:rPr>
          <w:sz w:val="20"/>
          <w:szCs w:val="20"/>
        </w:rPr>
        <w:t>3</w:t>
      </w:r>
      <w:r w:rsidR="00B87712" w:rsidRPr="00353A2D">
        <w:rPr>
          <w:sz w:val="20"/>
          <w:szCs w:val="20"/>
        </w:rPr>
        <w:t>).</w:t>
      </w:r>
    </w:p>
    <w:p w14:paraId="1863EEFD" w14:textId="25E2EF14" w:rsidR="00883696" w:rsidRDefault="00883696" w:rsidP="00ED2F1B">
      <w:pPr>
        <w:spacing w:after="0"/>
        <w:contextualSpacing/>
      </w:pPr>
    </w:p>
    <w:p w14:paraId="094480A1" w14:textId="1A110FC6" w:rsidR="00A44047" w:rsidRDefault="00A44047" w:rsidP="008A2AA4"/>
    <w:sectPr w:rsidR="00A44047" w:rsidSect="00F319D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1417" w:right="1417" w:bottom="141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3744" w14:textId="77777777" w:rsidR="003D2671" w:rsidRDefault="003D2671">
      <w:pPr>
        <w:spacing w:after="0"/>
      </w:pPr>
      <w:r>
        <w:separator/>
      </w:r>
    </w:p>
  </w:endnote>
  <w:endnote w:type="continuationSeparator" w:id="0">
    <w:p w14:paraId="219ADEEA" w14:textId="77777777" w:rsidR="003D2671" w:rsidRDefault="003D2671">
      <w:pPr>
        <w:spacing w:after="0"/>
      </w:pPr>
      <w:r>
        <w:continuationSeparator/>
      </w:r>
    </w:p>
  </w:endnote>
  <w:endnote w:type="continuationNotice" w:id="1">
    <w:p w14:paraId="6E8E3784" w14:textId="77777777" w:rsidR="003D2671" w:rsidRDefault="003D26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8AE1" w14:textId="77777777" w:rsidR="005768D0" w:rsidRDefault="005768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070954"/>
      <w:docPartObj>
        <w:docPartGallery w:val="Page Numbers (Bottom of Page)"/>
        <w:docPartUnique/>
      </w:docPartObj>
    </w:sdtPr>
    <w:sdtContent>
      <w:p w14:paraId="6CC795CF" w14:textId="00B5CB8F" w:rsidR="003D2671" w:rsidRDefault="003D26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D0">
          <w:rPr>
            <w:noProof/>
          </w:rPr>
          <w:t>37</w:t>
        </w:r>
        <w:r>
          <w:fldChar w:fldCharType="end"/>
        </w:r>
      </w:p>
    </w:sdtContent>
  </w:sdt>
  <w:p w14:paraId="3FCB27E7" w14:textId="77777777" w:rsidR="003D2671" w:rsidRDefault="003D26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AC50" w14:textId="77777777" w:rsidR="005768D0" w:rsidRDefault="005768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A251" w14:textId="77777777" w:rsidR="003D2671" w:rsidRDefault="003D2671" w:rsidP="009F7A39">
      <w:pPr>
        <w:spacing w:after="0"/>
      </w:pPr>
      <w:r>
        <w:separator/>
      </w:r>
    </w:p>
  </w:footnote>
  <w:footnote w:type="continuationSeparator" w:id="0">
    <w:p w14:paraId="61D06912" w14:textId="77777777" w:rsidR="003D2671" w:rsidRDefault="003D2671">
      <w:r>
        <w:continuationSeparator/>
      </w:r>
    </w:p>
  </w:footnote>
  <w:footnote w:type="continuationNotice" w:id="1">
    <w:p w14:paraId="4065BFC3" w14:textId="77777777" w:rsidR="003D2671" w:rsidRPr="009F7A39" w:rsidRDefault="003D2671" w:rsidP="009F7A39">
      <w:pPr>
        <w:pStyle w:val="Zpat"/>
      </w:pPr>
    </w:p>
  </w:footnote>
  <w:footnote w:id="2">
    <w:p w14:paraId="5CCD0404" w14:textId="17CA8F6B" w:rsidR="003D2671" w:rsidRPr="00DE677B" w:rsidRDefault="003D2671" w:rsidP="00E070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Ž</w:t>
      </w:r>
      <w:r w:rsidRPr="00DE677B">
        <w:t xml:space="preserve">ák se speciálními vzdělávacími potřebami potřebuje </w:t>
      </w:r>
      <w:r>
        <w:t xml:space="preserve">poskytnutí podpůrných opatření, která odpovídají </w:t>
      </w:r>
      <w:r w:rsidRPr="00DE677B">
        <w:t>zdravotnímu stavu, kulturnímu prostře</w:t>
      </w:r>
      <w:r>
        <w:t xml:space="preserve">dí nebo jiným životním podmínkám </w:t>
      </w:r>
      <w:r w:rsidRPr="00DE677B">
        <w:t>žáka</w:t>
      </w:r>
      <w:r>
        <w:t>. Vývoj terminologie viz příloha č. 2 kontrolního závěru.</w:t>
      </w:r>
    </w:p>
  </w:footnote>
  <w:footnote w:id="3">
    <w:p w14:paraId="0E21CEAE" w14:textId="190CA40E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F10C3">
        <w:t xml:space="preserve">Kontrolní akce NKÚ č. 11/17 </w:t>
      </w:r>
      <w:r>
        <w:t xml:space="preserve">– </w:t>
      </w:r>
      <w:r w:rsidRPr="00FE5543">
        <w:rPr>
          <w:i/>
        </w:rPr>
        <w:t>Peněžní prostředky Evropské unie a státního rozpočtu určené v rámci operačního programu Vzdělávání pro konkurenceschopnost na prioritní osu Počáteční vzdělávání</w:t>
      </w:r>
      <w:r w:rsidRPr="002F10C3">
        <w:t xml:space="preserve">, </w:t>
      </w:r>
      <w:r>
        <w:br/>
      </w:r>
      <w:r w:rsidRPr="002F10C3">
        <w:t xml:space="preserve">č. 14/24 </w:t>
      </w:r>
      <w:r>
        <w:t xml:space="preserve">– </w:t>
      </w:r>
      <w:r w:rsidRPr="00FE5543">
        <w:rPr>
          <w:i/>
        </w:rPr>
        <w:t>Peněžní prostředky Evropské unie a státního rozpočtu poskytnuté na úhradu výdajů národních projektů v rámci operačního programu Vzdělávání pro konkurenceschopnost</w:t>
      </w:r>
      <w:r w:rsidRPr="002F10C3">
        <w:t xml:space="preserve"> a č. 15/06 </w:t>
      </w:r>
      <w:r>
        <w:t xml:space="preserve">– </w:t>
      </w:r>
      <w:r w:rsidRPr="00FE5543">
        <w:rPr>
          <w:i/>
        </w:rPr>
        <w:t>Peněžní prostředky strukturálních fondů Evropské unie a státního rozpočtu určené na financování operačních programů z hlediska udržitelnosti projektů</w:t>
      </w:r>
      <w:r w:rsidRPr="002F10C3">
        <w:t>.</w:t>
      </w:r>
    </w:p>
  </w:footnote>
  <w:footnote w:id="4">
    <w:p w14:paraId="7F479D24" w14:textId="1EF8415D" w:rsidR="003D2671" w:rsidRPr="001D056B" w:rsidRDefault="003D2671" w:rsidP="003F16DC">
      <w:pPr>
        <w:pStyle w:val="Textpoznpodarou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D056B">
        <w:t>Výkon rozsudku ve věci D. H. a ostatní (rozsudek velkého sená</w:t>
      </w:r>
      <w:r>
        <w:t xml:space="preserve">tu ESLP ze dne 13. listopadu 2007, D. H. a ostatní proti České republice, </w:t>
      </w:r>
      <w:r w:rsidRPr="001D056B">
        <w:t>č. 57325/00</w:t>
      </w:r>
      <w:r>
        <w:t>) v </w:t>
      </w:r>
      <w:r w:rsidRPr="001D056B">
        <w:t xml:space="preserve">záležitosti nadměrného umisťování romských dětí do bývalých zvláštních škol, jenž je v současné době jako jediný rozsudek proti České republice </w:t>
      </w:r>
      <w:r>
        <w:t xml:space="preserve">předmětem tzv. posíleného dohledu </w:t>
      </w:r>
      <w:r w:rsidRPr="001D056B">
        <w:t>ze strany Výboru ministrů</w:t>
      </w:r>
      <w:r>
        <w:t xml:space="preserve"> Rady Evropy (nejedná se o orgán EU). Základním cílem všech opatření je důsledné naplňování zásad školského zákona, Úmluvy o ochraně lidských práv a základních svobod, Úmluvy o právech dítěte a Ústavy České republiky tak, aby etnicita a sociální zázemí neměly vliv na zařazování žáků do vzdělávacích programů.</w:t>
      </w:r>
    </w:p>
  </w:footnote>
  <w:footnote w:id="5">
    <w:p w14:paraId="4C60E25B" w14:textId="6F22E89F" w:rsidR="003D2671" w:rsidRPr="00735A9C" w:rsidRDefault="003D2671" w:rsidP="00AC387C">
      <w:pPr>
        <w:spacing w:after="0"/>
        <w:ind w:left="284" w:hanging="284"/>
      </w:pPr>
      <w:r w:rsidRPr="00735A9C">
        <w:rPr>
          <w:rStyle w:val="Znakapoznpodarou"/>
          <w:sz w:val="20"/>
          <w:szCs w:val="20"/>
        </w:rPr>
        <w:footnoteRef/>
      </w:r>
      <w:r w:rsidRPr="00735A9C">
        <w:rPr>
          <w:sz w:val="20"/>
          <w:szCs w:val="20"/>
        </w:rPr>
        <w:t xml:space="preserve"> </w:t>
      </w:r>
      <w:r w:rsidRPr="00735A9C">
        <w:rPr>
          <w:sz w:val="20"/>
          <w:szCs w:val="20"/>
        </w:rPr>
        <w:tab/>
      </w:r>
      <w:r w:rsidRPr="00735A9C">
        <w:rPr>
          <w:rFonts w:cstheme="minorHAnsi"/>
          <w:sz w:val="20"/>
          <w:szCs w:val="20"/>
        </w:rPr>
        <w:t xml:space="preserve">Prostředky poskytované školám ze státního rozpočtu v rámci systému financování regionálního školství jsou určeny zejména na podpůrná opatření přiznaná žákům se </w:t>
      </w:r>
      <w:r>
        <w:rPr>
          <w:rFonts w:cstheme="minorHAnsi"/>
          <w:sz w:val="20"/>
          <w:szCs w:val="20"/>
        </w:rPr>
        <w:t>speciálními vzdělávacími potřebami</w:t>
      </w:r>
      <w:r w:rsidRPr="00735A9C">
        <w:rPr>
          <w:rFonts w:cstheme="minorHAnsi"/>
          <w:sz w:val="20"/>
          <w:szCs w:val="20"/>
        </w:rPr>
        <w:t xml:space="preserve"> ze zákona (normovaná finanční náročnost, která představuje objem finančních prostředků, které se na opatření poskytuj</w:t>
      </w:r>
      <w:r>
        <w:rPr>
          <w:rFonts w:cstheme="minorHAnsi"/>
          <w:sz w:val="20"/>
          <w:szCs w:val="20"/>
        </w:rPr>
        <w:t>í</w:t>
      </w:r>
      <w:r w:rsidRPr="00735A9C">
        <w:rPr>
          <w:rFonts w:cstheme="minorHAnsi"/>
          <w:sz w:val="20"/>
          <w:szCs w:val="20"/>
        </w:rPr>
        <w:t>). Podpůrná opatření zahrnují také požadavek na stavební úpravy prostor, kde se žák vzdělává.</w:t>
      </w:r>
    </w:p>
  </w:footnote>
  <w:footnote w:id="6">
    <w:p w14:paraId="771F87CA" w14:textId="65C59839" w:rsidR="003D2671" w:rsidRDefault="003D2671" w:rsidP="001155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Nejedná se o udržitelnost ve smyslu „trvalosti operací“ dle článku 71 nařízení Evropského parlamentu a Rady (EU) č. 1303/2013 ze dne 17. prosince 2013,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(dále též „Obecné nařízení“), nýbrž o garanci využití výstupů, jejichž zpracování bylo finančně podpořeno z prostředků ESIF a SR.</w:t>
      </w:r>
    </w:p>
  </w:footnote>
  <w:footnote w:id="7">
    <w:p w14:paraId="0A159B0F" w14:textId="4A30E865" w:rsidR="003D2671" w:rsidRDefault="003D2671" w:rsidP="00293A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Rovné příležitosti ve vzdělávání jsou průřezovou prioritou </w:t>
      </w:r>
      <w:r w:rsidRPr="00CC108D">
        <w:rPr>
          <w:i/>
        </w:rPr>
        <w:t>Dlouhodobého záměru vzdělávání a rozvoje vzdělávací soustavy</w:t>
      </w:r>
      <w:r>
        <w:rPr>
          <w:i/>
        </w:rPr>
        <w:t xml:space="preserve"> České republiky na období 2015–</w:t>
      </w:r>
      <w:r w:rsidRPr="00CC108D">
        <w:rPr>
          <w:i/>
        </w:rPr>
        <w:t>2020</w:t>
      </w:r>
      <w:r>
        <w:t xml:space="preserve">, který představuje implementační dokument ke </w:t>
      </w:r>
      <w:r w:rsidRPr="00CC108D">
        <w:rPr>
          <w:i/>
        </w:rPr>
        <w:t>Strategii vzdělávací politiky do roku 2020</w:t>
      </w:r>
      <w:r>
        <w:t>, schválené v roce 2014 usnesením vlády ČR. Jednou ze tří hlavních priorit této strategie je snižování nerovností ve vzdělávání.</w:t>
      </w:r>
    </w:p>
  </w:footnote>
  <w:footnote w:id="8">
    <w:p w14:paraId="79EA3ABB" w14:textId="5150595C" w:rsidR="003D2671" w:rsidRPr="003332A8" w:rsidRDefault="003D2671" w:rsidP="0068495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Cílem </w:t>
      </w:r>
      <w:r w:rsidRPr="003332A8">
        <w:rPr>
          <w:i/>
        </w:rPr>
        <w:t>Akčního plánu inkluzivního vzdělávání na období 2016–2018</w:t>
      </w:r>
      <w:r>
        <w:t xml:space="preserve"> bylo „</w:t>
      </w:r>
      <w:r w:rsidRPr="00016F91">
        <w:rPr>
          <w:i/>
        </w:rPr>
        <w:t>připravit a podpořit všechny složky tak, aby od 1. září 2016 bylo možné začít realizovat změny, které přinesla n</w:t>
      </w:r>
      <w:r>
        <w:rPr>
          <w:i/>
        </w:rPr>
        <w:t>ovela zákona č. 561/2004 Sb., o </w:t>
      </w:r>
      <w:r w:rsidRPr="00016F91">
        <w:rPr>
          <w:i/>
        </w:rPr>
        <w:t xml:space="preserve">předškolním, základním, středním, vyšším odborném a jiném vzdělávání </w:t>
      </w:r>
      <w:r>
        <w:rPr>
          <w:i/>
        </w:rPr>
        <w:t>(</w:t>
      </w:r>
      <w:r w:rsidRPr="00016F91">
        <w:rPr>
          <w:i/>
        </w:rPr>
        <w:t>školský zákon).</w:t>
      </w:r>
      <w:r w:rsidRPr="003332A8">
        <w:t xml:space="preserve">“ </w:t>
      </w:r>
      <w:r>
        <w:t xml:space="preserve">Cílem navazujícího </w:t>
      </w:r>
      <w:r w:rsidRPr="003332A8">
        <w:rPr>
          <w:i/>
        </w:rPr>
        <w:t>Akčního plánu inkluzivního vzdělávání na období 2019–2020</w:t>
      </w:r>
      <w:r w:rsidRPr="00C77EC8">
        <w:t xml:space="preserve"> je </w:t>
      </w:r>
      <w:r w:rsidRPr="003332A8">
        <w:t>„</w:t>
      </w:r>
      <w:r w:rsidRPr="00C77EC8">
        <w:rPr>
          <w:i/>
        </w:rPr>
        <w:t>na základě dosavadních zkušeností zlepšit podmínky pro realizaci změn a přispívat k širokému přijetí principů inkluze u odborné i široké veřejnosti</w:t>
      </w:r>
      <w:r w:rsidRPr="003332A8">
        <w:t>.“</w:t>
      </w:r>
    </w:p>
  </w:footnote>
  <w:footnote w:id="9">
    <w:p w14:paraId="664E947E" w14:textId="12810321" w:rsidR="003D2671" w:rsidRPr="00C77EC8" w:rsidRDefault="003D2671" w:rsidP="00935A88">
      <w:pPr>
        <w:pStyle w:val="Textpoznpodarou"/>
      </w:pPr>
      <w:r w:rsidRPr="003332A8">
        <w:rPr>
          <w:rStyle w:val="Znakapoznpodarou"/>
        </w:rPr>
        <w:footnoteRef/>
      </w:r>
      <w:r w:rsidRPr="00237517">
        <w:t xml:space="preserve"> </w:t>
      </w:r>
      <w:r w:rsidRPr="00C77EC8">
        <w:tab/>
        <w:t xml:space="preserve">Programový dokument OP VVV uvádí: </w:t>
      </w:r>
      <w:r w:rsidRPr="003332A8">
        <w:t>„</w:t>
      </w:r>
      <w:r w:rsidRPr="00C77EC8">
        <w:rPr>
          <w:i/>
        </w:rPr>
        <w:t xml:space="preserve">Operační program nebude podporovat opatření/projekty/aktivity, které vedou k diskriminaci a segregaci </w:t>
      </w:r>
      <w:proofErr w:type="spellStart"/>
      <w:r w:rsidRPr="00C77EC8">
        <w:rPr>
          <w:i/>
        </w:rPr>
        <w:t>marginalizovaných</w:t>
      </w:r>
      <w:proofErr w:type="spellEnd"/>
      <w:r w:rsidRPr="00C77EC8">
        <w:rPr>
          <w:i/>
        </w:rPr>
        <w:t xml:space="preserve"> skupin, jako jsou romské děti a žáci a další děti a žáci s potřebou podpůrných opatření (děti a žáci se zdravotním postižením, zdravotním znevýhodněním a se sociálním znevýhodněním). To znamená, že nebudou financovány aktivity na udržení a zařazování těchto dětí a žáků: do mateřských nebo základních škol samostatně zřízených pro žáky se zdravotním postižením nebo do jejich přípravných tříd a do základních škol praktických.</w:t>
      </w:r>
      <w:r w:rsidRPr="003332A8">
        <w:t>“</w:t>
      </w:r>
    </w:p>
  </w:footnote>
  <w:footnote w:id="10">
    <w:p w14:paraId="74FB817E" w14:textId="7A61C142" w:rsidR="003D2671" w:rsidRPr="00C77EC8" w:rsidRDefault="003D2671" w:rsidP="0074767F">
      <w:pPr>
        <w:pStyle w:val="Textpoznpodarou"/>
      </w:pPr>
      <w:r w:rsidRPr="00C77EC8">
        <w:rPr>
          <w:rStyle w:val="Znakapoznpodarou"/>
        </w:rPr>
        <w:footnoteRef/>
      </w:r>
      <w:r w:rsidRPr="00C77EC8">
        <w:t xml:space="preserve"> </w:t>
      </w:r>
      <w:r w:rsidRPr="00C77EC8">
        <w:rPr>
          <w:color w:val="FF0000"/>
        </w:rPr>
        <w:tab/>
      </w:r>
      <w:r w:rsidRPr="00C77EC8">
        <w:t>Základní školy zřizované dle § 16 odst. 9 zákona č. 561/2004 Sb., o předškolním, základním, středním, vyšším odborném a jiném vzdělávání (školský zákon).</w:t>
      </w:r>
    </w:p>
  </w:footnote>
  <w:footnote w:id="11">
    <w:p w14:paraId="316EFD57" w14:textId="02BBE3D3" w:rsidR="003D2671" w:rsidRPr="00C77EC8" w:rsidRDefault="003D2671">
      <w:pPr>
        <w:pStyle w:val="Textpoznpodarou"/>
      </w:pPr>
      <w:r w:rsidRPr="00C77EC8">
        <w:rPr>
          <w:rStyle w:val="Znakapoznpodarou"/>
        </w:rPr>
        <w:footnoteRef/>
      </w:r>
      <w:r w:rsidRPr="00C77EC8">
        <w:t xml:space="preserve"> </w:t>
      </w:r>
      <w:r w:rsidRPr="00C77EC8">
        <w:tab/>
      </w:r>
      <w:r>
        <w:t xml:space="preserve">Viz: </w:t>
      </w:r>
      <w:hyperlink r:id="rId1" w:history="1">
        <w:r w:rsidRPr="00C77EC8">
          <w:rPr>
            <w:rStyle w:val="Hypertextovodkaz"/>
          </w:rPr>
          <w:t>https://rejstriky.msmt.cz/rejskol/</w:t>
        </w:r>
      </w:hyperlink>
      <w:r w:rsidRPr="00C77EC8">
        <w:rPr>
          <w:rStyle w:val="Hypertextovodkaz"/>
          <w:color w:val="auto"/>
          <w:u w:val="none"/>
        </w:rPr>
        <w:t>.</w:t>
      </w:r>
    </w:p>
  </w:footnote>
  <w:footnote w:id="12">
    <w:p w14:paraId="3C3568EF" w14:textId="666DCB59" w:rsidR="003D2671" w:rsidRPr="00C77EC8" w:rsidRDefault="003D2671">
      <w:pPr>
        <w:pStyle w:val="Textpoznpodarou"/>
      </w:pPr>
      <w:r w:rsidRPr="00C77EC8">
        <w:rPr>
          <w:rStyle w:val="Znakapoznpodarou"/>
        </w:rPr>
        <w:footnoteRef/>
      </w:r>
      <w:r w:rsidRPr="00C77EC8">
        <w:t xml:space="preserve"> </w:t>
      </w:r>
      <w:r w:rsidRPr="00C77EC8">
        <w:tab/>
        <w:t>Deklarovaná doplňkovost (komplementarita) výzev vychází z Obecného nařízení, ze kterého vyplývá, že se intervence z evropských strukturálních a investičních fondů mají provádět koordinovaně a</w:t>
      </w:r>
      <w:r>
        <w:t xml:space="preserve"> </w:t>
      </w:r>
      <w:r w:rsidRPr="00C77EC8">
        <w:t xml:space="preserve">vzájemně se doplňovat, což by mělo vést k vyšší efektivitě intervencí, k zamezení duplicit, ke snížení administrativních nákladů </w:t>
      </w:r>
      <w:r>
        <w:t>i</w:t>
      </w:r>
      <w:r w:rsidRPr="00C77EC8">
        <w:t xml:space="preserve"> </w:t>
      </w:r>
      <w:r>
        <w:t xml:space="preserve">administrativní </w:t>
      </w:r>
      <w:r w:rsidRPr="00C77EC8">
        <w:t xml:space="preserve">zátěže </w:t>
      </w:r>
      <w:r>
        <w:t xml:space="preserve">na straně </w:t>
      </w:r>
      <w:r w:rsidRPr="00C77EC8">
        <w:t>příjemců.</w:t>
      </w:r>
    </w:p>
  </w:footnote>
  <w:footnote w:id="13">
    <w:p w14:paraId="41AE81B3" w14:textId="1FA948E8" w:rsidR="003D2671" w:rsidRPr="00E20EBF" w:rsidRDefault="003D2671" w:rsidP="0034659F">
      <w:pPr>
        <w:spacing w:after="0"/>
        <w:ind w:left="284" w:hanging="284"/>
      </w:pPr>
      <w:r w:rsidRPr="00C77EC8">
        <w:rPr>
          <w:rStyle w:val="Znakapoznpodarou"/>
          <w:sz w:val="20"/>
          <w:szCs w:val="20"/>
        </w:rPr>
        <w:footnoteRef/>
      </w:r>
      <w:r w:rsidRPr="00C77EC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02802">
        <w:rPr>
          <w:rFonts w:cstheme="minorHAnsi"/>
          <w:sz w:val="20"/>
          <w:szCs w:val="20"/>
        </w:rPr>
        <w:t>„</w:t>
      </w:r>
      <w:r w:rsidRPr="00C77EC8">
        <w:rPr>
          <w:rFonts w:cstheme="minorHAnsi"/>
          <w:i/>
          <w:sz w:val="20"/>
          <w:szCs w:val="20"/>
        </w:rPr>
        <w:t>Ani třetí, komplementární program MŠMT na podporu inkluzivního vzdělávání, v rámci KPSVL nebyl příliš čerpán. Například výzva číslo 02_16_039 Inkluzivní vzdělávání pro KPSVL měla alokováno 450 mil. korun. Ke dni jejího uzavření dne 29. 12. 2018 však byly podány projekty v objemu poloviny alokace. Nakonec bylo úspěšně podpořeno jen několik projektů v celkové výši 20 milionů korun.</w:t>
      </w:r>
      <w:r w:rsidRPr="00F02802">
        <w:rPr>
          <w:rFonts w:cstheme="minorHAnsi"/>
          <w:sz w:val="20"/>
          <w:szCs w:val="20"/>
        </w:rPr>
        <w:t xml:space="preserve">“ </w:t>
      </w:r>
      <w:r w:rsidRPr="00C77EC8">
        <w:rPr>
          <w:rFonts w:cstheme="minorHAnsi"/>
          <w:sz w:val="20"/>
          <w:szCs w:val="20"/>
        </w:rPr>
        <w:t xml:space="preserve">Dostupné z: </w:t>
      </w:r>
      <w:hyperlink r:id="rId2" w:anchor="vars!panel=12113633" w:history="1">
        <w:r w:rsidRPr="00C77EC8">
          <w:rPr>
            <w:rStyle w:val="Hypertextovodkaz"/>
            <w:rFonts w:cstheme="minorHAnsi"/>
            <w:sz w:val="20"/>
            <w:szCs w:val="20"/>
          </w:rPr>
          <w:t>http://www.tiki-toki.com/timeline/entry/656735/Pro-v-esku-vyrostlo-za-26-let-pes-600-chudinskch-tvrt/#vars!panel=12113633</w:t>
        </w:r>
      </w:hyperlink>
      <w:r w:rsidRPr="00E20EBF">
        <w:rPr>
          <w:rStyle w:val="Hypertextovodkaz"/>
          <w:sz w:val="20"/>
          <w:szCs w:val="20"/>
        </w:rPr>
        <w:t>!</w:t>
      </w:r>
    </w:p>
  </w:footnote>
  <w:footnote w:id="14">
    <w:p w14:paraId="592A989F" w14:textId="582527EB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54F2F">
        <w:rPr>
          <w:i/>
        </w:rPr>
        <w:t>Analýza sociálně vyloučených lokalit v ČR</w:t>
      </w:r>
      <w:r>
        <w:t>, kterou pro Ministerstvo práce a sociálních věcí vypracovala v roce 2015 společnost GAC spol. s.r.o.</w:t>
      </w:r>
    </w:p>
  </w:footnote>
  <w:footnote w:id="15">
    <w:p w14:paraId="71678E8B" w14:textId="71487D04" w:rsidR="003D2671" w:rsidRPr="00115542" w:rsidRDefault="003D2671" w:rsidP="00EA554E">
      <w:pPr>
        <w:pStyle w:val="Textpoznpodarou"/>
        <w:tabs>
          <w:tab w:val="clear" w:pos="284"/>
        </w:tabs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15542">
        <w:t>Výstupy typu „dokument“ (analýz</w:t>
      </w:r>
      <w:r>
        <w:t xml:space="preserve">y, </w:t>
      </w:r>
      <w:r w:rsidRPr="00115542">
        <w:t>zpráv</w:t>
      </w:r>
      <w:r>
        <w:t xml:space="preserve">y, </w:t>
      </w:r>
      <w:r w:rsidRPr="00115542">
        <w:t>metodik</w:t>
      </w:r>
      <w:r>
        <w:t>y</w:t>
      </w:r>
      <w:r w:rsidRPr="00115542">
        <w:t>, manuál</w:t>
      </w:r>
      <w:r>
        <w:t>y</w:t>
      </w:r>
      <w:r w:rsidRPr="00115542">
        <w:t>) a výstupy typu „akce“ (platform</w:t>
      </w:r>
      <w:r>
        <w:t>y</w:t>
      </w:r>
      <w:r w:rsidRPr="00115542">
        <w:t>/setkání</w:t>
      </w:r>
      <w:r>
        <w:t xml:space="preserve">, </w:t>
      </w:r>
      <w:r w:rsidRPr="00115542">
        <w:t>zasedání pracovní skupiny</w:t>
      </w:r>
      <w:r>
        <w:t xml:space="preserve">, </w:t>
      </w:r>
      <w:r w:rsidRPr="00115542">
        <w:t>seminář</w:t>
      </w:r>
      <w:r>
        <w:t xml:space="preserve">e, </w:t>
      </w:r>
      <w:r w:rsidRPr="00115542">
        <w:t>workshop</w:t>
      </w:r>
      <w:r>
        <w:t>y</w:t>
      </w:r>
      <w:r w:rsidRPr="00115542">
        <w:t>).</w:t>
      </w:r>
    </w:p>
  </w:footnote>
  <w:footnote w:id="16">
    <w:p w14:paraId="052CBF62" w14:textId="36D03F74" w:rsidR="003D2671" w:rsidRPr="00AE21A4" w:rsidRDefault="003D2671" w:rsidP="00AE21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E21A4">
        <w:t xml:space="preserve">Velký senát </w:t>
      </w:r>
      <w:r>
        <w:t xml:space="preserve">Evropského soudu pro lidská práva </w:t>
      </w:r>
      <w:r w:rsidRPr="00AE21A4">
        <w:t>připustil, že zřízení zvláštních škol bylo motivováno potřebou nalézt řešení pro děti se specifickými vzdělávacími potřebami. Nicméně psychologické testy byly koncipovány pro většinovou společnost a nebraly v úvahu specifika romské populace.</w:t>
      </w:r>
    </w:p>
  </w:footnote>
  <w:footnote w:id="17">
    <w:p w14:paraId="34C22C74" w14:textId="3AF3A10C" w:rsidR="003D2671" w:rsidRDefault="003D2671" w:rsidP="003465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Zákon č. 178/2016 Sb., k</w:t>
      </w:r>
      <w:r w:rsidRPr="00A1573E">
        <w:t>terým se mění zákon č. 561/2004 Sb., o předškolním, základním, středním, vyšším odborném a jiném vzdělávání (školský zákon), ve znění pozdějších předp</w:t>
      </w:r>
      <w:r>
        <w:t>isů, a zákon č. 200/1990 Sb., o </w:t>
      </w:r>
      <w:r w:rsidRPr="00A1573E">
        <w:t>přestupcích, ve znění pozdějších předpisů</w:t>
      </w:r>
      <w:r>
        <w:t>.</w:t>
      </w:r>
    </w:p>
  </w:footnote>
  <w:footnote w:id="18">
    <w:p w14:paraId="29B41596" w14:textId="2BDBB045" w:rsidR="003D2671" w:rsidRPr="004D757E" w:rsidRDefault="003D2671" w:rsidP="004800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8008D">
        <w:t xml:space="preserve">Podpůrná opatření jsou definována školským zákonem, podle rozsahu a obsahu se člení </w:t>
      </w:r>
      <w:proofErr w:type="gramStart"/>
      <w:r w:rsidRPr="0048008D">
        <w:t>do I.–V. stupně</w:t>
      </w:r>
      <w:proofErr w:type="gramEnd"/>
      <w:r w:rsidRPr="0048008D">
        <w:t xml:space="preserve">. Podpůrná opatření představují podporu pro práci pedagoga s žákem, kdy jeho vzdělávání </w:t>
      </w:r>
      <w:r w:rsidRPr="00387B70">
        <w:t>v různé</w:t>
      </w:r>
      <w:r w:rsidRPr="0048008D">
        <w:t xml:space="preserve"> míře vyžaduje upravit </w:t>
      </w:r>
      <w:r>
        <w:t xml:space="preserve">jeho </w:t>
      </w:r>
      <w:r w:rsidRPr="0048008D">
        <w:t>průběh</w:t>
      </w:r>
      <w:r>
        <w:t xml:space="preserve">. </w:t>
      </w:r>
    </w:p>
  </w:footnote>
  <w:footnote w:id="19">
    <w:p w14:paraId="30937A87" w14:textId="399756E9" w:rsidR="003D2671" w:rsidRDefault="003D2671" w:rsidP="0034659F">
      <w:pPr>
        <w:pStyle w:val="Textpoznpodarou"/>
      </w:pPr>
      <w:r w:rsidRPr="004D757E">
        <w:rPr>
          <w:rStyle w:val="Znakapoznpodarou"/>
          <w:rFonts w:ascii="Calibri" w:hAnsi="Calibri" w:cs="Calibri"/>
        </w:rPr>
        <w:footnoteRef/>
      </w:r>
      <w:r w:rsidRPr="004D757E">
        <w:rPr>
          <w:rFonts w:ascii="Calibri" w:hAnsi="Calibri" w:cs="Calibri"/>
        </w:rPr>
        <w:t xml:space="preserve"> </w:t>
      </w:r>
      <w:r w:rsidRPr="004D757E">
        <w:rPr>
          <w:rFonts w:ascii="Calibri" w:hAnsi="Calibri" w:cs="Calibri"/>
        </w:rPr>
        <w:tab/>
      </w:r>
      <w:r>
        <w:t xml:space="preserve">Vyhláška </w:t>
      </w:r>
      <w:r w:rsidRPr="004F5789">
        <w:rPr>
          <w:rFonts w:cstheme="minorHAnsi"/>
          <w:color w:val="000000"/>
          <w:lang w:bidi="cs-CZ"/>
        </w:rPr>
        <w:t>č. 27/2016</w:t>
      </w:r>
      <w:r>
        <w:rPr>
          <w:rFonts w:cstheme="minorHAnsi"/>
          <w:color w:val="000000"/>
          <w:lang w:bidi="cs-CZ"/>
        </w:rPr>
        <w:t xml:space="preserve"> Sb., </w:t>
      </w:r>
      <w:r>
        <w:t xml:space="preserve">o vzdělávání žáků se speciálními vzdělávacími potřebami a žáků nadaných. </w:t>
      </w:r>
    </w:p>
  </w:footnote>
  <w:footnote w:id="20">
    <w:p w14:paraId="24780E0D" w14:textId="085411BE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Každý z ESIF podporuje tematické cíle uvedené v článku 9 Obecného nařízení s cílem přispět ke strategii EU pro inteligentní a udržitelný růst podporující začlenění (strategie </w:t>
      </w:r>
      <w:r w:rsidRPr="004D757E">
        <w:rPr>
          <w:i/>
        </w:rPr>
        <w:t>Evropa 2020</w:t>
      </w:r>
      <w:r>
        <w:t xml:space="preserve">) a k plnění zvláštních úkolů stanovených pro jednotlivé fondy v souladu s jejich cíli vycházejícími ze </w:t>
      </w:r>
      <w:r w:rsidRPr="004D757E">
        <w:rPr>
          <w:i/>
        </w:rPr>
        <w:t>Smlouvy o fungování EU</w:t>
      </w:r>
      <w:r>
        <w:t xml:space="preserve">, včetně politiky hospodářské, sociální a územní soudržnosti. </w:t>
      </w:r>
    </w:p>
  </w:footnote>
  <w:footnote w:id="21">
    <w:p w14:paraId="727CED59" w14:textId="1702B382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Projekty systémového charakteru s celostátním dopadem.</w:t>
      </w:r>
    </w:p>
  </w:footnote>
  <w:footnote w:id="22">
    <w:p w14:paraId="46098FBE" w14:textId="407BDB8F" w:rsidR="003D2671" w:rsidRPr="00DE3CFF" w:rsidRDefault="003D2671" w:rsidP="007F4CE5">
      <w:pPr>
        <w:pStyle w:val="Textpoznpodarou"/>
      </w:pPr>
      <w:r w:rsidRPr="00DE3CFF">
        <w:rPr>
          <w:rStyle w:val="Znakapoznpodarou"/>
          <w:rFonts w:eastAsia="Calibri"/>
        </w:rPr>
        <w:footnoteRef/>
      </w:r>
      <w:r w:rsidRPr="00DE3CFF">
        <w:t xml:space="preserve"> </w:t>
      </w:r>
      <w:r>
        <w:tab/>
      </w:r>
      <w:r w:rsidRPr="00DE3CFF">
        <w:t>Adresářovým zdrojem byl školský rejstřík zveřejněný k 29. 11. 2019, jehož aktuálnost NKÚ potvrdilo MŠMT.</w:t>
      </w:r>
    </w:p>
  </w:footnote>
  <w:footnote w:id="23">
    <w:p w14:paraId="203B4AC9" w14:textId="0EC056C3" w:rsidR="003D2671" w:rsidRDefault="003D2671" w:rsidP="007C69A0">
      <w:pPr>
        <w:pStyle w:val="Textpoznpodarou"/>
      </w:pPr>
      <w:r w:rsidRPr="00DE3CFF">
        <w:rPr>
          <w:rStyle w:val="Znakapoznpodarou"/>
        </w:rPr>
        <w:footnoteRef/>
      </w:r>
      <w:r w:rsidRPr="00DE3CFF">
        <w:t xml:space="preserve"> </w:t>
      </w:r>
      <w:r>
        <w:tab/>
      </w:r>
      <w:r w:rsidRPr="00DE3CFF">
        <w:rPr>
          <w:rFonts w:ascii="Calibri" w:hAnsi="Calibri" w:cs="Calibri"/>
          <w:lang w:eastAsia="en-US"/>
        </w:rPr>
        <w:t>NKÚ vyřadil ze závěrečného hodnocení odpovědí 11 dotazníků, které vykazovaly chyby bránící statistickému vyhodnocení (chyby např. ve struktuře identifikátoru školy RED-IZO, nedodržení pokynů při vyplňování některých číselných údajů apod.)</w:t>
      </w:r>
      <w:r>
        <w:rPr>
          <w:rFonts w:ascii="Calibri" w:hAnsi="Calibri" w:cs="Calibri"/>
          <w:lang w:eastAsia="en-US"/>
        </w:rPr>
        <w:t>.</w:t>
      </w:r>
    </w:p>
  </w:footnote>
  <w:footnote w:id="24">
    <w:p w14:paraId="3C2350AA" w14:textId="0A4FC751" w:rsidR="003D2671" w:rsidRPr="00735A9C" w:rsidRDefault="003D2671" w:rsidP="007C69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35A9C">
        <w:t xml:space="preserve">Operační program </w:t>
      </w:r>
      <w:r w:rsidRPr="006E0A37">
        <w:rPr>
          <w:i/>
        </w:rPr>
        <w:t>Vzdělávání pro konkurenceschopnost</w:t>
      </w:r>
      <w:r w:rsidRPr="00735A9C">
        <w:t xml:space="preserve"> administrovaný</w:t>
      </w:r>
      <w:r>
        <w:t xml:space="preserve"> MŠMT v programovém období 2007–</w:t>
      </w:r>
      <w:r w:rsidRPr="00735A9C">
        <w:t>2013.</w:t>
      </w:r>
    </w:p>
  </w:footnote>
  <w:footnote w:id="25">
    <w:p w14:paraId="31DA6685" w14:textId="77777777" w:rsidR="003D2671" w:rsidRPr="00735A9C" w:rsidRDefault="003D2671" w:rsidP="007C69A0">
      <w:pPr>
        <w:pStyle w:val="Textpoznpodarou"/>
      </w:pPr>
      <w:r w:rsidRPr="00735A9C">
        <w:rPr>
          <w:rStyle w:val="Znakapoznpodarou"/>
        </w:rPr>
        <w:footnoteRef/>
      </w:r>
      <w:r w:rsidRPr="00735A9C">
        <w:t xml:space="preserve"> </w:t>
      </w:r>
      <w:r w:rsidRPr="00735A9C">
        <w:tab/>
        <w:t xml:space="preserve">Dotační a rozvojové programy MŠMT tvoří 8,6 % z uvedených výdajů. </w:t>
      </w:r>
    </w:p>
  </w:footnote>
  <w:footnote w:id="26">
    <w:p w14:paraId="229BD136" w14:textId="77777777" w:rsidR="003D2671" w:rsidRPr="00735A9C" w:rsidRDefault="003D2671" w:rsidP="007C69A0">
      <w:pPr>
        <w:pStyle w:val="Textpoznpodarou"/>
      </w:pPr>
      <w:r w:rsidRPr="00735A9C">
        <w:rPr>
          <w:rStyle w:val="Znakapoznpodarou"/>
        </w:rPr>
        <w:footnoteRef/>
      </w:r>
      <w:r w:rsidRPr="00735A9C">
        <w:t xml:space="preserve"> </w:t>
      </w:r>
      <w:r w:rsidRPr="00735A9C">
        <w:tab/>
        <w:t>Investiční projekty zaměřené na vytvoření podmínek pro společné (inkluzivní) vzdělávání žáků.</w:t>
      </w:r>
    </w:p>
  </w:footnote>
  <w:footnote w:id="27">
    <w:p w14:paraId="2A481B42" w14:textId="5B4C369D" w:rsidR="003D2671" w:rsidRDefault="003D2671" w:rsidP="008825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Výzvy ke zpracování </w:t>
      </w:r>
      <w:r>
        <w:rPr>
          <w:i/>
        </w:rPr>
        <w:t>k</w:t>
      </w:r>
      <w:r w:rsidRPr="00AE2C2B">
        <w:rPr>
          <w:i/>
        </w:rPr>
        <w:t>rajských akčních plánů</w:t>
      </w:r>
      <w:r>
        <w:t xml:space="preserve">, </w:t>
      </w:r>
      <w:r>
        <w:rPr>
          <w:i/>
        </w:rPr>
        <w:t>m</w:t>
      </w:r>
      <w:r w:rsidRPr="00AE2C2B">
        <w:rPr>
          <w:i/>
        </w:rPr>
        <w:t>ístních akčních plánů</w:t>
      </w:r>
      <w:r>
        <w:t xml:space="preserve"> a k implementaci jejich témat, včetně metodické podpory při tvorbě těchto plánů. </w:t>
      </w:r>
    </w:p>
  </w:footnote>
  <w:footnote w:id="28">
    <w:p w14:paraId="37A40B93" w14:textId="77777777" w:rsidR="003D2671" w:rsidRPr="00CB6081" w:rsidRDefault="003D2671" w:rsidP="00E21F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Projekty „</w:t>
      </w:r>
      <w:r w:rsidRPr="00EE1FFD">
        <w:t>APIV A</w:t>
      </w:r>
      <w:r>
        <w:t>“</w:t>
      </w:r>
      <w:r w:rsidRPr="00EE1FFD">
        <w:t xml:space="preserve"> a </w:t>
      </w:r>
      <w:r>
        <w:t>„</w:t>
      </w:r>
      <w:r w:rsidRPr="00EE1FFD">
        <w:t>APIV B</w:t>
      </w:r>
      <w:r>
        <w:t>“ poskytující m</w:t>
      </w:r>
      <w:r w:rsidRPr="00CB6081">
        <w:t xml:space="preserve">entorské vedení pro učitele, </w:t>
      </w:r>
      <w:proofErr w:type="spellStart"/>
      <w:r w:rsidRPr="00CB6081">
        <w:t>koučink</w:t>
      </w:r>
      <w:proofErr w:type="spellEnd"/>
      <w:r w:rsidRPr="00CB6081">
        <w:t xml:space="preserve"> pro ředitele škol, poradenské a konzultační služby přímo v krajích a nabídk</w:t>
      </w:r>
      <w:r>
        <w:t>u</w:t>
      </w:r>
      <w:r w:rsidRPr="00CB6081">
        <w:t xml:space="preserve"> dalšího vzdělávání pro pedagogické pracovníky i zástupce veřejné správy</w:t>
      </w:r>
      <w:r>
        <w:t>.</w:t>
      </w:r>
    </w:p>
  </w:footnote>
  <w:footnote w:id="29">
    <w:p w14:paraId="2B5CE1D1" w14:textId="77777777" w:rsidR="003D2671" w:rsidRPr="00573F41" w:rsidRDefault="003D2671" w:rsidP="00E21F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73F41">
        <w:t xml:space="preserve">Projekty typu „šablony“ určené pro </w:t>
      </w:r>
      <w:r>
        <w:t>ZŠ</w:t>
      </w:r>
      <w:r w:rsidRPr="00573F41">
        <w:t xml:space="preserve"> podpořené v rámci výzev PO 3</w:t>
      </w:r>
      <w:r>
        <w:t xml:space="preserve"> OP VVV</w:t>
      </w:r>
      <w:r w:rsidRPr="00573F41">
        <w:t>.</w:t>
      </w:r>
    </w:p>
  </w:footnote>
  <w:footnote w:id="30">
    <w:p w14:paraId="254FD97B" w14:textId="4D9B70FA" w:rsidR="003D2671" w:rsidRDefault="003D2671" w:rsidP="00E21F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Pracovní </w:t>
      </w:r>
      <w:r w:rsidRPr="00086B17">
        <w:t xml:space="preserve">pozice </w:t>
      </w:r>
      <w:r w:rsidRPr="001B58BE">
        <w:rPr>
          <w:rFonts w:cstheme="minorHAnsi"/>
        </w:rPr>
        <w:t>školního psychologa</w:t>
      </w:r>
      <w:r w:rsidRPr="004B080E">
        <w:rPr>
          <w:rFonts w:cstheme="minorHAnsi"/>
        </w:rPr>
        <w:t xml:space="preserve"> není zakotven</w:t>
      </w:r>
      <w:r>
        <w:rPr>
          <w:rFonts w:cstheme="minorHAnsi"/>
        </w:rPr>
        <w:t>a</w:t>
      </w:r>
      <w:r w:rsidRPr="004B080E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4B080E">
        <w:rPr>
          <w:rFonts w:cstheme="minorHAnsi"/>
        </w:rPr>
        <w:t>legislativě</w:t>
      </w:r>
      <w:r>
        <w:rPr>
          <w:rFonts w:cstheme="minorHAnsi"/>
        </w:rPr>
        <w:t xml:space="preserve"> pro oblast vzdělávání</w:t>
      </w:r>
      <w:r w:rsidRPr="004B080E">
        <w:rPr>
          <w:rFonts w:cstheme="minorHAnsi"/>
        </w:rPr>
        <w:t>.</w:t>
      </w:r>
    </w:p>
  </w:footnote>
  <w:footnote w:id="31">
    <w:p w14:paraId="47C2988E" w14:textId="28580F22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16155">
        <w:t>Memoranda o spolupráci uzavřená s</w:t>
      </w:r>
      <w:r>
        <w:t> </w:t>
      </w:r>
      <w:r w:rsidRPr="00716155">
        <w:t>obcemi</w:t>
      </w:r>
      <w:r>
        <w:t>.</w:t>
      </w:r>
    </w:p>
  </w:footnote>
  <w:footnote w:id="32">
    <w:p w14:paraId="59A4F4BB" w14:textId="5F4A0BD2" w:rsidR="003D2671" w:rsidRDefault="003D2671" w:rsidP="004C21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U výzvy č. 02_19_075 bylo datum ukončení příjmu žádostí o podporu stanoveno na 30. 6. 2020.</w:t>
      </w:r>
    </w:p>
  </w:footnote>
  <w:footnote w:id="33">
    <w:p w14:paraId="0C54E80A" w14:textId="5D92CB20" w:rsidR="003D2671" w:rsidRDefault="003D2671" w:rsidP="00AD6F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Výzva OP VVV č. </w:t>
      </w:r>
      <w:r w:rsidRPr="001F6F45">
        <w:t>02_15_002</w:t>
      </w:r>
      <w:r>
        <w:t xml:space="preserve"> – </w:t>
      </w:r>
      <w:r w:rsidRPr="00D70221">
        <w:rPr>
          <w:i/>
        </w:rPr>
        <w:t>Krajské akční plány rozvoje vzdělávání</w:t>
      </w:r>
      <w:r>
        <w:t xml:space="preserve"> v rámci investiční priority 1 – SC 3 a </w:t>
      </w:r>
      <w:r w:rsidRPr="001F6F45">
        <w:t>SC</w:t>
      </w:r>
      <w:r>
        <w:t> </w:t>
      </w:r>
      <w:r w:rsidRPr="001F6F45">
        <w:t>5</w:t>
      </w:r>
      <w:r>
        <w:t xml:space="preserve">, alokace 340 mil. Kč; výzva OP VVV č. </w:t>
      </w:r>
      <w:r w:rsidRPr="001F6F45">
        <w:t>02_16_034</w:t>
      </w:r>
      <w:r>
        <w:t xml:space="preserve"> </w:t>
      </w:r>
      <w:r w:rsidRPr="00D70221">
        <w:rPr>
          <w:i/>
        </w:rPr>
        <w:t>– Implementace krajských akčních plánů</w:t>
      </w:r>
      <w:r>
        <w:t xml:space="preserve"> v rámci investiční priority 1 – </w:t>
      </w:r>
      <w:r w:rsidRPr="001F6F45">
        <w:t>SC</w:t>
      </w:r>
      <w:r>
        <w:t> </w:t>
      </w:r>
      <w:r w:rsidRPr="001F6F45">
        <w:t>5</w:t>
      </w:r>
      <w:r>
        <w:t xml:space="preserve">, alokace 1 750 mil. Kč; výzva OP VVV č. </w:t>
      </w:r>
      <w:r w:rsidRPr="001F6F45">
        <w:t>02_19_078</w:t>
      </w:r>
      <w:r>
        <w:t xml:space="preserve"> – </w:t>
      </w:r>
      <w:r w:rsidRPr="00D70221">
        <w:rPr>
          <w:i/>
        </w:rPr>
        <w:t>Implementace krajských akčních plánů II</w:t>
      </w:r>
      <w:r>
        <w:t xml:space="preserve"> v rámci investiční priority 1 – SC 2, SC 4 a </w:t>
      </w:r>
      <w:r w:rsidRPr="001F6F45">
        <w:t>SC</w:t>
      </w:r>
      <w:r>
        <w:t> </w:t>
      </w:r>
      <w:r w:rsidRPr="001F6F45">
        <w:t>5</w:t>
      </w:r>
      <w:r>
        <w:t>, alokace 3 650 mil. Kč.</w:t>
      </w:r>
    </w:p>
  </w:footnote>
  <w:footnote w:id="34">
    <w:p w14:paraId="28248F32" w14:textId="5F30F7DA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A23B8">
        <w:t xml:space="preserve">Tento přístup, tj. </w:t>
      </w:r>
      <w:r>
        <w:t>na</w:t>
      </w:r>
      <w:r w:rsidRPr="006A23B8">
        <w:t xml:space="preserve">vázání investičních projektů z IROP na </w:t>
      </w:r>
      <w:proofErr w:type="gramStart"/>
      <w:r w:rsidRPr="006A23B8">
        <w:t>KAP</w:t>
      </w:r>
      <w:proofErr w:type="gramEnd"/>
      <w:r w:rsidRPr="006A23B8">
        <w:t>, primárně vychází z požadavků Evropské komise, a to s ohledem na přístup „</w:t>
      </w:r>
      <w:proofErr w:type="spellStart"/>
      <w:r w:rsidRPr="006A23B8">
        <w:t>Bottom</w:t>
      </w:r>
      <w:proofErr w:type="spellEnd"/>
      <w:r w:rsidRPr="006A23B8">
        <w:t>-Up“, tj. plánování projektu „zdola nahoru“.</w:t>
      </w:r>
    </w:p>
  </w:footnote>
  <w:footnote w:id="35">
    <w:p w14:paraId="354B353E" w14:textId="6E2D10DF" w:rsidR="003D2671" w:rsidRPr="008A04F9" w:rsidRDefault="003D2671" w:rsidP="008F08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A04F9">
        <w:t>Školská poradenská zařízení = pedagogicko</w:t>
      </w:r>
      <w:r>
        <w:t>-</w:t>
      </w:r>
      <w:r w:rsidRPr="008A04F9">
        <w:t>psychologické poradny anebo speciálně pedagogické centrum podle § 116 školského zákona.</w:t>
      </w:r>
    </w:p>
  </w:footnote>
  <w:footnote w:id="36">
    <w:p w14:paraId="5D0A943C" w14:textId="0251740A" w:rsidR="003D2671" w:rsidRDefault="003D2671" w:rsidP="00B13A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B6BEE">
        <w:rPr>
          <w:rFonts w:cstheme="minorHAnsi"/>
        </w:rPr>
        <w:t xml:space="preserve">Výbor pro evropské fondy </w:t>
      </w:r>
      <w:r>
        <w:rPr>
          <w:rFonts w:cstheme="minorHAnsi"/>
        </w:rPr>
        <w:t>Z</w:t>
      </w:r>
      <w:r w:rsidRPr="00AB6BEE">
        <w:rPr>
          <w:rFonts w:cstheme="minorHAnsi"/>
        </w:rPr>
        <w:t>astupitelstva HMP</w:t>
      </w:r>
      <w:r>
        <w:rPr>
          <w:rFonts w:cstheme="minorHAnsi"/>
        </w:rPr>
        <w:t>, Rada</w:t>
      </w:r>
      <w:r w:rsidRPr="00AB6BEE">
        <w:rPr>
          <w:rFonts w:cstheme="minorHAnsi"/>
        </w:rPr>
        <w:t xml:space="preserve"> HMP a </w:t>
      </w:r>
      <w:r>
        <w:rPr>
          <w:rFonts w:cstheme="minorHAnsi"/>
        </w:rPr>
        <w:t>Zastupitelstvo</w:t>
      </w:r>
      <w:r w:rsidRPr="00AB6BEE">
        <w:rPr>
          <w:rFonts w:cstheme="minorHAnsi"/>
        </w:rPr>
        <w:t xml:space="preserve"> HMP</w:t>
      </w:r>
      <w:r>
        <w:rPr>
          <w:rFonts w:cstheme="minorHAnsi"/>
        </w:rPr>
        <w:t>.</w:t>
      </w:r>
    </w:p>
  </w:footnote>
  <w:footnote w:id="37">
    <w:p w14:paraId="67D27627" w14:textId="49A931E6" w:rsidR="003D2671" w:rsidRDefault="003D2671" w:rsidP="00640A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B6BEE">
        <w:rPr>
          <w:rFonts w:cstheme="minorHAnsi"/>
        </w:rPr>
        <w:t xml:space="preserve">Například u projektu </w:t>
      </w:r>
      <w:r w:rsidRPr="00D70221">
        <w:rPr>
          <w:rFonts w:cstheme="minorHAnsi"/>
          <w:i/>
        </w:rPr>
        <w:t>Rovnost a rozdílnost - Komplexní podpora pedagogů při začleňování principů multikulturní výchovy a inkluze do života školy</w:t>
      </w:r>
      <w:r w:rsidRPr="00B13A72">
        <w:rPr>
          <w:rFonts w:cstheme="minorHAnsi"/>
        </w:rPr>
        <w:t xml:space="preserve"> </w:t>
      </w:r>
      <w:r w:rsidRPr="00AB6BEE">
        <w:rPr>
          <w:rFonts w:cstheme="minorHAnsi"/>
        </w:rPr>
        <w:t xml:space="preserve">se v rámci procesu věcného hodnocení dva hodnotitelé významně neshodli na splnění tří kritérií. Hodnotitelé v souhrnném komentáři k hodnocení nevyužili možnost konkrétně se vyjádřit k jednotlivým </w:t>
      </w:r>
      <w:r w:rsidRPr="00417CB1">
        <w:rPr>
          <w:rFonts w:cstheme="minorHAnsi"/>
        </w:rPr>
        <w:t xml:space="preserve">klíčovým aktivitám projektu, zejména ke klíčové aktivitě 5 </w:t>
      </w:r>
      <w:r w:rsidRPr="00D70221">
        <w:rPr>
          <w:rFonts w:cstheme="minorHAnsi"/>
          <w:i/>
        </w:rPr>
        <w:t>Zahraniční studijní pobyt</w:t>
      </w:r>
      <w:r w:rsidRPr="00417CB1">
        <w:rPr>
          <w:rFonts w:cstheme="minorHAnsi"/>
        </w:rPr>
        <w:t>, což je z pohledu financování nejvýznamnější položka</w:t>
      </w:r>
      <w:r>
        <w:rPr>
          <w:rFonts w:cstheme="minorHAnsi"/>
        </w:rPr>
        <w:t>,</w:t>
      </w:r>
      <w:r w:rsidRPr="00417CB1">
        <w:rPr>
          <w:rFonts w:cstheme="minorHAnsi"/>
        </w:rPr>
        <w:t xml:space="preserve"> tvoří 23 % jiných než osobních nákladů.</w:t>
      </w:r>
      <w:r>
        <w:rPr>
          <w:rFonts w:cstheme="minorHAnsi"/>
        </w:rPr>
        <w:t xml:space="preserve"> Tato k</w:t>
      </w:r>
      <w:r w:rsidRPr="00417CB1">
        <w:rPr>
          <w:rFonts w:cstheme="minorHAnsi"/>
        </w:rPr>
        <w:t xml:space="preserve">líčová aktivita se nejeví jako </w:t>
      </w:r>
      <w:r>
        <w:rPr>
          <w:rFonts w:cstheme="minorHAnsi"/>
        </w:rPr>
        <w:t xml:space="preserve">zcela </w:t>
      </w:r>
      <w:r w:rsidRPr="00417CB1">
        <w:rPr>
          <w:rFonts w:cstheme="minorHAnsi"/>
        </w:rPr>
        <w:t>nezbytná a finančně přiměřená pro řešení identifikovaných p</w:t>
      </w:r>
      <w:r>
        <w:rPr>
          <w:rFonts w:cstheme="minorHAnsi"/>
        </w:rPr>
        <w:t>otřeb a problémů cílové skupiny.</w:t>
      </w:r>
    </w:p>
  </w:footnote>
  <w:footnote w:id="38">
    <w:p w14:paraId="598BCAE5" w14:textId="267E6CE8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Změna, která může zakládat změnu právního aktu a podléhá schválení ze strany řídicího orgánu.</w:t>
      </w:r>
    </w:p>
  </w:footnote>
  <w:footnote w:id="39">
    <w:p w14:paraId="68304020" w14:textId="1C91BB14" w:rsidR="003D2671" w:rsidRPr="006C233F" w:rsidRDefault="003D2671" w:rsidP="006C23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C233F">
        <w:t>Formulace, že „má být zažádáno předem“, není přesná.</w:t>
      </w:r>
    </w:p>
  </w:footnote>
  <w:footnote w:id="40">
    <w:p w14:paraId="5DA6F350" w14:textId="5A7BFB61" w:rsidR="003D2671" w:rsidRDefault="003D2671" w:rsidP="000245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Všechny cíle v rámci programové hierarchie by měly být konkrétní, relevantní, časově vymezené, měřitelné a dosažitelné.</w:t>
      </w:r>
    </w:p>
  </w:footnote>
  <w:footnote w:id="41">
    <w:p w14:paraId="52D07DF1" w14:textId="609447D3" w:rsidR="003D2671" w:rsidRPr="004730D9" w:rsidRDefault="003D2671" w:rsidP="004730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730D9">
        <w:t>Časově vymezené jsou všechny specifické cíle PO 3, a to do roku 2023</w:t>
      </w:r>
      <w:r>
        <w:t xml:space="preserve">; </w:t>
      </w:r>
      <w:r w:rsidRPr="004730D9">
        <w:t xml:space="preserve">některé z výstupových </w:t>
      </w:r>
      <w:r>
        <w:t>indikátorů i </w:t>
      </w:r>
      <w:r w:rsidRPr="004730D9">
        <w:t>prostřednictvím kontrolních věcných milníků roku 2018 (výkonnostní rámec)</w:t>
      </w:r>
      <w:r>
        <w:t>.</w:t>
      </w:r>
    </w:p>
  </w:footnote>
  <w:footnote w:id="42">
    <w:p w14:paraId="7D028EC7" w14:textId="2D864351" w:rsidR="003D2671" w:rsidRDefault="003D2671" w:rsidP="004730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Specifické cíle lze označit jako</w:t>
      </w:r>
      <w:r w:rsidRPr="00092FBB">
        <w:t xml:space="preserve"> </w:t>
      </w:r>
      <w:r>
        <w:t>relevantní, významně zvyšující pravděpodobnost dosažení obecného cíle v oblasti regionálního školství (excelentní vzdělání, rozvoj klíčových kompetencí a zlepšení kvality a efektivity vzdělávání a odborné přípravy...).</w:t>
      </w:r>
    </w:p>
  </w:footnote>
  <w:footnote w:id="43">
    <w:p w14:paraId="561E8C47" w14:textId="5C762F72" w:rsidR="003D2671" w:rsidRPr="00461439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85358">
        <w:rPr>
          <w:i/>
        </w:rPr>
        <w:t>Zpráva o plnění opatření Akčního plánu pro výkon rozsudku Evropského soudu p</w:t>
      </w:r>
      <w:r>
        <w:rPr>
          <w:i/>
        </w:rPr>
        <w:t>ro lidská práva ve věci D. H. a </w:t>
      </w:r>
      <w:r w:rsidRPr="00985358">
        <w:rPr>
          <w:i/>
        </w:rPr>
        <w:t>ostatní proti České republice</w:t>
      </w:r>
      <w:r w:rsidRPr="00461439">
        <w:t xml:space="preserve"> (komplexní zhodnocení reformy společného vzdělávání ve vztahu k romský</w:t>
      </w:r>
      <w:r>
        <w:t>m</w:t>
      </w:r>
      <w:r w:rsidRPr="00461439">
        <w:t xml:space="preserve"> žákům)</w:t>
      </w:r>
      <w:r>
        <w:t>, kapitola 10</w:t>
      </w:r>
      <w:r w:rsidRPr="00461439">
        <w:t xml:space="preserve">. </w:t>
      </w:r>
    </w:p>
  </w:footnote>
  <w:footnote w:id="44">
    <w:p w14:paraId="0673E83D" w14:textId="5404C5B8" w:rsidR="003D2671" w:rsidRPr="00985358" w:rsidRDefault="003D2671" w:rsidP="003B67DD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1372D">
        <w:t>Nedostatek dat souvisí s nemožností evidence etnicity osob orgány veřejné s</w:t>
      </w:r>
      <w:r>
        <w:t>právy, která plyne ze zákona č. </w:t>
      </w:r>
      <w:r w:rsidRPr="0051372D">
        <w:t>27</w:t>
      </w:r>
      <w:r>
        <w:t>3</w:t>
      </w:r>
      <w:r w:rsidRPr="0051372D">
        <w:t>/2001 Sb., o právech příslušníků národnostních menšin a o změně některých zákonů</w:t>
      </w:r>
      <w:r>
        <w:t xml:space="preserve">, jelikož dle ustanovení </w:t>
      </w:r>
      <w:r w:rsidRPr="0051372D">
        <w:t xml:space="preserve">§ 4 odst. 2 </w:t>
      </w:r>
      <w:r>
        <w:t xml:space="preserve">(první věty) </w:t>
      </w:r>
      <w:r w:rsidRPr="0051372D">
        <w:t>uvedeného zákona:</w:t>
      </w:r>
      <w:r w:rsidRPr="0051372D">
        <w:rPr>
          <w:i/>
        </w:rPr>
        <w:t xml:space="preserve"> „Orgány veřejné správy nevedou evidenci příslušníků národnostních menšin.“ </w:t>
      </w:r>
      <w:r w:rsidRPr="00001A88">
        <w:t xml:space="preserve">Absence dat je navíc umocněna v oblasti situace integrovaných Romů, kteří jsou tzv. </w:t>
      </w:r>
      <w:r>
        <w:t>„</w:t>
      </w:r>
      <w:r w:rsidRPr="00001A88">
        <w:t xml:space="preserve">neviditelní“, tj. neodlišují se zřetelně od většinové populace.“ Zdroj: </w:t>
      </w:r>
      <w:r w:rsidRPr="00985358">
        <w:rPr>
          <w:i/>
        </w:rPr>
        <w:t>Zpráva o stavu romské menšiny v ČR za rok 2018.</w:t>
      </w:r>
    </w:p>
  </w:footnote>
  <w:footnote w:id="45">
    <w:p w14:paraId="50CCCF62" w14:textId="56220ED7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Průměr EU (EU-28) za rok 2010 činil 13,9 % žáků ve věku 18–24 let předčasně opouštějících vzdělávání; v ČR opouštělo předčasně vzdělávání 4,9 % žáků.</w:t>
      </w:r>
    </w:p>
  </w:footnote>
  <w:footnote w:id="46">
    <w:p w14:paraId="24D03B87" w14:textId="645CA73C" w:rsidR="003D2671" w:rsidRDefault="003D2671" w:rsidP="002435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Průměr EU (EU-28) za rok 2019 činil 10,3 % žáků ve věku 18–24 let předčasně opouštějících vzdělávání. </w:t>
      </w:r>
      <w:hyperlink r:id="rId3" w:history="1">
        <w:r w:rsidRPr="00AC020E">
          <w:rPr>
            <w:rStyle w:val="Hypertextovodkaz"/>
          </w:rPr>
          <w:t>https://ec.europa.eu/eurostat/tgm/table.do?tab=table&amp;init=1&amp;language=en&amp;pcode=tesem020&amp;plugin=1</w:t>
        </w:r>
      </w:hyperlink>
      <w:r>
        <w:rPr>
          <w:rFonts w:cstheme="minorHAnsi"/>
          <w:lang w:eastAsia="en-US"/>
        </w:rPr>
        <w:t>.</w:t>
      </w:r>
    </w:p>
  </w:footnote>
  <w:footnote w:id="47">
    <w:p w14:paraId="63886B87" w14:textId="7DCF5106" w:rsidR="003D2671" w:rsidRPr="00716155" w:rsidRDefault="003D2671" w:rsidP="002435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N</w:t>
      </w:r>
      <w:r w:rsidRPr="00716155">
        <w:t xml:space="preserve">ad rámec </w:t>
      </w:r>
      <w:r>
        <w:t xml:space="preserve">těchto </w:t>
      </w:r>
      <w:r w:rsidRPr="00716155">
        <w:t xml:space="preserve">podkladů </w:t>
      </w:r>
      <w:r>
        <w:t xml:space="preserve">neposkytuje MŠMT údaje týkající se naplňování vnitrostátního cíle strategie </w:t>
      </w:r>
      <w:r w:rsidRPr="00FB0809">
        <w:rPr>
          <w:i/>
        </w:rPr>
        <w:t xml:space="preserve">Evropa 2020 </w:t>
      </w:r>
      <w:r>
        <w:t xml:space="preserve">ani </w:t>
      </w:r>
      <w:r w:rsidRPr="00716155">
        <w:t>Úřadu vlády ČR, ani Ministerstvu pro místní rozvoj</w:t>
      </w:r>
      <w:r>
        <w:t xml:space="preserve">. </w:t>
      </w:r>
    </w:p>
  </w:footnote>
  <w:footnote w:id="48">
    <w:p w14:paraId="45933F7C" w14:textId="4CF4B742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4327A">
        <w:t xml:space="preserve">MMR proto přijalo opatření a pro účely vykázání dosažených hodnot ve </w:t>
      </w:r>
      <w:r w:rsidRPr="0096493A">
        <w:rPr>
          <w:i/>
        </w:rPr>
        <w:t>Výroční zprávě IROP za rok 2019</w:t>
      </w:r>
      <w:r>
        <w:t xml:space="preserve"> z </w:t>
      </w:r>
      <w:r w:rsidRPr="0084327A">
        <w:t>kumulativní dosažené hodnoty za oba dotčené indikátory vyřadí na úrovni celého SC 2.4 identifikované duplicitní hodnoty.</w:t>
      </w:r>
    </w:p>
  </w:footnote>
  <w:footnote w:id="49">
    <w:p w14:paraId="680AF688" w14:textId="0279E969" w:rsidR="003D2671" w:rsidRPr="00C56D85" w:rsidRDefault="003D2671" w:rsidP="00A12B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56D85">
        <w:t xml:space="preserve">Individuální projekty národní </w:t>
      </w:r>
      <w:r>
        <w:t xml:space="preserve">podporované v programovém období 2007–2013 z OP VK </w:t>
      </w:r>
      <w:r w:rsidRPr="00C56D85">
        <w:t>pokrýva</w:t>
      </w:r>
      <w:r>
        <w:t xml:space="preserve">ly </w:t>
      </w:r>
      <w:r w:rsidRPr="00C56D85">
        <w:t>oblast celé Č</w:t>
      </w:r>
      <w:r>
        <w:t xml:space="preserve">R </w:t>
      </w:r>
      <w:r w:rsidRPr="00C56D85">
        <w:t xml:space="preserve">a </w:t>
      </w:r>
      <w:r>
        <w:t xml:space="preserve">byly </w:t>
      </w:r>
      <w:r w:rsidRPr="00C56D85">
        <w:t xml:space="preserve">předkládány z centrální úrovně. </w:t>
      </w:r>
      <w:r>
        <w:t xml:space="preserve">Byly </w:t>
      </w:r>
      <w:r w:rsidRPr="00C56D85">
        <w:t xml:space="preserve">zaměřeny především na realizaci nebo doplnění národní </w:t>
      </w:r>
      <w:r>
        <w:t xml:space="preserve">vzdělávací </w:t>
      </w:r>
      <w:r w:rsidRPr="00C56D85">
        <w:t>politiky</w:t>
      </w:r>
      <w:r>
        <w:t xml:space="preserve">. </w:t>
      </w:r>
    </w:p>
  </w:footnote>
  <w:footnote w:id="50">
    <w:p w14:paraId="021F7C6B" w14:textId="04666B3B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Projekty APIV A </w:t>
      </w:r>
      <w:proofErr w:type="spellStart"/>
      <w:r>
        <w:t>a</w:t>
      </w:r>
      <w:proofErr w:type="spellEnd"/>
      <w:r>
        <w:t xml:space="preserve"> APIV B realizují opatření z </w:t>
      </w:r>
      <w:r w:rsidRPr="00CF0F62">
        <w:rPr>
          <w:i/>
        </w:rPr>
        <w:t>Akčního plánu inkluzivního vzdělávání</w:t>
      </w:r>
      <w:r>
        <w:t xml:space="preserve"> (tj. APIV).</w:t>
      </w:r>
    </w:p>
  </w:footnote>
  <w:footnote w:id="51">
    <w:p w14:paraId="3455635A" w14:textId="648DE971" w:rsidR="003D2671" w:rsidRDefault="003D2671" w:rsidP="002711D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B5190">
        <w:t>Projekt byl zaměřen na ověření a nastavení podmínek inkluzivního vzdělá</w:t>
      </w:r>
      <w:r>
        <w:t xml:space="preserve">vání na ZŠ v ČR. Ve vybraných devíti </w:t>
      </w:r>
      <w:r w:rsidRPr="00AB5190">
        <w:t xml:space="preserve">lokalitách v ČR byla zřízena </w:t>
      </w:r>
      <w:r>
        <w:t>Centra</w:t>
      </w:r>
      <w:r w:rsidRPr="00AB5190">
        <w:t>, která měla pokrývat svými službami všechny kraje.</w:t>
      </w:r>
      <w:r>
        <w:t xml:space="preserve"> </w:t>
      </w:r>
      <w:r w:rsidRPr="005B3347">
        <w:t xml:space="preserve">Služby projektu CPIV </w:t>
      </w:r>
      <w:r>
        <w:t xml:space="preserve">byly </w:t>
      </w:r>
      <w:r w:rsidRPr="005B3347">
        <w:t>určeny pro pedagogické pracovníky zapojených škol a školských zařízení, vedoucí pracovníky škol a</w:t>
      </w:r>
      <w:r>
        <w:t> </w:t>
      </w:r>
      <w:r w:rsidRPr="005B3347">
        <w:t>školských zařízení, pracovníky nestátních neziskových organizací pracujících s dětmi a mládeží</w:t>
      </w:r>
      <w:r>
        <w:t>,</w:t>
      </w:r>
      <w:r w:rsidRPr="005B3347">
        <w:t xml:space="preserve"> pro děti a</w:t>
      </w:r>
      <w:r>
        <w:t> </w:t>
      </w:r>
      <w:r w:rsidRPr="005B3347">
        <w:t>žáky se speciálními vzdělávacími potřebami (včetně přípravných tříd a MŠ) a pro žáky ohrožené předčasným odchodem ze vzdělávání.</w:t>
      </w:r>
    </w:p>
  </w:footnote>
  <w:footnote w:id="52">
    <w:p w14:paraId="0890C048" w14:textId="334178E8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Téměř 27 % všech škol zúčastněných v průzkumu tvořily tzv. malotřídní školy.</w:t>
      </w:r>
    </w:p>
  </w:footnote>
  <w:footnote w:id="53">
    <w:p w14:paraId="61D1986D" w14:textId="77777777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F64EE">
        <w:rPr>
          <w:i/>
        </w:rPr>
        <w:t>Školní psycholog, speciální pedagog.</w:t>
      </w:r>
    </w:p>
  </w:footnote>
  <w:footnote w:id="54">
    <w:p w14:paraId="40D17DFE" w14:textId="77777777" w:rsidR="003D2671" w:rsidRDefault="003D2671">
      <w:pPr>
        <w:pStyle w:val="Textpoznpodarou"/>
      </w:pPr>
      <w:r w:rsidRPr="0011380F">
        <w:rPr>
          <w:rStyle w:val="Znakapoznpodarou"/>
          <w:rFonts w:cstheme="minorHAnsi"/>
        </w:rPr>
        <w:footnoteRef/>
      </w:r>
      <w:r w:rsidRPr="0011380F">
        <w:t xml:space="preserve"> </w:t>
      </w:r>
      <w:r>
        <w:tab/>
        <w:t xml:space="preserve">Citace z odpovědí na otázku z dotazníkového šetření NKÚ: </w:t>
      </w:r>
    </w:p>
    <w:p w14:paraId="3FDB3E6F" w14:textId="77777777" w:rsidR="003D2671" w:rsidRPr="0011380F" w:rsidRDefault="003D2671">
      <w:pPr>
        <w:pStyle w:val="Textpoznpodarou"/>
        <w:rPr>
          <w:rFonts w:cstheme="minorHAnsi"/>
          <w:i/>
        </w:rPr>
      </w:pPr>
      <w:r>
        <w:tab/>
      </w:r>
      <w:r w:rsidRPr="00CF0F62">
        <w:t>„</w:t>
      </w:r>
      <w:r w:rsidRPr="007F4CE5">
        <w:rPr>
          <w:i/>
        </w:rPr>
        <w:t>Díky financím z projektu EU máme školní poradenské pracoviště se speciálním pedagogem a psychologem, ačkoli jen na úvazek 0,5 a také pouze na krátké období.</w:t>
      </w:r>
      <w:r w:rsidRPr="00CF0F62">
        <w:t xml:space="preserve">“ </w:t>
      </w:r>
    </w:p>
    <w:p w14:paraId="58F6F4E6" w14:textId="49883560" w:rsidR="003D2671" w:rsidRPr="007F4CE5" w:rsidRDefault="003D2671">
      <w:pPr>
        <w:pStyle w:val="Textpoznpodarou"/>
        <w:rPr>
          <w:i/>
        </w:rPr>
      </w:pPr>
      <w:r>
        <w:rPr>
          <w:i/>
        </w:rPr>
        <w:tab/>
      </w:r>
      <w:r w:rsidRPr="00CF0F62">
        <w:t>„</w:t>
      </w:r>
      <w:r w:rsidRPr="007F4CE5">
        <w:rPr>
          <w:i/>
        </w:rPr>
        <w:t>Domnívám se, že by speciální pedagog měl být na každé škole a měl by být financován z prostředků MŠMT jako kmenový zaměstnanec a ne pouze z projektů EU</w:t>
      </w:r>
      <w:r>
        <w:rPr>
          <w:i/>
        </w:rPr>
        <w:t>.</w:t>
      </w:r>
      <w:r w:rsidRPr="00CF0F62">
        <w:t>“</w:t>
      </w:r>
    </w:p>
    <w:p w14:paraId="151E0DD3" w14:textId="6B9AA015" w:rsidR="003D2671" w:rsidRPr="00066028" w:rsidRDefault="003D2671">
      <w:pPr>
        <w:pStyle w:val="Textpoznpodarou"/>
      </w:pPr>
      <w:r>
        <w:rPr>
          <w:i/>
        </w:rPr>
        <w:tab/>
      </w:r>
      <w:r w:rsidRPr="00CF0F62">
        <w:t>„</w:t>
      </w:r>
      <w:r w:rsidRPr="007F4CE5">
        <w:rPr>
          <w:i/>
        </w:rPr>
        <w:t>Díky projektu šablony jsme mohli zřídit funkci speciálního pedagoga a školního asis</w:t>
      </w:r>
      <w:r>
        <w:rPr>
          <w:i/>
        </w:rPr>
        <w:t>tenta, kteří jsou placeni z </w:t>
      </w:r>
      <w:r w:rsidRPr="007F4CE5">
        <w:rPr>
          <w:i/>
        </w:rPr>
        <w:t>daného projektu</w:t>
      </w:r>
      <w:r w:rsidRPr="00CF0F62">
        <w:t>.“</w:t>
      </w:r>
    </w:p>
  </w:footnote>
  <w:footnote w:id="55">
    <w:p w14:paraId="753D9EF0" w14:textId="188893D9" w:rsidR="003D2671" w:rsidRPr="00CF0F62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Otázka č. </w:t>
      </w:r>
      <w:r w:rsidRPr="008B3357">
        <w:t xml:space="preserve">12: </w:t>
      </w:r>
      <w:r w:rsidRPr="00CF0F62">
        <w:t>„</w:t>
      </w:r>
      <w:r w:rsidRPr="008B3357">
        <w:rPr>
          <w:i/>
        </w:rPr>
        <w:t>V předchozí otázce jste odpověděli, že jste nespokoj</w:t>
      </w:r>
      <w:r>
        <w:rPr>
          <w:i/>
        </w:rPr>
        <w:t>eni se spoluprací s pedagogicko</w:t>
      </w:r>
      <w:r>
        <w:rPr>
          <w:i/>
        </w:rPr>
        <w:noBreakHyphen/>
      </w:r>
      <w:r w:rsidRPr="008B3357">
        <w:rPr>
          <w:i/>
        </w:rPr>
        <w:t>psychologickou poradnou. Zde můžete rozvést důvody</w:t>
      </w:r>
      <w:r w:rsidRPr="00CF0F62">
        <w:t>.“</w:t>
      </w:r>
    </w:p>
  </w:footnote>
  <w:footnote w:id="56">
    <w:p w14:paraId="41F4141E" w14:textId="56D95233" w:rsidR="003D2671" w:rsidRPr="004E5FB1" w:rsidRDefault="003D2671">
      <w:pPr>
        <w:spacing w:after="0"/>
        <w:ind w:left="284" w:hanging="284"/>
        <w:rPr>
          <w:b/>
          <w:noProof/>
        </w:rPr>
      </w:pPr>
      <w:r w:rsidRPr="008B3357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F1F8F">
        <w:rPr>
          <w:noProof/>
          <w:sz w:val="20"/>
          <w:szCs w:val="20"/>
        </w:rPr>
        <w:t>Téměř polovina všech respondentů (844 škol) je přesvědčena, že část žáků s doporučeními na podpůrná opatření vůbec speciální přístup nepotřebuje.</w:t>
      </w:r>
      <w:r>
        <w:rPr>
          <w:b/>
          <w:noProof/>
        </w:rPr>
        <w:t xml:space="preserve"> </w:t>
      </w:r>
    </w:p>
    <w:p w14:paraId="69E69B58" w14:textId="6A335ED8" w:rsidR="003D2671" w:rsidRPr="00CF0F62" w:rsidRDefault="003D2671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Citace z odpovědí v dotazníkovém šetření NKÚ: </w:t>
      </w:r>
      <w:r w:rsidRPr="00CF0F62">
        <w:rPr>
          <w:sz w:val="20"/>
          <w:szCs w:val="20"/>
        </w:rPr>
        <w:t>„</w:t>
      </w:r>
      <w:r w:rsidRPr="00E51B73">
        <w:rPr>
          <w:i/>
          <w:sz w:val="20"/>
          <w:szCs w:val="20"/>
        </w:rPr>
        <w:t>Pedagogicko</w:t>
      </w:r>
      <w:r>
        <w:rPr>
          <w:i/>
          <w:sz w:val="20"/>
          <w:szCs w:val="20"/>
        </w:rPr>
        <w:t>-</w:t>
      </w:r>
      <w:r w:rsidRPr="00E51B73">
        <w:rPr>
          <w:i/>
          <w:sz w:val="20"/>
          <w:szCs w:val="20"/>
        </w:rPr>
        <w:t>psychologická poradna vidí primárně pouze dítě v poradně a zpravidla plní jen přání rodičů</w:t>
      </w:r>
      <w:r w:rsidRPr="00CF0F62">
        <w:rPr>
          <w:sz w:val="20"/>
          <w:szCs w:val="20"/>
        </w:rPr>
        <w:t>.“</w:t>
      </w:r>
    </w:p>
    <w:p w14:paraId="42CBB501" w14:textId="4FCA6906" w:rsidR="003D2671" w:rsidRDefault="003D2671">
      <w:pPr>
        <w:spacing w:after="0"/>
        <w:ind w:left="284"/>
        <w:rPr>
          <w:i/>
          <w:sz w:val="20"/>
          <w:szCs w:val="20"/>
        </w:rPr>
      </w:pPr>
      <w:r w:rsidRPr="00CF0F62">
        <w:rPr>
          <w:sz w:val="20"/>
          <w:szCs w:val="20"/>
        </w:rPr>
        <w:t>„</w:t>
      </w:r>
      <w:r w:rsidRPr="00E51B73">
        <w:rPr>
          <w:i/>
          <w:sz w:val="20"/>
          <w:szCs w:val="20"/>
        </w:rPr>
        <w:t>V mnoha případech je to také jen ústupek tlaku rodičů</w:t>
      </w:r>
      <w:r>
        <w:rPr>
          <w:i/>
          <w:sz w:val="20"/>
          <w:szCs w:val="20"/>
        </w:rPr>
        <w:t>,</w:t>
      </w:r>
      <w:r w:rsidRPr="00E51B73">
        <w:rPr>
          <w:i/>
          <w:sz w:val="20"/>
          <w:szCs w:val="20"/>
        </w:rPr>
        <w:t xml:space="preserve"> a tedy jen přidání zbytečné práce škole, když by stačilo říci, že dítě je normální a jen je potřeba se pořádně učit a připravovat</w:t>
      </w:r>
      <w:r>
        <w:rPr>
          <w:i/>
          <w:sz w:val="20"/>
          <w:szCs w:val="20"/>
        </w:rPr>
        <w:t xml:space="preserve"> na výuku. To stejné lze říci o </w:t>
      </w:r>
      <w:r w:rsidRPr="00E51B73">
        <w:rPr>
          <w:i/>
          <w:sz w:val="20"/>
          <w:szCs w:val="20"/>
        </w:rPr>
        <w:t>vyšetřeních před přijímacím řízením na střední školy, kdo jde</w:t>
      </w:r>
      <w:r>
        <w:rPr>
          <w:i/>
          <w:sz w:val="20"/>
          <w:szCs w:val="20"/>
        </w:rPr>
        <w:t>,</w:t>
      </w:r>
      <w:r w:rsidRPr="00E51B73">
        <w:rPr>
          <w:i/>
          <w:sz w:val="20"/>
          <w:szCs w:val="20"/>
        </w:rPr>
        <w:t xml:space="preserve"> dostane skoro vždy prodloužení času přijímacího testu.</w:t>
      </w:r>
      <w:r w:rsidRPr="00CF0F62">
        <w:rPr>
          <w:sz w:val="20"/>
          <w:szCs w:val="20"/>
        </w:rPr>
        <w:t xml:space="preserve">“ </w:t>
      </w:r>
    </w:p>
    <w:p w14:paraId="58A7B49A" w14:textId="2C696E75" w:rsidR="003D2671" w:rsidRDefault="003D2671">
      <w:pPr>
        <w:spacing w:after="0"/>
        <w:ind w:left="284"/>
        <w:rPr>
          <w:i/>
          <w:sz w:val="20"/>
          <w:szCs w:val="20"/>
        </w:rPr>
      </w:pPr>
      <w:r w:rsidRPr="00CF0F62">
        <w:rPr>
          <w:sz w:val="20"/>
          <w:szCs w:val="20"/>
        </w:rPr>
        <w:t>„</w:t>
      </w:r>
      <w:r w:rsidRPr="00E51B73">
        <w:rPr>
          <w:i/>
          <w:sz w:val="20"/>
          <w:szCs w:val="20"/>
        </w:rPr>
        <w:t xml:space="preserve">Dalo by se totiž říci, že kdokoliv přijde do PPP, odejde vždy s nějakým nálezem, </w:t>
      </w:r>
      <w:r>
        <w:rPr>
          <w:i/>
          <w:sz w:val="20"/>
          <w:szCs w:val="20"/>
        </w:rPr>
        <w:t>který mu umožní úlevy.</w:t>
      </w:r>
      <w:r w:rsidRPr="00CF0F62">
        <w:rPr>
          <w:sz w:val="20"/>
          <w:szCs w:val="20"/>
        </w:rPr>
        <w:t>“</w:t>
      </w:r>
    </w:p>
    <w:p w14:paraId="63BF4FA6" w14:textId="232BDBE1" w:rsidR="003D2671" w:rsidRPr="00CF0F62" w:rsidRDefault="003D2671">
      <w:pPr>
        <w:spacing w:after="0"/>
        <w:ind w:left="284"/>
      </w:pPr>
      <w:r w:rsidRPr="008B3357">
        <w:rPr>
          <w:sz w:val="20"/>
          <w:szCs w:val="20"/>
        </w:rPr>
        <w:t xml:space="preserve">Neoprávněné požadavky rodičů </w:t>
      </w:r>
      <w:r>
        <w:rPr>
          <w:sz w:val="20"/>
          <w:szCs w:val="20"/>
        </w:rPr>
        <w:t>zmiňují rovněž výsledky rozhovorů z terénních výzkumů, které v průběhu kontroly poskytla NKÚ jedna z kontrolovaných osob</w:t>
      </w:r>
      <w:r w:rsidRPr="00ED526E">
        <w:rPr>
          <w:sz w:val="20"/>
          <w:szCs w:val="20"/>
        </w:rPr>
        <w:t xml:space="preserve">: </w:t>
      </w:r>
      <w:r w:rsidRPr="00CF0F62">
        <w:rPr>
          <w:sz w:val="20"/>
          <w:szCs w:val="20"/>
        </w:rPr>
        <w:t>„</w:t>
      </w:r>
      <w:r w:rsidRPr="008B3357">
        <w:rPr>
          <w:i/>
          <w:sz w:val="20"/>
          <w:szCs w:val="20"/>
        </w:rPr>
        <w:t>Ano, rodič je klient a ta poradna zareaguje přesně tak, jak ten rodič potřebuje</w:t>
      </w:r>
      <w:r w:rsidRPr="00CF0F62">
        <w:rPr>
          <w:sz w:val="20"/>
          <w:szCs w:val="20"/>
        </w:rPr>
        <w:t xml:space="preserve">.“ </w:t>
      </w:r>
    </w:p>
  </w:footnote>
  <w:footnote w:id="57">
    <w:p w14:paraId="01414219" w14:textId="1ED462BC" w:rsidR="003D2671" w:rsidRPr="00640AC0" w:rsidRDefault="003D2671" w:rsidP="004551EF">
      <w:pPr>
        <w:pStyle w:val="Textpoznpodarou"/>
      </w:pPr>
      <w:r w:rsidRPr="00B00A3C">
        <w:rPr>
          <w:rStyle w:val="Znakapoznpodarou"/>
        </w:rPr>
        <w:footnoteRef/>
      </w:r>
      <w:r w:rsidRPr="00B00A3C">
        <w:t xml:space="preserve"> </w:t>
      </w:r>
      <w:r w:rsidRPr="008D7A5B">
        <w:rPr>
          <w:color w:val="FF0000"/>
        </w:rPr>
        <w:tab/>
      </w:r>
      <w:r w:rsidRPr="00640AC0">
        <w:t xml:space="preserve">Shodné postoje </w:t>
      </w:r>
      <w:r>
        <w:t>ZŠ</w:t>
      </w:r>
      <w:r w:rsidRPr="00640AC0">
        <w:t xml:space="preserve"> k převažující úrovni dosaženého vzdělání AP lze zjednodušeně vyjádřit konkrétní výpovědí zástupců ZŠ z regionu s vyšší mírou nezaměstnanosti</w:t>
      </w:r>
      <w:r>
        <w:t>:</w:t>
      </w:r>
      <w:r w:rsidRPr="00640AC0">
        <w:t xml:space="preserve"> </w:t>
      </w:r>
      <w:r w:rsidRPr="00CF0F62">
        <w:t>„</w:t>
      </w:r>
      <w:r w:rsidRPr="00640AC0">
        <w:rPr>
          <w:i/>
        </w:rPr>
        <w:t>Státu stačí, když si skladník udělá kurz a může pracovat s autistickým dítětem.</w:t>
      </w:r>
      <w:r w:rsidRPr="00CF0F62">
        <w:t>“</w:t>
      </w:r>
      <w:r>
        <w:t xml:space="preserve"> (C</w:t>
      </w:r>
      <w:r w:rsidRPr="00640AC0">
        <w:t>itace ze záznamů práce s </w:t>
      </w:r>
      <w:proofErr w:type="spellStart"/>
      <w:r w:rsidRPr="00640AC0">
        <w:t>fo</w:t>
      </w:r>
      <w:r>
        <w:t>k</w:t>
      </w:r>
      <w:r w:rsidRPr="00640AC0">
        <w:t>usními</w:t>
      </w:r>
      <w:proofErr w:type="spellEnd"/>
      <w:r w:rsidRPr="00640AC0">
        <w:t xml:space="preserve"> skupinami </w:t>
      </w:r>
      <w:r>
        <w:t>– tyto záznamy</w:t>
      </w:r>
      <w:r w:rsidRPr="00640AC0">
        <w:t xml:space="preserve"> poskytla N</w:t>
      </w:r>
      <w:r>
        <w:t>ejvyššímu kontrolnímu úřadu</w:t>
      </w:r>
      <w:r w:rsidRPr="00640AC0">
        <w:t xml:space="preserve"> v průběhu kontroly jedna z kontrolovaných osob</w:t>
      </w:r>
      <w:r>
        <w:t>.)</w:t>
      </w:r>
    </w:p>
  </w:footnote>
  <w:footnote w:id="58">
    <w:p w14:paraId="13999A9C" w14:textId="24191B9D" w:rsidR="003D2671" w:rsidRPr="00E73B0F" w:rsidRDefault="003D2671" w:rsidP="00DF7A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73B0F">
        <w:t>Citace ze záznamů práce s </w:t>
      </w:r>
      <w:proofErr w:type="spellStart"/>
      <w:r w:rsidRPr="00E73B0F">
        <w:t>fo</w:t>
      </w:r>
      <w:r>
        <w:t>k</w:t>
      </w:r>
      <w:r w:rsidRPr="00E73B0F">
        <w:t>usními</w:t>
      </w:r>
      <w:proofErr w:type="spellEnd"/>
      <w:r w:rsidRPr="00E73B0F">
        <w:t xml:space="preserve"> skupinami </w:t>
      </w:r>
      <w:r>
        <w:t>(</w:t>
      </w:r>
      <w:r w:rsidRPr="00E73B0F">
        <w:t>zástupci škol</w:t>
      </w:r>
      <w:r>
        <w:t> </w:t>
      </w:r>
      <w:r w:rsidRPr="00E73B0F">
        <w:t>/</w:t>
      </w:r>
      <w:r>
        <w:t> </w:t>
      </w:r>
      <w:r w:rsidRPr="00E73B0F">
        <w:t>peda</w:t>
      </w:r>
      <w:r>
        <w:t>g</w:t>
      </w:r>
      <w:r w:rsidRPr="00E73B0F">
        <w:t>ogičtí pracovníci</w:t>
      </w:r>
      <w:r>
        <w:t>)</w:t>
      </w:r>
      <w:r w:rsidRPr="00E73B0F">
        <w:t xml:space="preserve"> </w:t>
      </w:r>
      <w:r>
        <w:t>– záznamy</w:t>
      </w:r>
      <w:r w:rsidRPr="00E73B0F">
        <w:t xml:space="preserve"> poskytla N</w:t>
      </w:r>
      <w:r>
        <w:t>ejvyššímu kontrolnímu úřadu</w:t>
      </w:r>
      <w:r w:rsidRPr="00E73B0F">
        <w:t xml:space="preserve"> jedna z kontrolovaných osob: </w:t>
      </w:r>
      <w:r w:rsidRPr="00931A64">
        <w:t>„</w:t>
      </w:r>
      <w:r w:rsidRPr="00E73B0F">
        <w:rPr>
          <w:i/>
        </w:rPr>
        <w:t>Nejsem psychiatr ani speciální pedagog, který několik let studoval na to, aby mohl kvalifikovaně s těmito dětmi pracovat. Žádné mnohahodinové školení to nevyřeší. Jestliže si ministerstvo myslí, že ano, je to velká neúcta ke kvalifikovaným a zkušeným speciálním pedagogům, jejichž práce si hluboce vážím.</w:t>
      </w:r>
      <w:r w:rsidRPr="00931A64">
        <w:t>“</w:t>
      </w:r>
    </w:p>
  </w:footnote>
  <w:footnote w:id="59">
    <w:p w14:paraId="32708458" w14:textId="77777777" w:rsidR="003D2671" w:rsidRDefault="003D2671" w:rsidP="00953F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31A64">
        <w:t>„</w:t>
      </w:r>
      <w:r w:rsidRPr="00871ACB">
        <w:rPr>
          <w:i/>
        </w:rPr>
        <w:t>Vytvoření systému pro podporu plné integrace tématu IKV do komplexu činn</w:t>
      </w:r>
      <w:r>
        <w:rPr>
          <w:i/>
        </w:rPr>
        <w:t>ostí ASZ, které ASZ realizuje v </w:t>
      </w:r>
      <w:r w:rsidRPr="00871ACB">
        <w:rPr>
          <w:i/>
        </w:rPr>
        <w:t>územích se SVL</w:t>
      </w:r>
      <w:r>
        <w:rPr>
          <w:i/>
        </w:rPr>
        <w:t xml:space="preserve"> ...</w:t>
      </w:r>
      <w:r w:rsidRPr="00931A64">
        <w:t>“,</w:t>
      </w:r>
      <w:r>
        <w:rPr>
          <w:i/>
        </w:rPr>
        <w:t xml:space="preserve"> </w:t>
      </w:r>
      <w:r>
        <w:t xml:space="preserve">respektive </w:t>
      </w:r>
      <w:r w:rsidRPr="00931A64">
        <w:t>„</w:t>
      </w:r>
      <w:r>
        <w:rPr>
          <w:i/>
        </w:rPr>
        <w:t>ú</w:t>
      </w:r>
      <w:r w:rsidRPr="00953FB0">
        <w:rPr>
          <w:i/>
        </w:rPr>
        <w:t>čelem projektu je realizace projektu a dosa</w:t>
      </w:r>
      <w:r>
        <w:rPr>
          <w:i/>
        </w:rPr>
        <w:t xml:space="preserve">žení cílového stavu tak, jak je </w:t>
      </w:r>
      <w:r w:rsidRPr="00953FB0">
        <w:rPr>
          <w:i/>
        </w:rPr>
        <w:t>popsán v</w:t>
      </w:r>
      <w:r>
        <w:rPr>
          <w:i/>
        </w:rPr>
        <w:t> </w:t>
      </w:r>
      <w:r w:rsidRPr="00953FB0">
        <w:rPr>
          <w:i/>
        </w:rPr>
        <w:t>žádosti</w:t>
      </w:r>
      <w:r w:rsidRPr="00931A64">
        <w:t>“,</w:t>
      </w:r>
      <w:r>
        <w:rPr>
          <w:i/>
        </w:rPr>
        <w:t xml:space="preserve"> </w:t>
      </w:r>
      <w:r>
        <w:t xml:space="preserve">tzn.: </w:t>
      </w:r>
      <w:r w:rsidRPr="00931A64">
        <w:t>„</w:t>
      </w:r>
      <w:r>
        <w:rPr>
          <w:i/>
        </w:rPr>
        <w:t>z</w:t>
      </w:r>
      <w:r w:rsidRPr="00953FB0">
        <w:rPr>
          <w:i/>
        </w:rPr>
        <w:t>ajistit plnou integraci tématu IKV do komplexu podpory a intervence poskytovaných Odborem pro sociální začleňování Úřadu vlády (Agentura, ASZ) v územích se SVL.</w:t>
      </w:r>
      <w:r w:rsidRPr="00931A64">
        <w:t>“</w:t>
      </w:r>
      <w:r w:rsidRPr="004E7F8C">
        <w:t xml:space="preserve"> </w:t>
      </w:r>
    </w:p>
    <w:p w14:paraId="513B5458" w14:textId="2A810383" w:rsidR="003D2671" w:rsidRPr="00C63EB2" w:rsidRDefault="003D2671" w:rsidP="0028051E">
      <w:pPr>
        <w:pStyle w:val="Textpoznpodarou"/>
        <w:ind w:firstLine="0"/>
      </w:pPr>
      <w:r>
        <w:t>Pozn.: ASZ = Agentura pro sociální začleňování.</w:t>
      </w:r>
    </w:p>
  </w:footnote>
  <w:footnote w:id="60">
    <w:p w14:paraId="6C1FA15D" w14:textId="1FEB52DE" w:rsidR="003D2671" w:rsidRDefault="003D2671" w:rsidP="006F0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Nebyl definován princip IKV; cíl nespecifikuje podmínky, které mají být vytvořeny, a k dosažení „principu IKV na participativním základě“ není vztažen žádný indikátor k měření tohoto principu; dosažitelnost nelze predikovat, neboť úspěšnost realizace projektu (uplatnění principu IKV) nemůže v jistých ohledech a v plné míře ovlivnit sám realizátor projektu, neboť jeho naplnění je ovlivněno i politickými rozhodnutími; časově lze tento cíl vymezit obtížně, neboť „dlouhodobé udržení“ není konkretizováno ve vztahu k ukončení projektu IKV v dubnu 2022 ani k jinému časovému milníku.</w:t>
      </w:r>
    </w:p>
  </w:footnote>
  <w:footnote w:id="61">
    <w:p w14:paraId="21094B1B" w14:textId="36D60318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1762">
        <w:tab/>
        <w:t xml:space="preserve">V projektu IKV nelze objektivně měřit přímý dopad projektu např. na cílové skupiny zapojené do činností tzv. </w:t>
      </w:r>
      <w:r>
        <w:rPr>
          <w:i/>
        </w:rPr>
        <w:t>p</w:t>
      </w:r>
      <w:r w:rsidRPr="00A56526">
        <w:rPr>
          <w:i/>
        </w:rPr>
        <w:t>racovních skupin na podporu IKV</w:t>
      </w:r>
      <w:r w:rsidRPr="00BB1762">
        <w:t xml:space="preserve">, neboť tyto pracovní skupiny nemají statut ani jednací řád, kterým by byly povinny se řídit, a z jednání těchto pracovních skupin </w:t>
      </w:r>
      <w:r>
        <w:t>Agentura</w:t>
      </w:r>
      <w:r w:rsidRPr="00BB1762">
        <w:t xml:space="preserve"> nepořizuje žádné záznamy.</w:t>
      </w:r>
    </w:p>
  </w:footnote>
  <w:footnote w:id="62">
    <w:p w14:paraId="147E4E1F" w14:textId="665EB21C" w:rsidR="003D2671" w:rsidRPr="00143A1A" w:rsidRDefault="003D2671" w:rsidP="006F0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Agentura</w:t>
      </w:r>
      <w:r w:rsidRPr="00143A1A">
        <w:t xml:space="preserve"> zvažuje žádost o podstatnou změnu ve smyslu krácení produktových indikátorů (výstupy projektu vázané na spolupráci </w:t>
      </w:r>
      <w:r>
        <w:t>Agentury</w:t>
      </w:r>
      <w:r w:rsidRPr="00143A1A">
        <w:t xml:space="preserve"> s obcemi).</w:t>
      </w:r>
    </w:p>
  </w:footnote>
  <w:footnote w:id="63">
    <w:p w14:paraId="4C87ACF0" w14:textId="74C998CE" w:rsidR="003D2671" w:rsidRDefault="003D2671" w:rsidP="006F0758">
      <w:pPr>
        <w:pStyle w:val="Textpoznpodarou"/>
      </w:pPr>
      <w:r>
        <w:rPr>
          <w:rStyle w:val="Znakapoznpodarou"/>
          <w:rFonts w:eastAsia="Arial"/>
        </w:rPr>
        <w:footnoteRef/>
      </w:r>
      <w:r>
        <w:t xml:space="preserve"> </w:t>
      </w:r>
      <w:r>
        <w:tab/>
      </w:r>
      <w:r w:rsidRPr="00931A64">
        <w:t>„</w:t>
      </w:r>
      <w:r>
        <w:rPr>
          <w:i/>
        </w:rPr>
        <w:t>... Proto je až paradoxní, že slabou stránkou je právě nezapojení lidí, kterých se to týká, včetně velmi malého důrazu na podporu kontaktu obyvatel sociálně vyloučených lokalit a jejího okolí,“</w:t>
      </w:r>
      <w:r>
        <w:t xml:space="preserve"> </w:t>
      </w:r>
      <w:r>
        <w:rPr>
          <w:i/>
        </w:rPr>
        <w:t>stojí v souhrnu z evaluací…</w:t>
      </w:r>
      <w:r>
        <w:t xml:space="preserve">“; dostupné z: </w:t>
      </w:r>
      <w:hyperlink r:id="rId4" w:history="1">
        <w:r>
          <w:rPr>
            <w:rStyle w:val="Hypertextovodkaz"/>
          </w:rPr>
          <w:t>https://www.vlada.cz/cz/clenove-vlady/pri-uradu-vlady/jiri-dienstbier/aktualne/agentura-pro-socialni-zaclenovani-zverejnila-vysledky-evaluace-sve-cinnosti-v-18-obcich-a-mestech-136817/</w:t>
        </w:r>
      </w:hyperlink>
      <w:r w:rsidRPr="00143A1A">
        <w:t>.</w:t>
      </w:r>
    </w:p>
    <w:p w14:paraId="0C025D70" w14:textId="7358AB82" w:rsidR="003D2671" w:rsidRDefault="003D2671" w:rsidP="006F0758">
      <w:pPr>
        <w:pStyle w:val="Textpoznpodarou"/>
        <w:ind w:firstLine="0"/>
      </w:pPr>
      <w:r w:rsidRPr="00931A64">
        <w:t>„</w:t>
      </w:r>
      <w:r>
        <w:rPr>
          <w:i/>
        </w:rPr>
        <w:t>Agentura sice hledá ucelené řešení a podařilo se jí propojit různé místní „hráče“, do začleňování ale nezapojila samotné obyvatele ghett a jejich sousedy.</w:t>
      </w:r>
      <w:r w:rsidRPr="00931A64">
        <w:t>“</w:t>
      </w:r>
      <w:r>
        <w:t xml:space="preserve">; dostupné z: </w:t>
      </w:r>
      <w:hyperlink r:id="rId5" w:history="1">
        <w:r>
          <w:rPr>
            <w:rStyle w:val="Hypertextovodkaz"/>
          </w:rPr>
          <w:t>https://zpravy.aktualne.cz/domaci/agentura-pro-zaclenovani-otevre-nove-pobocky-v-ostrave-usti/r~932674d287b311e5b440002590604f2e/</w:t>
        </w:r>
      </w:hyperlink>
      <w:r w:rsidRPr="00DA1B53">
        <w:rPr>
          <w:rStyle w:val="Hypertextovodkaz"/>
          <w:color w:val="auto"/>
          <w:u w:val="none"/>
        </w:rPr>
        <w:t>.</w:t>
      </w:r>
    </w:p>
  </w:footnote>
  <w:footnote w:id="64">
    <w:p w14:paraId="51C75AE4" w14:textId="0A4B86C8" w:rsidR="003D2671" w:rsidRPr="00C137A3" w:rsidRDefault="003D2671" w:rsidP="006F0758">
      <w:pPr>
        <w:pStyle w:val="Textpoznpodarou"/>
        <w:rPr>
          <w:rFonts w:cs="Calibri"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Externí </w:t>
      </w:r>
      <w:r w:rsidRPr="00A56526">
        <w:rPr>
          <w:i/>
        </w:rPr>
        <w:t>Evaluace systémových a koncepčních projektů z výzev PO 3 OP VVV</w:t>
      </w:r>
      <w:r w:rsidRPr="00C137A3">
        <w:t xml:space="preserve"> (</w:t>
      </w:r>
      <w:r>
        <w:t>e</w:t>
      </w:r>
      <w:r w:rsidRPr="00C137A3">
        <w:t>valuační okruh C)</w:t>
      </w:r>
      <w:r>
        <w:t xml:space="preserve">; dostupné z: </w:t>
      </w:r>
      <w:hyperlink r:id="rId6" w:history="1">
        <w:r>
          <w:rPr>
            <w:rStyle w:val="Hypertextovodkaz"/>
            <w:rFonts w:cs="Calibri"/>
          </w:rPr>
          <w:t>https://opvvv.msmt.cz/balicek-dokumentu/evaluace-inkluzivni-a-kvalitni-vzdelavani-v-uzemich-se-socialne-vyloucenymi-lokalitami.htm?a=1</w:t>
        </w:r>
      </w:hyperlink>
      <w:r w:rsidRPr="00DA1B53">
        <w:rPr>
          <w:rStyle w:val="Hypertextovodkaz"/>
          <w:color w:val="auto"/>
          <w:u w:val="none"/>
        </w:rPr>
        <w:t>.</w:t>
      </w:r>
    </w:p>
  </w:footnote>
  <w:footnote w:id="65">
    <w:p w14:paraId="1B9FD488" w14:textId="1B094D00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01E2D">
        <w:t xml:space="preserve">Např. u zakázky </w:t>
      </w:r>
      <w:r w:rsidRPr="000D7281">
        <w:rPr>
          <w:i/>
        </w:rPr>
        <w:t>PR poradenské a konzultační služby</w:t>
      </w:r>
      <w:r>
        <w:t xml:space="preserve"> </w:t>
      </w:r>
      <w:r w:rsidRPr="00901E2D">
        <w:t xml:space="preserve">zahrnuté do rozpočtu projektu, která nebyla doposud zadána a uvedené služby jsou realizovány prostřednictvím </w:t>
      </w:r>
      <w:r w:rsidRPr="000D7281">
        <w:rPr>
          <w:i/>
        </w:rPr>
        <w:t xml:space="preserve">Experta </w:t>
      </w:r>
      <w:proofErr w:type="gramStart"/>
      <w:r w:rsidRPr="000D7281">
        <w:rPr>
          <w:i/>
        </w:rPr>
        <w:t>na</w:t>
      </w:r>
      <w:proofErr w:type="gramEnd"/>
      <w:r w:rsidRPr="000D7281">
        <w:rPr>
          <w:i/>
        </w:rPr>
        <w:t xml:space="preserve"> PR</w:t>
      </w:r>
      <w:r w:rsidRPr="00901E2D">
        <w:t>; v</w:t>
      </w:r>
      <w:r>
        <w:t>eřejnou zakázku považuje NKÚ za </w:t>
      </w:r>
      <w:r w:rsidRPr="00901E2D">
        <w:t>nepotřebnou a identifikoval riziko možného neúčelného vynaložení nevyužitých disponibilních peněžních prostředků.</w:t>
      </w:r>
    </w:p>
  </w:footnote>
  <w:footnote w:id="66">
    <w:p w14:paraId="67F6C86C" w14:textId="3FB25323" w:rsidR="003D2671" w:rsidRPr="005464B2" w:rsidRDefault="003D2671" w:rsidP="006F0758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Pozice </w:t>
      </w:r>
      <w:r w:rsidRPr="005464B2">
        <w:rPr>
          <w:i/>
        </w:rPr>
        <w:t>Konzultant pro vzdálenou dílčí podporu, Expert na ranou péči a práci s</w:t>
      </w:r>
      <w:r>
        <w:rPr>
          <w:i/>
        </w:rPr>
        <w:t> </w:t>
      </w:r>
      <w:r w:rsidRPr="005464B2">
        <w:rPr>
          <w:i/>
        </w:rPr>
        <w:t>rodinou</w:t>
      </w:r>
      <w:r>
        <w:rPr>
          <w:i/>
        </w:rPr>
        <w:t xml:space="preserve">, </w:t>
      </w:r>
      <w:r>
        <w:rPr>
          <w:rFonts w:cstheme="minorHAnsi"/>
          <w:i/>
        </w:rPr>
        <w:t>Expert na legislativu</w:t>
      </w:r>
      <w:r w:rsidRPr="005464B2">
        <w:rPr>
          <w:i/>
        </w:rPr>
        <w:t>.</w:t>
      </w:r>
    </w:p>
  </w:footnote>
  <w:footnote w:id="67">
    <w:p w14:paraId="0173D126" w14:textId="4A4EAB02" w:rsidR="003D2671" w:rsidRPr="005464B2" w:rsidRDefault="003D2671" w:rsidP="006F0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Položky „</w:t>
      </w:r>
      <w:r>
        <w:rPr>
          <w:rFonts w:cstheme="minorHAnsi"/>
          <w:i/>
        </w:rPr>
        <w:t>software k notebookům</w:t>
      </w:r>
      <w:r w:rsidRPr="00267A87">
        <w:rPr>
          <w:rFonts w:cstheme="minorHAnsi"/>
        </w:rPr>
        <w:t>“,</w:t>
      </w:r>
      <w:r>
        <w:rPr>
          <w:rFonts w:cstheme="minorHAnsi"/>
          <w:i/>
        </w:rPr>
        <w:t xml:space="preserve"> </w:t>
      </w:r>
      <w:r w:rsidRPr="00267A87">
        <w:rPr>
          <w:rFonts w:cstheme="minorHAnsi"/>
        </w:rPr>
        <w:t>„</w:t>
      </w:r>
      <w:r>
        <w:rPr>
          <w:rFonts w:cstheme="minorHAnsi"/>
          <w:i/>
        </w:rPr>
        <w:t>nájem regionální kanceláře č. 2</w:t>
      </w:r>
      <w:r w:rsidRPr="00267A87">
        <w:rPr>
          <w:rFonts w:cstheme="minorHAnsi"/>
        </w:rPr>
        <w:t>“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a „</w:t>
      </w:r>
      <w:r>
        <w:rPr>
          <w:rFonts w:cstheme="minorHAnsi"/>
          <w:i/>
        </w:rPr>
        <w:t>v</w:t>
      </w:r>
      <w:r w:rsidRPr="00442D0A">
        <w:rPr>
          <w:rFonts w:cstheme="minorHAnsi"/>
          <w:i/>
        </w:rPr>
        <w:t>zdělávání odborného realizačního týmu</w:t>
      </w:r>
      <w:r w:rsidRPr="00267A87">
        <w:rPr>
          <w:rFonts w:cstheme="minorHAnsi"/>
        </w:rPr>
        <w:t>“.</w:t>
      </w:r>
    </w:p>
  </w:footnote>
  <w:footnote w:id="68">
    <w:p w14:paraId="4256A272" w14:textId="3BAB4059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J</w:t>
      </w:r>
      <w:r w:rsidRPr="00FC5946">
        <w:t xml:space="preserve">edná se např. o </w:t>
      </w:r>
      <w:r w:rsidRPr="00DC5CAD">
        <w:rPr>
          <w:i/>
        </w:rPr>
        <w:t>Koordinátor</w:t>
      </w:r>
      <w:r>
        <w:rPr>
          <w:i/>
        </w:rPr>
        <w:t>a</w:t>
      </w:r>
      <w:r w:rsidRPr="00DC5CAD">
        <w:rPr>
          <w:i/>
        </w:rPr>
        <w:t xml:space="preserve"> dobrých praxí</w:t>
      </w:r>
      <w:r w:rsidRPr="00FC5946">
        <w:t>, který má v</w:t>
      </w:r>
      <w:r>
        <w:t>ytvářet Databázi dobrých praxí;</w:t>
      </w:r>
      <w:r w:rsidRPr="00FC5946">
        <w:t xml:space="preserve"> tuto databázi však ve skutečnosti vytvář</w:t>
      </w:r>
      <w:r>
        <w:t>ejí</w:t>
      </w:r>
      <w:r w:rsidRPr="00FC5946">
        <w:t xml:space="preserve"> všichni členové rea</w:t>
      </w:r>
      <w:r>
        <w:t>lizačního týmu napříč projektem.</w:t>
      </w:r>
    </w:p>
  </w:footnote>
  <w:footnote w:id="69">
    <w:p w14:paraId="532B4039" w14:textId="71D685BC" w:rsidR="003D2671" w:rsidRDefault="003D2671" w:rsidP="006F0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Jako příklad lze</w:t>
      </w:r>
      <w:r w:rsidRPr="00D406AC">
        <w:t xml:space="preserve"> uvést 130 zpracovaných výstupů typu „dokument“ v r</w:t>
      </w:r>
      <w:r>
        <w:t>ozsahu několika desítek stran u </w:t>
      </w:r>
      <w:r w:rsidRPr="00D406AC">
        <w:t>každéh</w:t>
      </w:r>
      <w:r>
        <w:t>o z nich (</w:t>
      </w:r>
      <w:r>
        <w:rPr>
          <w:i/>
        </w:rPr>
        <w:t>v</w:t>
      </w:r>
      <w:r w:rsidRPr="000D7281">
        <w:rPr>
          <w:i/>
        </w:rPr>
        <w:t>stupní analýzy vzdělávání</w:t>
      </w:r>
      <w:r>
        <w:t xml:space="preserve">, </w:t>
      </w:r>
      <w:r>
        <w:rPr>
          <w:i/>
        </w:rPr>
        <w:t>m</w:t>
      </w:r>
      <w:r w:rsidRPr="000D7281">
        <w:rPr>
          <w:i/>
        </w:rPr>
        <w:t>ístní plány inkluze</w:t>
      </w:r>
      <w:r>
        <w:t xml:space="preserve"> – příloha SPSZ) nebo dokument </w:t>
      </w:r>
      <w:r w:rsidRPr="000D7281">
        <w:rPr>
          <w:i/>
        </w:rPr>
        <w:t>Analýza segregace v</w:t>
      </w:r>
      <w:r>
        <w:rPr>
          <w:i/>
        </w:rPr>
        <w:t> </w:t>
      </w:r>
      <w:r w:rsidRPr="000D7281">
        <w:rPr>
          <w:i/>
        </w:rPr>
        <w:t>základních školách z pohledu sociálního vyloučení</w:t>
      </w:r>
      <w:r w:rsidRPr="00D406AC">
        <w:t xml:space="preserve"> v rozsahu 148 stran, </w:t>
      </w:r>
      <w:r>
        <w:t>příp.</w:t>
      </w:r>
      <w:r w:rsidRPr="00D406AC">
        <w:t xml:space="preserve"> 131 výstupů typu „akce“</w:t>
      </w:r>
      <w:r>
        <w:t xml:space="preserve"> </w:t>
      </w:r>
      <w:r w:rsidRPr="00D406AC">
        <w:t>(jednodenní akce</w:t>
      </w:r>
      <w:r>
        <w:t xml:space="preserve"> –</w:t>
      </w:r>
      <w:r w:rsidRPr="00D406AC">
        <w:t xml:space="preserve"> semináře a veřejná setkání). </w:t>
      </w:r>
      <w:r>
        <w:t>Stavy v</w:t>
      </w:r>
      <w:r w:rsidRPr="00D406AC">
        <w:t>ýstup</w:t>
      </w:r>
      <w:r>
        <w:t>ů</w:t>
      </w:r>
      <w:r w:rsidRPr="00D406AC">
        <w:t xml:space="preserve"> typu „podpořená osoba z cílové skupiny“ nebyly k datu ukončení kontroly </w:t>
      </w:r>
      <w:r>
        <w:t>oznámeny</w:t>
      </w:r>
      <w:r w:rsidRPr="00D406AC">
        <w:t xml:space="preserve"> poskytovateli</w:t>
      </w:r>
      <w:r>
        <w:t xml:space="preserve"> (MŠMT)</w:t>
      </w:r>
      <w:r w:rsidRPr="00D406AC">
        <w:t xml:space="preserve">. </w:t>
      </w:r>
    </w:p>
  </w:footnote>
  <w:footnote w:id="70">
    <w:p w14:paraId="3D4BA4FF" w14:textId="7E392B09" w:rsidR="003D2671" w:rsidRDefault="003D2671" w:rsidP="006F0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525C3">
        <w:t xml:space="preserve">Splývání činností, které má </w:t>
      </w:r>
      <w:r>
        <w:t>Agentura</w:t>
      </w:r>
      <w:r w:rsidRPr="00A525C3">
        <w:t xml:space="preserve"> zajišťovat z titulu své působnosti,</w:t>
      </w:r>
      <w:r>
        <w:t xml:space="preserve"> a aktivit podpořených z ESIF v </w:t>
      </w:r>
      <w:r w:rsidRPr="00A525C3">
        <w:t xml:space="preserve">projektech připustila </w:t>
      </w:r>
      <w:r>
        <w:t>i Agentura</w:t>
      </w:r>
      <w:r w:rsidRPr="00A525C3">
        <w:t xml:space="preserve">, pro niž </w:t>
      </w:r>
      <w:r>
        <w:t xml:space="preserve">samotnou </w:t>
      </w:r>
      <w:r w:rsidRPr="00A525C3">
        <w:t xml:space="preserve">je </w:t>
      </w:r>
      <w:r>
        <w:t xml:space="preserve">jednoznačné </w:t>
      </w:r>
      <w:r w:rsidRPr="00A525C3">
        <w:t xml:space="preserve">odlišení </w:t>
      </w:r>
      <w:r>
        <w:t xml:space="preserve">různě </w:t>
      </w:r>
      <w:r w:rsidRPr="00A525C3">
        <w:t xml:space="preserve">financovaných aktivit </w:t>
      </w:r>
      <w:r>
        <w:t>nemožné</w:t>
      </w:r>
      <w:r w:rsidRPr="00A525C3">
        <w:t xml:space="preserve">. </w:t>
      </w:r>
    </w:p>
  </w:footnote>
  <w:footnote w:id="71">
    <w:p w14:paraId="1A05AB39" w14:textId="379877A3" w:rsidR="003D2671" w:rsidRDefault="003D2671" w:rsidP="006F0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Jako příklad lze</w:t>
      </w:r>
      <w:r w:rsidRPr="00D024AC">
        <w:t xml:space="preserve"> uvést </w:t>
      </w:r>
      <w:r>
        <w:t xml:space="preserve">akci </w:t>
      </w:r>
      <w:r w:rsidRPr="00267A87">
        <w:rPr>
          <w:i/>
        </w:rPr>
        <w:t>Komunitní den START pro všechny</w:t>
      </w:r>
      <w:r w:rsidRPr="00D024AC">
        <w:t>, real</w:t>
      </w:r>
      <w:r>
        <w:t>i</w:t>
      </w:r>
      <w:r w:rsidRPr="00D024AC">
        <w:t>zovan</w:t>
      </w:r>
      <w:r>
        <w:t>ou</w:t>
      </w:r>
      <w:r w:rsidRPr="00D024AC">
        <w:t xml:space="preserve"> 17. 5. 2018 v Klášterci nad Ohří, nebo akc</w:t>
      </w:r>
      <w:r>
        <w:t>i</w:t>
      </w:r>
      <w:r w:rsidRPr="00D024AC">
        <w:t xml:space="preserve"> </w:t>
      </w:r>
      <w:r w:rsidRPr="00267A87">
        <w:rPr>
          <w:i/>
        </w:rPr>
        <w:t>Prázdniny ještě neskončily</w:t>
      </w:r>
      <w:r w:rsidRPr="00D024AC">
        <w:t>, realizovan</w:t>
      </w:r>
      <w:r>
        <w:t>ou</w:t>
      </w:r>
      <w:r w:rsidRPr="00D024AC">
        <w:t xml:space="preserve"> 13. 9. 2018 v</w:t>
      </w:r>
      <w:r>
        <w:t> </w:t>
      </w:r>
      <w:r w:rsidRPr="00D024AC">
        <w:t>Rotavě.</w:t>
      </w:r>
    </w:p>
  </w:footnote>
  <w:footnote w:id="72">
    <w:p w14:paraId="6F739A72" w14:textId="25A54253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813AB">
        <w:t>Uvedený kontrolovaný objem představuje</w:t>
      </w:r>
      <w:r>
        <w:t xml:space="preserve"> výdaje ze zdrojů</w:t>
      </w:r>
      <w:r w:rsidRPr="001813AB">
        <w:t xml:space="preserve"> EU</w:t>
      </w:r>
      <w:r>
        <w:t xml:space="preserve"> i státního rozpočtu. </w:t>
      </w:r>
    </w:p>
  </w:footnote>
  <w:footnote w:id="73">
    <w:p w14:paraId="3CC45E16" w14:textId="6F326AF9" w:rsidR="003D2671" w:rsidRDefault="003D2671" w:rsidP="00E40C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cstheme="minorHAnsi"/>
        </w:rPr>
        <w:t>Uvedený kontrolovaný objem představuje podíl EU ve výši 50 % vyčerpané dotace.</w:t>
      </w:r>
    </w:p>
  </w:footnote>
  <w:footnote w:id="74">
    <w:p w14:paraId="4C7A74A4" w14:textId="712C1DD4" w:rsidR="003D2671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Porušení rozpočtové kázně dle ustanovení § 4</w:t>
      </w:r>
      <w:r w:rsidRPr="0027744F">
        <w:t xml:space="preserve">4 odst. 1 písm. </w:t>
      </w:r>
      <w:r>
        <w:t>a</w:t>
      </w:r>
      <w:r w:rsidRPr="0027744F">
        <w:t>)</w:t>
      </w:r>
      <w:r>
        <w:t xml:space="preserve"> zákona č. 218/2000 Sb., o rozpočtových pravidlech, a dle ustanovení § 22 odst. 1 zákona č. 250/2000 Sb., o rozpočtových pravidlech územních rozpočtů.</w:t>
      </w:r>
    </w:p>
  </w:footnote>
  <w:footnote w:id="75">
    <w:p w14:paraId="6DF3EDEE" w14:textId="77777777" w:rsidR="003D2671" w:rsidRPr="00D166DA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166DA">
        <w:t xml:space="preserve">Údaj vychází ze součtu počtu žáků se SVP ve speciálních školách a počtu žáků se SVP v běžných školách. </w:t>
      </w:r>
    </w:p>
    <w:p w14:paraId="1C80E797" w14:textId="2D1C479B" w:rsidR="003D2671" w:rsidRPr="00935FE5" w:rsidRDefault="003D2671" w:rsidP="00D166DA">
      <w:pPr>
        <w:pStyle w:val="Textpoznpodarou"/>
        <w:ind w:left="0" w:firstLine="0"/>
      </w:pPr>
    </w:p>
  </w:footnote>
  <w:footnote w:id="76">
    <w:p w14:paraId="395A7780" w14:textId="4FEA5495" w:rsidR="003D2671" w:rsidRPr="00AE21A4" w:rsidRDefault="003D2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E21A4">
        <w:t xml:space="preserve">Žáci se středně těžkým a těžkým mentálním postižením, </w:t>
      </w:r>
      <w:r>
        <w:t>ž</w:t>
      </w:r>
      <w:r w:rsidRPr="00AE21A4">
        <w:t>áci se souběžným postižením více vadami a</w:t>
      </w:r>
      <w:r w:rsidRPr="001A7B6A">
        <w:t xml:space="preserve"> </w:t>
      </w:r>
      <w:r>
        <w:t>ž</w:t>
      </w:r>
      <w:r w:rsidRPr="00AE21A4">
        <w:t xml:space="preserve">áci </w:t>
      </w:r>
      <w:r w:rsidRPr="001A7B6A">
        <w:t>s</w:t>
      </w:r>
      <w:r>
        <w:t> </w:t>
      </w:r>
      <w:r w:rsidRPr="001A7B6A">
        <w:t>autismem</w:t>
      </w:r>
      <w:r w:rsidRPr="00AE21A4">
        <w:t xml:space="preserve"> se mohou vzdělávat v základní škole speciální, a to na žádost zákonného zástupce a na základě písemného doporučení školského poradenského zařízení (§ 48 školského zákona). I tak je</w:t>
      </w:r>
      <w:r>
        <w:t xml:space="preserve"> zde teoretická možnost, aby se </w:t>
      </w:r>
      <w:r w:rsidRPr="00AE21A4">
        <w:t>i žáci se středním a těžkým mentálním postižením vzdělávali v běžných školách.</w:t>
      </w:r>
    </w:p>
  </w:footnote>
  <w:footnote w:id="77">
    <w:p w14:paraId="2D7D5DFD" w14:textId="2840FEAD" w:rsidR="003D2671" w:rsidRDefault="003D2671" w:rsidP="00A360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PaedDr. Věra Čadilová, Mgr. Zuzana Žampachová a kolektiv: </w:t>
      </w:r>
      <w:r w:rsidRPr="00CC7B19">
        <w:rPr>
          <w:i/>
        </w:rPr>
        <w:t>Metodika práce se žákem s poruchami autistického spektra</w:t>
      </w:r>
      <w:r>
        <w:t xml:space="preserve">, Olomouc 2012, </w:t>
      </w:r>
      <w:r w:rsidRPr="00A360A3">
        <w:t>ISBN 978-80-244-3309-7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14AD" w14:textId="77777777" w:rsidR="005768D0" w:rsidRDefault="005768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405B" w14:textId="77777777" w:rsidR="005768D0" w:rsidRDefault="005768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20AA" w14:textId="5A47A9C6" w:rsidR="003D2671" w:rsidRDefault="003D2671" w:rsidP="007F2D6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3E07"/>
    <w:multiLevelType w:val="hybridMultilevel"/>
    <w:tmpl w:val="8252F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A93"/>
    <w:multiLevelType w:val="hybridMultilevel"/>
    <w:tmpl w:val="B44C36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4A2"/>
    <w:multiLevelType w:val="hybridMultilevel"/>
    <w:tmpl w:val="B62EA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4EF"/>
    <w:multiLevelType w:val="hybridMultilevel"/>
    <w:tmpl w:val="CD9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5604"/>
    <w:multiLevelType w:val="hybridMultilevel"/>
    <w:tmpl w:val="391C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29EF"/>
    <w:multiLevelType w:val="hybridMultilevel"/>
    <w:tmpl w:val="C34E1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089116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13D2"/>
    <w:multiLevelType w:val="hybridMultilevel"/>
    <w:tmpl w:val="6B3C4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2410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580C"/>
    <w:multiLevelType w:val="hybridMultilevel"/>
    <w:tmpl w:val="347601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35451F"/>
    <w:multiLevelType w:val="hybridMultilevel"/>
    <w:tmpl w:val="4C6C2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B41"/>
    <w:multiLevelType w:val="hybridMultilevel"/>
    <w:tmpl w:val="CDA02A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79F1"/>
    <w:multiLevelType w:val="hybridMultilevel"/>
    <w:tmpl w:val="869E0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0145"/>
    <w:multiLevelType w:val="hybridMultilevel"/>
    <w:tmpl w:val="9F8AE3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51A3"/>
    <w:multiLevelType w:val="hybridMultilevel"/>
    <w:tmpl w:val="24923E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19DE"/>
    <w:multiLevelType w:val="hybridMultilevel"/>
    <w:tmpl w:val="0AB29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3692E"/>
    <w:multiLevelType w:val="hybridMultilevel"/>
    <w:tmpl w:val="C382F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730D"/>
    <w:multiLevelType w:val="hybridMultilevel"/>
    <w:tmpl w:val="8C96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A5D71"/>
    <w:multiLevelType w:val="hybridMultilevel"/>
    <w:tmpl w:val="FAEA7E6E"/>
    <w:lvl w:ilvl="0" w:tplc="F5928E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1C13C8">
      <w:start w:val="1"/>
      <w:numFmt w:val="lowerLetter"/>
      <w:lvlText w:val="%2."/>
      <w:lvlJc w:val="left"/>
      <w:pPr>
        <w:ind w:left="1080" w:hanging="360"/>
      </w:pPr>
    </w:lvl>
    <w:lvl w:ilvl="2" w:tplc="5330B6BA" w:tentative="1">
      <w:start w:val="1"/>
      <w:numFmt w:val="lowerRoman"/>
      <w:lvlText w:val="%3."/>
      <w:lvlJc w:val="right"/>
      <w:pPr>
        <w:ind w:left="1800" w:hanging="180"/>
      </w:pPr>
    </w:lvl>
    <w:lvl w:ilvl="3" w:tplc="B6AA2F60" w:tentative="1">
      <w:start w:val="1"/>
      <w:numFmt w:val="decimal"/>
      <w:lvlText w:val="%4."/>
      <w:lvlJc w:val="left"/>
      <w:pPr>
        <w:ind w:left="2520" w:hanging="360"/>
      </w:pPr>
    </w:lvl>
    <w:lvl w:ilvl="4" w:tplc="F17475E6" w:tentative="1">
      <w:start w:val="1"/>
      <w:numFmt w:val="lowerLetter"/>
      <w:lvlText w:val="%5."/>
      <w:lvlJc w:val="left"/>
      <w:pPr>
        <w:ind w:left="3240" w:hanging="360"/>
      </w:pPr>
    </w:lvl>
    <w:lvl w:ilvl="5" w:tplc="56B4C69E" w:tentative="1">
      <w:start w:val="1"/>
      <w:numFmt w:val="lowerRoman"/>
      <w:lvlText w:val="%6."/>
      <w:lvlJc w:val="right"/>
      <w:pPr>
        <w:ind w:left="3960" w:hanging="180"/>
      </w:pPr>
    </w:lvl>
    <w:lvl w:ilvl="6" w:tplc="5088DF2C" w:tentative="1">
      <w:start w:val="1"/>
      <w:numFmt w:val="decimal"/>
      <w:lvlText w:val="%7."/>
      <w:lvlJc w:val="left"/>
      <w:pPr>
        <w:ind w:left="4680" w:hanging="360"/>
      </w:pPr>
    </w:lvl>
    <w:lvl w:ilvl="7" w:tplc="18302CB6" w:tentative="1">
      <w:start w:val="1"/>
      <w:numFmt w:val="lowerLetter"/>
      <w:lvlText w:val="%8."/>
      <w:lvlJc w:val="left"/>
      <w:pPr>
        <w:ind w:left="5400" w:hanging="360"/>
      </w:pPr>
    </w:lvl>
    <w:lvl w:ilvl="8" w:tplc="C77EC6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51EC7"/>
    <w:multiLevelType w:val="hybridMultilevel"/>
    <w:tmpl w:val="74704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26188"/>
    <w:multiLevelType w:val="hybridMultilevel"/>
    <w:tmpl w:val="90EE7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15CA2"/>
    <w:multiLevelType w:val="hybridMultilevel"/>
    <w:tmpl w:val="E42E7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31047"/>
    <w:multiLevelType w:val="hybridMultilevel"/>
    <w:tmpl w:val="D22E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D3DCC"/>
    <w:multiLevelType w:val="hybridMultilevel"/>
    <w:tmpl w:val="D21287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21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20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9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3"/>
    <w:rsid w:val="00000192"/>
    <w:rsid w:val="00000932"/>
    <w:rsid w:val="00000EB6"/>
    <w:rsid w:val="000015A0"/>
    <w:rsid w:val="000017CE"/>
    <w:rsid w:val="00001A88"/>
    <w:rsid w:val="000021B2"/>
    <w:rsid w:val="0000290E"/>
    <w:rsid w:val="00002A51"/>
    <w:rsid w:val="00002CFF"/>
    <w:rsid w:val="00002EF5"/>
    <w:rsid w:val="00004A85"/>
    <w:rsid w:val="00004DD2"/>
    <w:rsid w:val="00005898"/>
    <w:rsid w:val="00006515"/>
    <w:rsid w:val="000075DC"/>
    <w:rsid w:val="00007694"/>
    <w:rsid w:val="000103D2"/>
    <w:rsid w:val="0001087A"/>
    <w:rsid w:val="00010B18"/>
    <w:rsid w:val="00010C7A"/>
    <w:rsid w:val="00010C87"/>
    <w:rsid w:val="00010D26"/>
    <w:rsid w:val="00011CA8"/>
    <w:rsid w:val="00012C11"/>
    <w:rsid w:val="00012FA7"/>
    <w:rsid w:val="000143BC"/>
    <w:rsid w:val="00015659"/>
    <w:rsid w:val="0001660A"/>
    <w:rsid w:val="00016AA8"/>
    <w:rsid w:val="00016F91"/>
    <w:rsid w:val="000172BE"/>
    <w:rsid w:val="00020301"/>
    <w:rsid w:val="00020A4B"/>
    <w:rsid w:val="00020C23"/>
    <w:rsid w:val="00021601"/>
    <w:rsid w:val="00021B61"/>
    <w:rsid w:val="00021E11"/>
    <w:rsid w:val="00022765"/>
    <w:rsid w:val="00022AB8"/>
    <w:rsid w:val="00023DA9"/>
    <w:rsid w:val="0002454E"/>
    <w:rsid w:val="000255C9"/>
    <w:rsid w:val="00025EE4"/>
    <w:rsid w:val="00026572"/>
    <w:rsid w:val="00026617"/>
    <w:rsid w:val="000269B0"/>
    <w:rsid w:val="00026B72"/>
    <w:rsid w:val="000300D4"/>
    <w:rsid w:val="000301A2"/>
    <w:rsid w:val="00030BA0"/>
    <w:rsid w:val="00030E53"/>
    <w:rsid w:val="000311EE"/>
    <w:rsid w:val="0003126F"/>
    <w:rsid w:val="000315CA"/>
    <w:rsid w:val="00031B16"/>
    <w:rsid w:val="00031D6A"/>
    <w:rsid w:val="00031FB9"/>
    <w:rsid w:val="00032116"/>
    <w:rsid w:val="00032A2F"/>
    <w:rsid w:val="0003342C"/>
    <w:rsid w:val="0003395C"/>
    <w:rsid w:val="000342A4"/>
    <w:rsid w:val="00034E68"/>
    <w:rsid w:val="00036E98"/>
    <w:rsid w:val="00037555"/>
    <w:rsid w:val="0003790F"/>
    <w:rsid w:val="00037A77"/>
    <w:rsid w:val="0004078C"/>
    <w:rsid w:val="00040808"/>
    <w:rsid w:val="00040AB7"/>
    <w:rsid w:val="00040FA1"/>
    <w:rsid w:val="00041569"/>
    <w:rsid w:val="00041A69"/>
    <w:rsid w:val="00042007"/>
    <w:rsid w:val="00042E50"/>
    <w:rsid w:val="0004445D"/>
    <w:rsid w:val="00044858"/>
    <w:rsid w:val="00045202"/>
    <w:rsid w:val="000455DD"/>
    <w:rsid w:val="00045714"/>
    <w:rsid w:val="000458C8"/>
    <w:rsid w:val="0004651D"/>
    <w:rsid w:val="00046EFE"/>
    <w:rsid w:val="00047090"/>
    <w:rsid w:val="000474EE"/>
    <w:rsid w:val="0005054A"/>
    <w:rsid w:val="00050723"/>
    <w:rsid w:val="000513C3"/>
    <w:rsid w:val="000515CA"/>
    <w:rsid w:val="00051976"/>
    <w:rsid w:val="00051F1E"/>
    <w:rsid w:val="000520E2"/>
    <w:rsid w:val="00052285"/>
    <w:rsid w:val="0005371B"/>
    <w:rsid w:val="000540FC"/>
    <w:rsid w:val="0005413C"/>
    <w:rsid w:val="00054248"/>
    <w:rsid w:val="00054833"/>
    <w:rsid w:val="00055244"/>
    <w:rsid w:val="0005565A"/>
    <w:rsid w:val="00055935"/>
    <w:rsid w:val="00055D97"/>
    <w:rsid w:val="0005617E"/>
    <w:rsid w:val="00056FCD"/>
    <w:rsid w:val="000570BD"/>
    <w:rsid w:val="00057447"/>
    <w:rsid w:val="000579F3"/>
    <w:rsid w:val="00060429"/>
    <w:rsid w:val="00061C4B"/>
    <w:rsid w:val="00063131"/>
    <w:rsid w:val="0006438D"/>
    <w:rsid w:val="00064770"/>
    <w:rsid w:val="00064945"/>
    <w:rsid w:val="00064AC2"/>
    <w:rsid w:val="000658D1"/>
    <w:rsid w:val="00066028"/>
    <w:rsid w:val="0006614A"/>
    <w:rsid w:val="00066240"/>
    <w:rsid w:val="0006756B"/>
    <w:rsid w:val="00067DDE"/>
    <w:rsid w:val="00070A17"/>
    <w:rsid w:val="00070B8A"/>
    <w:rsid w:val="0007227E"/>
    <w:rsid w:val="00072511"/>
    <w:rsid w:val="00072EB7"/>
    <w:rsid w:val="000730B1"/>
    <w:rsid w:val="00073927"/>
    <w:rsid w:val="000739AF"/>
    <w:rsid w:val="00073DB3"/>
    <w:rsid w:val="00073F1E"/>
    <w:rsid w:val="0007434B"/>
    <w:rsid w:val="000752E1"/>
    <w:rsid w:val="00077F95"/>
    <w:rsid w:val="000802AE"/>
    <w:rsid w:val="00080386"/>
    <w:rsid w:val="00080B2B"/>
    <w:rsid w:val="00081CA3"/>
    <w:rsid w:val="00081E26"/>
    <w:rsid w:val="000826CA"/>
    <w:rsid w:val="00082AE1"/>
    <w:rsid w:val="00082D48"/>
    <w:rsid w:val="00083C5B"/>
    <w:rsid w:val="00083DBA"/>
    <w:rsid w:val="00084FA0"/>
    <w:rsid w:val="00086216"/>
    <w:rsid w:val="00086B17"/>
    <w:rsid w:val="00087BF8"/>
    <w:rsid w:val="00090BAF"/>
    <w:rsid w:val="000915EF"/>
    <w:rsid w:val="00091A90"/>
    <w:rsid w:val="00091E9C"/>
    <w:rsid w:val="00092B72"/>
    <w:rsid w:val="00092CE3"/>
    <w:rsid w:val="00092E0F"/>
    <w:rsid w:val="00092FBB"/>
    <w:rsid w:val="0009333A"/>
    <w:rsid w:val="0009336C"/>
    <w:rsid w:val="0009337A"/>
    <w:rsid w:val="0009385A"/>
    <w:rsid w:val="00093ACF"/>
    <w:rsid w:val="00093D4E"/>
    <w:rsid w:val="00095594"/>
    <w:rsid w:val="00095AA0"/>
    <w:rsid w:val="0009635D"/>
    <w:rsid w:val="0009641B"/>
    <w:rsid w:val="00097F4E"/>
    <w:rsid w:val="000A0884"/>
    <w:rsid w:val="000A1C82"/>
    <w:rsid w:val="000A21B8"/>
    <w:rsid w:val="000A2E54"/>
    <w:rsid w:val="000A35D1"/>
    <w:rsid w:val="000A4227"/>
    <w:rsid w:val="000A4245"/>
    <w:rsid w:val="000A4471"/>
    <w:rsid w:val="000A456F"/>
    <w:rsid w:val="000A5351"/>
    <w:rsid w:val="000A56F7"/>
    <w:rsid w:val="000A6CAC"/>
    <w:rsid w:val="000A7188"/>
    <w:rsid w:val="000A7952"/>
    <w:rsid w:val="000B12DF"/>
    <w:rsid w:val="000B1503"/>
    <w:rsid w:val="000B17E0"/>
    <w:rsid w:val="000B19ED"/>
    <w:rsid w:val="000B1E6C"/>
    <w:rsid w:val="000B2886"/>
    <w:rsid w:val="000B30FA"/>
    <w:rsid w:val="000B3F77"/>
    <w:rsid w:val="000B419D"/>
    <w:rsid w:val="000B4E5B"/>
    <w:rsid w:val="000B4F18"/>
    <w:rsid w:val="000B5E04"/>
    <w:rsid w:val="000B6A7D"/>
    <w:rsid w:val="000B7723"/>
    <w:rsid w:val="000C0147"/>
    <w:rsid w:val="000C112B"/>
    <w:rsid w:val="000C1BE2"/>
    <w:rsid w:val="000C1F15"/>
    <w:rsid w:val="000C222F"/>
    <w:rsid w:val="000C31EE"/>
    <w:rsid w:val="000C39D6"/>
    <w:rsid w:val="000C4083"/>
    <w:rsid w:val="000C418C"/>
    <w:rsid w:val="000C484E"/>
    <w:rsid w:val="000C544B"/>
    <w:rsid w:val="000C7564"/>
    <w:rsid w:val="000C75A9"/>
    <w:rsid w:val="000D00BB"/>
    <w:rsid w:val="000D034B"/>
    <w:rsid w:val="000D0B7B"/>
    <w:rsid w:val="000D0F50"/>
    <w:rsid w:val="000D1748"/>
    <w:rsid w:val="000D1D8F"/>
    <w:rsid w:val="000D20AF"/>
    <w:rsid w:val="000D2AC0"/>
    <w:rsid w:val="000D2AFF"/>
    <w:rsid w:val="000D391D"/>
    <w:rsid w:val="000D53D6"/>
    <w:rsid w:val="000D5819"/>
    <w:rsid w:val="000D58C6"/>
    <w:rsid w:val="000D640B"/>
    <w:rsid w:val="000D6413"/>
    <w:rsid w:val="000D7281"/>
    <w:rsid w:val="000D73E0"/>
    <w:rsid w:val="000D74EC"/>
    <w:rsid w:val="000E02D0"/>
    <w:rsid w:val="000E1187"/>
    <w:rsid w:val="000E1494"/>
    <w:rsid w:val="000E1F77"/>
    <w:rsid w:val="000E2A4F"/>
    <w:rsid w:val="000E2A5C"/>
    <w:rsid w:val="000E2EBB"/>
    <w:rsid w:val="000E3A95"/>
    <w:rsid w:val="000E3EC4"/>
    <w:rsid w:val="000E43EB"/>
    <w:rsid w:val="000E5A4A"/>
    <w:rsid w:val="000E73AE"/>
    <w:rsid w:val="000E76A9"/>
    <w:rsid w:val="000F02E3"/>
    <w:rsid w:val="000F0799"/>
    <w:rsid w:val="000F0D5B"/>
    <w:rsid w:val="000F1551"/>
    <w:rsid w:val="000F1E6C"/>
    <w:rsid w:val="000F2EB5"/>
    <w:rsid w:val="000F329C"/>
    <w:rsid w:val="000F3517"/>
    <w:rsid w:val="000F43A5"/>
    <w:rsid w:val="000F444C"/>
    <w:rsid w:val="000F5042"/>
    <w:rsid w:val="000F5079"/>
    <w:rsid w:val="000F54EC"/>
    <w:rsid w:val="000F612E"/>
    <w:rsid w:val="000F6789"/>
    <w:rsid w:val="000F744A"/>
    <w:rsid w:val="000F78BE"/>
    <w:rsid w:val="001008A6"/>
    <w:rsid w:val="00101030"/>
    <w:rsid w:val="001014A8"/>
    <w:rsid w:val="00101A00"/>
    <w:rsid w:val="00101E07"/>
    <w:rsid w:val="00102030"/>
    <w:rsid w:val="00102E06"/>
    <w:rsid w:val="00103774"/>
    <w:rsid w:val="001038D3"/>
    <w:rsid w:val="0010397D"/>
    <w:rsid w:val="001039C6"/>
    <w:rsid w:val="001043C9"/>
    <w:rsid w:val="00104EB1"/>
    <w:rsid w:val="001067DC"/>
    <w:rsid w:val="00106CA4"/>
    <w:rsid w:val="00106E63"/>
    <w:rsid w:val="00106F23"/>
    <w:rsid w:val="00110C06"/>
    <w:rsid w:val="00110C30"/>
    <w:rsid w:val="00111226"/>
    <w:rsid w:val="001118B8"/>
    <w:rsid w:val="0011211E"/>
    <w:rsid w:val="001125F6"/>
    <w:rsid w:val="00112BBB"/>
    <w:rsid w:val="00112DA8"/>
    <w:rsid w:val="0011380F"/>
    <w:rsid w:val="00113D9D"/>
    <w:rsid w:val="00114542"/>
    <w:rsid w:val="00114B2F"/>
    <w:rsid w:val="00114C27"/>
    <w:rsid w:val="001150F2"/>
    <w:rsid w:val="00115542"/>
    <w:rsid w:val="00115545"/>
    <w:rsid w:val="00116086"/>
    <w:rsid w:val="0011658E"/>
    <w:rsid w:val="0011666E"/>
    <w:rsid w:val="001170D1"/>
    <w:rsid w:val="0011712B"/>
    <w:rsid w:val="00117453"/>
    <w:rsid w:val="00117CB3"/>
    <w:rsid w:val="00120567"/>
    <w:rsid w:val="00120EAA"/>
    <w:rsid w:val="0012463F"/>
    <w:rsid w:val="001248CC"/>
    <w:rsid w:val="00125D95"/>
    <w:rsid w:val="00126C34"/>
    <w:rsid w:val="0012724F"/>
    <w:rsid w:val="001273D0"/>
    <w:rsid w:val="00127519"/>
    <w:rsid w:val="00127DA8"/>
    <w:rsid w:val="0013041E"/>
    <w:rsid w:val="001311BE"/>
    <w:rsid w:val="001325A2"/>
    <w:rsid w:val="00132777"/>
    <w:rsid w:val="00132D38"/>
    <w:rsid w:val="00132EBC"/>
    <w:rsid w:val="0013353D"/>
    <w:rsid w:val="0013492A"/>
    <w:rsid w:val="00135624"/>
    <w:rsid w:val="00135676"/>
    <w:rsid w:val="0013651C"/>
    <w:rsid w:val="00136EF9"/>
    <w:rsid w:val="001377B5"/>
    <w:rsid w:val="00137947"/>
    <w:rsid w:val="00137E93"/>
    <w:rsid w:val="00140AA1"/>
    <w:rsid w:val="00140D73"/>
    <w:rsid w:val="00141293"/>
    <w:rsid w:val="00141496"/>
    <w:rsid w:val="00141623"/>
    <w:rsid w:val="001419D8"/>
    <w:rsid w:val="00141F66"/>
    <w:rsid w:val="00142408"/>
    <w:rsid w:val="001425FD"/>
    <w:rsid w:val="0014270A"/>
    <w:rsid w:val="0014296D"/>
    <w:rsid w:val="00143408"/>
    <w:rsid w:val="00143A1A"/>
    <w:rsid w:val="00143C0C"/>
    <w:rsid w:val="00144509"/>
    <w:rsid w:val="00144E33"/>
    <w:rsid w:val="00144E6C"/>
    <w:rsid w:val="001454A1"/>
    <w:rsid w:val="00145685"/>
    <w:rsid w:val="00145C9E"/>
    <w:rsid w:val="00146D43"/>
    <w:rsid w:val="001472DF"/>
    <w:rsid w:val="001473CD"/>
    <w:rsid w:val="0014746E"/>
    <w:rsid w:val="00150034"/>
    <w:rsid w:val="0015111C"/>
    <w:rsid w:val="00151F46"/>
    <w:rsid w:val="00152F09"/>
    <w:rsid w:val="00153046"/>
    <w:rsid w:val="0015305D"/>
    <w:rsid w:val="00153429"/>
    <w:rsid w:val="00153F11"/>
    <w:rsid w:val="001542DA"/>
    <w:rsid w:val="001549EA"/>
    <w:rsid w:val="00154BD0"/>
    <w:rsid w:val="00155389"/>
    <w:rsid w:val="001554E2"/>
    <w:rsid w:val="00156C53"/>
    <w:rsid w:val="00157D5D"/>
    <w:rsid w:val="00160281"/>
    <w:rsid w:val="001602EC"/>
    <w:rsid w:val="001607AA"/>
    <w:rsid w:val="00160CDC"/>
    <w:rsid w:val="00161011"/>
    <w:rsid w:val="0016112D"/>
    <w:rsid w:val="00162999"/>
    <w:rsid w:val="00163105"/>
    <w:rsid w:val="001638D7"/>
    <w:rsid w:val="00164303"/>
    <w:rsid w:val="001645FE"/>
    <w:rsid w:val="00164EA0"/>
    <w:rsid w:val="00165253"/>
    <w:rsid w:val="00165582"/>
    <w:rsid w:val="001670C3"/>
    <w:rsid w:val="0016777E"/>
    <w:rsid w:val="00167E39"/>
    <w:rsid w:val="0017023E"/>
    <w:rsid w:val="00170C00"/>
    <w:rsid w:val="001719E2"/>
    <w:rsid w:val="00171A8D"/>
    <w:rsid w:val="00171BF6"/>
    <w:rsid w:val="00171D0F"/>
    <w:rsid w:val="00171F47"/>
    <w:rsid w:val="001725BF"/>
    <w:rsid w:val="001734C9"/>
    <w:rsid w:val="00173850"/>
    <w:rsid w:val="00175174"/>
    <w:rsid w:val="00175D25"/>
    <w:rsid w:val="00176362"/>
    <w:rsid w:val="001763BF"/>
    <w:rsid w:val="00176EF2"/>
    <w:rsid w:val="0017715E"/>
    <w:rsid w:val="001802DB"/>
    <w:rsid w:val="00180784"/>
    <w:rsid w:val="001808CC"/>
    <w:rsid w:val="00180E9D"/>
    <w:rsid w:val="001810BF"/>
    <w:rsid w:val="001813AB"/>
    <w:rsid w:val="001813D2"/>
    <w:rsid w:val="0018148A"/>
    <w:rsid w:val="00182270"/>
    <w:rsid w:val="00182710"/>
    <w:rsid w:val="00182FC6"/>
    <w:rsid w:val="00183AC0"/>
    <w:rsid w:val="001849D3"/>
    <w:rsid w:val="00185323"/>
    <w:rsid w:val="00185975"/>
    <w:rsid w:val="00185B8B"/>
    <w:rsid w:val="00185D85"/>
    <w:rsid w:val="0018649B"/>
    <w:rsid w:val="00186D1F"/>
    <w:rsid w:val="0018777B"/>
    <w:rsid w:val="00190B17"/>
    <w:rsid w:val="001916DD"/>
    <w:rsid w:val="00191820"/>
    <w:rsid w:val="00192409"/>
    <w:rsid w:val="001930B9"/>
    <w:rsid w:val="001937A5"/>
    <w:rsid w:val="00193B76"/>
    <w:rsid w:val="001944B0"/>
    <w:rsid w:val="00195255"/>
    <w:rsid w:val="00195563"/>
    <w:rsid w:val="00196CB7"/>
    <w:rsid w:val="0019730C"/>
    <w:rsid w:val="001974EF"/>
    <w:rsid w:val="00197ABA"/>
    <w:rsid w:val="00197BBE"/>
    <w:rsid w:val="00197DB8"/>
    <w:rsid w:val="001A08AD"/>
    <w:rsid w:val="001A140A"/>
    <w:rsid w:val="001A1844"/>
    <w:rsid w:val="001A199B"/>
    <w:rsid w:val="001A27CD"/>
    <w:rsid w:val="001A44AD"/>
    <w:rsid w:val="001A44E1"/>
    <w:rsid w:val="001A470F"/>
    <w:rsid w:val="001A4F52"/>
    <w:rsid w:val="001A5080"/>
    <w:rsid w:val="001A523D"/>
    <w:rsid w:val="001A56EF"/>
    <w:rsid w:val="001A5715"/>
    <w:rsid w:val="001A5E65"/>
    <w:rsid w:val="001A659D"/>
    <w:rsid w:val="001A6F98"/>
    <w:rsid w:val="001A6FD8"/>
    <w:rsid w:val="001A707E"/>
    <w:rsid w:val="001A7B6A"/>
    <w:rsid w:val="001B0011"/>
    <w:rsid w:val="001B040B"/>
    <w:rsid w:val="001B0D4F"/>
    <w:rsid w:val="001B1184"/>
    <w:rsid w:val="001B13BF"/>
    <w:rsid w:val="001B1B7C"/>
    <w:rsid w:val="001B1CCF"/>
    <w:rsid w:val="001B1DEE"/>
    <w:rsid w:val="001B339C"/>
    <w:rsid w:val="001B4851"/>
    <w:rsid w:val="001B58BE"/>
    <w:rsid w:val="001B60C7"/>
    <w:rsid w:val="001B6267"/>
    <w:rsid w:val="001B6436"/>
    <w:rsid w:val="001B66D7"/>
    <w:rsid w:val="001B6995"/>
    <w:rsid w:val="001B72F6"/>
    <w:rsid w:val="001C1318"/>
    <w:rsid w:val="001C25B6"/>
    <w:rsid w:val="001C437F"/>
    <w:rsid w:val="001C4520"/>
    <w:rsid w:val="001C4F93"/>
    <w:rsid w:val="001C539E"/>
    <w:rsid w:val="001C6019"/>
    <w:rsid w:val="001C6636"/>
    <w:rsid w:val="001C7285"/>
    <w:rsid w:val="001C7612"/>
    <w:rsid w:val="001C7CA8"/>
    <w:rsid w:val="001C7CFA"/>
    <w:rsid w:val="001D056B"/>
    <w:rsid w:val="001D102F"/>
    <w:rsid w:val="001D1480"/>
    <w:rsid w:val="001D2A2A"/>
    <w:rsid w:val="001D2AAF"/>
    <w:rsid w:val="001D2D32"/>
    <w:rsid w:val="001D3108"/>
    <w:rsid w:val="001D34B4"/>
    <w:rsid w:val="001D380D"/>
    <w:rsid w:val="001D38B1"/>
    <w:rsid w:val="001D3B37"/>
    <w:rsid w:val="001D3E51"/>
    <w:rsid w:val="001D4979"/>
    <w:rsid w:val="001D537C"/>
    <w:rsid w:val="001D5841"/>
    <w:rsid w:val="001D5AC7"/>
    <w:rsid w:val="001D65E2"/>
    <w:rsid w:val="001D72B8"/>
    <w:rsid w:val="001D7F03"/>
    <w:rsid w:val="001E0687"/>
    <w:rsid w:val="001E0975"/>
    <w:rsid w:val="001E09C2"/>
    <w:rsid w:val="001E0FB2"/>
    <w:rsid w:val="001E0FF6"/>
    <w:rsid w:val="001E1070"/>
    <w:rsid w:val="001E1A03"/>
    <w:rsid w:val="001E1AC2"/>
    <w:rsid w:val="001E1C66"/>
    <w:rsid w:val="001E1F9A"/>
    <w:rsid w:val="001E1FC5"/>
    <w:rsid w:val="001E28B7"/>
    <w:rsid w:val="001E3C59"/>
    <w:rsid w:val="001E4D47"/>
    <w:rsid w:val="001E5BC5"/>
    <w:rsid w:val="001E5C1D"/>
    <w:rsid w:val="001E6B5E"/>
    <w:rsid w:val="001E6CA7"/>
    <w:rsid w:val="001E727C"/>
    <w:rsid w:val="001E72C4"/>
    <w:rsid w:val="001E7763"/>
    <w:rsid w:val="001E7C12"/>
    <w:rsid w:val="001E7E9A"/>
    <w:rsid w:val="001F0105"/>
    <w:rsid w:val="001F06FA"/>
    <w:rsid w:val="001F2712"/>
    <w:rsid w:val="001F27F0"/>
    <w:rsid w:val="001F3F29"/>
    <w:rsid w:val="001F46DC"/>
    <w:rsid w:val="001F48ED"/>
    <w:rsid w:val="001F4A2E"/>
    <w:rsid w:val="001F4AAA"/>
    <w:rsid w:val="001F4DE1"/>
    <w:rsid w:val="001F6057"/>
    <w:rsid w:val="001F60A7"/>
    <w:rsid w:val="001F6559"/>
    <w:rsid w:val="001F68D2"/>
    <w:rsid w:val="001F6F45"/>
    <w:rsid w:val="001F7210"/>
    <w:rsid w:val="001F7814"/>
    <w:rsid w:val="002003AA"/>
    <w:rsid w:val="0020068C"/>
    <w:rsid w:val="002006E5"/>
    <w:rsid w:val="00200F94"/>
    <w:rsid w:val="00200FCF"/>
    <w:rsid w:val="00201BEB"/>
    <w:rsid w:val="00202989"/>
    <w:rsid w:val="0020490C"/>
    <w:rsid w:val="00204DB3"/>
    <w:rsid w:val="00206AAE"/>
    <w:rsid w:val="00206B14"/>
    <w:rsid w:val="00206E9C"/>
    <w:rsid w:val="0020708D"/>
    <w:rsid w:val="0020755C"/>
    <w:rsid w:val="00207919"/>
    <w:rsid w:val="00207E32"/>
    <w:rsid w:val="00210910"/>
    <w:rsid w:val="00211AF8"/>
    <w:rsid w:val="002121BA"/>
    <w:rsid w:val="002131B1"/>
    <w:rsid w:val="00213E0B"/>
    <w:rsid w:val="00214185"/>
    <w:rsid w:val="0021468D"/>
    <w:rsid w:val="00214E0B"/>
    <w:rsid w:val="0021516C"/>
    <w:rsid w:val="00216051"/>
    <w:rsid w:val="00216129"/>
    <w:rsid w:val="002169C4"/>
    <w:rsid w:val="0021735E"/>
    <w:rsid w:val="0021786A"/>
    <w:rsid w:val="00220218"/>
    <w:rsid w:val="002207CE"/>
    <w:rsid w:val="00220D75"/>
    <w:rsid w:val="00220F59"/>
    <w:rsid w:val="002217E4"/>
    <w:rsid w:val="00222BAE"/>
    <w:rsid w:val="00224EFC"/>
    <w:rsid w:val="002250BB"/>
    <w:rsid w:val="002253E0"/>
    <w:rsid w:val="00226A4D"/>
    <w:rsid w:val="00227A01"/>
    <w:rsid w:val="00230C0A"/>
    <w:rsid w:val="00231CC1"/>
    <w:rsid w:val="00232CCF"/>
    <w:rsid w:val="00233263"/>
    <w:rsid w:val="00234375"/>
    <w:rsid w:val="00234414"/>
    <w:rsid w:val="0023502E"/>
    <w:rsid w:val="0023533E"/>
    <w:rsid w:val="00237517"/>
    <w:rsid w:val="00237F8E"/>
    <w:rsid w:val="00240DDB"/>
    <w:rsid w:val="00240DF8"/>
    <w:rsid w:val="00241100"/>
    <w:rsid w:val="00241148"/>
    <w:rsid w:val="002413F9"/>
    <w:rsid w:val="00242300"/>
    <w:rsid w:val="00242EE3"/>
    <w:rsid w:val="00243374"/>
    <w:rsid w:val="00243521"/>
    <w:rsid w:val="00243C07"/>
    <w:rsid w:val="00243FE4"/>
    <w:rsid w:val="002451C5"/>
    <w:rsid w:val="00245596"/>
    <w:rsid w:val="00245856"/>
    <w:rsid w:val="0024600F"/>
    <w:rsid w:val="00246731"/>
    <w:rsid w:val="002468DA"/>
    <w:rsid w:val="00250A4D"/>
    <w:rsid w:val="00250B7B"/>
    <w:rsid w:val="00251111"/>
    <w:rsid w:val="002518F3"/>
    <w:rsid w:val="00252B71"/>
    <w:rsid w:val="00252CA2"/>
    <w:rsid w:val="002533F8"/>
    <w:rsid w:val="00253560"/>
    <w:rsid w:val="00253FBB"/>
    <w:rsid w:val="00254A19"/>
    <w:rsid w:val="00255ED1"/>
    <w:rsid w:val="00256086"/>
    <w:rsid w:val="002576C8"/>
    <w:rsid w:val="00257CA3"/>
    <w:rsid w:val="002601DD"/>
    <w:rsid w:val="00260533"/>
    <w:rsid w:val="00260792"/>
    <w:rsid w:val="00260FE7"/>
    <w:rsid w:val="002616C5"/>
    <w:rsid w:val="00261F83"/>
    <w:rsid w:val="00262979"/>
    <w:rsid w:val="002640E9"/>
    <w:rsid w:val="00264143"/>
    <w:rsid w:val="00264646"/>
    <w:rsid w:val="00264ED6"/>
    <w:rsid w:val="002651AF"/>
    <w:rsid w:val="0026560A"/>
    <w:rsid w:val="00266941"/>
    <w:rsid w:val="0026709A"/>
    <w:rsid w:val="00267A85"/>
    <w:rsid w:val="00267A87"/>
    <w:rsid w:val="00267D0A"/>
    <w:rsid w:val="00270C97"/>
    <w:rsid w:val="002711D2"/>
    <w:rsid w:val="002711D5"/>
    <w:rsid w:val="00271564"/>
    <w:rsid w:val="00271777"/>
    <w:rsid w:val="002749F4"/>
    <w:rsid w:val="00274BDA"/>
    <w:rsid w:val="00274D36"/>
    <w:rsid w:val="00275E07"/>
    <w:rsid w:val="00276D65"/>
    <w:rsid w:val="00277148"/>
    <w:rsid w:val="0027744F"/>
    <w:rsid w:val="00277615"/>
    <w:rsid w:val="00277FA4"/>
    <w:rsid w:val="0028051E"/>
    <w:rsid w:val="00280592"/>
    <w:rsid w:val="00280782"/>
    <w:rsid w:val="00280839"/>
    <w:rsid w:val="00280863"/>
    <w:rsid w:val="00280CCE"/>
    <w:rsid w:val="002813AE"/>
    <w:rsid w:val="00281579"/>
    <w:rsid w:val="00281DE4"/>
    <w:rsid w:val="00282939"/>
    <w:rsid w:val="00283146"/>
    <w:rsid w:val="00284FEC"/>
    <w:rsid w:val="0028560D"/>
    <w:rsid w:val="00285B68"/>
    <w:rsid w:val="002862DE"/>
    <w:rsid w:val="0028690D"/>
    <w:rsid w:val="00287E52"/>
    <w:rsid w:val="002906A0"/>
    <w:rsid w:val="00292C76"/>
    <w:rsid w:val="00292E4C"/>
    <w:rsid w:val="002939DB"/>
    <w:rsid w:val="00293A08"/>
    <w:rsid w:val="00293B21"/>
    <w:rsid w:val="00293F1E"/>
    <w:rsid w:val="00294412"/>
    <w:rsid w:val="00294E99"/>
    <w:rsid w:val="00295CE1"/>
    <w:rsid w:val="002964CD"/>
    <w:rsid w:val="002970D3"/>
    <w:rsid w:val="00297304"/>
    <w:rsid w:val="002978CB"/>
    <w:rsid w:val="00297A08"/>
    <w:rsid w:val="002A07D6"/>
    <w:rsid w:val="002A0971"/>
    <w:rsid w:val="002A1785"/>
    <w:rsid w:val="002A233C"/>
    <w:rsid w:val="002A29F6"/>
    <w:rsid w:val="002A2F89"/>
    <w:rsid w:val="002A318B"/>
    <w:rsid w:val="002A37B6"/>
    <w:rsid w:val="002A40E6"/>
    <w:rsid w:val="002A4E19"/>
    <w:rsid w:val="002A52B4"/>
    <w:rsid w:val="002A52DB"/>
    <w:rsid w:val="002A53A0"/>
    <w:rsid w:val="002A56CC"/>
    <w:rsid w:val="002A5983"/>
    <w:rsid w:val="002A59A3"/>
    <w:rsid w:val="002A5A05"/>
    <w:rsid w:val="002A5A47"/>
    <w:rsid w:val="002A5EF4"/>
    <w:rsid w:val="002A5EF9"/>
    <w:rsid w:val="002A6714"/>
    <w:rsid w:val="002A68FA"/>
    <w:rsid w:val="002A690A"/>
    <w:rsid w:val="002A6D78"/>
    <w:rsid w:val="002A7AA5"/>
    <w:rsid w:val="002B1FB6"/>
    <w:rsid w:val="002B2C66"/>
    <w:rsid w:val="002B2EE7"/>
    <w:rsid w:val="002B31E9"/>
    <w:rsid w:val="002B44FE"/>
    <w:rsid w:val="002B54FD"/>
    <w:rsid w:val="002B5840"/>
    <w:rsid w:val="002B5BB7"/>
    <w:rsid w:val="002B61F4"/>
    <w:rsid w:val="002B6DB9"/>
    <w:rsid w:val="002B7942"/>
    <w:rsid w:val="002B7A89"/>
    <w:rsid w:val="002C0C75"/>
    <w:rsid w:val="002C0D33"/>
    <w:rsid w:val="002C0DCD"/>
    <w:rsid w:val="002C0EC8"/>
    <w:rsid w:val="002C167B"/>
    <w:rsid w:val="002C1D07"/>
    <w:rsid w:val="002C1DB8"/>
    <w:rsid w:val="002C2012"/>
    <w:rsid w:val="002C20E7"/>
    <w:rsid w:val="002C25D9"/>
    <w:rsid w:val="002C345C"/>
    <w:rsid w:val="002C454D"/>
    <w:rsid w:val="002C46C5"/>
    <w:rsid w:val="002C4CE0"/>
    <w:rsid w:val="002C4DDA"/>
    <w:rsid w:val="002C5447"/>
    <w:rsid w:val="002C5E38"/>
    <w:rsid w:val="002C6FC2"/>
    <w:rsid w:val="002C70A7"/>
    <w:rsid w:val="002D01E7"/>
    <w:rsid w:val="002D0D8F"/>
    <w:rsid w:val="002D1457"/>
    <w:rsid w:val="002D16D1"/>
    <w:rsid w:val="002D1A72"/>
    <w:rsid w:val="002D1B32"/>
    <w:rsid w:val="002D1CA7"/>
    <w:rsid w:val="002D2BEF"/>
    <w:rsid w:val="002D2DF3"/>
    <w:rsid w:val="002D3136"/>
    <w:rsid w:val="002D378C"/>
    <w:rsid w:val="002D3E0E"/>
    <w:rsid w:val="002D40AC"/>
    <w:rsid w:val="002D411E"/>
    <w:rsid w:val="002D41E9"/>
    <w:rsid w:val="002D51B1"/>
    <w:rsid w:val="002D578C"/>
    <w:rsid w:val="002D5DA9"/>
    <w:rsid w:val="002D6A51"/>
    <w:rsid w:val="002D7214"/>
    <w:rsid w:val="002D7D8B"/>
    <w:rsid w:val="002E046A"/>
    <w:rsid w:val="002E0F67"/>
    <w:rsid w:val="002E1D2E"/>
    <w:rsid w:val="002E1FBE"/>
    <w:rsid w:val="002E29F6"/>
    <w:rsid w:val="002E387B"/>
    <w:rsid w:val="002E3E49"/>
    <w:rsid w:val="002E47BE"/>
    <w:rsid w:val="002E5CE3"/>
    <w:rsid w:val="002E5F80"/>
    <w:rsid w:val="002E6450"/>
    <w:rsid w:val="002E691C"/>
    <w:rsid w:val="002E6A06"/>
    <w:rsid w:val="002E6BAF"/>
    <w:rsid w:val="002E70FD"/>
    <w:rsid w:val="002E7283"/>
    <w:rsid w:val="002E7384"/>
    <w:rsid w:val="002E79B7"/>
    <w:rsid w:val="002F034A"/>
    <w:rsid w:val="002F04E7"/>
    <w:rsid w:val="002F07EF"/>
    <w:rsid w:val="002F0941"/>
    <w:rsid w:val="002F10C3"/>
    <w:rsid w:val="002F10F8"/>
    <w:rsid w:val="002F2CB2"/>
    <w:rsid w:val="002F2D86"/>
    <w:rsid w:val="002F3C93"/>
    <w:rsid w:val="002F3D38"/>
    <w:rsid w:val="002F47B8"/>
    <w:rsid w:val="002F573B"/>
    <w:rsid w:val="002F64EE"/>
    <w:rsid w:val="002F7495"/>
    <w:rsid w:val="002F781B"/>
    <w:rsid w:val="002F7C55"/>
    <w:rsid w:val="002F7EA5"/>
    <w:rsid w:val="00301647"/>
    <w:rsid w:val="00301E03"/>
    <w:rsid w:val="00302120"/>
    <w:rsid w:val="00302601"/>
    <w:rsid w:val="00302896"/>
    <w:rsid w:val="003028EA"/>
    <w:rsid w:val="00303E5F"/>
    <w:rsid w:val="00304533"/>
    <w:rsid w:val="00304735"/>
    <w:rsid w:val="00304A20"/>
    <w:rsid w:val="00305622"/>
    <w:rsid w:val="00306984"/>
    <w:rsid w:val="00306D30"/>
    <w:rsid w:val="003109C3"/>
    <w:rsid w:val="00310D05"/>
    <w:rsid w:val="00310EED"/>
    <w:rsid w:val="003112EB"/>
    <w:rsid w:val="003113AE"/>
    <w:rsid w:val="003114AC"/>
    <w:rsid w:val="003116BA"/>
    <w:rsid w:val="00311705"/>
    <w:rsid w:val="00312836"/>
    <w:rsid w:val="00312C9C"/>
    <w:rsid w:val="00313199"/>
    <w:rsid w:val="00314B4A"/>
    <w:rsid w:val="00314C4A"/>
    <w:rsid w:val="003153EB"/>
    <w:rsid w:val="003153F4"/>
    <w:rsid w:val="0031551F"/>
    <w:rsid w:val="0031614A"/>
    <w:rsid w:val="003169AB"/>
    <w:rsid w:val="00316C7A"/>
    <w:rsid w:val="0031720F"/>
    <w:rsid w:val="00317B84"/>
    <w:rsid w:val="003202FF"/>
    <w:rsid w:val="003206AD"/>
    <w:rsid w:val="0032078D"/>
    <w:rsid w:val="00320B90"/>
    <w:rsid w:val="00320EE0"/>
    <w:rsid w:val="00321C92"/>
    <w:rsid w:val="00321CA1"/>
    <w:rsid w:val="00323160"/>
    <w:rsid w:val="00323B15"/>
    <w:rsid w:val="003241C2"/>
    <w:rsid w:val="003241D6"/>
    <w:rsid w:val="003243F9"/>
    <w:rsid w:val="00324F50"/>
    <w:rsid w:val="0032608B"/>
    <w:rsid w:val="003260C8"/>
    <w:rsid w:val="003265B0"/>
    <w:rsid w:val="003274F2"/>
    <w:rsid w:val="0033034D"/>
    <w:rsid w:val="00330F14"/>
    <w:rsid w:val="00331690"/>
    <w:rsid w:val="00332004"/>
    <w:rsid w:val="003330D5"/>
    <w:rsid w:val="003332A8"/>
    <w:rsid w:val="003333F0"/>
    <w:rsid w:val="00333E7B"/>
    <w:rsid w:val="00333E99"/>
    <w:rsid w:val="0033490A"/>
    <w:rsid w:val="00334F59"/>
    <w:rsid w:val="0033626F"/>
    <w:rsid w:val="003369B3"/>
    <w:rsid w:val="003378D0"/>
    <w:rsid w:val="00337A41"/>
    <w:rsid w:val="003400FC"/>
    <w:rsid w:val="003402BA"/>
    <w:rsid w:val="00340565"/>
    <w:rsid w:val="003408C1"/>
    <w:rsid w:val="00340EBC"/>
    <w:rsid w:val="00341022"/>
    <w:rsid w:val="00341096"/>
    <w:rsid w:val="003410B9"/>
    <w:rsid w:val="003417B6"/>
    <w:rsid w:val="00342EF1"/>
    <w:rsid w:val="00343320"/>
    <w:rsid w:val="00343563"/>
    <w:rsid w:val="0034379D"/>
    <w:rsid w:val="0034414D"/>
    <w:rsid w:val="0034470B"/>
    <w:rsid w:val="003447CB"/>
    <w:rsid w:val="00345BED"/>
    <w:rsid w:val="0034607C"/>
    <w:rsid w:val="0034659F"/>
    <w:rsid w:val="003465DC"/>
    <w:rsid w:val="00346774"/>
    <w:rsid w:val="00346B98"/>
    <w:rsid w:val="00346D15"/>
    <w:rsid w:val="00347FE0"/>
    <w:rsid w:val="003507D2"/>
    <w:rsid w:val="003516CE"/>
    <w:rsid w:val="00352836"/>
    <w:rsid w:val="003528EA"/>
    <w:rsid w:val="00353181"/>
    <w:rsid w:val="00353783"/>
    <w:rsid w:val="00353A2D"/>
    <w:rsid w:val="00354107"/>
    <w:rsid w:val="0035485C"/>
    <w:rsid w:val="003548C8"/>
    <w:rsid w:val="00354DC9"/>
    <w:rsid w:val="00354F2F"/>
    <w:rsid w:val="00354FD0"/>
    <w:rsid w:val="0035506C"/>
    <w:rsid w:val="00355767"/>
    <w:rsid w:val="00356EFC"/>
    <w:rsid w:val="00357F49"/>
    <w:rsid w:val="00360521"/>
    <w:rsid w:val="003607FA"/>
    <w:rsid w:val="0036124A"/>
    <w:rsid w:val="0036276A"/>
    <w:rsid w:val="00362F4A"/>
    <w:rsid w:val="0036346F"/>
    <w:rsid w:val="00363477"/>
    <w:rsid w:val="0036381E"/>
    <w:rsid w:val="00363ECA"/>
    <w:rsid w:val="003645AF"/>
    <w:rsid w:val="00364B62"/>
    <w:rsid w:val="00364D2B"/>
    <w:rsid w:val="00365168"/>
    <w:rsid w:val="0036544B"/>
    <w:rsid w:val="00365E1D"/>
    <w:rsid w:val="00365FFD"/>
    <w:rsid w:val="00366356"/>
    <w:rsid w:val="003669EF"/>
    <w:rsid w:val="003677AA"/>
    <w:rsid w:val="00367C6D"/>
    <w:rsid w:val="00367EB3"/>
    <w:rsid w:val="00371A96"/>
    <w:rsid w:val="003723DB"/>
    <w:rsid w:val="003727C9"/>
    <w:rsid w:val="00372978"/>
    <w:rsid w:val="00372AEA"/>
    <w:rsid w:val="0037342C"/>
    <w:rsid w:val="00373766"/>
    <w:rsid w:val="00373938"/>
    <w:rsid w:val="00374690"/>
    <w:rsid w:val="003746B7"/>
    <w:rsid w:val="003754D8"/>
    <w:rsid w:val="003760C3"/>
    <w:rsid w:val="0037641D"/>
    <w:rsid w:val="0037666A"/>
    <w:rsid w:val="003767AD"/>
    <w:rsid w:val="00376A1A"/>
    <w:rsid w:val="00376A68"/>
    <w:rsid w:val="00376C33"/>
    <w:rsid w:val="00377099"/>
    <w:rsid w:val="00377F8A"/>
    <w:rsid w:val="003800EC"/>
    <w:rsid w:val="00380F0D"/>
    <w:rsid w:val="00382352"/>
    <w:rsid w:val="0038275B"/>
    <w:rsid w:val="0038301D"/>
    <w:rsid w:val="00383329"/>
    <w:rsid w:val="00383ED6"/>
    <w:rsid w:val="00384127"/>
    <w:rsid w:val="003841D6"/>
    <w:rsid w:val="00384A45"/>
    <w:rsid w:val="00384FE2"/>
    <w:rsid w:val="0038532C"/>
    <w:rsid w:val="00385630"/>
    <w:rsid w:val="003858EA"/>
    <w:rsid w:val="00385E84"/>
    <w:rsid w:val="003861BA"/>
    <w:rsid w:val="0038656A"/>
    <w:rsid w:val="0038662A"/>
    <w:rsid w:val="00386C95"/>
    <w:rsid w:val="00387471"/>
    <w:rsid w:val="003874F0"/>
    <w:rsid w:val="00387A93"/>
    <w:rsid w:val="00387B70"/>
    <w:rsid w:val="00390449"/>
    <w:rsid w:val="00390813"/>
    <w:rsid w:val="00391B51"/>
    <w:rsid w:val="00393268"/>
    <w:rsid w:val="00393431"/>
    <w:rsid w:val="0039391D"/>
    <w:rsid w:val="00393D50"/>
    <w:rsid w:val="00394AAC"/>
    <w:rsid w:val="00395A65"/>
    <w:rsid w:val="00396E4D"/>
    <w:rsid w:val="003978AF"/>
    <w:rsid w:val="003A046A"/>
    <w:rsid w:val="003A1F00"/>
    <w:rsid w:val="003A1F4B"/>
    <w:rsid w:val="003A228F"/>
    <w:rsid w:val="003A2709"/>
    <w:rsid w:val="003A3CBD"/>
    <w:rsid w:val="003A462C"/>
    <w:rsid w:val="003A5076"/>
    <w:rsid w:val="003A55A5"/>
    <w:rsid w:val="003A5610"/>
    <w:rsid w:val="003A5C6D"/>
    <w:rsid w:val="003A7B37"/>
    <w:rsid w:val="003B0380"/>
    <w:rsid w:val="003B052C"/>
    <w:rsid w:val="003B1C4E"/>
    <w:rsid w:val="003B1F1F"/>
    <w:rsid w:val="003B2435"/>
    <w:rsid w:val="003B40E2"/>
    <w:rsid w:val="003B4B0D"/>
    <w:rsid w:val="003B4CDF"/>
    <w:rsid w:val="003B5119"/>
    <w:rsid w:val="003B53C5"/>
    <w:rsid w:val="003B553B"/>
    <w:rsid w:val="003B62C4"/>
    <w:rsid w:val="003B67DD"/>
    <w:rsid w:val="003B6A22"/>
    <w:rsid w:val="003B6B77"/>
    <w:rsid w:val="003C0503"/>
    <w:rsid w:val="003C198B"/>
    <w:rsid w:val="003C2281"/>
    <w:rsid w:val="003C25C1"/>
    <w:rsid w:val="003C28D0"/>
    <w:rsid w:val="003C30B1"/>
    <w:rsid w:val="003C3B31"/>
    <w:rsid w:val="003C3CA9"/>
    <w:rsid w:val="003C4130"/>
    <w:rsid w:val="003C48BF"/>
    <w:rsid w:val="003C49FA"/>
    <w:rsid w:val="003C52A6"/>
    <w:rsid w:val="003C58AB"/>
    <w:rsid w:val="003C5AC9"/>
    <w:rsid w:val="003C5D83"/>
    <w:rsid w:val="003C640C"/>
    <w:rsid w:val="003C7690"/>
    <w:rsid w:val="003C78C3"/>
    <w:rsid w:val="003D03D6"/>
    <w:rsid w:val="003D1368"/>
    <w:rsid w:val="003D1C56"/>
    <w:rsid w:val="003D2671"/>
    <w:rsid w:val="003D281D"/>
    <w:rsid w:val="003D2A24"/>
    <w:rsid w:val="003D3394"/>
    <w:rsid w:val="003D382F"/>
    <w:rsid w:val="003D41C0"/>
    <w:rsid w:val="003D5D72"/>
    <w:rsid w:val="003D5F47"/>
    <w:rsid w:val="003D69F1"/>
    <w:rsid w:val="003D748A"/>
    <w:rsid w:val="003D79EB"/>
    <w:rsid w:val="003D7ED2"/>
    <w:rsid w:val="003E0A7D"/>
    <w:rsid w:val="003E0F3C"/>
    <w:rsid w:val="003E12CD"/>
    <w:rsid w:val="003E15F5"/>
    <w:rsid w:val="003E1C80"/>
    <w:rsid w:val="003E258B"/>
    <w:rsid w:val="003E2E16"/>
    <w:rsid w:val="003E310B"/>
    <w:rsid w:val="003E41A8"/>
    <w:rsid w:val="003E44E6"/>
    <w:rsid w:val="003E4B5E"/>
    <w:rsid w:val="003E548B"/>
    <w:rsid w:val="003E5A43"/>
    <w:rsid w:val="003E5C25"/>
    <w:rsid w:val="003E5EB2"/>
    <w:rsid w:val="003E5FA5"/>
    <w:rsid w:val="003E64B4"/>
    <w:rsid w:val="003E6895"/>
    <w:rsid w:val="003E7FFE"/>
    <w:rsid w:val="003F03BD"/>
    <w:rsid w:val="003F084F"/>
    <w:rsid w:val="003F0B75"/>
    <w:rsid w:val="003F0D6A"/>
    <w:rsid w:val="003F1440"/>
    <w:rsid w:val="003F16DC"/>
    <w:rsid w:val="003F2100"/>
    <w:rsid w:val="003F212E"/>
    <w:rsid w:val="003F2B97"/>
    <w:rsid w:val="003F3299"/>
    <w:rsid w:val="003F3908"/>
    <w:rsid w:val="003F3E99"/>
    <w:rsid w:val="003F4704"/>
    <w:rsid w:val="003F5C4E"/>
    <w:rsid w:val="003F5C5C"/>
    <w:rsid w:val="003F5E0A"/>
    <w:rsid w:val="003F5E5E"/>
    <w:rsid w:val="003F758F"/>
    <w:rsid w:val="003F7ED4"/>
    <w:rsid w:val="00400024"/>
    <w:rsid w:val="00400674"/>
    <w:rsid w:val="004007DC"/>
    <w:rsid w:val="00400EBF"/>
    <w:rsid w:val="004017AF"/>
    <w:rsid w:val="00401E1B"/>
    <w:rsid w:val="0040241E"/>
    <w:rsid w:val="004024CF"/>
    <w:rsid w:val="0040286D"/>
    <w:rsid w:val="00402913"/>
    <w:rsid w:val="00402A7E"/>
    <w:rsid w:val="00402B02"/>
    <w:rsid w:val="00403916"/>
    <w:rsid w:val="00403C49"/>
    <w:rsid w:val="00403C70"/>
    <w:rsid w:val="004043C2"/>
    <w:rsid w:val="00404A8A"/>
    <w:rsid w:val="0040546F"/>
    <w:rsid w:val="00405755"/>
    <w:rsid w:val="00405F4F"/>
    <w:rsid w:val="00405F84"/>
    <w:rsid w:val="0040604E"/>
    <w:rsid w:val="004065E1"/>
    <w:rsid w:val="004067CB"/>
    <w:rsid w:val="0040695C"/>
    <w:rsid w:val="004078F5"/>
    <w:rsid w:val="00410046"/>
    <w:rsid w:val="00410598"/>
    <w:rsid w:val="0041100F"/>
    <w:rsid w:val="00411260"/>
    <w:rsid w:val="004114D8"/>
    <w:rsid w:val="00413353"/>
    <w:rsid w:val="0041336E"/>
    <w:rsid w:val="00413A0A"/>
    <w:rsid w:val="00413E04"/>
    <w:rsid w:val="004140C6"/>
    <w:rsid w:val="00414282"/>
    <w:rsid w:val="00414388"/>
    <w:rsid w:val="0041467A"/>
    <w:rsid w:val="00415708"/>
    <w:rsid w:val="00415A34"/>
    <w:rsid w:val="004160AF"/>
    <w:rsid w:val="00416C50"/>
    <w:rsid w:val="0041735C"/>
    <w:rsid w:val="004177C0"/>
    <w:rsid w:val="00417BC8"/>
    <w:rsid w:val="00417CB1"/>
    <w:rsid w:val="00420A2A"/>
    <w:rsid w:val="00420AC7"/>
    <w:rsid w:val="004219AE"/>
    <w:rsid w:val="00421C78"/>
    <w:rsid w:val="00421CE8"/>
    <w:rsid w:val="00422FF3"/>
    <w:rsid w:val="004236D4"/>
    <w:rsid w:val="00425712"/>
    <w:rsid w:val="004259EF"/>
    <w:rsid w:val="00425B2E"/>
    <w:rsid w:val="004263F1"/>
    <w:rsid w:val="004266BC"/>
    <w:rsid w:val="00426A01"/>
    <w:rsid w:val="0043028B"/>
    <w:rsid w:val="00431357"/>
    <w:rsid w:val="00431F3B"/>
    <w:rsid w:val="00433B1B"/>
    <w:rsid w:val="00433D56"/>
    <w:rsid w:val="00433DB2"/>
    <w:rsid w:val="00433FD7"/>
    <w:rsid w:val="0043439D"/>
    <w:rsid w:val="00434C3E"/>
    <w:rsid w:val="00434F90"/>
    <w:rsid w:val="004351B8"/>
    <w:rsid w:val="004354C8"/>
    <w:rsid w:val="00435963"/>
    <w:rsid w:val="00436275"/>
    <w:rsid w:val="00436704"/>
    <w:rsid w:val="004369A5"/>
    <w:rsid w:val="004379BF"/>
    <w:rsid w:val="00437AA7"/>
    <w:rsid w:val="004400B7"/>
    <w:rsid w:val="00440555"/>
    <w:rsid w:val="0044058C"/>
    <w:rsid w:val="00440809"/>
    <w:rsid w:val="00440DCE"/>
    <w:rsid w:val="004414AC"/>
    <w:rsid w:val="00441D23"/>
    <w:rsid w:val="004423DA"/>
    <w:rsid w:val="00442772"/>
    <w:rsid w:val="00442A6D"/>
    <w:rsid w:val="00442C09"/>
    <w:rsid w:val="004436BA"/>
    <w:rsid w:val="00443E26"/>
    <w:rsid w:val="00444793"/>
    <w:rsid w:val="0044556F"/>
    <w:rsid w:val="004460D0"/>
    <w:rsid w:val="00446599"/>
    <w:rsid w:val="00446844"/>
    <w:rsid w:val="00446E19"/>
    <w:rsid w:val="00447353"/>
    <w:rsid w:val="004503C8"/>
    <w:rsid w:val="00450483"/>
    <w:rsid w:val="00451157"/>
    <w:rsid w:val="004513A7"/>
    <w:rsid w:val="004516E2"/>
    <w:rsid w:val="004516EC"/>
    <w:rsid w:val="00452601"/>
    <w:rsid w:val="00453001"/>
    <w:rsid w:val="00453383"/>
    <w:rsid w:val="0045353B"/>
    <w:rsid w:val="00453729"/>
    <w:rsid w:val="00453A03"/>
    <w:rsid w:val="00453D48"/>
    <w:rsid w:val="004548DC"/>
    <w:rsid w:val="004551EF"/>
    <w:rsid w:val="0045685C"/>
    <w:rsid w:val="00456D25"/>
    <w:rsid w:val="0045764C"/>
    <w:rsid w:val="00457B86"/>
    <w:rsid w:val="00457E96"/>
    <w:rsid w:val="00460360"/>
    <w:rsid w:val="00460D76"/>
    <w:rsid w:val="00460E90"/>
    <w:rsid w:val="00461439"/>
    <w:rsid w:val="00461A4B"/>
    <w:rsid w:val="00461A5E"/>
    <w:rsid w:val="004628CF"/>
    <w:rsid w:val="00462B9D"/>
    <w:rsid w:val="00462F78"/>
    <w:rsid w:val="00463228"/>
    <w:rsid w:val="0046348C"/>
    <w:rsid w:val="00464280"/>
    <w:rsid w:val="0046466A"/>
    <w:rsid w:val="00464892"/>
    <w:rsid w:val="00467AAF"/>
    <w:rsid w:val="004705E5"/>
    <w:rsid w:val="00470F63"/>
    <w:rsid w:val="004714EF"/>
    <w:rsid w:val="0047255D"/>
    <w:rsid w:val="004727DB"/>
    <w:rsid w:val="00472E6D"/>
    <w:rsid w:val="004730D9"/>
    <w:rsid w:val="00473835"/>
    <w:rsid w:val="00474851"/>
    <w:rsid w:val="0047496C"/>
    <w:rsid w:val="0047651E"/>
    <w:rsid w:val="0047789B"/>
    <w:rsid w:val="0047799D"/>
    <w:rsid w:val="00480032"/>
    <w:rsid w:val="0048008D"/>
    <w:rsid w:val="00480723"/>
    <w:rsid w:val="00480922"/>
    <w:rsid w:val="004815F5"/>
    <w:rsid w:val="00481B83"/>
    <w:rsid w:val="00481E9C"/>
    <w:rsid w:val="004825E1"/>
    <w:rsid w:val="004831CB"/>
    <w:rsid w:val="00483201"/>
    <w:rsid w:val="00483A62"/>
    <w:rsid w:val="00483F23"/>
    <w:rsid w:val="00484B85"/>
    <w:rsid w:val="00484C68"/>
    <w:rsid w:val="0048548F"/>
    <w:rsid w:val="004859D7"/>
    <w:rsid w:val="004862A8"/>
    <w:rsid w:val="004863E8"/>
    <w:rsid w:val="00487575"/>
    <w:rsid w:val="004877B7"/>
    <w:rsid w:val="00487B6C"/>
    <w:rsid w:val="00487D9C"/>
    <w:rsid w:val="00487E52"/>
    <w:rsid w:val="00490452"/>
    <w:rsid w:val="00491A1F"/>
    <w:rsid w:val="00491AD6"/>
    <w:rsid w:val="00492913"/>
    <w:rsid w:val="00492BE3"/>
    <w:rsid w:val="00492DA0"/>
    <w:rsid w:val="00493109"/>
    <w:rsid w:val="0049352F"/>
    <w:rsid w:val="00493B05"/>
    <w:rsid w:val="00493BB7"/>
    <w:rsid w:val="0049514A"/>
    <w:rsid w:val="00495239"/>
    <w:rsid w:val="0049530F"/>
    <w:rsid w:val="004956F8"/>
    <w:rsid w:val="00495DA4"/>
    <w:rsid w:val="00496217"/>
    <w:rsid w:val="00496861"/>
    <w:rsid w:val="00496CB4"/>
    <w:rsid w:val="00497615"/>
    <w:rsid w:val="004A05A2"/>
    <w:rsid w:val="004A1568"/>
    <w:rsid w:val="004A16AE"/>
    <w:rsid w:val="004A26F0"/>
    <w:rsid w:val="004A3BDF"/>
    <w:rsid w:val="004A3F76"/>
    <w:rsid w:val="004A4436"/>
    <w:rsid w:val="004A5991"/>
    <w:rsid w:val="004A5C5A"/>
    <w:rsid w:val="004A5CF8"/>
    <w:rsid w:val="004A64FA"/>
    <w:rsid w:val="004A6D4E"/>
    <w:rsid w:val="004A718D"/>
    <w:rsid w:val="004A7AED"/>
    <w:rsid w:val="004A7D0F"/>
    <w:rsid w:val="004B07C6"/>
    <w:rsid w:val="004B080E"/>
    <w:rsid w:val="004B0B91"/>
    <w:rsid w:val="004B1773"/>
    <w:rsid w:val="004B26A1"/>
    <w:rsid w:val="004B2724"/>
    <w:rsid w:val="004B3750"/>
    <w:rsid w:val="004B390D"/>
    <w:rsid w:val="004B4D44"/>
    <w:rsid w:val="004B4FC0"/>
    <w:rsid w:val="004B5069"/>
    <w:rsid w:val="004B50D7"/>
    <w:rsid w:val="004B574B"/>
    <w:rsid w:val="004B576B"/>
    <w:rsid w:val="004B595F"/>
    <w:rsid w:val="004B5E7F"/>
    <w:rsid w:val="004B6342"/>
    <w:rsid w:val="004C0454"/>
    <w:rsid w:val="004C07DE"/>
    <w:rsid w:val="004C1394"/>
    <w:rsid w:val="004C1AD1"/>
    <w:rsid w:val="004C21EF"/>
    <w:rsid w:val="004C2DFA"/>
    <w:rsid w:val="004C2F7C"/>
    <w:rsid w:val="004C34A0"/>
    <w:rsid w:val="004C4088"/>
    <w:rsid w:val="004C4F67"/>
    <w:rsid w:val="004C564B"/>
    <w:rsid w:val="004C5F90"/>
    <w:rsid w:val="004C74CF"/>
    <w:rsid w:val="004C7624"/>
    <w:rsid w:val="004C77E7"/>
    <w:rsid w:val="004C78E7"/>
    <w:rsid w:val="004C7DAE"/>
    <w:rsid w:val="004D0B4D"/>
    <w:rsid w:val="004D0B8F"/>
    <w:rsid w:val="004D2011"/>
    <w:rsid w:val="004D23D5"/>
    <w:rsid w:val="004D2A5E"/>
    <w:rsid w:val="004D2A6A"/>
    <w:rsid w:val="004D2C7D"/>
    <w:rsid w:val="004D325F"/>
    <w:rsid w:val="004D3266"/>
    <w:rsid w:val="004D3A6D"/>
    <w:rsid w:val="004D40CF"/>
    <w:rsid w:val="004D44FF"/>
    <w:rsid w:val="004D47C7"/>
    <w:rsid w:val="004D4B00"/>
    <w:rsid w:val="004D537B"/>
    <w:rsid w:val="004D626F"/>
    <w:rsid w:val="004D6E87"/>
    <w:rsid w:val="004D757E"/>
    <w:rsid w:val="004D789E"/>
    <w:rsid w:val="004D79F6"/>
    <w:rsid w:val="004D7AB3"/>
    <w:rsid w:val="004D7EC3"/>
    <w:rsid w:val="004E0129"/>
    <w:rsid w:val="004E134C"/>
    <w:rsid w:val="004E146C"/>
    <w:rsid w:val="004E16E3"/>
    <w:rsid w:val="004E1E25"/>
    <w:rsid w:val="004E2E3C"/>
    <w:rsid w:val="004E31D6"/>
    <w:rsid w:val="004E3730"/>
    <w:rsid w:val="004E3C1B"/>
    <w:rsid w:val="004E415C"/>
    <w:rsid w:val="004E5312"/>
    <w:rsid w:val="004E5544"/>
    <w:rsid w:val="004E5FB1"/>
    <w:rsid w:val="004E5FF7"/>
    <w:rsid w:val="004E7621"/>
    <w:rsid w:val="004E790E"/>
    <w:rsid w:val="004E7949"/>
    <w:rsid w:val="004E7A96"/>
    <w:rsid w:val="004E7D1F"/>
    <w:rsid w:val="004E7E3C"/>
    <w:rsid w:val="004E7F0A"/>
    <w:rsid w:val="004E7F8C"/>
    <w:rsid w:val="004F0757"/>
    <w:rsid w:val="004F0E85"/>
    <w:rsid w:val="004F0F26"/>
    <w:rsid w:val="004F1EA6"/>
    <w:rsid w:val="004F2695"/>
    <w:rsid w:val="004F2951"/>
    <w:rsid w:val="004F3805"/>
    <w:rsid w:val="004F3CFE"/>
    <w:rsid w:val="004F3EDB"/>
    <w:rsid w:val="004F42D1"/>
    <w:rsid w:val="004F46C0"/>
    <w:rsid w:val="004F5235"/>
    <w:rsid w:val="004F5A4E"/>
    <w:rsid w:val="004F6312"/>
    <w:rsid w:val="004F631B"/>
    <w:rsid w:val="004F6417"/>
    <w:rsid w:val="004F7837"/>
    <w:rsid w:val="00500162"/>
    <w:rsid w:val="00501789"/>
    <w:rsid w:val="00501A53"/>
    <w:rsid w:val="00501D0F"/>
    <w:rsid w:val="005024F6"/>
    <w:rsid w:val="005025BA"/>
    <w:rsid w:val="00502A41"/>
    <w:rsid w:val="00502B00"/>
    <w:rsid w:val="00503012"/>
    <w:rsid w:val="0050388D"/>
    <w:rsid w:val="005049BA"/>
    <w:rsid w:val="005051FA"/>
    <w:rsid w:val="00505371"/>
    <w:rsid w:val="00505A43"/>
    <w:rsid w:val="00506262"/>
    <w:rsid w:val="00506A85"/>
    <w:rsid w:val="00506F08"/>
    <w:rsid w:val="00507BE3"/>
    <w:rsid w:val="00507FA4"/>
    <w:rsid w:val="00510194"/>
    <w:rsid w:val="00510C79"/>
    <w:rsid w:val="00511DEC"/>
    <w:rsid w:val="00512467"/>
    <w:rsid w:val="005126ED"/>
    <w:rsid w:val="00512E1C"/>
    <w:rsid w:val="0051372D"/>
    <w:rsid w:val="00513D5E"/>
    <w:rsid w:val="00514108"/>
    <w:rsid w:val="00514953"/>
    <w:rsid w:val="00514C5A"/>
    <w:rsid w:val="00514F48"/>
    <w:rsid w:val="00515226"/>
    <w:rsid w:val="005156A2"/>
    <w:rsid w:val="00515D75"/>
    <w:rsid w:val="00515E9A"/>
    <w:rsid w:val="0051606F"/>
    <w:rsid w:val="00517AF2"/>
    <w:rsid w:val="00521767"/>
    <w:rsid w:val="00521A1B"/>
    <w:rsid w:val="00521E07"/>
    <w:rsid w:val="005220D8"/>
    <w:rsid w:val="0052234F"/>
    <w:rsid w:val="00522A49"/>
    <w:rsid w:val="0052371E"/>
    <w:rsid w:val="005245FB"/>
    <w:rsid w:val="00524B53"/>
    <w:rsid w:val="00525D9A"/>
    <w:rsid w:val="005264E5"/>
    <w:rsid w:val="0052675E"/>
    <w:rsid w:val="005274EB"/>
    <w:rsid w:val="00527521"/>
    <w:rsid w:val="005276F9"/>
    <w:rsid w:val="00527B55"/>
    <w:rsid w:val="00530275"/>
    <w:rsid w:val="00530B58"/>
    <w:rsid w:val="00531A7F"/>
    <w:rsid w:val="00532382"/>
    <w:rsid w:val="00532CF2"/>
    <w:rsid w:val="005334BE"/>
    <w:rsid w:val="005337D4"/>
    <w:rsid w:val="00534087"/>
    <w:rsid w:val="00534420"/>
    <w:rsid w:val="00534C97"/>
    <w:rsid w:val="005356B5"/>
    <w:rsid w:val="00535E30"/>
    <w:rsid w:val="00535F06"/>
    <w:rsid w:val="005370F4"/>
    <w:rsid w:val="0053750F"/>
    <w:rsid w:val="005379DA"/>
    <w:rsid w:val="00537DC0"/>
    <w:rsid w:val="0054002E"/>
    <w:rsid w:val="005403F5"/>
    <w:rsid w:val="005407F1"/>
    <w:rsid w:val="00540E83"/>
    <w:rsid w:val="00540F94"/>
    <w:rsid w:val="00541183"/>
    <w:rsid w:val="005419EC"/>
    <w:rsid w:val="00541EAF"/>
    <w:rsid w:val="00542143"/>
    <w:rsid w:val="00542313"/>
    <w:rsid w:val="00542B6C"/>
    <w:rsid w:val="00543057"/>
    <w:rsid w:val="00544925"/>
    <w:rsid w:val="005453FA"/>
    <w:rsid w:val="005464B2"/>
    <w:rsid w:val="005466AB"/>
    <w:rsid w:val="00546D79"/>
    <w:rsid w:val="00547269"/>
    <w:rsid w:val="00547969"/>
    <w:rsid w:val="00550728"/>
    <w:rsid w:val="00550FC6"/>
    <w:rsid w:val="00551EC8"/>
    <w:rsid w:val="0055243C"/>
    <w:rsid w:val="00552F52"/>
    <w:rsid w:val="005532C1"/>
    <w:rsid w:val="005538EE"/>
    <w:rsid w:val="005541D6"/>
    <w:rsid w:val="00554BA5"/>
    <w:rsid w:val="00554F6A"/>
    <w:rsid w:val="00555C1F"/>
    <w:rsid w:val="00555F1C"/>
    <w:rsid w:val="0055629D"/>
    <w:rsid w:val="00556693"/>
    <w:rsid w:val="005567BC"/>
    <w:rsid w:val="00556B0E"/>
    <w:rsid w:val="00557780"/>
    <w:rsid w:val="005578B5"/>
    <w:rsid w:val="0056004A"/>
    <w:rsid w:val="00561288"/>
    <w:rsid w:val="0056191F"/>
    <w:rsid w:val="005624A9"/>
    <w:rsid w:val="00562545"/>
    <w:rsid w:val="0056265E"/>
    <w:rsid w:val="005628E6"/>
    <w:rsid w:val="00562D91"/>
    <w:rsid w:val="0056332A"/>
    <w:rsid w:val="00563C32"/>
    <w:rsid w:val="00563E9F"/>
    <w:rsid w:val="00564A2C"/>
    <w:rsid w:val="00565674"/>
    <w:rsid w:val="00565E84"/>
    <w:rsid w:val="00566360"/>
    <w:rsid w:val="005673C1"/>
    <w:rsid w:val="00567DA9"/>
    <w:rsid w:val="00567DB8"/>
    <w:rsid w:val="0057094E"/>
    <w:rsid w:val="0057129E"/>
    <w:rsid w:val="00571462"/>
    <w:rsid w:val="00571766"/>
    <w:rsid w:val="0057212D"/>
    <w:rsid w:val="00573B1F"/>
    <w:rsid w:val="00573F41"/>
    <w:rsid w:val="005740C8"/>
    <w:rsid w:val="005748DC"/>
    <w:rsid w:val="00575207"/>
    <w:rsid w:val="00575384"/>
    <w:rsid w:val="005753E5"/>
    <w:rsid w:val="0057617A"/>
    <w:rsid w:val="0057664D"/>
    <w:rsid w:val="005768D0"/>
    <w:rsid w:val="00576E26"/>
    <w:rsid w:val="005775E8"/>
    <w:rsid w:val="00580956"/>
    <w:rsid w:val="005811CB"/>
    <w:rsid w:val="005814B3"/>
    <w:rsid w:val="005818B6"/>
    <w:rsid w:val="00582158"/>
    <w:rsid w:val="00582504"/>
    <w:rsid w:val="00582661"/>
    <w:rsid w:val="005826ED"/>
    <w:rsid w:val="00582A7B"/>
    <w:rsid w:val="00582B89"/>
    <w:rsid w:val="005830ED"/>
    <w:rsid w:val="00583E07"/>
    <w:rsid w:val="00583F14"/>
    <w:rsid w:val="00584094"/>
    <w:rsid w:val="005844B3"/>
    <w:rsid w:val="0058478B"/>
    <w:rsid w:val="00584808"/>
    <w:rsid w:val="00585270"/>
    <w:rsid w:val="005856EF"/>
    <w:rsid w:val="005861CE"/>
    <w:rsid w:val="00586DA1"/>
    <w:rsid w:val="005878B3"/>
    <w:rsid w:val="0059012E"/>
    <w:rsid w:val="00590DD0"/>
    <w:rsid w:val="00591B96"/>
    <w:rsid w:val="00591C87"/>
    <w:rsid w:val="005920F2"/>
    <w:rsid w:val="00592734"/>
    <w:rsid w:val="00592A4E"/>
    <w:rsid w:val="00592E4A"/>
    <w:rsid w:val="00593172"/>
    <w:rsid w:val="005963D6"/>
    <w:rsid w:val="005963FB"/>
    <w:rsid w:val="005964D0"/>
    <w:rsid w:val="005966F7"/>
    <w:rsid w:val="00596924"/>
    <w:rsid w:val="00597260"/>
    <w:rsid w:val="005973F4"/>
    <w:rsid w:val="005A0540"/>
    <w:rsid w:val="005A0783"/>
    <w:rsid w:val="005A1003"/>
    <w:rsid w:val="005A1757"/>
    <w:rsid w:val="005A1904"/>
    <w:rsid w:val="005A1C34"/>
    <w:rsid w:val="005A1C71"/>
    <w:rsid w:val="005A1D42"/>
    <w:rsid w:val="005A1EFC"/>
    <w:rsid w:val="005A1FBD"/>
    <w:rsid w:val="005A2EB7"/>
    <w:rsid w:val="005A3600"/>
    <w:rsid w:val="005A3D14"/>
    <w:rsid w:val="005A4171"/>
    <w:rsid w:val="005A526F"/>
    <w:rsid w:val="005A580D"/>
    <w:rsid w:val="005A6289"/>
    <w:rsid w:val="005A6F00"/>
    <w:rsid w:val="005A7515"/>
    <w:rsid w:val="005A78E3"/>
    <w:rsid w:val="005A7AA5"/>
    <w:rsid w:val="005A7CC7"/>
    <w:rsid w:val="005B00C4"/>
    <w:rsid w:val="005B04CA"/>
    <w:rsid w:val="005B0E1D"/>
    <w:rsid w:val="005B1400"/>
    <w:rsid w:val="005B1A88"/>
    <w:rsid w:val="005B3179"/>
    <w:rsid w:val="005B3347"/>
    <w:rsid w:val="005B3BC8"/>
    <w:rsid w:val="005B3C75"/>
    <w:rsid w:val="005B3DFE"/>
    <w:rsid w:val="005B3EC3"/>
    <w:rsid w:val="005B5E01"/>
    <w:rsid w:val="005B5ED1"/>
    <w:rsid w:val="005B7958"/>
    <w:rsid w:val="005C04E3"/>
    <w:rsid w:val="005C19B6"/>
    <w:rsid w:val="005C207E"/>
    <w:rsid w:val="005C2AD4"/>
    <w:rsid w:val="005C2B0B"/>
    <w:rsid w:val="005C34AC"/>
    <w:rsid w:val="005C352B"/>
    <w:rsid w:val="005C3593"/>
    <w:rsid w:val="005C383F"/>
    <w:rsid w:val="005C38F3"/>
    <w:rsid w:val="005C39FC"/>
    <w:rsid w:val="005C3F62"/>
    <w:rsid w:val="005C41BF"/>
    <w:rsid w:val="005C4598"/>
    <w:rsid w:val="005C4872"/>
    <w:rsid w:val="005C48F9"/>
    <w:rsid w:val="005C4BBF"/>
    <w:rsid w:val="005C4DD4"/>
    <w:rsid w:val="005C621F"/>
    <w:rsid w:val="005C6469"/>
    <w:rsid w:val="005C66A9"/>
    <w:rsid w:val="005C6A09"/>
    <w:rsid w:val="005C6BA6"/>
    <w:rsid w:val="005C6DFF"/>
    <w:rsid w:val="005C791F"/>
    <w:rsid w:val="005C7CF2"/>
    <w:rsid w:val="005D0A2D"/>
    <w:rsid w:val="005D0AC1"/>
    <w:rsid w:val="005D11D4"/>
    <w:rsid w:val="005D19AC"/>
    <w:rsid w:val="005D2B04"/>
    <w:rsid w:val="005D314D"/>
    <w:rsid w:val="005D3193"/>
    <w:rsid w:val="005D3FC0"/>
    <w:rsid w:val="005D4709"/>
    <w:rsid w:val="005D5060"/>
    <w:rsid w:val="005D541D"/>
    <w:rsid w:val="005D597A"/>
    <w:rsid w:val="005D7757"/>
    <w:rsid w:val="005D77E8"/>
    <w:rsid w:val="005D7BE7"/>
    <w:rsid w:val="005E033D"/>
    <w:rsid w:val="005E0801"/>
    <w:rsid w:val="005E0865"/>
    <w:rsid w:val="005E0C6E"/>
    <w:rsid w:val="005E3236"/>
    <w:rsid w:val="005E3AB3"/>
    <w:rsid w:val="005E3AB9"/>
    <w:rsid w:val="005E4256"/>
    <w:rsid w:val="005E463A"/>
    <w:rsid w:val="005E4A2F"/>
    <w:rsid w:val="005E4B22"/>
    <w:rsid w:val="005E5302"/>
    <w:rsid w:val="005E63E6"/>
    <w:rsid w:val="005E6A49"/>
    <w:rsid w:val="005E7DD3"/>
    <w:rsid w:val="005F0154"/>
    <w:rsid w:val="005F09F0"/>
    <w:rsid w:val="005F253B"/>
    <w:rsid w:val="005F2A5D"/>
    <w:rsid w:val="005F2CA5"/>
    <w:rsid w:val="005F304A"/>
    <w:rsid w:val="005F325C"/>
    <w:rsid w:val="005F46B4"/>
    <w:rsid w:val="005F4D1B"/>
    <w:rsid w:val="005F4D7B"/>
    <w:rsid w:val="005F5932"/>
    <w:rsid w:val="005F6206"/>
    <w:rsid w:val="005F6BD3"/>
    <w:rsid w:val="005F6C68"/>
    <w:rsid w:val="005F7C8B"/>
    <w:rsid w:val="00600975"/>
    <w:rsid w:val="006009AB"/>
    <w:rsid w:val="00600A1A"/>
    <w:rsid w:val="0060125A"/>
    <w:rsid w:val="00601570"/>
    <w:rsid w:val="00601D85"/>
    <w:rsid w:val="00602616"/>
    <w:rsid w:val="00602D5A"/>
    <w:rsid w:val="0060301E"/>
    <w:rsid w:val="00603F0B"/>
    <w:rsid w:val="00604217"/>
    <w:rsid w:val="00604F7A"/>
    <w:rsid w:val="00605155"/>
    <w:rsid w:val="00605290"/>
    <w:rsid w:val="00605CAD"/>
    <w:rsid w:val="00606C20"/>
    <w:rsid w:val="00606C4C"/>
    <w:rsid w:val="0060790D"/>
    <w:rsid w:val="00607D2B"/>
    <w:rsid w:val="00610678"/>
    <w:rsid w:val="006115E7"/>
    <w:rsid w:val="006117BB"/>
    <w:rsid w:val="00611B80"/>
    <w:rsid w:val="006130BA"/>
    <w:rsid w:val="00613335"/>
    <w:rsid w:val="006135A5"/>
    <w:rsid w:val="0061366D"/>
    <w:rsid w:val="0061380B"/>
    <w:rsid w:val="00613C61"/>
    <w:rsid w:val="006144EF"/>
    <w:rsid w:val="00614B68"/>
    <w:rsid w:val="00614E88"/>
    <w:rsid w:val="00614F52"/>
    <w:rsid w:val="00614FB5"/>
    <w:rsid w:val="0061503A"/>
    <w:rsid w:val="00615D13"/>
    <w:rsid w:val="00615F44"/>
    <w:rsid w:val="0061653C"/>
    <w:rsid w:val="0061670B"/>
    <w:rsid w:val="00616CC9"/>
    <w:rsid w:val="00616FA1"/>
    <w:rsid w:val="0061705D"/>
    <w:rsid w:val="00617A30"/>
    <w:rsid w:val="00617CFB"/>
    <w:rsid w:val="00617F7D"/>
    <w:rsid w:val="0062006C"/>
    <w:rsid w:val="006201EA"/>
    <w:rsid w:val="00620451"/>
    <w:rsid w:val="006204F8"/>
    <w:rsid w:val="006206C4"/>
    <w:rsid w:val="00620983"/>
    <w:rsid w:val="006224FB"/>
    <w:rsid w:val="00623020"/>
    <w:rsid w:val="006236F3"/>
    <w:rsid w:val="00623ED9"/>
    <w:rsid w:val="006249C0"/>
    <w:rsid w:val="00624D5A"/>
    <w:rsid w:val="00625C93"/>
    <w:rsid w:val="00625E71"/>
    <w:rsid w:val="00626046"/>
    <w:rsid w:val="0062657F"/>
    <w:rsid w:val="006266C2"/>
    <w:rsid w:val="00626E71"/>
    <w:rsid w:val="0062709F"/>
    <w:rsid w:val="006270D5"/>
    <w:rsid w:val="006276D8"/>
    <w:rsid w:val="006278D2"/>
    <w:rsid w:val="00627960"/>
    <w:rsid w:val="00630730"/>
    <w:rsid w:val="00630841"/>
    <w:rsid w:val="0063095C"/>
    <w:rsid w:val="00631197"/>
    <w:rsid w:val="006316EF"/>
    <w:rsid w:val="00631ABE"/>
    <w:rsid w:val="00632650"/>
    <w:rsid w:val="006331F1"/>
    <w:rsid w:val="0063341B"/>
    <w:rsid w:val="006346FD"/>
    <w:rsid w:val="006348FD"/>
    <w:rsid w:val="00634CA6"/>
    <w:rsid w:val="00634FC7"/>
    <w:rsid w:val="00635221"/>
    <w:rsid w:val="0063551D"/>
    <w:rsid w:val="0063659F"/>
    <w:rsid w:val="006372EC"/>
    <w:rsid w:val="00637BB4"/>
    <w:rsid w:val="006400AB"/>
    <w:rsid w:val="00640439"/>
    <w:rsid w:val="006406B6"/>
    <w:rsid w:val="00640AC0"/>
    <w:rsid w:val="00640C86"/>
    <w:rsid w:val="0064284D"/>
    <w:rsid w:val="00642AE8"/>
    <w:rsid w:val="00642B5A"/>
    <w:rsid w:val="00643176"/>
    <w:rsid w:val="0064321D"/>
    <w:rsid w:val="006432AD"/>
    <w:rsid w:val="006439DB"/>
    <w:rsid w:val="00643A53"/>
    <w:rsid w:val="00644EBD"/>
    <w:rsid w:val="00645BC3"/>
    <w:rsid w:val="00645F4A"/>
    <w:rsid w:val="006474F4"/>
    <w:rsid w:val="00647D80"/>
    <w:rsid w:val="0065031E"/>
    <w:rsid w:val="00650A87"/>
    <w:rsid w:val="00651A28"/>
    <w:rsid w:val="00651EE9"/>
    <w:rsid w:val="00652337"/>
    <w:rsid w:val="00653B6C"/>
    <w:rsid w:val="00654039"/>
    <w:rsid w:val="006543E2"/>
    <w:rsid w:val="0065498D"/>
    <w:rsid w:val="00654A64"/>
    <w:rsid w:val="00655AC3"/>
    <w:rsid w:val="00655F63"/>
    <w:rsid w:val="00656333"/>
    <w:rsid w:val="006564FA"/>
    <w:rsid w:val="0065724A"/>
    <w:rsid w:val="0065787E"/>
    <w:rsid w:val="00657F56"/>
    <w:rsid w:val="00660AAB"/>
    <w:rsid w:val="006611E9"/>
    <w:rsid w:val="00661AC7"/>
    <w:rsid w:val="00661B01"/>
    <w:rsid w:val="00661CC4"/>
    <w:rsid w:val="0066207D"/>
    <w:rsid w:val="00662429"/>
    <w:rsid w:val="00662541"/>
    <w:rsid w:val="00662CDE"/>
    <w:rsid w:val="00662D5F"/>
    <w:rsid w:val="006639CE"/>
    <w:rsid w:val="00663A6A"/>
    <w:rsid w:val="00663AFE"/>
    <w:rsid w:val="00663C53"/>
    <w:rsid w:val="0066452A"/>
    <w:rsid w:val="00664BD9"/>
    <w:rsid w:val="006655A8"/>
    <w:rsid w:val="00665F08"/>
    <w:rsid w:val="006661A4"/>
    <w:rsid w:val="00666E5C"/>
    <w:rsid w:val="0066753D"/>
    <w:rsid w:val="00670045"/>
    <w:rsid w:val="00670444"/>
    <w:rsid w:val="00670450"/>
    <w:rsid w:val="00670891"/>
    <w:rsid w:val="0067093F"/>
    <w:rsid w:val="00670D69"/>
    <w:rsid w:val="00671193"/>
    <w:rsid w:val="00671D4B"/>
    <w:rsid w:val="00671DB6"/>
    <w:rsid w:val="006731D4"/>
    <w:rsid w:val="006733FD"/>
    <w:rsid w:val="006737D0"/>
    <w:rsid w:val="006738AD"/>
    <w:rsid w:val="00674B74"/>
    <w:rsid w:val="00675654"/>
    <w:rsid w:val="00675ABE"/>
    <w:rsid w:val="00675F7F"/>
    <w:rsid w:val="006761B0"/>
    <w:rsid w:val="0067627C"/>
    <w:rsid w:val="006769E1"/>
    <w:rsid w:val="00676C2B"/>
    <w:rsid w:val="00676C6D"/>
    <w:rsid w:val="00676C7A"/>
    <w:rsid w:val="006770B0"/>
    <w:rsid w:val="00677A78"/>
    <w:rsid w:val="00677D8E"/>
    <w:rsid w:val="00680EEF"/>
    <w:rsid w:val="00680F96"/>
    <w:rsid w:val="00681A81"/>
    <w:rsid w:val="00681AC9"/>
    <w:rsid w:val="006820E6"/>
    <w:rsid w:val="00682759"/>
    <w:rsid w:val="00682F4C"/>
    <w:rsid w:val="00683897"/>
    <w:rsid w:val="0068392E"/>
    <w:rsid w:val="00683C0D"/>
    <w:rsid w:val="00683CDD"/>
    <w:rsid w:val="00683D10"/>
    <w:rsid w:val="00684085"/>
    <w:rsid w:val="00684952"/>
    <w:rsid w:val="00684FB0"/>
    <w:rsid w:val="00684FFC"/>
    <w:rsid w:val="00685293"/>
    <w:rsid w:val="0068530B"/>
    <w:rsid w:val="0068548B"/>
    <w:rsid w:val="0068617D"/>
    <w:rsid w:val="006864D3"/>
    <w:rsid w:val="006868E0"/>
    <w:rsid w:val="00687805"/>
    <w:rsid w:val="00691814"/>
    <w:rsid w:val="00691B1F"/>
    <w:rsid w:val="00691C00"/>
    <w:rsid w:val="0069280F"/>
    <w:rsid w:val="00692DA0"/>
    <w:rsid w:val="006937E6"/>
    <w:rsid w:val="00694460"/>
    <w:rsid w:val="00695879"/>
    <w:rsid w:val="00695CA1"/>
    <w:rsid w:val="006964DF"/>
    <w:rsid w:val="0069666C"/>
    <w:rsid w:val="00696739"/>
    <w:rsid w:val="00696D21"/>
    <w:rsid w:val="00697B1C"/>
    <w:rsid w:val="00697DEC"/>
    <w:rsid w:val="006A091D"/>
    <w:rsid w:val="006A09CF"/>
    <w:rsid w:val="006A0ADD"/>
    <w:rsid w:val="006A0EE5"/>
    <w:rsid w:val="006A0FA0"/>
    <w:rsid w:val="006A1510"/>
    <w:rsid w:val="006A1625"/>
    <w:rsid w:val="006A18CC"/>
    <w:rsid w:val="006A1E7A"/>
    <w:rsid w:val="006A1F2F"/>
    <w:rsid w:val="006A20C3"/>
    <w:rsid w:val="006A23B8"/>
    <w:rsid w:val="006A26DF"/>
    <w:rsid w:val="006A2E30"/>
    <w:rsid w:val="006A3393"/>
    <w:rsid w:val="006A35E3"/>
    <w:rsid w:val="006A374F"/>
    <w:rsid w:val="006A393F"/>
    <w:rsid w:val="006A3BCE"/>
    <w:rsid w:val="006A4890"/>
    <w:rsid w:val="006A4B44"/>
    <w:rsid w:val="006A4E0E"/>
    <w:rsid w:val="006A5383"/>
    <w:rsid w:val="006A54F3"/>
    <w:rsid w:val="006A7F10"/>
    <w:rsid w:val="006B0068"/>
    <w:rsid w:val="006B038C"/>
    <w:rsid w:val="006B08A0"/>
    <w:rsid w:val="006B2621"/>
    <w:rsid w:val="006B2A19"/>
    <w:rsid w:val="006B3210"/>
    <w:rsid w:val="006B3C24"/>
    <w:rsid w:val="006B42B1"/>
    <w:rsid w:val="006B46A6"/>
    <w:rsid w:val="006B4BB3"/>
    <w:rsid w:val="006B4E1A"/>
    <w:rsid w:val="006B4FAA"/>
    <w:rsid w:val="006B4FB1"/>
    <w:rsid w:val="006B5E3B"/>
    <w:rsid w:val="006B621B"/>
    <w:rsid w:val="006B6D09"/>
    <w:rsid w:val="006B7215"/>
    <w:rsid w:val="006B75CE"/>
    <w:rsid w:val="006B7987"/>
    <w:rsid w:val="006B7CA2"/>
    <w:rsid w:val="006B7E66"/>
    <w:rsid w:val="006C00E5"/>
    <w:rsid w:val="006C0633"/>
    <w:rsid w:val="006C0CA5"/>
    <w:rsid w:val="006C159A"/>
    <w:rsid w:val="006C233F"/>
    <w:rsid w:val="006C27C6"/>
    <w:rsid w:val="006C2C1E"/>
    <w:rsid w:val="006C45E0"/>
    <w:rsid w:val="006C5309"/>
    <w:rsid w:val="006C590F"/>
    <w:rsid w:val="006C5CE9"/>
    <w:rsid w:val="006C5CEA"/>
    <w:rsid w:val="006C7047"/>
    <w:rsid w:val="006C7D22"/>
    <w:rsid w:val="006C7E3C"/>
    <w:rsid w:val="006D0862"/>
    <w:rsid w:val="006D09CF"/>
    <w:rsid w:val="006D0CAD"/>
    <w:rsid w:val="006D0D15"/>
    <w:rsid w:val="006D0D4B"/>
    <w:rsid w:val="006D0DDD"/>
    <w:rsid w:val="006D103F"/>
    <w:rsid w:val="006D131A"/>
    <w:rsid w:val="006D173E"/>
    <w:rsid w:val="006D1A9A"/>
    <w:rsid w:val="006D1BE5"/>
    <w:rsid w:val="006D1F47"/>
    <w:rsid w:val="006D2892"/>
    <w:rsid w:val="006D2902"/>
    <w:rsid w:val="006D306A"/>
    <w:rsid w:val="006D3343"/>
    <w:rsid w:val="006D3602"/>
    <w:rsid w:val="006D3BE6"/>
    <w:rsid w:val="006D403E"/>
    <w:rsid w:val="006D43C5"/>
    <w:rsid w:val="006D4EAD"/>
    <w:rsid w:val="006D5858"/>
    <w:rsid w:val="006D609C"/>
    <w:rsid w:val="006D7D02"/>
    <w:rsid w:val="006E0A37"/>
    <w:rsid w:val="006E16FB"/>
    <w:rsid w:val="006E21B6"/>
    <w:rsid w:val="006E4C5C"/>
    <w:rsid w:val="006E4FBF"/>
    <w:rsid w:val="006E4FEF"/>
    <w:rsid w:val="006E5316"/>
    <w:rsid w:val="006E5A34"/>
    <w:rsid w:val="006E6629"/>
    <w:rsid w:val="006E6893"/>
    <w:rsid w:val="006F0758"/>
    <w:rsid w:val="006F1815"/>
    <w:rsid w:val="006F1820"/>
    <w:rsid w:val="006F187F"/>
    <w:rsid w:val="006F1E4E"/>
    <w:rsid w:val="006F2C3C"/>
    <w:rsid w:val="006F2EF8"/>
    <w:rsid w:val="006F3075"/>
    <w:rsid w:val="006F30DF"/>
    <w:rsid w:val="006F3482"/>
    <w:rsid w:val="006F3B5E"/>
    <w:rsid w:val="006F48B1"/>
    <w:rsid w:val="006F4E05"/>
    <w:rsid w:val="006F5CD2"/>
    <w:rsid w:val="006F6586"/>
    <w:rsid w:val="006F7267"/>
    <w:rsid w:val="006F7302"/>
    <w:rsid w:val="006F761B"/>
    <w:rsid w:val="0070047A"/>
    <w:rsid w:val="0070057A"/>
    <w:rsid w:val="00700BC2"/>
    <w:rsid w:val="00701080"/>
    <w:rsid w:val="00701592"/>
    <w:rsid w:val="00701828"/>
    <w:rsid w:val="0070206F"/>
    <w:rsid w:val="00702C7A"/>
    <w:rsid w:val="00703546"/>
    <w:rsid w:val="007035B5"/>
    <w:rsid w:val="00703FD9"/>
    <w:rsid w:val="007046D5"/>
    <w:rsid w:val="0070495B"/>
    <w:rsid w:val="00704D35"/>
    <w:rsid w:val="00704FD5"/>
    <w:rsid w:val="0070511A"/>
    <w:rsid w:val="007055CD"/>
    <w:rsid w:val="00705BFC"/>
    <w:rsid w:val="00705D4B"/>
    <w:rsid w:val="00706247"/>
    <w:rsid w:val="00706E0A"/>
    <w:rsid w:val="00706E2A"/>
    <w:rsid w:val="00710006"/>
    <w:rsid w:val="007102FC"/>
    <w:rsid w:val="00710644"/>
    <w:rsid w:val="00710AC4"/>
    <w:rsid w:val="00710D39"/>
    <w:rsid w:val="00712296"/>
    <w:rsid w:val="00712589"/>
    <w:rsid w:val="007126C6"/>
    <w:rsid w:val="007128AD"/>
    <w:rsid w:val="00712D8F"/>
    <w:rsid w:val="0071314D"/>
    <w:rsid w:val="0071331E"/>
    <w:rsid w:val="00714340"/>
    <w:rsid w:val="0071443C"/>
    <w:rsid w:val="0071483E"/>
    <w:rsid w:val="00714DC6"/>
    <w:rsid w:val="007158C4"/>
    <w:rsid w:val="00716011"/>
    <w:rsid w:val="007160C1"/>
    <w:rsid w:val="00716155"/>
    <w:rsid w:val="00716404"/>
    <w:rsid w:val="00716834"/>
    <w:rsid w:val="007177D5"/>
    <w:rsid w:val="00717DA2"/>
    <w:rsid w:val="00720246"/>
    <w:rsid w:val="007208B2"/>
    <w:rsid w:val="007209EF"/>
    <w:rsid w:val="00720B2F"/>
    <w:rsid w:val="007221F9"/>
    <w:rsid w:val="007222E6"/>
    <w:rsid w:val="007229CD"/>
    <w:rsid w:val="00722F5C"/>
    <w:rsid w:val="007235C4"/>
    <w:rsid w:val="007241A1"/>
    <w:rsid w:val="00724260"/>
    <w:rsid w:val="007249DF"/>
    <w:rsid w:val="0072574B"/>
    <w:rsid w:val="00725E76"/>
    <w:rsid w:val="0072623F"/>
    <w:rsid w:val="007263E3"/>
    <w:rsid w:val="00726C03"/>
    <w:rsid w:val="0072727B"/>
    <w:rsid w:val="0072759B"/>
    <w:rsid w:val="00727D61"/>
    <w:rsid w:val="007304B8"/>
    <w:rsid w:val="007319AD"/>
    <w:rsid w:val="00732AD5"/>
    <w:rsid w:val="00733774"/>
    <w:rsid w:val="007339A2"/>
    <w:rsid w:val="00733C28"/>
    <w:rsid w:val="00733FE7"/>
    <w:rsid w:val="0073465F"/>
    <w:rsid w:val="007347A4"/>
    <w:rsid w:val="007347FA"/>
    <w:rsid w:val="00734841"/>
    <w:rsid w:val="00734C24"/>
    <w:rsid w:val="00734E5D"/>
    <w:rsid w:val="00734E6D"/>
    <w:rsid w:val="007358A4"/>
    <w:rsid w:val="00735962"/>
    <w:rsid w:val="00735A9C"/>
    <w:rsid w:val="00736191"/>
    <w:rsid w:val="007365DB"/>
    <w:rsid w:val="007370BA"/>
    <w:rsid w:val="00737B50"/>
    <w:rsid w:val="0074013A"/>
    <w:rsid w:val="00740166"/>
    <w:rsid w:val="007410AC"/>
    <w:rsid w:val="0074194E"/>
    <w:rsid w:val="00741F6E"/>
    <w:rsid w:val="007424D5"/>
    <w:rsid w:val="00742523"/>
    <w:rsid w:val="007429FD"/>
    <w:rsid w:val="00742C35"/>
    <w:rsid w:val="00742D30"/>
    <w:rsid w:val="007431AC"/>
    <w:rsid w:val="00743792"/>
    <w:rsid w:val="007439BE"/>
    <w:rsid w:val="007441D8"/>
    <w:rsid w:val="007447AA"/>
    <w:rsid w:val="007454C4"/>
    <w:rsid w:val="00745761"/>
    <w:rsid w:val="00745775"/>
    <w:rsid w:val="007457F7"/>
    <w:rsid w:val="00745A4B"/>
    <w:rsid w:val="00745CEC"/>
    <w:rsid w:val="007466AF"/>
    <w:rsid w:val="00747150"/>
    <w:rsid w:val="0074767F"/>
    <w:rsid w:val="0075008D"/>
    <w:rsid w:val="007508E3"/>
    <w:rsid w:val="00751E67"/>
    <w:rsid w:val="0075217D"/>
    <w:rsid w:val="00752208"/>
    <w:rsid w:val="007523DB"/>
    <w:rsid w:val="007526B7"/>
    <w:rsid w:val="00752F6D"/>
    <w:rsid w:val="0075373E"/>
    <w:rsid w:val="00755349"/>
    <w:rsid w:val="00755CDB"/>
    <w:rsid w:val="007563AF"/>
    <w:rsid w:val="00756BAB"/>
    <w:rsid w:val="007570DF"/>
    <w:rsid w:val="00760571"/>
    <w:rsid w:val="00760777"/>
    <w:rsid w:val="00761BFA"/>
    <w:rsid w:val="00762242"/>
    <w:rsid w:val="0076229A"/>
    <w:rsid w:val="00762659"/>
    <w:rsid w:val="00762D1D"/>
    <w:rsid w:val="007637F8"/>
    <w:rsid w:val="00763F88"/>
    <w:rsid w:val="00764B1C"/>
    <w:rsid w:val="00764CDF"/>
    <w:rsid w:val="00764D99"/>
    <w:rsid w:val="007659C9"/>
    <w:rsid w:val="00765ECE"/>
    <w:rsid w:val="00766A08"/>
    <w:rsid w:val="00766B42"/>
    <w:rsid w:val="00766C72"/>
    <w:rsid w:val="00766E5C"/>
    <w:rsid w:val="00767DA7"/>
    <w:rsid w:val="00770931"/>
    <w:rsid w:val="00770C87"/>
    <w:rsid w:val="00771079"/>
    <w:rsid w:val="00771376"/>
    <w:rsid w:val="0077203E"/>
    <w:rsid w:val="0077386B"/>
    <w:rsid w:val="00773F63"/>
    <w:rsid w:val="007745CC"/>
    <w:rsid w:val="007772D9"/>
    <w:rsid w:val="00777F84"/>
    <w:rsid w:val="00780B4A"/>
    <w:rsid w:val="007816CB"/>
    <w:rsid w:val="0078299F"/>
    <w:rsid w:val="00782B5D"/>
    <w:rsid w:val="00782CDD"/>
    <w:rsid w:val="00784156"/>
    <w:rsid w:val="00784D49"/>
    <w:rsid w:val="00785491"/>
    <w:rsid w:val="0078595E"/>
    <w:rsid w:val="007860CE"/>
    <w:rsid w:val="00787808"/>
    <w:rsid w:val="0078784E"/>
    <w:rsid w:val="007907B0"/>
    <w:rsid w:val="00790C0F"/>
    <w:rsid w:val="00790F2A"/>
    <w:rsid w:val="00791EBF"/>
    <w:rsid w:val="00792675"/>
    <w:rsid w:val="007928AD"/>
    <w:rsid w:val="00792BCD"/>
    <w:rsid w:val="00792E4A"/>
    <w:rsid w:val="007933A1"/>
    <w:rsid w:val="00793793"/>
    <w:rsid w:val="00793A4F"/>
    <w:rsid w:val="007945C9"/>
    <w:rsid w:val="0079463F"/>
    <w:rsid w:val="007954D7"/>
    <w:rsid w:val="00795F4B"/>
    <w:rsid w:val="00795FB0"/>
    <w:rsid w:val="0079676E"/>
    <w:rsid w:val="00796EE2"/>
    <w:rsid w:val="007974EC"/>
    <w:rsid w:val="00797B9D"/>
    <w:rsid w:val="007A13B9"/>
    <w:rsid w:val="007A1615"/>
    <w:rsid w:val="007A2BE0"/>
    <w:rsid w:val="007A2D79"/>
    <w:rsid w:val="007A38D5"/>
    <w:rsid w:val="007A3EA5"/>
    <w:rsid w:val="007A4218"/>
    <w:rsid w:val="007A43C8"/>
    <w:rsid w:val="007A4F43"/>
    <w:rsid w:val="007A55A5"/>
    <w:rsid w:val="007A5B6F"/>
    <w:rsid w:val="007A6244"/>
    <w:rsid w:val="007A62BE"/>
    <w:rsid w:val="007A6B69"/>
    <w:rsid w:val="007B00D5"/>
    <w:rsid w:val="007B1946"/>
    <w:rsid w:val="007B2E9B"/>
    <w:rsid w:val="007B3127"/>
    <w:rsid w:val="007B347D"/>
    <w:rsid w:val="007B3A14"/>
    <w:rsid w:val="007B3C5D"/>
    <w:rsid w:val="007B4548"/>
    <w:rsid w:val="007B4ABE"/>
    <w:rsid w:val="007B544D"/>
    <w:rsid w:val="007B54BC"/>
    <w:rsid w:val="007B5E70"/>
    <w:rsid w:val="007B76C2"/>
    <w:rsid w:val="007B7C96"/>
    <w:rsid w:val="007C0D82"/>
    <w:rsid w:val="007C0DFD"/>
    <w:rsid w:val="007C0F54"/>
    <w:rsid w:val="007C1653"/>
    <w:rsid w:val="007C19AA"/>
    <w:rsid w:val="007C20F8"/>
    <w:rsid w:val="007C259D"/>
    <w:rsid w:val="007C2EA8"/>
    <w:rsid w:val="007C2ECA"/>
    <w:rsid w:val="007C302C"/>
    <w:rsid w:val="007C389C"/>
    <w:rsid w:val="007C4643"/>
    <w:rsid w:val="007C4BAD"/>
    <w:rsid w:val="007C5068"/>
    <w:rsid w:val="007C5AF5"/>
    <w:rsid w:val="007C69A0"/>
    <w:rsid w:val="007C7CB9"/>
    <w:rsid w:val="007D0D8E"/>
    <w:rsid w:val="007D0DE0"/>
    <w:rsid w:val="007D2D6E"/>
    <w:rsid w:val="007D3635"/>
    <w:rsid w:val="007D37B7"/>
    <w:rsid w:val="007D45B7"/>
    <w:rsid w:val="007D4E14"/>
    <w:rsid w:val="007D5014"/>
    <w:rsid w:val="007D63A9"/>
    <w:rsid w:val="007D64F9"/>
    <w:rsid w:val="007D65AD"/>
    <w:rsid w:val="007D792B"/>
    <w:rsid w:val="007D7DE6"/>
    <w:rsid w:val="007E09E2"/>
    <w:rsid w:val="007E0EDF"/>
    <w:rsid w:val="007E141A"/>
    <w:rsid w:val="007E1531"/>
    <w:rsid w:val="007E170F"/>
    <w:rsid w:val="007E200D"/>
    <w:rsid w:val="007E42BD"/>
    <w:rsid w:val="007E442B"/>
    <w:rsid w:val="007E49F9"/>
    <w:rsid w:val="007E4AE4"/>
    <w:rsid w:val="007E4B23"/>
    <w:rsid w:val="007E4D80"/>
    <w:rsid w:val="007E4DC6"/>
    <w:rsid w:val="007E5C1D"/>
    <w:rsid w:val="007E6F17"/>
    <w:rsid w:val="007E6FF8"/>
    <w:rsid w:val="007E7134"/>
    <w:rsid w:val="007E7731"/>
    <w:rsid w:val="007E77AF"/>
    <w:rsid w:val="007E7AAC"/>
    <w:rsid w:val="007E7BA6"/>
    <w:rsid w:val="007F00C5"/>
    <w:rsid w:val="007F0711"/>
    <w:rsid w:val="007F15D3"/>
    <w:rsid w:val="007F16E7"/>
    <w:rsid w:val="007F1A2C"/>
    <w:rsid w:val="007F1C23"/>
    <w:rsid w:val="007F26CD"/>
    <w:rsid w:val="007F293C"/>
    <w:rsid w:val="007F2D6A"/>
    <w:rsid w:val="007F394B"/>
    <w:rsid w:val="007F3C07"/>
    <w:rsid w:val="007F4B60"/>
    <w:rsid w:val="007F4CE5"/>
    <w:rsid w:val="007F5187"/>
    <w:rsid w:val="007F5B42"/>
    <w:rsid w:val="007F6370"/>
    <w:rsid w:val="007F7223"/>
    <w:rsid w:val="007F77A0"/>
    <w:rsid w:val="00800351"/>
    <w:rsid w:val="00801344"/>
    <w:rsid w:val="008019EC"/>
    <w:rsid w:val="00801E5C"/>
    <w:rsid w:val="008021E8"/>
    <w:rsid w:val="00802665"/>
    <w:rsid w:val="00803103"/>
    <w:rsid w:val="008031BC"/>
    <w:rsid w:val="008031C5"/>
    <w:rsid w:val="00804838"/>
    <w:rsid w:val="008053CC"/>
    <w:rsid w:val="008059C5"/>
    <w:rsid w:val="00805A71"/>
    <w:rsid w:val="00806119"/>
    <w:rsid w:val="00806135"/>
    <w:rsid w:val="008069A4"/>
    <w:rsid w:val="00807316"/>
    <w:rsid w:val="00807CC4"/>
    <w:rsid w:val="00810C80"/>
    <w:rsid w:val="00810E4B"/>
    <w:rsid w:val="0081206C"/>
    <w:rsid w:val="0081224B"/>
    <w:rsid w:val="008124D7"/>
    <w:rsid w:val="008127D1"/>
    <w:rsid w:val="00813107"/>
    <w:rsid w:val="0081354D"/>
    <w:rsid w:val="008136EB"/>
    <w:rsid w:val="00813E53"/>
    <w:rsid w:val="00813F5C"/>
    <w:rsid w:val="008143FD"/>
    <w:rsid w:val="0081486B"/>
    <w:rsid w:val="0081594B"/>
    <w:rsid w:val="00815B41"/>
    <w:rsid w:val="00816604"/>
    <w:rsid w:val="00816779"/>
    <w:rsid w:val="00816C7C"/>
    <w:rsid w:val="008170F3"/>
    <w:rsid w:val="008171B5"/>
    <w:rsid w:val="00817DF4"/>
    <w:rsid w:val="00817ECF"/>
    <w:rsid w:val="00820167"/>
    <w:rsid w:val="00820D21"/>
    <w:rsid w:val="008211DF"/>
    <w:rsid w:val="00821D3B"/>
    <w:rsid w:val="00821DA1"/>
    <w:rsid w:val="00821F0E"/>
    <w:rsid w:val="00821F8F"/>
    <w:rsid w:val="00822391"/>
    <w:rsid w:val="00822BC5"/>
    <w:rsid w:val="00822DEF"/>
    <w:rsid w:val="008234AD"/>
    <w:rsid w:val="008234F8"/>
    <w:rsid w:val="0082362D"/>
    <w:rsid w:val="008237DB"/>
    <w:rsid w:val="008239F2"/>
    <w:rsid w:val="00823A23"/>
    <w:rsid w:val="00823A97"/>
    <w:rsid w:val="00824245"/>
    <w:rsid w:val="0082424C"/>
    <w:rsid w:val="008243FF"/>
    <w:rsid w:val="00824B59"/>
    <w:rsid w:val="00825E01"/>
    <w:rsid w:val="00825F7A"/>
    <w:rsid w:val="0082624C"/>
    <w:rsid w:val="008268A9"/>
    <w:rsid w:val="00826EBD"/>
    <w:rsid w:val="008275A4"/>
    <w:rsid w:val="00827DF2"/>
    <w:rsid w:val="0083004F"/>
    <w:rsid w:val="008302C7"/>
    <w:rsid w:val="0083154B"/>
    <w:rsid w:val="008316EF"/>
    <w:rsid w:val="00831EA3"/>
    <w:rsid w:val="00832AA7"/>
    <w:rsid w:val="00833854"/>
    <w:rsid w:val="00833B63"/>
    <w:rsid w:val="008345AB"/>
    <w:rsid w:val="00834727"/>
    <w:rsid w:val="00834F2E"/>
    <w:rsid w:val="0083572D"/>
    <w:rsid w:val="00835871"/>
    <w:rsid w:val="0083641C"/>
    <w:rsid w:val="00837394"/>
    <w:rsid w:val="00837DA0"/>
    <w:rsid w:val="00840C68"/>
    <w:rsid w:val="0084141C"/>
    <w:rsid w:val="00841D0E"/>
    <w:rsid w:val="00841EAF"/>
    <w:rsid w:val="0084241C"/>
    <w:rsid w:val="00842B83"/>
    <w:rsid w:val="0084327A"/>
    <w:rsid w:val="0084335A"/>
    <w:rsid w:val="00843425"/>
    <w:rsid w:val="00843E1C"/>
    <w:rsid w:val="00844AF1"/>
    <w:rsid w:val="008456C2"/>
    <w:rsid w:val="00846248"/>
    <w:rsid w:val="0084638D"/>
    <w:rsid w:val="00846530"/>
    <w:rsid w:val="008469A8"/>
    <w:rsid w:val="00846B8A"/>
    <w:rsid w:val="00846EDF"/>
    <w:rsid w:val="00847BFB"/>
    <w:rsid w:val="00850018"/>
    <w:rsid w:val="008500E8"/>
    <w:rsid w:val="008504CA"/>
    <w:rsid w:val="0085057E"/>
    <w:rsid w:val="00851242"/>
    <w:rsid w:val="008513ED"/>
    <w:rsid w:val="0085180F"/>
    <w:rsid w:val="00851B0C"/>
    <w:rsid w:val="00851FD1"/>
    <w:rsid w:val="008528B3"/>
    <w:rsid w:val="00852AD1"/>
    <w:rsid w:val="00852B06"/>
    <w:rsid w:val="00852EE2"/>
    <w:rsid w:val="00853DAD"/>
    <w:rsid w:val="00854541"/>
    <w:rsid w:val="00854CA9"/>
    <w:rsid w:val="008561AD"/>
    <w:rsid w:val="008561C3"/>
    <w:rsid w:val="00856DC0"/>
    <w:rsid w:val="00857295"/>
    <w:rsid w:val="008576A0"/>
    <w:rsid w:val="0085780B"/>
    <w:rsid w:val="008611D7"/>
    <w:rsid w:val="0086190B"/>
    <w:rsid w:val="00861FA4"/>
    <w:rsid w:val="00863066"/>
    <w:rsid w:val="00864653"/>
    <w:rsid w:val="0086497E"/>
    <w:rsid w:val="00866248"/>
    <w:rsid w:val="0086658D"/>
    <w:rsid w:val="008671B5"/>
    <w:rsid w:val="00867670"/>
    <w:rsid w:val="00867848"/>
    <w:rsid w:val="008710E9"/>
    <w:rsid w:val="00871ACB"/>
    <w:rsid w:val="00871DAF"/>
    <w:rsid w:val="00871E2D"/>
    <w:rsid w:val="008730AE"/>
    <w:rsid w:val="0087316C"/>
    <w:rsid w:val="00873627"/>
    <w:rsid w:val="00873805"/>
    <w:rsid w:val="00873893"/>
    <w:rsid w:val="00873A5D"/>
    <w:rsid w:val="008747B7"/>
    <w:rsid w:val="00874BE2"/>
    <w:rsid w:val="00875733"/>
    <w:rsid w:val="008759D7"/>
    <w:rsid w:val="00875C75"/>
    <w:rsid w:val="00876E03"/>
    <w:rsid w:val="00877C38"/>
    <w:rsid w:val="00877D8B"/>
    <w:rsid w:val="00877D90"/>
    <w:rsid w:val="00880CDC"/>
    <w:rsid w:val="008813DC"/>
    <w:rsid w:val="008818D2"/>
    <w:rsid w:val="00881936"/>
    <w:rsid w:val="00882508"/>
    <w:rsid w:val="00882A26"/>
    <w:rsid w:val="0088331E"/>
    <w:rsid w:val="00883696"/>
    <w:rsid w:val="00883D9A"/>
    <w:rsid w:val="00884271"/>
    <w:rsid w:val="00884FE5"/>
    <w:rsid w:val="00885550"/>
    <w:rsid w:val="00885A5B"/>
    <w:rsid w:val="00886332"/>
    <w:rsid w:val="008910E5"/>
    <w:rsid w:val="0089183F"/>
    <w:rsid w:val="00891C99"/>
    <w:rsid w:val="008924CC"/>
    <w:rsid w:val="00892CF3"/>
    <w:rsid w:val="008930BF"/>
    <w:rsid w:val="00893288"/>
    <w:rsid w:val="00893378"/>
    <w:rsid w:val="0089347E"/>
    <w:rsid w:val="008935E5"/>
    <w:rsid w:val="00893C37"/>
    <w:rsid w:val="00893C46"/>
    <w:rsid w:val="008945CA"/>
    <w:rsid w:val="0089463E"/>
    <w:rsid w:val="008949B9"/>
    <w:rsid w:val="00894D9C"/>
    <w:rsid w:val="00896302"/>
    <w:rsid w:val="00896380"/>
    <w:rsid w:val="008975E6"/>
    <w:rsid w:val="00897B7F"/>
    <w:rsid w:val="008A0335"/>
    <w:rsid w:val="008A04F9"/>
    <w:rsid w:val="008A08E1"/>
    <w:rsid w:val="008A152B"/>
    <w:rsid w:val="008A2AA4"/>
    <w:rsid w:val="008A2ABB"/>
    <w:rsid w:val="008A2C35"/>
    <w:rsid w:val="008A2D2F"/>
    <w:rsid w:val="008A2EBD"/>
    <w:rsid w:val="008A30E5"/>
    <w:rsid w:val="008A3A38"/>
    <w:rsid w:val="008A3BF2"/>
    <w:rsid w:val="008A42EC"/>
    <w:rsid w:val="008A4B65"/>
    <w:rsid w:val="008A4D5B"/>
    <w:rsid w:val="008A5449"/>
    <w:rsid w:val="008A5609"/>
    <w:rsid w:val="008A574F"/>
    <w:rsid w:val="008A64B6"/>
    <w:rsid w:val="008A661C"/>
    <w:rsid w:val="008A73B8"/>
    <w:rsid w:val="008A7561"/>
    <w:rsid w:val="008A7788"/>
    <w:rsid w:val="008A78C6"/>
    <w:rsid w:val="008B0621"/>
    <w:rsid w:val="008B0ADD"/>
    <w:rsid w:val="008B228E"/>
    <w:rsid w:val="008B287D"/>
    <w:rsid w:val="008B32E4"/>
    <w:rsid w:val="008B3357"/>
    <w:rsid w:val="008B42C9"/>
    <w:rsid w:val="008B47F9"/>
    <w:rsid w:val="008B4FD7"/>
    <w:rsid w:val="008B55B1"/>
    <w:rsid w:val="008B5738"/>
    <w:rsid w:val="008B5896"/>
    <w:rsid w:val="008B59F9"/>
    <w:rsid w:val="008B6373"/>
    <w:rsid w:val="008B64B6"/>
    <w:rsid w:val="008B70CB"/>
    <w:rsid w:val="008B7286"/>
    <w:rsid w:val="008B7C7F"/>
    <w:rsid w:val="008C0E21"/>
    <w:rsid w:val="008C0EFD"/>
    <w:rsid w:val="008C189F"/>
    <w:rsid w:val="008C1BC2"/>
    <w:rsid w:val="008C2840"/>
    <w:rsid w:val="008C2861"/>
    <w:rsid w:val="008C4072"/>
    <w:rsid w:val="008C56B3"/>
    <w:rsid w:val="008C67BA"/>
    <w:rsid w:val="008C73F2"/>
    <w:rsid w:val="008C7C62"/>
    <w:rsid w:val="008C7CDE"/>
    <w:rsid w:val="008D1327"/>
    <w:rsid w:val="008D1528"/>
    <w:rsid w:val="008D1C73"/>
    <w:rsid w:val="008D1CC9"/>
    <w:rsid w:val="008D32C8"/>
    <w:rsid w:val="008D3ADF"/>
    <w:rsid w:val="008D3D9A"/>
    <w:rsid w:val="008D50B2"/>
    <w:rsid w:val="008D542B"/>
    <w:rsid w:val="008D542E"/>
    <w:rsid w:val="008D60F1"/>
    <w:rsid w:val="008D68D1"/>
    <w:rsid w:val="008D6B68"/>
    <w:rsid w:val="008D70A1"/>
    <w:rsid w:val="008D7A5B"/>
    <w:rsid w:val="008E0D4F"/>
    <w:rsid w:val="008E2212"/>
    <w:rsid w:val="008E2283"/>
    <w:rsid w:val="008E241B"/>
    <w:rsid w:val="008E24CD"/>
    <w:rsid w:val="008E2BBD"/>
    <w:rsid w:val="008E4AE3"/>
    <w:rsid w:val="008E51D5"/>
    <w:rsid w:val="008E533A"/>
    <w:rsid w:val="008E5AB0"/>
    <w:rsid w:val="008E5EDF"/>
    <w:rsid w:val="008E625D"/>
    <w:rsid w:val="008E62A9"/>
    <w:rsid w:val="008E6BF1"/>
    <w:rsid w:val="008E7BA2"/>
    <w:rsid w:val="008F0304"/>
    <w:rsid w:val="008F04AE"/>
    <w:rsid w:val="008F0883"/>
    <w:rsid w:val="008F1996"/>
    <w:rsid w:val="008F1F5C"/>
    <w:rsid w:val="008F2D5F"/>
    <w:rsid w:val="008F3154"/>
    <w:rsid w:val="008F329D"/>
    <w:rsid w:val="008F41CF"/>
    <w:rsid w:val="008F44BF"/>
    <w:rsid w:val="008F4A4A"/>
    <w:rsid w:val="008F4A81"/>
    <w:rsid w:val="008F4C57"/>
    <w:rsid w:val="008F567E"/>
    <w:rsid w:val="008F644C"/>
    <w:rsid w:val="008F6D33"/>
    <w:rsid w:val="008F7AC9"/>
    <w:rsid w:val="008F7F9A"/>
    <w:rsid w:val="00901CB5"/>
    <w:rsid w:val="00901E2D"/>
    <w:rsid w:val="00902CD8"/>
    <w:rsid w:val="00902F54"/>
    <w:rsid w:val="0090335C"/>
    <w:rsid w:val="0090338E"/>
    <w:rsid w:val="00903796"/>
    <w:rsid w:val="00903E6C"/>
    <w:rsid w:val="00904CB9"/>
    <w:rsid w:val="00905DBA"/>
    <w:rsid w:val="00906E8A"/>
    <w:rsid w:val="00906F59"/>
    <w:rsid w:val="00907004"/>
    <w:rsid w:val="0090777B"/>
    <w:rsid w:val="009123CA"/>
    <w:rsid w:val="00912D58"/>
    <w:rsid w:val="0091367E"/>
    <w:rsid w:val="00913744"/>
    <w:rsid w:val="00914377"/>
    <w:rsid w:val="00914957"/>
    <w:rsid w:val="00914DF0"/>
    <w:rsid w:val="009165AA"/>
    <w:rsid w:val="0091665A"/>
    <w:rsid w:val="00916FEC"/>
    <w:rsid w:val="00917408"/>
    <w:rsid w:val="00917628"/>
    <w:rsid w:val="009179CB"/>
    <w:rsid w:val="00917B8F"/>
    <w:rsid w:val="00917BC4"/>
    <w:rsid w:val="0092055C"/>
    <w:rsid w:val="009214C5"/>
    <w:rsid w:val="009214C8"/>
    <w:rsid w:val="00921592"/>
    <w:rsid w:val="0092249A"/>
    <w:rsid w:val="00922518"/>
    <w:rsid w:val="009233FE"/>
    <w:rsid w:val="00923C3B"/>
    <w:rsid w:val="009246A9"/>
    <w:rsid w:val="00925A4B"/>
    <w:rsid w:val="00925B26"/>
    <w:rsid w:val="00925DA9"/>
    <w:rsid w:val="00926589"/>
    <w:rsid w:val="00926D06"/>
    <w:rsid w:val="0093097B"/>
    <w:rsid w:val="00931691"/>
    <w:rsid w:val="0093185E"/>
    <w:rsid w:val="00931A64"/>
    <w:rsid w:val="00931B58"/>
    <w:rsid w:val="00931CB6"/>
    <w:rsid w:val="009330F6"/>
    <w:rsid w:val="009339A3"/>
    <w:rsid w:val="00933AC3"/>
    <w:rsid w:val="00934B20"/>
    <w:rsid w:val="00935A88"/>
    <w:rsid w:val="00935BEA"/>
    <w:rsid w:val="00935FE5"/>
    <w:rsid w:val="009365E2"/>
    <w:rsid w:val="0093670C"/>
    <w:rsid w:val="009367F8"/>
    <w:rsid w:val="00936EA4"/>
    <w:rsid w:val="0093786A"/>
    <w:rsid w:val="00937A38"/>
    <w:rsid w:val="009415E4"/>
    <w:rsid w:val="00941737"/>
    <w:rsid w:val="00941DCC"/>
    <w:rsid w:val="00941E88"/>
    <w:rsid w:val="0094254D"/>
    <w:rsid w:val="009429B8"/>
    <w:rsid w:val="00942A9D"/>
    <w:rsid w:val="00946BFE"/>
    <w:rsid w:val="00946EDF"/>
    <w:rsid w:val="009470F4"/>
    <w:rsid w:val="0095015C"/>
    <w:rsid w:val="00950A00"/>
    <w:rsid w:val="00951017"/>
    <w:rsid w:val="00951236"/>
    <w:rsid w:val="00951354"/>
    <w:rsid w:val="0095151C"/>
    <w:rsid w:val="00951E37"/>
    <w:rsid w:val="00952AE8"/>
    <w:rsid w:val="00952ED5"/>
    <w:rsid w:val="00953074"/>
    <w:rsid w:val="0095383A"/>
    <w:rsid w:val="00953FB0"/>
    <w:rsid w:val="009550B6"/>
    <w:rsid w:val="00955A7A"/>
    <w:rsid w:val="00956610"/>
    <w:rsid w:val="009570A4"/>
    <w:rsid w:val="0095728F"/>
    <w:rsid w:val="00957373"/>
    <w:rsid w:val="009601CD"/>
    <w:rsid w:val="009602BA"/>
    <w:rsid w:val="00960539"/>
    <w:rsid w:val="00961282"/>
    <w:rsid w:val="0096225A"/>
    <w:rsid w:val="00962443"/>
    <w:rsid w:val="009624C5"/>
    <w:rsid w:val="009628AF"/>
    <w:rsid w:val="009638E5"/>
    <w:rsid w:val="00963D59"/>
    <w:rsid w:val="00963FF7"/>
    <w:rsid w:val="009641D0"/>
    <w:rsid w:val="00964890"/>
    <w:rsid w:val="0096493A"/>
    <w:rsid w:val="00964F7C"/>
    <w:rsid w:val="0096554F"/>
    <w:rsid w:val="009659C3"/>
    <w:rsid w:val="00965AF5"/>
    <w:rsid w:val="00965FC4"/>
    <w:rsid w:val="00967C46"/>
    <w:rsid w:val="009704D9"/>
    <w:rsid w:val="00971B97"/>
    <w:rsid w:val="0097252C"/>
    <w:rsid w:val="009726DB"/>
    <w:rsid w:val="00972A72"/>
    <w:rsid w:val="00973134"/>
    <w:rsid w:val="00973B30"/>
    <w:rsid w:val="009749D1"/>
    <w:rsid w:val="009751EA"/>
    <w:rsid w:val="00975B71"/>
    <w:rsid w:val="00975FD3"/>
    <w:rsid w:val="00976507"/>
    <w:rsid w:val="0097753F"/>
    <w:rsid w:val="00977FBC"/>
    <w:rsid w:val="009817C9"/>
    <w:rsid w:val="00982018"/>
    <w:rsid w:val="00982282"/>
    <w:rsid w:val="00982552"/>
    <w:rsid w:val="00982D22"/>
    <w:rsid w:val="009833A5"/>
    <w:rsid w:val="00983862"/>
    <w:rsid w:val="00983BC4"/>
    <w:rsid w:val="00983E4F"/>
    <w:rsid w:val="00984BD6"/>
    <w:rsid w:val="00985358"/>
    <w:rsid w:val="00985DFC"/>
    <w:rsid w:val="00986078"/>
    <w:rsid w:val="00986408"/>
    <w:rsid w:val="00986A50"/>
    <w:rsid w:val="00986FD7"/>
    <w:rsid w:val="0098756F"/>
    <w:rsid w:val="00987B74"/>
    <w:rsid w:val="009906AF"/>
    <w:rsid w:val="00990C86"/>
    <w:rsid w:val="00990DB9"/>
    <w:rsid w:val="00990F72"/>
    <w:rsid w:val="0099191B"/>
    <w:rsid w:val="0099387D"/>
    <w:rsid w:val="00993884"/>
    <w:rsid w:val="00994BE6"/>
    <w:rsid w:val="0099529B"/>
    <w:rsid w:val="0099550C"/>
    <w:rsid w:val="009969C8"/>
    <w:rsid w:val="00996DC5"/>
    <w:rsid w:val="009978BC"/>
    <w:rsid w:val="00997BD0"/>
    <w:rsid w:val="009A0A87"/>
    <w:rsid w:val="009A0C46"/>
    <w:rsid w:val="009A13A2"/>
    <w:rsid w:val="009A1B91"/>
    <w:rsid w:val="009A1C11"/>
    <w:rsid w:val="009A1D51"/>
    <w:rsid w:val="009A20C7"/>
    <w:rsid w:val="009A2986"/>
    <w:rsid w:val="009A2B67"/>
    <w:rsid w:val="009A3510"/>
    <w:rsid w:val="009A3BD0"/>
    <w:rsid w:val="009A3D81"/>
    <w:rsid w:val="009A5591"/>
    <w:rsid w:val="009A5690"/>
    <w:rsid w:val="009A60F5"/>
    <w:rsid w:val="009A65EB"/>
    <w:rsid w:val="009B00E4"/>
    <w:rsid w:val="009B1266"/>
    <w:rsid w:val="009B1883"/>
    <w:rsid w:val="009B1C0B"/>
    <w:rsid w:val="009B3A9B"/>
    <w:rsid w:val="009B3C01"/>
    <w:rsid w:val="009B3D8E"/>
    <w:rsid w:val="009B4A8A"/>
    <w:rsid w:val="009B5156"/>
    <w:rsid w:val="009B5D03"/>
    <w:rsid w:val="009B626F"/>
    <w:rsid w:val="009B63E6"/>
    <w:rsid w:val="009B6AF2"/>
    <w:rsid w:val="009B6FD1"/>
    <w:rsid w:val="009B700A"/>
    <w:rsid w:val="009B7409"/>
    <w:rsid w:val="009B7911"/>
    <w:rsid w:val="009B79C5"/>
    <w:rsid w:val="009C06CA"/>
    <w:rsid w:val="009C0CA0"/>
    <w:rsid w:val="009C0FD1"/>
    <w:rsid w:val="009C10B3"/>
    <w:rsid w:val="009C10C0"/>
    <w:rsid w:val="009C1AFC"/>
    <w:rsid w:val="009C1FC3"/>
    <w:rsid w:val="009C2017"/>
    <w:rsid w:val="009C2159"/>
    <w:rsid w:val="009C2A5C"/>
    <w:rsid w:val="009C2C05"/>
    <w:rsid w:val="009C2CC3"/>
    <w:rsid w:val="009C4CA4"/>
    <w:rsid w:val="009C4FDD"/>
    <w:rsid w:val="009C61FA"/>
    <w:rsid w:val="009D03D6"/>
    <w:rsid w:val="009D0556"/>
    <w:rsid w:val="009D0952"/>
    <w:rsid w:val="009D0B14"/>
    <w:rsid w:val="009D114E"/>
    <w:rsid w:val="009D1C61"/>
    <w:rsid w:val="009D1D9E"/>
    <w:rsid w:val="009D2401"/>
    <w:rsid w:val="009D252D"/>
    <w:rsid w:val="009D29FB"/>
    <w:rsid w:val="009D5F9D"/>
    <w:rsid w:val="009D69D4"/>
    <w:rsid w:val="009D7A24"/>
    <w:rsid w:val="009E0B20"/>
    <w:rsid w:val="009E0EEC"/>
    <w:rsid w:val="009E1070"/>
    <w:rsid w:val="009E130F"/>
    <w:rsid w:val="009E169D"/>
    <w:rsid w:val="009E19EF"/>
    <w:rsid w:val="009E252E"/>
    <w:rsid w:val="009E29FD"/>
    <w:rsid w:val="009E2AFA"/>
    <w:rsid w:val="009E2E31"/>
    <w:rsid w:val="009E2E5C"/>
    <w:rsid w:val="009E3185"/>
    <w:rsid w:val="009E3DFC"/>
    <w:rsid w:val="009E4198"/>
    <w:rsid w:val="009E4C5D"/>
    <w:rsid w:val="009E5183"/>
    <w:rsid w:val="009E528A"/>
    <w:rsid w:val="009E58A2"/>
    <w:rsid w:val="009E5960"/>
    <w:rsid w:val="009E5BD2"/>
    <w:rsid w:val="009E5ECE"/>
    <w:rsid w:val="009E67A7"/>
    <w:rsid w:val="009E6946"/>
    <w:rsid w:val="009E6E0A"/>
    <w:rsid w:val="009E6EB0"/>
    <w:rsid w:val="009E7F1D"/>
    <w:rsid w:val="009F0172"/>
    <w:rsid w:val="009F1164"/>
    <w:rsid w:val="009F1487"/>
    <w:rsid w:val="009F1AA7"/>
    <w:rsid w:val="009F1F08"/>
    <w:rsid w:val="009F2A37"/>
    <w:rsid w:val="009F2ABA"/>
    <w:rsid w:val="009F3762"/>
    <w:rsid w:val="009F43F9"/>
    <w:rsid w:val="009F4400"/>
    <w:rsid w:val="009F44EE"/>
    <w:rsid w:val="009F4C4D"/>
    <w:rsid w:val="009F4CCC"/>
    <w:rsid w:val="009F6657"/>
    <w:rsid w:val="009F6860"/>
    <w:rsid w:val="009F7A39"/>
    <w:rsid w:val="00A00189"/>
    <w:rsid w:val="00A0186E"/>
    <w:rsid w:val="00A02FFB"/>
    <w:rsid w:val="00A03452"/>
    <w:rsid w:val="00A036EF"/>
    <w:rsid w:val="00A03870"/>
    <w:rsid w:val="00A03BE7"/>
    <w:rsid w:val="00A0651C"/>
    <w:rsid w:val="00A068F4"/>
    <w:rsid w:val="00A06E4E"/>
    <w:rsid w:val="00A0736D"/>
    <w:rsid w:val="00A10040"/>
    <w:rsid w:val="00A1192E"/>
    <w:rsid w:val="00A119FF"/>
    <w:rsid w:val="00A11F76"/>
    <w:rsid w:val="00A12465"/>
    <w:rsid w:val="00A12B8A"/>
    <w:rsid w:val="00A12D7A"/>
    <w:rsid w:val="00A138C6"/>
    <w:rsid w:val="00A149FD"/>
    <w:rsid w:val="00A1573E"/>
    <w:rsid w:val="00A158BF"/>
    <w:rsid w:val="00A15B43"/>
    <w:rsid w:val="00A15FFA"/>
    <w:rsid w:val="00A1608D"/>
    <w:rsid w:val="00A16D15"/>
    <w:rsid w:val="00A17247"/>
    <w:rsid w:val="00A176C9"/>
    <w:rsid w:val="00A17ACA"/>
    <w:rsid w:val="00A17EC9"/>
    <w:rsid w:val="00A20964"/>
    <w:rsid w:val="00A20989"/>
    <w:rsid w:val="00A212CE"/>
    <w:rsid w:val="00A216B2"/>
    <w:rsid w:val="00A22203"/>
    <w:rsid w:val="00A22C04"/>
    <w:rsid w:val="00A231B7"/>
    <w:rsid w:val="00A2326C"/>
    <w:rsid w:val="00A23351"/>
    <w:rsid w:val="00A2355A"/>
    <w:rsid w:val="00A23AE7"/>
    <w:rsid w:val="00A240C2"/>
    <w:rsid w:val="00A24F25"/>
    <w:rsid w:val="00A24F6F"/>
    <w:rsid w:val="00A25293"/>
    <w:rsid w:val="00A25493"/>
    <w:rsid w:val="00A25919"/>
    <w:rsid w:val="00A2646E"/>
    <w:rsid w:val="00A26643"/>
    <w:rsid w:val="00A274BB"/>
    <w:rsid w:val="00A30003"/>
    <w:rsid w:val="00A30176"/>
    <w:rsid w:val="00A30D5B"/>
    <w:rsid w:val="00A3113A"/>
    <w:rsid w:val="00A3152B"/>
    <w:rsid w:val="00A31B10"/>
    <w:rsid w:val="00A31C41"/>
    <w:rsid w:val="00A31F41"/>
    <w:rsid w:val="00A32459"/>
    <w:rsid w:val="00A32A24"/>
    <w:rsid w:val="00A32FB2"/>
    <w:rsid w:val="00A332BA"/>
    <w:rsid w:val="00A3341F"/>
    <w:rsid w:val="00A3375C"/>
    <w:rsid w:val="00A33AC1"/>
    <w:rsid w:val="00A33CFA"/>
    <w:rsid w:val="00A33DF4"/>
    <w:rsid w:val="00A35435"/>
    <w:rsid w:val="00A3578B"/>
    <w:rsid w:val="00A3582C"/>
    <w:rsid w:val="00A360A3"/>
    <w:rsid w:val="00A36946"/>
    <w:rsid w:val="00A40206"/>
    <w:rsid w:val="00A40BD5"/>
    <w:rsid w:val="00A40D42"/>
    <w:rsid w:val="00A41582"/>
    <w:rsid w:val="00A41D86"/>
    <w:rsid w:val="00A41DE2"/>
    <w:rsid w:val="00A42007"/>
    <w:rsid w:val="00A42009"/>
    <w:rsid w:val="00A422A3"/>
    <w:rsid w:val="00A43E3F"/>
    <w:rsid w:val="00A44047"/>
    <w:rsid w:val="00A44380"/>
    <w:rsid w:val="00A44534"/>
    <w:rsid w:val="00A45599"/>
    <w:rsid w:val="00A46174"/>
    <w:rsid w:val="00A46851"/>
    <w:rsid w:val="00A46BCD"/>
    <w:rsid w:val="00A47178"/>
    <w:rsid w:val="00A50008"/>
    <w:rsid w:val="00A5087D"/>
    <w:rsid w:val="00A50D14"/>
    <w:rsid w:val="00A515ED"/>
    <w:rsid w:val="00A51930"/>
    <w:rsid w:val="00A525C3"/>
    <w:rsid w:val="00A528F5"/>
    <w:rsid w:val="00A52AEB"/>
    <w:rsid w:val="00A53644"/>
    <w:rsid w:val="00A5378C"/>
    <w:rsid w:val="00A5398E"/>
    <w:rsid w:val="00A53F4E"/>
    <w:rsid w:val="00A54B42"/>
    <w:rsid w:val="00A54C7B"/>
    <w:rsid w:val="00A54E64"/>
    <w:rsid w:val="00A559A8"/>
    <w:rsid w:val="00A55E5A"/>
    <w:rsid w:val="00A56526"/>
    <w:rsid w:val="00A5654E"/>
    <w:rsid w:val="00A56A0C"/>
    <w:rsid w:val="00A575EB"/>
    <w:rsid w:val="00A60057"/>
    <w:rsid w:val="00A603DD"/>
    <w:rsid w:val="00A6098A"/>
    <w:rsid w:val="00A61535"/>
    <w:rsid w:val="00A61B57"/>
    <w:rsid w:val="00A61F4C"/>
    <w:rsid w:val="00A62196"/>
    <w:rsid w:val="00A62856"/>
    <w:rsid w:val="00A62917"/>
    <w:rsid w:val="00A62E29"/>
    <w:rsid w:val="00A63458"/>
    <w:rsid w:val="00A635F1"/>
    <w:rsid w:val="00A63A31"/>
    <w:rsid w:val="00A641AB"/>
    <w:rsid w:val="00A64FAD"/>
    <w:rsid w:val="00A65E03"/>
    <w:rsid w:val="00A6642C"/>
    <w:rsid w:val="00A66686"/>
    <w:rsid w:val="00A666EE"/>
    <w:rsid w:val="00A66A6A"/>
    <w:rsid w:val="00A7004B"/>
    <w:rsid w:val="00A70F8C"/>
    <w:rsid w:val="00A711C7"/>
    <w:rsid w:val="00A71BA4"/>
    <w:rsid w:val="00A72442"/>
    <w:rsid w:val="00A724E1"/>
    <w:rsid w:val="00A73166"/>
    <w:rsid w:val="00A737C2"/>
    <w:rsid w:val="00A73CAC"/>
    <w:rsid w:val="00A74205"/>
    <w:rsid w:val="00A75264"/>
    <w:rsid w:val="00A75F48"/>
    <w:rsid w:val="00A760D5"/>
    <w:rsid w:val="00A766EA"/>
    <w:rsid w:val="00A76BB1"/>
    <w:rsid w:val="00A77191"/>
    <w:rsid w:val="00A77894"/>
    <w:rsid w:val="00A8068D"/>
    <w:rsid w:val="00A80B2D"/>
    <w:rsid w:val="00A816E3"/>
    <w:rsid w:val="00A81A5F"/>
    <w:rsid w:val="00A81B48"/>
    <w:rsid w:val="00A81EF3"/>
    <w:rsid w:val="00A833FA"/>
    <w:rsid w:val="00A839C4"/>
    <w:rsid w:val="00A83E31"/>
    <w:rsid w:val="00A8409B"/>
    <w:rsid w:val="00A8475A"/>
    <w:rsid w:val="00A84FE8"/>
    <w:rsid w:val="00A85021"/>
    <w:rsid w:val="00A857A6"/>
    <w:rsid w:val="00A86311"/>
    <w:rsid w:val="00A86521"/>
    <w:rsid w:val="00A87455"/>
    <w:rsid w:val="00A87589"/>
    <w:rsid w:val="00A875D6"/>
    <w:rsid w:val="00A876BE"/>
    <w:rsid w:val="00A904F3"/>
    <w:rsid w:val="00A908AD"/>
    <w:rsid w:val="00A90BCF"/>
    <w:rsid w:val="00A9209B"/>
    <w:rsid w:val="00A93548"/>
    <w:rsid w:val="00A93AE1"/>
    <w:rsid w:val="00A93F94"/>
    <w:rsid w:val="00A942E5"/>
    <w:rsid w:val="00A95607"/>
    <w:rsid w:val="00A95A4D"/>
    <w:rsid w:val="00A95D15"/>
    <w:rsid w:val="00A9638B"/>
    <w:rsid w:val="00A964F4"/>
    <w:rsid w:val="00A9681C"/>
    <w:rsid w:val="00A9692C"/>
    <w:rsid w:val="00A96AC6"/>
    <w:rsid w:val="00A96B86"/>
    <w:rsid w:val="00A96D3F"/>
    <w:rsid w:val="00A96FB9"/>
    <w:rsid w:val="00A974A3"/>
    <w:rsid w:val="00A97D53"/>
    <w:rsid w:val="00AA03ED"/>
    <w:rsid w:val="00AA19C3"/>
    <w:rsid w:val="00AA1E40"/>
    <w:rsid w:val="00AA24B6"/>
    <w:rsid w:val="00AA2B10"/>
    <w:rsid w:val="00AA3071"/>
    <w:rsid w:val="00AA334C"/>
    <w:rsid w:val="00AA3357"/>
    <w:rsid w:val="00AA384B"/>
    <w:rsid w:val="00AA3AC7"/>
    <w:rsid w:val="00AA3F3F"/>
    <w:rsid w:val="00AA4165"/>
    <w:rsid w:val="00AA4753"/>
    <w:rsid w:val="00AA4E07"/>
    <w:rsid w:val="00AA4F76"/>
    <w:rsid w:val="00AA4F8D"/>
    <w:rsid w:val="00AA5B09"/>
    <w:rsid w:val="00AA695E"/>
    <w:rsid w:val="00AA6CA2"/>
    <w:rsid w:val="00AA6CB6"/>
    <w:rsid w:val="00AA7C0C"/>
    <w:rsid w:val="00AB0106"/>
    <w:rsid w:val="00AB0DB4"/>
    <w:rsid w:val="00AB0E45"/>
    <w:rsid w:val="00AB1011"/>
    <w:rsid w:val="00AB18E1"/>
    <w:rsid w:val="00AB24A9"/>
    <w:rsid w:val="00AB2540"/>
    <w:rsid w:val="00AB2770"/>
    <w:rsid w:val="00AB2BC0"/>
    <w:rsid w:val="00AB40C3"/>
    <w:rsid w:val="00AB4A68"/>
    <w:rsid w:val="00AB4D12"/>
    <w:rsid w:val="00AB5190"/>
    <w:rsid w:val="00AB5D7A"/>
    <w:rsid w:val="00AB5ED0"/>
    <w:rsid w:val="00AB6295"/>
    <w:rsid w:val="00AB62C7"/>
    <w:rsid w:val="00AB6BBB"/>
    <w:rsid w:val="00AB6BEE"/>
    <w:rsid w:val="00AB7F93"/>
    <w:rsid w:val="00AC01A5"/>
    <w:rsid w:val="00AC0571"/>
    <w:rsid w:val="00AC0657"/>
    <w:rsid w:val="00AC18DF"/>
    <w:rsid w:val="00AC1E9F"/>
    <w:rsid w:val="00AC201A"/>
    <w:rsid w:val="00AC2270"/>
    <w:rsid w:val="00AC2EDA"/>
    <w:rsid w:val="00AC387C"/>
    <w:rsid w:val="00AC3A84"/>
    <w:rsid w:val="00AC449E"/>
    <w:rsid w:val="00AC4F8C"/>
    <w:rsid w:val="00AC59B7"/>
    <w:rsid w:val="00AC5F11"/>
    <w:rsid w:val="00AC63B6"/>
    <w:rsid w:val="00AC64F4"/>
    <w:rsid w:val="00AC6D59"/>
    <w:rsid w:val="00AC6F72"/>
    <w:rsid w:val="00AC7865"/>
    <w:rsid w:val="00AC7F19"/>
    <w:rsid w:val="00AD0DB0"/>
    <w:rsid w:val="00AD1AA9"/>
    <w:rsid w:val="00AD2048"/>
    <w:rsid w:val="00AD2B28"/>
    <w:rsid w:val="00AD34B4"/>
    <w:rsid w:val="00AD3D0C"/>
    <w:rsid w:val="00AD3E2B"/>
    <w:rsid w:val="00AD5DE6"/>
    <w:rsid w:val="00AD5E6F"/>
    <w:rsid w:val="00AD5F23"/>
    <w:rsid w:val="00AD68DD"/>
    <w:rsid w:val="00AD6FD9"/>
    <w:rsid w:val="00AD72F1"/>
    <w:rsid w:val="00AD7502"/>
    <w:rsid w:val="00AD7BD0"/>
    <w:rsid w:val="00AD7BD8"/>
    <w:rsid w:val="00AE04BC"/>
    <w:rsid w:val="00AE0B44"/>
    <w:rsid w:val="00AE1686"/>
    <w:rsid w:val="00AE1756"/>
    <w:rsid w:val="00AE1A76"/>
    <w:rsid w:val="00AE1BA4"/>
    <w:rsid w:val="00AE21A4"/>
    <w:rsid w:val="00AE2249"/>
    <w:rsid w:val="00AE25E5"/>
    <w:rsid w:val="00AE27E5"/>
    <w:rsid w:val="00AE2C2B"/>
    <w:rsid w:val="00AE3571"/>
    <w:rsid w:val="00AE3994"/>
    <w:rsid w:val="00AE3C06"/>
    <w:rsid w:val="00AE51C4"/>
    <w:rsid w:val="00AE57B9"/>
    <w:rsid w:val="00AE6317"/>
    <w:rsid w:val="00AE6551"/>
    <w:rsid w:val="00AE7634"/>
    <w:rsid w:val="00AE79F9"/>
    <w:rsid w:val="00AE7AD4"/>
    <w:rsid w:val="00AE7C25"/>
    <w:rsid w:val="00AE7F7C"/>
    <w:rsid w:val="00AF1256"/>
    <w:rsid w:val="00AF20E5"/>
    <w:rsid w:val="00AF2121"/>
    <w:rsid w:val="00AF2E83"/>
    <w:rsid w:val="00AF326E"/>
    <w:rsid w:val="00AF373E"/>
    <w:rsid w:val="00AF3784"/>
    <w:rsid w:val="00AF4059"/>
    <w:rsid w:val="00AF4BAE"/>
    <w:rsid w:val="00AF53F4"/>
    <w:rsid w:val="00AF588C"/>
    <w:rsid w:val="00AF5CA7"/>
    <w:rsid w:val="00AF61EE"/>
    <w:rsid w:val="00AF6703"/>
    <w:rsid w:val="00AF671A"/>
    <w:rsid w:val="00B00A3C"/>
    <w:rsid w:val="00B00B88"/>
    <w:rsid w:val="00B00C51"/>
    <w:rsid w:val="00B00CBE"/>
    <w:rsid w:val="00B01313"/>
    <w:rsid w:val="00B02581"/>
    <w:rsid w:val="00B02790"/>
    <w:rsid w:val="00B029AD"/>
    <w:rsid w:val="00B02A88"/>
    <w:rsid w:val="00B03C76"/>
    <w:rsid w:val="00B03D9B"/>
    <w:rsid w:val="00B051C5"/>
    <w:rsid w:val="00B051ED"/>
    <w:rsid w:val="00B05FD9"/>
    <w:rsid w:val="00B06444"/>
    <w:rsid w:val="00B1113B"/>
    <w:rsid w:val="00B11498"/>
    <w:rsid w:val="00B114B3"/>
    <w:rsid w:val="00B1187D"/>
    <w:rsid w:val="00B123D2"/>
    <w:rsid w:val="00B12DBE"/>
    <w:rsid w:val="00B133D4"/>
    <w:rsid w:val="00B13A72"/>
    <w:rsid w:val="00B14114"/>
    <w:rsid w:val="00B1568C"/>
    <w:rsid w:val="00B1572B"/>
    <w:rsid w:val="00B16CA2"/>
    <w:rsid w:val="00B171D3"/>
    <w:rsid w:val="00B203F0"/>
    <w:rsid w:val="00B20900"/>
    <w:rsid w:val="00B20B21"/>
    <w:rsid w:val="00B21153"/>
    <w:rsid w:val="00B216C2"/>
    <w:rsid w:val="00B21B1C"/>
    <w:rsid w:val="00B21D75"/>
    <w:rsid w:val="00B223B0"/>
    <w:rsid w:val="00B22450"/>
    <w:rsid w:val="00B22572"/>
    <w:rsid w:val="00B228B9"/>
    <w:rsid w:val="00B2290E"/>
    <w:rsid w:val="00B22915"/>
    <w:rsid w:val="00B22C92"/>
    <w:rsid w:val="00B23635"/>
    <w:rsid w:val="00B2425C"/>
    <w:rsid w:val="00B2552B"/>
    <w:rsid w:val="00B265F1"/>
    <w:rsid w:val="00B26C47"/>
    <w:rsid w:val="00B26F19"/>
    <w:rsid w:val="00B270A8"/>
    <w:rsid w:val="00B2714F"/>
    <w:rsid w:val="00B27900"/>
    <w:rsid w:val="00B27C39"/>
    <w:rsid w:val="00B317FB"/>
    <w:rsid w:val="00B3216A"/>
    <w:rsid w:val="00B32903"/>
    <w:rsid w:val="00B33924"/>
    <w:rsid w:val="00B3541E"/>
    <w:rsid w:val="00B36392"/>
    <w:rsid w:val="00B36394"/>
    <w:rsid w:val="00B3646C"/>
    <w:rsid w:val="00B3651E"/>
    <w:rsid w:val="00B36CE2"/>
    <w:rsid w:val="00B36CEC"/>
    <w:rsid w:val="00B372E2"/>
    <w:rsid w:val="00B374EB"/>
    <w:rsid w:val="00B37A4B"/>
    <w:rsid w:val="00B37CFC"/>
    <w:rsid w:val="00B37E0C"/>
    <w:rsid w:val="00B40443"/>
    <w:rsid w:val="00B40B15"/>
    <w:rsid w:val="00B410C0"/>
    <w:rsid w:val="00B42443"/>
    <w:rsid w:val="00B4266C"/>
    <w:rsid w:val="00B42C0C"/>
    <w:rsid w:val="00B434F7"/>
    <w:rsid w:val="00B4355A"/>
    <w:rsid w:val="00B43DBE"/>
    <w:rsid w:val="00B44583"/>
    <w:rsid w:val="00B445C5"/>
    <w:rsid w:val="00B4470B"/>
    <w:rsid w:val="00B4501D"/>
    <w:rsid w:val="00B45390"/>
    <w:rsid w:val="00B45D25"/>
    <w:rsid w:val="00B45EEC"/>
    <w:rsid w:val="00B45EF2"/>
    <w:rsid w:val="00B46231"/>
    <w:rsid w:val="00B46385"/>
    <w:rsid w:val="00B46570"/>
    <w:rsid w:val="00B46D8C"/>
    <w:rsid w:val="00B479C8"/>
    <w:rsid w:val="00B47D3C"/>
    <w:rsid w:val="00B5052F"/>
    <w:rsid w:val="00B508AB"/>
    <w:rsid w:val="00B50CFF"/>
    <w:rsid w:val="00B50D46"/>
    <w:rsid w:val="00B5103F"/>
    <w:rsid w:val="00B51781"/>
    <w:rsid w:val="00B5251D"/>
    <w:rsid w:val="00B529A9"/>
    <w:rsid w:val="00B5368F"/>
    <w:rsid w:val="00B53EB7"/>
    <w:rsid w:val="00B53F28"/>
    <w:rsid w:val="00B545D2"/>
    <w:rsid w:val="00B54672"/>
    <w:rsid w:val="00B54B49"/>
    <w:rsid w:val="00B56829"/>
    <w:rsid w:val="00B578BB"/>
    <w:rsid w:val="00B57ECF"/>
    <w:rsid w:val="00B6010B"/>
    <w:rsid w:val="00B60819"/>
    <w:rsid w:val="00B60EBA"/>
    <w:rsid w:val="00B60FDA"/>
    <w:rsid w:val="00B610D3"/>
    <w:rsid w:val="00B61503"/>
    <w:rsid w:val="00B6226B"/>
    <w:rsid w:val="00B631A3"/>
    <w:rsid w:val="00B634D1"/>
    <w:rsid w:val="00B636FB"/>
    <w:rsid w:val="00B63869"/>
    <w:rsid w:val="00B6405B"/>
    <w:rsid w:val="00B64A71"/>
    <w:rsid w:val="00B64FA2"/>
    <w:rsid w:val="00B662A6"/>
    <w:rsid w:val="00B664A6"/>
    <w:rsid w:val="00B66BE3"/>
    <w:rsid w:val="00B66CAF"/>
    <w:rsid w:val="00B6797A"/>
    <w:rsid w:val="00B67CCD"/>
    <w:rsid w:val="00B70816"/>
    <w:rsid w:val="00B70859"/>
    <w:rsid w:val="00B70BDE"/>
    <w:rsid w:val="00B70FAC"/>
    <w:rsid w:val="00B71548"/>
    <w:rsid w:val="00B71606"/>
    <w:rsid w:val="00B7172C"/>
    <w:rsid w:val="00B718D3"/>
    <w:rsid w:val="00B71B0C"/>
    <w:rsid w:val="00B72263"/>
    <w:rsid w:val="00B72421"/>
    <w:rsid w:val="00B72F3B"/>
    <w:rsid w:val="00B73728"/>
    <w:rsid w:val="00B73BB2"/>
    <w:rsid w:val="00B73D57"/>
    <w:rsid w:val="00B74A12"/>
    <w:rsid w:val="00B75781"/>
    <w:rsid w:val="00B77CD3"/>
    <w:rsid w:val="00B77F72"/>
    <w:rsid w:val="00B77FBD"/>
    <w:rsid w:val="00B81410"/>
    <w:rsid w:val="00B822AC"/>
    <w:rsid w:val="00B82BFD"/>
    <w:rsid w:val="00B830FD"/>
    <w:rsid w:val="00B8385C"/>
    <w:rsid w:val="00B83E0F"/>
    <w:rsid w:val="00B83FF7"/>
    <w:rsid w:val="00B849B2"/>
    <w:rsid w:val="00B84D7E"/>
    <w:rsid w:val="00B84E51"/>
    <w:rsid w:val="00B84EB5"/>
    <w:rsid w:val="00B850A8"/>
    <w:rsid w:val="00B860CA"/>
    <w:rsid w:val="00B862A4"/>
    <w:rsid w:val="00B86AE5"/>
    <w:rsid w:val="00B86DCD"/>
    <w:rsid w:val="00B8760C"/>
    <w:rsid w:val="00B87712"/>
    <w:rsid w:val="00B87CAF"/>
    <w:rsid w:val="00B90298"/>
    <w:rsid w:val="00B91637"/>
    <w:rsid w:val="00B91811"/>
    <w:rsid w:val="00B9254B"/>
    <w:rsid w:val="00B927E1"/>
    <w:rsid w:val="00B92D15"/>
    <w:rsid w:val="00B9338A"/>
    <w:rsid w:val="00B9348A"/>
    <w:rsid w:val="00B93586"/>
    <w:rsid w:val="00B93C59"/>
    <w:rsid w:val="00B94358"/>
    <w:rsid w:val="00B94E9D"/>
    <w:rsid w:val="00B957F8"/>
    <w:rsid w:val="00B95E97"/>
    <w:rsid w:val="00B96429"/>
    <w:rsid w:val="00B966CE"/>
    <w:rsid w:val="00B96739"/>
    <w:rsid w:val="00B96855"/>
    <w:rsid w:val="00B96A8A"/>
    <w:rsid w:val="00B96A97"/>
    <w:rsid w:val="00B96BAC"/>
    <w:rsid w:val="00B975F5"/>
    <w:rsid w:val="00B97C87"/>
    <w:rsid w:val="00BA085C"/>
    <w:rsid w:val="00BA09C6"/>
    <w:rsid w:val="00BA0ABE"/>
    <w:rsid w:val="00BA0C61"/>
    <w:rsid w:val="00BA11A3"/>
    <w:rsid w:val="00BA1A1D"/>
    <w:rsid w:val="00BA2724"/>
    <w:rsid w:val="00BA2AF6"/>
    <w:rsid w:val="00BA2F24"/>
    <w:rsid w:val="00BA323B"/>
    <w:rsid w:val="00BA3560"/>
    <w:rsid w:val="00BA36B7"/>
    <w:rsid w:val="00BA5937"/>
    <w:rsid w:val="00BA5CF5"/>
    <w:rsid w:val="00BA60CF"/>
    <w:rsid w:val="00BA6F45"/>
    <w:rsid w:val="00BA6F86"/>
    <w:rsid w:val="00BA7A20"/>
    <w:rsid w:val="00BB07B9"/>
    <w:rsid w:val="00BB08D0"/>
    <w:rsid w:val="00BB10D4"/>
    <w:rsid w:val="00BB1204"/>
    <w:rsid w:val="00BB1762"/>
    <w:rsid w:val="00BB2F18"/>
    <w:rsid w:val="00BB3B62"/>
    <w:rsid w:val="00BB3E01"/>
    <w:rsid w:val="00BB411B"/>
    <w:rsid w:val="00BB47A4"/>
    <w:rsid w:val="00BB4806"/>
    <w:rsid w:val="00BB4936"/>
    <w:rsid w:val="00BB58E5"/>
    <w:rsid w:val="00BB633D"/>
    <w:rsid w:val="00BB6399"/>
    <w:rsid w:val="00BB6B60"/>
    <w:rsid w:val="00BB6D38"/>
    <w:rsid w:val="00BB6E22"/>
    <w:rsid w:val="00BB6FB3"/>
    <w:rsid w:val="00BB74F7"/>
    <w:rsid w:val="00BB7853"/>
    <w:rsid w:val="00BB7E0D"/>
    <w:rsid w:val="00BC097E"/>
    <w:rsid w:val="00BC0DC1"/>
    <w:rsid w:val="00BC0E9D"/>
    <w:rsid w:val="00BC209F"/>
    <w:rsid w:val="00BC3105"/>
    <w:rsid w:val="00BC360C"/>
    <w:rsid w:val="00BC3984"/>
    <w:rsid w:val="00BC4204"/>
    <w:rsid w:val="00BC44EA"/>
    <w:rsid w:val="00BC4E9D"/>
    <w:rsid w:val="00BC5001"/>
    <w:rsid w:val="00BC5562"/>
    <w:rsid w:val="00BC67B3"/>
    <w:rsid w:val="00BC753A"/>
    <w:rsid w:val="00BC7CD5"/>
    <w:rsid w:val="00BC7DA1"/>
    <w:rsid w:val="00BD08DE"/>
    <w:rsid w:val="00BD0FE6"/>
    <w:rsid w:val="00BD1026"/>
    <w:rsid w:val="00BD11EF"/>
    <w:rsid w:val="00BD2079"/>
    <w:rsid w:val="00BD2E93"/>
    <w:rsid w:val="00BD2EF8"/>
    <w:rsid w:val="00BD31E8"/>
    <w:rsid w:val="00BD4271"/>
    <w:rsid w:val="00BD427A"/>
    <w:rsid w:val="00BD4829"/>
    <w:rsid w:val="00BD4954"/>
    <w:rsid w:val="00BD4B5D"/>
    <w:rsid w:val="00BD5182"/>
    <w:rsid w:val="00BD5E8F"/>
    <w:rsid w:val="00BD73C5"/>
    <w:rsid w:val="00BE12C5"/>
    <w:rsid w:val="00BE16FB"/>
    <w:rsid w:val="00BE2F41"/>
    <w:rsid w:val="00BE2FEF"/>
    <w:rsid w:val="00BE3246"/>
    <w:rsid w:val="00BE39F0"/>
    <w:rsid w:val="00BE3B5E"/>
    <w:rsid w:val="00BE3C20"/>
    <w:rsid w:val="00BE4509"/>
    <w:rsid w:val="00BE4A04"/>
    <w:rsid w:val="00BE4BDE"/>
    <w:rsid w:val="00BE4CE8"/>
    <w:rsid w:val="00BE4F3B"/>
    <w:rsid w:val="00BE5A54"/>
    <w:rsid w:val="00BE69B3"/>
    <w:rsid w:val="00BE6FE4"/>
    <w:rsid w:val="00BE7003"/>
    <w:rsid w:val="00BE73DD"/>
    <w:rsid w:val="00BE7429"/>
    <w:rsid w:val="00BE7995"/>
    <w:rsid w:val="00BE7B9B"/>
    <w:rsid w:val="00BF0507"/>
    <w:rsid w:val="00BF0B92"/>
    <w:rsid w:val="00BF1834"/>
    <w:rsid w:val="00BF196C"/>
    <w:rsid w:val="00BF1A98"/>
    <w:rsid w:val="00BF1E43"/>
    <w:rsid w:val="00BF1F8F"/>
    <w:rsid w:val="00BF20BE"/>
    <w:rsid w:val="00BF2CE8"/>
    <w:rsid w:val="00BF339B"/>
    <w:rsid w:val="00BF3631"/>
    <w:rsid w:val="00BF383B"/>
    <w:rsid w:val="00BF38F6"/>
    <w:rsid w:val="00BF3CC2"/>
    <w:rsid w:val="00BF3DCE"/>
    <w:rsid w:val="00BF4178"/>
    <w:rsid w:val="00BF4721"/>
    <w:rsid w:val="00BF4D1B"/>
    <w:rsid w:val="00BF52B4"/>
    <w:rsid w:val="00BF549D"/>
    <w:rsid w:val="00BF5D9F"/>
    <w:rsid w:val="00BF66F7"/>
    <w:rsid w:val="00BF6854"/>
    <w:rsid w:val="00BF77AA"/>
    <w:rsid w:val="00BF7879"/>
    <w:rsid w:val="00BF7969"/>
    <w:rsid w:val="00BF7B03"/>
    <w:rsid w:val="00BF7BC1"/>
    <w:rsid w:val="00C00CFD"/>
    <w:rsid w:val="00C00F4D"/>
    <w:rsid w:val="00C00FE3"/>
    <w:rsid w:val="00C01923"/>
    <w:rsid w:val="00C01D09"/>
    <w:rsid w:val="00C01EF3"/>
    <w:rsid w:val="00C02C84"/>
    <w:rsid w:val="00C038CE"/>
    <w:rsid w:val="00C045F1"/>
    <w:rsid w:val="00C04627"/>
    <w:rsid w:val="00C052EC"/>
    <w:rsid w:val="00C05369"/>
    <w:rsid w:val="00C05CE1"/>
    <w:rsid w:val="00C06147"/>
    <w:rsid w:val="00C06256"/>
    <w:rsid w:val="00C064D8"/>
    <w:rsid w:val="00C0690A"/>
    <w:rsid w:val="00C069BF"/>
    <w:rsid w:val="00C06DC4"/>
    <w:rsid w:val="00C0784F"/>
    <w:rsid w:val="00C07942"/>
    <w:rsid w:val="00C07CAF"/>
    <w:rsid w:val="00C10035"/>
    <w:rsid w:val="00C1082E"/>
    <w:rsid w:val="00C10B4C"/>
    <w:rsid w:val="00C11270"/>
    <w:rsid w:val="00C11E4B"/>
    <w:rsid w:val="00C1276C"/>
    <w:rsid w:val="00C12D2B"/>
    <w:rsid w:val="00C12E2A"/>
    <w:rsid w:val="00C12ED9"/>
    <w:rsid w:val="00C13001"/>
    <w:rsid w:val="00C137A3"/>
    <w:rsid w:val="00C14E6D"/>
    <w:rsid w:val="00C15199"/>
    <w:rsid w:val="00C154A6"/>
    <w:rsid w:val="00C15D9D"/>
    <w:rsid w:val="00C17298"/>
    <w:rsid w:val="00C172B7"/>
    <w:rsid w:val="00C17735"/>
    <w:rsid w:val="00C20E36"/>
    <w:rsid w:val="00C20F46"/>
    <w:rsid w:val="00C22B0A"/>
    <w:rsid w:val="00C22E2A"/>
    <w:rsid w:val="00C22F3C"/>
    <w:rsid w:val="00C2425B"/>
    <w:rsid w:val="00C2441F"/>
    <w:rsid w:val="00C24489"/>
    <w:rsid w:val="00C24543"/>
    <w:rsid w:val="00C25065"/>
    <w:rsid w:val="00C26084"/>
    <w:rsid w:val="00C26538"/>
    <w:rsid w:val="00C273CA"/>
    <w:rsid w:val="00C2790B"/>
    <w:rsid w:val="00C27A29"/>
    <w:rsid w:val="00C27F7D"/>
    <w:rsid w:val="00C27F83"/>
    <w:rsid w:val="00C30AE9"/>
    <w:rsid w:val="00C30C09"/>
    <w:rsid w:val="00C31804"/>
    <w:rsid w:val="00C322A9"/>
    <w:rsid w:val="00C33C64"/>
    <w:rsid w:val="00C3430B"/>
    <w:rsid w:val="00C34936"/>
    <w:rsid w:val="00C34B10"/>
    <w:rsid w:val="00C353A3"/>
    <w:rsid w:val="00C35BEC"/>
    <w:rsid w:val="00C36041"/>
    <w:rsid w:val="00C36116"/>
    <w:rsid w:val="00C36540"/>
    <w:rsid w:val="00C365AC"/>
    <w:rsid w:val="00C36C51"/>
    <w:rsid w:val="00C37860"/>
    <w:rsid w:val="00C37CB6"/>
    <w:rsid w:val="00C402C8"/>
    <w:rsid w:val="00C40E00"/>
    <w:rsid w:val="00C40F35"/>
    <w:rsid w:val="00C41BB5"/>
    <w:rsid w:val="00C41BFF"/>
    <w:rsid w:val="00C423CF"/>
    <w:rsid w:val="00C447DF"/>
    <w:rsid w:val="00C44D98"/>
    <w:rsid w:val="00C44DB2"/>
    <w:rsid w:val="00C44F6E"/>
    <w:rsid w:val="00C45258"/>
    <w:rsid w:val="00C45B91"/>
    <w:rsid w:val="00C45CC8"/>
    <w:rsid w:val="00C46924"/>
    <w:rsid w:val="00C46F6F"/>
    <w:rsid w:val="00C47EB3"/>
    <w:rsid w:val="00C50799"/>
    <w:rsid w:val="00C508DD"/>
    <w:rsid w:val="00C5129C"/>
    <w:rsid w:val="00C51305"/>
    <w:rsid w:val="00C514C9"/>
    <w:rsid w:val="00C51A9F"/>
    <w:rsid w:val="00C5331A"/>
    <w:rsid w:val="00C53B22"/>
    <w:rsid w:val="00C53F3D"/>
    <w:rsid w:val="00C54253"/>
    <w:rsid w:val="00C54C4A"/>
    <w:rsid w:val="00C550B2"/>
    <w:rsid w:val="00C55198"/>
    <w:rsid w:val="00C559DC"/>
    <w:rsid w:val="00C56D85"/>
    <w:rsid w:val="00C5770A"/>
    <w:rsid w:val="00C602E1"/>
    <w:rsid w:val="00C60701"/>
    <w:rsid w:val="00C60B77"/>
    <w:rsid w:val="00C619EB"/>
    <w:rsid w:val="00C61E09"/>
    <w:rsid w:val="00C62D66"/>
    <w:rsid w:val="00C635B5"/>
    <w:rsid w:val="00C63EB2"/>
    <w:rsid w:val="00C63F30"/>
    <w:rsid w:val="00C6401A"/>
    <w:rsid w:val="00C64216"/>
    <w:rsid w:val="00C64988"/>
    <w:rsid w:val="00C64BEF"/>
    <w:rsid w:val="00C65737"/>
    <w:rsid w:val="00C66908"/>
    <w:rsid w:val="00C67091"/>
    <w:rsid w:val="00C6760B"/>
    <w:rsid w:val="00C67B57"/>
    <w:rsid w:val="00C7046B"/>
    <w:rsid w:val="00C70558"/>
    <w:rsid w:val="00C70660"/>
    <w:rsid w:val="00C70AB6"/>
    <w:rsid w:val="00C71487"/>
    <w:rsid w:val="00C721D6"/>
    <w:rsid w:val="00C73CEC"/>
    <w:rsid w:val="00C750FB"/>
    <w:rsid w:val="00C7640C"/>
    <w:rsid w:val="00C76B1E"/>
    <w:rsid w:val="00C76F45"/>
    <w:rsid w:val="00C77309"/>
    <w:rsid w:val="00C77666"/>
    <w:rsid w:val="00C77A8F"/>
    <w:rsid w:val="00C77EC8"/>
    <w:rsid w:val="00C805C0"/>
    <w:rsid w:val="00C811F4"/>
    <w:rsid w:val="00C81E78"/>
    <w:rsid w:val="00C81F42"/>
    <w:rsid w:val="00C82CFF"/>
    <w:rsid w:val="00C82DF3"/>
    <w:rsid w:val="00C83628"/>
    <w:rsid w:val="00C83763"/>
    <w:rsid w:val="00C83AD0"/>
    <w:rsid w:val="00C85283"/>
    <w:rsid w:val="00C862D1"/>
    <w:rsid w:val="00C86413"/>
    <w:rsid w:val="00C86FE3"/>
    <w:rsid w:val="00C87590"/>
    <w:rsid w:val="00C87CB7"/>
    <w:rsid w:val="00C87F38"/>
    <w:rsid w:val="00C90123"/>
    <w:rsid w:val="00C90B54"/>
    <w:rsid w:val="00C916F4"/>
    <w:rsid w:val="00C93738"/>
    <w:rsid w:val="00C93787"/>
    <w:rsid w:val="00C93844"/>
    <w:rsid w:val="00C939EC"/>
    <w:rsid w:val="00C93AC2"/>
    <w:rsid w:val="00C93B0C"/>
    <w:rsid w:val="00C93C40"/>
    <w:rsid w:val="00C93D48"/>
    <w:rsid w:val="00C94437"/>
    <w:rsid w:val="00C948DD"/>
    <w:rsid w:val="00C94A0F"/>
    <w:rsid w:val="00C94ABF"/>
    <w:rsid w:val="00C954AD"/>
    <w:rsid w:val="00C955A5"/>
    <w:rsid w:val="00C961E1"/>
    <w:rsid w:val="00C9645F"/>
    <w:rsid w:val="00C96924"/>
    <w:rsid w:val="00C96D6E"/>
    <w:rsid w:val="00C97B07"/>
    <w:rsid w:val="00C97BBA"/>
    <w:rsid w:val="00CA01E5"/>
    <w:rsid w:val="00CA0367"/>
    <w:rsid w:val="00CA03A3"/>
    <w:rsid w:val="00CA23BA"/>
    <w:rsid w:val="00CA28C6"/>
    <w:rsid w:val="00CA386C"/>
    <w:rsid w:val="00CA3970"/>
    <w:rsid w:val="00CA3B6E"/>
    <w:rsid w:val="00CA3D2A"/>
    <w:rsid w:val="00CA47EA"/>
    <w:rsid w:val="00CA4A6E"/>
    <w:rsid w:val="00CA4AFA"/>
    <w:rsid w:val="00CA4F81"/>
    <w:rsid w:val="00CA5007"/>
    <w:rsid w:val="00CA52B4"/>
    <w:rsid w:val="00CA5F25"/>
    <w:rsid w:val="00CA63EE"/>
    <w:rsid w:val="00CA6FC7"/>
    <w:rsid w:val="00CA7263"/>
    <w:rsid w:val="00CB013A"/>
    <w:rsid w:val="00CB1922"/>
    <w:rsid w:val="00CB29B0"/>
    <w:rsid w:val="00CB29BF"/>
    <w:rsid w:val="00CB2F7D"/>
    <w:rsid w:val="00CB3D23"/>
    <w:rsid w:val="00CB3F55"/>
    <w:rsid w:val="00CB43CB"/>
    <w:rsid w:val="00CB49FF"/>
    <w:rsid w:val="00CB6081"/>
    <w:rsid w:val="00CB6449"/>
    <w:rsid w:val="00CB666B"/>
    <w:rsid w:val="00CB69F5"/>
    <w:rsid w:val="00CB788C"/>
    <w:rsid w:val="00CB7C0D"/>
    <w:rsid w:val="00CB7E27"/>
    <w:rsid w:val="00CC0724"/>
    <w:rsid w:val="00CC0751"/>
    <w:rsid w:val="00CC108D"/>
    <w:rsid w:val="00CC165A"/>
    <w:rsid w:val="00CC1697"/>
    <w:rsid w:val="00CC1A00"/>
    <w:rsid w:val="00CC264F"/>
    <w:rsid w:val="00CC2A70"/>
    <w:rsid w:val="00CC2BDE"/>
    <w:rsid w:val="00CC3578"/>
    <w:rsid w:val="00CC39FC"/>
    <w:rsid w:val="00CC41F9"/>
    <w:rsid w:val="00CC436B"/>
    <w:rsid w:val="00CC4E25"/>
    <w:rsid w:val="00CC570B"/>
    <w:rsid w:val="00CC7246"/>
    <w:rsid w:val="00CC7B19"/>
    <w:rsid w:val="00CC7D8D"/>
    <w:rsid w:val="00CD1A90"/>
    <w:rsid w:val="00CD267F"/>
    <w:rsid w:val="00CD2781"/>
    <w:rsid w:val="00CD2800"/>
    <w:rsid w:val="00CD2AEF"/>
    <w:rsid w:val="00CD2D5A"/>
    <w:rsid w:val="00CD2D6C"/>
    <w:rsid w:val="00CD3ACC"/>
    <w:rsid w:val="00CD425C"/>
    <w:rsid w:val="00CD5750"/>
    <w:rsid w:val="00CD5C3F"/>
    <w:rsid w:val="00CD6A13"/>
    <w:rsid w:val="00CD6E2F"/>
    <w:rsid w:val="00CD7598"/>
    <w:rsid w:val="00CD77A3"/>
    <w:rsid w:val="00CE0347"/>
    <w:rsid w:val="00CE1221"/>
    <w:rsid w:val="00CE2606"/>
    <w:rsid w:val="00CE2955"/>
    <w:rsid w:val="00CE34C5"/>
    <w:rsid w:val="00CE3FCE"/>
    <w:rsid w:val="00CE4133"/>
    <w:rsid w:val="00CE4F10"/>
    <w:rsid w:val="00CE4F61"/>
    <w:rsid w:val="00CE4FAC"/>
    <w:rsid w:val="00CE5285"/>
    <w:rsid w:val="00CE52AE"/>
    <w:rsid w:val="00CE542D"/>
    <w:rsid w:val="00CE563E"/>
    <w:rsid w:val="00CE6C60"/>
    <w:rsid w:val="00CE7F0A"/>
    <w:rsid w:val="00CF0321"/>
    <w:rsid w:val="00CF0661"/>
    <w:rsid w:val="00CF0891"/>
    <w:rsid w:val="00CF0F04"/>
    <w:rsid w:val="00CF0F62"/>
    <w:rsid w:val="00CF1019"/>
    <w:rsid w:val="00CF20AF"/>
    <w:rsid w:val="00CF289D"/>
    <w:rsid w:val="00CF3AE3"/>
    <w:rsid w:val="00CF3F26"/>
    <w:rsid w:val="00CF4D48"/>
    <w:rsid w:val="00CF60B7"/>
    <w:rsid w:val="00CF639B"/>
    <w:rsid w:val="00CF65DC"/>
    <w:rsid w:val="00CF65EB"/>
    <w:rsid w:val="00CF6F9A"/>
    <w:rsid w:val="00CF700C"/>
    <w:rsid w:val="00CF70E3"/>
    <w:rsid w:val="00CF79A3"/>
    <w:rsid w:val="00D002DC"/>
    <w:rsid w:val="00D01C4A"/>
    <w:rsid w:val="00D01CC2"/>
    <w:rsid w:val="00D01F75"/>
    <w:rsid w:val="00D024AC"/>
    <w:rsid w:val="00D02C8F"/>
    <w:rsid w:val="00D02CFE"/>
    <w:rsid w:val="00D033EE"/>
    <w:rsid w:val="00D03579"/>
    <w:rsid w:val="00D037A9"/>
    <w:rsid w:val="00D03F79"/>
    <w:rsid w:val="00D0420A"/>
    <w:rsid w:val="00D04464"/>
    <w:rsid w:val="00D04F20"/>
    <w:rsid w:val="00D05C69"/>
    <w:rsid w:val="00D06227"/>
    <w:rsid w:val="00D07269"/>
    <w:rsid w:val="00D106E7"/>
    <w:rsid w:val="00D1081F"/>
    <w:rsid w:val="00D112D6"/>
    <w:rsid w:val="00D11ACC"/>
    <w:rsid w:val="00D11BE2"/>
    <w:rsid w:val="00D11CF1"/>
    <w:rsid w:val="00D13902"/>
    <w:rsid w:val="00D13BF9"/>
    <w:rsid w:val="00D13C45"/>
    <w:rsid w:val="00D151D7"/>
    <w:rsid w:val="00D15549"/>
    <w:rsid w:val="00D15E9C"/>
    <w:rsid w:val="00D16541"/>
    <w:rsid w:val="00D1657B"/>
    <w:rsid w:val="00D166DA"/>
    <w:rsid w:val="00D16DAD"/>
    <w:rsid w:val="00D170F8"/>
    <w:rsid w:val="00D17BC0"/>
    <w:rsid w:val="00D17BCC"/>
    <w:rsid w:val="00D17CAE"/>
    <w:rsid w:val="00D202E2"/>
    <w:rsid w:val="00D20D2C"/>
    <w:rsid w:val="00D21C01"/>
    <w:rsid w:val="00D21D93"/>
    <w:rsid w:val="00D22700"/>
    <w:rsid w:val="00D22B77"/>
    <w:rsid w:val="00D23119"/>
    <w:rsid w:val="00D23496"/>
    <w:rsid w:val="00D23CB6"/>
    <w:rsid w:val="00D2401B"/>
    <w:rsid w:val="00D2433D"/>
    <w:rsid w:val="00D25F36"/>
    <w:rsid w:val="00D264F4"/>
    <w:rsid w:val="00D267F4"/>
    <w:rsid w:val="00D26D28"/>
    <w:rsid w:val="00D27C6C"/>
    <w:rsid w:val="00D312EC"/>
    <w:rsid w:val="00D31FDA"/>
    <w:rsid w:val="00D3242A"/>
    <w:rsid w:val="00D3245E"/>
    <w:rsid w:val="00D3367E"/>
    <w:rsid w:val="00D34E97"/>
    <w:rsid w:val="00D35C40"/>
    <w:rsid w:val="00D35E45"/>
    <w:rsid w:val="00D36553"/>
    <w:rsid w:val="00D3691A"/>
    <w:rsid w:val="00D37435"/>
    <w:rsid w:val="00D37485"/>
    <w:rsid w:val="00D37A83"/>
    <w:rsid w:val="00D37E2F"/>
    <w:rsid w:val="00D37EBB"/>
    <w:rsid w:val="00D406AC"/>
    <w:rsid w:val="00D40E01"/>
    <w:rsid w:val="00D414BC"/>
    <w:rsid w:val="00D415BC"/>
    <w:rsid w:val="00D425A6"/>
    <w:rsid w:val="00D43B85"/>
    <w:rsid w:val="00D43BF5"/>
    <w:rsid w:val="00D43F57"/>
    <w:rsid w:val="00D440E6"/>
    <w:rsid w:val="00D44BAB"/>
    <w:rsid w:val="00D44F5B"/>
    <w:rsid w:val="00D451FB"/>
    <w:rsid w:val="00D45A9F"/>
    <w:rsid w:val="00D466E0"/>
    <w:rsid w:val="00D46FA6"/>
    <w:rsid w:val="00D473B8"/>
    <w:rsid w:val="00D47A9F"/>
    <w:rsid w:val="00D47C14"/>
    <w:rsid w:val="00D500B9"/>
    <w:rsid w:val="00D50224"/>
    <w:rsid w:val="00D50875"/>
    <w:rsid w:val="00D547DE"/>
    <w:rsid w:val="00D555B1"/>
    <w:rsid w:val="00D55949"/>
    <w:rsid w:val="00D55A14"/>
    <w:rsid w:val="00D569E2"/>
    <w:rsid w:val="00D56D0C"/>
    <w:rsid w:val="00D573D1"/>
    <w:rsid w:val="00D5752B"/>
    <w:rsid w:val="00D5795B"/>
    <w:rsid w:val="00D6016D"/>
    <w:rsid w:val="00D60F7F"/>
    <w:rsid w:val="00D61039"/>
    <w:rsid w:val="00D61E72"/>
    <w:rsid w:val="00D61E7C"/>
    <w:rsid w:val="00D6258A"/>
    <w:rsid w:val="00D626B0"/>
    <w:rsid w:val="00D635D4"/>
    <w:rsid w:val="00D647DB"/>
    <w:rsid w:val="00D648EE"/>
    <w:rsid w:val="00D64912"/>
    <w:rsid w:val="00D64C89"/>
    <w:rsid w:val="00D64D13"/>
    <w:rsid w:val="00D64E8C"/>
    <w:rsid w:val="00D662BD"/>
    <w:rsid w:val="00D66589"/>
    <w:rsid w:val="00D67130"/>
    <w:rsid w:val="00D67DE4"/>
    <w:rsid w:val="00D70221"/>
    <w:rsid w:val="00D7102F"/>
    <w:rsid w:val="00D71F30"/>
    <w:rsid w:val="00D72269"/>
    <w:rsid w:val="00D72AB2"/>
    <w:rsid w:val="00D733FA"/>
    <w:rsid w:val="00D74460"/>
    <w:rsid w:val="00D74519"/>
    <w:rsid w:val="00D74590"/>
    <w:rsid w:val="00D74A45"/>
    <w:rsid w:val="00D74EAA"/>
    <w:rsid w:val="00D755BA"/>
    <w:rsid w:val="00D77028"/>
    <w:rsid w:val="00D77351"/>
    <w:rsid w:val="00D77A91"/>
    <w:rsid w:val="00D80334"/>
    <w:rsid w:val="00D804B7"/>
    <w:rsid w:val="00D808EA"/>
    <w:rsid w:val="00D80AD2"/>
    <w:rsid w:val="00D80E0A"/>
    <w:rsid w:val="00D80FE9"/>
    <w:rsid w:val="00D8126C"/>
    <w:rsid w:val="00D82D91"/>
    <w:rsid w:val="00D831F3"/>
    <w:rsid w:val="00D83249"/>
    <w:rsid w:val="00D836E5"/>
    <w:rsid w:val="00D83919"/>
    <w:rsid w:val="00D8399C"/>
    <w:rsid w:val="00D84024"/>
    <w:rsid w:val="00D845C2"/>
    <w:rsid w:val="00D84B39"/>
    <w:rsid w:val="00D84D0C"/>
    <w:rsid w:val="00D851A9"/>
    <w:rsid w:val="00D856BC"/>
    <w:rsid w:val="00D861F0"/>
    <w:rsid w:val="00D86709"/>
    <w:rsid w:val="00D86824"/>
    <w:rsid w:val="00D86DC7"/>
    <w:rsid w:val="00D871B8"/>
    <w:rsid w:val="00D875FE"/>
    <w:rsid w:val="00D87C95"/>
    <w:rsid w:val="00D901FA"/>
    <w:rsid w:val="00D9160E"/>
    <w:rsid w:val="00D91924"/>
    <w:rsid w:val="00D919E9"/>
    <w:rsid w:val="00D91D14"/>
    <w:rsid w:val="00D92574"/>
    <w:rsid w:val="00D92A68"/>
    <w:rsid w:val="00D932E3"/>
    <w:rsid w:val="00D9468F"/>
    <w:rsid w:val="00D94BF5"/>
    <w:rsid w:val="00D958CC"/>
    <w:rsid w:val="00D95FB4"/>
    <w:rsid w:val="00D967EA"/>
    <w:rsid w:val="00D96AE6"/>
    <w:rsid w:val="00D96D76"/>
    <w:rsid w:val="00D97AC7"/>
    <w:rsid w:val="00DA0051"/>
    <w:rsid w:val="00DA059B"/>
    <w:rsid w:val="00DA0F22"/>
    <w:rsid w:val="00DA137D"/>
    <w:rsid w:val="00DA182F"/>
    <w:rsid w:val="00DA1A4B"/>
    <w:rsid w:val="00DA1B4D"/>
    <w:rsid w:val="00DA1B53"/>
    <w:rsid w:val="00DA2612"/>
    <w:rsid w:val="00DA2D78"/>
    <w:rsid w:val="00DA3056"/>
    <w:rsid w:val="00DA3797"/>
    <w:rsid w:val="00DA3D61"/>
    <w:rsid w:val="00DA3F34"/>
    <w:rsid w:val="00DA40DC"/>
    <w:rsid w:val="00DA44C8"/>
    <w:rsid w:val="00DA4EA4"/>
    <w:rsid w:val="00DA50A3"/>
    <w:rsid w:val="00DA5745"/>
    <w:rsid w:val="00DA586A"/>
    <w:rsid w:val="00DA622F"/>
    <w:rsid w:val="00DA66EE"/>
    <w:rsid w:val="00DA6703"/>
    <w:rsid w:val="00DA6CD8"/>
    <w:rsid w:val="00DA7058"/>
    <w:rsid w:val="00DA7897"/>
    <w:rsid w:val="00DA7914"/>
    <w:rsid w:val="00DB06FD"/>
    <w:rsid w:val="00DB12D7"/>
    <w:rsid w:val="00DB14E2"/>
    <w:rsid w:val="00DB1749"/>
    <w:rsid w:val="00DB176B"/>
    <w:rsid w:val="00DB1E30"/>
    <w:rsid w:val="00DB1FA2"/>
    <w:rsid w:val="00DB1FCE"/>
    <w:rsid w:val="00DB2023"/>
    <w:rsid w:val="00DB24E5"/>
    <w:rsid w:val="00DB28E7"/>
    <w:rsid w:val="00DB2944"/>
    <w:rsid w:val="00DB2981"/>
    <w:rsid w:val="00DB2E40"/>
    <w:rsid w:val="00DB3138"/>
    <w:rsid w:val="00DB456D"/>
    <w:rsid w:val="00DB4882"/>
    <w:rsid w:val="00DB50D2"/>
    <w:rsid w:val="00DB526F"/>
    <w:rsid w:val="00DB7331"/>
    <w:rsid w:val="00DB7683"/>
    <w:rsid w:val="00DC030A"/>
    <w:rsid w:val="00DC17D3"/>
    <w:rsid w:val="00DC2D72"/>
    <w:rsid w:val="00DC3624"/>
    <w:rsid w:val="00DC3CFE"/>
    <w:rsid w:val="00DC4FC3"/>
    <w:rsid w:val="00DC5315"/>
    <w:rsid w:val="00DC5CAD"/>
    <w:rsid w:val="00DC6863"/>
    <w:rsid w:val="00DC730E"/>
    <w:rsid w:val="00DD004C"/>
    <w:rsid w:val="00DD05B0"/>
    <w:rsid w:val="00DD1056"/>
    <w:rsid w:val="00DD208F"/>
    <w:rsid w:val="00DD238F"/>
    <w:rsid w:val="00DD3A9B"/>
    <w:rsid w:val="00DD5424"/>
    <w:rsid w:val="00DD5777"/>
    <w:rsid w:val="00DD65D8"/>
    <w:rsid w:val="00DD68EF"/>
    <w:rsid w:val="00DD6E6E"/>
    <w:rsid w:val="00DD730B"/>
    <w:rsid w:val="00DD7638"/>
    <w:rsid w:val="00DD7F5F"/>
    <w:rsid w:val="00DE023E"/>
    <w:rsid w:val="00DE0781"/>
    <w:rsid w:val="00DE07E8"/>
    <w:rsid w:val="00DE13DF"/>
    <w:rsid w:val="00DE18E1"/>
    <w:rsid w:val="00DE1ADF"/>
    <w:rsid w:val="00DE200C"/>
    <w:rsid w:val="00DE2070"/>
    <w:rsid w:val="00DE20D7"/>
    <w:rsid w:val="00DE345F"/>
    <w:rsid w:val="00DE3CFF"/>
    <w:rsid w:val="00DE4108"/>
    <w:rsid w:val="00DE425A"/>
    <w:rsid w:val="00DE46A4"/>
    <w:rsid w:val="00DE47C3"/>
    <w:rsid w:val="00DE4A10"/>
    <w:rsid w:val="00DE4A20"/>
    <w:rsid w:val="00DE4EE6"/>
    <w:rsid w:val="00DE54AE"/>
    <w:rsid w:val="00DE6088"/>
    <w:rsid w:val="00DE677B"/>
    <w:rsid w:val="00DE67CE"/>
    <w:rsid w:val="00DE7621"/>
    <w:rsid w:val="00DE76BB"/>
    <w:rsid w:val="00DF0525"/>
    <w:rsid w:val="00DF0720"/>
    <w:rsid w:val="00DF0965"/>
    <w:rsid w:val="00DF18FB"/>
    <w:rsid w:val="00DF2814"/>
    <w:rsid w:val="00DF31BF"/>
    <w:rsid w:val="00DF377D"/>
    <w:rsid w:val="00DF4A5C"/>
    <w:rsid w:val="00DF4DB0"/>
    <w:rsid w:val="00DF4F6D"/>
    <w:rsid w:val="00DF5B7D"/>
    <w:rsid w:val="00DF61F9"/>
    <w:rsid w:val="00DF71CC"/>
    <w:rsid w:val="00DF7A67"/>
    <w:rsid w:val="00DF7B4F"/>
    <w:rsid w:val="00E01830"/>
    <w:rsid w:val="00E02159"/>
    <w:rsid w:val="00E023D5"/>
    <w:rsid w:val="00E029D7"/>
    <w:rsid w:val="00E0357F"/>
    <w:rsid w:val="00E04046"/>
    <w:rsid w:val="00E05265"/>
    <w:rsid w:val="00E05902"/>
    <w:rsid w:val="00E06154"/>
    <w:rsid w:val="00E06E81"/>
    <w:rsid w:val="00E07045"/>
    <w:rsid w:val="00E10189"/>
    <w:rsid w:val="00E10F2D"/>
    <w:rsid w:val="00E11DB8"/>
    <w:rsid w:val="00E12346"/>
    <w:rsid w:val="00E1292C"/>
    <w:rsid w:val="00E13023"/>
    <w:rsid w:val="00E137E7"/>
    <w:rsid w:val="00E14017"/>
    <w:rsid w:val="00E14809"/>
    <w:rsid w:val="00E15260"/>
    <w:rsid w:val="00E15FB0"/>
    <w:rsid w:val="00E161FF"/>
    <w:rsid w:val="00E16221"/>
    <w:rsid w:val="00E1634C"/>
    <w:rsid w:val="00E170FF"/>
    <w:rsid w:val="00E1739D"/>
    <w:rsid w:val="00E173D1"/>
    <w:rsid w:val="00E20264"/>
    <w:rsid w:val="00E20C74"/>
    <w:rsid w:val="00E20E84"/>
    <w:rsid w:val="00E20EBF"/>
    <w:rsid w:val="00E21759"/>
    <w:rsid w:val="00E21F1C"/>
    <w:rsid w:val="00E22268"/>
    <w:rsid w:val="00E22B0E"/>
    <w:rsid w:val="00E240DE"/>
    <w:rsid w:val="00E2444F"/>
    <w:rsid w:val="00E24B30"/>
    <w:rsid w:val="00E24D6C"/>
    <w:rsid w:val="00E24FE4"/>
    <w:rsid w:val="00E25112"/>
    <w:rsid w:val="00E253EA"/>
    <w:rsid w:val="00E25E29"/>
    <w:rsid w:val="00E260E9"/>
    <w:rsid w:val="00E26692"/>
    <w:rsid w:val="00E26C00"/>
    <w:rsid w:val="00E26C09"/>
    <w:rsid w:val="00E26E14"/>
    <w:rsid w:val="00E308E7"/>
    <w:rsid w:val="00E308F1"/>
    <w:rsid w:val="00E30CC8"/>
    <w:rsid w:val="00E3129B"/>
    <w:rsid w:val="00E31912"/>
    <w:rsid w:val="00E32031"/>
    <w:rsid w:val="00E322D7"/>
    <w:rsid w:val="00E3249C"/>
    <w:rsid w:val="00E33724"/>
    <w:rsid w:val="00E33BB6"/>
    <w:rsid w:val="00E346F3"/>
    <w:rsid w:val="00E34B9F"/>
    <w:rsid w:val="00E34E79"/>
    <w:rsid w:val="00E34EC0"/>
    <w:rsid w:val="00E3588A"/>
    <w:rsid w:val="00E35998"/>
    <w:rsid w:val="00E35C83"/>
    <w:rsid w:val="00E35E01"/>
    <w:rsid w:val="00E35FEB"/>
    <w:rsid w:val="00E361AD"/>
    <w:rsid w:val="00E36417"/>
    <w:rsid w:val="00E36D52"/>
    <w:rsid w:val="00E3717A"/>
    <w:rsid w:val="00E37708"/>
    <w:rsid w:val="00E40694"/>
    <w:rsid w:val="00E40CE5"/>
    <w:rsid w:val="00E40F35"/>
    <w:rsid w:val="00E41032"/>
    <w:rsid w:val="00E42C6F"/>
    <w:rsid w:val="00E42E9C"/>
    <w:rsid w:val="00E4353D"/>
    <w:rsid w:val="00E43543"/>
    <w:rsid w:val="00E43F2A"/>
    <w:rsid w:val="00E44399"/>
    <w:rsid w:val="00E45A03"/>
    <w:rsid w:val="00E45A42"/>
    <w:rsid w:val="00E45CCE"/>
    <w:rsid w:val="00E46544"/>
    <w:rsid w:val="00E4680C"/>
    <w:rsid w:val="00E46C72"/>
    <w:rsid w:val="00E47E89"/>
    <w:rsid w:val="00E50ADB"/>
    <w:rsid w:val="00E51205"/>
    <w:rsid w:val="00E51469"/>
    <w:rsid w:val="00E51B73"/>
    <w:rsid w:val="00E522CE"/>
    <w:rsid w:val="00E528DE"/>
    <w:rsid w:val="00E52C0E"/>
    <w:rsid w:val="00E532DB"/>
    <w:rsid w:val="00E533F7"/>
    <w:rsid w:val="00E54288"/>
    <w:rsid w:val="00E55351"/>
    <w:rsid w:val="00E557C0"/>
    <w:rsid w:val="00E55FBC"/>
    <w:rsid w:val="00E56B61"/>
    <w:rsid w:val="00E56DE2"/>
    <w:rsid w:val="00E574DF"/>
    <w:rsid w:val="00E57BBF"/>
    <w:rsid w:val="00E57CC1"/>
    <w:rsid w:val="00E61C54"/>
    <w:rsid w:val="00E62B94"/>
    <w:rsid w:val="00E6323C"/>
    <w:rsid w:val="00E63264"/>
    <w:rsid w:val="00E633FF"/>
    <w:rsid w:val="00E63494"/>
    <w:rsid w:val="00E634B0"/>
    <w:rsid w:val="00E6350E"/>
    <w:rsid w:val="00E63D35"/>
    <w:rsid w:val="00E63D82"/>
    <w:rsid w:val="00E640AE"/>
    <w:rsid w:val="00E64E41"/>
    <w:rsid w:val="00E65C74"/>
    <w:rsid w:val="00E67119"/>
    <w:rsid w:val="00E67C7D"/>
    <w:rsid w:val="00E70508"/>
    <w:rsid w:val="00E7090C"/>
    <w:rsid w:val="00E7272E"/>
    <w:rsid w:val="00E73558"/>
    <w:rsid w:val="00E73B0F"/>
    <w:rsid w:val="00E74650"/>
    <w:rsid w:val="00E77357"/>
    <w:rsid w:val="00E774DF"/>
    <w:rsid w:val="00E80746"/>
    <w:rsid w:val="00E809D2"/>
    <w:rsid w:val="00E810FF"/>
    <w:rsid w:val="00E81294"/>
    <w:rsid w:val="00E81AE4"/>
    <w:rsid w:val="00E83061"/>
    <w:rsid w:val="00E84EDE"/>
    <w:rsid w:val="00E853B7"/>
    <w:rsid w:val="00E85578"/>
    <w:rsid w:val="00E85843"/>
    <w:rsid w:val="00E85A35"/>
    <w:rsid w:val="00E86FCE"/>
    <w:rsid w:val="00E90FC9"/>
    <w:rsid w:val="00E910AF"/>
    <w:rsid w:val="00E9148D"/>
    <w:rsid w:val="00E919BF"/>
    <w:rsid w:val="00E92438"/>
    <w:rsid w:val="00E92906"/>
    <w:rsid w:val="00E9440A"/>
    <w:rsid w:val="00E948C4"/>
    <w:rsid w:val="00E9529E"/>
    <w:rsid w:val="00E958FD"/>
    <w:rsid w:val="00E96531"/>
    <w:rsid w:val="00E9724D"/>
    <w:rsid w:val="00E9732A"/>
    <w:rsid w:val="00EA02C4"/>
    <w:rsid w:val="00EA0D9E"/>
    <w:rsid w:val="00EA0FE5"/>
    <w:rsid w:val="00EA1121"/>
    <w:rsid w:val="00EA1B22"/>
    <w:rsid w:val="00EA2804"/>
    <w:rsid w:val="00EA30F8"/>
    <w:rsid w:val="00EA3105"/>
    <w:rsid w:val="00EA3E84"/>
    <w:rsid w:val="00EA4A37"/>
    <w:rsid w:val="00EA4AB6"/>
    <w:rsid w:val="00EA5155"/>
    <w:rsid w:val="00EA554E"/>
    <w:rsid w:val="00EA5761"/>
    <w:rsid w:val="00EA6A19"/>
    <w:rsid w:val="00EA6D77"/>
    <w:rsid w:val="00EB044B"/>
    <w:rsid w:val="00EB0E42"/>
    <w:rsid w:val="00EB0FA9"/>
    <w:rsid w:val="00EB144F"/>
    <w:rsid w:val="00EB22BF"/>
    <w:rsid w:val="00EB2805"/>
    <w:rsid w:val="00EB3945"/>
    <w:rsid w:val="00EB3BCF"/>
    <w:rsid w:val="00EB3C22"/>
    <w:rsid w:val="00EB3F58"/>
    <w:rsid w:val="00EB44BD"/>
    <w:rsid w:val="00EB4637"/>
    <w:rsid w:val="00EB5B06"/>
    <w:rsid w:val="00EB642B"/>
    <w:rsid w:val="00EB694F"/>
    <w:rsid w:val="00EB6B2F"/>
    <w:rsid w:val="00EB6B58"/>
    <w:rsid w:val="00EB6C80"/>
    <w:rsid w:val="00EB6D2E"/>
    <w:rsid w:val="00EB7854"/>
    <w:rsid w:val="00EC10DD"/>
    <w:rsid w:val="00EC136B"/>
    <w:rsid w:val="00EC1831"/>
    <w:rsid w:val="00EC1A08"/>
    <w:rsid w:val="00EC27F3"/>
    <w:rsid w:val="00EC2A90"/>
    <w:rsid w:val="00EC2DC6"/>
    <w:rsid w:val="00EC3093"/>
    <w:rsid w:val="00EC341D"/>
    <w:rsid w:val="00EC3771"/>
    <w:rsid w:val="00EC461A"/>
    <w:rsid w:val="00EC4AA0"/>
    <w:rsid w:val="00EC4E13"/>
    <w:rsid w:val="00EC505F"/>
    <w:rsid w:val="00EC5589"/>
    <w:rsid w:val="00EC5C21"/>
    <w:rsid w:val="00EC5E52"/>
    <w:rsid w:val="00EC6A1A"/>
    <w:rsid w:val="00EC7968"/>
    <w:rsid w:val="00EC7DFE"/>
    <w:rsid w:val="00ED0125"/>
    <w:rsid w:val="00ED044C"/>
    <w:rsid w:val="00ED2BE5"/>
    <w:rsid w:val="00ED2F1B"/>
    <w:rsid w:val="00ED3347"/>
    <w:rsid w:val="00ED36BF"/>
    <w:rsid w:val="00ED526E"/>
    <w:rsid w:val="00ED5F5F"/>
    <w:rsid w:val="00ED5F60"/>
    <w:rsid w:val="00ED6369"/>
    <w:rsid w:val="00ED6D68"/>
    <w:rsid w:val="00ED6DBA"/>
    <w:rsid w:val="00ED74ED"/>
    <w:rsid w:val="00ED7EB5"/>
    <w:rsid w:val="00EE00EE"/>
    <w:rsid w:val="00EE046C"/>
    <w:rsid w:val="00EE0683"/>
    <w:rsid w:val="00EE072C"/>
    <w:rsid w:val="00EE0911"/>
    <w:rsid w:val="00EE0A89"/>
    <w:rsid w:val="00EE1FFD"/>
    <w:rsid w:val="00EE2CC1"/>
    <w:rsid w:val="00EE2DF0"/>
    <w:rsid w:val="00EE3501"/>
    <w:rsid w:val="00EE35EF"/>
    <w:rsid w:val="00EE4DC3"/>
    <w:rsid w:val="00EE4F75"/>
    <w:rsid w:val="00EE513B"/>
    <w:rsid w:val="00EE574D"/>
    <w:rsid w:val="00EE5B98"/>
    <w:rsid w:val="00EE6C5D"/>
    <w:rsid w:val="00EE6E1C"/>
    <w:rsid w:val="00EE7164"/>
    <w:rsid w:val="00EF14A2"/>
    <w:rsid w:val="00EF16E4"/>
    <w:rsid w:val="00EF24C1"/>
    <w:rsid w:val="00EF28B7"/>
    <w:rsid w:val="00EF362D"/>
    <w:rsid w:val="00EF365F"/>
    <w:rsid w:val="00EF4251"/>
    <w:rsid w:val="00EF477E"/>
    <w:rsid w:val="00EF48F1"/>
    <w:rsid w:val="00EF4A55"/>
    <w:rsid w:val="00EF4C98"/>
    <w:rsid w:val="00EF4F81"/>
    <w:rsid w:val="00EF5012"/>
    <w:rsid w:val="00EF553D"/>
    <w:rsid w:val="00EF5AC4"/>
    <w:rsid w:val="00EF5C05"/>
    <w:rsid w:val="00EF60B9"/>
    <w:rsid w:val="00EF6661"/>
    <w:rsid w:val="00EF6A3C"/>
    <w:rsid w:val="00EF782F"/>
    <w:rsid w:val="00EF7931"/>
    <w:rsid w:val="00EF7C67"/>
    <w:rsid w:val="00EF7CF3"/>
    <w:rsid w:val="00F00208"/>
    <w:rsid w:val="00F005B2"/>
    <w:rsid w:val="00F005D9"/>
    <w:rsid w:val="00F00824"/>
    <w:rsid w:val="00F008C8"/>
    <w:rsid w:val="00F01068"/>
    <w:rsid w:val="00F011B3"/>
    <w:rsid w:val="00F01C62"/>
    <w:rsid w:val="00F023CC"/>
    <w:rsid w:val="00F02802"/>
    <w:rsid w:val="00F02FE0"/>
    <w:rsid w:val="00F03523"/>
    <w:rsid w:val="00F037DD"/>
    <w:rsid w:val="00F03843"/>
    <w:rsid w:val="00F03CB2"/>
    <w:rsid w:val="00F03EA8"/>
    <w:rsid w:val="00F04A12"/>
    <w:rsid w:val="00F05BA5"/>
    <w:rsid w:val="00F05C7B"/>
    <w:rsid w:val="00F05E9C"/>
    <w:rsid w:val="00F0644A"/>
    <w:rsid w:val="00F07BC1"/>
    <w:rsid w:val="00F10870"/>
    <w:rsid w:val="00F11CEA"/>
    <w:rsid w:val="00F120BC"/>
    <w:rsid w:val="00F12155"/>
    <w:rsid w:val="00F12888"/>
    <w:rsid w:val="00F133D5"/>
    <w:rsid w:val="00F134DC"/>
    <w:rsid w:val="00F1350B"/>
    <w:rsid w:val="00F15411"/>
    <w:rsid w:val="00F15E7C"/>
    <w:rsid w:val="00F1607A"/>
    <w:rsid w:val="00F160E6"/>
    <w:rsid w:val="00F161FC"/>
    <w:rsid w:val="00F162B2"/>
    <w:rsid w:val="00F16D99"/>
    <w:rsid w:val="00F175F3"/>
    <w:rsid w:val="00F179E2"/>
    <w:rsid w:val="00F17A8F"/>
    <w:rsid w:val="00F204DC"/>
    <w:rsid w:val="00F208DC"/>
    <w:rsid w:val="00F214DF"/>
    <w:rsid w:val="00F217A7"/>
    <w:rsid w:val="00F22263"/>
    <w:rsid w:val="00F222D2"/>
    <w:rsid w:val="00F22C31"/>
    <w:rsid w:val="00F23384"/>
    <w:rsid w:val="00F237ED"/>
    <w:rsid w:val="00F245C4"/>
    <w:rsid w:val="00F25605"/>
    <w:rsid w:val="00F2612A"/>
    <w:rsid w:val="00F261DD"/>
    <w:rsid w:val="00F26DEE"/>
    <w:rsid w:val="00F2752C"/>
    <w:rsid w:val="00F2764C"/>
    <w:rsid w:val="00F2784F"/>
    <w:rsid w:val="00F27C52"/>
    <w:rsid w:val="00F27E69"/>
    <w:rsid w:val="00F30A6D"/>
    <w:rsid w:val="00F319DC"/>
    <w:rsid w:val="00F3323B"/>
    <w:rsid w:val="00F3551B"/>
    <w:rsid w:val="00F35AD7"/>
    <w:rsid w:val="00F3668E"/>
    <w:rsid w:val="00F36E91"/>
    <w:rsid w:val="00F36FDF"/>
    <w:rsid w:val="00F37778"/>
    <w:rsid w:val="00F37C4A"/>
    <w:rsid w:val="00F37EBC"/>
    <w:rsid w:val="00F37F3A"/>
    <w:rsid w:val="00F40788"/>
    <w:rsid w:val="00F40F8F"/>
    <w:rsid w:val="00F41264"/>
    <w:rsid w:val="00F41523"/>
    <w:rsid w:val="00F416AB"/>
    <w:rsid w:val="00F43955"/>
    <w:rsid w:val="00F4471D"/>
    <w:rsid w:val="00F448C6"/>
    <w:rsid w:val="00F4513E"/>
    <w:rsid w:val="00F45559"/>
    <w:rsid w:val="00F46D96"/>
    <w:rsid w:val="00F50840"/>
    <w:rsid w:val="00F50A0D"/>
    <w:rsid w:val="00F50DCA"/>
    <w:rsid w:val="00F5103C"/>
    <w:rsid w:val="00F511BB"/>
    <w:rsid w:val="00F51539"/>
    <w:rsid w:val="00F51700"/>
    <w:rsid w:val="00F51949"/>
    <w:rsid w:val="00F51AA7"/>
    <w:rsid w:val="00F51ADD"/>
    <w:rsid w:val="00F52290"/>
    <w:rsid w:val="00F52965"/>
    <w:rsid w:val="00F541C3"/>
    <w:rsid w:val="00F5497E"/>
    <w:rsid w:val="00F55492"/>
    <w:rsid w:val="00F55A5F"/>
    <w:rsid w:val="00F55D46"/>
    <w:rsid w:val="00F56143"/>
    <w:rsid w:val="00F572A1"/>
    <w:rsid w:val="00F5766E"/>
    <w:rsid w:val="00F57827"/>
    <w:rsid w:val="00F57CEF"/>
    <w:rsid w:val="00F57E1E"/>
    <w:rsid w:val="00F60018"/>
    <w:rsid w:val="00F60069"/>
    <w:rsid w:val="00F6058B"/>
    <w:rsid w:val="00F605FC"/>
    <w:rsid w:val="00F611AD"/>
    <w:rsid w:val="00F62121"/>
    <w:rsid w:val="00F62599"/>
    <w:rsid w:val="00F62C06"/>
    <w:rsid w:val="00F62FC3"/>
    <w:rsid w:val="00F6310E"/>
    <w:rsid w:val="00F632BE"/>
    <w:rsid w:val="00F63713"/>
    <w:rsid w:val="00F644E5"/>
    <w:rsid w:val="00F655E1"/>
    <w:rsid w:val="00F65639"/>
    <w:rsid w:val="00F66941"/>
    <w:rsid w:val="00F677AB"/>
    <w:rsid w:val="00F706D5"/>
    <w:rsid w:val="00F70882"/>
    <w:rsid w:val="00F71132"/>
    <w:rsid w:val="00F713CF"/>
    <w:rsid w:val="00F717BA"/>
    <w:rsid w:val="00F719DA"/>
    <w:rsid w:val="00F72740"/>
    <w:rsid w:val="00F72835"/>
    <w:rsid w:val="00F731B1"/>
    <w:rsid w:val="00F73686"/>
    <w:rsid w:val="00F73E22"/>
    <w:rsid w:val="00F740E9"/>
    <w:rsid w:val="00F74247"/>
    <w:rsid w:val="00F7456A"/>
    <w:rsid w:val="00F74B4E"/>
    <w:rsid w:val="00F768A5"/>
    <w:rsid w:val="00F76DAA"/>
    <w:rsid w:val="00F76DD7"/>
    <w:rsid w:val="00F76FC1"/>
    <w:rsid w:val="00F806BA"/>
    <w:rsid w:val="00F80B96"/>
    <w:rsid w:val="00F811BA"/>
    <w:rsid w:val="00F821B8"/>
    <w:rsid w:val="00F8258A"/>
    <w:rsid w:val="00F829EC"/>
    <w:rsid w:val="00F82FB5"/>
    <w:rsid w:val="00F83184"/>
    <w:rsid w:val="00F83664"/>
    <w:rsid w:val="00F83AEE"/>
    <w:rsid w:val="00F857B7"/>
    <w:rsid w:val="00F85A3F"/>
    <w:rsid w:val="00F860FF"/>
    <w:rsid w:val="00F8685E"/>
    <w:rsid w:val="00F86DE6"/>
    <w:rsid w:val="00F86E3B"/>
    <w:rsid w:val="00F87AB3"/>
    <w:rsid w:val="00F87E87"/>
    <w:rsid w:val="00F87FD8"/>
    <w:rsid w:val="00F9055E"/>
    <w:rsid w:val="00F909FA"/>
    <w:rsid w:val="00F90A10"/>
    <w:rsid w:val="00F91430"/>
    <w:rsid w:val="00F914BB"/>
    <w:rsid w:val="00F916DF"/>
    <w:rsid w:val="00F91F39"/>
    <w:rsid w:val="00F922BA"/>
    <w:rsid w:val="00F9236F"/>
    <w:rsid w:val="00F926F7"/>
    <w:rsid w:val="00F927AE"/>
    <w:rsid w:val="00F9287B"/>
    <w:rsid w:val="00F92D14"/>
    <w:rsid w:val="00F92FB1"/>
    <w:rsid w:val="00F9306E"/>
    <w:rsid w:val="00F9416A"/>
    <w:rsid w:val="00F9431F"/>
    <w:rsid w:val="00F94466"/>
    <w:rsid w:val="00F9547F"/>
    <w:rsid w:val="00F95592"/>
    <w:rsid w:val="00F95ADA"/>
    <w:rsid w:val="00F95E5A"/>
    <w:rsid w:val="00F96FB3"/>
    <w:rsid w:val="00F97B44"/>
    <w:rsid w:val="00F97BE1"/>
    <w:rsid w:val="00FA0913"/>
    <w:rsid w:val="00FA0F82"/>
    <w:rsid w:val="00FA161F"/>
    <w:rsid w:val="00FA190B"/>
    <w:rsid w:val="00FA1D9A"/>
    <w:rsid w:val="00FA20E6"/>
    <w:rsid w:val="00FA2C5F"/>
    <w:rsid w:val="00FA5FD9"/>
    <w:rsid w:val="00FA60F9"/>
    <w:rsid w:val="00FA69BE"/>
    <w:rsid w:val="00FA74D9"/>
    <w:rsid w:val="00FA777E"/>
    <w:rsid w:val="00FB0809"/>
    <w:rsid w:val="00FB0C13"/>
    <w:rsid w:val="00FB15D4"/>
    <w:rsid w:val="00FB18D1"/>
    <w:rsid w:val="00FB198E"/>
    <w:rsid w:val="00FB1A92"/>
    <w:rsid w:val="00FB1CD1"/>
    <w:rsid w:val="00FB279E"/>
    <w:rsid w:val="00FB2CBA"/>
    <w:rsid w:val="00FB2E4E"/>
    <w:rsid w:val="00FB2EF5"/>
    <w:rsid w:val="00FB31E0"/>
    <w:rsid w:val="00FB353E"/>
    <w:rsid w:val="00FB3D68"/>
    <w:rsid w:val="00FB4649"/>
    <w:rsid w:val="00FB5783"/>
    <w:rsid w:val="00FB5CDE"/>
    <w:rsid w:val="00FB5DF0"/>
    <w:rsid w:val="00FB6824"/>
    <w:rsid w:val="00FB7A5E"/>
    <w:rsid w:val="00FB7E70"/>
    <w:rsid w:val="00FC094F"/>
    <w:rsid w:val="00FC0FA1"/>
    <w:rsid w:val="00FC0FE0"/>
    <w:rsid w:val="00FC196E"/>
    <w:rsid w:val="00FC2A92"/>
    <w:rsid w:val="00FC2C42"/>
    <w:rsid w:val="00FC329E"/>
    <w:rsid w:val="00FC3C36"/>
    <w:rsid w:val="00FC4428"/>
    <w:rsid w:val="00FC4689"/>
    <w:rsid w:val="00FC4FDA"/>
    <w:rsid w:val="00FC538B"/>
    <w:rsid w:val="00FC5946"/>
    <w:rsid w:val="00FC65C0"/>
    <w:rsid w:val="00FC65E3"/>
    <w:rsid w:val="00FC6DA1"/>
    <w:rsid w:val="00FC719B"/>
    <w:rsid w:val="00FD0586"/>
    <w:rsid w:val="00FD0CF8"/>
    <w:rsid w:val="00FD0D67"/>
    <w:rsid w:val="00FD2BDB"/>
    <w:rsid w:val="00FD2DEB"/>
    <w:rsid w:val="00FD33C3"/>
    <w:rsid w:val="00FD3DC0"/>
    <w:rsid w:val="00FD40EC"/>
    <w:rsid w:val="00FD41D4"/>
    <w:rsid w:val="00FD43E8"/>
    <w:rsid w:val="00FD477A"/>
    <w:rsid w:val="00FD4F9F"/>
    <w:rsid w:val="00FD542C"/>
    <w:rsid w:val="00FD5AA7"/>
    <w:rsid w:val="00FD705A"/>
    <w:rsid w:val="00FD7170"/>
    <w:rsid w:val="00FD7D7A"/>
    <w:rsid w:val="00FD7E7B"/>
    <w:rsid w:val="00FE0045"/>
    <w:rsid w:val="00FE042B"/>
    <w:rsid w:val="00FE1045"/>
    <w:rsid w:val="00FE1279"/>
    <w:rsid w:val="00FE1678"/>
    <w:rsid w:val="00FE2323"/>
    <w:rsid w:val="00FE2959"/>
    <w:rsid w:val="00FE2B4E"/>
    <w:rsid w:val="00FE2D8B"/>
    <w:rsid w:val="00FE2F23"/>
    <w:rsid w:val="00FE321F"/>
    <w:rsid w:val="00FE3C9B"/>
    <w:rsid w:val="00FE3EC4"/>
    <w:rsid w:val="00FE3F6A"/>
    <w:rsid w:val="00FE4AAC"/>
    <w:rsid w:val="00FE4D64"/>
    <w:rsid w:val="00FE4EEC"/>
    <w:rsid w:val="00FE5543"/>
    <w:rsid w:val="00FE5AEA"/>
    <w:rsid w:val="00FE6C38"/>
    <w:rsid w:val="00FE7C17"/>
    <w:rsid w:val="00FF0E24"/>
    <w:rsid w:val="00FF0E58"/>
    <w:rsid w:val="00FF1994"/>
    <w:rsid w:val="00FF2DF2"/>
    <w:rsid w:val="00FF2ECA"/>
    <w:rsid w:val="00FF30D1"/>
    <w:rsid w:val="00FF3382"/>
    <w:rsid w:val="00FF42BB"/>
    <w:rsid w:val="00FF46AF"/>
    <w:rsid w:val="00FF53C3"/>
    <w:rsid w:val="00FF72D8"/>
    <w:rsid w:val="00FF773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B36F"/>
  <w15:docId w15:val="{DD1EAF94-F889-4441-AD12-7C86220E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E05"/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8124D7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kern w:val="36"/>
      <w:sz w:val="28"/>
      <w:szCs w:val="20"/>
    </w:rPr>
  </w:style>
  <w:style w:type="paragraph" w:styleId="Nadpis2">
    <w:name w:val="heading 2"/>
    <w:basedOn w:val="Normln"/>
    <w:next w:val="Normln"/>
    <w:qFormat/>
    <w:rsid w:val="00D84024"/>
    <w:pPr>
      <w:keepNext/>
      <w:ind w:left="851" w:hanging="491"/>
      <w:outlineLvl w:val="1"/>
    </w:pPr>
    <w:rPr>
      <w:rFonts w:cstheme="minorHAnsi"/>
      <w:b/>
      <w:bCs/>
      <w:iCs/>
      <w:szCs w:val="28"/>
      <w:u w:val="single"/>
    </w:rPr>
  </w:style>
  <w:style w:type="paragraph" w:styleId="Nadpis3">
    <w:name w:val="heading 3"/>
    <w:basedOn w:val="Normln"/>
    <w:next w:val="Normln"/>
    <w:uiPriority w:val="9"/>
    <w:qFormat/>
    <w:rsid w:val="00136EF9"/>
    <w:pPr>
      <w:keepNext/>
      <w:keepLines/>
      <w:ind w:left="993" w:hanging="636"/>
      <w:outlineLvl w:val="2"/>
    </w:pPr>
    <w:rPr>
      <w:rFonts w:cstheme="minorHAnsi"/>
      <w:b/>
      <w:bCs/>
      <w:i/>
    </w:rPr>
  </w:style>
  <w:style w:type="paragraph" w:styleId="Nadpis4">
    <w:name w:val="heading 4"/>
    <w:basedOn w:val="Normln"/>
    <w:next w:val="Normln"/>
    <w:uiPriority w:val="9"/>
    <w:qFormat/>
    <w:rsid w:val="00987B74"/>
    <w:pPr>
      <w:keepNext/>
      <w:keepLines/>
      <w:tabs>
        <w:tab w:val="left" w:pos="1985"/>
      </w:tabs>
      <w:spacing w:before="120" w:after="60"/>
      <w:outlineLvl w:val="3"/>
    </w:pPr>
    <w:rPr>
      <w:rFonts w:eastAsiaTheme="majorEastAsia" w:cstheme="minorHAnsi"/>
      <w:iCs/>
      <w:u w:val="single"/>
      <w:lang w:eastAsia="en-US"/>
    </w:rPr>
  </w:style>
  <w:style w:type="paragraph" w:styleId="Nadpis5">
    <w:name w:val="heading 5"/>
    <w:basedOn w:val="Normln"/>
    <w:next w:val="Normln"/>
    <w:qFormat/>
    <w:rsid w:val="00A03BE7"/>
    <w:pPr>
      <w:spacing w:before="120" w:after="60"/>
      <w:outlineLvl w:val="4"/>
    </w:pPr>
    <w:rPr>
      <w:rFonts w:ascii="Calibri" w:hAnsi="Calibri"/>
      <w:bCs/>
      <w:i/>
      <w:iCs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</w:pPr>
    <w:rPr>
      <w:lang w:eastAsia="en-US"/>
    </w:rPr>
  </w:style>
  <w:style w:type="paragraph" w:styleId="Textpoznpodarou">
    <w:name w:val="footnote text"/>
    <w:aliases w:val="Boston 10,Char,Char Char Char1,Char1,Font: Geneva 9,Fußnotentextf,Geneva 9,Podrozdzia3,Podrozdział,Schriftart: 10 pt,Schriftart: 8 pt,Schriftart: 9 pt,Text pozn. pod čarou1,Text poznámky pod čiarou 007,f,fn,o,pozn. pod čarou"/>
    <w:basedOn w:val="Normln"/>
    <w:uiPriority w:val="99"/>
    <w:unhideWhenUsed/>
    <w:qFormat/>
    <w:rsid w:val="007F4CE5"/>
    <w:pPr>
      <w:tabs>
        <w:tab w:val="left" w:pos="284"/>
      </w:tabs>
      <w:spacing w:after="0"/>
      <w:ind w:left="284" w:hanging="284"/>
    </w:pPr>
    <w:rPr>
      <w:sz w:val="20"/>
      <w:szCs w:val="20"/>
    </w:rPr>
  </w:style>
  <w:style w:type="character" w:customStyle="1" w:styleId="TextpoznpodarouChar">
    <w:name w:val="Text pozn. pod čarou Char"/>
    <w:aliases w:val="Footnote Char,Fußnotentextf Char,Geneva 9 Char,Podrozdzia3 Char,Podrozdział Char,Schriftart: 10 pt Char,Schriftart: 8 pt Char,Schriftart: 9 pt Char,Text poznámky pod čiarou 007 Char,fn Char,fn Char1,pozn. pod čarou Char"/>
    <w:basedOn w:val="Standardnpsmoodstavce"/>
    <w:uiPriority w:val="99"/>
    <w:rsid w:val="00074A01"/>
  </w:style>
  <w:style w:type="character" w:styleId="Znakapoznpodarou">
    <w:name w:val="footnote reference"/>
    <w:aliases w:val="12 b.,Appel note de bas de p,Appel note de bas de page,BVI fnr,Char Car Car Car Car,Footnote,Footnote Reference Superscript,Footnote call,Footnote symbol,Légende,PGI Fußnote Ziffer,PGI Fußnote Ziffer + Times New Roman,Zúžené o ...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List Paragraph_0,List Paragraph_0_0,List Paragraph_1,Nadpis pro KZ,Odstavec se seznamem1,Odstavec se seznamem2,Odstavec_muj,odrážky,Nad,nad 1,Název grafu,List Paragraph1,List Paragraph2,Nad1,Nad2,Odstavec_muj1,Odstavec_muj10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unhideWhenUsed/>
    <w:rsid w:val="003163D4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tgc">
    <w:name w:val="_tgc"/>
    <w:basedOn w:val="Standardnpsmoodstavce"/>
    <w:rsid w:val="00FC2078"/>
  </w:style>
  <w:style w:type="paragraph" w:styleId="Nzev">
    <w:name w:val="Title"/>
    <w:basedOn w:val="Normln"/>
    <w:link w:val="NzevChar"/>
    <w:qFormat/>
    <w:rsid w:val="008D4B89"/>
    <w:pPr>
      <w:jc w:val="center"/>
    </w:pPr>
    <w:rPr>
      <w:rFonts w:ascii="Times New Roman" w:hAnsi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D4B89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9E75B5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9E75B5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D792B"/>
    <w:pPr>
      <w:spacing w:line="21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D792B"/>
    <w:rPr>
      <w:rFonts w:cs="Calibri"/>
      <w:b/>
      <w:bCs/>
      <w:color w:val="000000"/>
      <w:sz w:val="34"/>
      <w:szCs w:val="34"/>
    </w:rPr>
  </w:style>
  <w:style w:type="paragraph" w:customStyle="1" w:styleId="Pa16">
    <w:name w:val="Pa16"/>
    <w:basedOn w:val="Default"/>
    <w:next w:val="Default"/>
    <w:uiPriority w:val="99"/>
    <w:rsid w:val="007D792B"/>
    <w:pPr>
      <w:spacing w:line="21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D792B"/>
    <w:rPr>
      <w:rFonts w:ascii="Arial" w:hAnsi="Arial" w:cs="Arial"/>
      <w:b/>
      <w:bCs/>
      <w:color w:val="000000"/>
      <w:sz w:val="19"/>
      <w:szCs w:val="19"/>
    </w:rPr>
  </w:style>
  <w:style w:type="character" w:customStyle="1" w:styleId="OdstavecseseznamemChar">
    <w:name w:val="Odstavec se seznamem Char"/>
    <w:aliases w:val="List Paragraph_0 Char,List Paragraph_0_0 Char,List Paragraph_1 Char,Nadpis pro KZ Char,Odstavec se seznamem1 Char,Odstavec se seznamem2 Char,Odstavec_muj Char,odrážky Char,Nad Char,nad 1 Char,Název grafu Char,Nad1 Char"/>
    <w:link w:val="Odstavecseseznamem"/>
    <w:uiPriority w:val="34"/>
    <w:rsid w:val="00F92FB1"/>
    <w:rPr>
      <w:rFonts w:ascii="Arial" w:hAnsi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2FB1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  <w:lang w:eastAsia="en-US"/>
    </w:rPr>
  </w:style>
  <w:style w:type="paragraph" w:customStyle="1" w:styleId="Odstavec">
    <w:name w:val="Odstavec"/>
    <w:basedOn w:val="Normln"/>
    <w:rsid w:val="0033626F"/>
    <w:pPr>
      <w:spacing w:before="120"/>
      <w:ind w:firstLine="709"/>
    </w:pPr>
    <w:rPr>
      <w:rFonts w:ascii="Times New Roman" w:hAnsi="Times New Roman"/>
      <w:szCs w:val="20"/>
    </w:rPr>
  </w:style>
  <w:style w:type="paragraph" w:customStyle="1" w:styleId="l3">
    <w:name w:val="l3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2">
    <w:name w:val="l2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4">
    <w:name w:val="l4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542313"/>
    <w:rPr>
      <w:i/>
      <w:iCs/>
    </w:rPr>
  </w:style>
  <w:style w:type="character" w:styleId="Zdraznn">
    <w:name w:val="Emphasis"/>
    <w:basedOn w:val="Standardnpsmoodstavce"/>
    <w:uiPriority w:val="20"/>
    <w:qFormat/>
    <w:rsid w:val="00512467"/>
    <w:rPr>
      <w:b/>
      <w:bCs/>
      <w:i w:val="0"/>
      <w:iCs w:val="0"/>
    </w:rPr>
  </w:style>
  <w:style w:type="paragraph" w:customStyle="1" w:styleId="l1">
    <w:name w:val="l1"/>
    <w:basedOn w:val="Normln"/>
    <w:rsid w:val="003D41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ral">
    <w:name w:val="aural"/>
    <w:basedOn w:val="Standardnpsmoodstavce"/>
    <w:rsid w:val="00E43543"/>
  </w:style>
  <w:style w:type="paragraph" w:customStyle="1" w:styleId="KPnormln">
    <w:name w:val="KP normální"/>
    <w:basedOn w:val="Normln"/>
    <w:link w:val="KPnormlnChar"/>
    <w:rsid w:val="00C50799"/>
    <w:pPr>
      <w:spacing w:before="120"/>
      <w:ind w:firstLine="720"/>
    </w:pPr>
    <w:rPr>
      <w:rFonts w:cstheme="minorHAnsi"/>
      <w:color w:val="000000"/>
      <w:szCs w:val="22"/>
      <w:lang w:eastAsia="en-US"/>
    </w:rPr>
  </w:style>
  <w:style w:type="character" w:customStyle="1" w:styleId="KPnormlnChar">
    <w:name w:val="KP normální Char"/>
    <w:basedOn w:val="Standardnpsmoodstavce"/>
    <w:link w:val="KPnormln"/>
    <w:rsid w:val="00C50799"/>
    <w:rPr>
      <w:rFonts w:asciiTheme="minorHAnsi" w:hAnsiTheme="minorHAnsi" w:cstheme="minorHAnsi"/>
      <w:color w:val="000000"/>
      <w:sz w:val="24"/>
      <w:szCs w:val="22"/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B636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A5B09"/>
    <w:rPr>
      <w:color w:val="800080" w:themeColor="followedHyperlink"/>
      <w:u w:val="single"/>
    </w:rPr>
  </w:style>
  <w:style w:type="paragraph" w:customStyle="1" w:styleId="Pa25">
    <w:name w:val="Pa25"/>
    <w:basedOn w:val="Default"/>
    <w:next w:val="Default"/>
    <w:uiPriority w:val="99"/>
    <w:rsid w:val="0005565A"/>
    <w:pPr>
      <w:spacing w:line="261" w:lineRule="atLeast"/>
    </w:pPr>
    <w:rPr>
      <w:rFonts w:ascii="Myriad Pro" w:hAnsi="Myriad Pro" w:cs="Times New Roman"/>
      <w:color w:val="auto"/>
    </w:rPr>
  </w:style>
  <w:style w:type="paragraph" w:customStyle="1" w:styleId="Nzevtabulky">
    <w:name w:val="Název tabulky"/>
    <w:basedOn w:val="Normln"/>
    <w:qFormat/>
    <w:rsid w:val="00C44F6E"/>
    <w:pPr>
      <w:ind w:left="1559" w:hanging="1559"/>
    </w:pPr>
    <w:rPr>
      <w:color w:val="00B050"/>
    </w:rPr>
  </w:style>
  <w:style w:type="paragraph" w:customStyle="1" w:styleId="mezera">
    <w:name w:val="mezera"/>
    <w:basedOn w:val="Normln"/>
    <w:next w:val="Normln"/>
    <w:rsid w:val="009E4C5D"/>
    <w:pPr>
      <w:spacing w:after="0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ln"/>
    <w:rsid w:val="00E52C0E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5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387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1901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21" Type="http://schemas.openxmlformats.org/officeDocument/2006/relationships/image" Target="media/image6.emf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://toiler.uiv.cz/rocenka/rocenka.asp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pvvv.msmt.cz/aktualni-vyzvy" TargetMode="External"/><Relationship Id="rId20" Type="http://schemas.openxmlformats.org/officeDocument/2006/relationships/hyperlink" Target="https://www.nku.cz/assets/nezarazene/dotaznik-ka-19-19.pdf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V_kres_Microsoft_Visia1.vsdx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opvvv.msmt.cz/ukoncene-vyzvy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0.png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nku.cz/scripts/detail.php?id=11151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package" Target="embeddings/V_kres_Microsoft_Visia.vsdx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eader" Target="head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tgm/table.do?tab=table&amp;init=1&amp;language=en&amp;pcode=tesem020&amp;plugin=1" TargetMode="External"/><Relationship Id="rId2" Type="http://schemas.openxmlformats.org/officeDocument/2006/relationships/hyperlink" Target="http://www.tiki-toki.com/timeline/entry/656735/Pro-v-esku-vyrostlo-za-26-let-pes-600-chudinskch-tvrt/" TargetMode="External"/><Relationship Id="rId1" Type="http://schemas.openxmlformats.org/officeDocument/2006/relationships/hyperlink" Target="https://rejstriky.msmt.cz/rejskol/" TargetMode="External"/><Relationship Id="rId6" Type="http://schemas.openxmlformats.org/officeDocument/2006/relationships/hyperlink" Target="https://opvvv.msmt.cz/balicek-dokumentu/evaluace-inkluzivni-a-kvalitni-vzdelavani-v-uzemich-se-socialne-vyloucenymi-lokalitami.htm?a=1" TargetMode="External"/><Relationship Id="rId5" Type="http://schemas.openxmlformats.org/officeDocument/2006/relationships/hyperlink" Target="https://zpravy.aktualne.cz/domaci/agentura-pro-zaclenovani-otevre-nove-pobocky-v-ostrave-usti/r~932674d287b311e5b440002590604f2e/" TargetMode="External"/><Relationship Id="rId4" Type="http://schemas.openxmlformats.org/officeDocument/2006/relationships/hyperlink" Target="https://www.vlada.cz/cz/clenove-vlady/pri-uradu-vlady/jiri-dienstbier/aktualne/agentura-pro-socialni-zaclenovani-zverejnila-vysledky-evaluace-sve-cinnosti-v-18-obcich-a-mestech-136817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303A169A7C4469E9F0A7D7AED6A99" ma:contentTypeVersion="0" ma:contentTypeDescription="Vytvoří nový dokument" ma:contentTypeScope="" ma:versionID="c61dab2dc6de4629608bb3faf3de37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228B4-BA39-49C6-B50E-51DA7CF18AF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905433-F0D5-4D2B-8E33-1730576AF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73D0F-5365-4EA4-8C9F-E2B6D905A8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214C8D-55AB-436A-B768-7BE2F33C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803C0B84.dotm</Template>
  <TotalTime>9</TotalTime>
  <Pages>37</Pages>
  <Words>10089</Words>
  <Characters>59529</Characters>
  <Application>Microsoft Office Word</Application>
  <DocSecurity>0</DocSecurity>
  <Lines>496</Lines>
  <Paragraphs>138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19/19 - Peněžní prostředky Evropské unie a státního rozpočtu vynakládané na podporu společného vzdělávání žáků</vt:lpstr>
      <vt:lpstr/>
    </vt:vector>
  </TitlesOfParts>
  <Company>Nejvyšší kontrolní úřad</Company>
  <LinksUpToDate>false</LinksUpToDate>
  <CharactersWithSpaces>69480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19/19 - Peněžní prostředky Evropské unie a státního rozpočtu vynakládané na podporu společného vzdělávání žáků</dc:title>
  <dc:subject>Inkluze</dc:subject>
  <dc:creator>Nejvyšší kontrolní úřad</dc:creator>
  <cp:keywords>Kontrolní závěr; inkluze; vzdělávání; společné vzdělávání žáků</cp:keywords>
  <dc:description/>
  <cp:lastModifiedBy>KOKRDA Daniel</cp:lastModifiedBy>
  <cp:revision>5</cp:revision>
  <cp:lastPrinted>2020-10-02T08:05:00Z</cp:lastPrinted>
  <dcterms:created xsi:type="dcterms:W3CDTF">2020-10-02T07:58:00Z</dcterms:created>
  <dcterms:modified xsi:type="dcterms:W3CDTF">2020-10-02T08:06:00Z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18/28-NKU30/745/19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30/897/18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0x010100A7F303A169A7C4469E9F0A7D7AED6A99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30.7.2019</vt:lpwstr>
  </property>
  <property fmtid="{D5CDD505-2E9C-101B-9397-08002B2CF9AE}" pid="12" name="DisplayName_CisloObalky_PostaOdes">
    <vt:lpwstr>{DisplayName_CisloObalky_PostaOdes}</vt:lpwstr>
  </property>
  <property fmtid="{D5CDD505-2E9C-101B-9397-08002B2CF9AE}" pid="13" name="DisplayName_CJCol">
    <vt:lpwstr>&lt;TABLE&gt;&lt;TR&gt;&lt;TD&gt;Č.j.:&lt;/TD&gt;&lt;TD&gt;18/28-NKU30/745/19&lt;/TD&gt;&lt;/TR&gt;&lt;TR&gt;&lt;TD&gt;&lt;/TD&gt;&lt;TD&gt;&lt;/TD&gt;&lt;/TR&gt;&lt;/TABLE&gt;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Členové Úřadu</vt:lpwstr>
  </property>
  <property fmtid="{D5CDD505-2E9C-101B-9397-08002B2CF9AE}" pid="16" name="DisplayName_UserPoriz_Pisemnost">
    <vt:lpwstr>Bc. Jana Pokorná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19-10076/NKU</vt:lpwstr>
  </property>
  <property fmtid="{D5CDD505-2E9C-101B-9397-08002B2CF9AE}" pid="19" name="Key_BarCode_Pisemnost">
    <vt:lpwstr>*B000340722*</vt:lpwstr>
  </property>
  <property fmtid="{D5CDD505-2E9C-101B-9397-08002B2CF9AE}" pid="20" name="KRukam">
    <vt:lpwstr>{KRukam}</vt:lpwstr>
  </property>
  <property fmtid="{D5CDD505-2E9C-101B-9397-08002B2CF9AE}" pid="21" name="NameAddress_Contact_SpisovyUzel_PoziceZodpo_Pisemnost">
    <vt:lpwstr>ADRESÁT SU...</vt:lpwstr>
  </property>
  <property fmtid="{D5CDD505-2E9C-101B-9397-08002B2CF9AE}" pid="22" name="NamePostalAddress_Contact_PostaOdes">
    <vt:lpwstr>{NameAddress_Contact_PostaOdes}
{PostalAddress_Contact_PostaOdes}</vt:lpwstr>
  </property>
  <property fmtid="{D5CDD505-2E9C-101B-9397-08002B2CF9AE}" pid="23" name="Odkaz">
    <vt:lpwstr>ODKAZ</vt:lpwstr>
  </property>
  <property fmtid="{D5CDD505-2E9C-101B-9397-08002B2CF9AE}" pid="24" name="Password_PisemnostTypZpristupneniInformaciZOSZ_Pisemnost">
    <vt:lpwstr>ZOSZ_Password</vt:lpwstr>
  </property>
  <property fmtid="{D5CDD505-2E9C-101B-9397-08002B2CF9AE}" pid="25" name="PocetListuDokumentu_Pisemnost">
    <vt:lpwstr>1</vt:lpwstr>
  </property>
  <property fmtid="{D5CDD505-2E9C-101B-9397-08002B2CF9AE}" pid="26" name="PocetListu_Pisemnost">
    <vt:lpwstr>1</vt:lpwstr>
  </property>
  <property fmtid="{D5CDD505-2E9C-101B-9397-08002B2CF9AE}" pid="27" name="PocetPriloh_Pisemnost">
    <vt:lpwstr>POČET PŘÍLOH</vt:lpwstr>
  </property>
  <property fmtid="{D5CDD505-2E9C-101B-9397-08002B2CF9AE}" pid="28" name="Podpis">
    <vt:lpwstr/>
  </property>
  <property fmtid="{D5CDD505-2E9C-101B-9397-08002B2CF9AE}" pid="29" name="PostalAddress_Contact_SpisovyUzel_PoziceZodpo_Pisemnost">
    <vt:lpwstr>ADRESA SU...</vt:lpwstr>
  </property>
  <property fmtid="{D5CDD505-2E9C-101B-9397-08002B2CF9AE}" pid="30" name="RC">
    <vt:lpwstr/>
  </property>
  <property fmtid="{D5CDD505-2E9C-101B-9397-08002B2CF9AE}" pid="31" name="SkartacniZnakLhuta_PisemnostZnak">
    <vt:lpwstr>?/?</vt:lpwstr>
  </property>
  <property fmtid="{D5CDD505-2E9C-101B-9397-08002B2CF9AE}" pid="32" name="SmlouvaCislo">
    <vt:lpwstr>ČÍSLO SMLOUVY</vt:lpwstr>
  </property>
  <property fmtid="{D5CDD505-2E9C-101B-9397-08002B2CF9AE}" pid="33" name="SZ_Spis_Pisemnost">
    <vt:lpwstr>18/28</vt:lpwstr>
  </property>
  <property fmtid="{D5CDD505-2E9C-101B-9397-08002B2CF9AE}" pid="34" name="TEST">
    <vt:lpwstr>testovací pole</vt:lpwstr>
  </property>
  <property fmtid="{D5CDD505-2E9C-101B-9397-08002B2CF9AE}" pid="35" name="TypPrilohy_Pisemnost">
    <vt:lpwstr>TYP PŘÍLOHY</vt:lpwstr>
  </property>
  <property fmtid="{D5CDD505-2E9C-101B-9397-08002B2CF9AE}" pid="36" name="UserName_PisemnostTypZpristupneniInformaciZOSZ_Pisemnost">
    <vt:lpwstr>ZOSZ_UserName</vt:lpwstr>
  </property>
  <property fmtid="{D5CDD505-2E9C-101B-9397-08002B2CF9AE}" pid="37" name="Vec_Pisemnost">
    <vt:lpwstr>Návrh kontrolního závěru 18/28 - do připomínek</vt:lpwstr>
  </property>
  <property fmtid="{D5CDD505-2E9C-101B-9397-08002B2CF9AE}" pid="38" name="Zkratka_SpisovyUzel_PoziceZodpo_Pisemnost">
    <vt:lpwstr>30</vt:lpwstr>
  </property>
</Properties>
</file>