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F7A872" w14:textId="77777777" w:rsidR="00D55F31" w:rsidRDefault="001D7420" w:rsidP="00876EE8">
      <w:pPr>
        <w:jc w:val="center"/>
        <w:rPr>
          <w:rFonts w:cstheme="minorHAnsi"/>
          <w:color w:val="000000" w:themeColor="text1"/>
        </w:rPr>
      </w:pPr>
      <w:r w:rsidRPr="00A22856">
        <w:rPr>
          <w:rFonts w:cstheme="minorHAnsi"/>
          <w:noProof/>
          <w:color w:val="000000" w:themeColor="text1"/>
        </w:rPr>
        <w:drawing>
          <wp:anchor distT="0" distB="0" distL="114300" distR="114300" simplePos="0" relativeHeight="251658240" behindDoc="0" locked="0" layoutInCell="1" allowOverlap="1" wp14:anchorId="06298879" wp14:editId="02654408">
            <wp:simplePos x="0" y="0"/>
            <wp:positionH relativeFrom="column">
              <wp:posOffset>2480310</wp:posOffset>
            </wp:positionH>
            <wp:positionV relativeFrom="paragraph">
              <wp:posOffset>8559</wp:posOffset>
            </wp:positionV>
            <wp:extent cx="791210" cy="559435"/>
            <wp:effectExtent l="0" t="0" r="8890" b="0"/>
            <wp:wrapTopAndBottom/>
            <wp:docPr id="2" name="obrázek 2" descr="NKU_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2208651" name="Picture 2" descr="NKU_LOGO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91210" cy="559435"/>
                    </a:xfrm>
                    <a:prstGeom prst="rect">
                      <a:avLst/>
                    </a:prstGeom>
                    <a:noFill/>
                  </pic:spPr>
                </pic:pic>
              </a:graphicData>
            </a:graphic>
          </wp:anchor>
        </w:drawing>
      </w:r>
    </w:p>
    <w:p w14:paraId="3705CF8B" w14:textId="77777777" w:rsidR="00876EE8" w:rsidRDefault="00876EE8" w:rsidP="00876EE8">
      <w:pPr>
        <w:jc w:val="center"/>
        <w:rPr>
          <w:rFonts w:cstheme="minorHAnsi"/>
          <w:color w:val="000000" w:themeColor="text1"/>
        </w:rPr>
      </w:pPr>
    </w:p>
    <w:p w14:paraId="61C671DB" w14:textId="77777777" w:rsidR="00D55F31" w:rsidRPr="006E635F" w:rsidRDefault="001D7420" w:rsidP="00D06914">
      <w:pPr>
        <w:pStyle w:val="TextKP"/>
        <w:jc w:val="center"/>
        <w:outlineLvl w:val="0"/>
        <w:rPr>
          <w:b/>
          <w:sz w:val="28"/>
        </w:rPr>
      </w:pPr>
      <w:bookmarkStart w:id="0" w:name="_GoBack"/>
      <w:r w:rsidRPr="006E635F">
        <w:rPr>
          <w:b/>
          <w:sz w:val="28"/>
        </w:rPr>
        <w:t>Kontrolní závěr z kontrolní akce</w:t>
      </w:r>
    </w:p>
    <w:p w14:paraId="150ACC7B" w14:textId="29A7277B" w:rsidR="005278A2" w:rsidRDefault="005278A2" w:rsidP="1BDD3FC5">
      <w:pPr>
        <w:pStyle w:val="TextKP"/>
        <w:spacing w:line="259" w:lineRule="auto"/>
        <w:jc w:val="center"/>
        <w:rPr>
          <w:b/>
          <w:bCs/>
          <w:sz w:val="28"/>
          <w:szCs w:val="28"/>
        </w:rPr>
      </w:pPr>
      <w:r w:rsidRPr="1BDD3FC5">
        <w:rPr>
          <w:b/>
          <w:bCs/>
          <w:sz w:val="28"/>
          <w:szCs w:val="28"/>
        </w:rPr>
        <w:t>20</w:t>
      </w:r>
      <w:r w:rsidR="001D7420" w:rsidRPr="1BDD3FC5">
        <w:rPr>
          <w:b/>
          <w:bCs/>
          <w:sz w:val="28"/>
          <w:szCs w:val="28"/>
        </w:rPr>
        <w:t>/</w:t>
      </w:r>
      <w:r w:rsidR="00004762">
        <w:rPr>
          <w:b/>
          <w:bCs/>
          <w:sz w:val="28"/>
          <w:szCs w:val="28"/>
        </w:rPr>
        <w:t>19</w:t>
      </w:r>
    </w:p>
    <w:p w14:paraId="5A535011" w14:textId="13D7D19A" w:rsidR="00D55F31" w:rsidRDefault="00FC6E33" w:rsidP="00912B63">
      <w:pPr>
        <w:jc w:val="center"/>
        <w:rPr>
          <w:rFonts w:ascii="Calibri" w:hAnsi="Calibri" w:cs="Calibri"/>
          <w:b/>
          <w:color w:val="000000" w:themeColor="text1"/>
          <w:sz w:val="28"/>
        </w:rPr>
      </w:pPr>
      <w:r>
        <w:rPr>
          <w:rFonts w:ascii="Calibri" w:hAnsi="Calibri" w:cs="Calibri"/>
          <w:b/>
          <w:color w:val="000000" w:themeColor="text1"/>
          <w:sz w:val="28"/>
        </w:rPr>
        <w:t>Opatření ke snížení energetické náročnosti bytových domů podporovaná z </w:t>
      </w:r>
      <w:r w:rsidRPr="001300BD">
        <w:rPr>
          <w:rFonts w:ascii="Calibri" w:hAnsi="Calibri" w:cs="Calibri"/>
          <w:b/>
          <w:i/>
          <w:color w:val="000000" w:themeColor="text1"/>
          <w:sz w:val="28"/>
        </w:rPr>
        <w:t>Integrovaného reg</w:t>
      </w:r>
      <w:r w:rsidR="0063791C" w:rsidRPr="001300BD">
        <w:rPr>
          <w:rFonts w:ascii="Calibri" w:hAnsi="Calibri" w:cs="Calibri"/>
          <w:b/>
          <w:i/>
          <w:color w:val="000000" w:themeColor="text1"/>
          <w:sz w:val="28"/>
        </w:rPr>
        <w:t>ionálního operačního programu</w:t>
      </w:r>
      <w:r w:rsidR="0063791C">
        <w:rPr>
          <w:rFonts w:ascii="Calibri" w:hAnsi="Calibri" w:cs="Calibri"/>
          <w:b/>
          <w:color w:val="000000" w:themeColor="text1"/>
          <w:sz w:val="28"/>
        </w:rPr>
        <w:t xml:space="preserve"> </w:t>
      </w:r>
      <w:r w:rsidR="0063791C">
        <w:rPr>
          <w:rFonts w:ascii="Calibri" w:hAnsi="Calibri" w:cs="Calibri"/>
          <w:b/>
          <w:color w:val="000000" w:themeColor="text1"/>
          <w:sz w:val="28"/>
        </w:rPr>
        <w:br/>
        <w:t>a </w:t>
      </w:r>
      <w:r>
        <w:rPr>
          <w:rFonts w:ascii="Calibri" w:hAnsi="Calibri" w:cs="Calibri"/>
          <w:b/>
          <w:color w:val="000000" w:themeColor="text1"/>
          <w:sz w:val="28"/>
        </w:rPr>
        <w:t xml:space="preserve">z programu </w:t>
      </w:r>
      <w:r w:rsidRPr="001300BD">
        <w:rPr>
          <w:rFonts w:ascii="Calibri" w:hAnsi="Calibri" w:cs="Calibri"/>
          <w:b/>
          <w:i/>
          <w:color w:val="000000" w:themeColor="text1"/>
          <w:sz w:val="28"/>
        </w:rPr>
        <w:t>Nová zelená úsporám</w:t>
      </w:r>
    </w:p>
    <w:bookmarkEnd w:id="0"/>
    <w:p w14:paraId="49337DA8" w14:textId="77777777" w:rsidR="00876EE8" w:rsidRDefault="00876EE8" w:rsidP="00876EE8">
      <w:pPr>
        <w:rPr>
          <w:rFonts w:cstheme="minorHAnsi"/>
          <w:color w:val="000000" w:themeColor="text1"/>
        </w:rPr>
      </w:pPr>
    </w:p>
    <w:p w14:paraId="57687BEF" w14:textId="17E5830D" w:rsidR="00876EE8" w:rsidRDefault="00876EE8" w:rsidP="00876EE8">
      <w:pPr>
        <w:rPr>
          <w:rFonts w:cstheme="minorHAnsi"/>
          <w:color w:val="000000" w:themeColor="text1"/>
        </w:rPr>
      </w:pPr>
    </w:p>
    <w:p w14:paraId="5AE13D7F" w14:textId="77777777" w:rsidR="00CC5413" w:rsidRDefault="00CC5413" w:rsidP="00876EE8">
      <w:pPr>
        <w:rPr>
          <w:rFonts w:cstheme="minorHAnsi"/>
          <w:color w:val="000000" w:themeColor="text1"/>
        </w:rPr>
      </w:pPr>
    </w:p>
    <w:p w14:paraId="3E159E5C" w14:textId="1F48BC1F" w:rsidR="00ED1848" w:rsidRPr="00B16ECD" w:rsidRDefault="001D7420" w:rsidP="001B18A3">
      <w:pPr>
        <w:spacing w:after="120"/>
        <w:rPr>
          <w:rFonts w:cstheme="minorHAnsi"/>
          <w:color w:val="000000" w:themeColor="text1"/>
          <w:szCs w:val="24"/>
        </w:rPr>
      </w:pPr>
      <w:r w:rsidRPr="00B16ECD">
        <w:rPr>
          <w:rFonts w:cstheme="minorHAnsi"/>
          <w:color w:val="000000" w:themeColor="text1"/>
          <w:szCs w:val="24"/>
        </w:rPr>
        <w:t xml:space="preserve">Kontrolní akce byla zařazena do plánu kontrolní činnosti Nejvyššího kontrolního úřadu </w:t>
      </w:r>
      <w:r w:rsidR="00913E40">
        <w:rPr>
          <w:rFonts w:cstheme="minorHAnsi"/>
          <w:color w:val="000000" w:themeColor="text1"/>
          <w:szCs w:val="24"/>
        </w:rPr>
        <w:br/>
      </w:r>
      <w:r w:rsidRPr="00B16ECD">
        <w:rPr>
          <w:rFonts w:cstheme="minorHAnsi"/>
          <w:color w:val="000000" w:themeColor="text1"/>
          <w:szCs w:val="24"/>
        </w:rPr>
        <w:t>(dále</w:t>
      </w:r>
      <w:r w:rsidR="00913E40">
        <w:rPr>
          <w:rFonts w:cstheme="minorHAnsi"/>
          <w:color w:val="000000" w:themeColor="text1"/>
          <w:szCs w:val="24"/>
        </w:rPr>
        <w:t xml:space="preserve"> </w:t>
      </w:r>
      <w:r w:rsidRPr="00B16ECD">
        <w:rPr>
          <w:rFonts w:cstheme="minorHAnsi"/>
          <w:color w:val="000000" w:themeColor="text1"/>
          <w:szCs w:val="24"/>
        </w:rPr>
        <w:t>také „NKÚ“) na rok 20</w:t>
      </w:r>
      <w:r w:rsidR="005278A2">
        <w:rPr>
          <w:rFonts w:cstheme="minorHAnsi"/>
          <w:color w:val="000000" w:themeColor="text1"/>
          <w:szCs w:val="24"/>
        </w:rPr>
        <w:t>20</w:t>
      </w:r>
      <w:r w:rsidRPr="00B16ECD">
        <w:rPr>
          <w:rFonts w:cstheme="minorHAnsi"/>
          <w:color w:val="000000" w:themeColor="text1"/>
          <w:szCs w:val="24"/>
        </w:rPr>
        <w:t xml:space="preserve"> pod číslem </w:t>
      </w:r>
      <w:r w:rsidR="005278A2">
        <w:rPr>
          <w:rFonts w:cstheme="minorHAnsi"/>
          <w:color w:val="000000" w:themeColor="text1"/>
          <w:szCs w:val="24"/>
        </w:rPr>
        <w:t>20</w:t>
      </w:r>
      <w:r w:rsidRPr="00B16ECD">
        <w:rPr>
          <w:rFonts w:cstheme="minorHAnsi"/>
          <w:color w:val="000000" w:themeColor="text1"/>
          <w:szCs w:val="24"/>
        </w:rPr>
        <w:t>/</w:t>
      </w:r>
      <w:r w:rsidR="00004762">
        <w:rPr>
          <w:rFonts w:cstheme="minorHAnsi"/>
          <w:color w:val="000000" w:themeColor="text1"/>
          <w:szCs w:val="24"/>
        </w:rPr>
        <w:t>19</w:t>
      </w:r>
      <w:r w:rsidRPr="00B16ECD">
        <w:rPr>
          <w:rFonts w:cstheme="minorHAnsi"/>
          <w:color w:val="000000" w:themeColor="text1"/>
          <w:szCs w:val="24"/>
        </w:rPr>
        <w:t>. Kontrolní akci řídil a</w:t>
      </w:r>
      <w:r w:rsidR="00E34290">
        <w:rPr>
          <w:rFonts w:cstheme="minorHAnsi"/>
          <w:color w:val="000000" w:themeColor="text1"/>
          <w:szCs w:val="24"/>
        </w:rPr>
        <w:t xml:space="preserve"> </w:t>
      </w:r>
      <w:r w:rsidRPr="00B16ECD">
        <w:rPr>
          <w:rFonts w:cstheme="minorHAnsi"/>
          <w:color w:val="000000" w:themeColor="text1"/>
          <w:szCs w:val="24"/>
        </w:rPr>
        <w:t xml:space="preserve">kontrolní závěr vypracoval člen NKÚ </w:t>
      </w:r>
      <w:r w:rsidR="005278A2">
        <w:rPr>
          <w:rFonts w:cstheme="minorHAnsi"/>
          <w:color w:val="000000" w:themeColor="text1"/>
          <w:szCs w:val="24"/>
        </w:rPr>
        <w:t>RNDr</w:t>
      </w:r>
      <w:r w:rsidRPr="00B16ECD">
        <w:rPr>
          <w:rFonts w:cstheme="minorHAnsi"/>
          <w:color w:val="000000" w:themeColor="text1"/>
          <w:szCs w:val="24"/>
        </w:rPr>
        <w:t>.</w:t>
      </w:r>
      <w:r w:rsidR="005278A2">
        <w:rPr>
          <w:rFonts w:cstheme="minorHAnsi"/>
          <w:color w:val="000000" w:themeColor="text1"/>
          <w:szCs w:val="24"/>
        </w:rPr>
        <w:t xml:space="preserve"> Petr </w:t>
      </w:r>
      <w:proofErr w:type="spellStart"/>
      <w:r w:rsidR="005278A2">
        <w:rPr>
          <w:rFonts w:cstheme="minorHAnsi"/>
          <w:color w:val="000000" w:themeColor="text1"/>
          <w:szCs w:val="24"/>
        </w:rPr>
        <w:t>Neuvirt</w:t>
      </w:r>
      <w:proofErr w:type="spellEnd"/>
      <w:r w:rsidR="005278A2">
        <w:rPr>
          <w:rFonts w:cstheme="minorHAnsi"/>
          <w:color w:val="000000" w:themeColor="text1"/>
          <w:szCs w:val="24"/>
        </w:rPr>
        <w:t>.</w:t>
      </w:r>
    </w:p>
    <w:p w14:paraId="0021CF2B" w14:textId="085BCB22" w:rsidR="00ED1848" w:rsidRPr="00B16ECD" w:rsidRDefault="001D7420" w:rsidP="001B18A3">
      <w:pPr>
        <w:spacing w:after="120"/>
        <w:rPr>
          <w:rFonts w:cstheme="minorHAnsi"/>
          <w:color w:val="000000" w:themeColor="text1"/>
          <w:szCs w:val="24"/>
        </w:rPr>
      </w:pPr>
      <w:r w:rsidRPr="00B16ECD">
        <w:t xml:space="preserve">Cílem kontrolní akce bylo </w:t>
      </w:r>
      <w:r w:rsidRPr="00B16ECD">
        <w:rPr>
          <w:rFonts w:eastAsia="Calibri"/>
        </w:rPr>
        <w:t>prověřit</w:t>
      </w:r>
      <w:r w:rsidR="005278A2">
        <w:rPr>
          <w:rFonts w:eastAsia="Calibri"/>
        </w:rPr>
        <w:t>, zda</w:t>
      </w:r>
      <w:r w:rsidR="00554FD1">
        <w:rPr>
          <w:rFonts w:eastAsia="Calibri"/>
        </w:rPr>
        <w:t xml:space="preserve"> </w:t>
      </w:r>
      <w:r w:rsidR="00FC6E33">
        <w:rPr>
          <w:rFonts w:eastAsia="Calibri"/>
        </w:rPr>
        <w:t>kontrolované osoby poskytují a čerpají peněžní prostředky určené na snížení energetické náročnosti bytových domů účelně, efektivně a</w:t>
      </w:r>
      <w:r w:rsidR="0012692C">
        <w:rPr>
          <w:rFonts w:eastAsia="Calibri"/>
        </w:rPr>
        <w:t> </w:t>
      </w:r>
      <w:r w:rsidR="00FC6E33">
        <w:rPr>
          <w:rFonts w:eastAsia="Calibri"/>
        </w:rPr>
        <w:t>v</w:t>
      </w:r>
      <w:r w:rsidR="0012692C">
        <w:rPr>
          <w:rFonts w:eastAsia="Calibri"/>
        </w:rPr>
        <w:t> </w:t>
      </w:r>
      <w:r w:rsidR="005278A2">
        <w:rPr>
          <w:rFonts w:eastAsia="Calibri"/>
        </w:rPr>
        <w:t>souladu s právními předpisy</w:t>
      </w:r>
      <w:r w:rsidR="00FC6E33">
        <w:rPr>
          <w:rFonts w:eastAsia="Calibri"/>
        </w:rPr>
        <w:t xml:space="preserve">. </w:t>
      </w:r>
    </w:p>
    <w:p w14:paraId="4AD2FDE4" w14:textId="78D8B378" w:rsidR="003435D8" w:rsidRDefault="001D7420" w:rsidP="001B18A3">
      <w:pPr>
        <w:spacing w:after="120"/>
        <w:rPr>
          <w:rFonts w:cstheme="minorHAnsi"/>
          <w:color w:val="000000" w:themeColor="text1"/>
          <w:szCs w:val="24"/>
        </w:rPr>
      </w:pPr>
      <w:r w:rsidRPr="00B16ECD">
        <w:rPr>
          <w:rFonts w:cstheme="minorHAnsi"/>
          <w:color w:val="000000" w:themeColor="text1"/>
          <w:szCs w:val="24"/>
        </w:rPr>
        <w:t>Kontrola byla prov</w:t>
      </w:r>
      <w:r w:rsidR="00046471" w:rsidRPr="00B16ECD">
        <w:rPr>
          <w:rFonts w:cstheme="minorHAnsi"/>
          <w:color w:val="000000" w:themeColor="text1"/>
          <w:szCs w:val="24"/>
        </w:rPr>
        <w:t>áděna</w:t>
      </w:r>
      <w:r w:rsidRPr="00B16ECD">
        <w:rPr>
          <w:rFonts w:cstheme="minorHAnsi"/>
          <w:color w:val="000000" w:themeColor="text1"/>
          <w:szCs w:val="24"/>
        </w:rPr>
        <w:t xml:space="preserve"> u kontrolovan</w:t>
      </w:r>
      <w:r w:rsidR="00D74A3D">
        <w:rPr>
          <w:rFonts w:cstheme="minorHAnsi"/>
          <w:color w:val="000000" w:themeColor="text1"/>
          <w:szCs w:val="24"/>
        </w:rPr>
        <w:t>ých</w:t>
      </w:r>
      <w:r w:rsidRPr="00B16ECD">
        <w:rPr>
          <w:rFonts w:cstheme="minorHAnsi"/>
          <w:color w:val="000000" w:themeColor="text1"/>
          <w:szCs w:val="24"/>
        </w:rPr>
        <w:t xml:space="preserve"> osob v době od </w:t>
      </w:r>
      <w:r w:rsidR="00004762">
        <w:rPr>
          <w:rFonts w:cstheme="minorHAnsi"/>
          <w:color w:val="000000" w:themeColor="text1"/>
          <w:szCs w:val="24"/>
        </w:rPr>
        <w:t>srpna 2020</w:t>
      </w:r>
      <w:r w:rsidR="009221B7" w:rsidRPr="00C015EA">
        <w:rPr>
          <w:rFonts w:cstheme="minorHAnsi"/>
          <w:color w:val="000000" w:themeColor="text1"/>
          <w:szCs w:val="24"/>
        </w:rPr>
        <w:t xml:space="preserve"> </w:t>
      </w:r>
      <w:r w:rsidR="0011208A">
        <w:rPr>
          <w:rFonts w:cstheme="minorHAnsi"/>
          <w:color w:val="000000" w:themeColor="text1"/>
          <w:szCs w:val="24"/>
        </w:rPr>
        <w:t>do května</w:t>
      </w:r>
      <w:r w:rsidR="009221B7" w:rsidRPr="00B16ECD">
        <w:rPr>
          <w:rFonts w:cstheme="minorHAnsi"/>
          <w:color w:val="000000" w:themeColor="text1"/>
          <w:szCs w:val="24"/>
        </w:rPr>
        <w:t xml:space="preserve"> 20</w:t>
      </w:r>
      <w:r w:rsidR="00EC2E5F">
        <w:rPr>
          <w:rFonts w:cstheme="minorHAnsi"/>
          <w:color w:val="000000" w:themeColor="text1"/>
          <w:szCs w:val="24"/>
        </w:rPr>
        <w:t>2</w:t>
      </w:r>
      <w:r w:rsidR="00004762">
        <w:rPr>
          <w:rFonts w:cstheme="minorHAnsi"/>
          <w:color w:val="000000" w:themeColor="text1"/>
          <w:szCs w:val="24"/>
        </w:rPr>
        <w:t>1</w:t>
      </w:r>
      <w:r w:rsidR="00E05DA7">
        <w:rPr>
          <w:rFonts w:cstheme="minorHAnsi"/>
          <w:color w:val="000000" w:themeColor="text1"/>
          <w:szCs w:val="24"/>
        </w:rPr>
        <w:t>.</w:t>
      </w:r>
    </w:p>
    <w:p w14:paraId="1B62FAB5" w14:textId="35A2D4E2" w:rsidR="00D55F31" w:rsidRDefault="001D7420" w:rsidP="001B18A3">
      <w:pPr>
        <w:spacing w:after="120"/>
        <w:rPr>
          <w:rFonts w:cstheme="minorHAnsi"/>
          <w:color w:val="000000" w:themeColor="text1"/>
          <w:szCs w:val="24"/>
        </w:rPr>
      </w:pPr>
      <w:r w:rsidRPr="00B16ECD">
        <w:rPr>
          <w:rFonts w:cstheme="minorHAnsi"/>
          <w:color w:val="000000" w:themeColor="text1"/>
          <w:szCs w:val="24"/>
        </w:rPr>
        <w:t>Kontrolovaným obdobím byl</w:t>
      </w:r>
      <w:r w:rsidR="00AA23BE">
        <w:rPr>
          <w:rFonts w:cstheme="minorHAnsi"/>
          <w:color w:val="000000" w:themeColor="text1"/>
          <w:szCs w:val="24"/>
        </w:rPr>
        <w:t xml:space="preserve">o období od roku </w:t>
      </w:r>
      <w:r w:rsidRPr="00B16ECD">
        <w:rPr>
          <w:rFonts w:cstheme="minorHAnsi"/>
          <w:color w:val="000000" w:themeColor="text1"/>
          <w:szCs w:val="24"/>
        </w:rPr>
        <w:t>201</w:t>
      </w:r>
      <w:r w:rsidR="00FC6E33">
        <w:rPr>
          <w:rFonts w:cstheme="minorHAnsi"/>
          <w:color w:val="000000" w:themeColor="text1"/>
          <w:szCs w:val="24"/>
        </w:rPr>
        <w:t>5</w:t>
      </w:r>
      <w:r w:rsidRPr="00B16ECD">
        <w:rPr>
          <w:rFonts w:cstheme="minorHAnsi"/>
          <w:color w:val="000000" w:themeColor="text1"/>
          <w:szCs w:val="24"/>
        </w:rPr>
        <w:t xml:space="preserve"> </w:t>
      </w:r>
      <w:r w:rsidR="00AA23BE">
        <w:rPr>
          <w:rFonts w:cstheme="minorHAnsi"/>
          <w:color w:val="000000" w:themeColor="text1"/>
          <w:szCs w:val="24"/>
        </w:rPr>
        <w:t xml:space="preserve">do doby ukončení kontroly, </w:t>
      </w:r>
      <w:r w:rsidRPr="00B16ECD">
        <w:rPr>
          <w:rFonts w:cstheme="minorHAnsi"/>
          <w:color w:val="000000" w:themeColor="text1"/>
          <w:szCs w:val="24"/>
        </w:rPr>
        <w:t>v případě věcných souvislostí i období předch</w:t>
      </w:r>
      <w:r w:rsidR="00AA23BE">
        <w:rPr>
          <w:rFonts w:cstheme="minorHAnsi"/>
          <w:color w:val="000000" w:themeColor="text1"/>
          <w:szCs w:val="24"/>
        </w:rPr>
        <w:t xml:space="preserve">ázející. </w:t>
      </w:r>
    </w:p>
    <w:p w14:paraId="3F38B44A" w14:textId="77777777" w:rsidR="00ED1848" w:rsidRPr="00B16ECD" w:rsidRDefault="00ED1848" w:rsidP="00876EE8">
      <w:pPr>
        <w:rPr>
          <w:rFonts w:cstheme="minorHAnsi"/>
          <w:color w:val="000000" w:themeColor="text1"/>
          <w:szCs w:val="24"/>
        </w:rPr>
      </w:pPr>
    </w:p>
    <w:p w14:paraId="7D69601C" w14:textId="77777777" w:rsidR="00D55F31" w:rsidRDefault="001D7420" w:rsidP="00876EE8">
      <w:pPr>
        <w:rPr>
          <w:rFonts w:cstheme="minorHAnsi"/>
          <w:color w:val="000000" w:themeColor="text1"/>
          <w:szCs w:val="24"/>
        </w:rPr>
      </w:pPr>
      <w:r w:rsidRPr="00C856A3">
        <w:rPr>
          <w:rFonts w:cstheme="minorHAnsi"/>
          <w:color w:val="000000" w:themeColor="text1"/>
          <w:szCs w:val="24"/>
        </w:rPr>
        <w:t>Kontrolovan</w:t>
      </w:r>
      <w:r w:rsidR="00EC2E5F">
        <w:rPr>
          <w:rFonts w:cstheme="minorHAnsi"/>
          <w:color w:val="000000" w:themeColor="text1"/>
          <w:szCs w:val="24"/>
        </w:rPr>
        <w:t>é</w:t>
      </w:r>
      <w:r w:rsidRPr="00C856A3">
        <w:rPr>
          <w:rFonts w:cstheme="minorHAnsi"/>
          <w:color w:val="000000" w:themeColor="text1"/>
          <w:szCs w:val="24"/>
        </w:rPr>
        <w:t xml:space="preserve"> osob</w:t>
      </w:r>
      <w:r w:rsidR="00EC2E5F">
        <w:rPr>
          <w:rFonts w:cstheme="minorHAnsi"/>
          <w:color w:val="000000" w:themeColor="text1"/>
          <w:szCs w:val="24"/>
        </w:rPr>
        <w:t>y:</w:t>
      </w:r>
    </w:p>
    <w:p w14:paraId="64259A75" w14:textId="0D4BE672" w:rsidR="008B0FAE" w:rsidRPr="00B16ECD" w:rsidRDefault="00EC2E5F" w:rsidP="00B44EB1">
      <w:pPr>
        <w:pStyle w:val="BodyText21"/>
        <w:rPr>
          <w:rFonts w:cstheme="minorHAnsi"/>
          <w:b/>
          <w:color w:val="000000" w:themeColor="text1"/>
          <w:szCs w:val="24"/>
        </w:rPr>
      </w:pPr>
      <w:r w:rsidRPr="009E34BE">
        <w:rPr>
          <w:rFonts w:cstheme="minorHAnsi"/>
          <w:color w:val="000000" w:themeColor="text1"/>
          <w:szCs w:val="24"/>
          <w:lang w:eastAsia="en-US"/>
        </w:rPr>
        <w:t xml:space="preserve">Ministerstvo </w:t>
      </w:r>
      <w:r w:rsidR="00004762">
        <w:rPr>
          <w:rFonts w:cstheme="minorHAnsi"/>
          <w:color w:val="000000" w:themeColor="text1"/>
          <w:szCs w:val="24"/>
          <w:lang w:eastAsia="en-US"/>
        </w:rPr>
        <w:t>pro místní rozvoj (dále též</w:t>
      </w:r>
      <w:r w:rsidRPr="009E34BE">
        <w:rPr>
          <w:rFonts w:cstheme="minorHAnsi"/>
          <w:color w:val="000000" w:themeColor="text1"/>
          <w:szCs w:val="24"/>
          <w:lang w:eastAsia="en-US"/>
        </w:rPr>
        <w:t xml:space="preserve"> „M</w:t>
      </w:r>
      <w:r w:rsidR="00004762">
        <w:rPr>
          <w:rFonts w:cstheme="minorHAnsi"/>
          <w:color w:val="000000" w:themeColor="text1"/>
          <w:szCs w:val="24"/>
          <w:lang w:eastAsia="en-US"/>
        </w:rPr>
        <w:t>MR</w:t>
      </w:r>
      <w:r w:rsidRPr="009E34BE">
        <w:rPr>
          <w:rFonts w:cstheme="minorHAnsi"/>
          <w:color w:val="000000" w:themeColor="text1"/>
          <w:szCs w:val="24"/>
          <w:lang w:eastAsia="en-US"/>
        </w:rPr>
        <w:t>“)</w:t>
      </w:r>
      <w:r w:rsidR="00F75393">
        <w:rPr>
          <w:rFonts w:cstheme="minorHAnsi"/>
          <w:color w:val="000000" w:themeColor="text1"/>
          <w:szCs w:val="24"/>
          <w:lang w:eastAsia="en-US"/>
        </w:rPr>
        <w:t>;</w:t>
      </w:r>
      <w:r w:rsidR="00FC6E33">
        <w:rPr>
          <w:rFonts w:cstheme="minorHAnsi"/>
          <w:color w:val="000000" w:themeColor="text1"/>
          <w:szCs w:val="24"/>
          <w:lang w:eastAsia="en-US"/>
        </w:rPr>
        <w:t xml:space="preserve"> </w:t>
      </w:r>
      <w:r w:rsidRPr="009E34BE">
        <w:rPr>
          <w:rFonts w:cstheme="minorHAnsi"/>
          <w:color w:val="000000" w:themeColor="text1"/>
          <w:szCs w:val="24"/>
          <w:lang w:eastAsia="en-US"/>
        </w:rPr>
        <w:t xml:space="preserve">Ministerstvo životního prostředí (dále </w:t>
      </w:r>
      <w:r w:rsidR="00004762">
        <w:rPr>
          <w:rFonts w:cstheme="minorHAnsi"/>
          <w:color w:val="000000" w:themeColor="text1"/>
          <w:szCs w:val="24"/>
          <w:lang w:eastAsia="en-US"/>
        </w:rPr>
        <w:t xml:space="preserve">též </w:t>
      </w:r>
      <w:r w:rsidRPr="009E34BE">
        <w:rPr>
          <w:rFonts w:cstheme="minorHAnsi"/>
          <w:color w:val="000000" w:themeColor="text1"/>
          <w:szCs w:val="24"/>
          <w:lang w:eastAsia="en-US"/>
        </w:rPr>
        <w:t>„MŽP“)</w:t>
      </w:r>
      <w:r w:rsidR="00F75393">
        <w:rPr>
          <w:rFonts w:cstheme="minorHAnsi"/>
          <w:color w:val="000000" w:themeColor="text1"/>
          <w:szCs w:val="24"/>
          <w:lang w:eastAsia="en-US"/>
        </w:rPr>
        <w:t>;</w:t>
      </w:r>
      <w:r w:rsidR="00FC6E33">
        <w:rPr>
          <w:rFonts w:cstheme="minorHAnsi"/>
          <w:color w:val="000000" w:themeColor="text1"/>
          <w:szCs w:val="24"/>
          <w:lang w:eastAsia="en-US"/>
        </w:rPr>
        <w:t xml:space="preserve"> </w:t>
      </w:r>
      <w:r w:rsidR="00004762">
        <w:rPr>
          <w:rFonts w:cstheme="minorHAnsi"/>
          <w:color w:val="000000" w:themeColor="text1"/>
          <w:szCs w:val="24"/>
          <w:lang w:eastAsia="en-US"/>
        </w:rPr>
        <w:t>Centrum pro regionální rozvoj Č</w:t>
      </w:r>
      <w:r w:rsidR="00536FE5">
        <w:rPr>
          <w:rFonts w:cstheme="minorHAnsi"/>
          <w:color w:val="000000" w:themeColor="text1"/>
          <w:szCs w:val="24"/>
          <w:lang w:eastAsia="en-US"/>
        </w:rPr>
        <w:t>eské republiky</w:t>
      </w:r>
      <w:r w:rsidR="00CA7296">
        <w:rPr>
          <w:rFonts w:cstheme="minorHAnsi"/>
          <w:color w:val="000000" w:themeColor="text1"/>
          <w:szCs w:val="24"/>
          <w:lang w:eastAsia="en-US"/>
        </w:rPr>
        <w:t>, Praha</w:t>
      </w:r>
      <w:r w:rsidR="00004762">
        <w:rPr>
          <w:rFonts w:cstheme="minorHAnsi"/>
          <w:color w:val="000000" w:themeColor="text1"/>
          <w:szCs w:val="24"/>
          <w:lang w:eastAsia="en-US"/>
        </w:rPr>
        <w:t xml:space="preserve"> (dále též „CRR“)</w:t>
      </w:r>
      <w:r w:rsidR="00F75393">
        <w:rPr>
          <w:rFonts w:cstheme="minorHAnsi"/>
          <w:color w:val="000000" w:themeColor="text1"/>
          <w:szCs w:val="24"/>
          <w:lang w:eastAsia="en-US"/>
        </w:rPr>
        <w:t>;</w:t>
      </w:r>
      <w:r w:rsidR="00FC6E33">
        <w:rPr>
          <w:rFonts w:cstheme="minorHAnsi"/>
          <w:color w:val="000000" w:themeColor="text1"/>
          <w:szCs w:val="24"/>
          <w:lang w:eastAsia="en-US"/>
        </w:rPr>
        <w:t xml:space="preserve"> </w:t>
      </w:r>
      <w:r w:rsidRPr="009E34BE">
        <w:rPr>
          <w:rFonts w:cstheme="minorHAnsi"/>
          <w:color w:val="000000" w:themeColor="text1"/>
          <w:szCs w:val="24"/>
          <w:lang w:eastAsia="en-US"/>
        </w:rPr>
        <w:t>Státní fond životního prostředí České republiky</w:t>
      </w:r>
      <w:r w:rsidR="00CA7296">
        <w:rPr>
          <w:rFonts w:cstheme="minorHAnsi"/>
          <w:color w:val="000000" w:themeColor="text1"/>
          <w:szCs w:val="24"/>
          <w:lang w:eastAsia="en-US"/>
        </w:rPr>
        <w:t>, Praha</w:t>
      </w:r>
      <w:r w:rsidRPr="009E34BE">
        <w:rPr>
          <w:rFonts w:cstheme="minorHAnsi"/>
          <w:color w:val="000000" w:themeColor="text1"/>
          <w:szCs w:val="24"/>
          <w:lang w:eastAsia="en-US"/>
        </w:rPr>
        <w:t xml:space="preserve"> (dále t</w:t>
      </w:r>
      <w:r w:rsidR="00004762">
        <w:rPr>
          <w:rFonts w:cstheme="minorHAnsi"/>
          <w:color w:val="000000" w:themeColor="text1"/>
          <w:szCs w:val="24"/>
          <w:lang w:eastAsia="en-US"/>
        </w:rPr>
        <w:t xml:space="preserve">éž </w:t>
      </w:r>
      <w:r w:rsidRPr="009E34BE">
        <w:rPr>
          <w:rFonts w:cstheme="minorHAnsi"/>
          <w:color w:val="000000" w:themeColor="text1"/>
          <w:szCs w:val="24"/>
          <w:lang w:eastAsia="en-US"/>
        </w:rPr>
        <w:t>„SFŽP“)</w:t>
      </w:r>
      <w:r w:rsidR="00F75393">
        <w:rPr>
          <w:rFonts w:cstheme="minorHAnsi"/>
          <w:color w:val="000000" w:themeColor="text1"/>
          <w:szCs w:val="24"/>
          <w:lang w:eastAsia="en-US"/>
        </w:rPr>
        <w:t>;</w:t>
      </w:r>
      <w:r w:rsidR="00536FE5">
        <w:rPr>
          <w:rFonts w:cstheme="minorHAnsi"/>
          <w:color w:val="000000" w:themeColor="text1"/>
          <w:szCs w:val="24"/>
          <w:lang w:eastAsia="en-US"/>
        </w:rPr>
        <w:t xml:space="preserve"> </w:t>
      </w:r>
      <w:r w:rsidR="00536FE5" w:rsidRPr="00043A0E">
        <w:rPr>
          <w:rFonts w:cstheme="minorHAnsi"/>
        </w:rPr>
        <w:t>Společenství vlastníků jednotek Adámkova 4945–4948</w:t>
      </w:r>
      <w:r w:rsidR="00536FE5">
        <w:rPr>
          <w:rFonts w:cstheme="minorHAnsi"/>
        </w:rPr>
        <w:t>,</w:t>
      </w:r>
      <w:r w:rsidR="00F75393">
        <w:rPr>
          <w:rFonts w:cstheme="minorHAnsi"/>
        </w:rPr>
        <w:t xml:space="preserve"> Chomutov;</w:t>
      </w:r>
      <w:r w:rsidR="00536FE5">
        <w:rPr>
          <w:rFonts w:cstheme="minorHAnsi"/>
        </w:rPr>
        <w:t xml:space="preserve"> </w:t>
      </w:r>
      <w:r w:rsidR="00536FE5" w:rsidRPr="00043A0E">
        <w:rPr>
          <w:rFonts w:cstheme="minorHAnsi"/>
        </w:rPr>
        <w:t>Společenství vlastníků jednotek Praha 8,</w:t>
      </w:r>
      <w:r w:rsidR="00CA7296" w:rsidRPr="00CA7296">
        <w:t xml:space="preserve"> </w:t>
      </w:r>
      <w:r w:rsidR="00CA7296" w:rsidRPr="00CA7296">
        <w:rPr>
          <w:rFonts w:cstheme="minorHAnsi"/>
        </w:rPr>
        <w:t xml:space="preserve">Zelenohorská </w:t>
      </w:r>
      <w:r w:rsidR="0028101F">
        <w:rPr>
          <w:rFonts w:cstheme="minorHAnsi"/>
        </w:rPr>
        <w:br/>
      </w:r>
      <w:r w:rsidR="00CA7296" w:rsidRPr="00CA7296">
        <w:rPr>
          <w:rFonts w:cstheme="minorHAnsi"/>
        </w:rPr>
        <w:t>č.</w:t>
      </w:r>
      <w:r w:rsidR="00863DF4">
        <w:rPr>
          <w:rFonts w:cstheme="minorHAnsi"/>
        </w:rPr>
        <w:t> </w:t>
      </w:r>
      <w:r w:rsidR="00CA7296" w:rsidRPr="00CA7296">
        <w:rPr>
          <w:rFonts w:cstheme="minorHAnsi"/>
        </w:rPr>
        <w:t xml:space="preserve">p. </w:t>
      </w:r>
      <w:r w:rsidR="00CA7296" w:rsidRPr="0028101F">
        <w:rPr>
          <w:rFonts w:cstheme="minorHAnsi"/>
        </w:rPr>
        <w:t>496</w:t>
      </w:r>
      <w:r w:rsidR="00863DF4" w:rsidRPr="0028101F">
        <w:rPr>
          <w:rFonts w:cstheme="minorHAnsi"/>
        </w:rPr>
        <w:t xml:space="preserve"> </w:t>
      </w:r>
      <w:r w:rsidR="00863DF4" w:rsidRPr="0028101F">
        <w:rPr>
          <w:szCs w:val="24"/>
        </w:rPr>
        <w:t xml:space="preserve">– </w:t>
      </w:r>
      <w:r w:rsidR="00CA7296" w:rsidRPr="00CA7296">
        <w:rPr>
          <w:rFonts w:cstheme="minorHAnsi"/>
        </w:rPr>
        <w:t>č.</w:t>
      </w:r>
      <w:r w:rsidR="00863DF4">
        <w:rPr>
          <w:rFonts w:cstheme="minorHAnsi"/>
        </w:rPr>
        <w:t> </w:t>
      </w:r>
      <w:r w:rsidR="00CA7296" w:rsidRPr="00CA7296">
        <w:rPr>
          <w:rFonts w:cstheme="minorHAnsi"/>
        </w:rPr>
        <w:t>p. 513</w:t>
      </w:r>
      <w:r w:rsidR="00F75393">
        <w:rPr>
          <w:rFonts w:cstheme="minorHAnsi"/>
        </w:rPr>
        <w:t xml:space="preserve">; </w:t>
      </w:r>
      <w:r w:rsidR="00536FE5" w:rsidRPr="00536FE5">
        <w:rPr>
          <w:rFonts w:cstheme="minorHAnsi"/>
        </w:rPr>
        <w:t>Společenství vlastníků jednot</w:t>
      </w:r>
      <w:r w:rsidR="00F75393">
        <w:rPr>
          <w:rFonts w:cstheme="minorHAnsi"/>
        </w:rPr>
        <w:t>ek Komárov 519;</w:t>
      </w:r>
      <w:r w:rsidR="00CA7296">
        <w:rPr>
          <w:rFonts w:cstheme="minorHAnsi"/>
        </w:rPr>
        <w:t xml:space="preserve"> </w:t>
      </w:r>
      <w:proofErr w:type="spellStart"/>
      <w:r w:rsidR="00CA7296">
        <w:rPr>
          <w:rFonts w:cstheme="minorHAnsi"/>
        </w:rPr>
        <w:t>Günther</w:t>
      </w:r>
      <w:proofErr w:type="spellEnd"/>
      <w:r w:rsidR="00CA7296">
        <w:rPr>
          <w:rFonts w:cstheme="minorHAnsi"/>
        </w:rPr>
        <w:t xml:space="preserve"> Mayer,</w:t>
      </w:r>
      <w:r w:rsidR="00CA7296" w:rsidRPr="00CA7296">
        <w:t xml:space="preserve"> </w:t>
      </w:r>
      <w:r w:rsidR="00A55483">
        <w:br/>
      </w:r>
      <w:r w:rsidR="00CA7296" w:rsidRPr="00CA7296">
        <w:rPr>
          <w:rFonts w:cstheme="minorHAnsi"/>
        </w:rPr>
        <w:t xml:space="preserve">Na </w:t>
      </w:r>
      <w:proofErr w:type="spellStart"/>
      <w:r w:rsidR="00CA7296" w:rsidRPr="00CA7296">
        <w:rPr>
          <w:rFonts w:cstheme="minorHAnsi"/>
        </w:rPr>
        <w:t>Ressl</w:t>
      </w:r>
      <w:proofErr w:type="spellEnd"/>
      <w:r w:rsidR="00CA7296" w:rsidRPr="00CA7296">
        <w:rPr>
          <w:rFonts w:cstheme="minorHAnsi"/>
        </w:rPr>
        <w:t xml:space="preserve"> 1388, Most</w:t>
      </w:r>
      <w:r w:rsidR="00F75393">
        <w:rPr>
          <w:rFonts w:cstheme="minorHAnsi"/>
        </w:rPr>
        <w:t>;</w:t>
      </w:r>
      <w:r w:rsidR="00CA7296">
        <w:rPr>
          <w:rFonts w:cstheme="minorHAnsi"/>
        </w:rPr>
        <w:t xml:space="preserve"> m</w:t>
      </w:r>
      <w:r w:rsidR="00F75393">
        <w:rPr>
          <w:rFonts w:cstheme="minorHAnsi"/>
        </w:rPr>
        <w:t>ěsto Bystřice nad Pernštejnem;</w:t>
      </w:r>
      <w:r w:rsidR="00536FE5" w:rsidRPr="00536FE5">
        <w:rPr>
          <w:rFonts w:cstheme="minorHAnsi"/>
        </w:rPr>
        <w:t xml:space="preserve"> Jasná zpráva a.s.,</w:t>
      </w:r>
      <w:r w:rsidR="00F75393">
        <w:rPr>
          <w:rFonts w:cstheme="minorHAnsi"/>
        </w:rPr>
        <w:t xml:space="preserve"> Ostrava;</w:t>
      </w:r>
      <w:r w:rsidR="00536FE5">
        <w:rPr>
          <w:rFonts w:cstheme="minorHAnsi"/>
        </w:rPr>
        <w:t xml:space="preserve"> </w:t>
      </w:r>
      <w:r w:rsidR="00536FE5" w:rsidRPr="00536FE5">
        <w:rPr>
          <w:rFonts w:cstheme="minorHAnsi"/>
        </w:rPr>
        <w:t xml:space="preserve">Bytové družstvo Muchova, </w:t>
      </w:r>
      <w:r w:rsidR="00F75393">
        <w:rPr>
          <w:rFonts w:cstheme="minorHAnsi"/>
        </w:rPr>
        <w:t>Ústí nad Labem;</w:t>
      </w:r>
      <w:r w:rsidR="00CA7296">
        <w:rPr>
          <w:rFonts w:cstheme="minorHAnsi"/>
        </w:rPr>
        <w:t xml:space="preserve"> </w:t>
      </w:r>
      <w:r w:rsidR="00536FE5" w:rsidRPr="00536FE5">
        <w:rPr>
          <w:rFonts w:cstheme="minorHAnsi"/>
        </w:rPr>
        <w:t xml:space="preserve">Společenství vlastníků jednotek Taškentská 1413 až 1416, </w:t>
      </w:r>
      <w:r w:rsidR="00F75393">
        <w:rPr>
          <w:rFonts w:cstheme="minorHAnsi"/>
        </w:rPr>
        <w:br/>
        <w:t xml:space="preserve">Praha 10; </w:t>
      </w:r>
      <w:r w:rsidR="00536FE5" w:rsidRPr="00536FE5">
        <w:rPr>
          <w:rFonts w:cstheme="minorHAnsi"/>
        </w:rPr>
        <w:t xml:space="preserve">Společenství vlastníků jednotek Amforová 1922 až 1928, </w:t>
      </w:r>
      <w:r w:rsidR="00F75393">
        <w:rPr>
          <w:rFonts w:cstheme="minorHAnsi"/>
        </w:rPr>
        <w:t>Praha;</w:t>
      </w:r>
      <w:r w:rsidR="00CA7296">
        <w:rPr>
          <w:rFonts w:cstheme="minorHAnsi"/>
        </w:rPr>
        <w:t xml:space="preserve"> </w:t>
      </w:r>
      <w:r w:rsidR="00536FE5" w:rsidRPr="00536FE5">
        <w:rPr>
          <w:rFonts w:cstheme="minorHAnsi"/>
        </w:rPr>
        <w:t>Metrostav Nemovitostní, a.s.</w:t>
      </w:r>
      <w:r w:rsidR="00CA7296">
        <w:rPr>
          <w:rFonts w:cstheme="minorHAnsi"/>
        </w:rPr>
        <w:t>, Praha</w:t>
      </w:r>
      <w:r w:rsidR="00F75393">
        <w:rPr>
          <w:rFonts w:cstheme="minorHAnsi"/>
        </w:rPr>
        <w:t xml:space="preserve">; </w:t>
      </w:r>
      <w:r w:rsidR="00536FE5" w:rsidRPr="00536FE5">
        <w:rPr>
          <w:rFonts w:cstheme="minorHAnsi"/>
        </w:rPr>
        <w:t xml:space="preserve">A </w:t>
      </w:r>
      <w:proofErr w:type="spellStart"/>
      <w:r w:rsidR="00536FE5" w:rsidRPr="00536FE5">
        <w:rPr>
          <w:rFonts w:cstheme="minorHAnsi"/>
        </w:rPr>
        <w:t>Prop</w:t>
      </w:r>
      <w:r w:rsidR="00CA7296">
        <w:rPr>
          <w:rFonts w:cstheme="minorHAnsi"/>
        </w:rPr>
        <w:t>erty</w:t>
      </w:r>
      <w:proofErr w:type="spellEnd"/>
      <w:r w:rsidR="00CA7296">
        <w:rPr>
          <w:rFonts w:cstheme="minorHAnsi"/>
        </w:rPr>
        <w:t>, s.r.o.,</w:t>
      </w:r>
      <w:r w:rsidR="00F75393">
        <w:rPr>
          <w:rFonts w:cstheme="minorHAnsi"/>
        </w:rPr>
        <w:t xml:space="preserve"> </w:t>
      </w:r>
      <w:r w:rsidR="00A55483">
        <w:rPr>
          <w:rFonts w:cstheme="minorHAnsi"/>
        </w:rPr>
        <w:t>P</w:t>
      </w:r>
      <w:r w:rsidR="00F75393">
        <w:rPr>
          <w:rFonts w:cstheme="minorHAnsi"/>
        </w:rPr>
        <w:t>raha;</w:t>
      </w:r>
      <w:r w:rsidR="00CA7296">
        <w:rPr>
          <w:rFonts w:cstheme="minorHAnsi"/>
        </w:rPr>
        <w:t xml:space="preserve"> m</w:t>
      </w:r>
      <w:r w:rsidR="00F75393">
        <w:rPr>
          <w:rFonts w:cstheme="minorHAnsi"/>
        </w:rPr>
        <w:t>ěstská část Praha 3;</w:t>
      </w:r>
      <w:r w:rsidR="00536FE5" w:rsidRPr="00536FE5">
        <w:rPr>
          <w:rFonts w:cstheme="minorHAnsi"/>
        </w:rPr>
        <w:t xml:space="preserve"> Středisko společných činností AV ČR, v.</w:t>
      </w:r>
      <w:r w:rsidR="00863DF4">
        <w:rPr>
          <w:rFonts w:cstheme="minorHAnsi"/>
        </w:rPr>
        <w:t xml:space="preserve"> </w:t>
      </w:r>
      <w:r w:rsidR="00536FE5" w:rsidRPr="00536FE5">
        <w:rPr>
          <w:rFonts w:cstheme="minorHAnsi"/>
        </w:rPr>
        <w:t>v.</w:t>
      </w:r>
      <w:r w:rsidR="00863DF4">
        <w:rPr>
          <w:rFonts w:cstheme="minorHAnsi"/>
        </w:rPr>
        <w:t xml:space="preserve"> </w:t>
      </w:r>
      <w:r w:rsidR="00536FE5" w:rsidRPr="00536FE5">
        <w:rPr>
          <w:rFonts w:cstheme="minorHAnsi"/>
        </w:rPr>
        <w:t xml:space="preserve">i., </w:t>
      </w:r>
      <w:r w:rsidR="00F75393">
        <w:rPr>
          <w:rFonts w:cstheme="minorHAnsi"/>
        </w:rPr>
        <w:t>Praha;</w:t>
      </w:r>
      <w:r w:rsidR="00CA7296">
        <w:rPr>
          <w:rFonts w:cstheme="minorHAnsi"/>
        </w:rPr>
        <w:t xml:space="preserve"> Ing. </w:t>
      </w:r>
      <w:r w:rsidR="00536FE5" w:rsidRPr="00536FE5">
        <w:rPr>
          <w:rFonts w:cstheme="minorHAnsi"/>
        </w:rPr>
        <w:t>Zdeněk Trojan</w:t>
      </w:r>
      <w:r w:rsidR="00CA7296">
        <w:rPr>
          <w:rFonts w:cstheme="minorHAnsi"/>
        </w:rPr>
        <w:t xml:space="preserve">, </w:t>
      </w:r>
      <w:r w:rsidR="00CA7296" w:rsidRPr="00CA7296">
        <w:rPr>
          <w:rFonts w:cstheme="minorHAnsi"/>
        </w:rPr>
        <w:t>U</w:t>
      </w:r>
      <w:r w:rsidR="00CC3C0D">
        <w:rPr>
          <w:rFonts w:cstheme="minorHAnsi"/>
        </w:rPr>
        <w:t xml:space="preserve"> Dívčích hradů 2411/9, Praha 5</w:t>
      </w:r>
      <w:r w:rsidR="00863DF4">
        <w:rPr>
          <w:rFonts w:cstheme="minorHAnsi"/>
        </w:rPr>
        <w:t xml:space="preserve"> </w:t>
      </w:r>
      <w:r w:rsidR="00863DF4" w:rsidRPr="008F053C">
        <w:rPr>
          <w:szCs w:val="24"/>
        </w:rPr>
        <w:t xml:space="preserve">– </w:t>
      </w:r>
      <w:r w:rsidR="00CA7296" w:rsidRPr="00CA7296">
        <w:rPr>
          <w:rFonts w:cstheme="minorHAnsi"/>
        </w:rPr>
        <w:t>Smíchov</w:t>
      </w:r>
      <w:r w:rsidR="00CA7296">
        <w:rPr>
          <w:rFonts w:cstheme="minorHAnsi"/>
        </w:rPr>
        <w:t>.</w:t>
      </w:r>
    </w:p>
    <w:p w14:paraId="352E4D1E" w14:textId="729E3011" w:rsidR="008B0FAE" w:rsidRDefault="008B0FAE" w:rsidP="00876EE8">
      <w:pPr>
        <w:pStyle w:val="Zkladntext"/>
        <w:rPr>
          <w:rFonts w:cstheme="minorHAnsi"/>
          <w:b w:val="0"/>
          <w:bCs w:val="0"/>
          <w:color w:val="000000" w:themeColor="text1"/>
          <w:sz w:val="24"/>
          <w:szCs w:val="24"/>
        </w:rPr>
      </w:pPr>
    </w:p>
    <w:p w14:paraId="39A70333" w14:textId="77777777" w:rsidR="00F83B3D" w:rsidRDefault="00F83B3D" w:rsidP="00876EE8">
      <w:pPr>
        <w:pStyle w:val="Zkladntext"/>
        <w:rPr>
          <w:rFonts w:cstheme="minorHAnsi"/>
          <w:b w:val="0"/>
          <w:bCs w:val="0"/>
          <w:color w:val="000000" w:themeColor="text1"/>
          <w:sz w:val="24"/>
          <w:szCs w:val="24"/>
        </w:rPr>
      </w:pPr>
    </w:p>
    <w:p w14:paraId="4C514A3F" w14:textId="683E9D37" w:rsidR="00D55F31" w:rsidRPr="00A438C7" w:rsidRDefault="001D7420" w:rsidP="00876EE8">
      <w:pPr>
        <w:pStyle w:val="Zkladntext"/>
        <w:spacing w:after="120"/>
        <w:rPr>
          <w:rFonts w:cstheme="minorHAnsi"/>
          <w:b w:val="0"/>
          <w:bCs w:val="0"/>
          <w:color w:val="000000" w:themeColor="text1"/>
          <w:sz w:val="24"/>
          <w:szCs w:val="24"/>
        </w:rPr>
      </w:pPr>
      <w:r w:rsidRPr="00A438C7">
        <w:rPr>
          <w:rFonts w:cstheme="minorHAnsi"/>
          <w:i/>
          <w:iCs/>
          <w:color w:val="000000" w:themeColor="text1"/>
          <w:sz w:val="24"/>
          <w:szCs w:val="24"/>
        </w:rPr>
        <w:t>K o l e g i u m   N</w:t>
      </w:r>
      <w:r w:rsidR="00046471" w:rsidRPr="00A438C7">
        <w:rPr>
          <w:rFonts w:cstheme="minorHAnsi"/>
          <w:i/>
          <w:iCs/>
          <w:color w:val="000000" w:themeColor="text1"/>
          <w:sz w:val="24"/>
          <w:szCs w:val="24"/>
        </w:rPr>
        <w:t xml:space="preserve"> </w:t>
      </w:r>
      <w:r w:rsidRPr="00A438C7">
        <w:rPr>
          <w:rFonts w:cstheme="minorHAnsi"/>
          <w:i/>
          <w:iCs/>
          <w:color w:val="000000" w:themeColor="text1"/>
          <w:sz w:val="24"/>
          <w:szCs w:val="24"/>
        </w:rPr>
        <w:t>K</w:t>
      </w:r>
      <w:r w:rsidR="00046471" w:rsidRPr="00A438C7">
        <w:rPr>
          <w:rFonts w:cstheme="minorHAnsi"/>
          <w:i/>
          <w:iCs/>
          <w:color w:val="000000" w:themeColor="text1"/>
          <w:sz w:val="24"/>
          <w:szCs w:val="24"/>
        </w:rPr>
        <w:t xml:space="preserve"> </w:t>
      </w:r>
      <w:r w:rsidRPr="00A438C7">
        <w:rPr>
          <w:rFonts w:cstheme="minorHAnsi"/>
          <w:i/>
          <w:iCs/>
          <w:color w:val="000000" w:themeColor="text1"/>
          <w:sz w:val="24"/>
          <w:szCs w:val="24"/>
        </w:rPr>
        <w:t>Ú</w:t>
      </w:r>
      <w:r w:rsidRPr="00A438C7">
        <w:rPr>
          <w:rFonts w:cstheme="minorHAnsi"/>
          <w:b w:val="0"/>
          <w:i/>
          <w:iCs/>
          <w:color w:val="000000" w:themeColor="text1"/>
          <w:sz w:val="24"/>
          <w:szCs w:val="24"/>
        </w:rPr>
        <w:t xml:space="preserve"> </w:t>
      </w:r>
      <w:r w:rsidR="00C44D5A" w:rsidRPr="00A438C7">
        <w:rPr>
          <w:rFonts w:cstheme="minorHAnsi"/>
          <w:b w:val="0"/>
          <w:i/>
          <w:iCs/>
          <w:color w:val="000000" w:themeColor="text1"/>
          <w:sz w:val="24"/>
          <w:szCs w:val="24"/>
        </w:rPr>
        <w:t xml:space="preserve">  </w:t>
      </w:r>
      <w:r w:rsidRPr="00A438C7">
        <w:rPr>
          <w:rFonts w:cstheme="minorHAnsi"/>
          <w:b w:val="0"/>
          <w:bCs w:val="0"/>
          <w:color w:val="000000" w:themeColor="text1"/>
          <w:sz w:val="24"/>
          <w:szCs w:val="24"/>
        </w:rPr>
        <w:t xml:space="preserve">na svém </w:t>
      </w:r>
      <w:r w:rsidR="00004762" w:rsidRPr="00A438C7">
        <w:rPr>
          <w:rFonts w:cstheme="minorHAnsi"/>
          <w:b w:val="0"/>
          <w:bCs w:val="0"/>
          <w:color w:val="000000" w:themeColor="text1"/>
          <w:sz w:val="24"/>
          <w:szCs w:val="24"/>
        </w:rPr>
        <w:t>X</w:t>
      </w:r>
      <w:r w:rsidR="00A438C7" w:rsidRPr="00A438C7">
        <w:rPr>
          <w:rFonts w:cstheme="minorHAnsi"/>
          <w:b w:val="0"/>
          <w:bCs w:val="0"/>
          <w:color w:val="000000" w:themeColor="text1"/>
          <w:sz w:val="24"/>
          <w:szCs w:val="24"/>
        </w:rPr>
        <w:t>IV</w:t>
      </w:r>
      <w:r w:rsidR="0013337B" w:rsidRPr="00A438C7">
        <w:rPr>
          <w:rFonts w:cstheme="minorHAnsi"/>
          <w:b w:val="0"/>
          <w:bCs w:val="0"/>
          <w:color w:val="000000" w:themeColor="text1"/>
          <w:sz w:val="24"/>
          <w:szCs w:val="24"/>
        </w:rPr>
        <w:t>.</w:t>
      </w:r>
      <w:r w:rsidR="00B53D7A" w:rsidRPr="00A438C7">
        <w:rPr>
          <w:rFonts w:cstheme="minorHAnsi"/>
          <w:b w:val="0"/>
          <w:bCs w:val="0"/>
          <w:color w:val="000000" w:themeColor="text1"/>
          <w:sz w:val="24"/>
          <w:szCs w:val="24"/>
        </w:rPr>
        <w:t xml:space="preserve"> </w:t>
      </w:r>
      <w:r w:rsidR="00D54E1D" w:rsidRPr="00A438C7">
        <w:rPr>
          <w:rFonts w:cstheme="minorHAnsi"/>
          <w:b w:val="0"/>
          <w:bCs w:val="0"/>
          <w:color w:val="000000" w:themeColor="text1"/>
          <w:sz w:val="24"/>
          <w:szCs w:val="24"/>
        </w:rPr>
        <w:t xml:space="preserve">jednání, které se konalo dne </w:t>
      </w:r>
      <w:r w:rsidR="00A438C7" w:rsidRPr="00A438C7">
        <w:rPr>
          <w:rFonts w:cstheme="minorHAnsi"/>
          <w:b w:val="0"/>
          <w:bCs w:val="0"/>
          <w:color w:val="000000" w:themeColor="text1"/>
          <w:sz w:val="24"/>
          <w:szCs w:val="24"/>
        </w:rPr>
        <w:t>30</w:t>
      </w:r>
      <w:r w:rsidR="004E12BE">
        <w:rPr>
          <w:rFonts w:cstheme="minorHAnsi"/>
          <w:b w:val="0"/>
          <w:bCs w:val="0"/>
          <w:color w:val="000000" w:themeColor="text1"/>
          <w:sz w:val="24"/>
          <w:szCs w:val="24"/>
        </w:rPr>
        <w:t>. srpna</w:t>
      </w:r>
      <w:r w:rsidR="0013337B" w:rsidRPr="00A438C7">
        <w:rPr>
          <w:rFonts w:cstheme="minorHAnsi"/>
          <w:b w:val="0"/>
          <w:bCs w:val="0"/>
          <w:color w:val="000000" w:themeColor="text1"/>
          <w:sz w:val="24"/>
          <w:szCs w:val="24"/>
        </w:rPr>
        <w:t xml:space="preserve"> </w:t>
      </w:r>
      <w:r w:rsidR="006E084B" w:rsidRPr="00A438C7">
        <w:rPr>
          <w:rFonts w:cstheme="minorHAnsi"/>
          <w:b w:val="0"/>
          <w:bCs w:val="0"/>
          <w:color w:val="000000" w:themeColor="text1"/>
          <w:sz w:val="24"/>
          <w:szCs w:val="24"/>
        </w:rPr>
        <w:t>2</w:t>
      </w:r>
      <w:r w:rsidR="00C44D5A" w:rsidRPr="00A438C7">
        <w:rPr>
          <w:rFonts w:cstheme="minorHAnsi"/>
          <w:b w:val="0"/>
          <w:bCs w:val="0"/>
          <w:color w:val="000000" w:themeColor="text1"/>
          <w:sz w:val="24"/>
          <w:szCs w:val="24"/>
        </w:rPr>
        <w:t>0</w:t>
      </w:r>
      <w:r w:rsidR="00EC2E5F" w:rsidRPr="00A438C7">
        <w:rPr>
          <w:rFonts w:cstheme="minorHAnsi"/>
          <w:b w:val="0"/>
          <w:bCs w:val="0"/>
          <w:color w:val="000000" w:themeColor="text1"/>
          <w:sz w:val="24"/>
          <w:szCs w:val="24"/>
        </w:rPr>
        <w:t>21</w:t>
      </w:r>
      <w:r w:rsidR="00046471" w:rsidRPr="00A438C7">
        <w:rPr>
          <w:rFonts w:cstheme="minorHAnsi"/>
          <w:b w:val="0"/>
          <w:bCs w:val="0"/>
          <w:color w:val="000000" w:themeColor="text1"/>
          <w:sz w:val="24"/>
          <w:szCs w:val="24"/>
        </w:rPr>
        <w:t>,</w:t>
      </w:r>
    </w:p>
    <w:p w14:paraId="659A1E43" w14:textId="111BD18A" w:rsidR="00D55F31" w:rsidRPr="00A438C7" w:rsidRDefault="001D7420" w:rsidP="00876EE8">
      <w:pPr>
        <w:spacing w:after="120"/>
        <w:rPr>
          <w:rFonts w:cstheme="minorHAnsi"/>
          <w:color w:val="000000" w:themeColor="text1"/>
        </w:rPr>
      </w:pPr>
      <w:r w:rsidRPr="00A438C7">
        <w:rPr>
          <w:rFonts w:cstheme="minorHAnsi"/>
          <w:b/>
          <w:bCs/>
          <w:i/>
          <w:iCs/>
          <w:color w:val="000000" w:themeColor="text1"/>
        </w:rPr>
        <w:t>s c h v á l i l o</w:t>
      </w:r>
      <w:r w:rsidRPr="00A438C7">
        <w:rPr>
          <w:rFonts w:cstheme="minorHAnsi"/>
          <w:color w:val="000000" w:themeColor="text1"/>
        </w:rPr>
        <w:t xml:space="preserve">   usnesením č</w:t>
      </w:r>
      <w:r w:rsidR="00CE4415">
        <w:rPr>
          <w:rFonts w:cstheme="minorHAnsi"/>
          <w:color w:val="000000" w:themeColor="text1"/>
        </w:rPr>
        <w:t>.</w:t>
      </w:r>
      <w:r w:rsidR="009233E7">
        <w:rPr>
          <w:rFonts w:cstheme="minorHAnsi"/>
          <w:color w:val="000000" w:themeColor="text1"/>
        </w:rPr>
        <w:t xml:space="preserve"> 8</w:t>
      </w:r>
      <w:r w:rsidRPr="00A438C7">
        <w:rPr>
          <w:rFonts w:cstheme="minorHAnsi"/>
          <w:color w:val="000000" w:themeColor="text1"/>
        </w:rPr>
        <w:t>/</w:t>
      </w:r>
      <w:r w:rsidR="00A438C7" w:rsidRPr="00A438C7">
        <w:rPr>
          <w:rFonts w:cstheme="minorHAnsi"/>
          <w:color w:val="000000" w:themeColor="text1"/>
        </w:rPr>
        <w:t>XIV</w:t>
      </w:r>
      <w:r w:rsidRPr="00A438C7">
        <w:rPr>
          <w:rFonts w:cstheme="minorHAnsi"/>
          <w:color w:val="000000" w:themeColor="text1"/>
        </w:rPr>
        <w:t>/20</w:t>
      </w:r>
      <w:r w:rsidR="00EC2E5F" w:rsidRPr="00A438C7">
        <w:rPr>
          <w:rFonts w:cstheme="minorHAnsi"/>
          <w:color w:val="000000" w:themeColor="text1"/>
        </w:rPr>
        <w:t>2</w:t>
      </w:r>
      <w:r w:rsidRPr="00A438C7">
        <w:rPr>
          <w:rFonts w:cstheme="minorHAnsi"/>
          <w:color w:val="000000" w:themeColor="text1"/>
        </w:rPr>
        <w:t>1</w:t>
      </w:r>
    </w:p>
    <w:p w14:paraId="6487E633" w14:textId="77777777" w:rsidR="00D55F31" w:rsidRDefault="001D7420" w:rsidP="00876EE8">
      <w:pPr>
        <w:spacing w:after="120"/>
        <w:rPr>
          <w:rFonts w:cstheme="minorHAnsi"/>
          <w:color w:val="000000" w:themeColor="text1"/>
        </w:rPr>
      </w:pPr>
      <w:r w:rsidRPr="00A438C7">
        <w:rPr>
          <w:rFonts w:cstheme="minorHAnsi"/>
          <w:b/>
          <w:bCs/>
          <w:i/>
          <w:iCs/>
          <w:color w:val="000000" w:themeColor="text1"/>
        </w:rPr>
        <w:t>k o n t r o l n í   z á v ě r</w:t>
      </w:r>
      <w:r w:rsidRPr="00A438C7">
        <w:rPr>
          <w:rFonts w:cstheme="minorHAnsi"/>
          <w:color w:val="000000" w:themeColor="text1"/>
        </w:rPr>
        <w:t xml:space="preserve">   v tomto znění:</w:t>
      </w:r>
    </w:p>
    <w:p w14:paraId="4C972804" w14:textId="77777777" w:rsidR="002934E6" w:rsidRPr="00C44D5A" w:rsidRDefault="002934E6" w:rsidP="00876EE8">
      <w:pPr>
        <w:spacing w:after="120"/>
        <w:rPr>
          <w:rFonts w:cstheme="minorHAnsi"/>
          <w:color w:val="000000" w:themeColor="text1"/>
        </w:rPr>
      </w:pPr>
    </w:p>
    <w:p w14:paraId="5DE6F419" w14:textId="77777777" w:rsidR="002934E6" w:rsidRDefault="002934E6" w:rsidP="00912B63">
      <w:pPr>
        <w:rPr>
          <w:rFonts w:cstheme="minorHAnsi"/>
          <w:b/>
          <w:noProof/>
          <w:color w:val="000000" w:themeColor="text1"/>
        </w:rPr>
        <w:sectPr w:rsidR="002934E6" w:rsidSect="00B44EB1">
          <w:footerReference w:type="even" r:id="rId12"/>
          <w:footerReference w:type="default" r:id="rId13"/>
          <w:footerReference w:type="first" r:id="rId14"/>
          <w:pgSz w:w="11906" w:h="16838" w:code="9"/>
          <w:pgMar w:top="1418" w:right="1418" w:bottom="1418" w:left="1418" w:header="709" w:footer="709" w:gutter="0"/>
          <w:cols w:space="708"/>
          <w:docGrid w:linePitch="360"/>
        </w:sectPr>
      </w:pPr>
    </w:p>
    <w:p w14:paraId="13CB613E" w14:textId="753F3F4B" w:rsidR="007340DF" w:rsidRPr="00FF4D58" w:rsidRDefault="007172C4" w:rsidP="00FF4D58">
      <w:pPr>
        <w:jc w:val="center"/>
        <w:rPr>
          <w:b/>
          <w:noProof/>
          <w:sz w:val="28"/>
          <w:szCs w:val="28"/>
        </w:rPr>
      </w:pPr>
      <w:r w:rsidRPr="00FF4D58">
        <w:rPr>
          <w:b/>
          <w:noProof/>
          <w:sz w:val="28"/>
          <w:szCs w:val="28"/>
        </w:rPr>
        <w:lastRenderedPageBreak/>
        <w:t xml:space="preserve">Snížení energetické náročnosti </w:t>
      </w:r>
      <w:r w:rsidR="000A18AF" w:rsidRPr="00FF4D58">
        <w:rPr>
          <w:b/>
          <w:noProof/>
          <w:sz w:val="28"/>
          <w:szCs w:val="28"/>
        </w:rPr>
        <w:t xml:space="preserve">stávajících </w:t>
      </w:r>
      <w:r w:rsidR="00C96FC1" w:rsidRPr="00FF4D58">
        <w:rPr>
          <w:b/>
          <w:noProof/>
          <w:sz w:val="28"/>
          <w:szCs w:val="28"/>
        </w:rPr>
        <w:t>bytových domů</w:t>
      </w:r>
    </w:p>
    <w:p w14:paraId="52097552" w14:textId="45D19198" w:rsidR="00C96FC1" w:rsidRPr="00FF4D58" w:rsidRDefault="00402BEC" w:rsidP="00FF4D58">
      <w:pPr>
        <w:jc w:val="center"/>
        <w:rPr>
          <w:b/>
          <w:noProof/>
          <w:sz w:val="28"/>
          <w:szCs w:val="28"/>
        </w:rPr>
      </w:pPr>
      <w:r w:rsidRPr="00FF4D58">
        <w:rPr>
          <w:b/>
          <w:noProof/>
          <w:sz w:val="28"/>
          <w:szCs w:val="28"/>
        </w:rPr>
        <w:t>za období 2014–</w:t>
      </w:r>
      <w:r w:rsidR="000F5346" w:rsidRPr="00FF4D58">
        <w:rPr>
          <w:b/>
          <w:noProof/>
          <w:sz w:val="28"/>
          <w:szCs w:val="28"/>
        </w:rPr>
        <w:t>2020</w:t>
      </w:r>
      <w:r w:rsidR="000A18AF" w:rsidRPr="00FF4D58">
        <w:rPr>
          <w:rStyle w:val="Znakapoznpodarou"/>
          <w:rFonts w:ascii="Calibri" w:hAnsi="Calibri"/>
          <w:b/>
          <w:noProof/>
          <w:sz w:val="28"/>
          <w:szCs w:val="28"/>
        </w:rPr>
        <w:footnoteReference w:id="2"/>
      </w:r>
    </w:p>
    <w:p w14:paraId="2F0362F6" w14:textId="77777777" w:rsidR="00C96FC1" w:rsidRDefault="00C96FC1" w:rsidP="00C96FC1">
      <w:pPr>
        <w:jc w:val="center"/>
        <w:rPr>
          <w:rFonts w:ascii="Calibri" w:hAnsi="Calibri"/>
          <w:b/>
          <w:noProof/>
        </w:rPr>
      </w:pPr>
    </w:p>
    <w:tbl>
      <w:tblPr>
        <w:tblW w:w="5000" w:type="pct"/>
        <w:tblCellMar>
          <w:left w:w="10" w:type="dxa"/>
          <w:right w:w="10" w:type="dxa"/>
        </w:tblCellMar>
        <w:tblLook w:val="04A0" w:firstRow="1" w:lastRow="0" w:firstColumn="1" w:lastColumn="0" w:noHBand="0" w:noVBand="1"/>
      </w:tblPr>
      <w:tblGrid>
        <w:gridCol w:w="4535"/>
        <w:gridCol w:w="4535"/>
      </w:tblGrid>
      <w:tr w:rsidR="00C96FC1" w:rsidRPr="00CF051E" w14:paraId="6FFA1CC9" w14:textId="77777777" w:rsidTr="00A277FA">
        <w:trPr>
          <w:trHeight w:val="397"/>
        </w:trPr>
        <w:tc>
          <w:tcPr>
            <w:tcW w:w="2500" w:type="pct"/>
            <w:shd w:val="clear" w:color="auto" w:fill="auto"/>
            <w:tcMar>
              <w:top w:w="0" w:type="dxa"/>
              <w:left w:w="108" w:type="dxa"/>
              <w:bottom w:w="0" w:type="dxa"/>
              <w:right w:w="108" w:type="dxa"/>
            </w:tcMar>
          </w:tcPr>
          <w:p w14:paraId="2FF83855" w14:textId="77777777" w:rsidR="00C96FC1" w:rsidRPr="00146F4F" w:rsidRDefault="00C96FC1" w:rsidP="00A277FA">
            <w:pPr>
              <w:pStyle w:val="Pa18"/>
              <w:spacing w:line="240" w:lineRule="auto"/>
              <w:jc w:val="center"/>
              <w:rPr>
                <w:sz w:val="44"/>
                <w:szCs w:val="44"/>
              </w:rPr>
            </w:pPr>
            <w:r w:rsidRPr="00146F4F">
              <w:rPr>
                <w:rStyle w:val="A14"/>
                <w:rFonts w:eastAsia="MS Gothic"/>
                <w:color w:val="auto"/>
                <w:sz w:val="44"/>
                <w:szCs w:val="44"/>
              </w:rPr>
              <w:t xml:space="preserve">3,4 </w:t>
            </w:r>
            <w:r w:rsidRPr="00146F4F">
              <w:rPr>
                <w:rStyle w:val="A15"/>
                <w:rFonts w:eastAsia="MS Gothic"/>
                <w:b/>
                <w:color w:val="auto"/>
                <w:sz w:val="44"/>
                <w:szCs w:val="44"/>
              </w:rPr>
              <w:t>mld. Kč</w:t>
            </w:r>
            <w:r w:rsidRPr="00146F4F">
              <w:rPr>
                <w:rStyle w:val="A15"/>
                <w:rFonts w:eastAsia="MS Gothic"/>
                <w:color w:val="auto"/>
                <w:sz w:val="44"/>
                <w:szCs w:val="44"/>
              </w:rPr>
              <w:t xml:space="preserve"> </w:t>
            </w:r>
          </w:p>
        </w:tc>
        <w:tc>
          <w:tcPr>
            <w:tcW w:w="2500" w:type="pct"/>
            <w:shd w:val="clear" w:color="auto" w:fill="auto"/>
            <w:tcMar>
              <w:top w:w="0" w:type="dxa"/>
              <w:left w:w="108" w:type="dxa"/>
              <w:bottom w:w="0" w:type="dxa"/>
              <w:right w:w="108" w:type="dxa"/>
            </w:tcMar>
          </w:tcPr>
          <w:p w14:paraId="6095DADC" w14:textId="77777777" w:rsidR="00C96FC1" w:rsidRPr="00146F4F" w:rsidRDefault="00C96FC1" w:rsidP="00A277FA">
            <w:pPr>
              <w:pStyle w:val="Pa18"/>
              <w:spacing w:line="240" w:lineRule="auto"/>
              <w:jc w:val="center"/>
              <w:rPr>
                <w:sz w:val="44"/>
                <w:szCs w:val="44"/>
              </w:rPr>
            </w:pPr>
            <w:r w:rsidRPr="00146F4F">
              <w:rPr>
                <w:rStyle w:val="A14"/>
                <w:rFonts w:eastAsia="MS Gothic"/>
                <w:color w:val="auto"/>
                <w:sz w:val="44"/>
                <w:szCs w:val="44"/>
              </w:rPr>
              <w:t>0,5 mld. Kč</w:t>
            </w:r>
          </w:p>
        </w:tc>
      </w:tr>
      <w:tr w:rsidR="00C96FC1" w:rsidRPr="00CF051E" w14:paraId="64494A21" w14:textId="77777777" w:rsidTr="00F71B09">
        <w:trPr>
          <w:trHeight w:val="663"/>
        </w:trPr>
        <w:tc>
          <w:tcPr>
            <w:tcW w:w="2500" w:type="pct"/>
            <w:shd w:val="clear" w:color="auto" w:fill="auto"/>
            <w:tcMar>
              <w:top w:w="0" w:type="dxa"/>
              <w:left w:w="108" w:type="dxa"/>
              <w:bottom w:w="0" w:type="dxa"/>
              <w:right w:w="108" w:type="dxa"/>
            </w:tcMar>
            <w:vAlign w:val="center"/>
          </w:tcPr>
          <w:p w14:paraId="692F3651" w14:textId="0AF8BA51" w:rsidR="00C96FC1" w:rsidRPr="00731760" w:rsidRDefault="00FE5235" w:rsidP="00FE5235">
            <w:pPr>
              <w:pStyle w:val="Pa19"/>
              <w:spacing w:line="240" w:lineRule="auto"/>
              <w:jc w:val="center"/>
              <w:rPr>
                <w:sz w:val="22"/>
                <w:szCs w:val="22"/>
              </w:rPr>
            </w:pPr>
            <w:r>
              <w:rPr>
                <w:sz w:val="20"/>
                <w:szCs w:val="22"/>
              </w:rPr>
              <w:t>Peněžní p</w:t>
            </w:r>
            <w:r w:rsidR="00C96FC1" w:rsidRPr="00731760">
              <w:rPr>
                <w:sz w:val="20"/>
                <w:szCs w:val="22"/>
              </w:rPr>
              <w:t xml:space="preserve">rostředky </w:t>
            </w:r>
            <w:r w:rsidR="00C96FC1">
              <w:rPr>
                <w:sz w:val="20"/>
                <w:szCs w:val="22"/>
              </w:rPr>
              <w:t>poskytnuté</w:t>
            </w:r>
            <w:r w:rsidR="00C96FC1" w:rsidRPr="00731760">
              <w:rPr>
                <w:sz w:val="20"/>
                <w:szCs w:val="22"/>
              </w:rPr>
              <w:t xml:space="preserve"> z </w:t>
            </w:r>
            <w:r w:rsidR="00C96FC1" w:rsidRPr="00731760">
              <w:rPr>
                <w:i/>
                <w:sz w:val="20"/>
                <w:szCs w:val="22"/>
              </w:rPr>
              <w:t xml:space="preserve">Integrovaného regionálního operačního programu </w:t>
            </w:r>
            <w:r w:rsidR="00C96FC1" w:rsidRPr="00731760">
              <w:rPr>
                <w:sz w:val="20"/>
                <w:szCs w:val="22"/>
              </w:rPr>
              <w:t>(IROP)</w:t>
            </w:r>
          </w:p>
        </w:tc>
        <w:tc>
          <w:tcPr>
            <w:tcW w:w="2500" w:type="pct"/>
            <w:shd w:val="clear" w:color="auto" w:fill="auto"/>
            <w:tcMar>
              <w:top w:w="0" w:type="dxa"/>
              <w:left w:w="108" w:type="dxa"/>
              <w:bottom w:w="0" w:type="dxa"/>
              <w:right w:w="108" w:type="dxa"/>
            </w:tcMar>
            <w:vAlign w:val="center"/>
          </w:tcPr>
          <w:p w14:paraId="53439F76" w14:textId="17E36A70" w:rsidR="00C96FC1" w:rsidRPr="00731760" w:rsidRDefault="00FE5235" w:rsidP="00162E38">
            <w:pPr>
              <w:pStyle w:val="Pa19"/>
              <w:spacing w:line="240" w:lineRule="auto"/>
              <w:jc w:val="center"/>
              <w:rPr>
                <w:sz w:val="22"/>
                <w:szCs w:val="22"/>
              </w:rPr>
            </w:pPr>
            <w:r>
              <w:rPr>
                <w:sz w:val="20"/>
                <w:szCs w:val="20"/>
              </w:rPr>
              <w:t>Peněžní p</w:t>
            </w:r>
            <w:r w:rsidR="00C96FC1" w:rsidRPr="00731760">
              <w:rPr>
                <w:sz w:val="20"/>
                <w:szCs w:val="20"/>
              </w:rPr>
              <w:t xml:space="preserve">rostředky </w:t>
            </w:r>
            <w:r w:rsidR="00C96FC1">
              <w:rPr>
                <w:sz w:val="20"/>
                <w:szCs w:val="20"/>
              </w:rPr>
              <w:t>poskytnuté</w:t>
            </w:r>
            <w:r w:rsidR="00C96FC1" w:rsidRPr="00731760">
              <w:rPr>
                <w:sz w:val="20"/>
                <w:szCs w:val="20"/>
              </w:rPr>
              <w:t xml:space="preserve"> z programu </w:t>
            </w:r>
            <w:r w:rsidR="00C96FC1" w:rsidRPr="00731760">
              <w:rPr>
                <w:i/>
                <w:sz w:val="20"/>
                <w:szCs w:val="20"/>
              </w:rPr>
              <w:t>Nová zelená úsporám</w:t>
            </w:r>
            <w:r w:rsidR="00C96FC1" w:rsidRPr="00731760">
              <w:rPr>
                <w:sz w:val="20"/>
                <w:szCs w:val="20"/>
              </w:rPr>
              <w:t xml:space="preserve"> (NZÚ)</w:t>
            </w:r>
          </w:p>
        </w:tc>
      </w:tr>
    </w:tbl>
    <w:p w14:paraId="7E97AB4D" w14:textId="2D3756B1" w:rsidR="00F46FC4" w:rsidRDefault="00F46FC4" w:rsidP="00C96FC1">
      <w:pPr>
        <w:jc w:val="center"/>
        <w:rPr>
          <w:rFonts w:ascii="Calibri" w:hAnsi="Calibri"/>
        </w:rPr>
      </w:pPr>
    </w:p>
    <w:tbl>
      <w:tblPr>
        <w:tblW w:w="5000" w:type="pct"/>
        <w:tblCellMar>
          <w:left w:w="10" w:type="dxa"/>
          <w:right w:w="10" w:type="dxa"/>
        </w:tblCellMar>
        <w:tblLook w:val="04A0" w:firstRow="1" w:lastRow="0" w:firstColumn="1" w:lastColumn="0" w:noHBand="0" w:noVBand="1"/>
      </w:tblPr>
      <w:tblGrid>
        <w:gridCol w:w="4535"/>
        <w:gridCol w:w="4535"/>
      </w:tblGrid>
      <w:tr w:rsidR="00F46FC4" w:rsidRPr="00BF7058" w14:paraId="1C68D1D8" w14:textId="77777777" w:rsidTr="00A14097">
        <w:trPr>
          <w:trHeight w:val="397"/>
        </w:trPr>
        <w:tc>
          <w:tcPr>
            <w:tcW w:w="2500" w:type="pct"/>
            <w:shd w:val="clear" w:color="auto" w:fill="auto"/>
            <w:tcMar>
              <w:top w:w="0" w:type="dxa"/>
              <w:left w:w="108" w:type="dxa"/>
              <w:bottom w:w="0" w:type="dxa"/>
              <w:right w:w="108" w:type="dxa"/>
            </w:tcMar>
          </w:tcPr>
          <w:p w14:paraId="6075E280" w14:textId="77777777" w:rsidR="00F46FC4" w:rsidRPr="008B0CC9" w:rsidRDefault="00F46FC4" w:rsidP="00A14097">
            <w:pPr>
              <w:pStyle w:val="Pa18"/>
              <w:spacing w:line="240" w:lineRule="auto"/>
              <w:jc w:val="center"/>
              <w:rPr>
                <w:sz w:val="44"/>
                <w:szCs w:val="44"/>
              </w:rPr>
            </w:pPr>
            <w:r w:rsidRPr="008B0CC9">
              <w:rPr>
                <w:rStyle w:val="A15"/>
                <w:rFonts w:eastAsia="MS Gothic"/>
                <w:b/>
                <w:color w:val="auto"/>
                <w:sz w:val="44"/>
                <w:szCs w:val="44"/>
              </w:rPr>
              <w:t>2 681 Kč/GJ</w:t>
            </w:r>
          </w:p>
        </w:tc>
        <w:tc>
          <w:tcPr>
            <w:tcW w:w="2500" w:type="pct"/>
            <w:shd w:val="clear" w:color="auto" w:fill="auto"/>
            <w:tcMar>
              <w:top w:w="0" w:type="dxa"/>
              <w:left w:w="108" w:type="dxa"/>
              <w:bottom w:w="0" w:type="dxa"/>
              <w:right w:w="108" w:type="dxa"/>
            </w:tcMar>
          </w:tcPr>
          <w:p w14:paraId="257F36DF" w14:textId="77777777" w:rsidR="00F46FC4" w:rsidRPr="008B0CC9" w:rsidRDefault="00F46FC4" w:rsidP="00A14097">
            <w:pPr>
              <w:pStyle w:val="Pa18"/>
              <w:spacing w:line="240" w:lineRule="auto"/>
              <w:jc w:val="center"/>
              <w:rPr>
                <w:sz w:val="44"/>
                <w:szCs w:val="44"/>
              </w:rPr>
            </w:pPr>
            <w:r w:rsidRPr="008B0CC9">
              <w:rPr>
                <w:rStyle w:val="A15"/>
                <w:rFonts w:eastAsia="MS Gothic"/>
                <w:b/>
                <w:color w:val="auto"/>
                <w:sz w:val="44"/>
                <w:szCs w:val="44"/>
              </w:rPr>
              <w:t>1 271 Kč/GJ</w:t>
            </w:r>
          </w:p>
        </w:tc>
      </w:tr>
      <w:tr w:rsidR="00F46FC4" w:rsidRPr="00E27399" w14:paraId="651990D8" w14:textId="77777777" w:rsidTr="00A14097">
        <w:trPr>
          <w:trHeight w:val="344"/>
        </w:trPr>
        <w:tc>
          <w:tcPr>
            <w:tcW w:w="2500" w:type="pct"/>
            <w:shd w:val="clear" w:color="auto" w:fill="auto"/>
            <w:tcMar>
              <w:top w:w="0" w:type="dxa"/>
              <w:left w:w="108" w:type="dxa"/>
              <w:bottom w:w="0" w:type="dxa"/>
              <w:right w:w="108" w:type="dxa"/>
            </w:tcMar>
            <w:vAlign w:val="center"/>
          </w:tcPr>
          <w:p w14:paraId="4DDFB6DB" w14:textId="0D0DB674" w:rsidR="00F46FC4" w:rsidRPr="00E27399" w:rsidRDefault="00F46FC4" w:rsidP="0024274C">
            <w:pPr>
              <w:pStyle w:val="Pa18"/>
              <w:spacing w:line="240" w:lineRule="auto"/>
              <w:jc w:val="center"/>
              <w:rPr>
                <w:sz w:val="20"/>
                <w:szCs w:val="22"/>
              </w:rPr>
            </w:pPr>
            <w:r>
              <w:rPr>
                <w:sz w:val="20"/>
                <w:szCs w:val="22"/>
              </w:rPr>
              <w:t>Průměr</w:t>
            </w:r>
            <w:r w:rsidRPr="00E27399">
              <w:rPr>
                <w:sz w:val="20"/>
                <w:szCs w:val="22"/>
              </w:rPr>
              <w:t xml:space="preserve">ná výše </w:t>
            </w:r>
            <w:r w:rsidR="00BB6AD0">
              <w:rPr>
                <w:sz w:val="20"/>
                <w:szCs w:val="22"/>
              </w:rPr>
              <w:t xml:space="preserve">skutečné </w:t>
            </w:r>
            <w:r w:rsidRPr="00E27399">
              <w:rPr>
                <w:sz w:val="20"/>
                <w:szCs w:val="22"/>
              </w:rPr>
              <w:t>měrné dotace</w:t>
            </w:r>
            <w:r w:rsidR="0024274C" w:rsidRPr="001300BD">
              <w:rPr>
                <w:rStyle w:val="Znakapoznpodarou"/>
                <w:noProof/>
                <w:sz w:val="20"/>
                <w:szCs w:val="20"/>
              </w:rPr>
              <w:footnoteReference w:id="3"/>
            </w:r>
            <w:r w:rsidR="0024274C" w:rsidRPr="001300BD">
              <w:rPr>
                <w:sz w:val="28"/>
                <w:szCs w:val="28"/>
              </w:rPr>
              <w:t xml:space="preserve"> </w:t>
            </w:r>
            <w:r w:rsidRPr="00E27399">
              <w:rPr>
                <w:sz w:val="20"/>
                <w:szCs w:val="22"/>
              </w:rPr>
              <w:t>u projektů podpořených z</w:t>
            </w:r>
            <w:r>
              <w:rPr>
                <w:sz w:val="20"/>
                <w:szCs w:val="22"/>
              </w:rPr>
              <w:t> </w:t>
            </w:r>
            <w:r w:rsidRPr="00E27399">
              <w:rPr>
                <w:sz w:val="20"/>
                <w:szCs w:val="22"/>
              </w:rPr>
              <w:t>IROP</w:t>
            </w:r>
            <w:r>
              <w:rPr>
                <w:sz w:val="20"/>
                <w:szCs w:val="22"/>
              </w:rPr>
              <w:t xml:space="preserve"> (3 výzvy pro bytové domy)</w:t>
            </w:r>
          </w:p>
        </w:tc>
        <w:tc>
          <w:tcPr>
            <w:tcW w:w="2500" w:type="pct"/>
            <w:shd w:val="clear" w:color="auto" w:fill="auto"/>
            <w:tcMar>
              <w:top w:w="0" w:type="dxa"/>
              <w:left w:w="108" w:type="dxa"/>
              <w:bottom w:w="0" w:type="dxa"/>
              <w:right w:w="108" w:type="dxa"/>
            </w:tcMar>
            <w:vAlign w:val="center"/>
          </w:tcPr>
          <w:p w14:paraId="5CE1FFA7" w14:textId="3544EF3F" w:rsidR="00F46FC4" w:rsidRPr="00E27399" w:rsidRDefault="00F46FC4" w:rsidP="00162E38">
            <w:pPr>
              <w:pStyle w:val="Pa18"/>
              <w:spacing w:line="240" w:lineRule="auto"/>
              <w:jc w:val="center"/>
            </w:pPr>
            <w:r w:rsidRPr="00E27399">
              <w:rPr>
                <w:sz w:val="20"/>
                <w:szCs w:val="22"/>
              </w:rPr>
              <w:t xml:space="preserve">Průměrná výše </w:t>
            </w:r>
            <w:r w:rsidR="00BB6AD0">
              <w:rPr>
                <w:sz w:val="20"/>
                <w:szCs w:val="22"/>
              </w:rPr>
              <w:t xml:space="preserve">skutečné </w:t>
            </w:r>
            <w:r w:rsidRPr="00E27399">
              <w:rPr>
                <w:sz w:val="20"/>
                <w:szCs w:val="22"/>
              </w:rPr>
              <w:t>měrné dotace</w:t>
            </w:r>
            <w:r w:rsidR="00162E38" w:rsidRPr="00162E38">
              <w:rPr>
                <w:sz w:val="20"/>
                <w:szCs w:val="22"/>
                <w:vertAlign w:val="superscript"/>
              </w:rPr>
              <w:t>2</w:t>
            </w:r>
            <w:r w:rsidRPr="00E27399">
              <w:rPr>
                <w:sz w:val="20"/>
                <w:szCs w:val="22"/>
              </w:rPr>
              <w:t xml:space="preserve"> u projektů podpořených z</w:t>
            </w:r>
            <w:r>
              <w:rPr>
                <w:sz w:val="20"/>
                <w:szCs w:val="22"/>
              </w:rPr>
              <w:t> </w:t>
            </w:r>
            <w:r w:rsidRPr="00E27399">
              <w:rPr>
                <w:sz w:val="20"/>
                <w:szCs w:val="22"/>
              </w:rPr>
              <w:t>NZÚ</w:t>
            </w:r>
            <w:r>
              <w:rPr>
                <w:sz w:val="20"/>
                <w:szCs w:val="22"/>
              </w:rPr>
              <w:t xml:space="preserve"> (2 výzvy pro bytové domy)</w:t>
            </w:r>
          </w:p>
        </w:tc>
      </w:tr>
    </w:tbl>
    <w:p w14:paraId="1CCB14D0" w14:textId="2DD6FAD6" w:rsidR="00152A73" w:rsidRDefault="00152A73" w:rsidP="00C96FC1">
      <w:pPr>
        <w:jc w:val="center"/>
        <w:rPr>
          <w:rFonts w:ascii="Calibri" w:hAnsi="Calibri"/>
        </w:rPr>
      </w:pPr>
    </w:p>
    <w:p w14:paraId="470A8FF1" w14:textId="3967B7C1" w:rsidR="009B2465" w:rsidRDefault="009B2465" w:rsidP="00C96FC1">
      <w:pPr>
        <w:jc w:val="center"/>
        <w:rPr>
          <w:rFonts w:ascii="Calibri" w:hAnsi="Calibri"/>
        </w:rPr>
      </w:pPr>
    </w:p>
    <w:p w14:paraId="77B6FC53" w14:textId="369BA1B9" w:rsidR="00F71B09" w:rsidRDefault="00942AD5" w:rsidP="00C96FC1">
      <w:pPr>
        <w:jc w:val="center"/>
        <w:rPr>
          <w:rFonts w:ascii="Calibri" w:hAnsi="Calibri"/>
        </w:rPr>
      </w:pPr>
      <w:r>
        <w:rPr>
          <w:rFonts w:ascii="Calibri" w:hAnsi="Calibri"/>
          <w:noProof/>
        </w:rPr>
        <w:drawing>
          <wp:inline distT="0" distB="0" distL="0" distR="0" wp14:anchorId="498CAEB2" wp14:editId="2405C8E3">
            <wp:extent cx="5816600" cy="1017685"/>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3876" cy="1027706"/>
                    </a:xfrm>
                    <a:prstGeom prst="rect">
                      <a:avLst/>
                    </a:prstGeom>
                    <a:noFill/>
                  </pic:spPr>
                </pic:pic>
              </a:graphicData>
            </a:graphic>
          </wp:inline>
        </w:drawing>
      </w:r>
    </w:p>
    <w:p w14:paraId="764CA365" w14:textId="431B7366" w:rsidR="00942AD5" w:rsidRDefault="00942AD5" w:rsidP="00C96FC1">
      <w:pPr>
        <w:jc w:val="center"/>
        <w:rPr>
          <w:rFonts w:ascii="Calibri" w:hAnsi="Calibri"/>
        </w:rPr>
      </w:pPr>
    </w:p>
    <w:p w14:paraId="0F26DC7C" w14:textId="77777777" w:rsidR="00942AD5" w:rsidRDefault="00942AD5" w:rsidP="00C96FC1">
      <w:pPr>
        <w:jc w:val="center"/>
        <w:rPr>
          <w:rFonts w:ascii="Calibri" w:hAnsi="Calibri"/>
        </w:rPr>
      </w:pPr>
    </w:p>
    <w:p w14:paraId="081658D7" w14:textId="4F6B646C" w:rsidR="00F71B09" w:rsidRDefault="00A52BEB" w:rsidP="00B44EB1">
      <w:pPr>
        <w:spacing w:after="120"/>
        <w:jc w:val="center"/>
        <w:rPr>
          <w:rFonts w:ascii="Calibri" w:hAnsi="Calibri"/>
        </w:rPr>
      </w:pPr>
      <w:r w:rsidRPr="00BE07A0">
        <w:rPr>
          <w:rFonts w:ascii="Calibri" w:hAnsi="Calibri"/>
          <w:sz w:val="22"/>
          <w:szCs w:val="22"/>
        </w:rPr>
        <w:t>Generovan</w:t>
      </w:r>
      <w:r w:rsidR="001B79E9" w:rsidRPr="00BE07A0">
        <w:rPr>
          <w:rFonts w:ascii="Calibri" w:hAnsi="Calibri"/>
          <w:sz w:val="22"/>
          <w:szCs w:val="22"/>
        </w:rPr>
        <w:t xml:space="preserve">ými </w:t>
      </w:r>
      <w:r w:rsidRPr="00BE07A0">
        <w:rPr>
          <w:rFonts w:ascii="Calibri" w:hAnsi="Calibri"/>
          <w:sz w:val="22"/>
          <w:szCs w:val="22"/>
        </w:rPr>
        <w:t>úspor</w:t>
      </w:r>
      <w:r w:rsidR="001B79E9" w:rsidRPr="00BE07A0">
        <w:rPr>
          <w:rFonts w:ascii="Calibri" w:hAnsi="Calibri"/>
          <w:sz w:val="22"/>
          <w:szCs w:val="22"/>
        </w:rPr>
        <w:t xml:space="preserve">ami </w:t>
      </w:r>
      <w:r w:rsidRPr="00BE07A0">
        <w:rPr>
          <w:rFonts w:ascii="Calibri" w:hAnsi="Calibri"/>
          <w:sz w:val="22"/>
          <w:szCs w:val="22"/>
        </w:rPr>
        <w:t>energie</w:t>
      </w:r>
      <w:r w:rsidR="001B79E9" w:rsidRPr="00BE07A0">
        <w:rPr>
          <w:rFonts w:ascii="Calibri" w:hAnsi="Calibri"/>
          <w:sz w:val="22"/>
          <w:szCs w:val="22"/>
        </w:rPr>
        <w:t xml:space="preserve"> naplnily</w:t>
      </w:r>
      <w:r w:rsidRPr="00BE07A0">
        <w:rPr>
          <w:rFonts w:ascii="Calibri" w:hAnsi="Calibri"/>
          <w:sz w:val="22"/>
          <w:szCs w:val="22"/>
        </w:rPr>
        <w:t xml:space="preserve"> </w:t>
      </w:r>
      <w:r w:rsidR="0018098B" w:rsidRPr="00BE07A0">
        <w:rPr>
          <w:rFonts w:ascii="Calibri" w:hAnsi="Calibri"/>
          <w:sz w:val="22"/>
          <w:szCs w:val="22"/>
        </w:rPr>
        <w:t>IROP a NZÚ</w:t>
      </w:r>
      <w:r w:rsidR="00162E38">
        <w:rPr>
          <w:rStyle w:val="Znakapoznpodarou"/>
          <w:rFonts w:ascii="Calibri" w:hAnsi="Calibri"/>
          <w:sz w:val="22"/>
          <w:szCs w:val="22"/>
        </w:rPr>
        <w:footnoteReference w:id="4"/>
      </w:r>
      <w:r w:rsidR="0018098B" w:rsidRPr="00BE07A0">
        <w:rPr>
          <w:rFonts w:ascii="Calibri" w:hAnsi="Calibri"/>
          <w:sz w:val="22"/>
          <w:szCs w:val="22"/>
        </w:rPr>
        <w:t xml:space="preserve"> k 31. 12. 2020 své </w:t>
      </w:r>
      <w:r w:rsidR="005B5D46" w:rsidRPr="00BE07A0">
        <w:rPr>
          <w:rFonts w:ascii="Calibri" w:hAnsi="Calibri"/>
          <w:sz w:val="22"/>
          <w:szCs w:val="22"/>
        </w:rPr>
        <w:t xml:space="preserve">dílčí </w:t>
      </w:r>
      <w:r w:rsidR="00951D32" w:rsidRPr="00BE07A0">
        <w:rPr>
          <w:rFonts w:ascii="Calibri" w:hAnsi="Calibri"/>
          <w:sz w:val="22"/>
          <w:szCs w:val="22"/>
        </w:rPr>
        <w:t>p</w:t>
      </w:r>
      <w:r w:rsidR="00ED40C1" w:rsidRPr="00BE07A0">
        <w:rPr>
          <w:rFonts w:ascii="Calibri" w:hAnsi="Calibri"/>
          <w:sz w:val="22"/>
          <w:szCs w:val="22"/>
        </w:rPr>
        <w:t>rogramov</w:t>
      </w:r>
      <w:r w:rsidRPr="00BE07A0">
        <w:rPr>
          <w:rFonts w:ascii="Calibri" w:hAnsi="Calibri"/>
          <w:sz w:val="22"/>
          <w:szCs w:val="22"/>
        </w:rPr>
        <w:t xml:space="preserve">é </w:t>
      </w:r>
      <w:r w:rsidR="0084558A">
        <w:rPr>
          <w:rFonts w:ascii="Calibri" w:hAnsi="Calibri"/>
          <w:sz w:val="22"/>
          <w:szCs w:val="22"/>
        </w:rPr>
        <w:t xml:space="preserve">příspěvky </w:t>
      </w:r>
      <w:r w:rsidR="00ED40C1" w:rsidRPr="00BE07A0">
        <w:rPr>
          <w:rFonts w:ascii="Calibri" w:hAnsi="Calibri"/>
          <w:sz w:val="22"/>
          <w:szCs w:val="22"/>
        </w:rPr>
        <w:t>k</w:t>
      </w:r>
      <w:r w:rsidR="00951D32" w:rsidRPr="00BE07A0">
        <w:rPr>
          <w:rFonts w:ascii="Calibri" w:hAnsi="Calibri"/>
          <w:sz w:val="22"/>
          <w:szCs w:val="22"/>
        </w:rPr>
        <w:t xml:space="preserve"> dosažení </w:t>
      </w:r>
      <w:r w:rsidR="00ED40C1" w:rsidRPr="00BE07A0">
        <w:rPr>
          <w:rFonts w:ascii="Calibri" w:hAnsi="Calibri"/>
          <w:sz w:val="22"/>
          <w:szCs w:val="22"/>
        </w:rPr>
        <w:t>cíle</w:t>
      </w:r>
      <w:r w:rsidR="006B179F" w:rsidRPr="00BE07A0">
        <w:rPr>
          <w:rFonts w:ascii="Calibri" w:hAnsi="Calibri"/>
          <w:sz w:val="22"/>
          <w:szCs w:val="22"/>
        </w:rPr>
        <w:t xml:space="preserve"> </w:t>
      </w:r>
      <w:r w:rsidR="00746F12">
        <w:rPr>
          <w:rFonts w:ascii="Calibri" w:hAnsi="Calibri"/>
          <w:sz w:val="22"/>
          <w:szCs w:val="22"/>
        </w:rPr>
        <w:t>ČR v</w:t>
      </w:r>
      <w:r w:rsidR="00A91608">
        <w:rPr>
          <w:rFonts w:ascii="Calibri" w:hAnsi="Calibri"/>
          <w:sz w:val="22"/>
          <w:szCs w:val="22"/>
        </w:rPr>
        <w:t xml:space="preserve"> oblasti </w:t>
      </w:r>
      <w:r w:rsidR="0018098B" w:rsidRPr="00BE07A0">
        <w:rPr>
          <w:rFonts w:ascii="Calibri" w:hAnsi="Calibri"/>
          <w:sz w:val="22"/>
          <w:szCs w:val="22"/>
        </w:rPr>
        <w:t xml:space="preserve">ročních </w:t>
      </w:r>
      <w:r w:rsidR="00960941" w:rsidRPr="00BE07A0">
        <w:rPr>
          <w:rFonts w:ascii="Calibri" w:hAnsi="Calibri"/>
          <w:sz w:val="22"/>
          <w:szCs w:val="22"/>
        </w:rPr>
        <w:t xml:space="preserve">úspor </w:t>
      </w:r>
      <w:r w:rsidR="00ED40C1" w:rsidRPr="00BE07A0">
        <w:rPr>
          <w:rFonts w:ascii="Calibri" w:hAnsi="Calibri"/>
          <w:sz w:val="22"/>
          <w:szCs w:val="22"/>
        </w:rPr>
        <w:t>dle st</w:t>
      </w:r>
      <w:r w:rsidR="00C6256E">
        <w:rPr>
          <w:rFonts w:ascii="Calibri" w:hAnsi="Calibri"/>
          <w:sz w:val="22"/>
          <w:szCs w:val="22"/>
        </w:rPr>
        <w:t>r</w:t>
      </w:r>
      <w:r w:rsidR="00ED40C1" w:rsidRPr="00BE07A0">
        <w:rPr>
          <w:rFonts w:ascii="Calibri" w:hAnsi="Calibri"/>
          <w:sz w:val="22"/>
          <w:szCs w:val="22"/>
        </w:rPr>
        <w:t xml:space="preserve">ategie </w:t>
      </w:r>
      <w:r w:rsidR="00ED40C1" w:rsidRPr="001300BD">
        <w:rPr>
          <w:rFonts w:ascii="Calibri" w:hAnsi="Calibri"/>
          <w:i/>
          <w:sz w:val="22"/>
          <w:szCs w:val="22"/>
        </w:rPr>
        <w:t>Evropa 2020</w:t>
      </w:r>
      <w:r w:rsidR="0018098B" w:rsidRPr="00BE07A0">
        <w:rPr>
          <w:rFonts w:ascii="Calibri" w:hAnsi="Calibri"/>
          <w:sz w:val="22"/>
          <w:szCs w:val="22"/>
        </w:rPr>
        <w:t xml:space="preserve"> jen v nízké míře</w:t>
      </w:r>
      <w:r w:rsidR="00ED0F7B" w:rsidRPr="00BE07A0">
        <w:rPr>
          <w:rFonts w:ascii="Calibri" w:hAnsi="Calibri"/>
          <w:sz w:val="22"/>
          <w:szCs w:val="22"/>
        </w:rPr>
        <w:t>:</w:t>
      </w:r>
      <w:r w:rsidR="00F71B09">
        <w:rPr>
          <w:noProof/>
        </w:rPr>
        <w:drawing>
          <wp:inline distT="0" distB="0" distL="0" distR="0" wp14:anchorId="2883A132" wp14:editId="4950395A">
            <wp:extent cx="5538206" cy="2852420"/>
            <wp:effectExtent l="0" t="0" r="5715" b="5080"/>
            <wp:docPr id="20" name="Obrázek 19">
              <a:extLst xmlns:a="http://schemas.openxmlformats.org/drawingml/2006/main">
                <a:ext uri="{FF2B5EF4-FFF2-40B4-BE49-F238E27FC236}">
                  <a16:creationId xmlns:a16="http://schemas.microsoft.com/office/drawing/2014/main" id="{50C2D7B8-D03E-486F-A658-8EB26243812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ázek 19">
                      <a:extLst>
                        <a:ext uri="{FF2B5EF4-FFF2-40B4-BE49-F238E27FC236}">
                          <a16:creationId xmlns:a16="http://schemas.microsoft.com/office/drawing/2014/main" id="{50C2D7B8-D03E-486F-A658-8EB26243812C}"/>
                        </a:ext>
                      </a:extLst>
                    </pic:cNvPr>
                    <pic:cNvPicPr>
                      <a:picLocks noChangeAspect="1"/>
                    </pic:cNvPicPr>
                  </pic:nvPicPr>
                  <pic:blipFill rotWithShape="1">
                    <a:blip r:embed="rId16"/>
                    <a:srcRect l="4905" t="12225"/>
                    <a:stretch/>
                  </pic:blipFill>
                  <pic:spPr bwMode="auto">
                    <a:xfrm>
                      <a:off x="0" y="0"/>
                      <a:ext cx="5539105" cy="2852883"/>
                    </a:xfrm>
                    <a:prstGeom prst="rect">
                      <a:avLst/>
                    </a:prstGeom>
                    <a:ln>
                      <a:noFill/>
                    </a:ln>
                    <a:extLst>
                      <a:ext uri="{53640926-AAD7-44D8-BBD7-CCE9431645EC}">
                        <a14:shadowObscured xmlns:a14="http://schemas.microsoft.com/office/drawing/2010/main"/>
                      </a:ext>
                    </a:extLst>
                  </pic:spPr>
                </pic:pic>
              </a:graphicData>
            </a:graphic>
          </wp:inline>
        </w:drawing>
      </w:r>
    </w:p>
    <w:p w14:paraId="30207CB1" w14:textId="2A86A2DE" w:rsidR="009221B7" w:rsidRPr="00876EE8" w:rsidRDefault="001D7420" w:rsidP="00C4691A">
      <w:pPr>
        <w:pStyle w:val="Nadpis1"/>
        <w:pageBreakBefore/>
        <w:rPr>
          <w:spacing w:val="-2"/>
        </w:rPr>
      </w:pPr>
      <w:r>
        <w:lastRenderedPageBreak/>
        <w:t xml:space="preserve">I. </w:t>
      </w:r>
      <w:r w:rsidRPr="00876EE8">
        <w:t>Shrnutí a vyhodnocení</w:t>
      </w:r>
    </w:p>
    <w:p w14:paraId="40B86B85" w14:textId="61C11FE0" w:rsidR="00940CF2" w:rsidRDefault="00940CF2" w:rsidP="00940CF2">
      <w:pPr>
        <w:autoSpaceDE w:val="0"/>
        <w:autoSpaceDN w:val="0"/>
        <w:adjustRightInd w:val="0"/>
        <w:spacing w:after="120"/>
        <w:rPr>
          <w:rFonts w:cs="Arial"/>
          <w:color w:val="000000" w:themeColor="text1"/>
          <w:szCs w:val="24"/>
        </w:rPr>
      </w:pPr>
      <w:r w:rsidRPr="00940CF2">
        <w:rPr>
          <w:rFonts w:cs="Arial"/>
          <w:color w:val="000000" w:themeColor="text1"/>
          <w:szCs w:val="24"/>
        </w:rPr>
        <w:t xml:space="preserve">NKÚ provedl kontrolu poskytování a čerpání peněžních prostředků určených na </w:t>
      </w:r>
      <w:r w:rsidR="0012692C">
        <w:rPr>
          <w:rFonts w:cs="Arial"/>
          <w:color w:val="000000" w:themeColor="text1"/>
          <w:szCs w:val="24"/>
        </w:rPr>
        <w:t>opatření ke </w:t>
      </w:r>
      <w:r>
        <w:rPr>
          <w:rFonts w:cs="Arial"/>
          <w:color w:val="000000" w:themeColor="text1"/>
          <w:szCs w:val="24"/>
        </w:rPr>
        <w:t>snížení energetické náročnosti bytových domů</w:t>
      </w:r>
      <w:r w:rsidR="00FE5235">
        <w:rPr>
          <w:rFonts w:cs="Arial"/>
          <w:color w:val="000000" w:themeColor="text1"/>
          <w:szCs w:val="24"/>
        </w:rPr>
        <w:t xml:space="preserve">. </w:t>
      </w:r>
      <w:r w:rsidRPr="00940CF2">
        <w:rPr>
          <w:rFonts w:cs="Arial"/>
          <w:color w:val="000000" w:themeColor="text1"/>
          <w:szCs w:val="24"/>
        </w:rPr>
        <w:t xml:space="preserve">Kontrola byla zaměřena na </w:t>
      </w:r>
      <w:r w:rsidR="00150903">
        <w:rPr>
          <w:rFonts w:cs="Arial"/>
          <w:color w:val="000000" w:themeColor="text1"/>
          <w:szCs w:val="24"/>
        </w:rPr>
        <w:t>opatření v </w:t>
      </w:r>
      <w:r w:rsidRPr="00940CF2">
        <w:rPr>
          <w:rFonts w:cs="Arial"/>
          <w:color w:val="000000" w:themeColor="text1"/>
          <w:szCs w:val="24"/>
        </w:rPr>
        <w:t>projekt</w:t>
      </w:r>
      <w:r w:rsidR="00150903">
        <w:rPr>
          <w:rFonts w:cs="Arial"/>
          <w:color w:val="000000" w:themeColor="text1"/>
          <w:szCs w:val="24"/>
        </w:rPr>
        <w:t xml:space="preserve">ech </w:t>
      </w:r>
      <w:r w:rsidRPr="00940CF2">
        <w:rPr>
          <w:rFonts w:cs="Arial"/>
          <w:color w:val="000000" w:themeColor="text1"/>
          <w:szCs w:val="24"/>
        </w:rPr>
        <w:t>podpořen</w:t>
      </w:r>
      <w:r w:rsidR="00150903">
        <w:rPr>
          <w:rFonts w:cs="Arial"/>
          <w:color w:val="000000" w:themeColor="text1"/>
          <w:szCs w:val="24"/>
        </w:rPr>
        <w:t xml:space="preserve">ých </w:t>
      </w:r>
      <w:r w:rsidR="002C5424">
        <w:rPr>
          <w:rFonts w:cs="Arial"/>
          <w:color w:val="000000" w:themeColor="text1"/>
          <w:szCs w:val="24"/>
        </w:rPr>
        <w:t>z</w:t>
      </w:r>
      <w:r w:rsidRPr="00940CF2">
        <w:rPr>
          <w:rFonts w:cs="Arial"/>
          <w:color w:val="000000" w:themeColor="text1"/>
          <w:szCs w:val="24"/>
        </w:rPr>
        <w:t xml:space="preserve"> </w:t>
      </w:r>
      <w:r w:rsidRPr="00C4691A">
        <w:rPr>
          <w:rFonts w:cs="Arial"/>
          <w:i/>
          <w:color w:val="000000" w:themeColor="text1"/>
          <w:szCs w:val="24"/>
        </w:rPr>
        <w:t>Integrovaného regionálního operačního programu</w:t>
      </w:r>
      <w:r>
        <w:rPr>
          <w:rFonts w:cs="Arial"/>
          <w:color w:val="000000" w:themeColor="text1"/>
          <w:szCs w:val="24"/>
        </w:rPr>
        <w:t xml:space="preserve"> (dále též „IROP“)</w:t>
      </w:r>
      <w:r w:rsidR="00ED0F7B">
        <w:rPr>
          <w:rFonts w:cs="Arial"/>
          <w:color w:val="000000" w:themeColor="text1"/>
          <w:szCs w:val="24"/>
        </w:rPr>
        <w:t xml:space="preserve"> </w:t>
      </w:r>
      <w:r w:rsidR="006B179F">
        <w:rPr>
          <w:rFonts w:cs="Arial"/>
          <w:color w:val="000000" w:themeColor="text1"/>
          <w:szCs w:val="24"/>
        </w:rPr>
        <w:t xml:space="preserve">v rámci </w:t>
      </w:r>
      <w:r w:rsidR="00ED0F7B">
        <w:rPr>
          <w:rFonts w:cs="Arial"/>
          <w:color w:val="000000" w:themeColor="text1"/>
          <w:szCs w:val="24"/>
        </w:rPr>
        <w:t xml:space="preserve">specifického cíle 2.5 </w:t>
      </w:r>
      <w:r w:rsidR="00746D0A">
        <w:rPr>
          <w:rFonts w:cs="Arial"/>
          <w:color w:val="000000" w:themeColor="text1"/>
          <w:szCs w:val="24"/>
        </w:rPr>
        <w:t>(stávající bytové domy v regionech ČR mimo hl. m. Prah</w:t>
      </w:r>
      <w:r w:rsidR="002C5424">
        <w:rPr>
          <w:rFonts w:cs="Arial"/>
          <w:color w:val="000000" w:themeColor="text1"/>
          <w:szCs w:val="24"/>
        </w:rPr>
        <w:t>u</w:t>
      </w:r>
      <w:r w:rsidR="00746D0A">
        <w:rPr>
          <w:rFonts w:cs="Arial"/>
          <w:color w:val="000000" w:themeColor="text1"/>
          <w:szCs w:val="24"/>
        </w:rPr>
        <w:t xml:space="preserve">) </w:t>
      </w:r>
      <w:r>
        <w:rPr>
          <w:rFonts w:cs="Arial"/>
          <w:color w:val="000000" w:themeColor="text1"/>
          <w:szCs w:val="24"/>
        </w:rPr>
        <w:t xml:space="preserve">a na </w:t>
      </w:r>
      <w:r w:rsidR="00150903">
        <w:rPr>
          <w:rFonts w:cs="Arial"/>
          <w:color w:val="000000" w:themeColor="text1"/>
          <w:szCs w:val="24"/>
        </w:rPr>
        <w:t>opatření v </w:t>
      </w:r>
      <w:r>
        <w:rPr>
          <w:rFonts w:cs="Arial"/>
          <w:color w:val="000000" w:themeColor="text1"/>
          <w:szCs w:val="24"/>
        </w:rPr>
        <w:t>projekt</w:t>
      </w:r>
      <w:r w:rsidR="00150903">
        <w:rPr>
          <w:rFonts w:cs="Arial"/>
          <w:color w:val="000000" w:themeColor="text1"/>
          <w:szCs w:val="24"/>
        </w:rPr>
        <w:t xml:space="preserve">ech </w:t>
      </w:r>
      <w:r>
        <w:rPr>
          <w:rFonts w:cs="Arial"/>
          <w:color w:val="000000" w:themeColor="text1"/>
          <w:szCs w:val="24"/>
        </w:rPr>
        <w:t>podpořen</w:t>
      </w:r>
      <w:r w:rsidR="00150903">
        <w:rPr>
          <w:rFonts w:cs="Arial"/>
          <w:color w:val="000000" w:themeColor="text1"/>
          <w:szCs w:val="24"/>
        </w:rPr>
        <w:t>ých</w:t>
      </w:r>
      <w:r>
        <w:rPr>
          <w:rFonts w:cs="Arial"/>
          <w:color w:val="000000" w:themeColor="text1"/>
          <w:szCs w:val="24"/>
        </w:rPr>
        <w:t xml:space="preserve"> </w:t>
      </w:r>
      <w:r w:rsidR="002C5424">
        <w:rPr>
          <w:rFonts w:cs="Arial"/>
          <w:color w:val="000000" w:themeColor="text1"/>
          <w:szCs w:val="24"/>
        </w:rPr>
        <w:t>z</w:t>
      </w:r>
      <w:r>
        <w:rPr>
          <w:rFonts w:cs="Arial"/>
          <w:color w:val="000000" w:themeColor="text1"/>
          <w:szCs w:val="24"/>
        </w:rPr>
        <w:t xml:space="preserve"> programu </w:t>
      </w:r>
      <w:r w:rsidRPr="00C4691A">
        <w:rPr>
          <w:rFonts w:cs="Arial"/>
          <w:i/>
          <w:color w:val="000000" w:themeColor="text1"/>
          <w:szCs w:val="24"/>
        </w:rPr>
        <w:t>Nová zelená úsporám</w:t>
      </w:r>
      <w:r>
        <w:rPr>
          <w:rFonts w:cs="Arial"/>
          <w:color w:val="000000" w:themeColor="text1"/>
          <w:szCs w:val="24"/>
        </w:rPr>
        <w:t xml:space="preserve"> (dále též „program NZÚ“)</w:t>
      </w:r>
      <w:r w:rsidR="00ED0F7B">
        <w:rPr>
          <w:rFonts w:cs="Arial"/>
          <w:color w:val="000000" w:themeColor="text1"/>
          <w:szCs w:val="24"/>
        </w:rPr>
        <w:t xml:space="preserve"> </w:t>
      </w:r>
      <w:r w:rsidR="002C5424">
        <w:rPr>
          <w:rFonts w:cs="Arial"/>
          <w:color w:val="000000" w:themeColor="text1"/>
          <w:szCs w:val="24"/>
        </w:rPr>
        <w:t>v rámci</w:t>
      </w:r>
      <w:r w:rsidR="005752F5">
        <w:rPr>
          <w:rFonts w:cs="Arial"/>
          <w:color w:val="000000" w:themeColor="text1"/>
          <w:szCs w:val="24"/>
        </w:rPr>
        <w:t xml:space="preserve"> podprogramu </w:t>
      </w:r>
      <w:r w:rsidR="005752F5" w:rsidRPr="005752F5">
        <w:rPr>
          <w:rFonts w:cs="Arial"/>
          <w:i/>
          <w:color w:val="000000" w:themeColor="text1"/>
          <w:szCs w:val="24"/>
        </w:rPr>
        <w:t>Bytové domy</w:t>
      </w:r>
      <w:r w:rsidR="00746D0A">
        <w:rPr>
          <w:rFonts w:cs="Arial"/>
          <w:i/>
          <w:color w:val="000000" w:themeColor="text1"/>
          <w:szCs w:val="24"/>
        </w:rPr>
        <w:t xml:space="preserve"> </w:t>
      </w:r>
      <w:r w:rsidR="00746D0A">
        <w:rPr>
          <w:rFonts w:cs="Arial"/>
          <w:color w:val="000000" w:themeColor="text1"/>
          <w:szCs w:val="24"/>
        </w:rPr>
        <w:t>(stávající bytové domy pouze na území hl.</w:t>
      </w:r>
      <w:r w:rsidR="00697B82">
        <w:rPr>
          <w:rFonts w:cs="Arial"/>
          <w:color w:val="000000" w:themeColor="text1"/>
          <w:szCs w:val="24"/>
        </w:rPr>
        <w:t> </w:t>
      </w:r>
      <w:r w:rsidR="00746D0A">
        <w:rPr>
          <w:rFonts w:cs="Arial"/>
          <w:color w:val="000000" w:themeColor="text1"/>
          <w:szCs w:val="24"/>
        </w:rPr>
        <w:t>m. Prah</w:t>
      </w:r>
      <w:r w:rsidR="002C5424">
        <w:rPr>
          <w:rFonts w:cs="Arial"/>
          <w:color w:val="000000" w:themeColor="text1"/>
          <w:szCs w:val="24"/>
        </w:rPr>
        <w:t>y</w:t>
      </w:r>
      <w:r w:rsidR="00746D0A">
        <w:rPr>
          <w:rFonts w:cs="Arial"/>
          <w:color w:val="000000" w:themeColor="text1"/>
          <w:szCs w:val="24"/>
        </w:rPr>
        <w:t>)</w:t>
      </w:r>
      <w:r>
        <w:rPr>
          <w:rFonts w:cs="Arial"/>
          <w:color w:val="000000" w:themeColor="text1"/>
          <w:szCs w:val="24"/>
        </w:rPr>
        <w:t>.</w:t>
      </w:r>
      <w:r w:rsidR="00746D0A">
        <w:rPr>
          <w:rFonts w:cs="Arial"/>
          <w:color w:val="000000" w:themeColor="text1"/>
          <w:szCs w:val="24"/>
        </w:rPr>
        <w:t xml:space="preserve"> </w:t>
      </w:r>
    </w:p>
    <w:p w14:paraId="000F1245" w14:textId="7B5C57C2" w:rsidR="00940CF2" w:rsidRPr="00940CF2" w:rsidRDefault="00940CF2" w:rsidP="00940CF2">
      <w:pPr>
        <w:autoSpaceDE w:val="0"/>
        <w:autoSpaceDN w:val="0"/>
        <w:adjustRightInd w:val="0"/>
        <w:spacing w:after="120"/>
        <w:rPr>
          <w:rFonts w:cs="Arial"/>
          <w:color w:val="000000" w:themeColor="text1"/>
          <w:szCs w:val="24"/>
        </w:rPr>
      </w:pPr>
      <w:r w:rsidRPr="00940CF2">
        <w:rPr>
          <w:rFonts w:cs="Arial"/>
          <w:color w:val="000000" w:themeColor="text1"/>
          <w:szCs w:val="24"/>
        </w:rPr>
        <w:t xml:space="preserve">Kontrolní akce měla prověřit, zda kontrolované osoby poskytují a čerpají peněžní prostředky </w:t>
      </w:r>
      <w:r>
        <w:rPr>
          <w:rFonts w:cs="Arial"/>
          <w:color w:val="000000" w:themeColor="text1"/>
          <w:szCs w:val="24"/>
        </w:rPr>
        <w:t xml:space="preserve">určené na snížení energetické náročnosti bytových domů účelně, efektivně a v souladu s právními předpisy. </w:t>
      </w:r>
      <w:r w:rsidRPr="00940CF2">
        <w:rPr>
          <w:rFonts w:cs="Arial"/>
          <w:color w:val="000000" w:themeColor="text1"/>
          <w:szCs w:val="24"/>
        </w:rPr>
        <w:t xml:space="preserve">NKÚ za tímto účelem provedl kontrolu </w:t>
      </w:r>
      <w:r w:rsidR="00032CE4">
        <w:rPr>
          <w:rFonts w:cs="Arial"/>
          <w:color w:val="000000" w:themeColor="text1"/>
          <w:szCs w:val="24"/>
        </w:rPr>
        <w:t xml:space="preserve">formální a věcné správnosti vybraných činností </w:t>
      </w:r>
      <w:r w:rsidRPr="00940CF2">
        <w:rPr>
          <w:rFonts w:cs="Arial"/>
          <w:color w:val="000000" w:themeColor="text1"/>
          <w:szCs w:val="24"/>
        </w:rPr>
        <w:t xml:space="preserve">u Ministerstva </w:t>
      </w:r>
      <w:r>
        <w:rPr>
          <w:rFonts w:cs="Arial"/>
          <w:color w:val="000000" w:themeColor="text1"/>
          <w:szCs w:val="24"/>
        </w:rPr>
        <w:t>pro místní rozvoj, Ministerstva životního prostředí, Centra pro regionální rozvoj Č</w:t>
      </w:r>
      <w:r w:rsidR="000D47E2">
        <w:rPr>
          <w:rFonts w:cs="Arial"/>
          <w:color w:val="000000" w:themeColor="text1"/>
          <w:szCs w:val="24"/>
        </w:rPr>
        <w:t xml:space="preserve">eské republiky a </w:t>
      </w:r>
      <w:r>
        <w:rPr>
          <w:rFonts w:cs="Arial"/>
          <w:color w:val="000000" w:themeColor="text1"/>
          <w:szCs w:val="24"/>
        </w:rPr>
        <w:t>Státního fondu životního prostředí</w:t>
      </w:r>
      <w:r w:rsidR="000D47E2">
        <w:rPr>
          <w:rFonts w:cs="Arial"/>
          <w:color w:val="000000" w:themeColor="text1"/>
          <w:szCs w:val="24"/>
        </w:rPr>
        <w:t xml:space="preserve"> České republiky</w:t>
      </w:r>
      <w:r w:rsidR="004147A0">
        <w:rPr>
          <w:rFonts w:cs="Arial"/>
          <w:color w:val="000000" w:themeColor="text1"/>
          <w:szCs w:val="24"/>
        </w:rPr>
        <w:t xml:space="preserve"> </w:t>
      </w:r>
      <w:r w:rsidR="0012692C">
        <w:rPr>
          <w:rFonts w:cs="Arial"/>
          <w:color w:val="000000" w:themeColor="text1"/>
          <w:szCs w:val="24"/>
        </w:rPr>
        <w:t>a </w:t>
      </w:r>
      <w:r w:rsidRPr="00940CF2">
        <w:rPr>
          <w:rFonts w:cs="Arial"/>
          <w:color w:val="000000" w:themeColor="text1"/>
          <w:szCs w:val="24"/>
        </w:rPr>
        <w:t xml:space="preserve">rovněž prověřil u příjemců podpory </w:t>
      </w:r>
      <w:r w:rsidR="00CA3402">
        <w:rPr>
          <w:rFonts w:cs="Arial"/>
          <w:color w:val="000000" w:themeColor="text1"/>
          <w:szCs w:val="24"/>
        </w:rPr>
        <w:t>čtrnáct</w:t>
      </w:r>
      <w:r w:rsidRPr="00940CF2">
        <w:rPr>
          <w:rFonts w:cs="Arial"/>
          <w:color w:val="000000" w:themeColor="text1"/>
          <w:szCs w:val="24"/>
        </w:rPr>
        <w:t xml:space="preserve"> projekt</w:t>
      </w:r>
      <w:r>
        <w:rPr>
          <w:rFonts w:cs="Arial"/>
          <w:color w:val="000000" w:themeColor="text1"/>
          <w:szCs w:val="24"/>
        </w:rPr>
        <w:t xml:space="preserve">ů, které by měly </w:t>
      </w:r>
      <w:r w:rsidR="00150903">
        <w:rPr>
          <w:rFonts w:cs="Arial"/>
          <w:color w:val="000000" w:themeColor="text1"/>
          <w:szCs w:val="24"/>
        </w:rPr>
        <w:t xml:space="preserve">generovanými </w:t>
      </w:r>
      <w:r>
        <w:rPr>
          <w:rFonts w:cs="Arial"/>
          <w:color w:val="000000" w:themeColor="text1"/>
          <w:szCs w:val="24"/>
        </w:rPr>
        <w:t xml:space="preserve">úsporami </w:t>
      </w:r>
      <w:r w:rsidR="00FE5235">
        <w:rPr>
          <w:rFonts w:cs="Arial"/>
          <w:color w:val="000000" w:themeColor="text1"/>
          <w:szCs w:val="24"/>
        </w:rPr>
        <w:t>energie přispět ke snížení konečné spotřeby energie v sektoru domácností.</w:t>
      </w:r>
    </w:p>
    <w:p w14:paraId="784C47F8" w14:textId="48F0C54B" w:rsidR="00940CF2" w:rsidRPr="0040150D" w:rsidRDefault="00940CF2" w:rsidP="00940CF2">
      <w:pPr>
        <w:autoSpaceDE w:val="0"/>
        <w:autoSpaceDN w:val="0"/>
        <w:adjustRightInd w:val="0"/>
        <w:spacing w:after="120"/>
        <w:rPr>
          <w:rFonts w:cs="Arial"/>
          <w:b/>
          <w:color w:val="000000" w:themeColor="text1"/>
          <w:szCs w:val="24"/>
        </w:rPr>
      </w:pPr>
      <w:r w:rsidRPr="0040150D">
        <w:rPr>
          <w:rFonts w:cs="Arial"/>
          <w:b/>
          <w:color w:val="000000" w:themeColor="text1"/>
          <w:szCs w:val="24"/>
        </w:rPr>
        <w:t xml:space="preserve">NKÚ na základě kontroly </w:t>
      </w:r>
      <w:r w:rsidR="002C5424" w:rsidRPr="0040150D">
        <w:rPr>
          <w:rFonts w:cs="Arial"/>
          <w:b/>
          <w:color w:val="000000" w:themeColor="text1"/>
          <w:szCs w:val="24"/>
        </w:rPr>
        <w:t xml:space="preserve">provedené </w:t>
      </w:r>
      <w:r w:rsidRPr="0040150D">
        <w:rPr>
          <w:rFonts w:cs="Arial"/>
          <w:b/>
          <w:color w:val="000000" w:themeColor="text1"/>
          <w:szCs w:val="24"/>
        </w:rPr>
        <w:t xml:space="preserve">u výše uvedených subjektů a na základě následného vyhodnocení zjištěných skutečností konstatuje: </w:t>
      </w:r>
    </w:p>
    <w:p w14:paraId="35B30959" w14:textId="3F45251E" w:rsidR="00D82296" w:rsidRDefault="00D9646F" w:rsidP="00DC56EA">
      <w:pPr>
        <w:autoSpaceDE w:val="0"/>
        <w:autoSpaceDN w:val="0"/>
        <w:adjustRightInd w:val="0"/>
        <w:spacing w:after="120"/>
        <w:rPr>
          <w:b/>
          <w:bCs/>
        </w:rPr>
      </w:pPr>
      <w:r>
        <w:rPr>
          <w:b/>
          <w:bCs/>
        </w:rPr>
        <w:t>MMR a MŽP poskytováním peněžních prostředků určených na opatření ke snížení energetické náročnosti bytových domů nenaplnily k datu 31. 12. 202</w:t>
      </w:r>
      <w:r w:rsidR="00DC56EA">
        <w:rPr>
          <w:b/>
          <w:bCs/>
        </w:rPr>
        <w:t>0</w:t>
      </w:r>
      <w:r>
        <w:rPr>
          <w:b/>
          <w:bCs/>
        </w:rPr>
        <w:t xml:space="preserve"> p</w:t>
      </w:r>
      <w:r w:rsidR="00ED0F7B" w:rsidRPr="00D86383">
        <w:rPr>
          <w:b/>
          <w:bCs/>
        </w:rPr>
        <w:t>redikované úspory energie ve vztahu k cíli</w:t>
      </w:r>
      <w:r w:rsidR="00D03322">
        <w:rPr>
          <w:rStyle w:val="Znakapoznpodarou"/>
          <w:b/>
          <w:bCs/>
        </w:rPr>
        <w:footnoteReference w:id="5"/>
      </w:r>
      <w:r w:rsidR="00ED0F7B" w:rsidRPr="00D86383">
        <w:rPr>
          <w:b/>
          <w:bCs/>
        </w:rPr>
        <w:t xml:space="preserve"> ČR</w:t>
      </w:r>
      <w:r w:rsidR="002535CD">
        <w:rPr>
          <w:b/>
          <w:bCs/>
        </w:rPr>
        <w:t xml:space="preserve"> </w:t>
      </w:r>
      <w:r w:rsidR="00ED0F7B" w:rsidRPr="00D86383">
        <w:rPr>
          <w:b/>
          <w:bCs/>
        </w:rPr>
        <w:t>dle směrnice o energetické účinnosti</w:t>
      </w:r>
      <w:r w:rsidR="004D7005">
        <w:rPr>
          <w:rStyle w:val="Znakapoznpodarou"/>
          <w:b/>
          <w:bCs/>
        </w:rPr>
        <w:footnoteReference w:id="6"/>
      </w:r>
      <w:r w:rsidR="00ED0F7B" w:rsidRPr="00D86383">
        <w:rPr>
          <w:b/>
          <w:bCs/>
        </w:rPr>
        <w:t xml:space="preserve"> </w:t>
      </w:r>
      <w:r w:rsidR="002535CD">
        <w:rPr>
          <w:bCs/>
        </w:rPr>
        <w:t>(dále též „směrnice EE</w:t>
      </w:r>
      <w:r w:rsidR="0083441D">
        <w:rPr>
          <w:bCs/>
        </w:rPr>
        <w:t>D</w:t>
      </w:r>
      <w:r w:rsidR="002535CD">
        <w:rPr>
          <w:bCs/>
        </w:rPr>
        <w:t xml:space="preserve">“) </w:t>
      </w:r>
      <w:r w:rsidR="00ED0F7B" w:rsidRPr="00D86383">
        <w:rPr>
          <w:b/>
          <w:bCs/>
        </w:rPr>
        <w:t xml:space="preserve">v rámci strategie </w:t>
      </w:r>
      <w:r w:rsidR="00ED0F7B" w:rsidRPr="00C4691A">
        <w:rPr>
          <w:b/>
          <w:bCs/>
          <w:i/>
        </w:rPr>
        <w:t>Evropa 2020</w:t>
      </w:r>
      <w:r w:rsidR="00E779A7">
        <w:rPr>
          <w:rStyle w:val="Znakapoznpodarou"/>
          <w:b/>
          <w:bCs/>
        </w:rPr>
        <w:footnoteReference w:id="7"/>
      </w:r>
      <w:r>
        <w:rPr>
          <w:b/>
          <w:bCs/>
        </w:rPr>
        <w:t xml:space="preserve">. </w:t>
      </w:r>
    </w:p>
    <w:p w14:paraId="7825E32E" w14:textId="5D3B6BC7" w:rsidR="00D82296" w:rsidRPr="00BC6253" w:rsidRDefault="00D82296" w:rsidP="00D82296">
      <w:pPr>
        <w:autoSpaceDE w:val="0"/>
        <w:autoSpaceDN w:val="0"/>
        <w:adjustRightInd w:val="0"/>
        <w:spacing w:after="120"/>
        <w:rPr>
          <w:b/>
          <w:bCs/>
        </w:rPr>
      </w:pPr>
      <w:r>
        <w:rPr>
          <w:b/>
          <w:bCs/>
        </w:rPr>
        <w:t>Programy IROP a NZÚ využily jen zčásti alokací peněžních prostředků určených pro příslušné výzvy, a to necelých 3</w:t>
      </w:r>
      <w:r w:rsidR="007B5AC3">
        <w:rPr>
          <w:b/>
          <w:bCs/>
        </w:rPr>
        <w:t>2</w:t>
      </w:r>
      <w:r>
        <w:rPr>
          <w:b/>
          <w:bCs/>
        </w:rPr>
        <w:t xml:space="preserve"> % (IROP), respektive 33 % (program NZÚ</w:t>
      </w:r>
      <w:r w:rsidR="00ED40FA">
        <w:rPr>
          <w:b/>
          <w:bCs/>
        </w:rPr>
        <w:t>)</w:t>
      </w:r>
      <w:r>
        <w:rPr>
          <w:b/>
          <w:bCs/>
        </w:rPr>
        <w:t>. Oba programy sice vykázaly úspory energie, avšak nízkými hodnotami úspor nedosáhly k 31. 12. 2020 ani svých plánovaných programových závazků</w:t>
      </w:r>
      <w:r w:rsidR="00093D29">
        <w:rPr>
          <w:rStyle w:val="Znakapoznpodarou"/>
          <w:b/>
          <w:bCs/>
        </w:rPr>
        <w:footnoteReference w:id="8"/>
      </w:r>
      <w:r w:rsidR="00F84671">
        <w:rPr>
          <w:b/>
          <w:bCs/>
        </w:rPr>
        <w:t xml:space="preserve">. </w:t>
      </w:r>
    </w:p>
    <w:p w14:paraId="6F8BEA40" w14:textId="062C5763" w:rsidR="007852A3" w:rsidRDefault="00DC56EA" w:rsidP="00DC56EA">
      <w:pPr>
        <w:autoSpaceDE w:val="0"/>
        <w:autoSpaceDN w:val="0"/>
        <w:adjustRightInd w:val="0"/>
        <w:spacing w:after="120"/>
        <w:rPr>
          <w:b/>
          <w:bCs/>
        </w:rPr>
      </w:pPr>
      <w:r w:rsidRPr="00DC56EA">
        <w:rPr>
          <w:b/>
          <w:bCs/>
        </w:rPr>
        <w:t xml:space="preserve">Nesplnění závazku </w:t>
      </w:r>
      <w:r w:rsidR="002C5424">
        <w:rPr>
          <w:b/>
          <w:bCs/>
        </w:rPr>
        <w:t>u</w:t>
      </w:r>
      <w:r w:rsidRPr="00DC56EA">
        <w:rPr>
          <w:b/>
          <w:bCs/>
        </w:rPr>
        <w:t xml:space="preserve"> IROP bylo důsledkem pozdního zahájení poskytování podpory a tím způsobené</w:t>
      </w:r>
      <w:r w:rsidR="00D03322">
        <w:rPr>
          <w:b/>
          <w:bCs/>
        </w:rPr>
        <w:t>ho</w:t>
      </w:r>
      <w:r w:rsidRPr="00DC56EA">
        <w:rPr>
          <w:b/>
          <w:bCs/>
        </w:rPr>
        <w:t xml:space="preserve"> ukončování většiny projektů zpravidla až po roce 2020</w:t>
      </w:r>
      <w:r w:rsidR="00036342">
        <w:rPr>
          <w:rStyle w:val="Znakapoznpodarou"/>
          <w:b/>
          <w:bCs/>
        </w:rPr>
        <w:footnoteReference w:id="9"/>
      </w:r>
      <w:r w:rsidR="00ED0176">
        <w:rPr>
          <w:b/>
          <w:bCs/>
        </w:rPr>
        <w:t>. D</w:t>
      </w:r>
      <w:r w:rsidRPr="00DC56EA">
        <w:rPr>
          <w:b/>
          <w:bCs/>
        </w:rPr>
        <w:t xml:space="preserve">ále </w:t>
      </w:r>
      <w:r w:rsidR="00ED0176">
        <w:rPr>
          <w:b/>
          <w:bCs/>
        </w:rPr>
        <w:t xml:space="preserve">bylo ovlivněno </w:t>
      </w:r>
      <w:r w:rsidRPr="00DC56EA">
        <w:rPr>
          <w:b/>
          <w:bCs/>
        </w:rPr>
        <w:t>snížením dispon</w:t>
      </w:r>
      <w:r w:rsidR="00D03322">
        <w:rPr>
          <w:b/>
          <w:bCs/>
        </w:rPr>
        <w:t>i</w:t>
      </w:r>
      <w:r w:rsidRPr="00DC56EA">
        <w:rPr>
          <w:b/>
          <w:bCs/>
        </w:rPr>
        <w:t xml:space="preserve">bilních zdrojů </w:t>
      </w:r>
      <w:r w:rsidR="00ED0176">
        <w:rPr>
          <w:b/>
          <w:bCs/>
        </w:rPr>
        <w:t xml:space="preserve">IROP </w:t>
      </w:r>
      <w:r w:rsidRPr="00DC56EA">
        <w:rPr>
          <w:b/>
          <w:bCs/>
        </w:rPr>
        <w:t>na toto opatření z důvodu počáteční nízké poptávky po</w:t>
      </w:r>
      <w:r w:rsidR="006317B2">
        <w:rPr>
          <w:b/>
          <w:bCs/>
        </w:rPr>
        <w:t> </w:t>
      </w:r>
      <w:r w:rsidR="00ED0176">
        <w:rPr>
          <w:b/>
          <w:bCs/>
        </w:rPr>
        <w:t xml:space="preserve">podpoře z </w:t>
      </w:r>
      <w:r w:rsidRPr="00DC56EA">
        <w:rPr>
          <w:b/>
          <w:bCs/>
        </w:rPr>
        <w:t>této oblasti</w:t>
      </w:r>
      <w:r w:rsidR="00ED0176">
        <w:rPr>
          <w:b/>
          <w:bCs/>
        </w:rPr>
        <w:t xml:space="preserve">. </w:t>
      </w:r>
      <w:r w:rsidR="002535CD" w:rsidRPr="00BC6253">
        <w:rPr>
          <w:b/>
          <w:bCs/>
        </w:rPr>
        <w:t xml:space="preserve">Hlavní </w:t>
      </w:r>
      <w:r w:rsidRPr="00BC6253">
        <w:rPr>
          <w:b/>
          <w:bCs/>
        </w:rPr>
        <w:t xml:space="preserve">příčinou </w:t>
      </w:r>
      <w:r w:rsidR="004E66B2" w:rsidRPr="00BC6253">
        <w:rPr>
          <w:b/>
          <w:bCs/>
        </w:rPr>
        <w:t>nenaplnění závazk</w:t>
      </w:r>
      <w:r w:rsidR="00D9646F" w:rsidRPr="00BC6253">
        <w:rPr>
          <w:b/>
          <w:bCs/>
        </w:rPr>
        <w:t>u</w:t>
      </w:r>
      <w:r w:rsidR="004E66B2" w:rsidRPr="00BC6253">
        <w:rPr>
          <w:b/>
          <w:bCs/>
        </w:rPr>
        <w:t xml:space="preserve"> </w:t>
      </w:r>
      <w:r w:rsidR="00D9646F" w:rsidRPr="00BC6253">
        <w:rPr>
          <w:b/>
          <w:bCs/>
        </w:rPr>
        <w:t xml:space="preserve">u programu NZÚ </w:t>
      </w:r>
      <w:r w:rsidRPr="00BC6253">
        <w:rPr>
          <w:b/>
          <w:bCs/>
        </w:rPr>
        <w:t xml:space="preserve">bylo rovněž </w:t>
      </w:r>
      <w:r w:rsidR="00D9646F" w:rsidRPr="00BC6253">
        <w:rPr>
          <w:b/>
          <w:bCs/>
        </w:rPr>
        <w:t>p</w:t>
      </w:r>
      <w:r w:rsidR="004D7005" w:rsidRPr="00BC6253">
        <w:rPr>
          <w:b/>
          <w:bCs/>
        </w:rPr>
        <w:t xml:space="preserve">ozdní </w:t>
      </w:r>
      <w:r w:rsidR="0024363A">
        <w:rPr>
          <w:b/>
          <w:bCs/>
        </w:rPr>
        <w:t xml:space="preserve">zahájení </w:t>
      </w:r>
      <w:r w:rsidR="004D7005" w:rsidRPr="00BC6253">
        <w:rPr>
          <w:b/>
          <w:bCs/>
        </w:rPr>
        <w:t xml:space="preserve">podprogramu </w:t>
      </w:r>
      <w:r w:rsidR="004D7005" w:rsidRPr="00BC6253">
        <w:rPr>
          <w:b/>
          <w:bCs/>
          <w:i/>
        </w:rPr>
        <w:t>Bytové domy</w:t>
      </w:r>
      <w:r w:rsidR="007A0FA6">
        <w:rPr>
          <w:b/>
          <w:bCs/>
          <w:i/>
        </w:rPr>
        <w:t xml:space="preserve"> </w:t>
      </w:r>
      <w:r w:rsidR="007A0FA6">
        <w:rPr>
          <w:b/>
          <w:bCs/>
        </w:rPr>
        <w:t>a nedostatečný</w:t>
      </w:r>
      <w:r w:rsidR="004D7005" w:rsidRPr="00BC6253">
        <w:rPr>
          <w:b/>
          <w:bCs/>
        </w:rPr>
        <w:t xml:space="preserve"> zájem</w:t>
      </w:r>
      <w:r w:rsidR="0057309C">
        <w:rPr>
          <w:b/>
          <w:bCs/>
        </w:rPr>
        <w:t xml:space="preserve"> žadatelů</w:t>
      </w:r>
      <w:r w:rsidR="004D7005" w:rsidRPr="00BC6253">
        <w:rPr>
          <w:b/>
          <w:bCs/>
        </w:rPr>
        <w:t xml:space="preserve"> </w:t>
      </w:r>
      <w:r w:rsidRPr="00BC6253">
        <w:rPr>
          <w:b/>
          <w:bCs/>
        </w:rPr>
        <w:t xml:space="preserve">z důvodu stanovení nízké míry </w:t>
      </w:r>
      <w:r w:rsidR="007A0FA6">
        <w:rPr>
          <w:b/>
          <w:bCs/>
        </w:rPr>
        <w:t xml:space="preserve">dotační </w:t>
      </w:r>
      <w:r w:rsidR="0012692C">
        <w:rPr>
          <w:b/>
          <w:bCs/>
        </w:rPr>
        <w:t>podpory u </w:t>
      </w:r>
      <w:r w:rsidRPr="00BC6253">
        <w:rPr>
          <w:b/>
          <w:bCs/>
        </w:rPr>
        <w:t>první výzvy</w:t>
      </w:r>
      <w:r w:rsidR="00BC6253" w:rsidRPr="00BC6253">
        <w:rPr>
          <w:b/>
          <w:bCs/>
        </w:rPr>
        <w:t xml:space="preserve"> </w:t>
      </w:r>
      <w:r w:rsidR="007A0FA6">
        <w:rPr>
          <w:b/>
          <w:bCs/>
        </w:rPr>
        <w:t xml:space="preserve">vyhlášené pro </w:t>
      </w:r>
      <w:r w:rsidR="0045560A">
        <w:rPr>
          <w:b/>
          <w:bCs/>
        </w:rPr>
        <w:t xml:space="preserve">tento podprogram. </w:t>
      </w:r>
    </w:p>
    <w:p w14:paraId="2171E2CA" w14:textId="04131EA8" w:rsidR="00940CF2" w:rsidRPr="00ED0F7B" w:rsidRDefault="00940CF2" w:rsidP="00ED0F7B">
      <w:pPr>
        <w:autoSpaceDE w:val="0"/>
        <w:autoSpaceDN w:val="0"/>
        <w:adjustRightInd w:val="0"/>
        <w:spacing w:after="120"/>
        <w:rPr>
          <w:rFonts w:cs="Arial"/>
          <w:b/>
          <w:szCs w:val="24"/>
        </w:rPr>
      </w:pPr>
      <w:r w:rsidRPr="00ED0F7B">
        <w:rPr>
          <w:rFonts w:cs="Arial"/>
          <w:b/>
          <w:szCs w:val="24"/>
        </w:rPr>
        <w:lastRenderedPageBreak/>
        <w:t>M</w:t>
      </w:r>
      <w:r w:rsidR="00FE5235" w:rsidRPr="00ED0F7B">
        <w:rPr>
          <w:rFonts w:cs="Arial"/>
          <w:b/>
          <w:szCs w:val="24"/>
        </w:rPr>
        <w:t>MR</w:t>
      </w:r>
      <w:r w:rsidR="004D7005">
        <w:rPr>
          <w:rFonts w:cs="Arial"/>
          <w:b/>
          <w:szCs w:val="24"/>
        </w:rPr>
        <w:t xml:space="preserve"> a </w:t>
      </w:r>
      <w:r w:rsidR="00FE5235" w:rsidRPr="00ED0F7B">
        <w:rPr>
          <w:rFonts w:cs="Arial"/>
          <w:b/>
          <w:szCs w:val="24"/>
        </w:rPr>
        <w:t>MŽP</w:t>
      </w:r>
      <w:r w:rsidR="004D7005">
        <w:rPr>
          <w:rFonts w:cs="Arial"/>
          <w:b/>
          <w:szCs w:val="24"/>
        </w:rPr>
        <w:t xml:space="preserve"> jako poskytovatelé podpory z IROP a z programu NZÚ a </w:t>
      </w:r>
      <w:r w:rsidR="001B18A3">
        <w:rPr>
          <w:rFonts w:cs="Arial"/>
          <w:b/>
          <w:szCs w:val="24"/>
        </w:rPr>
        <w:t xml:space="preserve">jimi pověřené subjekty </w:t>
      </w:r>
      <w:proofErr w:type="spellStart"/>
      <w:r w:rsidR="001B18A3">
        <w:rPr>
          <w:rFonts w:cs="Arial"/>
          <w:b/>
          <w:szCs w:val="24"/>
        </w:rPr>
        <w:t>administrující</w:t>
      </w:r>
      <w:proofErr w:type="spellEnd"/>
      <w:r w:rsidR="001B18A3">
        <w:rPr>
          <w:rFonts w:cs="Arial"/>
          <w:b/>
          <w:szCs w:val="24"/>
        </w:rPr>
        <w:t xml:space="preserve"> podporu z uvedených programů</w:t>
      </w:r>
      <w:r w:rsidR="004E66B2">
        <w:rPr>
          <w:rFonts w:cs="Arial"/>
          <w:b/>
          <w:szCs w:val="24"/>
        </w:rPr>
        <w:t>, tj. CRR (IROP) a SFŽP (NZÚ)</w:t>
      </w:r>
      <w:r w:rsidR="005C7ED9">
        <w:rPr>
          <w:rFonts w:cs="Arial"/>
          <w:b/>
          <w:szCs w:val="24"/>
        </w:rPr>
        <w:t>,</w:t>
      </w:r>
      <w:r w:rsidR="004E66B2">
        <w:rPr>
          <w:rFonts w:cs="Arial"/>
          <w:b/>
          <w:szCs w:val="24"/>
        </w:rPr>
        <w:t xml:space="preserve"> </w:t>
      </w:r>
      <w:r w:rsidR="00A97187">
        <w:rPr>
          <w:rFonts w:cs="Arial"/>
          <w:b/>
          <w:szCs w:val="24"/>
        </w:rPr>
        <w:t xml:space="preserve">alokovaly, respektive </w:t>
      </w:r>
      <w:r w:rsidR="001B18A3">
        <w:rPr>
          <w:rFonts w:cs="Arial"/>
          <w:b/>
          <w:szCs w:val="24"/>
        </w:rPr>
        <w:t>po</w:t>
      </w:r>
      <w:r w:rsidRPr="00ED0F7B">
        <w:rPr>
          <w:rFonts w:cs="Arial"/>
          <w:b/>
          <w:szCs w:val="24"/>
        </w:rPr>
        <w:t>skyt</w:t>
      </w:r>
      <w:r w:rsidR="00D82296">
        <w:rPr>
          <w:rFonts w:cs="Arial"/>
          <w:b/>
          <w:szCs w:val="24"/>
        </w:rPr>
        <w:t xml:space="preserve">ovaly v období do 31. 12. 2020 </w:t>
      </w:r>
      <w:r w:rsidRPr="00ED0F7B">
        <w:rPr>
          <w:rFonts w:cs="Arial"/>
          <w:b/>
          <w:szCs w:val="24"/>
        </w:rPr>
        <w:t>peněžní prostředky na realizaci projektů</w:t>
      </w:r>
      <w:r w:rsidR="001B18A3">
        <w:rPr>
          <w:rFonts w:cs="Arial"/>
          <w:b/>
          <w:szCs w:val="24"/>
        </w:rPr>
        <w:t xml:space="preserve"> </w:t>
      </w:r>
      <w:r w:rsidRPr="00ED0F7B">
        <w:rPr>
          <w:rFonts w:cs="Arial"/>
          <w:b/>
          <w:szCs w:val="24"/>
        </w:rPr>
        <w:t>zaměřených na úspory energie:</w:t>
      </w:r>
    </w:p>
    <w:p w14:paraId="3564B190" w14:textId="65CD0899" w:rsidR="0084558A" w:rsidRDefault="0033401C" w:rsidP="00FE65E9">
      <w:pPr>
        <w:pStyle w:val="Odstavecseseznamem"/>
        <w:numPr>
          <w:ilvl w:val="0"/>
          <w:numId w:val="17"/>
        </w:numPr>
        <w:rPr>
          <w:rFonts w:cs="Arial"/>
          <w:b/>
          <w:color w:val="000000" w:themeColor="text1"/>
          <w:szCs w:val="24"/>
        </w:rPr>
      </w:pPr>
      <w:r>
        <w:rPr>
          <w:rFonts w:cs="Arial"/>
          <w:b/>
          <w:color w:val="000000" w:themeColor="text1"/>
          <w:szCs w:val="24"/>
        </w:rPr>
        <w:t>ne</w:t>
      </w:r>
      <w:r w:rsidR="0084558A">
        <w:rPr>
          <w:rFonts w:cs="Arial"/>
          <w:b/>
          <w:color w:val="000000" w:themeColor="text1"/>
          <w:szCs w:val="24"/>
        </w:rPr>
        <w:t xml:space="preserve">účelně ve smyslu </w:t>
      </w:r>
      <w:r w:rsidR="005948B1">
        <w:rPr>
          <w:rFonts w:cs="Arial"/>
          <w:b/>
          <w:color w:val="000000" w:themeColor="text1"/>
          <w:szCs w:val="24"/>
        </w:rPr>
        <w:t xml:space="preserve">nenaplnění </w:t>
      </w:r>
      <w:r w:rsidR="0084558A">
        <w:rPr>
          <w:rFonts w:cs="Arial"/>
          <w:b/>
          <w:color w:val="000000" w:themeColor="text1"/>
          <w:szCs w:val="24"/>
        </w:rPr>
        <w:t>hodnot v úsporách energi</w:t>
      </w:r>
      <w:r w:rsidR="005948B1">
        <w:rPr>
          <w:rFonts w:cs="Arial"/>
          <w:b/>
          <w:color w:val="000000" w:themeColor="text1"/>
          <w:szCs w:val="24"/>
        </w:rPr>
        <w:t xml:space="preserve">e </w:t>
      </w:r>
      <w:r w:rsidR="00D82296">
        <w:rPr>
          <w:rFonts w:cs="Arial"/>
          <w:b/>
          <w:color w:val="000000" w:themeColor="text1"/>
          <w:szCs w:val="24"/>
        </w:rPr>
        <w:t xml:space="preserve">stanovených vládou ČR pro </w:t>
      </w:r>
      <w:r w:rsidR="00C971DB">
        <w:rPr>
          <w:rFonts w:cs="Arial"/>
          <w:b/>
          <w:color w:val="000000" w:themeColor="text1"/>
          <w:szCs w:val="24"/>
        </w:rPr>
        <w:t xml:space="preserve">IROP a </w:t>
      </w:r>
      <w:r w:rsidR="005948B1">
        <w:rPr>
          <w:rFonts w:cs="Arial"/>
          <w:b/>
          <w:color w:val="000000" w:themeColor="text1"/>
          <w:szCs w:val="24"/>
        </w:rPr>
        <w:t>program</w:t>
      </w:r>
      <w:r w:rsidR="00C971DB">
        <w:rPr>
          <w:rFonts w:cs="Arial"/>
          <w:b/>
          <w:color w:val="000000" w:themeColor="text1"/>
          <w:szCs w:val="24"/>
        </w:rPr>
        <w:t xml:space="preserve"> NZÚ</w:t>
      </w:r>
      <w:r w:rsidR="005948B1">
        <w:rPr>
          <w:rFonts w:cs="Arial"/>
          <w:b/>
          <w:color w:val="000000" w:themeColor="text1"/>
          <w:szCs w:val="24"/>
        </w:rPr>
        <w:t xml:space="preserve">; </w:t>
      </w:r>
    </w:p>
    <w:p w14:paraId="0CBD5745" w14:textId="10CCE762" w:rsidR="00CA3402" w:rsidRPr="00FE65E9" w:rsidRDefault="007852A3" w:rsidP="00FE65E9">
      <w:pPr>
        <w:pStyle w:val="Odstavecseseznamem"/>
        <w:numPr>
          <w:ilvl w:val="0"/>
          <w:numId w:val="17"/>
        </w:numPr>
        <w:rPr>
          <w:rFonts w:cs="Arial"/>
          <w:b/>
          <w:color w:val="000000" w:themeColor="text1"/>
          <w:szCs w:val="24"/>
        </w:rPr>
      </w:pPr>
      <w:r>
        <w:rPr>
          <w:rFonts w:cs="Arial"/>
          <w:b/>
          <w:color w:val="000000" w:themeColor="text1"/>
          <w:szCs w:val="24"/>
        </w:rPr>
        <w:t xml:space="preserve">na daný účel </w:t>
      </w:r>
      <w:r w:rsidR="00B95755" w:rsidRPr="00FE65E9">
        <w:rPr>
          <w:rFonts w:cs="Arial"/>
          <w:b/>
          <w:color w:val="000000" w:themeColor="text1"/>
          <w:szCs w:val="24"/>
        </w:rPr>
        <w:t xml:space="preserve">ve smyslu </w:t>
      </w:r>
      <w:r w:rsidR="005948B1">
        <w:rPr>
          <w:rFonts w:cs="Arial"/>
          <w:b/>
          <w:color w:val="000000" w:themeColor="text1"/>
          <w:szCs w:val="24"/>
        </w:rPr>
        <w:t xml:space="preserve">odpovídajícího </w:t>
      </w:r>
      <w:r w:rsidR="00B95755" w:rsidRPr="00FE65E9">
        <w:rPr>
          <w:rFonts w:cs="Arial"/>
          <w:b/>
          <w:color w:val="000000" w:themeColor="text1"/>
          <w:szCs w:val="24"/>
        </w:rPr>
        <w:t xml:space="preserve">zacílení poskytované podpory a jejího příspěvku ke snížení energetické náročnosti bytových domů </w:t>
      </w:r>
      <w:r w:rsidR="00494DA6" w:rsidRPr="00FE65E9">
        <w:rPr>
          <w:rFonts w:cs="Arial"/>
          <w:b/>
          <w:color w:val="000000" w:themeColor="text1"/>
          <w:szCs w:val="24"/>
        </w:rPr>
        <w:t xml:space="preserve">a </w:t>
      </w:r>
      <w:r w:rsidR="00FE65E9">
        <w:rPr>
          <w:rFonts w:cs="Arial"/>
          <w:b/>
          <w:color w:val="000000" w:themeColor="text1"/>
          <w:szCs w:val="24"/>
        </w:rPr>
        <w:t xml:space="preserve">ke </w:t>
      </w:r>
      <w:r w:rsidR="00FE65E9" w:rsidRPr="00FE65E9">
        <w:rPr>
          <w:rFonts w:cs="Arial"/>
          <w:b/>
          <w:color w:val="000000" w:themeColor="text1"/>
          <w:szCs w:val="24"/>
        </w:rPr>
        <w:t>s</w:t>
      </w:r>
      <w:r w:rsidR="00A90BF6">
        <w:rPr>
          <w:rFonts w:cs="Arial"/>
          <w:b/>
          <w:color w:val="000000" w:themeColor="text1"/>
          <w:szCs w:val="24"/>
        </w:rPr>
        <w:t>nížení emisí skleníkových plynů;</w:t>
      </w:r>
      <w:r w:rsidR="00B95755" w:rsidRPr="00FE65E9">
        <w:rPr>
          <w:rFonts w:cs="Arial"/>
          <w:b/>
          <w:color w:val="000000" w:themeColor="text1"/>
          <w:szCs w:val="24"/>
        </w:rPr>
        <w:t xml:space="preserve"> </w:t>
      </w:r>
    </w:p>
    <w:p w14:paraId="508A0318" w14:textId="62217245" w:rsidR="00E537AB" w:rsidRPr="00B80F8B" w:rsidRDefault="00E537AB" w:rsidP="00264849">
      <w:pPr>
        <w:pStyle w:val="Odstavecseseznamem"/>
        <w:numPr>
          <w:ilvl w:val="0"/>
          <w:numId w:val="17"/>
        </w:numPr>
        <w:rPr>
          <w:rFonts w:cs="Arial"/>
          <w:b/>
          <w:color w:val="000000" w:themeColor="text1"/>
          <w:szCs w:val="24"/>
        </w:rPr>
      </w:pPr>
      <w:r w:rsidRPr="00B80F8B">
        <w:rPr>
          <w:rFonts w:cs="Arial"/>
          <w:b/>
          <w:color w:val="000000" w:themeColor="text1"/>
          <w:szCs w:val="24"/>
        </w:rPr>
        <w:t xml:space="preserve">efektivně </w:t>
      </w:r>
      <w:r w:rsidR="00B95755" w:rsidRPr="00B80F8B">
        <w:rPr>
          <w:rFonts w:cs="Arial"/>
          <w:b/>
          <w:color w:val="000000" w:themeColor="text1"/>
          <w:szCs w:val="24"/>
        </w:rPr>
        <w:t xml:space="preserve">ve smyslu </w:t>
      </w:r>
      <w:r w:rsidR="0084558A">
        <w:rPr>
          <w:rFonts w:cs="Arial"/>
          <w:b/>
          <w:color w:val="000000" w:themeColor="text1"/>
          <w:szCs w:val="24"/>
        </w:rPr>
        <w:t xml:space="preserve">dosažení efektu snížení spotřeby energie díky provedeným opatřením v projektech a rovněž ve smyslu </w:t>
      </w:r>
      <w:r w:rsidR="00B95755" w:rsidRPr="00B80F8B">
        <w:rPr>
          <w:rFonts w:cs="Arial"/>
          <w:b/>
          <w:color w:val="000000" w:themeColor="text1"/>
          <w:szCs w:val="24"/>
        </w:rPr>
        <w:t xml:space="preserve">dodržení </w:t>
      </w:r>
      <w:r w:rsidR="00E66ECB">
        <w:rPr>
          <w:rFonts w:cs="Arial"/>
          <w:b/>
          <w:color w:val="000000" w:themeColor="text1"/>
          <w:szCs w:val="24"/>
        </w:rPr>
        <w:t xml:space="preserve">průměrné výše </w:t>
      </w:r>
      <w:r w:rsidR="00BB6AD0">
        <w:rPr>
          <w:rFonts w:cs="Arial"/>
          <w:b/>
          <w:color w:val="000000" w:themeColor="text1"/>
          <w:szCs w:val="24"/>
        </w:rPr>
        <w:t xml:space="preserve">skutečné </w:t>
      </w:r>
      <w:r w:rsidR="00E66ECB">
        <w:rPr>
          <w:rFonts w:cs="Arial"/>
          <w:b/>
          <w:color w:val="000000" w:themeColor="text1"/>
          <w:szCs w:val="24"/>
        </w:rPr>
        <w:t xml:space="preserve">měrné dotace u </w:t>
      </w:r>
      <w:r w:rsidR="00B95755" w:rsidRPr="00B80F8B">
        <w:rPr>
          <w:rFonts w:cs="Arial"/>
          <w:b/>
          <w:color w:val="000000" w:themeColor="text1"/>
          <w:szCs w:val="24"/>
        </w:rPr>
        <w:t>poskyt</w:t>
      </w:r>
      <w:r w:rsidR="00E66ECB">
        <w:rPr>
          <w:rFonts w:cs="Arial"/>
          <w:b/>
          <w:color w:val="000000" w:themeColor="text1"/>
          <w:szCs w:val="24"/>
        </w:rPr>
        <w:t xml:space="preserve">nuté </w:t>
      </w:r>
      <w:r w:rsidR="00B95755" w:rsidRPr="00B80F8B">
        <w:rPr>
          <w:rFonts w:cs="Arial"/>
          <w:b/>
          <w:color w:val="000000" w:themeColor="text1"/>
          <w:szCs w:val="24"/>
        </w:rPr>
        <w:t>podpory</w:t>
      </w:r>
      <w:r w:rsidR="00494DA6" w:rsidRPr="00B80F8B">
        <w:rPr>
          <w:rFonts w:cs="Arial"/>
          <w:b/>
          <w:color w:val="000000" w:themeColor="text1"/>
          <w:szCs w:val="24"/>
        </w:rPr>
        <w:t>, jež koresponduje s</w:t>
      </w:r>
      <w:r w:rsidR="00E66ECB">
        <w:rPr>
          <w:rFonts w:cs="Arial"/>
          <w:b/>
          <w:color w:val="000000" w:themeColor="text1"/>
          <w:szCs w:val="24"/>
        </w:rPr>
        <w:t xml:space="preserve"> výší </w:t>
      </w:r>
      <w:r w:rsidR="00BB6AD0">
        <w:rPr>
          <w:rFonts w:cs="Arial"/>
          <w:b/>
          <w:color w:val="000000" w:themeColor="text1"/>
          <w:szCs w:val="24"/>
        </w:rPr>
        <w:t xml:space="preserve">odhadované </w:t>
      </w:r>
      <w:r w:rsidR="00E66ECB">
        <w:rPr>
          <w:rFonts w:cs="Arial"/>
          <w:b/>
          <w:color w:val="000000" w:themeColor="text1"/>
          <w:szCs w:val="24"/>
        </w:rPr>
        <w:t xml:space="preserve">měrné dotace </w:t>
      </w:r>
      <w:r w:rsidR="00BB6AD0">
        <w:rPr>
          <w:rFonts w:cs="Arial"/>
          <w:b/>
          <w:color w:val="000000" w:themeColor="text1"/>
          <w:szCs w:val="24"/>
        </w:rPr>
        <w:t>uveden</w:t>
      </w:r>
      <w:r w:rsidR="0032726F">
        <w:rPr>
          <w:rFonts w:cs="Arial"/>
          <w:b/>
          <w:color w:val="000000" w:themeColor="text1"/>
          <w:szCs w:val="24"/>
        </w:rPr>
        <w:t>ou</w:t>
      </w:r>
      <w:r w:rsidR="00BB6AD0">
        <w:rPr>
          <w:rFonts w:cs="Arial"/>
          <w:b/>
          <w:color w:val="000000" w:themeColor="text1"/>
          <w:szCs w:val="24"/>
        </w:rPr>
        <w:t xml:space="preserve"> </w:t>
      </w:r>
      <w:r w:rsidR="00494DA6" w:rsidRPr="00B80F8B">
        <w:rPr>
          <w:rFonts w:cs="Arial"/>
          <w:b/>
          <w:color w:val="000000" w:themeColor="text1"/>
          <w:szCs w:val="24"/>
        </w:rPr>
        <w:t>v </w:t>
      </w:r>
      <w:r w:rsidR="00494DA6" w:rsidRPr="00414D8C">
        <w:rPr>
          <w:rFonts w:cs="Arial"/>
          <w:b/>
          <w:i/>
          <w:color w:val="000000" w:themeColor="text1"/>
          <w:szCs w:val="24"/>
        </w:rPr>
        <w:t xml:space="preserve">Národním akčním plánu energetické účinnosti </w:t>
      </w:r>
      <w:r w:rsidR="0032726F" w:rsidRPr="00414D8C">
        <w:rPr>
          <w:rFonts w:cs="Arial"/>
          <w:b/>
          <w:i/>
          <w:color w:val="000000" w:themeColor="text1"/>
          <w:szCs w:val="24"/>
        </w:rPr>
        <w:t>ČR</w:t>
      </w:r>
      <w:r w:rsidR="0032726F">
        <w:rPr>
          <w:rFonts w:cs="Arial"/>
          <w:b/>
          <w:color w:val="000000" w:themeColor="text1"/>
          <w:szCs w:val="24"/>
        </w:rPr>
        <w:t xml:space="preserve"> </w:t>
      </w:r>
      <w:r w:rsidR="00494DA6" w:rsidRPr="00B80F8B">
        <w:rPr>
          <w:rFonts w:cs="Arial"/>
          <w:b/>
          <w:color w:val="000000" w:themeColor="text1"/>
          <w:szCs w:val="24"/>
        </w:rPr>
        <w:t>pro oblast úspor energie v sektoru domácností</w:t>
      </w:r>
      <w:r w:rsidR="00B95755" w:rsidRPr="00B80F8B">
        <w:rPr>
          <w:rFonts w:cs="Arial"/>
          <w:b/>
          <w:color w:val="000000" w:themeColor="text1"/>
          <w:szCs w:val="24"/>
        </w:rPr>
        <w:t>;</w:t>
      </w:r>
      <w:r w:rsidRPr="00B80F8B">
        <w:rPr>
          <w:rFonts w:cs="Arial"/>
          <w:b/>
          <w:color w:val="000000" w:themeColor="text1"/>
          <w:szCs w:val="24"/>
        </w:rPr>
        <w:t xml:space="preserve"> </w:t>
      </w:r>
    </w:p>
    <w:p w14:paraId="2916363A" w14:textId="70DCE7AB" w:rsidR="00940CF2" w:rsidRPr="00B80F8B" w:rsidRDefault="00494DA6" w:rsidP="00264849">
      <w:pPr>
        <w:pStyle w:val="Odstavecseseznamem"/>
        <w:numPr>
          <w:ilvl w:val="0"/>
          <w:numId w:val="17"/>
        </w:numPr>
        <w:autoSpaceDE w:val="0"/>
        <w:autoSpaceDN w:val="0"/>
        <w:adjustRightInd w:val="0"/>
        <w:spacing w:after="120"/>
        <w:rPr>
          <w:rFonts w:cs="Arial"/>
          <w:b/>
          <w:color w:val="000000" w:themeColor="text1"/>
          <w:szCs w:val="24"/>
        </w:rPr>
      </w:pPr>
      <w:r w:rsidRPr="00B80F8B">
        <w:rPr>
          <w:rFonts w:cs="Arial"/>
          <w:b/>
          <w:color w:val="000000" w:themeColor="text1"/>
          <w:szCs w:val="24"/>
        </w:rPr>
        <w:t xml:space="preserve">ne vždy v </w:t>
      </w:r>
      <w:r w:rsidR="00E47B62" w:rsidRPr="00B80F8B">
        <w:rPr>
          <w:rFonts w:cs="Arial"/>
          <w:b/>
          <w:color w:val="000000" w:themeColor="text1"/>
          <w:szCs w:val="24"/>
        </w:rPr>
        <w:t>soulad</w:t>
      </w:r>
      <w:r w:rsidRPr="00B80F8B">
        <w:rPr>
          <w:rFonts w:cs="Arial"/>
          <w:b/>
          <w:color w:val="000000" w:themeColor="text1"/>
          <w:szCs w:val="24"/>
        </w:rPr>
        <w:t>u</w:t>
      </w:r>
      <w:r w:rsidR="00E47B62" w:rsidRPr="00B80F8B">
        <w:rPr>
          <w:rFonts w:cs="Arial"/>
          <w:b/>
          <w:color w:val="000000" w:themeColor="text1"/>
          <w:szCs w:val="24"/>
        </w:rPr>
        <w:t xml:space="preserve"> s právními předpisy </w:t>
      </w:r>
      <w:r w:rsidR="00B95755" w:rsidRPr="00B80F8B">
        <w:rPr>
          <w:rFonts w:cs="Arial"/>
          <w:b/>
          <w:color w:val="000000" w:themeColor="text1"/>
          <w:szCs w:val="24"/>
        </w:rPr>
        <w:t xml:space="preserve">a metodickými pokyny </w:t>
      </w:r>
      <w:r w:rsidR="0032726F">
        <w:rPr>
          <w:rFonts w:cs="Arial"/>
          <w:b/>
          <w:color w:val="000000" w:themeColor="text1"/>
          <w:szCs w:val="24"/>
        </w:rPr>
        <w:t>pro</w:t>
      </w:r>
      <w:r w:rsidR="00B95755" w:rsidRPr="00B80F8B">
        <w:rPr>
          <w:rFonts w:cs="Arial"/>
          <w:b/>
          <w:color w:val="000000" w:themeColor="text1"/>
          <w:szCs w:val="24"/>
        </w:rPr>
        <w:t xml:space="preserve"> poskytování podpory</w:t>
      </w:r>
      <w:r w:rsidRPr="00B80F8B">
        <w:rPr>
          <w:rFonts w:cs="Arial"/>
          <w:b/>
          <w:color w:val="000000" w:themeColor="text1"/>
          <w:szCs w:val="24"/>
        </w:rPr>
        <w:t>.</w:t>
      </w:r>
    </w:p>
    <w:p w14:paraId="46B85684" w14:textId="03D76E66" w:rsidR="00940CF2" w:rsidRDefault="00940CF2" w:rsidP="00642485">
      <w:pPr>
        <w:autoSpaceDE w:val="0"/>
        <w:autoSpaceDN w:val="0"/>
        <w:adjustRightInd w:val="0"/>
        <w:spacing w:after="120"/>
        <w:rPr>
          <w:rFonts w:cs="Arial"/>
          <w:b/>
          <w:color w:val="000000" w:themeColor="text1"/>
          <w:szCs w:val="24"/>
        </w:rPr>
      </w:pPr>
      <w:bookmarkStart w:id="1" w:name="_Hlk81225694"/>
      <w:r w:rsidRPr="00A557DE">
        <w:rPr>
          <w:rFonts w:cs="Arial"/>
          <w:b/>
          <w:color w:val="000000" w:themeColor="text1"/>
          <w:szCs w:val="24"/>
        </w:rPr>
        <w:t>Kontrolované osoby v roli příjemců dotace</w:t>
      </w:r>
      <w:r w:rsidR="00642485" w:rsidRPr="00A557DE">
        <w:rPr>
          <w:rFonts w:cs="Arial"/>
          <w:b/>
          <w:color w:val="000000" w:themeColor="text1"/>
          <w:szCs w:val="24"/>
        </w:rPr>
        <w:t xml:space="preserve"> – až na jednu výjimku </w:t>
      </w:r>
      <w:r w:rsidR="00E66ECB">
        <w:rPr>
          <w:rFonts w:cs="Arial"/>
          <w:b/>
          <w:color w:val="000000" w:themeColor="text1"/>
          <w:szCs w:val="24"/>
        </w:rPr>
        <w:t xml:space="preserve">v IROP </w:t>
      </w:r>
      <w:r w:rsidR="00642485" w:rsidRPr="00A557DE">
        <w:rPr>
          <w:rFonts w:cs="Arial"/>
          <w:b/>
          <w:color w:val="000000" w:themeColor="text1"/>
          <w:szCs w:val="24"/>
        </w:rPr>
        <w:t>–</w:t>
      </w:r>
      <w:r w:rsidR="00FF367B">
        <w:rPr>
          <w:rFonts w:cs="Arial"/>
          <w:b/>
          <w:color w:val="000000" w:themeColor="text1"/>
          <w:szCs w:val="24"/>
        </w:rPr>
        <w:t xml:space="preserve"> použily prostředky na daný účel a dosáhly snížení spotřeby energie díky realizovaným opatřením.</w:t>
      </w:r>
      <w:r w:rsidR="00434317">
        <w:rPr>
          <w:rFonts w:cs="Arial"/>
          <w:b/>
          <w:color w:val="000000" w:themeColor="text1"/>
          <w:szCs w:val="24"/>
        </w:rPr>
        <w:t xml:space="preserve"> </w:t>
      </w:r>
      <w:bookmarkEnd w:id="1"/>
      <w:r w:rsidR="005752F5" w:rsidRPr="005752F5">
        <w:rPr>
          <w:rFonts w:cs="Arial"/>
          <w:b/>
          <w:color w:val="000000" w:themeColor="text1"/>
          <w:szCs w:val="24"/>
        </w:rPr>
        <w:t>Příjemci však n</w:t>
      </w:r>
      <w:r w:rsidR="00B95755" w:rsidRPr="005752F5">
        <w:rPr>
          <w:rFonts w:cs="Arial"/>
          <w:b/>
          <w:color w:val="000000" w:themeColor="text1"/>
          <w:szCs w:val="24"/>
        </w:rPr>
        <w:t>epostupoval</w:t>
      </w:r>
      <w:r w:rsidR="005752F5" w:rsidRPr="005752F5">
        <w:rPr>
          <w:rFonts w:cs="Arial"/>
          <w:b/>
          <w:color w:val="000000" w:themeColor="text1"/>
          <w:szCs w:val="24"/>
        </w:rPr>
        <w:t xml:space="preserve">i </w:t>
      </w:r>
      <w:r w:rsidR="00396F16" w:rsidRPr="005752F5">
        <w:rPr>
          <w:rFonts w:cs="Arial"/>
          <w:b/>
          <w:color w:val="000000" w:themeColor="text1"/>
          <w:szCs w:val="24"/>
        </w:rPr>
        <w:t>při realizaci projekt</w:t>
      </w:r>
      <w:r w:rsidR="005E7D9D" w:rsidRPr="005752F5">
        <w:rPr>
          <w:rFonts w:cs="Arial"/>
          <w:b/>
          <w:color w:val="000000" w:themeColor="text1"/>
          <w:szCs w:val="24"/>
        </w:rPr>
        <w:t>ů</w:t>
      </w:r>
      <w:r w:rsidR="00396F16" w:rsidRPr="005752F5">
        <w:rPr>
          <w:rFonts w:cs="Arial"/>
          <w:b/>
          <w:color w:val="000000" w:themeColor="text1"/>
          <w:szCs w:val="24"/>
        </w:rPr>
        <w:t xml:space="preserve"> </w:t>
      </w:r>
      <w:r w:rsidR="00B95755" w:rsidRPr="005752F5">
        <w:rPr>
          <w:rFonts w:cs="Arial"/>
          <w:b/>
          <w:color w:val="000000" w:themeColor="text1"/>
          <w:szCs w:val="24"/>
        </w:rPr>
        <w:t xml:space="preserve">vždy </w:t>
      </w:r>
      <w:r w:rsidR="0012692C">
        <w:rPr>
          <w:rFonts w:cs="Arial"/>
          <w:b/>
          <w:color w:val="000000" w:themeColor="text1"/>
          <w:szCs w:val="24"/>
        </w:rPr>
        <w:t>v </w:t>
      </w:r>
      <w:r w:rsidR="00CA3402" w:rsidRPr="005752F5">
        <w:rPr>
          <w:rFonts w:cs="Arial"/>
          <w:b/>
          <w:color w:val="000000" w:themeColor="text1"/>
          <w:szCs w:val="24"/>
        </w:rPr>
        <w:t>souladu s právními předpisy</w:t>
      </w:r>
      <w:r w:rsidR="00B95755" w:rsidRPr="005752F5">
        <w:rPr>
          <w:rFonts w:cs="Arial"/>
          <w:b/>
          <w:color w:val="000000" w:themeColor="text1"/>
          <w:szCs w:val="24"/>
        </w:rPr>
        <w:t xml:space="preserve"> a pravidly </w:t>
      </w:r>
      <w:r w:rsidR="00935D55" w:rsidRPr="005752F5">
        <w:rPr>
          <w:rFonts w:cs="Arial"/>
          <w:b/>
          <w:color w:val="000000" w:themeColor="text1"/>
          <w:szCs w:val="24"/>
        </w:rPr>
        <w:t>IROP nebo p</w:t>
      </w:r>
      <w:r w:rsidR="00B95755" w:rsidRPr="005752F5">
        <w:rPr>
          <w:rFonts w:cs="Arial"/>
          <w:b/>
          <w:color w:val="000000" w:themeColor="text1"/>
          <w:szCs w:val="24"/>
        </w:rPr>
        <w:t>rogramu</w:t>
      </w:r>
      <w:r w:rsidR="00935D55" w:rsidRPr="005752F5">
        <w:rPr>
          <w:rFonts w:cs="Arial"/>
          <w:b/>
          <w:color w:val="000000" w:themeColor="text1"/>
          <w:szCs w:val="24"/>
        </w:rPr>
        <w:t xml:space="preserve"> NZÚ</w:t>
      </w:r>
      <w:r w:rsidR="00CA3402" w:rsidRPr="005752F5">
        <w:rPr>
          <w:rFonts w:cs="Arial"/>
          <w:b/>
          <w:color w:val="000000" w:themeColor="text1"/>
          <w:szCs w:val="24"/>
        </w:rPr>
        <w:t>.</w:t>
      </w:r>
    </w:p>
    <w:p w14:paraId="2795E7BD" w14:textId="0A58E2AA" w:rsidR="00EA6103" w:rsidRDefault="00EA6103" w:rsidP="00642485">
      <w:pPr>
        <w:autoSpaceDE w:val="0"/>
        <w:autoSpaceDN w:val="0"/>
        <w:adjustRightInd w:val="0"/>
        <w:spacing w:after="120"/>
        <w:rPr>
          <w:rFonts w:cs="Arial"/>
          <w:b/>
          <w:color w:val="000000" w:themeColor="text1"/>
          <w:szCs w:val="24"/>
        </w:rPr>
      </w:pPr>
      <w:r>
        <w:rPr>
          <w:rFonts w:cs="Arial"/>
          <w:b/>
          <w:color w:val="000000" w:themeColor="text1"/>
          <w:szCs w:val="24"/>
        </w:rPr>
        <w:t>NKÚ upozorňuje na skutečnost, že</w:t>
      </w:r>
      <w:r w:rsidR="00ED0176">
        <w:rPr>
          <w:rFonts w:cs="Arial"/>
          <w:b/>
          <w:color w:val="000000" w:themeColor="text1"/>
          <w:szCs w:val="24"/>
        </w:rPr>
        <w:t xml:space="preserve"> průměrná výše </w:t>
      </w:r>
      <w:r w:rsidR="0024363A">
        <w:rPr>
          <w:rFonts w:cs="Arial"/>
          <w:b/>
          <w:color w:val="000000" w:themeColor="text1"/>
          <w:szCs w:val="24"/>
        </w:rPr>
        <w:t xml:space="preserve">skutečné </w:t>
      </w:r>
      <w:r w:rsidR="00ED0176">
        <w:rPr>
          <w:rFonts w:cs="Arial"/>
          <w:b/>
          <w:color w:val="000000" w:themeColor="text1"/>
          <w:szCs w:val="24"/>
        </w:rPr>
        <w:t xml:space="preserve">měrné dotace u </w:t>
      </w:r>
      <w:r w:rsidR="0024363A">
        <w:rPr>
          <w:rFonts w:cs="Arial"/>
          <w:b/>
          <w:color w:val="000000" w:themeColor="text1"/>
          <w:szCs w:val="24"/>
        </w:rPr>
        <w:t>projektů proplacených z</w:t>
      </w:r>
      <w:r w:rsidR="00ED0176">
        <w:rPr>
          <w:rFonts w:cs="Arial"/>
          <w:b/>
          <w:color w:val="000000" w:themeColor="text1"/>
          <w:szCs w:val="24"/>
        </w:rPr>
        <w:t xml:space="preserve"> IROP </w:t>
      </w:r>
      <w:r w:rsidR="004212A8">
        <w:rPr>
          <w:rFonts w:cs="Arial"/>
          <w:b/>
          <w:color w:val="000000" w:themeColor="text1"/>
          <w:szCs w:val="24"/>
        </w:rPr>
        <w:t xml:space="preserve">dosahuje </w:t>
      </w:r>
      <w:r w:rsidR="00047E8D">
        <w:rPr>
          <w:rFonts w:cs="Arial"/>
          <w:b/>
          <w:color w:val="000000" w:themeColor="text1"/>
          <w:szCs w:val="24"/>
        </w:rPr>
        <w:t>dvojnásobn</w:t>
      </w:r>
      <w:r w:rsidR="004212A8">
        <w:rPr>
          <w:rFonts w:cs="Arial"/>
          <w:b/>
          <w:color w:val="000000" w:themeColor="text1"/>
          <w:szCs w:val="24"/>
        </w:rPr>
        <w:t>é výše</w:t>
      </w:r>
      <w:r w:rsidR="0024363A">
        <w:rPr>
          <w:rFonts w:cs="Arial"/>
          <w:b/>
          <w:color w:val="000000" w:themeColor="text1"/>
          <w:szCs w:val="24"/>
        </w:rPr>
        <w:t>,</w:t>
      </w:r>
      <w:r w:rsidR="004212A8">
        <w:rPr>
          <w:rFonts w:cs="Arial"/>
          <w:b/>
          <w:color w:val="000000" w:themeColor="text1"/>
          <w:szCs w:val="24"/>
        </w:rPr>
        <w:t xml:space="preserve"> </w:t>
      </w:r>
      <w:r w:rsidR="00ED0176">
        <w:rPr>
          <w:rFonts w:cs="Arial"/>
          <w:b/>
          <w:color w:val="000000" w:themeColor="text1"/>
          <w:szCs w:val="24"/>
        </w:rPr>
        <w:t xml:space="preserve">než je tomu u </w:t>
      </w:r>
      <w:r w:rsidR="0063791C">
        <w:rPr>
          <w:rFonts w:cs="Arial"/>
          <w:b/>
          <w:color w:val="000000" w:themeColor="text1"/>
          <w:szCs w:val="24"/>
        </w:rPr>
        <w:t>projektů proplacených z </w:t>
      </w:r>
      <w:r w:rsidR="00035504">
        <w:rPr>
          <w:rFonts w:cs="Arial"/>
          <w:b/>
          <w:color w:val="000000" w:themeColor="text1"/>
          <w:szCs w:val="24"/>
        </w:rPr>
        <w:t xml:space="preserve">programu </w:t>
      </w:r>
      <w:r w:rsidR="00ED0176">
        <w:rPr>
          <w:rFonts w:cs="Arial"/>
          <w:b/>
          <w:color w:val="000000" w:themeColor="text1"/>
          <w:szCs w:val="24"/>
        </w:rPr>
        <w:t>NZÚ</w:t>
      </w:r>
      <w:r w:rsidR="0032726F">
        <w:rPr>
          <w:rFonts w:cs="Arial"/>
          <w:b/>
          <w:color w:val="000000" w:themeColor="text1"/>
          <w:szCs w:val="24"/>
        </w:rPr>
        <w:t>.</w:t>
      </w:r>
      <w:r w:rsidR="00D82296">
        <w:rPr>
          <w:rStyle w:val="Znakapoznpodarou"/>
          <w:rFonts w:cs="Arial"/>
          <w:b/>
          <w:color w:val="000000" w:themeColor="text1"/>
          <w:szCs w:val="24"/>
        </w:rPr>
        <w:footnoteReference w:id="10"/>
      </w:r>
      <w:r w:rsidR="00047E8D">
        <w:rPr>
          <w:rFonts w:cs="Arial"/>
          <w:b/>
          <w:color w:val="000000" w:themeColor="text1"/>
          <w:szCs w:val="24"/>
        </w:rPr>
        <w:t xml:space="preserve"> </w:t>
      </w:r>
      <w:r w:rsidR="00D44E43">
        <w:rPr>
          <w:rFonts w:cs="Arial"/>
          <w:b/>
          <w:color w:val="000000" w:themeColor="text1"/>
          <w:szCs w:val="24"/>
        </w:rPr>
        <w:t>Z</w:t>
      </w:r>
      <w:r w:rsidR="00036342">
        <w:rPr>
          <w:rFonts w:cs="Arial"/>
          <w:b/>
          <w:color w:val="000000" w:themeColor="text1"/>
          <w:szCs w:val="24"/>
        </w:rPr>
        <w:t> </w:t>
      </w:r>
      <w:r w:rsidR="00D44E43">
        <w:rPr>
          <w:rFonts w:cs="Arial"/>
          <w:b/>
          <w:color w:val="000000" w:themeColor="text1"/>
          <w:szCs w:val="24"/>
        </w:rPr>
        <w:t>pohledu</w:t>
      </w:r>
      <w:r w:rsidR="00036342">
        <w:rPr>
          <w:rFonts w:cs="Arial"/>
          <w:b/>
          <w:color w:val="000000" w:themeColor="text1"/>
          <w:szCs w:val="24"/>
        </w:rPr>
        <w:t xml:space="preserve"> využitých dotačních prostředků na jednotku uspořené energie</w:t>
      </w:r>
      <w:r w:rsidR="00D44E43">
        <w:rPr>
          <w:rFonts w:cs="Arial"/>
          <w:b/>
          <w:color w:val="000000" w:themeColor="text1"/>
          <w:szCs w:val="24"/>
        </w:rPr>
        <w:t xml:space="preserve"> </w:t>
      </w:r>
      <w:r w:rsidR="00036342">
        <w:rPr>
          <w:rFonts w:cs="Arial"/>
          <w:b/>
          <w:color w:val="000000" w:themeColor="text1"/>
          <w:szCs w:val="24"/>
        </w:rPr>
        <w:t>(1 gigajoul</w:t>
      </w:r>
      <w:r w:rsidR="0032726F">
        <w:rPr>
          <w:rFonts w:cs="Arial"/>
          <w:b/>
          <w:color w:val="000000" w:themeColor="text1"/>
          <w:szCs w:val="24"/>
        </w:rPr>
        <w:t>e</w:t>
      </w:r>
      <w:r w:rsidR="00036342">
        <w:rPr>
          <w:rFonts w:cs="Arial"/>
          <w:b/>
          <w:color w:val="000000" w:themeColor="text1"/>
          <w:szCs w:val="24"/>
        </w:rPr>
        <w:t xml:space="preserve">) </w:t>
      </w:r>
      <w:r w:rsidR="00D44E43">
        <w:rPr>
          <w:rFonts w:cs="Arial"/>
          <w:b/>
          <w:color w:val="000000" w:themeColor="text1"/>
          <w:szCs w:val="24"/>
        </w:rPr>
        <w:t>je program NZÚ efektivnější než IROP</w:t>
      </w:r>
      <w:bookmarkStart w:id="2" w:name="_Ref80271794"/>
      <w:r w:rsidR="00A97187">
        <w:rPr>
          <w:rFonts w:cs="Arial"/>
          <w:b/>
          <w:color w:val="000000" w:themeColor="text1"/>
          <w:szCs w:val="24"/>
        </w:rPr>
        <w:t>.</w:t>
      </w:r>
      <w:bookmarkStart w:id="3" w:name="_Ref80682766"/>
      <w:r w:rsidR="00D82296">
        <w:rPr>
          <w:rStyle w:val="Znakapoznpodarou"/>
          <w:rFonts w:cs="Arial"/>
          <w:b/>
          <w:color w:val="000000" w:themeColor="text1"/>
          <w:szCs w:val="24"/>
        </w:rPr>
        <w:footnoteReference w:id="11"/>
      </w:r>
      <w:bookmarkEnd w:id="2"/>
      <w:bookmarkEnd w:id="3"/>
      <w:r w:rsidR="005948B1">
        <w:rPr>
          <w:rFonts w:cs="Arial"/>
          <w:b/>
          <w:color w:val="000000" w:themeColor="text1"/>
          <w:szCs w:val="24"/>
        </w:rPr>
        <w:t xml:space="preserve"> </w:t>
      </w:r>
    </w:p>
    <w:p w14:paraId="2658889C" w14:textId="0FF09A5D" w:rsidR="0084558A" w:rsidRDefault="0084558A" w:rsidP="00642485">
      <w:pPr>
        <w:autoSpaceDE w:val="0"/>
        <w:autoSpaceDN w:val="0"/>
        <w:adjustRightInd w:val="0"/>
        <w:spacing w:after="120"/>
        <w:rPr>
          <w:rFonts w:cs="Arial"/>
          <w:b/>
          <w:color w:val="000000" w:themeColor="text1"/>
          <w:szCs w:val="24"/>
        </w:rPr>
      </w:pPr>
      <w:r>
        <w:rPr>
          <w:rFonts w:cs="Arial"/>
          <w:b/>
          <w:color w:val="000000" w:themeColor="text1"/>
          <w:szCs w:val="24"/>
        </w:rPr>
        <w:t xml:space="preserve">NKÚ </w:t>
      </w:r>
      <w:r w:rsidR="00EE4036">
        <w:rPr>
          <w:rFonts w:cs="Arial"/>
          <w:b/>
          <w:color w:val="000000" w:themeColor="text1"/>
          <w:szCs w:val="24"/>
        </w:rPr>
        <w:t xml:space="preserve">doporučuje </w:t>
      </w:r>
      <w:r w:rsidR="00D82296">
        <w:rPr>
          <w:rFonts w:cs="Arial"/>
          <w:b/>
          <w:color w:val="000000" w:themeColor="text1"/>
          <w:szCs w:val="24"/>
        </w:rPr>
        <w:t xml:space="preserve">MMR a MŽP </w:t>
      </w:r>
      <w:r w:rsidR="0033401C">
        <w:rPr>
          <w:rFonts w:cs="Arial"/>
          <w:b/>
          <w:color w:val="000000" w:themeColor="text1"/>
          <w:szCs w:val="24"/>
        </w:rPr>
        <w:t>posoudit reálnost</w:t>
      </w:r>
      <w:r w:rsidR="00EE4036">
        <w:rPr>
          <w:rFonts w:cs="Arial"/>
          <w:b/>
          <w:color w:val="000000" w:themeColor="text1"/>
          <w:szCs w:val="24"/>
        </w:rPr>
        <w:t xml:space="preserve"> </w:t>
      </w:r>
      <w:r w:rsidR="0033401C">
        <w:rPr>
          <w:rFonts w:cs="Arial"/>
          <w:b/>
          <w:color w:val="000000" w:themeColor="text1"/>
          <w:szCs w:val="24"/>
        </w:rPr>
        <w:t xml:space="preserve">stanovených </w:t>
      </w:r>
      <w:r w:rsidR="00EE4036">
        <w:rPr>
          <w:rFonts w:cs="Arial"/>
          <w:b/>
          <w:color w:val="000000" w:themeColor="text1"/>
          <w:szCs w:val="24"/>
        </w:rPr>
        <w:t xml:space="preserve">hodnot energetických úspor, kterými </w:t>
      </w:r>
      <w:r w:rsidR="0033401C">
        <w:rPr>
          <w:rFonts w:cs="Arial"/>
          <w:b/>
          <w:color w:val="000000" w:themeColor="text1"/>
          <w:szCs w:val="24"/>
        </w:rPr>
        <w:t xml:space="preserve">mají </w:t>
      </w:r>
      <w:r w:rsidR="00EE4036">
        <w:rPr>
          <w:rFonts w:cs="Arial"/>
          <w:b/>
          <w:color w:val="000000" w:themeColor="text1"/>
          <w:szCs w:val="24"/>
        </w:rPr>
        <w:t>přisp</w:t>
      </w:r>
      <w:r w:rsidR="0033401C">
        <w:rPr>
          <w:rFonts w:cs="Arial"/>
          <w:b/>
          <w:color w:val="000000" w:themeColor="text1"/>
          <w:szCs w:val="24"/>
        </w:rPr>
        <w:t xml:space="preserve">ět </w:t>
      </w:r>
      <w:r w:rsidR="00EE4036">
        <w:rPr>
          <w:rFonts w:cs="Arial"/>
          <w:b/>
          <w:color w:val="000000" w:themeColor="text1"/>
          <w:szCs w:val="24"/>
        </w:rPr>
        <w:t>IROP a program NZÚ k naplnění vnitrostátního cíle ČR dle směrnice EED.</w:t>
      </w:r>
    </w:p>
    <w:p w14:paraId="146BBFD1" w14:textId="0EFC5BD8" w:rsidR="00CD0A39" w:rsidRPr="00E537AB" w:rsidRDefault="00525647" w:rsidP="00414D8C">
      <w:pPr>
        <w:spacing w:before="240" w:after="120"/>
        <w:rPr>
          <w:rFonts w:cs="Arial"/>
          <w:b/>
          <w:color w:val="000000" w:themeColor="text1"/>
          <w:szCs w:val="24"/>
        </w:rPr>
      </w:pPr>
      <w:r w:rsidRPr="00E537AB">
        <w:rPr>
          <w:b/>
        </w:rPr>
        <w:t>Shrnutí a v</w:t>
      </w:r>
      <w:r w:rsidR="001351CE" w:rsidRPr="00E537AB">
        <w:rPr>
          <w:b/>
        </w:rPr>
        <w:t>yhodnocení vyplýv</w:t>
      </w:r>
      <w:r w:rsidR="0032726F">
        <w:rPr>
          <w:b/>
        </w:rPr>
        <w:t>ají</w:t>
      </w:r>
      <w:r w:rsidR="004E440A" w:rsidRPr="00E537AB">
        <w:rPr>
          <w:b/>
        </w:rPr>
        <w:t xml:space="preserve"> </w:t>
      </w:r>
      <w:r w:rsidR="001351CE" w:rsidRPr="00E537AB">
        <w:rPr>
          <w:b/>
        </w:rPr>
        <w:t>z</w:t>
      </w:r>
      <w:r w:rsidR="00725D5D" w:rsidRPr="00E537AB">
        <w:rPr>
          <w:b/>
        </w:rPr>
        <w:t xml:space="preserve"> následujících </w:t>
      </w:r>
      <w:r w:rsidR="001351CE" w:rsidRPr="00E537AB">
        <w:rPr>
          <w:b/>
        </w:rPr>
        <w:t xml:space="preserve">zjištěných </w:t>
      </w:r>
      <w:r w:rsidR="00725D5D" w:rsidRPr="00E537AB">
        <w:rPr>
          <w:b/>
        </w:rPr>
        <w:t>skutečností</w:t>
      </w:r>
      <w:r w:rsidR="003E5D44">
        <w:rPr>
          <w:b/>
        </w:rPr>
        <w:t>:</w:t>
      </w:r>
    </w:p>
    <w:p w14:paraId="40193DBC" w14:textId="7C7FF562" w:rsidR="00B85071" w:rsidRDefault="00B85071" w:rsidP="00064455">
      <w:pPr>
        <w:pStyle w:val="Odstavecseseznamem"/>
        <w:numPr>
          <w:ilvl w:val="0"/>
          <w:numId w:val="22"/>
        </w:numPr>
        <w:spacing w:before="120" w:after="120"/>
      </w:pPr>
      <w:r w:rsidRPr="00B85071">
        <w:rPr>
          <w:b/>
        </w:rPr>
        <w:t xml:space="preserve">MMR </w:t>
      </w:r>
      <w:r w:rsidR="00F93C46">
        <w:rPr>
          <w:b/>
        </w:rPr>
        <w:t xml:space="preserve">jako řídicí orgán IROP </w:t>
      </w:r>
      <w:r w:rsidRPr="00B85071">
        <w:rPr>
          <w:b/>
        </w:rPr>
        <w:t>ne</w:t>
      </w:r>
      <w:r w:rsidR="00270D08">
        <w:rPr>
          <w:b/>
        </w:rPr>
        <w:t xml:space="preserve">zajistilo </w:t>
      </w:r>
      <w:r w:rsidRPr="00B85071">
        <w:rPr>
          <w:b/>
        </w:rPr>
        <w:t>pro časovou způsobilost výdajů konkrétní, srozumitelný a jednoznačný výklad v pravidlech, jimiž se řídí žadatelé a příjemci.</w:t>
      </w:r>
      <w:r>
        <w:t xml:space="preserve"> Nejednoznačné definice jsou uvedeny jak v pravidlech IROP, tak i v metodických pokynech</w:t>
      </w:r>
      <w:r>
        <w:rPr>
          <w:rStyle w:val="Znakapoznpodarou"/>
        </w:rPr>
        <w:footnoteReference w:id="12"/>
      </w:r>
      <w:r>
        <w:t>, které mají zajišťovat jednotný postup všech řídicích orgánů</w:t>
      </w:r>
      <w:r w:rsidR="00F93C46">
        <w:t xml:space="preserve"> v pr</w:t>
      </w:r>
      <w:r w:rsidR="00402BEC">
        <w:t>ogramovém období 2014–</w:t>
      </w:r>
      <w:r w:rsidR="00F93C46">
        <w:t>2020</w:t>
      </w:r>
      <w:r w:rsidR="00064455">
        <w:t xml:space="preserve"> (viz též část </w:t>
      </w:r>
      <w:r w:rsidR="00064455" w:rsidRPr="00064455">
        <w:t>IV.1.1</w:t>
      </w:r>
      <w:r w:rsidR="00064455">
        <w:t>)</w:t>
      </w:r>
      <w:r>
        <w:t xml:space="preserve">. </w:t>
      </w:r>
    </w:p>
    <w:p w14:paraId="46CE0919" w14:textId="23A02024" w:rsidR="003E5D44" w:rsidRPr="003E5D44" w:rsidRDefault="003E5D44" w:rsidP="001752C9">
      <w:pPr>
        <w:pStyle w:val="Odstavecseseznamem"/>
        <w:numPr>
          <w:ilvl w:val="0"/>
          <w:numId w:val="22"/>
        </w:numPr>
        <w:spacing w:after="120"/>
        <w:rPr>
          <w:bCs/>
        </w:rPr>
      </w:pPr>
      <w:r w:rsidRPr="003E5D44">
        <w:rPr>
          <w:b/>
          <w:bCs/>
        </w:rPr>
        <w:t xml:space="preserve">MMR v řídicí dokumentaci IROP umožnilo aplikovat pravidla stanovená v metodickém pokynu zpětně. </w:t>
      </w:r>
      <w:r w:rsidRPr="003E5D44">
        <w:rPr>
          <w:bCs/>
        </w:rPr>
        <w:t xml:space="preserve">V důsledku aplikace změny pravidel pro kontrolu zakázek malého rozsahu zadávaných podle </w:t>
      </w:r>
      <w:r w:rsidRPr="00213ACA">
        <w:rPr>
          <w:bCs/>
          <w:i/>
        </w:rPr>
        <w:t xml:space="preserve">Metodického pokynu </w:t>
      </w:r>
      <w:r w:rsidR="001752C9" w:rsidRPr="00213ACA">
        <w:rPr>
          <w:bCs/>
          <w:i/>
        </w:rPr>
        <w:t xml:space="preserve">pro oblast zadávání </w:t>
      </w:r>
      <w:r w:rsidR="001752C9" w:rsidRPr="00213ACA">
        <w:rPr>
          <w:bCs/>
          <w:i/>
        </w:rPr>
        <w:lastRenderedPageBreak/>
        <w:t>zakázek pro programové období 2014</w:t>
      </w:r>
      <w:r w:rsidR="0032726F">
        <w:t>–</w:t>
      </w:r>
      <w:r w:rsidR="001752C9" w:rsidRPr="00213ACA">
        <w:rPr>
          <w:bCs/>
          <w:i/>
        </w:rPr>
        <w:t xml:space="preserve">2020 </w:t>
      </w:r>
      <w:r w:rsidR="0012692C">
        <w:rPr>
          <w:bCs/>
        </w:rPr>
        <w:t>se</w:t>
      </w:r>
      <w:r w:rsidR="0032726F">
        <w:rPr>
          <w:bCs/>
        </w:rPr>
        <w:t xml:space="preserve"> </w:t>
      </w:r>
      <w:r w:rsidRPr="003E5D44">
        <w:rPr>
          <w:bCs/>
        </w:rPr>
        <w:t xml:space="preserve">zpětnou působností v rámci kontrol nelze vyloučit možnost, že </w:t>
      </w:r>
      <w:r w:rsidR="00E779A7">
        <w:rPr>
          <w:bCs/>
        </w:rPr>
        <w:t>MMR</w:t>
      </w:r>
      <w:r w:rsidR="0032726F">
        <w:rPr>
          <w:bCs/>
        </w:rPr>
        <w:t xml:space="preserve"> a</w:t>
      </w:r>
      <w:r w:rsidR="00E779A7">
        <w:rPr>
          <w:bCs/>
        </w:rPr>
        <w:t xml:space="preserve"> CRR </w:t>
      </w:r>
      <w:r w:rsidR="0032726F">
        <w:rPr>
          <w:bCs/>
        </w:rPr>
        <w:t xml:space="preserve">budou </w:t>
      </w:r>
      <w:r w:rsidRPr="003E5D44">
        <w:rPr>
          <w:bCs/>
        </w:rPr>
        <w:t>odlišně kontrolov</w:t>
      </w:r>
      <w:r w:rsidR="00E779A7">
        <w:rPr>
          <w:bCs/>
        </w:rPr>
        <w:t xml:space="preserve">at </w:t>
      </w:r>
      <w:r w:rsidRPr="003E5D44">
        <w:rPr>
          <w:bCs/>
        </w:rPr>
        <w:t xml:space="preserve">zakázky zadávané ve stejném čase, což </w:t>
      </w:r>
      <w:r w:rsidR="00921DE9">
        <w:rPr>
          <w:bCs/>
        </w:rPr>
        <w:t>z</w:t>
      </w:r>
      <w:r w:rsidRPr="003E5D44">
        <w:rPr>
          <w:bCs/>
        </w:rPr>
        <w:t>aklád</w:t>
      </w:r>
      <w:r w:rsidR="00921DE9">
        <w:rPr>
          <w:bCs/>
        </w:rPr>
        <w:t xml:space="preserve">á </w:t>
      </w:r>
      <w:r w:rsidRPr="003E5D44">
        <w:rPr>
          <w:bCs/>
        </w:rPr>
        <w:t>riziko nerovného přístupu k</w:t>
      </w:r>
      <w:r w:rsidR="00064455">
        <w:rPr>
          <w:bCs/>
        </w:rPr>
        <w:t> </w:t>
      </w:r>
      <w:r w:rsidRPr="003E5D44">
        <w:rPr>
          <w:bCs/>
        </w:rPr>
        <w:t>příjemcům</w:t>
      </w:r>
      <w:r w:rsidR="00064455">
        <w:rPr>
          <w:bCs/>
        </w:rPr>
        <w:t xml:space="preserve"> (viz též část </w:t>
      </w:r>
      <w:r w:rsidR="00064455" w:rsidRPr="00064455">
        <w:rPr>
          <w:bCs/>
        </w:rPr>
        <w:t>IV.1.1</w:t>
      </w:r>
      <w:r w:rsidR="00064455">
        <w:rPr>
          <w:bCs/>
        </w:rPr>
        <w:t>)</w:t>
      </w:r>
      <w:r w:rsidRPr="00064455">
        <w:rPr>
          <w:bCs/>
        </w:rPr>
        <w:t>.</w:t>
      </w:r>
    </w:p>
    <w:p w14:paraId="54E90FE2" w14:textId="60FB1042" w:rsidR="00642485" w:rsidRPr="00064455" w:rsidRDefault="00642485" w:rsidP="00A61F36">
      <w:pPr>
        <w:pStyle w:val="Odstavecseseznamem"/>
        <w:numPr>
          <w:ilvl w:val="0"/>
          <w:numId w:val="22"/>
        </w:numPr>
        <w:spacing w:after="120"/>
        <w:rPr>
          <w:bCs/>
        </w:rPr>
      </w:pPr>
      <w:r w:rsidRPr="008F0AE7">
        <w:rPr>
          <w:b/>
        </w:rPr>
        <w:t>MMR nepostupovalo při nastavování podmínek a z</w:t>
      </w:r>
      <w:r w:rsidR="00171666">
        <w:rPr>
          <w:b/>
        </w:rPr>
        <w:t xml:space="preserve">avádění </w:t>
      </w:r>
      <w:r w:rsidR="0032726F">
        <w:rPr>
          <w:b/>
        </w:rPr>
        <w:t>f</w:t>
      </w:r>
      <w:r w:rsidR="00171666">
        <w:rPr>
          <w:b/>
        </w:rPr>
        <w:t>inančního nástroje</w:t>
      </w:r>
      <w:r w:rsidR="001A7E27">
        <w:rPr>
          <w:rStyle w:val="Znakapoznpodarou"/>
          <w:b/>
        </w:rPr>
        <w:footnoteReference w:id="13"/>
      </w:r>
      <w:r w:rsidRPr="008F0AE7">
        <w:rPr>
          <w:b/>
        </w:rPr>
        <w:t xml:space="preserve"> </w:t>
      </w:r>
      <w:r w:rsidR="00171666">
        <w:rPr>
          <w:b/>
        </w:rPr>
        <w:t xml:space="preserve">IROP </w:t>
      </w:r>
      <w:r w:rsidRPr="008F0AE7">
        <w:rPr>
          <w:b/>
        </w:rPr>
        <w:t>dle požadavků předpisů EU</w:t>
      </w:r>
      <w:r w:rsidR="00D96A1B">
        <w:rPr>
          <w:rStyle w:val="Znakapoznpodarou"/>
          <w:b/>
        </w:rPr>
        <w:footnoteReference w:id="14"/>
      </w:r>
      <w:r w:rsidR="00CD5777">
        <w:rPr>
          <w:b/>
        </w:rPr>
        <w:t xml:space="preserve">. </w:t>
      </w:r>
      <w:r w:rsidR="008F0AE7">
        <w:t>D</w:t>
      </w:r>
      <w:r w:rsidRPr="00642485">
        <w:t xml:space="preserve">ohoda o financování tohoto nástroje nestanoví očekávané výsledky, kterých má být dosaženo, </w:t>
      </w:r>
      <w:r w:rsidR="00C14997">
        <w:t xml:space="preserve">a dále nestanoví </w:t>
      </w:r>
      <w:r w:rsidRPr="00642485">
        <w:t>a</w:t>
      </w:r>
      <w:r w:rsidR="008F0AE7">
        <w:t>ni</w:t>
      </w:r>
      <w:r w:rsidRPr="00642485">
        <w:t xml:space="preserve"> pákový efekt, jenž měří aktivační účinek finančních prostředků ESIF</w:t>
      </w:r>
      <w:r w:rsidR="00F93C46">
        <w:rPr>
          <w:rStyle w:val="Znakapoznpodarou"/>
        </w:rPr>
        <w:footnoteReference w:id="15"/>
      </w:r>
      <w:r w:rsidR="00A61F36">
        <w:t xml:space="preserve"> (viz též část </w:t>
      </w:r>
      <w:r w:rsidR="00A61F36" w:rsidRPr="00A61F36">
        <w:t>IV.1.1</w:t>
      </w:r>
      <w:r w:rsidR="00A61F36">
        <w:t>)</w:t>
      </w:r>
      <w:r w:rsidRPr="00A61F36">
        <w:t>.</w:t>
      </w:r>
      <w:r w:rsidR="00AD5000">
        <w:t xml:space="preserve"> </w:t>
      </w:r>
    </w:p>
    <w:p w14:paraId="5C67587E" w14:textId="6747B253" w:rsidR="00064455" w:rsidRPr="00642485" w:rsidRDefault="0032726F" w:rsidP="00A61F36">
      <w:pPr>
        <w:pStyle w:val="Odstavecseseznamem"/>
        <w:numPr>
          <w:ilvl w:val="0"/>
          <w:numId w:val="22"/>
        </w:numPr>
        <w:spacing w:after="120"/>
        <w:rPr>
          <w:bCs/>
        </w:rPr>
      </w:pPr>
      <w:r>
        <w:rPr>
          <w:b/>
        </w:rPr>
        <w:t>Do</w:t>
      </w:r>
      <w:r w:rsidR="00064455" w:rsidRPr="008F0AE7">
        <w:rPr>
          <w:b/>
        </w:rPr>
        <w:t xml:space="preserve"> konc</w:t>
      </w:r>
      <w:r>
        <w:rPr>
          <w:b/>
        </w:rPr>
        <w:t>e</w:t>
      </w:r>
      <w:r w:rsidR="00064455" w:rsidRPr="008F0AE7">
        <w:rPr>
          <w:b/>
        </w:rPr>
        <w:t xml:space="preserve"> roku 2020 přispěl </w:t>
      </w:r>
      <w:r>
        <w:rPr>
          <w:b/>
        </w:rPr>
        <w:t>f</w:t>
      </w:r>
      <w:r w:rsidR="00064455" w:rsidRPr="008F0AE7">
        <w:rPr>
          <w:b/>
        </w:rPr>
        <w:t xml:space="preserve">inanční nástroj IROP k úsporám energie v bytových domech </w:t>
      </w:r>
      <w:r w:rsidR="00064455">
        <w:rPr>
          <w:b/>
        </w:rPr>
        <w:t xml:space="preserve">jen </w:t>
      </w:r>
      <w:r>
        <w:rPr>
          <w:b/>
        </w:rPr>
        <w:t>malou</w:t>
      </w:r>
      <w:r w:rsidR="00064455" w:rsidRPr="008F0AE7">
        <w:rPr>
          <w:b/>
        </w:rPr>
        <w:t xml:space="preserve"> měrou.</w:t>
      </w:r>
      <w:r w:rsidR="00064455" w:rsidRPr="00642485">
        <w:t xml:space="preserve"> Důvodem bylo jeho pozdní spuštění</w:t>
      </w:r>
      <w:r w:rsidR="00AD5000">
        <w:t xml:space="preserve"> ze strany MMR</w:t>
      </w:r>
      <w:r w:rsidR="00064455" w:rsidRPr="00642485">
        <w:t xml:space="preserve"> a </w:t>
      </w:r>
      <w:r w:rsidR="005752F5">
        <w:t xml:space="preserve">dále </w:t>
      </w:r>
      <w:r w:rsidR="00575F49">
        <w:t>i skutečnost, že</w:t>
      </w:r>
      <w:r>
        <w:t xml:space="preserve"> </w:t>
      </w:r>
      <w:r w:rsidR="00575F49">
        <w:t>žadatelé upřednost</w:t>
      </w:r>
      <w:r w:rsidR="003C6F1F">
        <w:t>n</w:t>
      </w:r>
      <w:r w:rsidR="00575F49">
        <w:t>ili dotační podporu</w:t>
      </w:r>
      <w:r w:rsidR="00C80C67">
        <w:t xml:space="preserve"> </w:t>
      </w:r>
      <w:r w:rsidR="00064455">
        <w:t>(viz též část</w:t>
      </w:r>
      <w:r w:rsidR="00A61F36">
        <w:t xml:space="preserve"> </w:t>
      </w:r>
      <w:r w:rsidR="00A61F36" w:rsidRPr="00A61F36">
        <w:t>IV.1.1</w:t>
      </w:r>
      <w:r w:rsidR="00A61F36">
        <w:t>).</w:t>
      </w:r>
      <w:r w:rsidR="00064455" w:rsidRPr="00642485">
        <w:rPr>
          <w:b/>
          <w:bCs/>
        </w:rPr>
        <w:t xml:space="preserve"> </w:t>
      </w:r>
    </w:p>
    <w:p w14:paraId="3E824E82" w14:textId="4361F424" w:rsidR="00525647" w:rsidRDefault="008F501F" w:rsidP="00A61F36">
      <w:pPr>
        <w:pStyle w:val="Odstavecseseznamem"/>
        <w:numPr>
          <w:ilvl w:val="0"/>
          <w:numId w:val="22"/>
        </w:numPr>
        <w:spacing w:after="120"/>
        <w:rPr>
          <w:bCs/>
        </w:rPr>
      </w:pPr>
      <w:r w:rsidRPr="007D56E6">
        <w:rPr>
          <w:b/>
          <w:bCs/>
        </w:rPr>
        <w:t xml:space="preserve">CRR </w:t>
      </w:r>
      <w:r w:rsidR="00F93C46">
        <w:rPr>
          <w:b/>
          <w:bCs/>
        </w:rPr>
        <w:t xml:space="preserve">v roli zprostředkujícího subjektu IROP </w:t>
      </w:r>
      <w:r w:rsidR="00EA25A3" w:rsidRPr="007D56E6">
        <w:rPr>
          <w:b/>
          <w:bCs/>
        </w:rPr>
        <w:t xml:space="preserve">při výkonu kontrolní činnosti </w:t>
      </w:r>
      <w:r w:rsidR="00C14997">
        <w:rPr>
          <w:b/>
          <w:bCs/>
        </w:rPr>
        <w:t xml:space="preserve">u příjemců podpory z IROP </w:t>
      </w:r>
      <w:r w:rsidR="00EA25A3" w:rsidRPr="007D56E6">
        <w:rPr>
          <w:b/>
          <w:bCs/>
        </w:rPr>
        <w:t xml:space="preserve">neidentifikovalo </w:t>
      </w:r>
      <w:r w:rsidR="00765770">
        <w:rPr>
          <w:b/>
          <w:bCs/>
        </w:rPr>
        <w:t xml:space="preserve">výdaje </w:t>
      </w:r>
      <w:r w:rsidR="00EA25A3" w:rsidRPr="007D56E6">
        <w:rPr>
          <w:b/>
          <w:bCs/>
        </w:rPr>
        <w:t xml:space="preserve">nezpůsobilé </w:t>
      </w:r>
      <w:r w:rsidR="00765770">
        <w:rPr>
          <w:b/>
          <w:bCs/>
        </w:rPr>
        <w:t xml:space="preserve">k financování z dotace, </w:t>
      </w:r>
      <w:r w:rsidR="007D56E6">
        <w:rPr>
          <w:bCs/>
        </w:rPr>
        <w:t>jejichž vynaložení ze strany příjemce</w:t>
      </w:r>
      <w:r w:rsidR="00A36B11">
        <w:rPr>
          <w:bCs/>
        </w:rPr>
        <w:t xml:space="preserve"> nasvědčuje </w:t>
      </w:r>
      <w:r w:rsidR="007D56E6">
        <w:rPr>
          <w:bCs/>
        </w:rPr>
        <w:t>porušení rozpočtové kázně</w:t>
      </w:r>
      <w:r w:rsidR="00A61F36">
        <w:rPr>
          <w:bCs/>
        </w:rPr>
        <w:t xml:space="preserve"> (viz též část </w:t>
      </w:r>
      <w:r w:rsidR="00A61F36" w:rsidRPr="00A61F36">
        <w:rPr>
          <w:bCs/>
        </w:rPr>
        <w:t>IV.1.2</w:t>
      </w:r>
      <w:r w:rsidR="00A61F36">
        <w:rPr>
          <w:bCs/>
        </w:rPr>
        <w:t>)</w:t>
      </w:r>
      <w:r w:rsidR="007D56E6">
        <w:rPr>
          <w:bCs/>
        </w:rPr>
        <w:t>.</w:t>
      </w:r>
    </w:p>
    <w:p w14:paraId="4B16DA5B" w14:textId="1FDFD6DB" w:rsidR="00BC6253" w:rsidRPr="000B7508" w:rsidRDefault="00BC6253" w:rsidP="00A61F36">
      <w:pPr>
        <w:pStyle w:val="Odstavecseseznamem"/>
        <w:numPr>
          <w:ilvl w:val="0"/>
          <w:numId w:val="22"/>
        </w:numPr>
        <w:spacing w:after="120"/>
        <w:rPr>
          <w:bCs/>
        </w:rPr>
      </w:pPr>
      <w:r w:rsidRPr="004266DF">
        <w:rPr>
          <w:b/>
          <w:bCs/>
        </w:rPr>
        <w:t xml:space="preserve">MŽP jako správce programu NZÚ </w:t>
      </w:r>
      <w:r w:rsidR="003B6137">
        <w:rPr>
          <w:b/>
          <w:bCs/>
        </w:rPr>
        <w:t xml:space="preserve">nenastavilo </w:t>
      </w:r>
      <w:r w:rsidR="004266DF" w:rsidRPr="004266DF">
        <w:rPr>
          <w:b/>
          <w:bCs/>
        </w:rPr>
        <w:t xml:space="preserve">k ověření nakládání s veřejnými prostředky u příjemců </w:t>
      </w:r>
      <w:r w:rsidR="004266DF">
        <w:rPr>
          <w:b/>
          <w:bCs/>
        </w:rPr>
        <w:t xml:space="preserve">žádnou </w:t>
      </w:r>
      <w:r w:rsidR="004266DF" w:rsidRPr="004266DF">
        <w:rPr>
          <w:b/>
          <w:bCs/>
        </w:rPr>
        <w:t>kontrolu výběru dodavatelů</w:t>
      </w:r>
      <w:r w:rsidR="004212A8">
        <w:rPr>
          <w:b/>
          <w:bCs/>
        </w:rPr>
        <w:t xml:space="preserve">, </w:t>
      </w:r>
      <w:r w:rsidR="004212A8" w:rsidRPr="000B7508">
        <w:rPr>
          <w:bCs/>
        </w:rPr>
        <w:t xml:space="preserve">ačkoli zavázalo příjemce v dokumentaci programu NZÚ k dodržování základních principů </w:t>
      </w:r>
      <w:r w:rsidR="000B7508" w:rsidRPr="000B7508">
        <w:rPr>
          <w:bCs/>
        </w:rPr>
        <w:t xml:space="preserve">při zadávání zakázek </w:t>
      </w:r>
      <w:r w:rsidR="004212A8" w:rsidRPr="000B7508">
        <w:rPr>
          <w:bCs/>
        </w:rPr>
        <w:t>dle zákona</w:t>
      </w:r>
      <w:r w:rsidR="004212A8" w:rsidRPr="000B7508">
        <w:rPr>
          <w:rStyle w:val="Znakapoznpodarou"/>
          <w:bCs/>
        </w:rPr>
        <w:footnoteReference w:id="16"/>
      </w:r>
      <w:r w:rsidR="004504E2">
        <w:rPr>
          <w:bCs/>
        </w:rPr>
        <w:t xml:space="preserve"> (viz též část IV.2.1)</w:t>
      </w:r>
      <w:r w:rsidR="004212A8" w:rsidRPr="000B7508">
        <w:rPr>
          <w:bCs/>
        </w:rPr>
        <w:t>.</w:t>
      </w:r>
    </w:p>
    <w:p w14:paraId="76334FBF" w14:textId="2E9B4A21" w:rsidR="007D56E6" w:rsidRPr="00C14997" w:rsidRDefault="008F501F" w:rsidP="00A61F36">
      <w:pPr>
        <w:pStyle w:val="Odstavecseseznamem"/>
        <w:numPr>
          <w:ilvl w:val="0"/>
          <w:numId w:val="22"/>
        </w:numPr>
        <w:spacing w:after="120"/>
        <w:rPr>
          <w:bCs/>
        </w:rPr>
      </w:pPr>
      <w:r w:rsidRPr="00C14997">
        <w:rPr>
          <w:b/>
          <w:bCs/>
        </w:rPr>
        <w:t xml:space="preserve">MŽP </w:t>
      </w:r>
      <w:r w:rsidR="007D56E6" w:rsidRPr="00C14997">
        <w:rPr>
          <w:b/>
          <w:bCs/>
        </w:rPr>
        <w:t>nevykonáv</w:t>
      </w:r>
      <w:r w:rsidR="005752F5">
        <w:rPr>
          <w:b/>
          <w:bCs/>
        </w:rPr>
        <w:t xml:space="preserve">alo </w:t>
      </w:r>
      <w:r w:rsidR="007D56E6" w:rsidRPr="00C14997">
        <w:rPr>
          <w:b/>
          <w:bCs/>
        </w:rPr>
        <w:t xml:space="preserve">kontrolu delegovaných činností u </w:t>
      </w:r>
      <w:r w:rsidR="00C14997" w:rsidRPr="00C14997">
        <w:rPr>
          <w:b/>
          <w:bCs/>
        </w:rPr>
        <w:t>SFŽP</w:t>
      </w:r>
      <w:r w:rsidR="00F93C46">
        <w:rPr>
          <w:b/>
          <w:bCs/>
        </w:rPr>
        <w:t xml:space="preserve"> pověřeného </w:t>
      </w:r>
      <w:r w:rsidR="007D56E6" w:rsidRPr="00C14997">
        <w:rPr>
          <w:b/>
          <w:bCs/>
        </w:rPr>
        <w:t>administr</w:t>
      </w:r>
      <w:r w:rsidR="00F93C46">
        <w:rPr>
          <w:b/>
          <w:bCs/>
        </w:rPr>
        <w:t xml:space="preserve">ací </w:t>
      </w:r>
      <w:r w:rsidR="00C14997" w:rsidRPr="00C14997">
        <w:rPr>
          <w:b/>
          <w:bCs/>
        </w:rPr>
        <w:t>programu NZÚ</w:t>
      </w:r>
      <w:r w:rsidR="007D56E6" w:rsidRPr="00C14997">
        <w:rPr>
          <w:b/>
          <w:bCs/>
        </w:rPr>
        <w:t xml:space="preserve"> v souladu s plány kontrol</w:t>
      </w:r>
      <w:r w:rsidR="00A61F36" w:rsidRPr="00213ACA">
        <w:rPr>
          <w:b/>
          <w:bCs/>
        </w:rPr>
        <w:t>.</w:t>
      </w:r>
      <w:r w:rsidR="00A61F36">
        <w:rPr>
          <w:bCs/>
        </w:rPr>
        <w:t xml:space="preserve"> V období od roku 2016 do roku 2020 provedlo MŽP u SFŽP pouhé dvě kontroly (viz též část </w:t>
      </w:r>
      <w:r w:rsidR="00A61F36" w:rsidRPr="00A61F36">
        <w:rPr>
          <w:bCs/>
        </w:rPr>
        <w:t>IV.2.1</w:t>
      </w:r>
      <w:r w:rsidR="00A61F36">
        <w:rPr>
          <w:bCs/>
        </w:rPr>
        <w:t xml:space="preserve">). </w:t>
      </w:r>
    </w:p>
    <w:p w14:paraId="1AB68FE2" w14:textId="56105F73" w:rsidR="008F501F" w:rsidRDefault="007D56E6" w:rsidP="003C60A4">
      <w:pPr>
        <w:pStyle w:val="Odstavecseseznamem"/>
        <w:numPr>
          <w:ilvl w:val="0"/>
          <w:numId w:val="22"/>
        </w:numPr>
        <w:spacing w:after="120"/>
        <w:rPr>
          <w:bCs/>
        </w:rPr>
      </w:pPr>
      <w:r w:rsidRPr="007D56E6">
        <w:rPr>
          <w:b/>
          <w:bCs/>
        </w:rPr>
        <w:t xml:space="preserve">SFŽP </w:t>
      </w:r>
      <w:r w:rsidR="00F93C46">
        <w:rPr>
          <w:b/>
          <w:bCs/>
        </w:rPr>
        <w:t xml:space="preserve">v roli administrátora </w:t>
      </w:r>
      <w:r w:rsidR="005D363A">
        <w:rPr>
          <w:b/>
          <w:bCs/>
        </w:rPr>
        <w:t xml:space="preserve">programu NZÚ </w:t>
      </w:r>
      <w:r w:rsidRPr="007D56E6">
        <w:rPr>
          <w:b/>
          <w:bCs/>
        </w:rPr>
        <w:t>neprov</w:t>
      </w:r>
      <w:r w:rsidR="0032726F">
        <w:rPr>
          <w:b/>
          <w:bCs/>
        </w:rPr>
        <w:t>edl</w:t>
      </w:r>
      <w:r w:rsidRPr="007D56E6">
        <w:rPr>
          <w:b/>
          <w:bCs/>
        </w:rPr>
        <w:t xml:space="preserve"> </w:t>
      </w:r>
      <w:r>
        <w:rPr>
          <w:b/>
          <w:bCs/>
        </w:rPr>
        <w:t xml:space="preserve">u příjemců </w:t>
      </w:r>
      <w:r w:rsidR="00C14997">
        <w:rPr>
          <w:b/>
          <w:bCs/>
        </w:rPr>
        <w:t xml:space="preserve">podpory </w:t>
      </w:r>
      <w:r w:rsidR="005D363A">
        <w:rPr>
          <w:b/>
          <w:bCs/>
        </w:rPr>
        <w:t xml:space="preserve">žádnou </w:t>
      </w:r>
      <w:r w:rsidRPr="007D56E6">
        <w:rPr>
          <w:b/>
          <w:bCs/>
        </w:rPr>
        <w:t>kontrolu výběru dodavatelů</w:t>
      </w:r>
      <w:r>
        <w:rPr>
          <w:bCs/>
        </w:rPr>
        <w:t xml:space="preserve"> </w:t>
      </w:r>
      <w:r w:rsidR="0032726F">
        <w:t>–</w:t>
      </w:r>
      <w:r w:rsidR="005D363A">
        <w:rPr>
          <w:bCs/>
        </w:rPr>
        <w:t xml:space="preserve"> </w:t>
      </w:r>
      <w:r>
        <w:rPr>
          <w:bCs/>
        </w:rPr>
        <w:t>ani při administrativních kontrolách</w:t>
      </w:r>
      <w:r w:rsidR="005752F5">
        <w:rPr>
          <w:rStyle w:val="Znakapoznpodarou"/>
          <w:bCs/>
        </w:rPr>
        <w:footnoteReference w:id="17"/>
      </w:r>
      <w:r w:rsidR="0063791C">
        <w:rPr>
          <w:bCs/>
        </w:rPr>
        <w:t>, ani při</w:t>
      </w:r>
      <w:r w:rsidR="0032726F">
        <w:rPr>
          <w:bCs/>
        </w:rPr>
        <w:t xml:space="preserve"> </w:t>
      </w:r>
      <w:r>
        <w:rPr>
          <w:bCs/>
        </w:rPr>
        <w:t>veřejnosprávních kontrolách na místě</w:t>
      </w:r>
      <w:r w:rsidR="006679A3">
        <w:rPr>
          <w:bCs/>
        </w:rPr>
        <w:t xml:space="preserve"> realizace</w:t>
      </w:r>
      <w:r w:rsidR="003C60A4">
        <w:rPr>
          <w:bCs/>
        </w:rPr>
        <w:t xml:space="preserve"> (viz též část</w:t>
      </w:r>
      <w:r w:rsidR="003C60A4" w:rsidRPr="003C60A4">
        <w:t xml:space="preserve"> </w:t>
      </w:r>
      <w:r w:rsidR="003C60A4" w:rsidRPr="003C60A4">
        <w:rPr>
          <w:bCs/>
        </w:rPr>
        <w:t>IV.2.2</w:t>
      </w:r>
      <w:r w:rsidR="003C60A4">
        <w:rPr>
          <w:bCs/>
        </w:rPr>
        <w:t>)</w:t>
      </w:r>
      <w:r>
        <w:rPr>
          <w:bCs/>
        </w:rPr>
        <w:t>.</w:t>
      </w:r>
      <w:r w:rsidR="003C60A4">
        <w:rPr>
          <w:bCs/>
        </w:rPr>
        <w:t xml:space="preserve"> </w:t>
      </w:r>
    </w:p>
    <w:p w14:paraId="6CED127F" w14:textId="30548048" w:rsidR="008F501F" w:rsidRDefault="007D56E6" w:rsidP="00064455">
      <w:pPr>
        <w:pStyle w:val="Odstavecseseznamem"/>
        <w:numPr>
          <w:ilvl w:val="0"/>
          <w:numId w:val="22"/>
        </w:numPr>
        <w:spacing w:after="120"/>
        <w:rPr>
          <w:bCs/>
        </w:rPr>
      </w:pPr>
      <w:r w:rsidRPr="007D56E6">
        <w:rPr>
          <w:b/>
          <w:bCs/>
        </w:rPr>
        <w:t xml:space="preserve">SFŽP se dopustil mnoha </w:t>
      </w:r>
      <w:r w:rsidR="00D31E35">
        <w:rPr>
          <w:b/>
          <w:bCs/>
        </w:rPr>
        <w:t>pochybení</w:t>
      </w:r>
      <w:r w:rsidRPr="007D56E6">
        <w:rPr>
          <w:b/>
          <w:bCs/>
        </w:rPr>
        <w:t xml:space="preserve"> při </w:t>
      </w:r>
      <w:r w:rsidR="008F4A88">
        <w:rPr>
          <w:b/>
          <w:bCs/>
        </w:rPr>
        <w:t xml:space="preserve">evidování </w:t>
      </w:r>
      <w:r w:rsidR="0032726F">
        <w:rPr>
          <w:b/>
          <w:bCs/>
        </w:rPr>
        <w:t>podpor</w:t>
      </w:r>
      <w:r w:rsidR="00326911">
        <w:rPr>
          <w:b/>
          <w:bCs/>
        </w:rPr>
        <w:t xml:space="preserve"> </w:t>
      </w:r>
      <w:r w:rsidRPr="007D56E6">
        <w:rPr>
          <w:b/>
          <w:bCs/>
        </w:rPr>
        <w:t xml:space="preserve">do </w:t>
      </w:r>
      <w:r w:rsidR="008F4A88">
        <w:rPr>
          <w:b/>
          <w:bCs/>
        </w:rPr>
        <w:t>c</w:t>
      </w:r>
      <w:r w:rsidR="008F501F" w:rsidRPr="007D56E6">
        <w:rPr>
          <w:b/>
          <w:bCs/>
        </w:rPr>
        <w:t xml:space="preserve">entrálního registru </w:t>
      </w:r>
      <w:r w:rsidRPr="007D56E6">
        <w:rPr>
          <w:b/>
          <w:bCs/>
        </w:rPr>
        <w:t>podpor</w:t>
      </w:r>
      <w:r>
        <w:rPr>
          <w:bCs/>
        </w:rPr>
        <w:t xml:space="preserve"> </w:t>
      </w:r>
      <w:r w:rsidRPr="005D363A">
        <w:rPr>
          <w:b/>
          <w:bCs/>
        </w:rPr>
        <w:t>malého rozsahu (</w:t>
      </w:r>
      <w:r w:rsidR="008F4A88" w:rsidRPr="00213ACA">
        <w:rPr>
          <w:b/>
          <w:bCs/>
          <w:i/>
        </w:rPr>
        <w:t xml:space="preserve">Registr </w:t>
      </w:r>
      <w:r w:rsidR="008F501F" w:rsidRPr="00213ACA">
        <w:rPr>
          <w:b/>
          <w:bCs/>
          <w:i/>
        </w:rPr>
        <w:t xml:space="preserve">de </w:t>
      </w:r>
      <w:proofErr w:type="spellStart"/>
      <w:r w:rsidR="008F501F" w:rsidRPr="00213ACA">
        <w:rPr>
          <w:b/>
          <w:bCs/>
          <w:i/>
        </w:rPr>
        <w:t>minimis</w:t>
      </w:r>
      <w:proofErr w:type="spellEnd"/>
      <w:r w:rsidR="008F4A88">
        <w:rPr>
          <w:b/>
          <w:bCs/>
        </w:rPr>
        <w:t>,</w:t>
      </w:r>
      <w:r w:rsidR="00C14997">
        <w:rPr>
          <w:bCs/>
        </w:rPr>
        <w:t xml:space="preserve"> </w:t>
      </w:r>
      <w:r w:rsidR="00D31E35">
        <w:rPr>
          <w:bCs/>
        </w:rPr>
        <w:t xml:space="preserve">dále též „RDM“) </w:t>
      </w:r>
      <w:r w:rsidR="00C14997">
        <w:rPr>
          <w:bCs/>
        </w:rPr>
        <w:t>poskytovan</w:t>
      </w:r>
      <w:r w:rsidR="00326911">
        <w:rPr>
          <w:bCs/>
        </w:rPr>
        <w:t>ých</w:t>
      </w:r>
      <w:r w:rsidR="00C14997">
        <w:rPr>
          <w:bCs/>
        </w:rPr>
        <w:t xml:space="preserve"> z programu NZÚ</w:t>
      </w:r>
      <w:r w:rsidR="00D31E35">
        <w:rPr>
          <w:bCs/>
        </w:rPr>
        <w:t>, včetně nezazname</w:t>
      </w:r>
      <w:r w:rsidR="00693B97">
        <w:rPr>
          <w:bCs/>
        </w:rPr>
        <w:t>ná</w:t>
      </w:r>
      <w:r w:rsidR="00D31E35">
        <w:rPr>
          <w:bCs/>
        </w:rPr>
        <w:t xml:space="preserve">ní podpory </w:t>
      </w:r>
      <w:r w:rsidR="00BB0149">
        <w:rPr>
          <w:bCs/>
        </w:rPr>
        <w:t>malého rozsahu (</w:t>
      </w:r>
      <w:r w:rsidR="00D31E35">
        <w:rPr>
          <w:bCs/>
        </w:rPr>
        <w:t xml:space="preserve">de </w:t>
      </w:r>
      <w:proofErr w:type="spellStart"/>
      <w:r w:rsidR="00D31E35">
        <w:rPr>
          <w:bCs/>
        </w:rPr>
        <w:t>minimis</w:t>
      </w:r>
      <w:proofErr w:type="spellEnd"/>
      <w:r w:rsidR="00BB0149">
        <w:rPr>
          <w:bCs/>
        </w:rPr>
        <w:t>)</w:t>
      </w:r>
      <w:r w:rsidR="00D31E35">
        <w:rPr>
          <w:rStyle w:val="Znakapoznpodarou"/>
          <w:bCs/>
        </w:rPr>
        <w:footnoteReference w:id="18"/>
      </w:r>
      <w:r w:rsidR="00064455">
        <w:rPr>
          <w:bCs/>
        </w:rPr>
        <w:t xml:space="preserve"> (viz</w:t>
      </w:r>
      <w:r w:rsidR="00326911">
        <w:rPr>
          <w:bCs/>
        </w:rPr>
        <w:t> </w:t>
      </w:r>
      <w:r w:rsidR="00064455">
        <w:rPr>
          <w:bCs/>
        </w:rPr>
        <w:t xml:space="preserve">též část </w:t>
      </w:r>
      <w:r w:rsidR="00064455" w:rsidRPr="00064455">
        <w:rPr>
          <w:bCs/>
        </w:rPr>
        <w:t>IV.2.2</w:t>
      </w:r>
      <w:r w:rsidR="00064455">
        <w:rPr>
          <w:bCs/>
        </w:rPr>
        <w:t>)</w:t>
      </w:r>
      <w:r w:rsidR="00C14997" w:rsidRPr="00064455">
        <w:rPr>
          <w:bCs/>
        </w:rPr>
        <w:t>.</w:t>
      </w:r>
    </w:p>
    <w:p w14:paraId="364C22CB" w14:textId="7C69ACE9" w:rsidR="008C08B7" w:rsidRDefault="00D31E35" w:rsidP="00264849">
      <w:pPr>
        <w:pStyle w:val="Odstavecseseznamem"/>
        <w:numPr>
          <w:ilvl w:val="0"/>
          <w:numId w:val="22"/>
        </w:numPr>
        <w:spacing w:after="120"/>
        <w:rPr>
          <w:bCs/>
        </w:rPr>
      </w:pPr>
      <w:r>
        <w:rPr>
          <w:b/>
          <w:bCs/>
        </w:rPr>
        <w:t xml:space="preserve">NKÚ zjistil </w:t>
      </w:r>
      <w:r w:rsidR="005D363A">
        <w:rPr>
          <w:b/>
          <w:bCs/>
        </w:rPr>
        <w:t xml:space="preserve">u příjemců podpory </w:t>
      </w:r>
      <w:r w:rsidR="00FE59CB" w:rsidRPr="00FE59CB">
        <w:rPr>
          <w:b/>
          <w:bCs/>
        </w:rPr>
        <w:t>nedostatky</w:t>
      </w:r>
      <w:r w:rsidR="00FE59CB" w:rsidRPr="00213ACA">
        <w:rPr>
          <w:b/>
          <w:bCs/>
        </w:rPr>
        <w:t>,</w:t>
      </w:r>
      <w:r w:rsidR="00FE59CB">
        <w:rPr>
          <w:bCs/>
        </w:rPr>
        <w:t xml:space="preserve"> </w:t>
      </w:r>
      <w:r w:rsidR="00FE59CB" w:rsidRPr="00FE59CB">
        <w:rPr>
          <w:bCs/>
        </w:rPr>
        <w:t>které se týkají v</w:t>
      </w:r>
      <w:r w:rsidR="008C08B7" w:rsidRPr="00FE59CB">
        <w:rPr>
          <w:bCs/>
        </w:rPr>
        <w:t>ěcně nezpůsobil</w:t>
      </w:r>
      <w:r w:rsidR="00EA25A3" w:rsidRPr="00FE59CB">
        <w:rPr>
          <w:bCs/>
        </w:rPr>
        <w:t>ých</w:t>
      </w:r>
      <w:r w:rsidR="008C08B7" w:rsidRPr="00FE59CB">
        <w:rPr>
          <w:bCs/>
        </w:rPr>
        <w:t xml:space="preserve"> výdaj</w:t>
      </w:r>
      <w:r w:rsidR="00EA25A3" w:rsidRPr="00FE59CB">
        <w:rPr>
          <w:bCs/>
        </w:rPr>
        <w:t>ů</w:t>
      </w:r>
      <w:r w:rsidR="008C08B7" w:rsidRPr="00FE59CB">
        <w:rPr>
          <w:bCs/>
        </w:rPr>
        <w:t xml:space="preserve"> u projektu IROP</w:t>
      </w:r>
      <w:r w:rsidR="005752F5">
        <w:rPr>
          <w:bCs/>
        </w:rPr>
        <w:t xml:space="preserve"> (viz též část IV.1.3)</w:t>
      </w:r>
      <w:r w:rsidR="005D363A">
        <w:rPr>
          <w:bCs/>
        </w:rPr>
        <w:t xml:space="preserve">, </w:t>
      </w:r>
      <w:r w:rsidR="00FE59CB" w:rsidRPr="00FE59CB">
        <w:rPr>
          <w:bCs/>
        </w:rPr>
        <w:t xml:space="preserve">a </w:t>
      </w:r>
      <w:r w:rsidR="005D363A">
        <w:rPr>
          <w:bCs/>
        </w:rPr>
        <w:t xml:space="preserve">dále </w:t>
      </w:r>
      <w:r w:rsidR="00FE59CB" w:rsidRPr="00FE59CB">
        <w:rPr>
          <w:bCs/>
        </w:rPr>
        <w:t xml:space="preserve">porušení zásad transparentnosti, rovného </w:t>
      </w:r>
      <w:r w:rsidR="00FE59CB" w:rsidRPr="00FE59CB">
        <w:rPr>
          <w:bCs/>
        </w:rPr>
        <w:lastRenderedPageBreak/>
        <w:t>zacházení a zákazu diskr</w:t>
      </w:r>
      <w:r w:rsidR="0012692C">
        <w:rPr>
          <w:bCs/>
        </w:rPr>
        <w:t>iminace při výběru dodavatelů u </w:t>
      </w:r>
      <w:r w:rsidR="00FE59CB" w:rsidRPr="00FE59CB">
        <w:rPr>
          <w:bCs/>
        </w:rPr>
        <w:t>projektů NZÚ</w:t>
      </w:r>
      <w:r w:rsidR="003C60A4">
        <w:rPr>
          <w:bCs/>
        </w:rPr>
        <w:t xml:space="preserve"> (</w:t>
      </w:r>
      <w:r w:rsidR="005752F5">
        <w:rPr>
          <w:bCs/>
        </w:rPr>
        <w:t xml:space="preserve">viz též část </w:t>
      </w:r>
      <w:r w:rsidR="003C60A4">
        <w:rPr>
          <w:bCs/>
        </w:rPr>
        <w:t>IV.2.3)</w:t>
      </w:r>
      <w:r w:rsidR="008C08B7" w:rsidRPr="00FE59CB">
        <w:rPr>
          <w:bCs/>
        </w:rPr>
        <w:t>.</w:t>
      </w:r>
      <w:r w:rsidR="00EA25A3" w:rsidRPr="00FE59CB">
        <w:rPr>
          <w:bCs/>
        </w:rPr>
        <w:t xml:space="preserve"> </w:t>
      </w:r>
    </w:p>
    <w:p w14:paraId="62488438" w14:textId="35403624" w:rsidR="00E66ECB" w:rsidRPr="004971C8" w:rsidRDefault="00E66ECB" w:rsidP="00960941">
      <w:pPr>
        <w:pStyle w:val="Odstavecseseznamem"/>
        <w:numPr>
          <w:ilvl w:val="0"/>
          <w:numId w:val="22"/>
        </w:numPr>
        <w:spacing w:after="120"/>
        <w:rPr>
          <w:bCs/>
        </w:rPr>
      </w:pPr>
      <w:r w:rsidRPr="00E66ECB">
        <w:rPr>
          <w:b/>
          <w:bCs/>
        </w:rPr>
        <w:t>Podmínky IROP pro získání dotace jsou přísnější, než je tomu u programu NZÚ</w:t>
      </w:r>
      <w:r w:rsidR="00DC5823" w:rsidRPr="00213ACA">
        <w:rPr>
          <w:b/>
          <w:bCs/>
        </w:rPr>
        <w:t>,</w:t>
      </w:r>
      <w:r w:rsidR="00DC5823">
        <w:rPr>
          <w:bCs/>
        </w:rPr>
        <w:t xml:space="preserve"> zejména v rozsahu závazků a povinností pro žadatele a příjemce</w:t>
      </w:r>
      <w:r w:rsidRPr="00213ACA">
        <w:rPr>
          <w:bCs/>
        </w:rPr>
        <w:t xml:space="preserve">. </w:t>
      </w:r>
      <w:r w:rsidRPr="00E66ECB">
        <w:rPr>
          <w:bCs/>
        </w:rPr>
        <w:t xml:space="preserve">V programu NZÚ </w:t>
      </w:r>
      <w:r w:rsidR="00DC5823">
        <w:rPr>
          <w:bCs/>
        </w:rPr>
        <w:t xml:space="preserve">dále </w:t>
      </w:r>
      <w:r w:rsidR="005D363A">
        <w:rPr>
          <w:bCs/>
        </w:rPr>
        <w:t xml:space="preserve">např. </w:t>
      </w:r>
      <w:r w:rsidRPr="00E66ECB">
        <w:rPr>
          <w:bCs/>
        </w:rPr>
        <w:t>mohou příjemci žádat o dotaci i v případě, že realizace podporovaného opatření byla již zahájena, respektive ukončena</w:t>
      </w:r>
      <w:r w:rsidR="005D363A">
        <w:rPr>
          <w:bCs/>
        </w:rPr>
        <w:t>,</w:t>
      </w:r>
      <w:r w:rsidRPr="003C60A4">
        <w:rPr>
          <w:rStyle w:val="Znakapoznpodarou"/>
          <w:bCs/>
        </w:rPr>
        <w:footnoteReference w:id="19"/>
      </w:r>
      <w:r w:rsidR="005D363A">
        <w:rPr>
          <w:bCs/>
        </w:rPr>
        <w:t xml:space="preserve"> zatímco pravidla IROP poskytnutí podpory </w:t>
      </w:r>
      <w:r w:rsidR="00326911">
        <w:rPr>
          <w:bCs/>
        </w:rPr>
        <w:t xml:space="preserve">příjemcům </w:t>
      </w:r>
      <w:r w:rsidR="005D363A">
        <w:rPr>
          <w:bCs/>
        </w:rPr>
        <w:t xml:space="preserve">za těchto podmínek </w:t>
      </w:r>
      <w:r w:rsidR="005D363A" w:rsidRPr="005D363A">
        <w:rPr>
          <w:bCs/>
        </w:rPr>
        <w:t>neumožňují</w:t>
      </w:r>
      <w:r w:rsidR="005D363A">
        <w:rPr>
          <w:bCs/>
        </w:rPr>
        <w:t xml:space="preserve"> </w:t>
      </w:r>
      <w:r w:rsidRPr="00E66ECB">
        <w:rPr>
          <w:bCs/>
        </w:rPr>
        <w:t>(</w:t>
      </w:r>
      <w:r w:rsidRPr="004971C8">
        <w:rPr>
          <w:bCs/>
        </w:rPr>
        <w:t>viz též část I</w:t>
      </w:r>
      <w:r w:rsidR="004147A0" w:rsidRPr="004971C8">
        <w:rPr>
          <w:bCs/>
        </w:rPr>
        <w:t>V</w:t>
      </w:r>
      <w:r w:rsidRPr="004971C8">
        <w:rPr>
          <w:bCs/>
        </w:rPr>
        <w:t>.</w:t>
      </w:r>
      <w:r w:rsidR="004971C8" w:rsidRPr="004971C8">
        <w:rPr>
          <w:bCs/>
        </w:rPr>
        <w:t>3</w:t>
      </w:r>
      <w:r w:rsidR="00C50598">
        <w:rPr>
          <w:bCs/>
        </w:rPr>
        <w:t>.2</w:t>
      </w:r>
      <w:r w:rsidRPr="004971C8">
        <w:rPr>
          <w:bCs/>
        </w:rPr>
        <w:t xml:space="preserve">). </w:t>
      </w:r>
    </w:p>
    <w:p w14:paraId="6E581DDF" w14:textId="2CB3BF3E" w:rsidR="002949F4" w:rsidRPr="005D42A0" w:rsidRDefault="00E66ECB" w:rsidP="00264849">
      <w:pPr>
        <w:pStyle w:val="Odstavecseseznamem"/>
        <w:numPr>
          <w:ilvl w:val="0"/>
          <w:numId w:val="22"/>
        </w:numPr>
        <w:spacing w:after="120"/>
        <w:rPr>
          <w:bCs/>
        </w:rPr>
      </w:pPr>
      <w:r>
        <w:rPr>
          <w:b/>
          <w:bCs/>
        </w:rPr>
        <w:t xml:space="preserve">V programech </w:t>
      </w:r>
      <w:r w:rsidR="005D363A">
        <w:rPr>
          <w:b/>
          <w:bCs/>
        </w:rPr>
        <w:t xml:space="preserve">IROP a NZÚ </w:t>
      </w:r>
      <w:r>
        <w:rPr>
          <w:b/>
          <w:bCs/>
        </w:rPr>
        <w:t xml:space="preserve">je nastavení některých podmínek a pravidel pro </w:t>
      </w:r>
      <w:r w:rsidR="000D47E2">
        <w:rPr>
          <w:b/>
          <w:bCs/>
        </w:rPr>
        <w:t xml:space="preserve">žadatele a </w:t>
      </w:r>
      <w:r>
        <w:rPr>
          <w:b/>
          <w:bCs/>
        </w:rPr>
        <w:t>příjemce podpory odlišné</w:t>
      </w:r>
      <w:r w:rsidR="005D363A">
        <w:rPr>
          <w:b/>
          <w:bCs/>
        </w:rPr>
        <w:t xml:space="preserve"> </w:t>
      </w:r>
      <w:r w:rsidR="00346093" w:rsidRPr="005D42A0">
        <w:rPr>
          <w:bCs/>
        </w:rPr>
        <w:t>(viz též bod IV.3</w:t>
      </w:r>
      <w:r w:rsidR="003C60A4">
        <w:rPr>
          <w:bCs/>
        </w:rPr>
        <w:t>.2</w:t>
      </w:r>
      <w:r w:rsidR="00346093" w:rsidRPr="005D42A0">
        <w:rPr>
          <w:bCs/>
        </w:rPr>
        <w:t>)</w:t>
      </w:r>
      <w:r w:rsidR="002949F4" w:rsidRPr="005D42A0">
        <w:rPr>
          <w:bCs/>
        </w:rPr>
        <w:t>.</w:t>
      </w:r>
    </w:p>
    <w:p w14:paraId="1631CAC4" w14:textId="0323494C" w:rsidR="00381D3A" w:rsidRDefault="00381D3A" w:rsidP="00264849">
      <w:pPr>
        <w:pStyle w:val="Odstavecseseznamem"/>
        <w:numPr>
          <w:ilvl w:val="0"/>
          <w:numId w:val="22"/>
        </w:numPr>
        <w:spacing w:after="120"/>
        <w:rPr>
          <w:bCs/>
        </w:rPr>
      </w:pPr>
      <w:r>
        <w:rPr>
          <w:b/>
          <w:bCs/>
        </w:rPr>
        <w:t>Celková a</w:t>
      </w:r>
      <w:r w:rsidRPr="002B1277">
        <w:rPr>
          <w:b/>
          <w:bCs/>
        </w:rPr>
        <w:t>dministrativní z</w:t>
      </w:r>
      <w:r>
        <w:rPr>
          <w:b/>
          <w:bCs/>
        </w:rPr>
        <w:t>átě</w:t>
      </w:r>
      <w:r w:rsidRPr="002B1277">
        <w:rPr>
          <w:b/>
          <w:bCs/>
        </w:rPr>
        <w:t>ž příjemců podpory z IROP je vyšší</w:t>
      </w:r>
      <w:r w:rsidR="00326911">
        <w:rPr>
          <w:b/>
          <w:bCs/>
        </w:rPr>
        <w:t>,</w:t>
      </w:r>
      <w:r w:rsidRPr="002B1277">
        <w:rPr>
          <w:b/>
          <w:bCs/>
        </w:rPr>
        <w:t xml:space="preserve"> než je tomu u</w:t>
      </w:r>
      <w:r w:rsidR="00250571">
        <w:rPr>
          <w:b/>
          <w:bCs/>
        </w:rPr>
        <w:t> </w:t>
      </w:r>
      <w:r w:rsidRPr="002B1277">
        <w:rPr>
          <w:b/>
          <w:bCs/>
        </w:rPr>
        <w:t>příjemců podpory z programu NZÚ</w:t>
      </w:r>
      <w:r w:rsidR="00474327">
        <w:rPr>
          <w:b/>
          <w:bCs/>
        </w:rPr>
        <w:t xml:space="preserve"> </w:t>
      </w:r>
      <w:r w:rsidR="00346093">
        <w:rPr>
          <w:bCs/>
        </w:rPr>
        <w:t xml:space="preserve">(viz též </w:t>
      </w:r>
      <w:r w:rsidR="00064455">
        <w:rPr>
          <w:bCs/>
        </w:rPr>
        <w:t>část</w:t>
      </w:r>
      <w:r w:rsidR="00346093">
        <w:rPr>
          <w:bCs/>
        </w:rPr>
        <w:t xml:space="preserve"> IV.</w:t>
      </w:r>
      <w:r w:rsidR="003C60A4">
        <w:rPr>
          <w:bCs/>
        </w:rPr>
        <w:t>3</w:t>
      </w:r>
      <w:r w:rsidR="00346093">
        <w:rPr>
          <w:bCs/>
        </w:rPr>
        <w:t>.</w:t>
      </w:r>
      <w:r w:rsidR="003C60A4">
        <w:rPr>
          <w:bCs/>
        </w:rPr>
        <w:t>2).</w:t>
      </w:r>
    </w:p>
    <w:p w14:paraId="0C1BBC77" w14:textId="3F1A0203" w:rsidR="0011208A" w:rsidRPr="007E3549" w:rsidRDefault="002B1277" w:rsidP="00FF367B">
      <w:pPr>
        <w:pStyle w:val="Odstavecseseznamem"/>
        <w:numPr>
          <w:ilvl w:val="0"/>
          <w:numId w:val="22"/>
        </w:numPr>
        <w:spacing w:after="120"/>
        <w:rPr>
          <w:bCs/>
          <w:szCs w:val="24"/>
        </w:rPr>
      </w:pPr>
      <w:r w:rsidRPr="007E3549">
        <w:rPr>
          <w:b/>
          <w:bCs/>
        </w:rPr>
        <w:t>Predikované úspory energie ve vztahu k vnitrostátnímu cíli Č</w:t>
      </w:r>
      <w:r w:rsidR="009F11E5" w:rsidRPr="007E3549">
        <w:rPr>
          <w:b/>
          <w:bCs/>
        </w:rPr>
        <w:t xml:space="preserve">eské republiky </w:t>
      </w:r>
      <w:r w:rsidR="0063791C" w:rsidRPr="007E3549">
        <w:rPr>
          <w:b/>
          <w:bCs/>
        </w:rPr>
        <w:t>dle</w:t>
      </w:r>
      <w:r w:rsidR="009A6705">
        <w:rPr>
          <w:b/>
          <w:bCs/>
        </w:rPr>
        <w:t xml:space="preserve"> </w:t>
      </w:r>
      <w:r w:rsidRPr="007E3549">
        <w:rPr>
          <w:b/>
          <w:bCs/>
        </w:rPr>
        <w:t xml:space="preserve">směrnice </w:t>
      </w:r>
      <w:r w:rsidR="00EE4036" w:rsidRPr="007E3549">
        <w:rPr>
          <w:b/>
          <w:bCs/>
        </w:rPr>
        <w:t>EED</w:t>
      </w:r>
      <w:r w:rsidRPr="007E3549">
        <w:rPr>
          <w:b/>
          <w:bCs/>
        </w:rPr>
        <w:t xml:space="preserve"> v</w:t>
      </w:r>
      <w:r w:rsidR="009A6705">
        <w:rPr>
          <w:b/>
          <w:bCs/>
        </w:rPr>
        <w:t xml:space="preserve"> </w:t>
      </w:r>
      <w:r w:rsidRPr="007E3549">
        <w:rPr>
          <w:b/>
          <w:bCs/>
        </w:rPr>
        <w:t xml:space="preserve">rámci strategie </w:t>
      </w:r>
      <w:r w:rsidRPr="00213ACA">
        <w:rPr>
          <w:b/>
          <w:bCs/>
          <w:i/>
        </w:rPr>
        <w:t>Evropa 2020</w:t>
      </w:r>
      <w:r w:rsidRPr="007E3549">
        <w:rPr>
          <w:b/>
          <w:bCs/>
        </w:rPr>
        <w:t xml:space="preserve"> neb</w:t>
      </w:r>
      <w:r w:rsidR="00EE4036" w:rsidRPr="007E3549">
        <w:rPr>
          <w:b/>
          <w:bCs/>
        </w:rPr>
        <w:t xml:space="preserve">yly </w:t>
      </w:r>
      <w:r w:rsidRPr="007E3549">
        <w:rPr>
          <w:b/>
          <w:bCs/>
        </w:rPr>
        <w:t>naplněny ani v</w:t>
      </w:r>
      <w:r w:rsidR="009A6705">
        <w:rPr>
          <w:b/>
          <w:bCs/>
        </w:rPr>
        <w:t xml:space="preserve"> </w:t>
      </w:r>
      <w:r w:rsidRPr="007E3549">
        <w:rPr>
          <w:b/>
          <w:bCs/>
        </w:rPr>
        <w:t xml:space="preserve">IROP, ani </w:t>
      </w:r>
      <w:r w:rsidR="009A6705">
        <w:rPr>
          <w:b/>
          <w:bCs/>
        </w:rPr>
        <w:br/>
      </w:r>
      <w:r w:rsidRPr="007E3549">
        <w:rPr>
          <w:b/>
          <w:bCs/>
        </w:rPr>
        <w:t>v</w:t>
      </w:r>
      <w:r w:rsidR="009A6705">
        <w:rPr>
          <w:b/>
          <w:bCs/>
        </w:rPr>
        <w:t xml:space="preserve"> </w:t>
      </w:r>
      <w:r w:rsidRPr="007E3549">
        <w:rPr>
          <w:b/>
          <w:bCs/>
        </w:rPr>
        <w:t>programu NZÚ.</w:t>
      </w:r>
      <w:r w:rsidRPr="007E3549">
        <w:rPr>
          <w:bCs/>
        </w:rPr>
        <w:t xml:space="preserve"> </w:t>
      </w:r>
      <w:r w:rsidR="00150903" w:rsidRPr="007E3549">
        <w:rPr>
          <w:bCs/>
        </w:rPr>
        <w:t xml:space="preserve">Generovanými úsporami </w:t>
      </w:r>
      <w:r w:rsidR="00245D57" w:rsidRPr="007E3549">
        <w:rPr>
          <w:bCs/>
        </w:rPr>
        <w:t xml:space="preserve">u bytových domů </w:t>
      </w:r>
      <w:r w:rsidR="00150903" w:rsidRPr="007E3549">
        <w:rPr>
          <w:bCs/>
        </w:rPr>
        <w:t>v</w:t>
      </w:r>
      <w:r w:rsidR="009A6705">
        <w:rPr>
          <w:bCs/>
        </w:rPr>
        <w:t xml:space="preserve"> </w:t>
      </w:r>
      <w:r w:rsidR="00150903" w:rsidRPr="007E3549">
        <w:rPr>
          <w:bCs/>
        </w:rPr>
        <w:t xml:space="preserve">podpořených projektech </w:t>
      </w:r>
      <w:r w:rsidR="000D47E2" w:rsidRPr="007E3549">
        <w:rPr>
          <w:bCs/>
        </w:rPr>
        <w:t xml:space="preserve">naplnil IROP </w:t>
      </w:r>
      <w:r w:rsidR="00150903" w:rsidRPr="007E3549">
        <w:rPr>
          <w:bCs/>
        </w:rPr>
        <w:t>k</w:t>
      </w:r>
      <w:r w:rsidR="00D86383" w:rsidRPr="007E3549">
        <w:rPr>
          <w:bCs/>
        </w:rPr>
        <w:t xml:space="preserve"> datu 31. 12. 2020 </w:t>
      </w:r>
      <w:r w:rsidR="005D363A" w:rsidRPr="007E3549">
        <w:rPr>
          <w:bCs/>
        </w:rPr>
        <w:t>hodnotu</w:t>
      </w:r>
      <w:r w:rsidR="00150903" w:rsidRPr="007E3549">
        <w:rPr>
          <w:bCs/>
        </w:rPr>
        <w:t xml:space="preserve"> </w:t>
      </w:r>
      <w:r w:rsidR="00FE59CB" w:rsidRPr="007E3549">
        <w:rPr>
          <w:bCs/>
        </w:rPr>
        <w:t>1,2</w:t>
      </w:r>
      <w:r w:rsidR="00AA16F2" w:rsidRPr="007E3549">
        <w:rPr>
          <w:bCs/>
        </w:rPr>
        <w:t>7</w:t>
      </w:r>
      <w:r w:rsidR="00D86383" w:rsidRPr="007E3549">
        <w:rPr>
          <w:bCs/>
        </w:rPr>
        <w:t xml:space="preserve"> </w:t>
      </w:r>
      <w:proofErr w:type="spellStart"/>
      <w:r w:rsidR="00E54F4C" w:rsidRPr="007E3549">
        <w:rPr>
          <w:bCs/>
        </w:rPr>
        <w:t>petajoul</w:t>
      </w:r>
      <w:r w:rsidR="003C6F1F">
        <w:rPr>
          <w:bCs/>
        </w:rPr>
        <w:t>u</w:t>
      </w:r>
      <w:proofErr w:type="spellEnd"/>
      <w:r w:rsidR="00E54F4C" w:rsidRPr="007E3549">
        <w:rPr>
          <w:bCs/>
        </w:rPr>
        <w:t xml:space="preserve"> (dále též „</w:t>
      </w:r>
      <w:r w:rsidR="00D86383" w:rsidRPr="00A94BA8">
        <w:t>PJ</w:t>
      </w:r>
      <w:r w:rsidR="00E54F4C" w:rsidRPr="002300DC">
        <w:t>“)</w:t>
      </w:r>
      <w:r w:rsidR="004E70F8" w:rsidRPr="001F54D2">
        <w:t>,</w:t>
      </w:r>
      <w:r w:rsidR="004E70F8" w:rsidRPr="007E3549">
        <w:rPr>
          <w:bCs/>
        </w:rPr>
        <w:t xml:space="preserve"> </w:t>
      </w:r>
      <w:r w:rsidR="00474327">
        <w:rPr>
          <w:bCs/>
        </w:rPr>
        <w:br/>
      </w:r>
      <w:r w:rsidR="004E70F8" w:rsidRPr="007E3549">
        <w:rPr>
          <w:bCs/>
        </w:rPr>
        <w:t>tj.</w:t>
      </w:r>
      <w:r w:rsidR="00D86383" w:rsidRPr="007E3549">
        <w:rPr>
          <w:bCs/>
        </w:rPr>
        <w:t xml:space="preserve"> </w:t>
      </w:r>
      <w:r w:rsidRPr="007E3549">
        <w:rPr>
          <w:bCs/>
        </w:rPr>
        <w:t>4</w:t>
      </w:r>
      <w:r w:rsidR="008C0997" w:rsidRPr="007E3549">
        <w:rPr>
          <w:bCs/>
        </w:rPr>
        <w:t>1</w:t>
      </w:r>
      <w:r w:rsidR="009F0E4D" w:rsidRPr="007E3549">
        <w:rPr>
          <w:bCs/>
        </w:rPr>
        <w:t>,0</w:t>
      </w:r>
      <w:r w:rsidR="0089122F" w:rsidRPr="007E3549">
        <w:rPr>
          <w:bCs/>
        </w:rPr>
        <w:t xml:space="preserve"> </w:t>
      </w:r>
      <w:r w:rsidRPr="007E3549">
        <w:rPr>
          <w:bCs/>
        </w:rPr>
        <w:t>%</w:t>
      </w:r>
      <w:r w:rsidR="004E70F8" w:rsidRPr="007E3549">
        <w:rPr>
          <w:bCs/>
        </w:rPr>
        <w:t xml:space="preserve"> z původního plánu úspor</w:t>
      </w:r>
      <w:r w:rsidRPr="007E3549">
        <w:rPr>
          <w:bCs/>
        </w:rPr>
        <w:t>, program NZ</w:t>
      </w:r>
      <w:r w:rsidR="0089122F" w:rsidRPr="007E3549">
        <w:rPr>
          <w:bCs/>
        </w:rPr>
        <w:t xml:space="preserve">Ú </w:t>
      </w:r>
      <w:r w:rsidR="00381D3A" w:rsidRPr="007E3549">
        <w:rPr>
          <w:bCs/>
        </w:rPr>
        <w:t xml:space="preserve">naplnil </w:t>
      </w:r>
      <w:r w:rsidR="008409B4" w:rsidRPr="007E3549">
        <w:rPr>
          <w:bCs/>
        </w:rPr>
        <w:t xml:space="preserve">podprogramem </w:t>
      </w:r>
      <w:r w:rsidR="008409B4" w:rsidRPr="007E3549">
        <w:rPr>
          <w:bCs/>
          <w:i/>
        </w:rPr>
        <w:t xml:space="preserve">Bytové domy </w:t>
      </w:r>
      <w:r w:rsidR="00381D3A" w:rsidRPr="007E3549">
        <w:rPr>
          <w:bCs/>
        </w:rPr>
        <w:t xml:space="preserve">ke stejnému datu </w:t>
      </w:r>
      <w:r w:rsidR="005D363A" w:rsidRPr="007E3549">
        <w:rPr>
          <w:bCs/>
        </w:rPr>
        <w:t xml:space="preserve">hodnotu </w:t>
      </w:r>
      <w:r w:rsidR="008409B4" w:rsidRPr="007E3549">
        <w:rPr>
          <w:bCs/>
        </w:rPr>
        <w:t>0,</w:t>
      </w:r>
      <w:r w:rsidR="00FE59CB" w:rsidRPr="007E3549">
        <w:rPr>
          <w:bCs/>
        </w:rPr>
        <w:t>4</w:t>
      </w:r>
      <w:r w:rsidR="008409B4" w:rsidRPr="007E3549">
        <w:rPr>
          <w:bCs/>
        </w:rPr>
        <w:t xml:space="preserve"> </w:t>
      </w:r>
      <w:r w:rsidR="00D86383" w:rsidRPr="007E3549">
        <w:rPr>
          <w:bCs/>
        </w:rPr>
        <w:t>PJ</w:t>
      </w:r>
      <w:r w:rsidR="004E70F8" w:rsidRPr="007E3549">
        <w:rPr>
          <w:bCs/>
        </w:rPr>
        <w:t xml:space="preserve">, což </w:t>
      </w:r>
      <w:r w:rsidR="00150903" w:rsidRPr="007E3549">
        <w:rPr>
          <w:bCs/>
        </w:rPr>
        <w:t>činí</w:t>
      </w:r>
      <w:r w:rsidR="00D86383" w:rsidRPr="007E3549">
        <w:rPr>
          <w:bCs/>
        </w:rPr>
        <w:t xml:space="preserve"> </w:t>
      </w:r>
      <w:r w:rsidR="005D363A" w:rsidRPr="007E3549">
        <w:rPr>
          <w:bCs/>
        </w:rPr>
        <w:t xml:space="preserve">pouhých </w:t>
      </w:r>
      <w:r w:rsidR="0089122F" w:rsidRPr="007E3549">
        <w:rPr>
          <w:bCs/>
        </w:rPr>
        <w:t>13,</w:t>
      </w:r>
      <w:r w:rsidR="008C0997" w:rsidRPr="007E3549">
        <w:rPr>
          <w:bCs/>
        </w:rPr>
        <w:t>5</w:t>
      </w:r>
      <w:r w:rsidR="0063791C" w:rsidRPr="007E3549">
        <w:rPr>
          <w:bCs/>
        </w:rPr>
        <w:t> </w:t>
      </w:r>
      <w:r w:rsidR="0089122F" w:rsidRPr="007E3549">
        <w:rPr>
          <w:bCs/>
        </w:rPr>
        <w:t xml:space="preserve">% </w:t>
      </w:r>
      <w:r w:rsidR="004E70F8" w:rsidRPr="007E3549">
        <w:rPr>
          <w:bCs/>
        </w:rPr>
        <w:t>z původního plánu úspor</w:t>
      </w:r>
      <w:r w:rsidR="003C6F1F">
        <w:rPr>
          <w:bCs/>
        </w:rPr>
        <w:t xml:space="preserve"> </w:t>
      </w:r>
      <w:r w:rsidR="00474327">
        <w:rPr>
          <w:bCs/>
        </w:rPr>
        <w:br/>
      </w:r>
      <w:r w:rsidR="00150903" w:rsidRPr="007E3549">
        <w:rPr>
          <w:bCs/>
        </w:rPr>
        <w:t xml:space="preserve">za </w:t>
      </w:r>
      <w:r w:rsidR="00245D57" w:rsidRPr="007E3549">
        <w:rPr>
          <w:bCs/>
        </w:rPr>
        <w:t>pod</w:t>
      </w:r>
      <w:r w:rsidR="00150903" w:rsidRPr="007E3549">
        <w:rPr>
          <w:bCs/>
        </w:rPr>
        <w:t>program</w:t>
      </w:r>
      <w:r w:rsidR="00245D57" w:rsidRPr="007E3549">
        <w:rPr>
          <w:bCs/>
        </w:rPr>
        <w:t xml:space="preserve"> </w:t>
      </w:r>
      <w:r w:rsidR="00245D57" w:rsidRPr="007E3549">
        <w:rPr>
          <w:bCs/>
          <w:i/>
        </w:rPr>
        <w:t>Bytové domy</w:t>
      </w:r>
      <w:r w:rsidR="00150903" w:rsidRPr="007E3549">
        <w:rPr>
          <w:bCs/>
        </w:rPr>
        <w:t xml:space="preserve">. V segmentu bytových domů vykazují všechny ukončené </w:t>
      </w:r>
      <w:r w:rsidR="00474327">
        <w:rPr>
          <w:bCs/>
        </w:rPr>
        <w:t xml:space="preserve">projekty s </w:t>
      </w:r>
      <w:r w:rsidR="00150903" w:rsidRPr="007E3549">
        <w:rPr>
          <w:bCs/>
        </w:rPr>
        <w:t>proplacen</w:t>
      </w:r>
      <w:r w:rsidR="005752F5" w:rsidRPr="007E3549">
        <w:rPr>
          <w:bCs/>
        </w:rPr>
        <w:t xml:space="preserve">ou dotací </w:t>
      </w:r>
      <w:r w:rsidR="00150903" w:rsidRPr="007E3549">
        <w:rPr>
          <w:bCs/>
        </w:rPr>
        <w:t xml:space="preserve">průměrnou </w:t>
      </w:r>
      <w:r w:rsidR="00B97962" w:rsidRPr="007E3549">
        <w:rPr>
          <w:bCs/>
        </w:rPr>
        <w:t>skutečn</w:t>
      </w:r>
      <w:r w:rsidR="00001043" w:rsidRPr="007E3549">
        <w:rPr>
          <w:bCs/>
        </w:rPr>
        <w:t>ou</w:t>
      </w:r>
      <w:r w:rsidR="00B97962" w:rsidRPr="007E3549">
        <w:rPr>
          <w:bCs/>
        </w:rPr>
        <w:t xml:space="preserve"> </w:t>
      </w:r>
      <w:r w:rsidR="00150903" w:rsidRPr="007E3549">
        <w:rPr>
          <w:bCs/>
        </w:rPr>
        <w:t>měrn</w:t>
      </w:r>
      <w:r w:rsidR="00001043" w:rsidRPr="007E3549">
        <w:rPr>
          <w:bCs/>
        </w:rPr>
        <w:t>ou</w:t>
      </w:r>
      <w:r w:rsidR="00150903" w:rsidRPr="007E3549">
        <w:rPr>
          <w:bCs/>
        </w:rPr>
        <w:t xml:space="preserve"> dotac</w:t>
      </w:r>
      <w:r w:rsidR="00001043" w:rsidRPr="007E3549">
        <w:rPr>
          <w:bCs/>
        </w:rPr>
        <w:t>i ve výši</w:t>
      </w:r>
      <w:r w:rsidR="009B4E01">
        <w:rPr>
          <w:bCs/>
        </w:rPr>
        <w:t xml:space="preserve"> </w:t>
      </w:r>
      <w:r w:rsidR="00C971DB" w:rsidRPr="007E3549">
        <w:rPr>
          <w:bCs/>
        </w:rPr>
        <w:t>2 681</w:t>
      </w:r>
      <w:r w:rsidR="009B4E01">
        <w:rPr>
          <w:bCs/>
        </w:rPr>
        <w:t> </w:t>
      </w:r>
      <w:r w:rsidR="00C971DB" w:rsidRPr="007E3549">
        <w:rPr>
          <w:bCs/>
        </w:rPr>
        <w:t xml:space="preserve">Kč/gigajoule </w:t>
      </w:r>
      <w:r w:rsidR="00E54F4C" w:rsidRPr="007E3549">
        <w:rPr>
          <w:bCs/>
        </w:rPr>
        <w:t>(dále též „</w:t>
      </w:r>
      <w:r w:rsidR="00150903" w:rsidRPr="007E3549">
        <w:rPr>
          <w:bCs/>
        </w:rPr>
        <w:t>GJ</w:t>
      </w:r>
      <w:r w:rsidR="00E54F4C" w:rsidRPr="007E3549">
        <w:rPr>
          <w:bCs/>
        </w:rPr>
        <w:t>“)</w:t>
      </w:r>
      <w:r w:rsidR="00150903" w:rsidRPr="007E3549">
        <w:rPr>
          <w:bCs/>
        </w:rPr>
        <w:t xml:space="preserve"> u IROP a </w:t>
      </w:r>
      <w:r w:rsidR="005D363A" w:rsidRPr="007E3549">
        <w:rPr>
          <w:bCs/>
        </w:rPr>
        <w:t xml:space="preserve">průměrnou </w:t>
      </w:r>
      <w:r w:rsidR="00B97962" w:rsidRPr="007E3549">
        <w:rPr>
          <w:bCs/>
        </w:rPr>
        <w:t>skutečn</w:t>
      </w:r>
      <w:r w:rsidR="00001043" w:rsidRPr="007E3549">
        <w:rPr>
          <w:bCs/>
        </w:rPr>
        <w:t>ou</w:t>
      </w:r>
      <w:r w:rsidR="00B97962" w:rsidRPr="007E3549">
        <w:rPr>
          <w:bCs/>
        </w:rPr>
        <w:t xml:space="preserve"> </w:t>
      </w:r>
      <w:r w:rsidR="005D363A" w:rsidRPr="007E3549">
        <w:rPr>
          <w:bCs/>
        </w:rPr>
        <w:t>měrn</w:t>
      </w:r>
      <w:r w:rsidR="00001043" w:rsidRPr="007E3549">
        <w:rPr>
          <w:bCs/>
        </w:rPr>
        <w:t>ou</w:t>
      </w:r>
      <w:r w:rsidR="005D363A" w:rsidRPr="007E3549">
        <w:rPr>
          <w:bCs/>
        </w:rPr>
        <w:t xml:space="preserve"> dotac</w:t>
      </w:r>
      <w:r w:rsidR="00001043" w:rsidRPr="007E3549">
        <w:rPr>
          <w:bCs/>
        </w:rPr>
        <w:t>i</w:t>
      </w:r>
      <w:r w:rsidR="009B4E01">
        <w:rPr>
          <w:bCs/>
        </w:rPr>
        <w:t xml:space="preserve"> </w:t>
      </w:r>
      <w:r w:rsidR="00001043" w:rsidRPr="007E3549">
        <w:rPr>
          <w:bCs/>
        </w:rPr>
        <w:t>ve</w:t>
      </w:r>
      <w:r w:rsidR="009B4E01">
        <w:rPr>
          <w:bCs/>
        </w:rPr>
        <w:t xml:space="preserve"> </w:t>
      </w:r>
      <w:r w:rsidR="00001043" w:rsidRPr="007E3549">
        <w:rPr>
          <w:bCs/>
        </w:rPr>
        <w:t>výši</w:t>
      </w:r>
      <w:r w:rsidR="009B4E01">
        <w:rPr>
          <w:bCs/>
        </w:rPr>
        <w:t xml:space="preserve"> </w:t>
      </w:r>
      <w:r w:rsidR="00C971DB" w:rsidRPr="007E3549">
        <w:rPr>
          <w:bCs/>
        </w:rPr>
        <w:t xml:space="preserve">1 271 </w:t>
      </w:r>
      <w:r w:rsidR="00150903" w:rsidRPr="007E3549">
        <w:rPr>
          <w:bCs/>
        </w:rPr>
        <w:t xml:space="preserve">Kč/GJ u programu NZÚ (podprogram </w:t>
      </w:r>
      <w:r w:rsidR="00150903" w:rsidRPr="007E3549">
        <w:rPr>
          <w:bCs/>
          <w:i/>
        </w:rPr>
        <w:t>Bytové domy</w:t>
      </w:r>
      <w:r w:rsidR="00150903" w:rsidRPr="007E3549">
        <w:rPr>
          <w:bCs/>
        </w:rPr>
        <w:t xml:space="preserve">), což </w:t>
      </w:r>
      <w:r w:rsidR="005D363A" w:rsidRPr="007E3549">
        <w:rPr>
          <w:bCs/>
          <w:szCs w:val="24"/>
        </w:rPr>
        <w:t xml:space="preserve">v obou případech </w:t>
      </w:r>
      <w:r w:rsidR="00150903" w:rsidRPr="007E3549">
        <w:rPr>
          <w:bCs/>
          <w:szCs w:val="24"/>
        </w:rPr>
        <w:t xml:space="preserve">představuje hodnoty, které se </w:t>
      </w:r>
      <w:r w:rsidR="0024274C" w:rsidRPr="007E3549">
        <w:rPr>
          <w:bCs/>
          <w:szCs w:val="24"/>
        </w:rPr>
        <w:t>zásadně</w:t>
      </w:r>
      <w:r w:rsidR="00150903" w:rsidRPr="007E3549">
        <w:rPr>
          <w:bCs/>
          <w:szCs w:val="24"/>
        </w:rPr>
        <w:t xml:space="preserve"> neod</w:t>
      </w:r>
      <w:r w:rsidR="0012692C" w:rsidRPr="007E3549">
        <w:rPr>
          <w:bCs/>
          <w:szCs w:val="24"/>
        </w:rPr>
        <w:t>chylují od predikcí uvedených v </w:t>
      </w:r>
      <w:r w:rsidR="00150903" w:rsidRPr="00213ACA">
        <w:rPr>
          <w:bCs/>
          <w:i/>
          <w:szCs w:val="24"/>
        </w:rPr>
        <w:t>Národním akčním plánu energetické účinnosti</w:t>
      </w:r>
      <w:r w:rsidR="00326911" w:rsidRPr="00213ACA">
        <w:rPr>
          <w:bCs/>
          <w:i/>
          <w:szCs w:val="24"/>
        </w:rPr>
        <w:t xml:space="preserve"> České republiky</w:t>
      </w:r>
      <w:r w:rsidR="00213ACA">
        <w:rPr>
          <w:bCs/>
          <w:i/>
          <w:szCs w:val="24"/>
        </w:rPr>
        <w:t xml:space="preserve"> </w:t>
      </w:r>
      <w:r w:rsidR="00150903" w:rsidRPr="007E3549">
        <w:rPr>
          <w:bCs/>
          <w:szCs w:val="24"/>
        </w:rPr>
        <w:t xml:space="preserve">(viz též část IV.4). </w:t>
      </w:r>
    </w:p>
    <w:p w14:paraId="38AAF6F0" w14:textId="77777777" w:rsidR="004874B8" w:rsidRDefault="004874B8">
      <w:pPr>
        <w:jc w:val="left"/>
        <w:rPr>
          <w:b/>
          <w:bCs/>
          <w:sz w:val="28"/>
          <w:szCs w:val="34"/>
        </w:rPr>
      </w:pPr>
      <w:r>
        <w:br w:type="page"/>
      </w:r>
    </w:p>
    <w:p w14:paraId="7AA7C08C" w14:textId="777E05A1" w:rsidR="009221B7" w:rsidRDefault="001D7420" w:rsidP="00213ACA">
      <w:pPr>
        <w:pStyle w:val="Nadpis1"/>
        <w:spacing w:before="0"/>
      </w:pPr>
      <w:r>
        <w:lastRenderedPageBreak/>
        <w:t xml:space="preserve">II. </w:t>
      </w:r>
      <w:r w:rsidRPr="0077471E">
        <w:t>Informace o kontrolované oblasti</w:t>
      </w:r>
    </w:p>
    <w:p w14:paraId="687D92FD" w14:textId="28AF65F1" w:rsidR="009F11E5" w:rsidRDefault="009F11E5" w:rsidP="009F11E5">
      <w:pPr>
        <w:spacing w:after="120"/>
      </w:pPr>
      <w:r w:rsidRPr="00043A0E">
        <w:rPr>
          <w:rFonts w:cstheme="minorHAnsi"/>
        </w:rPr>
        <w:t xml:space="preserve">Společný rámec opatření na podporu energetické účinnosti EU s cílem zajistit do roku 2020 splnění cílů v oblasti energetiky a ochrany klimatu, tzn. snížení emisí skleníkových plynů </w:t>
      </w:r>
      <w:r w:rsidRPr="00043A0E">
        <w:rPr>
          <w:rFonts w:cstheme="minorHAnsi"/>
        </w:rPr>
        <w:br/>
        <w:t>o 20 %, dosažení 20% podílu obnovitelných zdrojů energie a snížení konečné spotřeby energie o 20 % ve srovnání s rokem 1990</w:t>
      </w:r>
      <w:r w:rsidR="006679A3">
        <w:rPr>
          <w:rFonts w:cstheme="minorHAnsi"/>
        </w:rPr>
        <w:t>,</w:t>
      </w:r>
      <w:r>
        <w:rPr>
          <w:rFonts w:cstheme="minorHAnsi"/>
        </w:rPr>
        <w:t xml:space="preserve"> </w:t>
      </w:r>
      <w:r w:rsidRPr="00043A0E">
        <w:rPr>
          <w:rFonts w:cstheme="minorHAnsi"/>
        </w:rPr>
        <w:t>zav</w:t>
      </w:r>
      <w:r>
        <w:rPr>
          <w:rFonts w:cstheme="minorHAnsi"/>
        </w:rPr>
        <w:t xml:space="preserve">edla </w:t>
      </w:r>
      <w:r w:rsidRPr="00043A0E">
        <w:rPr>
          <w:rFonts w:cstheme="minorHAnsi"/>
        </w:rPr>
        <w:t xml:space="preserve">směrnice </w:t>
      </w:r>
      <w:r w:rsidR="003B5B6F">
        <w:rPr>
          <w:rFonts w:cstheme="minorHAnsi"/>
        </w:rPr>
        <w:t>EE</w:t>
      </w:r>
      <w:r w:rsidR="0083441D">
        <w:rPr>
          <w:rFonts w:cstheme="minorHAnsi"/>
        </w:rPr>
        <w:t>D</w:t>
      </w:r>
      <w:r w:rsidR="003B5B6F">
        <w:rPr>
          <w:rFonts w:cstheme="minorHAnsi"/>
        </w:rPr>
        <w:t xml:space="preserve">. </w:t>
      </w:r>
      <w:r w:rsidRPr="00043A0E">
        <w:t xml:space="preserve">Jednotlivá opatření ke zvyšování energetické účinnosti a nastavení dílčích cílů </w:t>
      </w:r>
      <w:r>
        <w:t xml:space="preserve">České republiky (dále též „ČR“) </w:t>
      </w:r>
      <w:r w:rsidRPr="00043A0E">
        <w:t>jsou popsány v </w:t>
      </w:r>
      <w:r w:rsidRPr="00213ACA">
        <w:rPr>
          <w:i/>
        </w:rPr>
        <w:t>Národním akč</w:t>
      </w:r>
      <w:r w:rsidR="00047E8D" w:rsidRPr="00213ACA">
        <w:rPr>
          <w:i/>
        </w:rPr>
        <w:t>ním plánu energetické účinnosti</w:t>
      </w:r>
      <w:r w:rsidR="00326911" w:rsidRPr="00213ACA">
        <w:rPr>
          <w:i/>
        </w:rPr>
        <w:t xml:space="preserve"> ČR</w:t>
      </w:r>
      <w:r w:rsidR="00A65418">
        <w:t xml:space="preserve"> (dále též „NAPEE“)</w:t>
      </w:r>
      <w:r w:rsidR="00047E8D">
        <w:t xml:space="preserve">, </w:t>
      </w:r>
      <w:r w:rsidRPr="00043A0E">
        <w:t xml:space="preserve">jehož poslední aktualizace proběhla v roce 2017. NAPEE uvádí plánovaná opatření </w:t>
      </w:r>
      <w:r w:rsidR="003B5B6F">
        <w:t>k dosažení plánovaných</w:t>
      </w:r>
      <w:r w:rsidRPr="00043A0E">
        <w:t xml:space="preserve"> úspor energie v sektor</w:t>
      </w:r>
      <w:r w:rsidR="00D31E35">
        <w:t>ech</w:t>
      </w:r>
      <w:r w:rsidRPr="00043A0E">
        <w:t xml:space="preserve"> průmyslu</w:t>
      </w:r>
      <w:r w:rsidRPr="00043A0E">
        <w:rPr>
          <w:rStyle w:val="Znakapoznpodarou"/>
        </w:rPr>
        <w:footnoteReference w:id="20"/>
      </w:r>
      <w:r w:rsidRPr="00043A0E">
        <w:t>, v sektoru domácností, v sekt</w:t>
      </w:r>
      <w:r w:rsidR="00474327">
        <w:t>oru služeb a v sektoru dopravy.</w:t>
      </w:r>
    </w:p>
    <w:p w14:paraId="39D85137" w14:textId="509F7350" w:rsidR="002A2260" w:rsidRDefault="000F1D3B" w:rsidP="002A2260">
      <w:pPr>
        <w:spacing w:after="120"/>
        <w:rPr>
          <w:szCs w:val="24"/>
        </w:rPr>
      </w:pPr>
      <w:r>
        <w:rPr>
          <w:bCs/>
          <w:szCs w:val="24"/>
        </w:rPr>
        <w:t>Závazný c</w:t>
      </w:r>
      <w:r w:rsidR="002A2260" w:rsidRPr="00FF1EF1">
        <w:rPr>
          <w:bCs/>
          <w:szCs w:val="24"/>
        </w:rPr>
        <w:t xml:space="preserve">íl České republiky dle článku 7 směrnice </w:t>
      </w:r>
      <w:r w:rsidR="000B7508">
        <w:rPr>
          <w:bCs/>
          <w:szCs w:val="24"/>
        </w:rPr>
        <w:t>EED</w:t>
      </w:r>
      <w:r w:rsidR="002A2260" w:rsidRPr="00FF1EF1">
        <w:rPr>
          <w:bCs/>
          <w:szCs w:val="24"/>
        </w:rPr>
        <w:t xml:space="preserve"> </w:t>
      </w:r>
      <w:r w:rsidR="002A2260">
        <w:rPr>
          <w:bCs/>
          <w:szCs w:val="24"/>
        </w:rPr>
        <w:t xml:space="preserve">byl </w:t>
      </w:r>
      <w:r w:rsidR="002A2260" w:rsidRPr="00FF1EF1">
        <w:rPr>
          <w:bCs/>
          <w:szCs w:val="24"/>
        </w:rPr>
        <w:t xml:space="preserve">na základě analýz provedených </w:t>
      </w:r>
      <w:r w:rsidR="00474327">
        <w:rPr>
          <w:bCs/>
          <w:szCs w:val="24"/>
        </w:rPr>
        <w:br/>
      </w:r>
      <w:r w:rsidR="002A2260" w:rsidRPr="00FF1EF1">
        <w:rPr>
          <w:bCs/>
          <w:szCs w:val="24"/>
        </w:rPr>
        <w:t>k</w:t>
      </w:r>
      <w:r w:rsidR="00474327">
        <w:rPr>
          <w:bCs/>
          <w:szCs w:val="24"/>
        </w:rPr>
        <w:t xml:space="preserve"> </w:t>
      </w:r>
      <w:r w:rsidR="002A2260" w:rsidRPr="00FF1EF1">
        <w:rPr>
          <w:bCs/>
          <w:szCs w:val="24"/>
        </w:rPr>
        <w:t>28.</w:t>
      </w:r>
      <w:r w:rsidR="00474327">
        <w:rPr>
          <w:bCs/>
          <w:szCs w:val="24"/>
        </w:rPr>
        <w:t xml:space="preserve"> </w:t>
      </w:r>
      <w:r w:rsidR="002A2260" w:rsidRPr="00FF1EF1">
        <w:rPr>
          <w:bCs/>
          <w:szCs w:val="24"/>
        </w:rPr>
        <w:t>2. 2017 stanoven</w:t>
      </w:r>
      <w:r w:rsidR="00E43701">
        <w:rPr>
          <w:rStyle w:val="Znakapoznpodarou"/>
          <w:bCs/>
          <w:szCs w:val="24"/>
        </w:rPr>
        <w:footnoteReference w:id="21"/>
      </w:r>
      <w:r w:rsidR="002A2260" w:rsidRPr="00FF1EF1">
        <w:rPr>
          <w:bCs/>
          <w:szCs w:val="24"/>
        </w:rPr>
        <w:t xml:space="preserve"> ve výši 51,1 PJ nových úspor energie</w:t>
      </w:r>
      <w:r w:rsidR="002A2260" w:rsidRPr="00FF1EF1">
        <w:rPr>
          <w:szCs w:val="24"/>
        </w:rPr>
        <w:t xml:space="preserve">, </w:t>
      </w:r>
      <w:r w:rsidR="002A2260" w:rsidRPr="00FF1EF1">
        <w:rPr>
          <w:bCs/>
          <w:szCs w:val="24"/>
        </w:rPr>
        <w:t>tj. celkem 204,</w:t>
      </w:r>
      <w:r w:rsidR="00E47E60">
        <w:rPr>
          <w:bCs/>
          <w:szCs w:val="24"/>
        </w:rPr>
        <w:t>4</w:t>
      </w:r>
      <w:r w:rsidR="002A2260" w:rsidRPr="00FF1EF1">
        <w:rPr>
          <w:bCs/>
          <w:szCs w:val="24"/>
        </w:rPr>
        <w:t xml:space="preserve"> PJ kumulovaných úspor energie v roce 2020</w:t>
      </w:r>
      <w:r w:rsidR="002A2260">
        <w:rPr>
          <w:bCs/>
          <w:szCs w:val="24"/>
        </w:rPr>
        <w:t xml:space="preserve">. </w:t>
      </w:r>
      <w:r w:rsidR="002A2260" w:rsidRPr="00FF1EF1">
        <w:rPr>
          <w:szCs w:val="24"/>
        </w:rPr>
        <w:t>Kumul</w:t>
      </w:r>
      <w:r w:rsidR="00E939A8">
        <w:rPr>
          <w:szCs w:val="24"/>
        </w:rPr>
        <w:t xml:space="preserve">ované </w:t>
      </w:r>
      <w:r w:rsidR="002A2260" w:rsidRPr="00FF1EF1">
        <w:rPr>
          <w:szCs w:val="24"/>
        </w:rPr>
        <w:t>úspory energie v období 2014–2020 odpovídají každoročnímu snížení konečné spotřeby en</w:t>
      </w:r>
      <w:r w:rsidR="00474327">
        <w:rPr>
          <w:szCs w:val="24"/>
        </w:rPr>
        <w:t xml:space="preserve">ergie o </w:t>
      </w:r>
      <w:r w:rsidR="006317B2">
        <w:rPr>
          <w:szCs w:val="24"/>
        </w:rPr>
        <w:t xml:space="preserve">1,5 % nakupované energie </w:t>
      </w:r>
      <w:r w:rsidR="002A2260" w:rsidRPr="00FF1EF1">
        <w:rPr>
          <w:szCs w:val="24"/>
        </w:rPr>
        <w:t>pro</w:t>
      </w:r>
      <w:r w:rsidR="003C6F1F">
        <w:rPr>
          <w:szCs w:val="24"/>
        </w:rPr>
        <w:t xml:space="preserve"> </w:t>
      </w:r>
      <w:r w:rsidR="002A2260" w:rsidRPr="00FF1EF1">
        <w:rPr>
          <w:szCs w:val="24"/>
        </w:rPr>
        <w:t>konečné užití</w:t>
      </w:r>
      <w:r w:rsidR="002A2260">
        <w:rPr>
          <w:szCs w:val="24"/>
        </w:rPr>
        <w:t xml:space="preserve"> (předpokl</w:t>
      </w:r>
      <w:r w:rsidR="003C6F1F">
        <w:rPr>
          <w:szCs w:val="24"/>
        </w:rPr>
        <w:t>á</w:t>
      </w:r>
      <w:r w:rsidR="002A2260">
        <w:rPr>
          <w:szCs w:val="24"/>
        </w:rPr>
        <w:t xml:space="preserve">dá se </w:t>
      </w:r>
      <w:r w:rsidR="002A2260" w:rsidRPr="00182923">
        <w:rPr>
          <w:szCs w:val="24"/>
        </w:rPr>
        <w:t>každoroční dosahování úspor energie ve výši 7,3 PJ nových úspor</w:t>
      </w:r>
      <w:r w:rsidR="00474327">
        <w:rPr>
          <w:szCs w:val="24"/>
        </w:rPr>
        <w:t>).</w:t>
      </w:r>
    </w:p>
    <w:p w14:paraId="3CC13D24" w14:textId="467BECBF" w:rsidR="006679A3" w:rsidRPr="006679A3" w:rsidRDefault="005A727B" w:rsidP="006679A3">
      <w:pPr>
        <w:spacing w:after="120"/>
      </w:pPr>
      <w:r w:rsidRPr="003628E9">
        <w:t xml:space="preserve">K plnění závazků ČR podle směrnice </w:t>
      </w:r>
      <w:r w:rsidR="00C3640F">
        <w:t>EE</w:t>
      </w:r>
      <w:r w:rsidR="0083441D">
        <w:t>D</w:t>
      </w:r>
      <w:r w:rsidR="00C3640F">
        <w:t xml:space="preserve"> </w:t>
      </w:r>
      <w:r w:rsidR="009F11E5">
        <w:t xml:space="preserve">a směrnice </w:t>
      </w:r>
      <w:r w:rsidR="009F11E5" w:rsidRPr="00043A0E">
        <w:rPr>
          <w:rFonts w:cstheme="minorHAnsi"/>
        </w:rPr>
        <w:t>o energetické náročnosti budov</w:t>
      </w:r>
      <w:r w:rsidR="009F11E5">
        <w:rPr>
          <w:rStyle w:val="Znakapoznpodarou"/>
          <w:rFonts w:cstheme="minorHAnsi"/>
        </w:rPr>
        <w:footnoteReference w:id="22"/>
      </w:r>
      <w:r w:rsidR="009F11E5" w:rsidRPr="00043A0E">
        <w:rPr>
          <w:rFonts w:cstheme="minorHAnsi"/>
        </w:rPr>
        <w:t xml:space="preserve"> </w:t>
      </w:r>
      <w:r w:rsidRPr="003628E9">
        <w:t xml:space="preserve">by měla přispět i opatření </w:t>
      </w:r>
      <w:r w:rsidR="009F11E5">
        <w:t xml:space="preserve">zaměřená na sektor domácností, </w:t>
      </w:r>
      <w:r w:rsidRPr="003628E9">
        <w:t>mimo jiné opatření určená pro bytové domy</w:t>
      </w:r>
      <w:r w:rsidR="00C2492B">
        <w:rPr>
          <w:rStyle w:val="Znakapoznpodarou"/>
        </w:rPr>
        <w:footnoteReference w:id="23"/>
      </w:r>
      <w:r w:rsidRPr="003628E9">
        <w:t>.</w:t>
      </w:r>
      <w:r w:rsidR="00032CE4">
        <w:t xml:space="preserve"> </w:t>
      </w:r>
      <w:r w:rsidR="006679A3" w:rsidRPr="006679A3">
        <w:t>Spotřebu energie v sektoru domácností dlouhodobě ovlivňuje nárůst počtu nových bytových jednotek a pokles počtu osob bydlících v jedné bytové jednotce</w:t>
      </w:r>
      <w:r w:rsidR="006679A3">
        <w:t xml:space="preserve">. </w:t>
      </w:r>
      <w:r w:rsidR="00D31E35">
        <w:t>S</w:t>
      </w:r>
      <w:r w:rsidR="006679A3">
        <w:t xml:space="preserve">nížení konečné </w:t>
      </w:r>
      <w:r w:rsidR="006679A3" w:rsidRPr="006679A3">
        <w:t>spotřeby energie</w:t>
      </w:r>
      <w:r w:rsidR="006679A3">
        <w:t xml:space="preserve"> v</w:t>
      </w:r>
      <w:r w:rsidR="00474327">
        <w:t xml:space="preserve"> </w:t>
      </w:r>
      <w:r w:rsidR="006679A3">
        <w:t>sektoru domácností</w:t>
      </w:r>
      <w:r w:rsidR="00D31E35">
        <w:t xml:space="preserve"> </w:t>
      </w:r>
      <w:r w:rsidR="00675765">
        <w:t xml:space="preserve">není </w:t>
      </w:r>
      <w:r w:rsidR="00D31E35">
        <w:t>významné</w:t>
      </w:r>
      <w:r w:rsidR="006679A3" w:rsidRPr="006679A3">
        <w:t xml:space="preserve">, a to i přes </w:t>
      </w:r>
      <w:r w:rsidR="0012692C">
        <w:t>podporu veřejnými prostředky na</w:t>
      </w:r>
      <w:r w:rsidR="00F97F0C">
        <w:t xml:space="preserve"> </w:t>
      </w:r>
      <w:r w:rsidR="006679A3" w:rsidRPr="006679A3">
        <w:t>opatření ke snížení energetické náročnosti</w:t>
      </w:r>
      <w:r w:rsidR="00D31E35">
        <w:t xml:space="preserve">. </w:t>
      </w:r>
      <w:r w:rsidR="00095B3D" w:rsidRPr="00213ACA">
        <w:t>„</w:t>
      </w:r>
      <w:r w:rsidR="00D31E35" w:rsidRPr="00095B3D">
        <w:rPr>
          <w:i/>
        </w:rPr>
        <w:t xml:space="preserve">Toto je způsobeno </w:t>
      </w:r>
      <w:r w:rsidR="006679A3" w:rsidRPr="00095B3D">
        <w:rPr>
          <w:i/>
        </w:rPr>
        <w:t xml:space="preserve">i </w:t>
      </w:r>
      <w:r w:rsidR="0012692C" w:rsidRPr="00095B3D">
        <w:rPr>
          <w:i/>
        </w:rPr>
        <w:t>vysoký</w:t>
      </w:r>
      <w:r w:rsidR="00D31E35" w:rsidRPr="00095B3D">
        <w:rPr>
          <w:i/>
        </w:rPr>
        <w:t>m</w:t>
      </w:r>
      <w:r w:rsidR="0012692C" w:rsidRPr="00095B3D">
        <w:rPr>
          <w:i/>
        </w:rPr>
        <w:t xml:space="preserve"> podíl</w:t>
      </w:r>
      <w:r w:rsidR="00D31E35" w:rsidRPr="00095B3D">
        <w:rPr>
          <w:i/>
        </w:rPr>
        <w:t>em</w:t>
      </w:r>
      <w:r w:rsidR="0012692C" w:rsidRPr="00095B3D">
        <w:rPr>
          <w:i/>
        </w:rPr>
        <w:t xml:space="preserve"> dokončených bytů v </w:t>
      </w:r>
      <w:r w:rsidR="006679A3" w:rsidRPr="00095B3D">
        <w:rPr>
          <w:i/>
        </w:rPr>
        <w:t xml:space="preserve">rodinných domech, které jsou energeticky </w:t>
      </w:r>
      <w:r w:rsidR="00DC5823">
        <w:rPr>
          <w:i/>
        </w:rPr>
        <w:t>nej</w:t>
      </w:r>
      <w:r w:rsidR="006679A3" w:rsidRPr="00095B3D">
        <w:rPr>
          <w:i/>
        </w:rPr>
        <w:t>náročnější formou bydlení. Oproti tomu dokončených bytů v bytových dom</w:t>
      </w:r>
      <w:r w:rsidR="0063791C" w:rsidRPr="00095B3D">
        <w:rPr>
          <w:i/>
        </w:rPr>
        <w:t>ech, které jsou ekologičtější a </w:t>
      </w:r>
      <w:r w:rsidR="006679A3" w:rsidRPr="00095B3D">
        <w:rPr>
          <w:i/>
        </w:rPr>
        <w:t>hospodárnější formou bydlení, bylo v uplynulých dvaceti letech pouhých 30 %.</w:t>
      </w:r>
      <w:r w:rsidR="00095B3D" w:rsidRPr="00213ACA">
        <w:t>“</w:t>
      </w:r>
      <w:r w:rsidR="0098058D">
        <w:rPr>
          <w:rStyle w:val="Znakapoznpodarou"/>
        </w:rPr>
        <w:footnoteReference w:id="24"/>
      </w:r>
      <w:r w:rsidR="006679A3">
        <w:t xml:space="preserve"> V</w:t>
      </w:r>
      <w:r w:rsidR="006679A3" w:rsidRPr="006679A3">
        <w:t xml:space="preserve"> úrovni spotřeby</w:t>
      </w:r>
      <w:r w:rsidR="006679A3">
        <w:t xml:space="preserve"> se </w:t>
      </w:r>
      <w:r w:rsidR="006679A3" w:rsidRPr="006679A3">
        <w:t xml:space="preserve">projevuje </w:t>
      </w:r>
      <w:r w:rsidR="006679A3">
        <w:t xml:space="preserve">též </w:t>
      </w:r>
      <w:r w:rsidR="006679A3" w:rsidRPr="006679A3">
        <w:t>nárůst populace a zvyšování životní úrovně</w:t>
      </w:r>
      <w:r w:rsidR="00BC7B8C">
        <w:t>,</w:t>
      </w:r>
      <w:r w:rsidR="006679A3" w:rsidRPr="006679A3">
        <w:t xml:space="preserve"> </w:t>
      </w:r>
      <w:r w:rsidR="003F4FE0">
        <w:t xml:space="preserve">což </w:t>
      </w:r>
      <w:r w:rsidR="006679A3" w:rsidRPr="006679A3">
        <w:t>ovlivňuje chování obyvatel s vlivem na spotřebu energie.</w:t>
      </w:r>
    </w:p>
    <w:p w14:paraId="1334EA9E" w14:textId="354DE226" w:rsidR="000B5B16" w:rsidRPr="000B5B16" w:rsidRDefault="00F97F0C" w:rsidP="000B5B16">
      <w:pPr>
        <w:spacing w:after="120"/>
        <w:rPr>
          <w:rFonts w:eastAsiaTheme="majorEastAsia"/>
          <w:lang w:eastAsia="en-US"/>
        </w:rPr>
      </w:pPr>
      <w:r>
        <w:rPr>
          <w:b/>
        </w:rPr>
        <w:t>O</w:t>
      </w:r>
      <w:r w:rsidR="008B6826" w:rsidRPr="000B7508">
        <w:rPr>
          <w:b/>
        </w:rPr>
        <w:t xml:space="preserve">patření </w:t>
      </w:r>
      <w:r w:rsidR="006679A3" w:rsidRPr="000B7508">
        <w:rPr>
          <w:b/>
        </w:rPr>
        <w:t xml:space="preserve">ke snížení spotřeby energie v sektoru domácností </w:t>
      </w:r>
      <w:r w:rsidRPr="000B7508">
        <w:rPr>
          <w:b/>
        </w:rPr>
        <w:t xml:space="preserve">jsou </w:t>
      </w:r>
      <w:r w:rsidR="008B6826" w:rsidRPr="000B7508">
        <w:rPr>
          <w:b/>
        </w:rPr>
        <w:t xml:space="preserve">aktuálně </w:t>
      </w:r>
      <w:r>
        <w:rPr>
          <w:b/>
        </w:rPr>
        <w:t>n</w:t>
      </w:r>
      <w:r w:rsidRPr="000B7508">
        <w:rPr>
          <w:b/>
        </w:rPr>
        <w:t xml:space="preserve">ejvýznamnější měrou podporována </w:t>
      </w:r>
      <w:r w:rsidR="008B6826" w:rsidRPr="000B7508">
        <w:rPr>
          <w:b/>
        </w:rPr>
        <w:t>z IROP a programu NZÚ.</w:t>
      </w:r>
      <w:r w:rsidR="008B6826" w:rsidRPr="00043A0E">
        <w:t xml:space="preserve"> </w:t>
      </w:r>
      <w:r w:rsidR="00032CE4">
        <w:t>Oba programy jsou součástí t</w:t>
      </w:r>
      <w:r w:rsidR="003C6F1F">
        <w:t>z</w:t>
      </w:r>
      <w:r w:rsidR="00032CE4">
        <w:t xml:space="preserve">v. </w:t>
      </w:r>
      <w:r w:rsidR="00E91E09">
        <w:t>a</w:t>
      </w:r>
      <w:r w:rsidR="00032CE4">
        <w:t>lternativních politických opatření k naplňování cílů v oblasti úspor energie</w:t>
      </w:r>
      <w:r w:rsidR="00BB61F2">
        <w:t xml:space="preserve"> na straně konečné spotřeby dle</w:t>
      </w:r>
      <w:r w:rsidR="003C6F1F">
        <w:t xml:space="preserve"> </w:t>
      </w:r>
      <w:r w:rsidR="00E91E09">
        <w:t>směrnice EE</w:t>
      </w:r>
      <w:r w:rsidR="0083441D">
        <w:t>D</w:t>
      </w:r>
      <w:r w:rsidR="00E91E09">
        <w:t xml:space="preserve"> a </w:t>
      </w:r>
      <w:r>
        <w:t xml:space="preserve">pro </w:t>
      </w:r>
      <w:r w:rsidR="00E91E09">
        <w:t>o</w:t>
      </w:r>
      <w:r w:rsidR="00E91E09" w:rsidRPr="00043A0E">
        <w:t>ba programy</w:t>
      </w:r>
      <w:r>
        <w:t xml:space="preserve"> jsou</w:t>
      </w:r>
      <w:r w:rsidR="00E91E09" w:rsidRPr="00043A0E">
        <w:t xml:space="preserve"> </w:t>
      </w:r>
      <w:r w:rsidR="005752F5">
        <w:t xml:space="preserve">v NAPEE </w:t>
      </w:r>
      <w:r w:rsidR="00E91E09" w:rsidRPr="00043A0E">
        <w:t>stanoven</w:t>
      </w:r>
      <w:r>
        <w:t>y</w:t>
      </w:r>
      <w:r w:rsidR="00E91E09" w:rsidRPr="00043A0E">
        <w:t xml:space="preserve"> </w:t>
      </w:r>
      <w:r w:rsidR="009F11E5">
        <w:t xml:space="preserve">předpokládané hodnoty </w:t>
      </w:r>
      <w:r w:rsidR="006679A3">
        <w:t xml:space="preserve">ročních úspor v konečné spotřebě energie do roku 2020 </w:t>
      </w:r>
      <w:r w:rsidR="009F11E5">
        <w:t xml:space="preserve">a rovněž </w:t>
      </w:r>
      <w:r w:rsidR="00BB61F2">
        <w:t>odhady průměrné výše dotace na</w:t>
      </w:r>
      <w:r w:rsidR="003C6F1F">
        <w:t xml:space="preserve"> </w:t>
      </w:r>
      <w:r w:rsidR="00E91E09" w:rsidRPr="00043A0E">
        <w:t>jednotku úspory energie</w:t>
      </w:r>
      <w:r w:rsidR="009F11E5">
        <w:t xml:space="preserve"> </w:t>
      </w:r>
      <w:r w:rsidR="009F11E5" w:rsidRPr="00D635BF">
        <w:t>(gigajoul</w:t>
      </w:r>
      <w:r w:rsidR="00A27B9D">
        <w:t>e</w:t>
      </w:r>
      <w:r w:rsidR="009F11E5">
        <w:t>)</w:t>
      </w:r>
      <w:r w:rsidR="00E60DA5">
        <w:t>, tj. odhadované měrné dotace</w:t>
      </w:r>
      <w:r w:rsidR="009F11E5">
        <w:t>.</w:t>
      </w:r>
      <w:r w:rsidR="00E91E09" w:rsidRPr="00043A0E">
        <w:t xml:space="preserve"> </w:t>
      </w:r>
      <w:r w:rsidR="000B5B16" w:rsidRPr="000B5B16">
        <w:rPr>
          <w:rFonts w:eastAsiaTheme="majorEastAsia"/>
          <w:lang w:eastAsia="en-US"/>
        </w:rPr>
        <w:t xml:space="preserve">Pro výpočet úspor energie </w:t>
      </w:r>
      <w:r w:rsidR="000B5B16" w:rsidRPr="000B5B16">
        <w:rPr>
          <w:rFonts w:eastAsiaTheme="majorEastAsia"/>
          <w:lang w:eastAsia="en-US"/>
        </w:rPr>
        <w:lastRenderedPageBreak/>
        <w:t xml:space="preserve">používají poskytovatelé </w:t>
      </w:r>
      <w:r w:rsidR="000B5B16">
        <w:rPr>
          <w:rFonts w:eastAsiaTheme="majorEastAsia"/>
          <w:lang w:eastAsia="en-US"/>
        </w:rPr>
        <w:t xml:space="preserve">dotace v IROP i </w:t>
      </w:r>
      <w:r w:rsidR="002D35FA">
        <w:rPr>
          <w:rFonts w:eastAsiaTheme="majorEastAsia"/>
          <w:lang w:eastAsia="en-US"/>
        </w:rPr>
        <w:t xml:space="preserve">v </w:t>
      </w:r>
      <w:r w:rsidR="000B5B16">
        <w:rPr>
          <w:rFonts w:eastAsiaTheme="majorEastAsia"/>
          <w:lang w:eastAsia="en-US"/>
        </w:rPr>
        <w:t xml:space="preserve">programu NZÚ </w:t>
      </w:r>
      <w:r w:rsidR="000B5B16" w:rsidRPr="000B5B16">
        <w:rPr>
          <w:rFonts w:eastAsiaTheme="majorEastAsia"/>
          <w:lang w:eastAsia="en-US"/>
        </w:rPr>
        <w:t xml:space="preserve">metodu očekávaných úspor s ex-ante přístupem. </w:t>
      </w:r>
      <w:r>
        <w:rPr>
          <w:rFonts w:eastAsiaTheme="majorEastAsia"/>
          <w:lang w:eastAsia="en-US"/>
        </w:rPr>
        <w:t>V</w:t>
      </w:r>
      <w:r w:rsidR="000B5B16" w:rsidRPr="000B5B16">
        <w:rPr>
          <w:rFonts w:eastAsiaTheme="majorEastAsia"/>
          <w:lang w:eastAsia="en-US"/>
        </w:rPr>
        <w:t> rámci IROP ani v rámci programu NZÚ není prováděn zpětný monitoring u</w:t>
      </w:r>
      <w:r>
        <w:rPr>
          <w:rFonts w:eastAsiaTheme="majorEastAsia"/>
          <w:lang w:eastAsia="en-US"/>
        </w:rPr>
        <w:t> </w:t>
      </w:r>
      <w:r w:rsidR="000B5B16" w:rsidRPr="000B5B16">
        <w:rPr>
          <w:rFonts w:eastAsiaTheme="majorEastAsia"/>
          <w:lang w:eastAsia="en-US"/>
        </w:rPr>
        <w:t>podpořených projektů</w:t>
      </w:r>
      <w:r w:rsidR="003555B6">
        <w:rPr>
          <w:rFonts w:eastAsiaTheme="majorEastAsia"/>
          <w:lang w:eastAsia="en-US"/>
        </w:rPr>
        <w:t>, což je v souladu s NAPEE</w:t>
      </w:r>
      <w:r w:rsidR="003555B6">
        <w:rPr>
          <w:rStyle w:val="Znakapoznpodarou"/>
          <w:rFonts w:eastAsiaTheme="majorEastAsia"/>
          <w:lang w:eastAsia="en-US"/>
        </w:rPr>
        <w:footnoteReference w:id="25"/>
      </w:r>
      <w:r w:rsidR="000B5B16" w:rsidRPr="000B5B16">
        <w:rPr>
          <w:rFonts w:eastAsiaTheme="majorEastAsia"/>
          <w:lang w:eastAsia="en-US"/>
        </w:rPr>
        <w:t>.</w:t>
      </w:r>
    </w:p>
    <w:p w14:paraId="5E5A1307" w14:textId="0F4674E6" w:rsidR="002535CD" w:rsidRDefault="002535CD" w:rsidP="00032CE4">
      <w:pPr>
        <w:spacing w:after="120"/>
      </w:pPr>
      <w:r w:rsidRPr="000B7508">
        <w:rPr>
          <w:b/>
        </w:rPr>
        <w:t>IROP podporuje opatření u stávajících bytových domů, a to v</w:t>
      </w:r>
      <w:r w:rsidR="005E44A8" w:rsidRPr="000B7508">
        <w:rPr>
          <w:b/>
        </w:rPr>
        <w:t xml:space="preserve"> regionech ČR </w:t>
      </w:r>
      <w:r w:rsidR="00A94BA8">
        <w:rPr>
          <w:b/>
        </w:rPr>
        <w:t>mimo hl</w:t>
      </w:r>
      <w:r w:rsidR="0063791C">
        <w:rPr>
          <w:b/>
        </w:rPr>
        <w:t>avního města</w:t>
      </w:r>
      <w:r w:rsidR="003C6F1F">
        <w:rPr>
          <w:b/>
        </w:rPr>
        <w:t xml:space="preserve"> </w:t>
      </w:r>
      <w:r w:rsidRPr="000B7508">
        <w:rPr>
          <w:b/>
        </w:rPr>
        <w:t>Prah</w:t>
      </w:r>
      <w:r w:rsidR="00F8147C">
        <w:rPr>
          <w:b/>
        </w:rPr>
        <w:t>y</w:t>
      </w:r>
      <w:r w:rsidR="00654C2F" w:rsidRPr="00213ACA">
        <w:rPr>
          <w:b/>
        </w:rPr>
        <w:t>;</w:t>
      </w:r>
      <w:r>
        <w:t xml:space="preserve"> </w:t>
      </w:r>
      <w:r w:rsidRPr="000B7508">
        <w:rPr>
          <w:b/>
        </w:rPr>
        <w:t xml:space="preserve">program NZÚ podporuje opatření u stávajících bytových domů </w:t>
      </w:r>
      <w:r w:rsidR="0017600A" w:rsidRPr="000B7508">
        <w:rPr>
          <w:b/>
        </w:rPr>
        <w:t>pouze</w:t>
      </w:r>
      <w:r w:rsidRPr="000B7508">
        <w:rPr>
          <w:b/>
        </w:rPr>
        <w:t xml:space="preserve"> na území </w:t>
      </w:r>
      <w:r w:rsidR="0063791C">
        <w:rPr>
          <w:b/>
        </w:rPr>
        <w:t>hlavního města</w:t>
      </w:r>
      <w:r w:rsidRPr="000B7508">
        <w:rPr>
          <w:b/>
        </w:rPr>
        <w:t xml:space="preserve"> Prah</w:t>
      </w:r>
      <w:r w:rsidR="00F8147C">
        <w:rPr>
          <w:b/>
        </w:rPr>
        <w:t>y</w:t>
      </w:r>
      <w:r w:rsidRPr="000B7508">
        <w:rPr>
          <w:b/>
        </w:rPr>
        <w:t xml:space="preserve">. </w:t>
      </w:r>
      <w:r w:rsidR="0017600A">
        <w:t>V</w:t>
      </w:r>
      <w:r>
        <w:t xml:space="preserve">ýstavbu nových </w:t>
      </w:r>
      <w:r w:rsidR="0017600A">
        <w:t xml:space="preserve">bytových </w:t>
      </w:r>
      <w:r>
        <w:t>domů s nízkou energetickou náročností</w:t>
      </w:r>
      <w:r w:rsidR="0017600A">
        <w:t xml:space="preserve"> podporuje jen program NZÚ, a to </w:t>
      </w:r>
      <w:r>
        <w:t>na území celé České republiky</w:t>
      </w:r>
      <w:r w:rsidR="0017600A">
        <w:t xml:space="preserve">. </w:t>
      </w:r>
    </w:p>
    <w:p w14:paraId="2A7A22EF" w14:textId="73635BB7" w:rsidR="000811A6" w:rsidRDefault="000811A6" w:rsidP="000811A6">
      <w:pPr>
        <w:spacing w:after="120"/>
      </w:pPr>
      <w:r>
        <w:t xml:space="preserve">U obou programů, IROP i NZÚ, jsou oprávněnými žadateli, respektive </w:t>
      </w:r>
      <w:r w:rsidRPr="00043A0E">
        <w:t xml:space="preserve">příjemci </w:t>
      </w:r>
      <w:r>
        <w:t xml:space="preserve">podpory </w:t>
      </w:r>
      <w:r w:rsidRPr="00043A0E">
        <w:t>u</w:t>
      </w:r>
      <w:r w:rsidR="00A94BA8">
        <w:t> </w:t>
      </w:r>
      <w:r>
        <w:t xml:space="preserve">dotačně podporovaných projektů vždy </w:t>
      </w:r>
      <w:r w:rsidRPr="00043A0E">
        <w:t>vlastníci bytových domů</w:t>
      </w:r>
      <w:r>
        <w:t xml:space="preserve"> (společenství vlastníků jednotek, bytová družstva, </w:t>
      </w:r>
      <w:r w:rsidRPr="00043A0E">
        <w:t>města a městské části, obce</w:t>
      </w:r>
      <w:r w:rsidR="00E5144A">
        <w:t xml:space="preserve">, další </w:t>
      </w:r>
      <w:r w:rsidRPr="00043A0E">
        <w:t>právnické</w:t>
      </w:r>
      <w:r w:rsidR="00E5144A">
        <w:t xml:space="preserve"> a </w:t>
      </w:r>
      <w:r w:rsidRPr="00043A0E">
        <w:t>fyzické osoby).</w:t>
      </w:r>
    </w:p>
    <w:p w14:paraId="3388760F" w14:textId="44AE180A" w:rsidR="002B78F4" w:rsidRPr="002B78F4" w:rsidRDefault="002B78F4" w:rsidP="00E93D5B">
      <w:pPr>
        <w:keepNext/>
        <w:spacing w:after="120"/>
        <w:rPr>
          <w:u w:val="single"/>
        </w:rPr>
      </w:pPr>
      <w:r w:rsidRPr="002B78F4">
        <w:rPr>
          <w:u w:val="single"/>
        </w:rPr>
        <w:t>Podpora z IROP</w:t>
      </w:r>
    </w:p>
    <w:p w14:paraId="002F9EB0" w14:textId="3A70859D" w:rsidR="00C3640F" w:rsidRDefault="002B78F4" w:rsidP="002B78F4">
      <w:pPr>
        <w:spacing w:after="120"/>
      </w:pPr>
      <w:r>
        <w:t>V</w:t>
      </w:r>
      <w:r w:rsidR="00C3640F" w:rsidRPr="00043A0E">
        <w:t xml:space="preserve"> rámci IROP se v prioritní ose </w:t>
      </w:r>
      <w:r w:rsidR="00C3640F">
        <w:t xml:space="preserve">2 </w:t>
      </w:r>
      <w:r w:rsidR="00C3640F" w:rsidRPr="00043A0E">
        <w:t xml:space="preserve">prostřednictvím specifického cíle 2.5 (dále též „SC 2.5“) naplňuje tematický cíl 4 </w:t>
      </w:r>
      <w:r w:rsidR="00F97F0C">
        <w:t>–</w:t>
      </w:r>
      <w:r w:rsidR="00F97F0C" w:rsidRPr="00043A0E">
        <w:rPr>
          <w:i/>
        </w:rPr>
        <w:t xml:space="preserve"> </w:t>
      </w:r>
      <w:r w:rsidR="00C3640F" w:rsidRPr="00043A0E">
        <w:rPr>
          <w:i/>
        </w:rPr>
        <w:t>Podpora přechodu na nízkouhlíkové hospodářství ve všech odvětvích</w:t>
      </w:r>
      <w:r>
        <w:rPr>
          <w:i/>
        </w:rPr>
        <w:t xml:space="preserve">. </w:t>
      </w:r>
      <w:r w:rsidR="00C3640F" w:rsidRPr="00043A0E">
        <w:t>SC 2.5 by měl přispět k plnění závazk</w:t>
      </w:r>
      <w:r w:rsidR="00F97F0C">
        <w:t>u</w:t>
      </w:r>
      <w:r w:rsidR="00C3640F" w:rsidRPr="00043A0E">
        <w:t xml:space="preserve"> ČR podle směrnic</w:t>
      </w:r>
      <w:r w:rsidR="005E44A8">
        <w:t>e</w:t>
      </w:r>
      <w:r w:rsidR="00C3640F" w:rsidRPr="00043A0E">
        <w:t xml:space="preserve"> </w:t>
      </w:r>
      <w:r w:rsidR="005E44A8">
        <w:t>EE</w:t>
      </w:r>
      <w:r w:rsidR="0083441D">
        <w:t>D</w:t>
      </w:r>
      <w:r w:rsidR="0063791C">
        <w:t xml:space="preserve"> a směrnice o</w:t>
      </w:r>
      <w:r w:rsidR="00F97F0C">
        <w:t xml:space="preserve"> </w:t>
      </w:r>
      <w:r w:rsidR="005E44A8">
        <w:t>energetické ná</w:t>
      </w:r>
      <w:r w:rsidR="00C3640F" w:rsidRPr="00043A0E">
        <w:t>ročnosti budov</w:t>
      </w:r>
      <w:r w:rsidR="005E44A8">
        <w:t xml:space="preserve"> </w:t>
      </w:r>
      <w:r w:rsidR="00C3640F" w:rsidRPr="00043A0E">
        <w:t>k vytvoření dlouhodobého a</w:t>
      </w:r>
      <w:r w:rsidR="00F97F0C">
        <w:t xml:space="preserve"> </w:t>
      </w:r>
      <w:r w:rsidR="00C3640F" w:rsidRPr="00043A0E">
        <w:t>stabilního rám</w:t>
      </w:r>
      <w:r w:rsidR="00A94BA8">
        <w:t>ce pro plnění globálních cílů a </w:t>
      </w:r>
      <w:r w:rsidR="00C3640F" w:rsidRPr="00043A0E">
        <w:t>pro podporu energeticky úsporného stavebnictví v ČR.</w:t>
      </w:r>
      <w:r>
        <w:t xml:space="preserve"> </w:t>
      </w:r>
      <w:r w:rsidR="00C3640F" w:rsidRPr="00043A0E">
        <w:t>Cílem SC 2.5 je snížit energetickou náročnost bytových domů na nákladově optimální úroveň a zvýšit podíl obnovitelných zdrojů energie.</w:t>
      </w:r>
    </w:p>
    <w:p w14:paraId="429031F1" w14:textId="7C653F9A" w:rsidR="00C3640F" w:rsidRPr="00043A0E" w:rsidRDefault="00C3640F" w:rsidP="00C3640F">
      <w:r w:rsidRPr="00043A0E">
        <w:t>Ze SC 2.5 jsou podporovány na území celé ČR kromě hlavního města Prahy formou dota</w:t>
      </w:r>
      <w:r w:rsidR="00A94BA8">
        <w:t>cí a </w:t>
      </w:r>
      <w:r w:rsidRPr="00043A0E">
        <w:t xml:space="preserve">prostřednictvím finančního nástroje IROP (dále též „FN IROP“) – program </w:t>
      </w:r>
      <w:r w:rsidRPr="00E93D5B">
        <w:rPr>
          <w:i/>
        </w:rPr>
        <w:t>Zateplování</w:t>
      </w:r>
      <w:r w:rsidRPr="00043A0E">
        <w:t xml:space="preserve"> – oblasti podpory:</w:t>
      </w:r>
    </w:p>
    <w:p w14:paraId="30D8CDFB" w14:textId="0819ACCC" w:rsidR="00C3640F" w:rsidRPr="00043A0E" w:rsidRDefault="00A25E95" w:rsidP="00C3640F">
      <w:pPr>
        <w:pStyle w:val="Odstavecseseznamem"/>
        <w:numPr>
          <w:ilvl w:val="0"/>
          <w:numId w:val="41"/>
        </w:numPr>
        <w:ind w:left="714" w:hanging="357"/>
        <w:contextualSpacing/>
      </w:pPr>
      <w:r>
        <w:t>s</w:t>
      </w:r>
      <w:r w:rsidR="00C3640F" w:rsidRPr="00043A0E">
        <w:t>nižování spotřeby energie zlepšením tepelných vlastností budov;</w:t>
      </w:r>
    </w:p>
    <w:p w14:paraId="0862F173" w14:textId="5C06C149" w:rsidR="00C3640F" w:rsidRPr="00043A0E" w:rsidRDefault="00A25E95" w:rsidP="00C3640F">
      <w:pPr>
        <w:pStyle w:val="Odstavecseseznamem"/>
        <w:numPr>
          <w:ilvl w:val="0"/>
          <w:numId w:val="41"/>
        </w:numPr>
        <w:spacing w:before="120"/>
        <w:contextualSpacing/>
      </w:pPr>
      <w:r>
        <w:t>z</w:t>
      </w:r>
      <w:r w:rsidR="00C3640F" w:rsidRPr="00043A0E">
        <w:t>ařízení pro vytápění nebo přípravu teplé vody;</w:t>
      </w:r>
    </w:p>
    <w:p w14:paraId="56D58565" w14:textId="0A31E9AF" w:rsidR="00C3640F" w:rsidRDefault="00A25E95" w:rsidP="005E44A8">
      <w:pPr>
        <w:pStyle w:val="Odstavecseseznamem"/>
        <w:numPr>
          <w:ilvl w:val="0"/>
          <w:numId w:val="41"/>
        </w:numPr>
        <w:spacing w:before="120" w:after="120"/>
        <w:contextualSpacing/>
      </w:pPr>
      <w:r>
        <w:t>p</w:t>
      </w:r>
      <w:r w:rsidR="00C3640F" w:rsidRPr="00043A0E">
        <w:t>řechod na šetrné, ekologické zdroje.</w:t>
      </w:r>
    </w:p>
    <w:p w14:paraId="183D1E1B" w14:textId="773731BD" w:rsidR="000035D2" w:rsidRPr="000035D2" w:rsidRDefault="00064E91" w:rsidP="005E44A8">
      <w:pPr>
        <w:spacing w:before="120" w:after="120"/>
      </w:pPr>
      <w:r w:rsidRPr="000B7508">
        <w:rPr>
          <w:b/>
        </w:rPr>
        <w:t>Dotační p</w:t>
      </w:r>
      <w:r w:rsidR="000035D2" w:rsidRPr="000B7508">
        <w:rPr>
          <w:b/>
        </w:rPr>
        <w:t>odpora z IROP je stanovena jako podíl z celkových způsobilých výdajů projektu.</w:t>
      </w:r>
      <w:r w:rsidR="000035D2" w:rsidRPr="000035D2">
        <w:t xml:space="preserve"> Podrobnosti </w:t>
      </w:r>
      <w:r w:rsidR="000B5B16">
        <w:t xml:space="preserve">k míře poskytované podpory </w:t>
      </w:r>
      <w:r w:rsidR="000035D2" w:rsidRPr="000035D2">
        <w:t xml:space="preserve">jsou </w:t>
      </w:r>
      <w:r w:rsidR="00A90BF6">
        <w:t xml:space="preserve">vždy </w:t>
      </w:r>
      <w:r w:rsidR="000035D2" w:rsidRPr="000035D2">
        <w:t>uvedeny v</w:t>
      </w:r>
      <w:r>
        <w:t> příloze příslušné výzvy.</w:t>
      </w:r>
    </w:p>
    <w:p w14:paraId="2EC8F2AF" w14:textId="27304FA3" w:rsidR="005E44A8" w:rsidRDefault="00654C2F" w:rsidP="005E44A8">
      <w:pPr>
        <w:spacing w:before="120" w:after="120"/>
      </w:pPr>
      <w:r>
        <w:t>Poskytovatelem podpory je MMR v roli řídicího orgánu IROP</w:t>
      </w:r>
      <w:r w:rsidR="00A25E95">
        <w:t>;</w:t>
      </w:r>
      <w:r>
        <w:t xml:space="preserve"> administrací podpory </w:t>
      </w:r>
      <w:r w:rsidR="00DC56EA">
        <w:t xml:space="preserve">z IROP </w:t>
      </w:r>
      <w:r w:rsidR="0063791C">
        <w:t>je </w:t>
      </w:r>
      <w:r>
        <w:t>pověřeno</w:t>
      </w:r>
      <w:r w:rsidR="00F96047">
        <w:rPr>
          <w:rStyle w:val="Znakapoznpodarou"/>
        </w:rPr>
        <w:footnoteReference w:id="26"/>
      </w:r>
      <w:r>
        <w:t xml:space="preserve"> CRR</w:t>
      </w:r>
      <w:r w:rsidR="00DC56EA">
        <w:t xml:space="preserve">, které tak působí </w:t>
      </w:r>
      <w:r>
        <w:t>v roli zprostředkujícího subjektu.</w:t>
      </w:r>
    </w:p>
    <w:p w14:paraId="20493D2C" w14:textId="7FAB9C22" w:rsidR="00BA1488" w:rsidRPr="00BA1488" w:rsidRDefault="00BA1488" w:rsidP="00136C2E">
      <w:pPr>
        <w:spacing w:after="120"/>
        <w:rPr>
          <w:u w:val="single"/>
        </w:rPr>
      </w:pPr>
      <w:r>
        <w:rPr>
          <w:u w:val="single"/>
        </w:rPr>
        <w:t>Audit Evropského účetního dvora</w:t>
      </w:r>
    </w:p>
    <w:p w14:paraId="3DB374E9" w14:textId="5AA63DE2" w:rsidR="00E43701" w:rsidRPr="00C929B7" w:rsidRDefault="007E58A7" w:rsidP="00136C2E">
      <w:pPr>
        <w:spacing w:after="120"/>
      </w:pPr>
      <w:r>
        <w:t xml:space="preserve">Zvyšování energetické účinnosti budov bylo předmětem auditu, který u IROP provedl v roce 2019 </w:t>
      </w:r>
      <w:r w:rsidR="00E43701">
        <w:t>Evropsk</w:t>
      </w:r>
      <w:r>
        <w:t>ý</w:t>
      </w:r>
      <w:r w:rsidR="00E43701">
        <w:t xml:space="preserve"> účetní dvůr</w:t>
      </w:r>
      <w:r>
        <w:t xml:space="preserve"> (dále </w:t>
      </w:r>
      <w:r w:rsidRPr="003555B6">
        <w:t>též „EÚD“). EÚD posuzoval</w:t>
      </w:r>
      <w:r w:rsidRPr="00136C2E">
        <w:t xml:space="preserve">, zda investice do energetické účinnosti budov spolufinancované EU přispěly nákladově efektivním způsobem ke splnění cíle </w:t>
      </w:r>
      <w:r w:rsidRPr="00136C2E">
        <w:lastRenderedPageBreak/>
        <w:t xml:space="preserve">EU pro úspory energie do roku 2020, a dospěl k závěru, že operační programy </w:t>
      </w:r>
      <w:r w:rsidR="00774C4C">
        <w:t xml:space="preserve">se při výběru </w:t>
      </w:r>
      <w:r w:rsidRPr="00136C2E">
        <w:t>projektů neřídily logikou nákladové efektivnosti</w:t>
      </w:r>
      <w:r w:rsidR="00136C2E">
        <w:t>.</w:t>
      </w:r>
      <w:r w:rsidR="00136C2E">
        <w:rPr>
          <w:rStyle w:val="Znakapoznpodarou"/>
        </w:rPr>
        <w:footnoteReference w:id="27"/>
      </w:r>
    </w:p>
    <w:p w14:paraId="33F4CCAA" w14:textId="42D9C87E" w:rsidR="002B78F4" w:rsidRPr="002B78F4" w:rsidRDefault="002B78F4" w:rsidP="00783A44">
      <w:pPr>
        <w:autoSpaceDE w:val="0"/>
        <w:autoSpaceDN w:val="0"/>
        <w:adjustRightInd w:val="0"/>
        <w:spacing w:after="120"/>
        <w:rPr>
          <w:u w:val="single"/>
        </w:rPr>
      </w:pPr>
      <w:r w:rsidRPr="002B78F4">
        <w:rPr>
          <w:u w:val="single"/>
        </w:rPr>
        <w:t>Podpora z programu NZÚ</w:t>
      </w:r>
    </w:p>
    <w:p w14:paraId="3B35F520" w14:textId="3785B8F6" w:rsidR="0017600A" w:rsidRPr="00346093" w:rsidRDefault="00783A44" w:rsidP="0017600A">
      <w:pPr>
        <w:pStyle w:val="TextKP"/>
      </w:pPr>
      <w:r w:rsidRPr="007C3EC5">
        <w:t xml:space="preserve">Program NZÚ navazuje na programy </w:t>
      </w:r>
      <w:r w:rsidRPr="00E93D5B">
        <w:rPr>
          <w:i/>
        </w:rPr>
        <w:t>Zelená úspor</w:t>
      </w:r>
      <w:r w:rsidR="0063791C" w:rsidRPr="00E93D5B">
        <w:rPr>
          <w:i/>
        </w:rPr>
        <w:t>ám</w:t>
      </w:r>
      <w:r w:rsidR="0063791C">
        <w:t xml:space="preserve"> a </w:t>
      </w:r>
      <w:r w:rsidR="0063791C" w:rsidRPr="00E93D5B">
        <w:rPr>
          <w:i/>
        </w:rPr>
        <w:t>Nová zelená úsporám 2013</w:t>
      </w:r>
      <w:r w:rsidR="0063791C">
        <w:t xml:space="preserve"> a</w:t>
      </w:r>
      <w:r w:rsidR="00A25E95">
        <w:t xml:space="preserve"> </w:t>
      </w:r>
      <w:r w:rsidR="0063791C">
        <w:t>je</w:t>
      </w:r>
      <w:r w:rsidR="00A25E95">
        <w:t xml:space="preserve"> </w:t>
      </w:r>
      <w:r w:rsidRPr="007C3EC5">
        <w:t>financován z podílu na výnosech z dražeb emisních povolenek v rámci systému EU ETS</w:t>
      </w:r>
      <w:r w:rsidRPr="007C3EC5">
        <w:rPr>
          <w:rStyle w:val="Znakapoznpodarou"/>
        </w:rPr>
        <w:footnoteReference w:id="28"/>
      </w:r>
      <w:r w:rsidRPr="007C3EC5">
        <w:t xml:space="preserve">, </w:t>
      </w:r>
      <w:r w:rsidR="00A25E95">
        <w:t>přičemž výše zmíněného podílu</w:t>
      </w:r>
      <w:r w:rsidRPr="007C3EC5">
        <w:t xml:space="preserve"> je stanovena</w:t>
      </w:r>
      <w:r>
        <w:t xml:space="preserve"> zákonem</w:t>
      </w:r>
      <w:r>
        <w:rPr>
          <w:rStyle w:val="Znakapoznpodarou"/>
        </w:rPr>
        <w:footnoteReference w:id="29"/>
      </w:r>
      <w:r w:rsidR="00A25E95">
        <w:t>;</w:t>
      </w:r>
      <w:r w:rsidR="00BC7B8C">
        <w:t xml:space="preserve"> a</w:t>
      </w:r>
      <w:r w:rsidR="0017600A" w:rsidRPr="0017600A">
        <w:t xml:space="preserve">lokace programu NZÚ je </w:t>
      </w:r>
      <w:r w:rsidR="00A25E95">
        <w:t xml:space="preserve">tedy </w:t>
      </w:r>
      <w:r w:rsidR="0017600A" w:rsidRPr="0017600A">
        <w:t xml:space="preserve">závislá na </w:t>
      </w:r>
      <w:r w:rsidR="00BF40FE">
        <w:t xml:space="preserve">výši </w:t>
      </w:r>
      <w:r w:rsidR="007A0FA6">
        <w:t xml:space="preserve">tohoto </w:t>
      </w:r>
      <w:r w:rsidR="0017600A" w:rsidRPr="0017600A">
        <w:t>výnosu</w:t>
      </w:r>
      <w:r w:rsidR="001A7E27">
        <w:t>. Původ</w:t>
      </w:r>
      <w:r w:rsidR="0017600A" w:rsidRPr="00346093">
        <w:t xml:space="preserve">ní alokace programu NZÚ činila 27 mld. Kč, </w:t>
      </w:r>
      <w:r w:rsidR="0017600A">
        <w:t>o</w:t>
      </w:r>
      <w:r w:rsidR="0017600A" w:rsidRPr="00346093">
        <w:t xml:space="preserve">d července 2019 činí alokace programu </w:t>
      </w:r>
      <w:r w:rsidR="006D1125">
        <w:t xml:space="preserve">NZÚ </w:t>
      </w:r>
      <w:r w:rsidR="0017600A" w:rsidRPr="00346093">
        <w:t>23 mld. Kč, z toho podíl na</w:t>
      </w:r>
      <w:r w:rsidR="00A25E95">
        <w:t xml:space="preserve"> </w:t>
      </w:r>
      <w:r w:rsidR="0017600A" w:rsidRPr="00346093">
        <w:t xml:space="preserve">podprogram </w:t>
      </w:r>
      <w:r w:rsidR="0017600A" w:rsidRPr="00346093">
        <w:rPr>
          <w:i/>
        </w:rPr>
        <w:t>B</w:t>
      </w:r>
      <w:r w:rsidR="0017600A">
        <w:rPr>
          <w:i/>
        </w:rPr>
        <w:t xml:space="preserve">ytové domy </w:t>
      </w:r>
      <w:r w:rsidR="0017600A">
        <w:t xml:space="preserve">činí </w:t>
      </w:r>
      <w:r w:rsidR="007B7F15">
        <w:t>2</w:t>
      </w:r>
      <w:r w:rsidR="0017600A" w:rsidRPr="007809A0">
        <w:t>4</w:t>
      </w:r>
      <w:r w:rsidR="00811463">
        <w:t> </w:t>
      </w:r>
      <w:r w:rsidR="0017600A" w:rsidRPr="007809A0">
        <w:t>%, t</w:t>
      </w:r>
      <w:r w:rsidR="0017600A" w:rsidRPr="00346093">
        <w:t>edy 5,51 mld. Kč.</w:t>
      </w:r>
    </w:p>
    <w:p w14:paraId="4790F728" w14:textId="683A7A2B" w:rsidR="006317B2" w:rsidRDefault="00783A44" w:rsidP="00783A44">
      <w:pPr>
        <w:spacing w:after="120"/>
      </w:pPr>
      <w:r w:rsidRPr="007C3EC5">
        <w:rPr>
          <w:rFonts w:eastAsia="Calibri"/>
        </w:rPr>
        <w:t>Hlavním cílem programu NZÚ je zvýšení energetické účinnosti budov</w:t>
      </w:r>
      <w:r w:rsidR="002B78F4">
        <w:rPr>
          <w:rStyle w:val="Znakapoznpodarou"/>
          <w:rFonts w:eastAsia="Calibri"/>
        </w:rPr>
        <w:footnoteReference w:id="30"/>
      </w:r>
      <w:r w:rsidR="006679A3">
        <w:rPr>
          <w:rFonts w:eastAsia="Calibri"/>
        </w:rPr>
        <w:t xml:space="preserve"> a dosažení úspor energie v konečné spotřebě. </w:t>
      </w:r>
      <w:r w:rsidR="001A7E27">
        <w:rPr>
          <w:rFonts w:eastAsia="Calibri"/>
        </w:rPr>
        <w:t>K</w:t>
      </w:r>
      <w:r w:rsidRPr="007C3EC5">
        <w:rPr>
          <w:rFonts w:eastAsia="Calibri"/>
        </w:rPr>
        <w:t xml:space="preserve">aždá </w:t>
      </w:r>
      <w:r w:rsidR="00811463">
        <w:rPr>
          <w:rFonts w:eastAsia="Calibri"/>
        </w:rPr>
        <w:t>miliarda</w:t>
      </w:r>
      <w:r w:rsidR="00BC7B8C">
        <w:rPr>
          <w:rFonts w:eastAsia="Calibri"/>
        </w:rPr>
        <w:t xml:space="preserve"> </w:t>
      </w:r>
      <w:r w:rsidRPr="007C3EC5">
        <w:rPr>
          <w:rFonts w:eastAsia="Calibri"/>
        </w:rPr>
        <w:t>korun investova</w:t>
      </w:r>
      <w:r w:rsidR="00A94BA8">
        <w:rPr>
          <w:rFonts w:eastAsia="Calibri"/>
        </w:rPr>
        <w:t>ná z prostředků programu NZÚ do</w:t>
      </w:r>
      <w:r w:rsidR="00811463">
        <w:rPr>
          <w:rFonts w:eastAsia="Calibri"/>
        </w:rPr>
        <w:t xml:space="preserve"> </w:t>
      </w:r>
      <w:r w:rsidRPr="007C3EC5">
        <w:rPr>
          <w:rFonts w:eastAsia="Calibri"/>
        </w:rPr>
        <w:t xml:space="preserve">projektů na podporu energeticky úsporných opatření </w:t>
      </w:r>
      <w:r w:rsidR="00D13B8A">
        <w:rPr>
          <w:rFonts w:eastAsia="Calibri"/>
        </w:rPr>
        <w:t xml:space="preserve">by </w:t>
      </w:r>
      <w:r w:rsidRPr="007C3EC5">
        <w:rPr>
          <w:rFonts w:eastAsia="Calibri"/>
        </w:rPr>
        <w:t>měla přinést v průměru úsporu energie v konečné spotřebě 590 TJ/rok.</w:t>
      </w:r>
      <w:r w:rsidR="006679A3">
        <w:rPr>
          <w:rFonts w:eastAsia="Calibri"/>
        </w:rPr>
        <w:t xml:space="preserve"> </w:t>
      </w:r>
      <w:r w:rsidRPr="007C3EC5">
        <w:t xml:space="preserve">Snížení energetické náročnosti budov je podporováno zejména v podprogramech </w:t>
      </w:r>
      <w:r w:rsidRPr="007809A0">
        <w:rPr>
          <w:i/>
        </w:rPr>
        <w:t>Bytové domy</w:t>
      </w:r>
      <w:r w:rsidRPr="007C3EC5">
        <w:t xml:space="preserve">, </w:t>
      </w:r>
      <w:r w:rsidRPr="007809A0">
        <w:rPr>
          <w:i/>
        </w:rPr>
        <w:t>Rodinné domy</w:t>
      </w:r>
      <w:r w:rsidRPr="007C3EC5">
        <w:t xml:space="preserve"> a </w:t>
      </w:r>
      <w:r w:rsidRPr="007809A0">
        <w:rPr>
          <w:i/>
        </w:rPr>
        <w:t>Budovy veřejného sektoru</w:t>
      </w:r>
      <w:r w:rsidRPr="007C3EC5">
        <w:t xml:space="preserve">. Podprogram </w:t>
      </w:r>
      <w:r w:rsidRPr="002B78F4">
        <w:rPr>
          <w:i/>
        </w:rPr>
        <w:t>Bytové domy</w:t>
      </w:r>
      <w:r w:rsidRPr="007C3EC5">
        <w:t xml:space="preserve">, na který </w:t>
      </w:r>
      <w:r w:rsidR="00270B60">
        <w:t xml:space="preserve">byla </w:t>
      </w:r>
      <w:r w:rsidRPr="007C3EC5">
        <w:t>zaměř</w:t>
      </w:r>
      <w:r w:rsidR="00270B60">
        <w:t>ena</w:t>
      </w:r>
      <w:r w:rsidRPr="007C3EC5">
        <w:t xml:space="preserve"> kontrola NKÚ, byl zahrnut do programu NZÚ již v roce 2013, jeho realizace však byla zahájena </w:t>
      </w:r>
      <w:r w:rsidR="000B5B16">
        <w:t xml:space="preserve">se zpožděním </w:t>
      </w:r>
      <w:r w:rsidRPr="007C3EC5">
        <w:t>až v roce 2015</w:t>
      </w:r>
      <w:r w:rsidR="007809A0">
        <w:t xml:space="preserve">. </w:t>
      </w:r>
    </w:p>
    <w:p w14:paraId="2689768F" w14:textId="035FB7E3" w:rsidR="00CC5413" w:rsidRPr="00B95755" w:rsidRDefault="00811463" w:rsidP="004931E1">
      <w:pPr>
        <w:spacing w:after="120"/>
      </w:pPr>
      <w:r>
        <w:rPr>
          <w:bCs/>
        </w:rPr>
        <w:t xml:space="preserve">Z </w:t>
      </w:r>
      <w:r w:rsidR="00CC5413" w:rsidRPr="00B95755">
        <w:rPr>
          <w:bCs/>
        </w:rPr>
        <w:t>progr</w:t>
      </w:r>
      <w:r w:rsidR="007809A0">
        <w:rPr>
          <w:bCs/>
        </w:rPr>
        <w:t xml:space="preserve">amu NZÚ </w:t>
      </w:r>
      <w:r>
        <w:rPr>
          <w:bCs/>
        </w:rPr>
        <w:t xml:space="preserve">jsou v rámci jeho </w:t>
      </w:r>
      <w:r w:rsidR="007809A0">
        <w:rPr>
          <w:bCs/>
        </w:rPr>
        <w:t>podprogram</w:t>
      </w:r>
      <w:r w:rsidR="00C929B7">
        <w:rPr>
          <w:bCs/>
        </w:rPr>
        <w:t>u</w:t>
      </w:r>
      <w:r w:rsidR="007809A0">
        <w:rPr>
          <w:bCs/>
        </w:rPr>
        <w:t xml:space="preserve"> </w:t>
      </w:r>
      <w:r w:rsidR="007809A0" w:rsidRPr="007809A0">
        <w:rPr>
          <w:bCs/>
          <w:i/>
        </w:rPr>
        <w:t>Bytové domy</w:t>
      </w:r>
      <w:r w:rsidR="005752F5">
        <w:rPr>
          <w:bCs/>
          <w:i/>
        </w:rPr>
        <w:t xml:space="preserve"> </w:t>
      </w:r>
      <w:r w:rsidRPr="007A731E">
        <w:rPr>
          <w:bCs/>
        </w:rPr>
        <w:t>podporovány tyto oblasti</w:t>
      </w:r>
      <w:r w:rsidR="005752F5">
        <w:rPr>
          <w:bCs/>
        </w:rPr>
        <w:t>:</w:t>
      </w:r>
    </w:p>
    <w:p w14:paraId="0296129C" w14:textId="13532072" w:rsidR="00CC5413" w:rsidRPr="00B95755" w:rsidRDefault="00CC5413" w:rsidP="002B78F4">
      <w:pPr>
        <w:pStyle w:val="Odstavecseseznamem"/>
        <w:numPr>
          <w:ilvl w:val="0"/>
          <w:numId w:val="41"/>
        </w:numPr>
        <w:ind w:left="714" w:hanging="357"/>
        <w:contextualSpacing/>
      </w:pPr>
      <w:r w:rsidRPr="002B78F4">
        <w:t>A</w:t>
      </w:r>
      <w:r w:rsidRPr="00B95755">
        <w:t xml:space="preserve"> – </w:t>
      </w:r>
      <w:r w:rsidR="00811463">
        <w:t>s</w:t>
      </w:r>
      <w:r w:rsidRPr="00B95755">
        <w:t xml:space="preserve">nižování energetické náročnosti stávajících BD; </w:t>
      </w:r>
    </w:p>
    <w:p w14:paraId="731AEFF5" w14:textId="77108416" w:rsidR="00716044" w:rsidRDefault="00CC5413" w:rsidP="00415FC2">
      <w:pPr>
        <w:pStyle w:val="Odstavecseseznamem"/>
        <w:numPr>
          <w:ilvl w:val="0"/>
          <w:numId w:val="41"/>
        </w:numPr>
        <w:spacing w:after="120"/>
        <w:ind w:left="714" w:hanging="357"/>
        <w:contextualSpacing/>
      </w:pPr>
      <w:r w:rsidRPr="002B78F4">
        <w:t xml:space="preserve">B – </w:t>
      </w:r>
      <w:r w:rsidR="00811463">
        <w:t>v</w:t>
      </w:r>
      <w:r w:rsidRPr="00B95755">
        <w:t>ýstavba BD s velmi nízkou energetickou náročností nebo přestavba domů na BD v</w:t>
      </w:r>
      <w:r w:rsidR="006679A3">
        <w:t> </w:t>
      </w:r>
      <w:r w:rsidRPr="00B95755">
        <w:t>pasivu</w:t>
      </w:r>
      <w:r w:rsidR="006679A3">
        <w:t xml:space="preserve"> (na území celé ČR</w:t>
      </w:r>
      <w:r w:rsidRPr="00B95755">
        <w:t>)</w:t>
      </w:r>
      <w:r w:rsidR="00716044">
        <w:t>;</w:t>
      </w:r>
    </w:p>
    <w:p w14:paraId="01CFABA5" w14:textId="4FA8358E" w:rsidR="00CC5413" w:rsidRDefault="00716044" w:rsidP="00716044">
      <w:pPr>
        <w:pStyle w:val="Odstavecseseznamem"/>
        <w:numPr>
          <w:ilvl w:val="0"/>
          <w:numId w:val="41"/>
        </w:numPr>
        <w:spacing w:after="120"/>
        <w:ind w:left="714" w:hanging="357"/>
        <w:contextualSpacing/>
      </w:pPr>
      <w:r w:rsidRPr="002B78F4">
        <w:t>C</w:t>
      </w:r>
      <w:r w:rsidRPr="00B95755">
        <w:t xml:space="preserve"> – </w:t>
      </w:r>
      <w:r w:rsidR="00811463">
        <w:t>e</w:t>
      </w:r>
      <w:r w:rsidRPr="00B95755">
        <w:t>fektivní využití zdrojů energie</w:t>
      </w:r>
      <w:r>
        <w:t>.</w:t>
      </w:r>
    </w:p>
    <w:p w14:paraId="3203F7BA" w14:textId="406152E4" w:rsidR="000035D2" w:rsidRPr="00B95755" w:rsidRDefault="000035D2" w:rsidP="000035D2">
      <w:pPr>
        <w:spacing w:after="120"/>
      </w:pPr>
      <w:r w:rsidRPr="00DF6251">
        <w:rPr>
          <w:b/>
        </w:rPr>
        <w:t>Podpora z</w:t>
      </w:r>
      <w:r w:rsidR="00811463">
        <w:rPr>
          <w:b/>
        </w:rPr>
        <w:t xml:space="preserve"> programu </w:t>
      </w:r>
      <w:r w:rsidRPr="00DF6251">
        <w:rPr>
          <w:b/>
        </w:rPr>
        <w:t xml:space="preserve">NZÚ je dána fixní částkou podle typu realizovaného opatření. Současně je celková výše dotace na jednu žádost </w:t>
      </w:r>
      <w:r w:rsidR="000B7508" w:rsidRPr="00DF6251">
        <w:rPr>
          <w:b/>
        </w:rPr>
        <w:t xml:space="preserve">o podporu </w:t>
      </w:r>
      <w:r w:rsidRPr="00DF6251">
        <w:rPr>
          <w:b/>
        </w:rPr>
        <w:t xml:space="preserve">omezena </w:t>
      </w:r>
      <w:r w:rsidRPr="000035D2">
        <w:t>na maximální míru řádn</w:t>
      </w:r>
      <w:r w:rsidR="00270B60">
        <w:t>ě</w:t>
      </w:r>
      <w:r w:rsidRPr="000035D2">
        <w:t xml:space="preserve"> doložených způsobilých výdajů stanovenou v příslušné výzvě.</w:t>
      </w:r>
    </w:p>
    <w:p w14:paraId="3582F222" w14:textId="571CF92A" w:rsidR="00654C2F" w:rsidRDefault="00654C2F" w:rsidP="00CC5413">
      <w:pPr>
        <w:spacing w:after="120"/>
      </w:pPr>
      <w:r>
        <w:t xml:space="preserve">Poskytovatelem podpory je MŽP jako správce programu NZÚ, </w:t>
      </w:r>
      <w:r w:rsidRPr="00654C2F">
        <w:t>administrací podpory je pověřen</w:t>
      </w:r>
      <w:r w:rsidR="00F96047">
        <w:rPr>
          <w:rStyle w:val="Znakapoznpodarou"/>
        </w:rPr>
        <w:footnoteReference w:id="31"/>
      </w:r>
      <w:r>
        <w:t xml:space="preserve"> SFŽP</w:t>
      </w:r>
      <w:r w:rsidR="00DC56EA">
        <w:t>, který působí v r</w:t>
      </w:r>
      <w:r w:rsidRPr="00654C2F">
        <w:t xml:space="preserve">oli </w:t>
      </w:r>
      <w:r>
        <w:t xml:space="preserve">administrátora. </w:t>
      </w:r>
    </w:p>
    <w:p w14:paraId="7F975737" w14:textId="77777777" w:rsidR="004874B8" w:rsidRDefault="004874B8">
      <w:pPr>
        <w:jc w:val="left"/>
        <w:rPr>
          <w:b/>
          <w:bCs/>
          <w:sz w:val="28"/>
          <w:szCs w:val="34"/>
        </w:rPr>
      </w:pPr>
      <w:r>
        <w:br w:type="page"/>
      </w:r>
    </w:p>
    <w:p w14:paraId="1CE65ACB" w14:textId="0996F73B" w:rsidR="004F30C6" w:rsidRPr="008A1604" w:rsidRDefault="001D7420" w:rsidP="00A91587">
      <w:pPr>
        <w:pStyle w:val="Nadpis1"/>
      </w:pPr>
      <w:r>
        <w:lastRenderedPageBreak/>
        <w:t xml:space="preserve">III. </w:t>
      </w:r>
      <w:r w:rsidR="009221B7" w:rsidRPr="008A1604">
        <w:t>Rozsah kontroly</w:t>
      </w:r>
    </w:p>
    <w:p w14:paraId="3C5B23F2" w14:textId="45BD9078" w:rsidR="00220C85" w:rsidRPr="004971C8" w:rsidRDefault="00D56CA6" w:rsidP="00D56CA6">
      <w:pPr>
        <w:spacing w:after="120"/>
      </w:pPr>
      <w:r w:rsidRPr="004971C8">
        <w:t xml:space="preserve">Cílem kontrolní akce bylo prověřit, zda kontrolované osoby poskytují a čerpají peněžní prostředky určené na snížení energetické náročnosti bytových domů účelně, efektivně </w:t>
      </w:r>
      <w:r w:rsidR="0063791C">
        <w:t>a </w:t>
      </w:r>
      <w:r w:rsidRPr="004971C8">
        <w:t xml:space="preserve">v souladu s právními předpisy. </w:t>
      </w:r>
    </w:p>
    <w:p w14:paraId="4473976A" w14:textId="14557492" w:rsidR="00130DB3" w:rsidRDefault="00130DB3" w:rsidP="00D56CA6">
      <w:pPr>
        <w:spacing w:after="120"/>
      </w:pPr>
      <w:r w:rsidRPr="004971C8">
        <w:t xml:space="preserve">NKÚ se zaměřil na výzvy IROP a </w:t>
      </w:r>
      <w:r w:rsidR="004874B8">
        <w:t xml:space="preserve">programu </w:t>
      </w:r>
      <w:r w:rsidRPr="004971C8">
        <w:t xml:space="preserve">NZÚ, které </w:t>
      </w:r>
      <w:r w:rsidR="00773953" w:rsidRPr="004971C8">
        <w:t xml:space="preserve">shodně </w:t>
      </w:r>
      <w:r w:rsidRPr="004971C8">
        <w:t xml:space="preserve">podporují </w:t>
      </w:r>
      <w:r w:rsidR="00773953" w:rsidRPr="004971C8">
        <w:t>o</w:t>
      </w:r>
      <w:r w:rsidRPr="004971C8">
        <w:t xml:space="preserve">patření směřující ke snížení energetické náročnosti </w:t>
      </w:r>
      <w:r w:rsidR="003A4574" w:rsidRPr="004971C8">
        <w:t xml:space="preserve">stávajících </w:t>
      </w:r>
      <w:r w:rsidRPr="004971C8">
        <w:t>bytových domů. V kontrolním vzorku byly zastoupeny tři výzvy IROP vyhlášené v rámci specifického cíle 2.5 a dvě výzvy programu NZÚ vyhlášen</w:t>
      </w:r>
      <w:r w:rsidR="00773953" w:rsidRPr="004971C8">
        <w:t xml:space="preserve">é </w:t>
      </w:r>
      <w:r w:rsidRPr="004971C8">
        <w:t xml:space="preserve">v rámci podprogramu </w:t>
      </w:r>
      <w:r w:rsidRPr="004971C8">
        <w:rPr>
          <w:i/>
        </w:rPr>
        <w:t>Bytové domy</w:t>
      </w:r>
      <w:r w:rsidRPr="004971C8">
        <w:t xml:space="preserve">. </w:t>
      </w:r>
      <w:r w:rsidR="00773953" w:rsidRPr="004971C8">
        <w:t>V</w:t>
      </w:r>
      <w:r w:rsidRPr="004971C8">
        <w:t xml:space="preserve">ýzvy </w:t>
      </w:r>
      <w:r w:rsidR="00773953" w:rsidRPr="004971C8">
        <w:t xml:space="preserve">uvedené v tabulce č. </w:t>
      </w:r>
      <w:r w:rsidR="00354E25" w:rsidRPr="004971C8">
        <w:t>1</w:t>
      </w:r>
      <w:r w:rsidR="00773953" w:rsidRPr="004971C8">
        <w:t xml:space="preserve"> </w:t>
      </w:r>
      <w:r w:rsidRPr="004971C8">
        <w:t>byly zdrojem pro výběr projektů do kontrolního vzorku.</w:t>
      </w:r>
    </w:p>
    <w:p w14:paraId="7694EFB0" w14:textId="5BA31B0A" w:rsidR="005C1077" w:rsidRDefault="00773953" w:rsidP="00DD7A67">
      <w:pPr>
        <w:keepNext/>
        <w:spacing w:after="60"/>
        <w:ind w:left="1304" w:hanging="1304"/>
      </w:pPr>
      <w:r w:rsidRPr="004971C8">
        <w:t xml:space="preserve">Tabulka č. </w:t>
      </w:r>
      <w:r w:rsidR="00354E25" w:rsidRPr="004971C8">
        <w:t>1</w:t>
      </w:r>
      <w:r w:rsidR="00A94BA8">
        <w:t>:</w:t>
      </w:r>
      <w:r w:rsidR="00A94BA8">
        <w:tab/>
      </w:r>
      <w:r w:rsidR="005E6978" w:rsidRPr="004971C8">
        <w:t>V</w:t>
      </w:r>
      <w:r w:rsidRPr="004971C8">
        <w:t xml:space="preserve">ýzvy IROP a programu NZÚ prověřované </w:t>
      </w:r>
      <w:r w:rsidR="005E6978" w:rsidRPr="004971C8">
        <w:t xml:space="preserve">v </w:t>
      </w:r>
      <w:r w:rsidRPr="004971C8">
        <w:t>kontrolní akc</w:t>
      </w:r>
      <w:r w:rsidR="005E6978" w:rsidRPr="004971C8">
        <w:t>i</w:t>
      </w:r>
      <w:r w:rsidRPr="00354E25">
        <w:t xml:space="preserve"> </w:t>
      </w:r>
      <w:r w:rsidR="00607A05">
        <w:t>(stav k 3</w:t>
      </w:r>
      <w:r w:rsidR="005C1077">
        <w:t>1</w:t>
      </w:r>
      <w:r w:rsidR="00607A05">
        <w:t xml:space="preserve">. </w:t>
      </w:r>
      <w:r w:rsidR="005C1077">
        <w:t>12</w:t>
      </w:r>
      <w:r w:rsidR="00607A05">
        <w:t>. 2020)</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3"/>
        <w:gridCol w:w="2551"/>
        <w:gridCol w:w="2410"/>
        <w:gridCol w:w="2693"/>
      </w:tblGrid>
      <w:tr w:rsidR="00A91587" w:rsidRPr="00A91587" w14:paraId="749259DB" w14:textId="77777777" w:rsidTr="00567229">
        <w:trPr>
          <w:trHeight w:val="540"/>
        </w:trPr>
        <w:tc>
          <w:tcPr>
            <w:tcW w:w="1413" w:type="dxa"/>
            <w:shd w:val="clear" w:color="000000" w:fill="E5F1FF"/>
            <w:vAlign w:val="center"/>
            <w:hideMark/>
          </w:tcPr>
          <w:p w14:paraId="204B4DE5" w14:textId="77777777" w:rsidR="00A91587" w:rsidRPr="00DD7A67" w:rsidRDefault="00A91587">
            <w:pPr>
              <w:jc w:val="center"/>
              <w:rPr>
                <w:rFonts w:ascii="Calibri" w:hAnsi="Calibri" w:cs="Calibri"/>
                <w:b/>
                <w:bCs/>
                <w:color w:val="000000"/>
                <w:sz w:val="20"/>
              </w:rPr>
            </w:pPr>
            <w:r w:rsidRPr="00DD7A67">
              <w:rPr>
                <w:rFonts w:ascii="Calibri" w:hAnsi="Calibri" w:cs="Calibri"/>
                <w:b/>
                <w:bCs/>
                <w:color w:val="000000"/>
                <w:sz w:val="20"/>
              </w:rPr>
              <w:t>Výzva č.</w:t>
            </w:r>
          </w:p>
        </w:tc>
        <w:tc>
          <w:tcPr>
            <w:tcW w:w="2551" w:type="dxa"/>
            <w:shd w:val="clear" w:color="000000" w:fill="E5F1FF"/>
            <w:vAlign w:val="center"/>
            <w:hideMark/>
          </w:tcPr>
          <w:p w14:paraId="03F81BF1" w14:textId="627EDEA6" w:rsidR="00A91587" w:rsidRPr="00DD7A67" w:rsidRDefault="00A91587" w:rsidP="004874B8">
            <w:pPr>
              <w:jc w:val="center"/>
              <w:rPr>
                <w:rFonts w:ascii="Calibri" w:hAnsi="Calibri" w:cs="Calibri"/>
                <w:b/>
                <w:bCs/>
                <w:color w:val="000000"/>
                <w:sz w:val="20"/>
              </w:rPr>
            </w:pPr>
            <w:r w:rsidRPr="00DD7A67">
              <w:rPr>
                <w:rFonts w:ascii="Calibri" w:hAnsi="Calibri" w:cs="Calibri"/>
                <w:b/>
                <w:bCs/>
                <w:color w:val="000000"/>
                <w:sz w:val="20"/>
              </w:rPr>
              <w:t>Alokace (podíl EU u SC 2.5 IROP</w:t>
            </w:r>
            <w:r w:rsidR="004874B8">
              <w:rPr>
                <w:rFonts w:ascii="Calibri" w:hAnsi="Calibri" w:cs="Calibri"/>
                <w:b/>
                <w:bCs/>
                <w:color w:val="000000"/>
                <w:sz w:val="20"/>
              </w:rPr>
              <w:t>, resp. podíl</w:t>
            </w:r>
            <w:r w:rsidRPr="00DD7A67">
              <w:rPr>
                <w:rFonts w:ascii="Calibri" w:hAnsi="Calibri" w:cs="Calibri"/>
                <w:b/>
                <w:bCs/>
                <w:color w:val="000000"/>
                <w:sz w:val="20"/>
              </w:rPr>
              <w:t xml:space="preserve"> SR u NZÚ) </w:t>
            </w:r>
            <w:r w:rsidR="00270B60" w:rsidRPr="00DD7A67">
              <w:rPr>
                <w:rFonts w:ascii="Calibri" w:hAnsi="Calibri" w:cs="Calibri"/>
                <w:b/>
                <w:bCs/>
                <w:color w:val="000000"/>
                <w:sz w:val="20"/>
              </w:rPr>
              <w:t>(v Kč)</w:t>
            </w:r>
          </w:p>
        </w:tc>
        <w:tc>
          <w:tcPr>
            <w:tcW w:w="2410" w:type="dxa"/>
            <w:shd w:val="clear" w:color="000000" w:fill="E5F1FF"/>
            <w:vAlign w:val="center"/>
            <w:hideMark/>
          </w:tcPr>
          <w:p w14:paraId="6054A68B" w14:textId="77777777" w:rsidR="00A91587" w:rsidRPr="00DD7A67" w:rsidRDefault="00A91587" w:rsidP="00A91587">
            <w:pPr>
              <w:jc w:val="center"/>
              <w:rPr>
                <w:rFonts w:ascii="Calibri" w:hAnsi="Calibri" w:cs="Calibri"/>
                <w:b/>
                <w:bCs/>
                <w:color w:val="000000"/>
                <w:sz w:val="20"/>
              </w:rPr>
            </w:pPr>
            <w:r w:rsidRPr="00DD7A67">
              <w:rPr>
                <w:rFonts w:ascii="Calibri" w:hAnsi="Calibri" w:cs="Calibri"/>
                <w:b/>
                <w:bCs/>
                <w:color w:val="000000"/>
                <w:sz w:val="20"/>
              </w:rPr>
              <w:t>Počet zaregistrovaných žádostí</w:t>
            </w:r>
          </w:p>
        </w:tc>
        <w:tc>
          <w:tcPr>
            <w:tcW w:w="2693" w:type="dxa"/>
            <w:shd w:val="clear" w:color="000000" w:fill="E5F1FF"/>
            <w:vAlign w:val="center"/>
            <w:hideMark/>
          </w:tcPr>
          <w:p w14:paraId="51A87A70" w14:textId="77777777" w:rsidR="00270B60" w:rsidRPr="00DD7A67" w:rsidRDefault="00A91587" w:rsidP="00A91587">
            <w:pPr>
              <w:jc w:val="center"/>
              <w:rPr>
                <w:rFonts w:ascii="Calibri" w:hAnsi="Calibri" w:cs="Calibri"/>
                <w:b/>
                <w:bCs/>
                <w:color w:val="000000"/>
                <w:sz w:val="20"/>
              </w:rPr>
            </w:pPr>
            <w:r w:rsidRPr="00DD7A67">
              <w:rPr>
                <w:rFonts w:ascii="Calibri" w:hAnsi="Calibri" w:cs="Calibri"/>
                <w:b/>
                <w:bCs/>
                <w:color w:val="000000"/>
                <w:sz w:val="20"/>
              </w:rPr>
              <w:t>Proplaceno příjemcům</w:t>
            </w:r>
          </w:p>
          <w:p w14:paraId="2A8612F7" w14:textId="2FD2DAF1" w:rsidR="00A91587" w:rsidRPr="00DD7A67" w:rsidRDefault="00270B60" w:rsidP="00A91587">
            <w:pPr>
              <w:jc w:val="center"/>
              <w:rPr>
                <w:rFonts w:ascii="Calibri" w:hAnsi="Calibri" w:cs="Calibri"/>
                <w:b/>
                <w:bCs/>
                <w:color w:val="000000"/>
                <w:sz w:val="20"/>
              </w:rPr>
            </w:pPr>
            <w:r w:rsidRPr="00DD7A67">
              <w:rPr>
                <w:rFonts w:ascii="Calibri" w:hAnsi="Calibri" w:cs="Calibri"/>
                <w:b/>
                <w:bCs/>
                <w:color w:val="000000"/>
                <w:sz w:val="20"/>
              </w:rPr>
              <w:t>(v Kč)</w:t>
            </w:r>
          </w:p>
        </w:tc>
      </w:tr>
      <w:tr w:rsidR="00A91587" w:rsidRPr="00A91587" w14:paraId="06638B7F" w14:textId="77777777" w:rsidTr="00567229">
        <w:trPr>
          <w:trHeight w:val="315"/>
        </w:trPr>
        <w:tc>
          <w:tcPr>
            <w:tcW w:w="1413" w:type="dxa"/>
            <w:shd w:val="clear" w:color="auto" w:fill="auto"/>
            <w:noWrap/>
            <w:vAlign w:val="center"/>
            <w:hideMark/>
          </w:tcPr>
          <w:p w14:paraId="2D8E1561" w14:textId="77777777" w:rsidR="00A91587" w:rsidRPr="00DD7A67" w:rsidRDefault="00A91587" w:rsidP="00A91587">
            <w:pPr>
              <w:jc w:val="left"/>
              <w:rPr>
                <w:rFonts w:ascii="Calibri" w:hAnsi="Calibri" w:cs="Calibri"/>
                <w:color w:val="000000"/>
                <w:sz w:val="20"/>
              </w:rPr>
            </w:pPr>
            <w:r w:rsidRPr="00DD7A67">
              <w:rPr>
                <w:rFonts w:ascii="Calibri" w:hAnsi="Calibri" w:cs="Calibri"/>
                <w:color w:val="000000"/>
                <w:sz w:val="20"/>
              </w:rPr>
              <w:t>IROP č. 16</w:t>
            </w:r>
          </w:p>
        </w:tc>
        <w:tc>
          <w:tcPr>
            <w:tcW w:w="2551" w:type="dxa"/>
            <w:shd w:val="clear" w:color="auto" w:fill="auto"/>
            <w:noWrap/>
            <w:vAlign w:val="center"/>
            <w:hideMark/>
          </w:tcPr>
          <w:p w14:paraId="3ED6F697"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1 350 000 000</w:t>
            </w:r>
          </w:p>
        </w:tc>
        <w:tc>
          <w:tcPr>
            <w:tcW w:w="2410" w:type="dxa"/>
            <w:shd w:val="clear" w:color="auto" w:fill="auto"/>
            <w:noWrap/>
            <w:vAlign w:val="center"/>
            <w:hideMark/>
          </w:tcPr>
          <w:p w14:paraId="57BEDC37"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177</w:t>
            </w:r>
          </w:p>
        </w:tc>
        <w:tc>
          <w:tcPr>
            <w:tcW w:w="2693" w:type="dxa"/>
            <w:shd w:val="clear" w:color="auto" w:fill="auto"/>
            <w:noWrap/>
            <w:vAlign w:val="center"/>
            <w:hideMark/>
          </w:tcPr>
          <w:p w14:paraId="50131042"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84 356 612</w:t>
            </w:r>
          </w:p>
        </w:tc>
      </w:tr>
      <w:tr w:rsidR="00A91587" w:rsidRPr="00A91587" w14:paraId="1457A165" w14:textId="77777777" w:rsidTr="00567229">
        <w:trPr>
          <w:trHeight w:val="315"/>
        </w:trPr>
        <w:tc>
          <w:tcPr>
            <w:tcW w:w="1413" w:type="dxa"/>
            <w:shd w:val="clear" w:color="auto" w:fill="auto"/>
            <w:noWrap/>
            <w:vAlign w:val="center"/>
            <w:hideMark/>
          </w:tcPr>
          <w:p w14:paraId="33EB409C" w14:textId="77777777" w:rsidR="00A91587" w:rsidRPr="00DD7A67" w:rsidRDefault="00A91587" w:rsidP="00A91587">
            <w:pPr>
              <w:jc w:val="left"/>
              <w:rPr>
                <w:rFonts w:ascii="Calibri" w:hAnsi="Calibri" w:cs="Calibri"/>
                <w:color w:val="000000"/>
                <w:sz w:val="20"/>
              </w:rPr>
            </w:pPr>
            <w:r w:rsidRPr="00DD7A67">
              <w:rPr>
                <w:rFonts w:ascii="Calibri" w:hAnsi="Calibri" w:cs="Calibri"/>
                <w:color w:val="000000"/>
                <w:sz w:val="20"/>
              </w:rPr>
              <w:t>IROP č. 37</w:t>
            </w:r>
          </w:p>
        </w:tc>
        <w:tc>
          <w:tcPr>
            <w:tcW w:w="2551" w:type="dxa"/>
            <w:shd w:val="clear" w:color="auto" w:fill="auto"/>
            <w:noWrap/>
            <w:vAlign w:val="center"/>
            <w:hideMark/>
          </w:tcPr>
          <w:p w14:paraId="631A605C"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3 500 000 000</w:t>
            </w:r>
          </w:p>
        </w:tc>
        <w:tc>
          <w:tcPr>
            <w:tcW w:w="2410" w:type="dxa"/>
            <w:shd w:val="clear" w:color="auto" w:fill="auto"/>
            <w:noWrap/>
            <w:vAlign w:val="center"/>
            <w:hideMark/>
          </w:tcPr>
          <w:p w14:paraId="05EF9266"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1 329</w:t>
            </w:r>
          </w:p>
        </w:tc>
        <w:tc>
          <w:tcPr>
            <w:tcW w:w="2693" w:type="dxa"/>
            <w:shd w:val="clear" w:color="auto" w:fill="auto"/>
            <w:noWrap/>
            <w:vAlign w:val="center"/>
            <w:hideMark/>
          </w:tcPr>
          <w:p w14:paraId="52D018E3"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1 841 711 602</w:t>
            </w:r>
          </w:p>
        </w:tc>
      </w:tr>
      <w:tr w:rsidR="00A91587" w:rsidRPr="00A91587" w14:paraId="58ADDD95" w14:textId="77777777" w:rsidTr="00567229">
        <w:trPr>
          <w:trHeight w:val="315"/>
        </w:trPr>
        <w:tc>
          <w:tcPr>
            <w:tcW w:w="1413" w:type="dxa"/>
            <w:shd w:val="clear" w:color="auto" w:fill="auto"/>
            <w:noWrap/>
            <w:vAlign w:val="center"/>
            <w:hideMark/>
          </w:tcPr>
          <w:p w14:paraId="00D76CDF" w14:textId="77777777" w:rsidR="00A91587" w:rsidRPr="00DD7A67" w:rsidRDefault="00A91587" w:rsidP="00A91587">
            <w:pPr>
              <w:jc w:val="left"/>
              <w:rPr>
                <w:rFonts w:ascii="Calibri" w:hAnsi="Calibri" w:cs="Calibri"/>
                <w:color w:val="000000"/>
                <w:sz w:val="20"/>
              </w:rPr>
            </w:pPr>
            <w:r w:rsidRPr="00DD7A67">
              <w:rPr>
                <w:rFonts w:ascii="Calibri" w:hAnsi="Calibri" w:cs="Calibri"/>
                <w:color w:val="000000"/>
                <w:sz w:val="20"/>
              </w:rPr>
              <w:t>IROP č. 78</w:t>
            </w:r>
          </w:p>
        </w:tc>
        <w:tc>
          <w:tcPr>
            <w:tcW w:w="2551" w:type="dxa"/>
            <w:shd w:val="clear" w:color="auto" w:fill="auto"/>
            <w:noWrap/>
            <w:vAlign w:val="center"/>
            <w:hideMark/>
          </w:tcPr>
          <w:p w14:paraId="63785DEF"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5 500 000 000</w:t>
            </w:r>
          </w:p>
        </w:tc>
        <w:tc>
          <w:tcPr>
            <w:tcW w:w="2410" w:type="dxa"/>
            <w:shd w:val="clear" w:color="auto" w:fill="auto"/>
            <w:noWrap/>
            <w:vAlign w:val="center"/>
            <w:hideMark/>
          </w:tcPr>
          <w:p w14:paraId="1BB87923"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2 610</w:t>
            </w:r>
          </w:p>
        </w:tc>
        <w:tc>
          <w:tcPr>
            <w:tcW w:w="2693" w:type="dxa"/>
            <w:shd w:val="clear" w:color="auto" w:fill="auto"/>
            <w:noWrap/>
            <w:vAlign w:val="center"/>
            <w:hideMark/>
          </w:tcPr>
          <w:p w14:paraId="0F0BF475"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1 476 202 295</w:t>
            </w:r>
          </w:p>
        </w:tc>
      </w:tr>
      <w:tr w:rsidR="00A91587" w:rsidRPr="00A91587" w14:paraId="11A2475F" w14:textId="77777777" w:rsidTr="00567229">
        <w:trPr>
          <w:trHeight w:val="315"/>
        </w:trPr>
        <w:tc>
          <w:tcPr>
            <w:tcW w:w="1413" w:type="dxa"/>
            <w:shd w:val="clear" w:color="auto" w:fill="auto"/>
            <w:noWrap/>
            <w:vAlign w:val="center"/>
            <w:hideMark/>
          </w:tcPr>
          <w:p w14:paraId="211A75FF" w14:textId="77777777" w:rsidR="00A91587" w:rsidRPr="00DD7A67" w:rsidRDefault="00A91587" w:rsidP="00A91587">
            <w:pPr>
              <w:jc w:val="left"/>
              <w:rPr>
                <w:rFonts w:ascii="Calibri" w:hAnsi="Calibri" w:cs="Calibri"/>
                <w:color w:val="000000"/>
                <w:sz w:val="20"/>
              </w:rPr>
            </w:pPr>
            <w:r w:rsidRPr="00DD7A67">
              <w:rPr>
                <w:rFonts w:ascii="Calibri" w:hAnsi="Calibri" w:cs="Calibri"/>
                <w:color w:val="000000"/>
                <w:sz w:val="20"/>
              </w:rPr>
              <w:t>FN IROP</w:t>
            </w:r>
          </w:p>
        </w:tc>
        <w:tc>
          <w:tcPr>
            <w:tcW w:w="2551" w:type="dxa"/>
            <w:shd w:val="clear" w:color="auto" w:fill="auto"/>
            <w:noWrap/>
            <w:vAlign w:val="center"/>
            <w:hideMark/>
          </w:tcPr>
          <w:p w14:paraId="0F2D7B73"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1 000 000 000</w:t>
            </w:r>
          </w:p>
        </w:tc>
        <w:tc>
          <w:tcPr>
            <w:tcW w:w="2410" w:type="dxa"/>
            <w:shd w:val="clear" w:color="auto" w:fill="auto"/>
            <w:noWrap/>
            <w:vAlign w:val="center"/>
            <w:hideMark/>
          </w:tcPr>
          <w:p w14:paraId="5EE5AD03"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118</w:t>
            </w:r>
          </w:p>
        </w:tc>
        <w:tc>
          <w:tcPr>
            <w:tcW w:w="2693" w:type="dxa"/>
            <w:shd w:val="clear" w:color="auto" w:fill="auto"/>
            <w:noWrap/>
            <w:vAlign w:val="center"/>
            <w:hideMark/>
          </w:tcPr>
          <w:p w14:paraId="2C2B3BCF"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90 401 109</w:t>
            </w:r>
          </w:p>
        </w:tc>
      </w:tr>
      <w:tr w:rsidR="00A91587" w:rsidRPr="00A91587" w14:paraId="4B2C4997" w14:textId="77777777" w:rsidTr="00567229">
        <w:trPr>
          <w:trHeight w:val="300"/>
        </w:trPr>
        <w:tc>
          <w:tcPr>
            <w:tcW w:w="1413" w:type="dxa"/>
            <w:shd w:val="clear" w:color="auto" w:fill="auto"/>
            <w:noWrap/>
            <w:vAlign w:val="center"/>
            <w:hideMark/>
          </w:tcPr>
          <w:p w14:paraId="1998D2D1" w14:textId="77777777" w:rsidR="00A91587" w:rsidRPr="00DD7A67" w:rsidRDefault="00A91587" w:rsidP="00A91587">
            <w:pPr>
              <w:jc w:val="left"/>
              <w:rPr>
                <w:rFonts w:ascii="Calibri" w:hAnsi="Calibri" w:cs="Calibri"/>
                <w:color w:val="000000"/>
                <w:sz w:val="20"/>
              </w:rPr>
            </w:pPr>
            <w:r w:rsidRPr="00DD7A67">
              <w:rPr>
                <w:rFonts w:ascii="Calibri" w:hAnsi="Calibri" w:cs="Calibri"/>
                <w:color w:val="000000"/>
                <w:sz w:val="20"/>
              </w:rPr>
              <w:t>NZÚ č. BD1</w:t>
            </w:r>
          </w:p>
        </w:tc>
        <w:tc>
          <w:tcPr>
            <w:tcW w:w="2551" w:type="dxa"/>
            <w:shd w:val="clear" w:color="auto" w:fill="auto"/>
            <w:noWrap/>
            <w:vAlign w:val="center"/>
            <w:hideMark/>
          </w:tcPr>
          <w:p w14:paraId="16DC6476"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500 000 000</w:t>
            </w:r>
          </w:p>
        </w:tc>
        <w:tc>
          <w:tcPr>
            <w:tcW w:w="2410" w:type="dxa"/>
            <w:shd w:val="clear" w:color="auto" w:fill="auto"/>
            <w:noWrap/>
            <w:vAlign w:val="center"/>
            <w:hideMark/>
          </w:tcPr>
          <w:p w14:paraId="2006AFC0"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290</w:t>
            </w:r>
          </w:p>
        </w:tc>
        <w:tc>
          <w:tcPr>
            <w:tcW w:w="2693" w:type="dxa"/>
            <w:shd w:val="clear" w:color="auto" w:fill="auto"/>
            <w:noWrap/>
            <w:vAlign w:val="center"/>
            <w:hideMark/>
          </w:tcPr>
          <w:p w14:paraId="3B912B06"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20 675 932</w:t>
            </w:r>
          </w:p>
        </w:tc>
      </w:tr>
      <w:tr w:rsidR="00A91587" w:rsidRPr="00A91587" w14:paraId="71A54348" w14:textId="77777777" w:rsidTr="00567229">
        <w:trPr>
          <w:trHeight w:val="300"/>
        </w:trPr>
        <w:tc>
          <w:tcPr>
            <w:tcW w:w="1413" w:type="dxa"/>
            <w:shd w:val="clear" w:color="auto" w:fill="auto"/>
            <w:noWrap/>
            <w:vAlign w:val="center"/>
            <w:hideMark/>
          </w:tcPr>
          <w:p w14:paraId="7D0FF979" w14:textId="77777777" w:rsidR="00A91587" w:rsidRPr="00DD7A67" w:rsidRDefault="00A91587" w:rsidP="00A91587">
            <w:pPr>
              <w:jc w:val="left"/>
              <w:rPr>
                <w:rFonts w:ascii="Calibri" w:hAnsi="Calibri" w:cs="Calibri"/>
                <w:color w:val="000000"/>
                <w:sz w:val="20"/>
              </w:rPr>
            </w:pPr>
            <w:r w:rsidRPr="00DD7A67">
              <w:rPr>
                <w:rFonts w:ascii="Calibri" w:hAnsi="Calibri" w:cs="Calibri"/>
                <w:color w:val="000000"/>
                <w:sz w:val="20"/>
              </w:rPr>
              <w:t>NZÚ č. BD2</w:t>
            </w:r>
          </w:p>
        </w:tc>
        <w:tc>
          <w:tcPr>
            <w:tcW w:w="2551" w:type="dxa"/>
            <w:shd w:val="clear" w:color="auto" w:fill="auto"/>
            <w:noWrap/>
            <w:vAlign w:val="center"/>
            <w:hideMark/>
          </w:tcPr>
          <w:p w14:paraId="68E28C11"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1 000 000 000</w:t>
            </w:r>
          </w:p>
        </w:tc>
        <w:tc>
          <w:tcPr>
            <w:tcW w:w="2410" w:type="dxa"/>
            <w:shd w:val="clear" w:color="auto" w:fill="auto"/>
            <w:noWrap/>
            <w:vAlign w:val="center"/>
            <w:hideMark/>
          </w:tcPr>
          <w:p w14:paraId="562464C8"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894</w:t>
            </w:r>
          </w:p>
        </w:tc>
        <w:tc>
          <w:tcPr>
            <w:tcW w:w="2693" w:type="dxa"/>
            <w:shd w:val="clear" w:color="auto" w:fill="auto"/>
            <w:noWrap/>
            <w:vAlign w:val="center"/>
            <w:hideMark/>
          </w:tcPr>
          <w:p w14:paraId="4D3B291E" w14:textId="77777777" w:rsidR="00A91587" w:rsidRPr="00DD7A67" w:rsidRDefault="00A91587" w:rsidP="00A91587">
            <w:pPr>
              <w:jc w:val="right"/>
              <w:rPr>
                <w:rFonts w:ascii="Calibri" w:hAnsi="Calibri" w:cs="Calibri"/>
                <w:color w:val="000000"/>
                <w:sz w:val="20"/>
              </w:rPr>
            </w:pPr>
            <w:r w:rsidRPr="00DD7A67">
              <w:rPr>
                <w:rFonts w:ascii="Calibri" w:hAnsi="Calibri" w:cs="Calibri"/>
                <w:color w:val="000000"/>
                <w:sz w:val="20"/>
              </w:rPr>
              <w:t>420 103 742</w:t>
            </w:r>
          </w:p>
        </w:tc>
      </w:tr>
      <w:tr w:rsidR="00A91587" w:rsidRPr="00A91587" w14:paraId="3BF8A9F2" w14:textId="77777777" w:rsidTr="00567229">
        <w:trPr>
          <w:trHeight w:val="372"/>
        </w:trPr>
        <w:tc>
          <w:tcPr>
            <w:tcW w:w="1413" w:type="dxa"/>
            <w:shd w:val="clear" w:color="000000" w:fill="F2C6C9"/>
            <w:noWrap/>
            <w:vAlign w:val="center"/>
            <w:hideMark/>
          </w:tcPr>
          <w:p w14:paraId="6C1303C2" w14:textId="77777777" w:rsidR="00A91587" w:rsidRPr="00DD7A67" w:rsidRDefault="00A91587" w:rsidP="00A91587">
            <w:pPr>
              <w:jc w:val="left"/>
              <w:rPr>
                <w:rFonts w:ascii="Calibri" w:hAnsi="Calibri" w:cs="Calibri"/>
                <w:b/>
                <w:bCs/>
                <w:color w:val="000000"/>
                <w:sz w:val="20"/>
              </w:rPr>
            </w:pPr>
            <w:r w:rsidRPr="00DD7A67">
              <w:rPr>
                <w:rFonts w:ascii="Calibri" w:hAnsi="Calibri" w:cs="Calibri"/>
                <w:b/>
                <w:bCs/>
                <w:color w:val="000000"/>
                <w:sz w:val="20"/>
              </w:rPr>
              <w:t>Celkem</w:t>
            </w:r>
          </w:p>
        </w:tc>
        <w:tc>
          <w:tcPr>
            <w:tcW w:w="2551" w:type="dxa"/>
            <w:shd w:val="clear" w:color="000000" w:fill="F2C6C9"/>
            <w:noWrap/>
            <w:vAlign w:val="center"/>
            <w:hideMark/>
          </w:tcPr>
          <w:p w14:paraId="30842B2E" w14:textId="77777777" w:rsidR="00A91587" w:rsidRPr="00DD7A67" w:rsidRDefault="00A91587" w:rsidP="00A91587">
            <w:pPr>
              <w:jc w:val="right"/>
              <w:rPr>
                <w:rFonts w:ascii="Calibri" w:hAnsi="Calibri" w:cs="Calibri"/>
                <w:b/>
                <w:bCs/>
                <w:color w:val="000000"/>
                <w:sz w:val="20"/>
              </w:rPr>
            </w:pPr>
            <w:r w:rsidRPr="00DD7A67">
              <w:rPr>
                <w:rFonts w:ascii="Calibri" w:hAnsi="Calibri" w:cs="Calibri"/>
                <w:b/>
                <w:bCs/>
                <w:color w:val="000000"/>
                <w:sz w:val="20"/>
              </w:rPr>
              <w:t>12 850 000 000</w:t>
            </w:r>
          </w:p>
        </w:tc>
        <w:tc>
          <w:tcPr>
            <w:tcW w:w="2410" w:type="dxa"/>
            <w:shd w:val="clear" w:color="000000" w:fill="F2C6C9"/>
            <w:noWrap/>
            <w:vAlign w:val="center"/>
            <w:hideMark/>
          </w:tcPr>
          <w:p w14:paraId="5979475F" w14:textId="77777777" w:rsidR="00A91587" w:rsidRPr="00DD7A67" w:rsidRDefault="00A91587" w:rsidP="00A91587">
            <w:pPr>
              <w:jc w:val="right"/>
              <w:rPr>
                <w:rFonts w:ascii="Calibri" w:hAnsi="Calibri" w:cs="Calibri"/>
                <w:b/>
                <w:bCs/>
                <w:color w:val="000000"/>
                <w:sz w:val="20"/>
              </w:rPr>
            </w:pPr>
            <w:r w:rsidRPr="00DD7A67">
              <w:rPr>
                <w:rFonts w:ascii="Calibri" w:hAnsi="Calibri" w:cs="Calibri"/>
                <w:b/>
                <w:bCs/>
                <w:color w:val="000000"/>
                <w:sz w:val="20"/>
              </w:rPr>
              <w:t>5 418</w:t>
            </w:r>
          </w:p>
        </w:tc>
        <w:tc>
          <w:tcPr>
            <w:tcW w:w="2693" w:type="dxa"/>
            <w:shd w:val="clear" w:color="000000" w:fill="F2C6C9"/>
            <w:noWrap/>
            <w:vAlign w:val="center"/>
            <w:hideMark/>
          </w:tcPr>
          <w:p w14:paraId="1CB3E22D" w14:textId="77777777" w:rsidR="00A91587" w:rsidRPr="00DD7A67" w:rsidRDefault="00A91587" w:rsidP="00A91587">
            <w:pPr>
              <w:jc w:val="right"/>
              <w:rPr>
                <w:rFonts w:ascii="Calibri" w:hAnsi="Calibri" w:cs="Calibri"/>
                <w:b/>
                <w:bCs/>
                <w:color w:val="000000"/>
                <w:sz w:val="20"/>
              </w:rPr>
            </w:pPr>
            <w:r w:rsidRPr="00DD7A67">
              <w:rPr>
                <w:rFonts w:ascii="Calibri" w:hAnsi="Calibri" w:cs="Calibri"/>
                <w:b/>
                <w:bCs/>
                <w:color w:val="000000"/>
                <w:sz w:val="20"/>
              </w:rPr>
              <w:t>3 933 451 292</w:t>
            </w:r>
          </w:p>
        </w:tc>
      </w:tr>
    </w:tbl>
    <w:p w14:paraId="6BB35CD0" w14:textId="53C053EC" w:rsidR="00773953" w:rsidRPr="003A4574" w:rsidRDefault="003A4574" w:rsidP="00466DF4">
      <w:pPr>
        <w:spacing w:after="120"/>
        <w:rPr>
          <w:i/>
          <w:sz w:val="20"/>
        </w:rPr>
      </w:pPr>
      <w:r w:rsidRPr="000A2E11">
        <w:rPr>
          <w:b/>
          <w:i/>
          <w:sz w:val="20"/>
        </w:rPr>
        <w:t>Zdroj:</w:t>
      </w:r>
      <w:r>
        <w:rPr>
          <w:i/>
          <w:sz w:val="20"/>
        </w:rPr>
        <w:t xml:space="preserve"> </w:t>
      </w:r>
      <w:r w:rsidR="006679A3">
        <w:rPr>
          <w:i/>
          <w:sz w:val="20"/>
        </w:rPr>
        <w:t>MS2014+, IS NZÚ 2015+</w:t>
      </w:r>
      <w:r w:rsidR="0066118D">
        <w:rPr>
          <w:i/>
          <w:sz w:val="20"/>
        </w:rPr>
        <w:t>.</w:t>
      </w:r>
    </w:p>
    <w:p w14:paraId="72E7126A" w14:textId="6AAF0D1F" w:rsidR="00FA1C79" w:rsidRDefault="00C14997" w:rsidP="007809A0">
      <w:pPr>
        <w:spacing w:after="120"/>
      </w:pPr>
      <w:r>
        <w:t xml:space="preserve">Účelnost </w:t>
      </w:r>
      <w:r w:rsidR="00FA1C79">
        <w:t xml:space="preserve">při </w:t>
      </w:r>
      <w:r>
        <w:t>poskytov</w:t>
      </w:r>
      <w:r w:rsidR="00FA1C79">
        <w:t xml:space="preserve">ání </w:t>
      </w:r>
      <w:r>
        <w:t>a čerp</w:t>
      </w:r>
      <w:r w:rsidR="00FA1C79">
        <w:t xml:space="preserve">ání </w:t>
      </w:r>
      <w:r w:rsidR="00857D79">
        <w:t>peněžních prostředků</w:t>
      </w:r>
      <w:r>
        <w:t xml:space="preserve"> </w:t>
      </w:r>
      <w:r w:rsidR="00BC5546">
        <w:t xml:space="preserve">z IROP i programu NZÚ </w:t>
      </w:r>
      <w:r w:rsidR="00FA1C79">
        <w:t xml:space="preserve">prověřil NKÚ </w:t>
      </w:r>
      <w:r w:rsidR="00415FC2">
        <w:t xml:space="preserve">kontrolou </w:t>
      </w:r>
      <w:r w:rsidR="004874B8">
        <w:t>zaměřenou na to</w:t>
      </w:r>
      <w:r w:rsidR="00415FC2">
        <w:t xml:space="preserve">, </w:t>
      </w:r>
      <w:r w:rsidR="00FA1C79">
        <w:t xml:space="preserve">zda </w:t>
      </w:r>
      <w:r w:rsidR="007F1160">
        <w:t>byly v rámci příslušných výzev vybrány takové projekty, jež mají předpoklad naplnit stanovené cíle a přispět tak k plánovaným úsporám energie, a zda podpořené projekty skutečně přispěly k naplnění cílů v</w:t>
      </w:r>
      <w:r w:rsidR="004874B8">
        <w:t xml:space="preserve"> oblasti </w:t>
      </w:r>
      <w:r w:rsidR="007F1160">
        <w:t xml:space="preserve">energetických úspor. </w:t>
      </w:r>
      <w:r w:rsidR="00E5144A">
        <w:t>U</w:t>
      </w:r>
      <w:r w:rsidR="00952D0C">
        <w:t> </w:t>
      </w:r>
      <w:r w:rsidR="00E5144A">
        <w:t>příjemců bylo prověřeno dodržení cílů a parametrů projekt</w:t>
      </w:r>
      <w:r w:rsidR="007F1160">
        <w:t>ů</w:t>
      </w:r>
      <w:r w:rsidR="00E5144A">
        <w:t xml:space="preserve">. NKÚ dále prověřil, zda </w:t>
      </w:r>
      <w:r w:rsidR="00FA1C79">
        <w:t>byli žadatelé o</w:t>
      </w:r>
      <w:r w:rsidR="004874B8">
        <w:t xml:space="preserve"> </w:t>
      </w:r>
      <w:r w:rsidR="00FA1C79">
        <w:t>podporu transparentním a srozumitelným způsobem informováni o podmínkách poskytované podpory</w:t>
      </w:r>
      <w:r w:rsidR="004874B8">
        <w:t>,</w:t>
      </w:r>
      <w:r w:rsidR="007F1160">
        <w:t xml:space="preserve"> a </w:t>
      </w:r>
      <w:r w:rsidR="00245D57">
        <w:t xml:space="preserve">rovněž </w:t>
      </w:r>
      <w:r w:rsidR="004971C8">
        <w:t xml:space="preserve">prověřil </w:t>
      </w:r>
      <w:r w:rsidR="00BC5546">
        <w:t>opatření</w:t>
      </w:r>
      <w:r w:rsidR="004874B8">
        <w:t>, která</w:t>
      </w:r>
      <w:r w:rsidR="00BC5546">
        <w:t xml:space="preserve"> </w:t>
      </w:r>
      <w:r w:rsidR="004874B8">
        <w:t xml:space="preserve">poskytovatelé dotací přijali </w:t>
      </w:r>
      <w:r w:rsidR="00BC5546">
        <w:t>ke zvýšení absorpční kapacity vybraných výzev.</w:t>
      </w:r>
      <w:r w:rsidR="005D7C02">
        <w:t xml:space="preserve"> </w:t>
      </w:r>
    </w:p>
    <w:p w14:paraId="23AA7E64" w14:textId="0E28E12C" w:rsidR="007F1160" w:rsidRDefault="00C14997" w:rsidP="007809A0">
      <w:pPr>
        <w:spacing w:after="120"/>
      </w:pPr>
      <w:r>
        <w:t>Efektivnost poskytovan</w:t>
      </w:r>
      <w:r w:rsidR="00857D79">
        <w:t xml:space="preserve">ých </w:t>
      </w:r>
      <w:r>
        <w:t>a čerpan</w:t>
      </w:r>
      <w:r w:rsidR="00857D79">
        <w:t>ých</w:t>
      </w:r>
      <w:r>
        <w:t xml:space="preserve"> p</w:t>
      </w:r>
      <w:r w:rsidR="00857D79">
        <w:t>eněžních prostředků</w:t>
      </w:r>
      <w:r>
        <w:t xml:space="preserve"> byla prov</w:t>
      </w:r>
      <w:r w:rsidR="00FA1C79">
        <w:t>ěřena</w:t>
      </w:r>
      <w:r w:rsidR="00415FC2">
        <w:t xml:space="preserve"> zejména</w:t>
      </w:r>
      <w:r w:rsidR="00FA1C79">
        <w:t xml:space="preserve"> v oblasti </w:t>
      </w:r>
      <w:r w:rsidR="00415FC2">
        <w:t xml:space="preserve">prováděného </w:t>
      </w:r>
      <w:r w:rsidR="00FA1C79">
        <w:t xml:space="preserve">monitoringu </w:t>
      </w:r>
      <w:r w:rsidR="00415FC2">
        <w:t>a vyhodnocování dopadů poskytnut</w:t>
      </w:r>
      <w:r w:rsidR="004931E1">
        <w:t>ých</w:t>
      </w:r>
      <w:r w:rsidR="00415FC2">
        <w:t xml:space="preserve"> </w:t>
      </w:r>
      <w:r w:rsidR="004931E1">
        <w:t>peněžních prostředků</w:t>
      </w:r>
      <w:r w:rsidR="00A94BA8">
        <w:t xml:space="preserve"> na úrovni poskytovatelů i </w:t>
      </w:r>
      <w:r w:rsidR="00607A05">
        <w:t>příjemců</w:t>
      </w:r>
      <w:r w:rsidR="00415FC2">
        <w:t xml:space="preserve">. NKÚ ověřil, zda byly u IROP a programu NZÚ </w:t>
      </w:r>
      <w:r w:rsidR="00FA1C79">
        <w:t>naplněn</w:t>
      </w:r>
      <w:r w:rsidR="00415FC2">
        <w:t>y</w:t>
      </w:r>
      <w:r w:rsidR="00FA1C79">
        <w:t xml:space="preserve"> predikc</w:t>
      </w:r>
      <w:r w:rsidR="00415FC2">
        <w:t xml:space="preserve">e </w:t>
      </w:r>
      <w:r w:rsidR="00064E91">
        <w:t xml:space="preserve">dosažených nových úspor energie dle </w:t>
      </w:r>
      <w:r w:rsidR="00415FC2">
        <w:t>NAPEE</w:t>
      </w:r>
      <w:r w:rsidR="00270D08">
        <w:t xml:space="preserve"> a zda byla zachována přiměřená výše skutečné měrné dotace na 1 GJ dosažených energetických úspor u každého z prově</w:t>
      </w:r>
      <w:r w:rsidR="003C6F1F">
        <w:t>ř</w:t>
      </w:r>
      <w:r w:rsidR="00270D08">
        <w:t>ovaných programů.</w:t>
      </w:r>
      <w:r w:rsidR="00DD7A67" w:rsidDel="00DD7A67">
        <w:t xml:space="preserve"> </w:t>
      </w:r>
    </w:p>
    <w:p w14:paraId="1C8A2643" w14:textId="60B548BA" w:rsidR="00220C85" w:rsidRPr="00220C85" w:rsidRDefault="00220C85" w:rsidP="00220C85">
      <w:pPr>
        <w:spacing w:after="120"/>
        <w:rPr>
          <w:rFonts w:cstheme="minorHAnsi"/>
          <w:szCs w:val="24"/>
          <w:lang w:eastAsia="en-US"/>
        </w:rPr>
      </w:pPr>
      <w:r>
        <w:rPr>
          <w:rFonts w:cstheme="minorHAnsi"/>
          <w:szCs w:val="24"/>
          <w:lang w:eastAsia="en-US"/>
        </w:rPr>
        <w:t xml:space="preserve">U všech kontrolovaných osob byl v souvislosti s činnostmi, které </w:t>
      </w:r>
      <w:r w:rsidR="00FA1C79">
        <w:rPr>
          <w:rFonts w:cstheme="minorHAnsi"/>
          <w:szCs w:val="24"/>
          <w:lang w:eastAsia="en-US"/>
        </w:rPr>
        <w:t xml:space="preserve">při administraci nebo realizaci projektů </w:t>
      </w:r>
      <w:r>
        <w:rPr>
          <w:rFonts w:cstheme="minorHAnsi"/>
          <w:szCs w:val="24"/>
          <w:lang w:eastAsia="en-US"/>
        </w:rPr>
        <w:t xml:space="preserve">vykonávají, prověřen </w:t>
      </w:r>
      <w:r w:rsidR="00FA1C79">
        <w:rPr>
          <w:rFonts w:cstheme="minorHAnsi"/>
          <w:szCs w:val="24"/>
          <w:lang w:eastAsia="en-US"/>
        </w:rPr>
        <w:t xml:space="preserve">jejich </w:t>
      </w:r>
      <w:r>
        <w:rPr>
          <w:rFonts w:cstheme="minorHAnsi"/>
          <w:szCs w:val="24"/>
          <w:lang w:eastAsia="en-US"/>
        </w:rPr>
        <w:t>soulad s právními předpisy</w:t>
      </w:r>
      <w:r w:rsidR="00A94BA8">
        <w:rPr>
          <w:rFonts w:cstheme="minorHAnsi"/>
          <w:szCs w:val="24"/>
          <w:lang w:eastAsia="en-US"/>
        </w:rPr>
        <w:t>, s ustanoveními dohod o </w:t>
      </w:r>
      <w:r w:rsidR="003A4574">
        <w:rPr>
          <w:rFonts w:cstheme="minorHAnsi"/>
          <w:szCs w:val="24"/>
          <w:lang w:eastAsia="en-US"/>
        </w:rPr>
        <w:t xml:space="preserve">delegování </w:t>
      </w:r>
      <w:r w:rsidR="001376AF">
        <w:rPr>
          <w:rFonts w:cstheme="minorHAnsi"/>
          <w:szCs w:val="24"/>
          <w:lang w:eastAsia="en-US"/>
        </w:rPr>
        <w:t xml:space="preserve">vybraných </w:t>
      </w:r>
      <w:r w:rsidR="003A4574">
        <w:rPr>
          <w:rFonts w:cstheme="minorHAnsi"/>
          <w:szCs w:val="24"/>
          <w:lang w:eastAsia="en-US"/>
        </w:rPr>
        <w:t xml:space="preserve">činností </w:t>
      </w:r>
      <w:r>
        <w:rPr>
          <w:rFonts w:cstheme="minorHAnsi"/>
          <w:szCs w:val="24"/>
          <w:lang w:eastAsia="en-US"/>
        </w:rPr>
        <w:t xml:space="preserve">a </w:t>
      </w:r>
      <w:r w:rsidR="003A4574">
        <w:rPr>
          <w:rFonts w:cstheme="minorHAnsi"/>
          <w:szCs w:val="24"/>
          <w:lang w:eastAsia="en-US"/>
        </w:rPr>
        <w:t xml:space="preserve">rovněž s </w:t>
      </w:r>
      <w:r>
        <w:rPr>
          <w:rFonts w:cstheme="minorHAnsi"/>
          <w:szCs w:val="24"/>
          <w:lang w:eastAsia="en-US"/>
        </w:rPr>
        <w:t>pravidly příslušného programu.</w:t>
      </w:r>
    </w:p>
    <w:p w14:paraId="4ECEE5FE" w14:textId="36600077" w:rsidR="00220C85" w:rsidRDefault="00220C85" w:rsidP="00220C85">
      <w:pPr>
        <w:spacing w:after="120"/>
        <w:rPr>
          <w:rFonts w:cstheme="minorHAnsi"/>
          <w:szCs w:val="24"/>
        </w:rPr>
      </w:pPr>
      <w:r w:rsidRPr="00220C85">
        <w:rPr>
          <w:rFonts w:cstheme="minorHAnsi"/>
          <w:szCs w:val="24"/>
        </w:rPr>
        <w:t>Kontrolováno bylo období od roku 2015 do roku 20</w:t>
      </w:r>
      <w:r>
        <w:rPr>
          <w:rFonts w:cstheme="minorHAnsi"/>
          <w:szCs w:val="24"/>
        </w:rPr>
        <w:t>2</w:t>
      </w:r>
      <w:r w:rsidR="008923CD">
        <w:rPr>
          <w:rFonts w:cstheme="minorHAnsi"/>
          <w:szCs w:val="24"/>
        </w:rPr>
        <w:t>1</w:t>
      </w:r>
      <w:r w:rsidRPr="00220C85">
        <w:rPr>
          <w:rFonts w:cstheme="minorHAnsi"/>
          <w:szCs w:val="24"/>
        </w:rPr>
        <w:t>, v případě věcných souvislostí i období předch</w:t>
      </w:r>
      <w:r w:rsidR="004874B8">
        <w:rPr>
          <w:rFonts w:cstheme="minorHAnsi"/>
          <w:szCs w:val="24"/>
        </w:rPr>
        <w:t>ozí</w:t>
      </w:r>
      <w:r w:rsidRPr="00220C85">
        <w:rPr>
          <w:rFonts w:cstheme="minorHAnsi"/>
          <w:szCs w:val="24"/>
        </w:rPr>
        <w:t xml:space="preserve">. </w:t>
      </w:r>
    </w:p>
    <w:p w14:paraId="725A193D" w14:textId="77777777" w:rsidR="00220C85" w:rsidRPr="00220C85" w:rsidRDefault="00220C85" w:rsidP="0008521E">
      <w:pPr>
        <w:keepNext/>
        <w:rPr>
          <w:rFonts w:cstheme="minorHAnsi"/>
          <w:szCs w:val="24"/>
        </w:rPr>
      </w:pPr>
      <w:r w:rsidRPr="00220C85">
        <w:rPr>
          <w:rFonts w:cstheme="minorHAnsi"/>
          <w:szCs w:val="24"/>
        </w:rPr>
        <w:lastRenderedPageBreak/>
        <w:t>Nejvyšší kontrolní úřad prověřil:</w:t>
      </w:r>
    </w:p>
    <w:p w14:paraId="05871C72" w14:textId="67F7BF75" w:rsidR="00220C85" w:rsidRPr="00783A44" w:rsidRDefault="00C7016D" w:rsidP="00783A44">
      <w:pPr>
        <w:pStyle w:val="Odstavecseseznamem"/>
        <w:numPr>
          <w:ilvl w:val="1"/>
          <w:numId w:val="39"/>
        </w:numPr>
        <w:ind w:left="851" w:hanging="426"/>
      </w:pPr>
      <w:r>
        <w:t>p</w:t>
      </w:r>
      <w:r w:rsidR="00220C85" w:rsidRPr="00783A44">
        <w:t xml:space="preserve">lnění povinností MMR </w:t>
      </w:r>
      <w:r w:rsidR="00D64728" w:rsidRPr="00783A44">
        <w:t xml:space="preserve">v roli </w:t>
      </w:r>
      <w:r w:rsidR="00220C85" w:rsidRPr="00783A44">
        <w:t>řídicího orgánu IROP a</w:t>
      </w:r>
      <w:r w:rsidR="009B4E01">
        <w:t xml:space="preserve"> </w:t>
      </w:r>
      <w:r w:rsidR="00220C85" w:rsidRPr="00783A44">
        <w:t xml:space="preserve">povinností MŽP </w:t>
      </w:r>
      <w:r w:rsidR="00D64728" w:rsidRPr="00783A44">
        <w:t xml:space="preserve">jako </w:t>
      </w:r>
      <w:r w:rsidR="00220C85" w:rsidRPr="00783A44">
        <w:t xml:space="preserve">správce programu NZÚ </w:t>
      </w:r>
      <w:r w:rsidRPr="00783A44">
        <w:t>–</w:t>
      </w:r>
      <w:r>
        <w:t xml:space="preserve"> </w:t>
      </w:r>
      <w:r w:rsidR="00220C85" w:rsidRPr="00783A44">
        <w:t xml:space="preserve">zejména v oblasti </w:t>
      </w:r>
      <w:r w:rsidR="003924F1" w:rsidRPr="00783A44">
        <w:t xml:space="preserve">plánování a vyhlašování výzev, </w:t>
      </w:r>
      <w:r w:rsidR="00A94BA8">
        <w:t>monitoringu a </w:t>
      </w:r>
      <w:r w:rsidR="003924F1" w:rsidRPr="00783A44">
        <w:t>vyhodnoc</w:t>
      </w:r>
      <w:r w:rsidR="00B95755" w:rsidRPr="00783A44">
        <w:t>ování podpory</w:t>
      </w:r>
      <w:r w:rsidR="003A4574">
        <w:t xml:space="preserve"> </w:t>
      </w:r>
      <w:r w:rsidR="00E91E09" w:rsidRPr="00783A44">
        <w:t xml:space="preserve">a rovněž v oblasti </w:t>
      </w:r>
      <w:r w:rsidR="003A4574">
        <w:t xml:space="preserve">výkonu </w:t>
      </w:r>
      <w:r w:rsidR="00E91E09" w:rsidRPr="00783A44">
        <w:t>kontrolní činnosti</w:t>
      </w:r>
      <w:r>
        <w:t>;</w:t>
      </w:r>
    </w:p>
    <w:p w14:paraId="0E791FC1" w14:textId="02880F06" w:rsidR="00220C85" w:rsidRPr="00783A44" w:rsidRDefault="00C7016D" w:rsidP="00783A44">
      <w:pPr>
        <w:pStyle w:val="Odstavecseseznamem"/>
        <w:numPr>
          <w:ilvl w:val="1"/>
          <w:numId w:val="39"/>
        </w:numPr>
        <w:ind w:left="851" w:hanging="426"/>
      </w:pPr>
      <w:r>
        <w:t>p</w:t>
      </w:r>
      <w:r w:rsidR="00220C85" w:rsidRPr="00783A44">
        <w:t>lnění povinností stanovených smlouv</w:t>
      </w:r>
      <w:r w:rsidR="003A4574">
        <w:t xml:space="preserve">ou nebo </w:t>
      </w:r>
      <w:r w:rsidR="003A4574" w:rsidRPr="00783A44">
        <w:t>dohod</w:t>
      </w:r>
      <w:r w:rsidR="003A4574">
        <w:t>ou o</w:t>
      </w:r>
      <w:r w:rsidR="00220C85" w:rsidRPr="00783A44">
        <w:t xml:space="preserve"> delegování některých činností na </w:t>
      </w:r>
      <w:r w:rsidR="003A4574">
        <w:t xml:space="preserve">zprostředkující subjekt (CRR), respektive na </w:t>
      </w:r>
      <w:r w:rsidR="00220C85" w:rsidRPr="00783A44">
        <w:t>subjekt pověřený administrací příslušného programu (SFŽP</w:t>
      </w:r>
      <w:r w:rsidR="003A4574">
        <w:t xml:space="preserve">) </w:t>
      </w:r>
      <w:r w:rsidR="00220C85" w:rsidRPr="00783A44">
        <w:t xml:space="preserve">– zejména v oblasti hodnocení žádostí/projektů, </w:t>
      </w:r>
      <w:r w:rsidR="00130DB3" w:rsidRPr="00783A44">
        <w:t>kontroly věcné i finanční stránky realizace projektů a v oblasti monitorování</w:t>
      </w:r>
      <w:r>
        <w:t>;</w:t>
      </w:r>
      <w:r w:rsidR="00354E25">
        <w:t xml:space="preserve"> </w:t>
      </w:r>
    </w:p>
    <w:p w14:paraId="2B5AE874" w14:textId="14969C00" w:rsidR="00220C85" w:rsidRPr="00783A44" w:rsidRDefault="00C7016D" w:rsidP="00783A44">
      <w:pPr>
        <w:pStyle w:val="Odstavecseseznamem"/>
        <w:numPr>
          <w:ilvl w:val="1"/>
          <w:numId w:val="39"/>
        </w:numPr>
        <w:spacing w:after="120"/>
        <w:ind w:left="851" w:hanging="426"/>
      </w:pPr>
      <w:r>
        <w:t>č</w:t>
      </w:r>
      <w:r w:rsidR="00220C85" w:rsidRPr="00783A44">
        <w:t>trnáct projektů</w:t>
      </w:r>
      <w:r w:rsidR="00793895">
        <w:rPr>
          <w:rStyle w:val="Znakapoznpodarou"/>
        </w:rPr>
        <w:footnoteReference w:id="32"/>
      </w:r>
      <w:r w:rsidR="00220C85" w:rsidRPr="00783A44">
        <w:t xml:space="preserve">, na jejichž realizaci </w:t>
      </w:r>
      <w:r w:rsidR="004413FC">
        <w:t>MMR a MŽP</w:t>
      </w:r>
      <w:r w:rsidR="00220C85" w:rsidRPr="00783A44">
        <w:t xml:space="preserve"> poskytly celkem </w:t>
      </w:r>
      <w:r w:rsidR="00354E25">
        <w:t xml:space="preserve">46,38 mil. Kč. </w:t>
      </w:r>
      <w:r w:rsidR="00220C85" w:rsidRPr="00783A44">
        <w:t>Jednalo se o</w:t>
      </w:r>
      <w:r w:rsidR="009B4E01">
        <w:t xml:space="preserve"> </w:t>
      </w:r>
      <w:r w:rsidR="00130DB3" w:rsidRPr="00783A44">
        <w:t xml:space="preserve">šest projektů z IROP a o osm projektů </w:t>
      </w:r>
      <w:r w:rsidR="00220C85" w:rsidRPr="00783A44">
        <w:t xml:space="preserve">podpořených </w:t>
      </w:r>
      <w:r w:rsidR="00C62B44">
        <w:t xml:space="preserve">z </w:t>
      </w:r>
      <w:r w:rsidR="00130DB3" w:rsidRPr="00783A44">
        <w:t>programu NZÚ</w:t>
      </w:r>
      <w:r w:rsidR="00220C85" w:rsidRPr="00783A44">
        <w:t>. Kontrolu uvedených projektů provedl NKÚ u 1</w:t>
      </w:r>
      <w:r w:rsidR="00130DB3" w:rsidRPr="00783A44">
        <w:t>4</w:t>
      </w:r>
      <w:r w:rsidR="00220C85" w:rsidRPr="00783A44">
        <w:t xml:space="preserve"> příjemců. </w:t>
      </w:r>
    </w:p>
    <w:p w14:paraId="7CFC1732" w14:textId="7E24470E" w:rsidR="00EA25A3" w:rsidRDefault="00130DB3" w:rsidP="00EA25A3">
      <w:pPr>
        <w:spacing w:after="120"/>
      </w:pPr>
      <w:r>
        <w:t>Kontrolovaný objem peněžních prostředků na úrovni systému</w:t>
      </w:r>
      <w:r w:rsidR="003F4FE0">
        <w:rPr>
          <w:rStyle w:val="Znakapoznpodarou"/>
        </w:rPr>
        <w:footnoteReference w:id="33"/>
      </w:r>
      <w:r>
        <w:t xml:space="preserve"> </w:t>
      </w:r>
      <w:r w:rsidR="003F4FE0">
        <w:t xml:space="preserve">poskytování podpory z </w:t>
      </w:r>
      <w:r w:rsidR="00783A44">
        <w:t xml:space="preserve">IROP </w:t>
      </w:r>
      <w:r>
        <w:t xml:space="preserve">činil </w:t>
      </w:r>
      <w:r w:rsidR="00EA25A3">
        <w:t>6 541,3 mil. Kč</w:t>
      </w:r>
      <w:r w:rsidR="00064E91">
        <w:rPr>
          <w:rStyle w:val="Znakapoznpodarou"/>
        </w:rPr>
        <w:footnoteReference w:id="34"/>
      </w:r>
      <w:r w:rsidR="00A94BA8">
        <w:t xml:space="preserve"> a </w:t>
      </w:r>
      <w:r w:rsidR="003F4FE0">
        <w:t xml:space="preserve">z </w:t>
      </w:r>
      <w:r w:rsidR="00783A44">
        <w:t xml:space="preserve">programu NZÚ činil </w:t>
      </w:r>
      <w:r w:rsidR="00EA25A3" w:rsidRPr="00EA25A3">
        <w:t>3 213,4 mil. Kč</w:t>
      </w:r>
      <w:r w:rsidR="00783A44">
        <w:t xml:space="preserve">. </w:t>
      </w:r>
    </w:p>
    <w:p w14:paraId="452552C2" w14:textId="094DB946" w:rsidR="00B4434F" w:rsidRDefault="00C82EC3" w:rsidP="00EA25A3">
      <w:pPr>
        <w:spacing w:after="120"/>
      </w:pPr>
      <w:r>
        <w:t>Peněžní prostředky poskytnuté z</w:t>
      </w:r>
      <w:r w:rsidR="00C7016D">
        <w:t xml:space="preserve"> </w:t>
      </w:r>
      <w:r>
        <w:t>IROP k</w:t>
      </w:r>
      <w:r w:rsidR="00C7016D">
        <w:t xml:space="preserve"> </w:t>
      </w:r>
      <w:r>
        <w:t>datu 31. 12. 2020 dosáhly 3,4 mld. Kč, peněžní prostředky poskytnuté ke stejnému datu z </w:t>
      </w:r>
      <w:r w:rsidR="00C7016D">
        <w:t xml:space="preserve">podprogramu </w:t>
      </w:r>
      <w:r w:rsidR="00C7016D">
        <w:rPr>
          <w:i/>
        </w:rPr>
        <w:t>Bytové domy</w:t>
      </w:r>
      <w:r w:rsidR="00C7016D">
        <w:t xml:space="preserve"> </w:t>
      </w:r>
      <w:r>
        <w:t xml:space="preserve">programu </w:t>
      </w:r>
      <w:r w:rsidRPr="0008521E">
        <w:rPr>
          <w:i/>
        </w:rPr>
        <w:t>Nová zelená úsporám</w:t>
      </w:r>
      <w:r>
        <w:t xml:space="preserve"> dosáhly 0,5 mld. Kč. Informace </w:t>
      </w:r>
      <w:r w:rsidR="00B67A7B">
        <w:t xml:space="preserve">o počtu všech </w:t>
      </w:r>
      <w:r w:rsidR="00635351">
        <w:t xml:space="preserve">proplacených </w:t>
      </w:r>
      <w:r>
        <w:t>projek</w:t>
      </w:r>
      <w:r w:rsidR="00C62B44">
        <w:t>t</w:t>
      </w:r>
      <w:r w:rsidR="00B67A7B">
        <w:t xml:space="preserve">ů </w:t>
      </w:r>
      <w:r w:rsidR="00635351">
        <w:t xml:space="preserve">zaměřených na bytové domy </w:t>
      </w:r>
      <w:r>
        <w:t>poskytuje tabulka</w:t>
      </w:r>
      <w:r w:rsidR="00635351">
        <w:t xml:space="preserve"> č. 2</w:t>
      </w:r>
      <w:r>
        <w:t>:</w:t>
      </w:r>
    </w:p>
    <w:p w14:paraId="446F1362" w14:textId="475494A3" w:rsidR="00635351" w:rsidRDefault="00635351" w:rsidP="0008521E">
      <w:pPr>
        <w:spacing w:after="120"/>
        <w:ind w:left="1304" w:hanging="1304"/>
      </w:pPr>
      <w:r>
        <w:t>Tabulka č. 2:</w:t>
      </w:r>
      <w:r>
        <w:tab/>
      </w:r>
      <w:r w:rsidR="00B67A7B">
        <w:t xml:space="preserve">Projekty </w:t>
      </w:r>
      <w:r>
        <w:t>proplacen</w:t>
      </w:r>
      <w:r w:rsidR="00B67A7B">
        <w:t xml:space="preserve">é z </w:t>
      </w:r>
      <w:r>
        <w:t>IROP a z programu NZÚ k datu 31. 12. 2020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4530"/>
        <w:gridCol w:w="4530"/>
      </w:tblGrid>
      <w:tr w:rsidR="00C82EC3" w:rsidRPr="00BF7058" w14:paraId="0A9D691B" w14:textId="77777777" w:rsidTr="00635351">
        <w:trPr>
          <w:trHeight w:val="397"/>
        </w:trPr>
        <w:tc>
          <w:tcPr>
            <w:tcW w:w="2500" w:type="pct"/>
            <w:shd w:val="clear" w:color="auto" w:fill="auto"/>
            <w:tcMar>
              <w:top w:w="0" w:type="dxa"/>
              <w:left w:w="108" w:type="dxa"/>
              <w:bottom w:w="0" w:type="dxa"/>
              <w:right w:w="108" w:type="dxa"/>
            </w:tcMar>
          </w:tcPr>
          <w:p w14:paraId="1F2043B1" w14:textId="77777777" w:rsidR="00C82EC3" w:rsidRPr="00984EF0" w:rsidRDefault="00C82EC3" w:rsidP="00605A0A">
            <w:pPr>
              <w:pStyle w:val="Pa18"/>
              <w:spacing w:line="240" w:lineRule="auto"/>
              <w:jc w:val="center"/>
              <w:rPr>
                <w:rFonts w:asciiTheme="minorHAnsi" w:hAnsiTheme="minorHAnsi" w:cstheme="minorHAnsi"/>
              </w:rPr>
            </w:pPr>
            <w:r w:rsidRPr="00984EF0">
              <w:rPr>
                <w:rStyle w:val="A14"/>
                <w:rFonts w:asciiTheme="minorHAnsi" w:eastAsia="MS Gothic" w:hAnsiTheme="minorHAnsi" w:cstheme="minorHAnsi"/>
                <w:color w:val="auto"/>
                <w:sz w:val="48"/>
                <w:szCs w:val="48"/>
              </w:rPr>
              <w:t xml:space="preserve">1 836 </w:t>
            </w:r>
          </w:p>
        </w:tc>
        <w:tc>
          <w:tcPr>
            <w:tcW w:w="2500" w:type="pct"/>
            <w:shd w:val="clear" w:color="auto" w:fill="auto"/>
            <w:tcMar>
              <w:top w:w="0" w:type="dxa"/>
              <w:left w:w="108" w:type="dxa"/>
              <w:bottom w:w="0" w:type="dxa"/>
              <w:right w:w="108" w:type="dxa"/>
            </w:tcMar>
          </w:tcPr>
          <w:p w14:paraId="33D19712" w14:textId="77777777" w:rsidR="00C82EC3" w:rsidRPr="00984EF0" w:rsidRDefault="00C82EC3" w:rsidP="00605A0A">
            <w:pPr>
              <w:pStyle w:val="Pa18"/>
              <w:spacing w:line="240" w:lineRule="auto"/>
              <w:jc w:val="center"/>
              <w:rPr>
                <w:rFonts w:asciiTheme="minorHAnsi" w:hAnsiTheme="minorHAnsi" w:cstheme="minorHAnsi"/>
              </w:rPr>
            </w:pPr>
            <w:r w:rsidRPr="00984EF0">
              <w:rPr>
                <w:rStyle w:val="A15"/>
                <w:rFonts w:asciiTheme="minorHAnsi" w:eastAsia="MS Gothic" w:hAnsiTheme="minorHAnsi" w:cstheme="minorHAnsi"/>
                <w:b/>
                <w:color w:val="auto"/>
                <w:sz w:val="48"/>
                <w:szCs w:val="48"/>
              </w:rPr>
              <w:t xml:space="preserve">542 </w:t>
            </w:r>
          </w:p>
        </w:tc>
      </w:tr>
      <w:tr w:rsidR="00C82EC3" w:rsidRPr="00FE5235" w14:paraId="2F1DE8A8" w14:textId="77777777" w:rsidTr="00635351">
        <w:trPr>
          <w:trHeight w:val="794"/>
        </w:trPr>
        <w:tc>
          <w:tcPr>
            <w:tcW w:w="2500" w:type="pct"/>
            <w:shd w:val="clear" w:color="auto" w:fill="auto"/>
            <w:tcMar>
              <w:top w:w="0" w:type="dxa"/>
              <w:left w:w="108" w:type="dxa"/>
              <w:bottom w:w="0" w:type="dxa"/>
              <w:right w:w="108" w:type="dxa"/>
            </w:tcMar>
            <w:vAlign w:val="center"/>
          </w:tcPr>
          <w:p w14:paraId="4F6FD885" w14:textId="0ACBFA46" w:rsidR="00C82EC3" w:rsidRPr="00984EF0" w:rsidRDefault="00C82EC3" w:rsidP="00C7016D">
            <w:pPr>
              <w:jc w:val="center"/>
              <w:rPr>
                <w:rFonts w:cstheme="minorHAnsi"/>
              </w:rPr>
            </w:pPr>
            <w:r w:rsidRPr="00984EF0">
              <w:rPr>
                <w:rFonts w:cstheme="minorHAnsi"/>
                <w:sz w:val="20"/>
              </w:rPr>
              <w:t xml:space="preserve">Počet projektů na snížení konečné spotřeby energie u bytových domů – proplaceno z IROP formou dotace </w:t>
            </w:r>
            <w:r w:rsidR="00C7016D">
              <w:rPr>
                <w:rFonts w:cstheme="minorHAnsi"/>
                <w:sz w:val="20"/>
              </w:rPr>
              <w:t>nebo</w:t>
            </w:r>
            <w:r w:rsidRPr="00984EF0">
              <w:rPr>
                <w:rFonts w:cstheme="minorHAnsi"/>
                <w:sz w:val="20"/>
              </w:rPr>
              <w:t xml:space="preserve"> zvýhodněných úvěrů</w:t>
            </w:r>
          </w:p>
        </w:tc>
        <w:tc>
          <w:tcPr>
            <w:tcW w:w="2500" w:type="pct"/>
            <w:shd w:val="clear" w:color="auto" w:fill="auto"/>
            <w:tcMar>
              <w:top w:w="0" w:type="dxa"/>
              <w:left w:w="108" w:type="dxa"/>
              <w:bottom w:w="0" w:type="dxa"/>
              <w:right w:w="108" w:type="dxa"/>
            </w:tcMar>
            <w:vAlign w:val="center"/>
          </w:tcPr>
          <w:p w14:paraId="6C811560" w14:textId="780D2C78" w:rsidR="00C82EC3" w:rsidRPr="00984EF0" w:rsidRDefault="00C82EC3" w:rsidP="00605A0A">
            <w:pPr>
              <w:pStyle w:val="Pa19"/>
              <w:spacing w:line="240" w:lineRule="auto"/>
              <w:jc w:val="center"/>
              <w:rPr>
                <w:rFonts w:asciiTheme="minorHAnsi" w:hAnsiTheme="minorHAnsi" w:cstheme="minorHAnsi"/>
              </w:rPr>
            </w:pPr>
            <w:r w:rsidRPr="00984EF0">
              <w:rPr>
                <w:rFonts w:asciiTheme="minorHAnsi" w:hAnsiTheme="minorHAnsi" w:cstheme="minorHAnsi"/>
                <w:sz w:val="20"/>
              </w:rPr>
              <w:t>Počet projektů na snížení konečné spotřeby energie u bytových domů – proplaceno z programu NZÚ formou dotace</w:t>
            </w:r>
          </w:p>
        </w:tc>
      </w:tr>
    </w:tbl>
    <w:p w14:paraId="1640047D" w14:textId="5476FCEF" w:rsidR="00635351" w:rsidRDefault="00635351" w:rsidP="00635351">
      <w:pPr>
        <w:rPr>
          <w:b/>
        </w:rPr>
      </w:pPr>
      <w:r w:rsidRPr="00173D57">
        <w:rPr>
          <w:b/>
          <w:i/>
          <w:sz w:val="20"/>
        </w:rPr>
        <w:t>Zdroj:</w:t>
      </w:r>
      <w:r>
        <w:rPr>
          <w:i/>
          <w:sz w:val="20"/>
        </w:rPr>
        <w:t xml:space="preserve"> MS2014+, IS NZÚ 2015+.</w:t>
      </w:r>
    </w:p>
    <w:p w14:paraId="5F440F36" w14:textId="1709E48D" w:rsidR="00D56CA6" w:rsidRDefault="00D56CA6" w:rsidP="00C82EC3">
      <w:pPr>
        <w:spacing w:before="120" w:after="120"/>
      </w:pPr>
      <w:r w:rsidRPr="00B85071">
        <w:rPr>
          <w:b/>
        </w:rPr>
        <w:t xml:space="preserve">Kontrolovaný objem peněžních prostředků kontrolního vzorku </w:t>
      </w:r>
      <w:r w:rsidR="00A64C25">
        <w:rPr>
          <w:b/>
        </w:rPr>
        <w:t xml:space="preserve">14 </w:t>
      </w:r>
      <w:r w:rsidRPr="00B85071">
        <w:rPr>
          <w:b/>
        </w:rPr>
        <w:t xml:space="preserve">projektů činil </w:t>
      </w:r>
      <w:r w:rsidR="00354E25" w:rsidRPr="00354E25">
        <w:rPr>
          <w:b/>
        </w:rPr>
        <w:t>46</w:t>
      </w:r>
      <w:r w:rsidR="003F4FE0">
        <w:rPr>
          <w:b/>
        </w:rPr>
        <w:t>,4 mil.</w:t>
      </w:r>
      <w:r w:rsidR="00F8147C">
        <w:rPr>
          <w:b/>
        </w:rPr>
        <w:t> </w:t>
      </w:r>
      <w:r w:rsidRPr="00B85071">
        <w:rPr>
          <w:b/>
        </w:rPr>
        <w:t>Kč</w:t>
      </w:r>
      <w:r w:rsidRPr="0008521E">
        <w:rPr>
          <w:b/>
        </w:rPr>
        <w:t xml:space="preserve">; </w:t>
      </w:r>
      <w:r>
        <w:t xml:space="preserve">z toho </w:t>
      </w:r>
      <w:r w:rsidR="00354E25" w:rsidRPr="00354E25">
        <w:t>20</w:t>
      </w:r>
      <w:r w:rsidR="003F4FE0">
        <w:t>,9 mil.</w:t>
      </w:r>
      <w:r w:rsidR="00354E25">
        <w:t xml:space="preserve"> </w:t>
      </w:r>
      <w:r w:rsidR="00B85071">
        <w:t xml:space="preserve">Kč </w:t>
      </w:r>
      <w:r w:rsidR="00C7016D">
        <w:t xml:space="preserve">bylo poskytnuto </w:t>
      </w:r>
      <w:r w:rsidR="00B85071">
        <w:t xml:space="preserve">z IROP a </w:t>
      </w:r>
      <w:r w:rsidR="003A4574">
        <w:t>25</w:t>
      </w:r>
      <w:r w:rsidR="003F4FE0">
        <w:t>,</w:t>
      </w:r>
      <w:r w:rsidR="003A4574">
        <w:t>5</w:t>
      </w:r>
      <w:r w:rsidR="003F4FE0">
        <w:t xml:space="preserve"> mil.</w:t>
      </w:r>
      <w:r w:rsidR="003A4574">
        <w:t xml:space="preserve"> Kč </w:t>
      </w:r>
      <w:r>
        <w:t>z </w:t>
      </w:r>
      <w:r w:rsidR="00B85071">
        <w:t xml:space="preserve">programu NZÚ. </w:t>
      </w:r>
    </w:p>
    <w:p w14:paraId="65AD74EE" w14:textId="2CD0BA89" w:rsidR="00326368" w:rsidRDefault="00D64728" w:rsidP="00326368">
      <w:r>
        <w:t xml:space="preserve">U příjemců </w:t>
      </w:r>
      <w:r w:rsidR="00326368">
        <w:t xml:space="preserve">dotace/podpory </w:t>
      </w:r>
      <w:r>
        <w:t xml:space="preserve">bylo </w:t>
      </w:r>
      <w:r w:rsidR="00C7016D">
        <w:t>pr</w:t>
      </w:r>
      <w:r>
        <w:t>ověřeno:</w:t>
      </w:r>
    </w:p>
    <w:p w14:paraId="4A6BB6E9" w14:textId="784EEB51" w:rsidR="00326368" w:rsidRDefault="00C7016D" w:rsidP="00783A44">
      <w:pPr>
        <w:pStyle w:val="Odstavecseseznamem"/>
        <w:numPr>
          <w:ilvl w:val="1"/>
          <w:numId w:val="39"/>
        </w:numPr>
        <w:ind w:left="851" w:hanging="426"/>
      </w:pPr>
      <w:r>
        <w:t>d</w:t>
      </w:r>
      <w:r w:rsidR="00326368">
        <w:t>održení účelu</w:t>
      </w:r>
      <w:r w:rsidR="00D64728">
        <w:t xml:space="preserve">, cíle </w:t>
      </w:r>
      <w:r w:rsidR="00490813">
        <w:t>a parametrů projektu</w:t>
      </w:r>
      <w:r>
        <w:t>;</w:t>
      </w:r>
    </w:p>
    <w:p w14:paraId="2154EA6E" w14:textId="19828C37" w:rsidR="00326368" w:rsidRDefault="00C7016D" w:rsidP="00783A44">
      <w:pPr>
        <w:pStyle w:val="Odstavecseseznamem"/>
        <w:numPr>
          <w:ilvl w:val="1"/>
          <w:numId w:val="39"/>
        </w:numPr>
        <w:ind w:left="851" w:hanging="426"/>
      </w:pPr>
      <w:r>
        <w:t>d</w:t>
      </w:r>
      <w:r w:rsidR="00326368">
        <w:t xml:space="preserve">osažení deklarovaného snížení energetické náročnosti budov vlivem realizovaných opatření </w:t>
      </w:r>
      <w:r w:rsidR="001B31E5">
        <w:t>a zároveň byla spočítána hodnota</w:t>
      </w:r>
      <w:r w:rsidR="00326368">
        <w:t xml:space="preserve"> </w:t>
      </w:r>
      <w:r w:rsidR="003164A4">
        <w:t>skutečné</w:t>
      </w:r>
      <w:r w:rsidR="00326368">
        <w:t xml:space="preserve"> měrné dotace na jednotku úspory energie (Kč/1</w:t>
      </w:r>
      <w:r w:rsidR="00031F05">
        <w:t> </w:t>
      </w:r>
      <w:r w:rsidR="00326368">
        <w:t>GJ</w:t>
      </w:r>
      <w:r w:rsidR="00031F05">
        <w:t> </w:t>
      </w:r>
      <w:r w:rsidR="00326368">
        <w:t>úspor)</w:t>
      </w:r>
      <w:r>
        <w:t>;</w:t>
      </w:r>
    </w:p>
    <w:p w14:paraId="51B23302" w14:textId="6CC2F77F" w:rsidR="00326368" w:rsidRDefault="00C7016D" w:rsidP="00783A44">
      <w:pPr>
        <w:pStyle w:val="Odstavecseseznamem"/>
        <w:numPr>
          <w:ilvl w:val="1"/>
          <w:numId w:val="39"/>
        </w:numPr>
        <w:ind w:left="851" w:hanging="426"/>
      </w:pPr>
      <w:r>
        <w:t>o</w:t>
      </w:r>
      <w:r w:rsidR="00326368">
        <w:t>blast výběru dodavatelů/zadávání veřejných zakázek</w:t>
      </w:r>
      <w:r>
        <w:t>;</w:t>
      </w:r>
    </w:p>
    <w:p w14:paraId="3C5BC4A5" w14:textId="555BB25A" w:rsidR="00326368" w:rsidRDefault="00C7016D" w:rsidP="00783A44">
      <w:pPr>
        <w:pStyle w:val="Odstavecseseznamem"/>
        <w:numPr>
          <w:ilvl w:val="1"/>
          <w:numId w:val="39"/>
        </w:numPr>
        <w:ind w:left="851" w:hanging="426"/>
      </w:pPr>
      <w:r>
        <w:t>o</w:t>
      </w:r>
      <w:r w:rsidR="00326368">
        <w:t>blast způsobilosti výdajů</w:t>
      </w:r>
      <w:r>
        <w:t>;</w:t>
      </w:r>
    </w:p>
    <w:p w14:paraId="700FDBE7" w14:textId="62D96E30" w:rsidR="00326368" w:rsidRDefault="001B31E5" w:rsidP="00783A44">
      <w:pPr>
        <w:pStyle w:val="Odstavecseseznamem"/>
        <w:numPr>
          <w:ilvl w:val="1"/>
          <w:numId w:val="39"/>
        </w:numPr>
        <w:spacing w:after="120"/>
        <w:ind w:left="851" w:hanging="426"/>
      </w:pPr>
      <w:r>
        <w:t>s</w:t>
      </w:r>
      <w:r w:rsidR="00326368">
        <w:t>plnění dalších podmínek a povinností příjemců vyplývajících z pravidel příslušného programu.</w:t>
      </w:r>
    </w:p>
    <w:p w14:paraId="40333FD1" w14:textId="062625F4" w:rsidR="004A6354" w:rsidRDefault="004A6354" w:rsidP="004A6354">
      <w:pPr>
        <w:autoSpaceDE w:val="0"/>
        <w:autoSpaceDN w:val="0"/>
        <w:adjustRightInd w:val="0"/>
        <w:spacing w:before="120" w:after="120"/>
      </w:pPr>
      <w:r>
        <w:rPr>
          <w:rFonts w:cs="Arial"/>
          <w:szCs w:val="24"/>
        </w:rPr>
        <w:lastRenderedPageBreak/>
        <w:t xml:space="preserve">V rámci opatření, která byla realizována v projektech vybraných do kontrolního vzorku NKÚ, bylo s využitím dotačních prostředků IROP a NZÚ v objemu </w:t>
      </w:r>
      <w:r w:rsidRPr="004971C8">
        <w:t>46</w:t>
      </w:r>
      <w:r w:rsidR="00051DCC">
        <w:t xml:space="preserve">,4 mil. </w:t>
      </w:r>
      <w:r w:rsidRPr="004971C8">
        <w:t>Kč</w:t>
      </w:r>
      <w:r>
        <w:t xml:space="preserve"> </w:t>
      </w:r>
      <w:r w:rsidRPr="005752F5">
        <w:t>provedeno</w:t>
      </w:r>
      <w:r w:rsidR="00A94BA8">
        <w:t xml:space="preserve"> u </w:t>
      </w:r>
      <w:r>
        <w:t>bytových domů</w:t>
      </w:r>
      <w:r w:rsidRPr="005752F5">
        <w:t xml:space="preserve"> zejména </w:t>
      </w:r>
      <w:r>
        <w:t>jejich zateplení.</w:t>
      </w:r>
      <w:r>
        <w:rPr>
          <w:rStyle w:val="Znakapoznpodarou"/>
        </w:rPr>
        <w:footnoteReference w:id="35"/>
      </w:r>
      <w:r w:rsidRPr="005752F5">
        <w:t xml:space="preserve"> </w:t>
      </w:r>
      <w:r>
        <w:t>Podrobnější údaje uvádí obrázek č. 1.</w:t>
      </w:r>
    </w:p>
    <w:p w14:paraId="092400FB" w14:textId="658F4358" w:rsidR="004A6354" w:rsidRDefault="004A6354" w:rsidP="00A94BA8">
      <w:pPr>
        <w:keepNext/>
        <w:spacing w:after="60"/>
        <w:ind w:left="1418" w:hanging="1418"/>
      </w:pPr>
      <w:r>
        <w:t>Obrázek č. 1:</w:t>
      </w:r>
      <w:r>
        <w:tab/>
        <w:t xml:space="preserve">Údaje k opatřením </w:t>
      </w:r>
      <w:r w:rsidR="001B31E5">
        <w:t xml:space="preserve">realizovaným v kontrolovaných </w:t>
      </w:r>
      <w:r>
        <w:t>projekt</w:t>
      </w:r>
      <w:r w:rsidR="001B31E5">
        <w:t>ech</w:t>
      </w:r>
    </w:p>
    <w:p w14:paraId="45465EAC" w14:textId="77777777" w:rsidR="004A6354" w:rsidRDefault="004A6354" w:rsidP="004A6354">
      <w:pPr>
        <w:autoSpaceDE w:val="0"/>
        <w:autoSpaceDN w:val="0"/>
        <w:adjustRightInd w:val="0"/>
        <w:spacing w:before="120" w:after="120"/>
        <w:jc w:val="center"/>
        <w:rPr>
          <w:rFonts w:cs="Arial"/>
          <w:szCs w:val="24"/>
        </w:rPr>
      </w:pPr>
      <w:r>
        <w:rPr>
          <w:rFonts w:cs="Arial"/>
          <w:noProof/>
          <w:szCs w:val="24"/>
        </w:rPr>
        <w:drawing>
          <wp:inline distT="0" distB="0" distL="0" distR="0" wp14:anchorId="2C1D001F" wp14:editId="6F9A6CD1">
            <wp:extent cx="3712965" cy="2244436"/>
            <wp:effectExtent l="0" t="0" r="1905" b="3810"/>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41116" cy="2261453"/>
                    </a:xfrm>
                    <a:prstGeom prst="rect">
                      <a:avLst/>
                    </a:prstGeom>
                    <a:noFill/>
                  </pic:spPr>
                </pic:pic>
              </a:graphicData>
            </a:graphic>
          </wp:inline>
        </w:drawing>
      </w:r>
    </w:p>
    <w:p w14:paraId="37AABCE2" w14:textId="0E58E716" w:rsidR="004A6354" w:rsidRDefault="004A6354" w:rsidP="004A6354">
      <w:pPr>
        <w:autoSpaceDE w:val="0"/>
        <w:autoSpaceDN w:val="0"/>
        <w:adjustRightInd w:val="0"/>
        <w:spacing w:before="120" w:after="120"/>
        <w:rPr>
          <w:rFonts w:cs="Arial"/>
          <w:i/>
          <w:sz w:val="20"/>
        </w:rPr>
      </w:pPr>
      <w:r w:rsidRPr="00173D57">
        <w:rPr>
          <w:rFonts w:cs="Arial"/>
          <w:b/>
          <w:i/>
          <w:sz w:val="20"/>
        </w:rPr>
        <w:t>Zdroj:</w:t>
      </w:r>
      <w:r>
        <w:rPr>
          <w:rFonts w:cs="Arial"/>
          <w:i/>
          <w:sz w:val="20"/>
        </w:rPr>
        <w:t xml:space="preserve"> </w:t>
      </w:r>
      <w:r w:rsidR="001B31E5">
        <w:rPr>
          <w:rFonts w:cs="Arial"/>
          <w:i/>
          <w:sz w:val="20"/>
        </w:rPr>
        <w:t>z</w:t>
      </w:r>
      <w:r>
        <w:rPr>
          <w:rFonts w:cs="Arial"/>
          <w:i/>
          <w:sz w:val="20"/>
        </w:rPr>
        <w:t xml:space="preserve">pracováno NKÚ dle technických údajů z průkazů energetické náročnosti budov. </w:t>
      </w:r>
    </w:p>
    <w:p w14:paraId="415B9140" w14:textId="01472C1F" w:rsidR="007D4472" w:rsidRPr="0032607B" w:rsidRDefault="001D7420" w:rsidP="007D4472">
      <w:pPr>
        <w:spacing w:before="120"/>
        <w:rPr>
          <w:rFonts w:cstheme="minorHAnsi"/>
          <w:spacing w:val="-4"/>
          <w:szCs w:val="24"/>
        </w:rPr>
      </w:pPr>
      <w:r w:rsidRPr="0032607B">
        <w:rPr>
          <w:rFonts w:cstheme="minorHAnsi"/>
          <w:spacing w:val="-4"/>
          <w:szCs w:val="24"/>
        </w:rPr>
        <w:t>Právní předpisy jsou v tomto kontrolním závěru aplikovány ve znění účinném pro kontrolované období.</w:t>
      </w:r>
    </w:p>
    <w:p w14:paraId="70E00AFB" w14:textId="20135E00" w:rsidR="0044441C" w:rsidRDefault="001D7420" w:rsidP="00A91587">
      <w:pPr>
        <w:pStyle w:val="Nadpis1"/>
      </w:pPr>
      <w:r>
        <w:t xml:space="preserve">IV. </w:t>
      </w:r>
      <w:r w:rsidR="009221B7" w:rsidRPr="008A1604">
        <w:t>Podrobné skutečnosti zjištěné kontrolou</w:t>
      </w:r>
    </w:p>
    <w:p w14:paraId="43938213" w14:textId="0374CA8B" w:rsidR="00D13B8A" w:rsidRPr="0008521E" w:rsidRDefault="00354E25" w:rsidP="00F83B3D">
      <w:pPr>
        <w:spacing w:after="120"/>
        <w:outlineLvl w:val="1"/>
        <w:rPr>
          <w:rFonts w:cstheme="minorHAnsi"/>
          <w:b/>
        </w:rPr>
      </w:pPr>
      <w:r>
        <w:rPr>
          <w:rFonts w:cstheme="minorHAnsi"/>
          <w:b/>
        </w:rPr>
        <w:t>I</w:t>
      </w:r>
      <w:r w:rsidR="005D4660" w:rsidRPr="005D4660">
        <w:rPr>
          <w:rFonts w:cstheme="minorHAnsi"/>
          <w:b/>
        </w:rPr>
        <w:t>V.1</w:t>
      </w:r>
      <w:r w:rsidR="005D4660">
        <w:rPr>
          <w:rFonts w:cstheme="minorHAnsi"/>
          <w:b/>
        </w:rPr>
        <w:t xml:space="preserve"> </w:t>
      </w:r>
      <w:r w:rsidR="00774C4C">
        <w:rPr>
          <w:rFonts w:cstheme="minorHAnsi"/>
          <w:b/>
        </w:rPr>
        <w:t xml:space="preserve">Poskytování a čerpání peněžních prostředků </w:t>
      </w:r>
      <w:r w:rsidR="007F1160">
        <w:rPr>
          <w:rFonts w:cstheme="minorHAnsi"/>
          <w:b/>
        </w:rPr>
        <w:t xml:space="preserve">z </w:t>
      </w:r>
      <w:r w:rsidR="00774C4C">
        <w:rPr>
          <w:rFonts w:cstheme="minorHAnsi"/>
          <w:b/>
        </w:rPr>
        <w:t>IROP</w:t>
      </w:r>
    </w:p>
    <w:p w14:paraId="5765C24E" w14:textId="4AF3FAD4" w:rsidR="00FF52D1" w:rsidRDefault="005D4660" w:rsidP="00A91587">
      <w:pPr>
        <w:pStyle w:val="N2"/>
      </w:pPr>
      <w:r>
        <w:t xml:space="preserve">IV.1.1 </w:t>
      </w:r>
      <w:r w:rsidR="00787166">
        <w:t xml:space="preserve">Činnosti MMR </w:t>
      </w:r>
      <w:r w:rsidR="008D0626">
        <w:t>v roli</w:t>
      </w:r>
      <w:r w:rsidR="00187BAA">
        <w:t xml:space="preserve"> řídicí</w:t>
      </w:r>
      <w:r w:rsidR="00787166">
        <w:t>ho</w:t>
      </w:r>
      <w:r w:rsidR="00187BAA">
        <w:t xml:space="preserve"> orgán</w:t>
      </w:r>
      <w:r w:rsidR="00787166">
        <w:t>u</w:t>
      </w:r>
      <w:r w:rsidR="00187BAA">
        <w:t xml:space="preserve"> IROP</w:t>
      </w:r>
    </w:p>
    <w:p w14:paraId="3BF76974" w14:textId="2A905E1B" w:rsidR="00525647" w:rsidRDefault="004D47E5" w:rsidP="00525647">
      <w:pPr>
        <w:keepNext/>
        <w:keepLines/>
        <w:tabs>
          <w:tab w:val="left" w:pos="1985"/>
        </w:tabs>
        <w:spacing w:before="120" w:after="60"/>
        <w:outlineLvl w:val="3"/>
        <w:rPr>
          <w:rFonts w:eastAsiaTheme="majorEastAsia" w:cstheme="minorHAnsi"/>
          <w:iCs/>
          <w:szCs w:val="24"/>
          <w:u w:val="single"/>
          <w:lang w:eastAsia="en-US"/>
        </w:rPr>
      </w:pPr>
      <w:r w:rsidRPr="00957BBF">
        <w:rPr>
          <w:rFonts w:eastAsiaTheme="majorEastAsia" w:cstheme="minorHAnsi"/>
          <w:iCs/>
          <w:szCs w:val="24"/>
          <w:u w:val="single"/>
          <w:lang w:eastAsia="en-US"/>
        </w:rPr>
        <w:t>Plánování a vyhlašování výzev</w:t>
      </w:r>
    </w:p>
    <w:p w14:paraId="7DD71115" w14:textId="14495E64" w:rsidR="004C4AE1" w:rsidRDefault="006E23A7">
      <w:pPr>
        <w:pStyle w:val="Odstavecseseznamem"/>
        <w:numPr>
          <w:ilvl w:val="0"/>
          <w:numId w:val="26"/>
        </w:numPr>
        <w:spacing w:before="120" w:after="120"/>
      </w:pPr>
      <w:r>
        <w:t xml:space="preserve">Na úspory energie v bytových domech mělo MMR </w:t>
      </w:r>
      <w:r w:rsidR="00C979EA">
        <w:t xml:space="preserve">v IROP </w:t>
      </w:r>
      <w:r w:rsidR="00E20786">
        <w:t>vyčleněno</w:t>
      </w:r>
      <w:r>
        <w:t xml:space="preserve"> </w:t>
      </w:r>
      <w:r w:rsidR="00AA54A2">
        <w:t xml:space="preserve">13,4 % </w:t>
      </w:r>
      <w:r w:rsidR="00E6584F">
        <w:t xml:space="preserve">ze </w:t>
      </w:r>
      <w:r w:rsidR="00AA54A2">
        <w:t xml:space="preserve">zdrojů </w:t>
      </w:r>
      <w:r w:rsidR="004C4AE1">
        <w:t xml:space="preserve">EU </w:t>
      </w:r>
      <w:r w:rsidR="00E6584F">
        <w:t xml:space="preserve">určených pro IROP </w:t>
      </w:r>
      <w:r w:rsidR="004C4AE1">
        <w:t>(622</w:t>
      </w:r>
      <w:r w:rsidR="00051DCC">
        <w:t>,8 mil.</w:t>
      </w:r>
      <w:r w:rsidR="004C4AE1">
        <w:t xml:space="preserve"> €)</w:t>
      </w:r>
      <w:r w:rsidR="00AA54A2">
        <w:t>. V</w:t>
      </w:r>
      <w:r w:rsidR="00E20786">
        <w:t> </w:t>
      </w:r>
      <w:r w:rsidR="00AA54A2">
        <w:t>průběhu</w:t>
      </w:r>
      <w:r w:rsidR="00E20786">
        <w:t xml:space="preserve"> programového období však </w:t>
      </w:r>
      <w:r w:rsidR="004C4AE1">
        <w:t>docházelo</w:t>
      </w:r>
      <w:r w:rsidR="00E20786">
        <w:t xml:space="preserve"> ke snižování</w:t>
      </w:r>
      <w:r w:rsidR="001B31E5">
        <w:t xml:space="preserve"> tohoto přídělu</w:t>
      </w:r>
      <w:r w:rsidR="00E20786">
        <w:t>, a to až na 7,04 % celkové alokace IROP (</w:t>
      </w:r>
      <w:r w:rsidR="004C4AE1" w:rsidRPr="004C4AE1">
        <w:t>335</w:t>
      </w:r>
      <w:r w:rsidR="00051DCC">
        <w:t>,</w:t>
      </w:r>
      <w:r w:rsidR="004C4AE1" w:rsidRPr="004C4AE1">
        <w:t>1</w:t>
      </w:r>
      <w:r w:rsidR="00051DCC">
        <w:t xml:space="preserve"> mil.</w:t>
      </w:r>
      <w:r w:rsidR="004C4AE1" w:rsidRPr="004C4AE1">
        <w:t xml:space="preserve"> </w:t>
      </w:r>
      <w:r w:rsidR="004C4AE1">
        <w:t>€</w:t>
      </w:r>
      <w:r w:rsidR="00E20786">
        <w:t xml:space="preserve">). </w:t>
      </w:r>
      <w:r w:rsidR="004C4AE1">
        <w:t>Celkové snížení o</w:t>
      </w:r>
      <w:r w:rsidR="00275BA2">
        <w:t>proti původní alokaci zdrojů</w:t>
      </w:r>
      <w:r w:rsidR="004C4AE1">
        <w:t xml:space="preserve"> EU</w:t>
      </w:r>
      <w:r w:rsidR="00275BA2">
        <w:t xml:space="preserve"> o 338 443 243 €</w:t>
      </w:r>
      <w:r w:rsidR="004C4AE1">
        <w:t xml:space="preserve"> představuje</w:t>
      </w:r>
      <w:r w:rsidR="00275BA2">
        <w:t xml:space="preserve"> </w:t>
      </w:r>
      <w:r w:rsidR="001B31E5">
        <w:br/>
      </w:r>
      <w:r w:rsidR="00275BA2">
        <w:t>o 46,19 %</w:t>
      </w:r>
      <w:r w:rsidR="004C4AE1">
        <w:t xml:space="preserve"> méně zdrojů EU na opatření související s</w:t>
      </w:r>
      <w:r w:rsidR="001B31E5">
        <w:t xml:space="preserve"> </w:t>
      </w:r>
      <w:r w:rsidR="004C4AE1">
        <w:t>úsporami energie</w:t>
      </w:r>
      <w:r w:rsidR="00275BA2">
        <w:t>. Důvodem</w:t>
      </w:r>
      <w:r w:rsidR="004C4AE1">
        <w:t xml:space="preserve"> snižování zdrojů</w:t>
      </w:r>
      <w:r w:rsidR="00275BA2">
        <w:t xml:space="preserve"> </w:t>
      </w:r>
      <w:r w:rsidR="004C4AE1">
        <w:t xml:space="preserve">vyčleněných na realizaci těchto opatření </w:t>
      </w:r>
      <w:r w:rsidR="00275BA2">
        <w:t xml:space="preserve">byl nízký zájem o podporu ze strany oprávněných žadatelů. </w:t>
      </w:r>
    </w:p>
    <w:p w14:paraId="26422321" w14:textId="5BB716AE" w:rsidR="003E5D44" w:rsidRDefault="001B31E5" w:rsidP="00264849">
      <w:pPr>
        <w:pStyle w:val="Odstavecseseznamem"/>
        <w:numPr>
          <w:ilvl w:val="0"/>
          <w:numId w:val="26"/>
        </w:numPr>
        <w:spacing w:before="120" w:after="120"/>
      </w:pPr>
      <w:r>
        <w:t>K p</w:t>
      </w:r>
      <w:r w:rsidR="00275BA2">
        <w:t>oslední</w:t>
      </w:r>
      <w:r>
        <w:t>mu</w:t>
      </w:r>
      <w:r w:rsidR="00275BA2">
        <w:t xml:space="preserve"> snížení </w:t>
      </w:r>
      <w:r>
        <w:t>došlo</w:t>
      </w:r>
      <w:r w:rsidR="00275BA2">
        <w:t xml:space="preserve"> v červenci 2020. Hlavním důvodem bylo zabezpečení zdrojů pro financování projektů digitalizace stavebního řízení v rámci SC 3.2 IROP zaměřeného na </w:t>
      </w:r>
      <w:proofErr w:type="spellStart"/>
      <w:r w:rsidR="00275BA2">
        <w:t>eGovernment</w:t>
      </w:r>
      <w:proofErr w:type="spellEnd"/>
      <w:r w:rsidR="00275BA2">
        <w:t xml:space="preserve">. Zdroje na financování těchto projektů měly být původně zajištěny vnější realokací z </w:t>
      </w:r>
      <w:r w:rsidR="00C979EA">
        <w:t>o</w:t>
      </w:r>
      <w:r w:rsidR="00275BA2">
        <w:t xml:space="preserve">peračního programu </w:t>
      </w:r>
      <w:r w:rsidR="00C979EA" w:rsidRPr="0008521E">
        <w:rPr>
          <w:i/>
        </w:rPr>
        <w:t>P</w:t>
      </w:r>
      <w:r w:rsidR="00275BA2" w:rsidRPr="0008521E">
        <w:rPr>
          <w:i/>
        </w:rPr>
        <w:t>odnikání a inovace pro konkurenceschopnost</w:t>
      </w:r>
      <w:r w:rsidR="00275BA2">
        <w:t xml:space="preserve">. </w:t>
      </w:r>
      <w:r w:rsidR="00C979EA">
        <w:t xml:space="preserve">K tomuto přesunu zdrojů mezi operačními programy </w:t>
      </w:r>
      <w:r>
        <w:t xml:space="preserve">však </w:t>
      </w:r>
      <w:r w:rsidR="00C979EA">
        <w:t>nedošlo. Uvažované prostředky byly využity na reakci</w:t>
      </w:r>
      <w:r>
        <w:t xml:space="preserve"> na</w:t>
      </w:r>
      <w:r w:rsidR="00C979EA">
        <w:t xml:space="preserve"> dopad</w:t>
      </w:r>
      <w:r>
        <w:t>y</w:t>
      </w:r>
      <w:r w:rsidR="00C979EA">
        <w:t xml:space="preserve"> pandemie </w:t>
      </w:r>
      <w:r>
        <w:t>covidu</w:t>
      </w:r>
      <w:r w:rsidR="00C979EA">
        <w:t>-19.</w:t>
      </w:r>
      <w:r w:rsidR="00275BA2" w:rsidDel="00C979EA">
        <w:t xml:space="preserve"> </w:t>
      </w:r>
      <w:r w:rsidR="00275BA2">
        <w:t xml:space="preserve">MMR přistoupilo </w:t>
      </w:r>
      <w:r w:rsidR="00C979EA">
        <w:lastRenderedPageBreak/>
        <w:t>k</w:t>
      </w:r>
      <w:r w:rsidR="005E3AA0">
        <w:t> </w:t>
      </w:r>
      <w:r w:rsidR="00C979EA">
        <w:t xml:space="preserve">vnitřní realokaci, a to ze SC 2.5, protože to byly dle MMR </w:t>
      </w:r>
      <w:r w:rsidR="00275BA2">
        <w:t>jediné volné</w:t>
      </w:r>
      <w:r w:rsidR="00C979EA">
        <w:t xml:space="preserve"> zdroje</w:t>
      </w:r>
      <w:r w:rsidR="00275BA2">
        <w:t xml:space="preserve"> </w:t>
      </w:r>
      <w:r w:rsidR="00957BBF">
        <w:br/>
      </w:r>
      <w:r w:rsidR="00C979EA">
        <w:t>v rámci IROP</w:t>
      </w:r>
      <w:r w:rsidR="00275BA2">
        <w:t xml:space="preserve">. </w:t>
      </w:r>
    </w:p>
    <w:p w14:paraId="3E4343FE" w14:textId="1A5981AA" w:rsidR="00F713B0" w:rsidRDefault="00F713B0" w:rsidP="00F713B0">
      <w:pPr>
        <w:pStyle w:val="Normlnweb"/>
        <w:numPr>
          <w:ilvl w:val="0"/>
          <w:numId w:val="26"/>
        </w:numPr>
        <w:spacing w:before="120" w:beforeAutospacing="0" w:after="120" w:afterAutospacing="0"/>
      </w:pPr>
      <w:r w:rsidRPr="0067081F">
        <w:t>MMR v</w:t>
      </w:r>
      <w:r w:rsidR="00957BBF">
        <w:t xml:space="preserve"> </w:t>
      </w:r>
      <w:r w:rsidRPr="0067081F">
        <w:t xml:space="preserve">kontrolovaných </w:t>
      </w:r>
      <w:r>
        <w:t xml:space="preserve">dotačních </w:t>
      </w:r>
      <w:r w:rsidRPr="0067081F">
        <w:t>výzvách nastavil</w:t>
      </w:r>
      <w:r w:rsidR="00A94BA8">
        <w:t>o konkr</w:t>
      </w:r>
      <w:r w:rsidR="001B31E5">
        <w:t>étní</w:t>
      </w:r>
      <w:r w:rsidR="00A94BA8">
        <w:t>, termínované a </w:t>
      </w:r>
      <w:r w:rsidRPr="0067081F">
        <w:t>realistické podmínky pro realizaci projektů s výjimkou oblasti týkající se způsobilosti výdajů</w:t>
      </w:r>
      <w:r>
        <w:t>.</w:t>
      </w:r>
    </w:p>
    <w:p w14:paraId="3840781E" w14:textId="746D9C88" w:rsidR="00525647" w:rsidRDefault="004D47E5" w:rsidP="00525647">
      <w:pPr>
        <w:keepNext/>
        <w:keepLines/>
        <w:tabs>
          <w:tab w:val="left" w:pos="1985"/>
        </w:tabs>
        <w:spacing w:before="120" w:after="60"/>
        <w:outlineLvl w:val="3"/>
        <w:rPr>
          <w:rFonts w:eastAsiaTheme="majorEastAsia" w:cstheme="minorHAnsi"/>
          <w:iCs/>
          <w:szCs w:val="24"/>
          <w:u w:val="single"/>
          <w:lang w:eastAsia="en-US"/>
        </w:rPr>
      </w:pPr>
      <w:r>
        <w:rPr>
          <w:rFonts w:eastAsiaTheme="majorEastAsia" w:cstheme="minorHAnsi"/>
          <w:iCs/>
          <w:szCs w:val="24"/>
          <w:u w:val="single"/>
          <w:lang w:eastAsia="en-US"/>
        </w:rPr>
        <w:t>Hodnocení a výběr projektů</w:t>
      </w:r>
      <w:r w:rsidR="00525647">
        <w:rPr>
          <w:rFonts w:eastAsiaTheme="majorEastAsia" w:cstheme="minorHAnsi"/>
          <w:iCs/>
          <w:szCs w:val="24"/>
          <w:u w:val="single"/>
          <w:lang w:eastAsia="en-US"/>
        </w:rPr>
        <w:t xml:space="preserve"> </w:t>
      </w:r>
    </w:p>
    <w:p w14:paraId="5C7BD041" w14:textId="5DBC3BCC" w:rsidR="00F713B0" w:rsidRDefault="0073046A" w:rsidP="00960941">
      <w:pPr>
        <w:pStyle w:val="Odstavecseseznamem"/>
        <w:numPr>
          <w:ilvl w:val="0"/>
          <w:numId w:val="28"/>
        </w:numPr>
        <w:spacing w:before="120" w:after="120"/>
      </w:pPr>
      <w:r>
        <w:t xml:space="preserve">Výběr projektů neprovádělo </w:t>
      </w:r>
      <w:r w:rsidR="005E3AA0">
        <w:t xml:space="preserve">MMR </w:t>
      </w:r>
      <w:r>
        <w:t>na základě posouzen</w:t>
      </w:r>
      <w:r w:rsidR="00173D57">
        <w:t xml:space="preserve">í nákladové efektivnosti, </w:t>
      </w:r>
      <w:r w:rsidR="00957BBF">
        <w:br/>
      </w:r>
      <w:r w:rsidR="00173D57">
        <w:t>tj.</w:t>
      </w:r>
      <w:r w:rsidR="00957BBF">
        <w:t xml:space="preserve"> </w:t>
      </w:r>
      <w:r w:rsidR="00A94BA8">
        <w:t>s</w:t>
      </w:r>
      <w:r w:rsidR="00957BBF">
        <w:t xml:space="preserve"> </w:t>
      </w:r>
      <w:r>
        <w:t xml:space="preserve">nejlepším poměrem </w:t>
      </w:r>
      <w:r w:rsidR="005E3AA0">
        <w:t xml:space="preserve">mezi </w:t>
      </w:r>
      <w:r>
        <w:t>očekávaný</w:t>
      </w:r>
      <w:r w:rsidR="005E3AA0">
        <w:t>mi</w:t>
      </w:r>
      <w:r>
        <w:t xml:space="preserve"> úspor</w:t>
      </w:r>
      <w:r w:rsidR="005E3AA0">
        <w:t>ami</w:t>
      </w:r>
      <w:r>
        <w:t xml:space="preserve"> energie a vynaložen</w:t>
      </w:r>
      <w:r w:rsidR="005E3AA0">
        <w:t>ými</w:t>
      </w:r>
      <w:r>
        <w:t xml:space="preserve"> peněžní</w:t>
      </w:r>
      <w:r w:rsidR="005E3AA0">
        <w:t>mi</w:t>
      </w:r>
      <w:r>
        <w:t xml:space="preserve"> prostředky (např. ve vztahu k rozpočtu projektu nebo požadované částce dotace). Na vzorku kontrolovaných projektů bylo zjištěno, že v důsledku absence kritéria hodnot</w:t>
      </w:r>
      <w:r w:rsidR="005E3AA0">
        <w:t>í</w:t>
      </w:r>
      <w:r>
        <w:t xml:space="preserve">cího nákladovou efektivnost projektů byly podpořeny také projekty přesahující </w:t>
      </w:r>
      <w:r w:rsidR="00BC0882">
        <w:t xml:space="preserve">výši odhadované </w:t>
      </w:r>
      <w:r>
        <w:t>měrn</w:t>
      </w:r>
      <w:r w:rsidR="00BC0882">
        <w:t>é</w:t>
      </w:r>
      <w:r>
        <w:t xml:space="preserve"> dotac</w:t>
      </w:r>
      <w:r w:rsidR="00BC0882">
        <w:t>e</w:t>
      </w:r>
      <w:r>
        <w:t xml:space="preserve"> </w:t>
      </w:r>
      <w:r w:rsidR="00BC0882">
        <w:t>uveden</w:t>
      </w:r>
      <w:r w:rsidR="005E3AA0">
        <w:t>ou</w:t>
      </w:r>
      <w:r>
        <w:t xml:space="preserve"> v</w:t>
      </w:r>
      <w:r w:rsidR="002912FB">
        <w:t> </w:t>
      </w:r>
      <w:r>
        <w:t>NAPEE</w:t>
      </w:r>
      <w:r w:rsidR="002912FB">
        <w:t>-</w:t>
      </w:r>
      <w:r w:rsidR="00C6256E">
        <w:t>V</w:t>
      </w:r>
      <w:r w:rsidR="00BC0882">
        <w:t xml:space="preserve">, </w:t>
      </w:r>
      <w:r>
        <w:t>a to až o 32,57</w:t>
      </w:r>
      <w:r w:rsidR="005E3AA0">
        <w:t> </w:t>
      </w:r>
      <w:r>
        <w:t>%</w:t>
      </w:r>
      <w:r w:rsidR="000F6EC9">
        <w:t xml:space="preserve"> (podrobněji viz část IV.4).</w:t>
      </w:r>
      <w:r>
        <w:t xml:space="preserve"> </w:t>
      </w:r>
    </w:p>
    <w:p w14:paraId="4191C50E" w14:textId="61CF9C3F" w:rsidR="0018660D" w:rsidRDefault="0018660D" w:rsidP="0018660D">
      <w:pPr>
        <w:pStyle w:val="Odstavecseseznamem"/>
        <w:numPr>
          <w:ilvl w:val="0"/>
          <w:numId w:val="28"/>
        </w:numPr>
        <w:spacing w:before="120" w:after="120"/>
      </w:pPr>
      <w:r>
        <w:t>Ani v jedné z kontrolovaných výzev nebyla v průměru dodržena lhůta pro hodnocení formálních náležitostí a přijatelnosti, kterou si MMR stanovilo, i když v</w:t>
      </w:r>
      <w:r w:rsidR="005E3AA0">
        <w:t> </w:t>
      </w:r>
      <w:r>
        <w:t>poslední</w:t>
      </w:r>
      <w:r w:rsidR="005E3AA0">
        <w:t>,</w:t>
      </w:r>
      <w:r>
        <w:t xml:space="preserve"> třetí výzvě byl rozdíl minimální (2 pracovní dny). Na zákl</w:t>
      </w:r>
      <w:r w:rsidR="00A91587">
        <w:t>adě analýzy dodržování lhůt pro</w:t>
      </w:r>
      <w:r w:rsidR="005E3AA0">
        <w:t xml:space="preserve"> </w:t>
      </w:r>
      <w:r>
        <w:t>hodnocení formálních náležitostí a přijatelnosti podle nastavených pravidel NKÚ zjistil, že se daný proces zpožďoval v průměru o 17 pracovních dnů. Úspěšné žádosti byly v</w:t>
      </w:r>
      <w:r w:rsidR="00A94BA8">
        <w:t> </w:t>
      </w:r>
      <w:r>
        <w:t>průměru vyřízeny, tj. byl vydán právní akt o poskytnutí dotace, za 104 pracovní dny. Nejdelší administrace žádosti trvala 748 pracovních dnů</w:t>
      </w:r>
      <w:r>
        <w:rPr>
          <w:rStyle w:val="Znakapoznpodarou"/>
        </w:rPr>
        <w:footnoteReference w:id="36"/>
      </w:r>
      <w:r>
        <w:t>.</w:t>
      </w:r>
    </w:p>
    <w:p w14:paraId="7D5E4B19" w14:textId="74AA1119" w:rsidR="00FE65E9" w:rsidRPr="00FE65E9" w:rsidRDefault="0073046A" w:rsidP="007E0ED9">
      <w:pPr>
        <w:pStyle w:val="Odstavecseseznamem"/>
        <w:numPr>
          <w:ilvl w:val="0"/>
          <w:numId w:val="28"/>
        </w:numPr>
        <w:spacing w:after="120"/>
      </w:pPr>
      <w:r>
        <w:t>Finanční nástroj byl spuštěn pozdě v důsled</w:t>
      </w:r>
      <w:r w:rsidR="00A94BA8">
        <w:t>ku neúspěšné veřejné zakázky na</w:t>
      </w:r>
      <w:r w:rsidR="005E3AA0">
        <w:t xml:space="preserve"> </w:t>
      </w:r>
      <w:r>
        <w:t xml:space="preserve">finančního zprostředkovatele. </w:t>
      </w:r>
      <w:r w:rsidR="00FE65E9" w:rsidRPr="00FE65E9">
        <w:t xml:space="preserve">Správcem </w:t>
      </w:r>
      <w:r w:rsidR="00E6584F">
        <w:t xml:space="preserve">finančního nástroje se </w:t>
      </w:r>
      <w:r w:rsidR="00FE65E9" w:rsidRPr="00FE65E9">
        <w:t>stal Státní fond rozvoje bydlení, respektive Státní fond podpory investic</w:t>
      </w:r>
      <w:r w:rsidR="005A532C">
        <w:rPr>
          <w:rStyle w:val="Znakapoznpodarou"/>
        </w:rPr>
        <w:footnoteReference w:id="37"/>
      </w:r>
      <w:r w:rsidR="00FE65E9" w:rsidRPr="00FE65E9">
        <w:t>. Příjem žádostí o bezúročný úvěr byl zahájen v březnu 2020.</w:t>
      </w:r>
    </w:p>
    <w:p w14:paraId="637BA278" w14:textId="5F508837" w:rsidR="00F713B0" w:rsidRPr="00F713B0" w:rsidRDefault="00F713B0" w:rsidP="00960941">
      <w:pPr>
        <w:pStyle w:val="KP-normlntext"/>
        <w:numPr>
          <w:ilvl w:val="0"/>
          <w:numId w:val="28"/>
        </w:numPr>
        <w:spacing w:after="0"/>
      </w:pPr>
      <w:r>
        <w:t>V</w:t>
      </w:r>
      <w:r w:rsidRPr="00F713B0">
        <w:t xml:space="preserve"> modulu </w:t>
      </w:r>
      <w:r w:rsidRPr="0008521E">
        <w:rPr>
          <w:i/>
        </w:rPr>
        <w:t>Finanční nástroje</w:t>
      </w:r>
      <w:r w:rsidRPr="00F713B0">
        <w:t xml:space="preserve"> </w:t>
      </w:r>
      <w:r w:rsidR="005E3AA0">
        <w:t xml:space="preserve">informačního systému </w:t>
      </w:r>
      <w:r w:rsidRPr="00F713B0">
        <w:t xml:space="preserve">MS2014+ nebyly až do dne 18. 2. 2021 uloženy k uzavřené </w:t>
      </w:r>
      <w:r w:rsidR="005E3AA0" w:rsidRPr="0008521E">
        <w:rPr>
          <w:i/>
        </w:rPr>
        <w:t>d</w:t>
      </w:r>
      <w:r w:rsidRPr="0008521E">
        <w:rPr>
          <w:i/>
        </w:rPr>
        <w:t>ohodě o financování</w:t>
      </w:r>
      <w:r w:rsidRPr="00F713B0">
        <w:t xml:space="preserve"> </w:t>
      </w:r>
      <w:r>
        <w:t>dodatky a</w:t>
      </w:r>
      <w:r w:rsidR="005E3AA0">
        <w:t>ni</w:t>
      </w:r>
      <w:r>
        <w:t xml:space="preserve"> </w:t>
      </w:r>
      <w:r w:rsidRPr="00F713B0">
        <w:t xml:space="preserve">změnové </w:t>
      </w:r>
      <w:r w:rsidR="005E3AA0">
        <w:t>r</w:t>
      </w:r>
      <w:r w:rsidRPr="00F713B0">
        <w:t>ozhodnutí o poskytnutí dotace</w:t>
      </w:r>
      <w:r>
        <w:rPr>
          <w:rStyle w:val="Znakapoznpodarou"/>
        </w:rPr>
        <w:footnoteReference w:id="38"/>
      </w:r>
      <w:r>
        <w:t xml:space="preserve">. </w:t>
      </w:r>
      <w:r w:rsidRPr="00F713B0">
        <w:t>MMR nepostupovalo v souladu s procesy, které si samo nastavilo</w:t>
      </w:r>
      <w:r>
        <w:t xml:space="preserve">. </w:t>
      </w:r>
      <w:r w:rsidRPr="00F713B0">
        <w:t>Dotčené dokumenty MMR uložilo do MS2014+ na základě zjištění NKÚ</w:t>
      </w:r>
      <w:r>
        <w:t>, n</w:t>
      </w:r>
      <w:r w:rsidRPr="00F713B0">
        <w:t>edostatek týkající se absence auditní stopy tak MMR napravilo v průběhu kontroly NKÚ.</w:t>
      </w:r>
    </w:p>
    <w:p w14:paraId="7FC3EB8C" w14:textId="48EDC954" w:rsidR="000C5B01" w:rsidRDefault="000C5B01" w:rsidP="000C5B01">
      <w:pPr>
        <w:keepNext/>
        <w:keepLines/>
        <w:tabs>
          <w:tab w:val="left" w:pos="1985"/>
        </w:tabs>
        <w:spacing w:before="120" w:after="60"/>
        <w:outlineLvl w:val="3"/>
        <w:rPr>
          <w:rFonts w:eastAsiaTheme="majorEastAsia" w:cstheme="minorHAnsi"/>
          <w:iCs/>
          <w:szCs w:val="24"/>
          <w:u w:val="single"/>
          <w:lang w:eastAsia="en-US"/>
        </w:rPr>
      </w:pPr>
      <w:r>
        <w:rPr>
          <w:rFonts w:eastAsiaTheme="majorEastAsia" w:cstheme="minorHAnsi"/>
          <w:iCs/>
          <w:szCs w:val="24"/>
          <w:u w:val="single"/>
          <w:lang w:eastAsia="en-US"/>
        </w:rPr>
        <w:t>Kontrol</w:t>
      </w:r>
      <w:r w:rsidR="00461669">
        <w:rPr>
          <w:rFonts w:eastAsiaTheme="majorEastAsia" w:cstheme="minorHAnsi"/>
          <w:iCs/>
          <w:szCs w:val="24"/>
          <w:u w:val="single"/>
          <w:lang w:eastAsia="en-US"/>
        </w:rPr>
        <w:t xml:space="preserve">ní činnost </w:t>
      </w:r>
    </w:p>
    <w:p w14:paraId="1A3066CD" w14:textId="2EC2B2D8" w:rsidR="000C5B01" w:rsidRDefault="000C5B01" w:rsidP="00264849">
      <w:pPr>
        <w:pStyle w:val="Odstavecseseznamem"/>
        <w:numPr>
          <w:ilvl w:val="0"/>
          <w:numId w:val="25"/>
        </w:numPr>
        <w:spacing w:before="120" w:after="120"/>
      </w:pPr>
      <w:r>
        <w:t>Časová způsobilost výdajů není konkrétním, jasným a srozumitelným způsobem vysvětlena v pravidlech, jimiž se řídí žadatelé a příjemci. Jsou po</w:t>
      </w:r>
      <w:r w:rsidR="4DCAB08A">
        <w:t>u</w:t>
      </w:r>
      <w:r>
        <w:t>žívány pojmy</w:t>
      </w:r>
      <w:r w:rsidR="4DCAB08A">
        <w:t>,</w:t>
      </w:r>
      <w:r>
        <w:t xml:space="preserve"> které nejsou vysvětleny na úrovni IROP ani v</w:t>
      </w:r>
      <w:r w:rsidR="00B25236">
        <w:t> metodických pokynech</w:t>
      </w:r>
      <w:r w:rsidR="00485C2A">
        <w:t xml:space="preserve"> (dále též „</w:t>
      </w:r>
      <w:r>
        <w:t>MP</w:t>
      </w:r>
      <w:r w:rsidR="00485C2A">
        <w:t>“)</w:t>
      </w:r>
      <w:r w:rsidR="00B25236">
        <w:t>, které</w:t>
      </w:r>
      <w:r>
        <w:t xml:space="preserve"> by měl</w:t>
      </w:r>
      <w:r w:rsidR="00B25236">
        <w:t>y</w:t>
      </w:r>
      <w:r>
        <w:t xml:space="preserve"> zajišťovat jednotný přístup všech řídicích orgánů</w:t>
      </w:r>
      <w:r w:rsidR="00B25236">
        <w:t>, zejména MP pro</w:t>
      </w:r>
      <w:r w:rsidR="005672EB">
        <w:t> </w:t>
      </w:r>
      <w:r w:rsidR="00B25236">
        <w:t>způsobilost výdajů a jejich vykaz</w:t>
      </w:r>
      <w:r w:rsidR="00173D57">
        <w:t>ování v programovém období 2014–</w:t>
      </w:r>
      <w:r w:rsidR="00B25236">
        <w:t>2020</w:t>
      </w:r>
      <w:r>
        <w:t>.</w:t>
      </w:r>
    </w:p>
    <w:p w14:paraId="62907C29" w14:textId="29E003A8" w:rsidR="004715B9" w:rsidRDefault="000C5B01" w:rsidP="00A3647E">
      <w:pPr>
        <w:pStyle w:val="Odstavecseseznamem"/>
        <w:numPr>
          <w:ilvl w:val="0"/>
          <w:numId w:val="24"/>
        </w:numPr>
        <w:spacing w:before="120" w:after="120"/>
      </w:pPr>
      <w:r>
        <w:lastRenderedPageBreak/>
        <w:t xml:space="preserve">MMR v roli </w:t>
      </w:r>
      <w:r w:rsidR="005E30D9">
        <w:t>ř</w:t>
      </w:r>
      <w:r w:rsidR="00BB2E3B">
        <w:t xml:space="preserve">ídicího orgánu </w:t>
      </w:r>
      <w:r w:rsidR="00966557">
        <w:t xml:space="preserve">(dále též „ŘO“) </w:t>
      </w:r>
      <w:r>
        <w:t xml:space="preserve">IROP </w:t>
      </w:r>
      <w:r w:rsidR="001340EE">
        <w:t>nepostupovalo v souladu s MP pro výkon kontrol v odpovědnosti řídicích orgánů při im</w:t>
      </w:r>
      <w:r w:rsidR="00173D57">
        <w:t>plementaci ESIF pro období 2014–</w:t>
      </w:r>
      <w:r w:rsidR="001340EE">
        <w:t>202</w:t>
      </w:r>
      <w:r w:rsidR="00D04268">
        <w:t>0</w:t>
      </w:r>
      <w:r w:rsidR="00C53D0E">
        <w:t xml:space="preserve">. </w:t>
      </w:r>
      <w:r w:rsidR="00382A11">
        <w:t>N</w:t>
      </w:r>
      <w:r w:rsidR="00C53D0E">
        <w:t xml:space="preserve">ezajistilo </w:t>
      </w:r>
      <w:r w:rsidR="00382A11">
        <w:t xml:space="preserve">tak </w:t>
      </w:r>
      <w:r w:rsidR="00C53D0E">
        <w:t xml:space="preserve">v rámci administrativního ověřování, aby byly </w:t>
      </w:r>
      <w:r w:rsidR="00387FD4">
        <w:t xml:space="preserve">schváleny pouze výdaje způsobilé k financování ze zdrojů </w:t>
      </w:r>
      <w:r w:rsidR="00387FD4" w:rsidRPr="00FD3526">
        <w:rPr>
          <w:i/>
        </w:rPr>
        <w:t>Evropského fondu pro regionální rozvoj</w:t>
      </w:r>
      <w:r w:rsidR="00387FD4">
        <w:t xml:space="preserve"> (dále též „EFRR“) podle pravidel vycházejících z</w:t>
      </w:r>
      <w:r w:rsidR="00A3647E">
        <w:t> </w:t>
      </w:r>
      <w:r w:rsidR="00387FD4" w:rsidRPr="00FD3526">
        <w:rPr>
          <w:i/>
        </w:rPr>
        <w:t>Metodic</w:t>
      </w:r>
      <w:r w:rsidR="00A3647E" w:rsidRPr="00FD3526">
        <w:rPr>
          <w:i/>
        </w:rPr>
        <w:t>kého pokynu pro způsobilost výdajů a jejich vykazování v programovém období 2014–2020</w:t>
      </w:r>
      <w:r w:rsidR="00A3647E">
        <w:t xml:space="preserve"> a dále rozpracovaných v pravidlech pro žadatele a příjemce. </w:t>
      </w:r>
    </w:p>
    <w:p w14:paraId="573015CD" w14:textId="20B5B64E" w:rsidR="000C5B01" w:rsidRDefault="000C5B01" w:rsidP="00A3647E">
      <w:pPr>
        <w:pStyle w:val="Odstavecseseznamem"/>
        <w:numPr>
          <w:ilvl w:val="0"/>
          <w:numId w:val="24"/>
        </w:numPr>
        <w:spacing w:before="120" w:after="120"/>
      </w:pPr>
      <w:r>
        <w:t>MMR v řídicí dokumentaci IROP umožnilo apliko</w:t>
      </w:r>
      <w:r w:rsidR="00A94BA8">
        <w:t>vat pravidla stanovená v MP pro</w:t>
      </w:r>
      <w:r w:rsidR="00952D0C">
        <w:t xml:space="preserve"> </w:t>
      </w:r>
      <w:r>
        <w:t>zakázky</w:t>
      </w:r>
      <w:r w:rsidR="005672EB">
        <w:rPr>
          <w:rStyle w:val="Znakapoznpodarou"/>
        </w:rPr>
        <w:footnoteReference w:id="39"/>
      </w:r>
      <w:r>
        <w:t xml:space="preserve"> zpětně, což je v rozporu s MP </w:t>
      </w:r>
      <w:r w:rsidR="005672EB">
        <w:t>pro</w:t>
      </w:r>
      <w:r w:rsidR="00952D0C">
        <w:t xml:space="preserve"> </w:t>
      </w:r>
      <w:r w:rsidR="005672EB">
        <w:t>výkon kontrol v odpovědnosti řídicích orgánů při</w:t>
      </w:r>
      <w:r w:rsidR="00952D0C">
        <w:t xml:space="preserve"> </w:t>
      </w:r>
      <w:r w:rsidR="005672EB">
        <w:t>im</w:t>
      </w:r>
      <w:r w:rsidR="00173D57">
        <w:t>plementaci ESIF pro období 2014–</w:t>
      </w:r>
      <w:r w:rsidR="005672EB">
        <w:t>2020</w:t>
      </w:r>
      <w:r>
        <w:t>. V důsledku aplikace změny pravidel pro</w:t>
      </w:r>
      <w:r w:rsidR="00697B82">
        <w:t xml:space="preserve"> </w:t>
      </w:r>
      <w:r>
        <w:t>kontrolu zakázek malého rozsahu zadávaných podle MP pro zakázky se</w:t>
      </w:r>
      <w:r w:rsidR="00697B82">
        <w:t xml:space="preserve"> </w:t>
      </w:r>
      <w:r>
        <w:t>zpětnou působností v rámci kontrol nelze vyloučit možnost, že budou odlišně kontrolovány zakázky zadávané ve stejném čase, což by zaklád</w:t>
      </w:r>
      <w:r w:rsidR="00A94BA8">
        <w:t>alo riziko nerovného přístupu k </w:t>
      </w:r>
      <w:r>
        <w:t>příjemcům.</w:t>
      </w:r>
    </w:p>
    <w:p w14:paraId="1D592864" w14:textId="147BD5BE" w:rsidR="002E0DC4" w:rsidRDefault="002E0DC4" w:rsidP="002E0DC4">
      <w:pPr>
        <w:keepNext/>
        <w:keepLines/>
        <w:tabs>
          <w:tab w:val="left" w:pos="1985"/>
        </w:tabs>
        <w:spacing w:before="120" w:after="60"/>
        <w:outlineLvl w:val="3"/>
        <w:rPr>
          <w:rFonts w:eastAsiaTheme="majorEastAsia" w:cstheme="minorHAnsi"/>
          <w:iCs/>
          <w:szCs w:val="24"/>
          <w:u w:val="single"/>
          <w:lang w:eastAsia="en-US"/>
        </w:rPr>
      </w:pPr>
      <w:r>
        <w:rPr>
          <w:rFonts w:eastAsiaTheme="majorEastAsia" w:cstheme="minorHAnsi"/>
          <w:iCs/>
          <w:szCs w:val="24"/>
          <w:u w:val="single"/>
          <w:lang w:eastAsia="en-US"/>
        </w:rPr>
        <w:t>Monitorování</w:t>
      </w:r>
    </w:p>
    <w:p w14:paraId="7262F59D" w14:textId="29DC48D1" w:rsidR="005C1077" w:rsidRDefault="00425F84" w:rsidP="001F54D2">
      <w:pPr>
        <w:pStyle w:val="Odstavecseseznamem"/>
        <w:numPr>
          <w:ilvl w:val="0"/>
          <w:numId w:val="24"/>
        </w:numPr>
        <w:spacing w:before="120" w:after="120"/>
      </w:pPr>
      <w:r>
        <w:t>Cílem intervencí v rámci SC 2.5 je snížení energetické náročnosti bytových domů na</w:t>
      </w:r>
      <w:r w:rsidR="00697B82">
        <w:t xml:space="preserve"> </w:t>
      </w:r>
      <w:r>
        <w:t>nákladově optimální úroveň a zvýšení podílu obnovitelných zdrojů energie. Zda bude cíle dosaženo</w:t>
      </w:r>
      <w:r w:rsidR="00966557">
        <w:t>, však</w:t>
      </w:r>
      <w:r>
        <w:t xml:space="preserve"> nelze ověřit. Všechny projekty přispějí k dosažení tohoto cíle, nicméně není zřejmé, zda tohoto cíle bude do konce roku 2023 dosaženo, neboť tento cíl není žádným způsobem vyčíslen.</w:t>
      </w:r>
    </w:p>
    <w:p w14:paraId="7429B4A7" w14:textId="7058EA56" w:rsidR="003B6137" w:rsidRPr="009D773D" w:rsidRDefault="005E30D9" w:rsidP="009D773D">
      <w:pPr>
        <w:pStyle w:val="Odstavecseseznamem"/>
        <w:numPr>
          <w:ilvl w:val="0"/>
          <w:numId w:val="24"/>
        </w:numPr>
        <w:spacing w:before="120" w:after="120"/>
      </w:pPr>
      <w:r>
        <w:t xml:space="preserve">MMR </w:t>
      </w:r>
      <w:r w:rsidR="003B6137">
        <w:t xml:space="preserve">umožnilo souběh dotace a bezúročného úvěru. Žadatelé tak prioritně využívali zejména možnost požádat o nevratnou podporu, tj. dotaci. </w:t>
      </w:r>
      <w:r w:rsidR="009D773D">
        <w:t>C</w:t>
      </w:r>
      <w:r w:rsidR="009D773D" w:rsidRPr="009D773D">
        <w:t>elkové dosažené hodnoty úspor v projektech podpořených pouze návratnou podporou jsou nižší</w:t>
      </w:r>
      <w:r w:rsidR="009D773D">
        <w:t>, a to z</w:t>
      </w:r>
      <w:r>
        <w:t xml:space="preserve"> </w:t>
      </w:r>
      <w:r w:rsidR="009D773D">
        <w:t xml:space="preserve">toho důvodu, </w:t>
      </w:r>
      <w:r w:rsidR="009D773D" w:rsidRPr="009D773D">
        <w:t>že nezahrnují úspory energie generované v</w:t>
      </w:r>
      <w:r w:rsidR="006317B2">
        <w:t> </w:t>
      </w:r>
      <w:r w:rsidR="009D773D" w:rsidRPr="009D773D">
        <w:t>projektech, které jsou financovány z obou typů podpor zároveň. Důvodem nezahrnutí hodnot úspor z projektů, kde je využita kombinace obou podpor, je eliminování duplicit v těchto hodnotách.</w:t>
      </w:r>
    </w:p>
    <w:p w14:paraId="687F7EF2" w14:textId="0987D22E" w:rsidR="00787166" w:rsidRDefault="00787166" w:rsidP="00A91587">
      <w:pPr>
        <w:pStyle w:val="N2"/>
      </w:pPr>
      <w:r w:rsidRPr="008F501F">
        <w:t xml:space="preserve">IV.1.2 </w:t>
      </w:r>
      <w:r>
        <w:t>Činnosti CRR</w:t>
      </w:r>
      <w:r w:rsidR="008D0626">
        <w:t xml:space="preserve"> v roli</w:t>
      </w:r>
      <w:r w:rsidRPr="008F501F">
        <w:t xml:space="preserve"> zprostředkující</w:t>
      </w:r>
      <w:r>
        <w:t>ho</w:t>
      </w:r>
      <w:r w:rsidRPr="008F501F">
        <w:t xml:space="preserve"> subjekt</w:t>
      </w:r>
      <w:r>
        <w:t>u</w:t>
      </w:r>
      <w:r w:rsidRPr="008F501F">
        <w:t xml:space="preserve"> IROP</w:t>
      </w:r>
    </w:p>
    <w:p w14:paraId="3A96D3CD" w14:textId="6A98757F" w:rsidR="000C5B01" w:rsidRPr="000C5B01" w:rsidRDefault="000C5B01" w:rsidP="00EA25A3">
      <w:pPr>
        <w:spacing w:after="120"/>
      </w:pPr>
      <w:r w:rsidRPr="000C5B01">
        <w:t>CRR při výkonu administrativních činností, které mu byly de</w:t>
      </w:r>
      <w:r w:rsidR="00A94BA8">
        <w:t>legovány, přispívá k účelnému a </w:t>
      </w:r>
      <w:r w:rsidRPr="000C5B01">
        <w:t>efektivnímu čerpání podpory z IROP.</w:t>
      </w:r>
    </w:p>
    <w:p w14:paraId="66BCFC44" w14:textId="2C811412" w:rsidR="000C5B01" w:rsidRPr="000C5B01" w:rsidRDefault="000C5B01" w:rsidP="000C5B01">
      <w:r w:rsidRPr="000C5B01">
        <w:t>CRR však v některých případech nepostupo</w:t>
      </w:r>
      <w:r w:rsidR="00EA25A3">
        <w:t>val</w:t>
      </w:r>
      <w:r w:rsidR="001376AF">
        <w:t>o</w:t>
      </w:r>
      <w:r w:rsidR="00EA25A3">
        <w:t xml:space="preserve"> v souladu s pravidly IROP.</w:t>
      </w:r>
    </w:p>
    <w:p w14:paraId="7E360997" w14:textId="7A470EA4" w:rsidR="00787166" w:rsidRPr="008F501F" w:rsidRDefault="00787166" w:rsidP="000C5B01">
      <w:pPr>
        <w:keepNext/>
        <w:keepLines/>
        <w:tabs>
          <w:tab w:val="left" w:pos="1985"/>
        </w:tabs>
        <w:spacing w:before="120" w:after="120"/>
        <w:outlineLvl w:val="3"/>
        <w:rPr>
          <w:rFonts w:eastAsiaTheme="majorEastAsia" w:cstheme="minorHAnsi"/>
          <w:iCs/>
          <w:szCs w:val="24"/>
          <w:u w:val="single"/>
          <w:lang w:eastAsia="en-US"/>
        </w:rPr>
      </w:pPr>
      <w:r w:rsidRPr="008F501F">
        <w:rPr>
          <w:rFonts w:eastAsiaTheme="majorEastAsia" w:cstheme="minorHAnsi"/>
          <w:iCs/>
          <w:szCs w:val="24"/>
          <w:u w:val="single"/>
          <w:lang w:eastAsia="en-US"/>
        </w:rPr>
        <w:t>Hodnocení a výběr projektů</w:t>
      </w:r>
    </w:p>
    <w:p w14:paraId="7A1AD379" w14:textId="02E2332D" w:rsidR="00787166" w:rsidRPr="005752F5" w:rsidRDefault="00787166" w:rsidP="00787166">
      <w:pPr>
        <w:autoSpaceDE w:val="0"/>
        <w:autoSpaceDN w:val="0"/>
        <w:adjustRightInd w:val="0"/>
        <w:rPr>
          <w:rFonts w:eastAsiaTheme="majorEastAsia" w:cstheme="minorHAnsi"/>
          <w:iCs/>
          <w:szCs w:val="24"/>
          <w:lang w:eastAsia="en-US"/>
        </w:rPr>
      </w:pPr>
      <w:r w:rsidRPr="005752F5">
        <w:rPr>
          <w:rFonts w:cstheme="minorHAnsi"/>
          <w:bCs/>
          <w:szCs w:val="24"/>
        </w:rPr>
        <w:t>Kontrolou NKÚ nebyly z hlediska účelnosti zjištěny nedostatky v nastavení systému hodnocení a výběru projektů. Byly zjištěny nedostatky v dodržování administrativních lhůt, tj. nebyl dodržen postup stanovený v </w:t>
      </w:r>
      <w:r w:rsidR="005E30D9">
        <w:rPr>
          <w:rFonts w:cstheme="minorHAnsi"/>
          <w:bCs/>
          <w:szCs w:val="24"/>
        </w:rPr>
        <w:t>o</w:t>
      </w:r>
      <w:r w:rsidRPr="005752F5">
        <w:rPr>
          <w:rFonts w:cstheme="minorHAnsi"/>
          <w:bCs/>
          <w:szCs w:val="24"/>
        </w:rPr>
        <w:t>peračním manuálu IROP:</w:t>
      </w:r>
    </w:p>
    <w:p w14:paraId="722FBF44" w14:textId="3C7626E4" w:rsidR="00787166" w:rsidRPr="008F501F" w:rsidRDefault="00787166" w:rsidP="00264849">
      <w:pPr>
        <w:pStyle w:val="Odstavecseseznamem"/>
        <w:numPr>
          <w:ilvl w:val="0"/>
          <w:numId w:val="21"/>
        </w:numPr>
        <w:rPr>
          <w:rFonts w:eastAsiaTheme="majorEastAsia" w:cstheme="minorHAnsi"/>
          <w:lang w:eastAsia="en-US"/>
        </w:rPr>
      </w:pPr>
      <w:r w:rsidRPr="008F501F">
        <w:rPr>
          <w:rFonts w:eastAsiaTheme="majorEastAsia" w:cstheme="minorHAnsi"/>
          <w:lang w:eastAsia="en-US"/>
        </w:rPr>
        <w:t xml:space="preserve">CRR v případě </w:t>
      </w:r>
      <w:r w:rsidR="00DF2E71">
        <w:rPr>
          <w:rFonts w:eastAsiaTheme="majorEastAsia" w:cstheme="minorHAnsi"/>
          <w:lang w:eastAsia="en-US"/>
        </w:rPr>
        <w:t xml:space="preserve">čtyř </w:t>
      </w:r>
      <w:r w:rsidRPr="008F501F">
        <w:rPr>
          <w:rFonts w:eastAsiaTheme="majorEastAsia" w:cstheme="minorHAnsi"/>
          <w:lang w:eastAsia="en-US"/>
        </w:rPr>
        <w:t>projektů</w:t>
      </w:r>
      <w:r w:rsidR="00DF2E71">
        <w:rPr>
          <w:rFonts w:eastAsiaTheme="majorEastAsia" w:cstheme="minorHAnsi"/>
          <w:lang w:eastAsia="en-US"/>
        </w:rPr>
        <w:t xml:space="preserve"> </w:t>
      </w:r>
      <w:r w:rsidRPr="008F501F">
        <w:rPr>
          <w:rFonts w:eastAsiaTheme="majorEastAsia" w:cstheme="minorHAnsi"/>
          <w:lang w:eastAsia="en-US"/>
        </w:rPr>
        <w:t>překročilo celkovou administrativní lhůtu pro kontrolu přijatelnosti a formálních náležitostí v délce 35 pracovních dní</w:t>
      </w:r>
      <w:r w:rsidR="00D32280">
        <w:rPr>
          <w:rFonts w:eastAsiaTheme="majorEastAsia" w:cstheme="minorHAnsi"/>
          <w:lang w:eastAsia="en-US"/>
        </w:rPr>
        <w:t>;</w:t>
      </w:r>
      <w:r w:rsidRPr="008F501F">
        <w:rPr>
          <w:rFonts w:eastAsiaTheme="majorEastAsia" w:cstheme="minorHAnsi"/>
          <w:lang w:eastAsia="en-US"/>
        </w:rPr>
        <w:t xml:space="preserve"> </w:t>
      </w:r>
    </w:p>
    <w:p w14:paraId="2CC98CB7" w14:textId="092909FF" w:rsidR="00787166" w:rsidRPr="008F501F" w:rsidRDefault="00787166" w:rsidP="00264849">
      <w:pPr>
        <w:pStyle w:val="Odstavecseseznamem"/>
        <w:numPr>
          <w:ilvl w:val="0"/>
          <w:numId w:val="21"/>
        </w:numPr>
        <w:rPr>
          <w:rFonts w:eastAsiaTheme="majorEastAsia" w:cstheme="minorHAnsi"/>
          <w:lang w:eastAsia="en-US"/>
        </w:rPr>
      </w:pPr>
      <w:r w:rsidRPr="008F501F">
        <w:rPr>
          <w:rFonts w:eastAsiaTheme="majorEastAsia" w:cstheme="minorHAnsi"/>
          <w:lang w:eastAsia="en-US"/>
        </w:rPr>
        <w:t xml:space="preserve">CRR v případě </w:t>
      </w:r>
      <w:r w:rsidR="00D32280">
        <w:rPr>
          <w:rFonts w:eastAsiaTheme="majorEastAsia" w:cstheme="minorHAnsi"/>
          <w:lang w:eastAsia="en-US"/>
        </w:rPr>
        <w:t xml:space="preserve">dvou </w:t>
      </w:r>
      <w:r w:rsidRPr="008F501F">
        <w:rPr>
          <w:rFonts w:eastAsiaTheme="majorEastAsia" w:cstheme="minorHAnsi"/>
          <w:lang w:eastAsia="en-US"/>
        </w:rPr>
        <w:t>projektů při zpracování seznamu hodnocených projektů překročilo lhůtu pro doporučení poskytnutí dotace v délce 15 pracovních dní</w:t>
      </w:r>
      <w:r w:rsidR="00D32280">
        <w:rPr>
          <w:rFonts w:eastAsiaTheme="majorEastAsia" w:cstheme="minorHAnsi"/>
          <w:lang w:eastAsia="en-US"/>
        </w:rPr>
        <w:t>;</w:t>
      </w:r>
      <w:r w:rsidRPr="008F501F">
        <w:rPr>
          <w:rFonts w:eastAsiaTheme="majorEastAsia" w:cstheme="minorHAnsi"/>
          <w:lang w:eastAsia="en-US"/>
        </w:rPr>
        <w:t xml:space="preserve"> </w:t>
      </w:r>
    </w:p>
    <w:p w14:paraId="4B280971" w14:textId="71386A50" w:rsidR="00787166" w:rsidRPr="008F501F" w:rsidRDefault="00787166" w:rsidP="00264849">
      <w:pPr>
        <w:pStyle w:val="Odstavecseseznamem"/>
        <w:numPr>
          <w:ilvl w:val="0"/>
          <w:numId w:val="21"/>
        </w:numPr>
        <w:rPr>
          <w:rFonts w:eastAsiaTheme="majorEastAsia" w:cstheme="minorHAnsi"/>
          <w:lang w:eastAsia="en-US"/>
        </w:rPr>
      </w:pPr>
      <w:r w:rsidRPr="008F501F">
        <w:rPr>
          <w:rFonts w:eastAsiaTheme="majorEastAsia" w:cstheme="minorHAnsi"/>
          <w:lang w:eastAsia="en-US"/>
        </w:rPr>
        <w:t xml:space="preserve">CRR v případě </w:t>
      </w:r>
      <w:r w:rsidR="00D32280">
        <w:rPr>
          <w:rFonts w:eastAsiaTheme="majorEastAsia" w:cstheme="minorHAnsi"/>
          <w:lang w:eastAsia="en-US"/>
        </w:rPr>
        <w:t xml:space="preserve">jednoho </w:t>
      </w:r>
      <w:r w:rsidRPr="008F501F">
        <w:rPr>
          <w:rFonts w:eastAsiaTheme="majorEastAsia" w:cstheme="minorHAnsi"/>
          <w:lang w:eastAsia="en-US"/>
        </w:rPr>
        <w:t>projektu překročilo lhůtu pro zpr</w:t>
      </w:r>
      <w:r w:rsidR="00A94BA8">
        <w:rPr>
          <w:rFonts w:eastAsiaTheme="majorEastAsia" w:cstheme="minorHAnsi"/>
          <w:lang w:eastAsia="en-US"/>
        </w:rPr>
        <w:t>acování ex-ante analýzy rizik v </w:t>
      </w:r>
      <w:r w:rsidRPr="008F501F">
        <w:rPr>
          <w:rFonts w:eastAsiaTheme="majorEastAsia" w:cstheme="minorHAnsi"/>
          <w:lang w:eastAsia="en-US"/>
        </w:rPr>
        <w:t>délce 8 pracovních dní.</w:t>
      </w:r>
    </w:p>
    <w:p w14:paraId="59FF2065" w14:textId="2A85D2F2" w:rsidR="00787166" w:rsidRPr="001376AF" w:rsidRDefault="00787166" w:rsidP="000C5B01">
      <w:pPr>
        <w:keepNext/>
        <w:keepLines/>
        <w:tabs>
          <w:tab w:val="left" w:pos="1985"/>
        </w:tabs>
        <w:spacing w:before="120" w:after="120"/>
        <w:outlineLvl w:val="3"/>
        <w:rPr>
          <w:rFonts w:eastAsiaTheme="majorEastAsia" w:cstheme="minorHAnsi"/>
          <w:iCs/>
          <w:szCs w:val="24"/>
          <w:lang w:eastAsia="en-US"/>
        </w:rPr>
      </w:pPr>
      <w:r w:rsidRPr="008F501F">
        <w:rPr>
          <w:rFonts w:eastAsiaTheme="majorEastAsia" w:cstheme="minorHAnsi"/>
          <w:iCs/>
          <w:szCs w:val="24"/>
          <w:u w:val="single"/>
          <w:lang w:eastAsia="en-US"/>
        </w:rPr>
        <w:lastRenderedPageBreak/>
        <w:t>Kontrol</w:t>
      </w:r>
      <w:r w:rsidR="001376AF">
        <w:rPr>
          <w:rFonts w:eastAsiaTheme="majorEastAsia" w:cstheme="minorHAnsi"/>
          <w:iCs/>
          <w:szCs w:val="24"/>
          <w:u w:val="single"/>
          <w:lang w:eastAsia="en-US"/>
        </w:rPr>
        <w:t>ní činnost</w:t>
      </w:r>
    </w:p>
    <w:p w14:paraId="308902AE" w14:textId="07C1A6AC" w:rsidR="001376AF" w:rsidRPr="00DF2E71" w:rsidRDefault="001376AF" w:rsidP="00DF2E71">
      <w:pPr>
        <w:pStyle w:val="Odstavecseseznamem"/>
        <w:keepNext/>
        <w:keepLines/>
        <w:numPr>
          <w:ilvl w:val="0"/>
          <w:numId w:val="53"/>
        </w:numPr>
        <w:tabs>
          <w:tab w:val="left" w:pos="1985"/>
        </w:tabs>
        <w:spacing w:before="120" w:after="120"/>
        <w:outlineLvl w:val="3"/>
        <w:rPr>
          <w:rFonts w:eastAsiaTheme="majorEastAsia" w:cstheme="minorHAnsi"/>
          <w:iCs/>
          <w:szCs w:val="24"/>
          <w:lang w:eastAsia="en-US"/>
        </w:rPr>
      </w:pPr>
      <w:r w:rsidRPr="00DF2E71">
        <w:rPr>
          <w:rFonts w:eastAsiaTheme="majorEastAsia" w:cstheme="minorHAnsi"/>
          <w:iCs/>
          <w:szCs w:val="24"/>
          <w:lang w:eastAsia="en-US"/>
        </w:rPr>
        <w:t xml:space="preserve">Na základě smlouvy o delegovaných činnostech provádí CRR </w:t>
      </w:r>
      <w:r w:rsidR="00A94BA8" w:rsidRPr="00DF2E71">
        <w:rPr>
          <w:rFonts w:eastAsiaTheme="majorEastAsia" w:cstheme="minorHAnsi"/>
          <w:iCs/>
          <w:szCs w:val="24"/>
          <w:lang w:eastAsia="en-US"/>
        </w:rPr>
        <w:t>administrativní ověření zpráv o</w:t>
      </w:r>
      <w:r w:rsidR="007811B4">
        <w:rPr>
          <w:rFonts w:eastAsiaTheme="majorEastAsia" w:cstheme="minorHAnsi"/>
          <w:iCs/>
          <w:szCs w:val="24"/>
          <w:lang w:eastAsia="en-US"/>
        </w:rPr>
        <w:t xml:space="preserve"> </w:t>
      </w:r>
      <w:r w:rsidRPr="00DF2E71">
        <w:rPr>
          <w:rFonts w:eastAsiaTheme="majorEastAsia" w:cstheme="minorHAnsi"/>
          <w:iCs/>
          <w:szCs w:val="24"/>
          <w:lang w:eastAsia="en-US"/>
        </w:rPr>
        <w:t xml:space="preserve">realizaci, žádostí o platbu a vykonává veřejnosprávní kontroly na místě. V této oblasti byly identifikovány nedostatky, které se týkají posuzování způsobilosti výdajů. </w:t>
      </w:r>
    </w:p>
    <w:p w14:paraId="5E227CAE" w14:textId="56B92EA7" w:rsidR="006C3365" w:rsidRPr="00DF2E71" w:rsidRDefault="001376AF" w:rsidP="00DF2E71">
      <w:pPr>
        <w:pStyle w:val="Odstavecseseznamem"/>
        <w:numPr>
          <w:ilvl w:val="0"/>
          <w:numId w:val="52"/>
        </w:numPr>
        <w:rPr>
          <w:rFonts w:eastAsiaTheme="majorEastAsia"/>
          <w:lang w:eastAsia="en-US"/>
        </w:rPr>
      </w:pPr>
      <w:r w:rsidRPr="00DF2E71">
        <w:rPr>
          <w:rFonts w:eastAsiaTheme="majorEastAsia"/>
          <w:lang w:eastAsia="en-US"/>
        </w:rPr>
        <w:t>CRR neodhalilo u</w:t>
      </w:r>
      <w:r w:rsidR="00391F45">
        <w:rPr>
          <w:rFonts w:eastAsiaTheme="majorEastAsia"/>
          <w:lang w:eastAsia="en-US"/>
        </w:rPr>
        <w:t xml:space="preserve"> </w:t>
      </w:r>
      <w:r w:rsidRPr="00DF2E71">
        <w:rPr>
          <w:rFonts w:eastAsiaTheme="majorEastAsia"/>
          <w:lang w:eastAsia="en-US"/>
        </w:rPr>
        <w:t>projektu nezpůsobilé výdaje, které příjemce uplatnil v rámci výdajů za stavební</w:t>
      </w:r>
      <w:r w:rsidR="00E112FF" w:rsidRPr="00DF2E71">
        <w:rPr>
          <w:rFonts w:eastAsiaTheme="majorEastAsia"/>
          <w:lang w:eastAsia="en-US"/>
        </w:rPr>
        <w:t xml:space="preserve"> práce</w:t>
      </w:r>
      <w:r w:rsidR="00D32280">
        <w:rPr>
          <w:rFonts w:eastAsiaTheme="majorEastAsia"/>
          <w:lang w:eastAsia="en-US"/>
        </w:rPr>
        <w:t>; v</w:t>
      </w:r>
      <w:r w:rsidR="00E112FF" w:rsidRPr="00517823">
        <w:t>ýdaje</w:t>
      </w:r>
      <w:r w:rsidR="00E112FF">
        <w:t xml:space="preserve"> nesplňovaly hledisko věcné způsobilosti stanovené v pravidlech pro žadatele a příjemce. </w:t>
      </w:r>
    </w:p>
    <w:p w14:paraId="5C7028D4" w14:textId="6BD9D20B" w:rsidR="009B281D" w:rsidRDefault="005D4660" w:rsidP="00A91587">
      <w:pPr>
        <w:pStyle w:val="N2"/>
      </w:pPr>
      <w:r>
        <w:t xml:space="preserve">IV.1.3 </w:t>
      </w:r>
      <w:r w:rsidR="00187BAA">
        <w:t>Příjemci podpory z</w:t>
      </w:r>
      <w:r w:rsidR="00527B60">
        <w:t> </w:t>
      </w:r>
      <w:r w:rsidR="00187BAA">
        <w:t>IROP</w:t>
      </w:r>
    </w:p>
    <w:p w14:paraId="0FC1EB5B" w14:textId="7134DDB7" w:rsidR="006A6E75" w:rsidRDefault="008C2678" w:rsidP="008C2678">
      <w:pPr>
        <w:spacing w:after="120"/>
      </w:pPr>
      <w:r>
        <w:t xml:space="preserve">Kontrolované osoby v roli příjemců dotace z IROP čerpaly peněžní prostředky </w:t>
      </w:r>
      <w:r w:rsidR="00E26719">
        <w:t xml:space="preserve">na stanovený účel, s využitím dotačních prostředků dle schváleného projektu </w:t>
      </w:r>
      <w:r>
        <w:t xml:space="preserve">a většina z nich i v souladu s právními předpisy. NKÚ zjistil </w:t>
      </w:r>
      <w:r w:rsidR="00FA700D">
        <w:t xml:space="preserve">pochybení </w:t>
      </w:r>
      <w:r w:rsidR="00A94BA8">
        <w:t xml:space="preserve">u </w:t>
      </w:r>
      <w:r w:rsidR="00E5254D">
        <w:t>j</w:t>
      </w:r>
      <w:r w:rsidR="00700D07">
        <w:t xml:space="preserve">ednoho </w:t>
      </w:r>
      <w:r w:rsidR="00A94BA8">
        <w:t>projektu</w:t>
      </w:r>
      <w:r w:rsidR="00FA700D">
        <w:t>, kd</w:t>
      </w:r>
      <w:r w:rsidR="007811B4">
        <w:t>e</w:t>
      </w:r>
      <w:r w:rsidR="006A6E75">
        <w:t>:</w:t>
      </w:r>
    </w:p>
    <w:p w14:paraId="02931058" w14:textId="5D3D4139" w:rsidR="008C2678" w:rsidRDefault="006A6E75" w:rsidP="0057695B">
      <w:pPr>
        <w:pStyle w:val="Odstavecseseznamem"/>
        <w:numPr>
          <w:ilvl w:val="0"/>
          <w:numId w:val="50"/>
        </w:numPr>
        <w:spacing w:after="120"/>
      </w:pPr>
      <w:r>
        <w:t xml:space="preserve">příjemce nepostupoval dle </w:t>
      </w:r>
      <w:r w:rsidR="007811B4" w:rsidRPr="00FD3526">
        <w:rPr>
          <w:i/>
        </w:rPr>
        <w:t>s</w:t>
      </w:r>
      <w:r w:rsidRPr="00FD3526">
        <w:rPr>
          <w:i/>
        </w:rPr>
        <w:t>pecifických pravidel pro žadatele a příjemce</w:t>
      </w:r>
      <w:r>
        <w:t xml:space="preserve">, když uplatnil </w:t>
      </w:r>
      <w:r w:rsidR="00D62A4B">
        <w:t>vůči poskytovateli</w:t>
      </w:r>
      <w:r>
        <w:t xml:space="preserve"> nezpů</w:t>
      </w:r>
      <w:r w:rsidR="00DF2E71">
        <w:t>so</w:t>
      </w:r>
      <w:r>
        <w:t xml:space="preserve">bilé výdaje </w:t>
      </w:r>
      <w:r w:rsidR="00FA700D">
        <w:t xml:space="preserve">ve výši 40 724 Kč </w:t>
      </w:r>
      <w:r>
        <w:t>za stavební práce, které nebyly přímo spojeny s dosažením vyšší úrovně energetické účinnosti;</w:t>
      </w:r>
    </w:p>
    <w:p w14:paraId="1052669B" w14:textId="4512F1B3" w:rsidR="002D1E19" w:rsidRDefault="00FA700D" w:rsidP="006A6E75">
      <w:pPr>
        <w:pStyle w:val="Odstavecseseznamem"/>
        <w:numPr>
          <w:ilvl w:val="0"/>
          <w:numId w:val="50"/>
        </w:numPr>
        <w:spacing w:after="120"/>
      </w:pPr>
      <w:r>
        <w:t>příjemce čerpal n</w:t>
      </w:r>
      <w:r w:rsidR="002D1E19">
        <w:t>eúčeln</w:t>
      </w:r>
      <w:r>
        <w:t>ě</w:t>
      </w:r>
      <w:r w:rsidR="002D1E19">
        <w:t xml:space="preserve"> a neefektivn</w:t>
      </w:r>
      <w:r>
        <w:t>ě</w:t>
      </w:r>
      <w:r w:rsidR="002D1E19">
        <w:t xml:space="preserve"> peněžní prostředk</w:t>
      </w:r>
      <w:r>
        <w:t>y</w:t>
      </w:r>
      <w:r w:rsidR="002D1E19">
        <w:t xml:space="preserve"> na realizaci projektu úhradou zvýšených výdajů, které představovaly rozdíl mezi původně rozpočtovanými náklady na výměnu oken a skutečně vynaloženými výdaji na nadstandardní provedení oken o větším rozměru v nově vybudovaném nebytovém prostoru ve 14. patře podpořené budovy.</w:t>
      </w:r>
    </w:p>
    <w:p w14:paraId="744CCBCD" w14:textId="02CF3081" w:rsidR="00FA700D" w:rsidRDefault="00FA700D" w:rsidP="00FA700D">
      <w:pPr>
        <w:spacing w:after="120"/>
      </w:pPr>
      <w:r>
        <w:t xml:space="preserve">Vynaložení </w:t>
      </w:r>
      <w:r w:rsidR="00D62A4B">
        <w:t xml:space="preserve">dotačních prostředků na úhradu </w:t>
      </w:r>
      <w:r>
        <w:t xml:space="preserve">nezpůsobilých výdajů je porušením rozpočtové kázně. </w:t>
      </w:r>
      <w:r w:rsidRPr="00FA700D">
        <w:t>NKÚ oznámil tato pochybení příslušnému správci daně</w:t>
      </w:r>
      <w:r w:rsidR="007811B4">
        <w:t>.</w:t>
      </w:r>
      <w:r>
        <w:rPr>
          <w:rStyle w:val="Znakapoznpodarou"/>
        </w:rPr>
        <w:footnoteReference w:id="40"/>
      </w:r>
    </w:p>
    <w:p w14:paraId="3FD29DB0" w14:textId="38DB5F19" w:rsidR="00D13B8A" w:rsidRPr="00DF6251" w:rsidRDefault="005D4660" w:rsidP="00F83B3D">
      <w:pPr>
        <w:spacing w:after="120"/>
        <w:outlineLvl w:val="1"/>
        <w:rPr>
          <w:rFonts w:cstheme="minorHAnsi"/>
          <w:b/>
        </w:rPr>
      </w:pPr>
      <w:r>
        <w:rPr>
          <w:rFonts w:cstheme="minorHAnsi"/>
          <w:b/>
        </w:rPr>
        <w:t xml:space="preserve">IV.2 </w:t>
      </w:r>
      <w:r w:rsidR="00774C4C">
        <w:rPr>
          <w:rFonts w:cstheme="minorHAnsi"/>
          <w:b/>
        </w:rPr>
        <w:t>Poskytování a čerpání peněžních prostředků z programu NZÚ</w:t>
      </w:r>
    </w:p>
    <w:p w14:paraId="54098933" w14:textId="5AF84933" w:rsidR="00187BAA" w:rsidRDefault="005D4660" w:rsidP="00A91587">
      <w:pPr>
        <w:pStyle w:val="N2"/>
      </w:pPr>
      <w:r>
        <w:t>IV.</w:t>
      </w:r>
      <w:r w:rsidR="006909AD">
        <w:t xml:space="preserve">2.1 </w:t>
      </w:r>
      <w:r w:rsidR="00787166">
        <w:t xml:space="preserve">Činnosti </w:t>
      </w:r>
      <w:r w:rsidR="006909AD">
        <w:t>M</w:t>
      </w:r>
      <w:r w:rsidR="00787166">
        <w:t xml:space="preserve">ŽP </w:t>
      </w:r>
      <w:r w:rsidR="008D0626">
        <w:t>v roli</w:t>
      </w:r>
      <w:r w:rsidR="006909AD">
        <w:t xml:space="preserve"> správce programu NZÚ</w:t>
      </w:r>
    </w:p>
    <w:p w14:paraId="6E2DF4ED" w14:textId="5BE2357C" w:rsidR="005849EB" w:rsidRDefault="003249FC" w:rsidP="005849EB">
      <w:pPr>
        <w:keepNext/>
        <w:keepLines/>
        <w:tabs>
          <w:tab w:val="left" w:pos="1985"/>
        </w:tabs>
        <w:spacing w:before="120" w:after="60"/>
        <w:outlineLvl w:val="3"/>
        <w:rPr>
          <w:rFonts w:eastAsiaTheme="majorEastAsia" w:cstheme="minorHAnsi"/>
          <w:iCs/>
          <w:szCs w:val="24"/>
          <w:u w:val="single"/>
          <w:lang w:eastAsia="en-US"/>
        </w:rPr>
      </w:pPr>
      <w:r>
        <w:rPr>
          <w:rFonts w:eastAsiaTheme="majorEastAsia" w:cstheme="minorHAnsi"/>
          <w:iCs/>
          <w:szCs w:val="24"/>
          <w:u w:val="single"/>
          <w:lang w:eastAsia="en-US"/>
        </w:rPr>
        <w:t>N</w:t>
      </w:r>
      <w:r w:rsidR="009F6933">
        <w:rPr>
          <w:rFonts w:eastAsiaTheme="majorEastAsia" w:cstheme="minorHAnsi"/>
          <w:iCs/>
          <w:szCs w:val="24"/>
          <w:u w:val="single"/>
          <w:lang w:eastAsia="en-US"/>
        </w:rPr>
        <w:t>astavení programu NZÚ</w:t>
      </w:r>
      <w:r>
        <w:rPr>
          <w:rFonts w:eastAsiaTheme="majorEastAsia" w:cstheme="minorHAnsi"/>
          <w:iCs/>
          <w:szCs w:val="24"/>
          <w:u w:val="single"/>
          <w:lang w:eastAsia="en-US"/>
        </w:rPr>
        <w:t>, plánování výzev</w:t>
      </w:r>
    </w:p>
    <w:p w14:paraId="1A41D6FA" w14:textId="07C0CE1A" w:rsidR="003249FC" w:rsidRDefault="003249FC" w:rsidP="003249FC">
      <w:pPr>
        <w:pStyle w:val="Odstavecseseznamem"/>
        <w:numPr>
          <w:ilvl w:val="0"/>
          <w:numId w:val="59"/>
        </w:numPr>
        <w:spacing w:after="120"/>
        <w:rPr>
          <w:rFonts w:eastAsiaTheme="minorHAnsi"/>
        </w:rPr>
      </w:pPr>
      <w:r w:rsidRPr="003249FC">
        <w:rPr>
          <w:rFonts w:eastAsiaTheme="minorHAnsi"/>
        </w:rPr>
        <w:t xml:space="preserve">MŽP provedlo změny v alokacích </w:t>
      </w:r>
      <w:r w:rsidR="00FD3526">
        <w:rPr>
          <w:rFonts w:eastAsiaTheme="minorHAnsi"/>
        </w:rPr>
        <w:t xml:space="preserve">pro výzvy jednotlivých podprogramů </w:t>
      </w:r>
      <w:r w:rsidRPr="003249FC">
        <w:rPr>
          <w:rFonts w:eastAsiaTheme="minorHAnsi"/>
        </w:rPr>
        <w:t xml:space="preserve">v návaznosti na </w:t>
      </w:r>
      <w:r w:rsidR="007811B4">
        <w:rPr>
          <w:rFonts w:eastAsiaTheme="minorHAnsi"/>
        </w:rPr>
        <w:t>nepříznivý</w:t>
      </w:r>
      <w:r w:rsidRPr="003249FC">
        <w:rPr>
          <w:rFonts w:eastAsiaTheme="minorHAnsi"/>
        </w:rPr>
        <w:t xml:space="preserve"> vývoj čerpání podprogramu </w:t>
      </w:r>
      <w:r w:rsidRPr="003249FC">
        <w:rPr>
          <w:rFonts w:eastAsiaTheme="minorHAnsi"/>
          <w:i/>
        </w:rPr>
        <w:t>Bytové domy</w:t>
      </w:r>
      <w:r w:rsidRPr="00FD3526">
        <w:rPr>
          <w:rFonts w:eastAsiaTheme="minorHAnsi"/>
        </w:rPr>
        <w:t>,</w:t>
      </w:r>
      <w:r w:rsidRPr="007811B4">
        <w:rPr>
          <w:rFonts w:eastAsiaTheme="minorHAnsi"/>
        </w:rPr>
        <w:t xml:space="preserve"> </w:t>
      </w:r>
      <w:r w:rsidRPr="003249FC">
        <w:rPr>
          <w:rFonts w:eastAsiaTheme="minorHAnsi"/>
        </w:rPr>
        <w:t>který byl zapříčiněn pozdějším zahájením realizace tohoto podprogramu a nast</w:t>
      </w:r>
      <w:r w:rsidR="000A5C77">
        <w:rPr>
          <w:rFonts w:eastAsiaTheme="minorHAnsi"/>
        </w:rPr>
        <w:t xml:space="preserve">avením </w:t>
      </w:r>
      <w:r w:rsidR="007811B4" w:rsidRPr="003249FC">
        <w:rPr>
          <w:rFonts w:eastAsiaTheme="minorHAnsi"/>
        </w:rPr>
        <w:t>nízk</w:t>
      </w:r>
      <w:r w:rsidR="007811B4">
        <w:rPr>
          <w:rFonts w:eastAsiaTheme="minorHAnsi"/>
        </w:rPr>
        <w:t>é</w:t>
      </w:r>
      <w:r w:rsidR="007811B4" w:rsidRPr="003249FC">
        <w:rPr>
          <w:rFonts w:eastAsiaTheme="minorHAnsi"/>
        </w:rPr>
        <w:t xml:space="preserve"> </w:t>
      </w:r>
      <w:r w:rsidR="000A5C77">
        <w:rPr>
          <w:rFonts w:eastAsiaTheme="minorHAnsi"/>
        </w:rPr>
        <w:t>míry dotace na úrovni 10–</w:t>
      </w:r>
      <w:r w:rsidRPr="003249FC">
        <w:rPr>
          <w:rFonts w:eastAsiaTheme="minorHAnsi"/>
        </w:rPr>
        <w:t>15 %, která nebyla pro potenciální žadatele příliš atraktivní</w:t>
      </w:r>
      <w:r w:rsidR="00080E5C">
        <w:rPr>
          <w:rFonts w:eastAsiaTheme="minorHAnsi"/>
        </w:rPr>
        <w:t xml:space="preserve">, a proto byla </w:t>
      </w:r>
      <w:r w:rsidR="000A5C77">
        <w:rPr>
          <w:rFonts w:eastAsiaTheme="minorHAnsi"/>
        </w:rPr>
        <w:t>navýšena na úroveň 25–</w:t>
      </w:r>
      <w:r w:rsidR="00080E5C">
        <w:rPr>
          <w:rFonts w:eastAsiaTheme="minorHAnsi"/>
        </w:rPr>
        <w:t>30</w:t>
      </w:r>
      <w:r w:rsidR="00270B60">
        <w:rPr>
          <w:rFonts w:eastAsiaTheme="minorHAnsi"/>
        </w:rPr>
        <w:t xml:space="preserve"> </w:t>
      </w:r>
      <w:r w:rsidR="00080E5C">
        <w:rPr>
          <w:rFonts w:eastAsiaTheme="minorHAnsi"/>
        </w:rPr>
        <w:t>% a</w:t>
      </w:r>
      <w:r w:rsidR="00B773BC">
        <w:rPr>
          <w:rFonts w:eastAsiaTheme="minorHAnsi"/>
        </w:rPr>
        <w:t xml:space="preserve"> </w:t>
      </w:r>
      <w:r w:rsidR="00080E5C">
        <w:rPr>
          <w:rFonts w:eastAsiaTheme="minorHAnsi"/>
        </w:rPr>
        <w:t>teprv</w:t>
      </w:r>
      <w:r w:rsidR="002535A6">
        <w:rPr>
          <w:rFonts w:eastAsiaTheme="minorHAnsi"/>
        </w:rPr>
        <w:t xml:space="preserve">e </w:t>
      </w:r>
      <w:r w:rsidR="00080E5C">
        <w:rPr>
          <w:rFonts w:eastAsiaTheme="minorHAnsi"/>
        </w:rPr>
        <w:t>od 30.</w:t>
      </w:r>
      <w:r w:rsidR="007811B4">
        <w:rPr>
          <w:rFonts w:eastAsiaTheme="minorHAnsi"/>
        </w:rPr>
        <w:t xml:space="preserve"> </w:t>
      </w:r>
      <w:r w:rsidR="00080E5C">
        <w:rPr>
          <w:rFonts w:eastAsiaTheme="minorHAnsi"/>
        </w:rPr>
        <w:t>7. 2019 na úroveň 40</w:t>
      </w:r>
      <w:r w:rsidR="00270B60">
        <w:rPr>
          <w:rFonts w:eastAsiaTheme="minorHAnsi"/>
        </w:rPr>
        <w:t xml:space="preserve"> </w:t>
      </w:r>
      <w:r w:rsidR="00080E5C">
        <w:rPr>
          <w:rFonts w:eastAsiaTheme="minorHAnsi"/>
        </w:rPr>
        <w:t>%</w:t>
      </w:r>
      <w:r w:rsidRPr="003249FC">
        <w:rPr>
          <w:rFonts w:eastAsiaTheme="minorHAnsi"/>
        </w:rPr>
        <w:t xml:space="preserve">. Do konce realizačního období podprogramu </w:t>
      </w:r>
      <w:r>
        <w:rPr>
          <w:rFonts w:eastAsiaTheme="minorHAnsi"/>
          <w:i/>
        </w:rPr>
        <w:t>Bytové domy</w:t>
      </w:r>
      <w:r w:rsidRPr="00B773BC">
        <w:rPr>
          <w:rFonts w:eastAsiaTheme="minorHAnsi"/>
        </w:rPr>
        <w:t>,</w:t>
      </w:r>
      <w:r>
        <w:rPr>
          <w:rFonts w:eastAsiaTheme="minorHAnsi"/>
          <w:i/>
        </w:rPr>
        <w:t xml:space="preserve"> </w:t>
      </w:r>
      <w:r>
        <w:rPr>
          <w:rFonts w:eastAsiaTheme="minorHAnsi"/>
        </w:rPr>
        <w:t>tj. do 31.</w:t>
      </w:r>
      <w:r w:rsidR="00B773BC">
        <w:rPr>
          <w:rFonts w:eastAsiaTheme="minorHAnsi"/>
        </w:rPr>
        <w:t xml:space="preserve"> </w:t>
      </w:r>
      <w:r>
        <w:rPr>
          <w:rFonts w:eastAsiaTheme="minorHAnsi"/>
        </w:rPr>
        <w:t>8. 2024</w:t>
      </w:r>
      <w:r w:rsidR="00030F7B">
        <w:rPr>
          <w:rFonts w:eastAsiaTheme="minorHAnsi"/>
        </w:rPr>
        <w:t>,</w:t>
      </w:r>
      <w:r>
        <w:rPr>
          <w:rFonts w:eastAsiaTheme="minorHAnsi"/>
        </w:rPr>
        <w:t xml:space="preserve"> </w:t>
      </w:r>
      <w:r w:rsidR="00145EB6">
        <w:rPr>
          <w:rFonts w:eastAsiaTheme="minorHAnsi"/>
        </w:rPr>
        <w:t>by podle predikce</w:t>
      </w:r>
      <w:r>
        <w:rPr>
          <w:rFonts w:eastAsiaTheme="minorHAnsi"/>
        </w:rPr>
        <w:t xml:space="preserve"> MŽP </w:t>
      </w:r>
      <w:r w:rsidR="00145EB6">
        <w:rPr>
          <w:rFonts w:eastAsiaTheme="minorHAnsi"/>
        </w:rPr>
        <w:t xml:space="preserve">mělo </w:t>
      </w:r>
      <w:r w:rsidR="00BD1B48">
        <w:rPr>
          <w:rFonts w:eastAsiaTheme="minorHAnsi"/>
        </w:rPr>
        <w:t>č</w:t>
      </w:r>
      <w:r>
        <w:rPr>
          <w:rFonts w:eastAsiaTheme="minorHAnsi"/>
        </w:rPr>
        <w:t xml:space="preserve">erpání </w:t>
      </w:r>
      <w:r w:rsidR="00145EB6">
        <w:rPr>
          <w:rFonts w:eastAsiaTheme="minorHAnsi"/>
        </w:rPr>
        <w:t xml:space="preserve">dosáhnout </w:t>
      </w:r>
      <w:r w:rsidR="00BD1B48">
        <w:rPr>
          <w:rFonts w:eastAsiaTheme="minorHAnsi"/>
        </w:rPr>
        <w:t xml:space="preserve">jen výše </w:t>
      </w:r>
      <w:r w:rsidRPr="003249FC">
        <w:rPr>
          <w:rFonts w:eastAsiaTheme="minorHAnsi"/>
        </w:rPr>
        <w:t>1,1</w:t>
      </w:r>
      <w:r w:rsidR="007811B4">
        <w:rPr>
          <w:rFonts w:eastAsiaTheme="minorHAnsi"/>
        </w:rPr>
        <w:t> </w:t>
      </w:r>
      <w:r w:rsidRPr="003249FC">
        <w:rPr>
          <w:rFonts w:eastAsiaTheme="minorHAnsi"/>
        </w:rPr>
        <w:t>mld.</w:t>
      </w:r>
      <w:r w:rsidR="007811B4">
        <w:rPr>
          <w:rFonts w:eastAsiaTheme="minorHAnsi"/>
        </w:rPr>
        <w:t> </w:t>
      </w:r>
      <w:r w:rsidRPr="003249FC">
        <w:rPr>
          <w:rFonts w:eastAsiaTheme="minorHAnsi"/>
        </w:rPr>
        <w:t>Kč.</w:t>
      </w:r>
      <w:r>
        <w:rPr>
          <w:rFonts w:eastAsiaTheme="minorHAnsi"/>
        </w:rPr>
        <w:t xml:space="preserve"> </w:t>
      </w:r>
    </w:p>
    <w:p w14:paraId="77EB6D8E" w14:textId="244A034B" w:rsidR="003249FC" w:rsidRPr="00FD3526" w:rsidRDefault="003249FC" w:rsidP="00BD1B48">
      <w:pPr>
        <w:pStyle w:val="Odstavecseseznamem"/>
        <w:numPr>
          <w:ilvl w:val="0"/>
          <w:numId w:val="59"/>
        </w:numPr>
        <w:rPr>
          <w:rFonts w:eastAsiaTheme="minorHAnsi"/>
        </w:rPr>
      </w:pPr>
      <w:r w:rsidRPr="00BD1B48">
        <w:rPr>
          <w:rFonts w:eastAsiaTheme="minorHAnsi"/>
        </w:rPr>
        <w:t xml:space="preserve">MŽP </w:t>
      </w:r>
      <w:r w:rsidR="00BD1B48">
        <w:rPr>
          <w:rFonts w:eastAsiaTheme="minorHAnsi"/>
        </w:rPr>
        <w:t>zamýšlí přev</w:t>
      </w:r>
      <w:r w:rsidR="007811B4">
        <w:rPr>
          <w:rFonts w:eastAsiaTheme="minorHAnsi"/>
        </w:rPr>
        <w:t>ést</w:t>
      </w:r>
      <w:r w:rsidR="00BD1B48">
        <w:rPr>
          <w:rFonts w:eastAsiaTheme="minorHAnsi"/>
        </w:rPr>
        <w:t xml:space="preserve"> dosud nevyužit</w:t>
      </w:r>
      <w:r w:rsidR="007811B4">
        <w:rPr>
          <w:rFonts w:eastAsiaTheme="minorHAnsi"/>
        </w:rPr>
        <w:t>é</w:t>
      </w:r>
      <w:r w:rsidR="00BD1B48">
        <w:rPr>
          <w:rFonts w:eastAsiaTheme="minorHAnsi"/>
        </w:rPr>
        <w:t xml:space="preserve"> prostředk</w:t>
      </w:r>
      <w:r w:rsidR="007811B4">
        <w:rPr>
          <w:rFonts w:eastAsiaTheme="minorHAnsi"/>
        </w:rPr>
        <w:t>y</w:t>
      </w:r>
      <w:r w:rsidR="00BD1B48">
        <w:rPr>
          <w:rFonts w:eastAsiaTheme="minorHAnsi"/>
        </w:rPr>
        <w:t xml:space="preserve"> ve výši </w:t>
      </w:r>
      <w:r w:rsidRPr="00BD1B48">
        <w:rPr>
          <w:rFonts w:eastAsiaTheme="minorHAnsi"/>
        </w:rPr>
        <w:t xml:space="preserve">2,1 mld. Kč do podprogramu </w:t>
      </w:r>
      <w:r w:rsidR="00BD1B48">
        <w:rPr>
          <w:rFonts w:eastAsiaTheme="minorHAnsi"/>
          <w:i/>
        </w:rPr>
        <w:t>Rodinné domy</w:t>
      </w:r>
      <w:r w:rsidR="00BD1B48" w:rsidRPr="00FD3526">
        <w:rPr>
          <w:rFonts w:eastAsiaTheme="minorHAnsi"/>
        </w:rPr>
        <w:t xml:space="preserve">, </w:t>
      </w:r>
      <w:r w:rsidR="00BD1B48">
        <w:rPr>
          <w:rFonts w:eastAsiaTheme="minorHAnsi"/>
        </w:rPr>
        <w:t xml:space="preserve">kde jsou však generované úspory </w:t>
      </w:r>
      <w:r w:rsidR="00030F7B">
        <w:rPr>
          <w:rFonts w:eastAsiaTheme="minorHAnsi"/>
        </w:rPr>
        <w:t xml:space="preserve">připadající </w:t>
      </w:r>
      <w:r w:rsidR="00BD1B48">
        <w:rPr>
          <w:rFonts w:eastAsiaTheme="minorHAnsi"/>
        </w:rPr>
        <w:t>na 1 ml</w:t>
      </w:r>
      <w:r w:rsidR="00030F7B">
        <w:rPr>
          <w:rFonts w:eastAsiaTheme="minorHAnsi"/>
        </w:rPr>
        <w:t>d</w:t>
      </w:r>
      <w:r w:rsidR="00BD1B48">
        <w:rPr>
          <w:rFonts w:eastAsiaTheme="minorHAnsi"/>
        </w:rPr>
        <w:t xml:space="preserve">. Kč </w:t>
      </w:r>
      <w:r w:rsidR="00BD1B48" w:rsidRPr="00BD1B48">
        <w:rPr>
          <w:rFonts w:eastAsiaTheme="minorHAnsi"/>
        </w:rPr>
        <w:t>v průměru o</w:t>
      </w:r>
      <w:r w:rsidR="00D62A4B">
        <w:rPr>
          <w:rFonts w:eastAsiaTheme="minorHAnsi"/>
        </w:rPr>
        <w:t> </w:t>
      </w:r>
      <w:r w:rsidR="00BD1B48" w:rsidRPr="00BD1B48">
        <w:rPr>
          <w:rFonts w:eastAsiaTheme="minorHAnsi"/>
        </w:rPr>
        <w:t xml:space="preserve">303 TJ </w:t>
      </w:r>
      <w:r w:rsidR="00BD1B48">
        <w:rPr>
          <w:rFonts w:eastAsiaTheme="minorHAnsi"/>
        </w:rPr>
        <w:t>nižší</w:t>
      </w:r>
      <w:r w:rsidR="00030F7B">
        <w:rPr>
          <w:rFonts w:eastAsiaTheme="minorHAnsi"/>
        </w:rPr>
        <w:t>,</w:t>
      </w:r>
      <w:r w:rsidR="00BD1B48">
        <w:rPr>
          <w:rFonts w:eastAsiaTheme="minorHAnsi"/>
        </w:rPr>
        <w:t xml:space="preserve"> než je tomu u bytových domů</w:t>
      </w:r>
      <w:r w:rsidR="00BD1B48">
        <w:rPr>
          <w:rStyle w:val="Znakapoznpodarou"/>
          <w:rFonts w:eastAsiaTheme="minorHAnsi"/>
        </w:rPr>
        <w:footnoteReference w:id="41"/>
      </w:r>
      <w:r w:rsidR="00BD1B48" w:rsidRPr="00BD1B48">
        <w:rPr>
          <w:rFonts w:eastAsiaTheme="minorHAnsi"/>
        </w:rPr>
        <w:t xml:space="preserve">. </w:t>
      </w:r>
      <w:r w:rsidR="00BD1B48">
        <w:rPr>
          <w:rFonts w:eastAsiaTheme="minorHAnsi"/>
        </w:rPr>
        <w:t xml:space="preserve">V důsledku </w:t>
      </w:r>
      <w:r w:rsidR="007811B4">
        <w:rPr>
          <w:rFonts w:eastAsiaTheme="minorHAnsi"/>
        </w:rPr>
        <w:t>přesunutí</w:t>
      </w:r>
      <w:r w:rsidR="00BD1B48">
        <w:rPr>
          <w:rFonts w:eastAsiaTheme="minorHAnsi"/>
        </w:rPr>
        <w:t xml:space="preserve"> </w:t>
      </w:r>
      <w:r w:rsidR="00BD1B48" w:rsidRPr="00BD1B48">
        <w:rPr>
          <w:rFonts w:eastAsiaTheme="minorHAnsi"/>
        </w:rPr>
        <w:t>2,1 mld. Kč z</w:t>
      </w:r>
      <w:r w:rsidR="00D62A4B">
        <w:rPr>
          <w:rFonts w:eastAsiaTheme="minorHAnsi"/>
        </w:rPr>
        <w:t> </w:t>
      </w:r>
      <w:r w:rsidR="00BD1B48" w:rsidRPr="00BD1B48">
        <w:rPr>
          <w:rFonts w:eastAsiaTheme="minorHAnsi"/>
        </w:rPr>
        <w:t xml:space="preserve">podprogramu </w:t>
      </w:r>
      <w:r w:rsidR="00BD1B48">
        <w:rPr>
          <w:rFonts w:eastAsiaTheme="minorHAnsi"/>
          <w:i/>
        </w:rPr>
        <w:t>Bytové domy</w:t>
      </w:r>
      <w:r w:rsidR="00BD1B48" w:rsidRPr="00BD1B48">
        <w:rPr>
          <w:rFonts w:eastAsiaTheme="minorHAnsi"/>
        </w:rPr>
        <w:t xml:space="preserve"> </w:t>
      </w:r>
      <w:r w:rsidR="007811B4">
        <w:rPr>
          <w:rFonts w:eastAsiaTheme="minorHAnsi"/>
        </w:rPr>
        <w:t xml:space="preserve">budou </w:t>
      </w:r>
      <w:r w:rsidR="00BD1B48">
        <w:rPr>
          <w:rFonts w:eastAsiaTheme="minorHAnsi"/>
        </w:rPr>
        <w:t>úspor</w:t>
      </w:r>
      <w:r w:rsidR="007811B4">
        <w:rPr>
          <w:rFonts w:eastAsiaTheme="minorHAnsi"/>
        </w:rPr>
        <w:t>y</w:t>
      </w:r>
      <w:r w:rsidR="00BD1B48">
        <w:rPr>
          <w:rFonts w:eastAsiaTheme="minorHAnsi"/>
        </w:rPr>
        <w:t xml:space="preserve"> </w:t>
      </w:r>
      <w:r w:rsidR="00030F7B">
        <w:rPr>
          <w:rFonts w:eastAsiaTheme="minorHAnsi"/>
        </w:rPr>
        <w:t xml:space="preserve">energie </w:t>
      </w:r>
      <w:r w:rsidR="00BD1B48">
        <w:rPr>
          <w:rFonts w:eastAsiaTheme="minorHAnsi"/>
        </w:rPr>
        <w:t xml:space="preserve">o </w:t>
      </w:r>
      <w:r w:rsidR="00BD1B48" w:rsidRPr="00BD1B48">
        <w:rPr>
          <w:rFonts w:eastAsiaTheme="minorHAnsi"/>
        </w:rPr>
        <w:t xml:space="preserve">636 TJ </w:t>
      </w:r>
      <w:r w:rsidR="00BD1B48">
        <w:rPr>
          <w:rFonts w:eastAsiaTheme="minorHAnsi"/>
        </w:rPr>
        <w:t xml:space="preserve">nižší, než </w:t>
      </w:r>
      <w:r w:rsidR="00BD1B48" w:rsidRPr="00BD1B48">
        <w:rPr>
          <w:rFonts w:eastAsiaTheme="minorHAnsi"/>
        </w:rPr>
        <w:t>kdyby se</w:t>
      </w:r>
      <w:r w:rsidR="007811B4">
        <w:rPr>
          <w:rFonts w:eastAsiaTheme="minorHAnsi"/>
        </w:rPr>
        <w:t xml:space="preserve"> </w:t>
      </w:r>
      <w:r w:rsidR="00BD1B48" w:rsidRPr="00BD1B48">
        <w:rPr>
          <w:rFonts w:eastAsiaTheme="minorHAnsi"/>
        </w:rPr>
        <w:t xml:space="preserve">podařilo naplnit původní cíl podprogramu </w:t>
      </w:r>
      <w:r w:rsidR="00BD1B48">
        <w:rPr>
          <w:rFonts w:eastAsiaTheme="minorHAnsi"/>
          <w:i/>
        </w:rPr>
        <w:t>Bytové domy</w:t>
      </w:r>
      <w:r w:rsidR="00BD1B48" w:rsidRPr="00FD3526">
        <w:rPr>
          <w:rFonts w:eastAsiaTheme="minorHAnsi"/>
        </w:rPr>
        <w:t>.</w:t>
      </w:r>
    </w:p>
    <w:p w14:paraId="0454B4AD" w14:textId="69F0C15E" w:rsidR="005849EB" w:rsidRDefault="005849EB" w:rsidP="005849EB">
      <w:pPr>
        <w:keepNext/>
        <w:keepLines/>
        <w:tabs>
          <w:tab w:val="left" w:pos="1985"/>
        </w:tabs>
        <w:spacing w:before="120" w:after="60"/>
        <w:outlineLvl w:val="3"/>
        <w:rPr>
          <w:rFonts w:eastAsiaTheme="majorEastAsia" w:cstheme="minorHAnsi"/>
          <w:iCs/>
          <w:szCs w:val="24"/>
          <w:u w:val="single"/>
          <w:lang w:eastAsia="en-US"/>
        </w:rPr>
      </w:pPr>
      <w:r>
        <w:rPr>
          <w:rFonts w:eastAsiaTheme="majorEastAsia" w:cstheme="minorHAnsi"/>
          <w:iCs/>
          <w:szCs w:val="24"/>
          <w:u w:val="single"/>
          <w:lang w:eastAsia="en-US"/>
        </w:rPr>
        <w:lastRenderedPageBreak/>
        <w:t>Kontrolní činnost</w:t>
      </w:r>
    </w:p>
    <w:p w14:paraId="1DC5BFB8" w14:textId="67750C42" w:rsidR="008B5042" w:rsidRPr="008B741E" w:rsidRDefault="008B5042" w:rsidP="008B5042">
      <w:pPr>
        <w:pStyle w:val="kp-normlntun0"/>
        <w:numPr>
          <w:ilvl w:val="0"/>
          <w:numId w:val="15"/>
        </w:numPr>
        <w:rPr>
          <w:rFonts w:asciiTheme="minorHAnsi" w:hAnsiTheme="minorHAnsi" w:cstheme="minorHAnsi"/>
          <w:b w:val="0"/>
        </w:rPr>
      </w:pPr>
      <w:r>
        <w:rPr>
          <w:rFonts w:asciiTheme="minorHAnsi" w:hAnsiTheme="minorHAnsi" w:cstheme="minorHAnsi"/>
          <w:b w:val="0"/>
          <w:bCs w:val="0"/>
        </w:rPr>
        <w:t>MŽP provedlo u SFŽP za období od roku 2016 do roku 2020 pou</w:t>
      </w:r>
      <w:r w:rsidR="00270B60">
        <w:rPr>
          <w:rFonts w:asciiTheme="minorHAnsi" w:hAnsiTheme="minorHAnsi" w:cstheme="minorHAnsi"/>
          <w:b w:val="0"/>
          <w:bCs w:val="0"/>
        </w:rPr>
        <w:t>ze</w:t>
      </w:r>
      <w:r>
        <w:rPr>
          <w:rFonts w:asciiTheme="minorHAnsi" w:hAnsiTheme="minorHAnsi" w:cstheme="minorHAnsi"/>
          <w:b w:val="0"/>
          <w:bCs w:val="0"/>
        </w:rPr>
        <w:t xml:space="preserve"> dvě kontroly zaměřené na výkon činností, které delegovalo na SFŽP jako na </w:t>
      </w:r>
      <w:proofErr w:type="spellStart"/>
      <w:r>
        <w:rPr>
          <w:rFonts w:asciiTheme="minorHAnsi" w:hAnsiTheme="minorHAnsi" w:cstheme="minorHAnsi"/>
          <w:b w:val="0"/>
          <w:bCs w:val="0"/>
        </w:rPr>
        <w:t>administrující</w:t>
      </w:r>
      <w:proofErr w:type="spellEnd"/>
      <w:r>
        <w:rPr>
          <w:rFonts w:asciiTheme="minorHAnsi" w:hAnsiTheme="minorHAnsi" w:cstheme="minorHAnsi"/>
          <w:b w:val="0"/>
          <w:bCs w:val="0"/>
        </w:rPr>
        <w:t xml:space="preserve"> subjekt</w:t>
      </w:r>
      <w:r w:rsidR="001A2BD9">
        <w:rPr>
          <w:rFonts w:asciiTheme="minorHAnsi" w:hAnsiTheme="minorHAnsi" w:cstheme="minorHAnsi"/>
          <w:b w:val="0"/>
          <w:bCs w:val="0"/>
        </w:rPr>
        <w:t xml:space="preserve">. </w:t>
      </w:r>
    </w:p>
    <w:p w14:paraId="74E4CAE6" w14:textId="6432BB72" w:rsidR="008B741E" w:rsidRPr="008B741E" w:rsidRDefault="00F25E47" w:rsidP="008B5042">
      <w:pPr>
        <w:pStyle w:val="kp-normlntun0"/>
        <w:numPr>
          <w:ilvl w:val="0"/>
          <w:numId w:val="15"/>
        </w:numPr>
        <w:rPr>
          <w:rFonts w:asciiTheme="minorHAnsi" w:hAnsiTheme="minorHAnsi" w:cstheme="minorHAnsi"/>
          <w:b w:val="0"/>
        </w:rPr>
      </w:pPr>
      <w:r>
        <w:rPr>
          <w:rFonts w:asciiTheme="minorHAnsi" w:hAnsiTheme="minorHAnsi" w:cstheme="minorHAnsi"/>
          <w:b w:val="0"/>
        </w:rPr>
        <w:t xml:space="preserve">MŽP nepostupovalo v </w:t>
      </w:r>
      <w:r w:rsidR="009F6933" w:rsidRPr="00F022A6">
        <w:rPr>
          <w:rFonts w:asciiTheme="minorHAnsi" w:hAnsiTheme="minorHAnsi" w:cstheme="minorHAnsi"/>
          <w:b w:val="0"/>
        </w:rPr>
        <w:t>soulad</w:t>
      </w:r>
      <w:r>
        <w:rPr>
          <w:rFonts w:asciiTheme="minorHAnsi" w:hAnsiTheme="minorHAnsi" w:cstheme="minorHAnsi"/>
          <w:b w:val="0"/>
        </w:rPr>
        <w:t>u</w:t>
      </w:r>
      <w:r w:rsidR="009F6933" w:rsidRPr="00F022A6">
        <w:rPr>
          <w:rFonts w:asciiTheme="minorHAnsi" w:hAnsiTheme="minorHAnsi" w:cstheme="minorHAnsi"/>
          <w:b w:val="0"/>
        </w:rPr>
        <w:t xml:space="preserve"> s </w:t>
      </w:r>
      <w:r w:rsidR="008513CA">
        <w:rPr>
          <w:rFonts w:asciiTheme="minorHAnsi" w:hAnsiTheme="minorHAnsi" w:cstheme="minorHAnsi"/>
          <w:b w:val="0"/>
        </w:rPr>
        <w:t>právním předpisem</w:t>
      </w:r>
      <w:r w:rsidR="00F022A6">
        <w:rPr>
          <w:rStyle w:val="Znakapoznpodarou"/>
          <w:rFonts w:asciiTheme="minorHAnsi" w:hAnsiTheme="minorHAnsi" w:cstheme="minorHAnsi"/>
          <w:b w:val="0"/>
        </w:rPr>
        <w:footnoteReference w:id="42"/>
      </w:r>
      <w:r w:rsidR="009F6933" w:rsidRPr="00F022A6">
        <w:rPr>
          <w:rFonts w:asciiTheme="minorHAnsi" w:hAnsiTheme="minorHAnsi" w:cstheme="minorHAnsi"/>
          <w:b w:val="0"/>
        </w:rPr>
        <w:t xml:space="preserve"> </w:t>
      </w:r>
      <w:r w:rsidR="00F022A6" w:rsidRPr="00F022A6">
        <w:rPr>
          <w:rFonts w:asciiTheme="minorHAnsi" w:hAnsiTheme="minorHAnsi" w:cstheme="minorHAnsi"/>
          <w:b w:val="0"/>
        </w:rPr>
        <w:t xml:space="preserve">v oblasti kontroly delegovaných činností u </w:t>
      </w:r>
      <w:r w:rsidR="00F022A6" w:rsidRPr="00F022A6">
        <w:rPr>
          <w:rFonts w:asciiTheme="minorHAnsi" w:hAnsiTheme="minorHAnsi" w:cstheme="minorHAnsi"/>
          <w:b w:val="0"/>
          <w:bCs w:val="0"/>
        </w:rPr>
        <w:t>SFŽP</w:t>
      </w:r>
      <w:r w:rsidR="007811B4">
        <w:rPr>
          <w:rFonts w:asciiTheme="minorHAnsi" w:hAnsiTheme="minorHAnsi" w:cstheme="minorHAnsi"/>
          <w:b w:val="0"/>
          <w:bCs w:val="0"/>
        </w:rPr>
        <w:t>, neboť</w:t>
      </w:r>
      <w:r w:rsidR="008B741E">
        <w:rPr>
          <w:rFonts w:asciiTheme="minorHAnsi" w:hAnsiTheme="minorHAnsi" w:cstheme="minorHAnsi"/>
          <w:b w:val="0"/>
          <w:bCs w:val="0"/>
        </w:rPr>
        <w:t xml:space="preserve"> nevyhodnocovalo při </w:t>
      </w:r>
      <w:r w:rsidR="005F5C19">
        <w:rPr>
          <w:rFonts w:asciiTheme="minorHAnsi" w:hAnsiTheme="minorHAnsi" w:cstheme="minorHAnsi"/>
          <w:b w:val="0"/>
          <w:bCs w:val="0"/>
        </w:rPr>
        <w:t xml:space="preserve">těchto </w:t>
      </w:r>
      <w:r w:rsidR="008B741E">
        <w:rPr>
          <w:rFonts w:asciiTheme="minorHAnsi" w:hAnsiTheme="minorHAnsi" w:cstheme="minorHAnsi"/>
          <w:b w:val="0"/>
          <w:bCs w:val="0"/>
        </w:rPr>
        <w:t>kontrolách hospodárnost, efektivnost a účelnost vynaložených prostředků</w:t>
      </w:r>
      <w:r w:rsidR="008513CA">
        <w:rPr>
          <w:rFonts w:asciiTheme="minorHAnsi" w:hAnsiTheme="minorHAnsi" w:cstheme="minorHAnsi"/>
          <w:b w:val="0"/>
          <w:bCs w:val="0"/>
        </w:rPr>
        <w:t>.</w:t>
      </w:r>
      <w:r w:rsidR="008B741E">
        <w:rPr>
          <w:rFonts w:asciiTheme="minorHAnsi" w:hAnsiTheme="minorHAnsi" w:cstheme="minorHAnsi"/>
          <w:b w:val="0"/>
          <w:bCs w:val="0"/>
        </w:rPr>
        <w:t xml:space="preserve"> </w:t>
      </w:r>
    </w:p>
    <w:p w14:paraId="28C38B18" w14:textId="54924EB9" w:rsidR="009F6933" w:rsidRPr="00D0645C" w:rsidRDefault="008B741E" w:rsidP="00D0645C">
      <w:pPr>
        <w:pStyle w:val="Odstavecseseznamem"/>
        <w:numPr>
          <w:ilvl w:val="0"/>
          <w:numId w:val="15"/>
        </w:numPr>
        <w:spacing w:after="120"/>
        <w:rPr>
          <w:rFonts w:cstheme="minorHAnsi"/>
        </w:rPr>
      </w:pPr>
      <w:r w:rsidRPr="00D0645C">
        <w:rPr>
          <w:rFonts w:cstheme="minorHAnsi"/>
        </w:rPr>
        <w:t>V</w:t>
      </w:r>
      <w:r w:rsidR="009F6933" w:rsidRPr="00D0645C">
        <w:rPr>
          <w:rFonts w:cstheme="minorHAnsi"/>
        </w:rPr>
        <w:t> oblasti dodržování podmínek pro</w:t>
      </w:r>
      <w:r w:rsidR="007811B4">
        <w:rPr>
          <w:rFonts w:cstheme="minorHAnsi"/>
        </w:rPr>
        <w:t xml:space="preserve"> </w:t>
      </w:r>
      <w:r w:rsidR="009F6933" w:rsidRPr="00D0645C">
        <w:rPr>
          <w:rFonts w:cstheme="minorHAnsi"/>
        </w:rPr>
        <w:t>poskytování veřejné podpory</w:t>
      </w:r>
      <w:r w:rsidRPr="00D0645C">
        <w:rPr>
          <w:rFonts w:cstheme="minorHAnsi"/>
        </w:rPr>
        <w:t xml:space="preserve"> </w:t>
      </w:r>
      <w:r w:rsidR="00B30FD1" w:rsidRPr="00D0645C">
        <w:rPr>
          <w:rFonts w:cstheme="minorHAnsi"/>
        </w:rPr>
        <w:t xml:space="preserve">delegovalo </w:t>
      </w:r>
      <w:r w:rsidR="00AE56F7" w:rsidRPr="00D0645C">
        <w:rPr>
          <w:rFonts w:cstheme="minorHAnsi"/>
        </w:rPr>
        <w:t xml:space="preserve">MŽP </w:t>
      </w:r>
      <w:r w:rsidR="00F25E47" w:rsidRPr="00D0645C">
        <w:rPr>
          <w:rFonts w:cstheme="minorHAnsi"/>
        </w:rPr>
        <w:t>na</w:t>
      </w:r>
      <w:r w:rsidR="00AE56F7">
        <w:rPr>
          <w:rFonts w:cstheme="minorHAnsi"/>
        </w:rPr>
        <w:t xml:space="preserve"> </w:t>
      </w:r>
      <w:r w:rsidR="00F25E47" w:rsidRPr="00D0645C">
        <w:rPr>
          <w:rFonts w:cstheme="minorHAnsi"/>
        </w:rPr>
        <w:t xml:space="preserve">SFŽP </w:t>
      </w:r>
      <w:r w:rsidR="00B30FD1" w:rsidRPr="00D0645C">
        <w:rPr>
          <w:rFonts w:cstheme="minorHAnsi"/>
        </w:rPr>
        <w:t>činnosti související s</w:t>
      </w:r>
      <w:r w:rsidR="006859AC" w:rsidRPr="00D0645C">
        <w:rPr>
          <w:rFonts w:cstheme="minorHAnsi"/>
        </w:rPr>
        <w:t> posuzováním a evidencí v</w:t>
      </w:r>
      <w:r w:rsidR="00B30FD1" w:rsidRPr="00D0645C">
        <w:rPr>
          <w:rFonts w:cstheme="minorHAnsi"/>
        </w:rPr>
        <w:t>eřejné podpory v plném rozsahu</w:t>
      </w:r>
      <w:r w:rsidR="00F25E47" w:rsidRPr="00D0645C">
        <w:rPr>
          <w:rFonts w:cstheme="minorHAnsi"/>
        </w:rPr>
        <w:t>, a</w:t>
      </w:r>
      <w:r w:rsidR="00B30FD1" w:rsidRPr="00D0645C">
        <w:rPr>
          <w:rFonts w:cstheme="minorHAnsi"/>
        </w:rPr>
        <w:t xml:space="preserve">však </w:t>
      </w:r>
      <w:r w:rsidR="00356832" w:rsidRPr="00D0645C">
        <w:rPr>
          <w:rFonts w:cstheme="minorHAnsi"/>
        </w:rPr>
        <w:t xml:space="preserve">výkon těchto činností </w:t>
      </w:r>
      <w:r w:rsidR="00D0645C">
        <w:rPr>
          <w:rFonts w:cstheme="minorHAnsi"/>
        </w:rPr>
        <w:t xml:space="preserve">MŽP </w:t>
      </w:r>
      <w:r w:rsidR="00F53A68" w:rsidRPr="00D0645C">
        <w:rPr>
          <w:rFonts w:cstheme="minorHAnsi"/>
        </w:rPr>
        <w:t xml:space="preserve">u SFŽP </w:t>
      </w:r>
      <w:r w:rsidR="00356832" w:rsidRPr="00D0645C">
        <w:rPr>
          <w:rFonts w:cstheme="minorHAnsi"/>
        </w:rPr>
        <w:t>neověř</w:t>
      </w:r>
      <w:r w:rsidR="001218BB" w:rsidRPr="00D0645C">
        <w:rPr>
          <w:rFonts w:cstheme="minorHAnsi"/>
        </w:rPr>
        <w:t>oval</w:t>
      </w:r>
      <w:r w:rsidR="00F25E47" w:rsidRPr="00D0645C">
        <w:rPr>
          <w:rFonts w:cstheme="minorHAnsi"/>
        </w:rPr>
        <w:t>o</w:t>
      </w:r>
      <w:r w:rsidR="001A2BD9" w:rsidRPr="00D0645C">
        <w:rPr>
          <w:rFonts w:cstheme="minorHAnsi"/>
        </w:rPr>
        <w:t xml:space="preserve">. </w:t>
      </w:r>
      <w:r w:rsidR="00A109D2" w:rsidRPr="00D0645C">
        <w:rPr>
          <w:rFonts w:cstheme="minorHAnsi"/>
        </w:rPr>
        <w:t>MŽP tak neodhalil</w:t>
      </w:r>
      <w:r w:rsidR="00F25E47" w:rsidRPr="00D0645C">
        <w:rPr>
          <w:rFonts w:cstheme="minorHAnsi"/>
        </w:rPr>
        <w:t>o</w:t>
      </w:r>
      <w:r w:rsidR="00A109D2" w:rsidRPr="00D0645C">
        <w:rPr>
          <w:rFonts w:cstheme="minorHAnsi"/>
        </w:rPr>
        <w:t xml:space="preserve"> chyby</w:t>
      </w:r>
      <w:r w:rsidR="00D0645C">
        <w:rPr>
          <w:rFonts w:cstheme="minorHAnsi"/>
        </w:rPr>
        <w:t xml:space="preserve">, kterých se </w:t>
      </w:r>
      <w:r w:rsidR="00232D01">
        <w:rPr>
          <w:rFonts w:cstheme="minorHAnsi"/>
        </w:rPr>
        <w:t xml:space="preserve">v šesti případech </w:t>
      </w:r>
      <w:r w:rsidR="00A109D2" w:rsidRPr="00D0645C">
        <w:rPr>
          <w:rFonts w:cstheme="minorHAnsi"/>
        </w:rPr>
        <w:t xml:space="preserve">SFŽP </w:t>
      </w:r>
      <w:r w:rsidR="00D0645C">
        <w:rPr>
          <w:rFonts w:cstheme="minorHAnsi"/>
        </w:rPr>
        <w:t xml:space="preserve">dopustil </w:t>
      </w:r>
      <w:r w:rsidR="00A109D2" w:rsidRPr="00D0645C">
        <w:rPr>
          <w:rFonts w:cstheme="minorHAnsi"/>
        </w:rPr>
        <w:t xml:space="preserve">při evidenci </w:t>
      </w:r>
      <w:r w:rsidR="00270B60">
        <w:rPr>
          <w:rFonts w:cstheme="minorHAnsi"/>
        </w:rPr>
        <w:t xml:space="preserve">podpory </w:t>
      </w:r>
      <w:r w:rsidR="00A109D2" w:rsidRPr="00D0645C">
        <w:rPr>
          <w:rFonts w:cstheme="minorHAnsi"/>
        </w:rPr>
        <w:t>do</w:t>
      </w:r>
      <w:r w:rsidR="001A2BD9" w:rsidRPr="00D0645C">
        <w:rPr>
          <w:rFonts w:cstheme="minorHAnsi"/>
        </w:rPr>
        <w:t xml:space="preserve"> RDM</w:t>
      </w:r>
      <w:r w:rsidR="00AE56F7">
        <w:rPr>
          <w:rFonts w:cstheme="minorHAnsi"/>
        </w:rPr>
        <w:t>.</w:t>
      </w:r>
      <w:r w:rsidR="001A2BD9" w:rsidRPr="001A2BD9">
        <w:rPr>
          <w:rStyle w:val="Znakapoznpodarou"/>
          <w:rFonts w:eastAsiaTheme="minorHAnsi" w:cstheme="minorHAnsi"/>
          <w:bCs/>
          <w:szCs w:val="24"/>
        </w:rPr>
        <w:footnoteReference w:id="43"/>
      </w:r>
    </w:p>
    <w:p w14:paraId="71CAB3AD" w14:textId="6E087176" w:rsidR="009F6933" w:rsidRPr="0064555E" w:rsidRDefault="009F6933" w:rsidP="003249FC">
      <w:pPr>
        <w:pStyle w:val="kp-normlntun0"/>
        <w:numPr>
          <w:ilvl w:val="0"/>
          <w:numId w:val="15"/>
        </w:numPr>
        <w:rPr>
          <w:rFonts w:asciiTheme="minorHAnsi" w:hAnsiTheme="minorHAnsi" w:cstheme="minorHAnsi"/>
        </w:rPr>
      </w:pPr>
      <w:r w:rsidRPr="0064555E">
        <w:rPr>
          <w:rFonts w:asciiTheme="minorHAnsi" w:hAnsiTheme="minorHAnsi" w:cstheme="minorHAnsi"/>
          <w:b w:val="0"/>
        </w:rPr>
        <w:t>MŽP stanovilo v závazné dokumentaci programu NZÚ příjemcům povinnost postupovat při výběru dodavatelů dle zákona</w:t>
      </w:r>
      <w:r w:rsidR="0064555E" w:rsidRPr="0064555E">
        <w:rPr>
          <w:rFonts w:asciiTheme="minorHAnsi" w:hAnsiTheme="minorHAnsi" w:cstheme="minorHAnsi"/>
          <w:b w:val="0"/>
        </w:rPr>
        <w:t xml:space="preserve">, </w:t>
      </w:r>
      <w:r w:rsidR="00B941B8">
        <w:rPr>
          <w:rFonts w:asciiTheme="minorHAnsi" w:hAnsiTheme="minorHAnsi" w:cstheme="minorHAnsi"/>
          <w:b w:val="0"/>
        </w:rPr>
        <w:t xml:space="preserve">avšak </w:t>
      </w:r>
      <w:r w:rsidR="0064555E" w:rsidRPr="0064555E">
        <w:rPr>
          <w:rFonts w:asciiTheme="minorHAnsi" w:hAnsiTheme="minorHAnsi" w:cstheme="minorHAnsi"/>
          <w:b w:val="0"/>
        </w:rPr>
        <w:t xml:space="preserve">nezpracovalo pro příjemce podpory žádná pravidla </w:t>
      </w:r>
      <w:r w:rsidR="002262F9">
        <w:rPr>
          <w:rFonts w:asciiTheme="minorHAnsi" w:hAnsiTheme="minorHAnsi" w:cstheme="minorHAnsi"/>
          <w:b w:val="0"/>
        </w:rPr>
        <w:t xml:space="preserve">pro </w:t>
      </w:r>
      <w:r w:rsidR="0064555E" w:rsidRPr="0064555E">
        <w:rPr>
          <w:rFonts w:asciiTheme="minorHAnsi" w:hAnsiTheme="minorHAnsi" w:cstheme="minorHAnsi"/>
          <w:b w:val="0"/>
        </w:rPr>
        <w:t xml:space="preserve">výběr dodavatelů. MŽP </w:t>
      </w:r>
      <w:r w:rsidRPr="0064555E">
        <w:rPr>
          <w:rFonts w:asciiTheme="minorHAnsi" w:hAnsiTheme="minorHAnsi" w:cstheme="minorHAnsi"/>
          <w:b w:val="0"/>
        </w:rPr>
        <w:t xml:space="preserve">neprovádí </w:t>
      </w:r>
      <w:r w:rsidR="00AE56F7">
        <w:rPr>
          <w:rFonts w:asciiTheme="minorHAnsi" w:hAnsiTheme="minorHAnsi" w:cstheme="minorHAnsi"/>
          <w:b w:val="0"/>
        </w:rPr>
        <w:t xml:space="preserve">a </w:t>
      </w:r>
      <w:r w:rsidRPr="0064555E">
        <w:rPr>
          <w:rFonts w:asciiTheme="minorHAnsi" w:hAnsiTheme="minorHAnsi" w:cstheme="minorHAnsi"/>
          <w:b w:val="0"/>
        </w:rPr>
        <w:t xml:space="preserve">ani nezajistilo </w:t>
      </w:r>
      <w:r w:rsidR="00FB6F7D" w:rsidRPr="0064555E">
        <w:rPr>
          <w:rFonts w:asciiTheme="minorHAnsi" w:hAnsiTheme="minorHAnsi" w:cstheme="minorHAnsi"/>
          <w:b w:val="0"/>
        </w:rPr>
        <w:t>u</w:t>
      </w:r>
      <w:r w:rsidR="00D62A4B">
        <w:rPr>
          <w:rFonts w:asciiTheme="minorHAnsi" w:hAnsiTheme="minorHAnsi" w:cstheme="minorHAnsi"/>
          <w:b w:val="0"/>
        </w:rPr>
        <w:t> </w:t>
      </w:r>
      <w:r w:rsidR="00FB6F7D" w:rsidRPr="0064555E">
        <w:rPr>
          <w:rFonts w:asciiTheme="minorHAnsi" w:hAnsiTheme="minorHAnsi" w:cstheme="minorHAnsi"/>
          <w:b w:val="0"/>
        </w:rPr>
        <w:t xml:space="preserve">příjemců </w:t>
      </w:r>
      <w:r w:rsidRPr="0064555E">
        <w:rPr>
          <w:rFonts w:asciiTheme="minorHAnsi" w:hAnsiTheme="minorHAnsi" w:cstheme="minorHAnsi"/>
          <w:b w:val="0"/>
        </w:rPr>
        <w:t>žádnou kontrolu dodržování zásad, které zákon stanoví. Existuje tak riziko porušení zásad transparentnosti, rovného zacházení</w:t>
      </w:r>
      <w:r w:rsidRPr="0064555E">
        <w:rPr>
          <w:rFonts w:asciiTheme="minorHAnsi" w:hAnsiTheme="minorHAnsi" w:cstheme="minorHAnsi"/>
          <w:b w:val="0"/>
          <w:bCs w:val="0"/>
        </w:rPr>
        <w:t xml:space="preserve"> a</w:t>
      </w:r>
      <w:r w:rsidR="009E4E9D">
        <w:rPr>
          <w:rFonts w:asciiTheme="minorHAnsi" w:hAnsiTheme="minorHAnsi" w:cstheme="minorHAnsi"/>
          <w:b w:val="0"/>
          <w:bCs w:val="0"/>
        </w:rPr>
        <w:t xml:space="preserve"> zákazu d</w:t>
      </w:r>
      <w:r w:rsidR="00E14A40">
        <w:rPr>
          <w:rFonts w:asciiTheme="minorHAnsi" w:hAnsiTheme="minorHAnsi" w:cstheme="minorHAnsi"/>
          <w:b w:val="0"/>
        </w:rPr>
        <w:t>iskriminace v případ</w:t>
      </w:r>
      <w:r w:rsidR="00AE56F7">
        <w:rPr>
          <w:rFonts w:asciiTheme="minorHAnsi" w:hAnsiTheme="minorHAnsi" w:cstheme="minorHAnsi"/>
          <w:b w:val="0"/>
        </w:rPr>
        <w:t>ech</w:t>
      </w:r>
      <w:r w:rsidR="00E14A40">
        <w:rPr>
          <w:rFonts w:asciiTheme="minorHAnsi" w:hAnsiTheme="minorHAnsi" w:cstheme="minorHAnsi"/>
          <w:b w:val="0"/>
        </w:rPr>
        <w:t xml:space="preserve">, kdy příjemci nepostupují v souladu s pravidly </w:t>
      </w:r>
      <w:r w:rsidR="00AE56F7">
        <w:rPr>
          <w:rFonts w:asciiTheme="minorHAnsi" w:hAnsiTheme="minorHAnsi" w:cstheme="minorHAnsi"/>
          <w:b w:val="0"/>
        </w:rPr>
        <w:t>d</w:t>
      </w:r>
      <w:r w:rsidR="00E14A40">
        <w:rPr>
          <w:rFonts w:asciiTheme="minorHAnsi" w:hAnsiTheme="minorHAnsi" w:cstheme="minorHAnsi"/>
          <w:b w:val="0"/>
        </w:rPr>
        <w:t>okumentace programu NZÚ.</w:t>
      </w:r>
    </w:p>
    <w:p w14:paraId="082C4B19" w14:textId="54F59F72" w:rsidR="00DF4C1B" w:rsidRPr="009F6933" w:rsidRDefault="00DF4C1B" w:rsidP="00DF4C1B">
      <w:pPr>
        <w:pStyle w:val="kp-normlntun0"/>
        <w:numPr>
          <w:ilvl w:val="0"/>
          <w:numId w:val="15"/>
        </w:numPr>
        <w:spacing w:after="0"/>
        <w:rPr>
          <w:rFonts w:asciiTheme="minorHAnsi" w:hAnsiTheme="minorHAnsi" w:cstheme="minorHAnsi"/>
        </w:rPr>
      </w:pPr>
      <w:r w:rsidRPr="009F6933">
        <w:rPr>
          <w:rFonts w:asciiTheme="minorHAnsi" w:hAnsiTheme="minorHAnsi" w:cstheme="minorHAnsi"/>
          <w:b w:val="0"/>
        </w:rPr>
        <w:t>MŽP v několika případech proplatilo příjemc</w:t>
      </w:r>
      <w:r w:rsidR="00FB6F7D">
        <w:rPr>
          <w:rFonts w:asciiTheme="minorHAnsi" w:hAnsiTheme="minorHAnsi" w:cstheme="minorHAnsi"/>
          <w:b w:val="0"/>
        </w:rPr>
        <w:t xml:space="preserve">ům </w:t>
      </w:r>
      <w:r w:rsidRPr="009F6933">
        <w:rPr>
          <w:rFonts w:asciiTheme="minorHAnsi" w:hAnsiTheme="minorHAnsi" w:cstheme="minorHAnsi"/>
          <w:b w:val="0"/>
        </w:rPr>
        <w:t>dotaci předtím, než příjemc</w:t>
      </w:r>
      <w:r w:rsidR="00FB6F7D">
        <w:rPr>
          <w:rFonts w:asciiTheme="minorHAnsi" w:hAnsiTheme="minorHAnsi" w:cstheme="minorHAnsi"/>
          <w:b w:val="0"/>
        </w:rPr>
        <w:t>i</w:t>
      </w:r>
      <w:r w:rsidRPr="009F6933">
        <w:rPr>
          <w:rFonts w:asciiTheme="minorHAnsi" w:hAnsiTheme="minorHAnsi" w:cstheme="minorHAnsi"/>
          <w:b w:val="0"/>
        </w:rPr>
        <w:t xml:space="preserve"> stvrdil</w:t>
      </w:r>
      <w:r w:rsidR="00FB6F7D">
        <w:rPr>
          <w:rFonts w:asciiTheme="minorHAnsi" w:hAnsiTheme="minorHAnsi" w:cstheme="minorHAnsi"/>
          <w:b w:val="0"/>
        </w:rPr>
        <w:t>i</w:t>
      </w:r>
      <w:r w:rsidRPr="009F6933">
        <w:rPr>
          <w:rFonts w:asciiTheme="minorHAnsi" w:hAnsiTheme="minorHAnsi" w:cstheme="minorHAnsi"/>
          <w:b w:val="0"/>
        </w:rPr>
        <w:t xml:space="preserve"> předepsaným způsobem akceptaci podmínek uvedených v právním aktu</w:t>
      </w:r>
      <w:r w:rsidR="008A44FC">
        <w:rPr>
          <w:rFonts w:asciiTheme="minorHAnsi" w:hAnsiTheme="minorHAnsi" w:cstheme="minorHAnsi"/>
          <w:b w:val="0"/>
        </w:rPr>
        <w:t xml:space="preserve">, nejedná se však o porušení právních předpisů ze strany MŽP. </w:t>
      </w:r>
      <w:r w:rsidR="00A802B2">
        <w:rPr>
          <w:rFonts w:asciiTheme="minorHAnsi" w:hAnsiTheme="minorHAnsi" w:cstheme="minorHAnsi"/>
          <w:b w:val="0"/>
        </w:rPr>
        <w:t xml:space="preserve">NKÚ </w:t>
      </w:r>
      <w:r w:rsidR="00AE56F7">
        <w:rPr>
          <w:rFonts w:asciiTheme="minorHAnsi" w:hAnsiTheme="minorHAnsi" w:cstheme="minorHAnsi"/>
          <w:b w:val="0"/>
        </w:rPr>
        <w:t xml:space="preserve">v průběhu kontroly </w:t>
      </w:r>
      <w:r w:rsidR="00A802B2">
        <w:rPr>
          <w:rFonts w:asciiTheme="minorHAnsi" w:hAnsiTheme="minorHAnsi" w:cstheme="minorHAnsi"/>
          <w:b w:val="0"/>
        </w:rPr>
        <w:t>skutečný případ porušení podmínek nezaznamenal.</w:t>
      </w:r>
    </w:p>
    <w:p w14:paraId="16ECADF0" w14:textId="2DDF6CCF" w:rsidR="005849EB" w:rsidRDefault="005849EB" w:rsidP="005849EB">
      <w:pPr>
        <w:keepNext/>
        <w:keepLines/>
        <w:tabs>
          <w:tab w:val="left" w:pos="1985"/>
        </w:tabs>
        <w:spacing w:before="120" w:after="60"/>
        <w:outlineLvl w:val="3"/>
        <w:rPr>
          <w:rFonts w:eastAsiaTheme="majorEastAsia" w:cstheme="minorHAnsi"/>
          <w:iCs/>
          <w:szCs w:val="24"/>
          <w:u w:val="single"/>
          <w:lang w:eastAsia="en-US"/>
        </w:rPr>
      </w:pPr>
      <w:r>
        <w:rPr>
          <w:rFonts w:eastAsiaTheme="majorEastAsia" w:cstheme="minorHAnsi"/>
          <w:iCs/>
          <w:szCs w:val="24"/>
          <w:u w:val="single"/>
          <w:lang w:eastAsia="en-US"/>
        </w:rPr>
        <w:t xml:space="preserve">Monitorování </w:t>
      </w:r>
    </w:p>
    <w:p w14:paraId="4DEEA792" w14:textId="6DF2C1B0" w:rsidR="00CD7D5F" w:rsidRPr="001676C0" w:rsidRDefault="00CD7D5F" w:rsidP="00605A0A">
      <w:pPr>
        <w:pStyle w:val="Odstavecseseznamem"/>
        <w:numPr>
          <w:ilvl w:val="0"/>
          <w:numId w:val="56"/>
        </w:numPr>
        <w:spacing w:after="120"/>
        <w:rPr>
          <w:rFonts w:ascii="Calibri" w:hAnsi="Calibri" w:cs="Calibri"/>
          <w:color w:val="000000"/>
        </w:rPr>
      </w:pPr>
      <w:r w:rsidRPr="00DB01CE">
        <w:rPr>
          <w:rFonts w:ascii="Calibri" w:hAnsi="Calibri" w:cs="Calibri"/>
          <w:color w:val="000000"/>
        </w:rPr>
        <w:t>MŽP nestanovilo v právním aktu žádné cíle akce</w:t>
      </w:r>
      <w:r w:rsidR="00DB01CE" w:rsidRPr="00DB01CE">
        <w:rPr>
          <w:rFonts w:ascii="Calibri" w:hAnsi="Calibri" w:cs="Calibri"/>
          <w:color w:val="000000"/>
        </w:rPr>
        <w:t>/</w:t>
      </w:r>
      <w:r w:rsidRPr="00DB01CE">
        <w:rPr>
          <w:rFonts w:ascii="Calibri" w:hAnsi="Calibri" w:cs="Calibri"/>
          <w:color w:val="000000"/>
        </w:rPr>
        <w:t>projektu</w:t>
      </w:r>
      <w:r w:rsidR="00AE56F7">
        <w:rPr>
          <w:rFonts w:ascii="Calibri" w:hAnsi="Calibri" w:cs="Calibri"/>
          <w:color w:val="000000"/>
        </w:rPr>
        <w:t xml:space="preserve"> a</w:t>
      </w:r>
      <w:r w:rsidRPr="00DB01CE">
        <w:rPr>
          <w:rFonts w:ascii="Calibri" w:hAnsi="Calibri" w:cs="Calibri"/>
          <w:color w:val="000000"/>
        </w:rPr>
        <w:t xml:space="preserve"> </w:t>
      </w:r>
      <w:r w:rsidR="0064555E" w:rsidRPr="00DB01CE">
        <w:rPr>
          <w:rFonts w:ascii="Calibri" w:hAnsi="Calibri" w:cs="Calibri"/>
          <w:color w:val="000000"/>
        </w:rPr>
        <w:t xml:space="preserve">naplňování cílů programu </w:t>
      </w:r>
      <w:r w:rsidR="0064555E" w:rsidRPr="001676C0">
        <w:rPr>
          <w:rFonts w:ascii="Calibri" w:hAnsi="Calibri" w:cs="Calibri"/>
          <w:color w:val="000000"/>
        </w:rPr>
        <w:t xml:space="preserve">NZÚ sleduje </w:t>
      </w:r>
      <w:r w:rsidR="002B7F4B" w:rsidRPr="001676C0">
        <w:rPr>
          <w:rFonts w:ascii="Calibri" w:hAnsi="Calibri" w:cs="Calibri"/>
          <w:color w:val="000000"/>
        </w:rPr>
        <w:t>na úrovn</w:t>
      </w:r>
      <w:r w:rsidR="008A1EA1">
        <w:rPr>
          <w:rFonts w:ascii="Calibri" w:hAnsi="Calibri" w:cs="Calibri"/>
          <w:color w:val="000000"/>
        </w:rPr>
        <w:t>i</w:t>
      </w:r>
      <w:r w:rsidR="002B7F4B" w:rsidRPr="001676C0">
        <w:rPr>
          <w:rFonts w:ascii="Calibri" w:hAnsi="Calibri" w:cs="Calibri"/>
          <w:color w:val="000000"/>
        </w:rPr>
        <w:t xml:space="preserve"> </w:t>
      </w:r>
      <w:r w:rsidRPr="001676C0">
        <w:rPr>
          <w:rFonts w:ascii="Calibri" w:hAnsi="Calibri" w:cs="Calibri"/>
          <w:color w:val="000000"/>
        </w:rPr>
        <w:t xml:space="preserve">indikátorů </w:t>
      </w:r>
      <w:r w:rsidR="00B720BA">
        <w:rPr>
          <w:rFonts w:ascii="Calibri" w:hAnsi="Calibri" w:cs="Calibri"/>
          <w:color w:val="000000"/>
        </w:rPr>
        <w:t xml:space="preserve">a parametrů </w:t>
      </w:r>
      <w:r w:rsidRPr="001676C0">
        <w:rPr>
          <w:rFonts w:ascii="Calibri" w:hAnsi="Calibri" w:cs="Calibri"/>
          <w:color w:val="000000"/>
        </w:rPr>
        <w:t>projektů.</w:t>
      </w:r>
    </w:p>
    <w:p w14:paraId="17A4327C" w14:textId="18FD4D98" w:rsidR="0064555E" w:rsidRDefault="0064555E" w:rsidP="0064555E">
      <w:pPr>
        <w:pStyle w:val="Odstavecseseznamem"/>
        <w:numPr>
          <w:ilvl w:val="0"/>
          <w:numId w:val="57"/>
        </w:numPr>
        <w:spacing w:after="120"/>
      </w:pPr>
      <w:r w:rsidRPr="0064555E">
        <w:t>Jediný cíl, který byl naplněn a v současné době je již překonán o 50 %, je počet vybudovaných bytových domů s velmi nízkou energetickou náročností.</w:t>
      </w:r>
      <w:r>
        <w:t xml:space="preserve"> </w:t>
      </w:r>
      <w:r w:rsidRPr="0064555E">
        <w:t>U ostatních indikativních cílů neexistuje předpoklad jejich naplnění.</w:t>
      </w:r>
    </w:p>
    <w:p w14:paraId="675DC72E" w14:textId="31B9B9AD" w:rsidR="006909AD" w:rsidRDefault="00A277FA" w:rsidP="00A91587">
      <w:pPr>
        <w:pStyle w:val="N2"/>
      </w:pPr>
      <w:r>
        <w:t>IV.</w:t>
      </w:r>
      <w:r w:rsidR="006909AD">
        <w:t xml:space="preserve">2.2 </w:t>
      </w:r>
      <w:r w:rsidR="00787166">
        <w:t xml:space="preserve">Činnosti </w:t>
      </w:r>
      <w:r w:rsidR="006909AD">
        <w:t>S</w:t>
      </w:r>
      <w:r w:rsidR="00787166">
        <w:t>FŽP</w:t>
      </w:r>
      <w:r w:rsidR="006909AD">
        <w:t xml:space="preserve"> </w:t>
      </w:r>
      <w:r w:rsidR="008D0626">
        <w:t>v roli</w:t>
      </w:r>
      <w:r w:rsidR="006909AD">
        <w:t xml:space="preserve"> administrátor</w:t>
      </w:r>
      <w:r w:rsidR="00787166">
        <w:t>a</w:t>
      </w:r>
      <w:r w:rsidR="006909AD">
        <w:t xml:space="preserve"> </w:t>
      </w:r>
      <w:r w:rsidR="00766D89">
        <w:t>programu</w:t>
      </w:r>
      <w:r w:rsidR="006909AD">
        <w:t xml:space="preserve"> NZÚ</w:t>
      </w:r>
    </w:p>
    <w:p w14:paraId="34F38683" w14:textId="439F28DE" w:rsidR="000E45C7" w:rsidRPr="000C5B01" w:rsidRDefault="000C5B01" w:rsidP="000E45C7">
      <w:pPr>
        <w:spacing w:after="120"/>
      </w:pPr>
      <w:r w:rsidRPr="001676C0">
        <w:t xml:space="preserve">SFŽP </w:t>
      </w:r>
      <w:r w:rsidR="000E45C7">
        <w:t xml:space="preserve">vykonává administrativní činnosti, </w:t>
      </w:r>
      <w:r w:rsidRPr="001676C0">
        <w:t>které mu byly de</w:t>
      </w:r>
      <w:r w:rsidR="00A04799" w:rsidRPr="001676C0">
        <w:t>legovány</w:t>
      </w:r>
      <w:r w:rsidR="000E45C7">
        <w:t>, a přispívá k účelnému a </w:t>
      </w:r>
      <w:r w:rsidR="000E45C7" w:rsidRPr="000C5B01">
        <w:t>efektivnímu čerpání podpory z</w:t>
      </w:r>
      <w:r w:rsidR="000E45C7">
        <w:t> programu NZÚ.</w:t>
      </w:r>
    </w:p>
    <w:p w14:paraId="0D1B9F31" w14:textId="23ADD0A1" w:rsidR="000C5B01" w:rsidRPr="00FD3526" w:rsidRDefault="00605C3E" w:rsidP="000C5B01">
      <w:pPr>
        <w:spacing w:after="120"/>
      </w:pPr>
      <w:r w:rsidRPr="001676C0">
        <w:t xml:space="preserve">SFŽP </w:t>
      </w:r>
      <w:r w:rsidR="00AE56F7">
        <w:t xml:space="preserve">v rámci </w:t>
      </w:r>
      <w:r w:rsidR="00DB01CE" w:rsidRPr="001676C0">
        <w:t>administrac</w:t>
      </w:r>
      <w:r w:rsidR="00AE56F7">
        <w:t>e</w:t>
      </w:r>
      <w:r w:rsidR="00DB01CE" w:rsidRPr="001676C0">
        <w:t xml:space="preserve"> podprogramu </w:t>
      </w:r>
      <w:r w:rsidR="00DB01CE" w:rsidRPr="001676C0">
        <w:rPr>
          <w:i/>
        </w:rPr>
        <w:t xml:space="preserve">Bytové domy </w:t>
      </w:r>
      <w:r w:rsidRPr="001676C0">
        <w:t>nepostupoval při vykonávání delegovaných činností vždy v souladu s</w:t>
      </w:r>
      <w:r w:rsidR="00D62A4B">
        <w:t> </w:t>
      </w:r>
      <w:r w:rsidRPr="001676C0">
        <w:t xml:space="preserve">pravidly programu </w:t>
      </w:r>
      <w:r w:rsidRPr="00FD3526">
        <w:rPr>
          <w:i/>
        </w:rPr>
        <w:t>Nová zelená úsporám</w:t>
      </w:r>
      <w:r w:rsidR="000C5B01" w:rsidRPr="001676C0">
        <w:rPr>
          <w:i/>
        </w:rPr>
        <w:t>.</w:t>
      </w:r>
      <w:r w:rsidR="000C5B01" w:rsidRPr="00BB2E3B">
        <w:rPr>
          <w:i/>
        </w:rPr>
        <w:t xml:space="preserve"> </w:t>
      </w:r>
    </w:p>
    <w:p w14:paraId="41EDD3EF" w14:textId="7EFE0F65" w:rsidR="00A277FA" w:rsidRPr="00F83B3D" w:rsidRDefault="00F83B3D" w:rsidP="00A277FA">
      <w:pPr>
        <w:keepNext/>
        <w:keepLines/>
        <w:tabs>
          <w:tab w:val="left" w:pos="1985"/>
        </w:tabs>
        <w:spacing w:before="120" w:after="120"/>
        <w:outlineLvl w:val="3"/>
        <w:rPr>
          <w:rFonts w:eastAsiaTheme="majorEastAsia" w:cstheme="minorHAnsi"/>
          <w:iCs/>
          <w:szCs w:val="24"/>
          <w:u w:val="single"/>
          <w:lang w:eastAsia="en-US"/>
        </w:rPr>
      </w:pPr>
      <w:r w:rsidRPr="00F83B3D">
        <w:rPr>
          <w:rFonts w:eastAsiaTheme="majorEastAsia" w:cstheme="minorHAnsi"/>
          <w:iCs/>
          <w:szCs w:val="24"/>
          <w:u w:val="single"/>
          <w:lang w:eastAsia="en-US"/>
        </w:rPr>
        <w:t xml:space="preserve">Hodnocení </w:t>
      </w:r>
      <w:r w:rsidR="00C85069">
        <w:rPr>
          <w:rFonts w:eastAsiaTheme="majorEastAsia" w:cstheme="minorHAnsi"/>
          <w:iCs/>
          <w:szCs w:val="24"/>
          <w:u w:val="single"/>
          <w:lang w:eastAsia="en-US"/>
        </w:rPr>
        <w:t xml:space="preserve">(kontrola) </w:t>
      </w:r>
      <w:r w:rsidRPr="00F83B3D">
        <w:rPr>
          <w:rFonts w:eastAsiaTheme="majorEastAsia" w:cstheme="minorHAnsi"/>
          <w:iCs/>
          <w:szCs w:val="24"/>
          <w:u w:val="single"/>
          <w:lang w:eastAsia="en-US"/>
        </w:rPr>
        <w:t>žádostí</w:t>
      </w:r>
      <w:r w:rsidR="00490813">
        <w:rPr>
          <w:rFonts w:eastAsiaTheme="majorEastAsia" w:cstheme="minorHAnsi"/>
          <w:iCs/>
          <w:szCs w:val="24"/>
          <w:u w:val="single"/>
          <w:lang w:eastAsia="en-US"/>
        </w:rPr>
        <w:t xml:space="preserve"> o podporu</w:t>
      </w:r>
    </w:p>
    <w:p w14:paraId="007FEC77" w14:textId="3EF3160C" w:rsidR="00A677FA" w:rsidRDefault="00C85069" w:rsidP="00264849">
      <w:pPr>
        <w:pStyle w:val="Odstavecseseznamem"/>
        <w:numPr>
          <w:ilvl w:val="0"/>
          <w:numId w:val="29"/>
        </w:numPr>
        <w:spacing w:after="120"/>
      </w:pPr>
      <w:r>
        <w:t>V procesu kontroly žádostí o podpor</w:t>
      </w:r>
      <w:r w:rsidR="00AE56F7">
        <w:t>u</w:t>
      </w:r>
      <w:r>
        <w:t xml:space="preserve"> nebyl v jedno</w:t>
      </w:r>
      <w:r w:rsidR="00A04799">
        <w:t>m zjištěném případě uplatněn ze</w:t>
      </w:r>
      <w:r w:rsidR="00AE56F7">
        <w:t xml:space="preserve"> </w:t>
      </w:r>
      <w:r>
        <w:t xml:space="preserve">strany </w:t>
      </w:r>
      <w:r w:rsidR="00C9276A">
        <w:t xml:space="preserve">SFŽP </w:t>
      </w:r>
      <w:r>
        <w:t xml:space="preserve">rovný přístup </w:t>
      </w:r>
      <w:r w:rsidR="00AE56F7">
        <w:t>k</w:t>
      </w:r>
      <w:r w:rsidR="00C9276A">
        <w:t xml:space="preserve"> žadatelům/příjemcům</w:t>
      </w:r>
      <w:r>
        <w:t xml:space="preserve">, </w:t>
      </w:r>
      <w:r w:rsidR="00AE56F7">
        <w:t>neboť</w:t>
      </w:r>
      <w:r w:rsidR="00A04799">
        <w:t xml:space="preserve"> u </w:t>
      </w:r>
      <w:r w:rsidR="0069466B">
        <w:t xml:space="preserve">jedné </w:t>
      </w:r>
      <w:r w:rsidR="00A04799">
        <w:t xml:space="preserve">projektové žádosti </w:t>
      </w:r>
      <w:r w:rsidR="00C9276A">
        <w:lastRenderedPageBreak/>
        <w:t>byla poskytnuta v režimu blokové výjimky podpora pro podoblast</w:t>
      </w:r>
      <w:r w:rsidR="00BB2E3B">
        <w:t xml:space="preserve"> A.3</w:t>
      </w:r>
      <w:r w:rsidR="00BB2E3B">
        <w:rPr>
          <w:rStyle w:val="Znakapoznpodarou"/>
        </w:rPr>
        <w:footnoteReference w:id="44"/>
      </w:r>
      <w:r w:rsidR="00BB2E3B">
        <w:t>, zatímco u</w:t>
      </w:r>
      <w:r w:rsidR="00EA6A4A">
        <w:t> </w:t>
      </w:r>
      <w:r w:rsidR="00BB2E3B">
        <w:t>jiné</w:t>
      </w:r>
      <w:r w:rsidR="00FB6F7D">
        <w:t xml:space="preserve">ho </w:t>
      </w:r>
      <w:r w:rsidR="00C9276A">
        <w:t>projekt</w:t>
      </w:r>
      <w:r w:rsidR="00FB6F7D">
        <w:t>u</w:t>
      </w:r>
      <w:r w:rsidR="00C9276A">
        <w:t xml:space="preserve"> byla podpora v</w:t>
      </w:r>
      <w:r w:rsidR="00A04799">
        <w:t> </w:t>
      </w:r>
      <w:r w:rsidR="00C9276A">
        <w:t xml:space="preserve">režimu blokové výjimky </w:t>
      </w:r>
      <w:r w:rsidR="00BB2E3B">
        <w:t>pro stejnou</w:t>
      </w:r>
      <w:r w:rsidR="00C9276A">
        <w:t xml:space="preserve"> podoblast</w:t>
      </w:r>
      <w:r w:rsidR="00BB2E3B">
        <w:t xml:space="preserve"> </w:t>
      </w:r>
      <w:r w:rsidR="00C9276A">
        <w:t>ze strany SFŽP označena jako podpora nezpůsobilá.</w:t>
      </w:r>
    </w:p>
    <w:p w14:paraId="44C94D37" w14:textId="2A37E359" w:rsidR="00BB2E3B" w:rsidRPr="008D6BB6" w:rsidRDefault="00C85069" w:rsidP="008D6BB6">
      <w:pPr>
        <w:pStyle w:val="Odstavecseseznamem"/>
        <w:numPr>
          <w:ilvl w:val="0"/>
          <w:numId w:val="54"/>
        </w:numPr>
        <w:rPr>
          <w:rFonts w:eastAsiaTheme="majorEastAsia" w:cstheme="minorHAnsi"/>
          <w:iCs/>
          <w:szCs w:val="24"/>
          <w:u w:val="single"/>
          <w:lang w:eastAsia="en-US"/>
        </w:rPr>
      </w:pPr>
      <w:r w:rsidRPr="008D6BB6">
        <w:rPr>
          <w:rFonts w:eastAsiaTheme="majorEastAsia"/>
          <w:lang w:eastAsia="en-US"/>
        </w:rPr>
        <w:t>V oblasti zprostředkování informací o programu NZÚ nepostupoval SFŽP v souladu s </w:t>
      </w:r>
      <w:r w:rsidR="00AE56F7">
        <w:rPr>
          <w:rFonts w:eastAsiaTheme="majorEastAsia"/>
          <w:lang w:eastAsia="en-US"/>
        </w:rPr>
        <w:t>d</w:t>
      </w:r>
      <w:r w:rsidRPr="008D6BB6">
        <w:rPr>
          <w:rFonts w:eastAsiaTheme="majorEastAsia"/>
          <w:lang w:eastAsia="en-US"/>
        </w:rPr>
        <w:t xml:space="preserve">elegační dohodou, </w:t>
      </w:r>
      <w:r w:rsidR="00AE56F7">
        <w:rPr>
          <w:rFonts w:eastAsiaTheme="majorEastAsia"/>
          <w:lang w:eastAsia="en-US"/>
        </w:rPr>
        <w:t>neboť</w:t>
      </w:r>
      <w:r w:rsidRPr="008D6BB6">
        <w:rPr>
          <w:rFonts w:eastAsiaTheme="majorEastAsia"/>
          <w:lang w:eastAsia="en-US"/>
        </w:rPr>
        <w:t xml:space="preserve"> </w:t>
      </w:r>
      <w:r w:rsidR="00AE56F7">
        <w:rPr>
          <w:rFonts w:eastAsiaTheme="majorEastAsia"/>
          <w:lang w:eastAsia="en-US"/>
        </w:rPr>
        <w:t xml:space="preserve">u </w:t>
      </w:r>
      <w:r w:rsidRPr="007C3EC5">
        <w:t>výz</w:t>
      </w:r>
      <w:r w:rsidR="00AE56F7">
        <w:t>e</w:t>
      </w:r>
      <w:r w:rsidRPr="007C3EC5">
        <w:t>v</w:t>
      </w:r>
      <w:r w:rsidR="00780220">
        <w:t xml:space="preserve"> pro bytové domy </w:t>
      </w:r>
      <w:r w:rsidR="00AE56F7" w:rsidRPr="008D6BB6">
        <w:rPr>
          <w:rFonts w:eastAsiaTheme="majorEastAsia"/>
          <w:lang w:eastAsia="en-US"/>
        </w:rPr>
        <w:t xml:space="preserve">neaktualizoval průběžně </w:t>
      </w:r>
      <w:r w:rsidR="00780220">
        <w:t>na</w:t>
      </w:r>
      <w:r w:rsidR="00AE56F7">
        <w:t xml:space="preserve"> </w:t>
      </w:r>
      <w:r>
        <w:t>webové stránce</w:t>
      </w:r>
      <w:r>
        <w:rPr>
          <w:rStyle w:val="Znakapoznpodarou"/>
        </w:rPr>
        <w:footnoteReference w:id="45"/>
      </w:r>
      <w:r>
        <w:t xml:space="preserve"> programu NZÚ</w:t>
      </w:r>
      <w:r w:rsidRPr="007C3EC5">
        <w:t xml:space="preserve"> </w:t>
      </w:r>
      <w:r w:rsidRPr="00A677FA">
        <w:t xml:space="preserve">přehledy s údaji </w:t>
      </w:r>
      <w:r>
        <w:t>o žadatelích a o proplacené podpoře</w:t>
      </w:r>
      <w:r w:rsidR="00EA6A4A">
        <w:t>;</w:t>
      </w:r>
      <w:r>
        <w:t xml:space="preserve"> </w:t>
      </w:r>
      <w:r w:rsidR="00EA6A4A">
        <w:t xml:space="preserve">údaje nebyly aktualizovány </w:t>
      </w:r>
      <w:r w:rsidRPr="00A677FA">
        <w:t>více než 9 měsíců</w:t>
      </w:r>
      <w:r w:rsidR="00BA4CA0">
        <w:rPr>
          <w:rStyle w:val="Znakapoznpodarou"/>
        </w:rPr>
        <w:footnoteReference w:id="46"/>
      </w:r>
      <w:r w:rsidRPr="00A677FA">
        <w:t xml:space="preserve">. </w:t>
      </w:r>
    </w:p>
    <w:p w14:paraId="3105B020" w14:textId="2C36939A" w:rsidR="00A277FA" w:rsidRPr="00BB2E3B" w:rsidRDefault="00F83B3D" w:rsidP="00BB2E3B">
      <w:pPr>
        <w:keepNext/>
        <w:keepLines/>
        <w:tabs>
          <w:tab w:val="left" w:pos="1985"/>
        </w:tabs>
        <w:spacing w:before="120" w:after="120"/>
        <w:outlineLvl w:val="3"/>
        <w:rPr>
          <w:rFonts w:eastAsiaTheme="majorEastAsia" w:cstheme="minorHAnsi"/>
          <w:iCs/>
          <w:szCs w:val="24"/>
          <w:u w:val="single"/>
          <w:lang w:eastAsia="en-US"/>
        </w:rPr>
      </w:pPr>
      <w:r w:rsidRPr="00BB2E3B">
        <w:rPr>
          <w:rFonts w:eastAsiaTheme="majorEastAsia" w:cstheme="minorHAnsi"/>
          <w:iCs/>
          <w:szCs w:val="24"/>
          <w:u w:val="single"/>
          <w:lang w:eastAsia="en-US"/>
        </w:rPr>
        <w:t>Monitor</w:t>
      </w:r>
      <w:r w:rsidR="008232DF" w:rsidRPr="00BB2E3B">
        <w:rPr>
          <w:rFonts w:eastAsiaTheme="majorEastAsia" w:cstheme="minorHAnsi"/>
          <w:iCs/>
          <w:szCs w:val="24"/>
          <w:u w:val="single"/>
          <w:lang w:eastAsia="en-US"/>
        </w:rPr>
        <w:t>ování podpory</w:t>
      </w:r>
      <w:r w:rsidRPr="00BB2E3B">
        <w:rPr>
          <w:rFonts w:eastAsiaTheme="majorEastAsia" w:cstheme="minorHAnsi"/>
          <w:iCs/>
          <w:szCs w:val="24"/>
          <w:u w:val="single"/>
          <w:lang w:eastAsia="en-US"/>
        </w:rPr>
        <w:t xml:space="preserve"> </w:t>
      </w:r>
    </w:p>
    <w:p w14:paraId="29B9D3D7" w14:textId="2D62C95E" w:rsidR="00FF1EF1" w:rsidRPr="008C2678" w:rsidRDefault="006679A3" w:rsidP="00BB2E3B">
      <w:pPr>
        <w:spacing w:after="120"/>
        <w:rPr>
          <w:rFonts w:eastAsiaTheme="majorEastAsia"/>
          <w:lang w:eastAsia="en-US"/>
        </w:rPr>
      </w:pPr>
      <w:r>
        <w:rPr>
          <w:rFonts w:eastAsiaTheme="majorEastAsia"/>
          <w:lang w:eastAsia="en-US"/>
        </w:rPr>
        <w:t xml:space="preserve">SFŽP provádí monitorovací činnost v rozsahu stanoveném Dohodou o delegování. </w:t>
      </w:r>
      <w:r w:rsidR="008105E1">
        <w:rPr>
          <w:rFonts w:eastAsiaTheme="majorEastAsia"/>
          <w:lang w:eastAsia="en-US"/>
        </w:rPr>
        <w:t>SFŽP neprovádí následný monitoring u podpořených budov z hlediska přínosů ve skutečných úsporách energie</w:t>
      </w:r>
      <w:r w:rsidR="00B720BA">
        <w:rPr>
          <w:rFonts w:eastAsiaTheme="majorEastAsia"/>
          <w:lang w:eastAsia="en-US"/>
        </w:rPr>
        <w:t>, neboť v</w:t>
      </w:r>
      <w:r w:rsidR="00575AA8" w:rsidRPr="008C2678">
        <w:rPr>
          <w:rFonts w:eastAsiaTheme="majorEastAsia"/>
          <w:lang w:eastAsia="en-US"/>
        </w:rPr>
        <w:t xml:space="preserve">ykazování energetických </w:t>
      </w:r>
      <w:r w:rsidR="00BF011E">
        <w:rPr>
          <w:rFonts w:eastAsiaTheme="majorEastAsia"/>
          <w:lang w:eastAsia="en-US"/>
        </w:rPr>
        <w:t xml:space="preserve">úspor v rámci programu NZÚ </w:t>
      </w:r>
      <w:r w:rsidR="00575AA8" w:rsidRPr="008C2678">
        <w:rPr>
          <w:rFonts w:eastAsiaTheme="majorEastAsia"/>
          <w:lang w:eastAsia="en-US"/>
        </w:rPr>
        <w:t>probíh</w:t>
      </w:r>
      <w:r w:rsidR="008C2678" w:rsidRPr="008C2678">
        <w:rPr>
          <w:rFonts w:eastAsiaTheme="majorEastAsia"/>
          <w:lang w:eastAsia="en-US"/>
        </w:rPr>
        <w:t xml:space="preserve">á </w:t>
      </w:r>
      <w:r w:rsidR="00575AA8" w:rsidRPr="008C2678">
        <w:rPr>
          <w:rFonts w:eastAsiaTheme="majorEastAsia"/>
          <w:lang w:eastAsia="en-US"/>
        </w:rPr>
        <w:t>metodou ex</w:t>
      </w:r>
      <w:r w:rsidR="00780220">
        <w:rPr>
          <w:rFonts w:eastAsiaTheme="majorEastAsia"/>
          <w:lang w:eastAsia="en-US"/>
        </w:rPr>
        <w:noBreakHyphen/>
      </w:r>
      <w:r w:rsidR="00575AA8" w:rsidRPr="008C2678">
        <w:rPr>
          <w:rFonts w:eastAsiaTheme="majorEastAsia"/>
          <w:lang w:eastAsia="en-US"/>
        </w:rPr>
        <w:t>ante</w:t>
      </w:r>
      <w:r w:rsidR="00BB2E3B">
        <w:rPr>
          <w:rFonts w:eastAsiaTheme="majorEastAsia"/>
          <w:lang w:eastAsia="en-US"/>
        </w:rPr>
        <w:t>, kdy se p</w:t>
      </w:r>
      <w:r w:rsidR="00575AA8" w:rsidRPr="008C2678">
        <w:rPr>
          <w:rFonts w:eastAsiaTheme="majorEastAsia"/>
          <w:lang w:eastAsia="en-US"/>
        </w:rPr>
        <w:t>říjemce podpory zavazuje re</w:t>
      </w:r>
      <w:r w:rsidR="00780220">
        <w:rPr>
          <w:rFonts w:eastAsiaTheme="majorEastAsia"/>
          <w:lang w:eastAsia="en-US"/>
        </w:rPr>
        <w:t>alizovat energetické úspory dle</w:t>
      </w:r>
      <w:r w:rsidR="00EA6A4A">
        <w:rPr>
          <w:rFonts w:eastAsiaTheme="majorEastAsia"/>
          <w:lang w:eastAsia="en-US"/>
        </w:rPr>
        <w:t xml:space="preserve"> </w:t>
      </w:r>
      <w:r w:rsidR="00575AA8" w:rsidRPr="008C2678">
        <w:rPr>
          <w:rFonts w:eastAsiaTheme="majorEastAsia"/>
          <w:lang w:eastAsia="en-US"/>
        </w:rPr>
        <w:t xml:space="preserve">schváleného projektu. </w:t>
      </w:r>
    </w:p>
    <w:p w14:paraId="15800C3C" w14:textId="7379A1A0" w:rsidR="00A277FA" w:rsidRDefault="00F83B3D" w:rsidP="008D6BB6">
      <w:pPr>
        <w:keepNext/>
        <w:keepLines/>
        <w:tabs>
          <w:tab w:val="left" w:pos="1985"/>
        </w:tabs>
        <w:spacing w:after="120"/>
        <w:outlineLvl w:val="3"/>
        <w:rPr>
          <w:rFonts w:eastAsiaTheme="majorEastAsia" w:cstheme="minorHAnsi"/>
          <w:iCs/>
          <w:szCs w:val="24"/>
          <w:u w:val="single"/>
          <w:lang w:eastAsia="en-US"/>
        </w:rPr>
      </w:pPr>
      <w:r w:rsidRPr="00A677FA">
        <w:rPr>
          <w:rFonts w:eastAsiaTheme="majorEastAsia" w:cstheme="minorHAnsi"/>
          <w:iCs/>
          <w:szCs w:val="24"/>
          <w:u w:val="single"/>
          <w:lang w:eastAsia="en-US"/>
        </w:rPr>
        <w:t>Kontrolní činnost</w:t>
      </w:r>
    </w:p>
    <w:p w14:paraId="1E9C6FE5" w14:textId="001F2C2A" w:rsidR="00605C3E" w:rsidRPr="00605C3E" w:rsidRDefault="00605C3E" w:rsidP="00FD3526">
      <w:pPr>
        <w:spacing w:after="120"/>
        <w:rPr>
          <w:rFonts w:eastAsiaTheme="majorEastAsia"/>
          <w:lang w:eastAsia="en-US"/>
        </w:rPr>
      </w:pPr>
      <w:r w:rsidRPr="00605C3E">
        <w:rPr>
          <w:rFonts w:eastAsiaTheme="majorEastAsia"/>
          <w:lang w:eastAsia="en-US"/>
        </w:rPr>
        <w:t>Při výkonu delegovan</w:t>
      </w:r>
      <w:r w:rsidR="00846C08">
        <w:rPr>
          <w:rFonts w:eastAsiaTheme="majorEastAsia"/>
          <w:lang w:eastAsia="en-US"/>
        </w:rPr>
        <w:t xml:space="preserve">ých </w:t>
      </w:r>
      <w:r w:rsidRPr="00605C3E">
        <w:rPr>
          <w:rFonts w:eastAsiaTheme="majorEastAsia"/>
          <w:lang w:eastAsia="en-US"/>
        </w:rPr>
        <w:t>činnost</w:t>
      </w:r>
      <w:r w:rsidR="00846C08">
        <w:rPr>
          <w:rFonts w:eastAsiaTheme="majorEastAsia"/>
          <w:lang w:eastAsia="en-US"/>
        </w:rPr>
        <w:t>í</w:t>
      </w:r>
      <w:r w:rsidRPr="00605C3E">
        <w:rPr>
          <w:rFonts w:eastAsiaTheme="majorEastAsia"/>
          <w:lang w:eastAsia="en-US"/>
        </w:rPr>
        <w:t xml:space="preserve"> </w:t>
      </w:r>
      <w:r>
        <w:rPr>
          <w:rFonts w:eastAsiaTheme="majorEastAsia"/>
          <w:lang w:eastAsia="en-US"/>
        </w:rPr>
        <w:t>v oblasti administrativních kontrol a veřejnosprávních kontrol na místě</w:t>
      </w:r>
      <w:r w:rsidR="00A952EB">
        <w:rPr>
          <w:rFonts w:eastAsiaTheme="majorEastAsia"/>
          <w:lang w:eastAsia="en-US"/>
        </w:rPr>
        <w:t>:</w:t>
      </w:r>
      <w:r>
        <w:rPr>
          <w:rFonts w:eastAsiaTheme="majorEastAsia"/>
          <w:lang w:eastAsia="en-US"/>
        </w:rPr>
        <w:t xml:space="preserve"> </w:t>
      </w:r>
    </w:p>
    <w:p w14:paraId="7E8D94A9" w14:textId="79DAD18E" w:rsidR="004A311D" w:rsidRDefault="008D6BB6" w:rsidP="00FB6F7D">
      <w:pPr>
        <w:pStyle w:val="KP-normlntun"/>
        <w:widowControl w:val="0"/>
        <w:numPr>
          <w:ilvl w:val="0"/>
          <w:numId w:val="15"/>
        </w:numPr>
        <w:ind w:left="714" w:hanging="357"/>
        <w:rPr>
          <w:b w:val="0"/>
        </w:rPr>
      </w:pPr>
      <w:r>
        <w:rPr>
          <w:b w:val="0"/>
        </w:rPr>
        <w:t>SFŽP neprovádí kontroly výběru dodavatelů na úrovni příjemců</w:t>
      </w:r>
      <w:r w:rsidR="00EA6A4A">
        <w:rPr>
          <w:b w:val="0"/>
        </w:rPr>
        <w:t>, a to</w:t>
      </w:r>
      <w:r>
        <w:rPr>
          <w:b w:val="0"/>
        </w:rPr>
        <w:t xml:space="preserve"> ani v rámci administrativních kontro</w:t>
      </w:r>
      <w:r w:rsidR="004A311D">
        <w:rPr>
          <w:b w:val="0"/>
        </w:rPr>
        <w:t>l</w:t>
      </w:r>
      <w:r>
        <w:rPr>
          <w:b w:val="0"/>
        </w:rPr>
        <w:t>, ani při veřejnosprávních kontrolách na místě u příjemců</w:t>
      </w:r>
      <w:r w:rsidR="007707A8">
        <w:rPr>
          <w:b w:val="0"/>
        </w:rPr>
        <w:t>.</w:t>
      </w:r>
      <w:r w:rsidR="004A311D">
        <w:rPr>
          <w:b w:val="0"/>
        </w:rPr>
        <w:t xml:space="preserve"> </w:t>
      </w:r>
      <w:r w:rsidR="007707A8">
        <w:rPr>
          <w:b w:val="0"/>
        </w:rPr>
        <w:t>V</w:t>
      </w:r>
      <w:r w:rsidR="00605C3E">
        <w:rPr>
          <w:b w:val="0"/>
        </w:rPr>
        <w:t> důsledku absence kontroly výběru dodava</w:t>
      </w:r>
      <w:r w:rsidR="00A952EB">
        <w:rPr>
          <w:b w:val="0"/>
        </w:rPr>
        <w:t xml:space="preserve">telů </w:t>
      </w:r>
      <w:r w:rsidR="00AB658F">
        <w:rPr>
          <w:b w:val="0"/>
        </w:rPr>
        <w:t>nelze</w:t>
      </w:r>
      <w:r w:rsidR="00A952EB">
        <w:rPr>
          <w:b w:val="0"/>
        </w:rPr>
        <w:t xml:space="preserve"> </w:t>
      </w:r>
      <w:r w:rsidR="00605C3E">
        <w:rPr>
          <w:b w:val="0"/>
        </w:rPr>
        <w:t>garantov</w:t>
      </w:r>
      <w:r w:rsidR="00AB658F">
        <w:rPr>
          <w:b w:val="0"/>
        </w:rPr>
        <w:t xml:space="preserve">at, že </w:t>
      </w:r>
      <w:r w:rsidR="00605C3E">
        <w:rPr>
          <w:b w:val="0"/>
        </w:rPr>
        <w:t>příjemc</w:t>
      </w:r>
      <w:r w:rsidR="00AB658F">
        <w:rPr>
          <w:b w:val="0"/>
        </w:rPr>
        <w:t>i postupují</w:t>
      </w:r>
      <w:r w:rsidR="00605C3E">
        <w:rPr>
          <w:b w:val="0"/>
        </w:rPr>
        <w:t xml:space="preserve"> při zadávání zakázek</w:t>
      </w:r>
      <w:r w:rsidR="00EA6A4A">
        <w:rPr>
          <w:b w:val="0"/>
        </w:rPr>
        <w:t> </w:t>
      </w:r>
      <w:r w:rsidR="00605C3E">
        <w:rPr>
          <w:b w:val="0"/>
        </w:rPr>
        <w:t>/</w:t>
      </w:r>
      <w:r w:rsidR="00EA6A4A">
        <w:rPr>
          <w:b w:val="0"/>
        </w:rPr>
        <w:t> </w:t>
      </w:r>
      <w:r w:rsidR="00605C3E">
        <w:rPr>
          <w:b w:val="0"/>
        </w:rPr>
        <w:t>při realizaci výběrových řízení</w:t>
      </w:r>
      <w:r w:rsidR="00AB658F">
        <w:rPr>
          <w:b w:val="0"/>
        </w:rPr>
        <w:t xml:space="preserve"> v souladu</w:t>
      </w:r>
      <w:r w:rsidR="00605C3E">
        <w:rPr>
          <w:b w:val="0"/>
        </w:rPr>
        <w:t xml:space="preserve"> s ustanovením zákona</w:t>
      </w:r>
      <w:r w:rsidR="00605C3E">
        <w:rPr>
          <w:rStyle w:val="Znakapoznpodarou"/>
          <w:b w:val="0"/>
        </w:rPr>
        <w:footnoteReference w:id="47"/>
      </w:r>
      <w:r w:rsidR="00EA6A4A">
        <w:rPr>
          <w:b w:val="0"/>
        </w:rPr>
        <w:t>;</w:t>
      </w:r>
      <w:r w:rsidR="004A311D">
        <w:rPr>
          <w:b w:val="0"/>
        </w:rPr>
        <w:t xml:space="preserve"> existuje </w:t>
      </w:r>
      <w:r w:rsidR="00EA6A4A">
        <w:rPr>
          <w:b w:val="0"/>
        </w:rPr>
        <w:t xml:space="preserve">tudíž </w:t>
      </w:r>
      <w:r w:rsidR="004A311D">
        <w:rPr>
          <w:b w:val="0"/>
        </w:rPr>
        <w:t>riziko porušení zásad transparentnosti, rovného zacházení a</w:t>
      </w:r>
      <w:r w:rsidR="00D62A4B">
        <w:rPr>
          <w:b w:val="0"/>
        </w:rPr>
        <w:t> </w:t>
      </w:r>
      <w:r w:rsidR="009E4E9D">
        <w:rPr>
          <w:b w:val="0"/>
        </w:rPr>
        <w:t>zákazu d</w:t>
      </w:r>
      <w:r w:rsidR="004A311D">
        <w:rPr>
          <w:b w:val="0"/>
        </w:rPr>
        <w:t xml:space="preserve">iskriminace. </w:t>
      </w:r>
    </w:p>
    <w:p w14:paraId="3D5B17F3" w14:textId="544EBB9C" w:rsidR="00A277FA" w:rsidRPr="00A677FA" w:rsidRDefault="00F83B3D" w:rsidP="00A277FA">
      <w:pPr>
        <w:keepNext/>
        <w:keepLines/>
        <w:tabs>
          <w:tab w:val="left" w:pos="1985"/>
        </w:tabs>
        <w:spacing w:before="120" w:after="120"/>
        <w:outlineLvl w:val="3"/>
        <w:rPr>
          <w:rFonts w:eastAsiaTheme="majorEastAsia" w:cstheme="minorHAnsi"/>
          <w:iCs/>
          <w:szCs w:val="24"/>
          <w:u w:val="single"/>
          <w:lang w:eastAsia="en-US"/>
        </w:rPr>
      </w:pPr>
      <w:r w:rsidRPr="00A677FA">
        <w:rPr>
          <w:rFonts w:eastAsiaTheme="majorEastAsia" w:cstheme="minorHAnsi"/>
          <w:iCs/>
          <w:szCs w:val="24"/>
          <w:u w:val="single"/>
          <w:lang w:eastAsia="en-US"/>
        </w:rPr>
        <w:t>Dodržování podmínek pro poskytování veřejné podpory</w:t>
      </w:r>
      <w:r w:rsidR="00BB0149">
        <w:rPr>
          <w:rFonts w:eastAsiaTheme="majorEastAsia" w:cstheme="minorHAnsi"/>
          <w:iCs/>
          <w:szCs w:val="24"/>
          <w:u w:val="single"/>
          <w:lang w:eastAsia="en-US"/>
        </w:rPr>
        <w:t xml:space="preserve"> a podpory malého rozsahu (de</w:t>
      </w:r>
      <w:r w:rsidR="00D62A4B">
        <w:rPr>
          <w:rFonts w:eastAsiaTheme="majorEastAsia" w:cstheme="minorHAnsi"/>
          <w:iCs/>
          <w:szCs w:val="24"/>
          <w:u w:val="single"/>
          <w:lang w:eastAsia="en-US"/>
        </w:rPr>
        <w:t> </w:t>
      </w:r>
      <w:proofErr w:type="spellStart"/>
      <w:r w:rsidR="00BB0149">
        <w:rPr>
          <w:rFonts w:eastAsiaTheme="majorEastAsia" w:cstheme="minorHAnsi"/>
          <w:iCs/>
          <w:szCs w:val="24"/>
          <w:u w:val="single"/>
          <w:lang w:eastAsia="en-US"/>
        </w:rPr>
        <w:t>minimis</w:t>
      </w:r>
      <w:proofErr w:type="spellEnd"/>
      <w:r w:rsidR="00BB0149">
        <w:rPr>
          <w:rFonts w:eastAsiaTheme="majorEastAsia" w:cstheme="minorHAnsi"/>
          <w:iCs/>
          <w:szCs w:val="24"/>
          <w:u w:val="single"/>
          <w:lang w:eastAsia="en-US"/>
        </w:rPr>
        <w:t>)</w:t>
      </w:r>
    </w:p>
    <w:p w14:paraId="22CA2EC0" w14:textId="34CE2082" w:rsidR="00F81340" w:rsidRPr="00D82D8A" w:rsidRDefault="00BA4CA0" w:rsidP="00FD3526">
      <w:pPr>
        <w:spacing w:before="240" w:after="100" w:afterAutospacing="1"/>
      </w:pPr>
      <w:r>
        <w:t xml:space="preserve">SFŽP </w:t>
      </w:r>
      <w:r w:rsidR="003F3D88">
        <w:t>při výkonu delegovan</w:t>
      </w:r>
      <w:r w:rsidR="00EA6A4A">
        <w:t>ých</w:t>
      </w:r>
      <w:r w:rsidR="003F3D88">
        <w:t xml:space="preserve"> činnost</w:t>
      </w:r>
      <w:r w:rsidR="00EA6A4A">
        <w:t>í</w:t>
      </w:r>
      <w:r w:rsidR="003F3D88">
        <w:t xml:space="preserve"> v oblasti posuzování a poskytování veřejné podpory</w:t>
      </w:r>
      <w:r w:rsidR="00BB0149">
        <w:t xml:space="preserve"> a</w:t>
      </w:r>
      <w:r w:rsidR="00D62A4B">
        <w:t> </w:t>
      </w:r>
      <w:r w:rsidR="00BB0149">
        <w:t xml:space="preserve">podpory malého rozsahu (de </w:t>
      </w:r>
      <w:proofErr w:type="spellStart"/>
      <w:r w:rsidR="00BB0149">
        <w:t>minimis</w:t>
      </w:r>
      <w:proofErr w:type="spellEnd"/>
      <w:r w:rsidR="00BB0149">
        <w:t>)</w:t>
      </w:r>
      <w:r w:rsidR="003F3D88">
        <w:t xml:space="preserve"> v několika případech porušil pravidla pro poskytování </w:t>
      </w:r>
      <w:r w:rsidR="00F81340" w:rsidRPr="00D82D8A">
        <w:t>veřejné podpory</w:t>
      </w:r>
      <w:r w:rsidR="00E10BFD">
        <w:t>, když</w:t>
      </w:r>
      <w:r w:rsidR="001752C9">
        <w:t xml:space="preserve"> administra</w:t>
      </w:r>
      <w:r w:rsidR="003C6F1F">
        <w:t>ti</w:t>
      </w:r>
      <w:r w:rsidR="001752C9">
        <w:t>vně pochybil v následujících činnostech</w:t>
      </w:r>
      <w:r w:rsidR="00F81340" w:rsidRPr="00D82D8A">
        <w:t>:</w:t>
      </w:r>
    </w:p>
    <w:p w14:paraId="3E23B80B" w14:textId="6658CFE3" w:rsidR="00605C3E" w:rsidRDefault="00F81340" w:rsidP="00FB6F7D">
      <w:pPr>
        <w:pStyle w:val="Odstavecseseznamem"/>
        <w:numPr>
          <w:ilvl w:val="0"/>
          <w:numId w:val="30"/>
        </w:numPr>
        <w:spacing w:after="120"/>
      </w:pPr>
      <w:r w:rsidRPr="003F3D88">
        <w:rPr>
          <w:bCs/>
        </w:rPr>
        <w:t>chybn</w:t>
      </w:r>
      <w:r w:rsidR="00605C3E">
        <w:rPr>
          <w:bCs/>
        </w:rPr>
        <w:t>ě</w:t>
      </w:r>
      <w:r w:rsidRPr="003F3D88">
        <w:rPr>
          <w:bCs/>
        </w:rPr>
        <w:t xml:space="preserve"> pln</w:t>
      </w:r>
      <w:r w:rsidR="00605C3E">
        <w:rPr>
          <w:bCs/>
        </w:rPr>
        <w:t xml:space="preserve">il </w:t>
      </w:r>
      <w:r w:rsidRPr="003F3D88">
        <w:rPr>
          <w:bCs/>
        </w:rPr>
        <w:t>informační povinnost u podpory</w:t>
      </w:r>
      <w:r w:rsidR="00780220">
        <w:rPr>
          <w:bCs/>
        </w:rPr>
        <w:t xml:space="preserve"> malého rozsahu (de </w:t>
      </w:r>
      <w:proofErr w:type="spellStart"/>
      <w:r w:rsidR="00780220">
        <w:rPr>
          <w:bCs/>
        </w:rPr>
        <w:t>minimis</w:t>
      </w:r>
      <w:proofErr w:type="spellEnd"/>
      <w:r w:rsidR="00780220">
        <w:rPr>
          <w:bCs/>
        </w:rPr>
        <w:t>)</w:t>
      </w:r>
      <w:r w:rsidR="00BB0149">
        <w:rPr>
          <w:bCs/>
        </w:rPr>
        <w:t>,</w:t>
      </w:r>
      <w:r w:rsidR="00605C3E">
        <w:t xml:space="preserve"> když </w:t>
      </w:r>
      <w:r w:rsidR="00EA6A4A">
        <w:t xml:space="preserve">v RDM </w:t>
      </w:r>
      <w:r w:rsidR="00605C3E">
        <w:t>připsal f</w:t>
      </w:r>
      <w:r w:rsidRPr="003F3D88">
        <w:t>inanční podpor</w:t>
      </w:r>
      <w:r w:rsidR="00605C3E">
        <w:t xml:space="preserve">u </w:t>
      </w:r>
      <w:r w:rsidRPr="003F3D88">
        <w:t xml:space="preserve">jinému subjektu; </w:t>
      </w:r>
    </w:p>
    <w:p w14:paraId="12A55AE4" w14:textId="505E0F74" w:rsidR="00E10BFD" w:rsidRDefault="00E10BFD" w:rsidP="00FB6F7D">
      <w:pPr>
        <w:pStyle w:val="Odstavecseseznamem"/>
        <w:numPr>
          <w:ilvl w:val="0"/>
          <w:numId w:val="30"/>
        </w:numPr>
        <w:spacing w:after="120"/>
      </w:pPr>
      <w:r>
        <w:t xml:space="preserve">provedl </w:t>
      </w:r>
      <w:r w:rsidR="0064555E">
        <w:t xml:space="preserve">nevhodné </w:t>
      </w:r>
      <w:r w:rsidR="00F81340" w:rsidRPr="003F3D88">
        <w:t>opravy výše poskytnuté dotace tak</w:t>
      </w:r>
      <w:r w:rsidR="00EA6A4A">
        <w:t>,</w:t>
      </w:r>
      <w:r w:rsidR="00F81340" w:rsidRPr="003F3D88">
        <w:t xml:space="preserve"> aby splňovala limit 200</w:t>
      </w:r>
      <w:r w:rsidR="005849EB">
        <w:t xml:space="preserve"> </w:t>
      </w:r>
      <w:r w:rsidR="00F81340" w:rsidRPr="003F3D88">
        <w:t>000</w:t>
      </w:r>
      <w:r w:rsidR="00846C08">
        <w:t xml:space="preserve"> </w:t>
      </w:r>
      <w:r w:rsidR="00D15952">
        <w:t>€</w:t>
      </w:r>
      <w:r w:rsidR="00F81340" w:rsidRPr="003F3D88">
        <w:t xml:space="preserve">; </w:t>
      </w:r>
    </w:p>
    <w:p w14:paraId="417046FA" w14:textId="13F1A7CC" w:rsidR="00F81340" w:rsidRPr="003F3D88" w:rsidRDefault="00E10BFD" w:rsidP="00FB6F7D">
      <w:pPr>
        <w:pStyle w:val="Odstavecseseznamem"/>
        <w:numPr>
          <w:ilvl w:val="0"/>
          <w:numId w:val="30"/>
        </w:numPr>
        <w:spacing w:after="120"/>
      </w:pPr>
      <w:r>
        <w:t xml:space="preserve">v průběhu administrace </w:t>
      </w:r>
      <w:r w:rsidR="00EA6A4A">
        <w:t>p</w:t>
      </w:r>
      <w:r w:rsidR="00EA6A4A" w:rsidRPr="003F3D88">
        <w:t>řeved</w:t>
      </w:r>
      <w:r w:rsidR="00EA6A4A">
        <w:t xml:space="preserve">l </w:t>
      </w:r>
      <w:r w:rsidR="00F81340" w:rsidRPr="003F3D88">
        <w:t xml:space="preserve">stávající podpory </w:t>
      </w:r>
      <w:r>
        <w:t>tzv. „</w:t>
      </w:r>
      <w:r w:rsidR="00F81340" w:rsidRPr="003F3D88">
        <w:t>bez veřejné podpory</w:t>
      </w:r>
      <w:r>
        <w:t>“</w:t>
      </w:r>
      <w:r w:rsidR="00F81340" w:rsidRPr="003F3D88">
        <w:t xml:space="preserve"> na</w:t>
      </w:r>
      <w:r w:rsidR="00EA6A4A">
        <w:t xml:space="preserve"> </w:t>
      </w:r>
      <w:r w:rsidR="00F81340" w:rsidRPr="003F3D88">
        <w:t xml:space="preserve">podporu </w:t>
      </w:r>
      <w:r w:rsidR="00BB0149">
        <w:t>malého rozsahu (</w:t>
      </w:r>
      <w:r w:rsidR="00F81340" w:rsidRPr="003F3D88">
        <w:t xml:space="preserve">de </w:t>
      </w:r>
      <w:proofErr w:type="spellStart"/>
      <w:r w:rsidR="00F81340" w:rsidRPr="003F3D88">
        <w:t>minimis</w:t>
      </w:r>
      <w:proofErr w:type="spellEnd"/>
      <w:r w:rsidR="00BB0149">
        <w:t>)</w:t>
      </w:r>
      <w:r w:rsidR="005748D4">
        <w:t>;</w:t>
      </w:r>
    </w:p>
    <w:p w14:paraId="0B5FCCC0" w14:textId="78E6E2E0" w:rsidR="00F81340" w:rsidRPr="003F3D88" w:rsidRDefault="003F3D88" w:rsidP="00FB6F7D">
      <w:pPr>
        <w:pStyle w:val="Odstavecseseznamem"/>
        <w:numPr>
          <w:ilvl w:val="0"/>
          <w:numId w:val="30"/>
        </w:numPr>
        <w:spacing w:after="120"/>
        <w:rPr>
          <w:bCs/>
        </w:rPr>
      </w:pPr>
      <w:r>
        <w:rPr>
          <w:bCs/>
        </w:rPr>
        <w:lastRenderedPageBreak/>
        <w:t xml:space="preserve">poskytl žadatelům </w:t>
      </w:r>
      <w:r w:rsidR="00F81340" w:rsidRPr="003F3D88">
        <w:rPr>
          <w:bCs/>
        </w:rPr>
        <w:t>chybná čestná prohlášení u blokových výjimek</w:t>
      </w:r>
      <w:r>
        <w:rPr>
          <w:bCs/>
        </w:rPr>
        <w:t xml:space="preserve"> a akceptoval </w:t>
      </w:r>
      <w:r w:rsidR="00E10BFD">
        <w:rPr>
          <w:bCs/>
        </w:rPr>
        <w:t xml:space="preserve">posléze </w:t>
      </w:r>
      <w:r>
        <w:rPr>
          <w:bCs/>
        </w:rPr>
        <w:t>jejich předložení</w:t>
      </w:r>
      <w:r w:rsidR="00846C08">
        <w:rPr>
          <w:rStyle w:val="Znakapoznpodarou"/>
          <w:bCs/>
        </w:rPr>
        <w:footnoteReference w:id="48"/>
      </w:r>
      <w:r w:rsidR="00E10BFD">
        <w:rPr>
          <w:bCs/>
        </w:rPr>
        <w:t xml:space="preserve"> ze strany žadatelů</w:t>
      </w:r>
      <w:r w:rsidR="0064555E">
        <w:rPr>
          <w:bCs/>
        </w:rPr>
        <w:t xml:space="preserve"> při podání žádosti o podporu</w:t>
      </w:r>
      <w:r>
        <w:rPr>
          <w:bCs/>
        </w:rPr>
        <w:t xml:space="preserve">; </w:t>
      </w:r>
    </w:p>
    <w:p w14:paraId="714DD223" w14:textId="71E004C7" w:rsidR="003F3D88" w:rsidRPr="003F3D88" w:rsidRDefault="00F81340" w:rsidP="00FB6F7D">
      <w:pPr>
        <w:pStyle w:val="Odstavecseseznamem"/>
        <w:numPr>
          <w:ilvl w:val="0"/>
          <w:numId w:val="30"/>
        </w:numPr>
        <w:spacing w:after="120"/>
      </w:pPr>
      <w:r w:rsidRPr="003F3D88">
        <w:rPr>
          <w:bCs/>
        </w:rPr>
        <w:t>chybně zaevidova</w:t>
      </w:r>
      <w:r w:rsidR="003F3D88" w:rsidRPr="003F3D88">
        <w:rPr>
          <w:bCs/>
        </w:rPr>
        <w:t xml:space="preserve">l </w:t>
      </w:r>
      <w:r w:rsidR="00E10BFD">
        <w:rPr>
          <w:bCs/>
        </w:rPr>
        <w:t>v</w:t>
      </w:r>
      <w:r w:rsidRPr="003F3D88">
        <w:rPr>
          <w:bCs/>
        </w:rPr>
        <w:t xml:space="preserve"> </w:t>
      </w:r>
      <w:r w:rsidR="003F3D88" w:rsidRPr="003F3D88">
        <w:rPr>
          <w:bCs/>
        </w:rPr>
        <w:t>RDM</w:t>
      </w:r>
      <w:r w:rsidR="003F3D88">
        <w:rPr>
          <w:rStyle w:val="Znakapoznpodarou"/>
          <w:bCs/>
        </w:rPr>
        <w:footnoteReference w:id="49"/>
      </w:r>
      <w:r w:rsidR="00E10BFD">
        <w:rPr>
          <w:bCs/>
        </w:rPr>
        <w:t xml:space="preserve"> pět z šesti </w:t>
      </w:r>
      <w:r w:rsidR="00E10BFD" w:rsidRPr="003F3D88">
        <w:rPr>
          <w:bCs/>
        </w:rPr>
        <w:t xml:space="preserve">poskytnutých blokových výjimek současně i jako podpory malého rozsahu (de </w:t>
      </w:r>
      <w:proofErr w:type="spellStart"/>
      <w:r w:rsidR="00E10BFD" w:rsidRPr="003F3D88">
        <w:rPr>
          <w:bCs/>
        </w:rPr>
        <w:t>minimis</w:t>
      </w:r>
      <w:proofErr w:type="spellEnd"/>
      <w:r w:rsidR="00E10BFD" w:rsidRPr="003F3D88">
        <w:rPr>
          <w:bCs/>
        </w:rPr>
        <w:t>)</w:t>
      </w:r>
      <w:r w:rsidR="00605C3E">
        <w:rPr>
          <w:bCs/>
        </w:rPr>
        <w:t>.</w:t>
      </w:r>
    </w:p>
    <w:p w14:paraId="09C2D396" w14:textId="7CFB6E9B" w:rsidR="006909AD" w:rsidRDefault="00A277FA" w:rsidP="00A91587">
      <w:pPr>
        <w:pStyle w:val="N2"/>
      </w:pPr>
      <w:r>
        <w:t>IV.</w:t>
      </w:r>
      <w:r w:rsidR="006909AD">
        <w:t>2.3 Příjemci podpory z programu NZÚ</w:t>
      </w:r>
    </w:p>
    <w:p w14:paraId="54CF1B61" w14:textId="0743A72F" w:rsidR="008D6BAC" w:rsidRPr="008D6BAC" w:rsidRDefault="004E2E4C" w:rsidP="004E2E4C">
      <w:pPr>
        <w:spacing w:after="120"/>
      </w:pPr>
      <w:r>
        <w:t xml:space="preserve">Kontrolované osoby v roli příjemců dotace z programu NZÚ čerpaly peněžní prostředky </w:t>
      </w:r>
      <w:r w:rsidR="001C0463">
        <w:t>na stanovený účel s využitím dotačních prostředků dle schváleného projektu</w:t>
      </w:r>
      <w:r>
        <w:t xml:space="preserve"> a většina z nich i</w:t>
      </w:r>
      <w:r w:rsidR="00642787">
        <w:t> </w:t>
      </w:r>
      <w:r>
        <w:t xml:space="preserve">v souladu s právními předpisy. </w:t>
      </w:r>
      <w:r w:rsidR="008D6BAC">
        <w:t>NKÚ nezjistil u většiny projektů žádné nedostatky</w:t>
      </w:r>
      <w:r w:rsidR="006679A3">
        <w:t>, n</w:t>
      </w:r>
      <w:r w:rsidR="008D6BAC">
        <w:t xml:space="preserve">ěkterá dílčí pochybení </w:t>
      </w:r>
      <w:r w:rsidR="003B118C">
        <w:t xml:space="preserve">však </w:t>
      </w:r>
      <w:r w:rsidR="008D6BAC">
        <w:t>byla zaznamenána v oblasti výběru dodavatelů</w:t>
      </w:r>
      <w:r w:rsidR="00AE103F">
        <w:t>, např.</w:t>
      </w:r>
      <w:r w:rsidR="008D6BAC">
        <w:t xml:space="preserve">: </w:t>
      </w:r>
    </w:p>
    <w:p w14:paraId="64214F4D" w14:textId="65F8FAE5" w:rsidR="00B26CB0" w:rsidRDefault="00A842EE" w:rsidP="00264849">
      <w:pPr>
        <w:pStyle w:val="Odstavecseseznamem"/>
        <w:numPr>
          <w:ilvl w:val="0"/>
          <w:numId w:val="34"/>
        </w:numPr>
        <w:spacing w:after="120"/>
      </w:pPr>
      <w:r>
        <w:t xml:space="preserve">Příjemce podpory u </w:t>
      </w:r>
      <w:r w:rsidR="00FD1395">
        <w:t xml:space="preserve">jednoho </w:t>
      </w:r>
      <w:r>
        <w:t>p</w:t>
      </w:r>
      <w:r w:rsidR="008D6BAC">
        <w:t>rojekt</w:t>
      </w:r>
      <w:r>
        <w:t>u nedispon</w:t>
      </w:r>
      <w:r w:rsidR="006331F3">
        <w:t xml:space="preserve">oval </w:t>
      </w:r>
      <w:r>
        <w:t xml:space="preserve">žádnou dokumentací k výběru dodavatele na zateplovací práce, nelze tedy ověřit, zda příjemce postupoval v souladu se všemi zásadami, které stanoví </w:t>
      </w:r>
      <w:r w:rsidR="003B118C">
        <w:t>d</w:t>
      </w:r>
      <w:r>
        <w:t xml:space="preserve">okumentace programu NZÚ. Tento postup není v souladu se zásadou transparentnosti. </w:t>
      </w:r>
    </w:p>
    <w:p w14:paraId="28314285" w14:textId="77777777" w:rsidR="00D62A4B" w:rsidRDefault="00D62A4B" w:rsidP="00AB10BE"/>
    <w:p w14:paraId="78D458C5" w14:textId="561FD8B6" w:rsidR="0063797D" w:rsidRDefault="005D4660" w:rsidP="00D62A4B">
      <w:pPr>
        <w:autoSpaceDE w:val="0"/>
        <w:autoSpaceDN w:val="0"/>
        <w:adjustRightInd w:val="0"/>
        <w:spacing w:after="120"/>
        <w:outlineLvl w:val="1"/>
        <w:rPr>
          <w:rFonts w:cs="Calibri"/>
          <w:b/>
          <w:bCs/>
        </w:rPr>
      </w:pPr>
      <w:r>
        <w:rPr>
          <w:rFonts w:cs="Calibri"/>
          <w:b/>
          <w:bCs/>
          <w:color w:val="000000"/>
        </w:rPr>
        <w:t xml:space="preserve">IV.3 </w:t>
      </w:r>
      <w:r w:rsidR="0063797D">
        <w:rPr>
          <w:rFonts w:cs="Calibri"/>
          <w:b/>
          <w:bCs/>
          <w:color w:val="000000"/>
        </w:rPr>
        <w:t>Podmínky pro čerpání podpory z IROP a z programu NZÚ</w:t>
      </w:r>
    </w:p>
    <w:p w14:paraId="1D0DC449" w14:textId="14227DC3" w:rsidR="00C24825" w:rsidRPr="0063797D" w:rsidRDefault="000F4F6B" w:rsidP="00FD3526">
      <w:pPr>
        <w:spacing w:after="120"/>
      </w:pPr>
      <w:r>
        <w:t xml:space="preserve">Přestože </w:t>
      </w:r>
      <w:r w:rsidR="003B118C">
        <w:t xml:space="preserve">jsou z </w:t>
      </w:r>
      <w:r>
        <w:t>IROP i program</w:t>
      </w:r>
      <w:r w:rsidR="003B118C">
        <w:t>u</w:t>
      </w:r>
      <w:r>
        <w:t xml:space="preserve"> NZÚ podpor</w:t>
      </w:r>
      <w:r w:rsidR="003B118C">
        <w:t>ována</w:t>
      </w:r>
      <w:r>
        <w:t xml:space="preserve"> stejná opatření, n</w:t>
      </w:r>
      <w:r w:rsidR="0063797D" w:rsidRPr="0063797D">
        <w:t>ěkteré podmín</w:t>
      </w:r>
      <w:r w:rsidR="003B118C">
        <w:t>ky</w:t>
      </w:r>
      <w:r w:rsidR="0063797D" w:rsidRPr="0063797D">
        <w:t xml:space="preserve"> </w:t>
      </w:r>
      <w:r w:rsidR="004147A0" w:rsidRPr="0063797D">
        <w:t xml:space="preserve">pro </w:t>
      </w:r>
      <w:r w:rsidR="00C24825" w:rsidRPr="0063797D">
        <w:t>čerpání podpory z</w:t>
      </w:r>
      <w:r w:rsidR="003B118C">
        <w:t> těchto programů</w:t>
      </w:r>
      <w:r w:rsidR="00C24825" w:rsidRPr="0063797D">
        <w:t xml:space="preserve"> </w:t>
      </w:r>
      <w:r w:rsidR="00B14303" w:rsidRPr="0063797D">
        <w:t xml:space="preserve">stanovili poskytovatelé </w:t>
      </w:r>
      <w:r>
        <w:t xml:space="preserve">dotace </w:t>
      </w:r>
      <w:r w:rsidR="00B14303" w:rsidRPr="0063797D">
        <w:t>pro</w:t>
      </w:r>
      <w:r w:rsidR="003B118C">
        <w:t xml:space="preserve"> </w:t>
      </w:r>
      <w:r w:rsidR="00B14303" w:rsidRPr="0063797D">
        <w:t>příjemce odlišně</w:t>
      </w:r>
      <w:r w:rsidR="00D67336" w:rsidRPr="0063797D">
        <w:t xml:space="preserve">. Podmínky pro získání dotace z IROP jsou ve srovnání s programem NZÚ většinou přísnější a na příjemce podpory z IROP je také kladena </w:t>
      </w:r>
      <w:r w:rsidR="003B118C">
        <w:t>větší</w:t>
      </w:r>
      <w:r w:rsidR="00D67336" w:rsidRPr="0063797D">
        <w:t xml:space="preserve"> administrativní zátěž. </w:t>
      </w:r>
    </w:p>
    <w:p w14:paraId="49B2209B" w14:textId="0D2E313A" w:rsidR="008A5FED" w:rsidRDefault="008A5FED" w:rsidP="008A5FED">
      <w:pPr>
        <w:spacing w:after="120"/>
      </w:pPr>
      <w:r>
        <w:t>Rámec kooperace mezi MŽP jako odborným gar</w:t>
      </w:r>
      <w:r w:rsidR="001E1F6A">
        <w:t xml:space="preserve">antem a správcem programu NZÚ </w:t>
      </w:r>
      <w:r w:rsidR="00952D0C">
        <w:br/>
      </w:r>
      <w:r w:rsidR="001E1F6A">
        <w:t>a</w:t>
      </w:r>
      <w:r w:rsidR="00952D0C">
        <w:t xml:space="preserve"> </w:t>
      </w:r>
      <w:r>
        <w:t xml:space="preserve">Ministerstvem pro místní rozvoj </w:t>
      </w:r>
      <w:r w:rsidR="00607A05">
        <w:t>j</w:t>
      </w:r>
      <w:r>
        <w:t xml:space="preserve">ako gestorem bytové politiky a ŘO IROP vytváří </w:t>
      </w:r>
      <w:r w:rsidRPr="008A5FED">
        <w:rPr>
          <w:i/>
        </w:rPr>
        <w:t>Memorandum o spolupráci při přípravě a budoucí realizac</w:t>
      </w:r>
      <w:r w:rsidR="001E1F6A">
        <w:rPr>
          <w:i/>
        </w:rPr>
        <w:t>i podpory energetických úspor v </w:t>
      </w:r>
      <w:r w:rsidRPr="008A5FED">
        <w:rPr>
          <w:i/>
        </w:rPr>
        <w:t>oblasti bydlení z ESI fondů a programů národní podpory pro období 2014</w:t>
      </w:r>
      <w:r w:rsidR="003B118C">
        <w:t>–</w:t>
      </w:r>
      <w:r w:rsidRPr="008A5FED">
        <w:rPr>
          <w:i/>
        </w:rPr>
        <w:t>2020</w:t>
      </w:r>
      <w:r w:rsidR="006A4C25" w:rsidRPr="00FD3526">
        <w:rPr>
          <w:rStyle w:val="Znakapoznpodarou"/>
        </w:rPr>
        <w:footnoteReference w:id="50"/>
      </w:r>
      <w:r w:rsidRPr="008A5FED">
        <w:rPr>
          <w:i/>
        </w:rPr>
        <w:t xml:space="preserve"> </w:t>
      </w:r>
      <w:r>
        <w:t xml:space="preserve">(dále též „Memorandum“) podepsané mezi MŽP a MMR dne 31. května 2015. V článku 3 Memoranda je řešena i regulace </w:t>
      </w:r>
      <w:r w:rsidR="006A4C25">
        <w:t xml:space="preserve">míry poskytované </w:t>
      </w:r>
      <w:r>
        <w:t xml:space="preserve">podpory </w:t>
      </w:r>
      <w:r w:rsidR="003B118C">
        <w:t xml:space="preserve">z </w:t>
      </w:r>
      <w:r>
        <w:t xml:space="preserve">podprogramu </w:t>
      </w:r>
      <w:r w:rsidRPr="00607A05">
        <w:rPr>
          <w:i/>
        </w:rPr>
        <w:t>Bytové domy</w:t>
      </w:r>
      <w:r>
        <w:t xml:space="preserve"> </w:t>
      </w:r>
      <w:r w:rsidR="003B118C">
        <w:t xml:space="preserve">programu </w:t>
      </w:r>
      <w:r w:rsidR="00607A05">
        <w:t xml:space="preserve">NZÚ, </w:t>
      </w:r>
      <w:r w:rsidR="003B118C">
        <w:t>výše této podpory</w:t>
      </w:r>
      <w:r>
        <w:t xml:space="preserve"> </w:t>
      </w:r>
      <w:r w:rsidR="006A4C25">
        <w:t xml:space="preserve">by měla být </w:t>
      </w:r>
      <w:r>
        <w:t>vždy v souladu s podmínkami IROP.</w:t>
      </w:r>
    </w:p>
    <w:p w14:paraId="1F1E114F" w14:textId="77777777" w:rsidR="004F240B" w:rsidRDefault="004F240B">
      <w:pPr>
        <w:jc w:val="left"/>
      </w:pPr>
      <w:r>
        <w:br w:type="page"/>
      </w:r>
    </w:p>
    <w:p w14:paraId="485B79D4" w14:textId="76D9DDC7" w:rsidR="006F329D" w:rsidRDefault="006F329D" w:rsidP="00FD3526">
      <w:pPr>
        <w:keepNext/>
        <w:spacing w:after="120"/>
        <w:ind w:left="1304" w:hanging="1304"/>
      </w:pPr>
      <w:r w:rsidRPr="004F240B">
        <w:lastRenderedPageBreak/>
        <w:t xml:space="preserve">Tabulka č. </w:t>
      </w:r>
      <w:r w:rsidR="00B67A7B" w:rsidRPr="004F240B">
        <w:t>3</w:t>
      </w:r>
      <w:r w:rsidRPr="004F240B">
        <w:t>:</w:t>
      </w:r>
      <w:r w:rsidRPr="004F240B">
        <w:tab/>
      </w:r>
      <w:r w:rsidR="006F5749" w:rsidRPr="004F240B">
        <w:t xml:space="preserve">Přehled stanovené míry </w:t>
      </w:r>
      <w:r w:rsidR="007707A8" w:rsidRPr="004F240B">
        <w:t>podpor</w:t>
      </w:r>
      <w:r w:rsidR="00FA3B89" w:rsidRPr="004F240B">
        <w:t>y</w:t>
      </w:r>
      <w:r w:rsidR="007707A8" w:rsidRPr="004F240B">
        <w:t xml:space="preserve"> </w:t>
      </w:r>
      <w:r w:rsidR="006F5749" w:rsidRPr="004F240B">
        <w:t>u výzev vyhlášených pro bytové domy</w:t>
      </w:r>
    </w:p>
    <w:tbl>
      <w:tblPr>
        <w:tblStyle w:val="Mkatabulky"/>
        <w:tblW w:w="9015" w:type="dxa"/>
        <w:tblLook w:val="04A0" w:firstRow="1" w:lastRow="0" w:firstColumn="1" w:lastColumn="0" w:noHBand="0" w:noVBand="1"/>
      </w:tblPr>
      <w:tblGrid>
        <w:gridCol w:w="679"/>
        <w:gridCol w:w="1134"/>
        <w:gridCol w:w="1372"/>
        <w:gridCol w:w="1281"/>
        <w:gridCol w:w="680"/>
        <w:gridCol w:w="1134"/>
        <w:gridCol w:w="1372"/>
        <w:gridCol w:w="1363"/>
      </w:tblGrid>
      <w:tr w:rsidR="004F240B" w14:paraId="1F17EE90" w14:textId="77777777" w:rsidTr="00567229">
        <w:trPr>
          <w:trHeight w:val="454"/>
        </w:trPr>
        <w:tc>
          <w:tcPr>
            <w:tcW w:w="4466" w:type="dxa"/>
            <w:gridSpan w:val="4"/>
            <w:shd w:val="clear" w:color="auto" w:fill="E5F1FF"/>
            <w:vAlign w:val="center"/>
          </w:tcPr>
          <w:p w14:paraId="5C2B0755" w14:textId="77777777" w:rsidR="004F240B" w:rsidRPr="00FA3C48" w:rsidRDefault="004F240B" w:rsidP="009A6705">
            <w:pPr>
              <w:jc w:val="center"/>
              <w:rPr>
                <w:b/>
                <w:sz w:val="20"/>
              </w:rPr>
            </w:pPr>
            <w:r w:rsidRPr="00FA3C48">
              <w:rPr>
                <w:b/>
                <w:sz w:val="20"/>
              </w:rPr>
              <w:t>IROP</w:t>
            </w:r>
          </w:p>
        </w:tc>
        <w:tc>
          <w:tcPr>
            <w:tcW w:w="4547" w:type="dxa"/>
            <w:gridSpan w:val="4"/>
            <w:shd w:val="clear" w:color="auto" w:fill="E5F1FF"/>
            <w:vAlign w:val="center"/>
          </w:tcPr>
          <w:p w14:paraId="79C53F3D" w14:textId="77777777" w:rsidR="004F240B" w:rsidRPr="00FA3C48" w:rsidRDefault="004F240B" w:rsidP="009A6705">
            <w:pPr>
              <w:jc w:val="center"/>
              <w:rPr>
                <w:b/>
                <w:sz w:val="20"/>
              </w:rPr>
            </w:pPr>
            <w:r w:rsidRPr="00FA3C48">
              <w:rPr>
                <w:b/>
                <w:sz w:val="20"/>
              </w:rPr>
              <w:t>Program NZÚ</w:t>
            </w:r>
          </w:p>
        </w:tc>
      </w:tr>
      <w:tr w:rsidR="004F240B" w14:paraId="59592547" w14:textId="77777777" w:rsidTr="00567229">
        <w:tc>
          <w:tcPr>
            <w:tcW w:w="679" w:type="dxa"/>
            <w:vAlign w:val="center"/>
          </w:tcPr>
          <w:p w14:paraId="7427D743" w14:textId="77777777" w:rsidR="004F240B" w:rsidRPr="00F04BAF" w:rsidRDefault="004F240B" w:rsidP="009A6705">
            <w:pPr>
              <w:jc w:val="center"/>
              <w:rPr>
                <w:b/>
                <w:sz w:val="18"/>
                <w:szCs w:val="18"/>
              </w:rPr>
            </w:pPr>
            <w:r w:rsidRPr="00F04BAF">
              <w:rPr>
                <w:b/>
                <w:sz w:val="18"/>
                <w:szCs w:val="18"/>
              </w:rPr>
              <w:t>Číslo výzvy</w:t>
            </w:r>
          </w:p>
        </w:tc>
        <w:tc>
          <w:tcPr>
            <w:tcW w:w="1134" w:type="dxa"/>
            <w:vAlign w:val="center"/>
          </w:tcPr>
          <w:p w14:paraId="377A1416" w14:textId="77777777" w:rsidR="004F240B" w:rsidRPr="00F04BAF" w:rsidRDefault="004F240B" w:rsidP="009A6705">
            <w:pPr>
              <w:jc w:val="center"/>
              <w:rPr>
                <w:b/>
                <w:sz w:val="18"/>
                <w:szCs w:val="18"/>
              </w:rPr>
            </w:pPr>
            <w:r w:rsidRPr="00F04BAF">
              <w:rPr>
                <w:b/>
                <w:sz w:val="18"/>
                <w:szCs w:val="18"/>
              </w:rPr>
              <w:t>Datum vyhlášení</w:t>
            </w:r>
          </w:p>
        </w:tc>
        <w:tc>
          <w:tcPr>
            <w:tcW w:w="1372" w:type="dxa"/>
          </w:tcPr>
          <w:p w14:paraId="61615573" w14:textId="77777777" w:rsidR="004F240B" w:rsidRPr="00F04BAF" w:rsidRDefault="004F240B" w:rsidP="009A6705">
            <w:pPr>
              <w:jc w:val="center"/>
              <w:rPr>
                <w:b/>
                <w:sz w:val="18"/>
                <w:szCs w:val="18"/>
              </w:rPr>
            </w:pPr>
            <w:r w:rsidRPr="00F04BAF">
              <w:rPr>
                <w:b/>
                <w:sz w:val="18"/>
                <w:szCs w:val="18"/>
              </w:rPr>
              <w:t>Datum ukončení příjmu žádostí</w:t>
            </w:r>
          </w:p>
        </w:tc>
        <w:tc>
          <w:tcPr>
            <w:tcW w:w="1281" w:type="dxa"/>
            <w:vAlign w:val="center"/>
          </w:tcPr>
          <w:p w14:paraId="6E18053A" w14:textId="77777777" w:rsidR="004F240B" w:rsidRPr="00F04BAF" w:rsidRDefault="004F240B" w:rsidP="009A6705">
            <w:pPr>
              <w:ind w:left="-113" w:right="-96"/>
              <w:jc w:val="center"/>
              <w:rPr>
                <w:b/>
                <w:sz w:val="18"/>
                <w:szCs w:val="18"/>
              </w:rPr>
            </w:pPr>
            <w:r w:rsidRPr="00F04BAF">
              <w:rPr>
                <w:b/>
                <w:sz w:val="18"/>
                <w:szCs w:val="18"/>
              </w:rPr>
              <w:t>Maximální míra podpory</w:t>
            </w:r>
          </w:p>
          <w:p w14:paraId="2A8D63DA" w14:textId="77777777" w:rsidR="004F240B" w:rsidRPr="00F04BAF" w:rsidRDefault="004F240B" w:rsidP="009A6705">
            <w:pPr>
              <w:jc w:val="center"/>
              <w:rPr>
                <w:b/>
                <w:sz w:val="18"/>
                <w:szCs w:val="18"/>
              </w:rPr>
            </w:pPr>
            <w:r w:rsidRPr="00F04BAF">
              <w:rPr>
                <w:b/>
                <w:sz w:val="18"/>
                <w:szCs w:val="18"/>
              </w:rPr>
              <w:t>(v %)</w:t>
            </w:r>
          </w:p>
        </w:tc>
        <w:tc>
          <w:tcPr>
            <w:tcW w:w="680" w:type="dxa"/>
            <w:vAlign w:val="center"/>
          </w:tcPr>
          <w:p w14:paraId="0D3C7DB0" w14:textId="77777777" w:rsidR="004F240B" w:rsidRPr="00F04BAF" w:rsidRDefault="004F240B" w:rsidP="009A6705">
            <w:pPr>
              <w:jc w:val="center"/>
              <w:rPr>
                <w:b/>
                <w:sz w:val="18"/>
                <w:szCs w:val="18"/>
              </w:rPr>
            </w:pPr>
            <w:r w:rsidRPr="00F04BAF">
              <w:rPr>
                <w:b/>
                <w:sz w:val="18"/>
                <w:szCs w:val="18"/>
              </w:rPr>
              <w:t>Číslo výzvy</w:t>
            </w:r>
          </w:p>
        </w:tc>
        <w:tc>
          <w:tcPr>
            <w:tcW w:w="1134" w:type="dxa"/>
            <w:vAlign w:val="center"/>
          </w:tcPr>
          <w:p w14:paraId="64AE7418" w14:textId="77777777" w:rsidR="004F240B" w:rsidRPr="00F04BAF" w:rsidRDefault="004F240B" w:rsidP="009A6705">
            <w:pPr>
              <w:jc w:val="center"/>
              <w:rPr>
                <w:b/>
                <w:sz w:val="18"/>
                <w:szCs w:val="18"/>
              </w:rPr>
            </w:pPr>
            <w:r w:rsidRPr="00F04BAF">
              <w:rPr>
                <w:b/>
                <w:sz w:val="18"/>
                <w:szCs w:val="18"/>
              </w:rPr>
              <w:t>Datum vyhlášení</w:t>
            </w:r>
          </w:p>
        </w:tc>
        <w:tc>
          <w:tcPr>
            <w:tcW w:w="1372" w:type="dxa"/>
          </w:tcPr>
          <w:p w14:paraId="13A8AE8A" w14:textId="77777777" w:rsidR="004F240B" w:rsidRPr="00F04BAF" w:rsidRDefault="004F240B" w:rsidP="009A6705">
            <w:pPr>
              <w:jc w:val="center"/>
              <w:rPr>
                <w:b/>
                <w:sz w:val="18"/>
                <w:szCs w:val="18"/>
              </w:rPr>
            </w:pPr>
            <w:r w:rsidRPr="00F04BAF">
              <w:rPr>
                <w:b/>
                <w:sz w:val="18"/>
                <w:szCs w:val="18"/>
              </w:rPr>
              <w:t>Datum ukončení příjmu žádostí</w:t>
            </w:r>
          </w:p>
        </w:tc>
        <w:tc>
          <w:tcPr>
            <w:tcW w:w="1363" w:type="dxa"/>
          </w:tcPr>
          <w:p w14:paraId="493C943D" w14:textId="77777777" w:rsidR="004F240B" w:rsidRPr="00F04BAF" w:rsidRDefault="004F240B" w:rsidP="009A6705">
            <w:pPr>
              <w:ind w:left="-107" w:right="-104"/>
              <w:jc w:val="center"/>
              <w:rPr>
                <w:b/>
                <w:sz w:val="18"/>
                <w:szCs w:val="18"/>
              </w:rPr>
            </w:pPr>
            <w:r w:rsidRPr="00F04BAF">
              <w:rPr>
                <w:b/>
                <w:sz w:val="18"/>
                <w:szCs w:val="18"/>
              </w:rPr>
              <w:t>Maximální míra podpory</w:t>
            </w:r>
          </w:p>
          <w:p w14:paraId="340FB32A" w14:textId="77777777" w:rsidR="004F240B" w:rsidRPr="00F04BAF" w:rsidRDefault="004F240B" w:rsidP="009A6705">
            <w:pPr>
              <w:jc w:val="center"/>
              <w:rPr>
                <w:b/>
                <w:sz w:val="18"/>
                <w:szCs w:val="18"/>
              </w:rPr>
            </w:pPr>
            <w:r w:rsidRPr="00F04BAF">
              <w:rPr>
                <w:b/>
                <w:sz w:val="18"/>
                <w:szCs w:val="18"/>
              </w:rPr>
              <w:t>(v %)</w:t>
            </w:r>
          </w:p>
        </w:tc>
      </w:tr>
      <w:tr w:rsidR="004F240B" w14:paraId="0409AC0E" w14:textId="77777777" w:rsidTr="00567229">
        <w:trPr>
          <w:trHeight w:val="340"/>
        </w:trPr>
        <w:tc>
          <w:tcPr>
            <w:tcW w:w="679" w:type="dxa"/>
            <w:vAlign w:val="center"/>
          </w:tcPr>
          <w:p w14:paraId="4BF7F886" w14:textId="77777777" w:rsidR="004F240B" w:rsidRPr="00F04BAF" w:rsidRDefault="004F240B" w:rsidP="009A6705">
            <w:pPr>
              <w:jc w:val="center"/>
              <w:rPr>
                <w:sz w:val="18"/>
                <w:szCs w:val="18"/>
              </w:rPr>
            </w:pPr>
            <w:r w:rsidRPr="00F04BAF">
              <w:rPr>
                <w:sz w:val="18"/>
                <w:szCs w:val="18"/>
              </w:rPr>
              <w:t>16</w:t>
            </w:r>
          </w:p>
        </w:tc>
        <w:tc>
          <w:tcPr>
            <w:tcW w:w="1134" w:type="dxa"/>
            <w:vAlign w:val="center"/>
          </w:tcPr>
          <w:p w14:paraId="0305FD75" w14:textId="77777777" w:rsidR="004F240B" w:rsidRPr="00F04BAF" w:rsidRDefault="004F240B" w:rsidP="009A6705">
            <w:pPr>
              <w:jc w:val="right"/>
              <w:rPr>
                <w:sz w:val="18"/>
                <w:szCs w:val="18"/>
              </w:rPr>
            </w:pPr>
            <w:r w:rsidRPr="00F04BAF">
              <w:rPr>
                <w:sz w:val="18"/>
                <w:szCs w:val="18"/>
              </w:rPr>
              <w:t>9. 12. 2015</w:t>
            </w:r>
          </w:p>
        </w:tc>
        <w:tc>
          <w:tcPr>
            <w:tcW w:w="1372" w:type="dxa"/>
            <w:vAlign w:val="center"/>
          </w:tcPr>
          <w:p w14:paraId="17D91DA4" w14:textId="77777777" w:rsidR="004F240B" w:rsidRPr="00F04BAF" w:rsidRDefault="004F240B" w:rsidP="009A6705">
            <w:pPr>
              <w:jc w:val="right"/>
              <w:rPr>
                <w:sz w:val="18"/>
                <w:szCs w:val="18"/>
              </w:rPr>
            </w:pPr>
            <w:r w:rsidRPr="00F04BAF">
              <w:rPr>
                <w:sz w:val="18"/>
                <w:szCs w:val="18"/>
              </w:rPr>
              <w:t>25. 7. 2016</w:t>
            </w:r>
          </w:p>
        </w:tc>
        <w:tc>
          <w:tcPr>
            <w:tcW w:w="1281" w:type="dxa"/>
            <w:vAlign w:val="center"/>
          </w:tcPr>
          <w:p w14:paraId="7F52CF87" w14:textId="77777777" w:rsidR="004F240B" w:rsidRPr="00F04BAF" w:rsidRDefault="004F240B" w:rsidP="009A6705">
            <w:pPr>
              <w:jc w:val="right"/>
              <w:rPr>
                <w:sz w:val="18"/>
                <w:szCs w:val="18"/>
              </w:rPr>
            </w:pPr>
            <w:r w:rsidRPr="00F04BAF">
              <w:rPr>
                <w:sz w:val="18"/>
                <w:szCs w:val="18"/>
              </w:rPr>
              <w:t>32,3</w:t>
            </w:r>
          </w:p>
        </w:tc>
        <w:tc>
          <w:tcPr>
            <w:tcW w:w="680" w:type="dxa"/>
            <w:vAlign w:val="center"/>
          </w:tcPr>
          <w:p w14:paraId="26F072AB" w14:textId="77777777" w:rsidR="004F240B" w:rsidRPr="00F04BAF" w:rsidRDefault="004F240B" w:rsidP="009A6705">
            <w:pPr>
              <w:jc w:val="center"/>
              <w:rPr>
                <w:sz w:val="18"/>
                <w:szCs w:val="18"/>
              </w:rPr>
            </w:pPr>
            <w:r w:rsidRPr="00F04BAF">
              <w:rPr>
                <w:sz w:val="18"/>
                <w:szCs w:val="18"/>
              </w:rPr>
              <w:t>BD1</w:t>
            </w:r>
          </w:p>
        </w:tc>
        <w:tc>
          <w:tcPr>
            <w:tcW w:w="1134" w:type="dxa"/>
            <w:vAlign w:val="center"/>
          </w:tcPr>
          <w:p w14:paraId="716BD113" w14:textId="77777777" w:rsidR="004F240B" w:rsidRPr="00F04BAF" w:rsidRDefault="004F240B" w:rsidP="009A6705">
            <w:pPr>
              <w:jc w:val="right"/>
              <w:rPr>
                <w:sz w:val="18"/>
                <w:szCs w:val="18"/>
              </w:rPr>
            </w:pPr>
            <w:r w:rsidRPr="00F04BAF">
              <w:rPr>
                <w:sz w:val="18"/>
                <w:szCs w:val="18"/>
              </w:rPr>
              <w:t>1. 4. 2015</w:t>
            </w:r>
          </w:p>
        </w:tc>
        <w:tc>
          <w:tcPr>
            <w:tcW w:w="1372" w:type="dxa"/>
            <w:vAlign w:val="center"/>
          </w:tcPr>
          <w:p w14:paraId="5040C6A1" w14:textId="77777777" w:rsidR="004F240B" w:rsidRPr="00F04BAF" w:rsidRDefault="004F240B" w:rsidP="009A6705">
            <w:pPr>
              <w:jc w:val="right"/>
              <w:rPr>
                <w:sz w:val="18"/>
                <w:szCs w:val="18"/>
              </w:rPr>
            </w:pPr>
            <w:r w:rsidRPr="00F04BAF">
              <w:rPr>
                <w:sz w:val="18"/>
                <w:szCs w:val="18"/>
              </w:rPr>
              <w:t>31. 10. 2015</w:t>
            </w:r>
          </w:p>
        </w:tc>
        <w:tc>
          <w:tcPr>
            <w:tcW w:w="1363" w:type="dxa"/>
            <w:vAlign w:val="center"/>
          </w:tcPr>
          <w:p w14:paraId="6010EAB9" w14:textId="77777777" w:rsidR="004F240B" w:rsidRPr="00F04BAF" w:rsidRDefault="004F240B" w:rsidP="009A6705">
            <w:pPr>
              <w:ind w:left="-99" w:right="-52"/>
              <w:jc w:val="right"/>
              <w:rPr>
                <w:sz w:val="18"/>
                <w:szCs w:val="18"/>
              </w:rPr>
            </w:pPr>
            <w:r w:rsidRPr="00F04BAF">
              <w:rPr>
                <w:sz w:val="18"/>
                <w:szCs w:val="18"/>
              </w:rPr>
              <w:t>15</w:t>
            </w:r>
          </w:p>
        </w:tc>
      </w:tr>
      <w:tr w:rsidR="004F240B" w14:paraId="6F1CF708" w14:textId="77777777" w:rsidTr="00567229">
        <w:trPr>
          <w:trHeight w:val="340"/>
        </w:trPr>
        <w:tc>
          <w:tcPr>
            <w:tcW w:w="679" w:type="dxa"/>
            <w:vAlign w:val="center"/>
          </w:tcPr>
          <w:p w14:paraId="021A3755" w14:textId="77777777" w:rsidR="004F240B" w:rsidRPr="00F04BAF" w:rsidRDefault="004F240B" w:rsidP="009A6705">
            <w:pPr>
              <w:jc w:val="center"/>
              <w:rPr>
                <w:sz w:val="18"/>
                <w:szCs w:val="18"/>
              </w:rPr>
            </w:pPr>
            <w:r w:rsidRPr="00F04BAF">
              <w:rPr>
                <w:sz w:val="18"/>
                <w:szCs w:val="18"/>
              </w:rPr>
              <w:t>37</w:t>
            </w:r>
          </w:p>
        </w:tc>
        <w:tc>
          <w:tcPr>
            <w:tcW w:w="1134" w:type="dxa"/>
            <w:vAlign w:val="center"/>
          </w:tcPr>
          <w:p w14:paraId="42C96BBB" w14:textId="77777777" w:rsidR="004F240B" w:rsidRPr="00F04BAF" w:rsidRDefault="004F240B" w:rsidP="009A6705">
            <w:pPr>
              <w:jc w:val="right"/>
              <w:rPr>
                <w:sz w:val="18"/>
                <w:szCs w:val="18"/>
              </w:rPr>
            </w:pPr>
            <w:r w:rsidRPr="00F04BAF">
              <w:rPr>
                <w:sz w:val="18"/>
                <w:szCs w:val="18"/>
              </w:rPr>
              <w:t>1. 7. 2016</w:t>
            </w:r>
          </w:p>
        </w:tc>
        <w:tc>
          <w:tcPr>
            <w:tcW w:w="1372" w:type="dxa"/>
            <w:vAlign w:val="center"/>
          </w:tcPr>
          <w:p w14:paraId="4436B316" w14:textId="77777777" w:rsidR="004F240B" w:rsidRPr="00F04BAF" w:rsidRDefault="004F240B" w:rsidP="009A6705">
            <w:pPr>
              <w:jc w:val="right"/>
              <w:rPr>
                <w:sz w:val="18"/>
                <w:szCs w:val="18"/>
              </w:rPr>
            </w:pPr>
            <w:r w:rsidRPr="00F04BAF">
              <w:rPr>
                <w:sz w:val="18"/>
                <w:szCs w:val="18"/>
              </w:rPr>
              <w:t>12. 1. 2018</w:t>
            </w:r>
          </w:p>
        </w:tc>
        <w:tc>
          <w:tcPr>
            <w:tcW w:w="1281" w:type="dxa"/>
            <w:vAlign w:val="center"/>
          </w:tcPr>
          <w:p w14:paraId="01812EC9" w14:textId="77777777" w:rsidR="004F240B" w:rsidRPr="00F04BAF" w:rsidRDefault="004F240B" w:rsidP="009A6705">
            <w:pPr>
              <w:jc w:val="right"/>
              <w:rPr>
                <w:sz w:val="18"/>
                <w:szCs w:val="18"/>
              </w:rPr>
            </w:pPr>
            <w:r w:rsidRPr="00F04BAF">
              <w:rPr>
                <w:sz w:val="18"/>
                <w:szCs w:val="18"/>
              </w:rPr>
              <w:t>40,0</w:t>
            </w:r>
          </w:p>
        </w:tc>
        <w:tc>
          <w:tcPr>
            <w:tcW w:w="680" w:type="dxa"/>
            <w:vAlign w:val="center"/>
          </w:tcPr>
          <w:p w14:paraId="53EC75B0" w14:textId="77777777" w:rsidR="004F240B" w:rsidRPr="00F04BAF" w:rsidRDefault="004F240B" w:rsidP="009A6705">
            <w:pPr>
              <w:jc w:val="center"/>
              <w:rPr>
                <w:sz w:val="18"/>
                <w:szCs w:val="18"/>
              </w:rPr>
            </w:pPr>
            <w:r w:rsidRPr="00F04BAF">
              <w:rPr>
                <w:sz w:val="18"/>
                <w:szCs w:val="18"/>
              </w:rPr>
              <w:t>BD2</w:t>
            </w:r>
          </w:p>
        </w:tc>
        <w:tc>
          <w:tcPr>
            <w:tcW w:w="1134" w:type="dxa"/>
            <w:vAlign w:val="center"/>
          </w:tcPr>
          <w:p w14:paraId="316BC246" w14:textId="77777777" w:rsidR="004F240B" w:rsidRPr="00F04BAF" w:rsidRDefault="004F240B" w:rsidP="009A6705">
            <w:pPr>
              <w:jc w:val="right"/>
              <w:rPr>
                <w:sz w:val="18"/>
                <w:szCs w:val="18"/>
              </w:rPr>
            </w:pPr>
            <w:r w:rsidRPr="00F04BAF">
              <w:rPr>
                <w:sz w:val="18"/>
                <w:szCs w:val="18"/>
              </w:rPr>
              <w:t>15. 2. 2016</w:t>
            </w:r>
          </w:p>
        </w:tc>
        <w:tc>
          <w:tcPr>
            <w:tcW w:w="1372" w:type="dxa"/>
            <w:vAlign w:val="center"/>
          </w:tcPr>
          <w:p w14:paraId="0E08B480" w14:textId="77777777" w:rsidR="004F240B" w:rsidRPr="00F04BAF" w:rsidRDefault="004F240B" w:rsidP="009A6705">
            <w:pPr>
              <w:jc w:val="right"/>
              <w:rPr>
                <w:sz w:val="18"/>
                <w:szCs w:val="18"/>
              </w:rPr>
            </w:pPr>
            <w:r w:rsidRPr="00F04BAF">
              <w:rPr>
                <w:sz w:val="18"/>
                <w:szCs w:val="18"/>
              </w:rPr>
              <w:t>Dosud</w:t>
            </w:r>
          </w:p>
        </w:tc>
        <w:tc>
          <w:tcPr>
            <w:tcW w:w="1363" w:type="dxa"/>
            <w:vAlign w:val="center"/>
          </w:tcPr>
          <w:p w14:paraId="7F014765" w14:textId="77777777" w:rsidR="004F240B" w:rsidRPr="00F04BAF" w:rsidRDefault="004F240B" w:rsidP="009A6705">
            <w:pPr>
              <w:ind w:left="-99" w:right="-52"/>
              <w:jc w:val="right"/>
              <w:rPr>
                <w:sz w:val="18"/>
                <w:szCs w:val="18"/>
              </w:rPr>
            </w:pPr>
            <w:r w:rsidRPr="00F04BAF">
              <w:rPr>
                <w:sz w:val="18"/>
                <w:szCs w:val="18"/>
              </w:rPr>
              <w:t>25,0–30,0/40,0*</w:t>
            </w:r>
          </w:p>
        </w:tc>
      </w:tr>
      <w:tr w:rsidR="004F240B" w14:paraId="3EE25195" w14:textId="77777777" w:rsidTr="00567229">
        <w:trPr>
          <w:trHeight w:val="340"/>
        </w:trPr>
        <w:tc>
          <w:tcPr>
            <w:tcW w:w="679" w:type="dxa"/>
            <w:vAlign w:val="center"/>
          </w:tcPr>
          <w:p w14:paraId="453DEC29" w14:textId="77777777" w:rsidR="004F240B" w:rsidRPr="00F04BAF" w:rsidRDefault="004F240B" w:rsidP="009A6705">
            <w:pPr>
              <w:jc w:val="center"/>
              <w:rPr>
                <w:sz w:val="18"/>
                <w:szCs w:val="18"/>
              </w:rPr>
            </w:pPr>
            <w:r w:rsidRPr="00F04BAF">
              <w:rPr>
                <w:sz w:val="18"/>
                <w:szCs w:val="18"/>
              </w:rPr>
              <w:t>78</w:t>
            </w:r>
          </w:p>
        </w:tc>
        <w:tc>
          <w:tcPr>
            <w:tcW w:w="1134" w:type="dxa"/>
            <w:vAlign w:val="center"/>
          </w:tcPr>
          <w:p w14:paraId="7399BD47" w14:textId="77777777" w:rsidR="004F240B" w:rsidRPr="00F04BAF" w:rsidRDefault="004F240B" w:rsidP="009A6705">
            <w:pPr>
              <w:jc w:val="right"/>
              <w:rPr>
                <w:sz w:val="18"/>
                <w:szCs w:val="18"/>
              </w:rPr>
            </w:pPr>
            <w:r w:rsidRPr="00F04BAF">
              <w:rPr>
                <w:sz w:val="18"/>
                <w:szCs w:val="18"/>
              </w:rPr>
              <w:t>12. 1. 2018</w:t>
            </w:r>
          </w:p>
        </w:tc>
        <w:tc>
          <w:tcPr>
            <w:tcW w:w="1372" w:type="dxa"/>
            <w:vAlign w:val="center"/>
          </w:tcPr>
          <w:p w14:paraId="6BFF4B92" w14:textId="77777777" w:rsidR="004F240B" w:rsidRPr="00F04BAF" w:rsidRDefault="004F240B" w:rsidP="009A6705">
            <w:pPr>
              <w:jc w:val="right"/>
              <w:rPr>
                <w:sz w:val="18"/>
                <w:szCs w:val="18"/>
              </w:rPr>
            </w:pPr>
            <w:r w:rsidRPr="00F04BAF">
              <w:rPr>
                <w:sz w:val="18"/>
                <w:szCs w:val="18"/>
              </w:rPr>
              <w:t>30. 11. 2020</w:t>
            </w:r>
          </w:p>
        </w:tc>
        <w:tc>
          <w:tcPr>
            <w:tcW w:w="1281" w:type="dxa"/>
            <w:vAlign w:val="center"/>
          </w:tcPr>
          <w:p w14:paraId="3C0306C4" w14:textId="77777777" w:rsidR="004F240B" w:rsidRPr="00F04BAF" w:rsidRDefault="004F240B" w:rsidP="009A6705">
            <w:pPr>
              <w:jc w:val="right"/>
              <w:rPr>
                <w:sz w:val="18"/>
                <w:szCs w:val="18"/>
              </w:rPr>
            </w:pPr>
            <w:r w:rsidRPr="00F04BAF">
              <w:rPr>
                <w:sz w:val="18"/>
                <w:szCs w:val="18"/>
              </w:rPr>
              <w:t>40,0</w:t>
            </w:r>
          </w:p>
        </w:tc>
        <w:tc>
          <w:tcPr>
            <w:tcW w:w="680" w:type="dxa"/>
            <w:vAlign w:val="center"/>
          </w:tcPr>
          <w:p w14:paraId="5B27683D" w14:textId="77777777" w:rsidR="004F240B" w:rsidRPr="00F04BAF" w:rsidRDefault="004F240B" w:rsidP="009A6705">
            <w:pPr>
              <w:jc w:val="center"/>
              <w:rPr>
                <w:sz w:val="18"/>
                <w:szCs w:val="18"/>
              </w:rPr>
            </w:pPr>
            <w:r w:rsidRPr="00F04BAF">
              <w:rPr>
                <w:sz w:val="18"/>
                <w:szCs w:val="18"/>
              </w:rPr>
              <w:t>BD3</w:t>
            </w:r>
          </w:p>
        </w:tc>
        <w:tc>
          <w:tcPr>
            <w:tcW w:w="1134" w:type="dxa"/>
            <w:vAlign w:val="center"/>
          </w:tcPr>
          <w:p w14:paraId="11D6E09A" w14:textId="77777777" w:rsidR="004F240B" w:rsidRPr="00F04BAF" w:rsidRDefault="004F240B" w:rsidP="009A6705">
            <w:pPr>
              <w:jc w:val="right"/>
              <w:rPr>
                <w:sz w:val="18"/>
                <w:szCs w:val="18"/>
              </w:rPr>
            </w:pPr>
            <w:r w:rsidRPr="00F04BAF">
              <w:rPr>
                <w:sz w:val="18"/>
                <w:szCs w:val="18"/>
              </w:rPr>
              <w:t>9. 1. 2017</w:t>
            </w:r>
          </w:p>
        </w:tc>
        <w:tc>
          <w:tcPr>
            <w:tcW w:w="1372" w:type="dxa"/>
            <w:vAlign w:val="center"/>
          </w:tcPr>
          <w:p w14:paraId="7B7331C2" w14:textId="77777777" w:rsidR="004F240B" w:rsidRPr="00F04BAF" w:rsidRDefault="004F240B" w:rsidP="009A6705">
            <w:pPr>
              <w:jc w:val="right"/>
              <w:rPr>
                <w:sz w:val="18"/>
                <w:szCs w:val="18"/>
              </w:rPr>
            </w:pPr>
            <w:r w:rsidRPr="00F04BAF">
              <w:rPr>
                <w:sz w:val="18"/>
                <w:szCs w:val="18"/>
              </w:rPr>
              <w:t>Dosud</w:t>
            </w:r>
          </w:p>
        </w:tc>
        <w:tc>
          <w:tcPr>
            <w:tcW w:w="1363" w:type="dxa"/>
            <w:vAlign w:val="center"/>
          </w:tcPr>
          <w:p w14:paraId="0D48DA10" w14:textId="77777777" w:rsidR="004F240B" w:rsidRPr="00F04BAF" w:rsidRDefault="004F240B" w:rsidP="009A6705">
            <w:pPr>
              <w:ind w:left="-99" w:right="-52"/>
              <w:jc w:val="right"/>
              <w:rPr>
                <w:sz w:val="18"/>
                <w:szCs w:val="18"/>
              </w:rPr>
            </w:pPr>
            <w:r w:rsidRPr="00F04BAF">
              <w:rPr>
                <w:sz w:val="18"/>
                <w:szCs w:val="18"/>
              </w:rPr>
              <w:t>N/R**</w:t>
            </w:r>
          </w:p>
        </w:tc>
      </w:tr>
    </w:tbl>
    <w:p w14:paraId="741ADC16" w14:textId="2B15F78F" w:rsidR="006F329D" w:rsidRDefault="006F329D" w:rsidP="001F54D2">
      <w:pPr>
        <w:keepNext/>
        <w:rPr>
          <w:i/>
          <w:sz w:val="20"/>
        </w:rPr>
      </w:pPr>
      <w:r w:rsidRPr="00022309">
        <w:rPr>
          <w:b/>
          <w:i/>
          <w:sz w:val="20"/>
        </w:rPr>
        <w:t>Zdroj:</w:t>
      </w:r>
      <w:r>
        <w:rPr>
          <w:i/>
          <w:sz w:val="20"/>
        </w:rPr>
        <w:t xml:space="preserve"> </w:t>
      </w:r>
      <w:r w:rsidR="0058471F">
        <w:rPr>
          <w:i/>
          <w:sz w:val="20"/>
        </w:rPr>
        <w:t>v</w:t>
      </w:r>
      <w:r w:rsidR="00CC53B6">
        <w:rPr>
          <w:i/>
          <w:sz w:val="20"/>
        </w:rPr>
        <w:t>ýzvy IROP a</w:t>
      </w:r>
      <w:r w:rsidR="0058471F">
        <w:rPr>
          <w:i/>
          <w:sz w:val="20"/>
        </w:rPr>
        <w:t xml:space="preserve"> programu</w:t>
      </w:r>
      <w:r w:rsidR="00CC53B6">
        <w:rPr>
          <w:i/>
          <w:sz w:val="20"/>
        </w:rPr>
        <w:t xml:space="preserve"> NZÚ</w:t>
      </w:r>
      <w:r w:rsidR="006B5842">
        <w:rPr>
          <w:i/>
          <w:sz w:val="20"/>
        </w:rPr>
        <w:t>.</w:t>
      </w:r>
    </w:p>
    <w:p w14:paraId="372E366B" w14:textId="016707AB" w:rsidR="00ED6C38" w:rsidRDefault="00CC53B6" w:rsidP="009B4E01">
      <w:pPr>
        <w:tabs>
          <w:tab w:val="left" w:pos="426"/>
        </w:tabs>
        <w:rPr>
          <w:i/>
          <w:sz w:val="20"/>
        </w:rPr>
      </w:pPr>
      <w:r>
        <w:rPr>
          <w:i/>
          <w:sz w:val="20"/>
        </w:rPr>
        <w:t>*</w:t>
      </w:r>
      <w:r w:rsidR="009B4E01">
        <w:rPr>
          <w:i/>
          <w:sz w:val="20"/>
        </w:rPr>
        <w:tab/>
      </w:r>
      <w:r w:rsidR="00ED6C38">
        <w:rPr>
          <w:i/>
          <w:sz w:val="20"/>
        </w:rPr>
        <w:t>Od 1. 1. 2020 navýšena míra podpory na 40 % za účelem sladění podmínek s</w:t>
      </w:r>
      <w:r w:rsidR="008A1EA1">
        <w:rPr>
          <w:i/>
          <w:sz w:val="20"/>
        </w:rPr>
        <w:t> </w:t>
      </w:r>
      <w:r w:rsidR="00ED6C38">
        <w:rPr>
          <w:i/>
          <w:sz w:val="20"/>
        </w:rPr>
        <w:t>IROP</w:t>
      </w:r>
      <w:r w:rsidR="008A1EA1">
        <w:rPr>
          <w:i/>
          <w:sz w:val="20"/>
        </w:rPr>
        <w:t>.</w:t>
      </w:r>
      <w:r w:rsidR="00ED6C38">
        <w:rPr>
          <w:i/>
          <w:sz w:val="20"/>
        </w:rPr>
        <w:t xml:space="preserve"> </w:t>
      </w:r>
    </w:p>
    <w:p w14:paraId="4E474A93" w14:textId="689DE6D6" w:rsidR="00CC53B6" w:rsidRDefault="00CC53B6" w:rsidP="009B4E01">
      <w:pPr>
        <w:tabs>
          <w:tab w:val="left" w:pos="426"/>
        </w:tabs>
        <w:spacing w:after="120"/>
        <w:rPr>
          <w:i/>
          <w:sz w:val="20"/>
        </w:rPr>
      </w:pPr>
      <w:r>
        <w:rPr>
          <w:i/>
          <w:sz w:val="20"/>
        </w:rPr>
        <w:t>**</w:t>
      </w:r>
      <w:r w:rsidR="009B4E01">
        <w:rPr>
          <w:i/>
          <w:sz w:val="20"/>
        </w:rPr>
        <w:tab/>
      </w:r>
      <w:r>
        <w:rPr>
          <w:i/>
          <w:sz w:val="20"/>
        </w:rPr>
        <w:t>Maximální výše podpory činí 200 tis. Kč na nákup bytové jednotky</w:t>
      </w:r>
      <w:r w:rsidR="00E75D97">
        <w:rPr>
          <w:i/>
          <w:sz w:val="20"/>
        </w:rPr>
        <w:t>.</w:t>
      </w:r>
    </w:p>
    <w:p w14:paraId="64DBDBF1" w14:textId="743A9738" w:rsidR="005C1077" w:rsidRDefault="005C1077" w:rsidP="005C1077">
      <w:pPr>
        <w:spacing w:after="120"/>
      </w:pPr>
      <w:r w:rsidRPr="004E2E4C">
        <w:t>NKÚ prověřil u vybraných výzev</w:t>
      </w:r>
      <w:r>
        <w:t xml:space="preserve"> IROP a programu NZÚ</w:t>
      </w:r>
      <w:r w:rsidR="001E1F6A">
        <w:t xml:space="preserve"> všechny podmínky</w:t>
      </w:r>
      <w:r w:rsidR="006E2F8B">
        <w:t xml:space="preserve"> výzev a rozsah </w:t>
      </w:r>
      <w:r w:rsidR="001E1F6A">
        <w:t>povinnost</w:t>
      </w:r>
      <w:r w:rsidR="006E2F8B">
        <w:t xml:space="preserve">í </w:t>
      </w:r>
      <w:r w:rsidR="001E1F6A">
        <w:t>a </w:t>
      </w:r>
      <w:r w:rsidRPr="004E2E4C">
        <w:t>závazk</w:t>
      </w:r>
      <w:r w:rsidR="006E2F8B">
        <w:t>ů</w:t>
      </w:r>
      <w:r w:rsidRPr="004E2E4C">
        <w:t xml:space="preserve">, které poskytovatelé stanovili </w:t>
      </w:r>
      <w:r>
        <w:t>pro žadatele/příjemce.</w:t>
      </w:r>
      <w:r w:rsidR="001676C0">
        <w:t xml:space="preserve"> Výsledky ověření jsou uvedeny v bodech IV.3.1 a IV.3.2.</w:t>
      </w:r>
    </w:p>
    <w:p w14:paraId="58833C93" w14:textId="5FCB390C" w:rsidR="007C7ECD" w:rsidRDefault="007C7ECD" w:rsidP="00A91587">
      <w:pPr>
        <w:pStyle w:val="N2"/>
      </w:pPr>
      <w:r w:rsidRPr="00B71ED7">
        <w:t xml:space="preserve">IV.3.1 </w:t>
      </w:r>
      <w:r w:rsidR="00C83BFD">
        <w:t>Srovnateln</w:t>
      </w:r>
      <w:r w:rsidR="00CE031D">
        <w:t xml:space="preserve">é </w:t>
      </w:r>
      <w:r w:rsidR="00C83BFD">
        <w:t>podmínk</w:t>
      </w:r>
      <w:r w:rsidR="00CE031D">
        <w:t>y a povinnosti žadatelů a příjemců</w:t>
      </w:r>
    </w:p>
    <w:p w14:paraId="3F38420E" w14:textId="3CD3D37C" w:rsidR="00674EA4" w:rsidRDefault="00D030E5" w:rsidP="00674EA4">
      <w:r>
        <w:t>V obou systémech poskytování podpor</w:t>
      </w:r>
      <w:r w:rsidR="00FE7CE6">
        <w:t xml:space="preserve">y </w:t>
      </w:r>
      <w:r w:rsidR="0058471F">
        <w:t xml:space="preserve">(systém </w:t>
      </w:r>
      <w:r w:rsidR="00FE7CE6">
        <w:t xml:space="preserve">IROP a </w:t>
      </w:r>
      <w:r w:rsidR="0058471F">
        <w:t xml:space="preserve">systém </w:t>
      </w:r>
      <w:r w:rsidR="00FE7CE6">
        <w:t>programu NZÚ</w:t>
      </w:r>
      <w:r w:rsidR="0058471F">
        <w:t>)</w:t>
      </w:r>
      <w:r>
        <w:t xml:space="preserve"> zjistil NKÚ srovnatelné podmínky pro žadatele a příjemce, příkladem možno uvést:</w:t>
      </w:r>
    </w:p>
    <w:p w14:paraId="39765982" w14:textId="16AA28B3" w:rsidR="007C7ECD" w:rsidRPr="007B0438" w:rsidRDefault="008D6BAC" w:rsidP="00674EA4">
      <w:pPr>
        <w:pStyle w:val="Odstavecseseznamem"/>
        <w:numPr>
          <w:ilvl w:val="0"/>
          <w:numId w:val="48"/>
        </w:numPr>
      </w:pPr>
      <w:r w:rsidRPr="007B0438">
        <w:t xml:space="preserve">Identická </w:t>
      </w:r>
      <w:r w:rsidR="007C7ECD" w:rsidRPr="007B0438">
        <w:t>podporovaná opatření</w:t>
      </w:r>
      <w:r w:rsidR="006C3365">
        <w:t>, která by měla vést ke snížení energetické náročnosti bytových domů</w:t>
      </w:r>
      <w:r w:rsidR="006679A3" w:rsidRPr="007B0438">
        <w:t xml:space="preserve">. </w:t>
      </w:r>
    </w:p>
    <w:p w14:paraId="3C35591C" w14:textId="6084D1FA" w:rsidR="008C08B7" w:rsidRPr="007B0438" w:rsidRDefault="004E2E4C" w:rsidP="007B0438">
      <w:pPr>
        <w:pStyle w:val="Odstavecseseznamem"/>
        <w:numPr>
          <w:ilvl w:val="0"/>
          <w:numId w:val="48"/>
        </w:numPr>
      </w:pPr>
      <w:r w:rsidRPr="007B0438">
        <w:t xml:space="preserve">Identická </w:t>
      </w:r>
      <w:r w:rsidR="008D6BAC" w:rsidRPr="007B0438">
        <w:t xml:space="preserve">struktura </w:t>
      </w:r>
      <w:r w:rsidR="008C08B7" w:rsidRPr="007B0438">
        <w:t>oprávněn</w:t>
      </w:r>
      <w:r w:rsidR="008D6BAC" w:rsidRPr="007B0438">
        <w:t>ých žadatelů</w:t>
      </w:r>
      <w:r w:rsidRPr="007B0438">
        <w:t>/příjemců</w:t>
      </w:r>
      <w:r w:rsidR="00406111">
        <w:t>.</w:t>
      </w:r>
    </w:p>
    <w:p w14:paraId="131B1E9F" w14:textId="444276BB" w:rsidR="00C83BFD" w:rsidRDefault="008C08B7" w:rsidP="007B0438">
      <w:pPr>
        <w:pStyle w:val="Odstavecseseznamem"/>
        <w:numPr>
          <w:ilvl w:val="0"/>
          <w:numId w:val="48"/>
        </w:numPr>
      </w:pPr>
      <w:r w:rsidRPr="007B0438">
        <w:t>Postupně se sbližující míra podpory</w:t>
      </w:r>
      <w:r w:rsidR="008D6BAC" w:rsidRPr="007B0438">
        <w:t xml:space="preserve"> poskytovan</w:t>
      </w:r>
      <w:r w:rsidR="00406111">
        <w:t>é</w:t>
      </w:r>
      <w:r w:rsidR="008D6BAC" w:rsidRPr="007B0438">
        <w:t xml:space="preserve"> na opatření zaměřen</w:t>
      </w:r>
      <w:r w:rsidR="006D4717" w:rsidRPr="007B0438">
        <w:t>á</w:t>
      </w:r>
      <w:r w:rsidR="008D6BAC" w:rsidRPr="007B0438">
        <w:t xml:space="preserve"> </w:t>
      </w:r>
      <w:r w:rsidR="006D4717" w:rsidRPr="007B0438">
        <w:t>na</w:t>
      </w:r>
      <w:r w:rsidR="008D6BAC" w:rsidRPr="007B0438">
        <w:t xml:space="preserve"> snížení energetické náročnosti</w:t>
      </w:r>
      <w:r w:rsidR="00406111">
        <w:t xml:space="preserve"> bytových domů</w:t>
      </w:r>
      <w:r w:rsidRPr="007B0438">
        <w:t>.</w:t>
      </w:r>
    </w:p>
    <w:p w14:paraId="36C53325" w14:textId="6E2D5C75" w:rsidR="00F76EEA" w:rsidRDefault="00F76EEA" w:rsidP="007B0438">
      <w:pPr>
        <w:pStyle w:val="Odstavecseseznamem"/>
        <w:numPr>
          <w:ilvl w:val="0"/>
          <w:numId w:val="48"/>
        </w:numPr>
      </w:pPr>
      <w:r>
        <w:t>Žadatelům a příjemcům j</w:t>
      </w:r>
      <w:r w:rsidR="00C77FCA">
        <w:t xml:space="preserve">sou </w:t>
      </w:r>
      <w:r w:rsidR="00406111">
        <w:t xml:space="preserve">v </w:t>
      </w:r>
      <w:r>
        <w:t>obou program</w:t>
      </w:r>
      <w:r w:rsidR="00406111">
        <w:t xml:space="preserve">ech </w:t>
      </w:r>
      <w:r>
        <w:t>poskytován</w:t>
      </w:r>
      <w:r w:rsidR="00C77FCA">
        <w:t xml:space="preserve">y </w:t>
      </w:r>
      <w:r>
        <w:t xml:space="preserve">ze strany </w:t>
      </w:r>
      <w:proofErr w:type="spellStart"/>
      <w:r>
        <w:t>administrujících</w:t>
      </w:r>
      <w:proofErr w:type="spellEnd"/>
      <w:r>
        <w:t xml:space="preserve"> subjektů </w:t>
      </w:r>
      <w:r w:rsidR="0058471F">
        <w:t>(</w:t>
      </w:r>
      <w:r>
        <w:t>CRR a SFŽP</w:t>
      </w:r>
      <w:r w:rsidR="0058471F">
        <w:t>)</w:t>
      </w:r>
      <w:r>
        <w:t xml:space="preserve"> konzultac</w:t>
      </w:r>
      <w:r w:rsidR="00C77FCA">
        <w:t xml:space="preserve">e </w:t>
      </w:r>
      <w:r>
        <w:t xml:space="preserve">a </w:t>
      </w:r>
      <w:r w:rsidR="00C77FCA">
        <w:t xml:space="preserve">jsou pořádány </w:t>
      </w:r>
      <w:r>
        <w:t>seminář</w:t>
      </w:r>
      <w:r w:rsidR="00C77FCA">
        <w:t>e</w:t>
      </w:r>
      <w:r>
        <w:t xml:space="preserve">. </w:t>
      </w:r>
    </w:p>
    <w:p w14:paraId="339E599F" w14:textId="1180AAE2" w:rsidR="00F76EEA" w:rsidRDefault="00F76EEA" w:rsidP="007B0438">
      <w:pPr>
        <w:pStyle w:val="Odstavecseseznamem"/>
        <w:numPr>
          <w:ilvl w:val="0"/>
          <w:numId w:val="48"/>
        </w:numPr>
      </w:pPr>
      <w:r>
        <w:t>Žádost o podporu je možné podat elektronicky</w:t>
      </w:r>
      <w:r w:rsidR="00CE031D">
        <w:t xml:space="preserve">, u </w:t>
      </w:r>
      <w:r w:rsidR="0058471F">
        <w:t xml:space="preserve">programu </w:t>
      </w:r>
      <w:r w:rsidR="00CE031D">
        <w:t>NZÚ však pouze formulář samotné žádosti.</w:t>
      </w:r>
      <w:r>
        <w:t xml:space="preserve"> </w:t>
      </w:r>
    </w:p>
    <w:p w14:paraId="6EEC22E6" w14:textId="77777777" w:rsidR="002D1E19" w:rsidRPr="007B0438" w:rsidRDefault="002D1E19" w:rsidP="002D1E19">
      <w:pPr>
        <w:pStyle w:val="Odstavecseseznamem"/>
        <w:numPr>
          <w:ilvl w:val="0"/>
          <w:numId w:val="48"/>
        </w:numPr>
      </w:pPr>
      <w:r>
        <w:t>Oba programy stanoví povinnost žadatele zohlednit při realizaci opatření nároky volně žijících živočichů a planě rostoucích rostlin</w:t>
      </w:r>
      <w:r>
        <w:rPr>
          <w:rStyle w:val="Znakapoznpodarou"/>
        </w:rPr>
        <w:footnoteReference w:id="51"/>
      </w:r>
      <w:r>
        <w:t>.</w:t>
      </w:r>
    </w:p>
    <w:p w14:paraId="4E012742" w14:textId="2564FFEF" w:rsidR="007B0438" w:rsidRDefault="007B0438" w:rsidP="00CE031D">
      <w:pPr>
        <w:pStyle w:val="Odstavecseseznamem"/>
        <w:numPr>
          <w:ilvl w:val="0"/>
          <w:numId w:val="48"/>
        </w:numPr>
      </w:pPr>
      <w:r>
        <w:t>Úspory energie jsou prokazovány ex-ante, tj. vypočtenými údaji z</w:t>
      </w:r>
      <w:r w:rsidR="0058471F">
        <w:t xml:space="preserve"> </w:t>
      </w:r>
      <w:r>
        <w:t xml:space="preserve">PENB, popř. z energetických posudků. </w:t>
      </w:r>
    </w:p>
    <w:p w14:paraId="6218C7E5" w14:textId="7201359F" w:rsidR="002D1E19" w:rsidRDefault="002D1E19" w:rsidP="00CE031D">
      <w:pPr>
        <w:pStyle w:val="Odstavecseseznamem"/>
        <w:numPr>
          <w:ilvl w:val="0"/>
          <w:numId w:val="48"/>
        </w:numPr>
      </w:pPr>
      <w:r>
        <w:t>IROP ani program NZÚ nemají nastaven způsob, jakým by měli příjemci sledovat spotřebu energií nebo prokazovat skutečné energetické úspory.</w:t>
      </w:r>
    </w:p>
    <w:p w14:paraId="209D03EE" w14:textId="739C11B9" w:rsidR="007C7ECD" w:rsidRDefault="007C7ECD" w:rsidP="00A91587">
      <w:pPr>
        <w:pStyle w:val="N2"/>
      </w:pPr>
      <w:r w:rsidRPr="00B71ED7">
        <w:t xml:space="preserve">IV.3.2 </w:t>
      </w:r>
      <w:r w:rsidR="008C08B7">
        <w:t xml:space="preserve">Specifika </w:t>
      </w:r>
      <w:r w:rsidR="00B71ED7">
        <w:t>vybraných podmínek</w:t>
      </w:r>
    </w:p>
    <w:p w14:paraId="4560EA15" w14:textId="5E2A73F5" w:rsidR="008C08B7" w:rsidRDefault="004E2E4C" w:rsidP="00AA732E">
      <w:pPr>
        <w:widowControl w:val="0"/>
        <w:spacing w:after="120"/>
      </w:pPr>
      <w:r w:rsidRPr="007C5944">
        <w:t xml:space="preserve">Hlavní specifika podmínek pro poskytnutí podpory </w:t>
      </w:r>
      <w:r w:rsidR="008A005D">
        <w:t>z</w:t>
      </w:r>
      <w:r w:rsidR="00D7508A">
        <w:t xml:space="preserve"> </w:t>
      </w:r>
      <w:r w:rsidR="008A005D">
        <w:t xml:space="preserve">IROP a programu NZÚ </w:t>
      </w:r>
      <w:r w:rsidR="008232DF">
        <w:t xml:space="preserve">jsou určena zejména </w:t>
      </w:r>
      <w:r w:rsidR="007C5944" w:rsidRPr="007C5944">
        <w:t>zdroj</w:t>
      </w:r>
      <w:r w:rsidR="008232DF">
        <w:t xml:space="preserve">i, ze kterých jsou financována </w:t>
      </w:r>
      <w:r w:rsidR="007C5944" w:rsidRPr="007C5944">
        <w:t xml:space="preserve">opatření </w:t>
      </w:r>
      <w:r w:rsidR="00D7508A">
        <w:t>zaměřená na</w:t>
      </w:r>
      <w:r w:rsidR="007C5944" w:rsidRPr="007C5944">
        <w:t xml:space="preserve"> </w:t>
      </w:r>
      <w:r w:rsidR="00D7508A">
        <w:t>snižování</w:t>
      </w:r>
      <w:r w:rsidR="007C5944" w:rsidRPr="007C5944">
        <w:t xml:space="preserve"> energ</w:t>
      </w:r>
      <w:r w:rsidR="008A005D">
        <w:t>etické náročnosti bytových domů. Těmito zdroji jsou prostředky z EFRR a prostředky ze SR.</w:t>
      </w:r>
    </w:p>
    <w:p w14:paraId="515C367C" w14:textId="09A4E8D7" w:rsidR="007E7C78" w:rsidRDefault="00CE031D" w:rsidP="00A515A8">
      <w:pPr>
        <w:spacing w:after="120"/>
      </w:pPr>
      <w:r w:rsidRPr="00CE031D">
        <w:t xml:space="preserve">Významné odlišnosti se projevují jak u podmínek </w:t>
      </w:r>
      <w:r w:rsidR="001E1F6A">
        <w:t xml:space="preserve">pro získání podpory, tak </w:t>
      </w:r>
      <w:r w:rsidR="00864098">
        <w:t>v</w:t>
      </w:r>
      <w:r w:rsidR="001E1F6A">
        <w:t> </w:t>
      </w:r>
      <w:r w:rsidRPr="00CE031D">
        <w:t xml:space="preserve">rozsahu povinností </w:t>
      </w:r>
      <w:r w:rsidR="00D7508A">
        <w:t>stanovených</w:t>
      </w:r>
      <w:r w:rsidRPr="00CE031D">
        <w:t xml:space="preserve"> pro žadatele a příjemce. </w:t>
      </w:r>
      <w:r w:rsidR="007E7C78" w:rsidRPr="00CE031D">
        <w:t xml:space="preserve">Přehled vybraných specifik uvádí </w:t>
      </w:r>
      <w:r w:rsidRPr="00CE031D">
        <w:t xml:space="preserve">srovnávací </w:t>
      </w:r>
      <w:r w:rsidR="007E7C78" w:rsidRPr="00CE031D">
        <w:t>tabulka č.</w:t>
      </w:r>
      <w:r w:rsidR="00D7508A">
        <w:t> </w:t>
      </w:r>
      <w:r w:rsidR="00B67A7B">
        <w:t>4</w:t>
      </w:r>
      <w:r w:rsidR="007E7C78" w:rsidRPr="00CE031D">
        <w:t>.</w:t>
      </w:r>
    </w:p>
    <w:p w14:paraId="1A1C9A97" w14:textId="517DEC74" w:rsidR="004147A0" w:rsidRDefault="007E7C78" w:rsidP="00A515A8">
      <w:pPr>
        <w:keepNext/>
        <w:spacing w:after="60"/>
        <w:ind w:left="1304" w:hanging="1304"/>
      </w:pPr>
      <w:r w:rsidRPr="007B0438">
        <w:lastRenderedPageBreak/>
        <w:t xml:space="preserve">Tabulka č. </w:t>
      </w:r>
      <w:r w:rsidR="00B67A7B">
        <w:t>4</w:t>
      </w:r>
      <w:r w:rsidR="007B0438">
        <w:t>:</w:t>
      </w:r>
      <w:r>
        <w:tab/>
      </w:r>
      <w:r w:rsidR="001676C0" w:rsidRPr="001676C0">
        <w:t>Přehled odlišně stanovených podmínek a povinností pro žadatele a</w:t>
      </w:r>
      <w:r w:rsidR="00884FCE">
        <w:t xml:space="preserve"> příjemce</w:t>
      </w:r>
      <w:r w:rsidR="001676C0" w:rsidRPr="001676C0">
        <w:t xml:space="preserve"> </w:t>
      </w:r>
    </w:p>
    <w:tbl>
      <w:tblPr>
        <w:tblW w:w="9300" w:type="dxa"/>
        <w:tblInd w:w="-10" w:type="dxa"/>
        <w:tblCellMar>
          <w:left w:w="70" w:type="dxa"/>
          <w:right w:w="70" w:type="dxa"/>
        </w:tblCellMar>
        <w:tblLook w:val="04A0" w:firstRow="1" w:lastRow="0" w:firstColumn="1" w:lastColumn="0" w:noHBand="0" w:noVBand="1"/>
      </w:tblPr>
      <w:tblGrid>
        <w:gridCol w:w="2420"/>
        <w:gridCol w:w="3440"/>
        <w:gridCol w:w="3440"/>
      </w:tblGrid>
      <w:tr w:rsidR="00AF4C26" w:rsidRPr="00AF4C26" w14:paraId="058E47F6" w14:textId="77777777" w:rsidTr="00567229">
        <w:trPr>
          <w:trHeight w:val="468"/>
          <w:tblHeader/>
        </w:trPr>
        <w:tc>
          <w:tcPr>
            <w:tcW w:w="2420" w:type="dxa"/>
            <w:tcBorders>
              <w:top w:val="single" w:sz="4" w:space="0" w:color="auto"/>
              <w:left w:val="single" w:sz="8" w:space="0" w:color="auto"/>
              <w:bottom w:val="single" w:sz="4" w:space="0" w:color="auto"/>
              <w:right w:val="single" w:sz="8" w:space="0" w:color="auto"/>
            </w:tcBorders>
            <w:shd w:val="clear" w:color="000000" w:fill="E5F1FF"/>
            <w:vAlign w:val="center"/>
            <w:hideMark/>
          </w:tcPr>
          <w:p w14:paraId="3C9B2011"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Oblast</w:t>
            </w:r>
          </w:p>
        </w:tc>
        <w:tc>
          <w:tcPr>
            <w:tcW w:w="3440" w:type="dxa"/>
            <w:tcBorders>
              <w:top w:val="single" w:sz="4" w:space="0" w:color="auto"/>
              <w:left w:val="nil"/>
              <w:bottom w:val="single" w:sz="4" w:space="0" w:color="auto"/>
              <w:right w:val="single" w:sz="8" w:space="0" w:color="auto"/>
            </w:tcBorders>
            <w:shd w:val="clear" w:color="000000" w:fill="E5F1FF"/>
            <w:vAlign w:val="center"/>
            <w:hideMark/>
          </w:tcPr>
          <w:p w14:paraId="262A0CE9"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IROP</w:t>
            </w:r>
          </w:p>
        </w:tc>
        <w:tc>
          <w:tcPr>
            <w:tcW w:w="3440" w:type="dxa"/>
            <w:tcBorders>
              <w:top w:val="single" w:sz="4" w:space="0" w:color="auto"/>
              <w:left w:val="nil"/>
              <w:bottom w:val="single" w:sz="4" w:space="0" w:color="auto"/>
              <w:right w:val="single" w:sz="8" w:space="0" w:color="auto"/>
            </w:tcBorders>
            <w:shd w:val="clear" w:color="000000" w:fill="E5F1FF"/>
            <w:vAlign w:val="center"/>
            <w:hideMark/>
          </w:tcPr>
          <w:p w14:paraId="363E0D3A" w14:textId="696713BE" w:rsidR="00AF4C26" w:rsidRPr="00AF4C26" w:rsidRDefault="00D7508A" w:rsidP="00AF4C26">
            <w:pPr>
              <w:jc w:val="center"/>
              <w:rPr>
                <w:rFonts w:ascii="Calibri" w:hAnsi="Calibri" w:cs="Calibri"/>
                <w:b/>
                <w:bCs/>
                <w:color w:val="000000"/>
                <w:sz w:val="20"/>
              </w:rPr>
            </w:pPr>
            <w:r>
              <w:rPr>
                <w:rFonts w:ascii="Calibri" w:hAnsi="Calibri" w:cs="Calibri"/>
                <w:b/>
                <w:bCs/>
                <w:color w:val="000000"/>
                <w:sz w:val="20"/>
              </w:rPr>
              <w:t xml:space="preserve">Program </w:t>
            </w:r>
            <w:r w:rsidR="00AF4C26" w:rsidRPr="00AF4C26">
              <w:rPr>
                <w:rFonts w:ascii="Calibri" w:hAnsi="Calibri" w:cs="Calibri"/>
                <w:b/>
                <w:bCs/>
                <w:color w:val="000000"/>
                <w:sz w:val="20"/>
              </w:rPr>
              <w:t>NZÚ</w:t>
            </w:r>
          </w:p>
        </w:tc>
      </w:tr>
      <w:tr w:rsidR="00AF4C26" w:rsidRPr="00AF4C26" w14:paraId="1659ECD9" w14:textId="77777777" w:rsidTr="00567229">
        <w:trPr>
          <w:trHeight w:val="564"/>
        </w:trPr>
        <w:tc>
          <w:tcPr>
            <w:tcW w:w="24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E6B4C55"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Časové podmínky podání žádosti o podporu</w:t>
            </w:r>
          </w:p>
        </w:tc>
        <w:tc>
          <w:tcPr>
            <w:tcW w:w="3440" w:type="dxa"/>
            <w:tcBorders>
              <w:top w:val="single" w:sz="4" w:space="0" w:color="auto"/>
              <w:left w:val="nil"/>
              <w:bottom w:val="single" w:sz="8" w:space="0" w:color="auto"/>
              <w:right w:val="single" w:sz="8" w:space="0" w:color="auto"/>
            </w:tcBorders>
            <w:shd w:val="clear" w:color="auto" w:fill="auto"/>
            <w:vAlign w:val="center"/>
            <w:hideMark/>
          </w:tcPr>
          <w:p w14:paraId="355C39E9"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 xml:space="preserve">Jen </w:t>
            </w:r>
            <w:r w:rsidRPr="00A515A8">
              <w:rPr>
                <w:rFonts w:ascii="Calibri" w:hAnsi="Calibri" w:cs="Calibri"/>
                <w:iCs/>
                <w:color w:val="000000"/>
                <w:sz w:val="20"/>
              </w:rPr>
              <w:t>před</w:t>
            </w:r>
            <w:r w:rsidRPr="00AF4C26">
              <w:rPr>
                <w:rFonts w:ascii="Calibri" w:hAnsi="Calibri" w:cs="Calibri"/>
                <w:i/>
                <w:iCs/>
                <w:color w:val="000000"/>
                <w:sz w:val="20"/>
              </w:rPr>
              <w:t xml:space="preserve"> </w:t>
            </w:r>
            <w:r w:rsidRPr="00AF4C26">
              <w:rPr>
                <w:rFonts w:ascii="Calibri" w:hAnsi="Calibri" w:cs="Calibri"/>
                <w:color w:val="000000"/>
                <w:sz w:val="20"/>
              </w:rPr>
              <w:t>zahájením realizace opatření</w:t>
            </w:r>
          </w:p>
        </w:tc>
        <w:tc>
          <w:tcPr>
            <w:tcW w:w="3440" w:type="dxa"/>
            <w:tcBorders>
              <w:top w:val="single" w:sz="4" w:space="0" w:color="auto"/>
              <w:left w:val="nil"/>
              <w:bottom w:val="single" w:sz="8" w:space="0" w:color="auto"/>
              <w:right w:val="single" w:sz="8" w:space="0" w:color="auto"/>
            </w:tcBorders>
            <w:shd w:val="clear" w:color="auto" w:fill="auto"/>
            <w:vAlign w:val="center"/>
            <w:hideMark/>
          </w:tcPr>
          <w:p w14:paraId="2E26821A" w14:textId="292B41EB" w:rsidR="00AF4C26" w:rsidRPr="00AF4C26" w:rsidRDefault="00AF4C26" w:rsidP="00890B09">
            <w:pPr>
              <w:jc w:val="center"/>
              <w:rPr>
                <w:rFonts w:ascii="Calibri" w:hAnsi="Calibri" w:cs="Calibri"/>
                <w:i/>
                <w:iCs/>
                <w:color w:val="000000"/>
                <w:sz w:val="20"/>
              </w:rPr>
            </w:pPr>
            <w:r w:rsidRPr="00A515A8">
              <w:rPr>
                <w:rFonts w:ascii="Calibri" w:hAnsi="Calibri" w:cs="Calibri"/>
                <w:iCs/>
                <w:color w:val="000000"/>
                <w:sz w:val="20"/>
              </w:rPr>
              <w:t>Před</w:t>
            </w:r>
            <w:r w:rsidR="00D7508A" w:rsidRPr="00D7508A">
              <w:rPr>
                <w:rFonts w:ascii="Calibri" w:hAnsi="Calibri" w:cs="Calibri"/>
                <w:color w:val="000000"/>
                <w:sz w:val="20"/>
              </w:rPr>
              <w:t xml:space="preserve"> realizací opatření</w:t>
            </w:r>
            <w:r w:rsidRPr="00A515A8">
              <w:rPr>
                <w:rFonts w:ascii="Calibri" w:hAnsi="Calibri" w:cs="Calibri"/>
                <w:iCs/>
                <w:color w:val="000000"/>
                <w:sz w:val="20"/>
              </w:rPr>
              <w:t>, v</w:t>
            </w:r>
            <w:r w:rsidR="00890B09">
              <w:rPr>
                <w:rFonts w:ascii="Calibri" w:hAnsi="Calibri" w:cs="Calibri"/>
                <w:iCs/>
                <w:color w:val="000000"/>
                <w:sz w:val="20"/>
              </w:rPr>
              <w:t> </w:t>
            </w:r>
            <w:r w:rsidRPr="00A515A8">
              <w:rPr>
                <w:rFonts w:ascii="Calibri" w:hAnsi="Calibri" w:cs="Calibri"/>
                <w:iCs/>
                <w:color w:val="000000"/>
                <w:sz w:val="20"/>
              </w:rPr>
              <w:t>průběhu</w:t>
            </w:r>
            <w:r w:rsidRPr="00D7508A">
              <w:rPr>
                <w:rFonts w:ascii="Calibri" w:hAnsi="Calibri" w:cs="Calibri"/>
                <w:color w:val="000000"/>
                <w:sz w:val="20"/>
              </w:rPr>
              <w:t xml:space="preserve"> </w:t>
            </w:r>
            <w:r w:rsidR="00890B09">
              <w:rPr>
                <w:rFonts w:ascii="Calibri" w:hAnsi="Calibri" w:cs="Calibri"/>
                <w:color w:val="000000"/>
                <w:sz w:val="20"/>
              </w:rPr>
              <w:t xml:space="preserve">realizace </w:t>
            </w:r>
            <w:r w:rsidRPr="00D7508A">
              <w:rPr>
                <w:rFonts w:ascii="Calibri" w:hAnsi="Calibri" w:cs="Calibri"/>
                <w:color w:val="000000"/>
                <w:sz w:val="20"/>
              </w:rPr>
              <w:t>i</w:t>
            </w:r>
            <w:r w:rsidR="00D7508A">
              <w:rPr>
                <w:rFonts w:ascii="Calibri" w:hAnsi="Calibri" w:cs="Calibri"/>
                <w:color w:val="000000"/>
                <w:sz w:val="20"/>
              </w:rPr>
              <w:t> </w:t>
            </w:r>
            <w:r w:rsidRPr="00A515A8">
              <w:rPr>
                <w:rFonts w:ascii="Calibri" w:hAnsi="Calibri" w:cs="Calibri"/>
                <w:iCs/>
                <w:color w:val="000000"/>
                <w:sz w:val="20"/>
              </w:rPr>
              <w:t>po</w:t>
            </w:r>
            <w:r w:rsidRPr="00D7508A">
              <w:rPr>
                <w:rFonts w:ascii="Calibri" w:hAnsi="Calibri" w:cs="Calibri"/>
                <w:color w:val="000000"/>
                <w:sz w:val="20"/>
              </w:rPr>
              <w:t xml:space="preserve"> </w:t>
            </w:r>
            <w:r w:rsidR="00D7508A" w:rsidRPr="00D7508A">
              <w:rPr>
                <w:rFonts w:ascii="Calibri" w:hAnsi="Calibri" w:cs="Calibri"/>
                <w:color w:val="000000"/>
                <w:sz w:val="20"/>
              </w:rPr>
              <w:t>jejím skončení</w:t>
            </w:r>
          </w:p>
        </w:tc>
      </w:tr>
      <w:tr w:rsidR="00AF4C26" w:rsidRPr="00AF4C26" w14:paraId="6C698B0A" w14:textId="77777777" w:rsidTr="00AF4C26">
        <w:trPr>
          <w:trHeight w:val="288"/>
        </w:trPr>
        <w:tc>
          <w:tcPr>
            <w:tcW w:w="2420" w:type="dxa"/>
            <w:vMerge w:val="restart"/>
            <w:tcBorders>
              <w:top w:val="nil"/>
              <w:left w:val="single" w:sz="8" w:space="0" w:color="auto"/>
              <w:bottom w:val="single" w:sz="8" w:space="0" w:color="000000"/>
              <w:right w:val="single" w:sz="8" w:space="0" w:color="auto"/>
            </w:tcBorders>
            <w:shd w:val="clear" w:color="auto" w:fill="auto"/>
            <w:vAlign w:val="center"/>
            <w:hideMark/>
          </w:tcPr>
          <w:p w14:paraId="12E00CAA"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Podpora opatření</w:t>
            </w:r>
            <w:r w:rsidRPr="00AF4C26">
              <w:rPr>
                <w:rFonts w:ascii="Calibri" w:hAnsi="Calibri" w:cs="Calibri"/>
                <w:b/>
                <w:bCs/>
                <w:color w:val="000000"/>
                <w:sz w:val="20"/>
              </w:rPr>
              <w:br/>
              <w:t>u nebytových (komerčních) prostor</w:t>
            </w:r>
          </w:p>
        </w:tc>
        <w:tc>
          <w:tcPr>
            <w:tcW w:w="3440" w:type="dxa"/>
            <w:tcBorders>
              <w:top w:val="nil"/>
              <w:left w:val="nil"/>
              <w:bottom w:val="nil"/>
              <w:right w:val="single" w:sz="8" w:space="0" w:color="auto"/>
            </w:tcBorders>
            <w:shd w:val="clear" w:color="auto" w:fill="auto"/>
            <w:vAlign w:val="center"/>
            <w:hideMark/>
          </w:tcPr>
          <w:p w14:paraId="38528257"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ANO</w:t>
            </w:r>
          </w:p>
        </w:tc>
        <w:tc>
          <w:tcPr>
            <w:tcW w:w="3440" w:type="dxa"/>
            <w:tcBorders>
              <w:top w:val="nil"/>
              <w:left w:val="nil"/>
              <w:bottom w:val="nil"/>
              <w:right w:val="single" w:sz="8" w:space="0" w:color="auto"/>
            </w:tcBorders>
            <w:shd w:val="clear" w:color="auto" w:fill="auto"/>
            <w:vAlign w:val="center"/>
            <w:hideMark/>
          </w:tcPr>
          <w:p w14:paraId="505F205E"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ANO</w:t>
            </w:r>
          </w:p>
        </w:tc>
      </w:tr>
      <w:tr w:rsidR="00AF4C26" w:rsidRPr="00AF4C26" w14:paraId="1C1A20E6" w14:textId="77777777" w:rsidTr="00AF4C26">
        <w:trPr>
          <w:trHeight w:val="840"/>
        </w:trPr>
        <w:tc>
          <w:tcPr>
            <w:tcW w:w="2420" w:type="dxa"/>
            <w:vMerge/>
            <w:tcBorders>
              <w:top w:val="nil"/>
              <w:left w:val="single" w:sz="8" w:space="0" w:color="auto"/>
              <w:bottom w:val="single" w:sz="8" w:space="0" w:color="000000"/>
              <w:right w:val="single" w:sz="8" w:space="0" w:color="auto"/>
            </w:tcBorders>
            <w:vAlign w:val="center"/>
            <w:hideMark/>
          </w:tcPr>
          <w:p w14:paraId="2807F71F" w14:textId="77777777" w:rsidR="00AF4C26" w:rsidRPr="00AF4C26" w:rsidRDefault="00AF4C26" w:rsidP="00AF4C26">
            <w:pPr>
              <w:jc w:val="left"/>
              <w:rPr>
                <w:rFonts w:ascii="Calibri" w:hAnsi="Calibri" w:cs="Calibri"/>
                <w:b/>
                <w:bCs/>
                <w:color w:val="000000"/>
                <w:sz w:val="20"/>
              </w:rPr>
            </w:pPr>
          </w:p>
        </w:tc>
        <w:tc>
          <w:tcPr>
            <w:tcW w:w="3440" w:type="dxa"/>
            <w:tcBorders>
              <w:top w:val="nil"/>
              <w:left w:val="nil"/>
              <w:bottom w:val="single" w:sz="8" w:space="0" w:color="auto"/>
              <w:right w:val="single" w:sz="8" w:space="0" w:color="auto"/>
            </w:tcBorders>
            <w:shd w:val="clear" w:color="auto" w:fill="auto"/>
            <w:vAlign w:val="center"/>
            <w:hideMark/>
          </w:tcPr>
          <w:p w14:paraId="54A016BC" w14:textId="2AC08086" w:rsidR="00AF4C26" w:rsidRPr="00AF4C26" w:rsidRDefault="004820C2" w:rsidP="00AF4C26">
            <w:pPr>
              <w:jc w:val="center"/>
              <w:rPr>
                <w:rFonts w:ascii="Calibri" w:hAnsi="Calibri" w:cs="Calibri"/>
                <w:color w:val="000000"/>
                <w:sz w:val="20"/>
              </w:rPr>
            </w:pPr>
            <w:r>
              <w:rPr>
                <w:rFonts w:ascii="Calibri" w:hAnsi="Calibri" w:cs="Calibri"/>
                <w:color w:val="000000"/>
                <w:sz w:val="20"/>
              </w:rPr>
              <w:t>P</w:t>
            </w:r>
            <w:r w:rsidR="00AF4C26" w:rsidRPr="00AF4C26">
              <w:rPr>
                <w:rFonts w:ascii="Calibri" w:hAnsi="Calibri" w:cs="Calibri"/>
                <w:color w:val="000000"/>
                <w:sz w:val="20"/>
              </w:rPr>
              <w:t>odmínk</w:t>
            </w:r>
            <w:r>
              <w:rPr>
                <w:rFonts w:ascii="Calibri" w:hAnsi="Calibri" w:cs="Calibri"/>
                <w:color w:val="000000"/>
                <w:sz w:val="20"/>
              </w:rPr>
              <w:t>a</w:t>
            </w:r>
            <w:r w:rsidR="00AF4C26" w:rsidRPr="00AF4C26">
              <w:rPr>
                <w:rFonts w:ascii="Calibri" w:hAnsi="Calibri" w:cs="Calibri"/>
                <w:color w:val="000000"/>
                <w:sz w:val="20"/>
              </w:rPr>
              <w:t>, že nedojde ke snížení počtu bytových jednotek</w:t>
            </w:r>
          </w:p>
        </w:tc>
        <w:tc>
          <w:tcPr>
            <w:tcW w:w="3440" w:type="dxa"/>
            <w:tcBorders>
              <w:top w:val="nil"/>
              <w:left w:val="nil"/>
              <w:bottom w:val="single" w:sz="8" w:space="0" w:color="auto"/>
              <w:right w:val="single" w:sz="8" w:space="0" w:color="auto"/>
            </w:tcBorders>
            <w:shd w:val="clear" w:color="auto" w:fill="auto"/>
            <w:vAlign w:val="center"/>
            <w:hideMark/>
          </w:tcPr>
          <w:p w14:paraId="1C950629" w14:textId="360F515F" w:rsidR="00AF4C26" w:rsidRPr="00AF4C26" w:rsidRDefault="004820C2" w:rsidP="00AF4C26">
            <w:pPr>
              <w:jc w:val="center"/>
              <w:rPr>
                <w:rFonts w:ascii="Calibri" w:hAnsi="Calibri" w:cs="Calibri"/>
                <w:color w:val="000000"/>
                <w:sz w:val="20"/>
              </w:rPr>
            </w:pPr>
            <w:r>
              <w:rPr>
                <w:rFonts w:ascii="Calibri" w:hAnsi="Calibri" w:cs="Calibri"/>
                <w:color w:val="000000"/>
                <w:sz w:val="20"/>
              </w:rPr>
              <w:t>A</w:t>
            </w:r>
            <w:r w:rsidR="00AF4C26" w:rsidRPr="00AF4C26">
              <w:rPr>
                <w:rFonts w:ascii="Calibri" w:hAnsi="Calibri" w:cs="Calibri"/>
                <w:color w:val="000000"/>
                <w:sz w:val="20"/>
              </w:rPr>
              <w:t>kceptována i možnost snížení počtu bytových jednotek ve prospěch nebytových prostor</w:t>
            </w:r>
          </w:p>
        </w:tc>
      </w:tr>
      <w:tr w:rsidR="00AF4C26" w:rsidRPr="00AF4C26" w14:paraId="17ED8BE2" w14:textId="77777777" w:rsidTr="00567229">
        <w:trPr>
          <w:trHeight w:val="564"/>
        </w:trPr>
        <w:tc>
          <w:tcPr>
            <w:tcW w:w="2420" w:type="dxa"/>
            <w:tcBorders>
              <w:top w:val="nil"/>
              <w:left w:val="single" w:sz="8" w:space="0" w:color="auto"/>
              <w:bottom w:val="single" w:sz="4" w:space="0" w:color="auto"/>
              <w:right w:val="single" w:sz="8" w:space="0" w:color="auto"/>
            </w:tcBorders>
            <w:shd w:val="clear" w:color="auto" w:fill="auto"/>
            <w:vAlign w:val="center"/>
            <w:hideMark/>
          </w:tcPr>
          <w:p w14:paraId="316CCE67"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Udržitelnost opatření</w:t>
            </w:r>
            <w:r w:rsidRPr="00AF4C26">
              <w:rPr>
                <w:rFonts w:ascii="Calibri" w:hAnsi="Calibri" w:cs="Calibri"/>
                <w:b/>
                <w:bCs/>
                <w:color w:val="000000"/>
                <w:sz w:val="20"/>
              </w:rPr>
              <w:br/>
              <w:t xml:space="preserve"> u projektů</w:t>
            </w:r>
          </w:p>
        </w:tc>
        <w:tc>
          <w:tcPr>
            <w:tcW w:w="3440" w:type="dxa"/>
            <w:tcBorders>
              <w:top w:val="nil"/>
              <w:left w:val="nil"/>
              <w:bottom w:val="single" w:sz="4" w:space="0" w:color="auto"/>
              <w:right w:val="single" w:sz="8" w:space="0" w:color="auto"/>
            </w:tcBorders>
            <w:shd w:val="clear" w:color="auto" w:fill="auto"/>
            <w:vAlign w:val="center"/>
            <w:hideMark/>
          </w:tcPr>
          <w:p w14:paraId="36371DC2"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 xml:space="preserve">5 let </w:t>
            </w:r>
          </w:p>
        </w:tc>
        <w:tc>
          <w:tcPr>
            <w:tcW w:w="3440" w:type="dxa"/>
            <w:tcBorders>
              <w:top w:val="nil"/>
              <w:left w:val="nil"/>
              <w:bottom w:val="single" w:sz="4" w:space="0" w:color="auto"/>
              <w:right w:val="single" w:sz="8" w:space="0" w:color="auto"/>
            </w:tcBorders>
            <w:shd w:val="clear" w:color="auto" w:fill="auto"/>
            <w:vAlign w:val="center"/>
            <w:hideMark/>
          </w:tcPr>
          <w:p w14:paraId="7B7D7B3B"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10 let</w:t>
            </w:r>
          </w:p>
        </w:tc>
      </w:tr>
      <w:tr w:rsidR="00AF4C26" w:rsidRPr="00AF4C26" w14:paraId="7B9202CD" w14:textId="77777777" w:rsidTr="00567229">
        <w:trPr>
          <w:trHeight w:val="840"/>
        </w:trPr>
        <w:tc>
          <w:tcPr>
            <w:tcW w:w="24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D3065A6" w14:textId="77777777" w:rsidR="004820C2" w:rsidRDefault="00AF4C26" w:rsidP="00AF4C26">
            <w:pPr>
              <w:jc w:val="center"/>
              <w:rPr>
                <w:rFonts w:ascii="Calibri" w:hAnsi="Calibri" w:cs="Calibri"/>
                <w:b/>
                <w:bCs/>
                <w:color w:val="000000"/>
                <w:sz w:val="20"/>
              </w:rPr>
            </w:pPr>
            <w:r w:rsidRPr="00AF4C26">
              <w:rPr>
                <w:rFonts w:ascii="Calibri" w:hAnsi="Calibri" w:cs="Calibri"/>
                <w:b/>
                <w:bCs/>
                <w:color w:val="000000"/>
                <w:sz w:val="20"/>
              </w:rPr>
              <w:t>Stanovení cíle projektu</w:t>
            </w:r>
          </w:p>
          <w:p w14:paraId="0F1C23EA" w14:textId="1F58653C"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br/>
              <w:t>Stanovení parametrů projektu</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6E3D1DC0" w14:textId="591AB4E9" w:rsidR="004820C2" w:rsidRDefault="00AF4C26" w:rsidP="00AF4C26">
            <w:pPr>
              <w:jc w:val="center"/>
              <w:rPr>
                <w:rFonts w:ascii="Calibri" w:hAnsi="Calibri" w:cs="Calibri"/>
                <w:color w:val="000000"/>
                <w:sz w:val="20"/>
              </w:rPr>
            </w:pPr>
            <w:r w:rsidRPr="00AF4C26">
              <w:rPr>
                <w:rFonts w:ascii="Calibri" w:hAnsi="Calibri" w:cs="Calibri"/>
                <w:color w:val="000000"/>
                <w:sz w:val="20"/>
              </w:rPr>
              <w:t>ANO</w:t>
            </w:r>
          </w:p>
          <w:p w14:paraId="459A6E12" w14:textId="45ACB2B9"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br/>
              <w:t>NE</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632D9239" w14:textId="77777777" w:rsidR="004820C2" w:rsidRDefault="00AF4C26" w:rsidP="00AF4C26">
            <w:pPr>
              <w:jc w:val="center"/>
              <w:rPr>
                <w:rFonts w:ascii="Calibri" w:hAnsi="Calibri" w:cs="Calibri"/>
                <w:color w:val="000000"/>
                <w:sz w:val="20"/>
              </w:rPr>
            </w:pPr>
            <w:r w:rsidRPr="00AF4C26">
              <w:rPr>
                <w:rFonts w:ascii="Calibri" w:hAnsi="Calibri" w:cs="Calibri"/>
                <w:color w:val="000000"/>
                <w:sz w:val="20"/>
              </w:rPr>
              <w:t>NE</w:t>
            </w:r>
          </w:p>
          <w:p w14:paraId="507D8CDE" w14:textId="731E0EE0"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br/>
              <w:t>ANO</w:t>
            </w:r>
          </w:p>
        </w:tc>
      </w:tr>
      <w:tr w:rsidR="00AF4C26" w:rsidRPr="00AF4C26" w14:paraId="526DE599" w14:textId="77777777" w:rsidTr="00567229">
        <w:trPr>
          <w:trHeight w:val="840"/>
        </w:trPr>
        <w:tc>
          <w:tcPr>
            <w:tcW w:w="24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2B8270BA"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Sledování a vykazování monitorovacích indikátorů na úrovni příjemce</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462B6BF5"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ANO</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0AD96E6C"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NE</w:t>
            </w:r>
          </w:p>
        </w:tc>
      </w:tr>
      <w:tr w:rsidR="00AF4C26" w:rsidRPr="00AF4C26" w14:paraId="140428C1" w14:textId="77777777" w:rsidTr="00567229">
        <w:trPr>
          <w:trHeight w:val="564"/>
        </w:trPr>
        <w:tc>
          <w:tcPr>
            <w:tcW w:w="24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5D0DF98B"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Sankční systém pro porušení podmínek dotace</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7C2B36F7"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ANO</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20E88A08"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NE</w:t>
            </w:r>
          </w:p>
        </w:tc>
      </w:tr>
      <w:tr w:rsidR="00AF4C26" w:rsidRPr="00AF4C26" w14:paraId="33ACE3FC" w14:textId="77777777" w:rsidTr="00567229">
        <w:trPr>
          <w:trHeight w:val="840"/>
        </w:trPr>
        <w:tc>
          <w:tcPr>
            <w:tcW w:w="24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7E9C3167"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Rozsah dokumentace závazné pro žadatele/příjemce</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49202C96" w14:textId="665DFE81" w:rsidR="00AF4C26" w:rsidRPr="00AF4C26" w:rsidRDefault="00AF4C26" w:rsidP="00AF4C26">
            <w:pPr>
              <w:jc w:val="center"/>
              <w:rPr>
                <w:rFonts w:ascii="Calibri" w:hAnsi="Calibri" w:cs="Calibri"/>
                <w:sz w:val="20"/>
              </w:rPr>
            </w:pPr>
            <w:r w:rsidRPr="00AF4C26">
              <w:rPr>
                <w:rFonts w:ascii="Calibri" w:hAnsi="Calibri" w:cs="Calibri"/>
                <w:sz w:val="20"/>
              </w:rPr>
              <w:t>5 závazných dokumentů (vč</w:t>
            </w:r>
            <w:r>
              <w:rPr>
                <w:rFonts w:ascii="Calibri" w:hAnsi="Calibri" w:cs="Calibri"/>
                <w:sz w:val="20"/>
              </w:rPr>
              <w:t xml:space="preserve">. </w:t>
            </w:r>
            <w:r w:rsidRPr="00AF4C26">
              <w:rPr>
                <w:rFonts w:ascii="Calibri" w:hAnsi="Calibri" w:cs="Calibri"/>
                <w:sz w:val="20"/>
              </w:rPr>
              <w:t>právního aktu) v rozsahu</w:t>
            </w:r>
            <w:r w:rsidRPr="00AF4C26">
              <w:rPr>
                <w:rFonts w:ascii="Calibri" w:hAnsi="Calibri" w:cs="Calibri"/>
                <w:sz w:val="20"/>
              </w:rPr>
              <w:br/>
              <w:t>více než 255 stran + přílohy</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725B4D2E" w14:textId="1EBD82ED" w:rsidR="00AF4C26" w:rsidRPr="00AF4C26" w:rsidRDefault="00AF4C26" w:rsidP="00AF4C26">
            <w:pPr>
              <w:jc w:val="center"/>
              <w:rPr>
                <w:rFonts w:ascii="Calibri" w:hAnsi="Calibri" w:cs="Calibri"/>
                <w:sz w:val="20"/>
              </w:rPr>
            </w:pPr>
            <w:r w:rsidRPr="00AF4C26">
              <w:rPr>
                <w:rFonts w:ascii="Calibri" w:hAnsi="Calibri" w:cs="Calibri"/>
                <w:sz w:val="20"/>
              </w:rPr>
              <w:t>5 závazných dokumentů (vč</w:t>
            </w:r>
            <w:r>
              <w:rPr>
                <w:rFonts w:ascii="Calibri" w:hAnsi="Calibri" w:cs="Calibri"/>
                <w:sz w:val="20"/>
              </w:rPr>
              <w:t xml:space="preserve">. právního aktu) </w:t>
            </w:r>
            <w:r w:rsidRPr="00AF4C26">
              <w:rPr>
                <w:rFonts w:ascii="Calibri" w:hAnsi="Calibri" w:cs="Calibri"/>
                <w:sz w:val="20"/>
              </w:rPr>
              <w:t>v rozsahu</w:t>
            </w:r>
            <w:r w:rsidRPr="00AF4C26">
              <w:rPr>
                <w:rFonts w:ascii="Calibri" w:hAnsi="Calibri" w:cs="Calibri"/>
                <w:sz w:val="20"/>
              </w:rPr>
              <w:br/>
              <w:t>do 170 stran</w:t>
            </w:r>
          </w:p>
        </w:tc>
      </w:tr>
      <w:tr w:rsidR="00AF4C26" w:rsidRPr="00AF4C26" w14:paraId="18E2C5A1" w14:textId="77777777" w:rsidTr="00567229">
        <w:trPr>
          <w:trHeight w:val="564"/>
        </w:trPr>
        <w:tc>
          <w:tcPr>
            <w:tcW w:w="24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0AB30135"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 xml:space="preserve">Metodický pokyn pro výběr dodavatelů </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10420CBF"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ANO</w:t>
            </w:r>
          </w:p>
        </w:tc>
        <w:tc>
          <w:tcPr>
            <w:tcW w:w="3440" w:type="dxa"/>
            <w:tcBorders>
              <w:top w:val="single" w:sz="4" w:space="0" w:color="auto"/>
              <w:left w:val="nil"/>
              <w:bottom w:val="single" w:sz="4" w:space="0" w:color="auto"/>
              <w:right w:val="single" w:sz="8" w:space="0" w:color="auto"/>
            </w:tcBorders>
            <w:shd w:val="clear" w:color="auto" w:fill="auto"/>
            <w:vAlign w:val="center"/>
            <w:hideMark/>
          </w:tcPr>
          <w:p w14:paraId="50EFC198"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NE</w:t>
            </w:r>
          </w:p>
        </w:tc>
      </w:tr>
      <w:tr w:rsidR="007A0811" w:rsidRPr="00AF4C26" w14:paraId="7ABE7A36" w14:textId="77777777" w:rsidTr="00567229">
        <w:trPr>
          <w:trHeight w:val="300"/>
        </w:trPr>
        <w:tc>
          <w:tcPr>
            <w:tcW w:w="242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4EC46A0F" w14:textId="77777777" w:rsidR="007A0811" w:rsidRPr="00AF4C26" w:rsidRDefault="007A0811" w:rsidP="00AF4C26">
            <w:pPr>
              <w:jc w:val="center"/>
              <w:rPr>
                <w:rFonts w:ascii="Calibri" w:hAnsi="Calibri" w:cs="Calibri"/>
                <w:b/>
                <w:bCs/>
                <w:color w:val="000000"/>
                <w:sz w:val="20"/>
              </w:rPr>
            </w:pPr>
            <w:r w:rsidRPr="00AF4C26">
              <w:rPr>
                <w:rFonts w:ascii="Calibri" w:hAnsi="Calibri" w:cs="Calibri"/>
                <w:b/>
                <w:bCs/>
                <w:color w:val="000000"/>
                <w:sz w:val="20"/>
              </w:rPr>
              <w:t>Povinnosti reportování vůči poskytovateli</w:t>
            </w:r>
          </w:p>
        </w:tc>
        <w:tc>
          <w:tcPr>
            <w:tcW w:w="344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EA44618" w14:textId="644D2573" w:rsidR="007A0811" w:rsidRDefault="007A0811" w:rsidP="007A0811">
            <w:pPr>
              <w:jc w:val="center"/>
              <w:rPr>
                <w:rFonts w:ascii="Calibri" w:hAnsi="Calibri" w:cs="Calibri"/>
                <w:color w:val="000000"/>
                <w:sz w:val="20"/>
              </w:rPr>
            </w:pPr>
            <w:r w:rsidRPr="00AF4C26">
              <w:rPr>
                <w:rFonts w:ascii="Calibri" w:hAnsi="Calibri" w:cs="Calibri"/>
                <w:color w:val="000000"/>
                <w:sz w:val="20"/>
              </w:rPr>
              <w:t>ANO</w:t>
            </w:r>
          </w:p>
          <w:p w14:paraId="7EA298E5" w14:textId="77777777" w:rsidR="007A0811" w:rsidRPr="00AF4C26" w:rsidRDefault="007A0811" w:rsidP="007A0811">
            <w:pPr>
              <w:jc w:val="center"/>
              <w:rPr>
                <w:rFonts w:ascii="Calibri" w:hAnsi="Calibri" w:cs="Calibri"/>
                <w:color w:val="000000"/>
                <w:sz w:val="20"/>
              </w:rPr>
            </w:pPr>
          </w:p>
          <w:p w14:paraId="6025A09B" w14:textId="3BE4767E" w:rsidR="007A0811" w:rsidRPr="00AF4C26" w:rsidRDefault="007A0811" w:rsidP="002B59CC">
            <w:pPr>
              <w:jc w:val="center"/>
              <w:rPr>
                <w:rFonts w:ascii="Calibri" w:hAnsi="Calibri" w:cs="Calibri"/>
                <w:color w:val="000000"/>
                <w:sz w:val="20"/>
              </w:rPr>
            </w:pPr>
            <w:r w:rsidRPr="00AF4C26">
              <w:rPr>
                <w:rFonts w:ascii="Calibri" w:hAnsi="Calibri" w:cs="Calibri"/>
                <w:color w:val="000000"/>
                <w:sz w:val="20"/>
              </w:rPr>
              <w:t>Re</w:t>
            </w:r>
            <w:r w:rsidR="002B59CC">
              <w:rPr>
                <w:rFonts w:ascii="Calibri" w:hAnsi="Calibri" w:cs="Calibri"/>
                <w:color w:val="000000"/>
                <w:sz w:val="20"/>
              </w:rPr>
              <w:t>portování průběžné, závěrečné i v </w:t>
            </w:r>
            <w:r w:rsidRPr="00AF4C26">
              <w:rPr>
                <w:rFonts w:ascii="Calibri" w:hAnsi="Calibri" w:cs="Calibri"/>
                <w:color w:val="000000"/>
                <w:sz w:val="20"/>
              </w:rPr>
              <w:t>době udržitelnosti</w:t>
            </w:r>
          </w:p>
        </w:tc>
        <w:tc>
          <w:tcPr>
            <w:tcW w:w="344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B793ECF" w14:textId="4AE1FC8A" w:rsidR="007A0811" w:rsidRDefault="007A0811" w:rsidP="007A0811">
            <w:pPr>
              <w:jc w:val="center"/>
              <w:rPr>
                <w:rFonts w:ascii="Calibri" w:hAnsi="Calibri" w:cs="Calibri"/>
                <w:color w:val="000000"/>
                <w:sz w:val="20"/>
              </w:rPr>
            </w:pPr>
            <w:r w:rsidRPr="00AF4C26">
              <w:rPr>
                <w:rFonts w:ascii="Calibri" w:hAnsi="Calibri" w:cs="Calibri"/>
                <w:color w:val="000000"/>
                <w:sz w:val="20"/>
              </w:rPr>
              <w:t>NE</w:t>
            </w:r>
          </w:p>
          <w:p w14:paraId="5AA22069" w14:textId="77777777" w:rsidR="007A0811" w:rsidRPr="00AF4C26" w:rsidRDefault="007A0811" w:rsidP="007A0811">
            <w:pPr>
              <w:jc w:val="center"/>
              <w:rPr>
                <w:rFonts w:ascii="Calibri" w:hAnsi="Calibri" w:cs="Calibri"/>
                <w:color w:val="000000"/>
                <w:sz w:val="20"/>
              </w:rPr>
            </w:pPr>
          </w:p>
          <w:p w14:paraId="1E8F4E60" w14:textId="77777777" w:rsidR="007A0811" w:rsidRPr="00AF4C26" w:rsidRDefault="007A0811" w:rsidP="007A0811">
            <w:pPr>
              <w:jc w:val="center"/>
              <w:rPr>
                <w:rFonts w:ascii="Calibri" w:hAnsi="Calibri" w:cs="Calibri"/>
                <w:color w:val="000000"/>
                <w:sz w:val="20"/>
              </w:rPr>
            </w:pPr>
            <w:r w:rsidRPr="00AF4C26">
              <w:rPr>
                <w:rFonts w:ascii="Calibri" w:hAnsi="Calibri" w:cs="Calibri"/>
                <w:color w:val="000000"/>
                <w:sz w:val="20"/>
              </w:rPr>
              <w:t>Jednorázové doložení realizace</w:t>
            </w:r>
          </w:p>
        </w:tc>
      </w:tr>
      <w:tr w:rsidR="00AF4C26" w:rsidRPr="00AF4C26" w14:paraId="3B1FECB0" w14:textId="77777777" w:rsidTr="00567229">
        <w:trPr>
          <w:trHeight w:val="564"/>
        </w:trPr>
        <w:tc>
          <w:tcPr>
            <w:tcW w:w="242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9DD701D" w14:textId="77777777" w:rsidR="00AF4C26" w:rsidRPr="00AF4C26" w:rsidRDefault="00AF4C26" w:rsidP="00AF4C26">
            <w:pPr>
              <w:jc w:val="center"/>
              <w:rPr>
                <w:rFonts w:ascii="Calibri" w:hAnsi="Calibri" w:cs="Calibri"/>
                <w:b/>
                <w:bCs/>
                <w:color w:val="000000"/>
                <w:sz w:val="20"/>
              </w:rPr>
            </w:pPr>
            <w:r w:rsidRPr="00AF4C26">
              <w:rPr>
                <w:rFonts w:ascii="Calibri" w:hAnsi="Calibri" w:cs="Calibri"/>
                <w:b/>
                <w:bCs/>
                <w:color w:val="000000"/>
                <w:sz w:val="20"/>
              </w:rPr>
              <w:t>Povinná publicita dotačně podpořeného projektu</w:t>
            </w:r>
          </w:p>
        </w:tc>
        <w:tc>
          <w:tcPr>
            <w:tcW w:w="3440" w:type="dxa"/>
            <w:tcBorders>
              <w:top w:val="single" w:sz="4" w:space="0" w:color="auto"/>
              <w:left w:val="nil"/>
              <w:bottom w:val="single" w:sz="8" w:space="0" w:color="auto"/>
              <w:right w:val="single" w:sz="8" w:space="0" w:color="auto"/>
            </w:tcBorders>
            <w:shd w:val="clear" w:color="auto" w:fill="auto"/>
            <w:vAlign w:val="center"/>
            <w:hideMark/>
          </w:tcPr>
          <w:p w14:paraId="5F22C12E"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ANO</w:t>
            </w:r>
          </w:p>
        </w:tc>
        <w:tc>
          <w:tcPr>
            <w:tcW w:w="3440" w:type="dxa"/>
            <w:tcBorders>
              <w:top w:val="single" w:sz="4" w:space="0" w:color="auto"/>
              <w:left w:val="nil"/>
              <w:bottom w:val="single" w:sz="8" w:space="0" w:color="auto"/>
              <w:right w:val="single" w:sz="8" w:space="0" w:color="auto"/>
            </w:tcBorders>
            <w:shd w:val="clear" w:color="auto" w:fill="auto"/>
            <w:vAlign w:val="center"/>
            <w:hideMark/>
          </w:tcPr>
          <w:p w14:paraId="5359E7D6" w14:textId="77777777" w:rsidR="00AF4C26" w:rsidRPr="00AF4C26" w:rsidRDefault="00AF4C26" w:rsidP="00AF4C26">
            <w:pPr>
              <w:jc w:val="center"/>
              <w:rPr>
                <w:rFonts w:ascii="Calibri" w:hAnsi="Calibri" w:cs="Calibri"/>
                <w:color w:val="000000"/>
                <w:sz w:val="20"/>
              </w:rPr>
            </w:pPr>
            <w:r w:rsidRPr="00AF4C26">
              <w:rPr>
                <w:rFonts w:ascii="Calibri" w:hAnsi="Calibri" w:cs="Calibri"/>
                <w:color w:val="000000"/>
                <w:sz w:val="20"/>
              </w:rPr>
              <w:t>NE</w:t>
            </w:r>
          </w:p>
        </w:tc>
      </w:tr>
    </w:tbl>
    <w:p w14:paraId="6DF1F6C4" w14:textId="00A818E9" w:rsidR="00CF7D86" w:rsidRPr="00222C4F" w:rsidRDefault="00222C4F" w:rsidP="005622CC">
      <w:pPr>
        <w:spacing w:after="120"/>
        <w:rPr>
          <w:rFonts w:eastAsiaTheme="majorEastAsia"/>
          <w:i/>
          <w:sz w:val="20"/>
          <w:lang w:eastAsia="en-US"/>
        </w:rPr>
      </w:pPr>
      <w:r w:rsidRPr="00CA3C63">
        <w:rPr>
          <w:rFonts w:eastAsiaTheme="majorEastAsia"/>
          <w:b/>
          <w:i/>
          <w:sz w:val="20"/>
          <w:lang w:eastAsia="en-US"/>
        </w:rPr>
        <w:t>Zdroj:</w:t>
      </w:r>
      <w:r>
        <w:rPr>
          <w:rFonts w:eastAsiaTheme="majorEastAsia"/>
          <w:i/>
          <w:sz w:val="20"/>
          <w:lang w:eastAsia="en-US"/>
        </w:rPr>
        <w:t xml:space="preserve"> </w:t>
      </w:r>
      <w:r w:rsidR="00D7508A">
        <w:rPr>
          <w:rFonts w:eastAsiaTheme="majorEastAsia"/>
          <w:i/>
          <w:sz w:val="20"/>
          <w:lang w:eastAsia="en-US"/>
        </w:rPr>
        <w:t>z</w:t>
      </w:r>
      <w:r>
        <w:rPr>
          <w:rFonts w:eastAsiaTheme="majorEastAsia"/>
          <w:i/>
          <w:sz w:val="20"/>
          <w:lang w:eastAsia="en-US"/>
        </w:rPr>
        <w:t>pracov</w:t>
      </w:r>
      <w:r w:rsidR="00D7508A">
        <w:rPr>
          <w:rFonts w:eastAsiaTheme="majorEastAsia"/>
          <w:i/>
          <w:sz w:val="20"/>
          <w:lang w:eastAsia="en-US"/>
        </w:rPr>
        <w:t>al</w:t>
      </w:r>
      <w:r>
        <w:rPr>
          <w:rFonts w:eastAsiaTheme="majorEastAsia"/>
          <w:i/>
          <w:sz w:val="20"/>
          <w:lang w:eastAsia="en-US"/>
        </w:rPr>
        <w:t xml:space="preserve"> NKÚ</w:t>
      </w:r>
      <w:r w:rsidR="00A22F11">
        <w:rPr>
          <w:rFonts w:eastAsiaTheme="majorEastAsia"/>
          <w:i/>
          <w:sz w:val="20"/>
          <w:lang w:eastAsia="en-US"/>
        </w:rPr>
        <w:t xml:space="preserve"> na základě dokumentac</w:t>
      </w:r>
      <w:r w:rsidR="00D7508A">
        <w:rPr>
          <w:rFonts w:eastAsiaTheme="majorEastAsia"/>
          <w:i/>
          <w:sz w:val="20"/>
          <w:lang w:eastAsia="en-US"/>
        </w:rPr>
        <w:t>í</w:t>
      </w:r>
      <w:r w:rsidR="00A22F11">
        <w:rPr>
          <w:rFonts w:eastAsiaTheme="majorEastAsia"/>
          <w:i/>
          <w:sz w:val="20"/>
          <w:lang w:eastAsia="en-US"/>
        </w:rPr>
        <w:t xml:space="preserve"> IROP a</w:t>
      </w:r>
      <w:r w:rsidR="00D7508A">
        <w:rPr>
          <w:rFonts w:eastAsiaTheme="majorEastAsia"/>
          <w:i/>
          <w:sz w:val="20"/>
          <w:lang w:eastAsia="en-US"/>
        </w:rPr>
        <w:t xml:space="preserve"> programu</w:t>
      </w:r>
      <w:r w:rsidR="00A22F11">
        <w:rPr>
          <w:rFonts w:eastAsiaTheme="majorEastAsia"/>
          <w:i/>
          <w:sz w:val="20"/>
          <w:lang w:eastAsia="en-US"/>
        </w:rPr>
        <w:t xml:space="preserve"> NZÚ</w:t>
      </w:r>
      <w:r w:rsidR="0032607B">
        <w:rPr>
          <w:rFonts w:eastAsiaTheme="majorEastAsia"/>
          <w:i/>
          <w:sz w:val="20"/>
          <w:lang w:eastAsia="en-US"/>
        </w:rPr>
        <w:t>.</w:t>
      </w:r>
    </w:p>
    <w:p w14:paraId="38E73A8C" w14:textId="52EA9798" w:rsidR="00AF4C26" w:rsidRPr="00AF4C26" w:rsidRDefault="00AF4C26" w:rsidP="00A515A8">
      <w:pPr>
        <w:spacing w:before="240" w:after="120"/>
        <w:rPr>
          <w:rFonts w:eastAsiaTheme="majorEastAsia"/>
          <w:u w:val="single"/>
          <w:lang w:eastAsia="en-US"/>
        </w:rPr>
      </w:pPr>
      <w:r>
        <w:rPr>
          <w:rFonts w:eastAsiaTheme="majorEastAsia"/>
          <w:u w:val="single"/>
          <w:lang w:eastAsia="en-US"/>
        </w:rPr>
        <w:t>Podrobnosti k</w:t>
      </w:r>
      <w:r w:rsidR="00CF03C4">
        <w:rPr>
          <w:rFonts w:eastAsiaTheme="majorEastAsia"/>
          <w:u w:val="single"/>
          <w:lang w:eastAsia="en-US"/>
        </w:rPr>
        <w:t xml:space="preserve"> vybraným </w:t>
      </w:r>
      <w:r>
        <w:rPr>
          <w:rFonts w:eastAsiaTheme="majorEastAsia"/>
          <w:u w:val="single"/>
          <w:lang w:eastAsia="en-US"/>
        </w:rPr>
        <w:t>p</w:t>
      </w:r>
      <w:r w:rsidRPr="00AF4C26">
        <w:rPr>
          <w:rFonts w:eastAsiaTheme="majorEastAsia"/>
          <w:u w:val="single"/>
          <w:lang w:eastAsia="en-US"/>
        </w:rPr>
        <w:t>odmínk</w:t>
      </w:r>
      <w:r>
        <w:rPr>
          <w:rFonts w:eastAsiaTheme="majorEastAsia"/>
          <w:u w:val="single"/>
          <w:lang w:eastAsia="en-US"/>
        </w:rPr>
        <w:t>ám</w:t>
      </w:r>
      <w:r w:rsidRPr="00AF4C26">
        <w:rPr>
          <w:rFonts w:eastAsiaTheme="majorEastAsia"/>
          <w:u w:val="single"/>
          <w:lang w:eastAsia="en-US"/>
        </w:rPr>
        <w:t xml:space="preserve"> </w:t>
      </w:r>
      <w:r>
        <w:rPr>
          <w:rFonts w:eastAsiaTheme="majorEastAsia"/>
          <w:u w:val="single"/>
          <w:lang w:eastAsia="en-US"/>
        </w:rPr>
        <w:t xml:space="preserve">poskytované </w:t>
      </w:r>
      <w:r w:rsidRPr="00AF4C26">
        <w:rPr>
          <w:rFonts w:eastAsiaTheme="majorEastAsia"/>
          <w:u w:val="single"/>
          <w:lang w:eastAsia="en-US"/>
        </w:rPr>
        <w:t>podpory</w:t>
      </w:r>
      <w:r w:rsidR="00CF03C4">
        <w:rPr>
          <w:rFonts w:eastAsiaTheme="majorEastAsia"/>
          <w:u w:val="single"/>
          <w:lang w:eastAsia="en-US"/>
        </w:rPr>
        <w:t xml:space="preserve"> uvedeným v tabulce č. </w:t>
      </w:r>
      <w:r w:rsidR="001676C0">
        <w:rPr>
          <w:rFonts w:eastAsiaTheme="majorEastAsia"/>
          <w:u w:val="single"/>
          <w:lang w:eastAsia="en-US"/>
        </w:rPr>
        <w:t>4</w:t>
      </w:r>
    </w:p>
    <w:p w14:paraId="6602E0AD" w14:textId="49118BB6" w:rsidR="008A005D" w:rsidRDefault="008A005D" w:rsidP="00064E91">
      <w:pPr>
        <w:spacing w:after="120"/>
        <w:rPr>
          <w:rFonts w:eastAsiaTheme="majorEastAsia"/>
          <w:lang w:eastAsia="en-US"/>
        </w:rPr>
      </w:pPr>
      <w:r>
        <w:rPr>
          <w:rFonts w:eastAsiaTheme="majorEastAsia"/>
          <w:lang w:eastAsia="en-US"/>
        </w:rPr>
        <w:t xml:space="preserve">V programu NZÚ nastavilo MŽP pro příjemce možnost podávat žádost o podporu </w:t>
      </w:r>
      <w:r w:rsidRPr="00A515A8">
        <w:rPr>
          <w:rFonts w:eastAsiaTheme="majorEastAsia"/>
          <w:lang w:eastAsia="en-US"/>
        </w:rPr>
        <w:t>před</w:t>
      </w:r>
      <w:r w:rsidR="003036FD" w:rsidRPr="00A515A8">
        <w:rPr>
          <w:rFonts w:eastAsiaTheme="majorEastAsia"/>
          <w:lang w:eastAsia="en-US"/>
        </w:rPr>
        <w:t xml:space="preserve"> realizací opatření</w:t>
      </w:r>
      <w:r w:rsidRPr="003036FD">
        <w:rPr>
          <w:rFonts w:eastAsiaTheme="majorEastAsia"/>
          <w:lang w:eastAsia="en-US"/>
        </w:rPr>
        <w:t xml:space="preserve">, </w:t>
      </w:r>
      <w:r w:rsidRPr="00A515A8">
        <w:rPr>
          <w:rFonts w:eastAsiaTheme="majorEastAsia"/>
          <w:lang w:eastAsia="en-US"/>
        </w:rPr>
        <w:t>v</w:t>
      </w:r>
      <w:r w:rsidR="003036FD">
        <w:rPr>
          <w:rFonts w:eastAsiaTheme="majorEastAsia"/>
          <w:lang w:eastAsia="en-US"/>
        </w:rPr>
        <w:t xml:space="preserve"> </w:t>
      </w:r>
      <w:r w:rsidRPr="00A515A8">
        <w:rPr>
          <w:rFonts w:eastAsiaTheme="majorEastAsia"/>
          <w:lang w:eastAsia="en-US"/>
        </w:rPr>
        <w:t>průběhu</w:t>
      </w:r>
      <w:r w:rsidRPr="003036FD">
        <w:rPr>
          <w:rFonts w:eastAsiaTheme="majorEastAsia"/>
          <w:lang w:eastAsia="en-US"/>
        </w:rPr>
        <w:t xml:space="preserve"> </w:t>
      </w:r>
      <w:r w:rsidR="00890B09">
        <w:rPr>
          <w:rFonts w:eastAsiaTheme="majorEastAsia"/>
          <w:lang w:eastAsia="en-US"/>
        </w:rPr>
        <w:t xml:space="preserve">realizace </w:t>
      </w:r>
      <w:r w:rsidRPr="003036FD">
        <w:rPr>
          <w:rFonts w:eastAsiaTheme="majorEastAsia"/>
          <w:lang w:eastAsia="en-US"/>
        </w:rPr>
        <w:t xml:space="preserve">i </w:t>
      </w:r>
      <w:r w:rsidRPr="00A515A8">
        <w:rPr>
          <w:rFonts w:eastAsiaTheme="majorEastAsia"/>
          <w:lang w:eastAsia="en-US"/>
        </w:rPr>
        <w:t>po</w:t>
      </w:r>
      <w:r w:rsidRPr="003036FD">
        <w:rPr>
          <w:rFonts w:eastAsiaTheme="majorEastAsia"/>
          <w:lang w:eastAsia="en-US"/>
        </w:rPr>
        <w:t xml:space="preserve"> </w:t>
      </w:r>
      <w:r w:rsidR="003036FD" w:rsidRPr="003036FD">
        <w:rPr>
          <w:rFonts w:eastAsiaTheme="majorEastAsia"/>
          <w:lang w:eastAsia="en-US"/>
        </w:rPr>
        <w:t>jejím skončení</w:t>
      </w:r>
      <w:r w:rsidRPr="003036FD">
        <w:rPr>
          <w:rFonts w:eastAsiaTheme="majorEastAsia"/>
          <w:lang w:eastAsia="en-US"/>
        </w:rPr>
        <w:t xml:space="preserve">. </w:t>
      </w:r>
      <w:r>
        <w:rPr>
          <w:rFonts w:eastAsiaTheme="majorEastAsia"/>
          <w:lang w:eastAsia="en-US"/>
        </w:rPr>
        <w:t xml:space="preserve">IROP podání žádosti po realizaci </w:t>
      </w:r>
      <w:r w:rsidR="00AA732E">
        <w:rPr>
          <w:rFonts w:eastAsiaTheme="majorEastAsia"/>
          <w:lang w:eastAsia="en-US"/>
        </w:rPr>
        <w:t xml:space="preserve">vůbec </w:t>
      </w:r>
      <w:r>
        <w:rPr>
          <w:rFonts w:eastAsiaTheme="majorEastAsia"/>
          <w:lang w:eastAsia="en-US"/>
        </w:rPr>
        <w:t>neumožňuje. Příjemci podpory z</w:t>
      </w:r>
      <w:r w:rsidR="003036FD">
        <w:rPr>
          <w:rFonts w:eastAsiaTheme="majorEastAsia"/>
          <w:lang w:eastAsia="en-US"/>
        </w:rPr>
        <w:t xml:space="preserve"> programu </w:t>
      </w:r>
      <w:r>
        <w:rPr>
          <w:rFonts w:eastAsiaTheme="majorEastAsia"/>
          <w:lang w:eastAsia="en-US"/>
        </w:rPr>
        <w:t>NZ</w:t>
      </w:r>
      <w:r w:rsidR="00AA732E">
        <w:rPr>
          <w:rFonts w:eastAsiaTheme="majorEastAsia"/>
          <w:lang w:eastAsia="en-US"/>
        </w:rPr>
        <w:t xml:space="preserve">Ú </w:t>
      </w:r>
      <w:r>
        <w:rPr>
          <w:rFonts w:eastAsiaTheme="majorEastAsia"/>
          <w:lang w:eastAsia="en-US"/>
        </w:rPr>
        <w:t>podávali žádosti o podporu i po ukončení realizace</w:t>
      </w:r>
      <w:r w:rsidR="00AA732E">
        <w:rPr>
          <w:rFonts w:eastAsiaTheme="majorEastAsia"/>
          <w:lang w:eastAsia="en-US"/>
        </w:rPr>
        <w:t xml:space="preserve">, a to </w:t>
      </w:r>
      <w:r>
        <w:rPr>
          <w:rFonts w:eastAsiaTheme="majorEastAsia"/>
          <w:lang w:eastAsia="en-US"/>
        </w:rPr>
        <w:t xml:space="preserve">v obou výzvách určených pro bytové domy. </w:t>
      </w:r>
    </w:p>
    <w:p w14:paraId="5DA7AB25" w14:textId="4AB77FCE" w:rsidR="00E151F5" w:rsidRDefault="00E151F5" w:rsidP="00064E91">
      <w:pPr>
        <w:spacing w:after="120"/>
        <w:rPr>
          <w:rFonts w:eastAsiaTheme="majorEastAsia"/>
          <w:lang w:eastAsia="en-US"/>
        </w:rPr>
      </w:pPr>
      <w:r w:rsidRPr="008A005D">
        <w:rPr>
          <w:rFonts w:eastAsiaTheme="majorEastAsia"/>
          <w:lang w:eastAsia="en-US"/>
        </w:rPr>
        <w:t xml:space="preserve">MMR i MŽP jako poskytovatelé dotace </w:t>
      </w:r>
      <w:r>
        <w:rPr>
          <w:rFonts w:eastAsiaTheme="majorEastAsia"/>
          <w:lang w:eastAsia="en-US"/>
        </w:rPr>
        <w:t xml:space="preserve">umožňují realizaci opatření i u </w:t>
      </w:r>
      <w:r w:rsidR="00864098">
        <w:rPr>
          <w:rFonts w:eastAsiaTheme="majorEastAsia"/>
          <w:lang w:eastAsia="en-US"/>
        </w:rPr>
        <w:t xml:space="preserve">nebytových </w:t>
      </w:r>
      <w:r w:rsidR="003036FD">
        <w:rPr>
          <w:rFonts w:eastAsiaTheme="majorEastAsia"/>
          <w:lang w:eastAsia="en-US"/>
        </w:rPr>
        <w:t>(</w:t>
      </w:r>
      <w:r w:rsidRPr="008A005D">
        <w:rPr>
          <w:rFonts w:eastAsiaTheme="majorEastAsia"/>
          <w:lang w:eastAsia="en-US"/>
        </w:rPr>
        <w:t>komerčních</w:t>
      </w:r>
      <w:r w:rsidR="003036FD">
        <w:rPr>
          <w:rFonts w:eastAsiaTheme="majorEastAsia"/>
          <w:lang w:eastAsia="en-US"/>
        </w:rPr>
        <w:t>)</w:t>
      </w:r>
      <w:r w:rsidRPr="008A005D">
        <w:rPr>
          <w:rFonts w:eastAsiaTheme="majorEastAsia"/>
          <w:lang w:eastAsia="en-US"/>
        </w:rPr>
        <w:t xml:space="preserve"> prostor, pokud jsou součástí komplexního opatření</w:t>
      </w:r>
      <w:r>
        <w:rPr>
          <w:rFonts w:eastAsiaTheme="majorEastAsia"/>
          <w:lang w:eastAsia="en-US"/>
        </w:rPr>
        <w:t xml:space="preserve"> u bytového domu</w:t>
      </w:r>
      <w:r w:rsidR="003036FD">
        <w:rPr>
          <w:rFonts w:eastAsiaTheme="majorEastAsia"/>
          <w:lang w:eastAsia="en-US"/>
        </w:rPr>
        <w:t>.</w:t>
      </w:r>
      <w:r w:rsidRPr="008A005D">
        <w:rPr>
          <w:rFonts w:eastAsiaTheme="majorEastAsia"/>
          <w:lang w:eastAsia="en-US"/>
        </w:rPr>
        <w:t xml:space="preserve"> MMR v IROP však neumožňuje snížení počtu bytový</w:t>
      </w:r>
      <w:r>
        <w:rPr>
          <w:rFonts w:eastAsiaTheme="majorEastAsia"/>
          <w:lang w:eastAsia="en-US"/>
        </w:rPr>
        <w:t>c</w:t>
      </w:r>
      <w:r w:rsidRPr="008A005D">
        <w:rPr>
          <w:rFonts w:eastAsiaTheme="majorEastAsia"/>
          <w:lang w:eastAsia="en-US"/>
        </w:rPr>
        <w:t>h jednotek</w:t>
      </w:r>
      <w:r>
        <w:rPr>
          <w:rFonts w:eastAsiaTheme="majorEastAsia"/>
          <w:lang w:eastAsia="en-US"/>
        </w:rPr>
        <w:t xml:space="preserve"> po realizaci opatření</w:t>
      </w:r>
      <w:r w:rsidRPr="008A005D">
        <w:rPr>
          <w:rFonts w:eastAsiaTheme="majorEastAsia"/>
          <w:lang w:eastAsia="en-US"/>
        </w:rPr>
        <w:t>. MŽP naopak akceptuje i snížení počtu bytových jednotek po ukončení realizace projekt</w:t>
      </w:r>
      <w:r w:rsidR="003036FD">
        <w:rPr>
          <w:rFonts w:eastAsiaTheme="majorEastAsia"/>
          <w:lang w:eastAsia="en-US"/>
        </w:rPr>
        <w:t>u</w:t>
      </w:r>
      <w:r w:rsidRPr="008A005D">
        <w:rPr>
          <w:rFonts w:eastAsiaTheme="majorEastAsia"/>
          <w:lang w:eastAsia="en-US"/>
        </w:rPr>
        <w:t xml:space="preserve"> ve prospěch nově vzniklých </w:t>
      </w:r>
      <w:r w:rsidR="003036FD">
        <w:rPr>
          <w:rFonts w:eastAsiaTheme="majorEastAsia"/>
          <w:lang w:eastAsia="en-US"/>
        </w:rPr>
        <w:t>nebytových</w:t>
      </w:r>
      <w:r w:rsidRPr="008A005D">
        <w:rPr>
          <w:rFonts w:eastAsiaTheme="majorEastAsia"/>
          <w:lang w:eastAsia="en-US"/>
        </w:rPr>
        <w:t xml:space="preserve"> prostor.</w:t>
      </w:r>
    </w:p>
    <w:p w14:paraId="46AF3614" w14:textId="757903AD" w:rsidR="007C5944" w:rsidRPr="00171193" w:rsidRDefault="00FA12B8" w:rsidP="00406184">
      <w:pPr>
        <w:spacing w:after="120"/>
        <w:rPr>
          <w:rFonts w:eastAsiaTheme="majorEastAsia"/>
          <w:lang w:eastAsia="en-US"/>
        </w:rPr>
      </w:pPr>
      <w:r>
        <w:rPr>
          <w:rFonts w:eastAsiaTheme="majorEastAsia"/>
          <w:lang w:eastAsia="en-US"/>
        </w:rPr>
        <w:lastRenderedPageBreak/>
        <w:t>U</w:t>
      </w:r>
      <w:r w:rsidR="007C5944" w:rsidRPr="00406184">
        <w:rPr>
          <w:rFonts w:eastAsiaTheme="majorEastAsia"/>
          <w:lang w:eastAsia="en-US"/>
        </w:rPr>
        <w:t>držitelnost projektů, respektive udržitelnost podpořených o</w:t>
      </w:r>
      <w:r w:rsidR="001E1F6A" w:rsidRPr="00FA12B8">
        <w:rPr>
          <w:rFonts w:eastAsiaTheme="majorEastAsia"/>
          <w:lang w:eastAsia="en-US"/>
        </w:rPr>
        <w:t>patření byla v IROP stanovena v</w:t>
      </w:r>
      <w:r w:rsidR="001E1F6A">
        <w:rPr>
          <w:rFonts w:eastAsiaTheme="majorEastAsia"/>
          <w:lang w:eastAsia="en-US"/>
        </w:rPr>
        <w:t> </w:t>
      </w:r>
      <w:r w:rsidR="003036FD">
        <w:rPr>
          <w:rFonts w:eastAsiaTheme="majorEastAsia"/>
          <w:lang w:eastAsia="en-US"/>
        </w:rPr>
        <w:t>délce</w:t>
      </w:r>
      <w:r w:rsidR="007C5944" w:rsidRPr="00406184">
        <w:rPr>
          <w:rFonts w:eastAsiaTheme="majorEastAsia"/>
          <w:lang w:eastAsia="en-US"/>
        </w:rPr>
        <w:t xml:space="preserve"> 5 let</w:t>
      </w:r>
      <w:r w:rsidR="007C5944" w:rsidRPr="00506B5A">
        <w:rPr>
          <w:rFonts w:eastAsiaTheme="majorEastAsia"/>
          <w:vertAlign w:val="superscript"/>
          <w:lang w:eastAsia="en-US"/>
        </w:rPr>
        <w:footnoteReference w:id="52"/>
      </w:r>
      <w:r w:rsidR="00F76EEA" w:rsidRPr="00406184">
        <w:rPr>
          <w:rFonts w:eastAsiaTheme="majorEastAsia"/>
          <w:lang w:eastAsia="en-US"/>
        </w:rPr>
        <w:t xml:space="preserve"> od poskytnutí poslední platby</w:t>
      </w:r>
      <w:r>
        <w:rPr>
          <w:rFonts w:eastAsiaTheme="majorEastAsia"/>
          <w:lang w:eastAsia="en-US"/>
        </w:rPr>
        <w:t xml:space="preserve">. Oproti tomu u projektů podpořených z programu </w:t>
      </w:r>
      <w:r w:rsidR="007C5944" w:rsidRPr="00171193" w:rsidDel="00FA12B8">
        <w:rPr>
          <w:rFonts w:eastAsiaTheme="majorEastAsia"/>
          <w:lang w:eastAsia="en-US"/>
        </w:rPr>
        <w:t>NZÚ</w:t>
      </w:r>
      <w:r>
        <w:rPr>
          <w:rFonts w:eastAsiaTheme="majorEastAsia"/>
          <w:lang w:eastAsia="en-US"/>
        </w:rPr>
        <w:t xml:space="preserve"> je udržitelnost podpořených opatření stanovena na</w:t>
      </w:r>
      <w:r w:rsidR="007C5944" w:rsidDel="00FA12B8">
        <w:rPr>
          <w:rFonts w:eastAsiaTheme="majorEastAsia"/>
          <w:lang w:eastAsia="en-US"/>
        </w:rPr>
        <w:t xml:space="preserve"> </w:t>
      </w:r>
      <w:r>
        <w:rPr>
          <w:rFonts w:eastAsiaTheme="majorEastAsia"/>
          <w:lang w:eastAsia="en-US"/>
        </w:rPr>
        <w:t>dob</w:t>
      </w:r>
      <w:r w:rsidR="00864098">
        <w:rPr>
          <w:rFonts w:eastAsiaTheme="majorEastAsia"/>
          <w:lang w:eastAsia="en-US"/>
        </w:rPr>
        <w:t>u</w:t>
      </w:r>
      <w:r w:rsidR="007C5944" w:rsidRPr="00171193">
        <w:rPr>
          <w:rFonts w:eastAsiaTheme="majorEastAsia"/>
          <w:lang w:eastAsia="en-US"/>
        </w:rPr>
        <w:t xml:space="preserve"> 10 let</w:t>
      </w:r>
      <w:r w:rsidR="007C5944" w:rsidRPr="00506B5A">
        <w:rPr>
          <w:rFonts w:eastAsiaTheme="majorEastAsia"/>
          <w:vertAlign w:val="superscript"/>
          <w:lang w:eastAsia="en-US"/>
        </w:rPr>
        <w:footnoteReference w:id="53"/>
      </w:r>
      <w:r w:rsidR="00F76EEA" w:rsidRPr="00171193">
        <w:rPr>
          <w:rStyle w:val="Znakapoznpodarou"/>
          <w:rFonts w:eastAsiaTheme="majorEastAsia"/>
        </w:rPr>
        <w:t xml:space="preserve"> </w:t>
      </w:r>
      <w:r w:rsidR="00F76EEA" w:rsidRPr="00171193">
        <w:rPr>
          <w:rFonts w:eastAsiaTheme="majorEastAsia"/>
          <w:lang w:eastAsia="en-US"/>
        </w:rPr>
        <w:t>od vydání právního aktu</w:t>
      </w:r>
      <w:r w:rsidR="00EC0EAD" w:rsidRPr="00171193">
        <w:rPr>
          <w:rFonts w:eastAsiaTheme="majorEastAsia"/>
          <w:lang w:eastAsia="en-US"/>
        </w:rPr>
        <w:t xml:space="preserve"> (rozhodnutí o poskytnutí dotace)</w:t>
      </w:r>
      <w:r w:rsidR="007C5944" w:rsidRPr="00171193">
        <w:rPr>
          <w:rFonts w:eastAsiaTheme="majorEastAsia"/>
          <w:lang w:eastAsia="en-US"/>
        </w:rPr>
        <w:t>.</w:t>
      </w:r>
    </w:p>
    <w:p w14:paraId="5F706551" w14:textId="22FC2F91" w:rsidR="00A677FA" w:rsidRPr="00A677FA" w:rsidRDefault="00CF03C4" w:rsidP="00663DE2">
      <w:pPr>
        <w:spacing w:after="120"/>
        <w:rPr>
          <w:rFonts w:eastAsiaTheme="majorEastAsia"/>
          <w:lang w:eastAsia="en-US"/>
        </w:rPr>
      </w:pPr>
      <w:r>
        <w:rPr>
          <w:rFonts w:eastAsiaTheme="majorEastAsia"/>
          <w:lang w:eastAsia="en-US"/>
        </w:rPr>
        <w:t xml:space="preserve">Oproti IROP </w:t>
      </w:r>
      <w:r w:rsidR="00864098">
        <w:rPr>
          <w:rFonts w:eastAsiaTheme="majorEastAsia"/>
          <w:lang w:eastAsia="en-US"/>
        </w:rPr>
        <w:t xml:space="preserve">nestanoví </w:t>
      </w:r>
      <w:r>
        <w:rPr>
          <w:rFonts w:eastAsiaTheme="majorEastAsia"/>
          <w:lang w:eastAsia="en-US"/>
        </w:rPr>
        <w:t>p</w:t>
      </w:r>
      <w:r w:rsidR="00A677FA">
        <w:rPr>
          <w:rFonts w:eastAsiaTheme="majorEastAsia"/>
          <w:lang w:eastAsia="en-US"/>
        </w:rPr>
        <w:t xml:space="preserve">rogram NZÚ pro příjemce v právním aktu </w:t>
      </w:r>
      <w:r w:rsidR="00864098">
        <w:rPr>
          <w:rFonts w:eastAsiaTheme="majorEastAsia"/>
          <w:lang w:eastAsia="en-US"/>
        </w:rPr>
        <w:t xml:space="preserve">žádnou </w:t>
      </w:r>
      <w:r w:rsidR="00A677FA">
        <w:rPr>
          <w:rFonts w:eastAsiaTheme="majorEastAsia"/>
          <w:lang w:eastAsia="en-US"/>
        </w:rPr>
        <w:t>škálu sankcí. Porušení kterékoli z podmínek rozhodnutí o poskytnutí dotace znamená odnětí dotace v plné výši proplacených finančních prostředků.</w:t>
      </w:r>
      <w:r w:rsidR="00CF7D86">
        <w:rPr>
          <w:rFonts w:eastAsiaTheme="majorEastAsia"/>
          <w:lang w:eastAsia="en-US"/>
        </w:rPr>
        <w:t xml:space="preserve"> V programu NZÚ nebyl dosud řešen </w:t>
      </w:r>
      <w:r w:rsidR="00EC0EAD">
        <w:rPr>
          <w:rFonts w:eastAsiaTheme="majorEastAsia"/>
          <w:lang w:eastAsia="en-US"/>
        </w:rPr>
        <w:t xml:space="preserve">žádný </w:t>
      </w:r>
      <w:r w:rsidR="00CF7D86">
        <w:rPr>
          <w:rFonts w:eastAsiaTheme="majorEastAsia"/>
          <w:lang w:eastAsia="en-US"/>
        </w:rPr>
        <w:t xml:space="preserve">případ </w:t>
      </w:r>
      <w:r w:rsidR="001E1F6A">
        <w:rPr>
          <w:rFonts w:eastAsiaTheme="majorEastAsia"/>
          <w:lang w:eastAsia="en-US"/>
        </w:rPr>
        <w:t>s </w:t>
      </w:r>
      <w:r w:rsidR="00CF7D86">
        <w:rPr>
          <w:rFonts w:eastAsiaTheme="majorEastAsia"/>
          <w:lang w:eastAsia="en-US"/>
        </w:rPr>
        <w:t>řízení</w:t>
      </w:r>
      <w:r w:rsidR="00EC0EAD">
        <w:rPr>
          <w:rFonts w:eastAsiaTheme="majorEastAsia"/>
          <w:lang w:eastAsia="en-US"/>
        </w:rPr>
        <w:t>m</w:t>
      </w:r>
      <w:r w:rsidR="00CF7D86">
        <w:rPr>
          <w:rFonts w:eastAsiaTheme="majorEastAsia"/>
          <w:lang w:eastAsia="en-US"/>
        </w:rPr>
        <w:t xml:space="preserve"> o odnětí dotace.</w:t>
      </w:r>
    </w:p>
    <w:p w14:paraId="7AD2BA3B" w14:textId="7FA4C055" w:rsidR="00B14303" w:rsidRDefault="00EC0EAD" w:rsidP="00B14303">
      <w:pPr>
        <w:spacing w:after="120"/>
        <w:rPr>
          <w:lang w:eastAsia="en-US"/>
        </w:rPr>
      </w:pPr>
      <w:r w:rsidRPr="00DF6251">
        <w:rPr>
          <w:b/>
          <w:lang w:eastAsia="en-US"/>
        </w:rPr>
        <w:t xml:space="preserve">Získání dotační podpory i </w:t>
      </w:r>
      <w:r w:rsidR="00B14303" w:rsidRPr="00DF6251">
        <w:rPr>
          <w:b/>
          <w:lang w:eastAsia="en-US"/>
        </w:rPr>
        <w:t xml:space="preserve">naplnění </w:t>
      </w:r>
      <w:r w:rsidRPr="00DF6251">
        <w:rPr>
          <w:b/>
          <w:lang w:eastAsia="en-US"/>
        </w:rPr>
        <w:t xml:space="preserve">všech stanovených </w:t>
      </w:r>
      <w:r w:rsidR="00B14303" w:rsidRPr="00DF6251">
        <w:rPr>
          <w:b/>
          <w:lang w:eastAsia="en-US"/>
        </w:rPr>
        <w:t>podmínek</w:t>
      </w:r>
      <w:r w:rsidRPr="00DF6251">
        <w:rPr>
          <w:b/>
          <w:lang w:eastAsia="en-US"/>
        </w:rPr>
        <w:t xml:space="preserve"> </w:t>
      </w:r>
      <w:r w:rsidR="00864098">
        <w:rPr>
          <w:b/>
          <w:lang w:eastAsia="en-US"/>
        </w:rPr>
        <w:t xml:space="preserve">je </w:t>
      </w:r>
      <w:r w:rsidRPr="00DF6251">
        <w:rPr>
          <w:b/>
          <w:lang w:eastAsia="en-US"/>
        </w:rPr>
        <w:t>obtížnější</w:t>
      </w:r>
      <w:r w:rsidR="00B14303" w:rsidRPr="00DF6251">
        <w:rPr>
          <w:b/>
          <w:lang w:eastAsia="en-US"/>
        </w:rPr>
        <w:t xml:space="preserve"> u IROP</w:t>
      </w:r>
      <w:r w:rsidRPr="00DF6251">
        <w:rPr>
          <w:b/>
          <w:lang w:eastAsia="en-US"/>
        </w:rPr>
        <w:t xml:space="preserve">, kde </w:t>
      </w:r>
      <w:r w:rsidR="001C7C9B">
        <w:rPr>
          <w:b/>
          <w:lang w:eastAsia="en-US"/>
        </w:rPr>
        <w:t>existuje</w:t>
      </w:r>
      <w:r w:rsidR="00DF6251">
        <w:rPr>
          <w:b/>
          <w:lang w:eastAsia="en-US"/>
        </w:rPr>
        <w:t xml:space="preserve"> </w:t>
      </w:r>
      <w:r w:rsidR="00864098">
        <w:rPr>
          <w:b/>
          <w:lang w:eastAsia="en-US"/>
        </w:rPr>
        <w:t xml:space="preserve">i </w:t>
      </w:r>
      <w:r w:rsidR="00DF6251">
        <w:rPr>
          <w:b/>
          <w:lang w:eastAsia="en-US"/>
        </w:rPr>
        <w:t>v</w:t>
      </w:r>
      <w:r w:rsidR="0090751B" w:rsidRPr="00DF6251">
        <w:rPr>
          <w:b/>
          <w:lang w:eastAsia="en-US"/>
        </w:rPr>
        <w:t xml:space="preserve">yšší </w:t>
      </w:r>
      <w:r w:rsidR="00DF6251">
        <w:rPr>
          <w:b/>
          <w:lang w:eastAsia="en-US"/>
        </w:rPr>
        <w:t>a</w:t>
      </w:r>
      <w:r w:rsidR="0090751B" w:rsidRPr="00DF6251">
        <w:rPr>
          <w:b/>
          <w:lang w:eastAsia="en-US"/>
        </w:rPr>
        <w:t>dministrativní zátěž</w:t>
      </w:r>
      <w:r w:rsidR="006F2FBF" w:rsidRPr="00DF6251">
        <w:rPr>
          <w:b/>
          <w:lang w:eastAsia="en-US"/>
        </w:rPr>
        <w:t xml:space="preserve"> </w:t>
      </w:r>
      <w:r w:rsidR="006F2FBF" w:rsidRPr="00DF6251">
        <w:rPr>
          <w:lang w:eastAsia="en-US"/>
        </w:rPr>
        <w:t>jak na straně příjemců</w:t>
      </w:r>
      <w:r w:rsidR="006A5053" w:rsidRPr="00DF6251">
        <w:rPr>
          <w:lang w:eastAsia="en-US"/>
        </w:rPr>
        <w:t xml:space="preserve"> (větší rozsah povinnost</w:t>
      </w:r>
      <w:r w:rsidRPr="00DF6251">
        <w:rPr>
          <w:lang w:eastAsia="en-US"/>
        </w:rPr>
        <w:t xml:space="preserve">í stanovených </w:t>
      </w:r>
      <w:r w:rsidR="006A5053" w:rsidRPr="00DF6251">
        <w:rPr>
          <w:lang w:eastAsia="en-US"/>
        </w:rPr>
        <w:t>pro příjemce)</w:t>
      </w:r>
      <w:r w:rsidR="006F2FBF" w:rsidRPr="00DF6251">
        <w:rPr>
          <w:lang w:eastAsia="en-US"/>
        </w:rPr>
        <w:t>, tak na straně poskytovatele</w:t>
      </w:r>
      <w:r w:rsidRPr="00DF6251">
        <w:rPr>
          <w:lang w:eastAsia="en-US"/>
        </w:rPr>
        <w:t xml:space="preserve"> (zejména </w:t>
      </w:r>
      <w:r w:rsidR="00DF6251" w:rsidRPr="00DF6251">
        <w:rPr>
          <w:lang w:eastAsia="en-US"/>
        </w:rPr>
        <w:t>v </w:t>
      </w:r>
      <w:r w:rsidR="00DF6251" w:rsidRPr="00864098">
        <w:rPr>
          <w:lang w:eastAsia="en-US"/>
        </w:rPr>
        <w:t xml:space="preserve">oblasti </w:t>
      </w:r>
      <w:r w:rsidRPr="00864098">
        <w:rPr>
          <w:lang w:eastAsia="en-US"/>
        </w:rPr>
        <w:t>kontrolní činnost</w:t>
      </w:r>
      <w:r w:rsidR="00DF6251" w:rsidRPr="00864098">
        <w:rPr>
          <w:lang w:eastAsia="en-US"/>
        </w:rPr>
        <w:t>i</w:t>
      </w:r>
      <w:r w:rsidRPr="00864098">
        <w:rPr>
          <w:lang w:eastAsia="en-US"/>
        </w:rPr>
        <w:t>)</w:t>
      </w:r>
      <w:r w:rsidR="0090751B" w:rsidRPr="00864098">
        <w:rPr>
          <w:lang w:eastAsia="en-US"/>
        </w:rPr>
        <w:t>.</w:t>
      </w:r>
      <w:r w:rsidR="0090751B" w:rsidRPr="00DF6251">
        <w:rPr>
          <w:b/>
          <w:lang w:eastAsia="en-US"/>
        </w:rPr>
        <w:t xml:space="preserve"> </w:t>
      </w:r>
      <w:r w:rsidR="00DC1A2B">
        <w:rPr>
          <w:lang w:eastAsia="en-US"/>
        </w:rPr>
        <w:t>Důvodem je naplňování požadavků sta</w:t>
      </w:r>
      <w:r w:rsidR="003C6F1F">
        <w:rPr>
          <w:lang w:eastAsia="en-US"/>
        </w:rPr>
        <w:t>no</w:t>
      </w:r>
      <w:r w:rsidR="00DC1A2B">
        <w:rPr>
          <w:lang w:eastAsia="en-US"/>
        </w:rPr>
        <w:t xml:space="preserve">vených v předpisech EU. </w:t>
      </w:r>
      <w:r w:rsidR="00DF6251">
        <w:rPr>
          <w:b/>
          <w:lang w:eastAsia="en-US"/>
        </w:rPr>
        <w:t xml:space="preserve">V programu NZÚ </w:t>
      </w:r>
      <w:r w:rsidR="001C7C9B">
        <w:rPr>
          <w:b/>
          <w:lang w:eastAsia="en-US"/>
        </w:rPr>
        <w:t>jsou nastavena</w:t>
      </w:r>
      <w:r w:rsidR="00DF6251">
        <w:rPr>
          <w:b/>
          <w:lang w:eastAsia="en-US"/>
        </w:rPr>
        <w:t xml:space="preserve"> pro žadatele jednodušší pravidla, jednodušší je i kontrola ze strany poskytovatele, </w:t>
      </w:r>
      <w:r w:rsidR="00DF6251" w:rsidRPr="00DF6251">
        <w:rPr>
          <w:lang w:eastAsia="en-US"/>
        </w:rPr>
        <w:t>což</w:t>
      </w:r>
      <w:r w:rsidR="00DF6251">
        <w:rPr>
          <w:lang w:eastAsia="en-US"/>
        </w:rPr>
        <w:t xml:space="preserve"> se projevuje např. i </w:t>
      </w:r>
      <w:r w:rsidRPr="00DF6251">
        <w:rPr>
          <w:lang w:eastAsia="en-US"/>
        </w:rPr>
        <w:t>absenc</w:t>
      </w:r>
      <w:r w:rsidR="001E1F6A">
        <w:rPr>
          <w:lang w:eastAsia="en-US"/>
        </w:rPr>
        <w:t>í kontroly výběru dodavatelů u </w:t>
      </w:r>
      <w:r w:rsidR="00DF6251">
        <w:rPr>
          <w:lang w:eastAsia="en-US"/>
        </w:rPr>
        <w:t xml:space="preserve">příjemců. </w:t>
      </w:r>
    </w:p>
    <w:p w14:paraId="7EBB6B3E" w14:textId="06887F71" w:rsidR="00F9477A" w:rsidRDefault="00F9477A" w:rsidP="00B14303">
      <w:pPr>
        <w:spacing w:after="120"/>
        <w:rPr>
          <w:lang w:eastAsia="en-US"/>
        </w:rPr>
      </w:pPr>
      <w:r>
        <w:rPr>
          <w:lang w:eastAsia="en-US"/>
        </w:rPr>
        <w:t xml:space="preserve">Poskytovatelé </w:t>
      </w:r>
      <w:r w:rsidR="003036FD">
        <w:rPr>
          <w:lang w:eastAsia="en-US"/>
        </w:rPr>
        <w:t>(</w:t>
      </w:r>
      <w:r>
        <w:rPr>
          <w:lang w:eastAsia="en-US"/>
        </w:rPr>
        <w:t>MMR a MŽP</w:t>
      </w:r>
      <w:r w:rsidR="003036FD">
        <w:rPr>
          <w:lang w:eastAsia="en-US"/>
        </w:rPr>
        <w:t>)</w:t>
      </w:r>
      <w:r>
        <w:rPr>
          <w:lang w:eastAsia="en-US"/>
        </w:rPr>
        <w:t xml:space="preserve"> při nastavování podmínek poskytnutí podpory pro žadatele a</w:t>
      </w:r>
      <w:r w:rsidR="008B50D4">
        <w:rPr>
          <w:lang w:eastAsia="en-US"/>
        </w:rPr>
        <w:t> </w:t>
      </w:r>
      <w:r>
        <w:rPr>
          <w:lang w:eastAsia="en-US"/>
        </w:rPr>
        <w:t>příjemce postupovali v souladu s evropskými i národními právními předpisy.</w:t>
      </w:r>
    </w:p>
    <w:p w14:paraId="346716D2" w14:textId="77777777" w:rsidR="00DF6251" w:rsidRPr="00B14303" w:rsidRDefault="00DF6251" w:rsidP="00D62A4B">
      <w:pPr>
        <w:rPr>
          <w:b/>
          <w:lang w:eastAsia="en-US"/>
        </w:rPr>
      </w:pPr>
    </w:p>
    <w:p w14:paraId="0E3CA91C" w14:textId="70B62938" w:rsidR="005176F9" w:rsidRPr="006679A3" w:rsidRDefault="005D4660" w:rsidP="00A515A8">
      <w:pPr>
        <w:autoSpaceDE w:val="0"/>
        <w:autoSpaceDN w:val="0"/>
        <w:adjustRightInd w:val="0"/>
        <w:spacing w:after="120"/>
        <w:ind w:left="482" w:hanging="482"/>
        <w:outlineLvl w:val="1"/>
        <w:rPr>
          <w:rFonts w:cstheme="minorHAnsi"/>
          <w:b/>
        </w:rPr>
      </w:pPr>
      <w:r>
        <w:rPr>
          <w:rFonts w:cs="Calibri"/>
          <w:b/>
          <w:bCs/>
          <w:color w:val="000000"/>
        </w:rPr>
        <w:t xml:space="preserve">IV.4 </w:t>
      </w:r>
      <w:r w:rsidR="003036FD">
        <w:rPr>
          <w:rFonts w:cs="Calibri"/>
          <w:b/>
          <w:bCs/>
          <w:color w:val="000000"/>
        </w:rPr>
        <w:tab/>
      </w:r>
      <w:r w:rsidR="00925536" w:rsidRPr="006679A3">
        <w:rPr>
          <w:rFonts w:cs="Calibri"/>
          <w:b/>
          <w:bCs/>
        </w:rPr>
        <w:t>Naplňování predikovaných úspor</w:t>
      </w:r>
      <w:r w:rsidRPr="006679A3">
        <w:rPr>
          <w:rFonts w:cs="Calibri"/>
          <w:b/>
          <w:bCs/>
        </w:rPr>
        <w:t xml:space="preserve"> </w:t>
      </w:r>
      <w:r w:rsidR="004147A0" w:rsidRPr="006679A3">
        <w:rPr>
          <w:rFonts w:cs="Calibri"/>
          <w:b/>
          <w:bCs/>
        </w:rPr>
        <w:t xml:space="preserve">se </w:t>
      </w:r>
      <w:r w:rsidRPr="006679A3">
        <w:rPr>
          <w:rFonts w:cs="Calibri"/>
          <w:b/>
          <w:bCs/>
        </w:rPr>
        <w:t>v segmentu bytových domů</w:t>
      </w:r>
      <w:r w:rsidR="004147A0" w:rsidRPr="006679A3">
        <w:rPr>
          <w:rFonts w:cs="Calibri"/>
          <w:b/>
          <w:bCs/>
        </w:rPr>
        <w:t xml:space="preserve"> nedaří</w:t>
      </w:r>
      <w:r w:rsidR="00064E91">
        <w:rPr>
          <w:rFonts w:cs="Calibri"/>
          <w:b/>
          <w:bCs/>
        </w:rPr>
        <w:t xml:space="preserve"> ani </w:t>
      </w:r>
      <w:r w:rsidR="00064E91" w:rsidRPr="006679A3">
        <w:rPr>
          <w:rFonts w:cs="Calibri"/>
          <w:b/>
          <w:bCs/>
        </w:rPr>
        <w:t>v rámci IROP</w:t>
      </w:r>
      <w:r w:rsidR="00064E91">
        <w:rPr>
          <w:rFonts w:cs="Calibri"/>
          <w:b/>
          <w:bCs/>
        </w:rPr>
        <w:t xml:space="preserve">, ani v programu </w:t>
      </w:r>
      <w:r w:rsidR="00064E91" w:rsidRPr="006679A3">
        <w:rPr>
          <w:rFonts w:cs="Calibri"/>
          <w:b/>
          <w:bCs/>
        </w:rPr>
        <w:t>NZÚ</w:t>
      </w:r>
    </w:p>
    <w:p w14:paraId="00AD06B0" w14:textId="4C8FC1B5" w:rsidR="004B061E" w:rsidRDefault="00A947EB" w:rsidP="004B061E">
      <w:pPr>
        <w:spacing w:after="120"/>
        <w:rPr>
          <w:szCs w:val="24"/>
        </w:rPr>
      </w:pPr>
      <w:r>
        <w:rPr>
          <w:rFonts w:ascii="Calibri" w:hAnsi="Calibri"/>
        </w:rPr>
        <w:t>Česká republika dosáhla z</w:t>
      </w:r>
      <w:r w:rsidR="00E77974" w:rsidRPr="004B061E">
        <w:rPr>
          <w:rFonts w:ascii="Calibri" w:hAnsi="Calibri"/>
        </w:rPr>
        <w:t>a období 2014</w:t>
      </w:r>
      <w:r w:rsidR="003036FD">
        <w:t>–</w:t>
      </w:r>
      <w:r w:rsidR="00E77974" w:rsidRPr="004B061E">
        <w:rPr>
          <w:rFonts w:ascii="Calibri" w:hAnsi="Calibri"/>
        </w:rPr>
        <w:t xml:space="preserve">2020 </w:t>
      </w:r>
      <w:r w:rsidR="003036FD">
        <w:rPr>
          <w:rFonts w:ascii="Calibri" w:hAnsi="Calibri"/>
        </w:rPr>
        <w:t>celkem</w:t>
      </w:r>
      <w:r>
        <w:rPr>
          <w:rFonts w:ascii="Calibri" w:hAnsi="Calibri"/>
        </w:rPr>
        <w:t xml:space="preserve"> </w:t>
      </w:r>
      <w:r w:rsidR="00E77974" w:rsidRPr="004B061E">
        <w:rPr>
          <w:rFonts w:ascii="Calibri" w:hAnsi="Calibri"/>
        </w:rPr>
        <w:t xml:space="preserve">138,1 PJ </w:t>
      </w:r>
      <w:r w:rsidR="00E77974" w:rsidRPr="00864098">
        <w:rPr>
          <w:rFonts w:ascii="Calibri" w:hAnsi="Calibri"/>
          <w:b/>
        </w:rPr>
        <w:t>kumulovaných úspor energie</w:t>
      </w:r>
      <w:r w:rsidR="004B061E" w:rsidRPr="00864098">
        <w:rPr>
          <w:rFonts w:ascii="Calibri" w:hAnsi="Calibri"/>
          <w:b/>
        </w:rPr>
        <w:t xml:space="preserve">, což činí 68 % </w:t>
      </w:r>
      <w:r w:rsidR="004B061E">
        <w:rPr>
          <w:rFonts w:ascii="Calibri" w:hAnsi="Calibri"/>
        </w:rPr>
        <w:t>z plánovaných 204,4 PJ úspor</w:t>
      </w:r>
      <w:r w:rsidR="00E77974" w:rsidRPr="004B061E">
        <w:rPr>
          <w:rFonts w:ascii="Calibri" w:hAnsi="Calibri"/>
        </w:rPr>
        <w:t xml:space="preserve">. </w:t>
      </w:r>
      <w:r w:rsidR="006F2FBF" w:rsidRPr="00CA5C34">
        <w:rPr>
          <w:rFonts w:ascii="Calibri" w:hAnsi="Calibri"/>
          <w:b/>
        </w:rPr>
        <w:t xml:space="preserve">Česká republika </w:t>
      </w:r>
      <w:r w:rsidR="004B061E" w:rsidRPr="00CA5C34">
        <w:rPr>
          <w:b/>
          <w:szCs w:val="24"/>
        </w:rPr>
        <w:t xml:space="preserve">neočekává </w:t>
      </w:r>
      <w:r w:rsidR="003036FD">
        <w:rPr>
          <w:b/>
          <w:szCs w:val="24"/>
        </w:rPr>
        <w:t>s</w:t>
      </w:r>
      <w:r w:rsidR="004B061E" w:rsidRPr="00CA5C34">
        <w:rPr>
          <w:b/>
          <w:szCs w:val="24"/>
        </w:rPr>
        <w:t>plnění závazku dle</w:t>
      </w:r>
      <w:r w:rsidR="00155ADE">
        <w:rPr>
          <w:b/>
          <w:szCs w:val="24"/>
        </w:rPr>
        <w:t xml:space="preserve"> </w:t>
      </w:r>
      <w:r w:rsidR="004B061E" w:rsidRPr="00CA5C34">
        <w:rPr>
          <w:b/>
          <w:szCs w:val="24"/>
        </w:rPr>
        <w:t xml:space="preserve">článku 7 </w:t>
      </w:r>
      <w:r w:rsidR="006A4C25" w:rsidRPr="00CA5C34">
        <w:rPr>
          <w:b/>
          <w:szCs w:val="24"/>
        </w:rPr>
        <w:t>směrnice EE</w:t>
      </w:r>
      <w:r w:rsidR="00270B60">
        <w:rPr>
          <w:b/>
          <w:szCs w:val="24"/>
        </w:rPr>
        <w:t>D</w:t>
      </w:r>
      <w:r w:rsidR="006A4C25" w:rsidRPr="00CA5C34">
        <w:rPr>
          <w:b/>
          <w:szCs w:val="24"/>
        </w:rPr>
        <w:t xml:space="preserve"> </w:t>
      </w:r>
      <w:r w:rsidR="004B061E" w:rsidRPr="00CA5C34">
        <w:rPr>
          <w:b/>
          <w:szCs w:val="24"/>
        </w:rPr>
        <w:t>v</w:t>
      </w:r>
      <w:r w:rsidR="00155ADE">
        <w:rPr>
          <w:b/>
          <w:szCs w:val="24"/>
        </w:rPr>
        <w:t xml:space="preserve"> </w:t>
      </w:r>
      <w:r w:rsidR="004B061E" w:rsidRPr="00CA5C34">
        <w:rPr>
          <w:b/>
          <w:szCs w:val="24"/>
        </w:rPr>
        <w:t>kumulovaných úsporách</w:t>
      </w:r>
      <w:r w:rsidR="006F2FBF">
        <w:rPr>
          <w:rStyle w:val="Znakapoznpodarou"/>
          <w:szCs w:val="24"/>
        </w:rPr>
        <w:footnoteReference w:id="54"/>
      </w:r>
      <w:r w:rsidR="004B061E">
        <w:rPr>
          <w:szCs w:val="24"/>
        </w:rPr>
        <w:t xml:space="preserve">. </w:t>
      </w:r>
      <w:r w:rsidR="004B061E" w:rsidRPr="00EC0EAD">
        <w:rPr>
          <w:b/>
          <w:szCs w:val="24"/>
        </w:rPr>
        <w:t xml:space="preserve">Nových úspor energie bylo </w:t>
      </w:r>
      <w:r w:rsidR="006F2FBF" w:rsidRPr="00EC0EAD">
        <w:rPr>
          <w:b/>
          <w:szCs w:val="24"/>
        </w:rPr>
        <w:t>v</w:t>
      </w:r>
      <w:r w:rsidR="00155ADE">
        <w:rPr>
          <w:b/>
          <w:szCs w:val="24"/>
        </w:rPr>
        <w:t xml:space="preserve"> </w:t>
      </w:r>
      <w:r w:rsidR="006F2FBF" w:rsidRPr="00EC0EAD">
        <w:rPr>
          <w:b/>
          <w:szCs w:val="24"/>
        </w:rPr>
        <w:t xml:space="preserve">ČR </w:t>
      </w:r>
      <w:r w:rsidR="004B061E" w:rsidRPr="00EC0EAD">
        <w:rPr>
          <w:b/>
          <w:szCs w:val="24"/>
        </w:rPr>
        <w:t>za</w:t>
      </w:r>
      <w:r w:rsidR="00155ADE">
        <w:rPr>
          <w:b/>
          <w:szCs w:val="24"/>
        </w:rPr>
        <w:t xml:space="preserve"> </w:t>
      </w:r>
      <w:r w:rsidR="004B061E" w:rsidRPr="00EC0EAD">
        <w:rPr>
          <w:b/>
          <w:szCs w:val="24"/>
        </w:rPr>
        <w:t>období 2014</w:t>
      </w:r>
      <w:r w:rsidR="003036FD" w:rsidRPr="00A515A8">
        <w:rPr>
          <w:b/>
        </w:rPr>
        <w:t>–</w:t>
      </w:r>
      <w:r w:rsidR="004B061E" w:rsidRPr="00EC0EAD">
        <w:rPr>
          <w:b/>
          <w:szCs w:val="24"/>
        </w:rPr>
        <w:t xml:space="preserve">2020 dosaženo </w:t>
      </w:r>
      <w:r w:rsidR="006F2FBF" w:rsidRPr="00EC0EAD">
        <w:rPr>
          <w:b/>
          <w:szCs w:val="24"/>
        </w:rPr>
        <w:t xml:space="preserve">jen </w:t>
      </w:r>
      <w:r w:rsidR="004B061E" w:rsidRPr="00EC0EAD">
        <w:rPr>
          <w:b/>
          <w:szCs w:val="24"/>
        </w:rPr>
        <w:t>44,5 PJ</w:t>
      </w:r>
      <w:r w:rsidR="004B061E" w:rsidRPr="00A515A8">
        <w:rPr>
          <w:b/>
          <w:szCs w:val="24"/>
        </w:rPr>
        <w:t>,</w:t>
      </w:r>
      <w:r w:rsidR="004B061E">
        <w:rPr>
          <w:szCs w:val="24"/>
        </w:rPr>
        <w:t xml:space="preserve"> což představuje splnění závazku</w:t>
      </w:r>
      <w:r w:rsidR="006F2FBF">
        <w:rPr>
          <w:szCs w:val="24"/>
        </w:rPr>
        <w:t xml:space="preserve"> </w:t>
      </w:r>
      <w:r w:rsidR="00F44640">
        <w:rPr>
          <w:szCs w:val="24"/>
        </w:rPr>
        <w:t xml:space="preserve">z vnitrostátního cíle </w:t>
      </w:r>
      <w:r w:rsidR="004B061E">
        <w:rPr>
          <w:szCs w:val="24"/>
        </w:rPr>
        <w:t xml:space="preserve">51,1 PJ na 87 %. </w:t>
      </w:r>
    </w:p>
    <w:p w14:paraId="2C4BDCA6" w14:textId="42070A88" w:rsidR="00FF1EF1" w:rsidRPr="00EC0EAD" w:rsidRDefault="00F44640" w:rsidP="00E77974">
      <w:pPr>
        <w:spacing w:after="120"/>
        <w:rPr>
          <w:rFonts w:ascii="Calibri" w:hAnsi="Calibri"/>
        </w:rPr>
      </w:pPr>
      <w:r w:rsidRPr="00EC0EAD">
        <w:rPr>
          <w:rFonts w:ascii="Calibri" w:hAnsi="Calibri"/>
        </w:rPr>
        <w:t xml:space="preserve">IROP by se měl na plnění vnitrostátního cíle podílet úsporami ve výši 3,1 PJ nových úspor, program NZÚ by měl přispět úsporami ve výši 2,8 PJ za </w:t>
      </w:r>
      <w:r w:rsidR="003036FD">
        <w:rPr>
          <w:rFonts w:ascii="Calibri" w:hAnsi="Calibri"/>
        </w:rPr>
        <w:t xml:space="preserve">podprogram </w:t>
      </w:r>
      <w:r w:rsidR="003036FD" w:rsidRPr="00A515A8">
        <w:rPr>
          <w:rFonts w:ascii="Calibri" w:hAnsi="Calibri"/>
          <w:i/>
        </w:rPr>
        <w:t>B</w:t>
      </w:r>
      <w:r w:rsidRPr="00A515A8">
        <w:rPr>
          <w:rFonts w:ascii="Calibri" w:hAnsi="Calibri"/>
          <w:i/>
        </w:rPr>
        <w:t>ytové domy</w:t>
      </w:r>
      <w:r w:rsidRPr="00EC0EAD">
        <w:rPr>
          <w:rFonts w:ascii="Calibri" w:hAnsi="Calibri"/>
        </w:rPr>
        <w:t>, respektive ve výši 8,1 PJ za celý program</w:t>
      </w:r>
      <w:r w:rsidR="00864098">
        <w:rPr>
          <w:rFonts w:ascii="Calibri" w:hAnsi="Calibri"/>
        </w:rPr>
        <w:t xml:space="preserve"> NZÚ</w:t>
      </w:r>
      <w:r w:rsidRPr="00EC0EAD">
        <w:rPr>
          <w:rFonts w:ascii="Calibri" w:hAnsi="Calibri"/>
        </w:rPr>
        <w:t xml:space="preserve">. </w:t>
      </w:r>
    </w:p>
    <w:p w14:paraId="05639994" w14:textId="16BD71B1" w:rsidR="00F65B34" w:rsidRDefault="00F65B34" w:rsidP="00A515A8">
      <w:pPr>
        <w:keepNext/>
        <w:tabs>
          <w:tab w:val="right" w:pos="9070"/>
        </w:tabs>
        <w:spacing w:after="60"/>
        <w:ind w:left="1304" w:hanging="1304"/>
        <w:rPr>
          <w:rFonts w:cstheme="minorHAnsi"/>
          <w:bCs/>
          <w:color w:val="000000"/>
          <w:szCs w:val="24"/>
        </w:rPr>
      </w:pPr>
      <w:bookmarkStart w:id="4" w:name="_Toc512583786"/>
      <w:r w:rsidRPr="008105E1">
        <w:rPr>
          <w:szCs w:val="24"/>
        </w:rPr>
        <w:t xml:space="preserve">Tabulka č. </w:t>
      </w:r>
      <w:r w:rsidR="00B67A7B">
        <w:rPr>
          <w:szCs w:val="24"/>
        </w:rPr>
        <w:t>5</w:t>
      </w:r>
      <w:r w:rsidRPr="008105E1">
        <w:rPr>
          <w:szCs w:val="24"/>
        </w:rPr>
        <w:t>:</w:t>
      </w:r>
      <w:r w:rsidR="006F2FBF">
        <w:rPr>
          <w:szCs w:val="24"/>
        </w:rPr>
        <w:tab/>
      </w:r>
      <w:r w:rsidRPr="00067B84">
        <w:rPr>
          <w:szCs w:val="24"/>
        </w:rPr>
        <w:t xml:space="preserve">Plnění </w:t>
      </w:r>
      <w:r w:rsidR="006F2FBF">
        <w:rPr>
          <w:szCs w:val="24"/>
        </w:rPr>
        <w:t xml:space="preserve">cíle </w:t>
      </w:r>
      <w:r w:rsidRPr="00067B84">
        <w:rPr>
          <w:szCs w:val="24"/>
        </w:rPr>
        <w:t>nových ročních úspor energie</w:t>
      </w:r>
      <w:r w:rsidR="006F2FBF">
        <w:rPr>
          <w:szCs w:val="24"/>
        </w:rPr>
        <w:t xml:space="preserve"> IROP a programu NZÚ za období</w:t>
      </w:r>
      <w:r w:rsidR="009858FE">
        <w:rPr>
          <w:szCs w:val="24"/>
        </w:rPr>
        <w:br/>
        <w:t>2014–</w:t>
      </w:r>
      <w:r w:rsidR="006F2FBF" w:rsidRPr="00067B84">
        <w:rPr>
          <w:szCs w:val="24"/>
        </w:rPr>
        <w:t>2020</w:t>
      </w:r>
      <w:r w:rsidRPr="00067B84">
        <w:rPr>
          <w:szCs w:val="24"/>
        </w:rPr>
        <w:t xml:space="preserve"> </w:t>
      </w:r>
      <w:bookmarkEnd w:id="4"/>
      <w:r w:rsidRPr="00067B84">
        <w:rPr>
          <w:szCs w:val="24"/>
        </w:rPr>
        <w:t>(nové akce</w:t>
      </w:r>
      <w:r w:rsidR="006A4C25">
        <w:rPr>
          <w:szCs w:val="24"/>
        </w:rPr>
        <w:t>/projekty</w:t>
      </w:r>
      <w:r w:rsidRPr="00067B84">
        <w:rPr>
          <w:szCs w:val="24"/>
        </w:rPr>
        <w:t xml:space="preserve"> realizované v daném roce)</w:t>
      </w:r>
      <w:r w:rsidR="00A952EB">
        <w:rPr>
          <w:szCs w:val="24"/>
        </w:rPr>
        <w:t xml:space="preserve"> </w:t>
      </w:r>
      <w:r w:rsidR="00A431AD">
        <w:rPr>
          <w:szCs w:val="24"/>
        </w:rPr>
        <w:tab/>
      </w:r>
      <w:r w:rsidR="001676C0">
        <w:rPr>
          <w:rFonts w:cstheme="minorHAnsi"/>
          <w:bCs/>
          <w:color w:val="000000"/>
          <w:szCs w:val="24"/>
        </w:rPr>
        <w:t xml:space="preserve">(v </w:t>
      </w:r>
      <w:r w:rsidR="00A431AD" w:rsidRPr="001676C0">
        <w:rPr>
          <w:rFonts w:cstheme="minorHAnsi"/>
          <w:bCs/>
          <w:color w:val="000000"/>
          <w:szCs w:val="24"/>
        </w:rPr>
        <w:t>TJ</w:t>
      </w:r>
      <w:r w:rsidR="001676C0">
        <w:rPr>
          <w:rFonts w:cstheme="minorHAnsi"/>
          <w:bCs/>
          <w:color w:val="000000"/>
          <w:szCs w:val="24"/>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5"/>
        <w:gridCol w:w="891"/>
        <w:gridCol w:w="891"/>
        <w:gridCol w:w="891"/>
        <w:gridCol w:w="891"/>
        <w:gridCol w:w="891"/>
        <w:gridCol w:w="891"/>
        <w:gridCol w:w="891"/>
      </w:tblGrid>
      <w:tr w:rsidR="00AB10BE" w:rsidRPr="00AB10BE" w14:paraId="717D7681" w14:textId="77777777" w:rsidTr="00567229">
        <w:trPr>
          <w:trHeight w:val="300"/>
        </w:trPr>
        <w:tc>
          <w:tcPr>
            <w:tcW w:w="2835" w:type="dxa"/>
            <w:shd w:val="clear" w:color="000000" w:fill="E5F1FF"/>
            <w:noWrap/>
            <w:vAlign w:val="center"/>
            <w:hideMark/>
          </w:tcPr>
          <w:p w14:paraId="22835141" w14:textId="77777777" w:rsidR="00AB10BE" w:rsidRPr="00A515A8" w:rsidRDefault="00AB10BE">
            <w:pPr>
              <w:jc w:val="left"/>
              <w:rPr>
                <w:rFonts w:ascii="Calibri" w:hAnsi="Calibri" w:cs="Calibri"/>
                <w:b/>
                <w:bCs/>
                <w:color w:val="000000"/>
                <w:sz w:val="20"/>
              </w:rPr>
            </w:pPr>
            <w:r w:rsidRPr="00A515A8">
              <w:rPr>
                <w:rFonts w:ascii="Calibri" w:hAnsi="Calibri" w:cs="Calibri"/>
                <w:b/>
                <w:bCs/>
                <w:color w:val="000000"/>
                <w:sz w:val="20"/>
              </w:rPr>
              <w:t xml:space="preserve">Opatření </w:t>
            </w:r>
          </w:p>
        </w:tc>
        <w:tc>
          <w:tcPr>
            <w:tcW w:w="891" w:type="dxa"/>
            <w:shd w:val="clear" w:color="000000" w:fill="E5F1FF"/>
            <w:noWrap/>
            <w:vAlign w:val="center"/>
            <w:hideMark/>
          </w:tcPr>
          <w:p w14:paraId="22D0FA57" w14:textId="77777777" w:rsidR="00AB10BE" w:rsidRPr="00A515A8" w:rsidRDefault="00AB10BE" w:rsidP="00AB10BE">
            <w:pPr>
              <w:jc w:val="right"/>
              <w:rPr>
                <w:rFonts w:ascii="Calibri" w:hAnsi="Calibri" w:cs="Calibri"/>
                <w:b/>
                <w:bCs/>
                <w:color w:val="000000"/>
                <w:sz w:val="20"/>
              </w:rPr>
            </w:pPr>
            <w:r w:rsidRPr="00A515A8">
              <w:rPr>
                <w:rFonts w:ascii="Calibri" w:hAnsi="Calibri" w:cs="Calibri"/>
                <w:b/>
                <w:bCs/>
                <w:color w:val="000000"/>
                <w:sz w:val="20"/>
              </w:rPr>
              <w:t>2014</w:t>
            </w:r>
          </w:p>
        </w:tc>
        <w:tc>
          <w:tcPr>
            <w:tcW w:w="891" w:type="dxa"/>
            <w:shd w:val="clear" w:color="000000" w:fill="E5F1FF"/>
            <w:noWrap/>
            <w:vAlign w:val="center"/>
            <w:hideMark/>
          </w:tcPr>
          <w:p w14:paraId="46209945" w14:textId="77777777" w:rsidR="00AB10BE" w:rsidRPr="00A515A8" w:rsidRDefault="00AB10BE" w:rsidP="00AB10BE">
            <w:pPr>
              <w:jc w:val="right"/>
              <w:rPr>
                <w:rFonts w:ascii="Calibri" w:hAnsi="Calibri" w:cs="Calibri"/>
                <w:b/>
                <w:bCs/>
                <w:color w:val="000000"/>
                <w:sz w:val="20"/>
              </w:rPr>
            </w:pPr>
            <w:r w:rsidRPr="00A515A8">
              <w:rPr>
                <w:rFonts w:ascii="Calibri" w:hAnsi="Calibri" w:cs="Calibri"/>
                <w:b/>
                <w:bCs/>
                <w:color w:val="000000"/>
                <w:sz w:val="20"/>
              </w:rPr>
              <w:t>2015</w:t>
            </w:r>
          </w:p>
        </w:tc>
        <w:tc>
          <w:tcPr>
            <w:tcW w:w="891" w:type="dxa"/>
            <w:shd w:val="clear" w:color="000000" w:fill="E5F1FF"/>
            <w:noWrap/>
            <w:vAlign w:val="center"/>
            <w:hideMark/>
          </w:tcPr>
          <w:p w14:paraId="6BA4D8B6" w14:textId="77777777" w:rsidR="00AB10BE" w:rsidRPr="00A515A8" w:rsidRDefault="00AB10BE" w:rsidP="00AB10BE">
            <w:pPr>
              <w:jc w:val="right"/>
              <w:rPr>
                <w:rFonts w:ascii="Calibri" w:hAnsi="Calibri" w:cs="Calibri"/>
                <w:b/>
                <w:bCs/>
                <w:color w:val="000000"/>
                <w:sz w:val="20"/>
              </w:rPr>
            </w:pPr>
            <w:r w:rsidRPr="00A515A8">
              <w:rPr>
                <w:rFonts w:ascii="Calibri" w:hAnsi="Calibri" w:cs="Calibri"/>
                <w:b/>
                <w:bCs/>
                <w:color w:val="000000"/>
                <w:sz w:val="20"/>
              </w:rPr>
              <w:t>2016</w:t>
            </w:r>
          </w:p>
        </w:tc>
        <w:tc>
          <w:tcPr>
            <w:tcW w:w="891" w:type="dxa"/>
            <w:shd w:val="clear" w:color="000000" w:fill="E5F1FF"/>
            <w:noWrap/>
            <w:vAlign w:val="center"/>
            <w:hideMark/>
          </w:tcPr>
          <w:p w14:paraId="2E1AA67E" w14:textId="77777777" w:rsidR="00AB10BE" w:rsidRPr="00A515A8" w:rsidRDefault="00AB10BE" w:rsidP="00AB10BE">
            <w:pPr>
              <w:jc w:val="right"/>
              <w:rPr>
                <w:rFonts w:ascii="Calibri" w:hAnsi="Calibri" w:cs="Calibri"/>
                <w:b/>
                <w:bCs/>
                <w:color w:val="000000"/>
                <w:sz w:val="20"/>
              </w:rPr>
            </w:pPr>
            <w:r w:rsidRPr="00A515A8">
              <w:rPr>
                <w:rFonts w:ascii="Calibri" w:hAnsi="Calibri" w:cs="Calibri"/>
                <w:b/>
                <w:bCs/>
                <w:color w:val="000000"/>
                <w:sz w:val="20"/>
              </w:rPr>
              <w:t>2017</w:t>
            </w:r>
          </w:p>
        </w:tc>
        <w:tc>
          <w:tcPr>
            <w:tcW w:w="891" w:type="dxa"/>
            <w:shd w:val="clear" w:color="000000" w:fill="E5F1FF"/>
            <w:noWrap/>
            <w:vAlign w:val="center"/>
            <w:hideMark/>
          </w:tcPr>
          <w:p w14:paraId="4F720AA9" w14:textId="77777777" w:rsidR="00AB10BE" w:rsidRPr="00A515A8" w:rsidRDefault="00AB10BE" w:rsidP="00AB10BE">
            <w:pPr>
              <w:jc w:val="right"/>
              <w:rPr>
                <w:rFonts w:ascii="Calibri" w:hAnsi="Calibri" w:cs="Calibri"/>
                <w:b/>
                <w:bCs/>
                <w:color w:val="000000"/>
                <w:sz w:val="20"/>
              </w:rPr>
            </w:pPr>
            <w:r w:rsidRPr="00A515A8">
              <w:rPr>
                <w:rFonts w:ascii="Calibri" w:hAnsi="Calibri" w:cs="Calibri"/>
                <w:b/>
                <w:bCs/>
                <w:color w:val="000000"/>
                <w:sz w:val="20"/>
              </w:rPr>
              <w:t>2018</w:t>
            </w:r>
          </w:p>
        </w:tc>
        <w:tc>
          <w:tcPr>
            <w:tcW w:w="891" w:type="dxa"/>
            <w:shd w:val="clear" w:color="000000" w:fill="E5F1FF"/>
            <w:noWrap/>
            <w:vAlign w:val="center"/>
            <w:hideMark/>
          </w:tcPr>
          <w:p w14:paraId="650FDBE5" w14:textId="77777777" w:rsidR="00AB10BE" w:rsidRPr="00A515A8" w:rsidRDefault="00AB10BE" w:rsidP="00AB10BE">
            <w:pPr>
              <w:jc w:val="right"/>
              <w:rPr>
                <w:rFonts w:ascii="Calibri" w:hAnsi="Calibri" w:cs="Calibri"/>
                <w:b/>
                <w:bCs/>
                <w:color w:val="000000"/>
                <w:sz w:val="20"/>
              </w:rPr>
            </w:pPr>
            <w:r w:rsidRPr="00A515A8">
              <w:rPr>
                <w:rFonts w:ascii="Calibri" w:hAnsi="Calibri" w:cs="Calibri"/>
                <w:b/>
                <w:bCs/>
                <w:color w:val="000000"/>
                <w:sz w:val="20"/>
              </w:rPr>
              <w:t>2019</w:t>
            </w:r>
          </w:p>
        </w:tc>
        <w:tc>
          <w:tcPr>
            <w:tcW w:w="891" w:type="dxa"/>
            <w:shd w:val="clear" w:color="000000" w:fill="E5F1FF"/>
            <w:noWrap/>
            <w:vAlign w:val="center"/>
            <w:hideMark/>
          </w:tcPr>
          <w:p w14:paraId="2C73CC9D" w14:textId="77777777" w:rsidR="00AB10BE" w:rsidRPr="00A515A8" w:rsidRDefault="00AB10BE" w:rsidP="00AB10BE">
            <w:pPr>
              <w:jc w:val="right"/>
              <w:rPr>
                <w:rFonts w:ascii="Calibri" w:hAnsi="Calibri" w:cs="Calibri"/>
                <w:b/>
                <w:bCs/>
                <w:color w:val="000000"/>
                <w:sz w:val="20"/>
              </w:rPr>
            </w:pPr>
            <w:r w:rsidRPr="00A515A8">
              <w:rPr>
                <w:rFonts w:ascii="Calibri" w:hAnsi="Calibri" w:cs="Calibri"/>
                <w:b/>
                <w:bCs/>
                <w:color w:val="000000"/>
                <w:sz w:val="20"/>
              </w:rPr>
              <w:t>2020</w:t>
            </w:r>
          </w:p>
        </w:tc>
      </w:tr>
      <w:tr w:rsidR="00AB10BE" w:rsidRPr="00AB10BE" w14:paraId="5E52D6B8" w14:textId="77777777" w:rsidTr="00567229">
        <w:trPr>
          <w:trHeight w:val="268"/>
        </w:trPr>
        <w:tc>
          <w:tcPr>
            <w:tcW w:w="2835" w:type="dxa"/>
            <w:shd w:val="clear" w:color="000000" w:fill="FFFFFF"/>
            <w:vAlign w:val="center"/>
            <w:hideMark/>
          </w:tcPr>
          <w:p w14:paraId="75381A09" w14:textId="5640FBEC" w:rsidR="00AB10BE" w:rsidRPr="00A515A8" w:rsidRDefault="00AB10BE" w:rsidP="005A1E75">
            <w:pPr>
              <w:jc w:val="left"/>
              <w:rPr>
                <w:rFonts w:ascii="Calibri" w:hAnsi="Calibri" w:cs="Calibri"/>
                <w:color w:val="000000"/>
                <w:sz w:val="20"/>
              </w:rPr>
            </w:pPr>
            <w:r w:rsidRPr="00A515A8">
              <w:rPr>
                <w:rFonts w:ascii="Calibri" w:hAnsi="Calibri" w:cs="Calibri"/>
                <w:color w:val="000000"/>
                <w:sz w:val="20"/>
              </w:rPr>
              <w:t>P</w:t>
            </w:r>
            <w:r w:rsidR="00270B60" w:rsidRPr="00A515A8">
              <w:rPr>
                <w:rFonts w:ascii="Calibri" w:hAnsi="Calibri" w:cs="Calibri"/>
                <w:color w:val="000000"/>
                <w:sz w:val="20"/>
              </w:rPr>
              <w:t xml:space="preserve">rogram </w:t>
            </w:r>
            <w:r w:rsidR="00270B60" w:rsidRPr="00A515A8">
              <w:rPr>
                <w:rFonts w:ascii="Calibri" w:hAnsi="Calibri" w:cs="Calibri"/>
                <w:i/>
                <w:color w:val="000000"/>
                <w:sz w:val="20"/>
              </w:rPr>
              <w:t xml:space="preserve">Nová </w:t>
            </w:r>
            <w:r w:rsidR="00155ADE" w:rsidRPr="00A515A8">
              <w:rPr>
                <w:rFonts w:ascii="Calibri" w:hAnsi="Calibri" w:cs="Calibri"/>
                <w:i/>
                <w:color w:val="000000"/>
                <w:sz w:val="20"/>
              </w:rPr>
              <w:t>z</w:t>
            </w:r>
            <w:r w:rsidR="00270B60" w:rsidRPr="00A515A8">
              <w:rPr>
                <w:rFonts w:ascii="Calibri" w:hAnsi="Calibri" w:cs="Calibri"/>
                <w:i/>
                <w:color w:val="000000"/>
                <w:sz w:val="20"/>
              </w:rPr>
              <w:t>elená úsporám</w:t>
            </w:r>
            <w:r w:rsidR="00270B60" w:rsidRPr="00A515A8">
              <w:rPr>
                <w:rFonts w:ascii="Calibri" w:hAnsi="Calibri" w:cs="Calibri"/>
                <w:color w:val="000000"/>
                <w:sz w:val="20"/>
              </w:rPr>
              <w:t xml:space="preserve"> </w:t>
            </w:r>
            <w:r w:rsidRPr="00A515A8">
              <w:rPr>
                <w:rFonts w:ascii="Calibri" w:hAnsi="Calibri" w:cs="Calibri"/>
                <w:color w:val="000000"/>
                <w:sz w:val="20"/>
              </w:rPr>
              <w:t>(MŽP)</w:t>
            </w:r>
          </w:p>
        </w:tc>
        <w:tc>
          <w:tcPr>
            <w:tcW w:w="891" w:type="dxa"/>
            <w:shd w:val="clear" w:color="000000" w:fill="FFFFFF"/>
            <w:noWrap/>
            <w:vAlign w:val="center"/>
            <w:hideMark/>
          </w:tcPr>
          <w:p w14:paraId="044BD01F"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21,6</w:t>
            </w:r>
          </w:p>
        </w:tc>
        <w:tc>
          <w:tcPr>
            <w:tcW w:w="891" w:type="dxa"/>
            <w:shd w:val="clear" w:color="000000" w:fill="FFFFFF"/>
            <w:noWrap/>
            <w:vAlign w:val="center"/>
            <w:hideMark/>
          </w:tcPr>
          <w:p w14:paraId="6B7BEAAF" w14:textId="4151286E"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233</w:t>
            </w:r>
            <w:r w:rsidR="008A1EA1" w:rsidRPr="00A515A8">
              <w:rPr>
                <w:rFonts w:ascii="Calibri" w:hAnsi="Calibri" w:cs="Calibri"/>
                <w:color w:val="000000"/>
                <w:sz w:val="20"/>
              </w:rPr>
              <w:t>,0</w:t>
            </w:r>
          </w:p>
        </w:tc>
        <w:tc>
          <w:tcPr>
            <w:tcW w:w="891" w:type="dxa"/>
            <w:shd w:val="clear" w:color="000000" w:fill="FFFFFF"/>
            <w:noWrap/>
            <w:vAlign w:val="center"/>
            <w:hideMark/>
          </w:tcPr>
          <w:p w14:paraId="0BE728F9"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600,4</w:t>
            </w:r>
          </w:p>
        </w:tc>
        <w:tc>
          <w:tcPr>
            <w:tcW w:w="891" w:type="dxa"/>
            <w:shd w:val="clear" w:color="000000" w:fill="FFFFFF"/>
            <w:noWrap/>
            <w:vAlign w:val="center"/>
            <w:hideMark/>
          </w:tcPr>
          <w:p w14:paraId="3E1B936D"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870,9</w:t>
            </w:r>
          </w:p>
        </w:tc>
        <w:tc>
          <w:tcPr>
            <w:tcW w:w="891" w:type="dxa"/>
            <w:shd w:val="clear" w:color="000000" w:fill="FFFFFF"/>
            <w:noWrap/>
            <w:vAlign w:val="center"/>
            <w:hideMark/>
          </w:tcPr>
          <w:p w14:paraId="42F39490"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862,9</w:t>
            </w:r>
          </w:p>
        </w:tc>
        <w:tc>
          <w:tcPr>
            <w:tcW w:w="891" w:type="dxa"/>
            <w:shd w:val="clear" w:color="000000" w:fill="FFFFFF"/>
            <w:noWrap/>
            <w:vAlign w:val="center"/>
            <w:hideMark/>
          </w:tcPr>
          <w:p w14:paraId="15973B98"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905,8</w:t>
            </w:r>
          </w:p>
        </w:tc>
        <w:tc>
          <w:tcPr>
            <w:tcW w:w="891" w:type="dxa"/>
            <w:shd w:val="clear" w:color="000000" w:fill="FFFFFF"/>
            <w:vAlign w:val="center"/>
            <w:hideMark/>
          </w:tcPr>
          <w:p w14:paraId="65D6038B"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948,8</w:t>
            </w:r>
          </w:p>
        </w:tc>
      </w:tr>
      <w:tr w:rsidR="00AB10BE" w:rsidRPr="00AB10BE" w14:paraId="769B3C36" w14:textId="77777777" w:rsidTr="00567229">
        <w:trPr>
          <w:trHeight w:val="268"/>
        </w:trPr>
        <w:tc>
          <w:tcPr>
            <w:tcW w:w="2835" w:type="dxa"/>
            <w:shd w:val="clear" w:color="000000" w:fill="FFFFFF"/>
            <w:vAlign w:val="center"/>
            <w:hideMark/>
          </w:tcPr>
          <w:p w14:paraId="2B0427E9" w14:textId="77777777" w:rsidR="00AB10BE" w:rsidRPr="00A515A8" w:rsidRDefault="00AB10BE" w:rsidP="00AB10BE">
            <w:pPr>
              <w:jc w:val="left"/>
              <w:rPr>
                <w:rFonts w:ascii="Calibri" w:hAnsi="Calibri" w:cs="Calibri"/>
                <w:color w:val="000000"/>
                <w:sz w:val="20"/>
              </w:rPr>
            </w:pPr>
            <w:r w:rsidRPr="00A515A8">
              <w:rPr>
                <w:rFonts w:ascii="Calibri" w:hAnsi="Calibri" w:cs="Calibri"/>
                <w:i/>
                <w:color w:val="000000"/>
                <w:sz w:val="20"/>
              </w:rPr>
              <w:t>Integrovaný regionální operační program</w:t>
            </w:r>
            <w:r w:rsidRPr="00A515A8">
              <w:rPr>
                <w:rFonts w:ascii="Calibri" w:hAnsi="Calibri" w:cs="Calibri"/>
                <w:color w:val="000000"/>
                <w:sz w:val="20"/>
              </w:rPr>
              <w:t xml:space="preserve"> (MMR)</w:t>
            </w:r>
          </w:p>
        </w:tc>
        <w:tc>
          <w:tcPr>
            <w:tcW w:w="891" w:type="dxa"/>
            <w:shd w:val="clear" w:color="000000" w:fill="FFFFFF"/>
            <w:noWrap/>
            <w:vAlign w:val="center"/>
            <w:hideMark/>
          </w:tcPr>
          <w:p w14:paraId="597BF208" w14:textId="160D7663" w:rsidR="00AB10BE" w:rsidRPr="00A515A8" w:rsidRDefault="00155ADE" w:rsidP="00AB10BE">
            <w:pPr>
              <w:jc w:val="right"/>
              <w:rPr>
                <w:rFonts w:ascii="Calibri" w:hAnsi="Calibri" w:cs="Calibri"/>
                <w:color w:val="000000"/>
                <w:sz w:val="20"/>
              </w:rPr>
            </w:pPr>
            <w:r w:rsidRPr="00A515A8">
              <w:rPr>
                <w:sz w:val="20"/>
              </w:rPr>
              <w:t>–</w:t>
            </w:r>
          </w:p>
        </w:tc>
        <w:tc>
          <w:tcPr>
            <w:tcW w:w="891" w:type="dxa"/>
            <w:shd w:val="clear" w:color="000000" w:fill="FFFFFF"/>
            <w:noWrap/>
            <w:vAlign w:val="center"/>
            <w:hideMark/>
          </w:tcPr>
          <w:p w14:paraId="0300F553" w14:textId="1D836BCA" w:rsidR="00AB10BE" w:rsidRPr="00A515A8" w:rsidRDefault="00155ADE" w:rsidP="00AB10BE">
            <w:pPr>
              <w:jc w:val="right"/>
              <w:rPr>
                <w:rFonts w:ascii="Calibri" w:hAnsi="Calibri" w:cs="Calibri"/>
                <w:color w:val="000000"/>
                <w:sz w:val="20"/>
              </w:rPr>
            </w:pPr>
            <w:r w:rsidRPr="00A515A8">
              <w:rPr>
                <w:sz w:val="20"/>
              </w:rPr>
              <w:t>–</w:t>
            </w:r>
          </w:p>
        </w:tc>
        <w:tc>
          <w:tcPr>
            <w:tcW w:w="891" w:type="dxa"/>
            <w:shd w:val="clear" w:color="000000" w:fill="FFFFFF"/>
            <w:noWrap/>
            <w:vAlign w:val="center"/>
            <w:hideMark/>
          </w:tcPr>
          <w:p w14:paraId="56D03184"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17,2</w:t>
            </w:r>
          </w:p>
        </w:tc>
        <w:tc>
          <w:tcPr>
            <w:tcW w:w="891" w:type="dxa"/>
            <w:shd w:val="clear" w:color="000000" w:fill="FFFFFF"/>
            <w:noWrap/>
            <w:vAlign w:val="center"/>
            <w:hideMark/>
          </w:tcPr>
          <w:p w14:paraId="0C086FEC"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195,7</w:t>
            </w:r>
          </w:p>
        </w:tc>
        <w:tc>
          <w:tcPr>
            <w:tcW w:w="891" w:type="dxa"/>
            <w:shd w:val="clear" w:color="000000" w:fill="FFFFFF"/>
            <w:noWrap/>
            <w:vAlign w:val="center"/>
            <w:hideMark/>
          </w:tcPr>
          <w:p w14:paraId="3ABA687B"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331,4</w:t>
            </w:r>
          </w:p>
        </w:tc>
        <w:tc>
          <w:tcPr>
            <w:tcW w:w="891" w:type="dxa"/>
            <w:shd w:val="clear" w:color="000000" w:fill="FFFFFF"/>
            <w:noWrap/>
            <w:vAlign w:val="center"/>
            <w:hideMark/>
          </w:tcPr>
          <w:p w14:paraId="1C4715EC" w14:textId="77777777"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394,1</w:t>
            </w:r>
          </w:p>
        </w:tc>
        <w:tc>
          <w:tcPr>
            <w:tcW w:w="891" w:type="dxa"/>
            <w:shd w:val="clear" w:color="000000" w:fill="FFFFFF"/>
            <w:vAlign w:val="center"/>
            <w:hideMark/>
          </w:tcPr>
          <w:p w14:paraId="6E20AD0A" w14:textId="727180E0" w:rsidR="00AB10BE" w:rsidRPr="00A515A8" w:rsidRDefault="00AB10BE" w:rsidP="00AB10BE">
            <w:pPr>
              <w:jc w:val="right"/>
              <w:rPr>
                <w:rFonts w:ascii="Calibri" w:hAnsi="Calibri" w:cs="Calibri"/>
                <w:color w:val="000000"/>
                <w:sz w:val="20"/>
              </w:rPr>
            </w:pPr>
            <w:r w:rsidRPr="00A515A8">
              <w:rPr>
                <w:rFonts w:ascii="Calibri" w:hAnsi="Calibri" w:cs="Calibri"/>
                <w:color w:val="000000"/>
                <w:sz w:val="20"/>
              </w:rPr>
              <w:t>279</w:t>
            </w:r>
            <w:r w:rsidR="008A1EA1" w:rsidRPr="00A515A8">
              <w:rPr>
                <w:rFonts w:ascii="Calibri" w:hAnsi="Calibri" w:cs="Calibri"/>
                <w:color w:val="000000"/>
                <w:sz w:val="20"/>
              </w:rPr>
              <w:t>,0</w:t>
            </w:r>
          </w:p>
        </w:tc>
      </w:tr>
    </w:tbl>
    <w:p w14:paraId="1C0EC285" w14:textId="6F52896F" w:rsidR="00F65B34" w:rsidRPr="00A515A8" w:rsidRDefault="00F65B34" w:rsidP="00FA3B89">
      <w:pPr>
        <w:spacing w:after="120"/>
        <w:rPr>
          <w:sz w:val="20"/>
        </w:rPr>
      </w:pPr>
      <w:r w:rsidRPr="009858FE">
        <w:rPr>
          <w:b/>
          <w:i/>
          <w:sz w:val="20"/>
        </w:rPr>
        <w:t>Zdroj:</w:t>
      </w:r>
      <w:r>
        <w:rPr>
          <w:i/>
          <w:sz w:val="20"/>
        </w:rPr>
        <w:t xml:space="preserve"> </w:t>
      </w:r>
      <w:r w:rsidR="000E6F49">
        <w:rPr>
          <w:i/>
          <w:sz w:val="20"/>
        </w:rPr>
        <w:t xml:space="preserve">MPO </w:t>
      </w:r>
      <w:r w:rsidR="008B50D4">
        <w:rPr>
          <w:i/>
          <w:sz w:val="20"/>
        </w:rPr>
        <w:t>–</w:t>
      </w:r>
      <w:r w:rsidR="000E6F49">
        <w:rPr>
          <w:i/>
          <w:sz w:val="20"/>
        </w:rPr>
        <w:t xml:space="preserve"> </w:t>
      </w:r>
      <w:r>
        <w:rPr>
          <w:i/>
          <w:sz w:val="20"/>
        </w:rPr>
        <w:t xml:space="preserve">9. </w:t>
      </w:r>
      <w:r w:rsidR="00155ADE">
        <w:rPr>
          <w:i/>
          <w:sz w:val="20"/>
        </w:rPr>
        <w:t>z</w:t>
      </w:r>
      <w:r>
        <w:rPr>
          <w:i/>
          <w:sz w:val="20"/>
        </w:rPr>
        <w:t>práva o pokroku v</w:t>
      </w:r>
      <w:r w:rsidR="000E6F49">
        <w:rPr>
          <w:i/>
          <w:sz w:val="20"/>
        </w:rPr>
        <w:t xml:space="preserve"> oblasti plnění </w:t>
      </w:r>
      <w:r>
        <w:rPr>
          <w:i/>
          <w:sz w:val="20"/>
        </w:rPr>
        <w:t>vnitrostátní</w:t>
      </w:r>
      <w:r w:rsidR="000E6F49">
        <w:rPr>
          <w:i/>
          <w:sz w:val="20"/>
        </w:rPr>
        <w:t>ch cílů energetické účinnosti v České republice</w:t>
      </w:r>
      <w:r w:rsidR="0032607B">
        <w:rPr>
          <w:i/>
          <w:sz w:val="20"/>
        </w:rPr>
        <w:t>.</w:t>
      </w:r>
      <w:r w:rsidR="000E6F49">
        <w:rPr>
          <w:i/>
          <w:sz w:val="20"/>
        </w:rPr>
        <w:t xml:space="preserve"> </w:t>
      </w:r>
    </w:p>
    <w:p w14:paraId="3ED8698D" w14:textId="67622678" w:rsidR="00CA5C34" w:rsidRPr="00EC0EAD" w:rsidRDefault="00AE0790" w:rsidP="00035504">
      <w:pPr>
        <w:spacing w:after="120"/>
        <w:rPr>
          <w:rFonts w:ascii="Calibri" w:hAnsi="Calibri"/>
          <w:b/>
        </w:rPr>
      </w:pPr>
      <w:r w:rsidRPr="00F44640">
        <w:rPr>
          <w:rFonts w:ascii="Calibri" w:hAnsi="Calibri"/>
        </w:rPr>
        <w:lastRenderedPageBreak/>
        <w:t xml:space="preserve">Naplněný </w:t>
      </w:r>
      <w:r w:rsidR="007B2300">
        <w:rPr>
          <w:rFonts w:ascii="Calibri" w:hAnsi="Calibri"/>
        </w:rPr>
        <w:t xml:space="preserve">cíl </w:t>
      </w:r>
      <w:r w:rsidRPr="00F44640">
        <w:rPr>
          <w:rFonts w:ascii="Calibri" w:hAnsi="Calibri"/>
        </w:rPr>
        <w:t>k 31. 12. 2020</w:t>
      </w:r>
      <w:r w:rsidR="00984EF0">
        <w:rPr>
          <w:rFonts w:ascii="Calibri" w:hAnsi="Calibri"/>
        </w:rPr>
        <w:t xml:space="preserve"> ve smyslu generovaných nových ročních úspor </w:t>
      </w:r>
      <w:r w:rsidR="006C5B47">
        <w:rPr>
          <w:rFonts w:ascii="Calibri" w:hAnsi="Calibri"/>
        </w:rPr>
        <w:t>u IROP</w:t>
      </w:r>
      <w:r w:rsidRPr="00F44640">
        <w:rPr>
          <w:rFonts w:ascii="Calibri" w:hAnsi="Calibri"/>
        </w:rPr>
        <w:t xml:space="preserve"> </w:t>
      </w:r>
      <w:r w:rsidR="00984EF0">
        <w:rPr>
          <w:rFonts w:ascii="Calibri" w:hAnsi="Calibri"/>
        </w:rPr>
        <w:t xml:space="preserve">činí </w:t>
      </w:r>
      <w:r w:rsidR="00A952EB" w:rsidRPr="00F44640">
        <w:rPr>
          <w:rFonts w:ascii="Calibri" w:hAnsi="Calibri"/>
        </w:rPr>
        <w:t>1 217,4</w:t>
      </w:r>
      <w:r w:rsidR="00AB10BE">
        <w:rPr>
          <w:rFonts w:ascii="Calibri" w:hAnsi="Calibri"/>
        </w:rPr>
        <w:t> </w:t>
      </w:r>
      <w:r w:rsidR="00A952EB" w:rsidRPr="00F44640">
        <w:rPr>
          <w:rFonts w:ascii="Calibri" w:hAnsi="Calibri"/>
        </w:rPr>
        <w:t>TJ</w:t>
      </w:r>
      <w:r w:rsidR="0034545B">
        <w:rPr>
          <w:rFonts w:ascii="Calibri" w:hAnsi="Calibri"/>
        </w:rPr>
        <w:t xml:space="preserve">, </w:t>
      </w:r>
      <w:r w:rsidR="00A952EB" w:rsidRPr="00F44640">
        <w:rPr>
          <w:rFonts w:ascii="Calibri" w:hAnsi="Calibri"/>
        </w:rPr>
        <w:t>u programu</w:t>
      </w:r>
      <w:r w:rsidR="00A952EB">
        <w:rPr>
          <w:rFonts w:ascii="Calibri" w:hAnsi="Calibri"/>
        </w:rPr>
        <w:t xml:space="preserve"> NZÚ</w:t>
      </w:r>
      <w:r w:rsidR="000C1589">
        <w:rPr>
          <w:rStyle w:val="Znakapoznpodarou"/>
          <w:rFonts w:ascii="Calibri" w:hAnsi="Calibri"/>
        </w:rPr>
        <w:footnoteReference w:id="55"/>
      </w:r>
      <w:r w:rsidR="00A952EB">
        <w:rPr>
          <w:rFonts w:ascii="Calibri" w:hAnsi="Calibri"/>
        </w:rPr>
        <w:t xml:space="preserve"> </w:t>
      </w:r>
      <w:r w:rsidR="004B62FC">
        <w:rPr>
          <w:rFonts w:ascii="Calibri" w:hAnsi="Calibri"/>
        </w:rPr>
        <w:t>dosáhl</w:t>
      </w:r>
      <w:r w:rsidR="000C1589">
        <w:rPr>
          <w:rFonts w:ascii="Calibri" w:hAnsi="Calibri"/>
        </w:rPr>
        <w:t>y</w:t>
      </w:r>
      <w:r w:rsidR="004B62FC">
        <w:rPr>
          <w:rFonts w:ascii="Calibri" w:hAnsi="Calibri"/>
        </w:rPr>
        <w:t xml:space="preserve"> </w:t>
      </w:r>
      <w:r w:rsidR="000C1589">
        <w:rPr>
          <w:rFonts w:ascii="Calibri" w:hAnsi="Calibri"/>
        </w:rPr>
        <w:t>generované nové roční úspory</w:t>
      </w:r>
      <w:r w:rsidR="004B62FC">
        <w:rPr>
          <w:rFonts w:ascii="Calibri" w:hAnsi="Calibri"/>
        </w:rPr>
        <w:t xml:space="preserve"> </w:t>
      </w:r>
      <w:r w:rsidR="00A952EB">
        <w:rPr>
          <w:rFonts w:ascii="Calibri" w:hAnsi="Calibri"/>
        </w:rPr>
        <w:t>4 443,4 TJ</w:t>
      </w:r>
      <w:r w:rsidR="0034545B">
        <w:rPr>
          <w:rFonts w:ascii="Calibri" w:hAnsi="Calibri"/>
        </w:rPr>
        <w:t xml:space="preserve">. </w:t>
      </w:r>
      <w:r w:rsidR="00035504" w:rsidRPr="00EC0EAD">
        <w:rPr>
          <w:rFonts w:ascii="Calibri" w:hAnsi="Calibri"/>
          <w:b/>
        </w:rPr>
        <w:t xml:space="preserve">Predikované úspory energie ve vztahu k vnitrostátnímu cíli České republiky dle směrnice </w:t>
      </w:r>
      <w:r w:rsidR="002A2260" w:rsidRPr="00EC0EAD">
        <w:rPr>
          <w:rFonts w:ascii="Calibri" w:hAnsi="Calibri"/>
          <w:b/>
        </w:rPr>
        <w:t>EED</w:t>
      </w:r>
      <w:r w:rsidR="00155ADE">
        <w:rPr>
          <w:rFonts w:ascii="Calibri" w:hAnsi="Calibri"/>
          <w:b/>
        </w:rPr>
        <w:t>, resp.</w:t>
      </w:r>
      <w:r w:rsidR="002A2260" w:rsidRPr="00EC0EAD">
        <w:rPr>
          <w:rFonts w:ascii="Calibri" w:hAnsi="Calibri"/>
          <w:b/>
        </w:rPr>
        <w:t xml:space="preserve"> dle</w:t>
      </w:r>
      <w:r w:rsidR="00035504" w:rsidRPr="00EC0EAD">
        <w:rPr>
          <w:rFonts w:ascii="Calibri" w:hAnsi="Calibri"/>
          <w:b/>
        </w:rPr>
        <w:t xml:space="preserve"> strategie </w:t>
      </w:r>
      <w:r w:rsidR="00035504" w:rsidRPr="00A515A8">
        <w:rPr>
          <w:rFonts w:ascii="Calibri" w:hAnsi="Calibri"/>
          <w:b/>
          <w:i/>
        </w:rPr>
        <w:t>Evropa 2020</w:t>
      </w:r>
      <w:r w:rsidR="00035504" w:rsidRPr="00EC0EAD">
        <w:rPr>
          <w:rFonts w:ascii="Calibri" w:hAnsi="Calibri"/>
          <w:b/>
        </w:rPr>
        <w:t xml:space="preserve"> neb</w:t>
      </w:r>
      <w:r w:rsidR="006A4C25" w:rsidRPr="00EC0EAD">
        <w:rPr>
          <w:rFonts w:ascii="Calibri" w:hAnsi="Calibri"/>
          <w:b/>
        </w:rPr>
        <w:t xml:space="preserve">yly k datu 31. 12. 2020 </w:t>
      </w:r>
      <w:r w:rsidR="001E1F6A">
        <w:rPr>
          <w:rFonts w:ascii="Calibri" w:hAnsi="Calibri"/>
          <w:b/>
        </w:rPr>
        <w:t>naplněny ani v IROP, ani v </w:t>
      </w:r>
      <w:r w:rsidR="00035504" w:rsidRPr="00EC0EAD">
        <w:rPr>
          <w:rFonts w:ascii="Calibri" w:hAnsi="Calibri"/>
          <w:b/>
        </w:rPr>
        <w:t xml:space="preserve">programu NZÚ. </w:t>
      </w:r>
    </w:p>
    <w:p w14:paraId="10DC89D3" w14:textId="77777777" w:rsidR="00270B60" w:rsidRDefault="00035504" w:rsidP="00035504">
      <w:pPr>
        <w:spacing w:after="120"/>
        <w:rPr>
          <w:rFonts w:ascii="Calibri" w:hAnsi="Calibri"/>
        </w:rPr>
      </w:pPr>
      <w:r w:rsidRPr="006F2FBF">
        <w:rPr>
          <w:rFonts w:ascii="Calibri" w:hAnsi="Calibri"/>
        </w:rPr>
        <w:t>Generovanými úsporami u bytových domů v</w:t>
      </w:r>
      <w:r w:rsidR="007B2300">
        <w:rPr>
          <w:rFonts w:ascii="Calibri" w:hAnsi="Calibri"/>
        </w:rPr>
        <w:t>e</w:t>
      </w:r>
      <w:r w:rsidRPr="006F2FBF">
        <w:rPr>
          <w:rFonts w:ascii="Calibri" w:hAnsi="Calibri"/>
        </w:rPr>
        <w:t xml:space="preserve"> </w:t>
      </w:r>
      <w:r w:rsidR="007B2300">
        <w:rPr>
          <w:rFonts w:ascii="Calibri" w:hAnsi="Calibri"/>
        </w:rPr>
        <w:t xml:space="preserve">všech </w:t>
      </w:r>
      <w:r w:rsidRPr="006F2FBF">
        <w:rPr>
          <w:rFonts w:ascii="Calibri" w:hAnsi="Calibri"/>
        </w:rPr>
        <w:t>podpořených pro</w:t>
      </w:r>
      <w:r w:rsidR="001E1F6A">
        <w:rPr>
          <w:rFonts w:ascii="Calibri" w:hAnsi="Calibri"/>
        </w:rPr>
        <w:t>jektech naplnil IROP k</w:t>
      </w:r>
      <w:r w:rsidR="00AB10BE">
        <w:rPr>
          <w:rFonts w:ascii="Calibri" w:hAnsi="Calibri"/>
        </w:rPr>
        <w:t> </w:t>
      </w:r>
      <w:r w:rsidR="001E1F6A">
        <w:rPr>
          <w:rFonts w:ascii="Calibri" w:hAnsi="Calibri"/>
        </w:rPr>
        <w:t>datu 31. </w:t>
      </w:r>
      <w:r w:rsidRPr="006F2FBF">
        <w:rPr>
          <w:rFonts w:ascii="Calibri" w:hAnsi="Calibri"/>
        </w:rPr>
        <w:t xml:space="preserve">12. 2020 hodnotu </w:t>
      </w:r>
      <w:r w:rsidRPr="001F54D2">
        <w:rPr>
          <w:rFonts w:ascii="Calibri" w:hAnsi="Calibri"/>
        </w:rPr>
        <w:t>1,</w:t>
      </w:r>
      <w:r w:rsidR="005C5CF2" w:rsidRPr="001F54D2">
        <w:rPr>
          <w:rFonts w:ascii="Calibri" w:hAnsi="Calibri"/>
        </w:rPr>
        <w:t>3</w:t>
      </w:r>
      <w:r w:rsidRPr="001F54D2">
        <w:rPr>
          <w:rFonts w:ascii="Calibri" w:hAnsi="Calibri"/>
        </w:rPr>
        <w:t xml:space="preserve"> PJ,</w:t>
      </w:r>
      <w:r w:rsidRPr="006F2FBF">
        <w:rPr>
          <w:rFonts w:ascii="Calibri" w:hAnsi="Calibri"/>
        </w:rPr>
        <w:t xml:space="preserve"> tj. </w:t>
      </w:r>
      <w:r w:rsidR="002E7847">
        <w:rPr>
          <w:rFonts w:ascii="Calibri" w:hAnsi="Calibri"/>
        </w:rPr>
        <w:t>41,0</w:t>
      </w:r>
      <w:r w:rsidRPr="006F2FBF">
        <w:rPr>
          <w:rFonts w:ascii="Calibri" w:hAnsi="Calibri"/>
        </w:rPr>
        <w:t xml:space="preserve"> % z původního plánu úspor</w:t>
      </w:r>
      <w:r w:rsidR="00270B60">
        <w:rPr>
          <w:rFonts w:ascii="Calibri" w:hAnsi="Calibri"/>
        </w:rPr>
        <w:t>.</w:t>
      </w:r>
    </w:p>
    <w:p w14:paraId="4FF3E809" w14:textId="575C173A" w:rsidR="006F2FBF" w:rsidRDefault="00270B60" w:rsidP="005A1E75">
      <w:pPr>
        <w:spacing w:after="120"/>
        <w:ind w:left="993" w:hanging="993"/>
        <w:rPr>
          <w:rFonts w:ascii="Calibri" w:hAnsi="Calibri"/>
        </w:rPr>
      </w:pPr>
      <w:r>
        <w:rPr>
          <w:rFonts w:ascii="Calibri" w:hAnsi="Calibri"/>
        </w:rPr>
        <w:t>Graf č. 1:</w:t>
      </w:r>
      <w:r>
        <w:rPr>
          <w:rFonts w:ascii="Calibri" w:hAnsi="Calibri"/>
        </w:rPr>
        <w:tab/>
      </w:r>
      <w:r w:rsidR="00C76CF9">
        <w:rPr>
          <w:rFonts w:ascii="Calibri" w:hAnsi="Calibri"/>
        </w:rPr>
        <w:t>Míra naplnění závazku IROP</w:t>
      </w:r>
    </w:p>
    <w:p w14:paraId="02F3EADC" w14:textId="28424100" w:rsidR="00FA168C" w:rsidRDefault="00FA168C" w:rsidP="00FA168C">
      <w:pPr>
        <w:spacing w:after="120"/>
        <w:ind w:left="993" w:hanging="993"/>
        <w:jc w:val="center"/>
        <w:rPr>
          <w:rFonts w:ascii="Calibri" w:hAnsi="Calibri"/>
        </w:rPr>
      </w:pPr>
      <w:r>
        <w:rPr>
          <w:noProof/>
        </w:rPr>
        <w:drawing>
          <wp:inline distT="0" distB="0" distL="0" distR="0" wp14:anchorId="10C46D7A" wp14:editId="113218F4">
            <wp:extent cx="4580466" cy="3338836"/>
            <wp:effectExtent l="0" t="0" r="0" b="0"/>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8">
                      <a:extLst>
                        <a:ext uri="{28A0092B-C50C-407E-A947-70E740481C1C}">
                          <a14:useLocalDpi xmlns:a14="http://schemas.microsoft.com/office/drawing/2010/main" val="0"/>
                        </a:ext>
                      </a:extLst>
                    </a:blip>
                    <a:srcRect l="13353" t="4482" r="15620"/>
                    <a:stretch/>
                  </pic:blipFill>
                  <pic:spPr bwMode="auto">
                    <a:xfrm>
                      <a:off x="0" y="0"/>
                      <a:ext cx="4590824" cy="3346387"/>
                    </a:xfrm>
                    <a:prstGeom prst="rect">
                      <a:avLst/>
                    </a:prstGeom>
                    <a:noFill/>
                    <a:ln>
                      <a:noFill/>
                    </a:ln>
                    <a:extLst>
                      <a:ext uri="{53640926-AAD7-44D8-BBD7-CCE9431645EC}">
                        <a14:shadowObscured xmlns:a14="http://schemas.microsoft.com/office/drawing/2010/main"/>
                      </a:ext>
                    </a:extLst>
                  </pic:spPr>
                </pic:pic>
              </a:graphicData>
            </a:graphic>
          </wp:inline>
        </w:drawing>
      </w:r>
    </w:p>
    <w:p w14:paraId="12AA206F" w14:textId="5989A547" w:rsidR="00C169F7" w:rsidRPr="00E348BB" w:rsidRDefault="00C169F7" w:rsidP="00C169F7">
      <w:pPr>
        <w:spacing w:after="120"/>
        <w:rPr>
          <w:i/>
          <w:sz w:val="20"/>
        </w:rPr>
      </w:pPr>
      <w:r w:rsidRPr="00DF7287">
        <w:rPr>
          <w:rFonts w:ascii="Calibri" w:hAnsi="Calibri"/>
          <w:b/>
          <w:i/>
          <w:sz w:val="20"/>
        </w:rPr>
        <w:t>Zdroj:</w:t>
      </w:r>
      <w:r w:rsidRPr="00E348BB">
        <w:rPr>
          <w:rFonts w:ascii="Calibri" w:hAnsi="Calibri"/>
          <w:i/>
          <w:sz w:val="20"/>
        </w:rPr>
        <w:t xml:space="preserve"> </w:t>
      </w:r>
      <w:r w:rsidRPr="00E348BB">
        <w:rPr>
          <w:i/>
          <w:sz w:val="20"/>
        </w:rPr>
        <w:t>MPO</w:t>
      </w:r>
      <w:r w:rsidR="005A1E75">
        <w:rPr>
          <w:i/>
          <w:sz w:val="20"/>
        </w:rPr>
        <w:t xml:space="preserve"> </w:t>
      </w:r>
      <w:r w:rsidR="005A1E75" w:rsidRPr="005A1E75">
        <w:t>–</w:t>
      </w:r>
      <w:r w:rsidR="005A1E75" w:rsidRPr="00A515A8">
        <w:rPr>
          <w:sz w:val="20"/>
        </w:rPr>
        <w:t xml:space="preserve"> </w:t>
      </w:r>
      <w:r w:rsidRPr="00E348BB">
        <w:rPr>
          <w:i/>
          <w:sz w:val="20"/>
        </w:rPr>
        <w:t xml:space="preserve">9. </w:t>
      </w:r>
      <w:r w:rsidR="005A1E75">
        <w:rPr>
          <w:i/>
          <w:sz w:val="20"/>
        </w:rPr>
        <w:t>z</w:t>
      </w:r>
      <w:r w:rsidRPr="00E348BB">
        <w:rPr>
          <w:i/>
          <w:sz w:val="20"/>
        </w:rPr>
        <w:t>práva o pokroku v oblasti plnění vnitrostátních cílů energetické účinnosti v České republice</w:t>
      </w:r>
      <w:r w:rsidR="00DF7287">
        <w:rPr>
          <w:i/>
          <w:sz w:val="20"/>
        </w:rPr>
        <w:t>.</w:t>
      </w:r>
      <w:r w:rsidRPr="00E348BB">
        <w:rPr>
          <w:i/>
          <w:sz w:val="20"/>
        </w:rPr>
        <w:t xml:space="preserve"> </w:t>
      </w:r>
    </w:p>
    <w:p w14:paraId="536B8C0C" w14:textId="64E41809" w:rsidR="00A513A9" w:rsidRDefault="006F2FBF" w:rsidP="006317B2">
      <w:pPr>
        <w:spacing w:after="120"/>
        <w:rPr>
          <w:rFonts w:ascii="Calibri" w:hAnsi="Calibri"/>
        </w:rPr>
      </w:pPr>
      <w:r w:rsidRPr="006F2FBF">
        <w:rPr>
          <w:rFonts w:ascii="Calibri" w:hAnsi="Calibri"/>
        </w:rPr>
        <w:t>P</w:t>
      </w:r>
      <w:r w:rsidR="00035504" w:rsidRPr="006F2FBF">
        <w:rPr>
          <w:rFonts w:ascii="Calibri" w:hAnsi="Calibri"/>
        </w:rPr>
        <w:t xml:space="preserve">rogram NZÚ naplnil </w:t>
      </w:r>
      <w:r w:rsidR="00A309AB">
        <w:rPr>
          <w:rFonts w:ascii="Calibri" w:hAnsi="Calibri"/>
        </w:rPr>
        <w:t>celkový závazek 8,1 PJ generovanými úsporami na 54 %</w:t>
      </w:r>
      <w:r w:rsidR="00827872">
        <w:rPr>
          <w:rFonts w:ascii="Calibri" w:hAnsi="Calibri"/>
        </w:rPr>
        <w:t xml:space="preserve">, tj. 4,4 PJ, </w:t>
      </w:r>
      <w:r w:rsidR="0052477A">
        <w:rPr>
          <w:rFonts w:ascii="Calibri" w:hAnsi="Calibri"/>
        </w:rPr>
        <w:br/>
      </w:r>
      <w:r w:rsidR="00FF40AF">
        <w:rPr>
          <w:rFonts w:ascii="Calibri" w:hAnsi="Calibri"/>
        </w:rPr>
        <w:t>za</w:t>
      </w:r>
      <w:r w:rsidR="0052477A">
        <w:rPr>
          <w:rFonts w:ascii="Calibri" w:hAnsi="Calibri"/>
        </w:rPr>
        <w:t xml:space="preserve"> </w:t>
      </w:r>
      <w:r w:rsidR="00827872">
        <w:rPr>
          <w:rFonts w:ascii="Calibri" w:hAnsi="Calibri"/>
        </w:rPr>
        <w:t xml:space="preserve">všechny podprogramy, které generují úspory </w:t>
      </w:r>
      <w:r w:rsidR="00270B60">
        <w:rPr>
          <w:rFonts w:ascii="Calibri" w:hAnsi="Calibri"/>
        </w:rPr>
        <w:t>(</w:t>
      </w:r>
      <w:r w:rsidR="00827872">
        <w:rPr>
          <w:rFonts w:ascii="Calibri" w:hAnsi="Calibri"/>
          <w:i/>
        </w:rPr>
        <w:t>Bytové domy</w:t>
      </w:r>
      <w:r w:rsidR="00827872" w:rsidRPr="00A515A8">
        <w:rPr>
          <w:rFonts w:ascii="Calibri" w:hAnsi="Calibri"/>
        </w:rPr>
        <w:t>,</w:t>
      </w:r>
      <w:r w:rsidR="00827872">
        <w:rPr>
          <w:rFonts w:ascii="Calibri" w:hAnsi="Calibri"/>
          <w:i/>
        </w:rPr>
        <w:t xml:space="preserve"> Rodinné domy </w:t>
      </w:r>
      <w:r w:rsidR="00827872">
        <w:rPr>
          <w:rFonts w:ascii="Calibri" w:hAnsi="Calibri"/>
        </w:rPr>
        <w:t xml:space="preserve">a </w:t>
      </w:r>
      <w:r w:rsidR="00827872">
        <w:rPr>
          <w:rFonts w:ascii="Calibri" w:hAnsi="Calibri"/>
          <w:i/>
        </w:rPr>
        <w:t>Budovy veřejného sektoru</w:t>
      </w:r>
      <w:r w:rsidR="00270B60">
        <w:rPr>
          <w:rFonts w:ascii="Calibri" w:hAnsi="Calibri"/>
        </w:rPr>
        <w:t>)</w:t>
      </w:r>
      <w:r w:rsidR="00827872">
        <w:rPr>
          <w:rFonts w:ascii="Calibri" w:hAnsi="Calibri"/>
          <w:i/>
        </w:rPr>
        <w:t>.</w:t>
      </w:r>
      <w:r w:rsidR="00A309AB">
        <w:rPr>
          <w:rFonts w:ascii="Calibri" w:hAnsi="Calibri"/>
        </w:rPr>
        <w:t xml:space="preserve"> Úspor</w:t>
      </w:r>
      <w:r w:rsidR="00827872">
        <w:rPr>
          <w:rFonts w:ascii="Calibri" w:hAnsi="Calibri"/>
        </w:rPr>
        <w:t xml:space="preserve">y </w:t>
      </w:r>
      <w:r w:rsidR="00A309AB">
        <w:rPr>
          <w:rFonts w:ascii="Calibri" w:hAnsi="Calibri"/>
        </w:rPr>
        <w:t>v </w:t>
      </w:r>
      <w:r w:rsidR="00035504" w:rsidRPr="006F2FBF">
        <w:rPr>
          <w:rFonts w:ascii="Calibri" w:hAnsi="Calibri"/>
        </w:rPr>
        <w:t>podprogram</w:t>
      </w:r>
      <w:r w:rsidR="00A309AB">
        <w:rPr>
          <w:rFonts w:ascii="Calibri" w:hAnsi="Calibri"/>
        </w:rPr>
        <w:t xml:space="preserve">u </w:t>
      </w:r>
      <w:r w:rsidR="00035504" w:rsidRPr="006F2FBF">
        <w:rPr>
          <w:rFonts w:ascii="Calibri" w:hAnsi="Calibri"/>
          <w:i/>
        </w:rPr>
        <w:t>Bytové domy</w:t>
      </w:r>
      <w:r w:rsidR="00035504" w:rsidRPr="006F2FBF">
        <w:rPr>
          <w:rFonts w:ascii="Calibri" w:hAnsi="Calibri"/>
        </w:rPr>
        <w:t xml:space="preserve"> </w:t>
      </w:r>
      <w:r w:rsidR="005A1E75">
        <w:rPr>
          <w:rFonts w:ascii="Calibri" w:hAnsi="Calibri"/>
        </w:rPr>
        <w:t xml:space="preserve">k datu 31. 12. 2020 dosáhly celkově za všechny </w:t>
      </w:r>
      <w:r w:rsidR="007B2300">
        <w:rPr>
          <w:rFonts w:ascii="Calibri" w:hAnsi="Calibri"/>
        </w:rPr>
        <w:t>podpořen</w:t>
      </w:r>
      <w:r w:rsidR="005A1E75">
        <w:rPr>
          <w:rFonts w:ascii="Calibri" w:hAnsi="Calibri"/>
        </w:rPr>
        <w:t>é</w:t>
      </w:r>
      <w:r w:rsidR="007B2300">
        <w:rPr>
          <w:rFonts w:ascii="Calibri" w:hAnsi="Calibri"/>
        </w:rPr>
        <w:t xml:space="preserve"> projekt</w:t>
      </w:r>
      <w:r w:rsidR="005A1E75">
        <w:rPr>
          <w:rFonts w:ascii="Calibri" w:hAnsi="Calibri"/>
        </w:rPr>
        <w:t>y</w:t>
      </w:r>
      <w:r w:rsidR="007B2300">
        <w:rPr>
          <w:rFonts w:ascii="Calibri" w:hAnsi="Calibri"/>
        </w:rPr>
        <w:t xml:space="preserve"> </w:t>
      </w:r>
      <w:r w:rsidR="00A309AB">
        <w:rPr>
          <w:rFonts w:ascii="Calibri" w:hAnsi="Calibri"/>
        </w:rPr>
        <w:t>hodnoty</w:t>
      </w:r>
      <w:r w:rsidR="00035504" w:rsidRPr="006F2FBF">
        <w:rPr>
          <w:rFonts w:ascii="Calibri" w:hAnsi="Calibri"/>
        </w:rPr>
        <w:t xml:space="preserve"> 0,4 PJ</w:t>
      </w:r>
      <w:r w:rsidR="002E7847">
        <w:rPr>
          <w:rFonts w:ascii="Calibri" w:hAnsi="Calibri"/>
        </w:rPr>
        <w:t xml:space="preserve"> ze</w:t>
      </w:r>
      <w:r w:rsidR="005A1E75">
        <w:rPr>
          <w:rFonts w:ascii="Calibri" w:hAnsi="Calibri"/>
        </w:rPr>
        <w:t xml:space="preserve"> </w:t>
      </w:r>
      <w:r w:rsidR="002E7847">
        <w:rPr>
          <w:rFonts w:ascii="Calibri" w:hAnsi="Calibri"/>
        </w:rPr>
        <w:t>zamýšlených 2,8 PJ</w:t>
      </w:r>
      <w:r w:rsidR="00827872">
        <w:rPr>
          <w:rFonts w:ascii="Calibri" w:hAnsi="Calibri"/>
        </w:rPr>
        <w:t xml:space="preserve">, </w:t>
      </w:r>
      <w:r w:rsidR="00035504" w:rsidRPr="006F2FBF">
        <w:rPr>
          <w:rFonts w:ascii="Calibri" w:hAnsi="Calibri"/>
        </w:rPr>
        <w:t>což činí pouhých 13,</w:t>
      </w:r>
      <w:r w:rsidR="005C5CF2">
        <w:rPr>
          <w:rFonts w:ascii="Calibri" w:hAnsi="Calibri"/>
        </w:rPr>
        <w:t>5</w:t>
      </w:r>
      <w:r w:rsidR="00FF40AF">
        <w:rPr>
          <w:rFonts w:ascii="Calibri" w:hAnsi="Calibri"/>
        </w:rPr>
        <w:t> </w:t>
      </w:r>
      <w:r w:rsidR="00035504" w:rsidRPr="006F2FBF">
        <w:rPr>
          <w:rFonts w:ascii="Calibri" w:hAnsi="Calibri"/>
        </w:rPr>
        <w:t>% z</w:t>
      </w:r>
      <w:r w:rsidR="005A1E75">
        <w:rPr>
          <w:rFonts w:ascii="Calibri" w:hAnsi="Calibri"/>
        </w:rPr>
        <w:t> </w:t>
      </w:r>
      <w:r w:rsidR="00035504" w:rsidRPr="006F2FBF">
        <w:rPr>
          <w:rFonts w:ascii="Calibri" w:hAnsi="Calibri"/>
        </w:rPr>
        <w:t xml:space="preserve">původního plánu úspor za </w:t>
      </w:r>
      <w:r w:rsidR="00827872">
        <w:rPr>
          <w:rFonts w:ascii="Calibri" w:hAnsi="Calibri"/>
        </w:rPr>
        <w:t xml:space="preserve">tento </w:t>
      </w:r>
      <w:r w:rsidR="00035504" w:rsidRPr="006F2FBF">
        <w:rPr>
          <w:rFonts w:ascii="Calibri" w:hAnsi="Calibri"/>
        </w:rPr>
        <w:t>podprogram</w:t>
      </w:r>
      <w:r w:rsidR="00270B60">
        <w:rPr>
          <w:rFonts w:ascii="Calibri" w:hAnsi="Calibri"/>
        </w:rPr>
        <w:t>.</w:t>
      </w:r>
      <w:r w:rsidR="00A513A9">
        <w:rPr>
          <w:rFonts w:ascii="Calibri" w:hAnsi="Calibri"/>
        </w:rPr>
        <w:t xml:space="preserve"> </w:t>
      </w:r>
    </w:p>
    <w:p w14:paraId="34837484" w14:textId="3F101669" w:rsidR="00C37DA2" w:rsidRDefault="00270B60" w:rsidP="00C76CF9">
      <w:pPr>
        <w:keepNext/>
        <w:ind w:left="993" w:hanging="993"/>
        <w:rPr>
          <w:rFonts w:ascii="Calibri" w:hAnsi="Calibri"/>
        </w:rPr>
      </w:pPr>
      <w:r>
        <w:rPr>
          <w:rFonts w:ascii="Calibri" w:hAnsi="Calibri"/>
        </w:rPr>
        <w:lastRenderedPageBreak/>
        <w:t>Graf č. 2:</w:t>
      </w:r>
      <w:r>
        <w:rPr>
          <w:rFonts w:ascii="Calibri" w:hAnsi="Calibri"/>
        </w:rPr>
        <w:tab/>
      </w:r>
      <w:r w:rsidR="00C37DA2">
        <w:rPr>
          <w:rFonts w:ascii="Calibri" w:hAnsi="Calibri"/>
        </w:rPr>
        <w:t xml:space="preserve">Míra naplnění závazku </w:t>
      </w:r>
      <w:r w:rsidR="001C7274">
        <w:rPr>
          <w:rFonts w:ascii="Calibri" w:hAnsi="Calibri"/>
        </w:rPr>
        <w:t>programu</w:t>
      </w:r>
      <w:r>
        <w:rPr>
          <w:rFonts w:ascii="Calibri" w:hAnsi="Calibri"/>
        </w:rPr>
        <w:t xml:space="preserve"> NZÚ</w:t>
      </w:r>
    </w:p>
    <w:p w14:paraId="67389721" w14:textId="7D4D9034" w:rsidR="000E79BD" w:rsidRDefault="000E79BD" w:rsidP="000E79BD">
      <w:pPr>
        <w:keepNext/>
        <w:ind w:left="993" w:hanging="993"/>
        <w:jc w:val="center"/>
        <w:rPr>
          <w:rFonts w:ascii="Calibri" w:hAnsi="Calibri"/>
          <w:noProof/>
        </w:rPr>
      </w:pPr>
      <w:r>
        <w:rPr>
          <w:noProof/>
        </w:rPr>
        <w:drawing>
          <wp:inline distT="0" distB="0" distL="0" distR="0" wp14:anchorId="23A22835" wp14:editId="1CB513D0">
            <wp:extent cx="4845106" cy="3615267"/>
            <wp:effectExtent l="0" t="0" r="0" b="4445"/>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65695" cy="3630630"/>
                    </a:xfrm>
                    <a:prstGeom prst="rect">
                      <a:avLst/>
                    </a:prstGeom>
                    <a:noFill/>
                  </pic:spPr>
                </pic:pic>
              </a:graphicData>
            </a:graphic>
          </wp:inline>
        </w:drawing>
      </w:r>
    </w:p>
    <w:p w14:paraId="0E452182" w14:textId="57ECE5CB" w:rsidR="00C76CF9" w:rsidRDefault="00C76CF9" w:rsidP="00C37DA2">
      <w:pPr>
        <w:keepNext/>
        <w:ind w:left="993" w:hanging="993"/>
        <w:jc w:val="center"/>
        <w:rPr>
          <w:rFonts w:ascii="Calibri" w:hAnsi="Calibri"/>
          <w:noProof/>
        </w:rPr>
      </w:pPr>
    </w:p>
    <w:p w14:paraId="11660058" w14:textId="014AFE98" w:rsidR="00C169F7" w:rsidRPr="00E348BB" w:rsidRDefault="00126032" w:rsidP="006317B2">
      <w:pPr>
        <w:keepNext/>
        <w:spacing w:after="120"/>
        <w:rPr>
          <w:i/>
          <w:sz w:val="20"/>
        </w:rPr>
      </w:pPr>
      <w:r w:rsidRPr="00DF7287">
        <w:rPr>
          <w:rFonts w:ascii="Calibri" w:hAnsi="Calibri"/>
          <w:b/>
          <w:i/>
          <w:sz w:val="20"/>
        </w:rPr>
        <w:t>Zdroj:</w:t>
      </w:r>
      <w:r w:rsidRPr="00E348BB">
        <w:rPr>
          <w:rFonts w:ascii="Calibri" w:hAnsi="Calibri"/>
          <w:i/>
          <w:sz w:val="20"/>
        </w:rPr>
        <w:t xml:space="preserve"> </w:t>
      </w:r>
      <w:r w:rsidR="00C169F7" w:rsidRPr="00E348BB">
        <w:rPr>
          <w:i/>
          <w:sz w:val="20"/>
        </w:rPr>
        <w:t>MPO</w:t>
      </w:r>
      <w:r w:rsidR="00E35E57">
        <w:rPr>
          <w:i/>
          <w:sz w:val="20"/>
        </w:rPr>
        <w:t xml:space="preserve"> </w:t>
      </w:r>
      <w:r w:rsidR="00E35E57">
        <w:t>–</w:t>
      </w:r>
      <w:r w:rsidR="00E35E57" w:rsidRPr="00A515A8">
        <w:rPr>
          <w:i/>
          <w:sz w:val="20"/>
        </w:rPr>
        <w:t xml:space="preserve"> </w:t>
      </w:r>
      <w:r w:rsidR="00C169F7" w:rsidRPr="00E348BB">
        <w:rPr>
          <w:i/>
          <w:sz w:val="20"/>
        </w:rPr>
        <w:t xml:space="preserve">9. </w:t>
      </w:r>
      <w:r w:rsidR="00E35E57">
        <w:rPr>
          <w:i/>
          <w:sz w:val="20"/>
        </w:rPr>
        <w:t>z</w:t>
      </w:r>
      <w:r w:rsidR="00C169F7" w:rsidRPr="00E348BB">
        <w:rPr>
          <w:i/>
          <w:sz w:val="20"/>
        </w:rPr>
        <w:t>práva o pokroku v oblasti plnění vnitrostátních cílů energetické účinnosti v České republice</w:t>
      </w:r>
      <w:r w:rsidR="00DF7287">
        <w:rPr>
          <w:i/>
          <w:sz w:val="20"/>
        </w:rPr>
        <w:t>.</w:t>
      </w:r>
      <w:r w:rsidR="00C169F7" w:rsidRPr="00E348BB">
        <w:rPr>
          <w:i/>
          <w:sz w:val="20"/>
        </w:rPr>
        <w:t xml:space="preserve"> </w:t>
      </w:r>
    </w:p>
    <w:p w14:paraId="1DD08E20" w14:textId="0809A64B" w:rsidR="00A513A9" w:rsidRDefault="00E35E57" w:rsidP="00A513A9">
      <w:pPr>
        <w:spacing w:after="120"/>
        <w:rPr>
          <w:rFonts w:ascii="Calibri" w:hAnsi="Calibri"/>
        </w:rPr>
      </w:pPr>
      <w:r>
        <w:rPr>
          <w:rFonts w:ascii="Calibri" w:hAnsi="Calibri"/>
        </w:rPr>
        <w:t>Vzhledem k</w:t>
      </w:r>
      <w:r w:rsidR="00A513A9">
        <w:rPr>
          <w:rFonts w:ascii="Calibri" w:hAnsi="Calibri"/>
        </w:rPr>
        <w:t xml:space="preserve"> nenaplnění predikovaných úspor </w:t>
      </w:r>
      <w:r>
        <w:rPr>
          <w:rFonts w:ascii="Calibri" w:hAnsi="Calibri"/>
        </w:rPr>
        <w:t xml:space="preserve">u programů </w:t>
      </w:r>
      <w:r w:rsidR="00A513A9">
        <w:rPr>
          <w:rFonts w:ascii="Calibri" w:hAnsi="Calibri"/>
        </w:rPr>
        <w:t xml:space="preserve">IROP </w:t>
      </w:r>
      <w:r>
        <w:rPr>
          <w:rFonts w:ascii="Calibri" w:hAnsi="Calibri"/>
        </w:rPr>
        <w:t xml:space="preserve">a </w:t>
      </w:r>
      <w:r w:rsidR="00A513A9">
        <w:rPr>
          <w:rFonts w:ascii="Calibri" w:hAnsi="Calibri"/>
        </w:rPr>
        <w:t xml:space="preserve">NZÚ nelze konstatovat, že podpora </w:t>
      </w:r>
      <w:r w:rsidR="00AB1CEC">
        <w:rPr>
          <w:rFonts w:ascii="Calibri" w:hAnsi="Calibri"/>
        </w:rPr>
        <w:t xml:space="preserve">určená pro </w:t>
      </w:r>
      <w:r w:rsidR="00A513A9">
        <w:rPr>
          <w:rFonts w:ascii="Calibri" w:hAnsi="Calibri"/>
        </w:rPr>
        <w:t xml:space="preserve">opatření, jež mají generovat úspory energie, </w:t>
      </w:r>
      <w:r>
        <w:rPr>
          <w:rFonts w:ascii="Calibri" w:hAnsi="Calibri"/>
        </w:rPr>
        <w:t xml:space="preserve">je vynakládána </w:t>
      </w:r>
      <w:r w:rsidR="00A513A9">
        <w:rPr>
          <w:rFonts w:ascii="Calibri" w:hAnsi="Calibri"/>
        </w:rPr>
        <w:t>zcela účelně.</w:t>
      </w:r>
    </w:p>
    <w:p w14:paraId="7C39A8CA" w14:textId="366F1515" w:rsidR="008C2678" w:rsidRPr="00A515A8" w:rsidRDefault="00035504" w:rsidP="008C2678">
      <w:pPr>
        <w:spacing w:after="120"/>
        <w:rPr>
          <w:rFonts w:ascii="Calibri" w:hAnsi="Calibri"/>
          <w:szCs w:val="24"/>
        </w:rPr>
      </w:pPr>
      <w:r w:rsidRPr="00035504">
        <w:rPr>
          <w:rFonts w:ascii="Calibri" w:hAnsi="Calibri"/>
        </w:rPr>
        <w:t xml:space="preserve">V segmentu bytových domů vykazují všechny ukončené projekty s proplacenou dotací průměrnou výši </w:t>
      </w:r>
      <w:r w:rsidR="00F737CB">
        <w:rPr>
          <w:rFonts w:ascii="Calibri" w:hAnsi="Calibri"/>
        </w:rPr>
        <w:t xml:space="preserve">skutečné </w:t>
      </w:r>
      <w:r w:rsidRPr="00035504">
        <w:rPr>
          <w:rFonts w:ascii="Calibri" w:hAnsi="Calibri"/>
        </w:rPr>
        <w:t xml:space="preserve">měrné dotace </w:t>
      </w:r>
      <w:r w:rsidR="00F737CB">
        <w:rPr>
          <w:rFonts w:ascii="Calibri" w:hAnsi="Calibri"/>
        </w:rPr>
        <w:t>v rámci tř</w:t>
      </w:r>
      <w:r w:rsidR="00AB1CEC">
        <w:rPr>
          <w:rFonts w:ascii="Calibri" w:hAnsi="Calibri"/>
        </w:rPr>
        <w:t>í</w:t>
      </w:r>
      <w:r w:rsidR="00F737CB">
        <w:rPr>
          <w:rFonts w:ascii="Calibri" w:hAnsi="Calibri"/>
        </w:rPr>
        <w:t xml:space="preserve"> výzev pro stávající bytové domy </w:t>
      </w:r>
      <w:r w:rsidR="002B59CC">
        <w:rPr>
          <w:rFonts w:ascii="Calibri" w:hAnsi="Calibri"/>
        </w:rPr>
        <w:t>2 681 </w:t>
      </w:r>
      <w:r w:rsidRPr="00035504">
        <w:rPr>
          <w:rFonts w:ascii="Calibri" w:hAnsi="Calibri"/>
        </w:rPr>
        <w:t xml:space="preserve">Kč/GJ u IROP a průměrnou výši </w:t>
      </w:r>
      <w:r w:rsidR="00F737CB">
        <w:rPr>
          <w:rFonts w:ascii="Calibri" w:hAnsi="Calibri"/>
        </w:rPr>
        <w:t xml:space="preserve">skutečné </w:t>
      </w:r>
      <w:r w:rsidRPr="00035504">
        <w:rPr>
          <w:rFonts w:ascii="Calibri" w:hAnsi="Calibri"/>
        </w:rPr>
        <w:t xml:space="preserve">měrné dotace </w:t>
      </w:r>
      <w:r w:rsidR="007D6B09" w:rsidRPr="00035504">
        <w:rPr>
          <w:rFonts w:ascii="Calibri" w:hAnsi="Calibri"/>
        </w:rPr>
        <w:t>1 271 Kč/</w:t>
      </w:r>
      <w:r w:rsidR="007D6B09">
        <w:rPr>
          <w:rFonts w:ascii="Calibri" w:hAnsi="Calibri"/>
        </w:rPr>
        <w:t xml:space="preserve">GJ </w:t>
      </w:r>
      <w:r w:rsidR="00F737CB">
        <w:rPr>
          <w:rFonts w:ascii="Calibri" w:hAnsi="Calibri"/>
        </w:rPr>
        <w:t xml:space="preserve">v rámci dvou výzev pro stávající bytové domy </w:t>
      </w:r>
      <w:r w:rsidR="003F2B34">
        <w:rPr>
          <w:rFonts w:ascii="Calibri" w:hAnsi="Calibri"/>
        </w:rPr>
        <w:t xml:space="preserve">u </w:t>
      </w:r>
      <w:r w:rsidRPr="00035504">
        <w:rPr>
          <w:rFonts w:ascii="Calibri" w:hAnsi="Calibri"/>
        </w:rPr>
        <w:t>podprogram</w:t>
      </w:r>
      <w:r w:rsidR="003F2B34">
        <w:rPr>
          <w:rFonts w:ascii="Calibri" w:hAnsi="Calibri"/>
        </w:rPr>
        <w:t>u</w:t>
      </w:r>
      <w:r w:rsidRPr="00035504">
        <w:rPr>
          <w:rFonts w:ascii="Calibri" w:hAnsi="Calibri"/>
        </w:rPr>
        <w:t xml:space="preserve"> </w:t>
      </w:r>
      <w:r w:rsidRPr="00035504">
        <w:rPr>
          <w:rFonts w:ascii="Calibri" w:hAnsi="Calibri"/>
          <w:i/>
        </w:rPr>
        <w:t>Bytové domy</w:t>
      </w:r>
      <w:r w:rsidR="00AB1CEC">
        <w:rPr>
          <w:rFonts w:ascii="Calibri" w:hAnsi="Calibri"/>
          <w:i/>
        </w:rPr>
        <w:t xml:space="preserve"> </w:t>
      </w:r>
      <w:r w:rsidR="00AB1CEC">
        <w:rPr>
          <w:rFonts w:ascii="Calibri" w:hAnsi="Calibri"/>
        </w:rPr>
        <w:t>programu NZÚ</w:t>
      </w:r>
      <w:r w:rsidR="004A311D">
        <w:rPr>
          <w:rStyle w:val="Znakapoznpodarou"/>
          <w:rFonts w:ascii="Calibri" w:hAnsi="Calibri"/>
        </w:rPr>
        <w:footnoteReference w:id="56"/>
      </w:r>
      <w:r w:rsidR="00AB1CEC">
        <w:rPr>
          <w:rFonts w:ascii="Calibri" w:hAnsi="Calibri"/>
        </w:rPr>
        <w:t>.</w:t>
      </w:r>
      <w:r w:rsidR="003F2B34">
        <w:rPr>
          <w:rFonts w:ascii="Calibri" w:hAnsi="Calibri"/>
          <w:i/>
        </w:rPr>
        <w:t xml:space="preserve"> </w:t>
      </w:r>
      <w:r w:rsidR="00BB6AD0">
        <w:rPr>
          <w:rFonts w:ascii="Calibri" w:hAnsi="Calibri"/>
        </w:rPr>
        <w:t>Z</w:t>
      </w:r>
      <w:r>
        <w:rPr>
          <w:rFonts w:ascii="Calibri" w:hAnsi="Calibri"/>
        </w:rPr>
        <w:t>a celý program NZÚ</w:t>
      </w:r>
      <w:r w:rsidR="00827872">
        <w:rPr>
          <w:rFonts w:ascii="Calibri" w:hAnsi="Calibri"/>
        </w:rPr>
        <w:t xml:space="preserve"> </w:t>
      </w:r>
      <w:r w:rsidR="00AB1CEC">
        <w:rPr>
          <w:rFonts w:ascii="Calibri" w:hAnsi="Calibri"/>
        </w:rPr>
        <w:t>(</w:t>
      </w:r>
      <w:r w:rsidR="00827872">
        <w:rPr>
          <w:rFonts w:ascii="Calibri" w:hAnsi="Calibri"/>
        </w:rPr>
        <w:t xml:space="preserve">tj. v rámci podprogramů </w:t>
      </w:r>
      <w:r w:rsidR="00827872">
        <w:rPr>
          <w:rFonts w:ascii="Calibri" w:hAnsi="Calibri"/>
          <w:i/>
        </w:rPr>
        <w:t xml:space="preserve">Bytové domy, Rodinné domy </w:t>
      </w:r>
      <w:r w:rsidR="00827872">
        <w:rPr>
          <w:rFonts w:ascii="Calibri" w:hAnsi="Calibri"/>
        </w:rPr>
        <w:t xml:space="preserve">a </w:t>
      </w:r>
      <w:r w:rsidR="00827872">
        <w:rPr>
          <w:rFonts w:ascii="Calibri" w:hAnsi="Calibri"/>
          <w:i/>
        </w:rPr>
        <w:t>Budovy veřejného sektoru</w:t>
      </w:r>
      <w:r w:rsidR="00827872">
        <w:rPr>
          <w:rFonts w:ascii="Calibri" w:hAnsi="Calibri"/>
        </w:rPr>
        <w:t>, které generují úspory</w:t>
      </w:r>
      <w:r w:rsidR="00AB1CEC">
        <w:rPr>
          <w:rFonts w:ascii="Calibri" w:hAnsi="Calibri"/>
        </w:rPr>
        <w:t>)</w:t>
      </w:r>
      <w:r>
        <w:rPr>
          <w:rFonts w:ascii="Calibri" w:hAnsi="Calibri"/>
        </w:rPr>
        <w:t xml:space="preserve"> dosahuje</w:t>
      </w:r>
      <w:r w:rsidR="00827872">
        <w:rPr>
          <w:rFonts w:ascii="Calibri" w:hAnsi="Calibri"/>
        </w:rPr>
        <w:t xml:space="preserve"> </w:t>
      </w:r>
      <w:r>
        <w:rPr>
          <w:rFonts w:ascii="Calibri" w:hAnsi="Calibri"/>
        </w:rPr>
        <w:t>průměrn</w:t>
      </w:r>
      <w:r w:rsidR="00827872">
        <w:rPr>
          <w:rFonts w:ascii="Calibri" w:hAnsi="Calibri"/>
        </w:rPr>
        <w:t>á</w:t>
      </w:r>
      <w:r>
        <w:rPr>
          <w:rFonts w:ascii="Calibri" w:hAnsi="Calibri"/>
        </w:rPr>
        <w:t xml:space="preserve"> výše </w:t>
      </w:r>
      <w:r w:rsidR="00BB6AD0">
        <w:rPr>
          <w:rFonts w:ascii="Calibri" w:hAnsi="Calibri"/>
        </w:rPr>
        <w:t xml:space="preserve">skutečné </w:t>
      </w:r>
      <w:r>
        <w:rPr>
          <w:rFonts w:ascii="Calibri" w:hAnsi="Calibri"/>
        </w:rPr>
        <w:t>měrné dotace 2 046 Kč/GJ úspor</w:t>
      </w:r>
      <w:r w:rsidR="008C2678">
        <w:rPr>
          <w:rFonts w:ascii="Calibri" w:hAnsi="Calibri"/>
        </w:rPr>
        <w:t xml:space="preserve">. </w:t>
      </w:r>
    </w:p>
    <w:p w14:paraId="356E441F" w14:textId="3A898CE1" w:rsidR="00E22ED3" w:rsidRDefault="00D25044" w:rsidP="006679A3">
      <w:pPr>
        <w:spacing w:after="120"/>
      </w:pPr>
      <w:r>
        <w:t>NKÚ</w:t>
      </w:r>
      <w:r w:rsidR="007B2300">
        <w:t xml:space="preserve"> sledoval výši </w:t>
      </w:r>
      <w:r>
        <w:t>skutečn</w:t>
      </w:r>
      <w:r w:rsidR="007B2300">
        <w:t xml:space="preserve">é </w:t>
      </w:r>
      <w:r>
        <w:t>měrn</w:t>
      </w:r>
      <w:r w:rsidR="007B2300">
        <w:t xml:space="preserve">é </w:t>
      </w:r>
      <w:r>
        <w:t>dotac</w:t>
      </w:r>
      <w:r w:rsidR="007B2300">
        <w:t>e</w:t>
      </w:r>
      <w:r>
        <w:t xml:space="preserve"> u 14 projektů vybraných do kontrolního vzorku. </w:t>
      </w:r>
      <w:r w:rsidR="00384985">
        <w:t>Podrobn</w:t>
      </w:r>
      <w:r>
        <w:t xml:space="preserve">é údaje </w:t>
      </w:r>
      <w:r w:rsidR="00E35E57">
        <w:t xml:space="preserve">o </w:t>
      </w:r>
      <w:r>
        <w:t xml:space="preserve">výši </w:t>
      </w:r>
      <w:r w:rsidR="001F54D2">
        <w:t xml:space="preserve">skutečné </w:t>
      </w:r>
      <w:r w:rsidR="00384985">
        <w:t>měrné dotace u konkrétních projektů, které NKÚ prověřil v kontrole, jsou uvedeny v</w:t>
      </w:r>
      <w:r w:rsidR="00F65B34">
        <w:t xml:space="preserve"> grafu č. </w:t>
      </w:r>
      <w:r w:rsidR="00270B60">
        <w:t>3</w:t>
      </w:r>
      <w:r w:rsidR="00F65B34">
        <w:t>.</w:t>
      </w:r>
    </w:p>
    <w:p w14:paraId="4AADF494" w14:textId="17E690C1" w:rsidR="000D47B3" w:rsidRDefault="00F65B34" w:rsidP="00936CD4">
      <w:pPr>
        <w:keepNext/>
        <w:spacing w:after="120"/>
        <w:ind w:left="992" w:hanging="992"/>
      </w:pPr>
      <w:r w:rsidRPr="006679A3">
        <w:lastRenderedPageBreak/>
        <w:t xml:space="preserve">Graf č. </w:t>
      </w:r>
      <w:r w:rsidR="00270B60">
        <w:t>3</w:t>
      </w:r>
      <w:r w:rsidRPr="006679A3">
        <w:t xml:space="preserve">: </w:t>
      </w:r>
      <w:r w:rsidR="0012692C">
        <w:tab/>
      </w:r>
      <w:r w:rsidRPr="006679A3">
        <w:t xml:space="preserve">Výše </w:t>
      </w:r>
      <w:r w:rsidR="00735CBB">
        <w:t xml:space="preserve">skutečné </w:t>
      </w:r>
      <w:r w:rsidRPr="006679A3">
        <w:t>měrné dotace v kontrolovaných projektech IROP a programu NZÚ</w:t>
      </w:r>
    </w:p>
    <w:p w14:paraId="18C117DA" w14:textId="79BB7D23" w:rsidR="000D47B3" w:rsidRDefault="000D47B3" w:rsidP="00BA447A">
      <w:r>
        <w:rPr>
          <w:noProof/>
        </w:rPr>
        <w:drawing>
          <wp:inline distT="0" distB="0" distL="0" distR="0" wp14:anchorId="1FE83DEF" wp14:editId="53F4C511">
            <wp:extent cx="5735782" cy="2558141"/>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6057" cy="2562724"/>
                    </a:xfrm>
                    <a:prstGeom prst="rect">
                      <a:avLst/>
                    </a:prstGeom>
                    <a:noFill/>
                  </pic:spPr>
                </pic:pic>
              </a:graphicData>
            </a:graphic>
          </wp:inline>
        </w:drawing>
      </w:r>
    </w:p>
    <w:p w14:paraId="28D383DD" w14:textId="743FA0C5" w:rsidR="00F65B34" w:rsidRPr="006C41B4" w:rsidRDefault="00F65B34" w:rsidP="00F65B34">
      <w:pPr>
        <w:spacing w:after="120"/>
        <w:rPr>
          <w:i/>
          <w:sz w:val="20"/>
        </w:rPr>
      </w:pPr>
      <w:r w:rsidRPr="00DF7287">
        <w:rPr>
          <w:b/>
          <w:i/>
          <w:sz w:val="20"/>
        </w:rPr>
        <w:t>Zdroj:</w:t>
      </w:r>
      <w:r w:rsidRPr="006C41B4">
        <w:rPr>
          <w:i/>
          <w:sz w:val="20"/>
        </w:rPr>
        <w:t xml:space="preserve"> </w:t>
      </w:r>
      <w:r w:rsidR="00AB1CEC">
        <w:rPr>
          <w:i/>
          <w:sz w:val="20"/>
        </w:rPr>
        <w:t>ú</w:t>
      </w:r>
      <w:r w:rsidRPr="006C41B4">
        <w:rPr>
          <w:i/>
          <w:sz w:val="20"/>
        </w:rPr>
        <w:t xml:space="preserve">daje z </w:t>
      </w:r>
      <w:r>
        <w:rPr>
          <w:i/>
          <w:sz w:val="20"/>
        </w:rPr>
        <w:t>p</w:t>
      </w:r>
      <w:r w:rsidRPr="006C41B4">
        <w:rPr>
          <w:i/>
          <w:sz w:val="20"/>
        </w:rPr>
        <w:t>růkaz</w:t>
      </w:r>
      <w:r>
        <w:rPr>
          <w:i/>
          <w:sz w:val="20"/>
        </w:rPr>
        <w:t>ů</w:t>
      </w:r>
      <w:r w:rsidRPr="006C41B4">
        <w:rPr>
          <w:i/>
          <w:sz w:val="20"/>
        </w:rPr>
        <w:t xml:space="preserve"> energetické náročnosti budov k jednotlivým projektům</w:t>
      </w:r>
      <w:r w:rsidR="00126032">
        <w:rPr>
          <w:i/>
          <w:sz w:val="20"/>
        </w:rPr>
        <w:t>.</w:t>
      </w:r>
    </w:p>
    <w:p w14:paraId="0A7C48E2" w14:textId="18E33645" w:rsidR="00F65B34" w:rsidRPr="009A0EDC" w:rsidRDefault="00333926" w:rsidP="008067C1">
      <w:pPr>
        <w:spacing w:after="120"/>
      </w:pPr>
      <w:r>
        <w:t xml:space="preserve">Výše </w:t>
      </w:r>
      <w:r w:rsidR="00D64315">
        <w:t xml:space="preserve">skutečné </w:t>
      </w:r>
      <w:r>
        <w:t xml:space="preserve">měrné dotace </w:t>
      </w:r>
      <w:r w:rsidR="00A952EB">
        <w:t xml:space="preserve">u projektů z kontrolního vzorku </w:t>
      </w:r>
      <w:r w:rsidR="00D64315">
        <w:t xml:space="preserve">NKÚ </w:t>
      </w:r>
      <w:r w:rsidR="007B2300">
        <w:t xml:space="preserve">se </w:t>
      </w:r>
      <w:r>
        <w:t xml:space="preserve">pohybuje od </w:t>
      </w:r>
      <w:r w:rsidR="00A952EB">
        <w:t xml:space="preserve">částky 754,91 Kč/GJ </w:t>
      </w:r>
      <w:r w:rsidR="007B2300">
        <w:t xml:space="preserve">(projekt NZÚ) </w:t>
      </w:r>
      <w:r w:rsidR="00A952EB">
        <w:t xml:space="preserve">do částky 7 227,69 </w:t>
      </w:r>
      <w:r w:rsidRPr="00A952EB">
        <w:t>Kč</w:t>
      </w:r>
      <w:r w:rsidR="00A952EB">
        <w:t>/GJ</w:t>
      </w:r>
      <w:r w:rsidR="007B2300">
        <w:t xml:space="preserve"> (projekt IROP)</w:t>
      </w:r>
      <w:r w:rsidR="00A64C25">
        <w:rPr>
          <w:rStyle w:val="Znakapoznpodarou"/>
        </w:rPr>
        <w:footnoteReference w:id="57"/>
      </w:r>
      <w:r w:rsidR="00A952EB">
        <w:t xml:space="preserve">, což </w:t>
      </w:r>
      <w:r w:rsidR="0021759C">
        <w:t xml:space="preserve">činí rozdíl </w:t>
      </w:r>
      <w:r w:rsidR="00A952EB">
        <w:t>téměř desetinásob</w:t>
      </w:r>
      <w:r w:rsidR="007B2300">
        <w:t xml:space="preserve">ku </w:t>
      </w:r>
      <w:r w:rsidR="002B59CC">
        <w:t>na</w:t>
      </w:r>
      <w:r w:rsidR="00701B43">
        <w:t xml:space="preserve"> </w:t>
      </w:r>
      <w:r w:rsidR="0084363A">
        <w:t>opatření.</w:t>
      </w:r>
      <w:r w:rsidR="00CC53B6">
        <w:t xml:space="preserve"> </w:t>
      </w:r>
      <w:r w:rsidR="00CC53B6" w:rsidRPr="009A0EDC">
        <w:rPr>
          <w:b/>
        </w:rPr>
        <w:t xml:space="preserve">Průměrná výše </w:t>
      </w:r>
      <w:r w:rsidR="00D64315">
        <w:rPr>
          <w:b/>
        </w:rPr>
        <w:t xml:space="preserve">skutečné </w:t>
      </w:r>
      <w:r w:rsidR="00CC53B6" w:rsidRPr="009A0EDC">
        <w:rPr>
          <w:b/>
        </w:rPr>
        <w:t xml:space="preserve">měrné dotace </w:t>
      </w:r>
      <w:r w:rsidR="009A0EDC" w:rsidRPr="009A0EDC">
        <w:rPr>
          <w:b/>
        </w:rPr>
        <w:t xml:space="preserve">za </w:t>
      </w:r>
      <w:r w:rsidR="00CC53B6" w:rsidRPr="009A0EDC">
        <w:rPr>
          <w:b/>
        </w:rPr>
        <w:t xml:space="preserve">šest projektů IROP z kontrolního vzorku NKÚ činí 3 707 Kč/GJ, což představuje téměř trojnásobek průměrné výše </w:t>
      </w:r>
      <w:r w:rsidR="00D64315">
        <w:rPr>
          <w:b/>
        </w:rPr>
        <w:t xml:space="preserve">skutečné </w:t>
      </w:r>
      <w:r w:rsidR="00CC53B6" w:rsidRPr="009A0EDC">
        <w:rPr>
          <w:b/>
        </w:rPr>
        <w:t xml:space="preserve">měrné dotace </w:t>
      </w:r>
      <w:r w:rsidR="009A0EDC" w:rsidRPr="009A0EDC">
        <w:rPr>
          <w:b/>
        </w:rPr>
        <w:t xml:space="preserve">za </w:t>
      </w:r>
      <w:r w:rsidR="00CC53B6" w:rsidRPr="009A0EDC">
        <w:rPr>
          <w:b/>
        </w:rPr>
        <w:t xml:space="preserve">osm projektů </w:t>
      </w:r>
      <w:r w:rsidR="00701B43">
        <w:rPr>
          <w:b/>
        </w:rPr>
        <w:t xml:space="preserve">programu </w:t>
      </w:r>
      <w:r w:rsidR="00CC53B6" w:rsidRPr="009A0EDC">
        <w:rPr>
          <w:b/>
        </w:rPr>
        <w:t xml:space="preserve">NZÚ, která </w:t>
      </w:r>
      <w:r w:rsidR="0021759C">
        <w:rPr>
          <w:b/>
        </w:rPr>
        <w:t>dosahuje</w:t>
      </w:r>
      <w:r w:rsidR="00CC53B6" w:rsidRPr="009A0EDC">
        <w:rPr>
          <w:b/>
        </w:rPr>
        <w:t xml:space="preserve"> </w:t>
      </w:r>
      <w:r w:rsidR="00701B43">
        <w:rPr>
          <w:b/>
        </w:rPr>
        <w:t xml:space="preserve">hodnoty </w:t>
      </w:r>
      <w:r w:rsidR="00CC53B6" w:rsidRPr="009A0EDC">
        <w:rPr>
          <w:b/>
        </w:rPr>
        <w:t>1 343</w:t>
      </w:r>
      <w:r w:rsidR="00701B43">
        <w:rPr>
          <w:b/>
        </w:rPr>
        <w:t> </w:t>
      </w:r>
      <w:r w:rsidR="00CC53B6" w:rsidRPr="009A0EDC">
        <w:rPr>
          <w:b/>
        </w:rPr>
        <w:t xml:space="preserve">Kč/GJ. </w:t>
      </w:r>
      <w:r w:rsidR="002B59CC">
        <w:t xml:space="preserve">Nejnižší </w:t>
      </w:r>
      <w:r w:rsidR="00270B60">
        <w:t xml:space="preserve">výdaje z dotačních zdrojů </w:t>
      </w:r>
      <w:r w:rsidR="002B59CC">
        <w:t>na</w:t>
      </w:r>
      <w:r w:rsidR="00701B43">
        <w:t xml:space="preserve"> </w:t>
      </w:r>
      <w:r w:rsidR="009A0EDC">
        <w:t xml:space="preserve">generovanou jednotku úspor u projektů </w:t>
      </w:r>
      <w:r w:rsidR="00701B43">
        <w:t xml:space="preserve">programu </w:t>
      </w:r>
      <w:r w:rsidR="009A0EDC">
        <w:t>NZÚ nesou proj</w:t>
      </w:r>
      <w:r w:rsidR="002B59CC">
        <w:t>ekty podpořené v rámci výzvy č.</w:t>
      </w:r>
      <w:r w:rsidR="009B0378">
        <w:t xml:space="preserve"> </w:t>
      </w:r>
      <w:r w:rsidR="009A0EDC">
        <w:t>BD1, kde byla dotačně podporována výhradně opatření za</w:t>
      </w:r>
      <w:r w:rsidR="002B59CC">
        <w:t xml:space="preserve">teplení budov. Vyšší </w:t>
      </w:r>
      <w:r w:rsidR="00270B60">
        <w:t xml:space="preserve">výdaje z dotačních zdrojů </w:t>
      </w:r>
      <w:r w:rsidR="002B59CC">
        <w:t>na</w:t>
      </w:r>
      <w:r w:rsidR="00701B43">
        <w:t xml:space="preserve"> </w:t>
      </w:r>
      <w:r w:rsidR="009A0EDC">
        <w:t xml:space="preserve">generované úspory energie </w:t>
      </w:r>
      <w:r w:rsidR="00D64315">
        <w:t xml:space="preserve">jsou </w:t>
      </w:r>
      <w:r w:rsidR="009A0EDC">
        <w:t>vyvoláv</w:t>
      </w:r>
      <w:r w:rsidR="00D64315">
        <w:t>ány</w:t>
      </w:r>
      <w:r w:rsidR="009A0EDC">
        <w:t xml:space="preserve"> opatření</w:t>
      </w:r>
      <w:r w:rsidR="00701B43">
        <w:t>mi</w:t>
      </w:r>
      <w:r w:rsidR="009A0EDC">
        <w:t xml:space="preserve"> s významnějšími </w:t>
      </w:r>
      <w:r w:rsidR="0090751B">
        <w:t xml:space="preserve">pozitivními </w:t>
      </w:r>
      <w:r w:rsidR="009A0EDC">
        <w:t>ekologickými dopady na život</w:t>
      </w:r>
      <w:r w:rsidR="008067C1">
        <w:t>ní prostředí, jakými jsou např. výměna zdrojů tepla a</w:t>
      </w:r>
      <w:r w:rsidR="009B0378">
        <w:t xml:space="preserve"> </w:t>
      </w:r>
      <w:r w:rsidR="008067C1">
        <w:t xml:space="preserve">instalace solárních termických a fotovoltaických systémů. </w:t>
      </w:r>
    </w:p>
    <w:p w14:paraId="32496401" w14:textId="2A2DA991" w:rsidR="00D25044" w:rsidRDefault="00D25044" w:rsidP="007B2300">
      <w:pPr>
        <w:autoSpaceDE w:val="0"/>
        <w:autoSpaceDN w:val="0"/>
        <w:adjustRightInd w:val="0"/>
        <w:spacing w:after="120"/>
        <w:rPr>
          <w:rFonts w:ascii="Calibri" w:hAnsi="Calibri"/>
          <w:szCs w:val="24"/>
        </w:rPr>
      </w:pPr>
      <w:r w:rsidRPr="00D25044">
        <w:rPr>
          <w:b/>
        </w:rPr>
        <w:t>P</w:t>
      </w:r>
      <w:r w:rsidRPr="00D25044">
        <w:rPr>
          <w:rFonts w:cs="Arial"/>
          <w:b/>
          <w:color w:val="000000" w:themeColor="text1"/>
          <w:szCs w:val="24"/>
        </w:rPr>
        <w:t xml:space="preserve">růměrná výše skutečné měrné dotace u všech projektů proplacených z IROP </w:t>
      </w:r>
      <w:r w:rsidR="00701B43">
        <w:rPr>
          <w:rFonts w:cs="Arial"/>
          <w:b/>
          <w:color w:val="000000" w:themeColor="text1"/>
          <w:szCs w:val="24"/>
        </w:rPr>
        <w:t>je dvakrát vyšší</w:t>
      </w:r>
      <w:r w:rsidRPr="00D25044">
        <w:rPr>
          <w:rFonts w:cs="Arial"/>
          <w:b/>
          <w:color w:val="000000" w:themeColor="text1"/>
          <w:szCs w:val="24"/>
        </w:rPr>
        <w:t xml:space="preserve">, než je tomu u </w:t>
      </w:r>
      <w:r w:rsidR="007B2300">
        <w:rPr>
          <w:rFonts w:cs="Arial"/>
          <w:b/>
          <w:color w:val="000000" w:themeColor="text1"/>
          <w:szCs w:val="24"/>
        </w:rPr>
        <w:t xml:space="preserve">všech </w:t>
      </w:r>
      <w:r w:rsidRPr="00D25044">
        <w:rPr>
          <w:rFonts w:cs="Arial"/>
          <w:b/>
          <w:color w:val="000000" w:themeColor="text1"/>
          <w:szCs w:val="24"/>
        </w:rPr>
        <w:t>projektů proplacených z programu NZÚ</w:t>
      </w:r>
      <w:r w:rsidRPr="00A515A8">
        <w:rPr>
          <w:rFonts w:cs="Arial"/>
          <w:b/>
          <w:color w:val="000000" w:themeColor="text1"/>
          <w:szCs w:val="24"/>
        </w:rPr>
        <w:t>,</w:t>
      </w:r>
      <w:r w:rsidRPr="00E00C62">
        <w:rPr>
          <w:rFonts w:cs="Arial"/>
          <w:color w:val="000000" w:themeColor="text1"/>
          <w:szCs w:val="24"/>
        </w:rPr>
        <w:t xml:space="preserve"> což je dáno zejména odlišným způsobem stanovení výše poskytované dotace. </w:t>
      </w:r>
      <w:r w:rsidR="00B74452" w:rsidRPr="00B74452">
        <w:rPr>
          <w:rFonts w:cs="Arial"/>
          <w:szCs w:val="24"/>
        </w:rPr>
        <w:t>Dotace</w:t>
      </w:r>
      <w:r w:rsidR="006317B2" w:rsidRPr="00B74452">
        <w:rPr>
          <w:rFonts w:cs="Arial"/>
          <w:szCs w:val="24"/>
        </w:rPr>
        <w:t xml:space="preserve"> z IROP je stanovena jako podíl z celkových způsobilých výdajů projektu, podpora z</w:t>
      </w:r>
      <w:r w:rsidR="00701B43">
        <w:rPr>
          <w:rFonts w:cs="Arial"/>
          <w:szCs w:val="24"/>
        </w:rPr>
        <w:t xml:space="preserve"> programu </w:t>
      </w:r>
      <w:r w:rsidR="006317B2" w:rsidRPr="00B74452">
        <w:rPr>
          <w:rFonts w:cs="Arial"/>
          <w:szCs w:val="24"/>
        </w:rPr>
        <w:t xml:space="preserve">NZÚ je </w:t>
      </w:r>
      <w:r w:rsidR="00B74452">
        <w:rPr>
          <w:rFonts w:cs="Arial"/>
          <w:szCs w:val="24"/>
        </w:rPr>
        <w:t>stanovena jako pevná</w:t>
      </w:r>
      <w:r w:rsidR="006317B2" w:rsidRPr="00B74452">
        <w:rPr>
          <w:rFonts w:cs="Arial"/>
          <w:szCs w:val="24"/>
        </w:rPr>
        <w:t xml:space="preserve"> částk</w:t>
      </w:r>
      <w:r w:rsidR="00B74452">
        <w:rPr>
          <w:rFonts w:cs="Arial"/>
          <w:szCs w:val="24"/>
        </w:rPr>
        <w:t xml:space="preserve">a </w:t>
      </w:r>
      <w:r w:rsidR="006317B2" w:rsidRPr="00B74452">
        <w:rPr>
          <w:rFonts w:cs="Arial"/>
          <w:szCs w:val="24"/>
        </w:rPr>
        <w:t>podle typu realizovaného opatření. Současně je celková výše dotace na jednu žádost o</w:t>
      </w:r>
      <w:r w:rsidR="00890B09">
        <w:rPr>
          <w:rFonts w:cs="Arial"/>
          <w:szCs w:val="24"/>
        </w:rPr>
        <w:t xml:space="preserve"> </w:t>
      </w:r>
      <w:r w:rsidR="006317B2" w:rsidRPr="00B74452">
        <w:rPr>
          <w:rFonts w:cs="Arial"/>
          <w:szCs w:val="24"/>
        </w:rPr>
        <w:t>podporu omezena maximální mír</w:t>
      </w:r>
      <w:r w:rsidR="00701B43">
        <w:rPr>
          <w:rFonts w:cs="Arial"/>
          <w:szCs w:val="24"/>
        </w:rPr>
        <w:t>ou</w:t>
      </w:r>
      <w:r w:rsidR="006317B2" w:rsidRPr="00B74452">
        <w:rPr>
          <w:rFonts w:cs="Arial"/>
          <w:szCs w:val="24"/>
        </w:rPr>
        <w:t xml:space="preserve"> řádně doložených způsobilých výdajů stanovenou v</w:t>
      </w:r>
      <w:r w:rsidR="007C67A4">
        <w:rPr>
          <w:rFonts w:cs="Arial"/>
          <w:szCs w:val="24"/>
        </w:rPr>
        <w:t> </w:t>
      </w:r>
      <w:r w:rsidR="006317B2" w:rsidRPr="00B74452">
        <w:rPr>
          <w:rFonts w:cs="Arial"/>
          <w:szCs w:val="24"/>
        </w:rPr>
        <w:t>příslušné výzvě</w:t>
      </w:r>
      <w:r w:rsidR="009559CF">
        <w:rPr>
          <w:rFonts w:cs="Arial"/>
          <w:szCs w:val="24"/>
        </w:rPr>
        <w:t>.</w:t>
      </w:r>
      <w:r w:rsidR="007E0FCD">
        <w:rPr>
          <w:rStyle w:val="Znakapoznpodarou"/>
          <w:rFonts w:cs="Arial"/>
          <w:szCs w:val="24"/>
        </w:rPr>
        <w:footnoteReference w:id="58"/>
      </w:r>
      <w:r w:rsidR="006317B2" w:rsidRPr="00B74452">
        <w:rPr>
          <w:rFonts w:cs="Arial"/>
          <w:szCs w:val="24"/>
        </w:rPr>
        <w:t xml:space="preserve"> </w:t>
      </w:r>
      <w:r w:rsidR="00701B43">
        <w:rPr>
          <w:rFonts w:cs="Arial"/>
          <w:szCs w:val="24"/>
        </w:rPr>
        <w:t>Značný</w:t>
      </w:r>
      <w:r w:rsidRPr="00E00C62">
        <w:rPr>
          <w:rFonts w:cs="Arial"/>
          <w:color w:val="000000" w:themeColor="text1"/>
          <w:szCs w:val="24"/>
        </w:rPr>
        <w:t xml:space="preserve"> rozdíl v nákladovosti mezi oběma programy je zřejmý již z predikcí uvedených v</w:t>
      </w:r>
      <w:r>
        <w:rPr>
          <w:rFonts w:cs="Arial"/>
          <w:color w:val="000000" w:themeColor="text1"/>
          <w:szCs w:val="24"/>
        </w:rPr>
        <w:t> NAPEE,</w:t>
      </w:r>
      <w:r w:rsidRPr="00A65418">
        <w:rPr>
          <w:rFonts w:cs="Arial"/>
          <w:color w:val="000000" w:themeColor="text1"/>
          <w:szCs w:val="24"/>
        </w:rPr>
        <w:t xml:space="preserve"> </w:t>
      </w:r>
      <w:r w:rsidRPr="00E00C62">
        <w:rPr>
          <w:rFonts w:cs="Arial"/>
          <w:color w:val="000000" w:themeColor="text1"/>
          <w:szCs w:val="24"/>
        </w:rPr>
        <w:t xml:space="preserve">kde </w:t>
      </w:r>
      <w:r w:rsidR="007B2300">
        <w:rPr>
          <w:rFonts w:cs="Arial"/>
          <w:color w:val="000000" w:themeColor="text1"/>
          <w:szCs w:val="24"/>
        </w:rPr>
        <w:t xml:space="preserve">je </w:t>
      </w:r>
      <w:r>
        <w:rPr>
          <w:rFonts w:cs="Arial"/>
          <w:color w:val="000000" w:themeColor="text1"/>
          <w:szCs w:val="24"/>
        </w:rPr>
        <w:t xml:space="preserve">průměrná </w:t>
      </w:r>
      <w:r w:rsidRPr="00E00C62">
        <w:rPr>
          <w:rFonts w:cs="Arial"/>
          <w:color w:val="000000" w:themeColor="text1"/>
          <w:szCs w:val="24"/>
        </w:rPr>
        <w:t xml:space="preserve">výše </w:t>
      </w:r>
      <w:r>
        <w:rPr>
          <w:rFonts w:cs="Arial"/>
          <w:color w:val="000000" w:themeColor="text1"/>
          <w:szCs w:val="24"/>
        </w:rPr>
        <w:t xml:space="preserve">odhadované </w:t>
      </w:r>
      <w:r w:rsidRPr="00E00C62">
        <w:rPr>
          <w:rFonts w:cs="Arial"/>
          <w:color w:val="000000" w:themeColor="text1"/>
          <w:szCs w:val="24"/>
        </w:rPr>
        <w:t xml:space="preserve">měrné dotace u IROP </w:t>
      </w:r>
      <w:r w:rsidR="007B2300">
        <w:rPr>
          <w:rFonts w:cs="Arial"/>
          <w:color w:val="000000" w:themeColor="text1"/>
          <w:szCs w:val="24"/>
        </w:rPr>
        <w:lastRenderedPageBreak/>
        <w:t xml:space="preserve">trojnásobná </w:t>
      </w:r>
      <w:r w:rsidR="006D38EB">
        <w:rPr>
          <w:rFonts w:cs="Arial"/>
          <w:color w:val="000000" w:themeColor="text1"/>
          <w:szCs w:val="24"/>
        </w:rPr>
        <w:t xml:space="preserve">oproti </w:t>
      </w:r>
      <w:r w:rsidR="007B2300">
        <w:rPr>
          <w:rFonts w:cs="Arial"/>
          <w:color w:val="000000" w:themeColor="text1"/>
          <w:szCs w:val="24"/>
        </w:rPr>
        <w:t>průměrné výš</w:t>
      </w:r>
      <w:r w:rsidR="006D38EB">
        <w:rPr>
          <w:rFonts w:cs="Arial"/>
          <w:color w:val="000000" w:themeColor="text1"/>
          <w:szCs w:val="24"/>
        </w:rPr>
        <w:t>i</w:t>
      </w:r>
      <w:r w:rsidR="007B2300">
        <w:rPr>
          <w:rFonts w:cs="Arial"/>
          <w:color w:val="000000" w:themeColor="text1"/>
          <w:szCs w:val="24"/>
        </w:rPr>
        <w:t xml:space="preserve"> </w:t>
      </w:r>
      <w:r>
        <w:rPr>
          <w:rFonts w:cs="Arial"/>
          <w:color w:val="000000" w:themeColor="text1"/>
          <w:szCs w:val="24"/>
        </w:rPr>
        <w:t xml:space="preserve">odhadované </w:t>
      </w:r>
      <w:r w:rsidRPr="00E00C62">
        <w:rPr>
          <w:rFonts w:cs="Arial"/>
          <w:color w:val="000000" w:themeColor="text1"/>
          <w:szCs w:val="24"/>
        </w:rPr>
        <w:t xml:space="preserve">měrné dotace </w:t>
      </w:r>
      <w:r w:rsidR="007B2300">
        <w:rPr>
          <w:rFonts w:cs="Arial"/>
          <w:color w:val="000000" w:themeColor="text1"/>
          <w:szCs w:val="24"/>
        </w:rPr>
        <w:t xml:space="preserve">u programu </w:t>
      </w:r>
      <w:r w:rsidRPr="00E00C62">
        <w:rPr>
          <w:rFonts w:cs="Arial"/>
          <w:color w:val="000000" w:themeColor="text1"/>
          <w:szCs w:val="24"/>
        </w:rPr>
        <w:t>NZÚ</w:t>
      </w:r>
      <w:r>
        <w:rPr>
          <w:rFonts w:cs="Arial"/>
          <w:color w:val="000000" w:themeColor="text1"/>
          <w:szCs w:val="24"/>
        </w:rPr>
        <w:t xml:space="preserve"> </w:t>
      </w:r>
      <w:r w:rsidR="00701B43">
        <w:t xml:space="preserve">– </w:t>
      </w:r>
      <w:r w:rsidR="00701B43" w:rsidRPr="0034545B">
        <w:rPr>
          <w:rFonts w:ascii="Calibri" w:hAnsi="Calibri"/>
          <w:szCs w:val="24"/>
        </w:rPr>
        <w:t>v</w:t>
      </w:r>
      <w:r w:rsidR="00701B43">
        <w:rPr>
          <w:rFonts w:ascii="Calibri" w:hAnsi="Calibri"/>
          <w:szCs w:val="24"/>
        </w:rPr>
        <w:t> </w:t>
      </w:r>
      <w:r w:rsidR="00701B43" w:rsidRPr="0034545B">
        <w:rPr>
          <w:rFonts w:ascii="Calibri" w:hAnsi="Calibri"/>
          <w:szCs w:val="24"/>
        </w:rPr>
        <w:t>NAPEE</w:t>
      </w:r>
      <w:r w:rsidR="00701B43">
        <w:rPr>
          <w:rFonts w:ascii="Calibri" w:hAnsi="Calibri"/>
          <w:szCs w:val="24"/>
        </w:rPr>
        <w:noBreakHyphen/>
      </w:r>
      <w:r w:rsidR="00F71E52">
        <w:rPr>
          <w:rFonts w:ascii="Calibri" w:hAnsi="Calibri"/>
          <w:szCs w:val="24"/>
        </w:rPr>
        <w:t>V</w:t>
      </w:r>
      <w:r w:rsidR="00701B43">
        <w:rPr>
          <w:rFonts w:cs="Arial"/>
          <w:color w:val="000000" w:themeColor="text1"/>
          <w:szCs w:val="24"/>
        </w:rPr>
        <w:t xml:space="preserve"> byla </w:t>
      </w:r>
      <w:r>
        <w:rPr>
          <w:rFonts w:cs="Arial"/>
          <w:color w:val="000000" w:themeColor="text1"/>
          <w:szCs w:val="24"/>
        </w:rPr>
        <w:t>m</w:t>
      </w:r>
      <w:r w:rsidRPr="0034545B">
        <w:rPr>
          <w:rFonts w:ascii="Calibri" w:hAnsi="Calibri"/>
          <w:szCs w:val="24"/>
        </w:rPr>
        <w:t>ěrná dotace pro</w:t>
      </w:r>
      <w:r w:rsidR="00701B43">
        <w:rPr>
          <w:rFonts w:ascii="Calibri" w:hAnsi="Calibri"/>
          <w:szCs w:val="24"/>
        </w:rPr>
        <w:t xml:space="preserve"> </w:t>
      </w:r>
      <w:r w:rsidRPr="0034545B">
        <w:rPr>
          <w:rFonts w:ascii="Calibri" w:hAnsi="Calibri"/>
          <w:szCs w:val="24"/>
        </w:rPr>
        <w:t>projekty IROP predikována ve výši 5 451,62 Kč/GJ úspor</w:t>
      </w:r>
      <w:r>
        <w:rPr>
          <w:rFonts w:ascii="Calibri" w:hAnsi="Calibri"/>
          <w:szCs w:val="24"/>
        </w:rPr>
        <w:t xml:space="preserve">, zatímco odhadovaná měrná dotace pro program NZÚ </w:t>
      </w:r>
      <w:r w:rsidR="00701B43">
        <w:rPr>
          <w:rFonts w:ascii="Calibri" w:hAnsi="Calibri"/>
          <w:szCs w:val="24"/>
        </w:rPr>
        <w:t xml:space="preserve">byla </w:t>
      </w:r>
      <w:r>
        <w:rPr>
          <w:rFonts w:ascii="Calibri" w:hAnsi="Calibri"/>
          <w:szCs w:val="24"/>
        </w:rPr>
        <w:t>uveden</w:t>
      </w:r>
      <w:r w:rsidR="00701B43">
        <w:rPr>
          <w:rFonts w:ascii="Calibri" w:hAnsi="Calibri"/>
          <w:szCs w:val="24"/>
        </w:rPr>
        <w:t>a</w:t>
      </w:r>
      <w:r>
        <w:rPr>
          <w:rFonts w:ascii="Calibri" w:hAnsi="Calibri"/>
          <w:szCs w:val="24"/>
        </w:rPr>
        <w:t xml:space="preserve"> </w:t>
      </w:r>
      <w:r w:rsidR="006D38EB">
        <w:rPr>
          <w:rFonts w:ascii="Calibri" w:hAnsi="Calibri"/>
          <w:szCs w:val="24"/>
        </w:rPr>
        <w:t>v hodnotě</w:t>
      </w:r>
      <w:r>
        <w:rPr>
          <w:rFonts w:ascii="Calibri" w:hAnsi="Calibri"/>
          <w:szCs w:val="24"/>
        </w:rPr>
        <w:t xml:space="preserve"> </w:t>
      </w:r>
      <w:r w:rsidR="007B2300">
        <w:rPr>
          <w:rFonts w:ascii="Calibri" w:hAnsi="Calibri"/>
          <w:szCs w:val="24"/>
        </w:rPr>
        <w:t>1 832 K</w:t>
      </w:r>
      <w:r w:rsidR="00270B60">
        <w:rPr>
          <w:rFonts w:ascii="Calibri" w:hAnsi="Calibri"/>
          <w:szCs w:val="24"/>
        </w:rPr>
        <w:t>č</w:t>
      </w:r>
      <w:r w:rsidR="007B2300">
        <w:rPr>
          <w:rFonts w:ascii="Calibri" w:hAnsi="Calibri"/>
          <w:szCs w:val="24"/>
        </w:rPr>
        <w:t>/GJ</w:t>
      </w:r>
      <w:r w:rsidRPr="0034545B">
        <w:rPr>
          <w:rFonts w:ascii="Calibri" w:hAnsi="Calibri"/>
          <w:szCs w:val="24"/>
        </w:rPr>
        <w:t xml:space="preserve">. </w:t>
      </w:r>
    </w:p>
    <w:p w14:paraId="4C2707E2" w14:textId="3A6FA52F" w:rsidR="00BA447A" w:rsidRDefault="006D38EB" w:rsidP="00607A05">
      <w:pPr>
        <w:spacing w:before="120" w:after="120"/>
      </w:pPr>
      <w:r>
        <w:t>Porovnání p</w:t>
      </w:r>
      <w:r w:rsidR="00BA447A">
        <w:t>růměrn</w:t>
      </w:r>
      <w:r>
        <w:t>é</w:t>
      </w:r>
      <w:r w:rsidR="00BA447A">
        <w:t xml:space="preserve"> výš</w:t>
      </w:r>
      <w:r>
        <w:t>e</w:t>
      </w:r>
      <w:r w:rsidR="00BA447A">
        <w:t xml:space="preserve"> </w:t>
      </w:r>
      <w:r w:rsidR="002300DC">
        <w:t xml:space="preserve">skutečné </w:t>
      </w:r>
      <w:r w:rsidR="00BA447A">
        <w:t xml:space="preserve">měrné dotace za všechny realizované projekty </w:t>
      </w:r>
      <w:r>
        <w:t xml:space="preserve">a za </w:t>
      </w:r>
      <w:r w:rsidR="00BA447A">
        <w:t xml:space="preserve">projekty z kontrolního vzorku NKÚ poskytuje graf č. </w:t>
      </w:r>
      <w:r>
        <w:t>4</w:t>
      </w:r>
      <w:r w:rsidR="00BA447A">
        <w:t xml:space="preserve"> – v členění za IROP a NZÚ</w:t>
      </w:r>
      <w:r>
        <w:t>.</w:t>
      </w:r>
      <w:r w:rsidR="009A0EDC">
        <w:t xml:space="preserve"> </w:t>
      </w:r>
      <w:r>
        <w:t>Z tohoto</w:t>
      </w:r>
      <w:r w:rsidR="009A0EDC">
        <w:t xml:space="preserve"> </w:t>
      </w:r>
      <w:r>
        <w:t xml:space="preserve">porovnání </w:t>
      </w:r>
      <w:r w:rsidR="009A0EDC">
        <w:t>vyplývá výrazně vyšší finanč</w:t>
      </w:r>
      <w:r w:rsidR="003C6F1F">
        <w:t>n</w:t>
      </w:r>
      <w:r w:rsidR="009A0EDC">
        <w:t>í náročnost projektů IROP</w:t>
      </w:r>
      <w:r w:rsidR="00CA5C34">
        <w:rPr>
          <w:rStyle w:val="Znakapoznpodarou"/>
        </w:rPr>
        <w:footnoteReference w:id="59"/>
      </w:r>
      <w:r w:rsidR="009A0EDC">
        <w:t xml:space="preserve"> ve srovnání s projekty </w:t>
      </w:r>
      <w:r>
        <w:t xml:space="preserve">programu </w:t>
      </w:r>
      <w:r w:rsidR="009A0EDC">
        <w:t>NZÚ</w:t>
      </w:r>
      <w:r w:rsidR="00CA5C34">
        <w:t xml:space="preserve"> v obou skupinách projektů</w:t>
      </w:r>
      <w:r w:rsidR="00BA447A">
        <w:t xml:space="preserve">. </w:t>
      </w:r>
    </w:p>
    <w:p w14:paraId="10A10D88" w14:textId="50B25528" w:rsidR="00401D04" w:rsidRDefault="00E92AC5" w:rsidP="006D38EB">
      <w:pPr>
        <w:spacing w:after="120"/>
        <w:ind w:left="993" w:hanging="993"/>
      </w:pPr>
      <w:r>
        <w:rPr>
          <w:noProof/>
        </w:rPr>
        <w:drawing>
          <wp:anchor distT="0" distB="0" distL="114300" distR="114300" simplePos="0" relativeHeight="251658241" behindDoc="0" locked="0" layoutInCell="1" allowOverlap="1" wp14:anchorId="2E60EF5D" wp14:editId="497082D9">
            <wp:simplePos x="0" y="0"/>
            <wp:positionH relativeFrom="column">
              <wp:posOffset>6985</wp:posOffset>
            </wp:positionH>
            <wp:positionV relativeFrom="paragraph">
              <wp:posOffset>443230</wp:posOffset>
            </wp:positionV>
            <wp:extent cx="5548630" cy="3447415"/>
            <wp:effectExtent l="0" t="0" r="0" b="635"/>
            <wp:wrapTopAndBottom/>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548630" cy="3447415"/>
                    </a:xfrm>
                    <a:prstGeom prst="rect">
                      <a:avLst/>
                    </a:prstGeom>
                    <a:noFill/>
                  </pic:spPr>
                </pic:pic>
              </a:graphicData>
            </a:graphic>
            <wp14:sizeRelH relativeFrom="page">
              <wp14:pctWidth>0</wp14:pctWidth>
            </wp14:sizeRelH>
            <wp14:sizeRelV relativeFrom="page">
              <wp14:pctHeight>0</wp14:pctHeight>
            </wp14:sizeRelV>
          </wp:anchor>
        </w:drawing>
      </w:r>
      <w:r w:rsidR="00333926" w:rsidRPr="009F11E5">
        <w:t xml:space="preserve">Graf č. </w:t>
      </w:r>
      <w:r w:rsidR="00270B60">
        <w:t>4</w:t>
      </w:r>
      <w:r w:rsidR="00333926" w:rsidRPr="009F11E5">
        <w:t>:</w:t>
      </w:r>
      <w:r w:rsidR="002B59CC">
        <w:tab/>
      </w:r>
      <w:r w:rsidR="002300DC">
        <w:t xml:space="preserve">Skutečná </w:t>
      </w:r>
      <w:r w:rsidR="00BA447A">
        <w:t>měrn</w:t>
      </w:r>
      <w:r w:rsidR="002300DC">
        <w:t>á</w:t>
      </w:r>
      <w:r w:rsidR="00BA447A">
        <w:t xml:space="preserve"> dotace </w:t>
      </w:r>
      <w:r w:rsidR="004C6E78">
        <w:t xml:space="preserve">na 1 GJ ročních úspor </w:t>
      </w:r>
      <w:r w:rsidR="00BA447A">
        <w:t xml:space="preserve">u všech </w:t>
      </w:r>
      <w:r w:rsidR="00C01551">
        <w:t xml:space="preserve">projektů </w:t>
      </w:r>
      <w:r w:rsidR="00A952EB">
        <w:t xml:space="preserve">realizovaných </w:t>
      </w:r>
      <w:r w:rsidR="002B59CC">
        <w:t>do </w:t>
      </w:r>
      <w:r>
        <w:t>31. </w:t>
      </w:r>
      <w:r w:rsidR="00C01551">
        <w:t xml:space="preserve">12. 2020 </w:t>
      </w:r>
      <w:r w:rsidR="00A952EB">
        <w:t>v porovnání s </w:t>
      </w:r>
      <w:r w:rsidR="00131CD5">
        <w:t xml:space="preserve">realizovanými </w:t>
      </w:r>
      <w:r w:rsidR="00A952EB">
        <w:t xml:space="preserve">projekty </w:t>
      </w:r>
      <w:r w:rsidR="00401D04">
        <w:t xml:space="preserve">kontrolního </w:t>
      </w:r>
      <w:r w:rsidR="00A952EB">
        <w:t>vzorku</w:t>
      </w:r>
    </w:p>
    <w:p w14:paraId="5D053623" w14:textId="2DB57AD7" w:rsidR="00333926" w:rsidRPr="00F71E52" w:rsidRDefault="00333926" w:rsidP="00333926">
      <w:pPr>
        <w:spacing w:after="120"/>
        <w:rPr>
          <w:sz w:val="20"/>
        </w:rPr>
      </w:pPr>
      <w:r w:rsidRPr="00DF7287">
        <w:rPr>
          <w:b/>
          <w:i/>
          <w:sz w:val="20"/>
        </w:rPr>
        <w:t>Zdroj:</w:t>
      </w:r>
      <w:r w:rsidR="009F11E5">
        <w:rPr>
          <w:i/>
          <w:sz w:val="20"/>
        </w:rPr>
        <w:t xml:space="preserve"> </w:t>
      </w:r>
      <w:r w:rsidR="006D38EB">
        <w:rPr>
          <w:i/>
          <w:sz w:val="20"/>
        </w:rPr>
        <w:t>z</w:t>
      </w:r>
      <w:r w:rsidR="00354E25">
        <w:rPr>
          <w:i/>
          <w:sz w:val="20"/>
        </w:rPr>
        <w:t>pracov</w:t>
      </w:r>
      <w:r w:rsidR="006D38EB">
        <w:rPr>
          <w:i/>
          <w:sz w:val="20"/>
        </w:rPr>
        <w:t>al</w:t>
      </w:r>
      <w:r w:rsidR="00354E25">
        <w:rPr>
          <w:i/>
          <w:sz w:val="20"/>
        </w:rPr>
        <w:t xml:space="preserve"> NKÚ na základě údajů z MS2014+ a IS NZÚ 2015+.</w:t>
      </w:r>
    </w:p>
    <w:p w14:paraId="68A87F0F" w14:textId="39BF7396" w:rsidR="001C3DED" w:rsidRDefault="008067C1" w:rsidP="00F65B34">
      <w:pPr>
        <w:spacing w:after="120"/>
      </w:pPr>
      <w:r>
        <w:t>Mezi kategorie</w:t>
      </w:r>
      <w:r w:rsidR="0021759C">
        <w:t xml:space="preserve"> sledovan</w:t>
      </w:r>
      <w:r w:rsidR="006D38EB">
        <w:t>é</w:t>
      </w:r>
      <w:r>
        <w:t xml:space="preserve"> v</w:t>
      </w:r>
      <w:r w:rsidR="0021759C">
        <w:t xml:space="preserve"> průkazech energetické náročnosti budov </w:t>
      </w:r>
      <w:r w:rsidR="006D38EB">
        <w:t>patří nejen</w:t>
      </w:r>
      <w:r w:rsidR="0021759C">
        <w:t xml:space="preserve"> </w:t>
      </w:r>
      <w:r>
        <w:t>způsob vytápění, chlazení, větrání</w:t>
      </w:r>
      <w:r w:rsidR="006D38EB">
        <w:t>,</w:t>
      </w:r>
      <w:r>
        <w:t xml:space="preserve"> úprava vlhkosti vzduchu nebo osvětlení</w:t>
      </w:r>
      <w:r w:rsidR="0021759C">
        <w:t xml:space="preserve">, </w:t>
      </w:r>
      <w:r w:rsidR="006D38EB">
        <w:t xml:space="preserve">ale </w:t>
      </w:r>
      <w:r w:rsidR="0021759C">
        <w:t xml:space="preserve">i využívané </w:t>
      </w:r>
      <w:proofErr w:type="spellStart"/>
      <w:r w:rsidR="0021759C">
        <w:t>energonositele</w:t>
      </w:r>
      <w:proofErr w:type="spellEnd"/>
      <w:r w:rsidR="0021759C">
        <w:rPr>
          <w:rStyle w:val="Znakapoznpodarou"/>
        </w:rPr>
        <w:footnoteReference w:id="60"/>
      </w:r>
      <w:r w:rsidR="0021759C">
        <w:t xml:space="preserve">. </w:t>
      </w:r>
      <w:r w:rsidR="009A0EDC">
        <w:t xml:space="preserve">NKÚ zpracoval z údajů v PENB u kontrolovaných projektů IROP a </w:t>
      </w:r>
      <w:r w:rsidR="006D38EB">
        <w:t xml:space="preserve">programu </w:t>
      </w:r>
      <w:r w:rsidR="009A0EDC">
        <w:t>NZÚ srovnání</w:t>
      </w:r>
      <w:r w:rsidR="0021759C">
        <w:t xml:space="preserve"> zastoupení </w:t>
      </w:r>
      <w:proofErr w:type="spellStart"/>
      <w:r w:rsidR="0021759C">
        <w:t>energonositelů</w:t>
      </w:r>
      <w:proofErr w:type="spellEnd"/>
      <w:r w:rsidR="0021759C">
        <w:t xml:space="preserve"> </w:t>
      </w:r>
      <w:r w:rsidR="0021759C">
        <w:rPr>
          <w:i/>
        </w:rPr>
        <w:t xml:space="preserve">před </w:t>
      </w:r>
      <w:r w:rsidR="006D38EB">
        <w:t xml:space="preserve">realizací </w:t>
      </w:r>
      <w:r w:rsidR="0021759C">
        <w:t xml:space="preserve">a </w:t>
      </w:r>
      <w:r w:rsidR="0021759C">
        <w:rPr>
          <w:i/>
        </w:rPr>
        <w:t xml:space="preserve">po </w:t>
      </w:r>
      <w:r w:rsidR="0021759C">
        <w:t>realizaci projektů</w:t>
      </w:r>
      <w:r w:rsidR="00793895">
        <w:t xml:space="preserve"> vybraných do kontrolního vzorku</w:t>
      </w:r>
      <w:r w:rsidR="006D38EB">
        <w:t>.</w:t>
      </w:r>
      <w:r w:rsidR="007B0438">
        <w:t xml:space="preserve"> </w:t>
      </w:r>
      <w:r w:rsidR="006D38EB">
        <w:t>Z tohoto srovnání</w:t>
      </w:r>
      <w:r w:rsidR="007B0438">
        <w:t xml:space="preserve"> vyplývá </w:t>
      </w:r>
      <w:r w:rsidR="00A947EB">
        <w:t xml:space="preserve">snížení podílu pevných paliv na výrobě energie ve prospěch obnovitelných zdrojů energie. </w:t>
      </w:r>
      <w:r w:rsidR="0021759C">
        <w:t>Přehled změn podíl</w:t>
      </w:r>
      <w:r w:rsidR="006D38EB">
        <w:t>ů</w:t>
      </w:r>
      <w:r w:rsidR="0021759C">
        <w:t xml:space="preserve"> </w:t>
      </w:r>
      <w:proofErr w:type="spellStart"/>
      <w:r w:rsidR="0021759C">
        <w:t>energonositelů</w:t>
      </w:r>
      <w:proofErr w:type="spellEnd"/>
      <w:r w:rsidR="0021759C">
        <w:t xml:space="preserve"> na dodané energii v důsledku </w:t>
      </w:r>
      <w:r w:rsidR="009A0EDC">
        <w:t xml:space="preserve">realizovaných opatření poskytuje graf v příloze č. 2 </w:t>
      </w:r>
      <w:r w:rsidR="006D38EB">
        <w:t xml:space="preserve">tohoto </w:t>
      </w:r>
      <w:r w:rsidR="009A0EDC">
        <w:t xml:space="preserve">kontrolního závěru. </w:t>
      </w:r>
    </w:p>
    <w:p w14:paraId="5864936E" w14:textId="4B477B80" w:rsidR="004C0F3E" w:rsidRDefault="00827872" w:rsidP="00C6256E">
      <w:pPr>
        <w:spacing w:after="120"/>
        <w:rPr>
          <w:b/>
          <w:noProof/>
        </w:rPr>
      </w:pPr>
      <w:r w:rsidRPr="00827872">
        <w:rPr>
          <w:b/>
        </w:rPr>
        <w:lastRenderedPageBreak/>
        <w:t>S</w:t>
      </w:r>
      <w:r w:rsidR="001D7420" w:rsidRPr="00827872">
        <w:rPr>
          <w:b/>
          <w:noProof/>
        </w:rPr>
        <w:t xml:space="preserve">eznam </w:t>
      </w:r>
      <w:r w:rsidR="00C249F4" w:rsidRPr="00827872">
        <w:rPr>
          <w:b/>
          <w:noProof/>
        </w:rPr>
        <w:t xml:space="preserve">použitých </w:t>
      </w:r>
      <w:r w:rsidR="001D7420" w:rsidRPr="00827872">
        <w:rPr>
          <w:b/>
          <w:noProof/>
        </w:rPr>
        <w:t>zkratek:</w:t>
      </w:r>
    </w:p>
    <w:tbl>
      <w:tblPr>
        <w:tblW w:w="89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40"/>
        <w:gridCol w:w="6740"/>
      </w:tblGrid>
      <w:tr w:rsidR="00661C71" w:rsidRPr="00661C71" w14:paraId="1B552EF2" w14:textId="77777777" w:rsidTr="005D7C02">
        <w:trPr>
          <w:trHeight w:val="360"/>
        </w:trPr>
        <w:tc>
          <w:tcPr>
            <w:tcW w:w="2240" w:type="dxa"/>
            <w:shd w:val="clear" w:color="auto" w:fill="auto"/>
            <w:vAlign w:val="center"/>
            <w:hideMark/>
          </w:tcPr>
          <w:p w14:paraId="2FC30719"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BD</w:t>
            </w:r>
          </w:p>
        </w:tc>
        <w:tc>
          <w:tcPr>
            <w:tcW w:w="6740" w:type="dxa"/>
            <w:shd w:val="clear" w:color="auto" w:fill="auto"/>
            <w:vAlign w:val="center"/>
            <w:hideMark/>
          </w:tcPr>
          <w:p w14:paraId="67F41EF9" w14:textId="5C9DA0B9" w:rsidR="00661C71" w:rsidRPr="0052477A" w:rsidRDefault="00F84671" w:rsidP="0052477A">
            <w:pPr>
              <w:spacing w:before="40" w:after="40"/>
              <w:rPr>
                <w:rFonts w:ascii="Calibri" w:hAnsi="Calibri" w:cs="Calibri"/>
                <w:color w:val="000000"/>
                <w:sz w:val="22"/>
                <w:szCs w:val="22"/>
              </w:rPr>
            </w:pPr>
            <w:r>
              <w:rPr>
                <w:rFonts w:ascii="Calibri" w:hAnsi="Calibri" w:cs="Calibri"/>
                <w:color w:val="000000"/>
                <w:sz w:val="22"/>
                <w:szCs w:val="22"/>
              </w:rPr>
              <w:t>bytové domy</w:t>
            </w:r>
          </w:p>
        </w:tc>
      </w:tr>
      <w:tr w:rsidR="00661C71" w:rsidRPr="00661C71" w14:paraId="17221005" w14:textId="77777777" w:rsidTr="005D7C02">
        <w:trPr>
          <w:trHeight w:val="360"/>
        </w:trPr>
        <w:tc>
          <w:tcPr>
            <w:tcW w:w="2240" w:type="dxa"/>
            <w:shd w:val="clear" w:color="auto" w:fill="auto"/>
            <w:vAlign w:val="center"/>
            <w:hideMark/>
          </w:tcPr>
          <w:p w14:paraId="2DF6B063" w14:textId="112A16DB"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BD1</w:t>
            </w:r>
            <w:r w:rsidR="00E10BFD">
              <w:rPr>
                <w:rFonts w:ascii="Calibri" w:hAnsi="Calibri" w:cs="Calibri"/>
                <w:sz w:val="22"/>
                <w:szCs w:val="22"/>
              </w:rPr>
              <w:t xml:space="preserve">, </w:t>
            </w:r>
            <w:r w:rsidRPr="00661C71">
              <w:rPr>
                <w:rFonts w:ascii="Calibri" w:hAnsi="Calibri" w:cs="Calibri"/>
                <w:sz w:val="22"/>
                <w:szCs w:val="22"/>
              </w:rPr>
              <w:t>BD2</w:t>
            </w:r>
            <w:r w:rsidR="00E10BFD">
              <w:rPr>
                <w:rFonts w:ascii="Calibri" w:hAnsi="Calibri" w:cs="Calibri"/>
                <w:sz w:val="22"/>
                <w:szCs w:val="22"/>
              </w:rPr>
              <w:t>, BD3</w:t>
            </w:r>
          </w:p>
        </w:tc>
        <w:tc>
          <w:tcPr>
            <w:tcW w:w="6740" w:type="dxa"/>
            <w:shd w:val="clear" w:color="auto" w:fill="auto"/>
            <w:vAlign w:val="center"/>
            <w:hideMark/>
          </w:tcPr>
          <w:p w14:paraId="6BD9A1D3" w14:textId="126EA3A7" w:rsidR="00661C71" w:rsidRPr="00661C71" w:rsidRDefault="00661C71" w:rsidP="00F71E52">
            <w:pPr>
              <w:spacing w:before="40" w:after="40"/>
              <w:jc w:val="left"/>
              <w:rPr>
                <w:rFonts w:ascii="Calibri" w:hAnsi="Calibri" w:cs="Calibri"/>
                <w:sz w:val="22"/>
                <w:szCs w:val="22"/>
              </w:rPr>
            </w:pPr>
            <w:r w:rsidRPr="00661C71">
              <w:rPr>
                <w:rFonts w:ascii="Calibri" w:hAnsi="Calibri" w:cs="Calibri"/>
                <w:sz w:val="22"/>
                <w:szCs w:val="22"/>
              </w:rPr>
              <w:t>výzvy č. 1</w:t>
            </w:r>
            <w:r w:rsidR="00E10BFD">
              <w:rPr>
                <w:rFonts w:ascii="Calibri" w:hAnsi="Calibri" w:cs="Calibri"/>
                <w:sz w:val="22"/>
                <w:szCs w:val="22"/>
              </w:rPr>
              <w:t xml:space="preserve">, </w:t>
            </w:r>
            <w:r w:rsidRPr="00661C71">
              <w:rPr>
                <w:rFonts w:ascii="Calibri" w:hAnsi="Calibri" w:cs="Calibri"/>
                <w:sz w:val="22"/>
                <w:szCs w:val="22"/>
              </w:rPr>
              <w:t>2</w:t>
            </w:r>
            <w:r w:rsidR="00E10BFD">
              <w:rPr>
                <w:rFonts w:ascii="Calibri" w:hAnsi="Calibri" w:cs="Calibri"/>
                <w:sz w:val="22"/>
                <w:szCs w:val="22"/>
              </w:rPr>
              <w:t xml:space="preserve"> a 3</w:t>
            </w:r>
            <w:r w:rsidRPr="00661C71">
              <w:rPr>
                <w:rFonts w:ascii="Calibri" w:hAnsi="Calibri" w:cs="Calibri"/>
                <w:sz w:val="22"/>
                <w:szCs w:val="22"/>
              </w:rPr>
              <w:t xml:space="preserve"> </w:t>
            </w:r>
            <w:r w:rsidR="00530253">
              <w:rPr>
                <w:rFonts w:ascii="Calibri" w:hAnsi="Calibri" w:cs="Calibri"/>
                <w:sz w:val="22"/>
                <w:szCs w:val="22"/>
              </w:rPr>
              <w:t xml:space="preserve">programu </w:t>
            </w:r>
            <w:r w:rsidRPr="00661C71">
              <w:rPr>
                <w:rFonts w:ascii="Calibri" w:hAnsi="Calibri" w:cs="Calibri"/>
                <w:sz w:val="22"/>
                <w:szCs w:val="22"/>
              </w:rPr>
              <w:t xml:space="preserve">NZÚ vyhlášené v rámci podprogramu </w:t>
            </w:r>
            <w:r w:rsidRPr="00661C71">
              <w:rPr>
                <w:rFonts w:ascii="Calibri" w:hAnsi="Calibri" w:cs="Calibri"/>
                <w:i/>
                <w:iCs/>
                <w:sz w:val="22"/>
                <w:szCs w:val="22"/>
              </w:rPr>
              <w:t xml:space="preserve">Bytové domy </w:t>
            </w:r>
          </w:p>
        </w:tc>
      </w:tr>
      <w:tr w:rsidR="007E1967" w:rsidRPr="00661C71" w14:paraId="5473E9A8" w14:textId="77777777" w:rsidTr="005D7C02">
        <w:trPr>
          <w:trHeight w:val="360"/>
        </w:trPr>
        <w:tc>
          <w:tcPr>
            <w:tcW w:w="2240" w:type="dxa"/>
            <w:shd w:val="clear" w:color="auto" w:fill="auto"/>
            <w:vAlign w:val="center"/>
          </w:tcPr>
          <w:p w14:paraId="17FF650B" w14:textId="6C689CA5" w:rsidR="007E1967" w:rsidRPr="00661C71" w:rsidRDefault="007E1967" w:rsidP="003B5851">
            <w:pPr>
              <w:spacing w:before="40" w:after="40"/>
              <w:rPr>
                <w:rFonts w:ascii="Calibri" w:hAnsi="Calibri" w:cs="Calibri"/>
                <w:sz w:val="22"/>
                <w:szCs w:val="22"/>
              </w:rPr>
            </w:pPr>
            <w:r>
              <w:rPr>
                <w:rFonts w:ascii="Calibri" w:hAnsi="Calibri" w:cs="Calibri"/>
                <w:sz w:val="22"/>
                <w:szCs w:val="22"/>
              </w:rPr>
              <w:t>BVS</w:t>
            </w:r>
          </w:p>
        </w:tc>
        <w:tc>
          <w:tcPr>
            <w:tcW w:w="6740" w:type="dxa"/>
            <w:shd w:val="clear" w:color="auto" w:fill="auto"/>
            <w:vAlign w:val="center"/>
          </w:tcPr>
          <w:p w14:paraId="3BD423F3" w14:textId="22D88792" w:rsidR="007E1967" w:rsidRPr="007E1967" w:rsidRDefault="007E1967" w:rsidP="00F71E52">
            <w:pPr>
              <w:spacing w:before="40" w:after="40"/>
              <w:jc w:val="left"/>
              <w:rPr>
                <w:rFonts w:ascii="Calibri" w:hAnsi="Calibri" w:cs="Calibri"/>
                <w:sz w:val="22"/>
                <w:szCs w:val="22"/>
              </w:rPr>
            </w:pPr>
            <w:r>
              <w:rPr>
                <w:rFonts w:ascii="Calibri" w:hAnsi="Calibri" w:cs="Calibri"/>
                <w:sz w:val="22"/>
                <w:szCs w:val="22"/>
              </w:rPr>
              <w:t xml:space="preserve">podprogram </w:t>
            </w:r>
            <w:r w:rsidRPr="007E1967">
              <w:rPr>
                <w:rFonts w:ascii="Calibri" w:hAnsi="Calibri" w:cs="Calibri"/>
                <w:i/>
                <w:sz w:val="22"/>
                <w:szCs w:val="22"/>
              </w:rPr>
              <w:t>Budovy veřejného sektoru</w:t>
            </w:r>
            <w:r>
              <w:rPr>
                <w:rFonts w:ascii="Calibri" w:hAnsi="Calibri" w:cs="Calibri"/>
                <w:sz w:val="22"/>
                <w:szCs w:val="22"/>
              </w:rPr>
              <w:t xml:space="preserve"> programu </w:t>
            </w:r>
            <w:r w:rsidRPr="007E1967">
              <w:rPr>
                <w:rFonts w:ascii="Calibri" w:hAnsi="Calibri" w:cs="Calibri"/>
                <w:i/>
                <w:sz w:val="22"/>
                <w:szCs w:val="22"/>
              </w:rPr>
              <w:t>Nová zelená úsporám</w:t>
            </w:r>
          </w:p>
        </w:tc>
      </w:tr>
      <w:tr w:rsidR="00661C71" w:rsidRPr="00661C71" w14:paraId="0E48C8BC" w14:textId="77777777" w:rsidTr="005D7C02">
        <w:trPr>
          <w:trHeight w:val="360"/>
        </w:trPr>
        <w:tc>
          <w:tcPr>
            <w:tcW w:w="2240" w:type="dxa"/>
            <w:shd w:val="clear" w:color="auto" w:fill="auto"/>
            <w:vAlign w:val="center"/>
            <w:hideMark/>
          </w:tcPr>
          <w:p w14:paraId="10CD46BE" w14:textId="77777777" w:rsidR="00661C71" w:rsidRPr="00661C71" w:rsidRDefault="00661C71" w:rsidP="003B5851">
            <w:pPr>
              <w:spacing w:before="40" w:after="40"/>
              <w:rPr>
                <w:rFonts w:ascii="Calibri" w:hAnsi="Calibri" w:cs="Calibri"/>
                <w:color w:val="000000"/>
                <w:sz w:val="22"/>
                <w:szCs w:val="22"/>
              </w:rPr>
            </w:pPr>
            <w:r w:rsidRPr="00661C71">
              <w:rPr>
                <w:rFonts w:ascii="Calibri" w:hAnsi="Calibri" w:cs="Calibri"/>
                <w:color w:val="000000"/>
                <w:sz w:val="22"/>
                <w:szCs w:val="22"/>
              </w:rPr>
              <w:t>CRR</w:t>
            </w:r>
          </w:p>
        </w:tc>
        <w:tc>
          <w:tcPr>
            <w:tcW w:w="6740" w:type="dxa"/>
            <w:shd w:val="clear" w:color="auto" w:fill="auto"/>
            <w:vAlign w:val="center"/>
            <w:hideMark/>
          </w:tcPr>
          <w:p w14:paraId="2E1F9FF8" w14:textId="77777777" w:rsidR="00661C71" w:rsidRPr="00661C71" w:rsidRDefault="00661C71" w:rsidP="003B5851">
            <w:pPr>
              <w:spacing w:before="40" w:after="40"/>
              <w:rPr>
                <w:rFonts w:ascii="Calibri" w:hAnsi="Calibri" w:cs="Calibri"/>
                <w:color w:val="000000"/>
                <w:sz w:val="22"/>
                <w:szCs w:val="22"/>
              </w:rPr>
            </w:pPr>
            <w:r w:rsidRPr="00661C71">
              <w:rPr>
                <w:rFonts w:ascii="Calibri" w:hAnsi="Calibri" w:cs="Calibri"/>
                <w:color w:val="000000"/>
                <w:sz w:val="22"/>
                <w:szCs w:val="22"/>
              </w:rPr>
              <w:t>Centrum pro regionální rozvoj České republiky</w:t>
            </w:r>
          </w:p>
        </w:tc>
      </w:tr>
      <w:tr w:rsidR="00661C71" w:rsidRPr="00661C71" w14:paraId="73285B22" w14:textId="77777777" w:rsidTr="005D7C02">
        <w:trPr>
          <w:trHeight w:val="360"/>
        </w:trPr>
        <w:tc>
          <w:tcPr>
            <w:tcW w:w="2240" w:type="dxa"/>
            <w:shd w:val="clear" w:color="auto" w:fill="auto"/>
            <w:vAlign w:val="center"/>
            <w:hideMark/>
          </w:tcPr>
          <w:p w14:paraId="19498D65"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ČR</w:t>
            </w:r>
          </w:p>
        </w:tc>
        <w:tc>
          <w:tcPr>
            <w:tcW w:w="6740" w:type="dxa"/>
            <w:shd w:val="clear" w:color="auto" w:fill="auto"/>
            <w:vAlign w:val="center"/>
            <w:hideMark/>
          </w:tcPr>
          <w:p w14:paraId="35C21EE7"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Česká republika</w:t>
            </w:r>
          </w:p>
        </w:tc>
      </w:tr>
      <w:tr w:rsidR="00661C71" w:rsidRPr="00661C71" w14:paraId="0AB0893E" w14:textId="77777777" w:rsidTr="005D7C02">
        <w:trPr>
          <w:trHeight w:val="864"/>
        </w:trPr>
        <w:tc>
          <w:tcPr>
            <w:tcW w:w="2240" w:type="dxa"/>
            <w:shd w:val="clear" w:color="auto" w:fill="auto"/>
            <w:vAlign w:val="center"/>
            <w:hideMark/>
          </w:tcPr>
          <w:p w14:paraId="6E3D11AC"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Dohoda o delegování</w:t>
            </w:r>
          </w:p>
        </w:tc>
        <w:tc>
          <w:tcPr>
            <w:tcW w:w="6740" w:type="dxa"/>
            <w:shd w:val="clear" w:color="auto" w:fill="auto"/>
            <w:vAlign w:val="center"/>
            <w:hideMark/>
          </w:tcPr>
          <w:p w14:paraId="37DBEA19" w14:textId="69338A63" w:rsidR="00661C71" w:rsidRPr="00F71E52" w:rsidRDefault="00661C71" w:rsidP="00F71E52">
            <w:pPr>
              <w:spacing w:before="40" w:after="40"/>
              <w:jc w:val="left"/>
              <w:rPr>
                <w:rFonts w:ascii="Calibri" w:hAnsi="Calibri" w:cs="Calibri"/>
                <w:i/>
                <w:sz w:val="22"/>
                <w:szCs w:val="22"/>
              </w:rPr>
            </w:pPr>
            <w:r w:rsidRPr="00F71E52">
              <w:rPr>
                <w:rFonts w:ascii="Calibri" w:hAnsi="Calibri" w:cs="Calibri"/>
                <w:i/>
                <w:sz w:val="22"/>
                <w:szCs w:val="22"/>
              </w:rPr>
              <w:t xml:space="preserve">Dohoda o delegování některých činností a pravomocí Ministerstva životního prostředí jako správce programu Nová zelená úsporám </w:t>
            </w:r>
            <w:r w:rsidR="00A82D0D">
              <w:rPr>
                <w:rFonts w:ascii="Calibri" w:hAnsi="Calibri" w:cs="Calibri"/>
                <w:i/>
                <w:sz w:val="22"/>
                <w:szCs w:val="22"/>
              </w:rPr>
              <w:br/>
            </w:r>
            <w:r w:rsidRPr="00F71E52">
              <w:rPr>
                <w:rFonts w:ascii="Calibri" w:hAnsi="Calibri" w:cs="Calibri"/>
                <w:i/>
                <w:sz w:val="22"/>
                <w:szCs w:val="22"/>
              </w:rPr>
              <w:t>na Státní fond životního prostředí České republiky</w:t>
            </w:r>
          </w:p>
        </w:tc>
      </w:tr>
      <w:tr w:rsidR="00661C71" w:rsidRPr="00661C71" w14:paraId="4A6CC4D7" w14:textId="77777777" w:rsidTr="005D7C02">
        <w:trPr>
          <w:trHeight w:val="360"/>
        </w:trPr>
        <w:tc>
          <w:tcPr>
            <w:tcW w:w="2240" w:type="dxa"/>
            <w:shd w:val="clear" w:color="auto" w:fill="auto"/>
            <w:vAlign w:val="center"/>
            <w:hideMark/>
          </w:tcPr>
          <w:p w14:paraId="40113249"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EFRR</w:t>
            </w:r>
          </w:p>
        </w:tc>
        <w:tc>
          <w:tcPr>
            <w:tcW w:w="6740" w:type="dxa"/>
            <w:shd w:val="clear" w:color="auto" w:fill="auto"/>
            <w:vAlign w:val="center"/>
            <w:hideMark/>
          </w:tcPr>
          <w:p w14:paraId="6EC30391" w14:textId="77777777" w:rsidR="00661C71" w:rsidRPr="00F71E52" w:rsidRDefault="00661C71" w:rsidP="003B5851">
            <w:pPr>
              <w:spacing w:before="40" w:after="40"/>
              <w:rPr>
                <w:rFonts w:ascii="Calibri" w:hAnsi="Calibri" w:cs="Calibri"/>
                <w:i/>
                <w:sz w:val="22"/>
                <w:szCs w:val="22"/>
              </w:rPr>
            </w:pPr>
            <w:r w:rsidRPr="00F71E52">
              <w:rPr>
                <w:rFonts w:ascii="Calibri" w:hAnsi="Calibri" w:cs="Calibri"/>
                <w:i/>
                <w:sz w:val="22"/>
                <w:szCs w:val="22"/>
              </w:rPr>
              <w:t>Evropský fond pro regionální rozvoj</w:t>
            </w:r>
          </w:p>
        </w:tc>
      </w:tr>
      <w:tr w:rsidR="001B5BE6" w:rsidRPr="00661C71" w14:paraId="2EB5F80C" w14:textId="77777777" w:rsidTr="005D7C02">
        <w:trPr>
          <w:trHeight w:val="360"/>
        </w:trPr>
        <w:tc>
          <w:tcPr>
            <w:tcW w:w="2240" w:type="dxa"/>
            <w:shd w:val="clear" w:color="auto" w:fill="auto"/>
            <w:vAlign w:val="center"/>
          </w:tcPr>
          <w:p w14:paraId="797B1DC5" w14:textId="38CCDC12" w:rsidR="001B5BE6" w:rsidRPr="00661C71" w:rsidRDefault="001B5BE6" w:rsidP="003B5851">
            <w:pPr>
              <w:spacing w:before="40" w:after="40"/>
              <w:rPr>
                <w:rFonts w:ascii="Calibri" w:hAnsi="Calibri" w:cs="Calibri"/>
                <w:sz w:val="22"/>
                <w:szCs w:val="22"/>
              </w:rPr>
            </w:pPr>
            <w:r>
              <w:rPr>
                <w:rFonts w:ascii="Calibri" w:hAnsi="Calibri" w:cs="Calibri"/>
                <w:sz w:val="22"/>
                <w:szCs w:val="22"/>
              </w:rPr>
              <w:t>ESIF</w:t>
            </w:r>
          </w:p>
        </w:tc>
        <w:tc>
          <w:tcPr>
            <w:tcW w:w="6740" w:type="dxa"/>
            <w:shd w:val="clear" w:color="auto" w:fill="auto"/>
            <w:vAlign w:val="center"/>
          </w:tcPr>
          <w:p w14:paraId="0331F5F9" w14:textId="39927728" w:rsidR="001B5BE6" w:rsidRPr="00F71E52" w:rsidRDefault="001B5BE6" w:rsidP="003B5851">
            <w:pPr>
              <w:spacing w:before="40" w:after="40"/>
              <w:rPr>
                <w:rFonts w:ascii="Calibri" w:hAnsi="Calibri" w:cs="Calibri"/>
                <w:sz w:val="22"/>
                <w:szCs w:val="22"/>
              </w:rPr>
            </w:pPr>
            <w:r>
              <w:rPr>
                <w:rFonts w:ascii="Calibri" w:hAnsi="Calibri" w:cs="Calibri"/>
                <w:sz w:val="22"/>
                <w:szCs w:val="22"/>
              </w:rPr>
              <w:t>evropské strukturální a investiční fondy</w:t>
            </w:r>
          </w:p>
        </w:tc>
      </w:tr>
      <w:tr w:rsidR="00661C71" w:rsidRPr="00661C71" w14:paraId="0720039C" w14:textId="77777777" w:rsidTr="005D7C02">
        <w:trPr>
          <w:trHeight w:val="360"/>
        </w:trPr>
        <w:tc>
          <w:tcPr>
            <w:tcW w:w="2240" w:type="dxa"/>
            <w:shd w:val="clear" w:color="auto" w:fill="auto"/>
            <w:vAlign w:val="center"/>
            <w:hideMark/>
          </w:tcPr>
          <w:p w14:paraId="49C84CFD"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EU</w:t>
            </w:r>
          </w:p>
        </w:tc>
        <w:tc>
          <w:tcPr>
            <w:tcW w:w="6740" w:type="dxa"/>
            <w:shd w:val="clear" w:color="auto" w:fill="auto"/>
            <w:vAlign w:val="center"/>
            <w:hideMark/>
          </w:tcPr>
          <w:p w14:paraId="243E5A6E"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Evropská unie</w:t>
            </w:r>
          </w:p>
        </w:tc>
      </w:tr>
      <w:tr w:rsidR="005D7C02" w:rsidRPr="00661C71" w14:paraId="7B7DD433" w14:textId="77777777" w:rsidTr="005D7C02">
        <w:trPr>
          <w:trHeight w:val="360"/>
        </w:trPr>
        <w:tc>
          <w:tcPr>
            <w:tcW w:w="2240" w:type="dxa"/>
            <w:shd w:val="clear" w:color="auto" w:fill="auto"/>
            <w:vAlign w:val="center"/>
          </w:tcPr>
          <w:p w14:paraId="3F4CAF91" w14:textId="7DD5AF40" w:rsidR="005D7C02" w:rsidRPr="00661C71" w:rsidRDefault="005D7C02" w:rsidP="003B5851">
            <w:pPr>
              <w:spacing w:before="40" w:after="40"/>
              <w:rPr>
                <w:rFonts w:ascii="Calibri" w:hAnsi="Calibri" w:cs="Calibri"/>
                <w:sz w:val="22"/>
                <w:szCs w:val="22"/>
              </w:rPr>
            </w:pPr>
            <w:r>
              <w:rPr>
                <w:rFonts w:ascii="Calibri" w:hAnsi="Calibri" w:cs="Calibri"/>
                <w:sz w:val="22"/>
                <w:szCs w:val="22"/>
              </w:rPr>
              <w:t>EÚD</w:t>
            </w:r>
          </w:p>
        </w:tc>
        <w:tc>
          <w:tcPr>
            <w:tcW w:w="6740" w:type="dxa"/>
            <w:shd w:val="clear" w:color="auto" w:fill="auto"/>
            <w:vAlign w:val="center"/>
          </w:tcPr>
          <w:p w14:paraId="7BF83107" w14:textId="38206AF1" w:rsidR="005D7C02" w:rsidRPr="00661C71" w:rsidRDefault="005D7C02" w:rsidP="003B5851">
            <w:pPr>
              <w:spacing w:before="40" w:after="40"/>
              <w:rPr>
                <w:rFonts w:ascii="Calibri" w:hAnsi="Calibri" w:cs="Calibri"/>
                <w:sz w:val="22"/>
                <w:szCs w:val="22"/>
              </w:rPr>
            </w:pPr>
            <w:r>
              <w:rPr>
                <w:rFonts w:ascii="Calibri" w:hAnsi="Calibri" w:cs="Calibri"/>
                <w:sz w:val="22"/>
                <w:szCs w:val="22"/>
              </w:rPr>
              <w:t>Evropský účetní dvůr</w:t>
            </w:r>
          </w:p>
        </w:tc>
      </w:tr>
      <w:tr w:rsidR="00661C71" w:rsidRPr="00661C71" w14:paraId="512AFF53" w14:textId="77777777" w:rsidTr="005D7C02">
        <w:trPr>
          <w:trHeight w:val="360"/>
        </w:trPr>
        <w:tc>
          <w:tcPr>
            <w:tcW w:w="2240" w:type="dxa"/>
            <w:shd w:val="clear" w:color="auto" w:fill="auto"/>
            <w:noWrap/>
            <w:vAlign w:val="center"/>
            <w:hideMark/>
          </w:tcPr>
          <w:p w14:paraId="72371C62"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FN IROP</w:t>
            </w:r>
          </w:p>
        </w:tc>
        <w:tc>
          <w:tcPr>
            <w:tcW w:w="6740" w:type="dxa"/>
            <w:shd w:val="clear" w:color="auto" w:fill="auto"/>
            <w:vAlign w:val="center"/>
            <w:hideMark/>
          </w:tcPr>
          <w:p w14:paraId="4748DBF4" w14:textId="16BB91B9"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 xml:space="preserve">finanční nástroj </w:t>
            </w:r>
            <w:r w:rsidRPr="00F71E52">
              <w:rPr>
                <w:rFonts w:ascii="Calibri" w:hAnsi="Calibri" w:cs="Calibri"/>
                <w:i/>
                <w:sz w:val="22"/>
                <w:szCs w:val="22"/>
              </w:rPr>
              <w:t>Integrovaného regionálního operačního programu</w:t>
            </w:r>
          </w:p>
        </w:tc>
      </w:tr>
      <w:tr w:rsidR="00661C71" w:rsidRPr="00661C71" w14:paraId="648DA2E4" w14:textId="77777777" w:rsidTr="005D7C02">
        <w:trPr>
          <w:trHeight w:val="360"/>
        </w:trPr>
        <w:tc>
          <w:tcPr>
            <w:tcW w:w="2240" w:type="dxa"/>
            <w:shd w:val="clear" w:color="auto" w:fill="auto"/>
            <w:vAlign w:val="center"/>
            <w:hideMark/>
          </w:tcPr>
          <w:p w14:paraId="7991EB44"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GJ</w:t>
            </w:r>
          </w:p>
        </w:tc>
        <w:tc>
          <w:tcPr>
            <w:tcW w:w="6740" w:type="dxa"/>
            <w:shd w:val="clear" w:color="auto" w:fill="auto"/>
            <w:vAlign w:val="center"/>
            <w:hideMark/>
          </w:tcPr>
          <w:p w14:paraId="6DFB80EB" w14:textId="1C091398"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gigajoul</w:t>
            </w:r>
            <w:r w:rsidR="006E5D0A">
              <w:rPr>
                <w:rFonts w:ascii="Calibri" w:hAnsi="Calibri" w:cs="Calibri"/>
                <w:sz w:val="22"/>
                <w:szCs w:val="22"/>
              </w:rPr>
              <w:t>e</w:t>
            </w:r>
          </w:p>
        </w:tc>
      </w:tr>
      <w:tr w:rsidR="00661C71" w:rsidRPr="00661C71" w14:paraId="16859B67" w14:textId="77777777" w:rsidTr="005D7C02">
        <w:trPr>
          <w:trHeight w:val="360"/>
        </w:trPr>
        <w:tc>
          <w:tcPr>
            <w:tcW w:w="2240" w:type="dxa"/>
            <w:shd w:val="clear" w:color="auto" w:fill="auto"/>
            <w:vAlign w:val="center"/>
            <w:hideMark/>
          </w:tcPr>
          <w:p w14:paraId="28AEF7D8" w14:textId="77777777" w:rsidR="00661C71" w:rsidRPr="00661C71" w:rsidRDefault="00661C71" w:rsidP="003B5851">
            <w:pPr>
              <w:spacing w:before="40" w:after="40"/>
              <w:rPr>
                <w:rFonts w:ascii="Calibri" w:hAnsi="Calibri" w:cs="Calibri"/>
                <w:color w:val="000000"/>
                <w:sz w:val="22"/>
                <w:szCs w:val="22"/>
              </w:rPr>
            </w:pPr>
            <w:r w:rsidRPr="00661C71">
              <w:rPr>
                <w:rFonts w:ascii="Calibri" w:hAnsi="Calibri" w:cs="Calibri"/>
                <w:color w:val="000000"/>
                <w:sz w:val="22"/>
                <w:szCs w:val="22"/>
              </w:rPr>
              <w:t>IROP</w:t>
            </w:r>
          </w:p>
        </w:tc>
        <w:tc>
          <w:tcPr>
            <w:tcW w:w="6740" w:type="dxa"/>
            <w:shd w:val="clear" w:color="auto" w:fill="auto"/>
            <w:vAlign w:val="center"/>
            <w:hideMark/>
          </w:tcPr>
          <w:p w14:paraId="5B66EC57" w14:textId="77777777" w:rsidR="00661C71" w:rsidRPr="00F71E52" w:rsidRDefault="00661C71" w:rsidP="003B5851">
            <w:pPr>
              <w:spacing w:before="40" w:after="40"/>
              <w:rPr>
                <w:rFonts w:ascii="Calibri" w:hAnsi="Calibri" w:cs="Calibri"/>
                <w:i/>
                <w:color w:val="000000"/>
                <w:sz w:val="22"/>
                <w:szCs w:val="22"/>
              </w:rPr>
            </w:pPr>
            <w:r w:rsidRPr="00F71E52">
              <w:rPr>
                <w:rFonts w:ascii="Calibri" w:hAnsi="Calibri" w:cs="Calibri"/>
                <w:i/>
                <w:color w:val="000000"/>
                <w:sz w:val="22"/>
                <w:szCs w:val="22"/>
              </w:rPr>
              <w:t>Integrovaný regionální operační program</w:t>
            </w:r>
          </w:p>
        </w:tc>
      </w:tr>
      <w:tr w:rsidR="001B5BE6" w:rsidRPr="00661C71" w14:paraId="0A18EAD7" w14:textId="77777777" w:rsidTr="005D7C02">
        <w:trPr>
          <w:trHeight w:val="360"/>
        </w:trPr>
        <w:tc>
          <w:tcPr>
            <w:tcW w:w="2240" w:type="dxa"/>
            <w:shd w:val="clear" w:color="auto" w:fill="auto"/>
            <w:vAlign w:val="center"/>
          </w:tcPr>
          <w:p w14:paraId="396A3413" w14:textId="29B965F3" w:rsidR="001B5BE6" w:rsidRPr="00661C71" w:rsidRDefault="001B5BE6" w:rsidP="003B5851">
            <w:pPr>
              <w:spacing w:before="40" w:after="40"/>
              <w:rPr>
                <w:rFonts w:ascii="Calibri" w:hAnsi="Calibri" w:cs="Calibri"/>
                <w:color w:val="000000"/>
                <w:sz w:val="22"/>
                <w:szCs w:val="22"/>
              </w:rPr>
            </w:pPr>
            <w:r>
              <w:rPr>
                <w:rFonts w:ascii="Calibri" w:hAnsi="Calibri" w:cs="Calibri"/>
                <w:color w:val="000000"/>
                <w:sz w:val="22"/>
                <w:szCs w:val="22"/>
              </w:rPr>
              <w:t>IS</w:t>
            </w:r>
          </w:p>
        </w:tc>
        <w:tc>
          <w:tcPr>
            <w:tcW w:w="6740" w:type="dxa"/>
            <w:shd w:val="clear" w:color="auto" w:fill="auto"/>
            <w:vAlign w:val="center"/>
          </w:tcPr>
          <w:p w14:paraId="3A5C82F6" w14:textId="145DD630" w:rsidR="001B5BE6" w:rsidRPr="00F71E52" w:rsidRDefault="001B5BE6" w:rsidP="003B5851">
            <w:pPr>
              <w:spacing w:before="40" w:after="40"/>
              <w:rPr>
                <w:rFonts w:ascii="Calibri" w:hAnsi="Calibri" w:cs="Calibri"/>
                <w:color w:val="000000"/>
                <w:sz w:val="22"/>
                <w:szCs w:val="22"/>
              </w:rPr>
            </w:pPr>
            <w:r>
              <w:rPr>
                <w:rFonts w:ascii="Calibri" w:hAnsi="Calibri" w:cs="Calibri"/>
                <w:color w:val="000000"/>
                <w:sz w:val="22"/>
                <w:szCs w:val="22"/>
              </w:rPr>
              <w:t>informační systém</w:t>
            </w:r>
          </w:p>
        </w:tc>
      </w:tr>
      <w:tr w:rsidR="001B5BE6" w:rsidRPr="00661C71" w14:paraId="61AFF86F" w14:textId="77777777" w:rsidTr="005D7C02">
        <w:trPr>
          <w:trHeight w:val="360"/>
        </w:trPr>
        <w:tc>
          <w:tcPr>
            <w:tcW w:w="2240" w:type="dxa"/>
            <w:shd w:val="clear" w:color="auto" w:fill="auto"/>
            <w:vAlign w:val="center"/>
          </w:tcPr>
          <w:p w14:paraId="7CB98197" w14:textId="7F5AF988" w:rsidR="001B5BE6" w:rsidRDefault="001B5BE6" w:rsidP="003B5851">
            <w:pPr>
              <w:spacing w:before="40" w:after="40"/>
              <w:rPr>
                <w:rFonts w:ascii="Calibri" w:hAnsi="Calibri" w:cs="Calibri"/>
                <w:color w:val="000000"/>
                <w:sz w:val="22"/>
                <w:szCs w:val="22"/>
              </w:rPr>
            </w:pPr>
            <w:r>
              <w:rPr>
                <w:rFonts w:ascii="Calibri" w:hAnsi="Calibri" w:cs="Calibri"/>
                <w:color w:val="000000"/>
                <w:sz w:val="22"/>
                <w:szCs w:val="22"/>
              </w:rPr>
              <w:t>LPG</w:t>
            </w:r>
          </w:p>
        </w:tc>
        <w:tc>
          <w:tcPr>
            <w:tcW w:w="6740" w:type="dxa"/>
            <w:shd w:val="clear" w:color="auto" w:fill="auto"/>
            <w:vAlign w:val="center"/>
          </w:tcPr>
          <w:p w14:paraId="73AD7D61" w14:textId="5CA71616" w:rsidR="001B5BE6" w:rsidRDefault="001B5BE6" w:rsidP="003B5851">
            <w:pPr>
              <w:spacing w:before="40" w:after="40"/>
              <w:rPr>
                <w:rFonts w:ascii="Calibri" w:hAnsi="Calibri" w:cs="Calibri"/>
                <w:color w:val="000000"/>
                <w:sz w:val="22"/>
                <w:szCs w:val="22"/>
              </w:rPr>
            </w:pPr>
            <w:r>
              <w:rPr>
                <w:rFonts w:ascii="Calibri" w:hAnsi="Calibri" w:cs="Calibri"/>
                <w:sz w:val="22"/>
                <w:szCs w:val="22"/>
              </w:rPr>
              <w:t xml:space="preserve">zkapalněný ropný plyn (z angl. </w:t>
            </w:r>
            <w:r w:rsidRPr="00F71E52">
              <w:rPr>
                <w:rFonts w:ascii="Calibri" w:hAnsi="Calibri" w:cs="Calibri"/>
                <w:sz w:val="22"/>
                <w:szCs w:val="22"/>
                <w:lang w:val="en-GB"/>
              </w:rPr>
              <w:t>Liqu</w:t>
            </w:r>
            <w:r w:rsidR="00A82D0D">
              <w:rPr>
                <w:rFonts w:ascii="Calibri" w:hAnsi="Calibri" w:cs="Calibri"/>
                <w:sz w:val="22"/>
                <w:szCs w:val="22"/>
                <w:lang w:val="en-GB"/>
              </w:rPr>
              <w:t>e</w:t>
            </w:r>
            <w:r w:rsidRPr="00F71E52">
              <w:rPr>
                <w:rFonts w:ascii="Calibri" w:hAnsi="Calibri" w:cs="Calibri"/>
                <w:sz w:val="22"/>
                <w:szCs w:val="22"/>
                <w:lang w:val="en-GB"/>
              </w:rPr>
              <w:t>fied Petroleum Gas</w:t>
            </w:r>
            <w:r>
              <w:rPr>
                <w:rFonts w:ascii="Calibri" w:hAnsi="Calibri" w:cs="Calibri"/>
                <w:sz w:val="22"/>
                <w:szCs w:val="22"/>
              </w:rPr>
              <w:t>)</w:t>
            </w:r>
          </w:p>
        </w:tc>
      </w:tr>
      <w:tr w:rsidR="00661C71" w:rsidRPr="00661C71" w14:paraId="3C377DE1" w14:textId="77777777" w:rsidTr="005D7C02">
        <w:trPr>
          <w:trHeight w:val="864"/>
        </w:trPr>
        <w:tc>
          <w:tcPr>
            <w:tcW w:w="2240" w:type="dxa"/>
            <w:shd w:val="clear" w:color="auto" w:fill="auto"/>
            <w:vAlign w:val="center"/>
            <w:hideMark/>
          </w:tcPr>
          <w:p w14:paraId="1EA77112"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Memorandum</w:t>
            </w:r>
          </w:p>
        </w:tc>
        <w:tc>
          <w:tcPr>
            <w:tcW w:w="6740" w:type="dxa"/>
            <w:shd w:val="clear" w:color="auto" w:fill="auto"/>
            <w:vAlign w:val="center"/>
            <w:hideMark/>
          </w:tcPr>
          <w:p w14:paraId="18A9914A" w14:textId="29777AB6" w:rsidR="00661C71" w:rsidRPr="00530253" w:rsidRDefault="00661C71" w:rsidP="00F71E52">
            <w:pPr>
              <w:spacing w:before="40" w:after="40"/>
              <w:jc w:val="left"/>
              <w:rPr>
                <w:rFonts w:ascii="Calibri" w:hAnsi="Calibri" w:cs="Calibri"/>
                <w:i/>
                <w:iCs/>
                <w:sz w:val="22"/>
                <w:szCs w:val="22"/>
              </w:rPr>
            </w:pPr>
            <w:r w:rsidRPr="00F71E52">
              <w:rPr>
                <w:rFonts w:ascii="Calibri" w:hAnsi="Calibri" w:cs="Calibri"/>
                <w:i/>
                <w:iCs/>
                <w:sz w:val="22"/>
                <w:szCs w:val="22"/>
              </w:rPr>
              <w:t xml:space="preserve">Memorandum o spolupráci při přípravě a budoucí realizaci podpory energetických úspor v oblasti bydlení z ESI fondů a programů </w:t>
            </w:r>
            <w:r w:rsidR="001E5B97" w:rsidRPr="00F71E52">
              <w:rPr>
                <w:rFonts w:ascii="Calibri" w:hAnsi="Calibri" w:cs="Calibri"/>
                <w:i/>
                <w:iCs/>
                <w:sz w:val="22"/>
                <w:szCs w:val="22"/>
              </w:rPr>
              <w:t>národní podpory pro období 2014–</w:t>
            </w:r>
            <w:r w:rsidRPr="00F71E52">
              <w:rPr>
                <w:rFonts w:ascii="Calibri" w:hAnsi="Calibri" w:cs="Calibri"/>
                <w:i/>
                <w:iCs/>
                <w:sz w:val="22"/>
                <w:szCs w:val="22"/>
              </w:rPr>
              <w:t>2020</w:t>
            </w:r>
            <w:r w:rsidRPr="00530253">
              <w:rPr>
                <w:rFonts w:ascii="Calibri" w:hAnsi="Calibri" w:cs="Calibri"/>
                <w:i/>
                <w:iCs/>
                <w:sz w:val="22"/>
                <w:szCs w:val="22"/>
              </w:rPr>
              <w:t xml:space="preserve"> </w:t>
            </w:r>
            <w:r w:rsidRPr="00530253">
              <w:rPr>
                <w:rFonts w:ascii="Calibri" w:hAnsi="Calibri" w:cs="Calibri"/>
                <w:sz w:val="22"/>
                <w:szCs w:val="22"/>
              </w:rPr>
              <w:t>uzavřené mezi MŽP a MMR v roce 2015</w:t>
            </w:r>
          </w:p>
        </w:tc>
      </w:tr>
      <w:tr w:rsidR="00661C71" w:rsidRPr="00661C71" w14:paraId="2845B20A" w14:textId="77777777" w:rsidTr="005D7C02">
        <w:trPr>
          <w:trHeight w:val="360"/>
        </w:trPr>
        <w:tc>
          <w:tcPr>
            <w:tcW w:w="2240" w:type="dxa"/>
            <w:shd w:val="clear" w:color="auto" w:fill="auto"/>
            <w:vAlign w:val="center"/>
            <w:hideMark/>
          </w:tcPr>
          <w:p w14:paraId="37E4EAD8"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MMR</w:t>
            </w:r>
          </w:p>
        </w:tc>
        <w:tc>
          <w:tcPr>
            <w:tcW w:w="6740" w:type="dxa"/>
            <w:shd w:val="clear" w:color="auto" w:fill="auto"/>
            <w:vAlign w:val="center"/>
            <w:hideMark/>
          </w:tcPr>
          <w:p w14:paraId="64122C98"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Ministerstvo pro místní rozvoj</w:t>
            </w:r>
          </w:p>
        </w:tc>
      </w:tr>
      <w:tr w:rsidR="00661C71" w:rsidRPr="00661C71" w14:paraId="4511BDAB" w14:textId="77777777" w:rsidTr="005D7C02">
        <w:trPr>
          <w:trHeight w:val="360"/>
        </w:trPr>
        <w:tc>
          <w:tcPr>
            <w:tcW w:w="2240" w:type="dxa"/>
            <w:shd w:val="clear" w:color="auto" w:fill="auto"/>
            <w:vAlign w:val="center"/>
            <w:hideMark/>
          </w:tcPr>
          <w:p w14:paraId="14CBF5EA"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MP</w:t>
            </w:r>
          </w:p>
        </w:tc>
        <w:tc>
          <w:tcPr>
            <w:tcW w:w="6740" w:type="dxa"/>
            <w:shd w:val="clear" w:color="auto" w:fill="auto"/>
            <w:vAlign w:val="center"/>
            <w:hideMark/>
          </w:tcPr>
          <w:p w14:paraId="6FA5C209" w14:textId="34D22898" w:rsidR="00661C71" w:rsidRPr="00661C71" w:rsidRDefault="00530253" w:rsidP="003B5851">
            <w:pPr>
              <w:spacing w:before="40" w:after="40"/>
              <w:rPr>
                <w:rFonts w:ascii="Calibri" w:hAnsi="Calibri" w:cs="Calibri"/>
                <w:sz w:val="22"/>
                <w:szCs w:val="22"/>
              </w:rPr>
            </w:pPr>
            <w:r>
              <w:rPr>
                <w:rFonts w:ascii="Calibri" w:hAnsi="Calibri" w:cs="Calibri"/>
                <w:sz w:val="22"/>
                <w:szCs w:val="22"/>
              </w:rPr>
              <w:t>m</w:t>
            </w:r>
            <w:r w:rsidR="00661C71" w:rsidRPr="00661C71">
              <w:rPr>
                <w:rFonts w:ascii="Calibri" w:hAnsi="Calibri" w:cs="Calibri"/>
                <w:sz w:val="22"/>
                <w:szCs w:val="22"/>
              </w:rPr>
              <w:t>etodický pokyn</w:t>
            </w:r>
            <w:r w:rsidR="00661C71">
              <w:rPr>
                <w:rFonts w:ascii="Calibri" w:hAnsi="Calibri" w:cs="Calibri"/>
                <w:sz w:val="22"/>
                <w:szCs w:val="22"/>
              </w:rPr>
              <w:t xml:space="preserve"> </w:t>
            </w:r>
          </w:p>
        </w:tc>
      </w:tr>
      <w:tr w:rsidR="001B5BE6" w:rsidRPr="00661C71" w14:paraId="1DD76C9E" w14:textId="77777777" w:rsidTr="005D7C02">
        <w:trPr>
          <w:trHeight w:val="360"/>
        </w:trPr>
        <w:tc>
          <w:tcPr>
            <w:tcW w:w="2240" w:type="dxa"/>
            <w:shd w:val="clear" w:color="auto" w:fill="auto"/>
            <w:vAlign w:val="center"/>
          </w:tcPr>
          <w:p w14:paraId="1816A2EC" w14:textId="5F361A7F" w:rsidR="001B5BE6" w:rsidRPr="001B5BE6" w:rsidRDefault="001B5BE6" w:rsidP="003B5851">
            <w:pPr>
              <w:spacing w:before="40" w:after="40"/>
              <w:rPr>
                <w:rFonts w:ascii="Calibri" w:hAnsi="Calibri" w:cs="Calibri"/>
                <w:sz w:val="22"/>
                <w:szCs w:val="22"/>
              </w:rPr>
            </w:pPr>
            <w:r w:rsidRPr="001B5BE6">
              <w:rPr>
                <w:rFonts w:ascii="Calibri" w:hAnsi="Calibri" w:cs="Calibri"/>
                <w:sz w:val="22"/>
                <w:szCs w:val="22"/>
              </w:rPr>
              <w:t>MS2014+</w:t>
            </w:r>
          </w:p>
        </w:tc>
        <w:tc>
          <w:tcPr>
            <w:tcW w:w="6740" w:type="dxa"/>
            <w:shd w:val="clear" w:color="auto" w:fill="auto"/>
            <w:vAlign w:val="center"/>
          </w:tcPr>
          <w:p w14:paraId="3774FB3F" w14:textId="3E6B5E99" w:rsidR="001B5BE6" w:rsidRPr="003B5851" w:rsidDel="00530253" w:rsidRDefault="001B5BE6" w:rsidP="003B5851">
            <w:pPr>
              <w:spacing w:before="40" w:after="40"/>
              <w:rPr>
                <w:rFonts w:ascii="Calibri" w:hAnsi="Calibri" w:cs="Calibri"/>
                <w:sz w:val="22"/>
                <w:szCs w:val="22"/>
              </w:rPr>
            </w:pPr>
            <w:r w:rsidRPr="00A82D0D">
              <w:rPr>
                <w:rFonts w:ascii="Calibri" w:hAnsi="Calibri" w:cs="Calibri"/>
                <w:sz w:val="22"/>
                <w:szCs w:val="22"/>
              </w:rPr>
              <w:t>monitorovací systém evropských stru</w:t>
            </w:r>
            <w:r w:rsidRPr="003B5851">
              <w:rPr>
                <w:rFonts w:ascii="Calibri" w:hAnsi="Calibri" w:cs="Calibri"/>
                <w:sz w:val="22"/>
                <w:szCs w:val="22"/>
              </w:rPr>
              <w:t>kturálních a investičních fondů</w:t>
            </w:r>
          </w:p>
        </w:tc>
      </w:tr>
      <w:tr w:rsidR="00661C71" w:rsidRPr="00661C71" w14:paraId="55B8B9F5" w14:textId="77777777" w:rsidTr="005D7C02">
        <w:trPr>
          <w:trHeight w:val="360"/>
        </w:trPr>
        <w:tc>
          <w:tcPr>
            <w:tcW w:w="2240" w:type="dxa"/>
            <w:shd w:val="clear" w:color="auto" w:fill="auto"/>
            <w:vAlign w:val="center"/>
            <w:hideMark/>
          </w:tcPr>
          <w:p w14:paraId="54A62043"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MŽP</w:t>
            </w:r>
          </w:p>
        </w:tc>
        <w:tc>
          <w:tcPr>
            <w:tcW w:w="6740" w:type="dxa"/>
            <w:shd w:val="clear" w:color="auto" w:fill="auto"/>
            <w:vAlign w:val="center"/>
            <w:hideMark/>
          </w:tcPr>
          <w:p w14:paraId="04308DB3"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Ministerstvo životního prostředí</w:t>
            </w:r>
          </w:p>
        </w:tc>
      </w:tr>
      <w:tr w:rsidR="00661C71" w:rsidRPr="00661C71" w14:paraId="47A9921D" w14:textId="77777777" w:rsidTr="005D7C02">
        <w:trPr>
          <w:trHeight w:val="360"/>
        </w:trPr>
        <w:tc>
          <w:tcPr>
            <w:tcW w:w="2240" w:type="dxa"/>
            <w:shd w:val="clear" w:color="auto" w:fill="auto"/>
            <w:noWrap/>
            <w:vAlign w:val="center"/>
            <w:hideMark/>
          </w:tcPr>
          <w:p w14:paraId="2AC2D31B" w14:textId="77777777" w:rsidR="00661C71" w:rsidRPr="00661C71" w:rsidRDefault="00661C71" w:rsidP="003B5851">
            <w:pPr>
              <w:spacing w:before="40" w:after="40"/>
              <w:rPr>
                <w:rFonts w:ascii="Calibri" w:hAnsi="Calibri" w:cs="Calibri"/>
                <w:color w:val="000000"/>
                <w:sz w:val="22"/>
                <w:szCs w:val="22"/>
              </w:rPr>
            </w:pPr>
            <w:r w:rsidRPr="00661C71">
              <w:rPr>
                <w:rFonts w:ascii="Calibri" w:hAnsi="Calibri" w:cs="Calibri"/>
                <w:color w:val="000000"/>
                <w:sz w:val="22"/>
                <w:szCs w:val="22"/>
              </w:rPr>
              <w:t>NAPEE</w:t>
            </w:r>
          </w:p>
        </w:tc>
        <w:tc>
          <w:tcPr>
            <w:tcW w:w="6740" w:type="dxa"/>
            <w:shd w:val="clear" w:color="auto" w:fill="auto"/>
            <w:vAlign w:val="center"/>
            <w:hideMark/>
          </w:tcPr>
          <w:p w14:paraId="0F298A41" w14:textId="37C83C38" w:rsidR="00661C71" w:rsidRPr="00F71E52" w:rsidRDefault="00661C71" w:rsidP="003B5851">
            <w:pPr>
              <w:spacing w:before="40" w:after="40"/>
              <w:rPr>
                <w:rFonts w:ascii="Calibri" w:hAnsi="Calibri" w:cs="Calibri"/>
                <w:i/>
                <w:color w:val="000000"/>
                <w:sz w:val="22"/>
                <w:szCs w:val="22"/>
              </w:rPr>
            </w:pPr>
            <w:r w:rsidRPr="00F71E52">
              <w:rPr>
                <w:rFonts w:ascii="Calibri" w:hAnsi="Calibri" w:cs="Calibri"/>
                <w:i/>
                <w:color w:val="000000"/>
                <w:sz w:val="22"/>
                <w:szCs w:val="22"/>
              </w:rPr>
              <w:t>Národní akční plán energetické účinnosti</w:t>
            </w:r>
            <w:r w:rsidR="00A25E95" w:rsidRPr="00F71E52">
              <w:rPr>
                <w:rFonts w:ascii="Calibri" w:hAnsi="Calibri" w:cs="Calibri"/>
                <w:i/>
                <w:color w:val="000000"/>
                <w:sz w:val="22"/>
                <w:szCs w:val="22"/>
              </w:rPr>
              <w:t xml:space="preserve"> České republiky</w:t>
            </w:r>
          </w:p>
        </w:tc>
      </w:tr>
      <w:tr w:rsidR="00A25E95" w:rsidRPr="00661C71" w14:paraId="14B02696" w14:textId="77777777" w:rsidTr="005D7C02">
        <w:trPr>
          <w:trHeight w:val="360"/>
        </w:trPr>
        <w:tc>
          <w:tcPr>
            <w:tcW w:w="2240" w:type="dxa"/>
            <w:shd w:val="clear" w:color="auto" w:fill="auto"/>
            <w:noWrap/>
            <w:vAlign w:val="center"/>
          </w:tcPr>
          <w:p w14:paraId="04D1A1A0" w14:textId="57C3DB48" w:rsidR="00A25E95" w:rsidRPr="00661C71" w:rsidRDefault="00A25E95" w:rsidP="00F71E52">
            <w:pPr>
              <w:spacing w:before="40" w:after="40"/>
              <w:rPr>
                <w:rFonts w:ascii="Calibri" w:hAnsi="Calibri" w:cs="Calibri"/>
                <w:color w:val="000000"/>
                <w:sz w:val="22"/>
                <w:szCs w:val="22"/>
              </w:rPr>
            </w:pPr>
            <w:r>
              <w:rPr>
                <w:rFonts w:ascii="Calibri" w:hAnsi="Calibri" w:cs="Calibri"/>
                <w:color w:val="000000"/>
                <w:sz w:val="22"/>
                <w:szCs w:val="22"/>
              </w:rPr>
              <w:t>NAPEE-</w:t>
            </w:r>
            <w:r w:rsidR="00F71E52">
              <w:rPr>
                <w:rFonts w:ascii="Calibri" w:hAnsi="Calibri" w:cs="Calibri"/>
                <w:color w:val="000000"/>
                <w:sz w:val="22"/>
                <w:szCs w:val="22"/>
              </w:rPr>
              <w:t>V</w:t>
            </w:r>
          </w:p>
        </w:tc>
        <w:tc>
          <w:tcPr>
            <w:tcW w:w="6740" w:type="dxa"/>
            <w:shd w:val="clear" w:color="auto" w:fill="auto"/>
            <w:vAlign w:val="center"/>
          </w:tcPr>
          <w:p w14:paraId="79322B32" w14:textId="79CBC64C" w:rsidR="00A25E95" w:rsidRPr="00661C71" w:rsidRDefault="00A25E95" w:rsidP="00F71E52">
            <w:pPr>
              <w:spacing w:before="40" w:after="40"/>
              <w:jc w:val="left"/>
              <w:rPr>
                <w:rFonts w:ascii="Calibri" w:hAnsi="Calibri" w:cs="Calibri"/>
                <w:color w:val="000000"/>
                <w:sz w:val="22"/>
                <w:szCs w:val="22"/>
              </w:rPr>
            </w:pPr>
            <w:r>
              <w:rPr>
                <w:rFonts w:ascii="Calibri" w:hAnsi="Calibri" w:cs="Calibri"/>
                <w:color w:val="000000"/>
                <w:sz w:val="22"/>
                <w:szCs w:val="22"/>
              </w:rPr>
              <w:t xml:space="preserve">pátá aktualizace </w:t>
            </w:r>
            <w:r w:rsidRPr="00F71E52">
              <w:rPr>
                <w:rFonts w:ascii="Calibri" w:hAnsi="Calibri" w:cs="Calibri"/>
                <w:i/>
                <w:color w:val="000000"/>
                <w:sz w:val="22"/>
                <w:szCs w:val="22"/>
              </w:rPr>
              <w:t>Národního akčního plánu energetické účinnosti České republiky</w:t>
            </w:r>
          </w:p>
        </w:tc>
      </w:tr>
      <w:tr w:rsidR="00661C71" w:rsidRPr="00661C71" w14:paraId="5C7C0069" w14:textId="77777777" w:rsidTr="005D7C02">
        <w:trPr>
          <w:trHeight w:val="360"/>
        </w:trPr>
        <w:tc>
          <w:tcPr>
            <w:tcW w:w="2240" w:type="dxa"/>
            <w:shd w:val="clear" w:color="auto" w:fill="auto"/>
            <w:vAlign w:val="center"/>
            <w:hideMark/>
          </w:tcPr>
          <w:p w14:paraId="4F574CB5"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NKÚ</w:t>
            </w:r>
          </w:p>
        </w:tc>
        <w:tc>
          <w:tcPr>
            <w:tcW w:w="6740" w:type="dxa"/>
            <w:shd w:val="clear" w:color="auto" w:fill="auto"/>
            <w:vAlign w:val="center"/>
            <w:hideMark/>
          </w:tcPr>
          <w:p w14:paraId="6326A45A"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Nejvyšší kontrolní úřad</w:t>
            </w:r>
          </w:p>
        </w:tc>
      </w:tr>
      <w:tr w:rsidR="00661C71" w:rsidRPr="00661C71" w14:paraId="71CA537B" w14:textId="77777777" w:rsidTr="005D7C02">
        <w:trPr>
          <w:trHeight w:val="360"/>
        </w:trPr>
        <w:tc>
          <w:tcPr>
            <w:tcW w:w="2240" w:type="dxa"/>
            <w:shd w:val="clear" w:color="auto" w:fill="auto"/>
            <w:noWrap/>
            <w:vAlign w:val="center"/>
            <w:hideMark/>
          </w:tcPr>
          <w:p w14:paraId="1C28B5AE" w14:textId="77777777" w:rsidR="00661C71" w:rsidRPr="00661C71" w:rsidRDefault="00661C71" w:rsidP="003B5851">
            <w:pPr>
              <w:spacing w:before="40" w:after="40"/>
              <w:rPr>
                <w:rFonts w:ascii="Calibri" w:hAnsi="Calibri" w:cs="Calibri"/>
                <w:color w:val="000000"/>
                <w:sz w:val="22"/>
                <w:szCs w:val="22"/>
              </w:rPr>
            </w:pPr>
            <w:r w:rsidRPr="00661C71">
              <w:rPr>
                <w:rFonts w:ascii="Calibri" w:hAnsi="Calibri" w:cs="Calibri"/>
                <w:color w:val="000000"/>
                <w:sz w:val="22"/>
                <w:szCs w:val="22"/>
              </w:rPr>
              <w:t>NZÚ</w:t>
            </w:r>
          </w:p>
        </w:tc>
        <w:tc>
          <w:tcPr>
            <w:tcW w:w="6740" w:type="dxa"/>
            <w:shd w:val="clear" w:color="auto" w:fill="auto"/>
            <w:vAlign w:val="center"/>
            <w:hideMark/>
          </w:tcPr>
          <w:p w14:paraId="60CE9F83" w14:textId="390E3A85" w:rsidR="00661C71" w:rsidRPr="00661C71" w:rsidRDefault="00890B09" w:rsidP="00F71E52">
            <w:pPr>
              <w:spacing w:before="40" w:after="40"/>
              <w:jc w:val="left"/>
              <w:rPr>
                <w:rFonts w:ascii="Calibri" w:hAnsi="Calibri" w:cs="Calibri"/>
                <w:color w:val="000000"/>
                <w:sz w:val="22"/>
                <w:szCs w:val="22"/>
              </w:rPr>
            </w:pPr>
            <w:r>
              <w:rPr>
                <w:rFonts w:ascii="Calibri" w:hAnsi="Calibri" w:cs="Calibri"/>
                <w:color w:val="000000"/>
                <w:sz w:val="22"/>
                <w:szCs w:val="22"/>
              </w:rPr>
              <w:t xml:space="preserve">český národní </w:t>
            </w:r>
            <w:r w:rsidR="00530253">
              <w:rPr>
                <w:rFonts w:ascii="Calibri" w:hAnsi="Calibri" w:cs="Calibri"/>
                <w:color w:val="000000"/>
                <w:sz w:val="22"/>
                <w:szCs w:val="22"/>
              </w:rPr>
              <w:t xml:space="preserve">program </w:t>
            </w:r>
            <w:r w:rsidR="00661C71" w:rsidRPr="00F71E52">
              <w:rPr>
                <w:rFonts w:ascii="Calibri" w:hAnsi="Calibri" w:cs="Calibri"/>
                <w:i/>
                <w:color w:val="000000"/>
                <w:sz w:val="22"/>
                <w:szCs w:val="22"/>
              </w:rPr>
              <w:t>Nová zelená úsporám</w:t>
            </w:r>
            <w:r w:rsidR="00E10BFD">
              <w:rPr>
                <w:rFonts w:ascii="Calibri" w:hAnsi="Calibri" w:cs="Calibri"/>
                <w:color w:val="000000"/>
                <w:sz w:val="22"/>
                <w:szCs w:val="22"/>
              </w:rPr>
              <w:t xml:space="preserve"> </w:t>
            </w:r>
          </w:p>
        </w:tc>
      </w:tr>
      <w:tr w:rsidR="001B5BE6" w:rsidRPr="00661C71" w14:paraId="2CCBAB88" w14:textId="77777777" w:rsidTr="005D7C02">
        <w:trPr>
          <w:trHeight w:val="360"/>
        </w:trPr>
        <w:tc>
          <w:tcPr>
            <w:tcW w:w="2240" w:type="dxa"/>
            <w:shd w:val="clear" w:color="auto" w:fill="auto"/>
            <w:noWrap/>
            <w:vAlign w:val="center"/>
          </w:tcPr>
          <w:p w14:paraId="3162CDBA" w14:textId="41B04D12" w:rsidR="001B5BE6" w:rsidRPr="00661C71" w:rsidRDefault="001B5BE6" w:rsidP="003B5851">
            <w:pPr>
              <w:spacing w:before="40" w:after="40"/>
              <w:rPr>
                <w:rFonts w:ascii="Calibri" w:hAnsi="Calibri" w:cs="Calibri"/>
                <w:color w:val="000000"/>
                <w:sz w:val="22"/>
                <w:szCs w:val="22"/>
              </w:rPr>
            </w:pPr>
            <w:r>
              <w:rPr>
                <w:rFonts w:ascii="Calibri" w:hAnsi="Calibri" w:cs="Calibri"/>
                <w:color w:val="000000"/>
                <w:sz w:val="22"/>
                <w:szCs w:val="22"/>
              </w:rPr>
              <w:t>OZE</w:t>
            </w:r>
          </w:p>
        </w:tc>
        <w:tc>
          <w:tcPr>
            <w:tcW w:w="6740" w:type="dxa"/>
            <w:shd w:val="clear" w:color="auto" w:fill="auto"/>
            <w:vAlign w:val="center"/>
          </w:tcPr>
          <w:p w14:paraId="367B21C7" w14:textId="48089BAA" w:rsidR="001B5BE6" w:rsidRDefault="001B5BE6" w:rsidP="003B5851">
            <w:pPr>
              <w:spacing w:before="40" w:after="40"/>
              <w:rPr>
                <w:rFonts w:ascii="Calibri" w:hAnsi="Calibri" w:cs="Calibri"/>
                <w:color w:val="000000"/>
                <w:sz w:val="22"/>
                <w:szCs w:val="22"/>
              </w:rPr>
            </w:pPr>
            <w:r>
              <w:rPr>
                <w:rFonts w:ascii="Calibri" w:hAnsi="Calibri" w:cs="Calibri"/>
                <w:color w:val="000000"/>
                <w:sz w:val="22"/>
                <w:szCs w:val="22"/>
              </w:rPr>
              <w:t>obnovitelné zdroje energie</w:t>
            </w:r>
          </w:p>
        </w:tc>
      </w:tr>
      <w:tr w:rsidR="00661C71" w:rsidRPr="00661C71" w14:paraId="4B574CAC" w14:textId="77777777" w:rsidTr="005D7C02">
        <w:trPr>
          <w:trHeight w:val="360"/>
        </w:trPr>
        <w:tc>
          <w:tcPr>
            <w:tcW w:w="2240" w:type="dxa"/>
            <w:shd w:val="clear" w:color="auto" w:fill="auto"/>
            <w:vAlign w:val="center"/>
            <w:hideMark/>
          </w:tcPr>
          <w:p w14:paraId="79F18F4A"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PENB</w:t>
            </w:r>
          </w:p>
        </w:tc>
        <w:tc>
          <w:tcPr>
            <w:tcW w:w="6740" w:type="dxa"/>
            <w:shd w:val="clear" w:color="auto" w:fill="auto"/>
            <w:vAlign w:val="center"/>
            <w:hideMark/>
          </w:tcPr>
          <w:p w14:paraId="43130298"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průkaz energetické náročnosti budovy</w:t>
            </w:r>
          </w:p>
        </w:tc>
      </w:tr>
      <w:tr w:rsidR="00661C71" w:rsidRPr="00661C71" w14:paraId="56269409" w14:textId="77777777" w:rsidTr="005D7C02">
        <w:trPr>
          <w:trHeight w:val="288"/>
        </w:trPr>
        <w:tc>
          <w:tcPr>
            <w:tcW w:w="2240" w:type="dxa"/>
            <w:shd w:val="clear" w:color="auto" w:fill="auto"/>
            <w:vAlign w:val="center"/>
            <w:hideMark/>
          </w:tcPr>
          <w:p w14:paraId="6F2538F3" w14:textId="05D02A1A"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P</w:t>
            </w:r>
            <w:r w:rsidR="0095209F">
              <w:rPr>
                <w:rFonts w:ascii="Calibri" w:hAnsi="Calibri" w:cs="Calibri"/>
                <w:sz w:val="22"/>
                <w:szCs w:val="22"/>
              </w:rPr>
              <w:t>J</w:t>
            </w:r>
          </w:p>
        </w:tc>
        <w:tc>
          <w:tcPr>
            <w:tcW w:w="6740" w:type="dxa"/>
            <w:shd w:val="clear" w:color="auto" w:fill="auto"/>
            <w:vAlign w:val="center"/>
            <w:hideMark/>
          </w:tcPr>
          <w:p w14:paraId="0206B3A6" w14:textId="478C2F03" w:rsidR="00661C71" w:rsidRPr="00661C71" w:rsidRDefault="00661C71" w:rsidP="003B5851">
            <w:pPr>
              <w:spacing w:before="40" w:after="40"/>
              <w:rPr>
                <w:rFonts w:ascii="Calibri" w:hAnsi="Calibri" w:cs="Calibri"/>
                <w:sz w:val="22"/>
                <w:szCs w:val="22"/>
              </w:rPr>
            </w:pPr>
            <w:proofErr w:type="spellStart"/>
            <w:r w:rsidRPr="00661C71">
              <w:rPr>
                <w:rFonts w:ascii="Calibri" w:hAnsi="Calibri" w:cs="Calibri"/>
                <w:sz w:val="22"/>
                <w:szCs w:val="22"/>
              </w:rPr>
              <w:t>petajoul</w:t>
            </w:r>
            <w:r w:rsidR="006E5D0A">
              <w:rPr>
                <w:rFonts w:ascii="Calibri" w:hAnsi="Calibri" w:cs="Calibri"/>
                <w:sz w:val="22"/>
                <w:szCs w:val="22"/>
              </w:rPr>
              <w:t>e</w:t>
            </w:r>
            <w:proofErr w:type="spellEnd"/>
          </w:p>
        </w:tc>
      </w:tr>
      <w:tr w:rsidR="00682ECF" w:rsidRPr="00661C71" w14:paraId="53B7EC07" w14:textId="77777777" w:rsidTr="005D7C02">
        <w:trPr>
          <w:trHeight w:val="288"/>
        </w:trPr>
        <w:tc>
          <w:tcPr>
            <w:tcW w:w="2240" w:type="dxa"/>
            <w:shd w:val="clear" w:color="auto" w:fill="auto"/>
            <w:vAlign w:val="center"/>
          </w:tcPr>
          <w:p w14:paraId="7A8A0949" w14:textId="27DB1FD2" w:rsidR="00682ECF" w:rsidRPr="00661C71" w:rsidRDefault="00682ECF" w:rsidP="003B5851">
            <w:pPr>
              <w:spacing w:before="40" w:after="40"/>
              <w:rPr>
                <w:rFonts w:ascii="Calibri" w:hAnsi="Calibri" w:cs="Calibri"/>
                <w:sz w:val="22"/>
                <w:szCs w:val="22"/>
              </w:rPr>
            </w:pPr>
            <w:r>
              <w:rPr>
                <w:rFonts w:ascii="Calibri" w:hAnsi="Calibri" w:cs="Calibri"/>
                <w:sz w:val="22"/>
                <w:szCs w:val="22"/>
              </w:rPr>
              <w:t>RD</w:t>
            </w:r>
          </w:p>
        </w:tc>
        <w:tc>
          <w:tcPr>
            <w:tcW w:w="6740" w:type="dxa"/>
            <w:shd w:val="clear" w:color="auto" w:fill="auto"/>
            <w:vAlign w:val="center"/>
          </w:tcPr>
          <w:p w14:paraId="1C932324" w14:textId="76C31067" w:rsidR="00682ECF" w:rsidRPr="00661C71" w:rsidRDefault="00682ECF" w:rsidP="00682ECF">
            <w:pPr>
              <w:spacing w:before="40" w:after="40"/>
              <w:rPr>
                <w:rFonts w:ascii="Calibri" w:hAnsi="Calibri" w:cs="Calibri"/>
                <w:sz w:val="22"/>
                <w:szCs w:val="22"/>
              </w:rPr>
            </w:pPr>
            <w:r>
              <w:rPr>
                <w:rFonts w:ascii="Calibri" w:hAnsi="Calibri" w:cs="Calibri"/>
                <w:sz w:val="22"/>
                <w:szCs w:val="22"/>
              </w:rPr>
              <w:t xml:space="preserve">podprogram </w:t>
            </w:r>
            <w:r>
              <w:rPr>
                <w:rFonts w:ascii="Calibri" w:hAnsi="Calibri" w:cs="Calibri"/>
                <w:i/>
                <w:sz w:val="22"/>
                <w:szCs w:val="22"/>
              </w:rPr>
              <w:t>Rodinné domy</w:t>
            </w:r>
            <w:r>
              <w:rPr>
                <w:rFonts w:ascii="Calibri" w:hAnsi="Calibri" w:cs="Calibri"/>
                <w:sz w:val="22"/>
                <w:szCs w:val="22"/>
              </w:rPr>
              <w:t xml:space="preserve"> programu </w:t>
            </w:r>
            <w:r w:rsidRPr="007E1967">
              <w:rPr>
                <w:rFonts w:ascii="Calibri" w:hAnsi="Calibri" w:cs="Calibri"/>
                <w:i/>
                <w:sz w:val="22"/>
                <w:szCs w:val="22"/>
              </w:rPr>
              <w:t>Nová zelená úsporám</w:t>
            </w:r>
          </w:p>
        </w:tc>
      </w:tr>
      <w:tr w:rsidR="00661C71" w:rsidRPr="00661C71" w14:paraId="7B50C78D" w14:textId="77777777" w:rsidTr="005D7C02">
        <w:trPr>
          <w:trHeight w:val="360"/>
        </w:trPr>
        <w:tc>
          <w:tcPr>
            <w:tcW w:w="2240" w:type="dxa"/>
            <w:shd w:val="clear" w:color="auto" w:fill="auto"/>
            <w:vAlign w:val="center"/>
            <w:hideMark/>
          </w:tcPr>
          <w:p w14:paraId="210A07F9"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RDM</w:t>
            </w:r>
          </w:p>
        </w:tc>
        <w:tc>
          <w:tcPr>
            <w:tcW w:w="6740" w:type="dxa"/>
            <w:shd w:val="clear" w:color="auto" w:fill="auto"/>
            <w:vAlign w:val="center"/>
            <w:hideMark/>
          </w:tcPr>
          <w:p w14:paraId="18E098C0" w14:textId="71E7CC5E" w:rsidR="00661C71" w:rsidRPr="00661C71" w:rsidRDefault="00530253" w:rsidP="003B5851">
            <w:pPr>
              <w:spacing w:before="40" w:after="40"/>
              <w:rPr>
                <w:rFonts w:ascii="Calibri" w:hAnsi="Calibri" w:cs="Calibri"/>
                <w:sz w:val="22"/>
                <w:szCs w:val="22"/>
              </w:rPr>
            </w:pPr>
            <w:r>
              <w:rPr>
                <w:rFonts w:ascii="Calibri" w:hAnsi="Calibri" w:cs="Calibri"/>
                <w:sz w:val="22"/>
                <w:szCs w:val="22"/>
              </w:rPr>
              <w:t>c</w:t>
            </w:r>
            <w:r w:rsidR="00661C71" w:rsidRPr="00661C71">
              <w:rPr>
                <w:rFonts w:ascii="Calibri" w:hAnsi="Calibri" w:cs="Calibri"/>
                <w:sz w:val="22"/>
                <w:szCs w:val="22"/>
              </w:rPr>
              <w:t>entrální registr podpor malého rozsahu (</w:t>
            </w:r>
            <w:r w:rsidRPr="00F71E52">
              <w:rPr>
                <w:rFonts w:ascii="Calibri" w:hAnsi="Calibri" w:cs="Calibri"/>
                <w:i/>
                <w:sz w:val="22"/>
                <w:szCs w:val="22"/>
              </w:rPr>
              <w:t xml:space="preserve">Registr </w:t>
            </w:r>
            <w:r w:rsidR="00661C71" w:rsidRPr="00F71E52">
              <w:rPr>
                <w:rFonts w:ascii="Calibri" w:hAnsi="Calibri" w:cs="Calibri"/>
                <w:i/>
                <w:sz w:val="22"/>
                <w:szCs w:val="22"/>
              </w:rPr>
              <w:t xml:space="preserve">de </w:t>
            </w:r>
            <w:proofErr w:type="spellStart"/>
            <w:r w:rsidR="00661C71" w:rsidRPr="00F71E52">
              <w:rPr>
                <w:rFonts w:ascii="Calibri" w:hAnsi="Calibri" w:cs="Calibri"/>
                <w:i/>
                <w:sz w:val="22"/>
                <w:szCs w:val="22"/>
              </w:rPr>
              <w:t>minimis</w:t>
            </w:r>
            <w:proofErr w:type="spellEnd"/>
            <w:r w:rsidR="00661C71" w:rsidRPr="00661C71">
              <w:rPr>
                <w:rFonts w:ascii="Calibri" w:hAnsi="Calibri" w:cs="Calibri"/>
                <w:sz w:val="22"/>
                <w:szCs w:val="22"/>
              </w:rPr>
              <w:t>)</w:t>
            </w:r>
            <w:r w:rsidR="00E10BFD">
              <w:rPr>
                <w:rFonts w:ascii="Calibri" w:hAnsi="Calibri" w:cs="Calibri"/>
                <w:sz w:val="22"/>
                <w:szCs w:val="22"/>
              </w:rPr>
              <w:t xml:space="preserve"> </w:t>
            </w:r>
          </w:p>
        </w:tc>
      </w:tr>
      <w:tr w:rsidR="00BB2E3B" w:rsidRPr="00661C71" w14:paraId="1E0A4202" w14:textId="77777777" w:rsidTr="005D7C02">
        <w:trPr>
          <w:trHeight w:val="360"/>
        </w:trPr>
        <w:tc>
          <w:tcPr>
            <w:tcW w:w="2240" w:type="dxa"/>
            <w:shd w:val="clear" w:color="auto" w:fill="auto"/>
            <w:vAlign w:val="center"/>
          </w:tcPr>
          <w:p w14:paraId="65520999" w14:textId="21DBB362" w:rsidR="00BB2E3B" w:rsidRPr="00661C71" w:rsidRDefault="00BB2E3B" w:rsidP="003B5851">
            <w:pPr>
              <w:spacing w:before="40" w:after="40"/>
              <w:rPr>
                <w:rFonts w:ascii="Calibri" w:hAnsi="Calibri" w:cs="Calibri"/>
                <w:sz w:val="22"/>
                <w:szCs w:val="22"/>
              </w:rPr>
            </w:pPr>
            <w:r>
              <w:rPr>
                <w:rFonts w:ascii="Calibri" w:hAnsi="Calibri" w:cs="Calibri"/>
                <w:sz w:val="22"/>
                <w:szCs w:val="22"/>
              </w:rPr>
              <w:t xml:space="preserve">ŘO </w:t>
            </w:r>
          </w:p>
        </w:tc>
        <w:tc>
          <w:tcPr>
            <w:tcW w:w="6740" w:type="dxa"/>
            <w:shd w:val="clear" w:color="auto" w:fill="auto"/>
            <w:vAlign w:val="center"/>
          </w:tcPr>
          <w:p w14:paraId="17471C02" w14:textId="649819FF" w:rsidR="00BB2E3B" w:rsidRDefault="00530253" w:rsidP="003B5851">
            <w:pPr>
              <w:spacing w:before="40" w:after="40"/>
              <w:rPr>
                <w:rFonts w:ascii="Calibri" w:hAnsi="Calibri" w:cs="Calibri"/>
                <w:sz w:val="22"/>
                <w:szCs w:val="22"/>
              </w:rPr>
            </w:pPr>
            <w:r>
              <w:rPr>
                <w:rFonts w:ascii="Calibri" w:hAnsi="Calibri" w:cs="Calibri"/>
                <w:sz w:val="22"/>
                <w:szCs w:val="22"/>
              </w:rPr>
              <w:t>ř</w:t>
            </w:r>
            <w:r w:rsidR="00966557">
              <w:rPr>
                <w:rFonts w:ascii="Calibri" w:hAnsi="Calibri" w:cs="Calibri"/>
                <w:sz w:val="22"/>
                <w:szCs w:val="22"/>
              </w:rPr>
              <w:t>ídicí orgán</w:t>
            </w:r>
          </w:p>
        </w:tc>
      </w:tr>
      <w:tr w:rsidR="00661C71" w:rsidRPr="00661C71" w14:paraId="6AD95E28" w14:textId="77777777" w:rsidTr="005D7C02">
        <w:trPr>
          <w:trHeight w:val="360"/>
        </w:trPr>
        <w:tc>
          <w:tcPr>
            <w:tcW w:w="2240" w:type="dxa"/>
            <w:shd w:val="clear" w:color="auto" w:fill="auto"/>
            <w:vAlign w:val="center"/>
            <w:hideMark/>
          </w:tcPr>
          <w:p w14:paraId="65046933" w14:textId="3298580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 xml:space="preserve">SC </w:t>
            </w:r>
            <w:r w:rsidR="002D35FA">
              <w:rPr>
                <w:rFonts w:ascii="Calibri" w:hAnsi="Calibri" w:cs="Calibri"/>
                <w:sz w:val="22"/>
                <w:szCs w:val="22"/>
              </w:rPr>
              <w:t>2.5</w:t>
            </w:r>
          </w:p>
        </w:tc>
        <w:tc>
          <w:tcPr>
            <w:tcW w:w="6740" w:type="dxa"/>
            <w:shd w:val="clear" w:color="auto" w:fill="auto"/>
            <w:vAlign w:val="center"/>
            <w:hideMark/>
          </w:tcPr>
          <w:p w14:paraId="7544C8D4" w14:textId="1F8FDC7D"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 xml:space="preserve">specifický cíl v rámci </w:t>
            </w:r>
            <w:r w:rsidR="00D33BD8">
              <w:rPr>
                <w:rFonts w:ascii="Calibri" w:hAnsi="Calibri" w:cs="Calibri"/>
                <w:sz w:val="22"/>
                <w:szCs w:val="22"/>
              </w:rPr>
              <w:t xml:space="preserve">prioritní osy 2 </w:t>
            </w:r>
            <w:r w:rsidRPr="00661C71">
              <w:rPr>
                <w:rFonts w:ascii="Calibri" w:hAnsi="Calibri" w:cs="Calibri"/>
                <w:sz w:val="22"/>
                <w:szCs w:val="22"/>
              </w:rPr>
              <w:t>IROP</w:t>
            </w:r>
            <w:r w:rsidR="002D35FA">
              <w:rPr>
                <w:rFonts w:ascii="Calibri" w:hAnsi="Calibri" w:cs="Calibri"/>
                <w:sz w:val="22"/>
                <w:szCs w:val="22"/>
              </w:rPr>
              <w:t xml:space="preserve"> </w:t>
            </w:r>
          </w:p>
        </w:tc>
      </w:tr>
      <w:tr w:rsidR="004E6055" w:rsidRPr="00661C71" w14:paraId="4B34D4E7" w14:textId="77777777" w:rsidTr="005D7C02">
        <w:trPr>
          <w:trHeight w:val="360"/>
        </w:trPr>
        <w:tc>
          <w:tcPr>
            <w:tcW w:w="2240" w:type="dxa"/>
            <w:shd w:val="clear" w:color="auto" w:fill="auto"/>
            <w:vAlign w:val="center"/>
          </w:tcPr>
          <w:p w14:paraId="35493C39" w14:textId="2B699D99" w:rsidR="004E6055" w:rsidRPr="00661C71" w:rsidRDefault="004E6055" w:rsidP="003B5851">
            <w:pPr>
              <w:spacing w:before="40" w:after="40"/>
              <w:rPr>
                <w:rFonts w:ascii="Calibri" w:hAnsi="Calibri" w:cs="Calibri"/>
                <w:sz w:val="22"/>
                <w:szCs w:val="22"/>
              </w:rPr>
            </w:pPr>
            <w:r w:rsidRPr="007E03BB">
              <w:rPr>
                <w:rFonts w:ascii="Calibri" w:hAnsi="Calibri" w:cs="Calibri"/>
                <w:sz w:val="22"/>
                <w:szCs w:val="22"/>
              </w:rPr>
              <w:t>SC 3.2</w:t>
            </w:r>
          </w:p>
        </w:tc>
        <w:tc>
          <w:tcPr>
            <w:tcW w:w="6740" w:type="dxa"/>
            <w:shd w:val="clear" w:color="auto" w:fill="auto"/>
            <w:vAlign w:val="center"/>
          </w:tcPr>
          <w:p w14:paraId="559834F7" w14:textId="4126BF47" w:rsidR="004E6055" w:rsidRPr="00661C71" w:rsidRDefault="004E6055" w:rsidP="003B5851">
            <w:pPr>
              <w:spacing w:before="40" w:after="40"/>
              <w:rPr>
                <w:rFonts w:ascii="Calibri" w:hAnsi="Calibri" w:cs="Calibri"/>
                <w:sz w:val="22"/>
                <w:szCs w:val="22"/>
              </w:rPr>
            </w:pPr>
            <w:r w:rsidRPr="00661C71">
              <w:rPr>
                <w:rFonts w:ascii="Calibri" w:hAnsi="Calibri" w:cs="Calibri"/>
                <w:sz w:val="22"/>
                <w:szCs w:val="22"/>
              </w:rPr>
              <w:t xml:space="preserve">specifický cíl v rámci </w:t>
            </w:r>
            <w:r>
              <w:rPr>
                <w:rFonts w:ascii="Calibri" w:hAnsi="Calibri" w:cs="Calibri"/>
                <w:sz w:val="22"/>
                <w:szCs w:val="22"/>
              </w:rPr>
              <w:t xml:space="preserve">prioritní osy 3 </w:t>
            </w:r>
            <w:r w:rsidRPr="00661C71">
              <w:rPr>
                <w:rFonts w:ascii="Calibri" w:hAnsi="Calibri" w:cs="Calibri"/>
                <w:sz w:val="22"/>
                <w:szCs w:val="22"/>
              </w:rPr>
              <w:t>IROP</w:t>
            </w:r>
          </w:p>
        </w:tc>
      </w:tr>
      <w:tr w:rsidR="00661C71" w:rsidRPr="00661C71" w14:paraId="348CD897" w14:textId="77777777" w:rsidTr="005D7C02">
        <w:trPr>
          <w:trHeight w:val="288"/>
        </w:trPr>
        <w:tc>
          <w:tcPr>
            <w:tcW w:w="2240" w:type="dxa"/>
            <w:shd w:val="clear" w:color="auto" w:fill="auto"/>
            <w:vAlign w:val="center"/>
            <w:hideMark/>
          </w:tcPr>
          <w:p w14:paraId="2FFE0929" w14:textId="77777777"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lastRenderedPageBreak/>
              <w:t>SFŽP</w:t>
            </w:r>
          </w:p>
        </w:tc>
        <w:tc>
          <w:tcPr>
            <w:tcW w:w="6740" w:type="dxa"/>
            <w:shd w:val="clear" w:color="auto" w:fill="auto"/>
            <w:vAlign w:val="center"/>
            <w:hideMark/>
          </w:tcPr>
          <w:p w14:paraId="3FB241A3" w14:textId="2E311DC6" w:rsidR="00661C71" w:rsidRPr="00661C71" w:rsidRDefault="00661C71" w:rsidP="003B5851">
            <w:pPr>
              <w:spacing w:before="40" w:after="40"/>
              <w:rPr>
                <w:rFonts w:ascii="Calibri" w:hAnsi="Calibri" w:cs="Calibri"/>
                <w:sz w:val="22"/>
                <w:szCs w:val="22"/>
              </w:rPr>
            </w:pPr>
            <w:r w:rsidRPr="00661C71">
              <w:rPr>
                <w:rFonts w:ascii="Calibri" w:hAnsi="Calibri" w:cs="Calibri"/>
                <w:sz w:val="22"/>
                <w:szCs w:val="22"/>
              </w:rPr>
              <w:t>Státní fond životního prostředí</w:t>
            </w:r>
            <w:r w:rsidR="00520D14">
              <w:rPr>
                <w:rFonts w:ascii="Calibri" w:hAnsi="Calibri" w:cs="Calibri"/>
                <w:sz w:val="22"/>
                <w:szCs w:val="22"/>
              </w:rPr>
              <w:t xml:space="preserve"> </w:t>
            </w:r>
            <w:r w:rsidR="00520D14" w:rsidRPr="00661C71">
              <w:rPr>
                <w:rFonts w:ascii="Calibri" w:hAnsi="Calibri" w:cs="Calibri"/>
                <w:color w:val="000000"/>
                <w:sz w:val="22"/>
                <w:szCs w:val="22"/>
              </w:rPr>
              <w:t>České republiky</w:t>
            </w:r>
          </w:p>
        </w:tc>
      </w:tr>
      <w:tr w:rsidR="00661C71" w:rsidRPr="00661C71" w14:paraId="1606B0DA" w14:textId="77777777" w:rsidTr="005D7C02">
        <w:trPr>
          <w:trHeight w:val="864"/>
        </w:trPr>
        <w:tc>
          <w:tcPr>
            <w:tcW w:w="2240" w:type="dxa"/>
            <w:shd w:val="clear" w:color="auto" w:fill="auto"/>
            <w:vAlign w:val="center"/>
            <w:hideMark/>
          </w:tcPr>
          <w:p w14:paraId="1A5DF28C" w14:textId="4A549C78" w:rsidR="00661C71" w:rsidRPr="00661C71" w:rsidRDefault="00A25E95" w:rsidP="003B5851">
            <w:pPr>
              <w:spacing w:before="40" w:after="40"/>
              <w:rPr>
                <w:rFonts w:ascii="Calibri" w:hAnsi="Calibri" w:cs="Calibri"/>
                <w:color w:val="000000"/>
                <w:sz w:val="22"/>
                <w:szCs w:val="22"/>
              </w:rPr>
            </w:pPr>
            <w:r>
              <w:rPr>
                <w:rFonts w:ascii="Calibri" w:hAnsi="Calibri" w:cs="Calibri"/>
                <w:color w:val="000000"/>
                <w:sz w:val="22"/>
                <w:szCs w:val="22"/>
              </w:rPr>
              <w:t>s</w:t>
            </w:r>
            <w:r w:rsidR="00661C71" w:rsidRPr="00661C71">
              <w:rPr>
                <w:rFonts w:ascii="Calibri" w:hAnsi="Calibri" w:cs="Calibri"/>
                <w:color w:val="000000"/>
                <w:sz w:val="22"/>
                <w:szCs w:val="22"/>
              </w:rPr>
              <w:t>měrnice EE</w:t>
            </w:r>
            <w:r w:rsidR="0083441D">
              <w:rPr>
                <w:rFonts w:ascii="Calibri" w:hAnsi="Calibri" w:cs="Calibri"/>
                <w:color w:val="000000"/>
                <w:sz w:val="22"/>
                <w:szCs w:val="22"/>
              </w:rPr>
              <w:t>D</w:t>
            </w:r>
          </w:p>
        </w:tc>
        <w:tc>
          <w:tcPr>
            <w:tcW w:w="6740" w:type="dxa"/>
            <w:shd w:val="clear" w:color="auto" w:fill="auto"/>
            <w:vAlign w:val="center"/>
            <w:hideMark/>
          </w:tcPr>
          <w:p w14:paraId="212EA899" w14:textId="6F6CEDEF" w:rsidR="00661C71" w:rsidRPr="00661C71" w:rsidRDefault="00530253" w:rsidP="00F71E52">
            <w:pPr>
              <w:spacing w:before="40" w:after="40"/>
              <w:jc w:val="left"/>
              <w:rPr>
                <w:rFonts w:ascii="Calibri" w:hAnsi="Calibri" w:cs="Calibri"/>
                <w:color w:val="000000"/>
                <w:sz w:val="22"/>
                <w:szCs w:val="22"/>
              </w:rPr>
            </w:pPr>
            <w:r>
              <w:rPr>
                <w:rFonts w:ascii="Calibri" w:hAnsi="Calibri" w:cs="Calibri"/>
                <w:color w:val="000000"/>
                <w:sz w:val="22"/>
                <w:szCs w:val="22"/>
              </w:rPr>
              <w:t>s</w:t>
            </w:r>
            <w:r w:rsidR="00661C71" w:rsidRPr="00661C71">
              <w:rPr>
                <w:rFonts w:ascii="Calibri" w:hAnsi="Calibri" w:cs="Calibri"/>
                <w:color w:val="000000"/>
                <w:sz w:val="22"/>
                <w:szCs w:val="22"/>
              </w:rPr>
              <w:t>měrnice Evropského parlamentu a Rady 2012/27/EU ze dne 25. října 2012</w:t>
            </w:r>
            <w:r>
              <w:rPr>
                <w:rFonts w:ascii="Calibri" w:hAnsi="Calibri" w:cs="Calibri"/>
                <w:color w:val="000000"/>
                <w:sz w:val="22"/>
                <w:szCs w:val="22"/>
              </w:rPr>
              <w:t>,</w:t>
            </w:r>
            <w:r w:rsidR="00661C71" w:rsidRPr="00661C71">
              <w:rPr>
                <w:rFonts w:ascii="Calibri" w:hAnsi="Calibri" w:cs="Calibri"/>
                <w:color w:val="000000"/>
                <w:sz w:val="22"/>
                <w:szCs w:val="22"/>
              </w:rPr>
              <w:t xml:space="preserve"> o energetické účinnosti, o změně směrnic 2009/125/ES a</w:t>
            </w:r>
            <w:r w:rsidR="00A82D0D">
              <w:rPr>
                <w:rFonts w:ascii="Calibri" w:hAnsi="Calibri" w:cs="Calibri"/>
                <w:color w:val="000000"/>
                <w:sz w:val="22"/>
                <w:szCs w:val="22"/>
              </w:rPr>
              <w:t> </w:t>
            </w:r>
            <w:r w:rsidR="00661C71" w:rsidRPr="00661C71">
              <w:rPr>
                <w:rFonts w:ascii="Calibri" w:hAnsi="Calibri" w:cs="Calibri"/>
                <w:color w:val="000000"/>
                <w:sz w:val="22"/>
                <w:szCs w:val="22"/>
              </w:rPr>
              <w:t>2010/30/EU a</w:t>
            </w:r>
            <w:r w:rsidR="002D725C">
              <w:rPr>
                <w:rFonts w:ascii="Calibri" w:hAnsi="Calibri" w:cs="Calibri"/>
                <w:color w:val="000000"/>
                <w:sz w:val="22"/>
                <w:szCs w:val="22"/>
              </w:rPr>
              <w:t> </w:t>
            </w:r>
            <w:r w:rsidR="00661C71" w:rsidRPr="00661C71">
              <w:rPr>
                <w:rFonts w:ascii="Calibri" w:hAnsi="Calibri" w:cs="Calibri"/>
                <w:color w:val="000000"/>
                <w:sz w:val="22"/>
                <w:szCs w:val="22"/>
              </w:rPr>
              <w:t>o</w:t>
            </w:r>
            <w:r w:rsidR="002D725C">
              <w:rPr>
                <w:rFonts w:ascii="Calibri" w:hAnsi="Calibri" w:cs="Calibri"/>
                <w:color w:val="000000"/>
                <w:sz w:val="22"/>
                <w:szCs w:val="22"/>
              </w:rPr>
              <w:t> </w:t>
            </w:r>
            <w:r w:rsidR="00661C71" w:rsidRPr="00661C71">
              <w:rPr>
                <w:rFonts w:ascii="Calibri" w:hAnsi="Calibri" w:cs="Calibri"/>
                <w:color w:val="000000"/>
                <w:sz w:val="22"/>
                <w:szCs w:val="22"/>
              </w:rPr>
              <w:t>zrušení směrnic 2004/8/ES a 2006/32/ES</w:t>
            </w:r>
          </w:p>
        </w:tc>
      </w:tr>
      <w:tr w:rsidR="00A25E95" w:rsidRPr="00661C71" w14:paraId="4BA0F347" w14:textId="77777777" w:rsidTr="005D7C02">
        <w:trPr>
          <w:trHeight w:val="864"/>
        </w:trPr>
        <w:tc>
          <w:tcPr>
            <w:tcW w:w="2240" w:type="dxa"/>
            <w:shd w:val="clear" w:color="auto" w:fill="auto"/>
            <w:vAlign w:val="center"/>
          </w:tcPr>
          <w:p w14:paraId="4C4DF2B0" w14:textId="6C5FB1C3" w:rsidR="00A25E95" w:rsidRPr="00661C71" w:rsidRDefault="00A25E95" w:rsidP="003B5851">
            <w:pPr>
              <w:spacing w:before="40" w:after="40"/>
              <w:rPr>
                <w:rFonts w:ascii="Calibri" w:hAnsi="Calibri" w:cs="Calibri"/>
                <w:color w:val="000000"/>
                <w:sz w:val="22"/>
                <w:szCs w:val="22"/>
              </w:rPr>
            </w:pPr>
            <w:r>
              <w:rPr>
                <w:rFonts w:ascii="Calibri" w:hAnsi="Calibri" w:cs="Calibri"/>
                <w:color w:val="000000"/>
                <w:sz w:val="22"/>
                <w:szCs w:val="22"/>
              </w:rPr>
              <w:t>směrnice o energetické náročnosti budov</w:t>
            </w:r>
          </w:p>
        </w:tc>
        <w:tc>
          <w:tcPr>
            <w:tcW w:w="6740" w:type="dxa"/>
            <w:shd w:val="clear" w:color="auto" w:fill="auto"/>
            <w:vAlign w:val="center"/>
          </w:tcPr>
          <w:p w14:paraId="656415B0" w14:textId="6C1CAE2E" w:rsidR="00A25E95" w:rsidRPr="00A25E95" w:rsidRDefault="00A25E95" w:rsidP="00F71E52">
            <w:pPr>
              <w:spacing w:before="40" w:after="40"/>
              <w:jc w:val="left"/>
              <w:rPr>
                <w:rFonts w:ascii="Calibri" w:hAnsi="Calibri" w:cs="Calibri"/>
                <w:color w:val="000000"/>
                <w:sz w:val="22"/>
                <w:szCs w:val="22"/>
              </w:rPr>
            </w:pPr>
            <w:r w:rsidRPr="00F71E52">
              <w:rPr>
                <w:sz w:val="22"/>
                <w:szCs w:val="22"/>
              </w:rPr>
              <w:t>směrnice Evropského parlamentu a Rady 2010/31/EU ze dne 19. května 2010, o energetické náročnosti budov</w:t>
            </w:r>
          </w:p>
        </w:tc>
      </w:tr>
      <w:tr w:rsidR="001B5BE6" w:rsidRPr="00661C71" w14:paraId="46D8ABF9" w14:textId="77777777" w:rsidTr="005D7C02">
        <w:trPr>
          <w:trHeight w:val="300"/>
        </w:trPr>
        <w:tc>
          <w:tcPr>
            <w:tcW w:w="2240" w:type="dxa"/>
            <w:shd w:val="clear" w:color="auto" w:fill="auto"/>
            <w:noWrap/>
            <w:vAlign w:val="center"/>
          </w:tcPr>
          <w:p w14:paraId="146E059A" w14:textId="1AD0DE47" w:rsidR="001B5BE6" w:rsidRPr="00661C71" w:rsidRDefault="001B5BE6" w:rsidP="003B5851">
            <w:pPr>
              <w:spacing w:before="40" w:after="40"/>
              <w:rPr>
                <w:rFonts w:ascii="Calibri" w:hAnsi="Calibri" w:cs="Calibri"/>
                <w:color w:val="000000"/>
                <w:sz w:val="22"/>
                <w:szCs w:val="22"/>
              </w:rPr>
            </w:pPr>
            <w:r>
              <w:rPr>
                <w:rFonts w:ascii="Calibri" w:hAnsi="Calibri" w:cs="Calibri"/>
                <w:color w:val="000000"/>
                <w:sz w:val="22"/>
                <w:szCs w:val="22"/>
              </w:rPr>
              <w:t>SR</w:t>
            </w:r>
          </w:p>
        </w:tc>
        <w:tc>
          <w:tcPr>
            <w:tcW w:w="6740" w:type="dxa"/>
            <w:shd w:val="clear" w:color="auto" w:fill="auto"/>
            <w:vAlign w:val="center"/>
          </w:tcPr>
          <w:p w14:paraId="5BD99FEA" w14:textId="2690777F" w:rsidR="001B5BE6" w:rsidRPr="00661C71" w:rsidRDefault="001B5BE6" w:rsidP="003B5851">
            <w:pPr>
              <w:spacing w:before="40" w:after="40"/>
              <w:rPr>
                <w:rFonts w:ascii="Calibri" w:hAnsi="Calibri" w:cs="Calibri"/>
                <w:color w:val="000000"/>
                <w:sz w:val="22"/>
                <w:szCs w:val="22"/>
              </w:rPr>
            </w:pPr>
            <w:r>
              <w:rPr>
                <w:rFonts w:ascii="Calibri" w:hAnsi="Calibri" w:cs="Calibri"/>
                <w:color w:val="000000"/>
                <w:sz w:val="22"/>
                <w:szCs w:val="22"/>
              </w:rPr>
              <w:t>státní rozpočet</w:t>
            </w:r>
          </w:p>
        </w:tc>
      </w:tr>
      <w:tr w:rsidR="00661C71" w:rsidRPr="00661C71" w14:paraId="5ABFD5FB" w14:textId="77777777" w:rsidTr="005D7C02">
        <w:trPr>
          <w:trHeight w:val="300"/>
        </w:trPr>
        <w:tc>
          <w:tcPr>
            <w:tcW w:w="2240" w:type="dxa"/>
            <w:shd w:val="clear" w:color="auto" w:fill="auto"/>
            <w:noWrap/>
            <w:vAlign w:val="center"/>
            <w:hideMark/>
          </w:tcPr>
          <w:p w14:paraId="19BB68AD" w14:textId="77777777" w:rsidR="00661C71" w:rsidRPr="00661C71" w:rsidRDefault="00661C71" w:rsidP="003B5851">
            <w:pPr>
              <w:spacing w:before="40" w:after="40"/>
              <w:rPr>
                <w:rFonts w:ascii="Calibri" w:hAnsi="Calibri" w:cs="Calibri"/>
                <w:color w:val="000000"/>
                <w:sz w:val="22"/>
                <w:szCs w:val="22"/>
              </w:rPr>
            </w:pPr>
            <w:r w:rsidRPr="00661C71">
              <w:rPr>
                <w:rFonts w:ascii="Calibri" w:hAnsi="Calibri" w:cs="Calibri"/>
                <w:color w:val="000000"/>
                <w:sz w:val="22"/>
                <w:szCs w:val="22"/>
              </w:rPr>
              <w:t>TJ</w:t>
            </w:r>
          </w:p>
        </w:tc>
        <w:tc>
          <w:tcPr>
            <w:tcW w:w="6740" w:type="dxa"/>
            <w:shd w:val="clear" w:color="auto" w:fill="auto"/>
            <w:vAlign w:val="center"/>
            <w:hideMark/>
          </w:tcPr>
          <w:p w14:paraId="45AB6148" w14:textId="5C6779FD" w:rsidR="00661C71" w:rsidRPr="00661C71" w:rsidRDefault="00661C71" w:rsidP="003B5851">
            <w:pPr>
              <w:spacing w:before="40" w:after="40"/>
              <w:rPr>
                <w:rFonts w:ascii="Calibri" w:hAnsi="Calibri" w:cs="Calibri"/>
                <w:color w:val="000000"/>
                <w:sz w:val="22"/>
                <w:szCs w:val="22"/>
              </w:rPr>
            </w:pPr>
            <w:proofErr w:type="spellStart"/>
            <w:r w:rsidRPr="00661C71">
              <w:rPr>
                <w:rFonts w:ascii="Calibri" w:hAnsi="Calibri" w:cs="Calibri"/>
                <w:color w:val="000000"/>
                <w:sz w:val="22"/>
                <w:szCs w:val="22"/>
              </w:rPr>
              <w:t>terajoul</w:t>
            </w:r>
            <w:r w:rsidR="006E5D0A">
              <w:rPr>
                <w:rFonts w:ascii="Calibri" w:hAnsi="Calibri" w:cs="Calibri"/>
                <w:color w:val="000000"/>
                <w:sz w:val="22"/>
                <w:szCs w:val="22"/>
              </w:rPr>
              <w:t>e</w:t>
            </w:r>
            <w:proofErr w:type="spellEnd"/>
          </w:p>
        </w:tc>
      </w:tr>
    </w:tbl>
    <w:p w14:paraId="1ADCBEC7" w14:textId="77777777" w:rsidR="005C3ACF" w:rsidRDefault="005C3ACF">
      <w:pPr>
        <w:jc w:val="left"/>
        <w:rPr>
          <w:rFonts w:cstheme="minorHAnsi"/>
          <w:b/>
          <w:strike/>
          <w:noProof/>
          <w:color w:val="000000" w:themeColor="text1"/>
          <w:szCs w:val="28"/>
        </w:rPr>
      </w:pPr>
      <w:r>
        <w:rPr>
          <w:rFonts w:cstheme="minorHAnsi"/>
          <w:b/>
          <w:strike/>
          <w:noProof/>
          <w:color w:val="000000" w:themeColor="text1"/>
          <w:szCs w:val="28"/>
        </w:rPr>
        <w:br w:type="page"/>
      </w:r>
    </w:p>
    <w:p w14:paraId="3397C2C6" w14:textId="77777777" w:rsidR="005B4394" w:rsidRDefault="005B4394" w:rsidP="009428B0">
      <w:pPr>
        <w:pStyle w:val="Nadpis4"/>
        <w:spacing w:after="120"/>
        <w:jc w:val="both"/>
        <w:rPr>
          <w:rStyle w:val="Nadpis4Char"/>
          <w:b/>
          <w:bCs/>
        </w:rPr>
        <w:sectPr w:rsidR="005B4394" w:rsidSect="002464CE">
          <w:footerReference w:type="default" r:id="rId22"/>
          <w:pgSz w:w="11906" w:h="16838" w:code="9"/>
          <w:pgMar w:top="1418" w:right="1418" w:bottom="1418" w:left="1418" w:header="709" w:footer="709" w:gutter="0"/>
          <w:cols w:space="708"/>
          <w:docGrid w:linePitch="360"/>
        </w:sectPr>
      </w:pPr>
    </w:p>
    <w:p w14:paraId="218FA8D8" w14:textId="38EF3A1E" w:rsidR="00E36AA1" w:rsidRDefault="001D7420" w:rsidP="004147A0">
      <w:pPr>
        <w:pStyle w:val="Nadpis4"/>
        <w:jc w:val="both"/>
      </w:pPr>
      <w:r w:rsidRPr="00C05142">
        <w:rPr>
          <w:rStyle w:val="Nadpis4Char"/>
          <w:b/>
          <w:bCs/>
        </w:rPr>
        <w:lastRenderedPageBreak/>
        <w:t>Příloha č. 1:</w:t>
      </w:r>
      <w:r w:rsidR="00B00381" w:rsidRPr="00C05142">
        <w:rPr>
          <w:rStyle w:val="Nadpis4Char"/>
          <w:b/>
          <w:bCs/>
        </w:rPr>
        <w:t xml:space="preserve"> </w:t>
      </w:r>
      <w:r w:rsidR="00C05142" w:rsidRPr="00C05142">
        <w:t xml:space="preserve">Projekty </w:t>
      </w:r>
      <w:r w:rsidR="00731BAA">
        <w:t xml:space="preserve">IROP a programu NZÚ </w:t>
      </w:r>
      <w:r w:rsidR="00C05142" w:rsidRPr="00C05142">
        <w:t>vybrané do kontrolního vzorku</w:t>
      </w:r>
      <w:r w:rsidR="007D0DA6">
        <w:t xml:space="preserve"> NKÚ</w:t>
      </w:r>
    </w:p>
    <w:tbl>
      <w:tblPr>
        <w:tblW w:w="14039" w:type="dxa"/>
        <w:tblInd w:w="-10" w:type="dxa"/>
        <w:tblCellMar>
          <w:left w:w="70" w:type="dxa"/>
          <w:right w:w="70" w:type="dxa"/>
        </w:tblCellMar>
        <w:tblLook w:val="04A0" w:firstRow="1" w:lastRow="0" w:firstColumn="1" w:lastColumn="0" w:noHBand="0" w:noVBand="1"/>
      </w:tblPr>
      <w:tblGrid>
        <w:gridCol w:w="993"/>
        <w:gridCol w:w="2832"/>
        <w:gridCol w:w="5247"/>
        <w:gridCol w:w="1701"/>
        <w:gridCol w:w="1701"/>
        <w:gridCol w:w="1565"/>
      </w:tblGrid>
      <w:tr w:rsidR="003702DB" w:rsidRPr="000D47B3" w14:paraId="6AF46791" w14:textId="77777777" w:rsidTr="000165EC">
        <w:trPr>
          <w:trHeight w:val="552"/>
        </w:trPr>
        <w:tc>
          <w:tcPr>
            <w:tcW w:w="993" w:type="dxa"/>
            <w:vMerge w:val="restart"/>
            <w:tcBorders>
              <w:top w:val="single" w:sz="8" w:space="0" w:color="auto"/>
              <w:left w:val="single" w:sz="8" w:space="0" w:color="auto"/>
              <w:bottom w:val="single" w:sz="8" w:space="0" w:color="000000"/>
              <w:right w:val="single" w:sz="4" w:space="0" w:color="auto"/>
            </w:tcBorders>
            <w:shd w:val="clear" w:color="000000" w:fill="E5F1FF"/>
            <w:vAlign w:val="center"/>
            <w:hideMark/>
          </w:tcPr>
          <w:p w14:paraId="257D3F73" w14:textId="77777777" w:rsidR="000D47B3" w:rsidRPr="000D47B3" w:rsidRDefault="000D47B3" w:rsidP="000D47B3">
            <w:pPr>
              <w:jc w:val="center"/>
              <w:rPr>
                <w:rFonts w:ascii="Calibri" w:hAnsi="Calibri" w:cs="Calibri"/>
                <w:b/>
                <w:bCs/>
                <w:color w:val="000000"/>
                <w:sz w:val="20"/>
              </w:rPr>
            </w:pPr>
            <w:r w:rsidRPr="000D47B3">
              <w:rPr>
                <w:rFonts w:ascii="Calibri" w:hAnsi="Calibri" w:cs="Calibri"/>
                <w:b/>
                <w:bCs/>
                <w:color w:val="000000"/>
                <w:sz w:val="20"/>
              </w:rPr>
              <w:t>Pořadové číslo </w:t>
            </w:r>
          </w:p>
        </w:tc>
        <w:tc>
          <w:tcPr>
            <w:tcW w:w="2832" w:type="dxa"/>
            <w:vMerge w:val="restart"/>
            <w:tcBorders>
              <w:top w:val="single" w:sz="8" w:space="0" w:color="auto"/>
              <w:left w:val="single" w:sz="4" w:space="0" w:color="auto"/>
              <w:bottom w:val="single" w:sz="8" w:space="0" w:color="000000"/>
              <w:right w:val="single" w:sz="4" w:space="0" w:color="auto"/>
            </w:tcBorders>
            <w:shd w:val="clear" w:color="000000" w:fill="E5F1FF"/>
            <w:vAlign w:val="center"/>
            <w:hideMark/>
          </w:tcPr>
          <w:p w14:paraId="50F7F060" w14:textId="77777777" w:rsidR="000D47B3" w:rsidRPr="000D47B3" w:rsidRDefault="000D47B3" w:rsidP="000D47B3">
            <w:pPr>
              <w:jc w:val="center"/>
              <w:rPr>
                <w:rFonts w:ascii="Calibri" w:hAnsi="Calibri" w:cs="Calibri"/>
                <w:b/>
                <w:bCs/>
                <w:color w:val="000000"/>
                <w:sz w:val="20"/>
              </w:rPr>
            </w:pPr>
            <w:r w:rsidRPr="000D47B3">
              <w:rPr>
                <w:rFonts w:ascii="Calibri" w:hAnsi="Calibri" w:cs="Calibri"/>
                <w:b/>
                <w:bCs/>
                <w:color w:val="000000"/>
                <w:sz w:val="20"/>
              </w:rPr>
              <w:t>Registrační číslo projektu</w:t>
            </w:r>
          </w:p>
        </w:tc>
        <w:tc>
          <w:tcPr>
            <w:tcW w:w="5247" w:type="dxa"/>
            <w:vMerge w:val="restart"/>
            <w:tcBorders>
              <w:top w:val="single" w:sz="8" w:space="0" w:color="auto"/>
              <w:left w:val="single" w:sz="4" w:space="0" w:color="auto"/>
              <w:bottom w:val="single" w:sz="8" w:space="0" w:color="000000"/>
              <w:right w:val="single" w:sz="4" w:space="0" w:color="auto"/>
            </w:tcBorders>
            <w:shd w:val="clear" w:color="000000" w:fill="E5F1FF"/>
            <w:vAlign w:val="center"/>
            <w:hideMark/>
          </w:tcPr>
          <w:p w14:paraId="52CD654C" w14:textId="77777777" w:rsidR="000D47B3" w:rsidRPr="000D47B3" w:rsidRDefault="000D47B3" w:rsidP="000D47B3">
            <w:pPr>
              <w:jc w:val="center"/>
              <w:rPr>
                <w:rFonts w:ascii="Calibri" w:hAnsi="Calibri" w:cs="Calibri"/>
                <w:b/>
                <w:bCs/>
                <w:color w:val="000000"/>
                <w:sz w:val="20"/>
              </w:rPr>
            </w:pPr>
            <w:r w:rsidRPr="000D47B3">
              <w:rPr>
                <w:rFonts w:ascii="Calibri" w:hAnsi="Calibri" w:cs="Calibri"/>
                <w:b/>
                <w:bCs/>
                <w:color w:val="000000"/>
                <w:sz w:val="20"/>
              </w:rPr>
              <w:t>Žadatel/příjemce</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E5F1FF"/>
            <w:vAlign w:val="center"/>
            <w:hideMark/>
          </w:tcPr>
          <w:p w14:paraId="2CB3E6F5" w14:textId="6B9110FE" w:rsidR="000D47B3" w:rsidRPr="000D47B3" w:rsidRDefault="000D47B3" w:rsidP="009B4E01">
            <w:pPr>
              <w:jc w:val="center"/>
              <w:rPr>
                <w:rFonts w:ascii="Calibri" w:hAnsi="Calibri" w:cs="Calibri"/>
                <w:b/>
                <w:bCs/>
                <w:color w:val="000000"/>
                <w:sz w:val="20"/>
              </w:rPr>
            </w:pPr>
            <w:r w:rsidRPr="000D47B3">
              <w:rPr>
                <w:rFonts w:ascii="Calibri" w:hAnsi="Calibri" w:cs="Calibri"/>
                <w:b/>
                <w:bCs/>
                <w:color w:val="000000"/>
                <w:sz w:val="20"/>
              </w:rPr>
              <w:t>Způsobilé výdaje projektu (v Kč)</w:t>
            </w:r>
          </w:p>
        </w:tc>
        <w:tc>
          <w:tcPr>
            <w:tcW w:w="1701" w:type="dxa"/>
            <w:vMerge w:val="restart"/>
            <w:tcBorders>
              <w:top w:val="single" w:sz="8" w:space="0" w:color="auto"/>
              <w:left w:val="single" w:sz="4" w:space="0" w:color="auto"/>
              <w:bottom w:val="single" w:sz="8" w:space="0" w:color="000000"/>
              <w:right w:val="single" w:sz="4" w:space="0" w:color="auto"/>
            </w:tcBorders>
            <w:shd w:val="clear" w:color="000000" w:fill="E5F1FF"/>
            <w:vAlign w:val="center"/>
            <w:hideMark/>
          </w:tcPr>
          <w:p w14:paraId="0CB01063" w14:textId="77777777" w:rsidR="000D47B3" w:rsidRPr="000D47B3" w:rsidRDefault="000D47B3" w:rsidP="000D47B3">
            <w:pPr>
              <w:jc w:val="center"/>
              <w:rPr>
                <w:rFonts w:ascii="Calibri" w:hAnsi="Calibri" w:cs="Calibri"/>
                <w:b/>
                <w:bCs/>
                <w:color w:val="000000"/>
                <w:sz w:val="20"/>
              </w:rPr>
            </w:pPr>
            <w:r w:rsidRPr="000D47B3">
              <w:rPr>
                <w:rFonts w:ascii="Calibri" w:hAnsi="Calibri" w:cs="Calibri"/>
                <w:b/>
                <w:bCs/>
                <w:color w:val="000000"/>
                <w:sz w:val="20"/>
              </w:rPr>
              <w:t>Příspěvek z IROP nebo z programu NZÚ (v Kč)</w:t>
            </w:r>
          </w:p>
        </w:tc>
        <w:tc>
          <w:tcPr>
            <w:tcW w:w="1565" w:type="dxa"/>
            <w:vMerge w:val="restart"/>
            <w:tcBorders>
              <w:top w:val="single" w:sz="8" w:space="0" w:color="auto"/>
              <w:left w:val="single" w:sz="4" w:space="0" w:color="auto"/>
              <w:bottom w:val="single" w:sz="8" w:space="0" w:color="000000"/>
              <w:right w:val="single" w:sz="8" w:space="0" w:color="auto"/>
            </w:tcBorders>
            <w:shd w:val="clear" w:color="000000" w:fill="E5F1FF"/>
            <w:vAlign w:val="center"/>
            <w:hideMark/>
          </w:tcPr>
          <w:p w14:paraId="43DC063E" w14:textId="77777777" w:rsidR="000165EC" w:rsidRDefault="000D47B3" w:rsidP="000D47B3">
            <w:pPr>
              <w:jc w:val="center"/>
              <w:rPr>
                <w:rFonts w:ascii="Calibri" w:hAnsi="Calibri" w:cs="Calibri"/>
                <w:b/>
                <w:bCs/>
                <w:color w:val="000000"/>
                <w:sz w:val="20"/>
              </w:rPr>
            </w:pPr>
            <w:r w:rsidRPr="000D47B3">
              <w:rPr>
                <w:rFonts w:ascii="Calibri" w:hAnsi="Calibri" w:cs="Calibri"/>
                <w:b/>
                <w:bCs/>
                <w:color w:val="000000"/>
                <w:sz w:val="20"/>
              </w:rPr>
              <w:t xml:space="preserve">Výše </w:t>
            </w:r>
            <w:r w:rsidR="000165EC">
              <w:rPr>
                <w:rFonts w:ascii="Calibri" w:hAnsi="Calibri" w:cs="Calibri"/>
                <w:b/>
                <w:bCs/>
                <w:color w:val="000000"/>
                <w:sz w:val="20"/>
              </w:rPr>
              <w:t xml:space="preserve">skutečné </w:t>
            </w:r>
            <w:r w:rsidRPr="000D47B3">
              <w:rPr>
                <w:rFonts w:ascii="Calibri" w:hAnsi="Calibri" w:cs="Calibri"/>
                <w:b/>
                <w:bCs/>
                <w:color w:val="000000"/>
                <w:sz w:val="20"/>
              </w:rPr>
              <w:t>měrné dotace</w:t>
            </w:r>
          </w:p>
          <w:p w14:paraId="59714F19" w14:textId="135C1778" w:rsidR="000D47B3" w:rsidRPr="000D47B3" w:rsidRDefault="00017237" w:rsidP="000D47B3">
            <w:pPr>
              <w:jc w:val="center"/>
              <w:rPr>
                <w:rFonts w:ascii="Calibri" w:hAnsi="Calibri" w:cs="Calibri"/>
                <w:b/>
                <w:bCs/>
                <w:color w:val="000000"/>
                <w:sz w:val="20"/>
              </w:rPr>
            </w:pPr>
            <w:r>
              <w:rPr>
                <w:rFonts w:ascii="Calibri" w:hAnsi="Calibri" w:cs="Calibri"/>
                <w:b/>
                <w:bCs/>
                <w:color w:val="000000"/>
                <w:sz w:val="20"/>
              </w:rPr>
              <w:t>(v Kč/GJ</w:t>
            </w:r>
            <w:r w:rsidR="00EE4263">
              <w:rPr>
                <w:rFonts w:ascii="Calibri" w:hAnsi="Calibri" w:cs="Calibri"/>
                <w:b/>
                <w:bCs/>
                <w:color w:val="000000"/>
                <w:sz w:val="20"/>
              </w:rPr>
              <w:t xml:space="preserve"> úspor energie</w:t>
            </w:r>
            <w:r>
              <w:rPr>
                <w:rFonts w:ascii="Calibri" w:hAnsi="Calibri" w:cs="Calibri"/>
                <w:b/>
                <w:bCs/>
                <w:color w:val="000000"/>
                <w:sz w:val="20"/>
              </w:rPr>
              <w:t>)</w:t>
            </w:r>
          </w:p>
        </w:tc>
      </w:tr>
      <w:tr w:rsidR="000D47B3" w:rsidRPr="000D47B3" w14:paraId="3F66BF4C" w14:textId="77777777" w:rsidTr="000165EC">
        <w:trPr>
          <w:trHeight w:val="293"/>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3D361EAF" w14:textId="77777777" w:rsidR="000D47B3" w:rsidRPr="000D47B3" w:rsidRDefault="000D47B3" w:rsidP="000D47B3">
            <w:pPr>
              <w:jc w:val="left"/>
              <w:rPr>
                <w:rFonts w:ascii="Calibri" w:hAnsi="Calibri" w:cs="Calibri"/>
                <w:b/>
                <w:bCs/>
                <w:color w:val="000000"/>
                <w:sz w:val="20"/>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14:paraId="604406E6" w14:textId="77777777" w:rsidR="000D47B3" w:rsidRPr="000D47B3" w:rsidRDefault="000D47B3" w:rsidP="000D47B3">
            <w:pPr>
              <w:jc w:val="left"/>
              <w:rPr>
                <w:rFonts w:ascii="Calibri" w:hAnsi="Calibri" w:cs="Calibri"/>
                <w:b/>
                <w:bCs/>
                <w:color w:val="000000"/>
                <w:sz w:val="20"/>
              </w:rPr>
            </w:pPr>
          </w:p>
        </w:tc>
        <w:tc>
          <w:tcPr>
            <w:tcW w:w="5247" w:type="dxa"/>
            <w:vMerge/>
            <w:tcBorders>
              <w:top w:val="single" w:sz="8" w:space="0" w:color="auto"/>
              <w:left w:val="single" w:sz="4" w:space="0" w:color="auto"/>
              <w:bottom w:val="single" w:sz="8" w:space="0" w:color="000000"/>
              <w:right w:val="single" w:sz="4" w:space="0" w:color="auto"/>
            </w:tcBorders>
            <w:vAlign w:val="center"/>
            <w:hideMark/>
          </w:tcPr>
          <w:p w14:paraId="2CC991E7" w14:textId="77777777" w:rsidR="000D47B3" w:rsidRPr="000D47B3" w:rsidRDefault="000D47B3" w:rsidP="000D47B3">
            <w:pPr>
              <w:jc w:val="left"/>
              <w:rPr>
                <w:rFonts w:ascii="Calibri" w:hAnsi="Calibri" w:cs="Calibri"/>
                <w:b/>
                <w:bCs/>
                <w:color w:val="000000"/>
                <w:sz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4BEF176B" w14:textId="77777777" w:rsidR="000D47B3" w:rsidRPr="000D47B3" w:rsidRDefault="000D47B3" w:rsidP="000D47B3">
            <w:pPr>
              <w:jc w:val="left"/>
              <w:rPr>
                <w:rFonts w:ascii="Calibri" w:hAnsi="Calibri" w:cs="Calibri"/>
                <w:b/>
                <w:bCs/>
                <w:color w:val="000000"/>
                <w:sz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2E624F2B" w14:textId="77777777" w:rsidR="000D47B3" w:rsidRPr="000D47B3" w:rsidRDefault="000D47B3" w:rsidP="000D47B3">
            <w:pPr>
              <w:jc w:val="left"/>
              <w:rPr>
                <w:rFonts w:ascii="Calibri" w:hAnsi="Calibri" w:cs="Calibri"/>
                <w:b/>
                <w:bCs/>
                <w:color w:val="000000"/>
                <w:sz w:val="20"/>
              </w:rPr>
            </w:pPr>
          </w:p>
        </w:tc>
        <w:tc>
          <w:tcPr>
            <w:tcW w:w="1565" w:type="dxa"/>
            <w:vMerge/>
            <w:tcBorders>
              <w:top w:val="single" w:sz="8" w:space="0" w:color="auto"/>
              <w:left w:val="single" w:sz="4" w:space="0" w:color="auto"/>
              <w:bottom w:val="single" w:sz="8" w:space="0" w:color="000000"/>
              <w:right w:val="single" w:sz="8" w:space="0" w:color="auto"/>
            </w:tcBorders>
            <w:vAlign w:val="center"/>
            <w:hideMark/>
          </w:tcPr>
          <w:p w14:paraId="0C8402A9" w14:textId="77777777" w:rsidR="000D47B3" w:rsidRPr="000D47B3" w:rsidRDefault="000D47B3" w:rsidP="000D47B3">
            <w:pPr>
              <w:jc w:val="left"/>
              <w:rPr>
                <w:rFonts w:ascii="Calibri" w:hAnsi="Calibri" w:cs="Calibri"/>
                <w:b/>
                <w:bCs/>
                <w:color w:val="000000"/>
                <w:sz w:val="20"/>
              </w:rPr>
            </w:pPr>
          </w:p>
        </w:tc>
      </w:tr>
      <w:tr w:rsidR="000D47B3" w:rsidRPr="000D47B3" w14:paraId="4341887C" w14:textId="77777777" w:rsidTr="000165EC">
        <w:trPr>
          <w:trHeight w:val="293"/>
        </w:trPr>
        <w:tc>
          <w:tcPr>
            <w:tcW w:w="993" w:type="dxa"/>
            <w:vMerge/>
            <w:tcBorders>
              <w:top w:val="single" w:sz="8" w:space="0" w:color="auto"/>
              <w:left w:val="single" w:sz="8" w:space="0" w:color="auto"/>
              <w:bottom w:val="single" w:sz="8" w:space="0" w:color="000000"/>
              <w:right w:val="single" w:sz="4" w:space="0" w:color="auto"/>
            </w:tcBorders>
            <w:vAlign w:val="center"/>
            <w:hideMark/>
          </w:tcPr>
          <w:p w14:paraId="63C59F66" w14:textId="77777777" w:rsidR="000D47B3" w:rsidRPr="000D47B3" w:rsidRDefault="000D47B3" w:rsidP="000D47B3">
            <w:pPr>
              <w:jc w:val="left"/>
              <w:rPr>
                <w:rFonts w:ascii="Calibri" w:hAnsi="Calibri" w:cs="Calibri"/>
                <w:b/>
                <w:bCs/>
                <w:color w:val="000000"/>
                <w:sz w:val="20"/>
              </w:rPr>
            </w:pPr>
          </w:p>
        </w:tc>
        <w:tc>
          <w:tcPr>
            <w:tcW w:w="2832" w:type="dxa"/>
            <w:vMerge/>
            <w:tcBorders>
              <w:top w:val="single" w:sz="8" w:space="0" w:color="auto"/>
              <w:left w:val="single" w:sz="4" w:space="0" w:color="auto"/>
              <w:bottom w:val="single" w:sz="8" w:space="0" w:color="000000"/>
              <w:right w:val="single" w:sz="4" w:space="0" w:color="auto"/>
            </w:tcBorders>
            <w:vAlign w:val="center"/>
            <w:hideMark/>
          </w:tcPr>
          <w:p w14:paraId="2F80EF43" w14:textId="77777777" w:rsidR="000D47B3" w:rsidRPr="000D47B3" w:rsidRDefault="000D47B3" w:rsidP="000D47B3">
            <w:pPr>
              <w:jc w:val="left"/>
              <w:rPr>
                <w:rFonts w:ascii="Calibri" w:hAnsi="Calibri" w:cs="Calibri"/>
                <w:b/>
                <w:bCs/>
                <w:color w:val="000000"/>
                <w:sz w:val="20"/>
              </w:rPr>
            </w:pPr>
          </w:p>
        </w:tc>
        <w:tc>
          <w:tcPr>
            <w:tcW w:w="5247" w:type="dxa"/>
            <w:vMerge/>
            <w:tcBorders>
              <w:top w:val="single" w:sz="8" w:space="0" w:color="auto"/>
              <w:left w:val="single" w:sz="4" w:space="0" w:color="auto"/>
              <w:bottom w:val="single" w:sz="8" w:space="0" w:color="000000"/>
              <w:right w:val="single" w:sz="4" w:space="0" w:color="auto"/>
            </w:tcBorders>
            <w:vAlign w:val="center"/>
            <w:hideMark/>
          </w:tcPr>
          <w:p w14:paraId="0067A3B4" w14:textId="77777777" w:rsidR="000D47B3" w:rsidRPr="000D47B3" w:rsidRDefault="000D47B3" w:rsidP="000D47B3">
            <w:pPr>
              <w:jc w:val="left"/>
              <w:rPr>
                <w:rFonts w:ascii="Calibri" w:hAnsi="Calibri" w:cs="Calibri"/>
                <w:b/>
                <w:bCs/>
                <w:color w:val="000000"/>
                <w:sz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22FFD302" w14:textId="77777777" w:rsidR="000D47B3" w:rsidRPr="000D47B3" w:rsidRDefault="000D47B3" w:rsidP="000D47B3">
            <w:pPr>
              <w:jc w:val="left"/>
              <w:rPr>
                <w:rFonts w:ascii="Calibri" w:hAnsi="Calibri" w:cs="Calibri"/>
                <w:b/>
                <w:bCs/>
                <w:color w:val="000000"/>
                <w:sz w:val="20"/>
              </w:rPr>
            </w:pPr>
          </w:p>
        </w:tc>
        <w:tc>
          <w:tcPr>
            <w:tcW w:w="1701" w:type="dxa"/>
            <w:vMerge/>
            <w:tcBorders>
              <w:top w:val="single" w:sz="8" w:space="0" w:color="auto"/>
              <w:left w:val="single" w:sz="4" w:space="0" w:color="auto"/>
              <w:bottom w:val="single" w:sz="8" w:space="0" w:color="000000"/>
              <w:right w:val="single" w:sz="4" w:space="0" w:color="auto"/>
            </w:tcBorders>
            <w:vAlign w:val="center"/>
            <w:hideMark/>
          </w:tcPr>
          <w:p w14:paraId="4B4ECA6B" w14:textId="77777777" w:rsidR="000D47B3" w:rsidRPr="000D47B3" w:rsidRDefault="000D47B3" w:rsidP="000D47B3">
            <w:pPr>
              <w:jc w:val="left"/>
              <w:rPr>
                <w:rFonts w:ascii="Calibri" w:hAnsi="Calibri" w:cs="Calibri"/>
                <w:b/>
                <w:bCs/>
                <w:color w:val="000000"/>
                <w:sz w:val="20"/>
              </w:rPr>
            </w:pPr>
          </w:p>
        </w:tc>
        <w:tc>
          <w:tcPr>
            <w:tcW w:w="1565" w:type="dxa"/>
            <w:vMerge/>
            <w:tcBorders>
              <w:top w:val="single" w:sz="8" w:space="0" w:color="auto"/>
              <w:left w:val="single" w:sz="4" w:space="0" w:color="auto"/>
              <w:bottom w:val="single" w:sz="8" w:space="0" w:color="000000"/>
              <w:right w:val="single" w:sz="8" w:space="0" w:color="auto"/>
            </w:tcBorders>
            <w:vAlign w:val="center"/>
            <w:hideMark/>
          </w:tcPr>
          <w:p w14:paraId="28B8592B" w14:textId="77777777" w:rsidR="000D47B3" w:rsidRPr="000D47B3" w:rsidRDefault="000D47B3" w:rsidP="000D47B3">
            <w:pPr>
              <w:jc w:val="left"/>
              <w:rPr>
                <w:rFonts w:ascii="Calibri" w:hAnsi="Calibri" w:cs="Calibri"/>
                <w:b/>
                <w:bCs/>
                <w:color w:val="000000"/>
                <w:sz w:val="20"/>
              </w:rPr>
            </w:pPr>
          </w:p>
        </w:tc>
      </w:tr>
      <w:tr w:rsidR="000D47B3" w:rsidRPr="000D47B3" w14:paraId="45D84A83" w14:textId="77777777" w:rsidTr="000165EC">
        <w:trPr>
          <w:trHeight w:val="351"/>
        </w:trPr>
        <w:tc>
          <w:tcPr>
            <w:tcW w:w="14039" w:type="dxa"/>
            <w:gridSpan w:val="6"/>
            <w:tcBorders>
              <w:top w:val="nil"/>
              <w:left w:val="single" w:sz="8" w:space="0" w:color="auto"/>
              <w:bottom w:val="single" w:sz="4" w:space="0" w:color="auto"/>
              <w:right w:val="single" w:sz="8" w:space="0" w:color="000000"/>
            </w:tcBorders>
            <w:shd w:val="clear" w:color="000000" w:fill="D9D9D9"/>
            <w:vAlign w:val="center"/>
            <w:hideMark/>
          </w:tcPr>
          <w:p w14:paraId="441DC9EC" w14:textId="77777777" w:rsidR="000D47B3" w:rsidRPr="000D47B3" w:rsidRDefault="000D47B3" w:rsidP="000D47B3">
            <w:pPr>
              <w:jc w:val="center"/>
              <w:rPr>
                <w:rFonts w:ascii="Calibri" w:hAnsi="Calibri" w:cs="Calibri"/>
                <w:b/>
                <w:bCs/>
                <w:color w:val="000000"/>
                <w:sz w:val="20"/>
              </w:rPr>
            </w:pPr>
            <w:r w:rsidRPr="000D47B3">
              <w:rPr>
                <w:rFonts w:ascii="Calibri" w:hAnsi="Calibri" w:cs="Calibri"/>
                <w:b/>
                <w:bCs/>
                <w:color w:val="000000"/>
                <w:sz w:val="20"/>
                <w:szCs w:val="24"/>
              </w:rPr>
              <w:t>Projekty IROP</w:t>
            </w:r>
          </w:p>
        </w:tc>
      </w:tr>
      <w:tr w:rsidR="004147A0" w:rsidRPr="000D47B3" w14:paraId="15576F70"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5AF4D06"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1</w:t>
            </w:r>
          </w:p>
        </w:tc>
        <w:tc>
          <w:tcPr>
            <w:tcW w:w="2832" w:type="dxa"/>
            <w:tcBorders>
              <w:top w:val="nil"/>
              <w:left w:val="nil"/>
              <w:bottom w:val="single" w:sz="4" w:space="0" w:color="auto"/>
              <w:right w:val="single" w:sz="4" w:space="0" w:color="auto"/>
            </w:tcBorders>
            <w:shd w:val="clear" w:color="auto" w:fill="auto"/>
            <w:noWrap/>
            <w:vAlign w:val="center"/>
            <w:hideMark/>
          </w:tcPr>
          <w:p w14:paraId="012A92F6"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CZ.06.2.11/0.0/0.0/16_098/0005812</w:t>
            </w:r>
          </w:p>
        </w:tc>
        <w:tc>
          <w:tcPr>
            <w:tcW w:w="5247" w:type="dxa"/>
            <w:tcBorders>
              <w:top w:val="nil"/>
              <w:left w:val="nil"/>
              <w:bottom w:val="single" w:sz="4" w:space="0" w:color="auto"/>
              <w:right w:val="single" w:sz="4" w:space="0" w:color="auto"/>
            </w:tcBorders>
            <w:shd w:val="clear" w:color="auto" w:fill="auto"/>
            <w:vAlign w:val="center"/>
            <w:hideMark/>
          </w:tcPr>
          <w:p w14:paraId="5954882F"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Společenství vlastníků jednotek Komárov 519</w:t>
            </w:r>
          </w:p>
        </w:tc>
        <w:tc>
          <w:tcPr>
            <w:tcW w:w="1701" w:type="dxa"/>
            <w:tcBorders>
              <w:top w:val="nil"/>
              <w:left w:val="nil"/>
              <w:bottom w:val="single" w:sz="4" w:space="0" w:color="auto"/>
              <w:right w:val="single" w:sz="4" w:space="0" w:color="auto"/>
            </w:tcBorders>
            <w:shd w:val="clear" w:color="auto" w:fill="auto"/>
            <w:noWrap/>
            <w:vAlign w:val="center"/>
            <w:hideMark/>
          </w:tcPr>
          <w:p w14:paraId="1AF96259" w14:textId="55456E44" w:rsidR="004147A0" w:rsidRPr="000D47B3" w:rsidRDefault="004147A0" w:rsidP="004147A0">
            <w:pPr>
              <w:jc w:val="right"/>
              <w:rPr>
                <w:rFonts w:ascii="Calibri" w:hAnsi="Calibri" w:cs="Calibri"/>
                <w:color w:val="FF0000"/>
                <w:sz w:val="20"/>
              </w:rPr>
            </w:pPr>
            <w:r>
              <w:rPr>
                <w:rFonts w:ascii="Calibri" w:hAnsi="Calibri" w:cs="Calibri"/>
                <w:sz w:val="20"/>
              </w:rPr>
              <w:t>6 724 837</w:t>
            </w:r>
          </w:p>
        </w:tc>
        <w:tc>
          <w:tcPr>
            <w:tcW w:w="1701" w:type="dxa"/>
            <w:tcBorders>
              <w:top w:val="nil"/>
              <w:left w:val="nil"/>
              <w:bottom w:val="single" w:sz="4" w:space="0" w:color="auto"/>
              <w:right w:val="single" w:sz="4" w:space="0" w:color="auto"/>
            </w:tcBorders>
            <w:shd w:val="clear" w:color="auto" w:fill="auto"/>
            <w:noWrap/>
            <w:vAlign w:val="center"/>
            <w:hideMark/>
          </w:tcPr>
          <w:p w14:paraId="6C3EA527" w14:textId="1BE0AA48"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1 563 299</w:t>
            </w:r>
          </w:p>
        </w:tc>
        <w:tc>
          <w:tcPr>
            <w:tcW w:w="1565" w:type="dxa"/>
            <w:tcBorders>
              <w:top w:val="nil"/>
              <w:left w:val="nil"/>
              <w:bottom w:val="single" w:sz="4" w:space="0" w:color="auto"/>
              <w:right w:val="single" w:sz="8" w:space="0" w:color="auto"/>
            </w:tcBorders>
            <w:shd w:val="clear" w:color="auto" w:fill="auto"/>
            <w:noWrap/>
            <w:vAlign w:val="center"/>
            <w:hideMark/>
          </w:tcPr>
          <w:p w14:paraId="3A52CB8B" w14:textId="52C1A14C" w:rsidR="004147A0" w:rsidRPr="000D47B3" w:rsidRDefault="007742D3" w:rsidP="004147A0">
            <w:pPr>
              <w:jc w:val="right"/>
              <w:rPr>
                <w:rFonts w:ascii="Calibri" w:hAnsi="Calibri" w:cs="Calibri"/>
                <w:color w:val="000000"/>
                <w:sz w:val="20"/>
              </w:rPr>
            </w:pPr>
            <w:r w:rsidRPr="007742D3">
              <w:rPr>
                <w:rFonts w:ascii="Calibri" w:hAnsi="Calibri" w:cstheme="minorHAnsi"/>
                <w:color w:val="000000"/>
                <w:sz w:val="20"/>
              </w:rPr>
              <w:t>2 230,73</w:t>
            </w:r>
          </w:p>
        </w:tc>
      </w:tr>
      <w:tr w:rsidR="004147A0" w:rsidRPr="000D47B3" w14:paraId="3B90994F"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565ACA4B"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2</w:t>
            </w:r>
          </w:p>
        </w:tc>
        <w:tc>
          <w:tcPr>
            <w:tcW w:w="2832" w:type="dxa"/>
            <w:tcBorders>
              <w:top w:val="nil"/>
              <w:left w:val="nil"/>
              <w:bottom w:val="single" w:sz="4" w:space="0" w:color="auto"/>
              <w:right w:val="single" w:sz="4" w:space="0" w:color="auto"/>
            </w:tcBorders>
            <w:shd w:val="clear" w:color="auto" w:fill="auto"/>
            <w:noWrap/>
            <w:vAlign w:val="center"/>
            <w:hideMark/>
          </w:tcPr>
          <w:p w14:paraId="740F7855"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CZ.06.2.11/0.0/0.0/16_098/0007614</w:t>
            </w:r>
          </w:p>
        </w:tc>
        <w:tc>
          <w:tcPr>
            <w:tcW w:w="5247" w:type="dxa"/>
            <w:tcBorders>
              <w:top w:val="nil"/>
              <w:left w:val="nil"/>
              <w:bottom w:val="single" w:sz="4" w:space="0" w:color="auto"/>
              <w:right w:val="single" w:sz="4" w:space="0" w:color="auto"/>
            </w:tcBorders>
            <w:shd w:val="clear" w:color="auto" w:fill="auto"/>
            <w:vAlign w:val="center"/>
            <w:hideMark/>
          </w:tcPr>
          <w:p w14:paraId="108853F6" w14:textId="3745C8CD" w:rsidR="004147A0" w:rsidRPr="000D47B3" w:rsidRDefault="004147A0" w:rsidP="00A82D0D">
            <w:pPr>
              <w:jc w:val="left"/>
              <w:rPr>
                <w:rFonts w:ascii="Calibri" w:hAnsi="Calibri" w:cs="Calibri"/>
                <w:color w:val="000000"/>
                <w:sz w:val="18"/>
                <w:szCs w:val="18"/>
              </w:rPr>
            </w:pPr>
            <w:r w:rsidRPr="000D47B3">
              <w:rPr>
                <w:rFonts w:ascii="Calibri" w:hAnsi="Calibri" w:cstheme="minorHAnsi"/>
                <w:color w:val="000000"/>
                <w:sz w:val="18"/>
                <w:szCs w:val="18"/>
              </w:rPr>
              <w:t>Společenství vlastníků jednotek Adámkova 4945</w:t>
            </w:r>
            <w:r w:rsidR="00A82D0D">
              <w:rPr>
                <w:rFonts w:ascii="Calibri" w:hAnsi="Calibri" w:cstheme="minorHAnsi"/>
                <w:color w:val="000000"/>
                <w:sz w:val="18"/>
                <w:szCs w:val="18"/>
              </w:rPr>
              <w:t>–</w:t>
            </w:r>
            <w:r w:rsidRPr="000D47B3">
              <w:rPr>
                <w:rFonts w:ascii="Calibri" w:hAnsi="Calibri" w:cstheme="minorHAnsi"/>
                <w:color w:val="000000"/>
                <w:sz w:val="18"/>
                <w:szCs w:val="18"/>
              </w:rPr>
              <w:t>4948, Chomutov</w:t>
            </w:r>
          </w:p>
        </w:tc>
        <w:tc>
          <w:tcPr>
            <w:tcW w:w="1701" w:type="dxa"/>
            <w:tcBorders>
              <w:top w:val="nil"/>
              <w:left w:val="nil"/>
              <w:bottom w:val="single" w:sz="4" w:space="0" w:color="auto"/>
              <w:right w:val="single" w:sz="4" w:space="0" w:color="auto"/>
            </w:tcBorders>
            <w:shd w:val="clear" w:color="auto" w:fill="auto"/>
            <w:noWrap/>
            <w:vAlign w:val="center"/>
            <w:hideMark/>
          </w:tcPr>
          <w:p w14:paraId="5909BA3D" w14:textId="24DE0FDF" w:rsidR="004147A0" w:rsidRPr="000D47B3" w:rsidRDefault="004147A0" w:rsidP="004147A0">
            <w:pPr>
              <w:jc w:val="right"/>
              <w:rPr>
                <w:rFonts w:ascii="Calibri" w:hAnsi="Calibri" w:cs="Calibri"/>
                <w:color w:val="FF0000"/>
                <w:sz w:val="20"/>
              </w:rPr>
            </w:pPr>
            <w:r>
              <w:rPr>
                <w:rFonts w:ascii="Calibri" w:hAnsi="Calibri" w:cs="Calibri"/>
                <w:sz w:val="20"/>
              </w:rPr>
              <w:t>10 843 506</w:t>
            </w:r>
          </w:p>
        </w:tc>
        <w:tc>
          <w:tcPr>
            <w:tcW w:w="1701" w:type="dxa"/>
            <w:tcBorders>
              <w:top w:val="nil"/>
              <w:left w:val="nil"/>
              <w:bottom w:val="single" w:sz="4" w:space="0" w:color="auto"/>
              <w:right w:val="single" w:sz="4" w:space="0" w:color="auto"/>
            </w:tcBorders>
            <w:shd w:val="clear" w:color="auto" w:fill="auto"/>
            <w:noWrap/>
            <w:vAlign w:val="center"/>
            <w:hideMark/>
          </w:tcPr>
          <w:p w14:paraId="653AA700" w14:textId="72C2B3B0"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4 119 73</w:t>
            </w:r>
            <w:r>
              <w:rPr>
                <w:rFonts w:ascii="Calibri" w:hAnsi="Calibri" w:cstheme="minorHAnsi"/>
                <w:color w:val="000000"/>
                <w:sz w:val="20"/>
              </w:rPr>
              <w:t>3</w:t>
            </w:r>
          </w:p>
        </w:tc>
        <w:tc>
          <w:tcPr>
            <w:tcW w:w="1565" w:type="dxa"/>
            <w:tcBorders>
              <w:top w:val="nil"/>
              <w:left w:val="nil"/>
              <w:bottom w:val="single" w:sz="4" w:space="0" w:color="auto"/>
              <w:right w:val="single" w:sz="8" w:space="0" w:color="auto"/>
            </w:tcBorders>
            <w:shd w:val="clear" w:color="auto" w:fill="auto"/>
            <w:noWrap/>
            <w:vAlign w:val="center"/>
            <w:hideMark/>
          </w:tcPr>
          <w:p w14:paraId="162599F9" w14:textId="6B891F58" w:rsidR="004147A0" w:rsidRPr="000D47B3" w:rsidRDefault="007742D3" w:rsidP="004147A0">
            <w:pPr>
              <w:jc w:val="right"/>
              <w:rPr>
                <w:rFonts w:ascii="Calibri" w:hAnsi="Calibri" w:cs="Calibri"/>
                <w:color w:val="000000"/>
                <w:sz w:val="20"/>
              </w:rPr>
            </w:pPr>
            <w:r w:rsidRPr="007742D3">
              <w:rPr>
                <w:rFonts w:ascii="Calibri" w:hAnsi="Calibri" w:cstheme="minorHAnsi"/>
                <w:color w:val="000000"/>
                <w:sz w:val="20"/>
              </w:rPr>
              <w:t>4 640,86</w:t>
            </w:r>
          </w:p>
        </w:tc>
      </w:tr>
      <w:tr w:rsidR="004147A0" w:rsidRPr="000D47B3" w14:paraId="11CCDAA1"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355639DA"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3</w:t>
            </w:r>
          </w:p>
        </w:tc>
        <w:tc>
          <w:tcPr>
            <w:tcW w:w="2832" w:type="dxa"/>
            <w:tcBorders>
              <w:top w:val="nil"/>
              <w:left w:val="nil"/>
              <w:bottom w:val="single" w:sz="4" w:space="0" w:color="auto"/>
              <w:right w:val="single" w:sz="4" w:space="0" w:color="auto"/>
            </w:tcBorders>
            <w:shd w:val="clear" w:color="auto" w:fill="auto"/>
            <w:noWrap/>
            <w:vAlign w:val="center"/>
            <w:hideMark/>
          </w:tcPr>
          <w:p w14:paraId="47F624FB"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CZ.06.2.11/0.0/0.0/17_097/0008220</w:t>
            </w:r>
          </w:p>
        </w:tc>
        <w:tc>
          <w:tcPr>
            <w:tcW w:w="5247" w:type="dxa"/>
            <w:tcBorders>
              <w:top w:val="nil"/>
              <w:left w:val="nil"/>
              <w:bottom w:val="single" w:sz="4" w:space="0" w:color="auto"/>
              <w:right w:val="single" w:sz="4" w:space="0" w:color="auto"/>
            </w:tcBorders>
            <w:shd w:val="clear" w:color="auto" w:fill="auto"/>
            <w:vAlign w:val="center"/>
            <w:hideMark/>
          </w:tcPr>
          <w:p w14:paraId="48F58148"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Bytové družstvo Muchova</w:t>
            </w:r>
          </w:p>
        </w:tc>
        <w:tc>
          <w:tcPr>
            <w:tcW w:w="1701" w:type="dxa"/>
            <w:tcBorders>
              <w:top w:val="nil"/>
              <w:left w:val="nil"/>
              <w:bottom w:val="single" w:sz="4" w:space="0" w:color="auto"/>
              <w:right w:val="single" w:sz="4" w:space="0" w:color="auto"/>
            </w:tcBorders>
            <w:shd w:val="clear" w:color="auto" w:fill="auto"/>
            <w:noWrap/>
            <w:vAlign w:val="center"/>
            <w:hideMark/>
          </w:tcPr>
          <w:p w14:paraId="0D6D87AB" w14:textId="6803571B" w:rsidR="004147A0" w:rsidRPr="000D47B3" w:rsidRDefault="004147A0" w:rsidP="004147A0">
            <w:pPr>
              <w:jc w:val="right"/>
              <w:rPr>
                <w:rFonts w:ascii="Calibri" w:hAnsi="Calibri" w:cs="Calibri"/>
                <w:color w:val="FF0000"/>
                <w:sz w:val="20"/>
              </w:rPr>
            </w:pPr>
            <w:r>
              <w:rPr>
                <w:rFonts w:ascii="Calibri" w:hAnsi="Calibri" w:cs="Calibri"/>
                <w:sz w:val="20"/>
              </w:rPr>
              <w:t>14 310 117</w:t>
            </w:r>
          </w:p>
        </w:tc>
        <w:tc>
          <w:tcPr>
            <w:tcW w:w="1701" w:type="dxa"/>
            <w:tcBorders>
              <w:top w:val="nil"/>
              <w:left w:val="nil"/>
              <w:bottom w:val="single" w:sz="4" w:space="0" w:color="auto"/>
              <w:right w:val="single" w:sz="4" w:space="0" w:color="auto"/>
            </w:tcBorders>
            <w:shd w:val="clear" w:color="auto" w:fill="auto"/>
            <w:noWrap/>
            <w:vAlign w:val="center"/>
            <w:hideMark/>
          </w:tcPr>
          <w:p w14:paraId="3DFA5CCD" w14:textId="14572B95"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4 034 65</w:t>
            </w:r>
            <w:r>
              <w:rPr>
                <w:rFonts w:ascii="Calibri" w:hAnsi="Calibri" w:cstheme="minorHAnsi"/>
                <w:color w:val="000000"/>
                <w:sz w:val="20"/>
              </w:rPr>
              <w:t>1</w:t>
            </w:r>
          </w:p>
        </w:tc>
        <w:tc>
          <w:tcPr>
            <w:tcW w:w="1565" w:type="dxa"/>
            <w:tcBorders>
              <w:top w:val="nil"/>
              <w:left w:val="nil"/>
              <w:bottom w:val="single" w:sz="4" w:space="0" w:color="auto"/>
              <w:right w:val="single" w:sz="8" w:space="0" w:color="auto"/>
            </w:tcBorders>
            <w:shd w:val="clear" w:color="auto" w:fill="auto"/>
            <w:noWrap/>
            <w:vAlign w:val="center"/>
            <w:hideMark/>
          </w:tcPr>
          <w:p w14:paraId="48C6E85C" w14:textId="30FD2738" w:rsidR="004147A0" w:rsidRPr="000D47B3" w:rsidRDefault="007742D3" w:rsidP="004147A0">
            <w:pPr>
              <w:jc w:val="right"/>
              <w:rPr>
                <w:rFonts w:ascii="Calibri" w:hAnsi="Calibri" w:cs="Calibri"/>
                <w:color w:val="000000"/>
                <w:sz w:val="20"/>
              </w:rPr>
            </w:pPr>
            <w:r w:rsidRPr="007742D3">
              <w:rPr>
                <w:rFonts w:ascii="Calibri" w:hAnsi="Calibri" w:cstheme="minorHAnsi"/>
                <w:color w:val="000000"/>
                <w:sz w:val="20"/>
              </w:rPr>
              <w:t>6 602,07</w:t>
            </w:r>
          </w:p>
        </w:tc>
      </w:tr>
      <w:tr w:rsidR="004147A0" w:rsidRPr="000D47B3" w14:paraId="346EDD20"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AEC17B8"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4</w:t>
            </w:r>
          </w:p>
        </w:tc>
        <w:tc>
          <w:tcPr>
            <w:tcW w:w="2832" w:type="dxa"/>
            <w:tcBorders>
              <w:top w:val="nil"/>
              <w:left w:val="nil"/>
              <w:bottom w:val="single" w:sz="4" w:space="0" w:color="auto"/>
              <w:right w:val="single" w:sz="4" w:space="0" w:color="auto"/>
            </w:tcBorders>
            <w:shd w:val="clear" w:color="auto" w:fill="auto"/>
            <w:noWrap/>
            <w:vAlign w:val="center"/>
            <w:hideMark/>
          </w:tcPr>
          <w:p w14:paraId="4E56E7C0"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CZ.06.2.11/0.0/0.0/17_097/0007962</w:t>
            </w:r>
          </w:p>
        </w:tc>
        <w:tc>
          <w:tcPr>
            <w:tcW w:w="5247" w:type="dxa"/>
            <w:tcBorders>
              <w:top w:val="nil"/>
              <w:left w:val="nil"/>
              <w:bottom w:val="single" w:sz="4" w:space="0" w:color="auto"/>
              <w:right w:val="single" w:sz="4" w:space="0" w:color="auto"/>
            </w:tcBorders>
            <w:shd w:val="clear" w:color="auto" w:fill="auto"/>
            <w:vAlign w:val="center"/>
            <w:hideMark/>
          </w:tcPr>
          <w:p w14:paraId="77059EF7" w14:textId="77777777" w:rsidR="004147A0" w:rsidRPr="000D47B3" w:rsidRDefault="004147A0" w:rsidP="004147A0">
            <w:pPr>
              <w:jc w:val="left"/>
              <w:rPr>
                <w:rFonts w:ascii="Calibri" w:hAnsi="Calibri" w:cs="Calibri"/>
                <w:color w:val="000000"/>
                <w:sz w:val="18"/>
                <w:szCs w:val="18"/>
              </w:rPr>
            </w:pPr>
            <w:proofErr w:type="spellStart"/>
            <w:r w:rsidRPr="000D47B3">
              <w:rPr>
                <w:rFonts w:ascii="Calibri" w:hAnsi="Calibri" w:cstheme="minorHAnsi"/>
                <w:color w:val="000000"/>
                <w:sz w:val="18"/>
                <w:szCs w:val="18"/>
              </w:rPr>
              <w:t>Günther</w:t>
            </w:r>
            <w:proofErr w:type="spellEnd"/>
            <w:r w:rsidRPr="000D47B3">
              <w:rPr>
                <w:rFonts w:ascii="Calibri" w:hAnsi="Calibri" w:cstheme="minorHAnsi"/>
                <w:color w:val="000000"/>
                <w:sz w:val="18"/>
                <w:szCs w:val="18"/>
              </w:rPr>
              <w:t xml:space="preserve"> Mayer</w:t>
            </w:r>
          </w:p>
        </w:tc>
        <w:tc>
          <w:tcPr>
            <w:tcW w:w="1701" w:type="dxa"/>
            <w:tcBorders>
              <w:top w:val="nil"/>
              <w:left w:val="nil"/>
              <w:bottom w:val="single" w:sz="4" w:space="0" w:color="auto"/>
              <w:right w:val="single" w:sz="4" w:space="0" w:color="auto"/>
            </w:tcBorders>
            <w:shd w:val="clear" w:color="auto" w:fill="auto"/>
            <w:noWrap/>
            <w:vAlign w:val="center"/>
            <w:hideMark/>
          </w:tcPr>
          <w:p w14:paraId="2DB0715A" w14:textId="001DCF94" w:rsidR="004147A0" w:rsidRPr="000D47B3" w:rsidRDefault="004147A0" w:rsidP="004147A0">
            <w:pPr>
              <w:jc w:val="right"/>
              <w:rPr>
                <w:rFonts w:ascii="Calibri" w:hAnsi="Calibri" w:cs="Calibri"/>
                <w:color w:val="FF0000"/>
                <w:sz w:val="20"/>
              </w:rPr>
            </w:pPr>
            <w:r>
              <w:rPr>
                <w:rFonts w:ascii="Calibri" w:hAnsi="Calibri" w:cs="Calibri"/>
                <w:sz w:val="20"/>
              </w:rPr>
              <w:t>11 785 454</w:t>
            </w:r>
          </w:p>
        </w:tc>
        <w:tc>
          <w:tcPr>
            <w:tcW w:w="1701" w:type="dxa"/>
            <w:tcBorders>
              <w:top w:val="nil"/>
              <w:left w:val="nil"/>
              <w:bottom w:val="single" w:sz="4" w:space="0" w:color="auto"/>
              <w:right w:val="single" w:sz="4" w:space="0" w:color="auto"/>
            </w:tcBorders>
            <w:shd w:val="clear" w:color="auto" w:fill="auto"/>
            <w:noWrap/>
            <w:vAlign w:val="center"/>
            <w:hideMark/>
          </w:tcPr>
          <w:p w14:paraId="64F95AD7" w14:textId="1DEF7A44"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4 363 02</w:t>
            </w:r>
            <w:r>
              <w:rPr>
                <w:rFonts w:ascii="Calibri" w:hAnsi="Calibri" w:cstheme="minorHAnsi"/>
                <w:color w:val="000000"/>
                <w:sz w:val="20"/>
              </w:rPr>
              <w:t>6</w:t>
            </w:r>
          </w:p>
        </w:tc>
        <w:tc>
          <w:tcPr>
            <w:tcW w:w="1565" w:type="dxa"/>
            <w:tcBorders>
              <w:top w:val="nil"/>
              <w:left w:val="nil"/>
              <w:bottom w:val="single" w:sz="4" w:space="0" w:color="auto"/>
              <w:right w:val="single" w:sz="8" w:space="0" w:color="auto"/>
            </w:tcBorders>
            <w:shd w:val="clear" w:color="auto" w:fill="auto"/>
            <w:noWrap/>
            <w:vAlign w:val="center"/>
            <w:hideMark/>
          </w:tcPr>
          <w:p w14:paraId="4D1EDF71" w14:textId="7F86D66C" w:rsidR="004147A0" w:rsidRPr="000D47B3" w:rsidRDefault="007742D3" w:rsidP="004147A0">
            <w:pPr>
              <w:jc w:val="right"/>
              <w:rPr>
                <w:rFonts w:ascii="Calibri" w:hAnsi="Calibri" w:cs="Calibri"/>
                <w:color w:val="000000"/>
                <w:sz w:val="20"/>
              </w:rPr>
            </w:pPr>
            <w:r w:rsidRPr="007742D3">
              <w:rPr>
                <w:rFonts w:ascii="Calibri" w:hAnsi="Calibri" w:cstheme="minorHAnsi"/>
                <w:color w:val="000000"/>
                <w:sz w:val="20"/>
              </w:rPr>
              <w:t>5 928,44</w:t>
            </w:r>
          </w:p>
        </w:tc>
      </w:tr>
      <w:tr w:rsidR="004147A0" w:rsidRPr="000D47B3" w14:paraId="44A03FD4"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C25DDC2"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5</w:t>
            </w:r>
          </w:p>
        </w:tc>
        <w:tc>
          <w:tcPr>
            <w:tcW w:w="2832" w:type="dxa"/>
            <w:tcBorders>
              <w:top w:val="nil"/>
              <w:left w:val="nil"/>
              <w:bottom w:val="single" w:sz="4" w:space="0" w:color="auto"/>
              <w:right w:val="single" w:sz="4" w:space="0" w:color="auto"/>
            </w:tcBorders>
            <w:shd w:val="clear" w:color="auto" w:fill="auto"/>
            <w:noWrap/>
            <w:vAlign w:val="center"/>
            <w:hideMark/>
          </w:tcPr>
          <w:p w14:paraId="73B919BD"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CZ.06.2.11/0.0/0.0/15_018/0001232</w:t>
            </w:r>
          </w:p>
        </w:tc>
        <w:tc>
          <w:tcPr>
            <w:tcW w:w="5247" w:type="dxa"/>
            <w:tcBorders>
              <w:top w:val="nil"/>
              <w:left w:val="nil"/>
              <w:bottom w:val="single" w:sz="4" w:space="0" w:color="auto"/>
              <w:right w:val="single" w:sz="4" w:space="0" w:color="auto"/>
            </w:tcBorders>
            <w:shd w:val="clear" w:color="auto" w:fill="auto"/>
            <w:vAlign w:val="center"/>
            <w:hideMark/>
          </w:tcPr>
          <w:p w14:paraId="1F1D65B1"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Město Bystřice nad Pernštejnem</w:t>
            </w:r>
          </w:p>
        </w:tc>
        <w:tc>
          <w:tcPr>
            <w:tcW w:w="1701" w:type="dxa"/>
            <w:tcBorders>
              <w:top w:val="nil"/>
              <w:left w:val="nil"/>
              <w:bottom w:val="single" w:sz="4" w:space="0" w:color="auto"/>
              <w:right w:val="single" w:sz="4" w:space="0" w:color="auto"/>
            </w:tcBorders>
            <w:shd w:val="clear" w:color="auto" w:fill="auto"/>
            <w:noWrap/>
            <w:vAlign w:val="center"/>
            <w:hideMark/>
          </w:tcPr>
          <w:p w14:paraId="45D2FEDB" w14:textId="30C3C4C8" w:rsidR="004147A0" w:rsidRPr="000D47B3" w:rsidRDefault="004147A0" w:rsidP="004147A0">
            <w:pPr>
              <w:jc w:val="right"/>
              <w:rPr>
                <w:rFonts w:ascii="Calibri" w:hAnsi="Calibri" w:cs="Calibri"/>
                <w:color w:val="FF0000"/>
                <w:sz w:val="20"/>
              </w:rPr>
            </w:pPr>
            <w:r>
              <w:rPr>
                <w:rFonts w:ascii="Calibri" w:hAnsi="Calibri" w:cs="Calibri"/>
                <w:sz w:val="20"/>
              </w:rPr>
              <w:t>60 445 842</w:t>
            </w:r>
          </w:p>
        </w:tc>
        <w:tc>
          <w:tcPr>
            <w:tcW w:w="1701" w:type="dxa"/>
            <w:tcBorders>
              <w:top w:val="nil"/>
              <w:left w:val="nil"/>
              <w:bottom w:val="single" w:sz="4" w:space="0" w:color="auto"/>
              <w:right w:val="single" w:sz="4" w:space="0" w:color="auto"/>
            </w:tcBorders>
            <w:shd w:val="clear" w:color="auto" w:fill="auto"/>
            <w:noWrap/>
            <w:vAlign w:val="center"/>
            <w:hideMark/>
          </w:tcPr>
          <w:p w14:paraId="4A88034E" w14:textId="1FBA7EBF"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12 095 29</w:t>
            </w:r>
            <w:r>
              <w:rPr>
                <w:rFonts w:ascii="Calibri" w:hAnsi="Calibri" w:cstheme="minorHAnsi"/>
                <w:color w:val="000000"/>
                <w:sz w:val="20"/>
              </w:rPr>
              <w:t>8</w:t>
            </w:r>
          </w:p>
        </w:tc>
        <w:tc>
          <w:tcPr>
            <w:tcW w:w="1565" w:type="dxa"/>
            <w:tcBorders>
              <w:top w:val="nil"/>
              <w:left w:val="nil"/>
              <w:bottom w:val="single" w:sz="4" w:space="0" w:color="auto"/>
              <w:right w:val="single" w:sz="8" w:space="0" w:color="auto"/>
            </w:tcBorders>
            <w:shd w:val="clear" w:color="auto" w:fill="auto"/>
            <w:noWrap/>
            <w:vAlign w:val="center"/>
            <w:hideMark/>
          </w:tcPr>
          <w:p w14:paraId="5EF3A8D1"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2 291,50</w:t>
            </w:r>
          </w:p>
        </w:tc>
      </w:tr>
      <w:tr w:rsidR="004147A0" w:rsidRPr="000D47B3" w14:paraId="65E9B49A"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52BD830D"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6</w:t>
            </w:r>
          </w:p>
        </w:tc>
        <w:tc>
          <w:tcPr>
            <w:tcW w:w="2832" w:type="dxa"/>
            <w:tcBorders>
              <w:top w:val="nil"/>
              <w:left w:val="nil"/>
              <w:bottom w:val="single" w:sz="4" w:space="0" w:color="auto"/>
              <w:right w:val="single" w:sz="4" w:space="0" w:color="auto"/>
            </w:tcBorders>
            <w:shd w:val="clear" w:color="auto" w:fill="auto"/>
            <w:noWrap/>
            <w:vAlign w:val="center"/>
            <w:hideMark/>
          </w:tcPr>
          <w:p w14:paraId="4B597E29"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CZ.06.2.11/0.0/0.0/16_098/0006749</w:t>
            </w:r>
          </w:p>
        </w:tc>
        <w:tc>
          <w:tcPr>
            <w:tcW w:w="5247" w:type="dxa"/>
            <w:tcBorders>
              <w:top w:val="nil"/>
              <w:left w:val="nil"/>
              <w:bottom w:val="single" w:sz="4" w:space="0" w:color="auto"/>
              <w:right w:val="single" w:sz="4" w:space="0" w:color="auto"/>
            </w:tcBorders>
            <w:shd w:val="clear" w:color="auto" w:fill="auto"/>
            <w:vAlign w:val="center"/>
            <w:hideMark/>
          </w:tcPr>
          <w:p w14:paraId="4349CF13"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Jasná zpráva a.s.</w:t>
            </w:r>
          </w:p>
        </w:tc>
        <w:tc>
          <w:tcPr>
            <w:tcW w:w="1701" w:type="dxa"/>
            <w:tcBorders>
              <w:top w:val="nil"/>
              <w:left w:val="nil"/>
              <w:bottom w:val="single" w:sz="4" w:space="0" w:color="auto"/>
              <w:right w:val="single" w:sz="4" w:space="0" w:color="auto"/>
            </w:tcBorders>
            <w:shd w:val="clear" w:color="auto" w:fill="auto"/>
            <w:noWrap/>
            <w:vAlign w:val="center"/>
            <w:hideMark/>
          </w:tcPr>
          <w:p w14:paraId="0199E020" w14:textId="5FE6AB04" w:rsidR="004147A0" w:rsidRPr="000D47B3" w:rsidRDefault="004147A0" w:rsidP="004147A0">
            <w:pPr>
              <w:jc w:val="right"/>
              <w:rPr>
                <w:rFonts w:ascii="Calibri" w:hAnsi="Calibri" w:cs="Calibri"/>
                <w:color w:val="FF0000"/>
                <w:sz w:val="20"/>
              </w:rPr>
            </w:pPr>
            <w:r>
              <w:rPr>
                <w:rFonts w:ascii="Calibri" w:hAnsi="Calibri" w:cs="Calibri"/>
                <w:sz w:val="20"/>
              </w:rPr>
              <w:t>25 431 113</w:t>
            </w:r>
          </w:p>
        </w:tc>
        <w:tc>
          <w:tcPr>
            <w:tcW w:w="1701" w:type="dxa"/>
            <w:tcBorders>
              <w:top w:val="nil"/>
              <w:left w:val="nil"/>
              <w:bottom w:val="single" w:sz="4" w:space="0" w:color="auto"/>
              <w:right w:val="single" w:sz="4" w:space="0" w:color="auto"/>
            </w:tcBorders>
            <w:shd w:val="clear" w:color="auto" w:fill="auto"/>
            <w:noWrap/>
            <w:vAlign w:val="center"/>
            <w:hideMark/>
          </w:tcPr>
          <w:p w14:paraId="0737E566" w14:textId="4BEA0910" w:rsidR="004147A0" w:rsidRPr="000D47B3" w:rsidRDefault="007742D3" w:rsidP="004147A0">
            <w:pPr>
              <w:jc w:val="right"/>
              <w:rPr>
                <w:rFonts w:ascii="Calibri" w:hAnsi="Calibri" w:cs="Calibri"/>
                <w:color w:val="000000"/>
                <w:sz w:val="20"/>
              </w:rPr>
            </w:pPr>
            <w:r w:rsidRPr="007742D3">
              <w:rPr>
                <w:rFonts w:ascii="Calibri" w:hAnsi="Calibri" w:cstheme="minorHAnsi"/>
                <w:color w:val="000000"/>
                <w:sz w:val="20"/>
              </w:rPr>
              <w:t>8 778 933</w:t>
            </w:r>
          </w:p>
        </w:tc>
        <w:tc>
          <w:tcPr>
            <w:tcW w:w="1565" w:type="dxa"/>
            <w:tcBorders>
              <w:top w:val="nil"/>
              <w:left w:val="nil"/>
              <w:bottom w:val="single" w:sz="4" w:space="0" w:color="auto"/>
              <w:right w:val="single" w:sz="8" w:space="0" w:color="auto"/>
            </w:tcBorders>
            <w:shd w:val="clear" w:color="auto" w:fill="auto"/>
            <w:noWrap/>
            <w:vAlign w:val="center"/>
            <w:hideMark/>
          </w:tcPr>
          <w:p w14:paraId="06682F42"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7 227,69</w:t>
            </w:r>
          </w:p>
        </w:tc>
      </w:tr>
      <w:tr w:rsidR="000D47B3" w:rsidRPr="000D47B3" w14:paraId="2BF4121A" w14:textId="77777777" w:rsidTr="000165EC">
        <w:trPr>
          <w:trHeight w:val="351"/>
        </w:trPr>
        <w:tc>
          <w:tcPr>
            <w:tcW w:w="14039" w:type="dxa"/>
            <w:gridSpan w:val="6"/>
            <w:tcBorders>
              <w:top w:val="single" w:sz="4" w:space="0" w:color="auto"/>
              <w:left w:val="single" w:sz="8" w:space="0" w:color="auto"/>
              <w:bottom w:val="single" w:sz="4" w:space="0" w:color="auto"/>
              <w:right w:val="single" w:sz="8" w:space="0" w:color="000000"/>
            </w:tcBorders>
            <w:shd w:val="clear" w:color="000000" w:fill="D9D9D9"/>
            <w:vAlign w:val="center"/>
            <w:hideMark/>
          </w:tcPr>
          <w:p w14:paraId="51C2744A" w14:textId="77777777" w:rsidR="000D47B3" w:rsidRPr="000D47B3" w:rsidRDefault="000D47B3" w:rsidP="000D47B3">
            <w:pPr>
              <w:jc w:val="center"/>
              <w:rPr>
                <w:rFonts w:ascii="Calibri" w:hAnsi="Calibri" w:cs="Calibri"/>
                <w:b/>
                <w:bCs/>
                <w:color w:val="000000"/>
                <w:sz w:val="20"/>
              </w:rPr>
            </w:pPr>
            <w:r w:rsidRPr="000D47B3">
              <w:rPr>
                <w:rFonts w:ascii="Calibri" w:hAnsi="Calibri" w:cstheme="minorHAnsi"/>
                <w:b/>
                <w:bCs/>
                <w:color w:val="000000"/>
                <w:sz w:val="20"/>
                <w:szCs w:val="24"/>
              </w:rPr>
              <w:t>Projekty programu NZÚ</w:t>
            </w:r>
          </w:p>
        </w:tc>
      </w:tr>
      <w:tr w:rsidR="004147A0" w:rsidRPr="000D47B3" w14:paraId="01B6536D"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D673368"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7</w:t>
            </w:r>
          </w:p>
        </w:tc>
        <w:tc>
          <w:tcPr>
            <w:tcW w:w="2832" w:type="dxa"/>
            <w:tcBorders>
              <w:top w:val="nil"/>
              <w:left w:val="nil"/>
              <w:bottom w:val="single" w:sz="4" w:space="0" w:color="auto"/>
              <w:right w:val="single" w:sz="4" w:space="0" w:color="auto"/>
            </w:tcBorders>
            <w:shd w:val="clear" w:color="auto" w:fill="auto"/>
            <w:noWrap/>
            <w:vAlign w:val="center"/>
            <w:hideMark/>
          </w:tcPr>
          <w:p w14:paraId="0B2BECF5"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25000061</w:t>
            </w:r>
          </w:p>
        </w:tc>
        <w:tc>
          <w:tcPr>
            <w:tcW w:w="5247" w:type="dxa"/>
            <w:tcBorders>
              <w:top w:val="nil"/>
              <w:left w:val="nil"/>
              <w:bottom w:val="single" w:sz="4" w:space="0" w:color="auto"/>
              <w:right w:val="single" w:sz="4" w:space="0" w:color="auto"/>
            </w:tcBorders>
            <w:shd w:val="clear" w:color="auto" w:fill="auto"/>
            <w:vAlign w:val="center"/>
            <w:hideMark/>
          </w:tcPr>
          <w:p w14:paraId="2F2E341E" w14:textId="0B3522F0" w:rsidR="004147A0" w:rsidRPr="000D47B3" w:rsidRDefault="004147A0" w:rsidP="00A82D0D">
            <w:pPr>
              <w:jc w:val="left"/>
              <w:rPr>
                <w:rFonts w:ascii="Calibri" w:hAnsi="Calibri" w:cs="Calibri"/>
                <w:color w:val="000000"/>
                <w:sz w:val="18"/>
                <w:szCs w:val="18"/>
              </w:rPr>
            </w:pPr>
            <w:r w:rsidRPr="000D47B3">
              <w:rPr>
                <w:rFonts w:ascii="Calibri" w:hAnsi="Calibri" w:cstheme="minorHAnsi"/>
                <w:color w:val="000000"/>
                <w:sz w:val="18"/>
                <w:szCs w:val="18"/>
              </w:rPr>
              <w:t>Společenství vlastníků jednotek Praha 8, Zelenohorská č.</w:t>
            </w:r>
            <w:r w:rsidR="00A82D0D">
              <w:rPr>
                <w:rFonts w:ascii="Calibri" w:hAnsi="Calibri" w:cstheme="minorHAnsi"/>
                <w:color w:val="000000"/>
                <w:sz w:val="18"/>
                <w:szCs w:val="18"/>
              </w:rPr>
              <w:t xml:space="preserve"> </w:t>
            </w:r>
            <w:r w:rsidRPr="000D47B3">
              <w:rPr>
                <w:rFonts w:ascii="Calibri" w:hAnsi="Calibri" w:cstheme="minorHAnsi"/>
                <w:color w:val="000000"/>
                <w:sz w:val="18"/>
                <w:szCs w:val="18"/>
              </w:rPr>
              <w:t>p. 496</w:t>
            </w:r>
            <w:r w:rsidR="00A82D0D">
              <w:rPr>
                <w:rFonts w:ascii="Calibri" w:hAnsi="Calibri" w:cstheme="minorHAnsi"/>
                <w:color w:val="000000"/>
                <w:sz w:val="18"/>
                <w:szCs w:val="18"/>
              </w:rPr>
              <w:t>–</w:t>
            </w:r>
            <w:r w:rsidRPr="000D47B3">
              <w:rPr>
                <w:rFonts w:ascii="Calibri" w:hAnsi="Calibri" w:cstheme="minorHAnsi"/>
                <w:color w:val="000000"/>
                <w:sz w:val="18"/>
                <w:szCs w:val="18"/>
              </w:rPr>
              <w:t>513</w:t>
            </w:r>
          </w:p>
        </w:tc>
        <w:tc>
          <w:tcPr>
            <w:tcW w:w="1701" w:type="dxa"/>
            <w:tcBorders>
              <w:top w:val="nil"/>
              <w:left w:val="nil"/>
              <w:bottom w:val="single" w:sz="4" w:space="0" w:color="auto"/>
              <w:right w:val="single" w:sz="4" w:space="0" w:color="auto"/>
            </w:tcBorders>
            <w:shd w:val="clear" w:color="auto" w:fill="auto"/>
            <w:noWrap/>
            <w:vAlign w:val="center"/>
            <w:hideMark/>
          </w:tcPr>
          <w:p w14:paraId="1A9236D2" w14:textId="5BE722C4" w:rsidR="004147A0" w:rsidRPr="000D47B3" w:rsidRDefault="004147A0" w:rsidP="004147A0">
            <w:pPr>
              <w:jc w:val="right"/>
              <w:rPr>
                <w:rFonts w:ascii="Calibri" w:hAnsi="Calibri" w:cs="Calibri"/>
                <w:color w:val="FF0000"/>
                <w:sz w:val="20"/>
              </w:rPr>
            </w:pPr>
            <w:r>
              <w:rPr>
                <w:rFonts w:ascii="Calibri" w:hAnsi="Calibri" w:cs="Calibri"/>
                <w:sz w:val="20"/>
              </w:rPr>
              <w:t>46 365 352</w:t>
            </w:r>
          </w:p>
        </w:tc>
        <w:tc>
          <w:tcPr>
            <w:tcW w:w="1701" w:type="dxa"/>
            <w:tcBorders>
              <w:top w:val="nil"/>
              <w:left w:val="nil"/>
              <w:bottom w:val="single" w:sz="4" w:space="0" w:color="auto"/>
              <w:right w:val="single" w:sz="4" w:space="0" w:color="auto"/>
            </w:tcBorders>
            <w:shd w:val="clear" w:color="auto" w:fill="auto"/>
            <w:noWrap/>
            <w:vAlign w:val="center"/>
            <w:hideMark/>
          </w:tcPr>
          <w:p w14:paraId="764DDA8C"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7 772 238</w:t>
            </w:r>
          </w:p>
        </w:tc>
        <w:tc>
          <w:tcPr>
            <w:tcW w:w="1565" w:type="dxa"/>
            <w:tcBorders>
              <w:top w:val="nil"/>
              <w:left w:val="nil"/>
              <w:bottom w:val="single" w:sz="4" w:space="0" w:color="auto"/>
              <w:right w:val="single" w:sz="8" w:space="0" w:color="auto"/>
            </w:tcBorders>
            <w:shd w:val="clear" w:color="auto" w:fill="auto"/>
            <w:noWrap/>
            <w:vAlign w:val="center"/>
            <w:hideMark/>
          </w:tcPr>
          <w:p w14:paraId="23C618E8"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974,99</w:t>
            </w:r>
          </w:p>
        </w:tc>
      </w:tr>
      <w:tr w:rsidR="004147A0" w:rsidRPr="000D47B3" w14:paraId="2DA6C400"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4AAB3997"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8</w:t>
            </w:r>
          </w:p>
        </w:tc>
        <w:tc>
          <w:tcPr>
            <w:tcW w:w="2832" w:type="dxa"/>
            <w:tcBorders>
              <w:top w:val="nil"/>
              <w:left w:val="nil"/>
              <w:bottom w:val="single" w:sz="4" w:space="0" w:color="auto"/>
              <w:right w:val="single" w:sz="4" w:space="0" w:color="auto"/>
            </w:tcBorders>
            <w:shd w:val="clear" w:color="auto" w:fill="auto"/>
            <w:noWrap/>
            <w:vAlign w:val="center"/>
            <w:hideMark/>
          </w:tcPr>
          <w:p w14:paraId="25CD2A27"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25001581</w:t>
            </w:r>
          </w:p>
        </w:tc>
        <w:tc>
          <w:tcPr>
            <w:tcW w:w="5247" w:type="dxa"/>
            <w:tcBorders>
              <w:top w:val="nil"/>
              <w:left w:val="nil"/>
              <w:bottom w:val="single" w:sz="4" w:space="0" w:color="auto"/>
              <w:right w:val="single" w:sz="4" w:space="0" w:color="auto"/>
            </w:tcBorders>
            <w:shd w:val="clear" w:color="auto" w:fill="auto"/>
            <w:vAlign w:val="center"/>
            <w:hideMark/>
          </w:tcPr>
          <w:p w14:paraId="4AD6F1E9"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Městská část Praha 3</w:t>
            </w:r>
          </w:p>
        </w:tc>
        <w:tc>
          <w:tcPr>
            <w:tcW w:w="1701" w:type="dxa"/>
            <w:tcBorders>
              <w:top w:val="nil"/>
              <w:left w:val="nil"/>
              <w:bottom w:val="single" w:sz="4" w:space="0" w:color="auto"/>
              <w:right w:val="single" w:sz="4" w:space="0" w:color="auto"/>
            </w:tcBorders>
            <w:shd w:val="clear" w:color="auto" w:fill="auto"/>
            <w:noWrap/>
            <w:vAlign w:val="center"/>
            <w:hideMark/>
          </w:tcPr>
          <w:p w14:paraId="330B4605" w14:textId="6BD8B75A" w:rsidR="004147A0" w:rsidRPr="000D47B3" w:rsidRDefault="004147A0" w:rsidP="004147A0">
            <w:pPr>
              <w:jc w:val="right"/>
              <w:rPr>
                <w:rFonts w:ascii="Calibri" w:hAnsi="Calibri" w:cs="Calibri"/>
                <w:color w:val="FF0000"/>
                <w:sz w:val="20"/>
              </w:rPr>
            </w:pPr>
            <w:r>
              <w:rPr>
                <w:rFonts w:ascii="Calibri" w:hAnsi="Calibri" w:cs="Calibri"/>
                <w:sz w:val="20"/>
              </w:rPr>
              <w:t>14 619 868</w:t>
            </w:r>
          </w:p>
        </w:tc>
        <w:tc>
          <w:tcPr>
            <w:tcW w:w="1701" w:type="dxa"/>
            <w:tcBorders>
              <w:top w:val="nil"/>
              <w:left w:val="nil"/>
              <w:bottom w:val="single" w:sz="4" w:space="0" w:color="auto"/>
              <w:right w:val="single" w:sz="4" w:space="0" w:color="auto"/>
            </w:tcBorders>
            <w:shd w:val="clear" w:color="auto" w:fill="auto"/>
            <w:noWrap/>
            <w:vAlign w:val="center"/>
            <w:hideMark/>
          </w:tcPr>
          <w:p w14:paraId="528A0781"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1 797 124</w:t>
            </w:r>
          </w:p>
        </w:tc>
        <w:tc>
          <w:tcPr>
            <w:tcW w:w="1565" w:type="dxa"/>
            <w:tcBorders>
              <w:top w:val="nil"/>
              <w:left w:val="nil"/>
              <w:bottom w:val="single" w:sz="4" w:space="0" w:color="auto"/>
              <w:right w:val="single" w:sz="8" w:space="0" w:color="auto"/>
            </w:tcBorders>
            <w:shd w:val="clear" w:color="auto" w:fill="auto"/>
            <w:noWrap/>
            <w:vAlign w:val="center"/>
            <w:hideMark/>
          </w:tcPr>
          <w:p w14:paraId="144EC9F7"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952,05</w:t>
            </w:r>
          </w:p>
        </w:tc>
      </w:tr>
      <w:tr w:rsidR="004147A0" w:rsidRPr="000D47B3" w14:paraId="29311020"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71BA0179"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9</w:t>
            </w:r>
          </w:p>
        </w:tc>
        <w:tc>
          <w:tcPr>
            <w:tcW w:w="2832" w:type="dxa"/>
            <w:tcBorders>
              <w:top w:val="nil"/>
              <w:left w:val="nil"/>
              <w:bottom w:val="single" w:sz="4" w:space="0" w:color="auto"/>
              <w:right w:val="single" w:sz="4" w:space="0" w:color="auto"/>
            </w:tcBorders>
            <w:shd w:val="clear" w:color="auto" w:fill="auto"/>
            <w:noWrap/>
            <w:vAlign w:val="center"/>
            <w:hideMark/>
          </w:tcPr>
          <w:p w14:paraId="07D7781F"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25009442</w:t>
            </w:r>
          </w:p>
        </w:tc>
        <w:tc>
          <w:tcPr>
            <w:tcW w:w="5247" w:type="dxa"/>
            <w:tcBorders>
              <w:top w:val="nil"/>
              <w:left w:val="nil"/>
              <w:bottom w:val="single" w:sz="4" w:space="0" w:color="auto"/>
              <w:right w:val="single" w:sz="4" w:space="0" w:color="auto"/>
            </w:tcBorders>
            <w:shd w:val="clear" w:color="auto" w:fill="auto"/>
            <w:vAlign w:val="center"/>
            <w:hideMark/>
          </w:tcPr>
          <w:p w14:paraId="7027E5CC"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 xml:space="preserve">A </w:t>
            </w:r>
            <w:proofErr w:type="spellStart"/>
            <w:r w:rsidRPr="000D47B3">
              <w:rPr>
                <w:rFonts w:ascii="Calibri" w:hAnsi="Calibri" w:cstheme="minorHAnsi"/>
                <w:color w:val="000000"/>
                <w:sz w:val="18"/>
                <w:szCs w:val="18"/>
              </w:rPr>
              <w:t>Property</w:t>
            </w:r>
            <w:proofErr w:type="spellEnd"/>
            <w:r w:rsidRPr="000D47B3">
              <w:rPr>
                <w:rFonts w:ascii="Calibri" w:hAnsi="Calibri" w:cstheme="minorHAnsi"/>
                <w:color w:val="000000"/>
                <w:sz w:val="18"/>
                <w:szCs w:val="18"/>
              </w:rPr>
              <w:t>, s.r.o., Praha 5</w:t>
            </w:r>
          </w:p>
        </w:tc>
        <w:tc>
          <w:tcPr>
            <w:tcW w:w="1701" w:type="dxa"/>
            <w:tcBorders>
              <w:top w:val="nil"/>
              <w:left w:val="nil"/>
              <w:bottom w:val="single" w:sz="4" w:space="0" w:color="auto"/>
              <w:right w:val="single" w:sz="4" w:space="0" w:color="auto"/>
            </w:tcBorders>
            <w:shd w:val="clear" w:color="auto" w:fill="auto"/>
            <w:noWrap/>
            <w:vAlign w:val="center"/>
            <w:hideMark/>
          </w:tcPr>
          <w:p w14:paraId="45A7A737" w14:textId="13A1F089" w:rsidR="004147A0" w:rsidRPr="000D47B3" w:rsidRDefault="004147A0" w:rsidP="004147A0">
            <w:pPr>
              <w:jc w:val="right"/>
              <w:rPr>
                <w:rFonts w:ascii="Calibri" w:hAnsi="Calibri" w:cs="Calibri"/>
                <w:color w:val="FF0000"/>
                <w:sz w:val="20"/>
              </w:rPr>
            </w:pPr>
            <w:r>
              <w:rPr>
                <w:rFonts w:ascii="Calibri" w:hAnsi="Calibri" w:cs="Calibri"/>
                <w:sz w:val="20"/>
              </w:rPr>
              <w:t>6 566 459</w:t>
            </w:r>
          </w:p>
        </w:tc>
        <w:tc>
          <w:tcPr>
            <w:tcW w:w="1701" w:type="dxa"/>
            <w:tcBorders>
              <w:top w:val="nil"/>
              <w:left w:val="nil"/>
              <w:bottom w:val="single" w:sz="4" w:space="0" w:color="auto"/>
              <w:right w:val="single" w:sz="4" w:space="0" w:color="auto"/>
            </w:tcBorders>
            <w:shd w:val="clear" w:color="auto" w:fill="auto"/>
            <w:noWrap/>
            <w:vAlign w:val="center"/>
            <w:hideMark/>
          </w:tcPr>
          <w:p w14:paraId="4BC6B63B"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1 969 937</w:t>
            </w:r>
          </w:p>
        </w:tc>
        <w:tc>
          <w:tcPr>
            <w:tcW w:w="1565" w:type="dxa"/>
            <w:tcBorders>
              <w:top w:val="nil"/>
              <w:left w:val="nil"/>
              <w:bottom w:val="single" w:sz="4" w:space="0" w:color="auto"/>
              <w:right w:val="single" w:sz="8" w:space="0" w:color="auto"/>
            </w:tcBorders>
            <w:shd w:val="clear" w:color="auto" w:fill="auto"/>
            <w:noWrap/>
            <w:vAlign w:val="center"/>
            <w:hideMark/>
          </w:tcPr>
          <w:p w14:paraId="2149D9B1"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754,91</w:t>
            </w:r>
          </w:p>
        </w:tc>
      </w:tr>
      <w:tr w:rsidR="004147A0" w:rsidRPr="000D47B3" w14:paraId="681FF558"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5A4477A3"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10</w:t>
            </w:r>
          </w:p>
        </w:tc>
        <w:tc>
          <w:tcPr>
            <w:tcW w:w="2832" w:type="dxa"/>
            <w:tcBorders>
              <w:top w:val="nil"/>
              <w:left w:val="nil"/>
              <w:bottom w:val="single" w:sz="4" w:space="0" w:color="auto"/>
              <w:right w:val="single" w:sz="4" w:space="0" w:color="auto"/>
            </w:tcBorders>
            <w:shd w:val="clear" w:color="auto" w:fill="auto"/>
            <w:noWrap/>
            <w:vAlign w:val="center"/>
            <w:hideMark/>
          </w:tcPr>
          <w:p w14:paraId="0FAE8428"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25003102</w:t>
            </w:r>
          </w:p>
        </w:tc>
        <w:tc>
          <w:tcPr>
            <w:tcW w:w="5247" w:type="dxa"/>
            <w:tcBorders>
              <w:top w:val="nil"/>
              <w:left w:val="nil"/>
              <w:bottom w:val="single" w:sz="4" w:space="0" w:color="auto"/>
              <w:right w:val="single" w:sz="4" w:space="0" w:color="auto"/>
            </w:tcBorders>
            <w:shd w:val="clear" w:color="auto" w:fill="auto"/>
            <w:vAlign w:val="center"/>
            <w:hideMark/>
          </w:tcPr>
          <w:p w14:paraId="3510A123"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Metrostav Nemovitostní, a.s., Praha 8</w:t>
            </w:r>
          </w:p>
        </w:tc>
        <w:tc>
          <w:tcPr>
            <w:tcW w:w="1701" w:type="dxa"/>
            <w:tcBorders>
              <w:top w:val="nil"/>
              <w:left w:val="nil"/>
              <w:bottom w:val="single" w:sz="4" w:space="0" w:color="auto"/>
              <w:right w:val="single" w:sz="4" w:space="0" w:color="auto"/>
            </w:tcBorders>
            <w:shd w:val="clear" w:color="auto" w:fill="auto"/>
            <w:noWrap/>
            <w:vAlign w:val="center"/>
            <w:hideMark/>
          </w:tcPr>
          <w:p w14:paraId="5A0294CE" w14:textId="6CBBE781" w:rsidR="004147A0" w:rsidRPr="000D47B3" w:rsidRDefault="004147A0" w:rsidP="004147A0">
            <w:pPr>
              <w:jc w:val="right"/>
              <w:rPr>
                <w:rFonts w:ascii="Calibri" w:hAnsi="Calibri" w:cs="Calibri"/>
                <w:color w:val="FF0000"/>
                <w:sz w:val="20"/>
              </w:rPr>
            </w:pPr>
            <w:r>
              <w:rPr>
                <w:rFonts w:ascii="Calibri" w:hAnsi="Calibri" w:cs="Calibri"/>
                <w:sz w:val="20"/>
              </w:rPr>
              <w:t>13 521 945</w:t>
            </w:r>
          </w:p>
        </w:tc>
        <w:tc>
          <w:tcPr>
            <w:tcW w:w="1701" w:type="dxa"/>
            <w:tcBorders>
              <w:top w:val="nil"/>
              <w:left w:val="nil"/>
              <w:bottom w:val="single" w:sz="4" w:space="0" w:color="auto"/>
              <w:right w:val="single" w:sz="4" w:space="0" w:color="auto"/>
            </w:tcBorders>
            <w:shd w:val="clear" w:color="auto" w:fill="auto"/>
            <w:noWrap/>
            <w:vAlign w:val="center"/>
            <w:hideMark/>
          </w:tcPr>
          <w:p w14:paraId="30137B8D"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2 968 203</w:t>
            </w:r>
          </w:p>
        </w:tc>
        <w:tc>
          <w:tcPr>
            <w:tcW w:w="1565" w:type="dxa"/>
            <w:tcBorders>
              <w:top w:val="nil"/>
              <w:left w:val="nil"/>
              <w:bottom w:val="single" w:sz="4" w:space="0" w:color="auto"/>
              <w:right w:val="single" w:sz="8" w:space="0" w:color="auto"/>
            </w:tcBorders>
            <w:shd w:val="clear" w:color="auto" w:fill="auto"/>
            <w:noWrap/>
            <w:vAlign w:val="center"/>
            <w:hideMark/>
          </w:tcPr>
          <w:p w14:paraId="7677AC75"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2 683,99</w:t>
            </w:r>
          </w:p>
        </w:tc>
      </w:tr>
      <w:tr w:rsidR="004147A0" w:rsidRPr="000D47B3" w14:paraId="69B32C6B"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2D142017"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11</w:t>
            </w:r>
          </w:p>
        </w:tc>
        <w:tc>
          <w:tcPr>
            <w:tcW w:w="2832" w:type="dxa"/>
            <w:tcBorders>
              <w:top w:val="nil"/>
              <w:left w:val="nil"/>
              <w:bottom w:val="single" w:sz="4" w:space="0" w:color="auto"/>
              <w:right w:val="single" w:sz="4" w:space="0" w:color="auto"/>
            </w:tcBorders>
            <w:shd w:val="clear" w:color="auto" w:fill="auto"/>
            <w:noWrap/>
            <w:vAlign w:val="center"/>
            <w:hideMark/>
          </w:tcPr>
          <w:p w14:paraId="781FD424"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25001922</w:t>
            </w:r>
          </w:p>
        </w:tc>
        <w:tc>
          <w:tcPr>
            <w:tcW w:w="5247" w:type="dxa"/>
            <w:tcBorders>
              <w:top w:val="nil"/>
              <w:left w:val="nil"/>
              <w:bottom w:val="single" w:sz="4" w:space="0" w:color="auto"/>
              <w:right w:val="single" w:sz="4" w:space="0" w:color="auto"/>
            </w:tcBorders>
            <w:shd w:val="clear" w:color="auto" w:fill="auto"/>
            <w:vAlign w:val="center"/>
            <w:hideMark/>
          </w:tcPr>
          <w:p w14:paraId="781A5559"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Společenství vlastníků jednotek Amforová 1922 až 1928, Praha 13</w:t>
            </w:r>
          </w:p>
        </w:tc>
        <w:tc>
          <w:tcPr>
            <w:tcW w:w="1701" w:type="dxa"/>
            <w:tcBorders>
              <w:top w:val="nil"/>
              <w:left w:val="nil"/>
              <w:bottom w:val="single" w:sz="4" w:space="0" w:color="auto"/>
              <w:right w:val="single" w:sz="4" w:space="0" w:color="auto"/>
            </w:tcBorders>
            <w:shd w:val="clear" w:color="auto" w:fill="auto"/>
            <w:noWrap/>
            <w:vAlign w:val="center"/>
            <w:hideMark/>
          </w:tcPr>
          <w:p w14:paraId="2549234E" w14:textId="34182294" w:rsidR="004147A0" w:rsidRPr="000D47B3" w:rsidRDefault="004147A0" w:rsidP="004147A0">
            <w:pPr>
              <w:jc w:val="right"/>
              <w:rPr>
                <w:rFonts w:ascii="Calibri" w:hAnsi="Calibri" w:cs="Calibri"/>
                <w:color w:val="FF0000"/>
                <w:sz w:val="20"/>
              </w:rPr>
            </w:pPr>
            <w:r>
              <w:rPr>
                <w:rFonts w:ascii="Calibri" w:hAnsi="Calibri" w:cs="Calibri"/>
                <w:sz w:val="20"/>
              </w:rPr>
              <w:t>17 399 484</w:t>
            </w:r>
          </w:p>
        </w:tc>
        <w:tc>
          <w:tcPr>
            <w:tcW w:w="1701" w:type="dxa"/>
            <w:tcBorders>
              <w:top w:val="nil"/>
              <w:left w:val="nil"/>
              <w:bottom w:val="single" w:sz="4" w:space="0" w:color="auto"/>
              <w:right w:val="single" w:sz="4" w:space="0" w:color="auto"/>
            </w:tcBorders>
            <w:shd w:val="clear" w:color="auto" w:fill="auto"/>
            <w:noWrap/>
            <w:vAlign w:val="center"/>
            <w:hideMark/>
          </w:tcPr>
          <w:p w14:paraId="01DC3770"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3 826 108</w:t>
            </w:r>
          </w:p>
        </w:tc>
        <w:tc>
          <w:tcPr>
            <w:tcW w:w="1565" w:type="dxa"/>
            <w:tcBorders>
              <w:top w:val="nil"/>
              <w:left w:val="nil"/>
              <w:bottom w:val="single" w:sz="4" w:space="0" w:color="auto"/>
              <w:right w:val="single" w:sz="8" w:space="0" w:color="auto"/>
            </w:tcBorders>
            <w:shd w:val="clear" w:color="auto" w:fill="auto"/>
            <w:noWrap/>
            <w:vAlign w:val="center"/>
            <w:hideMark/>
          </w:tcPr>
          <w:p w14:paraId="78477DD4"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3 030,50</w:t>
            </w:r>
          </w:p>
        </w:tc>
      </w:tr>
      <w:tr w:rsidR="004147A0" w:rsidRPr="000D47B3" w14:paraId="75535922"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9BC0620"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12</w:t>
            </w:r>
          </w:p>
        </w:tc>
        <w:tc>
          <w:tcPr>
            <w:tcW w:w="2832" w:type="dxa"/>
            <w:tcBorders>
              <w:top w:val="nil"/>
              <w:left w:val="nil"/>
              <w:bottom w:val="single" w:sz="4" w:space="0" w:color="auto"/>
              <w:right w:val="single" w:sz="4" w:space="0" w:color="auto"/>
            </w:tcBorders>
            <w:shd w:val="clear" w:color="auto" w:fill="auto"/>
            <w:noWrap/>
            <w:vAlign w:val="center"/>
            <w:hideMark/>
          </w:tcPr>
          <w:p w14:paraId="5D43B9C3"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25002812</w:t>
            </w:r>
          </w:p>
        </w:tc>
        <w:tc>
          <w:tcPr>
            <w:tcW w:w="5247" w:type="dxa"/>
            <w:tcBorders>
              <w:top w:val="nil"/>
              <w:left w:val="nil"/>
              <w:bottom w:val="single" w:sz="4" w:space="0" w:color="auto"/>
              <w:right w:val="single" w:sz="4" w:space="0" w:color="auto"/>
            </w:tcBorders>
            <w:shd w:val="clear" w:color="auto" w:fill="auto"/>
            <w:vAlign w:val="center"/>
            <w:hideMark/>
          </w:tcPr>
          <w:p w14:paraId="0A3A5A44" w14:textId="77C2166A"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Středisko společných činností AV ČR, v.</w:t>
            </w:r>
            <w:r w:rsidR="00D15952">
              <w:rPr>
                <w:rFonts w:ascii="Calibri" w:hAnsi="Calibri" w:cstheme="minorHAnsi"/>
                <w:color w:val="000000"/>
                <w:sz w:val="18"/>
                <w:szCs w:val="18"/>
              </w:rPr>
              <w:t xml:space="preserve"> </w:t>
            </w:r>
            <w:r w:rsidRPr="000D47B3">
              <w:rPr>
                <w:rFonts w:ascii="Calibri" w:hAnsi="Calibri" w:cstheme="minorHAnsi"/>
                <w:color w:val="000000"/>
                <w:sz w:val="18"/>
                <w:szCs w:val="18"/>
              </w:rPr>
              <w:t>v.</w:t>
            </w:r>
            <w:r w:rsidR="00D15952">
              <w:rPr>
                <w:rFonts w:ascii="Calibri" w:hAnsi="Calibri" w:cstheme="minorHAnsi"/>
                <w:color w:val="000000"/>
                <w:sz w:val="18"/>
                <w:szCs w:val="18"/>
              </w:rPr>
              <w:t xml:space="preserve"> </w:t>
            </w:r>
            <w:r w:rsidRPr="000D47B3">
              <w:rPr>
                <w:rFonts w:ascii="Calibri" w:hAnsi="Calibri" w:cstheme="minorHAnsi"/>
                <w:color w:val="000000"/>
                <w:sz w:val="18"/>
                <w:szCs w:val="18"/>
              </w:rPr>
              <w:t>i., Praha 1</w:t>
            </w:r>
          </w:p>
        </w:tc>
        <w:tc>
          <w:tcPr>
            <w:tcW w:w="1701" w:type="dxa"/>
            <w:tcBorders>
              <w:top w:val="nil"/>
              <w:left w:val="nil"/>
              <w:bottom w:val="single" w:sz="4" w:space="0" w:color="auto"/>
              <w:right w:val="single" w:sz="4" w:space="0" w:color="auto"/>
            </w:tcBorders>
            <w:shd w:val="clear" w:color="auto" w:fill="auto"/>
            <w:noWrap/>
            <w:vAlign w:val="center"/>
            <w:hideMark/>
          </w:tcPr>
          <w:p w14:paraId="7BA58FCF" w14:textId="402DC665" w:rsidR="004147A0" w:rsidRPr="000D47B3" w:rsidRDefault="004147A0" w:rsidP="004147A0">
            <w:pPr>
              <w:jc w:val="right"/>
              <w:rPr>
                <w:rFonts w:ascii="Calibri" w:hAnsi="Calibri" w:cs="Calibri"/>
                <w:color w:val="FF0000"/>
                <w:sz w:val="20"/>
              </w:rPr>
            </w:pPr>
            <w:r>
              <w:rPr>
                <w:rFonts w:ascii="Calibri" w:hAnsi="Calibri" w:cs="Calibri"/>
                <w:sz w:val="20"/>
              </w:rPr>
              <w:t>4 756 444</w:t>
            </w:r>
          </w:p>
        </w:tc>
        <w:tc>
          <w:tcPr>
            <w:tcW w:w="1701" w:type="dxa"/>
            <w:tcBorders>
              <w:top w:val="nil"/>
              <w:left w:val="nil"/>
              <w:bottom w:val="single" w:sz="4" w:space="0" w:color="auto"/>
              <w:right w:val="single" w:sz="4" w:space="0" w:color="auto"/>
            </w:tcBorders>
            <w:shd w:val="clear" w:color="auto" w:fill="auto"/>
            <w:noWrap/>
            <w:vAlign w:val="center"/>
            <w:hideMark/>
          </w:tcPr>
          <w:p w14:paraId="198ADF61"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1 238 615</w:t>
            </w:r>
          </w:p>
        </w:tc>
        <w:tc>
          <w:tcPr>
            <w:tcW w:w="1565" w:type="dxa"/>
            <w:tcBorders>
              <w:top w:val="nil"/>
              <w:left w:val="nil"/>
              <w:bottom w:val="single" w:sz="4" w:space="0" w:color="auto"/>
              <w:right w:val="single" w:sz="8" w:space="0" w:color="auto"/>
            </w:tcBorders>
            <w:shd w:val="clear" w:color="auto" w:fill="auto"/>
            <w:noWrap/>
            <w:vAlign w:val="center"/>
            <w:hideMark/>
          </w:tcPr>
          <w:p w14:paraId="7FA8445B"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1 898,90</w:t>
            </w:r>
          </w:p>
        </w:tc>
      </w:tr>
      <w:tr w:rsidR="004147A0" w:rsidRPr="000D47B3" w14:paraId="2B2228E3" w14:textId="77777777" w:rsidTr="000165EC">
        <w:trPr>
          <w:trHeight w:val="454"/>
        </w:trPr>
        <w:tc>
          <w:tcPr>
            <w:tcW w:w="993" w:type="dxa"/>
            <w:tcBorders>
              <w:top w:val="nil"/>
              <w:left w:val="single" w:sz="8" w:space="0" w:color="auto"/>
              <w:bottom w:val="single" w:sz="4" w:space="0" w:color="auto"/>
              <w:right w:val="single" w:sz="4" w:space="0" w:color="auto"/>
            </w:tcBorders>
            <w:shd w:val="clear" w:color="auto" w:fill="auto"/>
            <w:noWrap/>
            <w:vAlign w:val="center"/>
            <w:hideMark/>
          </w:tcPr>
          <w:p w14:paraId="198F53C8"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13</w:t>
            </w:r>
          </w:p>
        </w:tc>
        <w:tc>
          <w:tcPr>
            <w:tcW w:w="2832" w:type="dxa"/>
            <w:tcBorders>
              <w:top w:val="nil"/>
              <w:left w:val="nil"/>
              <w:bottom w:val="single" w:sz="4" w:space="0" w:color="auto"/>
              <w:right w:val="single" w:sz="4" w:space="0" w:color="auto"/>
            </w:tcBorders>
            <w:shd w:val="clear" w:color="auto" w:fill="auto"/>
            <w:noWrap/>
            <w:vAlign w:val="center"/>
            <w:hideMark/>
          </w:tcPr>
          <w:p w14:paraId="2A8DDED3"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25004452</w:t>
            </w:r>
          </w:p>
        </w:tc>
        <w:tc>
          <w:tcPr>
            <w:tcW w:w="5247" w:type="dxa"/>
            <w:tcBorders>
              <w:top w:val="nil"/>
              <w:left w:val="nil"/>
              <w:bottom w:val="single" w:sz="4" w:space="0" w:color="auto"/>
              <w:right w:val="single" w:sz="4" w:space="0" w:color="auto"/>
            </w:tcBorders>
            <w:shd w:val="clear" w:color="auto" w:fill="auto"/>
            <w:vAlign w:val="center"/>
            <w:hideMark/>
          </w:tcPr>
          <w:p w14:paraId="1FA9FCDA"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Společenství vlastníků jednotek Taškentská 1413 až 1416, Praha 10</w:t>
            </w:r>
          </w:p>
        </w:tc>
        <w:tc>
          <w:tcPr>
            <w:tcW w:w="1701" w:type="dxa"/>
            <w:tcBorders>
              <w:top w:val="nil"/>
              <w:left w:val="nil"/>
              <w:bottom w:val="single" w:sz="4" w:space="0" w:color="auto"/>
              <w:right w:val="single" w:sz="4" w:space="0" w:color="auto"/>
            </w:tcBorders>
            <w:shd w:val="clear" w:color="auto" w:fill="auto"/>
            <w:noWrap/>
            <w:vAlign w:val="center"/>
            <w:hideMark/>
          </w:tcPr>
          <w:p w14:paraId="5755F383" w14:textId="03E67FB0" w:rsidR="004147A0" w:rsidRPr="000D47B3" w:rsidRDefault="004147A0" w:rsidP="004147A0">
            <w:pPr>
              <w:jc w:val="right"/>
              <w:rPr>
                <w:rFonts w:ascii="Calibri" w:hAnsi="Calibri" w:cs="Calibri"/>
                <w:color w:val="FF0000"/>
                <w:sz w:val="20"/>
              </w:rPr>
            </w:pPr>
            <w:r>
              <w:rPr>
                <w:rFonts w:ascii="Calibri" w:hAnsi="Calibri" w:cs="Calibri"/>
                <w:sz w:val="20"/>
              </w:rPr>
              <w:t>24 703 775</w:t>
            </w:r>
          </w:p>
        </w:tc>
        <w:tc>
          <w:tcPr>
            <w:tcW w:w="1701" w:type="dxa"/>
            <w:tcBorders>
              <w:top w:val="nil"/>
              <w:left w:val="nil"/>
              <w:bottom w:val="single" w:sz="4" w:space="0" w:color="auto"/>
              <w:right w:val="single" w:sz="4" w:space="0" w:color="auto"/>
            </w:tcBorders>
            <w:shd w:val="clear" w:color="auto" w:fill="auto"/>
            <w:noWrap/>
            <w:vAlign w:val="center"/>
            <w:hideMark/>
          </w:tcPr>
          <w:p w14:paraId="176BCAE6"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4 534 909</w:t>
            </w:r>
          </w:p>
        </w:tc>
        <w:tc>
          <w:tcPr>
            <w:tcW w:w="1565" w:type="dxa"/>
            <w:tcBorders>
              <w:top w:val="nil"/>
              <w:left w:val="nil"/>
              <w:bottom w:val="single" w:sz="4" w:space="0" w:color="auto"/>
              <w:right w:val="single" w:sz="8" w:space="0" w:color="auto"/>
            </w:tcBorders>
            <w:shd w:val="clear" w:color="auto" w:fill="auto"/>
            <w:noWrap/>
            <w:vAlign w:val="center"/>
            <w:hideMark/>
          </w:tcPr>
          <w:p w14:paraId="1D539905"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1 426,92</w:t>
            </w:r>
          </w:p>
        </w:tc>
      </w:tr>
      <w:tr w:rsidR="004147A0" w:rsidRPr="000D47B3" w14:paraId="186CED30" w14:textId="77777777" w:rsidTr="000165EC">
        <w:trPr>
          <w:trHeight w:val="454"/>
        </w:trPr>
        <w:tc>
          <w:tcPr>
            <w:tcW w:w="993" w:type="dxa"/>
            <w:tcBorders>
              <w:top w:val="nil"/>
              <w:left w:val="single" w:sz="8" w:space="0" w:color="auto"/>
              <w:bottom w:val="single" w:sz="8" w:space="0" w:color="auto"/>
              <w:right w:val="single" w:sz="4" w:space="0" w:color="auto"/>
            </w:tcBorders>
            <w:shd w:val="clear" w:color="auto" w:fill="auto"/>
            <w:noWrap/>
            <w:vAlign w:val="center"/>
            <w:hideMark/>
          </w:tcPr>
          <w:p w14:paraId="58875EA9" w14:textId="77777777" w:rsidR="004147A0" w:rsidRPr="000D47B3" w:rsidRDefault="004147A0" w:rsidP="004147A0">
            <w:pPr>
              <w:jc w:val="center"/>
              <w:rPr>
                <w:rFonts w:ascii="Calibri" w:hAnsi="Calibri" w:cs="Calibri"/>
                <w:color w:val="000000"/>
                <w:sz w:val="20"/>
              </w:rPr>
            </w:pPr>
            <w:r w:rsidRPr="000D47B3">
              <w:rPr>
                <w:rFonts w:ascii="Calibri" w:hAnsi="Calibri" w:cstheme="minorHAnsi"/>
                <w:color w:val="000000"/>
                <w:sz w:val="20"/>
              </w:rPr>
              <w:t>14</w:t>
            </w:r>
          </w:p>
        </w:tc>
        <w:tc>
          <w:tcPr>
            <w:tcW w:w="2832" w:type="dxa"/>
            <w:tcBorders>
              <w:top w:val="nil"/>
              <w:left w:val="nil"/>
              <w:bottom w:val="single" w:sz="8" w:space="0" w:color="auto"/>
              <w:right w:val="single" w:sz="4" w:space="0" w:color="auto"/>
            </w:tcBorders>
            <w:shd w:val="clear" w:color="auto" w:fill="auto"/>
            <w:noWrap/>
            <w:vAlign w:val="center"/>
            <w:hideMark/>
          </w:tcPr>
          <w:p w14:paraId="5C475D33" w14:textId="77777777" w:rsidR="004147A0" w:rsidRPr="000D47B3" w:rsidRDefault="004147A0" w:rsidP="004147A0">
            <w:pPr>
              <w:jc w:val="right"/>
              <w:rPr>
                <w:rFonts w:ascii="Calibri" w:hAnsi="Calibri" w:cs="Calibri"/>
                <w:color w:val="000000"/>
                <w:sz w:val="18"/>
                <w:szCs w:val="18"/>
              </w:rPr>
            </w:pPr>
            <w:r w:rsidRPr="000D47B3">
              <w:rPr>
                <w:rFonts w:ascii="Calibri" w:hAnsi="Calibri" w:cstheme="minorHAnsi"/>
                <w:color w:val="000000"/>
                <w:sz w:val="18"/>
                <w:szCs w:val="18"/>
              </w:rPr>
              <w:t>25000212</w:t>
            </w:r>
          </w:p>
        </w:tc>
        <w:tc>
          <w:tcPr>
            <w:tcW w:w="5247" w:type="dxa"/>
            <w:tcBorders>
              <w:top w:val="nil"/>
              <w:left w:val="nil"/>
              <w:bottom w:val="single" w:sz="8" w:space="0" w:color="auto"/>
              <w:right w:val="single" w:sz="4" w:space="0" w:color="auto"/>
            </w:tcBorders>
            <w:shd w:val="clear" w:color="auto" w:fill="auto"/>
            <w:vAlign w:val="center"/>
            <w:hideMark/>
          </w:tcPr>
          <w:p w14:paraId="38CF4545" w14:textId="77777777" w:rsidR="004147A0" w:rsidRPr="000D47B3" w:rsidRDefault="004147A0" w:rsidP="004147A0">
            <w:pPr>
              <w:jc w:val="left"/>
              <w:rPr>
                <w:rFonts w:ascii="Calibri" w:hAnsi="Calibri" w:cs="Calibri"/>
                <w:color w:val="000000"/>
                <w:sz w:val="18"/>
                <w:szCs w:val="18"/>
              </w:rPr>
            </w:pPr>
            <w:r w:rsidRPr="000D47B3">
              <w:rPr>
                <w:rFonts w:ascii="Calibri" w:hAnsi="Calibri" w:cstheme="minorHAnsi"/>
                <w:color w:val="000000"/>
                <w:sz w:val="18"/>
                <w:szCs w:val="18"/>
              </w:rPr>
              <w:t>Zdeněk Trojan, Praha 5</w:t>
            </w:r>
          </w:p>
        </w:tc>
        <w:tc>
          <w:tcPr>
            <w:tcW w:w="1701" w:type="dxa"/>
            <w:tcBorders>
              <w:top w:val="nil"/>
              <w:left w:val="nil"/>
              <w:bottom w:val="single" w:sz="8" w:space="0" w:color="auto"/>
              <w:right w:val="single" w:sz="4" w:space="0" w:color="auto"/>
            </w:tcBorders>
            <w:shd w:val="clear" w:color="auto" w:fill="auto"/>
            <w:noWrap/>
            <w:vAlign w:val="center"/>
            <w:hideMark/>
          </w:tcPr>
          <w:p w14:paraId="02A13672" w14:textId="40B25FA1" w:rsidR="004147A0" w:rsidRPr="000D47B3" w:rsidRDefault="004147A0" w:rsidP="004147A0">
            <w:pPr>
              <w:jc w:val="right"/>
              <w:rPr>
                <w:rFonts w:ascii="Calibri" w:hAnsi="Calibri" w:cs="Calibri"/>
                <w:color w:val="FF0000"/>
                <w:sz w:val="20"/>
              </w:rPr>
            </w:pPr>
            <w:r>
              <w:rPr>
                <w:rFonts w:ascii="Calibri" w:hAnsi="Calibri" w:cs="Calibri"/>
                <w:sz w:val="20"/>
              </w:rPr>
              <w:t>5 426 504</w:t>
            </w:r>
          </w:p>
        </w:tc>
        <w:tc>
          <w:tcPr>
            <w:tcW w:w="1701" w:type="dxa"/>
            <w:tcBorders>
              <w:top w:val="nil"/>
              <w:left w:val="nil"/>
              <w:bottom w:val="single" w:sz="8" w:space="0" w:color="auto"/>
              <w:right w:val="single" w:sz="4" w:space="0" w:color="auto"/>
            </w:tcBorders>
            <w:shd w:val="clear" w:color="auto" w:fill="auto"/>
            <w:noWrap/>
            <w:vAlign w:val="center"/>
            <w:hideMark/>
          </w:tcPr>
          <w:p w14:paraId="7DB266BD"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1 394 849</w:t>
            </w:r>
          </w:p>
        </w:tc>
        <w:tc>
          <w:tcPr>
            <w:tcW w:w="1565" w:type="dxa"/>
            <w:tcBorders>
              <w:top w:val="nil"/>
              <w:left w:val="nil"/>
              <w:bottom w:val="single" w:sz="8" w:space="0" w:color="auto"/>
              <w:right w:val="single" w:sz="8" w:space="0" w:color="auto"/>
            </w:tcBorders>
            <w:shd w:val="clear" w:color="auto" w:fill="auto"/>
            <w:noWrap/>
            <w:vAlign w:val="center"/>
            <w:hideMark/>
          </w:tcPr>
          <w:p w14:paraId="401C4AC3" w14:textId="77777777" w:rsidR="004147A0" w:rsidRPr="000D47B3" w:rsidRDefault="004147A0" w:rsidP="004147A0">
            <w:pPr>
              <w:jc w:val="right"/>
              <w:rPr>
                <w:rFonts w:ascii="Calibri" w:hAnsi="Calibri" w:cs="Calibri"/>
                <w:color w:val="000000"/>
                <w:sz w:val="20"/>
              </w:rPr>
            </w:pPr>
            <w:r w:rsidRPr="000D47B3">
              <w:rPr>
                <w:rFonts w:ascii="Calibri" w:hAnsi="Calibri" w:cstheme="minorHAnsi"/>
                <w:color w:val="000000"/>
                <w:sz w:val="20"/>
              </w:rPr>
              <w:t>4 422,48</w:t>
            </w:r>
          </w:p>
        </w:tc>
      </w:tr>
    </w:tbl>
    <w:p w14:paraId="11C4F0E0" w14:textId="297215EC" w:rsidR="005B4394" w:rsidRDefault="00731BAA" w:rsidP="00C05142">
      <w:pPr>
        <w:sectPr w:rsidR="005B4394" w:rsidSect="005B4394">
          <w:pgSz w:w="16838" w:h="11906" w:orient="landscape" w:code="9"/>
          <w:pgMar w:top="1418" w:right="1418" w:bottom="1418" w:left="1418" w:header="709" w:footer="709" w:gutter="0"/>
          <w:cols w:space="708"/>
          <w:docGrid w:linePitch="360"/>
        </w:sectPr>
      </w:pPr>
      <w:r w:rsidRPr="001E5B97">
        <w:rPr>
          <w:b/>
          <w:i/>
          <w:sz w:val="20"/>
        </w:rPr>
        <w:t>Zdroj:</w:t>
      </w:r>
      <w:r w:rsidRPr="002C6FE0">
        <w:rPr>
          <w:i/>
          <w:sz w:val="20"/>
        </w:rPr>
        <w:t xml:space="preserve"> MS2014+, </w:t>
      </w:r>
      <w:r w:rsidR="00080B7C">
        <w:rPr>
          <w:i/>
          <w:sz w:val="20"/>
        </w:rPr>
        <w:t>IS NZÚ 2015+, r</w:t>
      </w:r>
      <w:r w:rsidR="002C6FE0">
        <w:rPr>
          <w:i/>
          <w:sz w:val="20"/>
        </w:rPr>
        <w:t>ozhodnutí o poskytnutí dotace</w:t>
      </w:r>
      <w:r w:rsidR="0011129E">
        <w:rPr>
          <w:i/>
          <w:sz w:val="20"/>
        </w:rPr>
        <w:t>, schválené žádosti o platbu</w:t>
      </w:r>
      <w:r w:rsidR="006E5D0A">
        <w:rPr>
          <w:i/>
          <w:sz w:val="20"/>
        </w:rPr>
        <w:t>.</w:t>
      </w:r>
    </w:p>
    <w:p w14:paraId="3299AD01" w14:textId="4D901419" w:rsidR="00C514A5" w:rsidRDefault="00C514A5" w:rsidP="00C514A5">
      <w:pPr>
        <w:pStyle w:val="Nadpis4"/>
        <w:keepNext w:val="0"/>
        <w:widowControl w:val="0"/>
      </w:pPr>
      <w:r w:rsidRPr="00C05142">
        <w:lastRenderedPageBreak/>
        <w:t xml:space="preserve">Příloha č. </w:t>
      </w:r>
      <w:r>
        <w:t>2</w:t>
      </w:r>
      <w:r w:rsidRPr="00C05142">
        <w:t xml:space="preserve">: </w:t>
      </w:r>
      <w:r w:rsidRPr="002D725C">
        <w:t xml:space="preserve">Změna průměrného podílu </w:t>
      </w:r>
      <w:proofErr w:type="spellStart"/>
      <w:r w:rsidRPr="002D725C">
        <w:t>energonositelů</w:t>
      </w:r>
      <w:proofErr w:type="spellEnd"/>
      <w:r w:rsidRPr="002D725C">
        <w:t xml:space="preserve"> po realizaci </w:t>
      </w:r>
      <w:r>
        <w:t xml:space="preserve">opatření u </w:t>
      </w:r>
      <w:r w:rsidRPr="002D725C">
        <w:t>kontrolovaných projektů (</w:t>
      </w:r>
      <w:r>
        <w:t>v %)</w:t>
      </w:r>
    </w:p>
    <w:p w14:paraId="7AADAC34" w14:textId="77777777" w:rsidR="00C514A5" w:rsidRPr="00C514A5" w:rsidRDefault="00C514A5" w:rsidP="00C514A5"/>
    <w:p w14:paraId="321644DA" w14:textId="7ADEC042" w:rsidR="00C514A5" w:rsidRDefault="00C514A5" w:rsidP="00056879">
      <w:pPr>
        <w:pStyle w:val="Nadpis4"/>
        <w:keepNext w:val="0"/>
        <w:widowControl w:val="0"/>
      </w:pPr>
      <w:r>
        <w:rPr>
          <w:noProof/>
        </w:rPr>
        <w:drawing>
          <wp:inline distT="0" distB="0" distL="0" distR="0" wp14:anchorId="26D8C1F2" wp14:editId="1F66D7AE">
            <wp:extent cx="8890000" cy="3584405"/>
            <wp:effectExtent l="0" t="0" r="6350" b="0"/>
            <wp:docPr id="19"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904826" cy="3590383"/>
                    </a:xfrm>
                    <a:prstGeom prst="rect">
                      <a:avLst/>
                    </a:prstGeom>
                    <a:noFill/>
                  </pic:spPr>
                </pic:pic>
              </a:graphicData>
            </a:graphic>
          </wp:inline>
        </w:drawing>
      </w:r>
    </w:p>
    <w:p w14:paraId="4A1E1E12" w14:textId="4A20C0FF" w:rsidR="00B6614D" w:rsidRPr="001F54D2" w:rsidRDefault="00494461" w:rsidP="004F2125">
      <w:pPr>
        <w:rPr>
          <w:i/>
          <w:sz w:val="20"/>
        </w:rPr>
      </w:pPr>
      <w:r w:rsidRPr="001E5B97">
        <w:rPr>
          <w:b/>
          <w:i/>
          <w:sz w:val="20"/>
        </w:rPr>
        <w:t>Zdroj:</w:t>
      </w:r>
      <w:r w:rsidRPr="001F54D2">
        <w:rPr>
          <w:i/>
          <w:sz w:val="20"/>
        </w:rPr>
        <w:t xml:space="preserve"> </w:t>
      </w:r>
      <w:r w:rsidR="00A82D0D">
        <w:rPr>
          <w:i/>
          <w:sz w:val="20"/>
        </w:rPr>
        <w:t>p</w:t>
      </w:r>
      <w:r w:rsidR="006E5D0A" w:rsidRPr="001F54D2">
        <w:rPr>
          <w:i/>
          <w:sz w:val="20"/>
        </w:rPr>
        <w:t xml:space="preserve">růkazy energetické náročnosti budovy z projektů IROP a </w:t>
      </w:r>
      <w:r w:rsidR="00A82D0D">
        <w:rPr>
          <w:i/>
          <w:sz w:val="20"/>
        </w:rPr>
        <w:t xml:space="preserve">programu </w:t>
      </w:r>
      <w:r w:rsidR="006E5D0A" w:rsidRPr="001F54D2">
        <w:rPr>
          <w:i/>
          <w:sz w:val="20"/>
        </w:rPr>
        <w:t>NZÚ.</w:t>
      </w:r>
    </w:p>
    <w:p w14:paraId="3851B684" w14:textId="77777777" w:rsidR="006E5D0A" w:rsidRPr="00494461" w:rsidRDefault="006E5D0A" w:rsidP="004F2125">
      <w:pPr>
        <w:rPr>
          <w:b/>
          <w:i/>
          <w:sz w:val="20"/>
        </w:rPr>
      </w:pPr>
    </w:p>
    <w:p w14:paraId="68D4440F" w14:textId="77777777" w:rsidR="00B6614D" w:rsidRDefault="00B6614D" w:rsidP="004F2125"/>
    <w:sectPr w:rsidR="00B6614D" w:rsidSect="00B6614D">
      <w:pgSz w:w="16838"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6CB80A" w14:textId="77777777" w:rsidR="009A6705" w:rsidRDefault="009A6705">
      <w:r>
        <w:separator/>
      </w:r>
    </w:p>
  </w:endnote>
  <w:endnote w:type="continuationSeparator" w:id="0">
    <w:p w14:paraId="48DCD65B" w14:textId="77777777" w:rsidR="009A6705" w:rsidRDefault="009A6705">
      <w:r>
        <w:continuationSeparator/>
      </w:r>
    </w:p>
  </w:endnote>
  <w:endnote w:type="continuationNotice" w:id="1">
    <w:p w14:paraId="4BCC18E6" w14:textId="77777777" w:rsidR="009A6705" w:rsidRDefault="009A67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altName w:val="Cambria"/>
    <w:panose1 w:val="02040503050406030204"/>
    <w:charset w:val="EE"/>
    <w:family w:val="roman"/>
    <w:pitch w:val="variable"/>
    <w:sig w:usb0="E00006FF" w:usb1="420024FF" w:usb2="02000000" w:usb3="00000000" w:csb0="0000019F" w:csb1="00000000"/>
  </w:font>
  <w:font w:name="Times New Roman CE obyeejné">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5FA5E" w14:textId="77777777" w:rsidR="009A6705" w:rsidRDefault="009A670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3</w:t>
    </w:r>
    <w:r>
      <w:rPr>
        <w:rStyle w:val="slostrnky"/>
      </w:rPr>
      <w:fldChar w:fldCharType="end"/>
    </w:r>
  </w:p>
  <w:p w14:paraId="3E42B10E" w14:textId="77777777" w:rsidR="009A6705" w:rsidRDefault="009A670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02A3A" w14:textId="77777777" w:rsidR="009A6705" w:rsidRDefault="009A6705" w:rsidP="00AC339B">
    <w:pPr>
      <w:pStyle w:val="Zpa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357DA" w14:textId="77777777" w:rsidR="009A6705" w:rsidRDefault="009A6705" w:rsidP="0068280A">
    <w:pPr>
      <w:pStyle w:val="Zpat"/>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9461317"/>
      <w:docPartObj>
        <w:docPartGallery w:val="Page Numbers (Bottom of Page)"/>
        <w:docPartUnique/>
      </w:docPartObj>
    </w:sdtPr>
    <w:sdtEndPr/>
    <w:sdtContent>
      <w:p w14:paraId="3A14E70C" w14:textId="733163B8" w:rsidR="009A6705" w:rsidRDefault="009A6705" w:rsidP="00AC339B">
        <w:pPr>
          <w:pStyle w:val="Zpat"/>
          <w:jc w:val="center"/>
        </w:pPr>
        <w:r>
          <w:fldChar w:fldCharType="begin"/>
        </w:r>
        <w:r>
          <w:instrText>PAGE   \* MERGEFORMAT</w:instrText>
        </w:r>
        <w:r>
          <w:fldChar w:fldCharType="separate"/>
        </w:r>
        <w:r w:rsidR="00567229">
          <w:rPr>
            <w:noProof/>
          </w:rPr>
          <w:t>11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A3A68" w14:textId="77777777" w:rsidR="009A6705" w:rsidRDefault="009A6705">
      <w:r>
        <w:separator/>
      </w:r>
    </w:p>
  </w:footnote>
  <w:footnote w:type="continuationSeparator" w:id="0">
    <w:p w14:paraId="4D8D4988" w14:textId="77777777" w:rsidR="009A6705" w:rsidRDefault="009A6705">
      <w:r>
        <w:continuationSeparator/>
      </w:r>
    </w:p>
  </w:footnote>
  <w:footnote w:type="continuationNotice" w:id="1">
    <w:p w14:paraId="0D25D4ED" w14:textId="77777777" w:rsidR="009A6705" w:rsidRDefault="009A6705"/>
  </w:footnote>
  <w:footnote w:id="2">
    <w:p w14:paraId="169E3594" w14:textId="0294E09A" w:rsidR="009A6705" w:rsidRDefault="009A6705" w:rsidP="00884FCE">
      <w:pPr>
        <w:pStyle w:val="Textpoznpodarou"/>
      </w:pPr>
      <w:r>
        <w:rPr>
          <w:rStyle w:val="Znakapoznpodarou"/>
        </w:rPr>
        <w:footnoteRef/>
      </w:r>
      <w:r>
        <w:t xml:space="preserve"> </w:t>
      </w:r>
      <w:r>
        <w:tab/>
        <w:t>Uvedené údaje jsou k datu 31. 12. 2020, hodnoty úspor jsou vyjádřeny v gigajoulech (GJ) a v </w:t>
      </w:r>
      <w:proofErr w:type="spellStart"/>
      <w:r>
        <w:t>petajoulech</w:t>
      </w:r>
      <w:proofErr w:type="spellEnd"/>
      <w:r>
        <w:t xml:space="preserve"> (PJ). </w:t>
      </w:r>
    </w:p>
  </w:footnote>
  <w:footnote w:id="3">
    <w:p w14:paraId="6B190D17" w14:textId="34193B4E" w:rsidR="009A6705" w:rsidRDefault="009A6705" w:rsidP="0024274C">
      <w:pPr>
        <w:pStyle w:val="Textpoznpodarou"/>
      </w:pPr>
      <w:r>
        <w:rPr>
          <w:rStyle w:val="Znakapoznpodarou"/>
        </w:rPr>
        <w:footnoteRef/>
      </w:r>
      <w:r>
        <w:t xml:space="preserve"> </w:t>
      </w:r>
      <w:r>
        <w:tab/>
        <w:t>Skutečná měrná dotace je částka dotace vynaložená na úsporu energie ve výši 1 gigajoulu (GJ) u realizovaných projektů. D</w:t>
      </w:r>
      <w:r w:rsidRPr="00CC1308">
        <w:t xml:space="preserve">o výpočtu skutečné měrné dotace </w:t>
      </w:r>
      <w:r>
        <w:t xml:space="preserve">u každého projektu </w:t>
      </w:r>
      <w:r w:rsidRPr="00CC1308">
        <w:t>vstupují celkové úspory, kterých bylo v</w:t>
      </w:r>
      <w:r>
        <w:t> </w:t>
      </w:r>
      <w:r w:rsidRPr="00CC1308">
        <w:t>projektu dosaženo</w:t>
      </w:r>
      <w:r>
        <w:t>,</w:t>
      </w:r>
      <w:r w:rsidRPr="00CC1308">
        <w:t xml:space="preserve"> ve vztahu k dotačním prostředkům, které se podílely na financování opatření ke snížení energetické náročnosti. Posuzována</w:t>
      </w:r>
      <w:r>
        <w:t xml:space="preserve"> je de facto efektivnost dotace k celkovým generovaným úsporám.</w:t>
      </w:r>
    </w:p>
  </w:footnote>
  <w:footnote w:id="4">
    <w:p w14:paraId="1BA6144B" w14:textId="1A14EB62" w:rsidR="009A6705" w:rsidRPr="00162E38" w:rsidRDefault="009A6705">
      <w:pPr>
        <w:pStyle w:val="Textpoznpodarou"/>
        <w:rPr>
          <w:i/>
        </w:rPr>
      </w:pPr>
      <w:r>
        <w:rPr>
          <w:rStyle w:val="Znakapoznpodarou"/>
        </w:rPr>
        <w:footnoteRef/>
      </w:r>
      <w:r>
        <w:t xml:space="preserve"> </w:t>
      </w:r>
      <w:r>
        <w:tab/>
        <w:t xml:space="preserve">V případě NZÚ se týká </w:t>
      </w:r>
      <w:r w:rsidRPr="00162E38">
        <w:t xml:space="preserve">jen podprogramu </w:t>
      </w:r>
      <w:r w:rsidRPr="00162E38">
        <w:rPr>
          <w:i/>
        </w:rPr>
        <w:t>Bytové domy.</w:t>
      </w:r>
      <w:r w:rsidRPr="00162E38">
        <w:t xml:space="preserve"> Celý program NZÚ naplnil závazek z 54 %, neboť z</w:t>
      </w:r>
      <w:r>
        <w:t> </w:t>
      </w:r>
      <w:r w:rsidRPr="00162E38">
        <w:t xml:space="preserve">plánovaných 8,1 </w:t>
      </w:r>
      <w:proofErr w:type="spellStart"/>
      <w:r w:rsidRPr="00162E38">
        <w:t>petajoul</w:t>
      </w:r>
      <w:r>
        <w:t>u</w:t>
      </w:r>
      <w:proofErr w:type="spellEnd"/>
      <w:r w:rsidRPr="00162E38">
        <w:t xml:space="preserve"> (PJ) úspor dosáhl k 31. 12. 2020 hodnoty 4,4 </w:t>
      </w:r>
      <w:proofErr w:type="spellStart"/>
      <w:r w:rsidRPr="00162E38">
        <w:t>petajoul</w:t>
      </w:r>
      <w:r>
        <w:t>u</w:t>
      </w:r>
      <w:proofErr w:type="spellEnd"/>
      <w:r w:rsidRPr="00162E38">
        <w:t xml:space="preserve"> (PJ) úspor. Úspory v</w:t>
      </w:r>
      <w:r>
        <w:t xml:space="preserve">e výši 8,1 PJ </w:t>
      </w:r>
      <w:r w:rsidRPr="00162E38">
        <w:t>by měly být generovány v projektech, které byly zrealizovány a proplaceny v rámci podprogram</w:t>
      </w:r>
      <w:r>
        <w:t>ů</w:t>
      </w:r>
      <w:r w:rsidRPr="00162E38">
        <w:t xml:space="preserve"> </w:t>
      </w:r>
      <w:r w:rsidRPr="00162E38">
        <w:rPr>
          <w:i/>
        </w:rPr>
        <w:t>Bytové domy</w:t>
      </w:r>
      <w:r>
        <w:rPr>
          <w:i/>
        </w:rPr>
        <w:t xml:space="preserve"> </w:t>
      </w:r>
      <w:r>
        <w:t xml:space="preserve">(cíl 2,8 PJ), </w:t>
      </w:r>
      <w:r w:rsidRPr="00162E38">
        <w:rPr>
          <w:i/>
        </w:rPr>
        <w:t>Rodinné domy</w:t>
      </w:r>
      <w:r>
        <w:t xml:space="preserve">, </w:t>
      </w:r>
      <w:r w:rsidRPr="00162E38">
        <w:rPr>
          <w:i/>
        </w:rPr>
        <w:t>Budovy veřejného sektoru</w:t>
      </w:r>
      <w:r>
        <w:rPr>
          <w:i/>
        </w:rPr>
        <w:t xml:space="preserve"> </w:t>
      </w:r>
      <w:r>
        <w:t xml:space="preserve">a </w:t>
      </w:r>
      <w:r>
        <w:rPr>
          <w:i/>
        </w:rPr>
        <w:t xml:space="preserve">Adaptační a </w:t>
      </w:r>
      <w:proofErr w:type="spellStart"/>
      <w:r>
        <w:rPr>
          <w:i/>
        </w:rPr>
        <w:t>mitigační</w:t>
      </w:r>
      <w:proofErr w:type="spellEnd"/>
      <w:r>
        <w:rPr>
          <w:i/>
        </w:rPr>
        <w:t xml:space="preserve"> opatření.</w:t>
      </w:r>
    </w:p>
  </w:footnote>
  <w:footnote w:id="5">
    <w:p w14:paraId="7E1E54A6" w14:textId="104AE6F9" w:rsidR="009A6705" w:rsidRDefault="009A6705" w:rsidP="00D03322">
      <w:pPr>
        <w:pStyle w:val="Textpoznpodarou"/>
      </w:pPr>
      <w:r>
        <w:rPr>
          <w:rStyle w:val="Znakapoznpodarou"/>
        </w:rPr>
        <w:footnoteRef/>
      </w:r>
      <w:r>
        <w:t xml:space="preserve"> </w:t>
      </w:r>
      <w:r>
        <w:tab/>
        <w:t xml:space="preserve">Jedná se o závazný cíl ve smyslu naplnění povinnosti generovat kumulativní úspory energie v období </w:t>
      </w:r>
      <w:r>
        <w:br/>
        <w:t xml:space="preserve">2014–2020 odpovídající každoročnímu snížení konečné spotřeby energie o 1,5 % nakupované energie pro konečné užití (tj. rozdíl mezi konečnou spotřebou energie </w:t>
      </w:r>
      <w:r w:rsidRPr="008E140E">
        <w:rPr>
          <w:i/>
        </w:rPr>
        <w:t xml:space="preserve">před </w:t>
      </w:r>
      <w:r w:rsidRPr="00C4691A">
        <w:t>zavedením opatření</w:t>
      </w:r>
      <w:r>
        <w:rPr>
          <w:i/>
        </w:rPr>
        <w:t xml:space="preserve"> </w:t>
      </w:r>
      <w:r>
        <w:t xml:space="preserve">a </w:t>
      </w:r>
      <w:r w:rsidRPr="008E140E">
        <w:rPr>
          <w:i/>
        </w:rPr>
        <w:t xml:space="preserve">po </w:t>
      </w:r>
      <w:r w:rsidRPr="00C4691A">
        <w:t>jejich</w:t>
      </w:r>
      <w:r>
        <w:rPr>
          <w:i/>
        </w:rPr>
        <w:t xml:space="preserve"> </w:t>
      </w:r>
      <w:r>
        <w:t>zavedení). Tento cíl byla ČR povinna splnit do roku 2020.</w:t>
      </w:r>
    </w:p>
  </w:footnote>
  <w:footnote w:id="6">
    <w:p w14:paraId="7C9AA35F" w14:textId="7A76ECED" w:rsidR="009A6705" w:rsidRDefault="009A6705" w:rsidP="00884FCE">
      <w:pPr>
        <w:pStyle w:val="Textpoznpodarou"/>
      </w:pPr>
      <w:r>
        <w:rPr>
          <w:rStyle w:val="Znakapoznpodarou"/>
        </w:rPr>
        <w:footnoteRef/>
      </w:r>
      <w:r>
        <w:t xml:space="preserve"> </w:t>
      </w:r>
      <w:r>
        <w:tab/>
      </w:r>
      <w:r w:rsidRPr="004D7005">
        <w:t>Směrnice Evropského parlamentu a Rady 2012/27/EU ze dne 25. října 2012</w:t>
      </w:r>
      <w:r>
        <w:t>,</w:t>
      </w:r>
      <w:r w:rsidRPr="004D7005">
        <w:t xml:space="preserve"> o energetické účinnosti, o změně směrnic 2009/125/ES a 2010/30/EU a o zrušení směrnic 2004/8/ES a 2006/32/ES.</w:t>
      </w:r>
    </w:p>
  </w:footnote>
  <w:footnote w:id="7">
    <w:p w14:paraId="5DDECA4D" w14:textId="1C655B1E" w:rsidR="009A6705" w:rsidRDefault="009A6705">
      <w:pPr>
        <w:pStyle w:val="Textpoznpodarou"/>
      </w:pPr>
      <w:r>
        <w:rPr>
          <w:rStyle w:val="Znakapoznpodarou"/>
        </w:rPr>
        <w:footnoteRef/>
      </w:r>
      <w:r>
        <w:t xml:space="preserve"> </w:t>
      </w:r>
      <w:r>
        <w:tab/>
      </w:r>
      <w:r w:rsidRPr="00E779A7">
        <w:t>Strategi</w:t>
      </w:r>
      <w:r>
        <w:t>e</w:t>
      </w:r>
      <w:r w:rsidRPr="00E779A7">
        <w:t xml:space="preserve"> </w:t>
      </w:r>
      <w:r w:rsidRPr="00C4691A">
        <w:rPr>
          <w:i/>
        </w:rPr>
        <w:t>Evropa 2020 – Strategie pro inteligentní a udržitelný růst podporující začle</w:t>
      </w:r>
      <w:r>
        <w:rPr>
          <w:i/>
        </w:rPr>
        <w:t>nění</w:t>
      </w:r>
      <w:r>
        <w:t xml:space="preserve"> </w:t>
      </w:r>
      <w:r w:rsidRPr="00E779A7">
        <w:t>představ</w:t>
      </w:r>
      <w:r>
        <w:t xml:space="preserve">ovala </w:t>
      </w:r>
      <w:r w:rsidRPr="00E779A7">
        <w:t>hlavní hospodářskou reformní agendu Evropské unie s výhled</w:t>
      </w:r>
      <w:r>
        <w:t>em do roku 2020.</w:t>
      </w:r>
    </w:p>
  </w:footnote>
  <w:footnote w:id="8">
    <w:p w14:paraId="0B0301AB" w14:textId="213AEFA7" w:rsidR="009A6705" w:rsidRPr="00714715" w:rsidRDefault="009A6705">
      <w:pPr>
        <w:pStyle w:val="Textpoznpodarou"/>
      </w:pPr>
      <w:r>
        <w:rPr>
          <w:rStyle w:val="Znakapoznpodarou"/>
        </w:rPr>
        <w:footnoteRef/>
      </w:r>
      <w:r>
        <w:t xml:space="preserve"> </w:t>
      </w:r>
      <w:r>
        <w:tab/>
      </w:r>
      <w:r w:rsidRPr="00714715">
        <w:t>Programy IROP a NZÚ jsou zahrnuty v seznamu tzv. alternativních politických opatření České republiky k</w:t>
      </w:r>
      <w:r>
        <w:t> </w:t>
      </w:r>
      <w:r w:rsidRPr="00714715">
        <w:t>naplňování cílů v oblasti úspor energie na straně konečné spotřeby dle článku 7 směrnice EED. Závazky jednotlivých programů jako příspěvky k naplnění cíle ČR jsou uvedeny v </w:t>
      </w:r>
      <w:r w:rsidRPr="00C4691A">
        <w:rPr>
          <w:i/>
        </w:rPr>
        <w:t>Národním akčním plánu energetické účinnosti</w:t>
      </w:r>
      <w:r>
        <w:t xml:space="preserve"> </w:t>
      </w:r>
      <w:r w:rsidRPr="00C4691A">
        <w:rPr>
          <w:i/>
        </w:rPr>
        <w:t>České republiky</w:t>
      </w:r>
      <w:r>
        <w:t xml:space="preserve"> (5. aktualizace), který byl schválen usnesením vlády ČR ze</w:t>
      </w:r>
      <w:r w:rsidRPr="00714715">
        <w:t xml:space="preserve"> dne 16. </w:t>
      </w:r>
      <w:r>
        <w:t xml:space="preserve">března </w:t>
      </w:r>
      <w:r w:rsidRPr="00714715">
        <w:t xml:space="preserve">2016 </w:t>
      </w:r>
      <w:r>
        <w:t>č</w:t>
      </w:r>
      <w:r w:rsidRPr="00714715">
        <w:t>.</w:t>
      </w:r>
      <w:r>
        <w:t> </w:t>
      </w:r>
      <w:r w:rsidRPr="00714715">
        <w:t>215.</w:t>
      </w:r>
    </w:p>
  </w:footnote>
  <w:footnote w:id="9">
    <w:p w14:paraId="4617B754" w14:textId="7922D449" w:rsidR="009A6705" w:rsidRDefault="009A6705">
      <w:pPr>
        <w:pStyle w:val="Textpoznpodarou"/>
      </w:pPr>
      <w:r>
        <w:rPr>
          <w:rStyle w:val="Znakapoznpodarou"/>
        </w:rPr>
        <w:footnoteRef/>
      </w:r>
      <w:r>
        <w:t xml:space="preserve"> </w:t>
      </w:r>
      <w:r>
        <w:tab/>
        <w:t xml:space="preserve">Hodnocení dosažených úspor dle strategie </w:t>
      </w:r>
      <w:r w:rsidRPr="00C4691A">
        <w:rPr>
          <w:i/>
        </w:rPr>
        <w:t>Evropa 2020</w:t>
      </w:r>
      <w:r>
        <w:t xml:space="preserve"> je vztaženo k období do 31. 12. 2020.</w:t>
      </w:r>
    </w:p>
  </w:footnote>
  <w:footnote w:id="10">
    <w:p w14:paraId="4073A60A" w14:textId="5E55BC82" w:rsidR="009A6705" w:rsidRPr="00D82296" w:rsidRDefault="009A6705" w:rsidP="00D82296">
      <w:pPr>
        <w:pStyle w:val="Textpoznpodarou"/>
      </w:pPr>
      <w:r>
        <w:rPr>
          <w:rStyle w:val="Znakapoznpodarou"/>
        </w:rPr>
        <w:footnoteRef/>
      </w:r>
      <w:r>
        <w:t xml:space="preserve"> </w:t>
      </w:r>
      <w:r>
        <w:tab/>
      </w:r>
      <w:r w:rsidRPr="00D82296">
        <w:t xml:space="preserve">Důvodem je mimo jiné odlišný způsob stanovení výše poskytované dotace </w:t>
      </w:r>
      <w:r>
        <w:t>v rámci</w:t>
      </w:r>
      <w:r w:rsidRPr="00D82296">
        <w:t xml:space="preserve"> příslušného programu</w:t>
      </w:r>
      <w:r>
        <w:t xml:space="preserve"> (viz podrobnosti v části II a v části IV.4)</w:t>
      </w:r>
      <w:r w:rsidRPr="00D82296">
        <w:t>.</w:t>
      </w:r>
    </w:p>
  </w:footnote>
  <w:footnote w:id="11">
    <w:p w14:paraId="5A5DCFCD" w14:textId="6A8C56CF" w:rsidR="009A6705" w:rsidRPr="00213ACA" w:rsidRDefault="009A6705">
      <w:pPr>
        <w:pStyle w:val="Textpoznpodarou"/>
      </w:pPr>
      <w:r>
        <w:rPr>
          <w:rStyle w:val="Znakapoznpodarou"/>
        </w:rPr>
        <w:footnoteRef/>
      </w:r>
      <w:r>
        <w:t xml:space="preserve"> </w:t>
      </w:r>
      <w:r>
        <w:tab/>
      </w:r>
      <w:r w:rsidRPr="00D82296">
        <w:t xml:space="preserve">NKÚ </w:t>
      </w:r>
      <w:r>
        <w:t xml:space="preserve">v souladu se svojí působností </w:t>
      </w:r>
      <w:r w:rsidRPr="00D82296">
        <w:t>hodnotil objem dotačních prostředků, které byly vynaloženy na vytvoření celkových úspor energie v</w:t>
      </w:r>
      <w:r>
        <w:t> </w:t>
      </w:r>
      <w:r w:rsidRPr="00D82296">
        <w:t>projekt</w:t>
      </w:r>
      <w:r>
        <w:t xml:space="preserve">u. Nevyhodnocoval </w:t>
      </w:r>
      <w:r w:rsidRPr="00D82296">
        <w:t xml:space="preserve">celkovou nákladovou efektivnost projektu, kdy </w:t>
      </w:r>
      <w:r>
        <w:t xml:space="preserve">se </w:t>
      </w:r>
      <w:r w:rsidRPr="00D82296">
        <w:t>ve výpočtu zohled</w:t>
      </w:r>
      <w:r>
        <w:t>ňují</w:t>
      </w:r>
      <w:r w:rsidRPr="00D82296">
        <w:t xml:space="preserve"> všechny vložené finanční prostředky, včetně vlastních zdrojů příjemce</w:t>
      </w:r>
      <w:r>
        <w:t xml:space="preserve"> (</w:t>
      </w:r>
      <w:r w:rsidRPr="00A97187">
        <w:t>viz podrobnosti v</w:t>
      </w:r>
      <w:r>
        <w:t> </w:t>
      </w:r>
      <w:r w:rsidRPr="0057695B">
        <w:t>části IV.4).</w:t>
      </w:r>
    </w:p>
  </w:footnote>
  <w:footnote w:id="12">
    <w:p w14:paraId="0424057D" w14:textId="235E716E" w:rsidR="009A6705" w:rsidRDefault="009A6705" w:rsidP="00884FCE">
      <w:pPr>
        <w:pStyle w:val="Textpoznpodarou"/>
      </w:pPr>
      <w:r>
        <w:rPr>
          <w:rStyle w:val="Znakapoznpodarou"/>
        </w:rPr>
        <w:footnoteRef/>
      </w:r>
      <w:r>
        <w:t xml:space="preserve"> </w:t>
      </w:r>
      <w:r>
        <w:tab/>
        <w:t xml:space="preserve">Zejména </w:t>
      </w:r>
      <w:r w:rsidRPr="00213ACA">
        <w:rPr>
          <w:i/>
        </w:rPr>
        <w:t>Metodický pokyn pro způsobilost výdajů a jejich vykazování v programovém období 2014–2020</w:t>
      </w:r>
      <w:r>
        <w:t xml:space="preserve"> zpracovaný národním orgánem pro koordinaci (MMR).</w:t>
      </w:r>
    </w:p>
  </w:footnote>
  <w:footnote w:id="13">
    <w:p w14:paraId="2610FC0F" w14:textId="4A115D2C" w:rsidR="009A6705" w:rsidRPr="00213ACA" w:rsidRDefault="009A6705" w:rsidP="00884FCE">
      <w:pPr>
        <w:pStyle w:val="Textpoznpodarou"/>
      </w:pPr>
      <w:r>
        <w:rPr>
          <w:rStyle w:val="Znakapoznpodarou"/>
        </w:rPr>
        <w:footnoteRef/>
      </w:r>
      <w:r>
        <w:t xml:space="preserve"> </w:t>
      </w:r>
      <w:r>
        <w:tab/>
        <w:t>V rámci SC 2.5 IROP jsou kromě dotačních prostředků poskytovány i návratné finanční prostředky v podobě zvýhodněných úvěrů (finanční nástroj).</w:t>
      </w:r>
    </w:p>
  </w:footnote>
  <w:footnote w:id="14">
    <w:p w14:paraId="0154F61C" w14:textId="18C562E7" w:rsidR="009A6705" w:rsidRDefault="009A6705">
      <w:pPr>
        <w:pStyle w:val="Textpoznpodarou"/>
      </w:pPr>
      <w:r>
        <w:rPr>
          <w:rStyle w:val="Znakapoznpodarou"/>
        </w:rPr>
        <w:footnoteRef/>
      </w:r>
      <w:r>
        <w:t xml:space="preserve"> </w:t>
      </w:r>
      <w:r>
        <w:tab/>
      </w:r>
      <w:r w:rsidRPr="00D96A1B">
        <w:t>Nařízení Evropského parlamentu a Rady (EU) č. 1303/2013,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r>
        <w:t>.</w:t>
      </w:r>
    </w:p>
  </w:footnote>
  <w:footnote w:id="15">
    <w:p w14:paraId="7C8CF4E4" w14:textId="5A816078" w:rsidR="009A6705" w:rsidRDefault="009A6705" w:rsidP="00884FCE">
      <w:pPr>
        <w:pStyle w:val="Textpoznpodarou"/>
      </w:pPr>
      <w:r>
        <w:rPr>
          <w:rStyle w:val="Znakapoznpodarou"/>
        </w:rPr>
        <w:footnoteRef/>
      </w:r>
      <w:r>
        <w:t xml:space="preserve"> </w:t>
      </w:r>
      <w:r>
        <w:tab/>
        <w:t xml:space="preserve">Evropské strukturální a investiční fondy. </w:t>
      </w:r>
    </w:p>
  </w:footnote>
  <w:footnote w:id="16">
    <w:p w14:paraId="06615C7E" w14:textId="723210F5" w:rsidR="009A6705" w:rsidRDefault="009A6705" w:rsidP="00884FCE">
      <w:pPr>
        <w:pStyle w:val="Textpoznpodarou"/>
      </w:pPr>
      <w:r>
        <w:rPr>
          <w:rStyle w:val="Znakapoznpodarou"/>
        </w:rPr>
        <w:footnoteRef/>
      </w:r>
      <w:r>
        <w:t xml:space="preserve"> </w:t>
      </w:r>
      <w:r>
        <w:tab/>
        <w:t>Zákon č. 134/2016 Sb., o zadávání veřejných zakázek.</w:t>
      </w:r>
    </w:p>
  </w:footnote>
  <w:footnote w:id="17">
    <w:p w14:paraId="0C138A55" w14:textId="78258461" w:rsidR="009A6705" w:rsidRPr="006679A3" w:rsidRDefault="009A6705" w:rsidP="00884FCE">
      <w:pPr>
        <w:pStyle w:val="Textpoznpodarou"/>
      </w:pPr>
      <w:r>
        <w:rPr>
          <w:rStyle w:val="Znakapoznpodarou"/>
        </w:rPr>
        <w:footnoteRef/>
      </w:r>
      <w:r>
        <w:t xml:space="preserve"> </w:t>
      </w:r>
      <w:r>
        <w:tab/>
      </w:r>
      <w:r w:rsidRPr="006679A3">
        <w:t>Kontrola dokumentace prokazující dokončení realizace podporovaných opatření a splnění podmínek programu NZÚ.</w:t>
      </w:r>
    </w:p>
  </w:footnote>
  <w:footnote w:id="18">
    <w:p w14:paraId="7BB91312" w14:textId="48B52754" w:rsidR="009A6705" w:rsidRDefault="009A6705" w:rsidP="00884FCE">
      <w:pPr>
        <w:pStyle w:val="Textpoznpodarou"/>
      </w:pPr>
      <w:r>
        <w:rPr>
          <w:rStyle w:val="Znakapoznpodarou"/>
        </w:rPr>
        <w:footnoteRef/>
      </w:r>
      <w:r>
        <w:t xml:space="preserve"> </w:t>
      </w:r>
      <w:r>
        <w:tab/>
        <w:t xml:space="preserve">Nezaznamenání podpory malého rozsahu (de </w:t>
      </w:r>
      <w:proofErr w:type="spellStart"/>
      <w:r>
        <w:t>minimis</w:t>
      </w:r>
      <w:proofErr w:type="spellEnd"/>
      <w:r>
        <w:t xml:space="preserve">) je sankcionováno ze strany Úřadu </w:t>
      </w:r>
      <w:r w:rsidRPr="00D31E35">
        <w:t>pro ochranu hospodářské soutěže</w:t>
      </w:r>
      <w:r>
        <w:t xml:space="preserve">. </w:t>
      </w:r>
    </w:p>
  </w:footnote>
  <w:footnote w:id="19">
    <w:p w14:paraId="6B430F57" w14:textId="2D1FB510" w:rsidR="009A6705" w:rsidRDefault="009A6705" w:rsidP="00884FCE">
      <w:pPr>
        <w:pStyle w:val="Textpoznpodarou"/>
      </w:pPr>
      <w:r>
        <w:rPr>
          <w:rStyle w:val="Znakapoznpodarou"/>
        </w:rPr>
        <w:footnoteRef/>
      </w:r>
      <w:r>
        <w:t xml:space="preserve"> </w:t>
      </w:r>
      <w:r>
        <w:tab/>
        <w:t>Výjimku tvoří projekty, kde je podpora poskytována v režimu tzv. blokové výjimky.</w:t>
      </w:r>
    </w:p>
  </w:footnote>
  <w:footnote w:id="20">
    <w:p w14:paraId="347CE7D3" w14:textId="76ACDED3" w:rsidR="009A6705" w:rsidRDefault="009A6705" w:rsidP="00884FCE">
      <w:pPr>
        <w:pStyle w:val="Textpoznpodarou"/>
      </w:pPr>
      <w:r>
        <w:rPr>
          <w:rStyle w:val="Znakapoznpodarou"/>
        </w:rPr>
        <w:footnoteRef/>
      </w:r>
      <w:r>
        <w:t xml:space="preserve"> </w:t>
      </w:r>
      <w:r>
        <w:tab/>
      </w:r>
      <w:r w:rsidRPr="001C4071">
        <w:t xml:space="preserve">NKÚ prověřoval </w:t>
      </w:r>
      <w:r>
        <w:t xml:space="preserve">naplňování </w:t>
      </w:r>
      <w:r w:rsidRPr="001C4071">
        <w:t xml:space="preserve">úspor energie v oblasti průmyslu v rámci </w:t>
      </w:r>
      <w:r>
        <w:t xml:space="preserve">kontrolní akce č. </w:t>
      </w:r>
      <w:r w:rsidRPr="001C4071">
        <w:t xml:space="preserve">17/23 </w:t>
      </w:r>
      <w:r>
        <w:t>–</w:t>
      </w:r>
      <w:r w:rsidRPr="001C4071">
        <w:t xml:space="preserve"> </w:t>
      </w:r>
      <w:r w:rsidRPr="00213ACA">
        <w:rPr>
          <w:i/>
        </w:rPr>
        <w:t xml:space="preserve">Opatření ke zvyšování energetické účinnosti realizovaná v rámci prioritní osy 3 operačního programu </w:t>
      </w:r>
      <w:r w:rsidRPr="00F97F0C">
        <w:rPr>
          <w:i/>
        </w:rPr>
        <w:t>Podnikání a inovace pro konkurenceschopnost 2014–2020</w:t>
      </w:r>
      <w:r>
        <w:t>.</w:t>
      </w:r>
    </w:p>
  </w:footnote>
  <w:footnote w:id="21">
    <w:p w14:paraId="6A20963B" w14:textId="134AC7FC" w:rsidR="009A6705" w:rsidRDefault="009A6705">
      <w:pPr>
        <w:pStyle w:val="Textpoznpodarou"/>
      </w:pPr>
      <w:r>
        <w:rPr>
          <w:rStyle w:val="Znakapoznpodarou"/>
        </w:rPr>
        <w:footnoteRef/>
      </w:r>
      <w:r>
        <w:t xml:space="preserve"> </w:t>
      </w:r>
      <w:r>
        <w:tab/>
        <w:t>C</w:t>
      </w:r>
      <w:r w:rsidRPr="00E43701">
        <w:t xml:space="preserve">íl energetické účinnosti ČR byl stanoven v souladu s dokumentem </w:t>
      </w:r>
      <w:r w:rsidRPr="00213ACA">
        <w:rPr>
          <w:i/>
        </w:rPr>
        <w:t>Státní energetická koncepce ČR</w:t>
      </w:r>
      <w:r w:rsidRPr="00E43701">
        <w:t xml:space="preserve">, který byl schválen usnesením vlády </w:t>
      </w:r>
      <w:r>
        <w:t xml:space="preserve">ČR </w:t>
      </w:r>
      <w:r w:rsidRPr="00E43701">
        <w:t>ze dne 18. května 2015 č. 362.</w:t>
      </w:r>
    </w:p>
  </w:footnote>
  <w:footnote w:id="22">
    <w:p w14:paraId="1F3BAEA0" w14:textId="08756529" w:rsidR="009A6705" w:rsidRPr="009F11E5" w:rsidRDefault="009A6705" w:rsidP="00884FCE">
      <w:pPr>
        <w:pStyle w:val="Textpoznpodarou"/>
      </w:pPr>
      <w:r>
        <w:rPr>
          <w:rStyle w:val="Znakapoznpodarou"/>
        </w:rPr>
        <w:footnoteRef/>
      </w:r>
      <w:r>
        <w:t xml:space="preserve"> </w:t>
      </w:r>
      <w:r>
        <w:tab/>
      </w:r>
      <w:r w:rsidRPr="009F11E5">
        <w:t>Směrnice Evropského parlamentu a Rady 2010/31/EU ze dne 19. května 2010</w:t>
      </w:r>
      <w:r>
        <w:t>,</w:t>
      </w:r>
      <w:r w:rsidRPr="009F11E5">
        <w:t xml:space="preserve"> o energetické náročnosti budov</w:t>
      </w:r>
      <w:r>
        <w:t xml:space="preserve">. </w:t>
      </w:r>
    </w:p>
  </w:footnote>
  <w:footnote w:id="23">
    <w:p w14:paraId="30A8F959" w14:textId="60ED3ABD" w:rsidR="009A6705" w:rsidRDefault="009A6705" w:rsidP="00884FCE">
      <w:pPr>
        <w:pStyle w:val="Textpoznpodarou"/>
      </w:pPr>
      <w:r>
        <w:rPr>
          <w:rStyle w:val="Znakapoznpodarou"/>
        </w:rPr>
        <w:footnoteRef/>
      </w:r>
      <w:r>
        <w:t xml:space="preserve"> </w:t>
      </w:r>
      <w:r>
        <w:tab/>
      </w:r>
      <w:r w:rsidRPr="00C2492B">
        <w:t>Definice bytového domu vychází z vyhlášky č. 501/2006 Sb., o obecných poža</w:t>
      </w:r>
      <w:r>
        <w:t>davcích na využívání území, a v </w:t>
      </w:r>
      <w:r w:rsidRPr="00C2492B">
        <w:t xml:space="preserve">IROP i </w:t>
      </w:r>
      <w:r>
        <w:t xml:space="preserve">v </w:t>
      </w:r>
      <w:r w:rsidRPr="00C2492B">
        <w:t>programu NZÚ se bytovým domem rozumí stavba pro bydlení, která obsahuje čtyři nebo více bytů a ve které více než polovina podlahové plochy odpovídá požadavkům na trvalé bydlení a je k tomu</w:t>
      </w:r>
      <w:r>
        <w:t>to</w:t>
      </w:r>
      <w:r w:rsidRPr="00C2492B">
        <w:t xml:space="preserve"> účelu určena a užívána.</w:t>
      </w:r>
    </w:p>
  </w:footnote>
  <w:footnote w:id="24">
    <w:p w14:paraId="4E91BD72" w14:textId="07F348B1" w:rsidR="009A6705" w:rsidRDefault="009A6705">
      <w:pPr>
        <w:pStyle w:val="Textpoznpodarou"/>
      </w:pPr>
      <w:r>
        <w:rPr>
          <w:rStyle w:val="Znakapoznpodarou"/>
        </w:rPr>
        <w:footnoteRef/>
      </w:r>
      <w:r>
        <w:t xml:space="preserve"> </w:t>
      </w:r>
      <w:r>
        <w:tab/>
      </w:r>
      <w:r w:rsidRPr="00213ACA">
        <w:rPr>
          <w:i/>
        </w:rPr>
        <w:t>Koncepce bydlení České republiky 2021</w:t>
      </w:r>
      <w:r>
        <w:rPr>
          <w:i/>
        </w:rPr>
        <w:t>+</w:t>
      </w:r>
      <w:r>
        <w:t xml:space="preserve">, publikovalo MMR v březnu 2021, </w:t>
      </w:r>
      <w:r w:rsidRPr="0098058D">
        <w:t>ISBN 978-80-7538-343-3</w:t>
      </w:r>
      <w:r>
        <w:t>.</w:t>
      </w:r>
    </w:p>
  </w:footnote>
  <w:footnote w:id="25">
    <w:p w14:paraId="468C6B30" w14:textId="32E7525F" w:rsidR="009A6705" w:rsidRDefault="009A6705" w:rsidP="003555B6">
      <w:pPr>
        <w:pStyle w:val="Textpoznpodarou"/>
      </w:pPr>
      <w:r>
        <w:rPr>
          <w:rStyle w:val="Znakapoznpodarou"/>
        </w:rPr>
        <w:footnoteRef/>
      </w:r>
      <w:r>
        <w:t xml:space="preserve"> </w:t>
      </w:r>
      <w:r>
        <w:tab/>
      </w:r>
      <w:r w:rsidRPr="00E60DA5">
        <w:t>Vykazování úspor energie u bytových domů pouze na základě výpočtových hodnot je pro IROP i program NZÚ uvedeno v</w:t>
      </w:r>
      <w:r>
        <w:t xml:space="preserve"> páté </w:t>
      </w:r>
      <w:r w:rsidRPr="00E60DA5">
        <w:t>aktualiz</w:t>
      </w:r>
      <w:r>
        <w:t>aci</w:t>
      </w:r>
      <w:r w:rsidRPr="00E60DA5">
        <w:t xml:space="preserve"> </w:t>
      </w:r>
      <w:r w:rsidRPr="00E93D5B">
        <w:rPr>
          <w:i/>
        </w:rPr>
        <w:t>Národní</w:t>
      </w:r>
      <w:r>
        <w:rPr>
          <w:i/>
        </w:rPr>
        <w:t>ho</w:t>
      </w:r>
      <w:r w:rsidRPr="00E93D5B">
        <w:rPr>
          <w:i/>
        </w:rPr>
        <w:t xml:space="preserve"> akční</w:t>
      </w:r>
      <w:r>
        <w:rPr>
          <w:i/>
        </w:rPr>
        <w:t>ho</w:t>
      </w:r>
      <w:r w:rsidRPr="00E93D5B">
        <w:rPr>
          <w:i/>
        </w:rPr>
        <w:t xml:space="preserve"> plánu energetické účinnosti ČR</w:t>
      </w:r>
      <w:r w:rsidRPr="00E60DA5">
        <w:t xml:space="preserve"> (NAPEE-V) schválené usnesením vlády </w:t>
      </w:r>
      <w:r>
        <w:t xml:space="preserve">ČR ze </w:t>
      </w:r>
      <w:r w:rsidRPr="00E60DA5">
        <w:t xml:space="preserve">dne 16. </w:t>
      </w:r>
      <w:r>
        <w:t xml:space="preserve">března 2016 </w:t>
      </w:r>
      <w:r w:rsidRPr="00E60DA5">
        <w:t>č. 215. NAPEE-</w:t>
      </w:r>
      <w:r>
        <w:t xml:space="preserve">V </w:t>
      </w:r>
      <w:r w:rsidRPr="00E60DA5">
        <w:t>uvádí u IROP i u programu NZÚ, že vyhodnocení energetických úspor bude prováděno veřejným orgánem za použití metody očekávaných úspor ex-ante s</w:t>
      </w:r>
      <w:r>
        <w:t> </w:t>
      </w:r>
      <w:r w:rsidRPr="00E60DA5">
        <w:t>využitím dokumentů dle zákona č. 406/2000 Sb., o hospodaření energií. Výpočtové hodnoty týkající se očekávaných úspor vycházejí z průkazů energetické náročnosti budov, popř. z energetických posudků zpracovaných dle postupů stanovených vyhláškou č. 264/2020 Sb., o energetické náročnosti budov.</w:t>
      </w:r>
    </w:p>
  </w:footnote>
  <w:footnote w:id="26">
    <w:p w14:paraId="5A67430F" w14:textId="0D93CB8A" w:rsidR="009A6705" w:rsidRPr="00F96047" w:rsidRDefault="009A6705" w:rsidP="00884FCE">
      <w:pPr>
        <w:pStyle w:val="Textpoznpodarou"/>
      </w:pPr>
      <w:r>
        <w:rPr>
          <w:rStyle w:val="Znakapoznpodarou"/>
        </w:rPr>
        <w:footnoteRef/>
      </w:r>
      <w:r>
        <w:t xml:space="preserve"> </w:t>
      </w:r>
      <w:r>
        <w:tab/>
      </w:r>
      <w:r w:rsidRPr="00F96047">
        <w:t xml:space="preserve">Na základě </w:t>
      </w:r>
      <w:r w:rsidRPr="00E93D5B">
        <w:rPr>
          <w:i/>
        </w:rPr>
        <w:t>Veřejnoprávní smlouvy o výkonu některých úkolů řídicího orgánu zprostředkujícím subjektem v rámci implementace</w:t>
      </w:r>
      <w:r w:rsidRPr="00F96047">
        <w:t xml:space="preserve"> </w:t>
      </w:r>
      <w:r w:rsidRPr="00E93D5B">
        <w:rPr>
          <w:i/>
        </w:rPr>
        <w:t>Integrovaného regionálního operačního programu</w:t>
      </w:r>
      <w:r w:rsidRPr="00F96047">
        <w:t>.</w:t>
      </w:r>
    </w:p>
  </w:footnote>
  <w:footnote w:id="27">
    <w:p w14:paraId="609245BF" w14:textId="38FFE058" w:rsidR="009A6705" w:rsidRPr="00DD7A67" w:rsidRDefault="009A6705">
      <w:pPr>
        <w:pStyle w:val="Textpoznpodarou"/>
      </w:pPr>
      <w:r>
        <w:rPr>
          <w:rStyle w:val="Znakapoznpodarou"/>
        </w:rPr>
        <w:footnoteRef/>
      </w:r>
      <w:r>
        <w:t xml:space="preserve"> </w:t>
      </w:r>
      <w:r>
        <w:tab/>
      </w:r>
      <w:r w:rsidRPr="00136C2E">
        <w:t xml:space="preserve">Ve </w:t>
      </w:r>
      <w:r>
        <w:t>z</w:t>
      </w:r>
      <w:r w:rsidRPr="00136C2E">
        <w:t>vláštní zpráv</w:t>
      </w:r>
      <w:r>
        <w:t>ě</w:t>
      </w:r>
      <w:r w:rsidRPr="00136C2E">
        <w:t xml:space="preserve"> č. 11/2020</w:t>
      </w:r>
      <w:r>
        <w:t xml:space="preserve"> </w:t>
      </w:r>
      <w:r w:rsidRPr="00DD7A67">
        <w:rPr>
          <w:i/>
        </w:rPr>
        <w:t>„Energetická účinnost budov: je třeba klást větší důraz na nákladovou efektivnost</w:t>
      </w:r>
      <w:r w:rsidRPr="00136C2E">
        <w:t xml:space="preserve">“ uvedl EÚD k přístupu auditovaných členských států k výběru projektů k financování s nejlepší nákladovou efektivností: </w:t>
      </w:r>
      <w:r w:rsidRPr="00DD7A67">
        <w:t>„</w:t>
      </w:r>
      <w:r w:rsidRPr="00136C2E">
        <w:rPr>
          <w:i/>
        </w:rPr>
        <w:t>Ve většině případů přidělovaly prostředky na projekty podle pořadí obdržení žádostí, což neumožňovalo posoudit relativní náklady a přínosy těchto projektů. Málokdy proto byly upřednostněny ty, které zajišťovaly úspory energie nebo jiné přínosy při nižších nákladech</w:t>
      </w:r>
      <w:r w:rsidRPr="00DD7A67">
        <w:t>.“</w:t>
      </w:r>
    </w:p>
  </w:footnote>
  <w:footnote w:id="28">
    <w:p w14:paraId="535E3D3A" w14:textId="4B4E5A4C" w:rsidR="009A6705" w:rsidRDefault="009A6705" w:rsidP="00884FCE">
      <w:pPr>
        <w:pStyle w:val="Textpoznpodarou"/>
      </w:pPr>
      <w:r>
        <w:rPr>
          <w:rStyle w:val="Znakapoznpodarou"/>
        </w:rPr>
        <w:footnoteRef/>
      </w:r>
      <w:r>
        <w:t xml:space="preserve"> </w:t>
      </w:r>
      <w:r>
        <w:tab/>
        <w:t xml:space="preserve">Evropský systém pro obchodování s emisemi – z anglického spojení </w:t>
      </w:r>
      <w:r w:rsidRPr="00D15952">
        <w:rPr>
          <w:lang w:val="en-GB"/>
        </w:rPr>
        <w:t>European Union Emission Trading Scheme</w:t>
      </w:r>
      <w:r>
        <w:t>.</w:t>
      </w:r>
    </w:p>
  </w:footnote>
  <w:footnote w:id="29">
    <w:p w14:paraId="6408F81D" w14:textId="6EE46741" w:rsidR="009A6705" w:rsidRDefault="009A6705" w:rsidP="00884FCE">
      <w:pPr>
        <w:pStyle w:val="Textpoznpodarou"/>
      </w:pPr>
      <w:r>
        <w:rPr>
          <w:rStyle w:val="Znakapoznpodarou"/>
        </w:rPr>
        <w:footnoteRef/>
      </w:r>
      <w:r>
        <w:t xml:space="preserve"> </w:t>
      </w:r>
      <w:r>
        <w:tab/>
        <w:t xml:space="preserve">Ustanovení </w:t>
      </w:r>
      <w:r w:rsidRPr="00783A44">
        <w:t>§ 7 zákona č. 383/2012 Sb., o podmínkách obchodování s povolenkami na emise skleníkových plynů</w:t>
      </w:r>
      <w:r>
        <w:t>.</w:t>
      </w:r>
    </w:p>
  </w:footnote>
  <w:footnote w:id="30">
    <w:p w14:paraId="4642A4AF" w14:textId="3302DD80" w:rsidR="009A6705" w:rsidRPr="002B78F4" w:rsidRDefault="009A6705" w:rsidP="00884FCE">
      <w:pPr>
        <w:pStyle w:val="Textpoznpodarou"/>
      </w:pPr>
      <w:r>
        <w:rPr>
          <w:rStyle w:val="Znakapoznpodarou"/>
        </w:rPr>
        <w:footnoteRef/>
      </w:r>
      <w:r>
        <w:t xml:space="preserve"> </w:t>
      </w:r>
      <w:r>
        <w:tab/>
        <w:t>S</w:t>
      </w:r>
      <w:r w:rsidRPr="002B78F4">
        <w:t>nížení energetické náročnosti včetně výměny nevyhovujících zdrojů na vytápění a podpory využívání obnovitelných zdrojů energie</w:t>
      </w:r>
      <w:r>
        <w:t>.</w:t>
      </w:r>
    </w:p>
  </w:footnote>
  <w:footnote w:id="31">
    <w:p w14:paraId="6952C35B" w14:textId="17EAF6A5" w:rsidR="009A6705" w:rsidRPr="00F96047" w:rsidRDefault="009A6705" w:rsidP="00884FCE">
      <w:pPr>
        <w:pStyle w:val="Textpoznpodarou"/>
      </w:pPr>
      <w:r>
        <w:rPr>
          <w:rStyle w:val="Znakapoznpodarou"/>
        </w:rPr>
        <w:footnoteRef/>
      </w:r>
      <w:r>
        <w:t xml:space="preserve"> </w:t>
      </w:r>
      <w:r>
        <w:tab/>
        <w:t xml:space="preserve">Na základě </w:t>
      </w:r>
      <w:r w:rsidRPr="00DD7A67">
        <w:rPr>
          <w:i/>
        </w:rPr>
        <w:t>Dohody o delegování některých činností a pravomocí Ministerstva životního prostředí jako správce programu Nová zelená úsporám na Státní fond životního prostředí České republiky</w:t>
      </w:r>
      <w:r>
        <w:t>.</w:t>
      </w:r>
    </w:p>
  </w:footnote>
  <w:footnote w:id="32">
    <w:p w14:paraId="4B36005B" w14:textId="3CF763AB" w:rsidR="009A6705" w:rsidRDefault="009A6705" w:rsidP="00884FCE">
      <w:pPr>
        <w:pStyle w:val="Textpoznpodarou"/>
      </w:pPr>
      <w:r>
        <w:rPr>
          <w:rStyle w:val="Znakapoznpodarou"/>
        </w:rPr>
        <w:footnoteRef/>
      </w:r>
      <w:r>
        <w:t xml:space="preserve"> </w:t>
      </w:r>
      <w:r>
        <w:tab/>
        <w:t>Přehled projektů se základními údaji k poskytnuté podpoře je uveden v příloze č. 1 tohoto kontrolního závěru.</w:t>
      </w:r>
    </w:p>
  </w:footnote>
  <w:footnote w:id="33">
    <w:p w14:paraId="50C6D141" w14:textId="3BA7CC8C" w:rsidR="009A6705" w:rsidRPr="0008521E" w:rsidRDefault="009A6705">
      <w:pPr>
        <w:pStyle w:val="Textpoznpodarou"/>
      </w:pPr>
      <w:r>
        <w:rPr>
          <w:rStyle w:val="Znakapoznpodarou"/>
        </w:rPr>
        <w:footnoteRef/>
      </w:r>
      <w:r>
        <w:t xml:space="preserve"> </w:t>
      </w:r>
      <w:r>
        <w:tab/>
        <w:t>O</w:t>
      </w:r>
      <w:r w:rsidRPr="003F4FE0">
        <w:t xml:space="preserve">bjem prostředků na úrovni systému poskytování </w:t>
      </w:r>
      <w:r>
        <w:t xml:space="preserve">podpory </w:t>
      </w:r>
      <w:r w:rsidRPr="003F4FE0">
        <w:t xml:space="preserve">představují veškeré prostředky alokované ve výzvách IROP a v </w:t>
      </w:r>
      <w:r>
        <w:t>p</w:t>
      </w:r>
      <w:r w:rsidRPr="003F4FE0">
        <w:t>odprogram</w:t>
      </w:r>
      <w:r>
        <w:t>u</w:t>
      </w:r>
      <w:r w:rsidRPr="003F4FE0">
        <w:t xml:space="preserve"> </w:t>
      </w:r>
      <w:r w:rsidRPr="003F4FE0">
        <w:rPr>
          <w:i/>
        </w:rPr>
        <w:t>Bytové domy</w:t>
      </w:r>
      <w:r>
        <w:rPr>
          <w:i/>
        </w:rPr>
        <w:t xml:space="preserve"> </w:t>
      </w:r>
      <w:r w:rsidRPr="0008521E">
        <w:t>programu</w:t>
      </w:r>
      <w:r>
        <w:rPr>
          <w:i/>
        </w:rPr>
        <w:t xml:space="preserve"> Nová zelená úsporám</w:t>
      </w:r>
      <w:r w:rsidRPr="003F4FE0">
        <w:rPr>
          <w:i/>
        </w:rPr>
        <w:t>.</w:t>
      </w:r>
    </w:p>
  </w:footnote>
  <w:footnote w:id="34">
    <w:p w14:paraId="4DE1351C" w14:textId="206DDE8E" w:rsidR="009A6705" w:rsidRDefault="009A6705" w:rsidP="00884FCE">
      <w:pPr>
        <w:pStyle w:val="Textpoznpodarou"/>
      </w:pPr>
      <w:r>
        <w:rPr>
          <w:rStyle w:val="Znakapoznpodarou"/>
        </w:rPr>
        <w:footnoteRef/>
      </w:r>
      <w:r>
        <w:t xml:space="preserve"> </w:t>
      </w:r>
      <w:r>
        <w:tab/>
      </w:r>
      <w:r w:rsidRPr="00064E91">
        <w:t xml:space="preserve">Z toho na financování projektů z kontrolovaných dotačních výzev </w:t>
      </w:r>
      <w:r>
        <w:t>bylo určeno 6 391 316 144 Kč a vklad do </w:t>
      </w:r>
      <w:r w:rsidRPr="00064E91">
        <w:t>FN</w:t>
      </w:r>
      <w:r>
        <w:t> </w:t>
      </w:r>
      <w:r w:rsidRPr="00064E91">
        <w:t xml:space="preserve">IROP </w:t>
      </w:r>
      <w:r>
        <w:t xml:space="preserve">dosáhl </w:t>
      </w:r>
      <w:r w:rsidRPr="00064E91">
        <w:t>výš</w:t>
      </w:r>
      <w:r>
        <w:t>e</w:t>
      </w:r>
      <w:r w:rsidRPr="00064E91">
        <w:t xml:space="preserve"> 150 000 000 Kč.</w:t>
      </w:r>
    </w:p>
  </w:footnote>
  <w:footnote w:id="35">
    <w:p w14:paraId="124D79AD" w14:textId="01F666AD" w:rsidR="009A6705" w:rsidRDefault="009A6705" w:rsidP="00884FCE">
      <w:pPr>
        <w:pStyle w:val="Textpoznpodarou"/>
      </w:pPr>
      <w:r>
        <w:rPr>
          <w:rStyle w:val="Znakapoznpodarou"/>
        </w:rPr>
        <w:footnoteRef/>
      </w:r>
      <w:r>
        <w:t xml:space="preserve"> </w:t>
      </w:r>
      <w:r>
        <w:tab/>
        <w:t xml:space="preserve">Předmětem dotace bylo nejčastěji zateplení obvodových stěn, střechy, stropu, podlah, výměna oken a dveří. Kromě zateplení byla dále podpořena výměna zdrojů tepla na tuhá fosilní paliva za efektivní ekologicky šetrné zdroje, výměna elektrického nebo plynového vytápění za systémy s tepelným čerpadlem, fotovoltaické systémy, řízené větrání s rekuperací tepla. </w:t>
      </w:r>
    </w:p>
  </w:footnote>
  <w:footnote w:id="36">
    <w:p w14:paraId="1041946A" w14:textId="5F6EDAE9" w:rsidR="009A6705" w:rsidRDefault="009A6705" w:rsidP="00884FCE">
      <w:pPr>
        <w:pStyle w:val="Textpoznpodarou"/>
      </w:pPr>
      <w:r>
        <w:rPr>
          <w:rStyle w:val="Znakapoznpodarou"/>
        </w:rPr>
        <w:footnoteRef/>
      </w:r>
      <w:r>
        <w:t xml:space="preserve"> </w:t>
      </w:r>
      <w:r>
        <w:tab/>
        <w:t xml:space="preserve">K </w:t>
      </w:r>
      <w:r w:rsidRPr="007A4619">
        <w:t>žádost</w:t>
      </w:r>
      <w:r>
        <w:t>i registrované</w:t>
      </w:r>
      <w:r w:rsidRPr="007A4619">
        <w:t xml:space="preserve"> dne 5. 5. 2017 </w:t>
      </w:r>
      <w:r>
        <w:t>vydalo MMR rozhodnutí o poskytnutí dotace</w:t>
      </w:r>
      <w:r w:rsidRPr="007A4619">
        <w:t xml:space="preserve"> dne 27. 4. 2020</w:t>
      </w:r>
      <w:r>
        <w:t>.</w:t>
      </w:r>
    </w:p>
  </w:footnote>
  <w:footnote w:id="37">
    <w:p w14:paraId="609C13E7" w14:textId="0F63E729" w:rsidR="009A6705" w:rsidRDefault="009A6705" w:rsidP="00884FCE">
      <w:pPr>
        <w:pStyle w:val="Textpoznpodarou"/>
      </w:pPr>
      <w:r>
        <w:rPr>
          <w:rStyle w:val="Znakapoznpodarou"/>
        </w:rPr>
        <w:footnoteRef/>
      </w:r>
      <w:r>
        <w:t xml:space="preserve"> </w:t>
      </w:r>
      <w:r>
        <w:tab/>
      </w:r>
      <w:r w:rsidRPr="005A532C">
        <w:t>S účinností od 1. 6. 2020 došlo ke změně názvu na Státní fond podpory investic na základě záko</w:t>
      </w:r>
      <w:r>
        <w:t>na č. 113/2020 </w:t>
      </w:r>
      <w:r w:rsidRPr="005A532C">
        <w:t>Sb., kterým se mění zákon č. 211/2000 Sb., o Státním fondu rozvoje bydle</w:t>
      </w:r>
      <w:r>
        <w:t>ní a o změně zákona č. 171/1991 </w:t>
      </w:r>
      <w:r w:rsidRPr="005A532C">
        <w:t>Sb., o působnosti orgánů České republiky ve věcech převod</w:t>
      </w:r>
      <w:r>
        <w:t>ů majetku státu na jiné osoby a o </w:t>
      </w:r>
      <w:r w:rsidRPr="005A532C">
        <w:t>Fondu národního majetku České republiky, ve znění pozdějších předpisů, ve znění pozdějších předpisů, a</w:t>
      </w:r>
      <w:r>
        <w:t> </w:t>
      </w:r>
      <w:r w:rsidRPr="005A532C">
        <w:t>další související zákony.</w:t>
      </w:r>
    </w:p>
  </w:footnote>
  <w:footnote w:id="38">
    <w:p w14:paraId="45D43647" w14:textId="20D87299" w:rsidR="009A6705" w:rsidRDefault="009A6705" w:rsidP="00884FCE">
      <w:pPr>
        <w:pStyle w:val="Textpoznpodarou"/>
      </w:pPr>
      <w:r>
        <w:rPr>
          <w:rStyle w:val="Znakapoznpodarou"/>
        </w:rPr>
        <w:footnoteRef/>
      </w:r>
      <w:r>
        <w:t xml:space="preserve"> </w:t>
      </w:r>
      <w:r>
        <w:tab/>
        <w:t>V</w:t>
      </w:r>
      <w:r w:rsidRPr="00F713B0">
        <w:t> něm</w:t>
      </w:r>
      <w:r>
        <w:t>ž</w:t>
      </w:r>
      <w:r w:rsidRPr="00F713B0">
        <w:t xml:space="preserve"> by bylo zohledněno navýšení příspěvku do FN IROP z 600 mil. Kč na 1 mld. Kč.</w:t>
      </w:r>
    </w:p>
  </w:footnote>
  <w:footnote w:id="39">
    <w:p w14:paraId="48125423" w14:textId="443447C0" w:rsidR="009A6705" w:rsidRDefault="009A6705">
      <w:pPr>
        <w:pStyle w:val="Textpoznpodarou"/>
      </w:pPr>
      <w:r>
        <w:rPr>
          <w:rStyle w:val="Znakapoznpodarou"/>
        </w:rPr>
        <w:footnoteRef/>
      </w:r>
      <w:r>
        <w:t xml:space="preserve"> </w:t>
      </w:r>
      <w:r>
        <w:tab/>
      </w:r>
      <w:r w:rsidRPr="00FD3526">
        <w:rPr>
          <w:i/>
        </w:rPr>
        <w:t>Metodický pokyn pro oblast zadávání zakázek v programovém období 2014</w:t>
      </w:r>
      <w:r>
        <w:t>–</w:t>
      </w:r>
      <w:r w:rsidRPr="00FD3526">
        <w:rPr>
          <w:i/>
        </w:rPr>
        <w:t>2020</w:t>
      </w:r>
      <w:r>
        <w:t xml:space="preserve"> zpracovaný národním orgánem pro koordinaci (MMR).</w:t>
      </w:r>
    </w:p>
  </w:footnote>
  <w:footnote w:id="40">
    <w:p w14:paraId="714A1436" w14:textId="7B1EB145" w:rsidR="009A6705" w:rsidRDefault="009A6705" w:rsidP="00884FCE">
      <w:pPr>
        <w:pStyle w:val="Textpoznpodarou"/>
      </w:pPr>
      <w:r>
        <w:rPr>
          <w:rStyle w:val="Znakapoznpodarou"/>
        </w:rPr>
        <w:footnoteRef/>
      </w:r>
      <w:r>
        <w:t xml:space="preserve"> </w:t>
      </w:r>
      <w:r>
        <w:tab/>
      </w:r>
      <w:r w:rsidRPr="00FA700D">
        <w:t xml:space="preserve">Porušení rozpočtové kázně dle ustanovení § 44 odst. 1 písm. </w:t>
      </w:r>
      <w:r>
        <w:t>b</w:t>
      </w:r>
      <w:r w:rsidRPr="00FA700D">
        <w:t>) zákona č. 218/2000 Sb., o rozpočtových pravidlech</w:t>
      </w:r>
      <w:r>
        <w:t xml:space="preserve"> </w:t>
      </w:r>
      <w:r w:rsidRPr="00FA3B89">
        <w:t>a o změně některých souvisejících zákon</w:t>
      </w:r>
      <w:r>
        <w:t>ů (rozpočtová pravidla).</w:t>
      </w:r>
    </w:p>
  </w:footnote>
  <w:footnote w:id="41">
    <w:p w14:paraId="4581B1BC" w14:textId="6D158D25" w:rsidR="009A6705" w:rsidRPr="00FD3526" w:rsidRDefault="009A6705" w:rsidP="00884FCE">
      <w:pPr>
        <w:pStyle w:val="Textpoznpodarou"/>
      </w:pPr>
      <w:r>
        <w:rPr>
          <w:rStyle w:val="Znakapoznpodarou"/>
        </w:rPr>
        <w:footnoteRef/>
      </w:r>
      <w:r>
        <w:t xml:space="preserve"> </w:t>
      </w:r>
      <w:r>
        <w:tab/>
      </w:r>
      <w:r w:rsidRPr="00584D66">
        <w:t xml:space="preserve">Zdroj: </w:t>
      </w:r>
      <w:r w:rsidRPr="00584D66">
        <w:rPr>
          <w:i/>
        </w:rPr>
        <w:t>Informace o stavu programu Nová zelená úsporám za rok 2019.</w:t>
      </w:r>
    </w:p>
  </w:footnote>
  <w:footnote w:id="42">
    <w:p w14:paraId="4E442A5D" w14:textId="36310192" w:rsidR="009A6705" w:rsidRDefault="009A6705">
      <w:pPr>
        <w:pStyle w:val="Textpoznpodarou"/>
      </w:pPr>
      <w:r>
        <w:rPr>
          <w:rStyle w:val="Znakapoznpodarou"/>
        </w:rPr>
        <w:footnoteRef/>
      </w:r>
      <w:r>
        <w:t xml:space="preserve"> </w:t>
      </w:r>
      <w:r w:rsidRPr="005F53F9">
        <w:tab/>
        <w:t>Ustanovení § 39 odst. 3 zákona č. 218/2000 Sb., o rozpočtových pravidlech a o změně některých souvisejících zákonů</w:t>
      </w:r>
      <w:r>
        <w:t>.</w:t>
      </w:r>
    </w:p>
  </w:footnote>
  <w:footnote w:id="43">
    <w:p w14:paraId="4AEE6DB6" w14:textId="12A03C18" w:rsidR="009A6705" w:rsidRDefault="009A6705">
      <w:pPr>
        <w:pStyle w:val="Textpoznpodarou"/>
      </w:pPr>
      <w:r>
        <w:rPr>
          <w:rStyle w:val="Znakapoznpodarou"/>
        </w:rPr>
        <w:footnoteRef/>
      </w:r>
      <w:r w:rsidRPr="001A2BD9">
        <w:tab/>
        <w:t>Dle ustanovení § 2 písm. d) zákona č. 215/2004 Sb.</w:t>
      </w:r>
      <w:r>
        <w:t xml:space="preserve">, </w:t>
      </w:r>
      <w:r w:rsidRPr="00D54385">
        <w:t>o úpravě některých vztahů v oblasti veřejné podpory a</w:t>
      </w:r>
      <w:r>
        <w:t> </w:t>
      </w:r>
      <w:r w:rsidRPr="00D54385">
        <w:t>o</w:t>
      </w:r>
      <w:r>
        <w:t> </w:t>
      </w:r>
      <w:r w:rsidRPr="00D54385">
        <w:t>změně zákona o podpoře výzkumu a vývoje</w:t>
      </w:r>
      <w:r>
        <w:t>,</w:t>
      </w:r>
      <w:r w:rsidRPr="001A2BD9">
        <w:t xml:space="preserve"> zodpovídá za řádný zápis poskytnutých podpor malého rozsahu (de </w:t>
      </w:r>
      <w:proofErr w:type="spellStart"/>
      <w:r w:rsidRPr="001A2BD9">
        <w:t>minimis</w:t>
      </w:r>
      <w:proofErr w:type="spellEnd"/>
      <w:r w:rsidRPr="001A2BD9">
        <w:t xml:space="preserve">) vždy poskytovatel podpory, tj. </w:t>
      </w:r>
      <w:r>
        <w:t xml:space="preserve">v tomto případě </w:t>
      </w:r>
      <w:r w:rsidRPr="001A2BD9">
        <w:t>MŽP.</w:t>
      </w:r>
    </w:p>
  </w:footnote>
  <w:footnote w:id="44">
    <w:p w14:paraId="6F2DF35D" w14:textId="2F4662EF" w:rsidR="009A6705" w:rsidRPr="00FD3526" w:rsidRDefault="009A6705" w:rsidP="00DE06D1">
      <w:pPr>
        <w:pStyle w:val="Textkomente"/>
        <w:ind w:left="284" w:hanging="284"/>
        <w:rPr>
          <w:sz w:val="20"/>
        </w:rPr>
      </w:pPr>
      <w:r w:rsidRPr="00863DF4">
        <w:rPr>
          <w:rStyle w:val="Znakapoznpodarou"/>
          <w:sz w:val="20"/>
        </w:rPr>
        <w:footnoteRef/>
      </w:r>
      <w:r w:rsidRPr="00863DF4">
        <w:rPr>
          <w:sz w:val="20"/>
        </w:rPr>
        <w:t xml:space="preserve"> </w:t>
      </w:r>
      <w:r w:rsidRPr="00863DF4">
        <w:rPr>
          <w:sz w:val="20"/>
        </w:rPr>
        <w:tab/>
        <w:t>Podoblast A.3</w:t>
      </w:r>
      <w:r w:rsidRPr="00863DF4">
        <w:rPr>
          <w:i/>
          <w:sz w:val="20"/>
        </w:rPr>
        <w:t xml:space="preserve"> </w:t>
      </w:r>
      <w:r w:rsidRPr="00863DF4">
        <w:rPr>
          <w:bCs/>
          <w:i/>
          <w:iCs/>
          <w:sz w:val="20"/>
        </w:rPr>
        <w:t>Podpora na zpracování odborného posudku a zajištění odborného technického dozoru</w:t>
      </w:r>
      <w:r w:rsidRPr="00FD3526">
        <w:rPr>
          <w:sz w:val="20"/>
        </w:rPr>
        <w:t xml:space="preserve">. </w:t>
      </w:r>
    </w:p>
  </w:footnote>
  <w:footnote w:id="45">
    <w:p w14:paraId="61F181E1" w14:textId="61AF06E6" w:rsidR="009A6705" w:rsidRPr="00863DF4" w:rsidRDefault="009A6705" w:rsidP="00884FCE">
      <w:pPr>
        <w:pStyle w:val="Textpoznpodarou"/>
      </w:pPr>
      <w:r w:rsidRPr="00863DF4">
        <w:rPr>
          <w:rStyle w:val="Znakapoznpodarou"/>
        </w:rPr>
        <w:footnoteRef/>
      </w:r>
      <w:r w:rsidRPr="00863DF4">
        <w:t xml:space="preserve"> </w:t>
      </w:r>
      <w:r w:rsidRPr="00863DF4">
        <w:tab/>
      </w:r>
      <w:r>
        <w:t xml:space="preserve">Viz: </w:t>
      </w:r>
      <w:hyperlink r:id="rId1" w:history="1">
        <w:r w:rsidRPr="00863DF4">
          <w:rPr>
            <w:rStyle w:val="Hypertextovodkaz"/>
          </w:rPr>
          <w:t>https://www.novazelenausporam.cz/o-programu/schvalene-zadosti/</w:t>
        </w:r>
      </w:hyperlink>
      <w:r w:rsidRPr="00FD3526">
        <w:rPr>
          <w:rStyle w:val="Hypertextovodkaz"/>
          <w:color w:val="auto"/>
          <w:u w:val="none"/>
        </w:rPr>
        <w:t>.</w:t>
      </w:r>
    </w:p>
  </w:footnote>
  <w:footnote w:id="46">
    <w:p w14:paraId="05687660" w14:textId="7F659251" w:rsidR="009A6705" w:rsidRPr="00863DF4" w:rsidRDefault="009A6705" w:rsidP="00884FCE">
      <w:pPr>
        <w:pStyle w:val="Textpoznpodarou"/>
      </w:pPr>
      <w:r w:rsidRPr="00863DF4">
        <w:rPr>
          <w:rStyle w:val="Znakapoznpodarou"/>
        </w:rPr>
        <w:footnoteRef/>
      </w:r>
      <w:r w:rsidRPr="00863DF4">
        <w:t xml:space="preserve"> </w:t>
      </w:r>
      <w:r w:rsidRPr="00863DF4">
        <w:tab/>
        <w:t>Nedostatek byl napraven v průběhu kontroly NKÚ, kdy SFŽP provedl aktualizaci k datu 30. 4. 2021 (aktualizace u výzev BD2 a BD3).</w:t>
      </w:r>
    </w:p>
  </w:footnote>
  <w:footnote w:id="47">
    <w:p w14:paraId="24D75EAB" w14:textId="3A4E2DD0" w:rsidR="009A6705" w:rsidRPr="00863DF4" w:rsidRDefault="009A6705" w:rsidP="00884FCE">
      <w:pPr>
        <w:pStyle w:val="Textpoznpodarou"/>
      </w:pPr>
      <w:r w:rsidRPr="00863DF4">
        <w:rPr>
          <w:rStyle w:val="Znakapoznpodarou"/>
        </w:rPr>
        <w:footnoteRef/>
      </w:r>
      <w:r w:rsidRPr="00863DF4">
        <w:t xml:space="preserve"> </w:t>
      </w:r>
      <w:r w:rsidRPr="00863DF4">
        <w:tab/>
      </w:r>
      <w:r>
        <w:t>Us</w:t>
      </w:r>
      <w:r w:rsidRPr="00863DF4">
        <w:t>tanovení § 6 zákona č. 134/2016 Sb., o zadávání veřejných zakázek.</w:t>
      </w:r>
    </w:p>
  </w:footnote>
  <w:footnote w:id="48">
    <w:p w14:paraId="00BDD2C1" w14:textId="3FE53DC2" w:rsidR="009A6705" w:rsidRPr="00846C08" w:rsidRDefault="009A6705" w:rsidP="00884FCE">
      <w:pPr>
        <w:pStyle w:val="Textpoznpodarou"/>
      </w:pPr>
      <w:r>
        <w:rPr>
          <w:rStyle w:val="Znakapoznpodarou"/>
        </w:rPr>
        <w:footnoteRef/>
      </w:r>
      <w:r>
        <w:t xml:space="preserve"> </w:t>
      </w:r>
      <w:r>
        <w:tab/>
        <w:t xml:space="preserve">Nedostatečné ověřování čestných prohlášení zjistila např. i </w:t>
      </w:r>
      <w:r w:rsidRPr="006679A3">
        <w:t>Evropská komi</w:t>
      </w:r>
      <w:r>
        <w:t>se při namátkových kontrolách u programů z let 2006–</w:t>
      </w:r>
      <w:r w:rsidRPr="006679A3">
        <w:t>2017</w:t>
      </w:r>
      <w:r>
        <w:t xml:space="preserve">, kdy jako nejvýznamnější poznatek </w:t>
      </w:r>
      <w:r w:rsidRPr="006679A3">
        <w:t>uvedla zjištění, že se poskytovatelé velice často spoléhají na čestná prohlášení</w:t>
      </w:r>
      <w:r>
        <w:t xml:space="preserve">, aniž by </w:t>
      </w:r>
      <w:r w:rsidRPr="006679A3">
        <w:t>ověř</w:t>
      </w:r>
      <w:r>
        <w:t xml:space="preserve">ovali, </w:t>
      </w:r>
      <w:r w:rsidRPr="006679A3">
        <w:t>zda jsou prohlášení v nich uvedená pravdivá, či nikoliv. Evropská komise uvedený nedostatek označuje za chybějící systémovou kontrolu.</w:t>
      </w:r>
    </w:p>
  </w:footnote>
  <w:footnote w:id="49">
    <w:p w14:paraId="3D051A8F" w14:textId="16C0F194" w:rsidR="009A6705" w:rsidRDefault="009A6705" w:rsidP="00884FCE">
      <w:pPr>
        <w:pStyle w:val="Textpoznpodarou"/>
      </w:pPr>
      <w:r>
        <w:rPr>
          <w:rStyle w:val="Znakapoznpodarou"/>
        </w:rPr>
        <w:footnoteRef/>
      </w:r>
      <w:r>
        <w:t xml:space="preserve"> </w:t>
      </w:r>
      <w:r>
        <w:tab/>
        <w:t xml:space="preserve">Chybný zápis odstranil SFŽP v průběhu kontroly na základě upozornění NKÚ. </w:t>
      </w:r>
    </w:p>
  </w:footnote>
  <w:footnote w:id="50">
    <w:p w14:paraId="01112B7C" w14:textId="70E709DB" w:rsidR="009A6705" w:rsidRDefault="009A6705" w:rsidP="00884FCE">
      <w:pPr>
        <w:pStyle w:val="Textpoznpodarou"/>
      </w:pPr>
      <w:r>
        <w:rPr>
          <w:rStyle w:val="Znakapoznpodarou"/>
        </w:rPr>
        <w:footnoteRef/>
      </w:r>
      <w:r>
        <w:t xml:space="preserve"> </w:t>
      </w:r>
      <w:r>
        <w:tab/>
      </w:r>
      <w:r w:rsidRPr="006A4C25">
        <w:t>Memorandum představuje základní intervenční rámec, který by měl eliminovat překryvy podpory z I</w:t>
      </w:r>
      <w:r>
        <w:t>ROP a z </w:t>
      </w:r>
      <w:r w:rsidRPr="006A4C25">
        <w:t>programu NZÚ a vytvořit vazby mezi podporami. Oba programy by měly být nastaveny tak, aby umožňovaly kombinaci podpory energetických úspor s podporou prodloužení životnosti a zvyšování kvality bydlení.</w:t>
      </w:r>
    </w:p>
  </w:footnote>
  <w:footnote w:id="51">
    <w:p w14:paraId="7403B462" w14:textId="77777777" w:rsidR="009A6705" w:rsidRDefault="009A6705" w:rsidP="00884FCE">
      <w:pPr>
        <w:pStyle w:val="Textpoznpodarou"/>
      </w:pPr>
      <w:r>
        <w:rPr>
          <w:rStyle w:val="Znakapoznpodarou"/>
        </w:rPr>
        <w:footnoteRef/>
      </w:r>
      <w:r>
        <w:t xml:space="preserve"> </w:t>
      </w:r>
      <w:r>
        <w:tab/>
        <w:t xml:space="preserve">V rámci ochrany přírody a krajiny se v odborném posudku povinně uvádí opatření na ochranu stanovišť zvláště chráněných druhů, jakými jsou např. rorýs obecný a zástupci netopýrů. </w:t>
      </w:r>
    </w:p>
  </w:footnote>
  <w:footnote w:id="52">
    <w:p w14:paraId="4ABA80D8" w14:textId="67F26C36" w:rsidR="009A6705" w:rsidRDefault="009A6705" w:rsidP="00884FCE">
      <w:pPr>
        <w:pStyle w:val="Textpoznpodarou"/>
      </w:pPr>
      <w:r>
        <w:rPr>
          <w:rStyle w:val="Znakapoznpodarou"/>
        </w:rPr>
        <w:footnoteRef/>
      </w:r>
      <w:r>
        <w:t xml:space="preserve"> </w:t>
      </w:r>
      <w:r>
        <w:tab/>
        <w:t xml:space="preserve">Stanovená doba udržitelnosti u projektů IROP vychází z článku 71 </w:t>
      </w:r>
      <w:r w:rsidRPr="00C62CAF">
        <w:rPr>
          <w:i/>
        </w:rPr>
        <w:t>Trvalost operací</w:t>
      </w:r>
      <w:r>
        <w:t xml:space="preserve"> nařízení Evropského parlamentu a Rady (EU) č. 1303/2013 ze dne 17. prosince 2013, o společných ustanoveních o Evropském fondu pro regionální rozvoj, Evropském sociálním fondu, Fondu soudržnosti, Evropském zemědělském fondu pro rozvoj venkova a Evropském námořním a rybářském fondu, o obecných ustanoveních o Evropském fondu pro regionální rozvoj, Evropském sociálním fondu, Fondu soudržnosti a Evropském námořním a rybářském fondu a o zrušení nařízení Rady (ES) č. 1083/2006.</w:t>
      </w:r>
    </w:p>
  </w:footnote>
  <w:footnote w:id="53">
    <w:p w14:paraId="6FEDC7AA" w14:textId="3995678A" w:rsidR="009A6705" w:rsidRDefault="009A6705" w:rsidP="00884FCE">
      <w:pPr>
        <w:pStyle w:val="Textpoznpodarou"/>
      </w:pPr>
      <w:r>
        <w:rPr>
          <w:rStyle w:val="Znakapoznpodarou"/>
        </w:rPr>
        <w:footnoteRef/>
      </w:r>
      <w:r>
        <w:t xml:space="preserve"> </w:t>
      </w:r>
      <w:r>
        <w:tab/>
        <w:t xml:space="preserve">Stanovená doba udržitelnosti u projektů programu NZÚ vychází ze zkušeností s programem </w:t>
      </w:r>
      <w:r w:rsidRPr="00A515A8">
        <w:rPr>
          <w:i/>
        </w:rPr>
        <w:t>Zelená úsporám</w:t>
      </w:r>
      <w:r>
        <w:t xml:space="preserve"> a zohledňuje technickou, případně i morální životnost realizovaných opatření, zejména v oblastech zdrojů.</w:t>
      </w:r>
    </w:p>
  </w:footnote>
  <w:footnote w:id="54">
    <w:p w14:paraId="3A26345A" w14:textId="33B1D8E6" w:rsidR="009A6705" w:rsidRPr="006F2FBF" w:rsidRDefault="009A6705" w:rsidP="00884FCE">
      <w:pPr>
        <w:pStyle w:val="Textpoznpodarou"/>
      </w:pPr>
      <w:r>
        <w:rPr>
          <w:rStyle w:val="Znakapoznpodarou"/>
        </w:rPr>
        <w:footnoteRef/>
      </w:r>
      <w:r>
        <w:t xml:space="preserve"> </w:t>
      </w:r>
      <w:r>
        <w:tab/>
      </w:r>
      <w:r w:rsidRPr="006F2FBF">
        <w:t xml:space="preserve">Dle informací z </w:t>
      </w:r>
      <w:r w:rsidRPr="000165EC">
        <w:rPr>
          <w:i/>
        </w:rPr>
        <w:t xml:space="preserve">9. </w:t>
      </w:r>
      <w:r>
        <w:rPr>
          <w:i/>
        </w:rPr>
        <w:t>z</w:t>
      </w:r>
      <w:r w:rsidRPr="000165EC">
        <w:rPr>
          <w:i/>
        </w:rPr>
        <w:t>právy o pokroku v oblasti plnění vnitrostátních cílů energetické účinnosti v České republice</w:t>
      </w:r>
      <w:r>
        <w:t>.</w:t>
      </w:r>
    </w:p>
  </w:footnote>
  <w:footnote w:id="55">
    <w:p w14:paraId="2F7E444E" w14:textId="54B37038" w:rsidR="009A6705" w:rsidRPr="00A515A8" w:rsidRDefault="009A6705" w:rsidP="00884FCE">
      <w:pPr>
        <w:pStyle w:val="Textpoznpodarou"/>
      </w:pPr>
      <w:r>
        <w:rPr>
          <w:rStyle w:val="Znakapoznpodarou"/>
        </w:rPr>
        <w:footnoteRef/>
      </w:r>
      <w:r>
        <w:t xml:space="preserve"> </w:t>
      </w:r>
      <w:r>
        <w:tab/>
        <w:t xml:space="preserve">Celý program NZÚ, tj. úspory generované ve třech podprogramech – v podprogramu </w:t>
      </w:r>
      <w:r w:rsidRPr="00FF1EF1">
        <w:rPr>
          <w:i/>
        </w:rPr>
        <w:t>Bytové domy</w:t>
      </w:r>
      <w:r>
        <w:t xml:space="preserve">, podprogramu </w:t>
      </w:r>
      <w:r w:rsidRPr="00793895">
        <w:rPr>
          <w:i/>
        </w:rPr>
        <w:t>Rodinné domy</w:t>
      </w:r>
      <w:r>
        <w:t xml:space="preserve"> a podprogramu </w:t>
      </w:r>
      <w:r w:rsidRPr="00793895">
        <w:rPr>
          <w:i/>
        </w:rPr>
        <w:t>Budovy veřejného sektoru</w:t>
      </w:r>
      <w:r w:rsidRPr="00A515A8">
        <w:t>.</w:t>
      </w:r>
    </w:p>
  </w:footnote>
  <w:footnote w:id="56">
    <w:p w14:paraId="0FA43A15" w14:textId="15BE9B64" w:rsidR="009A6705" w:rsidRDefault="009A6705" w:rsidP="00884FCE">
      <w:pPr>
        <w:pStyle w:val="Textpoznpodarou"/>
      </w:pPr>
      <w:r>
        <w:rPr>
          <w:rStyle w:val="Znakapoznpodarou"/>
        </w:rPr>
        <w:footnoteRef/>
      </w:r>
      <w:r>
        <w:t xml:space="preserve"> </w:t>
      </w:r>
      <w:r>
        <w:tab/>
        <w:t>Např. v</w:t>
      </w:r>
      <w:r w:rsidRPr="004A311D">
        <w:t xml:space="preserve"> případě podprogramu </w:t>
      </w:r>
      <w:r w:rsidRPr="004A311D">
        <w:rPr>
          <w:i/>
        </w:rPr>
        <w:t>Rodinné domy</w:t>
      </w:r>
      <w:r w:rsidRPr="004A311D">
        <w:t xml:space="preserve"> </w:t>
      </w:r>
      <w:r>
        <w:t xml:space="preserve">však </w:t>
      </w:r>
      <w:r w:rsidRPr="004A311D">
        <w:t>činí průměrná skutečná měrná dotace 2 058 Kč</w:t>
      </w:r>
      <w:r>
        <w:t xml:space="preserve">/GJ. </w:t>
      </w:r>
    </w:p>
  </w:footnote>
  <w:footnote w:id="57">
    <w:p w14:paraId="14356656" w14:textId="67E53819" w:rsidR="009A6705" w:rsidRDefault="009A6705" w:rsidP="00884FCE">
      <w:pPr>
        <w:pStyle w:val="Textpoznpodarou"/>
      </w:pPr>
      <w:r>
        <w:rPr>
          <w:rStyle w:val="Znakapoznpodarou"/>
        </w:rPr>
        <w:footnoteRef/>
      </w:r>
      <w:r>
        <w:t xml:space="preserve"> </w:t>
      </w:r>
      <w:r>
        <w:tab/>
        <w:t xml:space="preserve">Skutečná </w:t>
      </w:r>
      <w:r w:rsidRPr="00A64C25">
        <w:t xml:space="preserve">měrná dotace </w:t>
      </w:r>
      <w:r>
        <w:t xml:space="preserve">projektu </w:t>
      </w:r>
      <w:r w:rsidRPr="00A64C25">
        <w:t>přesah</w:t>
      </w:r>
      <w:r>
        <w:t xml:space="preserve">uje </w:t>
      </w:r>
      <w:r w:rsidRPr="00A64C25">
        <w:t>hodnotu predikovanou v</w:t>
      </w:r>
      <w:r>
        <w:t> </w:t>
      </w:r>
      <w:r w:rsidRPr="00A64C25">
        <w:t>NAPEE</w:t>
      </w:r>
      <w:r>
        <w:t>-V</w:t>
      </w:r>
      <w:r w:rsidRPr="00A64C25">
        <w:t xml:space="preserve"> takřka o třetinu, což </w:t>
      </w:r>
      <w:r>
        <w:t xml:space="preserve">je </w:t>
      </w:r>
      <w:r w:rsidRPr="00A64C25">
        <w:t>důsledkem hodnot</w:t>
      </w:r>
      <w:r>
        <w:t>i</w:t>
      </w:r>
      <w:r w:rsidRPr="00A64C25">
        <w:t>cího procesu, v němž nebyla posuzována nákladová efektivnost žádostí o podporu. Absence kritéria hodnotícího nákladovou efektivnost neumožňovala MMR podpořit projekty s vyšší úsporou energie při nižších nákladech</w:t>
      </w:r>
      <w:r>
        <w:t>.</w:t>
      </w:r>
    </w:p>
  </w:footnote>
  <w:footnote w:id="58">
    <w:p w14:paraId="044EFB8E" w14:textId="1BEA02B3" w:rsidR="009A6705" w:rsidRDefault="009A6705">
      <w:pPr>
        <w:pStyle w:val="Textpoznpodarou"/>
      </w:pPr>
      <w:r>
        <w:rPr>
          <w:rStyle w:val="Znakapoznpodarou"/>
        </w:rPr>
        <w:footnoteRef/>
      </w:r>
      <w:r>
        <w:t xml:space="preserve"> </w:t>
      </w:r>
      <w:r>
        <w:tab/>
        <w:t>Například p</w:t>
      </w:r>
      <w:r w:rsidRPr="007E0FCD">
        <w:t xml:space="preserve">ro oblast podpory snižování energetické náročnosti bytových domů je </w:t>
      </w:r>
      <w:r>
        <w:t xml:space="preserve">v programu NZÚ </w:t>
      </w:r>
      <w:r w:rsidRPr="007E0FCD">
        <w:t xml:space="preserve">výše podpory stanovena součtem podpory pro opatření realizovaná na obálce budovy a pro opatření realizovaná v rámci technických systémů vedoucích k efektivnímu využívání zdrojů energie. Výše podpory </w:t>
      </w:r>
      <w:r>
        <w:t>pro</w:t>
      </w:r>
      <w:r w:rsidRPr="007E0FCD">
        <w:t xml:space="preserve"> opatření na obálce budovy je odvozena z ploch realizovaných opatření, a to v závislosti na dosažené hladině podpory. Každá hladina podpory je definov</w:t>
      </w:r>
      <w:r>
        <w:t>ána</w:t>
      </w:r>
      <w:r w:rsidRPr="007E0FCD">
        <w:t xml:space="preserve"> hraničními hodnotami technických parametrů a minimálním procentem úspory energie. V závislosti na dosažené hladině podpory je stanovena maximální výše dotace vztažená</w:t>
      </w:r>
      <w:r>
        <w:t xml:space="preserve"> </w:t>
      </w:r>
      <w:r w:rsidRPr="007E0FCD">
        <w:t>k</w:t>
      </w:r>
      <w:r>
        <w:t> </w:t>
      </w:r>
      <w:r w:rsidRPr="007E0FCD">
        <w:t>1</w:t>
      </w:r>
      <w:r>
        <w:t> </w:t>
      </w:r>
      <w:r w:rsidRPr="007E0FCD">
        <w:t>m</w:t>
      </w:r>
      <w:r w:rsidRPr="007E0FCD">
        <w:rPr>
          <w:vertAlign w:val="superscript"/>
        </w:rPr>
        <w:t xml:space="preserve">2 </w:t>
      </w:r>
      <w:r w:rsidRPr="007E0FCD">
        <w:t>provedeného opatření.</w:t>
      </w:r>
    </w:p>
  </w:footnote>
  <w:footnote w:id="59">
    <w:p w14:paraId="30B595BD" w14:textId="49ACD352" w:rsidR="009A6705" w:rsidRPr="003D386E" w:rsidRDefault="009A6705" w:rsidP="00884FCE">
      <w:pPr>
        <w:pStyle w:val="Textpoznpodarou"/>
      </w:pPr>
      <w:r>
        <w:rPr>
          <w:rStyle w:val="Znakapoznpodarou"/>
        </w:rPr>
        <w:footnoteRef/>
      </w:r>
      <w:r>
        <w:t xml:space="preserve"> </w:t>
      </w:r>
      <w:r>
        <w:tab/>
      </w:r>
      <w:r w:rsidRPr="003D386E">
        <w:t xml:space="preserve">IROP nemá svého přímého předchůdce jako např. program </w:t>
      </w:r>
      <w:r w:rsidRPr="00F71E52">
        <w:rPr>
          <w:i/>
        </w:rPr>
        <w:t>Nová zelená úsporám</w:t>
      </w:r>
      <w:r>
        <w:t xml:space="preserve">, který mohl navázat na zkušenosti s realizací programu v předchozích obdobích. </w:t>
      </w:r>
      <w:r w:rsidRPr="003D386E">
        <w:t>Podpora bytových domů byla v</w:t>
      </w:r>
      <w:r>
        <w:t> České republice</w:t>
      </w:r>
      <w:r w:rsidRPr="003D386E">
        <w:t xml:space="preserve"> v období před rokem 2014 realizována buď programy</w:t>
      </w:r>
      <w:r>
        <w:t xml:space="preserve">, které poskytovaly podporu pro </w:t>
      </w:r>
      <w:r w:rsidRPr="003D386E">
        <w:t xml:space="preserve">komplexní opatření renovace bytových domů v rámci resortu MMR (tedy nejen opatření podporující energetickou účinnost), nebo </w:t>
      </w:r>
      <w:r>
        <w:t>byl</w:t>
      </w:r>
      <w:r w:rsidRPr="003D386E">
        <w:t xml:space="preserve"> </w:t>
      </w:r>
      <w:r>
        <w:t>využíván</w:t>
      </w:r>
      <w:r w:rsidRPr="003D386E">
        <w:t xml:space="preserve"> podprogram </w:t>
      </w:r>
      <w:r>
        <w:t xml:space="preserve">programu </w:t>
      </w:r>
      <w:r w:rsidRPr="00F71E52">
        <w:rPr>
          <w:i/>
        </w:rPr>
        <w:t>Zelená úsporám</w:t>
      </w:r>
      <w:r>
        <w:t xml:space="preserve"> (2009–</w:t>
      </w:r>
      <w:r w:rsidRPr="003D386E">
        <w:t xml:space="preserve">2012). </w:t>
      </w:r>
    </w:p>
  </w:footnote>
  <w:footnote w:id="60">
    <w:p w14:paraId="4FC74B00" w14:textId="77087CA1" w:rsidR="009A6705" w:rsidRPr="0021759C" w:rsidRDefault="009A6705" w:rsidP="00884FCE">
      <w:pPr>
        <w:pStyle w:val="Textpoznpodarou"/>
      </w:pPr>
      <w:r>
        <w:rPr>
          <w:rStyle w:val="Znakapoznpodarou"/>
        </w:rPr>
        <w:footnoteRef/>
      </w:r>
      <w:r>
        <w:t xml:space="preserve"> </w:t>
      </w:r>
      <w:r>
        <w:tab/>
      </w:r>
      <w:proofErr w:type="spellStart"/>
      <w:r w:rsidRPr="0021759C">
        <w:t>Energonositelem</w:t>
      </w:r>
      <w:proofErr w:type="spellEnd"/>
      <w:r w:rsidRPr="0021759C">
        <w:t xml:space="preserve"> je například zemní plyn, elektrická energie, dálkové teplo, solární teplo, </w:t>
      </w:r>
      <w:proofErr w:type="spellStart"/>
      <w:r w:rsidRPr="0021759C">
        <w:t>fotovoltaická</w:t>
      </w:r>
      <w:proofErr w:type="spellEnd"/>
      <w:r w:rsidRPr="0021759C">
        <w:t xml:space="preserve"> elektřina apod. Přepočet potřeby různých </w:t>
      </w:r>
      <w:proofErr w:type="spellStart"/>
      <w:r w:rsidRPr="0021759C">
        <w:t>energonositelů</w:t>
      </w:r>
      <w:proofErr w:type="spellEnd"/>
      <w:r w:rsidRPr="0021759C">
        <w:t xml:space="preserve"> na neobnovitelnou primární energii jako společného jmenovatele umožňuje jednoduché sčítání různých druhů energií a vyjadřuje tak zjednodušeně vliv potřeby </w:t>
      </w:r>
      <w:proofErr w:type="spellStart"/>
      <w:r w:rsidRPr="0021759C">
        <w:t>energonositelů</w:t>
      </w:r>
      <w:proofErr w:type="spellEnd"/>
      <w:r w:rsidRPr="0021759C">
        <w:t xml:space="preserve"> na životní prostředí.</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6867"/>
    <w:multiLevelType w:val="hybridMultilevel"/>
    <w:tmpl w:val="BBEE2DA2"/>
    <w:lvl w:ilvl="0" w:tplc="EADC8260">
      <w:start w:val="1"/>
      <w:numFmt w:val="ordinal"/>
      <w:lvlText w:val="1.1.%1"/>
      <w:lvlJc w:val="right"/>
      <w:pPr>
        <w:ind w:left="360" w:hanging="360"/>
      </w:pPr>
      <w:rPr>
        <w:rFonts w:hint="default"/>
      </w:rPr>
    </w:lvl>
    <w:lvl w:ilvl="1" w:tplc="2B920512">
      <w:start w:val="1"/>
      <w:numFmt w:val="decimal"/>
      <w:lvlText w:val="1.%2"/>
      <w:lvlJc w:val="left"/>
      <w:pPr>
        <w:ind w:left="2880" w:hanging="360"/>
      </w:pPr>
      <w:rPr>
        <w:rFonts w:hint="default"/>
      </w:rPr>
    </w:lvl>
    <w:lvl w:ilvl="2" w:tplc="BD807A8E" w:tentative="1">
      <w:start w:val="1"/>
      <w:numFmt w:val="lowerRoman"/>
      <w:lvlText w:val="%3."/>
      <w:lvlJc w:val="right"/>
      <w:pPr>
        <w:ind w:left="3600" w:hanging="180"/>
      </w:pPr>
    </w:lvl>
    <w:lvl w:ilvl="3" w:tplc="31202756" w:tentative="1">
      <w:start w:val="1"/>
      <w:numFmt w:val="decimal"/>
      <w:lvlText w:val="%4."/>
      <w:lvlJc w:val="left"/>
      <w:pPr>
        <w:ind w:left="4320" w:hanging="360"/>
      </w:pPr>
    </w:lvl>
    <w:lvl w:ilvl="4" w:tplc="9B1A9E1E" w:tentative="1">
      <w:start w:val="1"/>
      <w:numFmt w:val="lowerLetter"/>
      <w:lvlText w:val="%5."/>
      <w:lvlJc w:val="left"/>
      <w:pPr>
        <w:ind w:left="5040" w:hanging="360"/>
      </w:pPr>
    </w:lvl>
    <w:lvl w:ilvl="5" w:tplc="7332E194" w:tentative="1">
      <w:start w:val="1"/>
      <w:numFmt w:val="lowerRoman"/>
      <w:lvlText w:val="%6."/>
      <w:lvlJc w:val="right"/>
      <w:pPr>
        <w:ind w:left="5760" w:hanging="180"/>
      </w:pPr>
    </w:lvl>
    <w:lvl w:ilvl="6" w:tplc="7B04B444" w:tentative="1">
      <w:start w:val="1"/>
      <w:numFmt w:val="decimal"/>
      <w:lvlText w:val="%7."/>
      <w:lvlJc w:val="left"/>
      <w:pPr>
        <w:ind w:left="6480" w:hanging="360"/>
      </w:pPr>
    </w:lvl>
    <w:lvl w:ilvl="7" w:tplc="3F62DD9C" w:tentative="1">
      <w:start w:val="1"/>
      <w:numFmt w:val="lowerLetter"/>
      <w:lvlText w:val="%8."/>
      <w:lvlJc w:val="left"/>
      <w:pPr>
        <w:ind w:left="7200" w:hanging="360"/>
      </w:pPr>
    </w:lvl>
    <w:lvl w:ilvl="8" w:tplc="29D64E14" w:tentative="1">
      <w:start w:val="1"/>
      <w:numFmt w:val="lowerRoman"/>
      <w:lvlText w:val="%9."/>
      <w:lvlJc w:val="right"/>
      <w:pPr>
        <w:ind w:left="7920" w:hanging="180"/>
      </w:pPr>
    </w:lvl>
  </w:abstractNum>
  <w:abstractNum w:abstractNumId="1" w15:restartNumberingAfterBreak="0">
    <w:nsid w:val="035173FA"/>
    <w:multiLevelType w:val="hybridMultilevel"/>
    <w:tmpl w:val="2DDCC080"/>
    <w:lvl w:ilvl="0" w:tplc="0405000D">
      <w:start w:val="1"/>
      <w:numFmt w:val="bullet"/>
      <w:lvlText w:val=""/>
      <w:lvlJc w:val="left"/>
      <w:pPr>
        <w:ind w:left="360" w:hanging="360"/>
      </w:pPr>
      <w:rPr>
        <w:rFonts w:ascii="Wingdings" w:hAnsi="Wingdings" w:hint="default"/>
      </w:rPr>
    </w:lvl>
    <w:lvl w:ilvl="1" w:tplc="E51C13C8">
      <w:start w:val="1"/>
      <w:numFmt w:val="lowerLetter"/>
      <w:lvlText w:val="%2."/>
      <w:lvlJc w:val="left"/>
      <w:pPr>
        <w:ind w:left="1080" w:hanging="360"/>
      </w:pPr>
    </w:lvl>
    <w:lvl w:ilvl="2" w:tplc="5330B6BA" w:tentative="1">
      <w:start w:val="1"/>
      <w:numFmt w:val="lowerRoman"/>
      <w:lvlText w:val="%3."/>
      <w:lvlJc w:val="right"/>
      <w:pPr>
        <w:ind w:left="1800" w:hanging="180"/>
      </w:pPr>
    </w:lvl>
    <w:lvl w:ilvl="3" w:tplc="B6AA2F60" w:tentative="1">
      <w:start w:val="1"/>
      <w:numFmt w:val="decimal"/>
      <w:lvlText w:val="%4."/>
      <w:lvlJc w:val="left"/>
      <w:pPr>
        <w:ind w:left="2520" w:hanging="360"/>
      </w:pPr>
    </w:lvl>
    <w:lvl w:ilvl="4" w:tplc="F17475E6" w:tentative="1">
      <w:start w:val="1"/>
      <w:numFmt w:val="lowerLetter"/>
      <w:lvlText w:val="%5."/>
      <w:lvlJc w:val="left"/>
      <w:pPr>
        <w:ind w:left="3240" w:hanging="360"/>
      </w:pPr>
    </w:lvl>
    <w:lvl w:ilvl="5" w:tplc="56B4C69E" w:tentative="1">
      <w:start w:val="1"/>
      <w:numFmt w:val="lowerRoman"/>
      <w:lvlText w:val="%6."/>
      <w:lvlJc w:val="right"/>
      <w:pPr>
        <w:ind w:left="3960" w:hanging="180"/>
      </w:pPr>
    </w:lvl>
    <w:lvl w:ilvl="6" w:tplc="5088DF2C" w:tentative="1">
      <w:start w:val="1"/>
      <w:numFmt w:val="decimal"/>
      <w:lvlText w:val="%7."/>
      <w:lvlJc w:val="left"/>
      <w:pPr>
        <w:ind w:left="4680" w:hanging="360"/>
      </w:pPr>
    </w:lvl>
    <w:lvl w:ilvl="7" w:tplc="18302CB6" w:tentative="1">
      <w:start w:val="1"/>
      <w:numFmt w:val="lowerLetter"/>
      <w:lvlText w:val="%8."/>
      <w:lvlJc w:val="left"/>
      <w:pPr>
        <w:ind w:left="5400" w:hanging="360"/>
      </w:pPr>
    </w:lvl>
    <w:lvl w:ilvl="8" w:tplc="C77EC6B6" w:tentative="1">
      <w:start w:val="1"/>
      <w:numFmt w:val="lowerRoman"/>
      <w:lvlText w:val="%9."/>
      <w:lvlJc w:val="right"/>
      <w:pPr>
        <w:ind w:left="6120" w:hanging="180"/>
      </w:pPr>
    </w:lvl>
  </w:abstractNum>
  <w:abstractNum w:abstractNumId="2" w15:restartNumberingAfterBreak="0">
    <w:nsid w:val="0791708C"/>
    <w:multiLevelType w:val="hybridMultilevel"/>
    <w:tmpl w:val="730E51C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7FB62B6"/>
    <w:multiLevelType w:val="hybridMultilevel"/>
    <w:tmpl w:val="341C9346"/>
    <w:lvl w:ilvl="0" w:tplc="55F86256">
      <w:start w:val="1"/>
      <w:numFmt w:val="upperRoman"/>
      <w:pStyle w:val="Styl1-I"/>
      <w:lvlText w:val="%1."/>
      <w:lvlJc w:val="left"/>
      <w:pPr>
        <w:ind w:left="720" w:hanging="360"/>
      </w:pPr>
      <w:rPr>
        <w:b/>
      </w:rPr>
    </w:lvl>
    <w:lvl w:ilvl="1" w:tplc="F0E8B4E8">
      <w:start w:val="1"/>
      <w:numFmt w:val="lowerLetter"/>
      <w:lvlText w:val="%2."/>
      <w:lvlJc w:val="left"/>
      <w:pPr>
        <w:ind w:left="1440" w:hanging="360"/>
      </w:pPr>
    </w:lvl>
    <w:lvl w:ilvl="2" w:tplc="D3A4D86C">
      <w:start w:val="1"/>
      <w:numFmt w:val="lowerRoman"/>
      <w:lvlText w:val="%3."/>
      <w:lvlJc w:val="right"/>
      <w:pPr>
        <w:ind w:left="2160" w:hanging="180"/>
      </w:pPr>
    </w:lvl>
    <w:lvl w:ilvl="3" w:tplc="423EC580">
      <w:start w:val="1"/>
      <w:numFmt w:val="decimal"/>
      <w:lvlText w:val="%4."/>
      <w:lvlJc w:val="left"/>
      <w:pPr>
        <w:ind w:left="2880" w:hanging="360"/>
      </w:pPr>
    </w:lvl>
    <w:lvl w:ilvl="4" w:tplc="53708A80">
      <w:start w:val="1"/>
      <w:numFmt w:val="lowerLetter"/>
      <w:lvlText w:val="%5."/>
      <w:lvlJc w:val="left"/>
      <w:pPr>
        <w:ind w:left="3600" w:hanging="360"/>
      </w:pPr>
    </w:lvl>
    <w:lvl w:ilvl="5" w:tplc="C3669E3A">
      <w:start w:val="1"/>
      <w:numFmt w:val="lowerRoman"/>
      <w:lvlText w:val="%6."/>
      <w:lvlJc w:val="right"/>
      <w:pPr>
        <w:ind w:left="4320" w:hanging="180"/>
      </w:pPr>
    </w:lvl>
    <w:lvl w:ilvl="6" w:tplc="BA2E017E">
      <w:start w:val="1"/>
      <w:numFmt w:val="decimal"/>
      <w:lvlText w:val="%7."/>
      <w:lvlJc w:val="left"/>
      <w:pPr>
        <w:ind w:left="5040" w:hanging="360"/>
      </w:pPr>
    </w:lvl>
    <w:lvl w:ilvl="7" w:tplc="AFF60418">
      <w:start w:val="1"/>
      <w:numFmt w:val="lowerLetter"/>
      <w:lvlText w:val="%8."/>
      <w:lvlJc w:val="left"/>
      <w:pPr>
        <w:ind w:left="5760" w:hanging="360"/>
      </w:pPr>
    </w:lvl>
    <w:lvl w:ilvl="8" w:tplc="63BCC024">
      <w:start w:val="1"/>
      <w:numFmt w:val="lowerRoman"/>
      <w:lvlText w:val="%9."/>
      <w:lvlJc w:val="right"/>
      <w:pPr>
        <w:ind w:left="6480" w:hanging="180"/>
      </w:pPr>
    </w:lvl>
  </w:abstractNum>
  <w:abstractNum w:abstractNumId="4" w15:restartNumberingAfterBreak="0">
    <w:nsid w:val="09134582"/>
    <w:multiLevelType w:val="hybridMultilevel"/>
    <w:tmpl w:val="AB6E34C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DE037A"/>
    <w:multiLevelType w:val="multilevel"/>
    <w:tmpl w:val="7F86C4CC"/>
    <w:lvl w:ilvl="0">
      <w:start w:val="1"/>
      <w:numFmt w:val="decimal"/>
      <w:pStyle w:val="N1"/>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C2474A9"/>
    <w:multiLevelType w:val="hybridMultilevel"/>
    <w:tmpl w:val="6EFA083C"/>
    <w:lvl w:ilvl="0" w:tplc="0405000D">
      <w:start w:val="1"/>
      <w:numFmt w:val="bullet"/>
      <w:lvlText w:val=""/>
      <w:lvlJc w:val="left"/>
      <w:pPr>
        <w:ind w:left="720" w:hanging="360"/>
      </w:pPr>
      <w:rPr>
        <w:rFonts w:ascii="Wingdings" w:hAnsi="Wingdings" w:hint="default"/>
      </w:rPr>
    </w:lvl>
    <w:lvl w:ilvl="1" w:tplc="0405000D">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C682207"/>
    <w:multiLevelType w:val="hybridMultilevel"/>
    <w:tmpl w:val="F16E910E"/>
    <w:lvl w:ilvl="0" w:tplc="0405000B">
      <w:start w:val="1"/>
      <w:numFmt w:val="bullet"/>
      <w:lvlText w:val=""/>
      <w:lvlJc w:val="left"/>
      <w:pPr>
        <w:ind w:left="720" w:hanging="360"/>
      </w:pPr>
      <w:rPr>
        <w:rFonts w:ascii="Wingdings" w:hAnsi="Wingdings" w:hint="default"/>
      </w:rPr>
    </w:lvl>
    <w:lvl w:ilvl="1" w:tplc="2B9C809A">
      <w:start w:val="3"/>
      <w:numFmt w:val="bullet"/>
      <w:lvlText w:val="•"/>
      <w:lvlJc w:val="left"/>
      <w:pPr>
        <w:ind w:left="1800" w:hanging="720"/>
      </w:pPr>
      <w:rPr>
        <w:rFonts w:ascii="Calibri" w:eastAsia="Times New Roman" w:hAnsi="Calibri" w:cs="Calibr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DF7669E"/>
    <w:multiLevelType w:val="hybridMultilevel"/>
    <w:tmpl w:val="32E27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1326A8F"/>
    <w:multiLevelType w:val="multilevel"/>
    <w:tmpl w:val="1DDE0E7E"/>
    <w:lvl w:ilvl="0">
      <w:start w:val="1"/>
      <w:numFmt w:val="upperRoman"/>
      <w:pStyle w:val="lnek1"/>
      <w:suff w:val="nothing"/>
      <w:lvlText w:val="Čl. %1"/>
      <w:lvlJc w:val="left"/>
      <w:pPr>
        <w:ind w:left="4860" w:firstLine="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nek2"/>
      <w:isLgl/>
      <w:lvlText w:val="%1.%2"/>
      <w:lvlJc w:val="left"/>
      <w:pPr>
        <w:tabs>
          <w:tab w:val="num" w:pos="624"/>
        </w:tabs>
        <w:ind w:left="624" w:hanging="624"/>
      </w:pPr>
      <w:rPr>
        <w:rFonts w:ascii="Times New Roman" w:hAnsi="Times New Roman" w:hint="default"/>
        <w:b/>
        <w:i w:val="0"/>
      </w:rPr>
    </w:lvl>
    <w:lvl w:ilvl="2">
      <w:start w:val="1"/>
      <w:numFmt w:val="decimal"/>
      <w:pStyle w:val="lnek3"/>
      <w:isLgl/>
      <w:lvlText w:val="%1.%2.%3"/>
      <w:lvlJc w:val="left"/>
      <w:pPr>
        <w:tabs>
          <w:tab w:val="num" w:pos="1277"/>
        </w:tabs>
        <w:ind w:left="653" w:hanging="113"/>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il"/>
        <w:shd w:val="clear" w:color="000000" w:fill="000000"/>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1721"/>
        </w:tabs>
        <w:ind w:left="1721" w:hanging="360"/>
      </w:pPr>
      <w:rPr>
        <w:rFonts w:hint="default"/>
        <w:b/>
        <w:i w:val="0"/>
        <w:sz w:val="28"/>
        <w:szCs w:val="28"/>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3E44A23"/>
    <w:multiLevelType w:val="hybridMultilevel"/>
    <w:tmpl w:val="DFD48756"/>
    <w:lvl w:ilvl="0" w:tplc="FAAA08F2">
      <w:numFmt w:val="bullet"/>
      <w:lvlText w:val="-"/>
      <w:lvlJc w:val="left"/>
      <w:pPr>
        <w:ind w:left="1129" w:hanging="360"/>
      </w:pPr>
      <w:rPr>
        <w:rFonts w:ascii="Arial" w:eastAsia="Times New Roman" w:hAnsi="Arial" w:hint="default"/>
        <w:color w:val="auto"/>
        <w:sz w:val="22"/>
      </w:rPr>
    </w:lvl>
    <w:lvl w:ilvl="1" w:tplc="04050003" w:tentative="1">
      <w:start w:val="1"/>
      <w:numFmt w:val="bullet"/>
      <w:lvlText w:val="o"/>
      <w:lvlJc w:val="left"/>
      <w:pPr>
        <w:ind w:left="1849" w:hanging="360"/>
      </w:pPr>
      <w:rPr>
        <w:rFonts w:ascii="Courier New" w:hAnsi="Courier New" w:cs="Courier New" w:hint="default"/>
      </w:rPr>
    </w:lvl>
    <w:lvl w:ilvl="2" w:tplc="04050005" w:tentative="1">
      <w:start w:val="1"/>
      <w:numFmt w:val="bullet"/>
      <w:lvlText w:val=""/>
      <w:lvlJc w:val="left"/>
      <w:pPr>
        <w:ind w:left="2569" w:hanging="360"/>
      </w:pPr>
      <w:rPr>
        <w:rFonts w:ascii="Wingdings" w:hAnsi="Wingdings" w:hint="default"/>
      </w:rPr>
    </w:lvl>
    <w:lvl w:ilvl="3" w:tplc="04050001" w:tentative="1">
      <w:start w:val="1"/>
      <w:numFmt w:val="bullet"/>
      <w:lvlText w:val=""/>
      <w:lvlJc w:val="left"/>
      <w:pPr>
        <w:ind w:left="3289" w:hanging="360"/>
      </w:pPr>
      <w:rPr>
        <w:rFonts w:ascii="Symbol" w:hAnsi="Symbol" w:hint="default"/>
      </w:rPr>
    </w:lvl>
    <w:lvl w:ilvl="4" w:tplc="04050003" w:tentative="1">
      <w:start w:val="1"/>
      <w:numFmt w:val="bullet"/>
      <w:lvlText w:val="o"/>
      <w:lvlJc w:val="left"/>
      <w:pPr>
        <w:ind w:left="4009" w:hanging="360"/>
      </w:pPr>
      <w:rPr>
        <w:rFonts w:ascii="Courier New" w:hAnsi="Courier New" w:cs="Courier New" w:hint="default"/>
      </w:rPr>
    </w:lvl>
    <w:lvl w:ilvl="5" w:tplc="04050005" w:tentative="1">
      <w:start w:val="1"/>
      <w:numFmt w:val="bullet"/>
      <w:lvlText w:val=""/>
      <w:lvlJc w:val="left"/>
      <w:pPr>
        <w:ind w:left="4729" w:hanging="360"/>
      </w:pPr>
      <w:rPr>
        <w:rFonts w:ascii="Wingdings" w:hAnsi="Wingdings" w:hint="default"/>
      </w:rPr>
    </w:lvl>
    <w:lvl w:ilvl="6" w:tplc="04050001" w:tentative="1">
      <w:start w:val="1"/>
      <w:numFmt w:val="bullet"/>
      <w:lvlText w:val=""/>
      <w:lvlJc w:val="left"/>
      <w:pPr>
        <w:ind w:left="5449" w:hanging="360"/>
      </w:pPr>
      <w:rPr>
        <w:rFonts w:ascii="Symbol" w:hAnsi="Symbol" w:hint="default"/>
      </w:rPr>
    </w:lvl>
    <w:lvl w:ilvl="7" w:tplc="04050003" w:tentative="1">
      <w:start w:val="1"/>
      <w:numFmt w:val="bullet"/>
      <w:lvlText w:val="o"/>
      <w:lvlJc w:val="left"/>
      <w:pPr>
        <w:ind w:left="6169" w:hanging="360"/>
      </w:pPr>
      <w:rPr>
        <w:rFonts w:ascii="Courier New" w:hAnsi="Courier New" w:cs="Courier New" w:hint="default"/>
      </w:rPr>
    </w:lvl>
    <w:lvl w:ilvl="8" w:tplc="04050005" w:tentative="1">
      <w:start w:val="1"/>
      <w:numFmt w:val="bullet"/>
      <w:lvlText w:val=""/>
      <w:lvlJc w:val="left"/>
      <w:pPr>
        <w:ind w:left="6889" w:hanging="360"/>
      </w:pPr>
      <w:rPr>
        <w:rFonts w:ascii="Wingdings" w:hAnsi="Wingdings" w:hint="default"/>
      </w:rPr>
    </w:lvl>
  </w:abstractNum>
  <w:abstractNum w:abstractNumId="11" w15:restartNumberingAfterBreak="0">
    <w:nsid w:val="15882F90"/>
    <w:multiLevelType w:val="multilevel"/>
    <w:tmpl w:val="E4F2B46E"/>
    <w:lvl w:ilvl="0">
      <w:start w:val="1"/>
      <w:numFmt w:val="decimal"/>
      <w:pStyle w:val="Nzevtabulk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A5A28A3"/>
    <w:multiLevelType w:val="hybridMultilevel"/>
    <w:tmpl w:val="1A34BD6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BE0191E"/>
    <w:multiLevelType w:val="hybridMultilevel"/>
    <w:tmpl w:val="B75E2224"/>
    <w:lvl w:ilvl="0" w:tplc="0405000B">
      <w:start w:val="1"/>
      <w:numFmt w:val="bullet"/>
      <w:lvlText w:val=""/>
      <w:lvlJc w:val="left"/>
      <w:pPr>
        <w:ind w:left="360" w:hanging="360"/>
      </w:pPr>
      <w:rPr>
        <w:rFonts w:ascii="Wingdings" w:hAnsi="Wingdings" w:hint="default"/>
      </w:rPr>
    </w:lvl>
    <w:lvl w:ilvl="1" w:tplc="E51C13C8">
      <w:start w:val="1"/>
      <w:numFmt w:val="lowerLetter"/>
      <w:lvlText w:val="%2."/>
      <w:lvlJc w:val="left"/>
      <w:pPr>
        <w:ind w:left="1080" w:hanging="360"/>
      </w:pPr>
    </w:lvl>
    <w:lvl w:ilvl="2" w:tplc="5330B6BA" w:tentative="1">
      <w:start w:val="1"/>
      <w:numFmt w:val="lowerRoman"/>
      <w:lvlText w:val="%3."/>
      <w:lvlJc w:val="right"/>
      <w:pPr>
        <w:ind w:left="1800" w:hanging="180"/>
      </w:pPr>
    </w:lvl>
    <w:lvl w:ilvl="3" w:tplc="B6AA2F60" w:tentative="1">
      <w:start w:val="1"/>
      <w:numFmt w:val="decimal"/>
      <w:lvlText w:val="%4."/>
      <w:lvlJc w:val="left"/>
      <w:pPr>
        <w:ind w:left="2520" w:hanging="360"/>
      </w:pPr>
    </w:lvl>
    <w:lvl w:ilvl="4" w:tplc="F17475E6" w:tentative="1">
      <w:start w:val="1"/>
      <w:numFmt w:val="lowerLetter"/>
      <w:lvlText w:val="%5."/>
      <w:lvlJc w:val="left"/>
      <w:pPr>
        <w:ind w:left="3240" w:hanging="360"/>
      </w:pPr>
    </w:lvl>
    <w:lvl w:ilvl="5" w:tplc="56B4C69E" w:tentative="1">
      <w:start w:val="1"/>
      <w:numFmt w:val="lowerRoman"/>
      <w:lvlText w:val="%6."/>
      <w:lvlJc w:val="right"/>
      <w:pPr>
        <w:ind w:left="3960" w:hanging="180"/>
      </w:pPr>
    </w:lvl>
    <w:lvl w:ilvl="6" w:tplc="5088DF2C" w:tentative="1">
      <w:start w:val="1"/>
      <w:numFmt w:val="decimal"/>
      <w:lvlText w:val="%7."/>
      <w:lvlJc w:val="left"/>
      <w:pPr>
        <w:ind w:left="4680" w:hanging="360"/>
      </w:pPr>
    </w:lvl>
    <w:lvl w:ilvl="7" w:tplc="18302CB6" w:tentative="1">
      <w:start w:val="1"/>
      <w:numFmt w:val="lowerLetter"/>
      <w:lvlText w:val="%8."/>
      <w:lvlJc w:val="left"/>
      <w:pPr>
        <w:ind w:left="5400" w:hanging="360"/>
      </w:pPr>
    </w:lvl>
    <w:lvl w:ilvl="8" w:tplc="C77EC6B6" w:tentative="1">
      <w:start w:val="1"/>
      <w:numFmt w:val="lowerRoman"/>
      <w:lvlText w:val="%9."/>
      <w:lvlJc w:val="right"/>
      <w:pPr>
        <w:ind w:left="6120" w:hanging="180"/>
      </w:pPr>
    </w:lvl>
  </w:abstractNum>
  <w:abstractNum w:abstractNumId="14" w15:restartNumberingAfterBreak="0">
    <w:nsid w:val="27EF2F35"/>
    <w:multiLevelType w:val="hybridMultilevel"/>
    <w:tmpl w:val="3396807E"/>
    <w:lvl w:ilvl="0" w:tplc="58C6F928">
      <w:start w:val="1"/>
      <w:numFmt w:val="ordinal"/>
      <w:pStyle w:val="N3"/>
      <w:lvlText w:val="1.1.%1"/>
      <w:lvlJc w:val="right"/>
      <w:pPr>
        <w:ind w:left="360" w:hanging="360"/>
      </w:pPr>
      <w:rPr>
        <w:rFonts w:hint="default"/>
      </w:rPr>
    </w:lvl>
    <w:lvl w:ilvl="1" w:tplc="368AD4E8">
      <w:start w:val="1"/>
      <w:numFmt w:val="lowerLetter"/>
      <w:lvlText w:val="%2."/>
      <w:lvlJc w:val="left"/>
      <w:pPr>
        <w:ind w:left="1440" w:hanging="360"/>
      </w:pPr>
    </w:lvl>
    <w:lvl w:ilvl="2" w:tplc="6430225A">
      <w:start w:val="1"/>
      <w:numFmt w:val="decimal"/>
      <w:lvlText w:val="%3"/>
      <w:lvlJc w:val="right"/>
      <w:pPr>
        <w:ind w:left="2160" w:hanging="180"/>
      </w:pPr>
      <w:rPr>
        <w:rFonts w:hint="default"/>
      </w:rPr>
    </w:lvl>
    <w:lvl w:ilvl="3" w:tplc="57FA9A40" w:tentative="1">
      <w:start w:val="1"/>
      <w:numFmt w:val="decimal"/>
      <w:lvlText w:val="%4."/>
      <w:lvlJc w:val="left"/>
      <w:pPr>
        <w:ind w:left="2880" w:hanging="360"/>
      </w:pPr>
    </w:lvl>
    <w:lvl w:ilvl="4" w:tplc="2970188C" w:tentative="1">
      <w:start w:val="1"/>
      <w:numFmt w:val="lowerLetter"/>
      <w:lvlText w:val="%5."/>
      <w:lvlJc w:val="left"/>
      <w:pPr>
        <w:ind w:left="3600" w:hanging="360"/>
      </w:pPr>
    </w:lvl>
    <w:lvl w:ilvl="5" w:tplc="23500924" w:tentative="1">
      <w:start w:val="1"/>
      <w:numFmt w:val="lowerRoman"/>
      <w:lvlText w:val="%6."/>
      <w:lvlJc w:val="right"/>
      <w:pPr>
        <w:ind w:left="4320" w:hanging="180"/>
      </w:pPr>
    </w:lvl>
    <w:lvl w:ilvl="6" w:tplc="20002AEE" w:tentative="1">
      <w:start w:val="1"/>
      <w:numFmt w:val="decimal"/>
      <w:lvlText w:val="%7."/>
      <w:lvlJc w:val="left"/>
      <w:pPr>
        <w:ind w:left="5040" w:hanging="360"/>
      </w:pPr>
    </w:lvl>
    <w:lvl w:ilvl="7" w:tplc="2FE6F6CA" w:tentative="1">
      <w:start w:val="1"/>
      <w:numFmt w:val="lowerLetter"/>
      <w:lvlText w:val="%8."/>
      <w:lvlJc w:val="left"/>
      <w:pPr>
        <w:ind w:left="5760" w:hanging="360"/>
      </w:pPr>
    </w:lvl>
    <w:lvl w:ilvl="8" w:tplc="25E642E4" w:tentative="1">
      <w:start w:val="1"/>
      <w:numFmt w:val="lowerRoman"/>
      <w:lvlText w:val="%9."/>
      <w:lvlJc w:val="right"/>
      <w:pPr>
        <w:ind w:left="6480" w:hanging="180"/>
      </w:pPr>
    </w:lvl>
  </w:abstractNum>
  <w:abstractNum w:abstractNumId="15" w15:restartNumberingAfterBreak="0">
    <w:nsid w:val="27FC29C9"/>
    <w:multiLevelType w:val="hybridMultilevel"/>
    <w:tmpl w:val="2E3AEEC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99577CF"/>
    <w:multiLevelType w:val="hybridMultilevel"/>
    <w:tmpl w:val="3EBC47E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D1402BB"/>
    <w:multiLevelType w:val="hybridMultilevel"/>
    <w:tmpl w:val="E020CC2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F13AE3"/>
    <w:multiLevelType w:val="hybridMultilevel"/>
    <w:tmpl w:val="85603F02"/>
    <w:lvl w:ilvl="0" w:tplc="94564D3C">
      <w:start w:val="1"/>
      <w:numFmt w:val="decimal"/>
      <w:pStyle w:val="Bezmezer"/>
      <w:lvlText w:val="Graf č. %1: "/>
      <w:lvlJc w:val="left"/>
      <w:pPr>
        <w:ind w:left="502" w:hanging="360"/>
      </w:pPr>
      <w:rPr>
        <w:rFonts w:hint="default"/>
        <w:b/>
      </w:rPr>
    </w:lvl>
    <w:lvl w:ilvl="1" w:tplc="8E70C4CE" w:tentative="1">
      <w:start w:val="1"/>
      <w:numFmt w:val="lowerLetter"/>
      <w:lvlText w:val="%2."/>
      <w:lvlJc w:val="left"/>
      <w:pPr>
        <w:ind w:left="1222" w:hanging="360"/>
      </w:pPr>
    </w:lvl>
    <w:lvl w:ilvl="2" w:tplc="B8F6682C" w:tentative="1">
      <w:start w:val="1"/>
      <w:numFmt w:val="lowerRoman"/>
      <w:lvlText w:val="%3."/>
      <w:lvlJc w:val="right"/>
      <w:pPr>
        <w:ind w:left="1942" w:hanging="180"/>
      </w:pPr>
    </w:lvl>
    <w:lvl w:ilvl="3" w:tplc="DA08E77E" w:tentative="1">
      <w:start w:val="1"/>
      <w:numFmt w:val="decimal"/>
      <w:lvlText w:val="%4."/>
      <w:lvlJc w:val="left"/>
      <w:pPr>
        <w:ind w:left="2662" w:hanging="360"/>
      </w:pPr>
    </w:lvl>
    <w:lvl w:ilvl="4" w:tplc="8BE2E2BE" w:tentative="1">
      <w:start w:val="1"/>
      <w:numFmt w:val="lowerLetter"/>
      <w:lvlText w:val="%5."/>
      <w:lvlJc w:val="left"/>
      <w:pPr>
        <w:ind w:left="3382" w:hanging="360"/>
      </w:pPr>
    </w:lvl>
    <w:lvl w:ilvl="5" w:tplc="3F922768" w:tentative="1">
      <w:start w:val="1"/>
      <w:numFmt w:val="lowerRoman"/>
      <w:lvlText w:val="%6."/>
      <w:lvlJc w:val="right"/>
      <w:pPr>
        <w:ind w:left="4102" w:hanging="180"/>
      </w:pPr>
    </w:lvl>
    <w:lvl w:ilvl="6" w:tplc="15F600F2" w:tentative="1">
      <w:start w:val="1"/>
      <w:numFmt w:val="decimal"/>
      <w:lvlText w:val="%7."/>
      <w:lvlJc w:val="left"/>
      <w:pPr>
        <w:ind w:left="4822" w:hanging="360"/>
      </w:pPr>
    </w:lvl>
    <w:lvl w:ilvl="7" w:tplc="7AA221DE" w:tentative="1">
      <w:start w:val="1"/>
      <w:numFmt w:val="lowerLetter"/>
      <w:lvlText w:val="%8."/>
      <w:lvlJc w:val="left"/>
      <w:pPr>
        <w:ind w:left="5542" w:hanging="360"/>
      </w:pPr>
    </w:lvl>
    <w:lvl w:ilvl="8" w:tplc="8C621E28" w:tentative="1">
      <w:start w:val="1"/>
      <w:numFmt w:val="lowerRoman"/>
      <w:lvlText w:val="%9."/>
      <w:lvlJc w:val="right"/>
      <w:pPr>
        <w:ind w:left="6262" w:hanging="180"/>
      </w:pPr>
    </w:lvl>
  </w:abstractNum>
  <w:abstractNum w:abstractNumId="19" w15:restartNumberingAfterBreak="0">
    <w:nsid w:val="2E3B5A45"/>
    <w:multiLevelType w:val="hybridMultilevel"/>
    <w:tmpl w:val="9D5E995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EAF2728"/>
    <w:multiLevelType w:val="hybridMultilevel"/>
    <w:tmpl w:val="F1644DB4"/>
    <w:lvl w:ilvl="0" w:tplc="0405000B">
      <w:start w:val="1"/>
      <w:numFmt w:val="bullet"/>
      <w:lvlText w:val=""/>
      <w:lvlJc w:val="left"/>
      <w:pPr>
        <w:ind w:left="720" w:hanging="360"/>
      </w:pPr>
      <w:rPr>
        <w:rFonts w:ascii="Wingdings" w:hAnsi="Wingdings" w:hint="default"/>
      </w:rPr>
    </w:lvl>
    <w:lvl w:ilvl="1" w:tplc="0405000B">
      <w:start w:val="1"/>
      <w:numFmt w:val="bullet"/>
      <w:lvlText w:val=""/>
      <w:lvlJc w:val="left"/>
      <w:pPr>
        <w:ind w:left="1800" w:hanging="72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521483"/>
    <w:multiLevelType w:val="hybridMultilevel"/>
    <w:tmpl w:val="43347B7C"/>
    <w:lvl w:ilvl="0" w:tplc="3D3A5106">
      <w:start w:val="1"/>
      <w:numFmt w:val="decimal"/>
      <w:lvlText w:val="Tabulka č. %1: X"/>
      <w:lvlJc w:val="left"/>
      <w:pPr>
        <w:ind w:left="720" w:hanging="360"/>
      </w:pPr>
      <w:rPr>
        <w:rFonts w:hint="default"/>
      </w:rPr>
    </w:lvl>
    <w:lvl w:ilvl="1" w:tplc="EBA49AD4">
      <w:start w:val="1"/>
      <w:numFmt w:val="decimal"/>
      <w:pStyle w:val="Nzevtabulky"/>
      <w:suff w:val="space"/>
      <w:lvlText w:val="Tabulka č. %2:"/>
      <w:lvlJc w:val="left"/>
      <w:pPr>
        <w:ind w:left="5529" w:hanging="567"/>
      </w:pPr>
      <w:rPr>
        <w:rFonts w:hint="default"/>
        <w:b/>
      </w:rPr>
    </w:lvl>
    <w:lvl w:ilvl="2" w:tplc="D026FD26">
      <w:start w:val="1"/>
      <w:numFmt w:val="lowerRoman"/>
      <w:lvlText w:val="%3."/>
      <w:lvlJc w:val="right"/>
      <w:pPr>
        <w:ind w:left="2160" w:hanging="180"/>
      </w:pPr>
    </w:lvl>
    <w:lvl w:ilvl="3" w:tplc="22E2BE42">
      <w:start w:val="1"/>
      <w:numFmt w:val="decimal"/>
      <w:lvlText w:val="%4."/>
      <w:lvlJc w:val="left"/>
      <w:pPr>
        <w:ind w:left="2880" w:hanging="360"/>
      </w:pPr>
      <w:rPr>
        <w:rFonts w:hint="default"/>
      </w:rPr>
    </w:lvl>
    <w:lvl w:ilvl="4" w:tplc="7BA02E32" w:tentative="1">
      <w:start w:val="1"/>
      <w:numFmt w:val="lowerLetter"/>
      <w:lvlText w:val="%5."/>
      <w:lvlJc w:val="left"/>
      <w:pPr>
        <w:ind w:left="3600" w:hanging="360"/>
      </w:pPr>
    </w:lvl>
    <w:lvl w:ilvl="5" w:tplc="B6D8018C" w:tentative="1">
      <w:start w:val="1"/>
      <w:numFmt w:val="lowerRoman"/>
      <w:lvlText w:val="%6."/>
      <w:lvlJc w:val="right"/>
      <w:pPr>
        <w:ind w:left="4320" w:hanging="180"/>
      </w:pPr>
    </w:lvl>
    <w:lvl w:ilvl="6" w:tplc="C7E2D036" w:tentative="1">
      <w:start w:val="1"/>
      <w:numFmt w:val="decimal"/>
      <w:lvlText w:val="%7."/>
      <w:lvlJc w:val="left"/>
      <w:pPr>
        <w:ind w:left="5040" w:hanging="360"/>
      </w:pPr>
    </w:lvl>
    <w:lvl w:ilvl="7" w:tplc="4A60AFFE" w:tentative="1">
      <w:start w:val="1"/>
      <w:numFmt w:val="lowerLetter"/>
      <w:lvlText w:val="%8."/>
      <w:lvlJc w:val="left"/>
      <w:pPr>
        <w:ind w:left="5760" w:hanging="360"/>
      </w:pPr>
    </w:lvl>
    <w:lvl w:ilvl="8" w:tplc="15026098" w:tentative="1">
      <w:start w:val="1"/>
      <w:numFmt w:val="lowerRoman"/>
      <w:lvlText w:val="%9."/>
      <w:lvlJc w:val="right"/>
      <w:pPr>
        <w:ind w:left="6480" w:hanging="180"/>
      </w:pPr>
    </w:lvl>
  </w:abstractNum>
  <w:abstractNum w:abstractNumId="22" w15:restartNumberingAfterBreak="0">
    <w:nsid w:val="327F65F4"/>
    <w:multiLevelType w:val="hybridMultilevel"/>
    <w:tmpl w:val="0D60702A"/>
    <w:lvl w:ilvl="0" w:tplc="09E28D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2801FD6"/>
    <w:multiLevelType w:val="hybridMultilevel"/>
    <w:tmpl w:val="B39ACE7E"/>
    <w:lvl w:ilvl="0" w:tplc="0405000D">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32F4781"/>
    <w:multiLevelType w:val="hybridMultilevel"/>
    <w:tmpl w:val="DBA612C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3BB83290"/>
    <w:multiLevelType w:val="hybridMultilevel"/>
    <w:tmpl w:val="41D4B1AC"/>
    <w:lvl w:ilvl="0" w:tplc="0764F108">
      <w:start w:val="4"/>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C430C90"/>
    <w:multiLevelType w:val="multilevel"/>
    <w:tmpl w:val="7292AD2A"/>
    <w:styleLink w:val="StylI-aa"/>
    <w:lvl w:ilvl="0">
      <w:start w:val="1"/>
      <w:numFmt w:val="upperRoman"/>
      <w:pStyle w:val="StylI"/>
      <w:lvlText w:val="%1."/>
      <w:lvlJc w:val="left"/>
      <w:pPr>
        <w:ind w:left="360" w:hanging="360"/>
      </w:pPr>
      <w:rPr>
        <w:rFonts w:ascii="Arial" w:hAnsi="Arial" w:cs="Times New Roman" w:hint="default"/>
        <w:sz w:val="22"/>
      </w:rPr>
    </w:lvl>
    <w:lvl w:ilvl="1">
      <w:start w:val="1"/>
      <w:numFmt w:val="decimal"/>
      <w:lvlText w:val="%2"/>
      <w:lvlJc w:val="left"/>
      <w:pPr>
        <w:ind w:left="432" w:hanging="432"/>
      </w:pPr>
      <w:rPr>
        <w:rFonts w:ascii="Arial" w:hAnsi="Arial" w:cs="Times New Roman" w:hint="default"/>
        <w:sz w:val="22"/>
      </w:rPr>
    </w:lvl>
    <w:lvl w:ilvl="2">
      <w:start w:val="1"/>
      <w:numFmt w:val="lowerLetter"/>
      <w:pStyle w:val="Styla"/>
      <w:lvlText w:val="%3)"/>
      <w:lvlJc w:val="left"/>
      <w:pPr>
        <w:ind w:left="504" w:hanging="504"/>
      </w:pPr>
    </w:lvl>
    <w:lvl w:ilvl="3">
      <w:start w:val="1"/>
      <w:numFmt w:val="lowerLetter"/>
      <w:pStyle w:val="Stylaa"/>
      <w:lvlText w:val="%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11E5946"/>
    <w:multiLevelType w:val="hybridMultilevel"/>
    <w:tmpl w:val="EC8EA81E"/>
    <w:lvl w:ilvl="0" w:tplc="AFE207DC">
      <w:start w:val="3"/>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1D66F95"/>
    <w:multiLevelType w:val="multilevel"/>
    <w:tmpl w:val="BFACA0CC"/>
    <w:styleLink w:val="Styl2"/>
    <w:lvl w:ilvl="0">
      <w:start w:val="1"/>
      <w:numFmt w:val="decimal"/>
      <w:lvlText w:val="%1."/>
      <w:lvlJc w:val="left"/>
      <w:pPr>
        <w:ind w:left="646" w:hanging="362"/>
      </w:pPr>
      <w:rPr>
        <w:rFonts w:hint="default"/>
      </w:rPr>
    </w:lvl>
    <w:lvl w:ilvl="1">
      <w:start w:val="1"/>
      <w:numFmt w:val="decimal"/>
      <w:isLgl/>
      <w:lvlText w:val="%1.%2"/>
      <w:lvlJc w:val="left"/>
      <w:pPr>
        <w:ind w:left="646" w:hanging="362"/>
      </w:pPr>
      <w:rPr>
        <w:rFonts w:hint="default"/>
      </w:rPr>
    </w:lvl>
    <w:lvl w:ilvl="2">
      <w:start w:val="1"/>
      <w:numFmt w:val="decimal"/>
      <w:isLgl/>
      <w:lvlText w:val="%1.%2.%3"/>
      <w:lvlJc w:val="left"/>
      <w:pPr>
        <w:ind w:left="646" w:hanging="362"/>
      </w:pPr>
      <w:rPr>
        <w:rFonts w:hint="default"/>
      </w:rPr>
    </w:lvl>
    <w:lvl w:ilvl="3">
      <w:start w:val="1"/>
      <w:numFmt w:val="decimal"/>
      <w:isLgl/>
      <w:lvlText w:val="%1.%2.%3.%4"/>
      <w:lvlJc w:val="left"/>
      <w:pPr>
        <w:ind w:left="646" w:hanging="362"/>
      </w:pPr>
      <w:rPr>
        <w:rFonts w:hint="default"/>
      </w:rPr>
    </w:lvl>
    <w:lvl w:ilvl="4">
      <w:start w:val="1"/>
      <w:numFmt w:val="decimal"/>
      <w:isLgl/>
      <w:lvlText w:val="%1.%2.%3.%4.%5"/>
      <w:lvlJc w:val="left"/>
      <w:pPr>
        <w:ind w:left="646" w:hanging="362"/>
      </w:pPr>
      <w:rPr>
        <w:rFonts w:hint="default"/>
      </w:rPr>
    </w:lvl>
    <w:lvl w:ilvl="5">
      <w:start w:val="1"/>
      <w:numFmt w:val="decimal"/>
      <w:isLgl/>
      <w:lvlText w:val="%1.%2.%3.%4.%5.%6"/>
      <w:lvlJc w:val="left"/>
      <w:pPr>
        <w:ind w:left="646" w:hanging="362"/>
      </w:pPr>
      <w:rPr>
        <w:rFonts w:hint="default"/>
      </w:rPr>
    </w:lvl>
    <w:lvl w:ilvl="6">
      <w:start w:val="1"/>
      <w:numFmt w:val="decimal"/>
      <w:isLgl/>
      <w:lvlText w:val="%1.%2.%3.%4.%5.%6.%7"/>
      <w:lvlJc w:val="left"/>
      <w:pPr>
        <w:ind w:left="646" w:hanging="362"/>
      </w:pPr>
      <w:rPr>
        <w:rFonts w:hint="default"/>
      </w:rPr>
    </w:lvl>
    <w:lvl w:ilvl="7">
      <w:start w:val="1"/>
      <w:numFmt w:val="decimal"/>
      <w:isLgl/>
      <w:lvlText w:val="%1.%2.%3.%4.%5.%6.%7.%8"/>
      <w:lvlJc w:val="left"/>
      <w:pPr>
        <w:ind w:left="646" w:hanging="362"/>
      </w:pPr>
      <w:rPr>
        <w:rFonts w:hint="default"/>
      </w:rPr>
    </w:lvl>
    <w:lvl w:ilvl="8">
      <w:start w:val="1"/>
      <w:numFmt w:val="decimal"/>
      <w:isLgl/>
      <w:lvlText w:val="%1.%2.%3.%4.%5.%6.%7.%8.%9"/>
      <w:lvlJc w:val="left"/>
      <w:pPr>
        <w:ind w:left="646" w:hanging="362"/>
      </w:pPr>
      <w:rPr>
        <w:rFonts w:hint="default"/>
      </w:rPr>
    </w:lvl>
  </w:abstractNum>
  <w:abstractNum w:abstractNumId="29" w15:restartNumberingAfterBreak="0">
    <w:nsid w:val="44227F76"/>
    <w:multiLevelType w:val="hybridMultilevel"/>
    <w:tmpl w:val="5A0AA6EC"/>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45F05E6B"/>
    <w:multiLevelType w:val="hybridMultilevel"/>
    <w:tmpl w:val="12B0377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6142827"/>
    <w:multiLevelType w:val="hybridMultilevel"/>
    <w:tmpl w:val="3A96F01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DA4A12"/>
    <w:multiLevelType w:val="hybridMultilevel"/>
    <w:tmpl w:val="B6A2D5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7F41EBC"/>
    <w:multiLevelType w:val="hybridMultilevel"/>
    <w:tmpl w:val="5AAAB844"/>
    <w:lvl w:ilvl="0" w:tplc="04050001">
      <w:start w:val="1"/>
      <w:numFmt w:val="bullet"/>
      <w:lvlText w:val=""/>
      <w:lvlJc w:val="left"/>
      <w:pPr>
        <w:ind w:left="763" w:hanging="360"/>
      </w:pPr>
      <w:rPr>
        <w:rFonts w:ascii="Symbol" w:hAnsi="Symbol" w:hint="default"/>
      </w:rPr>
    </w:lvl>
    <w:lvl w:ilvl="1" w:tplc="04050003" w:tentative="1">
      <w:start w:val="1"/>
      <w:numFmt w:val="bullet"/>
      <w:lvlText w:val="o"/>
      <w:lvlJc w:val="left"/>
      <w:pPr>
        <w:ind w:left="1483" w:hanging="360"/>
      </w:pPr>
      <w:rPr>
        <w:rFonts w:ascii="Courier New" w:hAnsi="Courier New" w:cs="Courier New" w:hint="default"/>
      </w:rPr>
    </w:lvl>
    <w:lvl w:ilvl="2" w:tplc="04050005" w:tentative="1">
      <w:start w:val="1"/>
      <w:numFmt w:val="bullet"/>
      <w:lvlText w:val=""/>
      <w:lvlJc w:val="left"/>
      <w:pPr>
        <w:ind w:left="2203" w:hanging="360"/>
      </w:pPr>
      <w:rPr>
        <w:rFonts w:ascii="Wingdings" w:hAnsi="Wingdings" w:hint="default"/>
      </w:rPr>
    </w:lvl>
    <w:lvl w:ilvl="3" w:tplc="04050001" w:tentative="1">
      <w:start w:val="1"/>
      <w:numFmt w:val="bullet"/>
      <w:lvlText w:val=""/>
      <w:lvlJc w:val="left"/>
      <w:pPr>
        <w:ind w:left="2923" w:hanging="360"/>
      </w:pPr>
      <w:rPr>
        <w:rFonts w:ascii="Symbol" w:hAnsi="Symbol" w:hint="default"/>
      </w:rPr>
    </w:lvl>
    <w:lvl w:ilvl="4" w:tplc="04050003" w:tentative="1">
      <w:start w:val="1"/>
      <w:numFmt w:val="bullet"/>
      <w:lvlText w:val="o"/>
      <w:lvlJc w:val="left"/>
      <w:pPr>
        <w:ind w:left="3643" w:hanging="360"/>
      </w:pPr>
      <w:rPr>
        <w:rFonts w:ascii="Courier New" w:hAnsi="Courier New" w:cs="Courier New" w:hint="default"/>
      </w:rPr>
    </w:lvl>
    <w:lvl w:ilvl="5" w:tplc="04050005" w:tentative="1">
      <w:start w:val="1"/>
      <w:numFmt w:val="bullet"/>
      <w:lvlText w:val=""/>
      <w:lvlJc w:val="left"/>
      <w:pPr>
        <w:ind w:left="4363" w:hanging="360"/>
      </w:pPr>
      <w:rPr>
        <w:rFonts w:ascii="Wingdings" w:hAnsi="Wingdings" w:hint="default"/>
      </w:rPr>
    </w:lvl>
    <w:lvl w:ilvl="6" w:tplc="04050001" w:tentative="1">
      <w:start w:val="1"/>
      <w:numFmt w:val="bullet"/>
      <w:lvlText w:val=""/>
      <w:lvlJc w:val="left"/>
      <w:pPr>
        <w:ind w:left="5083" w:hanging="360"/>
      </w:pPr>
      <w:rPr>
        <w:rFonts w:ascii="Symbol" w:hAnsi="Symbol" w:hint="default"/>
      </w:rPr>
    </w:lvl>
    <w:lvl w:ilvl="7" w:tplc="04050003" w:tentative="1">
      <w:start w:val="1"/>
      <w:numFmt w:val="bullet"/>
      <w:lvlText w:val="o"/>
      <w:lvlJc w:val="left"/>
      <w:pPr>
        <w:ind w:left="5803" w:hanging="360"/>
      </w:pPr>
      <w:rPr>
        <w:rFonts w:ascii="Courier New" w:hAnsi="Courier New" w:cs="Courier New" w:hint="default"/>
      </w:rPr>
    </w:lvl>
    <w:lvl w:ilvl="8" w:tplc="04050005" w:tentative="1">
      <w:start w:val="1"/>
      <w:numFmt w:val="bullet"/>
      <w:lvlText w:val=""/>
      <w:lvlJc w:val="left"/>
      <w:pPr>
        <w:ind w:left="6523" w:hanging="360"/>
      </w:pPr>
      <w:rPr>
        <w:rFonts w:ascii="Wingdings" w:hAnsi="Wingdings" w:hint="default"/>
      </w:rPr>
    </w:lvl>
  </w:abstractNum>
  <w:abstractNum w:abstractNumId="34" w15:restartNumberingAfterBreak="0">
    <w:nsid w:val="48E12BDA"/>
    <w:multiLevelType w:val="hybridMultilevel"/>
    <w:tmpl w:val="2E409F8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4A4D34AB"/>
    <w:multiLevelType w:val="hybridMultilevel"/>
    <w:tmpl w:val="E83037E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ED745A7"/>
    <w:multiLevelType w:val="hybridMultilevel"/>
    <w:tmpl w:val="8F96DF5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0480FED"/>
    <w:multiLevelType w:val="hybridMultilevel"/>
    <w:tmpl w:val="7034DE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31172B4"/>
    <w:multiLevelType w:val="hybridMultilevel"/>
    <w:tmpl w:val="5736346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78E3D73"/>
    <w:multiLevelType w:val="hybridMultilevel"/>
    <w:tmpl w:val="51DA8A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5BC56368"/>
    <w:multiLevelType w:val="hybridMultilevel"/>
    <w:tmpl w:val="CDEA1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E81477E"/>
    <w:multiLevelType w:val="hybridMultilevel"/>
    <w:tmpl w:val="2E5024B4"/>
    <w:lvl w:ilvl="0" w:tplc="D730EC04">
      <w:start w:val="1"/>
      <w:numFmt w:val="bullet"/>
      <w:lvlText w:val=""/>
      <w:lvlJc w:val="left"/>
      <w:pPr>
        <w:tabs>
          <w:tab w:val="num" w:pos="720"/>
        </w:tabs>
        <w:ind w:left="720" w:hanging="360"/>
      </w:pPr>
      <w:rPr>
        <w:rFonts w:ascii="Wingdings" w:hAnsi="Wingdings" w:hint="default"/>
      </w:rPr>
    </w:lvl>
    <w:lvl w:ilvl="1" w:tplc="D96A3666">
      <w:start w:val="1"/>
      <w:numFmt w:val="bullet"/>
      <w:lvlText w:val=""/>
      <w:lvlJc w:val="left"/>
      <w:pPr>
        <w:tabs>
          <w:tab w:val="num" w:pos="1440"/>
        </w:tabs>
        <w:ind w:left="1440" w:hanging="360"/>
      </w:pPr>
      <w:rPr>
        <w:rFonts w:ascii="Wingdings" w:hAnsi="Wingdings" w:hint="default"/>
      </w:rPr>
    </w:lvl>
    <w:lvl w:ilvl="2" w:tplc="668687E8" w:tentative="1">
      <w:start w:val="1"/>
      <w:numFmt w:val="bullet"/>
      <w:lvlText w:val=""/>
      <w:lvlJc w:val="left"/>
      <w:pPr>
        <w:tabs>
          <w:tab w:val="num" w:pos="2160"/>
        </w:tabs>
        <w:ind w:left="2160" w:hanging="360"/>
      </w:pPr>
      <w:rPr>
        <w:rFonts w:ascii="Wingdings" w:hAnsi="Wingdings" w:hint="default"/>
      </w:rPr>
    </w:lvl>
    <w:lvl w:ilvl="3" w:tplc="509E20E4" w:tentative="1">
      <w:start w:val="1"/>
      <w:numFmt w:val="bullet"/>
      <w:lvlText w:val=""/>
      <w:lvlJc w:val="left"/>
      <w:pPr>
        <w:tabs>
          <w:tab w:val="num" w:pos="2880"/>
        </w:tabs>
        <w:ind w:left="2880" w:hanging="360"/>
      </w:pPr>
      <w:rPr>
        <w:rFonts w:ascii="Wingdings" w:hAnsi="Wingdings" w:hint="default"/>
      </w:rPr>
    </w:lvl>
    <w:lvl w:ilvl="4" w:tplc="14A2FB64" w:tentative="1">
      <w:start w:val="1"/>
      <w:numFmt w:val="bullet"/>
      <w:lvlText w:val=""/>
      <w:lvlJc w:val="left"/>
      <w:pPr>
        <w:tabs>
          <w:tab w:val="num" w:pos="3600"/>
        </w:tabs>
        <w:ind w:left="3600" w:hanging="360"/>
      </w:pPr>
      <w:rPr>
        <w:rFonts w:ascii="Wingdings" w:hAnsi="Wingdings" w:hint="default"/>
      </w:rPr>
    </w:lvl>
    <w:lvl w:ilvl="5" w:tplc="B4E444B0" w:tentative="1">
      <w:start w:val="1"/>
      <w:numFmt w:val="bullet"/>
      <w:lvlText w:val=""/>
      <w:lvlJc w:val="left"/>
      <w:pPr>
        <w:tabs>
          <w:tab w:val="num" w:pos="4320"/>
        </w:tabs>
        <w:ind w:left="4320" w:hanging="360"/>
      </w:pPr>
      <w:rPr>
        <w:rFonts w:ascii="Wingdings" w:hAnsi="Wingdings" w:hint="default"/>
      </w:rPr>
    </w:lvl>
    <w:lvl w:ilvl="6" w:tplc="6B1EC730" w:tentative="1">
      <w:start w:val="1"/>
      <w:numFmt w:val="bullet"/>
      <w:lvlText w:val=""/>
      <w:lvlJc w:val="left"/>
      <w:pPr>
        <w:tabs>
          <w:tab w:val="num" w:pos="5040"/>
        </w:tabs>
        <w:ind w:left="5040" w:hanging="360"/>
      </w:pPr>
      <w:rPr>
        <w:rFonts w:ascii="Wingdings" w:hAnsi="Wingdings" w:hint="default"/>
      </w:rPr>
    </w:lvl>
    <w:lvl w:ilvl="7" w:tplc="104C928C" w:tentative="1">
      <w:start w:val="1"/>
      <w:numFmt w:val="bullet"/>
      <w:lvlText w:val=""/>
      <w:lvlJc w:val="left"/>
      <w:pPr>
        <w:tabs>
          <w:tab w:val="num" w:pos="5760"/>
        </w:tabs>
        <w:ind w:left="5760" w:hanging="360"/>
      </w:pPr>
      <w:rPr>
        <w:rFonts w:ascii="Wingdings" w:hAnsi="Wingdings" w:hint="default"/>
      </w:rPr>
    </w:lvl>
    <w:lvl w:ilvl="8" w:tplc="A650C7C4"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0FC6A53"/>
    <w:multiLevelType w:val="hybridMultilevel"/>
    <w:tmpl w:val="8E7212C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62C27C5A"/>
    <w:multiLevelType w:val="hybridMultilevel"/>
    <w:tmpl w:val="DD6E6C9E"/>
    <w:lvl w:ilvl="0" w:tplc="0405000D">
      <w:start w:val="1"/>
      <w:numFmt w:val="bullet"/>
      <w:lvlText w:val=""/>
      <w:lvlJc w:val="left"/>
      <w:pPr>
        <w:ind w:left="720" w:hanging="360"/>
      </w:pPr>
      <w:rPr>
        <w:rFonts w:ascii="Wingdings" w:hAnsi="Wingdings"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3613E58"/>
    <w:multiLevelType w:val="hybridMultilevel"/>
    <w:tmpl w:val="F520524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73E7D72"/>
    <w:multiLevelType w:val="hybridMultilevel"/>
    <w:tmpl w:val="C958EF1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674107EB"/>
    <w:multiLevelType w:val="hybridMultilevel"/>
    <w:tmpl w:val="CD6E9468"/>
    <w:lvl w:ilvl="0" w:tplc="1EDA123E">
      <w:start w:val="1"/>
      <w:numFmt w:val="decimal"/>
      <w:pStyle w:val="Styl1-1"/>
      <w:lvlText w:val="%1."/>
      <w:lvlJc w:val="left"/>
      <w:pPr>
        <w:ind w:left="9433" w:hanging="360"/>
      </w:pPr>
      <w:rPr>
        <w:b w:val="0"/>
      </w:rPr>
    </w:lvl>
    <w:lvl w:ilvl="1" w:tplc="205E3AEE">
      <w:start w:val="1"/>
      <w:numFmt w:val="lowerLetter"/>
      <w:lvlText w:val="%2."/>
      <w:lvlJc w:val="left"/>
      <w:pPr>
        <w:ind w:left="9161" w:hanging="360"/>
      </w:pPr>
    </w:lvl>
    <w:lvl w:ilvl="2" w:tplc="37727B68">
      <w:start w:val="1"/>
      <w:numFmt w:val="lowerRoman"/>
      <w:lvlText w:val="%3."/>
      <w:lvlJc w:val="right"/>
      <w:pPr>
        <w:ind w:left="9881" w:hanging="180"/>
      </w:pPr>
    </w:lvl>
    <w:lvl w:ilvl="3" w:tplc="A6C8F0BE">
      <w:start w:val="1"/>
      <w:numFmt w:val="decimal"/>
      <w:lvlText w:val="%4."/>
      <w:lvlJc w:val="left"/>
      <w:pPr>
        <w:ind w:left="10601" w:hanging="360"/>
      </w:pPr>
    </w:lvl>
    <w:lvl w:ilvl="4" w:tplc="5CA0FF0A">
      <w:start w:val="1"/>
      <w:numFmt w:val="lowerLetter"/>
      <w:lvlText w:val="%5."/>
      <w:lvlJc w:val="left"/>
      <w:pPr>
        <w:ind w:left="11321" w:hanging="360"/>
      </w:pPr>
    </w:lvl>
    <w:lvl w:ilvl="5" w:tplc="DF18412E">
      <w:start w:val="1"/>
      <w:numFmt w:val="lowerRoman"/>
      <w:lvlText w:val="%6."/>
      <w:lvlJc w:val="right"/>
      <w:pPr>
        <w:ind w:left="12041" w:hanging="180"/>
      </w:pPr>
    </w:lvl>
    <w:lvl w:ilvl="6" w:tplc="CFFEFE3C">
      <w:start w:val="1"/>
      <w:numFmt w:val="decimal"/>
      <w:lvlText w:val="%7."/>
      <w:lvlJc w:val="left"/>
      <w:pPr>
        <w:ind w:left="12761" w:hanging="360"/>
      </w:pPr>
    </w:lvl>
    <w:lvl w:ilvl="7" w:tplc="D38AFA14">
      <w:start w:val="1"/>
      <w:numFmt w:val="lowerLetter"/>
      <w:lvlText w:val="%8."/>
      <w:lvlJc w:val="left"/>
      <w:pPr>
        <w:ind w:left="13481" w:hanging="360"/>
      </w:pPr>
    </w:lvl>
    <w:lvl w:ilvl="8" w:tplc="6B0C1714">
      <w:start w:val="1"/>
      <w:numFmt w:val="lowerRoman"/>
      <w:lvlText w:val="%9."/>
      <w:lvlJc w:val="right"/>
      <w:pPr>
        <w:ind w:left="14201" w:hanging="180"/>
      </w:pPr>
    </w:lvl>
  </w:abstractNum>
  <w:abstractNum w:abstractNumId="47" w15:restartNumberingAfterBreak="0">
    <w:nsid w:val="691B774F"/>
    <w:multiLevelType w:val="hybridMultilevel"/>
    <w:tmpl w:val="64963762"/>
    <w:lvl w:ilvl="0" w:tplc="EC4A7F40">
      <w:start w:val="1"/>
      <w:numFmt w:val="bullet"/>
      <w:pStyle w:val="Fous"/>
      <w:lvlText w:val=""/>
      <w:lvlJc w:val="left"/>
      <w:pPr>
        <w:tabs>
          <w:tab w:val="num" w:pos="722"/>
        </w:tabs>
        <w:ind w:left="722" w:hanging="382"/>
      </w:pPr>
      <w:rPr>
        <w:rFonts w:ascii="Symbol" w:hAnsi="Symbol" w:hint="default"/>
      </w:rPr>
    </w:lvl>
    <w:lvl w:ilvl="1" w:tplc="4D10C794" w:tentative="1">
      <w:start w:val="1"/>
      <w:numFmt w:val="bullet"/>
      <w:lvlText w:val="o"/>
      <w:lvlJc w:val="left"/>
      <w:pPr>
        <w:tabs>
          <w:tab w:val="num" w:pos="1442"/>
        </w:tabs>
        <w:ind w:left="1442" w:hanging="360"/>
      </w:pPr>
      <w:rPr>
        <w:rFonts w:ascii="Courier New" w:hAnsi="Courier New" w:hint="default"/>
      </w:rPr>
    </w:lvl>
    <w:lvl w:ilvl="2" w:tplc="EF0C45CE" w:tentative="1">
      <w:start w:val="1"/>
      <w:numFmt w:val="bullet"/>
      <w:lvlText w:val=""/>
      <w:lvlJc w:val="left"/>
      <w:pPr>
        <w:tabs>
          <w:tab w:val="num" w:pos="2162"/>
        </w:tabs>
        <w:ind w:left="2162" w:hanging="360"/>
      </w:pPr>
      <w:rPr>
        <w:rFonts w:ascii="Wingdings" w:hAnsi="Wingdings" w:hint="default"/>
      </w:rPr>
    </w:lvl>
    <w:lvl w:ilvl="3" w:tplc="4EE89D6A" w:tentative="1">
      <w:start w:val="1"/>
      <w:numFmt w:val="bullet"/>
      <w:lvlText w:val=""/>
      <w:lvlJc w:val="left"/>
      <w:pPr>
        <w:tabs>
          <w:tab w:val="num" w:pos="2882"/>
        </w:tabs>
        <w:ind w:left="2882" w:hanging="360"/>
      </w:pPr>
      <w:rPr>
        <w:rFonts w:ascii="Symbol" w:hAnsi="Symbol" w:hint="default"/>
      </w:rPr>
    </w:lvl>
    <w:lvl w:ilvl="4" w:tplc="5BF404A8" w:tentative="1">
      <w:start w:val="1"/>
      <w:numFmt w:val="bullet"/>
      <w:lvlText w:val="o"/>
      <w:lvlJc w:val="left"/>
      <w:pPr>
        <w:tabs>
          <w:tab w:val="num" w:pos="3602"/>
        </w:tabs>
        <w:ind w:left="3602" w:hanging="360"/>
      </w:pPr>
      <w:rPr>
        <w:rFonts w:ascii="Courier New" w:hAnsi="Courier New" w:hint="default"/>
      </w:rPr>
    </w:lvl>
    <w:lvl w:ilvl="5" w:tplc="03343642" w:tentative="1">
      <w:start w:val="1"/>
      <w:numFmt w:val="bullet"/>
      <w:lvlText w:val=""/>
      <w:lvlJc w:val="left"/>
      <w:pPr>
        <w:tabs>
          <w:tab w:val="num" w:pos="4322"/>
        </w:tabs>
        <w:ind w:left="4322" w:hanging="360"/>
      </w:pPr>
      <w:rPr>
        <w:rFonts w:ascii="Wingdings" w:hAnsi="Wingdings" w:hint="default"/>
      </w:rPr>
    </w:lvl>
    <w:lvl w:ilvl="6" w:tplc="0BE234B2" w:tentative="1">
      <w:start w:val="1"/>
      <w:numFmt w:val="bullet"/>
      <w:lvlText w:val=""/>
      <w:lvlJc w:val="left"/>
      <w:pPr>
        <w:tabs>
          <w:tab w:val="num" w:pos="5042"/>
        </w:tabs>
        <w:ind w:left="5042" w:hanging="360"/>
      </w:pPr>
      <w:rPr>
        <w:rFonts w:ascii="Symbol" w:hAnsi="Symbol" w:hint="default"/>
      </w:rPr>
    </w:lvl>
    <w:lvl w:ilvl="7" w:tplc="00EA65D2" w:tentative="1">
      <w:start w:val="1"/>
      <w:numFmt w:val="bullet"/>
      <w:lvlText w:val="o"/>
      <w:lvlJc w:val="left"/>
      <w:pPr>
        <w:tabs>
          <w:tab w:val="num" w:pos="5762"/>
        </w:tabs>
        <w:ind w:left="5762" w:hanging="360"/>
      </w:pPr>
      <w:rPr>
        <w:rFonts w:ascii="Courier New" w:hAnsi="Courier New" w:hint="default"/>
      </w:rPr>
    </w:lvl>
    <w:lvl w:ilvl="8" w:tplc="915AC2AA" w:tentative="1">
      <w:start w:val="1"/>
      <w:numFmt w:val="bullet"/>
      <w:lvlText w:val=""/>
      <w:lvlJc w:val="left"/>
      <w:pPr>
        <w:tabs>
          <w:tab w:val="num" w:pos="6482"/>
        </w:tabs>
        <w:ind w:left="6482" w:hanging="360"/>
      </w:pPr>
      <w:rPr>
        <w:rFonts w:ascii="Wingdings" w:hAnsi="Wingdings" w:hint="default"/>
      </w:rPr>
    </w:lvl>
  </w:abstractNum>
  <w:abstractNum w:abstractNumId="48" w15:restartNumberingAfterBreak="0">
    <w:nsid w:val="6A866DA0"/>
    <w:multiLevelType w:val="hybridMultilevel"/>
    <w:tmpl w:val="E728AC18"/>
    <w:lvl w:ilvl="0" w:tplc="53C03C7A">
      <w:start w:val="1"/>
      <w:numFmt w:val="decimal"/>
      <w:pStyle w:val="Styl1"/>
      <w:lvlText w:val="%1."/>
      <w:lvlJc w:val="left"/>
      <w:pPr>
        <w:ind w:left="357" w:hanging="357"/>
      </w:pPr>
      <w:rPr>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specVanish w:val="0"/>
      </w:rPr>
    </w:lvl>
    <w:lvl w:ilvl="1" w:tplc="98489F90">
      <w:start w:val="1"/>
      <w:numFmt w:val="lowerLetter"/>
      <w:lvlText w:val="%2."/>
      <w:lvlJc w:val="left"/>
      <w:pPr>
        <w:ind w:left="1440" w:hanging="360"/>
      </w:pPr>
    </w:lvl>
    <w:lvl w:ilvl="2" w:tplc="F864D9E6">
      <w:start w:val="1"/>
      <w:numFmt w:val="lowerRoman"/>
      <w:lvlText w:val="%3."/>
      <w:lvlJc w:val="right"/>
      <w:pPr>
        <w:ind w:left="2160" w:hanging="180"/>
      </w:pPr>
    </w:lvl>
    <w:lvl w:ilvl="3" w:tplc="F264764E">
      <w:start w:val="1"/>
      <w:numFmt w:val="decimal"/>
      <w:lvlText w:val="%4."/>
      <w:lvlJc w:val="left"/>
      <w:pPr>
        <w:ind w:left="2880" w:hanging="360"/>
      </w:pPr>
    </w:lvl>
    <w:lvl w:ilvl="4" w:tplc="1D24723E">
      <w:start w:val="1"/>
      <w:numFmt w:val="lowerLetter"/>
      <w:lvlText w:val="%5."/>
      <w:lvlJc w:val="left"/>
      <w:pPr>
        <w:ind w:left="3600" w:hanging="360"/>
      </w:pPr>
    </w:lvl>
    <w:lvl w:ilvl="5" w:tplc="1CF2DC86">
      <w:start w:val="1"/>
      <w:numFmt w:val="lowerRoman"/>
      <w:lvlText w:val="%6."/>
      <w:lvlJc w:val="right"/>
      <w:pPr>
        <w:ind w:left="4320" w:hanging="180"/>
      </w:pPr>
    </w:lvl>
    <w:lvl w:ilvl="6" w:tplc="BD169A1E">
      <w:start w:val="1"/>
      <w:numFmt w:val="decimal"/>
      <w:lvlText w:val="%7."/>
      <w:lvlJc w:val="left"/>
      <w:pPr>
        <w:ind w:left="5040" w:hanging="360"/>
      </w:pPr>
    </w:lvl>
    <w:lvl w:ilvl="7" w:tplc="E2D8F364">
      <w:start w:val="1"/>
      <w:numFmt w:val="lowerLetter"/>
      <w:lvlText w:val="%8."/>
      <w:lvlJc w:val="left"/>
      <w:pPr>
        <w:ind w:left="5760" w:hanging="360"/>
      </w:pPr>
    </w:lvl>
    <w:lvl w:ilvl="8" w:tplc="DE5882FE">
      <w:start w:val="1"/>
      <w:numFmt w:val="lowerRoman"/>
      <w:lvlText w:val="%9."/>
      <w:lvlJc w:val="right"/>
      <w:pPr>
        <w:ind w:left="6480" w:hanging="180"/>
      </w:pPr>
    </w:lvl>
  </w:abstractNum>
  <w:abstractNum w:abstractNumId="49" w15:restartNumberingAfterBreak="0">
    <w:nsid w:val="6D274129"/>
    <w:multiLevelType w:val="hybridMultilevel"/>
    <w:tmpl w:val="F39EB98E"/>
    <w:lvl w:ilvl="0" w:tplc="BC2204F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F3C2D5C"/>
    <w:multiLevelType w:val="hybridMultilevel"/>
    <w:tmpl w:val="6F9C2F6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0176D18"/>
    <w:multiLevelType w:val="hybridMultilevel"/>
    <w:tmpl w:val="172C63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2" w15:restartNumberingAfterBreak="0">
    <w:nsid w:val="73E44ADC"/>
    <w:multiLevelType w:val="hybridMultilevel"/>
    <w:tmpl w:val="1E783AA8"/>
    <w:lvl w:ilvl="0" w:tplc="09E28DE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7E02BAF"/>
    <w:multiLevelType w:val="hybridMultilevel"/>
    <w:tmpl w:val="267CF1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84B366C"/>
    <w:multiLevelType w:val="hybridMultilevel"/>
    <w:tmpl w:val="F612993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98F3F03"/>
    <w:multiLevelType w:val="hybridMultilevel"/>
    <w:tmpl w:val="EEE438F2"/>
    <w:lvl w:ilvl="0" w:tplc="04050001">
      <w:start w:val="1"/>
      <w:numFmt w:val="bullet"/>
      <w:lvlText w:val=""/>
      <w:lvlJc w:val="left"/>
      <w:pPr>
        <w:ind w:left="763" w:hanging="360"/>
      </w:pPr>
      <w:rPr>
        <w:rFonts w:ascii="Symbol" w:hAnsi="Symbol" w:hint="default"/>
      </w:rPr>
    </w:lvl>
    <w:lvl w:ilvl="1" w:tplc="04050003" w:tentative="1">
      <w:start w:val="1"/>
      <w:numFmt w:val="bullet"/>
      <w:lvlText w:val="o"/>
      <w:lvlJc w:val="left"/>
      <w:pPr>
        <w:ind w:left="1483" w:hanging="360"/>
      </w:pPr>
      <w:rPr>
        <w:rFonts w:ascii="Courier New" w:hAnsi="Courier New" w:cs="Courier New" w:hint="default"/>
      </w:rPr>
    </w:lvl>
    <w:lvl w:ilvl="2" w:tplc="04050005" w:tentative="1">
      <w:start w:val="1"/>
      <w:numFmt w:val="bullet"/>
      <w:lvlText w:val=""/>
      <w:lvlJc w:val="left"/>
      <w:pPr>
        <w:ind w:left="2203" w:hanging="360"/>
      </w:pPr>
      <w:rPr>
        <w:rFonts w:ascii="Wingdings" w:hAnsi="Wingdings" w:hint="default"/>
      </w:rPr>
    </w:lvl>
    <w:lvl w:ilvl="3" w:tplc="04050001" w:tentative="1">
      <w:start w:val="1"/>
      <w:numFmt w:val="bullet"/>
      <w:lvlText w:val=""/>
      <w:lvlJc w:val="left"/>
      <w:pPr>
        <w:ind w:left="2923" w:hanging="360"/>
      </w:pPr>
      <w:rPr>
        <w:rFonts w:ascii="Symbol" w:hAnsi="Symbol" w:hint="default"/>
      </w:rPr>
    </w:lvl>
    <w:lvl w:ilvl="4" w:tplc="04050003" w:tentative="1">
      <w:start w:val="1"/>
      <w:numFmt w:val="bullet"/>
      <w:lvlText w:val="o"/>
      <w:lvlJc w:val="left"/>
      <w:pPr>
        <w:ind w:left="3643" w:hanging="360"/>
      </w:pPr>
      <w:rPr>
        <w:rFonts w:ascii="Courier New" w:hAnsi="Courier New" w:cs="Courier New" w:hint="default"/>
      </w:rPr>
    </w:lvl>
    <w:lvl w:ilvl="5" w:tplc="04050005" w:tentative="1">
      <w:start w:val="1"/>
      <w:numFmt w:val="bullet"/>
      <w:lvlText w:val=""/>
      <w:lvlJc w:val="left"/>
      <w:pPr>
        <w:ind w:left="4363" w:hanging="360"/>
      </w:pPr>
      <w:rPr>
        <w:rFonts w:ascii="Wingdings" w:hAnsi="Wingdings" w:hint="default"/>
      </w:rPr>
    </w:lvl>
    <w:lvl w:ilvl="6" w:tplc="04050001" w:tentative="1">
      <w:start w:val="1"/>
      <w:numFmt w:val="bullet"/>
      <w:lvlText w:val=""/>
      <w:lvlJc w:val="left"/>
      <w:pPr>
        <w:ind w:left="5083" w:hanging="360"/>
      </w:pPr>
      <w:rPr>
        <w:rFonts w:ascii="Symbol" w:hAnsi="Symbol" w:hint="default"/>
      </w:rPr>
    </w:lvl>
    <w:lvl w:ilvl="7" w:tplc="04050003" w:tentative="1">
      <w:start w:val="1"/>
      <w:numFmt w:val="bullet"/>
      <w:lvlText w:val="o"/>
      <w:lvlJc w:val="left"/>
      <w:pPr>
        <w:ind w:left="5803" w:hanging="360"/>
      </w:pPr>
      <w:rPr>
        <w:rFonts w:ascii="Courier New" w:hAnsi="Courier New" w:cs="Courier New" w:hint="default"/>
      </w:rPr>
    </w:lvl>
    <w:lvl w:ilvl="8" w:tplc="04050005" w:tentative="1">
      <w:start w:val="1"/>
      <w:numFmt w:val="bullet"/>
      <w:lvlText w:val=""/>
      <w:lvlJc w:val="left"/>
      <w:pPr>
        <w:ind w:left="6523" w:hanging="360"/>
      </w:pPr>
      <w:rPr>
        <w:rFonts w:ascii="Wingdings" w:hAnsi="Wingdings" w:hint="default"/>
      </w:rPr>
    </w:lvl>
  </w:abstractNum>
  <w:abstractNum w:abstractNumId="56" w15:restartNumberingAfterBreak="0">
    <w:nsid w:val="7A0329B6"/>
    <w:multiLevelType w:val="hybridMultilevel"/>
    <w:tmpl w:val="C0D6667C"/>
    <w:lvl w:ilvl="0" w:tplc="E0A24272">
      <w:start w:val="1"/>
      <w:numFmt w:val="decimal"/>
      <w:pStyle w:val="tabulka"/>
      <w:lvlText w:val="Tabulka č. %1:"/>
      <w:lvlJc w:val="left"/>
      <w:pPr>
        <w:ind w:left="6314"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sz w:val="24"/>
        <w:szCs w:val="24"/>
        <w:u w:val="none"/>
        <w:effect w:val="none"/>
        <w:vertAlign w:val="baseline"/>
        <w:specVanish w:val="0"/>
      </w:rPr>
    </w:lvl>
    <w:lvl w:ilvl="1" w:tplc="5E44EEBA">
      <w:start w:val="1"/>
      <w:numFmt w:val="lowerLetter"/>
      <w:lvlText w:val="%2."/>
      <w:lvlJc w:val="left"/>
      <w:pPr>
        <w:ind w:left="1440" w:hanging="360"/>
      </w:pPr>
    </w:lvl>
    <w:lvl w:ilvl="2" w:tplc="D512B9BE">
      <w:start w:val="1"/>
      <w:numFmt w:val="lowerRoman"/>
      <w:lvlText w:val="%3."/>
      <w:lvlJc w:val="right"/>
      <w:pPr>
        <w:ind w:left="2160" w:hanging="180"/>
      </w:pPr>
    </w:lvl>
    <w:lvl w:ilvl="3" w:tplc="600AF70A">
      <w:start w:val="1"/>
      <w:numFmt w:val="decimal"/>
      <w:lvlText w:val="%4."/>
      <w:lvlJc w:val="left"/>
      <w:pPr>
        <w:ind w:left="2880" w:hanging="360"/>
      </w:pPr>
    </w:lvl>
    <w:lvl w:ilvl="4" w:tplc="F9D4F6E8">
      <w:start w:val="1"/>
      <w:numFmt w:val="lowerLetter"/>
      <w:lvlText w:val="%5."/>
      <w:lvlJc w:val="left"/>
      <w:pPr>
        <w:ind w:left="3600" w:hanging="360"/>
      </w:pPr>
    </w:lvl>
    <w:lvl w:ilvl="5" w:tplc="ED3CCCD0">
      <w:start w:val="1"/>
      <w:numFmt w:val="lowerRoman"/>
      <w:lvlText w:val="%6."/>
      <w:lvlJc w:val="right"/>
      <w:pPr>
        <w:ind w:left="4320" w:hanging="180"/>
      </w:pPr>
    </w:lvl>
    <w:lvl w:ilvl="6" w:tplc="BEA0A3F6">
      <w:start w:val="1"/>
      <w:numFmt w:val="decimal"/>
      <w:lvlText w:val="%7."/>
      <w:lvlJc w:val="left"/>
      <w:pPr>
        <w:ind w:left="5040" w:hanging="360"/>
      </w:pPr>
    </w:lvl>
    <w:lvl w:ilvl="7" w:tplc="96AA6310">
      <w:start w:val="1"/>
      <w:numFmt w:val="lowerLetter"/>
      <w:lvlText w:val="%8."/>
      <w:lvlJc w:val="left"/>
      <w:pPr>
        <w:ind w:left="5760" w:hanging="360"/>
      </w:pPr>
    </w:lvl>
    <w:lvl w:ilvl="8" w:tplc="E2349B90">
      <w:start w:val="1"/>
      <w:numFmt w:val="lowerRoman"/>
      <w:lvlText w:val="%9."/>
      <w:lvlJc w:val="right"/>
      <w:pPr>
        <w:ind w:left="6480" w:hanging="180"/>
      </w:pPr>
    </w:lvl>
  </w:abstractNum>
  <w:abstractNum w:abstractNumId="57" w15:restartNumberingAfterBreak="0">
    <w:nsid w:val="7CEB0FD3"/>
    <w:multiLevelType w:val="hybridMultilevel"/>
    <w:tmpl w:val="9F9A4FE2"/>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8" w15:restartNumberingAfterBreak="0">
    <w:nsid w:val="7D917978"/>
    <w:multiLevelType w:val="hybridMultilevel"/>
    <w:tmpl w:val="E8D2431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47"/>
  </w:num>
  <w:num w:numId="3">
    <w:abstractNumId w:val="21"/>
  </w:num>
  <w:num w:numId="4">
    <w:abstractNumId w:val="5"/>
  </w:num>
  <w:num w:numId="5">
    <w:abstractNumId w:val="0"/>
  </w:num>
  <w:num w:numId="6">
    <w:abstractNumId w:val="14"/>
  </w:num>
  <w:num w:numId="7">
    <w:abstractNumId w:val="28"/>
  </w:num>
  <w:num w:numId="8">
    <w:abstractNumId w:val="56"/>
  </w:num>
  <w:num w:numId="9">
    <w:abstractNumId w:val="18"/>
  </w:num>
  <w:num w:numId="10">
    <w:abstractNumId w:val="11"/>
  </w:num>
  <w:num w:numId="11">
    <w:abstractNumId w:val="26"/>
  </w:num>
  <w:num w:numId="1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53"/>
  </w:num>
  <w:num w:numId="17">
    <w:abstractNumId w:val="7"/>
  </w:num>
  <w:num w:numId="18">
    <w:abstractNumId w:val="6"/>
  </w:num>
  <w:num w:numId="19">
    <w:abstractNumId w:val="1"/>
  </w:num>
  <w:num w:numId="20">
    <w:abstractNumId w:val="2"/>
  </w:num>
  <w:num w:numId="21">
    <w:abstractNumId w:val="15"/>
  </w:num>
  <w:num w:numId="22">
    <w:abstractNumId w:val="22"/>
  </w:num>
  <w:num w:numId="23">
    <w:abstractNumId w:val="41"/>
  </w:num>
  <w:num w:numId="24">
    <w:abstractNumId w:val="12"/>
  </w:num>
  <w:num w:numId="25">
    <w:abstractNumId w:val="44"/>
  </w:num>
  <w:num w:numId="26">
    <w:abstractNumId w:val="24"/>
  </w:num>
  <w:num w:numId="27">
    <w:abstractNumId w:val="20"/>
  </w:num>
  <w:num w:numId="28">
    <w:abstractNumId w:val="35"/>
  </w:num>
  <w:num w:numId="29">
    <w:abstractNumId w:val="54"/>
  </w:num>
  <w:num w:numId="30">
    <w:abstractNumId w:val="57"/>
  </w:num>
  <w:num w:numId="31">
    <w:abstractNumId w:val="23"/>
  </w:num>
  <w:num w:numId="32">
    <w:abstractNumId w:val="31"/>
  </w:num>
  <w:num w:numId="33">
    <w:abstractNumId w:val="16"/>
  </w:num>
  <w:num w:numId="34">
    <w:abstractNumId w:val="30"/>
  </w:num>
  <w:num w:numId="35">
    <w:abstractNumId w:val="55"/>
  </w:num>
  <w:num w:numId="36">
    <w:abstractNumId w:val="33"/>
  </w:num>
  <w:num w:numId="37">
    <w:abstractNumId w:val="27"/>
  </w:num>
  <w:num w:numId="38">
    <w:abstractNumId w:val="52"/>
  </w:num>
  <w:num w:numId="39">
    <w:abstractNumId w:val="43"/>
  </w:num>
  <w:num w:numId="40">
    <w:abstractNumId w:val="13"/>
  </w:num>
  <w:num w:numId="41">
    <w:abstractNumId w:val="51"/>
  </w:num>
  <w:num w:numId="42">
    <w:abstractNumId w:val="49"/>
  </w:num>
  <w:num w:numId="43">
    <w:abstractNumId w:val="10"/>
  </w:num>
  <w:num w:numId="44">
    <w:abstractNumId w:val="40"/>
  </w:num>
  <w:num w:numId="45">
    <w:abstractNumId w:val="8"/>
  </w:num>
  <w:num w:numId="46">
    <w:abstractNumId w:val="38"/>
  </w:num>
  <w:num w:numId="47">
    <w:abstractNumId w:val="25"/>
  </w:num>
  <w:num w:numId="48">
    <w:abstractNumId w:val="4"/>
  </w:num>
  <w:num w:numId="49">
    <w:abstractNumId w:val="42"/>
  </w:num>
  <w:num w:numId="50">
    <w:abstractNumId w:val="58"/>
  </w:num>
  <w:num w:numId="51">
    <w:abstractNumId w:val="29"/>
  </w:num>
  <w:num w:numId="52">
    <w:abstractNumId w:val="17"/>
  </w:num>
  <w:num w:numId="53">
    <w:abstractNumId w:val="37"/>
  </w:num>
  <w:num w:numId="54">
    <w:abstractNumId w:val="34"/>
  </w:num>
  <w:num w:numId="55">
    <w:abstractNumId w:val="53"/>
  </w:num>
  <w:num w:numId="56">
    <w:abstractNumId w:val="45"/>
  </w:num>
  <w:num w:numId="57">
    <w:abstractNumId w:val="19"/>
  </w:num>
  <w:num w:numId="58">
    <w:abstractNumId w:val="32"/>
  </w:num>
  <w:num w:numId="59">
    <w:abstractNumId w:val="50"/>
  </w:num>
  <w:num w:numId="60">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hyphenationZone w:val="425"/>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5F2"/>
    <w:rsid w:val="000005CD"/>
    <w:rsid w:val="00000B8D"/>
    <w:rsid w:val="00001043"/>
    <w:rsid w:val="00001048"/>
    <w:rsid w:val="00001308"/>
    <w:rsid w:val="000013A5"/>
    <w:rsid w:val="000017C6"/>
    <w:rsid w:val="000022CA"/>
    <w:rsid w:val="00002D56"/>
    <w:rsid w:val="000035D2"/>
    <w:rsid w:val="00004247"/>
    <w:rsid w:val="00004762"/>
    <w:rsid w:val="00004843"/>
    <w:rsid w:val="000049B3"/>
    <w:rsid w:val="0000515B"/>
    <w:rsid w:val="00005B61"/>
    <w:rsid w:val="00005C11"/>
    <w:rsid w:val="00005EA6"/>
    <w:rsid w:val="00005F4F"/>
    <w:rsid w:val="0000654A"/>
    <w:rsid w:val="00006575"/>
    <w:rsid w:val="00006A49"/>
    <w:rsid w:val="000076CA"/>
    <w:rsid w:val="000076DC"/>
    <w:rsid w:val="0000775B"/>
    <w:rsid w:val="00007918"/>
    <w:rsid w:val="00007A79"/>
    <w:rsid w:val="00007FFD"/>
    <w:rsid w:val="00010542"/>
    <w:rsid w:val="00010881"/>
    <w:rsid w:val="00011FAC"/>
    <w:rsid w:val="00012F18"/>
    <w:rsid w:val="00013A0F"/>
    <w:rsid w:val="00013E03"/>
    <w:rsid w:val="00014A92"/>
    <w:rsid w:val="00014CB9"/>
    <w:rsid w:val="00014D44"/>
    <w:rsid w:val="00014F37"/>
    <w:rsid w:val="0001543B"/>
    <w:rsid w:val="000155EE"/>
    <w:rsid w:val="000159D3"/>
    <w:rsid w:val="00015A63"/>
    <w:rsid w:val="000161C5"/>
    <w:rsid w:val="000163CA"/>
    <w:rsid w:val="000165EC"/>
    <w:rsid w:val="0001697E"/>
    <w:rsid w:val="00016B15"/>
    <w:rsid w:val="00016C30"/>
    <w:rsid w:val="0001708C"/>
    <w:rsid w:val="00017237"/>
    <w:rsid w:val="000173B5"/>
    <w:rsid w:val="000206E1"/>
    <w:rsid w:val="00020DB2"/>
    <w:rsid w:val="00021451"/>
    <w:rsid w:val="000220A3"/>
    <w:rsid w:val="00022309"/>
    <w:rsid w:val="00022418"/>
    <w:rsid w:val="0002290A"/>
    <w:rsid w:val="00022FC2"/>
    <w:rsid w:val="00022FC4"/>
    <w:rsid w:val="000230A3"/>
    <w:rsid w:val="00024854"/>
    <w:rsid w:val="000257CD"/>
    <w:rsid w:val="000258ED"/>
    <w:rsid w:val="00025AC2"/>
    <w:rsid w:val="000262E1"/>
    <w:rsid w:val="00026C7C"/>
    <w:rsid w:val="00026CB1"/>
    <w:rsid w:val="00027763"/>
    <w:rsid w:val="00027882"/>
    <w:rsid w:val="000278F1"/>
    <w:rsid w:val="00027CE3"/>
    <w:rsid w:val="0003017D"/>
    <w:rsid w:val="00030C9F"/>
    <w:rsid w:val="00030F7B"/>
    <w:rsid w:val="000311E1"/>
    <w:rsid w:val="0003124C"/>
    <w:rsid w:val="0003164E"/>
    <w:rsid w:val="00031F05"/>
    <w:rsid w:val="0003201D"/>
    <w:rsid w:val="00032CE4"/>
    <w:rsid w:val="0003306C"/>
    <w:rsid w:val="00033719"/>
    <w:rsid w:val="00033DFA"/>
    <w:rsid w:val="00033FB5"/>
    <w:rsid w:val="000341CD"/>
    <w:rsid w:val="000348F1"/>
    <w:rsid w:val="00034BDE"/>
    <w:rsid w:val="00035504"/>
    <w:rsid w:val="00035A25"/>
    <w:rsid w:val="00035F07"/>
    <w:rsid w:val="00036132"/>
    <w:rsid w:val="00036342"/>
    <w:rsid w:val="000373FB"/>
    <w:rsid w:val="00037F4A"/>
    <w:rsid w:val="000401FE"/>
    <w:rsid w:val="000406B6"/>
    <w:rsid w:val="00040CA3"/>
    <w:rsid w:val="00040E7A"/>
    <w:rsid w:val="00040FCF"/>
    <w:rsid w:val="000410A1"/>
    <w:rsid w:val="00041201"/>
    <w:rsid w:val="00041493"/>
    <w:rsid w:val="00041623"/>
    <w:rsid w:val="000423E7"/>
    <w:rsid w:val="00042AFC"/>
    <w:rsid w:val="000450C4"/>
    <w:rsid w:val="00046471"/>
    <w:rsid w:val="000465BA"/>
    <w:rsid w:val="00046B2F"/>
    <w:rsid w:val="00047A6D"/>
    <w:rsid w:val="00047E8D"/>
    <w:rsid w:val="000504E9"/>
    <w:rsid w:val="0005097D"/>
    <w:rsid w:val="00050EE7"/>
    <w:rsid w:val="00051DCC"/>
    <w:rsid w:val="00052457"/>
    <w:rsid w:val="0005306F"/>
    <w:rsid w:val="000533AA"/>
    <w:rsid w:val="000533BD"/>
    <w:rsid w:val="000537C9"/>
    <w:rsid w:val="00053EBB"/>
    <w:rsid w:val="000540D5"/>
    <w:rsid w:val="00054F7C"/>
    <w:rsid w:val="000554FF"/>
    <w:rsid w:val="00055EE8"/>
    <w:rsid w:val="00056850"/>
    <w:rsid w:val="00056879"/>
    <w:rsid w:val="00056D90"/>
    <w:rsid w:val="00057281"/>
    <w:rsid w:val="00060251"/>
    <w:rsid w:val="000606F4"/>
    <w:rsid w:val="000607AD"/>
    <w:rsid w:val="0006091C"/>
    <w:rsid w:val="00063016"/>
    <w:rsid w:val="000633B1"/>
    <w:rsid w:val="00063D8C"/>
    <w:rsid w:val="00064455"/>
    <w:rsid w:val="00064732"/>
    <w:rsid w:val="00064908"/>
    <w:rsid w:val="00064E91"/>
    <w:rsid w:val="000653DE"/>
    <w:rsid w:val="00065D63"/>
    <w:rsid w:val="00067058"/>
    <w:rsid w:val="000671BB"/>
    <w:rsid w:val="0006745C"/>
    <w:rsid w:val="00067992"/>
    <w:rsid w:val="00067B84"/>
    <w:rsid w:val="00067CA8"/>
    <w:rsid w:val="0007044A"/>
    <w:rsid w:val="0007148D"/>
    <w:rsid w:val="00071774"/>
    <w:rsid w:val="00071BC4"/>
    <w:rsid w:val="0007201D"/>
    <w:rsid w:val="00072D49"/>
    <w:rsid w:val="0007313D"/>
    <w:rsid w:val="000734DF"/>
    <w:rsid w:val="00073EB2"/>
    <w:rsid w:val="000742F7"/>
    <w:rsid w:val="00074563"/>
    <w:rsid w:val="00074564"/>
    <w:rsid w:val="00074596"/>
    <w:rsid w:val="000751B8"/>
    <w:rsid w:val="0007526C"/>
    <w:rsid w:val="000753AE"/>
    <w:rsid w:val="00075DF6"/>
    <w:rsid w:val="000763D7"/>
    <w:rsid w:val="00076507"/>
    <w:rsid w:val="00076920"/>
    <w:rsid w:val="0007751A"/>
    <w:rsid w:val="000807FE"/>
    <w:rsid w:val="0008086D"/>
    <w:rsid w:val="00080A12"/>
    <w:rsid w:val="00080B7C"/>
    <w:rsid w:val="00080E5C"/>
    <w:rsid w:val="000811A6"/>
    <w:rsid w:val="000816AF"/>
    <w:rsid w:val="000817E9"/>
    <w:rsid w:val="000818A3"/>
    <w:rsid w:val="00081930"/>
    <w:rsid w:val="00081A40"/>
    <w:rsid w:val="00081CC2"/>
    <w:rsid w:val="00082B47"/>
    <w:rsid w:val="00083C23"/>
    <w:rsid w:val="00083C5D"/>
    <w:rsid w:val="00083CA0"/>
    <w:rsid w:val="00083E82"/>
    <w:rsid w:val="00083F38"/>
    <w:rsid w:val="00084150"/>
    <w:rsid w:val="00084275"/>
    <w:rsid w:val="00084B69"/>
    <w:rsid w:val="0008521E"/>
    <w:rsid w:val="00085249"/>
    <w:rsid w:val="0008554B"/>
    <w:rsid w:val="0008578C"/>
    <w:rsid w:val="00085EB5"/>
    <w:rsid w:val="00086127"/>
    <w:rsid w:val="00086892"/>
    <w:rsid w:val="00090196"/>
    <w:rsid w:val="00091BC6"/>
    <w:rsid w:val="00091F7A"/>
    <w:rsid w:val="00092B1E"/>
    <w:rsid w:val="00092F80"/>
    <w:rsid w:val="00093066"/>
    <w:rsid w:val="000937C8"/>
    <w:rsid w:val="000939C5"/>
    <w:rsid w:val="00093D29"/>
    <w:rsid w:val="00093EDD"/>
    <w:rsid w:val="0009501C"/>
    <w:rsid w:val="000954AD"/>
    <w:rsid w:val="0009563B"/>
    <w:rsid w:val="00095679"/>
    <w:rsid w:val="00095886"/>
    <w:rsid w:val="00095B3D"/>
    <w:rsid w:val="0009696A"/>
    <w:rsid w:val="00096F54"/>
    <w:rsid w:val="00097112"/>
    <w:rsid w:val="000974F8"/>
    <w:rsid w:val="00097C81"/>
    <w:rsid w:val="000A040D"/>
    <w:rsid w:val="000A105B"/>
    <w:rsid w:val="000A13E2"/>
    <w:rsid w:val="000A1605"/>
    <w:rsid w:val="000A18AF"/>
    <w:rsid w:val="000A21B1"/>
    <w:rsid w:val="000A2806"/>
    <w:rsid w:val="000A2BCA"/>
    <w:rsid w:val="000A2CE7"/>
    <w:rsid w:val="000A2E11"/>
    <w:rsid w:val="000A4695"/>
    <w:rsid w:val="000A4A6E"/>
    <w:rsid w:val="000A4C77"/>
    <w:rsid w:val="000A55CD"/>
    <w:rsid w:val="000A5C77"/>
    <w:rsid w:val="000A6793"/>
    <w:rsid w:val="000A67CE"/>
    <w:rsid w:val="000A7D65"/>
    <w:rsid w:val="000B02FD"/>
    <w:rsid w:val="000B04AC"/>
    <w:rsid w:val="000B07F2"/>
    <w:rsid w:val="000B0BFB"/>
    <w:rsid w:val="000B1D38"/>
    <w:rsid w:val="000B210E"/>
    <w:rsid w:val="000B3BC7"/>
    <w:rsid w:val="000B3D9D"/>
    <w:rsid w:val="000B3E7F"/>
    <w:rsid w:val="000B445C"/>
    <w:rsid w:val="000B465C"/>
    <w:rsid w:val="000B50FD"/>
    <w:rsid w:val="000B5139"/>
    <w:rsid w:val="000B54A0"/>
    <w:rsid w:val="000B5B16"/>
    <w:rsid w:val="000B5D4A"/>
    <w:rsid w:val="000B5FE8"/>
    <w:rsid w:val="000B64F4"/>
    <w:rsid w:val="000B67F1"/>
    <w:rsid w:val="000B7508"/>
    <w:rsid w:val="000C091E"/>
    <w:rsid w:val="000C1168"/>
    <w:rsid w:val="000C1589"/>
    <w:rsid w:val="000C1D64"/>
    <w:rsid w:val="000C1DFD"/>
    <w:rsid w:val="000C226C"/>
    <w:rsid w:val="000C2291"/>
    <w:rsid w:val="000C2413"/>
    <w:rsid w:val="000C2678"/>
    <w:rsid w:val="000C290D"/>
    <w:rsid w:val="000C2E41"/>
    <w:rsid w:val="000C3071"/>
    <w:rsid w:val="000C30FF"/>
    <w:rsid w:val="000C387F"/>
    <w:rsid w:val="000C3B5A"/>
    <w:rsid w:val="000C4D53"/>
    <w:rsid w:val="000C580F"/>
    <w:rsid w:val="000C5B01"/>
    <w:rsid w:val="000C5C4C"/>
    <w:rsid w:val="000C6244"/>
    <w:rsid w:val="000C64A3"/>
    <w:rsid w:val="000C6CB1"/>
    <w:rsid w:val="000C6F3D"/>
    <w:rsid w:val="000C7F4F"/>
    <w:rsid w:val="000C7FBA"/>
    <w:rsid w:val="000D0D17"/>
    <w:rsid w:val="000D1C3C"/>
    <w:rsid w:val="000D1E29"/>
    <w:rsid w:val="000D2B95"/>
    <w:rsid w:val="000D2C9A"/>
    <w:rsid w:val="000D2E34"/>
    <w:rsid w:val="000D2EB6"/>
    <w:rsid w:val="000D366B"/>
    <w:rsid w:val="000D3775"/>
    <w:rsid w:val="000D3B4C"/>
    <w:rsid w:val="000D42D3"/>
    <w:rsid w:val="000D44D5"/>
    <w:rsid w:val="000D4526"/>
    <w:rsid w:val="000D47B3"/>
    <w:rsid w:val="000D47E2"/>
    <w:rsid w:val="000D48A5"/>
    <w:rsid w:val="000D4A83"/>
    <w:rsid w:val="000D4CC7"/>
    <w:rsid w:val="000D54C3"/>
    <w:rsid w:val="000D582E"/>
    <w:rsid w:val="000D5D39"/>
    <w:rsid w:val="000D600A"/>
    <w:rsid w:val="000D617A"/>
    <w:rsid w:val="000D6A51"/>
    <w:rsid w:val="000D6FBB"/>
    <w:rsid w:val="000D6FDD"/>
    <w:rsid w:val="000D712D"/>
    <w:rsid w:val="000D71E5"/>
    <w:rsid w:val="000D78F1"/>
    <w:rsid w:val="000E0135"/>
    <w:rsid w:val="000E0A1D"/>
    <w:rsid w:val="000E0BF4"/>
    <w:rsid w:val="000E179A"/>
    <w:rsid w:val="000E1952"/>
    <w:rsid w:val="000E24E9"/>
    <w:rsid w:val="000E2A91"/>
    <w:rsid w:val="000E2BAD"/>
    <w:rsid w:val="000E2EC7"/>
    <w:rsid w:val="000E30A7"/>
    <w:rsid w:val="000E34E4"/>
    <w:rsid w:val="000E3CC2"/>
    <w:rsid w:val="000E40ED"/>
    <w:rsid w:val="000E4382"/>
    <w:rsid w:val="000E43D3"/>
    <w:rsid w:val="000E45C7"/>
    <w:rsid w:val="000E5368"/>
    <w:rsid w:val="000E5BD9"/>
    <w:rsid w:val="000E63A0"/>
    <w:rsid w:val="000E6F49"/>
    <w:rsid w:val="000E75E3"/>
    <w:rsid w:val="000E786D"/>
    <w:rsid w:val="000E79BD"/>
    <w:rsid w:val="000E7CBF"/>
    <w:rsid w:val="000F0A00"/>
    <w:rsid w:val="000F0ED2"/>
    <w:rsid w:val="000F13A7"/>
    <w:rsid w:val="000F1D3B"/>
    <w:rsid w:val="000F254B"/>
    <w:rsid w:val="000F3363"/>
    <w:rsid w:val="000F410A"/>
    <w:rsid w:val="000F4F6B"/>
    <w:rsid w:val="000F5346"/>
    <w:rsid w:val="000F5459"/>
    <w:rsid w:val="000F5815"/>
    <w:rsid w:val="000F5841"/>
    <w:rsid w:val="000F58EE"/>
    <w:rsid w:val="000F5AEA"/>
    <w:rsid w:val="000F612E"/>
    <w:rsid w:val="000F645C"/>
    <w:rsid w:val="000F6627"/>
    <w:rsid w:val="000F67CA"/>
    <w:rsid w:val="000F6DA8"/>
    <w:rsid w:val="000F6EC9"/>
    <w:rsid w:val="000F75AF"/>
    <w:rsid w:val="000F780C"/>
    <w:rsid w:val="000F7A20"/>
    <w:rsid w:val="000F7BF4"/>
    <w:rsid w:val="000F7F38"/>
    <w:rsid w:val="00100A98"/>
    <w:rsid w:val="001013C0"/>
    <w:rsid w:val="00101DBF"/>
    <w:rsid w:val="00102121"/>
    <w:rsid w:val="0010226B"/>
    <w:rsid w:val="00102668"/>
    <w:rsid w:val="00103945"/>
    <w:rsid w:val="00103D72"/>
    <w:rsid w:val="001040B2"/>
    <w:rsid w:val="0010422E"/>
    <w:rsid w:val="001048AC"/>
    <w:rsid w:val="00104CE3"/>
    <w:rsid w:val="00104DB4"/>
    <w:rsid w:val="00104F56"/>
    <w:rsid w:val="0010571B"/>
    <w:rsid w:val="00106228"/>
    <w:rsid w:val="0010633C"/>
    <w:rsid w:val="001068DD"/>
    <w:rsid w:val="00107329"/>
    <w:rsid w:val="001073E8"/>
    <w:rsid w:val="001073F3"/>
    <w:rsid w:val="00107E74"/>
    <w:rsid w:val="00107E87"/>
    <w:rsid w:val="00107EB4"/>
    <w:rsid w:val="00107FBD"/>
    <w:rsid w:val="00110759"/>
    <w:rsid w:val="00110862"/>
    <w:rsid w:val="0011129E"/>
    <w:rsid w:val="00111FAB"/>
    <w:rsid w:val="0011208A"/>
    <w:rsid w:val="00112826"/>
    <w:rsid w:val="00113182"/>
    <w:rsid w:val="00113378"/>
    <w:rsid w:val="00114075"/>
    <w:rsid w:val="001149F4"/>
    <w:rsid w:val="00114BF6"/>
    <w:rsid w:val="001150CB"/>
    <w:rsid w:val="00115517"/>
    <w:rsid w:val="00115867"/>
    <w:rsid w:val="00115996"/>
    <w:rsid w:val="00116174"/>
    <w:rsid w:val="001161CE"/>
    <w:rsid w:val="001166DF"/>
    <w:rsid w:val="001167D7"/>
    <w:rsid w:val="001167E0"/>
    <w:rsid w:val="00116B86"/>
    <w:rsid w:val="00117065"/>
    <w:rsid w:val="001172E8"/>
    <w:rsid w:val="001174D3"/>
    <w:rsid w:val="001175AE"/>
    <w:rsid w:val="00117936"/>
    <w:rsid w:val="00117F40"/>
    <w:rsid w:val="00120321"/>
    <w:rsid w:val="001204B8"/>
    <w:rsid w:val="0012054E"/>
    <w:rsid w:val="0012114C"/>
    <w:rsid w:val="001216F9"/>
    <w:rsid w:val="001218BB"/>
    <w:rsid w:val="00121A60"/>
    <w:rsid w:val="001220CF"/>
    <w:rsid w:val="001227BA"/>
    <w:rsid w:val="00122A22"/>
    <w:rsid w:val="00122BBB"/>
    <w:rsid w:val="0012317D"/>
    <w:rsid w:val="0012318F"/>
    <w:rsid w:val="00123291"/>
    <w:rsid w:val="0012364D"/>
    <w:rsid w:val="0012368E"/>
    <w:rsid w:val="00123F07"/>
    <w:rsid w:val="00125199"/>
    <w:rsid w:val="00125387"/>
    <w:rsid w:val="00125619"/>
    <w:rsid w:val="00126032"/>
    <w:rsid w:val="0012619F"/>
    <w:rsid w:val="00126733"/>
    <w:rsid w:val="0012692C"/>
    <w:rsid w:val="00126DD8"/>
    <w:rsid w:val="001273FD"/>
    <w:rsid w:val="00127457"/>
    <w:rsid w:val="0012752F"/>
    <w:rsid w:val="001300BD"/>
    <w:rsid w:val="00130322"/>
    <w:rsid w:val="001305CA"/>
    <w:rsid w:val="0013075E"/>
    <w:rsid w:val="00130DB3"/>
    <w:rsid w:val="00130DE6"/>
    <w:rsid w:val="0013137B"/>
    <w:rsid w:val="00131417"/>
    <w:rsid w:val="00131936"/>
    <w:rsid w:val="00131CD5"/>
    <w:rsid w:val="0013221B"/>
    <w:rsid w:val="001324CC"/>
    <w:rsid w:val="00132EB8"/>
    <w:rsid w:val="0013337B"/>
    <w:rsid w:val="00133FF7"/>
    <w:rsid w:val="001340EE"/>
    <w:rsid w:val="001344E8"/>
    <w:rsid w:val="00134572"/>
    <w:rsid w:val="001345D1"/>
    <w:rsid w:val="001351CE"/>
    <w:rsid w:val="001352EB"/>
    <w:rsid w:val="00135B76"/>
    <w:rsid w:val="00136072"/>
    <w:rsid w:val="00136A1E"/>
    <w:rsid w:val="00136B28"/>
    <w:rsid w:val="00136C2E"/>
    <w:rsid w:val="00136DF1"/>
    <w:rsid w:val="0013722C"/>
    <w:rsid w:val="00137474"/>
    <w:rsid w:val="001376AF"/>
    <w:rsid w:val="001377D1"/>
    <w:rsid w:val="00137821"/>
    <w:rsid w:val="001379FA"/>
    <w:rsid w:val="00137A11"/>
    <w:rsid w:val="00137BF1"/>
    <w:rsid w:val="00140681"/>
    <w:rsid w:val="00140F19"/>
    <w:rsid w:val="001414D7"/>
    <w:rsid w:val="001418D9"/>
    <w:rsid w:val="00141B83"/>
    <w:rsid w:val="0014202A"/>
    <w:rsid w:val="00142253"/>
    <w:rsid w:val="00142C5F"/>
    <w:rsid w:val="00142FAA"/>
    <w:rsid w:val="00143329"/>
    <w:rsid w:val="00143B7A"/>
    <w:rsid w:val="00143BE7"/>
    <w:rsid w:val="00144411"/>
    <w:rsid w:val="001446EC"/>
    <w:rsid w:val="0014481A"/>
    <w:rsid w:val="00144A93"/>
    <w:rsid w:val="00144CD5"/>
    <w:rsid w:val="001451AB"/>
    <w:rsid w:val="00145240"/>
    <w:rsid w:val="001459A9"/>
    <w:rsid w:val="00145A12"/>
    <w:rsid w:val="00145CE3"/>
    <w:rsid w:val="00145E1E"/>
    <w:rsid w:val="00145EB6"/>
    <w:rsid w:val="00146072"/>
    <w:rsid w:val="00146F4F"/>
    <w:rsid w:val="00146F68"/>
    <w:rsid w:val="001475F7"/>
    <w:rsid w:val="00150903"/>
    <w:rsid w:val="00150EB7"/>
    <w:rsid w:val="00151483"/>
    <w:rsid w:val="0015179B"/>
    <w:rsid w:val="00151A43"/>
    <w:rsid w:val="001525ED"/>
    <w:rsid w:val="00152A73"/>
    <w:rsid w:val="0015309C"/>
    <w:rsid w:val="00153633"/>
    <w:rsid w:val="00153799"/>
    <w:rsid w:val="0015394B"/>
    <w:rsid w:val="00153B5F"/>
    <w:rsid w:val="00153BEA"/>
    <w:rsid w:val="00153BF8"/>
    <w:rsid w:val="001540BD"/>
    <w:rsid w:val="0015429D"/>
    <w:rsid w:val="00154F85"/>
    <w:rsid w:val="00154F9B"/>
    <w:rsid w:val="00155733"/>
    <w:rsid w:val="00155ADE"/>
    <w:rsid w:val="00155CDE"/>
    <w:rsid w:val="001562E8"/>
    <w:rsid w:val="00156690"/>
    <w:rsid w:val="0015677A"/>
    <w:rsid w:val="0015697C"/>
    <w:rsid w:val="00156E2E"/>
    <w:rsid w:val="00157147"/>
    <w:rsid w:val="00157AC3"/>
    <w:rsid w:val="00157B20"/>
    <w:rsid w:val="00157CA2"/>
    <w:rsid w:val="001603B6"/>
    <w:rsid w:val="001612C3"/>
    <w:rsid w:val="00161463"/>
    <w:rsid w:val="00161937"/>
    <w:rsid w:val="001623DF"/>
    <w:rsid w:val="00162A64"/>
    <w:rsid w:val="00162D5C"/>
    <w:rsid w:val="00162E38"/>
    <w:rsid w:val="00163196"/>
    <w:rsid w:val="00163701"/>
    <w:rsid w:val="00163AC0"/>
    <w:rsid w:val="00163EF9"/>
    <w:rsid w:val="0016411A"/>
    <w:rsid w:val="001648D1"/>
    <w:rsid w:val="001648E9"/>
    <w:rsid w:val="00164A9C"/>
    <w:rsid w:val="00164CCA"/>
    <w:rsid w:val="00164D4D"/>
    <w:rsid w:val="001667B9"/>
    <w:rsid w:val="00166D8B"/>
    <w:rsid w:val="00166F1C"/>
    <w:rsid w:val="001676C0"/>
    <w:rsid w:val="00167B45"/>
    <w:rsid w:val="00170325"/>
    <w:rsid w:val="001705BA"/>
    <w:rsid w:val="00170BA4"/>
    <w:rsid w:val="00170FBD"/>
    <w:rsid w:val="00171193"/>
    <w:rsid w:val="001713B0"/>
    <w:rsid w:val="00171666"/>
    <w:rsid w:val="001718FB"/>
    <w:rsid w:val="00171B60"/>
    <w:rsid w:val="00172AE0"/>
    <w:rsid w:val="00173640"/>
    <w:rsid w:val="001736D6"/>
    <w:rsid w:val="0017386D"/>
    <w:rsid w:val="001738B0"/>
    <w:rsid w:val="00173C51"/>
    <w:rsid w:val="00173D57"/>
    <w:rsid w:val="001740F8"/>
    <w:rsid w:val="001741F3"/>
    <w:rsid w:val="00174730"/>
    <w:rsid w:val="001752C9"/>
    <w:rsid w:val="0017575A"/>
    <w:rsid w:val="0017600A"/>
    <w:rsid w:val="001774F7"/>
    <w:rsid w:val="001779CB"/>
    <w:rsid w:val="0018098B"/>
    <w:rsid w:val="00182367"/>
    <w:rsid w:val="001824BB"/>
    <w:rsid w:val="001825BA"/>
    <w:rsid w:val="001826FD"/>
    <w:rsid w:val="00182923"/>
    <w:rsid w:val="00183315"/>
    <w:rsid w:val="001833D3"/>
    <w:rsid w:val="0018365F"/>
    <w:rsid w:val="00183922"/>
    <w:rsid w:val="00183BBE"/>
    <w:rsid w:val="00184145"/>
    <w:rsid w:val="00185125"/>
    <w:rsid w:val="00185165"/>
    <w:rsid w:val="00185546"/>
    <w:rsid w:val="0018594E"/>
    <w:rsid w:val="0018660D"/>
    <w:rsid w:val="0018682B"/>
    <w:rsid w:val="00186EEB"/>
    <w:rsid w:val="001876F2"/>
    <w:rsid w:val="00187BAA"/>
    <w:rsid w:val="00187CAE"/>
    <w:rsid w:val="00187DE8"/>
    <w:rsid w:val="0019032B"/>
    <w:rsid w:val="00190895"/>
    <w:rsid w:val="00190F02"/>
    <w:rsid w:val="00190F8B"/>
    <w:rsid w:val="00191156"/>
    <w:rsid w:val="001915B3"/>
    <w:rsid w:val="00191882"/>
    <w:rsid w:val="00191964"/>
    <w:rsid w:val="00191F96"/>
    <w:rsid w:val="0019202D"/>
    <w:rsid w:val="00192620"/>
    <w:rsid w:val="00192978"/>
    <w:rsid w:val="00192A25"/>
    <w:rsid w:val="00192B17"/>
    <w:rsid w:val="00192C77"/>
    <w:rsid w:val="00192F57"/>
    <w:rsid w:val="00193093"/>
    <w:rsid w:val="001931FA"/>
    <w:rsid w:val="00193877"/>
    <w:rsid w:val="001945E1"/>
    <w:rsid w:val="00195D0B"/>
    <w:rsid w:val="00195F7F"/>
    <w:rsid w:val="001961E4"/>
    <w:rsid w:val="00196962"/>
    <w:rsid w:val="00196F23"/>
    <w:rsid w:val="00197062"/>
    <w:rsid w:val="001975B0"/>
    <w:rsid w:val="00197603"/>
    <w:rsid w:val="00197B62"/>
    <w:rsid w:val="00197E33"/>
    <w:rsid w:val="001A01AE"/>
    <w:rsid w:val="001A0365"/>
    <w:rsid w:val="001A0A3A"/>
    <w:rsid w:val="001A0F1D"/>
    <w:rsid w:val="001A11F3"/>
    <w:rsid w:val="001A2021"/>
    <w:rsid w:val="001A2490"/>
    <w:rsid w:val="001A24A2"/>
    <w:rsid w:val="001A2BD9"/>
    <w:rsid w:val="001A3190"/>
    <w:rsid w:val="001A3EE3"/>
    <w:rsid w:val="001A475F"/>
    <w:rsid w:val="001A4BE5"/>
    <w:rsid w:val="001A4F8F"/>
    <w:rsid w:val="001A5689"/>
    <w:rsid w:val="001A56D8"/>
    <w:rsid w:val="001A57B6"/>
    <w:rsid w:val="001A57E4"/>
    <w:rsid w:val="001A58A5"/>
    <w:rsid w:val="001A5D0C"/>
    <w:rsid w:val="001A6679"/>
    <w:rsid w:val="001A677E"/>
    <w:rsid w:val="001A6785"/>
    <w:rsid w:val="001A6940"/>
    <w:rsid w:val="001A702E"/>
    <w:rsid w:val="001A78DB"/>
    <w:rsid w:val="001A7A52"/>
    <w:rsid w:val="001A7E27"/>
    <w:rsid w:val="001B0290"/>
    <w:rsid w:val="001B0DCF"/>
    <w:rsid w:val="001B0E4D"/>
    <w:rsid w:val="001B0F86"/>
    <w:rsid w:val="001B125D"/>
    <w:rsid w:val="001B142E"/>
    <w:rsid w:val="001B18A3"/>
    <w:rsid w:val="001B1D2E"/>
    <w:rsid w:val="001B23CD"/>
    <w:rsid w:val="001B2407"/>
    <w:rsid w:val="001B2B17"/>
    <w:rsid w:val="001B2FA9"/>
    <w:rsid w:val="001B31E5"/>
    <w:rsid w:val="001B3AAB"/>
    <w:rsid w:val="001B4062"/>
    <w:rsid w:val="001B4319"/>
    <w:rsid w:val="001B508A"/>
    <w:rsid w:val="001B515A"/>
    <w:rsid w:val="001B5255"/>
    <w:rsid w:val="001B56CA"/>
    <w:rsid w:val="001B5BE6"/>
    <w:rsid w:val="001B61DF"/>
    <w:rsid w:val="001B629C"/>
    <w:rsid w:val="001B6C7B"/>
    <w:rsid w:val="001B7184"/>
    <w:rsid w:val="001B739F"/>
    <w:rsid w:val="001B79E9"/>
    <w:rsid w:val="001C0388"/>
    <w:rsid w:val="001C0463"/>
    <w:rsid w:val="001C0D76"/>
    <w:rsid w:val="001C0F20"/>
    <w:rsid w:val="001C12AC"/>
    <w:rsid w:val="001C135B"/>
    <w:rsid w:val="001C1386"/>
    <w:rsid w:val="001C148F"/>
    <w:rsid w:val="001C182F"/>
    <w:rsid w:val="001C1AB5"/>
    <w:rsid w:val="001C288F"/>
    <w:rsid w:val="001C29F6"/>
    <w:rsid w:val="001C3514"/>
    <w:rsid w:val="001C3690"/>
    <w:rsid w:val="001C3948"/>
    <w:rsid w:val="001C3C63"/>
    <w:rsid w:val="001C3DED"/>
    <w:rsid w:val="001C41F0"/>
    <w:rsid w:val="001C4409"/>
    <w:rsid w:val="001C4598"/>
    <w:rsid w:val="001C48A0"/>
    <w:rsid w:val="001C4A50"/>
    <w:rsid w:val="001C5505"/>
    <w:rsid w:val="001C64A9"/>
    <w:rsid w:val="001C691D"/>
    <w:rsid w:val="001C6B01"/>
    <w:rsid w:val="001C6C81"/>
    <w:rsid w:val="001C6F75"/>
    <w:rsid w:val="001C7274"/>
    <w:rsid w:val="001C73AB"/>
    <w:rsid w:val="001C7673"/>
    <w:rsid w:val="001C7C9B"/>
    <w:rsid w:val="001C7D85"/>
    <w:rsid w:val="001D0A44"/>
    <w:rsid w:val="001D0D8F"/>
    <w:rsid w:val="001D1420"/>
    <w:rsid w:val="001D25F9"/>
    <w:rsid w:val="001D271D"/>
    <w:rsid w:val="001D280A"/>
    <w:rsid w:val="001D2881"/>
    <w:rsid w:val="001D2F76"/>
    <w:rsid w:val="001D2FFE"/>
    <w:rsid w:val="001D30BB"/>
    <w:rsid w:val="001D38BE"/>
    <w:rsid w:val="001D4032"/>
    <w:rsid w:val="001D53E3"/>
    <w:rsid w:val="001D5D55"/>
    <w:rsid w:val="001D6055"/>
    <w:rsid w:val="001D63B1"/>
    <w:rsid w:val="001D64F4"/>
    <w:rsid w:val="001D6AD5"/>
    <w:rsid w:val="001D6B20"/>
    <w:rsid w:val="001D6ECC"/>
    <w:rsid w:val="001D709E"/>
    <w:rsid w:val="001D7420"/>
    <w:rsid w:val="001D78E4"/>
    <w:rsid w:val="001D7E3F"/>
    <w:rsid w:val="001E087E"/>
    <w:rsid w:val="001E0D97"/>
    <w:rsid w:val="001E0E96"/>
    <w:rsid w:val="001E17F3"/>
    <w:rsid w:val="001E1C5E"/>
    <w:rsid w:val="001E1F6A"/>
    <w:rsid w:val="001E22F4"/>
    <w:rsid w:val="001E25ED"/>
    <w:rsid w:val="001E2669"/>
    <w:rsid w:val="001E2742"/>
    <w:rsid w:val="001E2999"/>
    <w:rsid w:val="001E3BE5"/>
    <w:rsid w:val="001E4AE9"/>
    <w:rsid w:val="001E5B97"/>
    <w:rsid w:val="001E5C32"/>
    <w:rsid w:val="001E5EB0"/>
    <w:rsid w:val="001E6AA9"/>
    <w:rsid w:val="001E6C52"/>
    <w:rsid w:val="001E6C80"/>
    <w:rsid w:val="001E6F26"/>
    <w:rsid w:val="001E7076"/>
    <w:rsid w:val="001F1401"/>
    <w:rsid w:val="001F1DD2"/>
    <w:rsid w:val="001F2362"/>
    <w:rsid w:val="001F24C3"/>
    <w:rsid w:val="001F2829"/>
    <w:rsid w:val="001F3C30"/>
    <w:rsid w:val="001F3E4E"/>
    <w:rsid w:val="001F410A"/>
    <w:rsid w:val="001F428C"/>
    <w:rsid w:val="001F4B10"/>
    <w:rsid w:val="001F4C2C"/>
    <w:rsid w:val="001F54D2"/>
    <w:rsid w:val="001F5AA5"/>
    <w:rsid w:val="001F5C5F"/>
    <w:rsid w:val="001F5FAA"/>
    <w:rsid w:val="001F618D"/>
    <w:rsid w:val="001F64E7"/>
    <w:rsid w:val="001F6B43"/>
    <w:rsid w:val="001F6CF2"/>
    <w:rsid w:val="001F6D77"/>
    <w:rsid w:val="001F7C0E"/>
    <w:rsid w:val="001F7DC8"/>
    <w:rsid w:val="001F7F0A"/>
    <w:rsid w:val="00202350"/>
    <w:rsid w:val="00202752"/>
    <w:rsid w:val="00202869"/>
    <w:rsid w:val="00202E22"/>
    <w:rsid w:val="002031F0"/>
    <w:rsid w:val="00204071"/>
    <w:rsid w:val="00204FD5"/>
    <w:rsid w:val="00205790"/>
    <w:rsid w:val="00205868"/>
    <w:rsid w:val="00205F89"/>
    <w:rsid w:val="002068A8"/>
    <w:rsid w:val="00207ECE"/>
    <w:rsid w:val="002101DA"/>
    <w:rsid w:val="002105C0"/>
    <w:rsid w:val="00210B42"/>
    <w:rsid w:val="00211381"/>
    <w:rsid w:val="00211428"/>
    <w:rsid w:val="002118D5"/>
    <w:rsid w:val="00211B6B"/>
    <w:rsid w:val="00211F5F"/>
    <w:rsid w:val="00212C77"/>
    <w:rsid w:val="00213118"/>
    <w:rsid w:val="002131CD"/>
    <w:rsid w:val="00213575"/>
    <w:rsid w:val="00213A2C"/>
    <w:rsid w:val="00213ACA"/>
    <w:rsid w:val="00215386"/>
    <w:rsid w:val="00215B71"/>
    <w:rsid w:val="00216372"/>
    <w:rsid w:val="00216A90"/>
    <w:rsid w:val="00216D7D"/>
    <w:rsid w:val="002174E5"/>
    <w:rsid w:val="0021750C"/>
    <w:rsid w:val="0021759C"/>
    <w:rsid w:val="0021797B"/>
    <w:rsid w:val="0022037B"/>
    <w:rsid w:val="00220380"/>
    <w:rsid w:val="00220492"/>
    <w:rsid w:val="00220C85"/>
    <w:rsid w:val="00220ED5"/>
    <w:rsid w:val="00220F37"/>
    <w:rsid w:val="00221476"/>
    <w:rsid w:val="00221933"/>
    <w:rsid w:val="00221D7A"/>
    <w:rsid w:val="0022230F"/>
    <w:rsid w:val="002223C3"/>
    <w:rsid w:val="002224BA"/>
    <w:rsid w:val="00222517"/>
    <w:rsid w:val="002226A5"/>
    <w:rsid w:val="00222A90"/>
    <w:rsid w:val="00222C4F"/>
    <w:rsid w:val="00222D12"/>
    <w:rsid w:val="0022312B"/>
    <w:rsid w:val="00223EA4"/>
    <w:rsid w:val="002247E7"/>
    <w:rsid w:val="00224CCF"/>
    <w:rsid w:val="00225373"/>
    <w:rsid w:val="002254E8"/>
    <w:rsid w:val="002262F9"/>
    <w:rsid w:val="0022656C"/>
    <w:rsid w:val="00226971"/>
    <w:rsid w:val="00226E22"/>
    <w:rsid w:val="002272BF"/>
    <w:rsid w:val="002275A2"/>
    <w:rsid w:val="00227F68"/>
    <w:rsid w:val="002300DC"/>
    <w:rsid w:val="00230CC5"/>
    <w:rsid w:val="00230CDD"/>
    <w:rsid w:val="0023125A"/>
    <w:rsid w:val="00231A74"/>
    <w:rsid w:val="00232265"/>
    <w:rsid w:val="00232333"/>
    <w:rsid w:val="00232364"/>
    <w:rsid w:val="002323FD"/>
    <w:rsid w:val="00232D01"/>
    <w:rsid w:val="00232E75"/>
    <w:rsid w:val="00233C15"/>
    <w:rsid w:val="00233F43"/>
    <w:rsid w:val="0023416D"/>
    <w:rsid w:val="0023421C"/>
    <w:rsid w:val="00234507"/>
    <w:rsid w:val="00234544"/>
    <w:rsid w:val="002345D9"/>
    <w:rsid w:val="00234894"/>
    <w:rsid w:val="0023495F"/>
    <w:rsid w:val="00235042"/>
    <w:rsid w:val="002352D3"/>
    <w:rsid w:val="00236248"/>
    <w:rsid w:val="002364FF"/>
    <w:rsid w:val="00237349"/>
    <w:rsid w:val="002373B2"/>
    <w:rsid w:val="002373F3"/>
    <w:rsid w:val="002374F1"/>
    <w:rsid w:val="0023789E"/>
    <w:rsid w:val="002378F4"/>
    <w:rsid w:val="00237D99"/>
    <w:rsid w:val="00240271"/>
    <w:rsid w:val="00240C0B"/>
    <w:rsid w:val="00240ED2"/>
    <w:rsid w:val="002414C1"/>
    <w:rsid w:val="0024209B"/>
    <w:rsid w:val="0024274C"/>
    <w:rsid w:val="00243050"/>
    <w:rsid w:val="00243101"/>
    <w:rsid w:val="0024363A"/>
    <w:rsid w:val="00243BB9"/>
    <w:rsid w:val="00244421"/>
    <w:rsid w:val="00245046"/>
    <w:rsid w:val="00245215"/>
    <w:rsid w:val="0024522B"/>
    <w:rsid w:val="0024570C"/>
    <w:rsid w:val="00245D57"/>
    <w:rsid w:val="002460D5"/>
    <w:rsid w:val="002464CE"/>
    <w:rsid w:val="00246562"/>
    <w:rsid w:val="00246566"/>
    <w:rsid w:val="0024693B"/>
    <w:rsid w:val="0024743D"/>
    <w:rsid w:val="002477AE"/>
    <w:rsid w:val="00247F62"/>
    <w:rsid w:val="00250571"/>
    <w:rsid w:val="002511EB"/>
    <w:rsid w:val="00251869"/>
    <w:rsid w:val="00251899"/>
    <w:rsid w:val="002518AD"/>
    <w:rsid w:val="002526C9"/>
    <w:rsid w:val="00252BF5"/>
    <w:rsid w:val="00252C51"/>
    <w:rsid w:val="00252ECA"/>
    <w:rsid w:val="0025357C"/>
    <w:rsid w:val="002535A6"/>
    <w:rsid w:val="002535AD"/>
    <w:rsid w:val="002535CD"/>
    <w:rsid w:val="00253E2B"/>
    <w:rsid w:val="00254C6F"/>
    <w:rsid w:val="00255813"/>
    <w:rsid w:val="00255BB1"/>
    <w:rsid w:val="002566E0"/>
    <w:rsid w:val="00256AD5"/>
    <w:rsid w:val="00256CC9"/>
    <w:rsid w:val="00256F9D"/>
    <w:rsid w:val="002572B1"/>
    <w:rsid w:val="002576AA"/>
    <w:rsid w:val="00257D1C"/>
    <w:rsid w:val="00257F25"/>
    <w:rsid w:val="00260446"/>
    <w:rsid w:val="002605DD"/>
    <w:rsid w:val="00260BC6"/>
    <w:rsid w:val="00261783"/>
    <w:rsid w:val="00261C23"/>
    <w:rsid w:val="00262398"/>
    <w:rsid w:val="00262762"/>
    <w:rsid w:val="002627F2"/>
    <w:rsid w:val="00262A21"/>
    <w:rsid w:val="00262D89"/>
    <w:rsid w:val="00262EAB"/>
    <w:rsid w:val="00262FB4"/>
    <w:rsid w:val="0026353F"/>
    <w:rsid w:val="002635C5"/>
    <w:rsid w:val="0026373D"/>
    <w:rsid w:val="00263B7B"/>
    <w:rsid w:val="00263D3E"/>
    <w:rsid w:val="00264405"/>
    <w:rsid w:val="0026459B"/>
    <w:rsid w:val="00264849"/>
    <w:rsid w:val="00266A89"/>
    <w:rsid w:val="002671F0"/>
    <w:rsid w:val="00267E25"/>
    <w:rsid w:val="00267ED8"/>
    <w:rsid w:val="00270130"/>
    <w:rsid w:val="002701A7"/>
    <w:rsid w:val="00270620"/>
    <w:rsid w:val="002706ED"/>
    <w:rsid w:val="002708CC"/>
    <w:rsid w:val="00270B60"/>
    <w:rsid w:val="00270CDC"/>
    <w:rsid w:val="00270D08"/>
    <w:rsid w:val="002713DB"/>
    <w:rsid w:val="00271B1D"/>
    <w:rsid w:val="00272B28"/>
    <w:rsid w:val="00272E9A"/>
    <w:rsid w:val="00273136"/>
    <w:rsid w:val="00273402"/>
    <w:rsid w:val="002735E7"/>
    <w:rsid w:val="00274033"/>
    <w:rsid w:val="00274830"/>
    <w:rsid w:val="002749C8"/>
    <w:rsid w:val="00274E8A"/>
    <w:rsid w:val="00274F68"/>
    <w:rsid w:val="002752C1"/>
    <w:rsid w:val="002753B3"/>
    <w:rsid w:val="00275BA2"/>
    <w:rsid w:val="00275EE4"/>
    <w:rsid w:val="00276FF6"/>
    <w:rsid w:val="00277776"/>
    <w:rsid w:val="00277BFD"/>
    <w:rsid w:val="00277D34"/>
    <w:rsid w:val="00277EC5"/>
    <w:rsid w:val="002807D6"/>
    <w:rsid w:val="00280DC3"/>
    <w:rsid w:val="00280F1B"/>
    <w:rsid w:val="0028101F"/>
    <w:rsid w:val="00281424"/>
    <w:rsid w:val="002815AE"/>
    <w:rsid w:val="00281B07"/>
    <w:rsid w:val="00282581"/>
    <w:rsid w:val="00282BAD"/>
    <w:rsid w:val="0028357C"/>
    <w:rsid w:val="0028359C"/>
    <w:rsid w:val="002835FF"/>
    <w:rsid w:val="002839DD"/>
    <w:rsid w:val="00284123"/>
    <w:rsid w:val="00284200"/>
    <w:rsid w:val="00284F41"/>
    <w:rsid w:val="00285237"/>
    <w:rsid w:val="002854D9"/>
    <w:rsid w:val="00285A87"/>
    <w:rsid w:val="0028654E"/>
    <w:rsid w:val="00286E5F"/>
    <w:rsid w:val="00287830"/>
    <w:rsid w:val="00287BDB"/>
    <w:rsid w:val="0029063F"/>
    <w:rsid w:val="00290AD7"/>
    <w:rsid w:val="00291164"/>
    <w:rsid w:val="002912FB"/>
    <w:rsid w:val="0029136A"/>
    <w:rsid w:val="00291440"/>
    <w:rsid w:val="00292714"/>
    <w:rsid w:val="00292A31"/>
    <w:rsid w:val="002934E6"/>
    <w:rsid w:val="002937FD"/>
    <w:rsid w:val="00293D4F"/>
    <w:rsid w:val="00293E1E"/>
    <w:rsid w:val="00293E31"/>
    <w:rsid w:val="0029445C"/>
    <w:rsid w:val="002949F4"/>
    <w:rsid w:val="002951BF"/>
    <w:rsid w:val="00295369"/>
    <w:rsid w:val="00296345"/>
    <w:rsid w:val="00297272"/>
    <w:rsid w:val="002973DD"/>
    <w:rsid w:val="00297E31"/>
    <w:rsid w:val="00297E67"/>
    <w:rsid w:val="002A014A"/>
    <w:rsid w:val="002A0C28"/>
    <w:rsid w:val="002A177B"/>
    <w:rsid w:val="002A1999"/>
    <w:rsid w:val="002A204C"/>
    <w:rsid w:val="002A2260"/>
    <w:rsid w:val="002A2771"/>
    <w:rsid w:val="002A2845"/>
    <w:rsid w:val="002A351B"/>
    <w:rsid w:val="002A3BF4"/>
    <w:rsid w:val="002A413D"/>
    <w:rsid w:val="002A4704"/>
    <w:rsid w:val="002A4E96"/>
    <w:rsid w:val="002A4EAD"/>
    <w:rsid w:val="002A53D6"/>
    <w:rsid w:val="002A5499"/>
    <w:rsid w:val="002A5633"/>
    <w:rsid w:val="002A59EC"/>
    <w:rsid w:val="002A5A1D"/>
    <w:rsid w:val="002A5DBA"/>
    <w:rsid w:val="002A73FB"/>
    <w:rsid w:val="002A749D"/>
    <w:rsid w:val="002A761E"/>
    <w:rsid w:val="002B06B0"/>
    <w:rsid w:val="002B0CBB"/>
    <w:rsid w:val="002B0E20"/>
    <w:rsid w:val="002B1045"/>
    <w:rsid w:val="002B1277"/>
    <w:rsid w:val="002B19C9"/>
    <w:rsid w:val="002B23B3"/>
    <w:rsid w:val="002B260B"/>
    <w:rsid w:val="002B3D1B"/>
    <w:rsid w:val="002B454E"/>
    <w:rsid w:val="002B4712"/>
    <w:rsid w:val="002B4830"/>
    <w:rsid w:val="002B4B7F"/>
    <w:rsid w:val="002B59AD"/>
    <w:rsid w:val="002B59CC"/>
    <w:rsid w:val="002B5DDD"/>
    <w:rsid w:val="002B62A8"/>
    <w:rsid w:val="002B6DB3"/>
    <w:rsid w:val="002B6F3B"/>
    <w:rsid w:val="002B7513"/>
    <w:rsid w:val="002B78F4"/>
    <w:rsid w:val="002B7954"/>
    <w:rsid w:val="002B7F4B"/>
    <w:rsid w:val="002C03D6"/>
    <w:rsid w:val="002C07EA"/>
    <w:rsid w:val="002C16A2"/>
    <w:rsid w:val="002C20AE"/>
    <w:rsid w:val="002C22D1"/>
    <w:rsid w:val="002C2A84"/>
    <w:rsid w:val="002C3038"/>
    <w:rsid w:val="002C38A0"/>
    <w:rsid w:val="002C3A56"/>
    <w:rsid w:val="002C435D"/>
    <w:rsid w:val="002C48ED"/>
    <w:rsid w:val="002C4B59"/>
    <w:rsid w:val="002C4C83"/>
    <w:rsid w:val="002C4FE0"/>
    <w:rsid w:val="002C512B"/>
    <w:rsid w:val="002C5424"/>
    <w:rsid w:val="002C563B"/>
    <w:rsid w:val="002C56BC"/>
    <w:rsid w:val="002C5D43"/>
    <w:rsid w:val="002C6264"/>
    <w:rsid w:val="002C6349"/>
    <w:rsid w:val="002C6582"/>
    <w:rsid w:val="002C6EBA"/>
    <w:rsid w:val="002C6FE0"/>
    <w:rsid w:val="002C70A4"/>
    <w:rsid w:val="002C713D"/>
    <w:rsid w:val="002C7F4B"/>
    <w:rsid w:val="002D0144"/>
    <w:rsid w:val="002D0662"/>
    <w:rsid w:val="002D0F6D"/>
    <w:rsid w:val="002D10BB"/>
    <w:rsid w:val="002D10EF"/>
    <w:rsid w:val="002D110C"/>
    <w:rsid w:val="002D142F"/>
    <w:rsid w:val="002D1491"/>
    <w:rsid w:val="002D15F4"/>
    <w:rsid w:val="002D18FE"/>
    <w:rsid w:val="002D1924"/>
    <w:rsid w:val="002D1E19"/>
    <w:rsid w:val="002D2174"/>
    <w:rsid w:val="002D2796"/>
    <w:rsid w:val="002D34FC"/>
    <w:rsid w:val="002D35FA"/>
    <w:rsid w:val="002D381B"/>
    <w:rsid w:val="002D44C3"/>
    <w:rsid w:val="002D4584"/>
    <w:rsid w:val="002D4803"/>
    <w:rsid w:val="002D4A40"/>
    <w:rsid w:val="002D4CB2"/>
    <w:rsid w:val="002D52C0"/>
    <w:rsid w:val="002D55EA"/>
    <w:rsid w:val="002D5618"/>
    <w:rsid w:val="002D6229"/>
    <w:rsid w:val="002D6948"/>
    <w:rsid w:val="002D6BE7"/>
    <w:rsid w:val="002D71BC"/>
    <w:rsid w:val="002D71F3"/>
    <w:rsid w:val="002D725C"/>
    <w:rsid w:val="002D72E3"/>
    <w:rsid w:val="002E03C7"/>
    <w:rsid w:val="002E0DC4"/>
    <w:rsid w:val="002E15D3"/>
    <w:rsid w:val="002E1EDF"/>
    <w:rsid w:val="002E21A5"/>
    <w:rsid w:val="002E24A5"/>
    <w:rsid w:val="002E24DA"/>
    <w:rsid w:val="002E256D"/>
    <w:rsid w:val="002E2E28"/>
    <w:rsid w:val="002E34CA"/>
    <w:rsid w:val="002E365E"/>
    <w:rsid w:val="002E38F8"/>
    <w:rsid w:val="002E3A1E"/>
    <w:rsid w:val="002E3B39"/>
    <w:rsid w:val="002E3E20"/>
    <w:rsid w:val="002E43BD"/>
    <w:rsid w:val="002E45D8"/>
    <w:rsid w:val="002E4B43"/>
    <w:rsid w:val="002E5678"/>
    <w:rsid w:val="002E5C27"/>
    <w:rsid w:val="002E69A2"/>
    <w:rsid w:val="002E6BC7"/>
    <w:rsid w:val="002E6BEE"/>
    <w:rsid w:val="002E6C2E"/>
    <w:rsid w:val="002E6CA6"/>
    <w:rsid w:val="002E6E3A"/>
    <w:rsid w:val="002E6E55"/>
    <w:rsid w:val="002E74A3"/>
    <w:rsid w:val="002E74E3"/>
    <w:rsid w:val="002E7847"/>
    <w:rsid w:val="002E78BA"/>
    <w:rsid w:val="002E78E1"/>
    <w:rsid w:val="002E7FBA"/>
    <w:rsid w:val="002F0209"/>
    <w:rsid w:val="002F063F"/>
    <w:rsid w:val="002F1065"/>
    <w:rsid w:val="002F16C6"/>
    <w:rsid w:val="002F187E"/>
    <w:rsid w:val="002F1F06"/>
    <w:rsid w:val="002F217B"/>
    <w:rsid w:val="002F26EC"/>
    <w:rsid w:val="002F2A66"/>
    <w:rsid w:val="002F3287"/>
    <w:rsid w:val="002F3783"/>
    <w:rsid w:val="002F43C7"/>
    <w:rsid w:val="002F43E7"/>
    <w:rsid w:val="002F4646"/>
    <w:rsid w:val="002F528C"/>
    <w:rsid w:val="002F585D"/>
    <w:rsid w:val="002F5952"/>
    <w:rsid w:val="002F61F7"/>
    <w:rsid w:val="002F6304"/>
    <w:rsid w:val="002F649F"/>
    <w:rsid w:val="002F6C5B"/>
    <w:rsid w:val="002F713B"/>
    <w:rsid w:val="002F71C0"/>
    <w:rsid w:val="002F7982"/>
    <w:rsid w:val="00300145"/>
    <w:rsid w:val="003001D5"/>
    <w:rsid w:val="0030065C"/>
    <w:rsid w:val="003015B3"/>
    <w:rsid w:val="00301842"/>
    <w:rsid w:val="0030191C"/>
    <w:rsid w:val="00301CA4"/>
    <w:rsid w:val="00301E81"/>
    <w:rsid w:val="00302344"/>
    <w:rsid w:val="00302BC3"/>
    <w:rsid w:val="00302C62"/>
    <w:rsid w:val="00302E8D"/>
    <w:rsid w:val="00303652"/>
    <w:rsid w:val="003036FD"/>
    <w:rsid w:val="00303B7B"/>
    <w:rsid w:val="00303C96"/>
    <w:rsid w:val="0030477A"/>
    <w:rsid w:val="003047CE"/>
    <w:rsid w:val="00304834"/>
    <w:rsid w:val="00304B23"/>
    <w:rsid w:val="00304C43"/>
    <w:rsid w:val="00304F0A"/>
    <w:rsid w:val="0030514A"/>
    <w:rsid w:val="00305307"/>
    <w:rsid w:val="00306186"/>
    <w:rsid w:val="003064F6"/>
    <w:rsid w:val="003066A0"/>
    <w:rsid w:val="003068B4"/>
    <w:rsid w:val="00306CD3"/>
    <w:rsid w:val="00307511"/>
    <w:rsid w:val="003079E6"/>
    <w:rsid w:val="00307ED3"/>
    <w:rsid w:val="00310311"/>
    <w:rsid w:val="00310635"/>
    <w:rsid w:val="00310E21"/>
    <w:rsid w:val="00310FD9"/>
    <w:rsid w:val="0031149E"/>
    <w:rsid w:val="003115FE"/>
    <w:rsid w:val="003116B6"/>
    <w:rsid w:val="00312385"/>
    <w:rsid w:val="0031296B"/>
    <w:rsid w:val="00312E24"/>
    <w:rsid w:val="0031392F"/>
    <w:rsid w:val="00313966"/>
    <w:rsid w:val="00314009"/>
    <w:rsid w:val="0031451C"/>
    <w:rsid w:val="00314D53"/>
    <w:rsid w:val="00314FC1"/>
    <w:rsid w:val="00314FD0"/>
    <w:rsid w:val="003158BC"/>
    <w:rsid w:val="0031625B"/>
    <w:rsid w:val="003164A4"/>
    <w:rsid w:val="0031664A"/>
    <w:rsid w:val="00316A3C"/>
    <w:rsid w:val="00317341"/>
    <w:rsid w:val="00317662"/>
    <w:rsid w:val="003176F8"/>
    <w:rsid w:val="00317CFE"/>
    <w:rsid w:val="003217C7"/>
    <w:rsid w:val="003223B6"/>
    <w:rsid w:val="00322C63"/>
    <w:rsid w:val="00323C5E"/>
    <w:rsid w:val="003240A9"/>
    <w:rsid w:val="00324526"/>
    <w:rsid w:val="003249FC"/>
    <w:rsid w:val="003254A9"/>
    <w:rsid w:val="0032598C"/>
    <w:rsid w:val="00325D3A"/>
    <w:rsid w:val="0032607B"/>
    <w:rsid w:val="00326368"/>
    <w:rsid w:val="003268D9"/>
    <w:rsid w:val="003268F7"/>
    <w:rsid w:val="00326911"/>
    <w:rsid w:val="00327066"/>
    <w:rsid w:val="0032726F"/>
    <w:rsid w:val="003274B7"/>
    <w:rsid w:val="00327772"/>
    <w:rsid w:val="00327954"/>
    <w:rsid w:val="00327F01"/>
    <w:rsid w:val="00330217"/>
    <w:rsid w:val="00330AEE"/>
    <w:rsid w:val="003310B1"/>
    <w:rsid w:val="003311C6"/>
    <w:rsid w:val="00331537"/>
    <w:rsid w:val="003315C8"/>
    <w:rsid w:val="00331926"/>
    <w:rsid w:val="00332B39"/>
    <w:rsid w:val="00332B94"/>
    <w:rsid w:val="003333B8"/>
    <w:rsid w:val="00333455"/>
    <w:rsid w:val="003335F9"/>
    <w:rsid w:val="00333926"/>
    <w:rsid w:val="0033401C"/>
    <w:rsid w:val="0033479F"/>
    <w:rsid w:val="00334AF1"/>
    <w:rsid w:val="00334BE4"/>
    <w:rsid w:val="003356D1"/>
    <w:rsid w:val="00335CAC"/>
    <w:rsid w:val="0033628A"/>
    <w:rsid w:val="00336320"/>
    <w:rsid w:val="00336573"/>
    <w:rsid w:val="00336A97"/>
    <w:rsid w:val="00336C53"/>
    <w:rsid w:val="00337D35"/>
    <w:rsid w:val="00340688"/>
    <w:rsid w:val="00340C92"/>
    <w:rsid w:val="00340C93"/>
    <w:rsid w:val="00340C9E"/>
    <w:rsid w:val="003417AC"/>
    <w:rsid w:val="00341B28"/>
    <w:rsid w:val="00341B8C"/>
    <w:rsid w:val="00341CC7"/>
    <w:rsid w:val="0034241F"/>
    <w:rsid w:val="0034355F"/>
    <w:rsid w:val="003435D8"/>
    <w:rsid w:val="003435F4"/>
    <w:rsid w:val="00343A84"/>
    <w:rsid w:val="00343C41"/>
    <w:rsid w:val="00343EB3"/>
    <w:rsid w:val="003449B2"/>
    <w:rsid w:val="00344A67"/>
    <w:rsid w:val="0034545B"/>
    <w:rsid w:val="00345461"/>
    <w:rsid w:val="00345462"/>
    <w:rsid w:val="0034586F"/>
    <w:rsid w:val="00345A4A"/>
    <w:rsid w:val="00346093"/>
    <w:rsid w:val="0034651C"/>
    <w:rsid w:val="0034662B"/>
    <w:rsid w:val="00346743"/>
    <w:rsid w:val="00346EE2"/>
    <w:rsid w:val="00351499"/>
    <w:rsid w:val="003514C8"/>
    <w:rsid w:val="0035297F"/>
    <w:rsid w:val="00352AC9"/>
    <w:rsid w:val="003534EB"/>
    <w:rsid w:val="00353820"/>
    <w:rsid w:val="00354A50"/>
    <w:rsid w:val="00354E25"/>
    <w:rsid w:val="00354F9C"/>
    <w:rsid w:val="0035528E"/>
    <w:rsid w:val="003555B6"/>
    <w:rsid w:val="003559EB"/>
    <w:rsid w:val="003563B6"/>
    <w:rsid w:val="00356653"/>
    <w:rsid w:val="00356832"/>
    <w:rsid w:val="00356B17"/>
    <w:rsid w:val="00356C7F"/>
    <w:rsid w:val="00360359"/>
    <w:rsid w:val="00360E7C"/>
    <w:rsid w:val="0036121E"/>
    <w:rsid w:val="0036331E"/>
    <w:rsid w:val="00363336"/>
    <w:rsid w:val="003634F0"/>
    <w:rsid w:val="003635E0"/>
    <w:rsid w:val="003644B3"/>
    <w:rsid w:val="003648F0"/>
    <w:rsid w:val="00364CED"/>
    <w:rsid w:val="00364F31"/>
    <w:rsid w:val="003650A3"/>
    <w:rsid w:val="003651D5"/>
    <w:rsid w:val="00366BED"/>
    <w:rsid w:val="00366C71"/>
    <w:rsid w:val="00366F6F"/>
    <w:rsid w:val="00367109"/>
    <w:rsid w:val="0036718F"/>
    <w:rsid w:val="00367A3A"/>
    <w:rsid w:val="00367D8B"/>
    <w:rsid w:val="003701F9"/>
    <w:rsid w:val="003702DB"/>
    <w:rsid w:val="00370427"/>
    <w:rsid w:val="00370B50"/>
    <w:rsid w:val="00370C19"/>
    <w:rsid w:val="00371081"/>
    <w:rsid w:val="00371932"/>
    <w:rsid w:val="00371AEA"/>
    <w:rsid w:val="0037243E"/>
    <w:rsid w:val="003727AA"/>
    <w:rsid w:val="0037284A"/>
    <w:rsid w:val="00372B5C"/>
    <w:rsid w:val="00373532"/>
    <w:rsid w:val="00373DBA"/>
    <w:rsid w:val="0037457A"/>
    <w:rsid w:val="00374EE0"/>
    <w:rsid w:val="0037563C"/>
    <w:rsid w:val="003759F3"/>
    <w:rsid w:val="00376041"/>
    <w:rsid w:val="00376827"/>
    <w:rsid w:val="00376954"/>
    <w:rsid w:val="00376B94"/>
    <w:rsid w:val="003770F9"/>
    <w:rsid w:val="003778D9"/>
    <w:rsid w:val="00377B07"/>
    <w:rsid w:val="00377B8C"/>
    <w:rsid w:val="00381309"/>
    <w:rsid w:val="003818C0"/>
    <w:rsid w:val="00381B97"/>
    <w:rsid w:val="00381D3A"/>
    <w:rsid w:val="003826FB"/>
    <w:rsid w:val="00382A11"/>
    <w:rsid w:val="00382CD2"/>
    <w:rsid w:val="00382D7E"/>
    <w:rsid w:val="0038332A"/>
    <w:rsid w:val="003835E2"/>
    <w:rsid w:val="00383FFB"/>
    <w:rsid w:val="00384985"/>
    <w:rsid w:val="003853CB"/>
    <w:rsid w:val="003858C3"/>
    <w:rsid w:val="00386218"/>
    <w:rsid w:val="0038632C"/>
    <w:rsid w:val="0038641B"/>
    <w:rsid w:val="003869A8"/>
    <w:rsid w:val="00386DAD"/>
    <w:rsid w:val="00387374"/>
    <w:rsid w:val="0038743A"/>
    <w:rsid w:val="00387C3C"/>
    <w:rsid w:val="00387F35"/>
    <w:rsid w:val="00387FD4"/>
    <w:rsid w:val="003907C1"/>
    <w:rsid w:val="003917B0"/>
    <w:rsid w:val="003917F1"/>
    <w:rsid w:val="00391817"/>
    <w:rsid w:val="0039183F"/>
    <w:rsid w:val="003918C0"/>
    <w:rsid w:val="00391977"/>
    <w:rsid w:val="00391AE4"/>
    <w:rsid w:val="00391E8A"/>
    <w:rsid w:val="00391F45"/>
    <w:rsid w:val="0039239F"/>
    <w:rsid w:val="003924F1"/>
    <w:rsid w:val="00392AE0"/>
    <w:rsid w:val="00393082"/>
    <w:rsid w:val="003933EE"/>
    <w:rsid w:val="0039341B"/>
    <w:rsid w:val="00394706"/>
    <w:rsid w:val="00395194"/>
    <w:rsid w:val="00395264"/>
    <w:rsid w:val="00396331"/>
    <w:rsid w:val="00396F16"/>
    <w:rsid w:val="00397679"/>
    <w:rsid w:val="00397683"/>
    <w:rsid w:val="003979D1"/>
    <w:rsid w:val="00397D4C"/>
    <w:rsid w:val="003A0458"/>
    <w:rsid w:val="003A08C4"/>
    <w:rsid w:val="003A152B"/>
    <w:rsid w:val="003A305F"/>
    <w:rsid w:val="003A33C5"/>
    <w:rsid w:val="003A3CFF"/>
    <w:rsid w:val="003A4574"/>
    <w:rsid w:val="003A4882"/>
    <w:rsid w:val="003A4F7B"/>
    <w:rsid w:val="003A51FA"/>
    <w:rsid w:val="003A53F6"/>
    <w:rsid w:val="003A5619"/>
    <w:rsid w:val="003A5628"/>
    <w:rsid w:val="003A570B"/>
    <w:rsid w:val="003A6E65"/>
    <w:rsid w:val="003A76D8"/>
    <w:rsid w:val="003A7F8D"/>
    <w:rsid w:val="003B025A"/>
    <w:rsid w:val="003B0F5D"/>
    <w:rsid w:val="003B107B"/>
    <w:rsid w:val="003B118C"/>
    <w:rsid w:val="003B14D3"/>
    <w:rsid w:val="003B191D"/>
    <w:rsid w:val="003B1AF9"/>
    <w:rsid w:val="003B2326"/>
    <w:rsid w:val="003B26C9"/>
    <w:rsid w:val="003B2748"/>
    <w:rsid w:val="003B2799"/>
    <w:rsid w:val="003B3276"/>
    <w:rsid w:val="003B3819"/>
    <w:rsid w:val="003B3B3E"/>
    <w:rsid w:val="003B3DCE"/>
    <w:rsid w:val="003B465B"/>
    <w:rsid w:val="003B4C9F"/>
    <w:rsid w:val="003B4E15"/>
    <w:rsid w:val="003B5087"/>
    <w:rsid w:val="003B5475"/>
    <w:rsid w:val="003B5851"/>
    <w:rsid w:val="003B5B6F"/>
    <w:rsid w:val="003B605D"/>
    <w:rsid w:val="003B6137"/>
    <w:rsid w:val="003B64DC"/>
    <w:rsid w:val="003B6672"/>
    <w:rsid w:val="003B680D"/>
    <w:rsid w:val="003B6842"/>
    <w:rsid w:val="003B6AA0"/>
    <w:rsid w:val="003B6CF7"/>
    <w:rsid w:val="003B6E15"/>
    <w:rsid w:val="003B6FEA"/>
    <w:rsid w:val="003B73C5"/>
    <w:rsid w:val="003B7607"/>
    <w:rsid w:val="003B774B"/>
    <w:rsid w:val="003B797E"/>
    <w:rsid w:val="003C07D6"/>
    <w:rsid w:val="003C1951"/>
    <w:rsid w:val="003C19F7"/>
    <w:rsid w:val="003C2106"/>
    <w:rsid w:val="003C22DF"/>
    <w:rsid w:val="003C2305"/>
    <w:rsid w:val="003C2967"/>
    <w:rsid w:val="003C30E1"/>
    <w:rsid w:val="003C3243"/>
    <w:rsid w:val="003C3FF3"/>
    <w:rsid w:val="003C54F4"/>
    <w:rsid w:val="003C59F9"/>
    <w:rsid w:val="003C60A4"/>
    <w:rsid w:val="003C6352"/>
    <w:rsid w:val="003C684B"/>
    <w:rsid w:val="003C6F1F"/>
    <w:rsid w:val="003C72AA"/>
    <w:rsid w:val="003C7AF5"/>
    <w:rsid w:val="003D0AEA"/>
    <w:rsid w:val="003D0CCD"/>
    <w:rsid w:val="003D16FF"/>
    <w:rsid w:val="003D1944"/>
    <w:rsid w:val="003D1A10"/>
    <w:rsid w:val="003D1A7B"/>
    <w:rsid w:val="003D1B1E"/>
    <w:rsid w:val="003D1C64"/>
    <w:rsid w:val="003D1C69"/>
    <w:rsid w:val="003D2162"/>
    <w:rsid w:val="003D2219"/>
    <w:rsid w:val="003D2409"/>
    <w:rsid w:val="003D2AB0"/>
    <w:rsid w:val="003D2CB1"/>
    <w:rsid w:val="003D31DD"/>
    <w:rsid w:val="003D352D"/>
    <w:rsid w:val="003D36AF"/>
    <w:rsid w:val="003D373D"/>
    <w:rsid w:val="003D381D"/>
    <w:rsid w:val="003D386E"/>
    <w:rsid w:val="003D3D08"/>
    <w:rsid w:val="003D48B7"/>
    <w:rsid w:val="003D4A51"/>
    <w:rsid w:val="003D528D"/>
    <w:rsid w:val="003D5728"/>
    <w:rsid w:val="003D57AC"/>
    <w:rsid w:val="003D5C5B"/>
    <w:rsid w:val="003D642F"/>
    <w:rsid w:val="003D6607"/>
    <w:rsid w:val="003D7541"/>
    <w:rsid w:val="003D7CCE"/>
    <w:rsid w:val="003E0769"/>
    <w:rsid w:val="003E0850"/>
    <w:rsid w:val="003E0898"/>
    <w:rsid w:val="003E1001"/>
    <w:rsid w:val="003E107E"/>
    <w:rsid w:val="003E12C3"/>
    <w:rsid w:val="003E1A82"/>
    <w:rsid w:val="003E21C6"/>
    <w:rsid w:val="003E240F"/>
    <w:rsid w:val="003E2511"/>
    <w:rsid w:val="003E2909"/>
    <w:rsid w:val="003E3003"/>
    <w:rsid w:val="003E3221"/>
    <w:rsid w:val="003E3B01"/>
    <w:rsid w:val="003E3DE8"/>
    <w:rsid w:val="003E3F26"/>
    <w:rsid w:val="003E3F2B"/>
    <w:rsid w:val="003E5D44"/>
    <w:rsid w:val="003E5E6F"/>
    <w:rsid w:val="003E63C2"/>
    <w:rsid w:val="003E7D91"/>
    <w:rsid w:val="003E7EBC"/>
    <w:rsid w:val="003E7F8E"/>
    <w:rsid w:val="003F0544"/>
    <w:rsid w:val="003F0709"/>
    <w:rsid w:val="003F073F"/>
    <w:rsid w:val="003F24EC"/>
    <w:rsid w:val="003F25B9"/>
    <w:rsid w:val="003F2997"/>
    <w:rsid w:val="003F29C8"/>
    <w:rsid w:val="003F2B34"/>
    <w:rsid w:val="003F2E07"/>
    <w:rsid w:val="003F375A"/>
    <w:rsid w:val="003F3D88"/>
    <w:rsid w:val="003F4506"/>
    <w:rsid w:val="003F4660"/>
    <w:rsid w:val="003F494D"/>
    <w:rsid w:val="003F4FE0"/>
    <w:rsid w:val="003F5F38"/>
    <w:rsid w:val="003F6CA9"/>
    <w:rsid w:val="003F6E5E"/>
    <w:rsid w:val="003F7670"/>
    <w:rsid w:val="003F79B8"/>
    <w:rsid w:val="003F7B0B"/>
    <w:rsid w:val="003F7B3E"/>
    <w:rsid w:val="00400122"/>
    <w:rsid w:val="00400454"/>
    <w:rsid w:val="00400C5E"/>
    <w:rsid w:val="00400E75"/>
    <w:rsid w:val="0040120A"/>
    <w:rsid w:val="0040150D"/>
    <w:rsid w:val="004015E6"/>
    <w:rsid w:val="004019C0"/>
    <w:rsid w:val="00401D04"/>
    <w:rsid w:val="00401E51"/>
    <w:rsid w:val="004028F7"/>
    <w:rsid w:val="00402BEC"/>
    <w:rsid w:val="00402D4F"/>
    <w:rsid w:val="00402EC4"/>
    <w:rsid w:val="00402F03"/>
    <w:rsid w:val="0040416B"/>
    <w:rsid w:val="00404FA2"/>
    <w:rsid w:val="0040503B"/>
    <w:rsid w:val="004051C9"/>
    <w:rsid w:val="004052D0"/>
    <w:rsid w:val="0040559D"/>
    <w:rsid w:val="00406111"/>
    <w:rsid w:val="00406184"/>
    <w:rsid w:val="004062DF"/>
    <w:rsid w:val="004064C9"/>
    <w:rsid w:val="0040702C"/>
    <w:rsid w:val="004072FD"/>
    <w:rsid w:val="0040733D"/>
    <w:rsid w:val="00407E27"/>
    <w:rsid w:val="00407F7A"/>
    <w:rsid w:val="00407FF7"/>
    <w:rsid w:val="004101D0"/>
    <w:rsid w:val="0041121A"/>
    <w:rsid w:val="004114F1"/>
    <w:rsid w:val="00411C2A"/>
    <w:rsid w:val="00411EBB"/>
    <w:rsid w:val="0041379A"/>
    <w:rsid w:val="00413E42"/>
    <w:rsid w:val="004147A0"/>
    <w:rsid w:val="00414C09"/>
    <w:rsid w:val="00414D8C"/>
    <w:rsid w:val="00414F2E"/>
    <w:rsid w:val="00414F42"/>
    <w:rsid w:val="00414FED"/>
    <w:rsid w:val="004156C4"/>
    <w:rsid w:val="00415957"/>
    <w:rsid w:val="00415A10"/>
    <w:rsid w:val="00415E3A"/>
    <w:rsid w:val="00415FC2"/>
    <w:rsid w:val="004160C0"/>
    <w:rsid w:val="0041777A"/>
    <w:rsid w:val="004177E4"/>
    <w:rsid w:val="00420D14"/>
    <w:rsid w:val="004210AC"/>
    <w:rsid w:val="004212A8"/>
    <w:rsid w:val="00421361"/>
    <w:rsid w:val="004215CE"/>
    <w:rsid w:val="00421724"/>
    <w:rsid w:val="00421C95"/>
    <w:rsid w:val="00422449"/>
    <w:rsid w:val="00422992"/>
    <w:rsid w:val="00422999"/>
    <w:rsid w:val="00422B7B"/>
    <w:rsid w:val="004234F6"/>
    <w:rsid w:val="004257CC"/>
    <w:rsid w:val="004259A5"/>
    <w:rsid w:val="00425B36"/>
    <w:rsid w:val="00425B7E"/>
    <w:rsid w:val="00425E27"/>
    <w:rsid w:val="00425E9E"/>
    <w:rsid w:val="00425F5C"/>
    <w:rsid w:val="00425F84"/>
    <w:rsid w:val="004266DF"/>
    <w:rsid w:val="00426A05"/>
    <w:rsid w:val="00427033"/>
    <w:rsid w:val="0042725A"/>
    <w:rsid w:val="00427324"/>
    <w:rsid w:val="0043109D"/>
    <w:rsid w:val="00431284"/>
    <w:rsid w:val="00431869"/>
    <w:rsid w:val="00431BC5"/>
    <w:rsid w:val="00433A75"/>
    <w:rsid w:val="00434317"/>
    <w:rsid w:val="00434414"/>
    <w:rsid w:val="00434577"/>
    <w:rsid w:val="00435339"/>
    <w:rsid w:val="004358CC"/>
    <w:rsid w:val="0043638F"/>
    <w:rsid w:val="00437B29"/>
    <w:rsid w:val="00441004"/>
    <w:rsid w:val="00441180"/>
    <w:rsid w:val="004413FC"/>
    <w:rsid w:val="004418C1"/>
    <w:rsid w:val="004418EA"/>
    <w:rsid w:val="004418EE"/>
    <w:rsid w:val="0044275D"/>
    <w:rsid w:val="00442D9D"/>
    <w:rsid w:val="004438E3"/>
    <w:rsid w:val="00443CE7"/>
    <w:rsid w:val="00443E20"/>
    <w:rsid w:val="00444132"/>
    <w:rsid w:val="0044441C"/>
    <w:rsid w:val="004446DE"/>
    <w:rsid w:val="004447B8"/>
    <w:rsid w:val="00444B57"/>
    <w:rsid w:val="00444BBD"/>
    <w:rsid w:val="00444FE3"/>
    <w:rsid w:val="0044594B"/>
    <w:rsid w:val="00445980"/>
    <w:rsid w:val="00445A25"/>
    <w:rsid w:val="00445AB5"/>
    <w:rsid w:val="00445BEE"/>
    <w:rsid w:val="00446055"/>
    <w:rsid w:val="00446121"/>
    <w:rsid w:val="00446C7F"/>
    <w:rsid w:val="00446FDB"/>
    <w:rsid w:val="0044749C"/>
    <w:rsid w:val="00447599"/>
    <w:rsid w:val="00447C08"/>
    <w:rsid w:val="00447FFA"/>
    <w:rsid w:val="00450026"/>
    <w:rsid w:val="00450421"/>
    <w:rsid w:val="004504E2"/>
    <w:rsid w:val="00450FFE"/>
    <w:rsid w:val="00451B06"/>
    <w:rsid w:val="00451E43"/>
    <w:rsid w:val="00451EC3"/>
    <w:rsid w:val="00451EE1"/>
    <w:rsid w:val="0045271B"/>
    <w:rsid w:val="00452925"/>
    <w:rsid w:val="0045362F"/>
    <w:rsid w:val="00454B37"/>
    <w:rsid w:val="00455460"/>
    <w:rsid w:val="0045560A"/>
    <w:rsid w:val="00456840"/>
    <w:rsid w:val="00460A15"/>
    <w:rsid w:val="00461669"/>
    <w:rsid w:val="004617EE"/>
    <w:rsid w:val="00461861"/>
    <w:rsid w:val="00461DF3"/>
    <w:rsid w:val="00462A22"/>
    <w:rsid w:val="00462EFD"/>
    <w:rsid w:val="004630B7"/>
    <w:rsid w:val="00463224"/>
    <w:rsid w:val="00463E6E"/>
    <w:rsid w:val="00464812"/>
    <w:rsid w:val="00464ED2"/>
    <w:rsid w:val="00465572"/>
    <w:rsid w:val="004667E8"/>
    <w:rsid w:val="00466DF4"/>
    <w:rsid w:val="00467196"/>
    <w:rsid w:val="004704F4"/>
    <w:rsid w:val="004706DA"/>
    <w:rsid w:val="00470C4E"/>
    <w:rsid w:val="004714D4"/>
    <w:rsid w:val="004715B9"/>
    <w:rsid w:val="00471EAD"/>
    <w:rsid w:val="004723AC"/>
    <w:rsid w:val="004726EF"/>
    <w:rsid w:val="00472931"/>
    <w:rsid w:val="0047322F"/>
    <w:rsid w:val="0047356F"/>
    <w:rsid w:val="00473E38"/>
    <w:rsid w:val="00473F77"/>
    <w:rsid w:val="004741F9"/>
    <w:rsid w:val="00474327"/>
    <w:rsid w:val="004748BB"/>
    <w:rsid w:val="0047498E"/>
    <w:rsid w:val="00475152"/>
    <w:rsid w:val="00475C43"/>
    <w:rsid w:val="00475D2A"/>
    <w:rsid w:val="004760E2"/>
    <w:rsid w:val="0047677F"/>
    <w:rsid w:val="00476F02"/>
    <w:rsid w:val="004770C2"/>
    <w:rsid w:val="004779AC"/>
    <w:rsid w:val="00477D25"/>
    <w:rsid w:val="00481090"/>
    <w:rsid w:val="004813C2"/>
    <w:rsid w:val="00481E5D"/>
    <w:rsid w:val="004820C2"/>
    <w:rsid w:val="00482432"/>
    <w:rsid w:val="00482AAC"/>
    <w:rsid w:val="00482DF4"/>
    <w:rsid w:val="00483276"/>
    <w:rsid w:val="00483543"/>
    <w:rsid w:val="00483A99"/>
    <w:rsid w:val="00484170"/>
    <w:rsid w:val="00484D11"/>
    <w:rsid w:val="0048523F"/>
    <w:rsid w:val="0048559A"/>
    <w:rsid w:val="00485BB2"/>
    <w:rsid w:val="00485C2A"/>
    <w:rsid w:val="00486175"/>
    <w:rsid w:val="0048649C"/>
    <w:rsid w:val="004868F5"/>
    <w:rsid w:val="004870D7"/>
    <w:rsid w:val="0048738C"/>
    <w:rsid w:val="004874B8"/>
    <w:rsid w:val="00487841"/>
    <w:rsid w:val="00487942"/>
    <w:rsid w:val="00487BDB"/>
    <w:rsid w:val="004906BB"/>
    <w:rsid w:val="00490813"/>
    <w:rsid w:val="00491321"/>
    <w:rsid w:val="00491B0E"/>
    <w:rsid w:val="0049254B"/>
    <w:rsid w:val="00492CC7"/>
    <w:rsid w:val="0049303D"/>
    <w:rsid w:val="004931E1"/>
    <w:rsid w:val="00493829"/>
    <w:rsid w:val="00493B5E"/>
    <w:rsid w:val="00493B9A"/>
    <w:rsid w:val="00493BC6"/>
    <w:rsid w:val="00494374"/>
    <w:rsid w:val="00494461"/>
    <w:rsid w:val="00494465"/>
    <w:rsid w:val="004944FB"/>
    <w:rsid w:val="0049464E"/>
    <w:rsid w:val="00494725"/>
    <w:rsid w:val="00494C4F"/>
    <w:rsid w:val="00494DA6"/>
    <w:rsid w:val="004950D1"/>
    <w:rsid w:val="00495CCA"/>
    <w:rsid w:val="00496042"/>
    <w:rsid w:val="004960AD"/>
    <w:rsid w:val="004963CB"/>
    <w:rsid w:val="0049645D"/>
    <w:rsid w:val="0049648F"/>
    <w:rsid w:val="004966C3"/>
    <w:rsid w:val="00496AEC"/>
    <w:rsid w:val="004971C8"/>
    <w:rsid w:val="00497BE6"/>
    <w:rsid w:val="004A0B7B"/>
    <w:rsid w:val="004A0FCC"/>
    <w:rsid w:val="004A1940"/>
    <w:rsid w:val="004A1C61"/>
    <w:rsid w:val="004A242A"/>
    <w:rsid w:val="004A2586"/>
    <w:rsid w:val="004A2D5A"/>
    <w:rsid w:val="004A2FB9"/>
    <w:rsid w:val="004A311D"/>
    <w:rsid w:val="004A38A1"/>
    <w:rsid w:val="004A3BCB"/>
    <w:rsid w:val="004A4321"/>
    <w:rsid w:val="004A5523"/>
    <w:rsid w:val="004A567C"/>
    <w:rsid w:val="004A5AB6"/>
    <w:rsid w:val="004A6038"/>
    <w:rsid w:val="004A6327"/>
    <w:rsid w:val="004A6354"/>
    <w:rsid w:val="004A6B4A"/>
    <w:rsid w:val="004A6B9C"/>
    <w:rsid w:val="004B0137"/>
    <w:rsid w:val="004B041F"/>
    <w:rsid w:val="004B0609"/>
    <w:rsid w:val="004B061E"/>
    <w:rsid w:val="004B12A2"/>
    <w:rsid w:val="004B20E6"/>
    <w:rsid w:val="004B3095"/>
    <w:rsid w:val="004B32A5"/>
    <w:rsid w:val="004B3940"/>
    <w:rsid w:val="004B4F28"/>
    <w:rsid w:val="004B504A"/>
    <w:rsid w:val="004B526D"/>
    <w:rsid w:val="004B5359"/>
    <w:rsid w:val="004B560D"/>
    <w:rsid w:val="004B59FD"/>
    <w:rsid w:val="004B5A27"/>
    <w:rsid w:val="004B5BBD"/>
    <w:rsid w:val="004B5BC0"/>
    <w:rsid w:val="004B5C34"/>
    <w:rsid w:val="004B62FC"/>
    <w:rsid w:val="004B6C39"/>
    <w:rsid w:val="004B6D91"/>
    <w:rsid w:val="004B7095"/>
    <w:rsid w:val="004B72E1"/>
    <w:rsid w:val="004B7B13"/>
    <w:rsid w:val="004C05E9"/>
    <w:rsid w:val="004C0B38"/>
    <w:rsid w:val="004C0F3E"/>
    <w:rsid w:val="004C154A"/>
    <w:rsid w:val="004C1BC3"/>
    <w:rsid w:val="004C1DCF"/>
    <w:rsid w:val="004C2735"/>
    <w:rsid w:val="004C3463"/>
    <w:rsid w:val="004C37F9"/>
    <w:rsid w:val="004C3B13"/>
    <w:rsid w:val="004C3B35"/>
    <w:rsid w:val="004C4080"/>
    <w:rsid w:val="004C44CE"/>
    <w:rsid w:val="004C4773"/>
    <w:rsid w:val="004C496A"/>
    <w:rsid w:val="004C4AE1"/>
    <w:rsid w:val="004C4B5E"/>
    <w:rsid w:val="004C4BA9"/>
    <w:rsid w:val="004C5853"/>
    <w:rsid w:val="004C58FE"/>
    <w:rsid w:val="004C6184"/>
    <w:rsid w:val="004C67D7"/>
    <w:rsid w:val="004C6E78"/>
    <w:rsid w:val="004C7568"/>
    <w:rsid w:val="004C7D21"/>
    <w:rsid w:val="004D03C8"/>
    <w:rsid w:val="004D073E"/>
    <w:rsid w:val="004D0F76"/>
    <w:rsid w:val="004D1254"/>
    <w:rsid w:val="004D1949"/>
    <w:rsid w:val="004D254A"/>
    <w:rsid w:val="004D2849"/>
    <w:rsid w:val="004D2D96"/>
    <w:rsid w:val="004D2E47"/>
    <w:rsid w:val="004D408D"/>
    <w:rsid w:val="004D4311"/>
    <w:rsid w:val="004D4428"/>
    <w:rsid w:val="004D459F"/>
    <w:rsid w:val="004D47E5"/>
    <w:rsid w:val="004D532F"/>
    <w:rsid w:val="004D5729"/>
    <w:rsid w:val="004D580C"/>
    <w:rsid w:val="004D5D1A"/>
    <w:rsid w:val="004D5FE1"/>
    <w:rsid w:val="004D6856"/>
    <w:rsid w:val="004D69D2"/>
    <w:rsid w:val="004D7005"/>
    <w:rsid w:val="004D70EF"/>
    <w:rsid w:val="004D73B9"/>
    <w:rsid w:val="004D7B0B"/>
    <w:rsid w:val="004E0133"/>
    <w:rsid w:val="004E0688"/>
    <w:rsid w:val="004E093D"/>
    <w:rsid w:val="004E0C94"/>
    <w:rsid w:val="004E0CE8"/>
    <w:rsid w:val="004E1161"/>
    <w:rsid w:val="004E12BE"/>
    <w:rsid w:val="004E130B"/>
    <w:rsid w:val="004E1670"/>
    <w:rsid w:val="004E1A34"/>
    <w:rsid w:val="004E1C0E"/>
    <w:rsid w:val="004E1F5C"/>
    <w:rsid w:val="004E1FD2"/>
    <w:rsid w:val="004E2288"/>
    <w:rsid w:val="004E2E4C"/>
    <w:rsid w:val="004E3744"/>
    <w:rsid w:val="004E3761"/>
    <w:rsid w:val="004E3B73"/>
    <w:rsid w:val="004E440A"/>
    <w:rsid w:val="004E441B"/>
    <w:rsid w:val="004E493E"/>
    <w:rsid w:val="004E554A"/>
    <w:rsid w:val="004E6055"/>
    <w:rsid w:val="004E630E"/>
    <w:rsid w:val="004E66B2"/>
    <w:rsid w:val="004E6757"/>
    <w:rsid w:val="004E6F7D"/>
    <w:rsid w:val="004E70F8"/>
    <w:rsid w:val="004E7E02"/>
    <w:rsid w:val="004F1A3C"/>
    <w:rsid w:val="004F1BF7"/>
    <w:rsid w:val="004F1C9C"/>
    <w:rsid w:val="004F1F7B"/>
    <w:rsid w:val="004F1F84"/>
    <w:rsid w:val="004F2125"/>
    <w:rsid w:val="004F240B"/>
    <w:rsid w:val="004F247E"/>
    <w:rsid w:val="004F251C"/>
    <w:rsid w:val="004F30C6"/>
    <w:rsid w:val="004F38B8"/>
    <w:rsid w:val="004F3EB7"/>
    <w:rsid w:val="004F55A9"/>
    <w:rsid w:val="004F5D01"/>
    <w:rsid w:val="004F5E43"/>
    <w:rsid w:val="004F61E1"/>
    <w:rsid w:val="004F637F"/>
    <w:rsid w:val="004F6C54"/>
    <w:rsid w:val="004F6D91"/>
    <w:rsid w:val="004F78C4"/>
    <w:rsid w:val="004F790D"/>
    <w:rsid w:val="004F7CB6"/>
    <w:rsid w:val="00500103"/>
    <w:rsid w:val="00500384"/>
    <w:rsid w:val="00500C81"/>
    <w:rsid w:val="00500CD4"/>
    <w:rsid w:val="00500F30"/>
    <w:rsid w:val="00501478"/>
    <w:rsid w:val="00503558"/>
    <w:rsid w:val="00503609"/>
    <w:rsid w:val="005036A1"/>
    <w:rsid w:val="00504920"/>
    <w:rsid w:val="00504CA7"/>
    <w:rsid w:val="00505436"/>
    <w:rsid w:val="00505B0C"/>
    <w:rsid w:val="0050620E"/>
    <w:rsid w:val="00506B5A"/>
    <w:rsid w:val="00506C0F"/>
    <w:rsid w:val="00506E5A"/>
    <w:rsid w:val="005073BC"/>
    <w:rsid w:val="00507B53"/>
    <w:rsid w:val="00507B98"/>
    <w:rsid w:val="00510048"/>
    <w:rsid w:val="005100AF"/>
    <w:rsid w:val="005103CE"/>
    <w:rsid w:val="00510588"/>
    <w:rsid w:val="00511758"/>
    <w:rsid w:val="005124B0"/>
    <w:rsid w:val="00513738"/>
    <w:rsid w:val="00514A1C"/>
    <w:rsid w:val="00514E98"/>
    <w:rsid w:val="00514EC4"/>
    <w:rsid w:val="00514F16"/>
    <w:rsid w:val="00515168"/>
    <w:rsid w:val="00515414"/>
    <w:rsid w:val="005156CF"/>
    <w:rsid w:val="00515983"/>
    <w:rsid w:val="00515A08"/>
    <w:rsid w:val="005160E9"/>
    <w:rsid w:val="00516423"/>
    <w:rsid w:val="00516E7C"/>
    <w:rsid w:val="005176B2"/>
    <w:rsid w:val="005176F9"/>
    <w:rsid w:val="00520758"/>
    <w:rsid w:val="00520D14"/>
    <w:rsid w:val="005215B9"/>
    <w:rsid w:val="0052181D"/>
    <w:rsid w:val="0052187D"/>
    <w:rsid w:val="00521BA0"/>
    <w:rsid w:val="00521E91"/>
    <w:rsid w:val="00522132"/>
    <w:rsid w:val="00522617"/>
    <w:rsid w:val="00522C5F"/>
    <w:rsid w:val="00523022"/>
    <w:rsid w:val="005236EB"/>
    <w:rsid w:val="00523E05"/>
    <w:rsid w:val="005240A0"/>
    <w:rsid w:val="00524138"/>
    <w:rsid w:val="00524664"/>
    <w:rsid w:val="0052477A"/>
    <w:rsid w:val="00524D9F"/>
    <w:rsid w:val="0052514D"/>
    <w:rsid w:val="005252E3"/>
    <w:rsid w:val="00525647"/>
    <w:rsid w:val="00525ABC"/>
    <w:rsid w:val="00525F55"/>
    <w:rsid w:val="00526022"/>
    <w:rsid w:val="0052623C"/>
    <w:rsid w:val="00526A1A"/>
    <w:rsid w:val="00526BF6"/>
    <w:rsid w:val="005278A2"/>
    <w:rsid w:val="00527B60"/>
    <w:rsid w:val="00530253"/>
    <w:rsid w:val="00530CFF"/>
    <w:rsid w:val="00531C69"/>
    <w:rsid w:val="00532C7E"/>
    <w:rsid w:val="00533500"/>
    <w:rsid w:val="0053365D"/>
    <w:rsid w:val="0053376A"/>
    <w:rsid w:val="0053407D"/>
    <w:rsid w:val="005340AA"/>
    <w:rsid w:val="00534531"/>
    <w:rsid w:val="0053519A"/>
    <w:rsid w:val="00536FE5"/>
    <w:rsid w:val="005378E6"/>
    <w:rsid w:val="005379B0"/>
    <w:rsid w:val="00540922"/>
    <w:rsid w:val="005432D5"/>
    <w:rsid w:val="0054357B"/>
    <w:rsid w:val="005435E0"/>
    <w:rsid w:val="0054362F"/>
    <w:rsid w:val="00543DCC"/>
    <w:rsid w:val="00543F9B"/>
    <w:rsid w:val="0054403B"/>
    <w:rsid w:val="00544638"/>
    <w:rsid w:val="00544EA9"/>
    <w:rsid w:val="005457D9"/>
    <w:rsid w:val="00545807"/>
    <w:rsid w:val="00545831"/>
    <w:rsid w:val="005469A2"/>
    <w:rsid w:val="00546BA6"/>
    <w:rsid w:val="005473BB"/>
    <w:rsid w:val="005479A1"/>
    <w:rsid w:val="00550706"/>
    <w:rsid w:val="005516BD"/>
    <w:rsid w:val="0055186B"/>
    <w:rsid w:val="00551DE1"/>
    <w:rsid w:val="00551E53"/>
    <w:rsid w:val="00553196"/>
    <w:rsid w:val="005531D4"/>
    <w:rsid w:val="00553552"/>
    <w:rsid w:val="00553A69"/>
    <w:rsid w:val="00553AE3"/>
    <w:rsid w:val="00553E7B"/>
    <w:rsid w:val="005548BC"/>
    <w:rsid w:val="00554E97"/>
    <w:rsid w:val="00554FD1"/>
    <w:rsid w:val="005556FA"/>
    <w:rsid w:val="00555739"/>
    <w:rsid w:val="00555861"/>
    <w:rsid w:val="00555929"/>
    <w:rsid w:val="005560C6"/>
    <w:rsid w:val="005569A1"/>
    <w:rsid w:val="0055768F"/>
    <w:rsid w:val="00557A02"/>
    <w:rsid w:val="00557F59"/>
    <w:rsid w:val="00557F8D"/>
    <w:rsid w:val="0056045B"/>
    <w:rsid w:val="00560705"/>
    <w:rsid w:val="00560B19"/>
    <w:rsid w:val="0056119B"/>
    <w:rsid w:val="0056140F"/>
    <w:rsid w:val="00561AB3"/>
    <w:rsid w:val="00561C12"/>
    <w:rsid w:val="00561C80"/>
    <w:rsid w:val="005622CC"/>
    <w:rsid w:val="00562447"/>
    <w:rsid w:val="00562ED3"/>
    <w:rsid w:val="005633F6"/>
    <w:rsid w:val="005638B9"/>
    <w:rsid w:val="00564759"/>
    <w:rsid w:val="00564C71"/>
    <w:rsid w:val="00565798"/>
    <w:rsid w:val="005657B7"/>
    <w:rsid w:val="00565FBA"/>
    <w:rsid w:val="00566D84"/>
    <w:rsid w:val="00567090"/>
    <w:rsid w:val="00567229"/>
    <w:rsid w:val="005672EB"/>
    <w:rsid w:val="00567584"/>
    <w:rsid w:val="00567E3C"/>
    <w:rsid w:val="00567E7A"/>
    <w:rsid w:val="005705FF"/>
    <w:rsid w:val="005708C2"/>
    <w:rsid w:val="005709C2"/>
    <w:rsid w:val="00570BC3"/>
    <w:rsid w:val="00570E13"/>
    <w:rsid w:val="00570E30"/>
    <w:rsid w:val="005718D3"/>
    <w:rsid w:val="0057196B"/>
    <w:rsid w:val="00571D13"/>
    <w:rsid w:val="00571E93"/>
    <w:rsid w:val="005721AF"/>
    <w:rsid w:val="00572393"/>
    <w:rsid w:val="00572A5E"/>
    <w:rsid w:val="00572BD0"/>
    <w:rsid w:val="00572DAD"/>
    <w:rsid w:val="00572E8A"/>
    <w:rsid w:val="0057307B"/>
    <w:rsid w:val="0057309C"/>
    <w:rsid w:val="00573215"/>
    <w:rsid w:val="0057383A"/>
    <w:rsid w:val="0057405E"/>
    <w:rsid w:val="00574217"/>
    <w:rsid w:val="005748D4"/>
    <w:rsid w:val="00574CD1"/>
    <w:rsid w:val="005752F5"/>
    <w:rsid w:val="00575409"/>
    <w:rsid w:val="00575AA8"/>
    <w:rsid w:val="00575F49"/>
    <w:rsid w:val="005762B3"/>
    <w:rsid w:val="00576613"/>
    <w:rsid w:val="0057695B"/>
    <w:rsid w:val="00576CD9"/>
    <w:rsid w:val="005770AE"/>
    <w:rsid w:val="00577C68"/>
    <w:rsid w:val="00577EEB"/>
    <w:rsid w:val="0058010B"/>
    <w:rsid w:val="00580757"/>
    <w:rsid w:val="005808C5"/>
    <w:rsid w:val="00580A62"/>
    <w:rsid w:val="00581146"/>
    <w:rsid w:val="005811A3"/>
    <w:rsid w:val="0058123E"/>
    <w:rsid w:val="0058137F"/>
    <w:rsid w:val="005816F3"/>
    <w:rsid w:val="00581B0F"/>
    <w:rsid w:val="00582146"/>
    <w:rsid w:val="00582401"/>
    <w:rsid w:val="00582AE7"/>
    <w:rsid w:val="00582F15"/>
    <w:rsid w:val="00583020"/>
    <w:rsid w:val="00583E18"/>
    <w:rsid w:val="0058425F"/>
    <w:rsid w:val="0058471F"/>
    <w:rsid w:val="005849EB"/>
    <w:rsid w:val="00584D66"/>
    <w:rsid w:val="00584E0E"/>
    <w:rsid w:val="00585ACB"/>
    <w:rsid w:val="00585D37"/>
    <w:rsid w:val="00586A57"/>
    <w:rsid w:val="00587181"/>
    <w:rsid w:val="005873F2"/>
    <w:rsid w:val="00587C83"/>
    <w:rsid w:val="00587D38"/>
    <w:rsid w:val="00590250"/>
    <w:rsid w:val="00590439"/>
    <w:rsid w:val="005904C2"/>
    <w:rsid w:val="00590E83"/>
    <w:rsid w:val="005914EE"/>
    <w:rsid w:val="00591800"/>
    <w:rsid w:val="00591CF3"/>
    <w:rsid w:val="00592367"/>
    <w:rsid w:val="00592C4A"/>
    <w:rsid w:val="005935C6"/>
    <w:rsid w:val="00593F84"/>
    <w:rsid w:val="005940F6"/>
    <w:rsid w:val="005948B1"/>
    <w:rsid w:val="00594D1B"/>
    <w:rsid w:val="00594E1A"/>
    <w:rsid w:val="00595062"/>
    <w:rsid w:val="005954CC"/>
    <w:rsid w:val="00595E29"/>
    <w:rsid w:val="00596228"/>
    <w:rsid w:val="00596C3C"/>
    <w:rsid w:val="005975C4"/>
    <w:rsid w:val="00597C1E"/>
    <w:rsid w:val="005A0002"/>
    <w:rsid w:val="005A010D"/>
    <w:rsid w:val="005A049B"/>
    <w:rsid w:val="005A0642"/>
    <w:rsid w:val="005A14E0"/>
    <w:rsid w:val="005A1702"/>
    <w:rsid w:val="005A1E75"/>
    <w:rsid w:val="005A2AFA"/>
    <w:rsid w:val="005A46A6"/>
    <w:rsid w:val="005A4F13"/>
    <w:rsid w:val="005A5172"/>
    <w:rsid w:val="005A52E9"/>
    <w:rsid w:val="005A532C"/>
    <w:rsid w:val="005A5424"/>
    <w:rsid w:val="005A5B99"/>
    <w:rsid w:val="005A5F90"/>
    <w:rsid w:val="005A68D1"/>
    <w:rsid w:val="005A6CA4"/>
    <w:rsid w:val="005A6D6B"/>
    <w:rsid w:val="005A6EF4"/>
    <w:rsid w:val="005A702E"/>
    <w:rsid w:val="005A727B"/>
    <w:rsid w:val="005A77B9"/>
    <w:rsid w:val="005A79D4"/>
    <w:rsid w:val="005B01AD"/>
    <w:rsid w:val="005B03A4"/>
    <w:rsid w:val="005B0929"/>
    <w:rsid w:val="005B0AB1"/>
    <w:rsid w:val="005B0C11"/>
    <w:rsid w:val="005B14C8"/>
    <w:rsid w:val="005B1ABF"/>
    <w:rsid w:val="005B2371"/>
    <w:rsid w:val="005B2A6A"/>
    <w:rsid w:val="005B2BE9"/>
    <w:rsid w:val="005B2C4E"/>
    <w:rsid w:val="005B3673"/>
    <w:rsid w:val="005B4394"/>
    <w:rsid w:val="005B4628"/>
    <w:rsid w:val="005B4D4A"/>
    <w:rsid w:val="005B5D46"/>
    <w:rsid w:val="005B5EC6"/>
    <w:rsid w:val="005B6146"/>
    <w:rsid w:val="005B627B"/>
    <w:rsid w:val="005B695C"/>
    <w:rsid w:val="005B7134"/>
    <w:rsid w:val="005B75CD"/>
    <w:rsid w:val="005B7E37"/>
    <w:rsid w:val="005C0059"/>
    <w:rsid w:val="005C1077"/>
    <w:rsid w:val="005C1AAE"/>
    <w:rsid w:val="005C1D2B"/>
    <w:rsid w:val="005C21BA"/>
    <w:rsid w:val="005C2276"/>
    <w:rsid w:val="005C242F"/>
    <w:rsid w:val="005C26C2"/>
    <w:rsid w:val="005C2858"/>
    <w:rsid w:val="005C3828"/>
    <w:rsid w:val="005C3ACF"/>
    <w:rsid w:val="005C3EB5"/>
    <w:rsid w:val="005C4970"/>
    <w:rsid w:val="005C5281"/>
    <w:rsid w:val="005C529F"/>
    <w:rsid w:val="005C550D"/>
    <w:rsid w:val="005C5CF2"/>
    <w:rsid w:val="005C5D8E"/>
    <w:rsid w:val="005C6021"/>
    <w:rsid w:val="005C6279"/>
    <w:rsid w:val="005C68F6"/>
    <w:rsid w:val="005C748F"/>
    <w:rsid w:val="005C7620"/>
    <w:rsid w:val="005C7ED9"/>
    <w:rsid w:val="005D080F"/>
    <w:rsid w:val="005D09C6"/>
    <w:rsid w:val="005D0F2B"/>
    <w:rsid w:val="005D138B"/>
    <w:rsid w:val="005D154A"/>
    <w:rsid w:val="005D1944"/>
    <w:rsid w:val="005D19A2"/>
    <w:rsid w:val="005D19F7"/>
    <w:rsid w:val="005D1DAF"/>
    <w:rsid w:val="005D1F4F"/>
    <w:rsid w:val="005D219A"/>
    <w:rsid w:val="005D2716"/>
    <w:rsid w:val="005D29D3"/>
    <w:rsid w:val="005D2D0B"/>
    <w:rsid w:val="005D3169"/>
    <w:rsid w:val="005D3189"/>
    <w:rsid w:val="005D3497"/>
    <w:rsid w:val="005D35F2"/>
    <w:rsid w:val="005D363A"/>
    <w:rsid w:val="005D3BFA"/>
    <w:rsid w:val="005D40F3"/>
    <w:rsid w:val="005D42A0"/>
    <w:rsid w:val="005D44DF"/>
    <w:rsid w:val="005D4521"/>
    <w:rsid w:val="005D4660"/>
    <w:rsid w:val="005D4E5F"/>
    <w:rsid w:val="005D585D"/>
    <w:rsid w:val="005D6281"/>
    <w:rsid w:val="005D6631"/>
    <w:rsid w:val="005D687C"/>
    <w:rsid w:val="005D696C"/>
    <w:rsid w:val="005D6A6E"/>
    <w:rsid w:val="005D6BD0"/>
    <w:rsid w:val="005D6CAD"/>
    <w:rsid w:val="005D743A"/>
    <w:rsid w:val="005D7A5C"/>
    <w:rsid w:val="005D7C02"/>
    <w:rsid w:val="005D7EA6"/>
    <w:rsid w:val="005E1606"/>
    <w:rsid w:val="005E1F4C"/>
    <w:rsid w:val="005E1FB4"/>
    <w:rsid w:val="005E30D9"/>
    <w:rsid w:val="005E3739"/>
    <w:rsid w:val="005E3AA0"/>
    <w:rsid w:val="005E4186"/>
    <w:rsid w:val="005E44A8"/>
    <w:rsid w:val="005E4B35"/>
    <w:rsid w:val="005E4CE2"/>
    <w:rsid w:val="005E4DD0"/>
    <w:rsid w:val="005E5078"/>
    <w:rsid w:val="005E5673"/>
    <w:rsid w:val="005E577D"/>
    <w:rsid w:val="005E586C"/>
    <w:rsid w:val="005E661E"/>
    <w:rsid w:val="005E6978"/>
    <w:rsid w:val="005E6DD1"/>
    <w:rsid w:val="005E7BF4"/>
    <w:rsid w:val="005E7D9D"/>
    <w:rsid w:val="005E7FB6"/>
    <w:rsid w:val="005F0246"/>
    <w:rsid w:val="005F07A8"/>
    <w:rsid w:val="005F143E"/>
    <w:rsid w:val="005F1E2E"/>
    <w:rsid w:val="005F2388"/>
    <w:rsid w:val="005F3F4C"/>
    <w:rsid w:val="005F4097"/>
    <w:rsid w:val="005F4556"/>
    <w:rsid w:val="005F4AC8"/>
    <w:rsid w:val="005F4EB9"/>
    <w:rsid w:val="005F53F9"/>
    <w:rsid w:val="005F59CF"/>
    <w:rsid w:val="005F5C19"/>
    <w:rsid w:val="005F667F"/>
    <w:rsid w:val="005F66F7"/>
    <w:rsid w:val="005F74EF"/>
    <w:rsid w:val="005F7960"/>
    <w:rsid w:val="00600C92"/>
    <w:rsid w:val="00600D17"/>
    <w:rsid w:val="006010DA"/>
    <w:rsid w:val="006018A9"/>
    <w:rsid w:val="00601A08"/>
    <w:rsid w:val="00602800"/>
    <w:rsid w:val="00602EF7"/>
    <w:rsid w:val="00603386"/>
    <w:rsid w:val="00603F57"/>
    <w:rsid w:val="00603F5F"/>
    <w:rsid w:val="00603F90"/>
    <w:rsid w:val="0060437B"/>
    <w:rsid w:val="006050C3"/>
    <w:rsid w:val="00605120"/>
    <w:rsid w:val="00605700"/>
    <w:rsid w:val="00605A0A"/>
    <w:rsid w:val="00605BCD"/>
    <w:rsid w:val="00605C3E"/>
    <w:rsid w:val="00606375"/>
    <w:rsid w:val="00606388"/>
    <w:rsid w:val="00607000"/>
    <w:rsid w:val="00607A05"/>
    <w:rsid w:val="00607ECA"/>
    <w:rsid w:val="0061035F"/>
    <w:rsid w:val="00610379"/>
    <w:rsid w:val="00610711"/>
    <w:rsid w:val="00610A8A"/>
    <w:rsid w:val="00611525"/>
    <w:rsid w:val="00611F3D"/>
    <w:rsid w:val="00612711"/>
    <w:rsid w:val="00612EA4"/>
    <w:rsid w:val="00613228"/>
    <w:rsid w:val="00613588"/>
    <w:rsid w:val="0061379E"/>
    <w:rsid w:val="00613DF9"/>
    <w:rsid w:val="00613FD1"/>
    <w:rsid w:val="00614291"/>
    <w:rsid w:val="006143D8"/>
    <w:rsid w:val="00614E7A"/>
    <w:rsid w:val="00614F2E"/>
    <w:rsid w:val="0061526A"/>
    <w:rsid w:val="006157C9"/>
    <w:rsid w:val="00615895"/>
    <w:rsid w:val="006158B8"/>
    <w:rsid w:val="00615D7F"/>
    <w:rsid w:val="00616317"/>
    <w:rsid w:val="0061690E"/>
    <w:rsid w:val="0061691A"/>
    <w:rsid w:val="006200A7"/>
    <w:rsid w:val="006201A3"/>
    <w:rsid w:val="00620984"/>
    <w:rsid w:val="00620A88"/>
    <w:rsid w:val="006216B8"/>
    <w:rsid w:val="006217E3"/>
    <w:rsid w:val="00621EAF"/>
    <w:rsid w:val="00622573"/>
    <w:rsid w:val="00623726"/>
    <w:rsid w:val="0062472E"/>
    <w:rsid w:val="00624A48"/>
    <w:rsid w:val="00625117"/>
    <w:rsid w:val="00625308"/>
    <w:rsid w:val="006257F4"/>
    <w:rsid w:val="00627161"/>
    <w:rsid w:val="0062773E"/>
    <w:rsid w:val="006304D0"/>
    <w:rsid w:val="00630561"/>
    <w:rsid w:val="00630982"/>
    <w:rsid w:val="00630B90"/>
    <w:rsid w:val="00630BCC"/>
    <w:rsid w:val="006317B2"/>
    <w:rsid w:val="006319E7"/>
    <w:rsid w:val="00631D22"/>
    <w:rsid w:val="00631E97"/>
    <w:rsid w:val="0063216C"/>
    <w:rsid w:val="006331F3"/>
    <w:rsid w:val="00633AB3"/>
    <w:rsid w:val="00633E5F"/>
    <w:rsid w:val="00633EEB"/>
    <w:rsid w:val="006340E5"/>
    <w:rsid w:val="0063458D"/>
    <w:rsid w:val="00634800"/>
    <w:rsid w:val="0063489E"/>
    <w:rsid w:val="00634A42"/>
    <w:rsid w:val="00635314"/>
    <w:rsid w:val="00635351"/>
    <w:rsid w:val="00635A9B"/>
    <w:rsid w:val="006361B3"/>
    <w:rsid w:val="00636EB2"/>
    <w:rsid w:val="00636EEA"/>
    <w:rsid w:val="0063791C"/>
    <w:rsid w:val="0063797D"/>
    <w:rsid w:val="00640AF2"/>
    <w:rsid w:val="00640BDF"/>
    <w:rsid w:val="00640E8A"/>
    <w:rsid w:val="006416FC"/>
    <w:rsid w:val="00641B48"/>
    <w:rsid w:val="0064203A"/>
    <w:rsid w:val="00642485"/>
    <w:rsid w:val="006425CE"/>
    <w:rsid w:val="00642787"/>
    <w:rsid w:val="006430A0"/>
    <w:rsid w:val="0064313C"/>
    <w:rsid w:val="006437E7"/>
    <w:rsid w:val="00643B88"/>
    <w:rsid w:val="006441C4"/>
    <w:rsid w:val="00644283"/>
    <w:rsid w:val="0064439D"/>
    <w:rsid w:val="0064448A"/>
    <w:rsid w:val="00644867"/>
    <w:rsid w:val="00644A87"/>
    <w:rsid w:val="00644D8F"/>
    <w:rsid w:val="00644F23"/>
    <w:rsid w:val="00645321"/>
    <w:rsid w:val="0064555E"/>
    <w:rsid w:val="006457FE"/>
    <w:rsid w:val="00645B03"/>
    <w:rsid w:val="00645CC6"/>
    <w:rsid w:val="006461CD"/>
    <w:rsid w:val="00647066"/>
    <w:rsid w:val="006517BB"/>
    <w:rsid w:val="0065190B"/>
    <w:rsid w:val="00651C46"/>
    <w:rsid w:val="006524E4"/>
    <w:rsid w:val="006525AE"/>
    <w:rsid w:val="00652614"/>
    <w:rsid w:val="0065263C"/>
    <w:rsid w:val="00652D96"/>
    <w:rsid w:val="006531C3"/>
    <w:rsid w:val="006533E0"/>
    <w:rsid w:val="00653F01"/>
    <w:rsid w:val="00654C2F"/>
    <w:rsid w:val="00655842"/>
    <w:rsid w:val="00656932"/>
    <w:rsid w:val="00656C8D"/>
    <w:rsid w:val="00657116"/>
    <w:rsid w:val="00657498"/>
    <w:rsid w:val="00657664"/>
    <w:rsid w:val="0066080E"/>
    <w:rsid w:val="00660D3D"/>
    <w:rsid w:val="0066118D"/>
    <w:rsid w:val="00661687"/>
    <w:rsid w:val="0066181D"/>
    <w:rsid w:val="00661C4F"/>
    <w:rsid w:val="00661C71"/>
    <w:rsid w:val="00662813"/>
    <w:rsid w:val="00662821"/>
    <w:rsid w:val="0066337F"/>
    <w:rsid w:val="00663CB5"/>
    <w:rsid w:val="00663DE2"/>
    <w:rsid w:val="00664D92"/>
    <w:rsid w:val="00664FAD"/>
    <w:rsid w:val="00665D98"/>
    <w:rsid w:val="00665D9D"/>
    <w:rsid w:val="0066642B"/>
    <w:rsid w:val="00666F14"/>
    <w:rsid w:val="0066733D"/>
    <w:rsid w:val="0066764B"/>
    <w:rsid w:val="006678A7"/>
    <w:rsid w:val="006679A3"/>
    <w:rsid w:val="00667ADC"/>
    <w:rsid w:val="00667E65"/>
    <w:rsid w:val="0067070B"/>
    <w:rsid w:val="006713A2"/>
    <w:rsid w:val="0067164A"/>
    <w:rsid w:val="00671827"/>
    <w:rsid w:val="00673090"/>
    <w:rsid w:val="006735FC"/>
    <w:rsid w:val="00673662"/>
    <w:rsid w:val="006737DB"/>
    <w:rsid w:val="00673CC9"/>
    <w:rsid w:val="006749F0"/>
    <w:rsid w:val="00674EA4"/>
    <w:rsid w:val="00674FC4"/>
    <w:rsid w:val="00675765"/>
    <w:rsid w:val="006757B0"/>
    <w:rsid w:val="00675B12"/>
    <w:rsid w:val="00675DD1"/>
    <w:rsid w:val="00676486"/>
    <w:rsid w:val="00676799"/>
    <w:rsid w:val="00676F67"/>
    <w:rsid w:val="00677279"/>
    <w:rsid w:val="00677BF5"/>
    <w:rsid w:val="00680058"/>
    <w:rsid w:val="006803A0"/>
    <w:rsid w:val="00680598"/>
    <w:rsid w:val="00680B87"/>
    <w:rsid w:val="00680ED4"/>
    <w:rsid w:val="00682623"/>
    <w:rsid w:val="0068280A"/>
    <w:rsid w:val="00682CE0"/>
    <w:rsid w:val="00682ECF"/>
    <w:rsid w:val="0068383D"/>
    <w:rsid w:val="00683FC8"/>
    <w:rsid w:val="006847C6"/>
    <w:rsid w:val="00684C33"/>
    <w:rsid w:val="006851F6"/>
    <w:rsid w:val="006859AC"/>
    <w:rsid w:val="00685A8E"/>
    <w:rsid w:val="00685CF9"/>
    <w:rsid w:val="00686322"/>
    <w:rsid w:val="00686602"/>
    <w:rsid w:val="00687111"/>
    <w:rsid w:val="00687168"/>
    <w:rsid w:val="006871FA"/>
    <w:rsid w:val="0068740B"/>
    <w:rsid w:val="00687484"/>
    <w:rsid w:val="00687B81"/>
    <w:rsid w:val="0069060A"/>
    <w:rsid w:val="006909AD"/>
    <w:rsid w:val="00690A45"/>
    <w:rsid w:val="006912B8"/>
    <w:rsid w:val="006912FF"/>
    <w:rsid w:val="006914C5"/>
    <w:rsid w:val="00691E03"/>
    <w:rsid w:val="006923C8"/>
    <w:rsid w:val="0069278B"/>
    <w:rsid w:val="006931AF"/>
    <w:rsid w:val="00693B97"/>
    <w:rsid w:val="006940FA"/>
    <w:rsid w:val="0069466B"/>
    <w:rsid w:val="00694A3D"/>
    <w:rsid w:val="00694CFA"/>
    <w:rsid w:val="00694D61"/>
    <w:rsid w:val="00694EC5"/>
    <w:rsid w:val="00694F91"/>
    <w:rsid w:val="00694FD2"/>
    <w:rsid w:val="00696AFF"/>
    <w:rsid w:val="00697086"/>
    <w:rsid w:val="006973A4"/>
    <w:rsid w:val="00697473"/>
    <w:rsid w:val="00697672"/>
    <w:rsid w:val="00697B82"/>
    <w:rsid w:val="00697D89"/>
    <w:rsid w:val="006A09DE"/>
    <w:rsid w:val="006A0A40"/>
    <w:rsid w:val="006A0C1A"/>
    <w:rsid w:val="006A0D74"/>
    <w:rsid w:val="006A1B04"/>
    <w:rsid w:val="006A2283"/>
    <w:rsid w:val="006A2BA1"/>
    <w:rsid w:val="006A41EF"/>
    <w:rsid w:val="006A46A5"/>
    <w:rsid w:val="006A4C25"/>
    <w:rsid w:val="006A5053"/>
    <w:rsid w:val="006A5415"/>
    <w:rsid w:val="006A5737"/>
    <w:rsid w:val="006A596F"/>
    <w:rsid w:val="006A5AE7"/>
    <w:rsid w:val="006A5D52"/>
    <w:rsid w:val="006A6318"/>
    <w:rsid w:val="006A6E75"/>
    <w:rsid w:val="006A7051"/>
    <w:rsid w:val="006A709D"/>
    <w:rsid w:val="006A71EF"/>
    <w:rsid w:val="006A78AB"/>
    <w:rsid w:val="006A7ABC"/>
    <w:rsid w:val="006A7C3C"/>
    <w:rsid w:val="006A7D49"/>
    <w:rsid w:val="006B009E"/>
    <w:rsid w:val="006B1227"/>
    <w:rsid w:val="006B179F"/>
    <w:rsid w:val="006B18A8"/>
    <w:rsid w:val="006B233D"/>
    <w:rsid w:val="006B2349"/>
    <w:rsid w:val="006B23A6"/>
    <w:rsid w:val="006B2C7B"/>
    <w:rsid w:val="006B3408"/>
    <w:rsid w:val="006B3520"/>
    <w:rsid w:val="006B3A94"/>
    <w:rsid w:val="006B3B48"/>
    <w:rsid w:val="006B4757"/>
    <w:rsid w:val="006B498E"/>
    <w:rsid w:val="006B5842"/>
    <w:rsid w:val="006B5AE3"/>
    <w:rsid w:val="006B5DA1"/>
    <w:rsid w:val="006B7E95"/>
    <w:rsid w:val="006C057A"/>
    <w:rsid w:val="006C05D7"/>
    <w:rsid w:val="006C28E7"/>
    <w:rsid w:val="006C2F1D"/>
    <w:rsid w:val="006C2FC4"/>
    <w:rsid w:val="006C3365"/>
    <w:rsid w:val="006C3E33"/>
    <w:rsid w:val="006C41B4"/>
    <w:rsid w:val="006C4C76"/>
    <w:rsid w:val="006C4D78"/>
    <w:rsid w:val="006C52C5"/>
    <w:rsid w:val="006C5ABD"/>
    <w:rsid w:val="006C5B47"/>
    <w:rsid w:val="006C5C24"/>
    <w:rsid w:val="006C6157"/>
    <w:rsid w:val="006C63A8"/>
    <w:rsid w:val="006C6CA6"/>
    <w:rsid w:val="006C72CF"/>
    <w:rsid w:val="006C7356"/>
    <w:rsid w:val="006D0253"/>
    <w:rsid w:val="006D05D5"/>
    <w:rsid w:val="006D07F6"/>
    <w:rsid w:val="006D0D07"/>
    <w:rsid w:val="006D0E50"/>
    <w:rsid w:val="006D1086"/>
    <w:rsid w:val="006D1125"/>
    <w:rsid w:val="006D1651"/>
    <w:rsid w:val="006D1CDC"/>
    <w:rsid w:val="006D1E1D"/>
    <w:rsid w:val="006D3210"/>
    <w:rsid w:val="006D38EB"/>
    <w:rsid w:val="006D4219"/>
    <w:rsid w:val="006D463B"/>
    <w:rsid w:val="006D4717"/>
    <w:rsid w:val="006D5086"/>
    <w:rsid w:val="006D563B"/>
    <w:rsid w:val="006D5ADA"/>
    <w:rsid w:val="006D5AEE"/>
    <w:rsid w:val="006D6908"/>
    <w:rsid w:val="006D6B94"/>
    <w:rsid w:val="006D7080"/>
    <w:rsid w:val="006D7144"/>
    <w:rsid w:val="006D7563"/>
    <w:rsid w:val="006E084B"/>
    <w:rsid w:val="006E1D05"/>
    <w:rsid w:val="006E1DB7"/>
    <w:rsid w:val="006E23A7"/>
    <w:rsid w:val="006E240D"/>
    <w:rsid w:val="006E2482"/>
    <w:rsid w:val="006E2F8B"/>
    <w:rsid w:val="006E3DD5"/>
    <w:rsid w:val="006E3E2C"/>
    <w:rsid w:val="006E40F8"/>
    <w:rsid w:val="006E5474"/>
    <w:rsid w:val="006E5933"/>
    <w:rsid w:val="006E5D0A"/>
    <w:rsid w:val="006E635F"/>
    <w:rsid w:val="006E6402"/>
    <w:rsid w:val="006E69BF"/>
    <w:rsid w:val="006E76AB"/>
    <w:rsid w:val="006E7851"/>
    <w:rsid w:val="006E78C0"/>
    <w:rsid w:val="006F0C20"/>
    <w:rsid w:val="006F0C8C"/>
    <w:rsid w:val="006F1524"/>
    <w:rsid w:val="006F21F9"/>
    <w:rsid w:val="006F2E2A"/>
    <w:rsid w:val="006F2FBF"/>
    <w:rsid w:val="006F329D"/>
    <w:rsid w:val="006F3777"/>
    <w:rsid w:val="006F405C"/>
    <w:rsid w:val="006F46F9"/>
    <w:rsid w:val="006F4AEF"/>
    <w:rsid w:val="006F4BAB"/>
    <w:rsid w:val="006F4DC9"/>
    <w:rsid w:val="006F4F46"/>
    <w:rsid w:val="006F502C"/>
    <w:rsid w:val="006F5124"/>
    <w:rsid w:val="006F5749"/>
    <w:rsid w:val="006F5B14"/>
    <w:rsid w:val="006F5D3A"/>
    <w:rsid w:val="006F5DC0"/>
    <w:rsid w:val="006F5FB4"/>
    <w:rsid w:val="006F66BF"/>
    <w:rsid w:val="006F6850"/>
    <w:rsid w:val="006F705E"/>
    <w:rsid w:val="006F750F"/>
    <w:rsid w:val="006F7809"/>
    <w:rsid w:val="007004AC"/>
    <w:rsid w:val="007006F5"/>
    <w:rsid w:val="00700A41"/>
    <w:rsid w:val="00700D07"/>
    <w:rsid w:val="00700FA5"/>
    <w:rsid w:val="007011E9"/>
    <w:rsid w:val="0070172E"/>
    <w:rsid w:val="00701A19"/>
    <w:rsid w:val="00701A7D"/>
    <w:rsid w:val="00701B43"/>
    <w:rsid w:val="00701EB4"/>
    <w:rsid w:val="00702083"/>
    <w:rsid w:val="0070280B"/>
    <w:rsid w:val="00702823"/>
    <w:rsid w:val="007029A0"/>
    <w:rsid w:val="00702B5F"/>
    <w:rsid w:val="00702F8C"/>
    <w:rsid w:val="0070350F"/>
    <w:rsid w:val="007035C7"/>
    <w:rsid w:val="0070363C"/>
    <w:rsid w:val="0070388F"/>
    <w:rsid w:val="00703BE4"/>
    <w:rsid w:val="00703BE9"/>
    <w:rsid w:val="00703D7B"/>
    <w:rsid w:val="007041E4"/>
    <w:rsid w:val="00704357"/>
    <w:rsid w:val="0070440F"/>
    <w:rsid w:val="007047A9"/>
    <w:rsid w:val="00704EA8"/>
    <w:rsid w:val="00704F6B"/>
    <w:rsid w:val="00705178"/>
    <w:rsid w:val="007052F2"/>
    <w:rsid w:val="007059A0"/>
    <w:rsid w:val="00706156"/>
    <w:rsid w:val="00706551"/>
    <w:rsid w:val="0070665A"/>
    <w:rsid w:val="00706D88"/>
    <w:rsid w:val="00707960"/>
    <w:rsid w:val="0071038F"/>
    <w:rsid w:val="0071044B"/>
    <w:rsid w:val="007106FD"/>
    <w:rsid w:val="00710C4C"/>
    <w:rsid w:val="00711130"/>
    <w:rsid w:val="0071152D"/>
    <w:rsid w:val="00711B28"/>
    <w:rsid w:val="00711DA5"/>
    <w:rsid w:val="00711EF3"/>
    <w:rsid w:val="00712184"/>
    <w:rsid w:val="007129C5"/>
    <w:rsid w:val="00712D46"/>
    <w:rsid w:val="00713D4E"/>
    <w:rsid w:val="00714587"/>
    <w:rsid w:val="0071458C"/>
    <w:rsid w:val="00714715"/>
    <w:rsid w:val="007152D1"/>
    <w:rsid w:val="007155C0"/>
    <w:rsid w:val="00715706"/>
    <w:rsid w:val="00716044"/>
    <w:rsid w:val="0071654C"/>
    <w:rsid w:val="00716A7C"/>
    <w:rsid w:val="00716ECF"/>
    <w:rsid w:val="007172C4"/>
    <w:rsid w:val="0071736B"/>
    <w:rsid w:val="007173B0"/>
    <w:rsid w:val="00717681"/>
    <w:rsid w:val="00717AB6"/>
    <w:rsid w:val="00717E29"/>
    <w:rsid w:val="00720409"/>
    <w:rsid w:val="007204D3"/>
    <w:rsid w:val="007208E0"/>
    <w:rsid w:val="00721746"/>
    <w:rsid w:val="00721E27"/>
    <w:rsid w:val="0072223E"/>
    <w:rsid w:val="00722444"/>
    <w:rsid w:val="0072281F"/>
    <w:rsid w:val="0072317F"/>
    <w:rsid w:val="007231F0"/>
    <w:rsid w:val="00723575"/>
    <w:rsid w:val="00723F7F"/>
    <w:rsid w:val="007247B1"/>
    <w:rsid w:val="00724D15"/>
    <w:rsid w:val="007253FC"/>
    <w:rsid w:val="0072555C"/>
    <w:rsid w:val="0072561F"/>
    <w:rsid w:val="00725C6B"/>
    <w:rsid w:val="00725CEB"/>
    <w:rsid w:val="00725D5D"/>
    <w:rsid w:val="00725EBC"/>
    <w:rsid w:val="0072670E"/>
    <w:rsid w:val="00726E43"/>
    <w:rsid w:val="00726F95"/>
    <w:rsid w:val="00727659"/>
    <w:rsid w:val="007276C3"/>
    <w:rsid w:val="007279D2"/>
    <w:rsid w:val="00727BE9"/>
    <w:rsid w:val="0073046A"/>
    <w:rsid w:val="00730A39"/>
    <w:rsid w:val="007315B1"/>
    <w:rsid w:val="00731760"/>
    <w:rsid w:val="0073188E"/>
    <w:rsid w:val="00731A36"/>
    <w:rsid w:val="00731BAA"/>
    <w:rsid w:val="00731D0D"/>
    <w:rsid w:val="007329D2"/>
    <w:rsid w:val="007329E7"/>
    <w:rsid w:val="007334EC"/>
    <w:rsid w:val="007336E5"/>
    <w:rsid w:val="007338A0"/>
    <w:rsid w:val="007340DF"/>
    <w:rsid w:val="00734205"/>
    <w:rsid w:val="0073442F"/>
    <w:rsid w:val="00735322"/>
    <w:rsid w:val="00735CBB"/>
    <w:rsid w:val="007368B9"/>
    <w:rsid w:val="00736A2A"/>
    <w:rsid w:val="0073750B"/>
    <w:rsid w:val="007375A8"/>
    <w:rsid w:val="00737615"/>
    <w:rsid w:val="007376F9"/>
    <w:rsid w:val="00740716"/>
    <w:rsid w:val="00740942"/>
    <w:rsid w:val="00740DBD"/>
    <w:rsid w:val="00740FD3"/>
    <w:rsid w:val="007410DA"/>
    <w:rsid w:val="00741161"/>
    <w:rsid w:val="00742BFB"/>
    <w:rsid w:val="007435B5"/>
    <w:rsid w:val="00743B5D"/>
    <w:rsid w:val="00743B6C"/>
    <w:rsid w:val="00743BDB"/>
    <w:rsid w:val="007449EE"/>
    <w:rsid w:val="007461FF"/>
    <w:rsid w:val="0074637E"/>
    <w:rsid w:val="007464C1"/>
    <w:rsid w:val="007467C7"/>
    <w:rsid w:val="00746C68"/>
    <w:rsid w:val="00746D0A"/>
    <w:rsid w:val="00746F12"/>
    <w:rsid w:val="00746FB8"/>
    <w:rsid w:val="00747051"/>
    <w:rsid w:val="00747332"/>
    <w:rsid w:val="007500D6"/>
    <w:rsid w:val="007514D8"/>
    <w:rsid w:val="00752C58"/>
    <w:rsid w:val="00752DA4"/>
    <w:rsid w:val="00752F6E"/>
    <w:rsid w:val="00753048"/>
    <w:rsid w:val="00753311"/>
    <w:rsid w:val="007537D0"/>
    <w:rsid w:val="00753BE1"/>
    <w:rsid w:val="00755B8E"/>
    <w:rsid w:val="00755E55"/>
    <w:rsid w:val="00756531"/>
    <w:rsid w:val="0075670B"/>
    <w:rsid w:val="00756B74"/>
    <w:rsid w:val="00756C0B"/>
    <w:rsid w:val="00757BF0"/>
    <w:rsid w:val="00760398"/>
    <w:rsid w:val="0076063D"/>
    <w:rsid w:val="007607DE"/>
    <w:rsid w:val="00760A47"/>
    <w:rsid w:val="00760D50"/>
    <w:rsid w:val="0076179E"/>
    <w:rsid w:val="00761C35"/>
    <w:rsid w:val="00761D71"/>
    <w:rsid w:val="00761ED7"/>
    <w:rsid w:val="007630AF"/>
    <w:rsid w:val="00763629"/>
    <w:rsid w:val="007639F8"/>
    <w:rsid w:val="00763E8A"/>
    <w:rsid w:val="00764E9B"/>
    <w:rsid w:val="0076517A"/>
    <w:rsid w:val="00765770"/>
    <w:rsid w:val="00765AF7"/>
    <w:rsid w:val="00765D08"/>
    <w:rsid w:val="007661E4"/>
    <w:rsid w:val="007669D2"/>
    <w:rsid w:val="00766AB9"/>
    <w:rsid w:val="00766D89"/>
    <w:rsid w:val="00766EBB"/>
    <w:rsid w:val="00766F63"/>
    <w:rsid w:val="0076778E"/>
    <w:rsid w:val="0077000F"/>
    <w:rsid w:val="007707A8"/>
    <w:rsid w:val="0077094B"/>
    <w:rsid w:val="00770FA8"/>
    <w:rsid w:val="007721BB"/>
    <w:rsid w:val="00773953"/>
    <w:rsid w:val="007741C7"/>
    <w:rsid w:val="00774221"/>
    <w:rsid w:val="0077423A"/>
    <w:rsid w:val="007742D3"/>
    <w:rsid w:val="0077471E"/>
    <w:rsid w:val="00774C4C"/>
    <w:rsid w:val="00774F5B"/>
    <w:rsid w:val="00774FD8"/>
    <w:rsid w:val="007750C7"/>
    <w:rsid w:val="007757F3"/>
    <w:rsid w:val="007759D3"/>
    <w:rsid w:val="00775B97"/>
    <w:rsid w:val="00775C38"/>
    <w:rsid w:val="00775E1A"/>
    <w:rsid w:val="0077637F"/>
    <w:rsid w:val="007763B5"/>
    <w:rsid w:val="007763F6"/>
    <w:rsid w:val="00776522"/>
    <w:rsid w:val="00776B6D"/>
    <w:rsid w:val="0077780A"/>
    <w:rsid w:val="0077795F"/>
    <w:rsid w:val="00777D36"/>
    <w:rsid w:val="00780220"/>
    <w:rsid w:val="007809A0"/>
    <w:rsid w:val="007811B4"/>
    <w:rsid w:val="007815C7"/>
    <w:rsid w:val="00781B1C"/>
    <w:rsid w:val="00782095"/>
    <w:rsid w:val="007824CF"/>
    <w:rsid w:val="0078279F"/>
    <w:rsid w:val="00782C8B"/>
    <w:rsid w:val="00782FA6"/>
    <w:rsid w:val="00783607"/>
    <w:rsid w:val="007838DF"/>
    <w:rsid w:val="00783A44"/>
    <w:rsid w:val="00783BA7"/>
    <w:rsid w:val="00783C0D"/>
    <w:rsid w:val="00783C8E"/>
    <w:rsid w:val="007843F1"/>
    <w:rsid w:val="00784431"/>
    <w:rsid w:val="00784784"/>
    <w:rsid w:val="007847CE"/>
    <w:rsid w:val="00784BE6"/>
    <w:rsid w:val="00784E92"/>
    <w:rsid w:val="00784EFC"/>
    <w:rsid w:val="007850F1"/>
    <w:rsid w:val="007852A3"/>
    <w:rsid w:val="0078604A"/>
    <w:rsid w:val="00786198"/>
    <w:rsid w:val="00787166"/>
    <w:rsid w:val="00787D15"/>
    <w:rsid w:val="0079102C"/>
    <w:rsid w:val="007912B2"/>
    <w:rsid w:val="00791536"/>
    <w:rsid w:val="007921B3"/>
    <w:rsid w:val="007923C6"/>
    <w:rsid w:val="0079253B"/>
    <w:rsid w:val="0079299D"/>
    <w:rsid w:val="00792CC4"/>
    <w:rsid w:val="00793895"/>
    <w:rsid w:val="0079397B"/>
    <w:rsid w:val="00793E3B"/>
    <w:rsid w:val="00793EFF"/>
    <w:rsid w:val="007942A5"/>
    <w:rsid w:val="00794F79"/>
    <w:rsid w:val="00795130"/>
    <w:rsid w:val="00795C54"/>
    <w:rsid w:val="00796116"/>
    <w:rsid w:val="0079719D"/>
    <w:rsid w:val="00797E70"/>
    <w:rsid w:val="007A00C3"/>
    <w:rsid w:val="007A0811"/>
    <w:rsid w:val="007A08CA"/>
    <w:rsid w:val="007A0FA6"/>
    <w:rsid w:val="007A151E"/>
    <w:rsid w:val="007A229F"/>
    <w:rsid w:val="007A3767"/>
    <w:rsid w:val="007A3AAD"/>
    <w:rsid w:val="007A4046"/>
    <w:rsid w:val="007A4079"/>
    <w:rsid w:val="007A4619"/>
    <w:rsid w:val="007A583C"/>
    <w:rsid w:val="007A5968"/>
    <w:rsid w:val="007A59CF"/>
    <w:rsid w:val="007A5A3E"/>
    <w:rsid w:val="007A5F9F"/>
    <w:rsid w:val="007A61AF"/>
    <w:rsid w:val="007A6AC9"/>
    <w:rsid w:val="007A6F9D"/>
    <w:rsid w:val="007A7240"/>
    <w:rsid w:val="007A731E"/>
    <w:rsid w:val="007A7686"/>
    <w:rsid w:val="007A76A7"/>
    <w:rsid w:val="007A7763"/>
    <w:rsid w:val="007A7B58"/>
    <w:rsid w:val="007A7D25"/>
    <w:rsid w:val="007A7F77"/>
    <w:rsid w:val="007B0069"/>
    <w:rsid w:val="007B0359"/>
    <w:rsid w:val="007B0438"/>
    <w:rsid w:val="007B0604"/>
    <w:rsid w:val="007B0802"/>
    <w:rsid w:val="007B0C58"/>
    <w:rsid w:val="007B1193"/>
    <w:rsid w:val="007B11F2"/>
    <w:rsid w:val="007B138D"/>
    <w:rsid w:val="007B1C0A"/>
    <w:rsid w:val="007B2300"/>
    <w:rsid w:val="007B242B"/>
    <w:rsid w:val="007B2949"/>
    <w:rsid w:val="007B2BB6"/>
    <w:rsid w:val="007B2EDD"/>
    <w:rsid w:val="007B3311"/>
    <w:rsid w:val="007B3975"/>
    <w:rsid w:val="007B39B2"/>
    <w:rsid w:val="007B39D6"/>
    <w:rsid w:val="007B3AC1"/>
    <w:rsid w:val="007B3D2C"/>
    <w:rsid w:val="007B479E"/>
    <w:rsid w:val="007B499C"/>
    <w:rsid w:val="007B4D09"/>
    <w:rsid w:val="007B5AC3"/>
    <w:rsid w:val="007B5DBD"/>
    <w:rsid w:val="007B6416"/>
    <w:rsid w:val="007B68F8"/>
    <w:rsid w:val="007B7A08"/>
    <w:rsid w:val="007B7F15"/>
    <w:rsid w:val="007C05F0"/>
    <w:rsid w:val="007C09C6"/>
    <w:rsid w:val="007C0D6B"/>
    <w:rsid w:val="007C17E5"/>
    <w:rsid w:val="007C1883"/>
    <w:rsid w:val="007C1D2F"/>
    <w:rsid w:val="007C1DB8"/>
    <w:rsid w:val="007C337A"/>
    <w:rsid w:val="007C3F03"/>
    <w:rsid w:val="007C425E"/>
    <w:rsid w:val="007C4924"/>
    <w:rsid w:val="007C4A16"/>
    <w:rsid w:val="007C5944"/>
    <w:rsid w:val="007C60F9"/>
    <w:rsid w:val="007C67A4"/>
    <w:rsid w:val="007C683F"/>
    <w:rsid w:val="007C720D"/>
    <w:rsid w:val="007C77D9"/>
    <w:rsid w:val="007C7802"/>
    <w:rsid w:val="007C7B73"/>
    <w:rsid w:val="007C7ECD"/>
    <w:rsid w:val="007D05C2"/>
    <w:rsid w:val="007D060D"/>
    <w:rsid w:val="007D07B0"/>
    <w:rsid w:val="007D08A5"/>
    <w:rsid w:val="007D0C49"/>
    <w:rsid w:val="007D0DA6"/>
    <w:rsid w:val="007D0E28"/>
    <w:rsid w:val="007D1401"/>
    <w:rsid w:val="007D16A8"/>
    <w:rsid w:val="007D1CB6"/>
    <w:rsid w:val="007D2341"/>
    <w:rsid w:val="007D2AC3"/>
    <w:rsid w:val="007D333B"/>
    <w:rsid w:val="007D3346"/>
    <w:rsid w:val="007D3448"/>
    <w:rsid w:val="007D38D4"/>
    <w:rsid w:val="007D3938"/>
    <w:rsid w:val="007D4472"/>
    <w:rsid w:val="007D47E0"/>
    <w:rsid w:val="007D4FBD"/>
    <w:rsid w:val="007D5297"/>
    <w:rsid w:val="007D56E6"/>
    <w:rsid w:val="007D59AF"/>
    <w:rsid w:val="007D59CA"/>
    <w:rsid w:val="007D5BC9"/>
    <w:rsid w:val="007D5CC5"/>
    <w:rsid w:val="007D65A2"/>
    <w:rsid w:val="007D6A24"/>
    <w:rsid w:val="007D6B09"/>
    <w:rsid w:val="007D6DF9"/>
    <w:rsid w:val="007D6E52"/>
    <w:rsid w:val="007D6F4B"/>
    <w:rsid w:val="007D7D96"/>
    <w:rsid w:val="007E03BB"/>
    <w:rsid w:val="007E09B6"/>
    <w:rsid w:val="007E0A9C"/>
    <w:rsid w:val="007E0ED9"/>
    <w:rsid w:val="007E0FCD"/>
    <w:rsid w:val="007E1715"/>
    <w:rsid w:val="007E1810"/>
    <w:rsid w:val="007E1967"/>
    <w:rsid w:val="007E2320"/>
    <w:rsid w:val="007E2D2C"/>
    <w:rsid w:val="007E321F"/>
    <w:rsid w:val="007E33AE"/>
    <w:rsid w:val="007E3442"/>
    <w:rsid w:val="007E3549"/>
    <w:rsid w:val="007E3AE0"/>
    <w:rsid w:val="007E4329"/>
    <w:rsid w:val="007E4921"/>
    <w:rsid w:val="007E4D90"/>
    <w:rsid w:val="007E4F20"/>
    <w:rsid w:val="007E51E6"/>
    <w:rsid w:val="007E588A"/>
    <w:rsid w:val="007E58A7"/>
    <w:rsid w:val="007E600E"/>
    <w:rsid w:val="007E616B"/>
    <w:rsid w:val="007E63F2"/>
    <w:rsid w:val="007E6545"/>
    <w:rsid w:val="007E68E5"/>
    <w:rsid w:val="007E79FA"/>
    <w:rsid w:val="007E7C78"/>
    <w:rsid w:val="007F08F8"/>
    <w:rsid w:val="007F1160"/>
    <w:rsid w:val="007F132B"/>
    <w:rsid w:val="007F25D3"/>
    <w:rsid w:val="007F2C5F"/>
    <w:rsid w:val="007F2E73"/>
    <w:rsid w:val="007F2F5D"/>
    <w:rsid w:val="007F344D"/>
    <w:rsid w:val="007F38EC"/>
    <w:rsid w:val="007F47ED"/>
    <w:rsid w:val="007F5D14"/>
    <w:rsid w:val="007F682A"/>
    <w:rsid w:val="007F6E08"/>
    <w:rsid w:val="007F70A3"/>
    <w:rsid w:val="007F7384"/>
    <w:rsid w:val="007F7854"/>
    <w:rsid w:val="007F7CD4"/>
    <w:rsid w:val="0080001A"/>
    <w:rsid w:val="008002EA"/>
    <w:rsid w:val="0080066D"/>
    <w:rsid w:val="008009D8"/>
    <w:rsid w:val="00801307"/>
    <w:rsid w:val="0080194A"/>
    <w:rsid w:val="00801AD5"/>
    <w:rsid w:val="00801C3E"/>
    <w:rsid w:val="0080205A"/>
    <w:rsid w:val="00802443"/>
    <w:rsid w:val="008024A6"/>
    <w:rsid w:val="0080261C"/>
    <w:rsid w:val="00802658"/>
    <w:rsid w:val="008038EA"/>
    <w:rsid w:val="00803926"/>
    <w:rsid w:val="00803A36"/>
    <w:rsid w:val="0080489A"/>
    <w:rsid w:val="00804D47"/>
    <w:rsid w:val="00804EB3"/>
    <w:rsid w:val="00804FE9"/>
    <w:rsid w:val="008067C1"/>
    <w:rsid w:val="00806D3B"/>
    <w:rsid w:val="00807C54"/>
    <w:rsid w:val="008105E1"/>
    <w:rsid w:val="00810805"/>
    <w:rsid w:val="00810E6C"/>
    <w:rsid w:val="00811463"/>
    <w:rsid w:val="008116CD"/>
    <w:rsid w:val="008116EA"/>
    <w:rsid w:val="00811958"/>
    <w:rsid w:val="00811E6B"/>
    <w:rsid w:val="0081295E"/>
    <w:rsid w:val="00812F44"/>
    <w:rsid w:val="008134F7"/>
    <w:rsid w:val="0081355B"/>
    <w:rsid w:val="0081375E"/>
    <w:rsid w:val="00813827"/>
    <w:rsid w:val="00813BB0"/>
    <w:rsid w:val="0081425B"/>
    <w:rsid w:val="00814624"/>
    <w:rsid w:val="008146D8"/>
    <w:rsid w:val="0081508A"/>
    <w:rsid w:val="008153D7"/>
    <w:rsid w:val="00815416"/>
    <w:rsid w:val="00815D8A"/>
    <w:rsid w:val="00815E6A"/>
    <w:rsid w:val="00816609"/>
    <w:rsid w:val="0081661F"/>
    <w:rsid w:val="00816917"/>
    <w:rsid w:val="00816B0A"/>
    <w:rsid w:val="008172D5"/>
    <w:rsid w:val="008175E1"/>
    <w:rsid w:val="00820447"/>
    <w:rsid w:val="00820B09"/>
    <w:rsid w:val="008213D8"/>
    <w:rsid w:val="0082164F"/>
    <w:rsid w:val="00821E34"/>
    <w:rsid w:val="00821EB4"/>
    <w:rsid w:val="008223ED"/>
    <w:rsid w:val="008224EB"/>
    <w:rsid w:val="008232DF"/>
    <w:rsid w:val="008243D1"/>
    <w:rsid w:val="00824675"/>
    <w:rsid w:val="0082528D"/>
    <w:rsid w:val="00826231"/>
    <w:rsid w:val="00826B3F"/>
    <w:rsid w:val="008272E7"/>
    <w:rsid w:val="00827872"/>
    <w:rsid w:val="00827FDE"/>
    <w:rsid w:val="00831C69"/>
    <w:rsid w:val="00831C73"/>
    <w:rsid w:val="00831C75"/>
    <w:rsid w:val="00831E12"/>
    <w:rsid w:val="00832EFE"/>
    <w:rsid w:val="0083389F"/>
    <w:rsid w:val="008338B7"/>
    <w:rsid w:val="0083401D"/>
    <w:rsid w:val="0083441D"/>
    <w:rsid w:val="00834BCB"/>
    <w:rsid w:val="00834CF7"/>
    <w:rsid w:val="0083524E"/>
    <w:rsid w:val="00835505"/>
    <w:rsid w:val="00835C96"/>
    <w:rsid w:val="00836ABE"/>
    <w:rsid w:val="00837926"/>
    <w:rsid w:val="00837B57"/>
    <w:rsid w:val="008402F5"/>
    <w:rsid w:val="008409B4"/>
    <w:rsid w:val="00840D06"/>
    <w:rsid w:val="008424E1"/>
    <w:rsid w:val="008430DC"/>
    <w:rsid w:val="008430FD"/>
    <w:rsid w:val="008433C4"/>
    <w:rsid w:val="0084363A"/>
    <w:rsid w:val="008437A5"/>
    <w:rsid w:val="00843D71"/>
    <w:rsid w:val="00844B85"/>
    <w:rsid w:val="00844C3F"/>
    <w:rsid w:val="0084542D"/>
    <w:rsid w:val="008454E3"/>
    <w:rsid w:val="008454E9"/>
    <w:rsid w:val="0084558A"/>
    <w:rsid w:val="0084583B"/>
    <w:rsid w:val="00846575"/>
    <w:rsid w:val="00846C08"/>
    <w:rsid w:val="00846F14"/>
    <w:rsid w:val="008479A2"/>
    <w:rsid w:val="00847D0C"/>
    <w:rsid w:val="0085026E"/>
    <w:rsid w:val="00850ABF"/>
    <w:rsid w:val="00850C68"/>
    <w:rsid w:val="00850C9E"/>
    <w:rsid w:val="00850F9A"/>
    <w:rsid w:val="008513CA"/>
    <w:rsid w:val="00851804"/>
    <w:rsid w:val="0085206E"/>
    <w:rsid w:val="00852FFB"/>
    <w:rsid w:val="008534DD"/>
    <w:rsid w:val="0085365C"/>
    <w:rsid w:val="00853899"/>
    <w:rsid w:val="00853A6C"/>
    <w:rsid w:val="0085491E"/>
    <w:rsid w:val="0085523E"/>
    <w:rsid w:val="00855259"/>
    <w:rsid w:val="0085572D"/>
    <w:rsid w:val="0085643B"/>
    <w:rsid w:val="0085691B"/>
    <w:rsid w:val="008573D2"/>
    <w:rsid w:val="00857D79"/>
    <w:rsid w:val="0086002C"/>
    <w:rsid w:val="008602BA"/>
    <w:rsid w:val="00860447"/>
    <w:rsid w:val="0086117D"/>
    <w:rsid w:val="00861290"/>
    <w:rsid w:val="00861B62"/>
    <w:rsid w:val="00861DAF"/>
    <w:rsid w:val="00862071"/>
    <w:rsid w:val="00862642"/>
    <w:rsid w:val="00862AE3"/>
    <w:rsid w:val="00862BB7"/>
    <w:rsid w:val="00862EC0"/>
    <w:rsid w:val="00863DF4"/>
    <w:rsid w:val="00863F6F"/>
    <w:rsid w:val="00864098"/>
    <w:rsid w:val="008640B8"/>
    <w:rsid w:val="008640E2"/>
    <w:rsid w:val="0086452B"/>
    <w:rsid w:val="008648DA"/>
    <w:rsid w:val="00865326"/>
    <w:rsid w:val="008656CE"/>
    <w:rsid w:val="00865733"/>
    <w:rsid w:val="008657E1"/>
    <w:rsid w:val="00865C21"/>
    <w:rsid w:val="008679EE"/>
    <w:rsid w:val="00867E22"/>
    <w:rsid w:val="00867FAF"/>
    <w:rsid w:val="008702D3"/>
    <w:rsid w:val="008708C9"/>
    <w:rsid w:val="00870919"/>
    <w:rsid w:val="00870B87"/>
    <w:rsid w:val="00870F3D"/>
    <w:rsid w:val="00871E3D"/>
    <w:rsid w:val="00871F25"/>
    <w:rsid w:val="00873A30"/>
    <w:rsid w:val="0087443F"/>
    <w:rsid w:val="00874469"/>
    <w:rsid w:val="008745BB"/>
    <w:rsid w:val="008749E8"/>
    <w:rsid w:val="00874D11"/>
    <w:rsid w:val="00874FEC"/>
    <w:rsid w:val="008767C5"/>
    <w:rsid w:val="00876EE8"/>
    <w:rsid w:val="008770E2"/>
    <w:rsid w:val="00877800"/>
    <w:rsid w:val="00877B7A"/>
    <w:rsid w:val="00877F46"/>
    <w:rsid w:val="0088061B"/>
    <w:rsid w:val="008816DA"/>
    <w:rsid w:val="00881BB8"/>
    <w:rsid w:val="00881D59"/>
    <w:rsid w:val="0088235F"/>
    <w:rsid w:val="00882B0A"/>
    <w:rsid w:val="00882EAC"/>
    <w:rsid w:val="00882F3F"/>
    <w:rsid w:val="00883339"/>
    <w:rsid w:val="0088361B"/>
    <w:rsid w:val="00883660"/>
    <w:rsid w:val="00883C25"/>
    <w:rsid w:val="0088416C"/>
    <w:rsid w:val="008846AE"/>
    <w:rsid w:val="00884931"/>
    <w:rsid w:val="00884B80"/>
    <w:rsid w:val="00884CE3"/>
    <w:rsid w:val="00884FCE"/>
    <w:rsid w:val="0088541C"/>
    <w:rsid w:val="008854D7"/>
    <w:rsid w:val="00885CB4"/>
    <w:rsid w:val="00886452"/>
    <w:rsid w:val="008868D1"/>
    <w:rsid w:val="00886C0D"/>
    <w:rsid w:val="00886EBD"/>
    <w:rsid w:val="00886F57"/>
    <w:rsid w:val="008871A9"/>
    <w:rsid w:val="00887D59"/>
    <w:rsid w:val="00890242"/>
    <w:rsid w:val="00890B09"/>
    <w:rsid w:val="00890F01"/>
    <w:rsid w:val="00890F9E"/>
    <w:rsid w:val="0089122F"/>
    <w:rsid w:val="00891D90"/>
    <w:rsid w:val="00892166"/>
    <w:rsid w:val="008922E8"/>
    <w:rsid w:val="00892391"/>
    <w:rsid w:val="008923CD"/>
    <w:rsid w:val="008924F1"/>
    <w:rsid w:val="00892FA3"/>
    <w:rsid w:val="00893152"/>
    <w:rsid w:val="00893299"/>
    <w:rsid w:val="00893989"/>
    <w:rsid w:val="00893C30"/>
    <w:rsid w:val="00893E5C"/>
    <w:rsid w:val="0089454D"/>
    <w:rsid w:val="00894697"/>
    <w:rsid w:val="008948F8"/>
    <w:rsid w:val="00894D34"/>
    <w:rsid w:val="0089525F"/>
    <w:rsid w:val="0089533C"/>
    <w:rsid w:val="00895465"/>
    <w:rsid w:val="00895791"/>
    <w:rsid w:val="00895E3B"/>
    <w:rsid w:val="00896149"/>
    <w:rsid w:val="008964DE"/>
    <w:rsid w:val="008966C1"/>
    <w:rsid w:val="00896C26"/>
    <w:rsid w:val="00896D59"/>
    <w:rsid w:val="00896D5E"/>
    <w:rsid w:val="0089700B"/>
    <w:rsid w:val="0089702D"/>
    <w:rsid w:val="00897F41"/>
    <w:rsid w:val="008A005D"/>
    <w:rsid w:val="008A0F75"/>
    <w:rsid w:val="008A1300"/>
    <w:rsid w:val="008A1604"/>
    <w:rsid w:val="008A1DEB"/>
    <w:rsid w:val="008A1EA1"/>
    <w:rsid w:val="008A1F2D"/>
    <w:rsid w:val="008A249D"/>
    <w:rsid w:val="008A2695"/>
    <w:rsid w:val="008A29AA"/>
    <w:rsid w:val="008A3292"/>
    <w:rsid w:val="008A44FC"/>
    <w:rsid w:val="008A4C46"/>
    <w:rsid w:val="008A588F"/>
    <w:rsid w:val="008A5FED"/>
    <w:rsid w:val="008A6798"/>
    <w:rsid w:val="008A696D"/>
    <w:rsid w:val="008A69DF"/>
    <w:rsid w:val="008A6B0D"/>
    <w:rsid w:val="008A6DAE"/>
    <w:rsid w:val="008A6E03"/>
    <w:rsid w:val="008A714C"/>
    <w:rsid w:val="008A7B3C"/>
    <w:rsid w:val="008B00C3"/>
    <w:rsid w:val="008B0101"/>
    <w:rsid w:val="008B03CF"/>
    <w:rsid w:val="008B0B58"/>
    <w:rsid w:val="008B0CC9"/>
    <w:rsid w:val="008B0DA1"/>
    <w:rsid w:val="008B0FAE"/>
    <w:rsid w:val="008B16FC"/>
    <w:rsid w:val="008B172F"/>
    <w:rsid w:val="008B216A"/>
    <w:rsid w:val="008B22AA"/>
    <w:rsid w:val="008B361A"/>
    <w:rsid w:val="008B3705"/>
    <w:rsid w:val="008B38F9"/>
    <w:rsid w:val="008B4029"/>
    <w:rsid w:val="008B45F1"/>
    <w:rsid w:val="008B5042"/>
    <w:rsid w:val="008B5043"/>
    <w:rsid w:val="008B50D4"/>
    <w:rsid w:val="008B566D"/>
    <w:rsid w:val="008B5E0B"/>
    <w:rsid w:val="008B6670"/>
    <w:rsid w:val="008B6826"/>
    <w:rsid w:val="008B7145"/>
    <w:rsid w:val="008B741E"/>
    <w:rsid w:val="008B7764"/>
    <w:rsid w:val="008C043E"/>
    <w:rsid w:val="008C08B7"/>
    <w:rsid w:val="008C0997"/>
    <w:rsid w:val="008C0E52"/>
    <w:rsid w:val="008C19DA"/>
    <w:rsid w:val="008C1CD5"/>
    <w:rsid w:val="008C2678"/>
    <w:rsid w:val="008C2804"/>
    <w:rsid w:val="008C302E"/>
    <w:rsid w:val="008C4658"/>
    <w:rsid w:val="008C4C30"/>
    <w:rsid w:val="008C5461"/>
    <w:rsid w:val="008C5ABA"/>
    <w:rsid w:val="008C5BFD"/>
    <w:rsid w:val="008C5F84"/>
    <w:rsid w:val="008C67D1"/>
    <w:rsid w:val="008C6807"/>
    <w:rsid w:val="008C6AEC"/>
    <w:rsid w:val="008C7591"/>
    <w:rsid w:val="008C75B3"/>
    <w:rsid w:val="008D0626"/>
    <w:rsid w:val="008D0B02"/>
    <w:rsid w:val="008D1BAD"/>
    <w:rsid w:val="008D1BD9"/>
    <w:rsid w:val="008D246C"/>
    <w:rsid w:val="008D2B63"/>
    <w:rsid w:val="008D2E72"/>
    <w:rsid w:val="008D323D"/>
    <w:rsid w:val="008D3400"/>
    <w:rsid w:val="008D362B"/>
    <w:rsid w:val="008D40E4"/>
    <w:rsid w:val="008D413C"/>
    <w:rsid w:val="008D4B9B"/>
    <w:rsid w:val="008D4ED9"/>
    <w:rsid w:val="008D515E"/>
    <w:rsid w:val="008D5927"/>
    <w:rsid w:val="008D5BFC"/>
    <w:rsid w:val="008D5ED4"/>
    <w:rsid w:val="008D69AF"/>
    <w:rsid w:val="008D6BAC"/>
    <w:rsid w:val="008D6BB6"/>
    <w:rsid w:val="008D746A"/>
    <w:rsid w:val="008D7954"/>
    <w:rsid w:val="008D7E8F"/>
    <w:rsid w:val="008D7EEB"/>
    <w:rsid w:val="008E025F"/>
    <w:rsid w:val="008E05DB"/>
    <w:rsid w:val="008E0B55"/>
    <w:rsid w:val="008E0C4C"/>
    <w:rsid w:val="008E140E"/>
    <w:rsid w:val="008E2182"/>
    <w:rsid w:val="008E32CA"/>
    <w:rsid w:val="008E3315"/>
    <w:rsid w:val="008E3AD5"/>
    <w:rsid w:val="008E3B17"/>
    <w:rsid w:val="008E3C18"/>
    <w:rsid w:val="008E42FF"/>
    <w:rsid w:val="008E537F"/>
    <w:rsid w:val="008E559B"/>
    <w:rsid w:val="008E56F1"/>
    <w:rsid w:val="008E583F"/>
    <w:rsid w:val="008E6664"/>
    <w:rsid w:val="008E71D0"/>
    <w:rsid w:val="008E743B"/>
    <w:rsid w:val="008E7FED"/>
    <w:rsid w:val="008F053C"/>
    <w:rsid w:val="008F0AE7"/>
    <w:rsid w:val="008F0B5C"/>
    <w:rsid w:val="008F0B9D"/>
    <w:rsid w:val="008F0E80"/>
    <w:rsid w:val="008F1074"/>
    <w:rsid w:val="008F18A1"/>
    <w:rsid w:val="008F28EC"/>
    <w:rsid w:val="008F2CE5"/>
    <w:rsid w:val="008F47F6"/>
    <w:rsid w:val="008F4A88"/>
    <w:rsid w:val="008F501F"/>
    <w:rsid w:val="008F53D1"/>
    <w:rsid w:val="008F5477"/>
    <w:rsid w:val="008F54F6"/>
    <w:rsid w:val="008F5565"/>
    <w:rsid w:val="008F56E2"/>
    <w:rsid w:val="008F5794"/>
    <w:rsid w:val="008F5965"/>
    <w:rsid w:val="008F6DAB"/>
    <w:rsid w:val="008F709D"/>
    <w:rsid w:val="008F7300"/>
    <w:rsid w:val="008F76A5"/>
    <w:rsid w:val="008F777B"/>
    <w:rsid w:val="008F79F7"/>
    <w:rsid w:val="008F7EA9"/>
    <w:rsid w:val="009001B2"/>
    <w:rsid w:val="00900906"/>
    <w:rsid w:val="00900B2E"/>
    <w:rsid w:val="00900DD0"/>
    <w:rsid w:val="0090149C"/>
    <w:rsid w:val="009015A9"/>
    <w:rsid w:val="00901AC9"/>
    <w:rsid w:val="00901DC8"/>
    <w:rsid w:val="00902114"/>
    <w:rsid w:val="009023CC"/>
    <w:rsid w:val="00902FF8"/>
    <w:rsid w:val="00903D49"/>
    <w:rsid w:val="00903EB6"/>
    <w:rsid w:val="00903F0B"/>
    <w:rsid w:val="009041BD"/>
    <w:rsid w:val="009052C3"/>
    <w:rsid w:val="00905712"/>
    <w:rsid w:val="00905F56"/>
    <w:rsid w:val="009061B9"/>
    <w:rsid w:val="00906280"/>
    <w:rsid w:val="00906599"/>
    <w:rsid w:val="00906C6C"/>
    <w:rsid w:val="00906F7D"/>
    <w:rsid w:val="0090751B"/>
    <w:rsid w:val="00907E5C"/>
    <w:rsid w:val="00907E95"/>
    <w:rsid w:val="00910238"/>
    <w:rsid w:val="009103CF"/>
    <w:rsid w:val="00910B10"/>
    <w:rsid w:val="00911340"/>
    <w:rsid w:val="00911982"/>
    <w:rsid w:val="00912B63"/>
    <w:rsid w:val="0091354D"/>
    <w:rsid w:val="00913E40"/>
    <w:rsid w:val="0091418F"/>
    <w:rsid w:val="00914343"/>
    <w:rsid w:val="00914396"/>
    <w:rsid w:val="00914879"/>
    <w:rsid w:val="0091490C"/>
    <w:rsid w:val="00914B7F"/>
    <w:rsid w:val="00914DA1"/>
    <w:rsid w:val="00914DA4"/>
    <w:rsid w:val="009157CE"/>
    <w:rsid w:val="009160F4"/>
    <w:rsid w:val="009161B7"/>
    <w:rsid w:val="00916226"/>
    <w:rsid w:val="00916704"/>
    <w:rsid w:val="00916A43"/>
    <w:rsid w:val="00916A6A"/>
    <w:rsid w:val="00916B48"/>
    <w:rsid w:val="00916D5B"/>
    <w:rsid w:val="00916DA0"/>
    <w:rsid w:val="009179F1"/>
    <w:rsid w:val="00917B5E"/>
    <w:rsid w:val="00920186"/>
    <w:rsid w:val="0092048E"/>
    <w:rsid w:val="00920F94"/>
    <w:rsid w:val="009214D4"/>
    <w:rsid w:val="00921832"/>
    <w:rsid w:val="009218DF"/>
    <w:rsid w:val="00921DE9"/>
    <w:rsid w:val="00921F9A"/>
    <w:rsid w:val="009221B7"/>
    <w:rsid w:val="00922B9E"/>
    <w:rsid w:val="00923097"/>
    <w:rsid w:val="009233E7"/>
    <w:rsid w:val="00923467"/>
    <w:rsid w:val="009234B6"/>
    <w:rsid w:val="00923B1D"/>
    <w:rsid w:val="00923C5D"/>
    <w:rsid w:val="00924002"/>
    <w:rsid w:val="0092528D"/>
    <w:rsid w:val="00925367"/>
    <w:rsid w:val="00925536"/>
    <w:rsid w:val="0092625E"/>
    <w:rsid w:val="00926AB1"/>
    <w:rsid w:val="0092754F"/>
    <w:rsid w:val="00927952"/>
    <w:rsid w:val="00927982"/>
    <w:rsid w:val="0093079C"/>
    <w:rsid w:val="00930B50"/>
    <w:rsid w:val="00930C2D"/>
    <w:rsid w:val="00931249"/>
    <w:rsid w:val="00932059"/>
    <w:rsid w:val="0093223A"/>
    <w:rsid w:val="00932597"/>
    <w:rsid w:val="00932B00"/>
    <w:rsid w:val="00932BDC"/>
    <w:rsid w:val="00933026"/>
    <w:rsid w:val="00933E12"/>
    <w:rsid w:val="00934275"/>
    <w:rsid w:val="0093467A"/>
    <w:rsid w:val="009347AD"/>
    <w:rsid w:val="00934C1C"/>
    <w:rsid w:val="00935045"/>
    <w:rsid w:val="009350E4"/>
    <w:rsid w:val="00935465"/>
    <w:rsid w:val="009354F6"/>
    <w:rsid w:val="00935D55"/>
    <w:rsid w:val="00935FA4"/>
    <w:rsid w:val="00936391"/>
    <w:rsid w:val="009367D7"/>
    <w:rsid w:val="00936CD4"/>
    <w:rsid w:val="00937344"/>
    <w:rsid w:val="009373D3"/>
    <w:rsid w:val="0093756D"/>
    <w:rsid w:val="0093781B"/>
    <w:rsid w:val="009378D1"/>
    <w:rsid w:val="00937D61"/>
    <w:rsid w:val="00940AC4"/>
    <w:rsid w:val="00940AE1"/>
    <w:rsid w:val="00940CF2"/>
    <w:rsid w:val="009413CA"/>
    <w:rsid w:val="00941773"/>
    <w:rsid w:val="00941988"/>
    <w:rsid w:val="00941CA0"/>
    <w:rsid w:val="009420F8"/>
    <w:rsid w:val="009428B0"/>
    <w:rsid w:val="00942AD5"/>
    <w:rsid w:val="0094328B"/>
    <w:rsid w:val="00943387"/>
    <w:rsid w:val="009437B0"/>
    <w:rsid w:val="009438A2"/>
    <w:rsid w:val="00943D1B"/>
    <w:rsid w:val="00944391"/>
    <w:rsid w:val="009443FF"/>
    <w:rsid w:val="009446E4"/>
    <w:rsid w:val="00944903"/>
    <w:rsid w:val="00944E29"/>
    <w:rsid w:val="00944EB3"/>
    <w:rsid w:val="00945165"/>
    <w:rsid w:val="00946C3B"/>
    <w:rsid w:val="00947377"/>
    <w:rsid w:val="00947953"/>
    <w:rsid w:val="00947A4F"/>
    <w:rsid w:val="00947B93"/>
    <w:rsid w:val="00947BAD"/>
    <w:rsid w:val="009501BB"/>
    <w:rsid w:val="009504E4"/>
    <w:rsid w:val="00950902"/>
    <w:rsid w:val="00950A5E"/>
    <w:rsid w:val="00950FB2"/>
    <w:rsid w:val="009514D1"/>
    <w:rsid w:val="0095163C"/>
    <w:rsid w:val="009516D7"/>
    <w:rsid w:val="00951D32"/>
    <w:rsid w:val="0095209F"/>
    <w:rsid w:val="009525D6"/>
    <w:rsid w:val="00952BF9"/>
    <w:rsid w:val="00952D0C"/>
    <w:rsid w:val="00952DBA"/>
    <w:rsid w:val="0095324F"/>
    <w:rsid w:val="00953509"/>
    <w:rsid w:val="00953532"/>
    <w:rsid w:val="0095359D"/>
    <w:rsid w:val="00953817"/>
    <w:rsid w:val="009549C9"/>
    <w:rsid w:val="00954E07"/>
    <w:rsid w:val="00955103"/>
    <w:rsid w:val="00955247"/>
    <w:rsid w:val="009555D1"/>
    <w:rsid w:val="009559CF"/>
    <w:rsid w:val="009559D4"/>
    <w:rsid w:val="009563E0"/>
    <w:rsid w:val="009568A6"/>
    <w:rsid w:val="00957085"/>
    <w:rsid w:val="009570F9"/>
    <w:rsid w:val="0095743B"/>
    <w:rsid w:val="00957BBF"/>
    <w:rsid w:val="00960410"/>
    <w:rsid w:val="0096051D"/>
    <w:rsid w:val="009606A9"/>
    <w:rsid w:val="00960941"/>
    <w:rsid w:val="0096095E"/>
    <w:rsid w:val="00960CA0"/>
    <w:rsid w:val="00960E9E"/>
    <w:rsid w:val="00961000"/>
    <w:rsid w:val="009613A5"/>
    <w:rsid w:val="00961C92"/>
    <w:rsid w:val="00961EE5"/>
    <w:rsid w:val="00962577"/>
    <w:rsid w:val="00963482"/>
    <w:rsid w:val="0096375E"/>
    <w:rsid w:val="00963960"/>
    <w:rsid w:val="00964147"/>
    <w:rsid w:val="00964271"/>
    <w:rsid w:val="009643C2"/>
    <w:rsid w:val="0096472F"/>
    <w:rsid w:val="00964E70"/>
    <w:rsid w:val="0096506F"/>
    <w:rsid w:val="00965D78"/>
    <w:rsid w:val="00966142"/>
    <w:rsid w:val="00966557"/>
    <w:rsid w:val="00966DE0"/>
    <w:rsid w:val="00966F9D"/>
    <w:rsid w:val="009701D7"/>
    <w:rsid w:val="009707E6"/>
    <w:rsid w:val="009711E1"/>
    <w:rsid w:val="00971CD9"/>
    <w:rsid w:val="00971DEA"/>
    <w:rsid w:val="009720EA"/>
    <w:rsid w:val="009722AA"/>
    <w:rsid w:val="009734D4"/>
    <w:rsid w:val="009736A0"/>
    <w:rsid w:val="009736FF"/>
    <w:rsid w:val="00973787"/>
    <w:rsid w:val="009737C7"/>
    <w:rsid w:val="00973BE9"/>
    <w:rsid w:val="00973C05"/>
    <w:rsid w:val="00973DB2"/>
    <w:rsid w:val="00974495"/>
    <w:rsid w:val="0097452C"/>
    <w:rsid w:val="00974BEA"/>
    <w:rsid w:val="00976196"/>
    <w:rsid w:val="009763AE"/>
    <w:rsid w:val="0097646F"/>
    <w:rsid w:val="00976D6B"/>
    <w:rsid w:val="0097700E"/>
    <w:rsid w:val="00977ABF"/>
    <w:rsid w:val="0098058D"/>
    <w:rsid w:val="00980B44"/>
    <w:rsid w:val="00980D4A"/>
    <w:rsid w:val="00981862"/>
    <w:rsid w:val="00981D55"/>
    <w:rsid w:val="00981EA2"/>
    <w:rsid w:val="0098270B"/>
    <w:rsid w:val="0098322E"/>
    <w:rsid w:val="00983796"/>
    <w:rsid w:val="0098386E"/>
    <w:rsid w:val="00983957"/>
    <w:rsid w:val="009847C8"/>
    <w:rsid w:val="00984890"/>
    <w:rsid w:val="0098498A"/>
    <w:rsid w:val="00984A4A"/>
    <w:rsid w:val="00984EF0"/>
    <w:rsid w:val="0098534A"/>
    <w:rsid w:val="009858FE"/>
    <w:rsid w:val="00985F43"/>
    <w:rsid w:val="00985F9A"/>
    <w:rsid w:val="0098605C"/>
    <w:rsid w:val="00986619"/>
    <w:rsid w:val="00986907"/>
    <w:rsid w:val="00986D17"/>
    <w:rsid w:val="0098714B"/>
    <w:rsid w:val="0098771D"/>
    <w:rsid w:val="00987AC1"/>
    <w:rsid w:val="00987C16"/>
    <w:rsid w:val="00987C9E"/>
    <w:rsid w:val="00990395"/>
    <w:rsid w:val="009906E3"/>
    <w:rsid w:val="009907AD"/>
    <w:rsid w:val="00990AF9"/>
    <w:rsid w:val="00990C77"/>
    <w:rsid w:val="009912FB"/>
    <w:rsid w:val="00992319"/>
    <w:rsid w:val="00993404"/>
    <w:rsid w:val="00993FBD"/>
    <w:rsid w:val="00994E56"/>
    <w:rsid w:val="00994EB0"/>
    <w:rsid w:val="0099537C"/>
    <w:rsid w:val="0099670B"/>
    <w:rsid w:val="00996B9C"/>
    <w:rsid w:val="00996ED6"/>
    <w:rsid w:val="00997C3E"/>
    <w:rsid w:val="009A077C"/>
    <w:rsid w:val="009A0986"/>
    <w:rsid w:val="009A0EDC"/>
    <w:rsid w:val="009A2C4C"/>
    <w:rsid w:val="009A34D1"/>
    <w:rsid w:val="009A35AC"/>
    <w:rsid w:val="009A3813"/>
    <w:rsid w:val="009A4760"/>
    <w:rsid w:val="009A48D1"/>
    <w:rsid w:val="009A5A6E"/>
    <w:rsid w:val="009A5BF7"/>
    <w:rsid w:val="009A5E3D"/>
    <w:rsid w:val="009A5FED"/>
    <w:rsid w:val="009A63EB"/>
    <w:rsid w:val="009A6705"/>
    <w:rsid w:val="009A73D1"/>
    <w:rsid w:val="009A754E"/>
    <w:rsid w:val="009A7EAB"/>
    <w:rsid w:val="009B0378"/>
    <w:rsid w:val="009B0816"/>
    <w:rsid w:val="009B0845"/>
    <w:rsid w:val="009B135C"/>
    <w:rsid w:val="009B1371"/>
    <w:rsid w:val="009B15F1"/>
    <w:rsid w:val="009B2465"/>
    <w:rsid w:val="009B2545"/>
    <w:rsid w:val="009B272B"/>
    <w:rsid w:val="009B281D"/>
    <w:rsid w:val="009B2C1B"/>
    <w:rsid w:val="009B2E7A"/>
    <w:rsid w:val="009B3414"/>
    <w:rsid w:val="009B366A"/>
    <w:rsid w:val="009B3739"/>
    <w:rsid w:val="009B3F25"/>
    <w:rsid w:val="009B426D"/>
    <w:rsid w:val="009B4276"/>
    <w:rsid w:val="009B4E01"/>
    <w:rsid w:val="009B4EF4"/>
    <w:rsid w:val="009B4F1B"/>
    <w:rsid w:val="009B502D"/>
    <w:rsid w:val="009B511D"/>
    <w:rsid w:val="009B523D"/>
    <w:rsid w:val="009B5375"/>
    <w:rsid w:val="009B5475"/>
    <w:rsid w:val="009B5B10"/>
    <w:rsid w:val="009B66AC"/>
    <w:rsid w:val="009B6BB9"/>
    <w:rsid w:val="009B6E6F"/>
    <w:rsid w:val="009B77AE"/>
    <w:rsid w:val="009B7E8D"/>
    <w:rsid w:val="009B7EA3"/>
    <w:rsid w:val="009C03E1"/>
    <w:rsid w:val="009C04DD"/>
    <w:rsid w:val="009C04F3"/>
    <w:rsid w:val="009C081F"/>
    <w:rsid w:val="009C247D"/>
    <w:rsid w:val="009C25AB"/>
    <w:rsid w:val="009C32EF"/>
    <w:rsid w:val="009C4D97"/>
    <w:rsid w:val="009C50C6"/>
    <w:rsid w:val="009C6541"/>
    <w:rsid w:val="009C70B7"/>
    <w:rsid w:val="009C7D5D"/>
    <w:rsid w:val="009D056C"/>
    <w:rsid w:val="009D0870"/>
    <w:rsid w:val="009D0BAF"/>
    <w:rsid w:val="009D0CE6"/>
    <w:rsid w:val="009D1419"/>
    <w:rsid w:val="009D14F4"/>
    <w:rsid w:val="009D185F"/>
    <w:rsid w:val="009D1DE3"/>
    <w:rsid w:val="009D2109"/>
    <w:rsid w:val="009D22F1"/>
    <w:rsid w:val="009D2DF2"/>
    <w:rsid w:val="009D308D"/>
    <w:rsid w:val="009D36B4"/>
    <w:rsid w:val="009D37B9"/>
    <w:rsid w:val="009D3A7B"/>
    <w:rsid w:val="009D471C"/>
    <w:rsid w:val="009D4A1E"/>
    <w:rsid w:val="009D50C4"/>
    <w:rsid w:val="009D52C4"/>
    <w:rsid w:val="009D5372"/>
    <w:rsid w:val="009D601E"/>
    <w:rsid w:val="009D6062"/>
    <w:rsid w:val="009D6C3F"/>
    <w:rsid w:val="009D6E50"/>
    <w:rsid w:val="009D72DA"/>
    <w:rsid w:val="009D773D"/>
    <w:rsid w:val="009E06B3"/>
    <w:rsid w:val="009E0875"/>
    <w:rsid w:val="009E10FD"/>
    <w:rsid w:val="009E1ADF"/>
    <w:rsid w:val="009E2165"/>
    <w:rsid w:val="009E269E"/>
    <w:rsid w:val="009E26CF"/>
    <w:rsid w:val="009E2CE7"/>
    <w:rsid w:val="009E2EE8"/>
    <w:rsid w:val="009E34BE"/>
    <w:rsid w:val="009E36BA"/>
    <w:rsid w:val="009E3A98"/>
    <w:rsid w:val="009E401B"/>
    <w:rsid w:val="009E4CCA"/>
    <w:rsid w:val="009E4E9D"/>
    <w:rsid w:val="009E6309"/>
    <w:rsid w:val="009E6798"/>
    <w:rsid w:val="009E6BE3"/>
    <w:rsid w:val="009E6FB1"/>
    <w:rsid w:val="009E70C0"/>
    <w:rsid w:val="009E74B8"/>
    <w:rsid w:val="009E7685"/>
    <w:rsid w:val="009E7839"/>
    <w:rsid w:val="009E7ABD"/>
    <w:rsid w:val="009E7DFC"/>
    <w:rsid w:val="009F0120"/>
    <w:rsid w:val="009F0E4D"/>
    <w:rsid w:val="009F11E5"/>
    <w:rsid w:val="009F2202"/>
    <w:rsid w:val="009F23EE"/>
    <w:rsid w:val="009F2863"/>
    <w:rsid w:val="009F2976"/>
    <w:rsid w:val="009F39B7"/>
    <w:rsid w:val="009F3B35"/>
    <w:rsid w:val="009F3B7C"/>
    <w:rsid w:val="009F3DEA"/>
    <w:rsid w:val="009F43DE"/>
    <w:rsid w:val="009F49F4"/>
    <w:rsid w:val="009F4A10"/>
    <w:rsid w:val="009F4E3E"/>
    <w:rsid w:val="009F4F96"/>
    <w:rsid w:val="009F5044"/>
    <w:rsid w:val="009F5329"/>
    <w:rsid w:val="009F54E4"/>
    <w:rsid w:val="009F5A6D"/>
    <w:rsid w:val="009F5B8A"/>
    <w:rsid w:val="009F5DFD"/>
    <w:rsid w:val="009F5F83"/>
    <w:rsid w:val="009F682D"/>
    <w:rsid w:val="009F6933"/>
    <w:rsid w:val="009F69E7"/>
    <w:rsid w:val="009F706F"/>
    <w:rsid w:val="009F7600"/>
    <w:rsid w:val="009F7B1D"/>
    <w:rsid w:val="00A000FE"/>
    <w:rsid w:val="00A0097C"/>
    <w:rsid w:val="00A0186C"/>
    <w:rsid w:val="00A01B29"/>
    <w:rsid w:val="00A01C12"/>
    <w:rsid w:val="00A021DE"/>
    <w:rsid w:val="00A02383"/>
    <w:rsid w:val="00A03F02"/>
    <w:rsid w:val="00A0427F"/>
    <w:rsid w:val="00A04503"/>
    <w:rsid w:val="00A04799"/>
    <w:rsid w:val="00A0481D"/>
    <w:rsid w:val="00A05227"/>
    <w:rsid w:val="00A05B00"/>
    <w:rsid w:val="00A06469"/>
    <w:rsid w:val="00A06C25"/>
    <w:rsid w:val="00A073C0"/>
    <w:rsid w:val="00A07A20"/>
    <w:rsid w:val="00A1046C"/>
    <w:rsid w:val="00A109D2"/>
    <w:rsid w:val="00A109E9"/>
    <w:rsid w:val="00A10ED4"/>
    <w:rsid w:val="00A11508"/>
    <w:rsid w:val="00A11542"/>
    <w:rsid w:val="00A118F4"/>
    <w:rsid w:val="00A11C69"/>
    <w:rsid w:val="00A123FF"/>
    <w:rsid w:val="00A132E4"/>
    <w:rsid w:val="00A134BE"/>
    <w:rsid w:val="00A134C3"/>
    <w:rsid w:val="00A135CB"/>
    <w:rsid w:val="00A1385E"/>
    <w:rsid w:val="00A14097"/>
    <w:rsid w:val="00A1420B"/>
    <w:rsid w:val="00A14653"/>
    <w:rsid w:val="00A15024"/>
    <w:rsid w:val="00A15B84"/>
    <w:rsid w:val="00A15C84"/>
    <w:rsid w:val="00A15CFF"/>
    <w:rsid w:val="00A15F7C"/>
    <w:rsid w:val="00A1624D"/>
    <w:rsid w:val="00A162C3"/>
    <w:rsid w:val="00A164D5"/>
    <w:rsid w:val="00A1660A"/>
    <w:rsid w:val="00A17063"/>
    <w:rsid w:val="00A171EE"/>
    <w:rsid w:val="00A17C4E"/>
    <w:rsid w:val="00A17DE7"/>
    <w:rsid w:val="00A2032D"/>
    <w:rsid w:val="00A20D1D"/>
    <w:rsid w:val="00A2105D"/>
    <w:rsid w:val="00A21943"/>
    <w:rsid w:val="00A21960"/>
    <w:rsid w:val="00A21F17"/>
    <w:rsid w:val="00A22136"/>
    <w:rsid w:val="00A2213A"/>
    <w:rsid w:val="00A22304"/>
    <w:rsid w:val="00A22856"/>
    <w:rsid w:val="00A22C92"/>
    <w:rsid w:val="00A22D59"/>
    <w:rsid w:val="00A22F11"/>
    <w:rsid w:val="00A23056"/>
    <w:rsid w:val="00A233D5"/>
    <w:rsid w:val="00A241B5"/>
    <w:rsid w:val="00A242AF"/>
    <w:rsid w:val="00A246A2"/>
    <w:rsid w:val="00A25E95"/>
    <w:rsid w:val="00A268B2"/>
    <w:rsid w:val="00A2696F"/>
    <w:rsid w:val="00A26C55"/>
    <w:rsid w:val="00A26E29"/>
    <w:rsid w:val="00A277FA"/>
    <w:rsid w:val="00A27B9D"/>
    <w:rsid w:val="00A27D38"/>
    <w:rsid w:val="00A309AB"/>
    <w:rsid w:val="00A30BCA"/>
    <w:rsid w:val="00A30C28"/>
    <w:rsid w:val="00A31392"/>
    <w:rsid w:val="00A31EC4"/>
    <w:rsid w:val="00A31F16"/>
    <w:rsid w:val="00A32735"/>
    <w:rsid w:val="00A32828"/>
    <w:rsid w:val="00A32A0C"/>
    <w:rsid w:val="00A32FE5"/>
    <w:rsid w:val="00A34CFA"/>
    <w:rsid w:val="00A35329"/>
    <w:rsid w:val="00A35731"/>
    <w:rsid w:val="00A3647E"/>
    <w:rsid w:val="00A36B11"/>
    <w:rsid w:val="00A37AE3"/>
    <w:rsid w:val="00A40236"/>
    <w:rsid w:val="00A40DDA"/>
    <w:rsid w:val="00A4134F"/>
    <w:rsid w:val="00A413A0"/>
    <w:rsid w:val="00A4178E"/>
    <w:rsid w:val="00A41F9B"/>
    <w:rsid w:val="00A42DC9"/>
    <w:rsid w:val="00A430B5"/>
    <w:rsid w:val="00A431AD"/>
    <w:rsid w:val="00A432DD"/>
    <w:rsid w:val="00A4360F"/>
    <w:rsid w:val="00A4382C"/>
    <w:rsid w:val="00A438C7"/>
    <w:rsid w:val="00A44ED9"/>
    <w:rsid w:val="00A455B2"/>
    <w:rsid w:val="00A4584A"/>
    <w:rsid w:val="00A46125"/>
    <w:rsid w:val="00A470B0"/>
    <w:rsid w:val="00A47317"/>
    <w:rsid w:val="00A50319"/>
    <w:rsid w:val="00A513A9"/>
    <w:rsid w:val="00A515A8"/>
    <w:rsid w:val="00A521FB"/>
    <w:rsid w:val="00A52BEB"/>
    <w:rsid w:val="00A53411"/>
    <w:rsid w:val="00A53445"/>
    <w:rsid w:val="00A53859"/>
    <w:rsid w:val="00A53E26"/>
    <w:rsid w:val="00A5491F"/>
    <w:rsid w:val="00A55483"/>
    <w:rsid w:val="00A556C5"/>
    <w:rsid w:val="00A55774"/>
    <w:rsid w:val="00A557DE"/>
    <w:rsid w:val="00A5614D"/>
    <w:rsid w:val="00A56CDA"/>
    <w:rsid w:val="00A57105"/>
    <w:rsid w:val="00A571BF"/>
    <w:rsid w:val="00A57290"/>
    <w:rsid w:val="00A572AE"/>
    <w:rsid w:val="00A574C6"/>
    <w:rsid w:val="00A57C26"/>
    <w:rsid w:val="00A6023D"/>
    <w:rsid w:val="00A60B27"/>
    <w:rsid w:val="00A60CF5"/>
    <w:rsid w:val="00A61974"/>
    <w:rsid w:val="00A61BB2"/>
    <w:rsid w:val="00A61F36"/>
    <w:rsid w:val="00A6214D"/>
    <w:rsid w:val="00A62436"/>
    <w:rsid w:val="00A6358C"/>
    <w:rsid w:val="00A639E5"/>
    <w:rsid w:val="00A63B00"/>
    <w:rsid w:val="00A6477D"/>
    <w:rsid w:val="00A64C25"/>
    <w:rsid w:val="00A65418"/>
    <w:rsid w:val="00A6621F"/>
    <w:rsid w:val="00A66674"/>
    <w:rsid w:val="00A669FE"/>
    <w:rsid w:val="00A66FF0"/>
    <w:rsid w:val="00A677FA"/>
    <w:rsid w:val="00A67943"/>
    <w:rsid w:val="00A67C2A"/>
    <w:rsid w:val="00A7142D"/>
    <w:rsid w:val="00A72925"/>
    <w:rsid w:val="00A72B2F"/>
    <w:rsid w:val="00A72FCB"/>
    <w:rsid w:val="00A73544"/>
    <w:rsid w:val="00A73981"/>
    <w:rsid w:val="00A73E54"/>
    <w:rsid w:val="00A74017"/>
    <w:rsid w:val="00A74046"/>
    <w:rsid w:val="00A74130"/>
    <w:rsid w:val="00A75A39"/>
    <w:rsid w:val="00A76143"/>
    <w:rsid w:val="00A76318"/>
    <w:rsid w:val="00A763AD"/>
    <w:rsid w:val="00A76400"/>
    <w:rsid w:val="00A7659B"/>
    <w:rsid w:val="00A776F3"/>
    <w:rsid w:val="00A77710"/>
    <w:rsid w:val="00A77F91"/>
    <w:rsid w:val="00A802B2"/>
    <w:rsid w:val="00A807B7"/>
    <w:rsid w:val="00A8092D"/>
    <w:rsid w:val="00A80C51"/>
    <w:rsid w:val="00A811B4"/>
    <w:rsid w:val="00A811E7"/>
    <w:rsid w:val="00A81891"/>
    <w:rsid w:val="00A819A4"/>
    <w:rsid w:val="00A81A5D"/>
    <w:rsid w:val="00A81B22"/>
    <w:rsid w:val="00A82198"/>
    <w:rsid w:val="00A823F2"/>
    <w:rsid w:val="00A827A6"/>
    <w:rsid w:val="00A82A9D"/>
    <w:rsid w:val="00A82D0D"/>
    <w:rsid w:val="00A83005"/>
    <w:rsid w:val="00A83EDB"/>
    <w:rsid w:val="00A8401B"/>
    <w:rsid w:val="00A840E1"/>
    <w:rsid w:val="00A842EE"/>
    <w:rsid w:val="00A84630"/>
    <w:rsid w:val="00A84B83"/>
    <w:rsid w:val="00A84D78"/>
    <w:rsid w:val="00A84DB2"/>
    <w:rsid w:val="00A84F03"/>
    <w:rsid w:val="00A86844"/>
    <w:rsid w:val="00A8686A"/>
    <w:rsid w:val="00A86881"/>
    <w:rsid w:val="00A86A22"/>
    <w:rsid w:val="00A86BF4"/>
    <w:rsid w:val="00A87CED"/>
    <w:rsid w:val="00A87FBE"/>
    <w:rsid w:val="00A90370"/>
    <w:rsid w:val="00A905FE"/>
    <w:rsid w:val="00A907E6"/>
    <w:rsid w:val="00A90BF6"/>
    <w:rsid w:val="00A9123E"/>
    <w:rsid w:val="00A91587"/>
    <w:rsid w:val="00A91608"/>
    <w:rsid w:val="00A9235E"/>
    <w:rsid w:val="00A929C1"/>
    <w:rsid w:val="00A93036"/>
    <w:rsid w:val="00A946AF"/>
    <w:rsid w:val="00A947EB"/>
    <w:rsid w:val="00A94916"/>
    <w:rsid w:val="00A94BA8"/>
    <w:rsid w:val="00A94D5A"/>
    <w:rsid w:val="00A94F97"/>
    <w:rsid w:val="00A94FA5"/>
    <w:rsid w:val="00A952EB"/>
    <w:rsid w:val="00A96383"/>
    <w:rsid w:val="00A96720"/>
    <w:rsid w:val="00A96DC3"/>
    <w:rsid w:val="00A97187"/>
    <w:rsid w:val="00A971ED"/>
    <w:rsid w:val="00AA0083"/>
    <w:rsid w:val="00AA16F2"/>
    <w:rsid w:val="00AA1874"/>
    <w:rsid w:val="00AA1B87"/>
    <w:rsid w:val="00AA1C44"/>
    <w:rsid w:val="00AA225D"/>
    <w:rsid w:val="00AA23BE"/>
    <w:rsid w:val="00AA2543"/>
    <w:rsid w:val="00AA2FA3"/>
    <w:rsid w:val="00AA3995"/>
    <w:rsid w:val="00AA3A85"/>
    <w:rsid w:val="00AA3DEC"/>
    <w:rsid w:val="00AA4232"/>
    <w:rsid w:val="00AA4B94"/>
    <w:rsid w:val="00AA4CA8"/>
    <w:rsid w:val="00AA53F9"/>
    <w:rsid w:val="00AA54A2"/>
    <w:rsid w:val="00AA595A"/>
    <w:rsid w:val="00AA59FB"/>
    <w:rsid w:val="00AA5F2E"/>
    <w:rsid w:val="00AA61F8"/>
    <w:rsid w:val="00AA66C1"/>
    <w:rsid w:val="00AA6827"/>
    <w:rsid w:val="00AA6868"/>
    <w:rsid w:val="00AA732E"/>
    <w:rsid w:val="00AA791E"/>
    <w:rsid w:val="00AA7F15"/>
    <w:rsid w:val="00AB0984"/>
    <w:rsid w:val="00AB10BE"/>
    <w:rsid w:val="00AB12DE"/>
    <w:rsid w:val="00AB1695"/>
    <w:rsid w:val="00AB18C2"/>
    <w:rsid w:val="00AB1CEC"/>
    <w:rsid w:val="00AB245C"/>
    <w:rsid w:val="00AB28AB"/>
    <w:rsid w:val="00AB32E8"/>
    <w:rsid w:val="00AB3DF5"/>
    <w:rsid w:val="00AB4E2D"/>
    <w:rsid w:val="00AB5083"/>
    <w:rsid w:val="00AB526E"/>
    <w:rsid w:val="00AB52E8"/>
    <w:rsid w:val="00AB59C6"/>
    <w:rsid w:val="00AB5AF6"/>
    <w:rsid w:val="00AB5C41"/>
    <w:rsid w:val="00AB5FBE"/>
    <w:rsid w:val="00AB646B"/>
    <w:rsid w:val="00AB658F"/>
    <w:rsid w:val="00AB6846"/>
    <w:rsid w:val="00AB7171"/>
    <w:rsid w:val="00AB718F"/>
    <w:rsid w:val="00AB77D0"/>
    <w:rsid w:val="00AC14A1"/>
    <w:rsid w:val="00AC158A"/>
    <w:rsid w:val="00AC2CC8"/>
    <w:rsid w:val="00AC339B"/>
    <w:rsid w:val="00AC3661"/>
    <w:rsid w:val="00AC53B1"/>
    <w:rsid w:val="00AC5BCC"/>
    <w:rsid w:val="00AC5BF2"/>
    <w:rsid w:val="00AC5D3D"/>
    <w:rsid w:val="00AC5DF3"/>
    <w:rsid w:val="00AC63D4"/>
    <w:rsid w:val="00AC6A0C"/>
    <w:rsid w:val="00AC727E"/>
    <w:rsid w:val="00AC7367"/>
    <w:rsid w:val="00AD0C18"/>
    <w:rsid w:val="00AD1319"/>
    <w:rsid w:val="00AD18C1"/>
    <w:rsid w:val="00AD230A"/>
    <w:rsid w:val="00AD346A"/>
    <w:rsid w:val="00AD362A"/>
    <w:rsid w:val="00AD39E0"/>
    <w:rsid w:val="00AD3A93"/>
    <w:rsid w:val="00AD45A5"/>
    <w:rsid w:val="00AD468F"/>
    <w:rsid w:val="00AD5000"/>
    <w:rsid w:val="00AD5085"/>
    <w:rsid w:val="00AD521D"/>
    <w:rsid w:val="00AD579B"/>
    <w:rsid w:val="00AD608A"/>
    <w:rsid w:val="00AD748B"/>
    <w:rsid w:val="00AD7744"/>
    <w:rsid w:val="00AD79B5"/>
    <w:rsid w:val="00AE0790"/>
    <w:rsid w:val="00AE0A48"/>
    <w:rsid w:val="00AE0ADE"/>
    <w:rsid w:val="00AE103F"/>
    <w:rsid w:val="00AE14F6"/>
    <w:rsid w:val="00AE19D4"/>
    <w:rsid w:val="00AE1BB6"/>
    <w:rsid w:val="00AE2F87"/>
    <w:rsid w:val="00AE31AB"/>
    <w:rsid w:val="00AE3229"/>
    <w:rsid w:val="00AE3356"/>
    <w:rsid w:val="00AE3BCC"/>
    <w:rsid w:val="00AE3CC5"/>
    <w:rsid w:val="00AE3CD3"/>
    <w:rsid w:val="00AE3D61"/>
    <w:rsid w:val="00AE56F7"/>
    <w:rsid w:val="00AE6966"/>
    <w:rsid w:val="00AE727E"/>
    <w:rsid w:val="00AE7674"/>
    <w:rsid w:val="00AE7919"/>
    <w:rsid w:val="00AE7A2A"/>
    <w:rsid w:val="00AF012B"/>
    <w:rsid w:val="00AF01BD"/>
    <w:rsid w:val="00AF0364"/>
    <w:rsid w:val="00AF1204"/>
    <w:rsid w:val="00AF12C8"/>
    <w:rsid w:val="00AF1961"/>
    <w:rsid w:val="00AF1A75"/>
    <w:rsid w:val="00AF20C6"/>
    <w:rsid w:val="00AF2742"/>
    <w:rsid w:val="00AF2C3D"/>
    <w:rsid w:val="00AF2CF9"/>
    <w:rsid w:val="00AF308D"/>
    <w:rsid w:val="00AF4C26"/>
    <w:rsid w:val="00AF5077"/>
    <w:rsid w:val="00AF5093"/>
    <w:rsid w:val="00AF520B"/>
    <w:rsid w:val="00AF6850"/>
    <w:rsid w:val="00AF7520"/>
    <w:rsid w:val="00AF7825"/>
    <w:rsid w:val="00AF7B38"/>
    <w:rsid w:val="00B00381"/>
    <w:rsid w:val="00B0068E"/>
    <w:rsid w:val="00B006E9"/>
    <w:rsid w:val="00B01A20"/>
    <w:rsid w:val="00B01AD9"/>
    <w:rsid w:val="00B01F72"/>
    <w:rsid w:val="00B02142"/>
    <w:rsid w:val="00B023BF"/>
    <w:rsid w:val="00B0243F"/>
    <w:rsid w:val="00B02489"/>
    <w:rsid w:val="00B02B92"/>
    <w:rsid w:val="00B02D8F"/>
    <w:rsid w:val="00B02E18"/>
    <w:rsid w:val="00B03351"/>
    <w:rsid w:val="00B04498"/>
    <w:rsid w:val="00B0449B"/>
    <w:rsid w:val="00B04A02"/>
    <w:rsid w:val="00B05B52"/>
    <w:rsid w:val="00B05C2B"/>
    <w:rsid w:val="00B0613F"/>
    <w:rsid w:val="00B061EF"/>
    <w:rsid w:val="00B06244"/>
    <w:rsid w:val="00B06364"/>
    <w:rsid w:val="00B067EA"/>
    <w:rsid w:val="00B06A3D"/>
    <w:rsid w:val="00B07343"/>
    <w:rsid w:val="00B073F3"/>
    <w:rsid w:val="00B07526"/>
    <w:rsid w:val="00B07B72"/>
    <w:rsid w:val="00B07EC4"/>
    <w:rsid w:val="00B101BD"/>
    <w:rsid w:val="00B10E13"/>
    <w:rsid w:val="00B10E90"/>
    <w:rsid w:val="00B111DD"/>
    <w:rsid w:val="00B1137C"/>
    <w:rsid w:val="00B113E3"/>
    <w:rsid w:val="00B11829"/>
    <w:rsid w:val="00B119AD"/>
    <w:rsid w:val="00B11DA5"/>
    <w:rsid w:val="00B12534"/>
    <w:rsid w:val="00B12970"/>
    <w:rsid w:val="00B12C09"/>
    <w:rsid w:val="00B130BE"/>
    <w:rsid w:val="00B131C8"/>
    <w:rsid w:val="00B13D24"/>
    <w:rsid w:val="00B13E78"/>
    <w:rsid w:val="00B14303"/>
    <w:rsid w:val="00B14581"/>
    <w:rsid w:val="00B159E8"/>
    <w:rsid w:val="00B15E5E"/>
    <w:rsid w:val="00B15EFE"/>
    <w:rsid w:val="00B161C3"/>
    <w:rsid w:val="00B162B9"/>
    <w:rsid w:val="00B16520"/>
    <w:rsid w:val="00B16AFB"/>
    <w:rsid w:val="00B16ECD"/>
    <w:rsid w:val="00B17079"/>
    <w:rsid w:val="00B17119"/>
    <w:rsid w:val="00B17393"/>
    <w:rsid w:val="00B1798F"/>
    <w:rsid w:val="00B20345"/>
    <w:rsid w:val="00B211FC"/>
    <w:rsid w:val="00B21A63"/>
    <w:rsid w:val="00B21BE6"/>
    <w:rsid w:val="00B21D23"/>
    <w:rsid w:val="00B22727"/>
    <w:rsid w:val="00B22A64"/>
    <w:rsid w:val="00B243C2"/>
    <w:rsid w:val="00B24537"/>
    <w:rsid w:val="00B2456B"/>
    <w:rsid w:val="00B2481D"/>
    <w:rsid w:val="00B24E97"/>
    <w:rsid w:val="00B25236"/>
    <w:rsid w:val="00B25DF7"/>
    <w:rsid w:val="00B26CB0"/>
    <w:rsid w:val="00B27851"/>
    <w:rsid w:val="00B278DE"/>
    <w:rsid w:val="00B27EEE"/>
    <w:rsid w:val="00B30002"/>
    <w:rsid w:val="00B3042E"/>
    <w:rsid w:val="00B30B38"/>
    <w:rsid w:val="00B30D38"/>
    <w:rsid w:val="00B30FD1"/>
    <w:rsid w:val="00B31246"/>
    <w:rsid w:val="00B3186F"/>
    <w:rsid w:val="00B31F1F"/>
    <w:rsid w:val="00B33410"/>
    <w:rsid w:val="00B33667"/>
    <w:rsid w:val="00B33967"/>
    <w:rsid w:val="00B33D10"/>
    <w:rsid w:val="00B34122"/>
    <w:rsid w:val="00B34C14"/>
    <w:rsid w:val="00B34C9F"/>
    <w:rsid w:val="00B355D9"/>
    <w:rsid w:val="00B3645F"/>
    <w:rsid w:val="00B36CC7"/>
    <w:rsid w:val="00B376DC"/>
    <w:rsid w:val="00B379C8"/>
    <w:rsid w:val="00B37BE1"/>
    <w:rsid w:val="00B4005D"/>
    <w:rsid w:val="00B40E17"/>
    <w:rsid w:val="00B41DB5"/>
    <w:rsid w:val="00B41FFF"/>
    <w:rsid w:val="00B422C4"/>
    <w:rsid w:val="00B4262F"/>
    <w:rsid w:val="00B42715"/>
    <w:rsid w:val="00B43416"/>
    <w:rsid w:val="00B4415A"/>
    <w:rsid w:val="00B4434F"/>
    <w:rsid w:val="00B44749"/>
    <w:rsid w:val="00B44979"/>
    <w:rsid w:val="00B44EB1"/>
    <w:rsid w:val="00B44EB7"/>
    <w:rsid w:val="00B458A1"/>
    <w:rsid w:val="00B458F9"/>
    <w:rsid w:val="00B45D90"/>
    <w:rsid w:val="00B45EF2"/>
    <w:rsid w:val="00B46F61"/>
    <w:rsid w:val="00B46F6B"/>
    <w:rsid w:val="00B470FA"/>
    <w:rsid w:val="00B47389"/>
    <w:rsid w:val="00B47A16"/>
    <w:rsid w:val="00B47A4A"/>
    <w:rsid w:val="00B47C22"/>
    <w:rsid w:val="00B50238"/>
    <w:rsid w:val="00B505EB"/>
    <w:rsid w:val="00B5066E"/>
    <w:rsid w:val="00B509A8"/>
    <w:rsid w:val="00B509E7"/>
    <w:rsid w:val="00B511D0"/>
    <w:rsid w:val="00B51722"/>
    <w:rsid w:val="00B51A1C"/>
    <w:rsid w:val="00B5204D"/>
    <w:rsid w:val="00B5211C"/>
    <w:rsid w:val="00B5256B"/>
    <w:rsid w:val="00B52B7F"/>
    <w:rsid w:val="00B52F43"/>
    <w:rsid w:val="00B533B3"/>
    <w:rsid w:val="00B53D7A"/>
    <w:rsid w:val="00B5418E"/>
    <w:rsid w:val="00B5472B"/>
    <w:rsid w:val="00B54A4A"/>
    <w:rsid w:val="00B54FC7"/>
    <w:rsid w:val="00B56110"/>
    <w:rsid w:val="00B56A76"/>
    <w:rsid w:val="00B60673"/>
    <w:rsid w:val="00B608E7"/>
    <w:rsid w:val="00B60FEF"/>
    <w:rsid w:val="00B61023"/>
    <w:rsid w:val="00B61304"/>
    <w:rsid w:val="00B615B4"/>
    <w:rsid w:val="00B63C67"/>
    <w:rsid w:val="00B63E23"/>
    <w:rsid w:val="00B6465F"/>
    <w:rsid w:val="00B6487F"/>
    <w:rsid w:val="00B651A8"/>
    <w:rsid w:val="00B65B2E"/>
    <w:rsid w:val="00B6614D"/>
    <w:rsid w:val="00B66266"/>
    <w:rsid w:val="00B667F9"/>
    <w:rsid w:val="00B66889"/>
    <w:rsid w:val="00B67746"/>
    <w:rsid w:val="00B67A7B"/>
    <w:rsid w:val="00B67BA9"/>
    <w:rsid w:val="00B67C32"/>
    <w:rsid w:val="00B702C6"/>
    <w:rsid w:val="00B7091A"/>
    <w:rsid w:val="00B7187D"/>
    <w:rsid w:val="00B71C3D"/>
    <w:rsid w:val="00B71ED7"/>
    <w:rsid w:val="00B720BA"/>
    <w:rsid w:val="00B725F7"/>
    <w:rsid w:val="00B72983"/>
    <w:rsid w:val="00B72E42"/>
    <w:rsid w:val="00B72F9A"/>
    <w:rsid w:val="00B74319"/>
    <w:rsid w:val="00B743AF"/>
    <w:rsid w:val="00B74452"/>
    <w:rsid w:val="00B751BD"/>
    <w:rsid w:val="00B75850"/>
    <w:rsid w:val="00B75B71"/>
    <w:rsid w:val="00B75FFB"/>
    <w:rsid w:val="00B7675A"/>
    <w:rsid w:val="00B76D71"/>
    <w:rsid w:val="00B76F89"/>
    <w:rsid w:val="00B77201"/>
    <w:rsid w:val="00B773BC"/>
    <w:rsid w:val="00B77AD5"/>
    <w:rsid w:val="00B8004A"/>
    <w:rsid w:val="00B801C3"/>
    <w:rsid w:val="00B80282"/>
    <w:rsid w:val="00B80759"/>
    <w:rsid w:val="00B80786"/>
    <w:rsid w:val="00B80BB3"/>
    <w:rsid w:val="00B80F3D"/>
    <w:rsid w:val="00B80F8B"/>
    <w:rsid w:val="00B812FA"/>
    <w:rsid w:val="00B813ED"/>
    <w:rsid w:val="00B82023"/>
    <w:rsid w:val="00B821F5"/>
    <w:rsid w:val="00B82B1F"/>
    <w:rsid w:val="00B82D4E"/>
    <w:rsid w:val="00B8338B"/>
    <w:rsid w:val="00B8391E"/>
    <w:rsid w:val="00B84603"/>
    <w:rsid w:val="00B84B62"/>
    <w:rsid w:val="00B84F28"/>
    <w:rsid w:val="00B85071"/>
    <w:rsid w:val="00B862D0"/>
    <w:rsid w:val="00B863C8"/>
    <w:rsid w:val="00B8676A"/>
    <w:rsid w:val="00B86977"/>
    <w:rsid w:val="00B8700E"/>
    <w:rsid w:val="00B90202"/>
    <w:rsid w:val="00B90787"/>
    <w:rsid w:val="00B908F3"/>
    <w:rsid w:val="00B90902"/>
    <w:rsid w:val="00B91BFE"/>
    <w:rsid w:val="00B92057"/>
    <w:rsid w:val="00B92502"/>
    <w:rsid w:val="00B925B6"/>
    <w:rsid w:val="00B92FF5"/>
    <w:rsid w:val="00B9308B"/>
    <w:rsid w:val="00B93A57"/>
    <w:rsid w:val="00B941B8"/>
    <w:rsid w:val="00B94440"/>
    <w:rsid w:val="00B95755"/>
    <w:rsid w:val="00B961F2"/>
    <w:rsid w:val="00B96289"/>
    <w:rsid w:val="00B96731"/>
    <w:rsid w:val="00B9710D"/>
    <w:rsid w:val="00B97962"/>
    <w:rsid w:val="00B97C17"/>
    <w:rsid w:val="00BA09ED"/>
    <w:rsid w:val="00BA0B31"/>
    <w:rsid w:val="00BA0E10"/>
    <w:rsid w:val="00BA1488"/>
    <w:rsid w:val="00BA2783"/>
    <w:rsid w:val="00BA3894"/>
    <w:rsid w:val="00BA3A98"/>
    <w:rsid w:val="00BA3B24"/>
    <w:rsid w:val="00BA447A"/>
    <w:rsid w:val="00BA4545"/>
    <w:rsid w:val="00BA45D0"/>
    <w:rsid w:val="00BA4B02"/>
    <w:rsid w:val="00BA4CA0"/>
    <w:rsid w:val="00BA521F"/>
    <w:rsid w:val="00BA5225"/>
    <w:rsid w:val="00BA56CE"/>
    <w:rsid w:val="00BA5CCC"/>
    <w:rsid w:val="00BA64AB"/>
    <w:rsid w:val="00BA6697"/>
    <w:rsid w:val="00BB0149"/>
    <w:rsid w:val="00BB09B8"/>
    <w:rsid w:val="00BB105B"/>
    <w:rsid w:val="00BB115D"/>
    <w:rsid w:val="00BB1D6F"/>
    <w:rsid w:val="00BB20A0"/>
    <w:rsid w:val="00BB219B"/>
    <w:rsid w:val="00BB2488"/>
    <w:rsid w:val="00BB24FC"/>
    <w:rsid w:val="00BB2A16"/>
    <w:rsid w:val="00BB2E29"/>
    <w:rsid w:val="00BB2E3B"/>
    <w:rsid w:val="00BB3230"/>
    <w:rsid w:val="00BB365D"/>
    <w:rsid w:val="00BB3A03"/>
    <w:rsid w:val="00BB3C62"/>
    <w:rsid w:val="00BB3DDE"/>
    <w:rsid w:val="00BB42E2"/>
    <w:rsid w:val="00BB4B15"/>
    <w:rsid w:val="00BB5184"/>
    <w:rsid w:val="00BB5322"/>
    <w:rsid w:val="00BB5D97"/>
    <w:rsid w:val="00BB5DC3"/>
    <w:rsid w:val="00BB5EDB"/>
    <w:rsid w:val="00BB61F2"/>
    <w:rsid w:val="00BB644C"/>
    <w:rsid w:val="00BB6742"/>
    <w:rsid w:val="00BB6AD0"/>
    <w:rsid w:val="00BB6B97"/>
    <w:rsid w:val="00BB6CA3"/>
    <w:rsid w:val="00BB6DC8"/>
    <w:rsid w:val="00BB7558"/>
    <w:rsid w:val="00BB7974"/>
    <w:rsid w:val="00BB7C08"/>
    <w:rsid w:val="00BB7F3D"/>
    <w:rsid w:val="00BC03FE"/>
    <w:rsid w:val="00BC04E0"/>
    <w:rsid w:val="00BC0882"/>
    <w:rsid w:val="00BC0B1A"/>
    <w:rsid w:val="00BC0D2F"/>
    <w:rsid w:val="00BC10E2"/>
    <w:rsid w:val="00BC14FB"/>
    <w:rsid w:val="00BC1621"/>
    <w:rsid w:val="00BC1729"/>
    <w:rsid w:val="00BC1DEF"/>
    <w:rsid w:val="00BC20B3"/>
    <w:rsid w:val="00BC2245"/>
    <w:rsid w:val="00BC2AB0"/>
    <w:rsid w:val="00BC3581"/>
    <w:rsid w:val="00BC3B81"/>
    <w:rsid w:val="00BC490C"/>
    <w:rsid w:val="00BC4E89"/>
    <w:rsid w:val="00BC5546"/>
    <w:rsid w:val="00BC5778"/>
    <w:rsid w:val="00BC5A51"/>
    <w:rsid w:val="00BC5A75"/>
    <w:rsid w:val="00BC6253"/>
    <w:rsid w:val="00BC6341"/>
    <w:rsid w:val="00BC659D"/>
    <w:rsid w:val="00BC65D6"/>
    <w:rsid w:val="00BC6774"/>
    <w:rsid w:val="00BC6FC3"/>
    <w:rsid w:val="00BC790F"/>
    <w:rsid w:val="00BC7B8C"/>
    <w:rsid w:val="00BD1527"/>
    <w:rsid w:val="00BD15FE"/>
    <w:rsid w:val="00BD1905"/>
    <w:rsid w:val="00BD1B48"/>
    <w:rsid w:val="00BD2790"/>
    <w:rsid w:val="00BD3232"/>
    <w:rsid w:val="00BD3471"/>
    <w:rsid w:val="00BD3618"/>
    <w:rsid w:val="00BD4746"/>
    <w:rsid w:val="00BD4B32"/>
    <w:rsid w:val="00BD4C5E"/>
    <w:rsid w:val="00BD4F0B"/>
    <w:rsid w:val="00BD5341"/>
    <w:rsid w:val="00BD5694"/>
    <w:rsid w:val="00BD70F0"/>
    <w:rsid w:val="00BD7438"/>
    <w:rsid w:val="00BD77FD"/>
    <w:rsid w:val="00BD7E24"/>
    <w:rsid w:val="00BD7EA3"/>
    <w:rsid w:val="00BE05E1"/>
    <w:rsid w:val="00BE07A0"/>
    <w:rsid w:val="00BE2D92"/>
    <w:rsid w:val="00BE2E61"/>
    <w:rsid w:val="00BE487A"/>
    <w:rsid w:val="00BE4D4A"/>
    <w:rsid w:val="00BE5DA1"/>
    <w:rsid w:val="00BE6CED"/>
    <w:rsid w:val="00BE6DF5"/>
    <w:rsid w:val="00BE7709"/>
    <w:rsid w:val="00BE7E59"/>
    <w:rsid w:val="00BF0040"/>
    <w:rsid w:val="00BF00EF"/>
    <w:rsid w:val="00BF011E"/>
    <w:rsid w:val="00BF0578"/>
    <w:rsid w:val="00BF05EB"/>
    <w:rsid w:val="00BF08BE"/>
    <w:rsid w:val="00BF0B16"/>
    <w:rsid w:val="00BF13AB"/>
    <w:rsid w:val="00BF1522"/>
    <w:rsid w:val="00BF2373"/>
    <w:rsid w:val="00BF35B6"/>
    <w:rsid w:val="00BF38EA"/>
    <w:rsid w:val="00BF3962"/>
    <w:rsid w:val="00BF3A76"/>
    <w:rsid w:val="00BF40FE"/>
    <w:rsid w:val="00BF411D"/>
    <w:rsid w:val="00BF4767"/>
    <w:rsid w:val="00BF5D38"/>
    <w:rsid w:val="00BF618B"/>
    <w:rsid w:val="00BF626C"/>
    <w:rsid w:val="00BF6344"/>
    <w:rsid w:val="00BF63B7"/>
    <w:rsid w:val="00BF679D"/>
    <w:rsid w:val="00BF6B82"/>
    <w:rsid w:val="00BF6E48"/>
    <w:rsid w:val="00BF7058"/>
    <w:rsid w:val="00BF7108"/>
    <w:rsid w:val="00BF7FEA"/>
    <w:rsid w:val="00BF7FF2"/>
    <w:rsid w:val="00C00B5E"/>
    <w:rsid w:val="00C01551"/>
    <w:rsid w:val="00C015EA"/>
    <w:rsid w:val="00C01B80"/>
    <w:rsid w:val="00C01BCB"/>
    <w:rsid w:val="00C01FCA"/>
    <w:rsid w:val="00C02972"/>
    <w:rsid w:val="00C02A1F"/>
    <w:rsid w:val="00C02A66"/>
    <w:rsid w:val="00C02CB7"/>
    <w:rsid w:val="00C034CC"/>
    <w:rsid w:val="00C042B6"/>
    <w:rsid w:val="00C04958"/>
    <w:rsid w:val="00C04ACC"/>
    <w:rsid w:val="00C04B10"/>
    <w:rsid w:val="00C05142"/>
    <w:rsid w:val="00C051F8"/>
    <w:rsid w:val="00C053FB"/>
    <w:rsid w:val="00C05802"/>
    <w:rsid w:val="00C06804"/>
    <w:rsid w:val="00C07835"/>
    <w:rsid w:val="00C07CB0"/>
    <w:rsid w:val="00C07D0C"/>
    <w:rsid w:val="00C10880"/>
    <w:rsid w:val="00C10891"/>
    <w:rsid w:val="00C10AF0"/>
    <w:rsid w:val="00C10CDF"/>
    <w:rsid w:val="00C12224"/>
    <w:rsid w:val="00C12961"/>
    <w:rsid w:val="00C12E6E"/>
    <w:rsid w:val="00C13D76"/>
    <w:rsid w:val="00C13DB1"/>
    <w:rsid w:val="00C1436A"/>
    <w:rsid w:val="00C1441E"/>
    <w:rsid w:val="00C14997"/>
    <w:rsid w:val="00C149CB"/>
    <w:rsid w:val="00C14A51"/>
    <w:rsid w:val="00C150B4"/>
    <w:rsid w:val="00C155D4"/>
    <w:rsid w:val="00C15E16"/>
    <w:rsid w:val="00C1621B"/>
    <w:rsid w:val="00C169F7"/>
    <w:rsid w:val="00C16BA4"/>
    <w:rsid w:val="00C172E8"/>
    <w:rsid w:val="00C179C4"/>
    <w:rsid w:val="00C17B6B"/>
    <w:rsid w:val="00C17CFA"/>
    <w:rsid w:val="00C201BB"/>
    <w:rsid w:val="00C202DB"/>
    <w:rsid w:val="00C205FD"/>
    <w:rsid w:val="00C2124B"/>
    <w:rsid w:val="00C21A39"/>
    <w:rsid w:val="00C21EF3"/>
    <w:rsid w:val="00C2203A"/>
    <w:rsid w:val="00C2270F"/>
    <w:rsid w:val="00C23091"/>
    <w:rsid w:val="00C23117"/>
    <w:rsid w:val="00C2370A"/>
    <w:rsid w:val="00C2460A"/>
    <w:rsid w:val="00C2480F"/>
    <w:rsid w:val="00C24825"/>
    <w:rsid w:val="00C2492B"/>
    <w:rsid w:val="00C249DF"/>
    <w:rsid w:val="00C249F4"/>
    <w:rsid w:val="00C24A34"/>
    <w:rsid w:val="00C24CE6"/>
    <w:rsid w:val="00C24E57"/>
    <w:rsid w:val="00C25509"/>
    <w:rsid w:val="00C25A2B"/>
    <w:rsid w:val="00C26754"/>
    <w:rsid w:val="00C26BBC"/>
    <w:rsid w:val="00C26C4A"/>
    <w:rsid w:val="00C27226"/>
    <w:rsid w:val="00C27323"/>
    <w:rsid w:val="00C276AD"/>
    <w:rsid w:val="00C279E0"/>
    <w:rsid w:val="00C27A5F"/>
    <w:rsid w:val="00C27B1C"/>
    <w:rsid w:val="00C310DF"/>
    <w:rsid w:val="00C31500"/>
    <w:rsid w:val="00C31B43"/>
    <w:rsid w:val="00C31BA9"/>
    <w:rsid w:val="00C31D62"/>
    <w:rsid w:val="00C31D6B"/>
    <w:rsid w:val="00C31D81"/>
    <w:rsid w:val="00C32A72"/>
    <w:rsid w:val="00C32CB9"/>
    <w:rsid w:val="00C32D2A"/>
    <w:rsid w:val="00C3302D"/>
    <w:rsid w:val="00C3303F"/>
    <w:rsid w:val="00C340EA"/>
    <w:rsid w:val="00C35298"/>
    <w:rsid w:val="00C3578F"/>
    <w:rsid w:val="00C36090"/>
    <w:rsid w:val="00C363E5"/>
    <w:rsid w:val="00C3640F"/>
    <w:rsid w:val="00C36D73"/>
    <w:rsid w:val="00C3729B"/>
    <w:rsid w:val="00C37DA2"/>
    <w:rsid w:val="00C37E4C"/>
    <w:rsid w:val="00C4004C"/>
    <w:rsid w:val="00C40076"/>
    <w:rsid w:val="00C40656"/>
    <w:rsid w:val="00C40AC6"/>
    <w:rsid w:val="00C40AE5"/>
    <w:rsid w:val="00C425D5"/>
    <w:rsid w:val="00C425F2"/>
    <w:rsid w:val="00C42982"/>
    <w:rsid w:val="00C42A8F"/>
    <w:rsid w:val="00C42C95"/>
    <w:rsid w:val="00C42D89"/>
    <w:rsid w:val="00C43779"/>
    <w:rsid w:val="00C43BB8"/>
    <w:rsid w:val="00C43E1F"/>
    <w:rsid w:val="00C43F6F"/>
    <w:rsid w:val="00C442DF"/>
    <w:rsid w:val="00C4469C"/>
    <w:rsid w:val="00C44756"/>
    <w:rsid w:val="00C44B50"/>
    <w:rsid w:val="00C44D5A"/>
    <w:rsid w:val="00C44DF9"/>
    <w:rsid w:val="00C45F58"/>
    <w:rsid w:val="00C465C8"/>
    <w:rsid w:val="00C4691A"/>
    <w:rsid w:val="00C46B05"/>
    <w:rsid w:val="00C46F9B"/>
    <w:rsid w:val="00C475E4"/>
    <w:rsid w:val="00C50598"/>
    <w:rsid w:val="00C505CB"/>
    <w:rsid w:val="00C50EE5"/>
    <w:rsid w:val="00C512E7"/>
    <w:rsid w:val="00C514A5"/>
    <w:rsid w:val="00C51694"/>
    <w:rsid w:val="00C5215F"/>
    <w:rsid w:val="00C52920"/>
    <w:rsid w:val="00C52DA8"/>
    <w:rsid w:val="00C5310E"/>
    <w:rsid w:val="00C53D0E"/>
    <w:rsid w:val="00C53DBC"/>
    <w:rsid w:val="00C53F58"/>
    <w:rsid w:val="00C55570"/>
    <w:rsid w:val="00C556B4"/>
    <w:rsid w:val="00C5642E"/>
    <w:rsid w:val="00C56E77"/>
    <w:rsid w:val="00C570BD"/>
    <w:rsid w:val="00C572AE"/>
    <w:rsid w:val="00C575A6"/>
    <w:rsid w:val="00C57856"/>
    <w:rsid w:val="00C578B2"/>
    <w:rsid w:val="00C57FD7"/>
    <w:rsid w:val="00C5E050"/>
    <w:rsid w:val="00C602E5"/>
    <w:rsid w:val="00C606DD"/>
    <w:rsid w:val="00C608CC"/>
    <w:rsid w:val="00C611C9"/>
    <w:rsid w:val="00C61F33"/>
    <w:rsid w:val="00C62130"/>
    <w:rsid w:val="00C62474"/>
    <w:rsid w:val="00C6256E"/>
    <w:rsid w:val="00C62B44"/>
    <w:rsid w:val="00C62B7E"/>
    <w:rsid w:val="00C62CAF"/>
    <w:rsid w:val="00C6389F"/>
    <w:rsid w:val="00C63F96"/>
    <w:rsid w:val="00C642E8"/>
    <w:rsid w:val="00C646FA"/>
    <w:rsid w:val="00C64D37"/>
    <w:rsid w:val="00C655AE"/>
    <w:rsid w:val="00C65901"/>
    <w:rsid w:val="00C661BC"/>
    <w:rsid w:val="00C663CC"/>
    <w:rsid w:val="00C66405"/>
    <w:rsid w:val="00C666A8"/>
    <w:rsid w:val="00C67100"/>
    <w:rsid w:val="00C679D3"/>
    <w:rsid w:val="00C67E56"/>
    <w:rsid w:val="00C67E8E"/>
    <w:rsid w:val="00C7016D"/>
    <w:rsid w:val="00C70271"/>
    <w:rsid w:val="00C70DD7"/>
    <w:rsid w:val="00C711F9"/>
    <w:rsid w:val="00C725FC"/>
    <w:rsid w:val="00C7265B"/>
    <w:rsid w:val="00C72996"/>
    <w:rsid w:val="00C72B37"/>
    <w:rsid w:val="00C72D7E"/>
    <w:rsid w:val="00C72F61"/>
    <w:rsid w:val="00C7337B"/>
    <w:rsid w:val="00C7340E"/>
    <w:rsid w:val="00C73631"/>
    <w:rsid w:val="00C744A5"/>
    <w:rsid w:val="00C74E55"/>
    <w:rsid w:val="00C755DC"/>
    <w:rsid w:val="00C75C29"/>
    <w:rsid w:val="00C7601C"/>
    <w:rsid w:val="00C761C5"/>
    <w:rsid w:val="00C762E4"/>
    <w:rsid w:val="00C76677"/>
    <w:rsid w:val="00C76845"/>
    <w:rsid w:val="00C76907"/>
    <w:rsid w:val="00C76CAB"/>
    <w:rsid w:val="00C76CF9"/>
    <w:rsid w:val="00C77024"/>
    <w:rsid w:val="00C771EE"/>
    <w:rsid w:val="00C77FCA"/>
    <w:rsid w:val="00C8075F"/>
    <w:rsid w:val="00C80C67"/>
    <w:rsid w:val="00C8127F"/>
    <w:rsid w:val="00C8134A"/>
    <w:rsid w:val="00C816AD"/>
    <w:rsid w:val="00C81CBD"/>
    <w:rsid w:val="00C81F61"/>
    <w:rsid w:val="00C82D87"/>
    <w:rsid w:val="00C82EC3"/>
    <w:rsid w:val="00C83287"/>
    <w:rsid w:val="00C8371D"/>
    <w:rsid w:val="00C83BFD"/>
    <w:rsid w:val="00C83D4F"/>
    <w:rsid w:val="00C844A4"/>
    <w:rsid w:val="00C8486F"/>
    <w:rsid w:val="00C848F7"/>
    <w:rsid w:val="00C8502F"/>
    <w:rsid w:val="00C85069"/>
    <w:rsid w:val="00C85311"/>
    <w:rsid w:val="00C856A3"/>
    <w:rsid w:val="00C861E3"/>
    <w:rsid w:val="00C8735C"/>
    <w:rsid w:val="00C87381"/>
    <w:rsid w:val="00C87C5E"/>
    <w:rsid w:val="00C902D8"/>
    <w:rsid w:val="00C90519"/>
    <w:rsid w:val="00C90947"/>
    <w:rsid w:val="00C90CC4"/>
    <w:rsid w:val="00C91000"/>
    <w:rsid w:val="00C913DE"/>
    <w:rsid w:val="00C9154A"/>
    <w:rsid w:val="00C91666"/>
    <w:rsid w:val="00C91777"/>
    <w:rsid w:val="00C918F1"/>
    <w:rsid w:val="00C923D3"/>
    <w:rsid w:val="00C9276A"/>
    <w:rsid w:val="00C92964"/>
    <w:rsid w:val="00C929B7"/>
    <w:rsid w:val="00C92A76"/>
    <w:rsid w:val="00C92D4E"/>
    <w:rsid w:val="00C932D7"/>
    <w:rsid w:val="00C93909"/>
    <w:rsid w:val="00C93FC7"/>
    <w:rsid w:val="00C945A7"/>
    <w:rsid w:val="00C945FA"/>
    <w:rsid w:val="00C9610B"/>
    <w:rsid w:val="00C96EFD"/>
    <w:rsid w:val="00C96FC1"/>
    <w:rsid w:val="00C971DB"/>
    <w:rsid w:val="00C973B4"/>
    <w:rsid w:val="00C97793"/>
    <w:rsid w:val="00C979EA"/>
    <w:rsid w:val="00C97E3F"/>
    <w:rsid w:val="00C97EF2"/>
    <w:rsid w:val="00CA0D9F"/>
    <w:rsid w:val="00CA0EAF"/>
    <w:rsid w:val="00CA17E1"/>
    <w:rsid w:val="00CA20A9"/>
    <w:rsid w:val="00CA237E"/>
    <w:rsid w:val="00CA2791"/>
    <w:rsid w:val="00CA2DF7"/>
    <w:rsid w:val="00CA2F06"/>
    <w:rsid w:val="00CA2FF1"/>
    <w:rsid w:val="00CA3135"/>
    <w:rsid w:val="00CA3402"/>
    <w:rsid w:val="00CA39AC"/>
    <w:rsid w:val="00CA3C63"/>
    <w:rsid w:val="00CA3E74"/>
    <w:rsid w:val="00CA4037"/>
    <w:rsid w:val="00CA40AE"/>
    <w:rsid w:val="00CA5C34"/>
    <w:rsid w:val="00CA5D47"/>
    <w:rsid w:val="00CA6409"/>
    <w:rsid w:val="00CA69E8"/>
    <w:rsid w:val="00CA7296"/>
    <w:rsid w:val="00CA754B"/>
    <w:rsid w:val="00CA7701"/>
    <w:rsid w:val="00CB073B"/>
    <w:rsid w:val="00CB0A46"/>
    <w:rsid w:val="00CB0E68"/>
    <w:rsid w:val="00CB16BE"/>
    <w:rsid w:val="00CB1E7A"/>
    <w:rsid w:val="00CB2494"/>
    <w:rsid w:val="00CB24FB"/>
    <w:rsid w:val="00CB34FE"/>
    <w:rsid w:val="00CB3664"/>
    <w:rsid w:val="00CB3C81"/>
    <w:rsid w:val="00CB3D85"/>
    <w:rsid w:val="00CB3D8E"/>
    <w:rsid w:val="00CB3E98"/>
    <w:rsid w:val="00CB3EA4"/>
    <w:rsid w:val="00CB3FBB"/>
    <w:rsid w:val="00CB4A4C"/>
    <w:rsid w:val="00CB4FD6"/>
    <w:rsid w:val="00CB51B4"/>
    <w:rsid w:val="00CB5367"/>
    <w:rsid w:val="00CB5AA5"/>
    <w:rsid w:val="00CB5EB3"/>
    <w:rsid w:val="00CB6023"/>
    <w:rsid w:val="00CB6433"/>
    <w:rsid w:val="00CB6C02"/>
    <w:rsid w:val="00CB707D"/>
    <w:rsid w:val="00CB72E4"/>
    <w:rsid w:val="00CB7428"/>
    <w:rsid w:val="00CB7510"/>
    <w:rsid w:val="00CB766C"/>
    <w:rsid w:val="00CB775C"/>
    <w:rsid w:val="00CC0BD2"/>
    <w:rsid w:val="00CC1308"/>
    <w:rsid w:val="00CC16D8"/>
    <w:rsid w:val="00CC1A74"/>
    <w:rsid w:val="00CC22E5"/>
    <w:rsid w:val="00CC24F8"/>
    <w:rsid w:val="00CC30B7"/>
    <w:rsid w:val="00CC3844"/>
    <w:rsid w:val="00CC39A9"/>
    <w:rsid w:val="00CC3BC2"/>
    <w:rsid w:val="00CC3C0D"/>
    <w:rsid w:val="00CC3C64"/>
    <w:rsid w:val="00CC40EA"/>
    <w:rsid w:val="00CC4205"/>
    <w:rsid w:val="00CC53B6"/>
    <w:rsid w:val="00CC5413"/>
    <w:rsid w:val="00CC56A1"/>
    <w:rsid w:val="00CC57FB"/>
    <w:rsid w:val="00CC5E59"/>
    <w:rsid w:val="00CC64C6"/>
    <w:rsid w:val="00CC67BD"/>
    <w:rsid w:val="00CC694F"/>
    <w:rsid w:val="00CC717E"/>
    <w:rsid w:val="00CC7774"/>
    <w:rsid w:val="00CC7815"/>
    <w:rsid w:val="00CC784A"/>
    <w:rsid w:val="00CC7ADF"/>
    <w:rsid w:val="00CD0285"/>
    <w:rsid w:val="00CD0A39"/>
    <w:rsid w:val="00CD1AAA"/>
    <w:rsid w:val="00CD212C"/>
    <w:rsid w:val="00CD2DCE"/>
    <w:rsid w:val="00CD3B12"/>
    <w:rsid w:val="00CD4864"/>
    <w:rsid w:val="00CD53C6"/>
    <w:rsid w:val="00CD5777"/>
    <w:rsid w:val="00CD5A6D"/>
    <w:rsid w:val="00CD5ABF"/>
    <w:rsid w:val="00CD62DC"/>
    <w:rsid w:val="00CD6516"/>
    <w:rsid w:val="00CD7D5F"/>
    <w:rsid w:val="00CE0212"/>
    <w:rsid w:val="00CE031D"/>
    <w:rsid w:val="00CE06D0"/>
    <w:rsid w:val="00CE0C12"/>
    <w:rsid w:val="00CE1007"/>
    <w:rsid w:val="00CE1B26"/>
    <w:rsid w:val="00CE1D08"/>
    <w:rsid w:val="00CE2734"/>
    <w:rsid w:val="00CE292C"/>
    <w:rsid w:val="00CE4415"/>
    <w:rsid w:val="00CE4C53"/>
    <w:rsid w:val="00CE4F3A"/>
    <w:rsid w:val="00CE53F4"/>
    <w:rsid w:val="00CE5465"/>
    <w:rsid w:val="00CE58B4"/>
    <w:rsid w:val="00CE5D20"/>
    <w:rsid w:val="00CE6207"/>
    <w:rsid w:val="00CE6232"/>
    <w:rsid w:val="00CE6727"/>
    <w:rsid w:val="00CE7241"/>
    <w:rsid w:val="00CE76BF"/>
    <w:rsid w:val="00CE78F8"/>
    <w:rsid w:val="00CE7FF1"/>
    <w:rsid w:val="00CF03C4"/>
    <w:rsid w:val="00CF051E"/>
    <w:rsid w:val="00CF0870"/>
    <w:rsid w:val="00CF0C6F"/>
    <w:rsid w:val="00CF0D7B"/>
    <w:rsid w:val="00CF17E2"/>
    <w:rsid w:val="00CF1D23"/>
    <w:rsid w:val="00CF1D5E"/>
    <w:rsid w:val="00CF25F1"/>
    <w:rsid w:val="00CF2BA1"/>
    <w:rsid w:val="00CF2CBD"/>
    <w:rsid w:val="00CF4494"/>
    <w:rsid w:val="00CF476C"/>
    <w:rsid w:val="00CF4781"/>
    <w:rsid w:val="00CF4818"/>
    <w:rsid w:val="00CF49C7"/>
    <w:rsid w:val="00CF4DDA"/>
    <w:rsid w:val="00CF51CB"/>
    <w:rsid w:val="00CF5469"/>
    <w:rsid w:val="00CF57E5"/>
    <w:rsid w:val="00CF7422"/>
    <w:rsid w:val="00CF7D86"/>
    <w:rsid w:val="00D004F3"/>
    <w:rsid w:val="00D006E5"/>
    <w:rsid w:val="00D006E6"/>
    <w:rsid w:val="00D021FB"/>
    <w:rsid w:val="00D030E5"/>
    <w:rsid w:val="00D03322"/>
    <w:rsid w:val="00D03571"/>
    <w:rsid w:val="00D03600"/>
    <w:rsid w:val="00D0362E"/>
    <w:rsid w:val="00D0413E"/>
    <w:rsid w:val="00D04268"/>
    <w:rsid w:val="00D0476C"/>
    <w:rsid w:val="00D04960"/>
    <w:rsid w:val="00D04CDA"/>
    <w:rsid w:val="00D05D57"/>
    <w:rsid w:val="00D05E75"/>
    <w:rsid w:val="00D0645C"/>
    <w:rsid w:val="00D065A3"/>
    <w:rsid w:val="00D065B6"/>
    <w:rsid w:val="00D067E5"/>
    <w:rsid w:val="00D06914"/>
    <w:rsid w:val="00D06D37"/>
    <w:rsid w:val="00D0773F"/>
    <w:rsid w:val="00D0785A"/>
    <w:rsid w:val="00D10DEB"/>
    <w:rsid w:val="00D11713"/>
    <w:rsid w:val="00D11A8E"/>
    <w:rsid w:val="00D11ADF"/>
    <w:rsid w:val="00D11E8F"/>
    <w:rsid w:val="00D12915"/>
    <w:rsid w:val="00D129ED"/>
    <w:rsid w:val="00D1320E"/>
    <w:rsid w:val="00D1349B"/>
    <w:rsid w:val="00D135CA"/>
    <w:rsid w:val="00D13955"/>
    <w:rsid w:val="00D13B8A"/>
    <w:rsid w:val="00D13C6F"/>
    <w:rsid w:val="00D14B19"/>
    <w:rsid w:val="00D15952"/>
    <w:rsid w:val="00D15D72"/>
    <w:rsid w:val="00D163B8"/>
    <w:rsid w:val="00D16655"/>
    <w:rsid w:val="00D168AA"/>
    <w:rsid w:val="00D16B79"/>
    <w:rsid w:val="00D17102"/>
    <w:rsid w:val="00D17CC2"/>
    <w:rsid w:val="00D20136"/>
    <w:rsid w:val="00D20383"/>
    <w:rsid w:val="00D211FA"/>
    <w:rsid w:val="00D21DE8"/>
    <w:rsid w:val="00D220B7"/>
    <w:rsid w:val="00D2242F"/>
    <w:rsid w:val="00D22727"/>
    <w:rsid w:val="00D228D5"/>
    <w:rsid w:val="00D232F1"/>
    <w:rsid w:val="00D2361B"/>
    <w:rsid w:val="00D23724"/>
    <w:rsid w:val="00D239DE"/>
    <w:rsid w:val="00D23C17"/>
    <w:rsid w:val="00D23DE8"/>
    <w:rsid w:val="00D24849"/>
    <w:rsid w:val="00D24C3F"/>
    <w:rsid w:val="00D25044"/>
    <w:rsid w:val="00D25441"/>
    <w:rsid w:val="00D255E0"/>
    <w:rsid w:val="00D256C3"/>
    <w:rsid w:val="00D2576B"/>
    <w:rsid w:val="00D257B3"/>
    <w:rsid w:val="00D25F5C"/>
    <w:rsid w:val="00D26147"/>
    <w:rsid w:val="00D26803"/>
    <w:rsid w:val="00D27577"/>
    <w:rsid w:val="00D31548"/>
    <w:rsid w:val="00D318DB"/>
    <w:rsid w:val="00D31E35"/>
    <w:rsid w:val="00D321F1"/>
    <w:rsid w:val="00D32280"/>
    <w:rsid w:val="00D32B5F"/>
    <w:rsid w:val="00D334D4"/>
    <w:rsid w:val="00D33890"/>
    <w:rsid w:val="00D33ADB"/>
    <w:rsid w:val="00D33BD8"/>
    <w:rsid w:val="00D33D1E"/>
    <w:rsid w:val="00D3469E"/>
    <w:rsid w:val="00D34710"/>
    <w:rsid w:val="00D3489F"/>
    <w:rsid w:val="00D34B03"/>
    <w:rsid w:val="00D34B5A"/>
    <w:rsid w:val="00D356C2"/>
    <w:rsid w:val="00D35D0D"/>
    <w:rsid w:val="00D36A50"/>
    <w:rsid w:val="00D36DC5"/>
    <w:rsid w:val="00D3722D"/>
    <w:rsid w:val="00D37365"/>
    <w:rsid w:val="00D374C6"/>
    <w:rsid w:val="00D37E46"/>
    <w:rsid w:val="00D40C02"/>
    <w:rsid w:val="00D42A44"/>
    <w:rsid w:val="00D42B7F"/>
    <w:rsid w:val="00D42DA4"/>
    <w:rsid w:val="00D435DC"/>
    <w:rsid w:val="00D437B2"/>
    <w:rsid w:val="00D44637"/>
    <w:rsid w:val="00D44857"/>
    <w:rsid w:val="00D44E43"/>
    <w:rsid w:val="00D44F41"/>
    <w:rsid w:val="00D45A60"/>
    <w:rsid w:val="00D466C2"/>
    <w:rsid w:val="00D46FB0"/>
    <w:rsid w:val="00D472BB"/>
    <w:rsid w:val="00D474B9"/>
    <w:rsid w:val="00D474DE"/>
    <w:rsid w:val="00D476B1"/>
    <w:rsid w:val="00D5009E"/>
    <w:rsid w:val="00D50568"/>
    <w:rsid w:val="00D50AF7"/>
    <w:rsid w:val="00D51419"/>
    <w:rsid w:val="00D515F8"/>
    <w:rsid w:val="00D51887"/>
    <w:rsid w:val="00D52775"/>
    <w:rsid w:val="00D52B5F"/>
    <w:rsid w:val="00D53DB6"/>
    <w:rsid w:val="00D54385"/>
    <w:rsid w:val="00D546DC"/>
    <w:rsid w:val="00D54E1D"/>
    <w:rsid w:val="00D55264"/>
    <w:rsid w:val="00D552E5"/>
    <w:rsid w:val="00D5580A"/>
    <w:rsid w:val="00D55E0E"/>
    <w:rsid w:val="00D55F31"/>
    <w:rsid w:val="00D561CA"/>
    <w:rsid w:val="00D56CA6"/>
    <w:rsid w:val="00D57627"/>
    <w:rsid w:val="00D57C0F"/>
    <w:rsid w:val="00D57DF6"/>
    <w:rsid w:val="00D601D8"/>
    <w:rsid w:val="00D60310"/>
    <w:rsid w:val="00D60881"/>
    <w:rsid w:val="00D60BF6"/>
    <w:rsid w:val="00D62A4B"/>
    <w:rsid w:val="00D63187"/>
    <w:rsid w:val="00D635BF"/>
    <w:rsid w:val="00D64099"/>
    <w:rsid w:val="00D641A8"/>
    <w:rsid w:val="00D64315"/>
    <w:rsid w:val="00D64728"/>
    <w:rsid w:val="00D6580C"/>
    <w:rsid w:val="00D65EEE"/>
    <w:rsid w:val="00D66012"/>
    <w:rsid w:val="00D66D0F"/>
    <w:rsid w:val="00D67332"/>
    <w:rsid w:val="00D67336"/>
    <w:rsid w:val="00D6734B"/>
    <w:rsid w:val="00D67A92"/>
    <w:rsid w:val="00D67B4C"/>
    <w:rsid w:val="00D70A70"/>
    <w:rsid w:val="00D714F3"/>
    <w:rsid w:val="00D71944"/>
    <w:rsid w:val="00D726AD"/>
    <w:rsid w:val="00D7292B"/>
    <w:rsid w:val="00D7294E"/>
    <w:rsid w:val="00D73570"/>
    <w:rsid w:val="00D73611"/>
    <w:rsid w:val="00D7471E"/>
    <w:rsid w:val="00D74A3D"/>
    <w:rsid w:val="00D7508A"/>
    <w:rsid w:val="00D7510A"/>
    <w:rsid w:val="00D75209"/>
    <w:rsid w:val="00D75822"/>
    <w:rsid w:val="00D75CB2"/>
    <w:rsid w:val="00D76EB4"/>
    <w:rsid w:val="00D76EEF"/>
    <w:rsid w:val="00D76F95"/>
    <w:rsid w:val="00D778A9"/>
    <w:rsid w:val="00D80547"/>
    <w:rsid w:val="00D82296"/>
    <w:rsid w:val="00D8277A"/>
    <w:rsid w:val="00D829BA"/>
    <w:rsid w:val="00D82A11"/>
    <w:rsid w:val="00D82EAE"/>
    <w:rsid w:val="00D82F48"/>
    <w:rsid w:val="00D8341A"/>
    <w:rsid w:val="00D8361B"/>
    <w:rsid w:val="00D83910"/>
    <w:rsid w:val="00D839CD"/>
    <w:rsid w:val="00D84653"/>
    <w:rsid w:val="00D84D56"/>
    <w:rsid w:val="00D8560A"/>
    <w:rsid w:val="00D86383"/>
    <w:rsid w:val="00D8684F"/>
    <w:rsid w:val="00D87BF1"/>
    <w:rsid w:val="00D87E75"/>
    <w:rsid w:val="00D900BC"/>
    <w:rsid w:val="00D90857"/>
    <w:rsid w:val="00D90EAF"/>
    <w:rsid w:val="00D9105C"/>
    <w:rsid w:val="00D911E6"/>
    <w:rsid w:val="00D91440"/>
    <w:rsid w:val="00D9186B"/>
    <w:rsid w:val="00D92559"/>
    <w:rsid w:val="00D92E24"/>
    <w:rsid w:val="00D92F8A"/>
    <w:rsid w:val="00D93463"/>
    <w:rsid w:val="00D941BC"/>
    <w:rsid w:val="00D942B0"/>
    <w:rsid w:val="00D9443B"/>
    <w:rsid w:val="00D949B1"/>
    <w:rsid w:val="00D949E4"/>
    <w:rsid w:val="00D95007"/>
    <w:rsid w:val="00D9500B"/>
    <w:rsid w:val="00D955A6"/>
    <w:rsid w:val="00D96272"/>
    <w:rsid w:val="00D9646F"/>
    <w:rsid w:val="00D9655A"/>
    <w:rsid w:val="00D96846"/>
    <w:rsid w:val="00D96A1B"/>
    <w:rsid w:val="00D97822"/>
    <w:rsid w:val="00DA039C"/>
    <w:rsid w:val="00DA0524"/>
    <w:rsid w:val="00DA0573"/>
    <w:rsid w:val="00DA08DB"/>
    <w:rsid w:val="00DA1103"/>
    <w:rsid w:val="00DA119F"/>
    <w:rsid w:val="00DA2831"/>
    <w:rsid w:val="00DA2841"/>
    <w:rsid w:val="00DA289B"/>
    <w:rsid w:val="00DA2FC3"/>
    <w:rsid w:val="00DA3174"/>
    <w:rsid w:val="00DA32DE"/>
    <w:rsid w:val="00DA3D6B"/>
    <w:rsid w:val="00DA40D2"/>
    <w:rsid w:val="00DA459C"/>
    <w:rsid w:val="00DA45DB"/>
    <w:rsid w:val="00DA4606"/>
    <w:rsid w:val="00DA4891"/>
    <w:rsid w:val="00DA6054"/>
    <w:rsid w:val="00DA62BC"/>
    <w:rsid w:val="00DA774E"/>
    <w:rsid w:val="00DB01CE"/>
    <w:rsid w:val="00DB035F"/>
    <w:rsid w:val="00DB0E57"/>
    <w:rsid w:val="00DB0EC9"/>
    <w:rsid w:val="00DB0F91"/>
    <w:rsid w:val="00DB1021"/>
    <w:rsid w:val="00DB1753"/>
    <w:rsid w:val="00DB179B"/>
    <w:rsid w:val="00DB1F8D"/>
    <w:rsid w:val="00DB369F"/>
    <w:rsid w:val="00DB37F2"/>
    <w:rsid w:val="00DB3900"/>
    <w:rsid w:val="00DB4144"/>
    <w:rsid w:val="00DB4933"/>
    <w:rsid w:val="00DB4A03"/>
    <w:rsid w:val="00DB5062"/>
    <w:rsid w:val="00DB5348"/>
    <w:rsid w:val="00DB5438"/>
    <w:rsid w:val="00DB6E7F"/>
    <w:rsid w:val="00DB6F56"/>
    <w:rsid w:val="00DB7C31"/>
    <w:rsid w:val="00DC093D"/>
    <w:rsid w:val="00DC0CAF"/>
    <w:rsid w:val="00DC0E48"/>
    <w:rsid w:val="00DC1A2B"/>
    <w:rsid w:val="00DC1A90"/>
    <w:rsid w:val="00DC1C54"/>
    <w:rsid w:val="00DC1E44"/>
    <w:rsid w:val="00DC272A"/>
    <w:rsid w:val="00DC3945"/>
    <w:rsid w:val="00DC4075"/>
    <w:rsid w:val="00DC5092"/>
    <w:rsid w:val="00DC56EA"/>
    <w:rsid w:val="00DC5823"/>
    <w:rsid w:val="00DC605B"/>
    <w:rsid w:val="00DC6369"/>
    <w:rsid w:val="00DC6530"/>
    <w:rsid w:val="00DC692C"/>
    <w:rsid w:val="00DC6F75"/>
    <w:rsid w:val="00DC7D28"/>
    <w:rsid w:val="00DD0683"/>
    <w:rsid w:val="00DD070B"/>
    <w:rsid w:val="00DD0A02"/>
    <w:rsid w:val="00DD0FB5"/>
    <w:rsid w:val="00DD186F"/>
    <w:rsid w:val="00DD1E16"/>
    <w:rsid w:val="00DD20C8"/>
    <w:rsid w:val="00DD26BA"/>
    <w:rsid w:val="00DD3073"/>
    <w:rsid w:val="00DD3079"/>
    <w:rsid w:val="00DD30C3"/>
    <w:rsid w:val="00DD3178"/>
    <w:rsid w:val="00DD31CF"/>
    <w:rsid w:val="00DD35A8"/>
    <w:rsid w:val="00DD3A5F"/>
    <w:rsid w:val="00DD3B29"/>
    <w:rsid w:val="00DD3E15"/>
    <w:rsid w:val="00DD509C"/>
    <w:rsid w:val="00DD5264"/>
    <w:rsid w:val="00DD5591"/>
    <w:rsid w:val="00DD5B44"/>
    <w:rsid w:val="00DD5D08"/>
    <w:rsid w:val="00DD5E11"/>
    <w:rsid w:val="00DD5E91"/>
    <w:rsid w:val="00DD7500"/>
    <w:rsid w:val="00DD7A67"/>
    <w:rsid w:val="00DD7BD5"/>
    <w:rsid w:val="00DE06D1"/>
    <w:rsid w:val="00DE226B"/>
    <w:rsid w:val="00DE271B"/>
    <w:rsid w:val="00DE3836"/>
    <w:rsid w:val="00DE3B28"/>
    <w:rsid w:val="00DE3FA1"/>
    <w:rsid w:val="00DE4A6C"/>
    <w:rsid w:val="00DE50FC"/>
    <w:rsid w:val="00DE6AB5"/>
    <w:rsid w:val="00DE6CB3"/>
    <w:rsid w:val="00DE6F6D"/>
    <w:rsid w:val="00DE77E7"/>
    <w:rsid w:val="00DF00F4"/>
    <w:rsid w:val="00DF03DA"/>
    <w:rsid w:val="00DF0BE6"/>
    <w:rsid w:val="00DF133D"/>
    <w:rsid w:val="00DF19B4"/>
    <w:rsid w:val="00DF277E"/>
    <w:rsid w:val="00DF27D6"/>
    <w:rsid w:val="00DF29CE"/>
    <w:rsid w:val="00DF2CB9"/>
    <w:rsid w:val="00DF2E71"/>
    <w:rsid w:val="00DF2F8A"/>
    <w:rsid w:val="00DF33B4"/>
    <w:rsid w:val="00DF3528"/>
    <w:rsid w:val="00DF3BD6"/>
    <w:rsid w:val="00DF3F31"/>
    <w:rsid w:val="00DF4090"/>
    <w:rsid w:val="00DF4C1B"/>
    <w:rsid w:val="00DF51D3"/>
    <w:rsid w:val="00DF52CE"/>
    <w:rsid w:val="00DF554C"/>
    <w:rsid w:val="00DF571D"/>
    <w:rsid w:val="00DF5E86"/>
    <w:rsid w:val="00DF6251"/>
    <w:rsid w:val="00DF673C"/>
    <w:rsid w:val="00DF6FF5"/>
    <w:rsid w:val="00DF7287"/>
    <w:rsid w:val="00DF75F9"/>
    <w:rsid w:val="00E0040E"/>
    <w:rsid w:val="00E00ABA"/>
    <w:rsid w:val="00E00C62"/>
    <w:rsid w:val="00E01705"/>
    <w:rsid w:val="00E0183F"/>
    <w:rsid w:val="00E0238A"/>
    <w:rsid w:val="00E02459"/>
    <w:rsid w:val="00E027FB"/>
    <w:rsid w:val="00E03382"/>
    <w:rsid w:val="00E03926"/>
    <w:rsid w:val="00E0464D"/>
    <w:rsid w:val="00E04DF1"/>
    <w:rsid w:val="00E04F66"/>
    <w:rsid w:val="00E04FB5"/>
    <w:rsid w:val="00E05083"/>
    <w:rsid w:val="00E05220"/>
    <w:rsid w:val="00E054EA"/>
    <w:rsid w:val="00E0579F"/>
    <w:rsid w:val="00E05DA7"/>
    <w:rsid w:val="00E05E70"/>
    <w:rsid w:val="00E064D8"/>
    <w:rsid w:val="00E069A0"/>
    <w:rsid w:val="00E06E7C"/>
    <w:rsid w:val="00E0766B"/>
    <w:rsid w:val="00E079D8"/>
    <w:rsid w:val="00E079E2"/>
    <w:rsid w:val="00E07EAF"/>
    <w:rsid w:val="00E100ED"/>
    <w:rsid w:val="00E10BFD"/>
    <w:rsid w:val="00E112FF"/>
    <w:rsid w:val="00E11385"/>
    <w:rsid w:val="00E11420"/>
    <w:rsid w:val="00E118ED"/>
    <w:rsid w:val="00E11F5D"/>
    <w:rsid w:val="00E124DB"/>
    <w:rsid w:val="00E13477"/>
    <w:rsid w:val="00E13C1D"/>
    <w:rsid w:val="00E14A40"/>
    <w:rsid w:val="00E14F88"/>
    <w:rsid w:val="00E151F5"/>
    <w:rsid w:val="00E15315"/>
    <w:rsid w:val="00E155D9"/>
    <w:rsid w:val="00E15F05"/>
    <w:rsid w:val="00E16148"/>
    <w:rsid w:val="00E168FD"/>
    <w:rsid w:val="00E202FC"/>
    <w:rsid w:val="00E20595"/>
    <w:rsid w:val="00E20786"/>
    <w:rsid w:val="00E213A2"/>
    <w:rsid w:val="00E21482"/>
    <w:rsid w:val="00E21F99"/>
    <w:rsid w:val="00E22AF0"/>
    <w:rsid w:val="00E22BDB"/>
    <w:rsid w:val="00E22E88"/>
    <w:rsid w:val="00E22ED3"/>
    <w:rsid w:val="00E2307F"/>
    <w:rsid w:val="00E230A0"/>
    <w:rsid w:val="00E23632"/>
    <w:rsid w:val="00E23FD4"/>
    <w:rsid w:val="00E240D9"/>
    <w:rsid w:val="00E2467E"/>
    <w:rsid w:val="00E25576"/>
    <w:rsid w:val="00E25D0B"/>
    <w:rsid w:val="00E25FE1"/>
    <w:rsid w:val="00E2602E"/>
    <w:rsid w:val="00E2621B"/>
    <w:rsid w:val="00E26467"/>
    <w:rsid w:val="00E26719"/>
    <w:rsid w:val="00E26720"/>
    <w:rsid w:val="00E26BAF"/>
    <w:rsid w:val="00E26F2C"/>
    <w:rsid w:val="00E27399"/>
    <w:rsid w:val="00E275E3"/>
    <w:rsid w:val="00E275F7"/>
    <w:rsid w:val="00E27615"/>
    <w:rsid w:val="00E27913"/>
    <w:rsid w:val="00E303A9"/>
    <w:rsid w:val="00E308CC"/>
    <w:rsid w:val="00E308F1"/>
    <w:rsid w:val="00E3150C"/>
    <w:rsid w:val="00E3172E"/>
    <w:rsid w:val="00E31ACC"/>
    <w:rsid w:val="00E31C97"/>
    <w:rsid w:val="00E324CE"/>
    <w:rsid w:val="00E32591"/>
    <w:rsid w:val="00E3388A"/>
    <w:rsid w:val="00E33C0B"/>
    <w:rsid w:val="00E34290"/>
    <w:rsid w:val="00E348BB"/>
    <w:rsid w:val="00E3500D"/>
    <w:rsid w:val="00E353AD"/>
    <w:rsid w:val="00E35E57"/>
    <w:rsid w:val="00E364E5"/>
    <w:rsid w:val="00E36741"/>
    <w:rsid w:val="00E36A24"/>
    <w:rsid w:val="00E36AA1"/>
    <w:rsid w:val="00E37159"/>
    <w:rsid w:val="00E3781B"/>
    <w:rsid w:val="00E37883"/>
    <w:rsid w:val="00E379F7"/>
    <w:rsid w:val="00E37BE8"/>
    <w:rsid w:val="00E37E44"/>
    <w:rsid w:val="00E37FB9"/>
    <w:rsid w:val="00E417BA"/>
    <w:rsid w:val="00E41939"/>
    <w:rsid w:val="00E42233"/>
    <w:rsid w:val="00E424E4"/>
    <w:rsid w:val="00E428DB"/>
    <w:rsid w:val="00E43061"/>
    <w:rsid w:val="00E43701"/>
    <w:rsid w:val="00E43BF8"/>
    <w:rsid w:val="00E4421E"/>
    <w:rsid w:val="00E444D0"/>
    <w:rsid w:val="00E44806"/>
    <w:rsid w:val="00E44A86"/>
    <w:rsid w:val="00E44C22"/>
    <w:rsid w:val="00E45024"/>
    <w:rsid w:val="00E4507C"/>
    <w:rsid w:val="00E45090"/>
    <w:rsid w:val="00E45833"/>
    <w:rsid w:val="00E45A33"/>
    <w:rsid w:val="00E45EE2"/>
    <w:rsid w:val="00E461C1"/>
    <w:rsid w:val="00E46CCC"/>
    <w:rsid w:val="00E470C4"/>
    <w:rsid w:val="00E4736D"/>
    <w:rsid w:val="00E4744C"/>
    <w:rsid w:val="00E47651"/>
    <w:rsid w:val="00E47972"/>
    <w:rsid w:val="00E47B57"/>
    <w:rsid w:val="00E47B62"/>
    <w:rsid w:val="00E47E60"/>
    <w:rsid w:val="00E47F44"/>
    <w:rsid w:val="00E50051"/>
    <w:rsid w:val="00E50A5D"/>
    <w:rsid w:val="00E50B22"/>
    <w:rsid w:val="00E50DAB"/>
    <w:rsid w:val="00E50F67"/>
    <w:rsid w:val="00E5144A"/>
    <w:rsid w:val="00E51A1E"/>
    <w:rsid w:val="00E5254D"/>
    <w:rsid w:val="00E5258C"/>
    <w:rsid w:val="00E537AB"/>
    <w:rsid w:val="00E54736"/>
    <w:rsid w:val="00E54B48"/>
    <w:rsid w:val="00E54F4C"/>
    <w:rsid w:val="00E563B5"/>
    <w:rsid w:val="00E56BA7"/>
    <w:rsid w:val="00E56D68"/>
    <w:rsid w:val="00E57DC3"/>
    <w:rsid w:val="00E60127"/>
    <w:rsid w:val="00E60704"/>
    <w:rsid w:val="00E60983"/>
    <w:rsid w:val="00E60AA9"/>
    <w:rsid w:val="00E60DA5"/>
    <w:rsid w:val="00E61A61"/>
    <w:rsid w:val="00E61EC5"/>
    <w:rsid w:val="00E624E7"/>
    <w:rsid w:val="00E6266E"/>
    <w:rsid w:val="00E62FF8"/>
    <w:rsid w:val="00E63167"/>
    <w:rsid w:val="00E63963"/>
    <w:rsid w:val="00E644CB"/>
    <w:rsid w:val="00E64588"/>
    <w:rsid w:val="00E6484E"/>
    <w:rsid w:val="00E64BA3"/>
    <w:rsid w:val="00E64D94"/>
    <w:rsid w:val="00E64D95"/>
    <w:rsid w:val="00E64EC9"/>
    <w:rsid w:val="00E6584F"/>
    <w:rsid w:val="00E65F6A"/>
    <w:rsid w:val="00E66294"/>
    <w:rsid w:val="00E664AA"/>
    <w:rsid w:val="00E66982"/>
    <w:rsid w:val="00E66AA7"/>
    <w:rsid w:val="00E66C13"/>
    <w:rsid w:val="00E66C7C"/>
    <w:rsid w:val="00E66ECB"/>
    <w:rsid w:val="00E66F1C"/>
    <w:rsid w:val="00E670BD"/>
    <w:rsid w:val="00E67640"/>
    <w:rsid w:val="00E67BDE"/>
    <w:rsid w:val="00E67DCB"/>
    <w:rsid w:val="00E67FBE"/>
    <w:rsid w:val="00E707A2"/>
    <w:rsid w:val="00E70B78"/>
    <w:rsid w:val="00E70C23"/>
    <w:rsid w:val="00E70F8C"/>
    <w:rsid w:val="00E71164"/>
    <w:rsid w:val="00E718BF"/>
    <w:rsid w:val="00E729B6"/>
    <w:rsid w:val="00E72BB7"/>
    <w:rsid w:val="00E72C79"/>
    <w:rsid w:val="00E72D7F"/>
    <w:rsid w:val="00E72E5D"/>
    <w:rsid w:val="00E73158"/>
    <w:rsid w:val="00E739D7"/>
    <w:rsid w:val="00E75066"/>
    <w:rsid w:val="00E75A70"/>
    <w:rsid w:val="00E75D97"/>
    <w:rsid w:val="00E75F22"/>
    <w:rsid w:val="00E76684"/>
    <w:rsid w:val="00E76C03"/>
    <w:rsid w:val="00E77974"/>
    <w:rsid w:val="00E779A7"/>
    <w:rsid w:val="00E8024F"/>
    <w:rsid w:val="00E80589"/>
    <w:rsid w:val="00E80BFF"/>
    <w:rsid w:val="00E80CB1"/>
    <w:rsid w:val="00E81463"/>
    <w:rsid w:val="00E814B1"/>
    <w:rsid w:val="00E81978"/>
    <w:rsid w:val="00E81B49"/>
    <w:rsid w:val="00E8214A"/>
    <w:rsid w:val="00E827F9"/>
    <w:rsid w:val="00E829A8"/>
    <w:rsid w:val="00E829AA"/>
    <w:rsid w:val="00E832F5"/>
    <w:rsid w:val="00E838DB"/>
    <w:rsid w:val="00E8465A"/>
    <w:rsid w:val="00E857A1"/>
    <w:rsid w:val="00E85B44"/>
    <w:rsid w:val="00E8617B"/>
    <w:rsid w:val="00E86CAF"/>
    <w:rsid w:val="00E8731C"/>
    <w:rsid w:val="00E878A2"/>
    <w:rsid w:val="00E90672"/>
    <w:rsid w:val="00E9144A"/>
    <w:rsid w:val="00E914C2"/>
    <w:rsid w:val="00E91970"/>
    <w:rsid w:val="00E91B89"/>
    <w:rsid w:val="00E91E09"/>
    <w:rsid w:val="00E92AC5"/>
    <w:rsid w:val="00E9342D"/>
    <w:rsid w:val="00E93890"/>
    <w:rsid w:val="00E939A8"/>
    <w:rsid w:val="00E93D5B"/>
    <w:rsid w:val="00E9406E"/>
    <w:rsid w:val="00E94605"/>
    <w:rsid w:val="00E953BE"/>
    <w:rsid w:val="00E96180"/>
    <w:rsid w:val="00E9642B"/>
    <w:rsid w:val="00E96825"/>
    <w:rsid w:val="00E96D39"/>
    <w:rsid w:val="00E97892"/>
    <w:rsid w:val="00E97FB5"/>
    <w:rsid w:val="00EA019E"/>
    <w:rsid w:val="00EA0E19"/>
    <w:rsid w:val="00EA2276"/>
    <w:rsid w:val="00EA22F9"/>
    <w:rsid w:val="00EA25A3"/>
    <w:rsid w:val="00EA2D11"/>
    <w:rsid w:val="00EA3185"/>
    <w:rsid w:val="00EA3B3C"/>
    <w:rsid w:val="00EA3FCB"/>
    <w:rsid w:val="00EA4114"/>
    <w:rsid w:val="00EA41D6"/>
    <w:rsid w:val="00EA4233"/>
    <w:rsid w:val="00EA4376"/>
    <w:rsid w:val="00EA438F"/>
    <w:rsid w:val="00EA50D8"/>
    <w:rsid w:val="00EA54A6"/>
    <w:rsid w:val="00EA5875"/>
    <w:rsid w:val="00EA5D74"/>
    <w:rsid w:val="00EA608F"/>
    <w:rsid w:val="00EA6103"/>
    <w:rsid w:val="00EA6A4A"/>
    <w:rsid w:val="00EA7ED7"/>
    <w:rsid w:val="00EB0A5C"/>
    <w:rsid w:val="00EB0AC3"/>
    <w:rsid w:val="00EB1143"/>
    <w:rsid w:val="00EB137F"/>
    <w:rsid w:val="00EB16DD"/>
    <w:rsid w:val="00EB17A4"/>
    <w:rsid w:val="00EB2D9F"/>
    <w:rsid w:val="00EB3193"/>
    <w:rsid w:val="00EB3963"/>
    <w:rsid w:val="00EB3D2E"/>
    <w:rsid w:val="00EB3F11"/>
    <w:rsid w:val="00EB471C"/>
    <w:rsid w:val="00EB4F7E"/>
    <w:rsid w:val="00EB5CF4"/>
    <w:rsid w:val="00EB612D"/>
    <w:rsid w:val="00EB6739"/>
    <w:rsid w:val="00EB79D0"/>
    <w:rsid w:val="00EB7C43"/>
    <w:rsid w:val="00EB7F4D"/>
    <w:rsid w:val="00EC0A1A"/>
    <w:rsid w:val="00EC0EAD"/>
    <w:rsid w:val="00EC14D8"/>
    <w:rsid w:val="00EC1826"/>
    <w:rsid w:val="00EC187F"/>
    <w:rsid w:val="00EC22D2"/>
    <w:rsid w:val="00EC2E5F"/>
    <w:rsid w:val="00EC3A70"/>
    <w:rsid w:val="00EC3E3A"/>
    <w:rsid w:val="00EC44B5"/>
    <w:rsid w:val="00EC4A42"/>
    <w:rsid w:val="00EC4E2D"/>
    <w:rsid w:val="00EC550A"/>
    <w:rsid w:val="00EC6101"/>
    <w:rsid w:val="00EC6809"/>
    <w:rsid w:val="00EC6ED7"/>
    <w:rsid w:val="00EC7091"/>
    <w:rsid w:val="00EC79C0"/>
    <w:rsid w:val="00EC7BAF"/>
    <w:rsid w:val="00EC7BBE"/>
    <w:rsid w:val="00EC7BC3"/>
    <w:rsid w:val="00ED0176"/>
    <w:rsid w:val="00ED0347"/>
    <w:rsid w:val="00ED036A"/>
    <w:rsid w:val="00ED03A6"/>
    <w:rsid w:val="00ED03BE"/>
    <w:rsid w:val="00ED062B"/>
    <w:rsid w:val="00ED0824"/>
    <w:rsid w:val="00ED0940"/>
    <w:rsid w:val="00ED0F7B"/>
    <w:rsid w:val="00ED13D8"/>
    <w:rsid w:val="00ED17B2"/>
    <w:rsid w:val="00ED1848"/>
    <w:rsid w:val="00ED18BC"/>
    <w:rsid w:val="00ED1B6A"/>
    <w:rsid w:val="00ED2B31"/>
    <w:rsid w:val="00ED2C72"/>
    <w:rsid w:val="00ED39D8"/>
    <w:rsid w:val="00ED3A85"/>
    <w:rsid w:val="00ED3BE7"/>
    <w:rsid w:val="00ED40C1"/>
    <w:rsid w:val="00ED40FA"/>
    <w:rsid w:val="00ED45A6"/>
    <w:rsid w:val="00ED4A29"/>
    <w:rsid w:val="00ED4B7D"/>
    <w:rsid w:val="00ED4FC2"/>
    <w:rsid w:val="00ED57AB"/>
    <w:rsid w:val="00ED59EF"/>
    <w:rsid w:val="00ED5FD2"/>
    <w:rsid w:val="00ED5FD7"/>
    <w:rsid w:val="00ED64B0"/>
    <w:rsid w:val="00ED6C38"/>
    <w:rsid w:val="00ED6EFD"/>
    <w:rsid w:val="00ED6F56"/>
    <w:rsid w:val="00ED708C"/>
    <w:rsid w:val="00ED7A87"/>
    <w:rsid w:val="00EE0773"/>
    <w:rsid w:val="00EE0B9E"/>
    <w:rsid w:val="00EE19B3"/>
    <w:rsid w:val="00EE1D78"/>
    <w:rsid w:val="00EE259B"/>
    <w:rsid w:val="00EE287B"/>
    <w:rsid w:val="00EE2ABC"/>
    <w:rsid w:val="00EE2AFA"/>
    <w:rsid w:val="00EE3789"/>
    <w:rsid w:val="00EE3809"/>
    <w:rsid w:val="00EE39A6"/>
    <w:rsid w:val="00EE3EFC"/>
    <w:rsid w:val="00EE4036"/>
    <w:rsid w:val="00EE41CB"/>
    <w:rsid w:val="00EE4263"/>
    <w:rsid w:val="00EE4942"/>
    <w:rsid w:val="00EE4CC3"/>
    <w:rsid w:val="00EE5A60"/>
    <w:rsid w:val="00EE69AC"/>
    <w:rsid w:val="00EE6C02"/>
    <w:rsid w:val="00EE7EDB"/>
    <w:rsid w:val="00EF04A0"/>
    <w:rsid w:val="00EF05A6"/>
    <w:rsid w:val="00EF12EA"/>
    <w:rsid w:val="00EF28F7"/>
    <w:rsid w:val="00EF2986"/>
    <w:rsid w:val="00EF2DB3"/>
    <w:rsid w:val="00EF33AC"/>
    <w:rsid w:val="00EF354F"/>
    <w:rsid w:val="00EF43A5"/>
    <w:rsid w:val="00EF47F7"/>
    <w:rsid w:val="00EF48A1"/>
    <w:rsid w:val="00EF49D2"/>
    <w:rsid w:val="00EF563F"/>
    <w:rsid w:val="00EF5AB6"/>
    <w:rsid w:val="00EF6B84"/>
    <w:rsid w:val="00EF6D2C"/>
    <w:rsid w:val="00EF7753"/>
    <w:rsid w:val="00EF78DE"/>
    <w:rsid w:val="00EF7C7B"/>
    <w:rsid w:val="00F006B5"/>
    <w:rsid w:val="00F0075F"/>
    <w:rsid w:val="00F015B8"/>
    <w:rsid w:val="00F01607"/>
    <w:rsid w:val="00F01650"/>
    <w:rsid w:val="00F01968"/>
    <w:rsid w:val="00F0198C"/>
    <w:rsid w:val="00F01EC7"/>
    <w:rsid w:val="00F02159"/>
    <w:rsid w:val="00F021EF"/>
    <w:rsid w:val="00F022A6"/>
    <w:rsid w:val="00F0238E"/>
    <w:rsid w:val="00F02C5C"/>
    <w:rsid w:val="00F02E9D"/>
    <w:rsid w:val="00F0357D"/>
    <w:rsid w:val="00F04945"/>
    <w:rsid w:val="00F049FA"/>
    <w:rsid w:val="00F04CD4"/>
    <w:rsid w:val="00F057A9"/>
    <w:rsid w:val="00F05864"/>
    <w:rsid w:val="00F059D8"/>
    <w:rsid w:val="00F05A6F"/>
    <w:rsid w:val="00F060AD"/>
    <w:rsid w:val="00F0616B"/>
    <w:rsid w:val="00F06275"/>
    <w:rsid w:val="00F0654C"/>
    <w:rsid w:val="00F06BB4"/>
    <w:rsid w:val="00F06E60"/>
    <w:rsid w:val="00F07134"/>
    <w:rsid w:val="00F074F0"/>
    <w:rsid w:val="00F07D07"/>
    <w:rsid w:val="00F101A1"/>
    <w:rsid w:val="00F10342"/>
    <w:rsid w:val="00F105B0"/>
    <w:rsid w:val="00F1102C"/>
    <w:rsid w:val="00F126C9"/>
    <w:rsid w:val="00F1293C"/>
    <w:rsid w:val="00F13716"/>
    <w:rsid w:val="00F13863"/>
    <w:rsid w:val="00F13992"/>
    <w:rsid w:val="00F13B58"/>
    <w:rsid w:val="00F13F6F"/>
    <w:rsid w:val="00F14290"/>
    <w:rsid w:val="00F14556"/>
    <w:rsid w:val="00F150CA"/>
    <w:rsid w:val="00F15F35"/>
    <w:rsid w:val="00F165F9"/>
    <w:rsid w:val="00F166B5"/>
    <w:rsid w:val="00F1672A"/>
    <w:rsid w:val="00F16ABB"/>
    <w:rsid w:val="00F16C1F"/>
    <w:rsid w:val="00F16DF8"/>
    <w:rsid w:val="00F17372"/>
    <w:rsid w:val="00F17BBC"/>
    <w:rsid w:val="00F20039"/>
    <w:rsid w:val="00F2045E"/>
    <w:rsid w:val="00F208B9"/>
    <w:rsid w:val="00F21001"/>
    <w:rsid w:val="00F21958"/>
    <w:rsid w:val="00F21AF2"/>
    <w:rsid w:val="00F21B31"/>
    <w:rsid w:val="00F22301"/>
    <w:rsid w:val="00F22FD2"/>
    <w:rsid w:val="00F2369C"/>
    <w:rsid w:val="00F2433A"/>
    <w:rsid w:val="00F24E82"/>
    <w:rsid w:val="00F2513A"/>
    <w:rsid w:val="00F25209"/>
    <w:rsid w:val="00F25E47"/>
    <w:rsid w:val="00F26C3D"/>
    <w:rsid w:val="00F2772C"/>
    <w:rsid w:val="00F27CE4"/>
    <w:rsid w:val="00F306E7"/>
    <w:rsid w:val="00F31967"/>
    <w:rsid w:val="00F31A9E"/>
    <w:rsid w:val="00F31C71"/>
    <w:rsid w:val="00F3272E"/>
    <w:rsid w:val="00F32D6C"/>
    <w:rsid w:val="00F3358F"/>
    <w:rsid w:val="00F33EA8"/>
    <w:rsid w:val="00F35C41"/>
    <w:rsid w:val="00F36A5E"/>
    <w:rsid w:val="00F36A65"/>
    <w:rsid w:val="00F36B07"/>
    <w:rsid w:val="00F37368"/>
    <w:rsid w:val="00F37A27"/>
    <w:rsid w:val="00F37CD1"/>
    <w:rsid w:val="00F37DEE"/>
    <w:rsid w:val="00F40B5A"/>
    <w:rsid w:val="00F40BBA"/>
    <w:rsid w:val="00F41884"/>
    <w:rsid w:val="00F41CE9"/>
    <w:rsid w:val="00F42ED4"/>
    <w:rsid w:val="00F43C51"/>
    <w:rsid w:val="00F43CBE"/>
    <w:rsid w:val="00F4416A"/>
    <w:rsid w:val="00F443E4"/>
    <w:rsid w:val="00F44640"/>
    <w:rsid w:val="00F448D8"/>
    <w:rsid w:val="00F44AAC"/>
    <w:rsid w:val="00F451ED"/>
    <w:rsid w:val="00F45802"/>
    <w:rsid w:val="00F4635A"/>
    <w:rsid w:val="00F46909"/>
    <w:rsid w:val="00F469B7"/>
    <w:rsid w:val="00F46FC4"/>
    <w:rsid w:val="00F47C3C"/>
    <w:rsid w:val="00F47E09"/>
    <w:rsid w:val="00F50C4F"/>
    <w:rsid w:val="00F50D37"/>
    <w:rsid w:val="00F51305"/>
    <w:rsid w:val="00F5134F"/>
    <w:rsid w:val="00F52315"/>
    <w:rsid w:val="00F52614"/>
    <w:rsid w:val="00F529F4"/>
    <w:rsid w:val="00F52BFB"/>
    <w:rsid w:val="00F535CC"/>
    <w:rsid w:val="00F53A68"/>
    <w:rsid w:val="00F53B34"/>
    <w:rsid w:val="00F54F06"/>
    <w:rsid w:val="00F551C9"/>
    <w:rsid w:val="00F553A4"/>
    <w:rsid w:val="00F55E4D"/>
    <w:rsid w:val="00F5623F"/>
    <w:rsid w:val="00F5633C"/>
    <w:rsid w:val="00F565BF"/>
    <w:rsid w:val="00F56AF2"/>
    <w:rsid w:val="00F56F21"/>
    <w:rsid w:val="00F56F53"/>
    <w:rsid w:val="00F5738A"/>
    <w:rsid w:val="00F576F7"/>
    <w:rsid w:val="00F5788B"/>
    <w:rsid w:val="00F57D04"/>
    <w:rsid w:val="00F609E5"/>
    <w:rsid w:val="00F60ADE"/>
    <w:rsid w:val="00F610AC"/>
    <w:rsid w:val="00F611A5"/>
    <w:rsid w:val="00F611E0"/>
    <w:rsid w:val="00F61988"/>
    <w:rsid w:val="00F62AB9"/>
    <w:rsid w:val="00F6311F"/>
    <w:rsid w:val="00F63293"/>
    <w:rsid w:val="00F63ABF"/>
    <w:rsid w:val="00F64128"/>
    <w:rsid w:val="00F6435D"/>
    <w:rsid w:val="00F64364"/>
    <w:rsid w:val="00F64C4A"/>
    <w:rsid w:val="00F6541F"/>
    <w:rsid w:val="00F658D4"/>
    <w:rsid w:val="00F65B34"/>
    <w:rsid w:val="00F65B50"/>
    <w:rsid w:val="00F66A27"/>
    <w:rsid w:val="00F66A3B"/>
    <w:rsid w:val="00F66E12"/>
    <w:rsid w:val="00F6737A"/>
    <w:rsid w:val="00F6792F"/>
    <w:rsid w:val="00F6795C"/>
    <w:rsid w:val="00F67DAF"/>
    <w:rsid w:val="00F703A5"/>
    <w:rsid w:val="00F71157"/>
    <w:rsid w:val="00F713B0"/>
    <w:rsid w:val="00F71B09"/>
    <w:rsid w:val="00F71DD8"/>
    <w:rsid w:val="00F71E52"/>
    <w:rsid w:val="00F72449"/>
    <w:rsid w:val="00F737CB"/>
    <w:rsid w:val="00F739EF"/>
    <w:rsid w:val="00F73D97"/>
    <w:rsid w:val="00F73DC1"/>
    <w:rsid w:val="00F74328"/>
    <w:rsid w:val="00F7506F"/>
    <w:rsid w:val="00F75393"/>
    <w:rsid w:val="00F757CC"/>
    <w:rsid w:val="00F758A1"/>
    <w:rsid w:val="00F758D5"/>
    <w:rsid w:val="00F75E12"/>
    <w:rsid w:val="00F760C7"/>
    <w:rsid w:val="00F7658E"/>
    <w:rsid w:val="00F76968"/>
    <w:rsid w:val="00F76992"/>
    <w:rsid w:val="00F76CAE"/>
    <w:rsid w:val="00F76D01"/>
    <w:rsid w:val="00F76EEA"/>
    <w:rsid w:val="00F7727A"/>
    <w:rsid w:val="00F779A5"/>
    <w:rsid w:val="00F805A0"/>
    <w:rsid w:val="00F80DB0"/>
    <w:rsid w:val="00F81340"/>
    <w:rsid w:val="00F8147C"/>
    <w:rsid w:val="00F81886"/>
    <w:rsid w:val="00F818B8"/>
    <w:rsid w:val="00F81EFB"/>
    <w:rsid w:val="00F8239E"/>
    <w:rsid w:val="00F82A4C"/>
    <w:rsid w:val="00F83481"/>
    <w:rsid w:val="00F83617"/>
    <w:rsid w:val="00F83B3D"/>
    <w:rsid w:val="00F83EDF"/>
    <w:rsid w:val="00F83F97"/>
    <w:rsid w:val="00F84416"/>
    <w:rsid w:val="00F84671"/>
    <w:rsid w:val="00F85603"/>
    <w:rsid w:val="00F85D68"/>
    <w:rsid w:val="00F85F74"/>
    <w:rsid w:val="00F86229"/>
    <w:rsid w:val="00F87AAC"/>
    <w:rsid w:val="00F900FB"/>
    <w:rsid w:val="00F9016E"/>
    <w:rsid w:val="00F90690"/>
    <w:rsid w:val="00F9085C"/>
    <w:rsid w:val="00F90D39"/>
    <w:rsid w:val="00F90DBB"/>
    <w:rsid w:val="00F90E5C"/>
    <w:rsid w:val="00F90FD8"/>
    <w:rsid w:val="00F910D4"/>
    <w:rsid w:val="00F9199D"/>
    <w:rsid w:val="00F92098"/>
    <w:rsid w:val="00F920A8"/>
    <w:rsid w:val="00F921DB"/>
    <w:rsid w:val="00F9333B"/>
    <w:rsid w:val="00F93528"/>
    <w:rsid w:val="00F93716"/>
    <w:rsid w:val="00F938D5"/>
    <w:rsid w:val="00F93909"/>
    <w:rsid w:val="00F93C46"/>
    <w:rsid w:val="00F93C50"/>
    <w:rsid w:val="00F93D0F"/>
    <w:rsid w:val="00F9477A"/>
    <w:rsid w:val="00F948F9"/>
    <w:rsid w:val="00F94A05"/>
    <w:rsid w:val="00F95027"/>
    <w:rsid w:val="00F9577F"/>
    <w:rsid w:val="00F96047"/>
    <w:rsid w:val="00F96464"/>
    <w:rsid w:val="00F96AC9"/>
    <w:rsid w:val="00F97155"/>
    <w:rsid w:val="00F97240"/>
    <w:rsid w:val="00F9789A"/>
    <w:rsid w:val="00F97DE1"/>
    <w:rsid w:val="00F97F0C"/>
    <w:rsid w:val="00FA0098"/>
    <w:rsid w:val="00FA0954"/>
    <w:rsid w:val="00FA09D7"/>
    <w:rsid w:val="00FA0E1D"/>
    <w:rsid w:val="00FA0FCD"/>
    <w:rsid w:val="00FA100F"/>
    <w:rsid w:val="00FA12B8"/>
    <w:rsid w:val="00FA1662"/>
    <w:rsid w:val="00FA168C"/>
    <w:rsid w:val="00FA16FB"/>
    <w:rsid w:val="00FA1C79"/>
    <w:rsid w:val="00FA1FA5"/>
    <w:rsid w:val="00FA1FE2"/>
    <w:rsid w:val="00FA221A"/>
    <w:rsid w:val="00FA2D87"/>
    <w:rsid w:val="00FA2EA7"/>
    <w:rsid w:val="00FA37FC"/>
    <w:rsid w:val="00FA3909"/>
    <w:rsid w:val="00FA3956"/>
    <w:rsid w:val="00FA3B89"/>
    <w:rsid w:val="00FA4DF5"/>
    <w:rsid w:val="00FA51F7"/>
    <w:rsid w:val="00FA5800"/>
    <w:rsid w:val="00FA5EC0"/>
    <w:rsid w:val="00FA5FDC"/>
    <w:rsid w:val="00FA609E"/>
    <w:rsid w:val="00FA6106"/>
    <w:rsid w:val="00FA626E"/>
    <w:rsid w:val="00FA68BE"/>
    <w:rsid w:val="00FA68C6"/>
    <w:rsid w:val="00FA700D"/>
    <w:rsid w:val="00FA739B"/>
    <w:rsid w:val="00FA7E8D"/>
    <w:rsid w:val="00FB061D"/>
    <w:rsid w:val="00FB06A9"/>
    <w:rsid w:val="00FB06CF"/>
    <w:rsid w:val="00FB0A6F"/>
    <w:rsid w:val="00FB189E"/>
    <w:rsid w:val="00FB1C97"/>
    <w:rsid w:val="00FB2207"/>
    <w:rsid w:val="00FB23A4"/>
    <w:rsid w:val="00FB2BD1"/>
    <w:rsid w:val="00FB30C9"/>
    <w:rsid w:val="00FB354E"/>
    <w:rsid w:val="00FB3E5A"/>
    <w:rsid w:val="00FB603F"/>
    <w:rsid w:val="00FB6778"/>
    <w:rsid w:val="00FB69E9"/>
    <w:rsid w:val="00FB6A48"/>
    <w:rsid w:val="00FB6F7D"/>
    <w:rsid w:val="00FB7422"/>
    <w:rsid w:val="00FB7557"/>
    <w:rsid w:val="00FB77E7"/>
    <w:rsid w:val="00FB7820"/>
    <w:rsid w:val="00FC010F"/>
    <w:rsid w:val="00FC0BD1"/>
    <w:rsid w:val="00FC0CCD"/>
    <w:rsid w:val="00FC1847"/>
    <w:rsid w:val="00FC19F0"/>
    <w:rsid w:val="00FC33F4"/>
    <w:rsid w:val="00FC3C20"/>
    <w:rsid w:val="00FC4641"/>
    <w:rsid w:val="00FC48A5"/>
    <w:rsid w:val="00FC4955"/>
    <w:rsid w:val="00FC4B08"/>
    <w:rsid w:val="00FC4C50"/>
    <w:rsid w:val="00FC5769"/>
    <w:rsid w:val="00FC58DA"/>
    <w:rsid w:val="00FC64A7"/>
    <w:rsid w:val="00FC6674"/>
    <w:rsid w:val="00FC68CA"/>
    <w:rsid w:val="00FC68CB"/>
    <w:rsid w:val="00FC6CAC"/>
    <w:rsid w:val="00FC6E33"/>
    <w:rsid w:val="00FC7027"/>
    <w:rsid w:val="00FC7553"/>
    <w:rsid w:val="00FC7AD6"/>
    <w:rsid w:val="00FC7CB7"/>
    <w:rsid w:val="00FD0652"/>
    <w:rsid w:val="00FD073D"/>
    <w:rsid w:val="00FD0EFD"/>
    <w:rsid w:val="00FD1395"/>
    <w:rsid w:val="00FD1667"/>
    <w:rsid w:val="00FD194A"/>
    <w:rsid w:val="00FD32C7"/>
    <w:rsid w:val="00FD3526"/>
    <w:rsid w:val="00FD35E8"/>
    <w:rsid w:val="00FD3981"/>
    <w:rsid w:val="00FD451E"/>
    <w:rsid w:val="00FD470F"/>
    <w:rsid w:val="00FD4ECD"/>
    <w:rsid w:val="00FD565B"/>
    <w:rsid w:val="00FD56AE"/>
    <w:rsid w:val="00FD571B"/>
    <w:rsid w:val="00FD5902"/>
    <w:rsid w:val="00FD594F"/>
    <w:rsid w:val="00FD59CF"/>
    <w:rsid w:val="00FD6592"/>
    <w:rsid w:val="00FD6FC2"/>
    <w:rsid w:val="00FD7522"/>
    <w:rsid w:val="00FD77A8"/>
    <w:rsid w:val="00FD7B12"/>
    <w:rsid w:val="00FD7B67"/>
    <w:rsid w:val="00FD7BFE"/>
    <w:rsid w:val="00FD7C78"/>
    <w:rsid w:val="00FE06C5"/>
    <w:rsid w:val="00FE09A8"/>
    <w:rsid w:val="00FE0BA2"/>
    <w:rsid w:val="00FE1774"/>
    <w:rsid w:val="00FE1969"/>
    <w:rsid w:val="00FE1DF1"/>
    <w:rsid w:val="00FE247B"/>
    <w:rsid w:val="00FE27E9"/>
    <w:rsid w:val="00FE2BE7"/>
    <w:rsid w:val="00FE2CF1"/>
    <w:rsid w:val="00FE2FC0"/>
    <w:rsid w:val="00FE315A"/>
    <w:rsid w:val="00FE33A0"/>
    <w:rsid w:val="00FE37EA"/>
    <w:rsid w:val="00FE478B"/>
    <w:rsid w:val="00FE4D9A"/>
    <w:rsid w:val="00FE4F6E"/>
    <w:rsid w:val="00FE5235"/>
    <w:rsid w:val="00FE5631"/>
    <w:rsid w:val="00FE59CB"/>
    <w:rsid w:val="00FE5B22"/>
    <w:rsid w:val="00FE5CEE"/>
    <w:rsid w:val="00FE5FBD"/>
    <w:rsid w:val="00FE65E9"/>
    <w:rsid w:val="00FE6A4A"/>
    <w:rsid w:val="00FE7158"/>
    <w:rsid w:val="00FE7242"/>
    <w:rsid w:val="00FE76EB"/>
    <w:rsid w:val="00FE7CE6"/>
    <w:rsid w:val="00FF0072"/>
    <w:rsid w:val="00FF040C"/>
    <w:rsid w:val="00FF051C"/>
    <w:rsid w:val="00FF1325"/>
    <w:rsid w:val="00FF1855"/>
    <w:rsid w:val="00FF1D3E"/>
    <w:rsid w:val="00FF1EF1"/>
    <w:rsid w:val="00FF2DD8"/>
    <w:rsid w:val="00FF30F5"/>
    <w:rsid w:val="00FF367B"/>
    <w:rsid w:val="00FF3978"/>
    <w:rsid w:val="00FF40AF"/>
    <w:rsid w:val="00FF41CD"/>
    <w:rsid w:val="00FF45F8"/>
    <w:rsid w:val="00FF4C84"/>
    <w:rsid w:val="00FF4D01"/>
    <w:rsid w:val="00FF4D58"/>
    <w:rsid w:val="00FF4F68"/>
    <w:rsid w:val="00FF5179"/>
    <w:rsid w:val="00FF52D1"/>
    <w:rsid w:val="00FF5E74"/>
    <w:rsid w:val="00FF619D"/>
    <w:rsid w:val="00FF65BF"/>
    <w:rsid w:val="00FF6A18"/>
    <w:rsid w:val="00FF73A7"/>
    <w:rsid w:val="00FF77CC"/>
    <w:rsid w:val="00FF7D7B"/>
    <w:rsid w:val="0190C7C4"/>
    <w:rsid w:val="02390957"/>
    <w:rsid w:val="0266BE73"/>
    <w:rsid w:val="0297B645"/>
    <w:rsid w:val="02A24182"/>
    <w:rsid w:val="02B5F3EB"/>
    <w:rsid w:val="02C9CEED"/>
    <w:rsid w:val="02EFC512"/>
    <w:rsid w:val="02FFF7C3"/>
    <w:rsid w:val="030C0F22"/>
    <w:rsid w:val="03865BFF"/>
    <w:rsid w:val="0406CE14"/>
    <w:rsid w:val="0451E341"/>
    <w:rsid w:val="04757F64"/>
    <w:rsid w:val="0493B590"/>
    <w:rsid w:val="058734E8"/>
    <w:rsid w:val="05CD87C6"/>
    <w:rsid w:val="06331AC2"/>
    <w:rsid w:val="0646DA23"/>
    <w:rsid w:val="06649E1B"/>
    <w:rsid w:val="068E6382"/>
    <w:rsid w:val="06AF74F0"/>
    <w:rsid w:val="06C845BD"/>
    <w:rsid w:val="06F7E450"/>
    <w:rsid w:val="0709BBED"/>
    <w:rsid w:val="0736E5F7"/>
    <w:rsid w:val="07F82CB1"/>
    <w:rsid w:val="07F8A8A2"/>
    <w:rsid w:val="0809AB1E"/>
    <w:rsid w:val="08589DBE"/>
    <w:rsid w:val="08F6441B"/>
    <w:rsid w:val="09052888"/>
    <w:rsid w:val="0971C8FD"/>
    <w:rsid w:val="09729EF2"/>
    <w:rsid w:val="09AA8E66"/>
    <w:rsid w:val="0A0371C4"/>
    <w:rsid w:val="0AB39ED9"/>
    <w:rsid w:val="0AB8D7FF"/>
    <w:rsid w:val="0B37CB80"/>
    <w:rsid w:val="0BEDCB4C"/>
    <w:rsid w:val="0BEFB71C"/>
    <w:rsid w:val="0BF21051"/>
    <w:rsid w:val="0C2304B0"/>
    <w:rsid w:val="0C37E17C"/>
    <w:rsid w:val="0D4FCF62"/>
    <w:rsid w:val="0D67DD3E"/>
    <w:rsid w:val="0DFA5B23"/>
    <w:rsid w:val="0E00E700"/>
    <w:rsid w:val="0E46B99B"/>
    <w:rsid w:val="0E867269"/>
    <w:rsid w:val="0EB13C03"/>
    <w:rsid w:val="0F06181C"/>
    <w:rsid w:val="0F1AC7E6"/>
    <w:rsid w:val="0F39E8E3"/>
    <w:rsid w:val="0F910A8D"/>
    <w:rsid w:val="0FDC1412"/>
    <w:rsid w:val="101205D1"/>
    <w:rsid w:val="1028EA34"/>
    <w:rsid w:val="10977D96"/>
    <w:rsid w:val="10E179C7"/>
    <w:rsid w:val="113887C2"/>
    <w:rsid w:val="1185751F"/>
    <w:rsid w:val="11ADD632"/>
    <w:rsid w:val="11E99B1D"/>
    <w:rsid w:val="12015A20"/>
    <w:rsid w:val="1229F684"/>
    <w:rsid w:val="123FD7D9"/>
    <w:rsid w:val="12743D74"/>
    <w:rsid w:val="12CF0E9B"/>
    <w:rsid w:val="12DCBD8B"/>
    <w:rsid w:val="13095B25"/>
    <w:rsid w:val="133C5FCD"/>
    <w:rsid w:val="1344ACA6"/>
    <w:rsid w:val="135F3BA5"/>
    <w:rsid w:val="13991348"/>
    <w:rsid w:val="13B08D46"/>
    <w:rsid w:val="13BFEB44"/>
    <w:rsid w:val="14214655"/>
    <w:rsid w:val="1423A4E1"/>
    <w:rsid w:val="1445B15F"/>
    <w:rsid w:val="14CD18E0"/>
    <w:rsid w:val="153D5D14"/>
    <w:rsid w:val="154BB694"/>
    <w:rsid w:val="156B677D"/>
    <w:rsid w:val="1593CD4D"/>
    <w:rsid w:val="15A06C19"/>
    <w:rsid w:val="15ED5808"/>
    <w:rsid w:val="16101C8E"/>
    <w:rsid w:val="16965132"/>
    <w:rsid w:val="1818D43E"/>
    <w:rsid w:val="182F1CD6"/>
    <w:rsid w:val="183D15EC"/>
    <w:rsid w:val="185A1687"/>
    <w:rsid w:val="199961F6"/>
    <w:rsid w:val="19C2FFB1"/>
    <w:rsid w:val="1A0FF34C"/>
    <w:rsid w:val="1A1DF7CF"/>
    <w:rsid w:val="1A7BBC11"/>
    <w:rsid w:val="1AB6C2A4"/>
    <w:rsid w:val="1ABC4A9C"/>
    <w:rsid w:val="1AC349C5"/>
    <w:rsid w:val="1B0FED07"/>
    <w:rsid w:val="1B949D77"/>
    <w:rsid w:val="1BC283D1"/>
    <w:rsid w:val="1BC3046E"/>
    <w:rsid w:val="1BDD3FC5"/>
    <w:rsid w:val="1BEB5072"/>
    <w:rsid w:val="1C6F8294"/>
    <w:rsid w:val="1C7B3A69"/>
    <w:rsid w:val="1D7FF65E"/>
    <w:rsid w:val="1DCD5302"/>
    <w:rsid w:val="1EAE3770"/>
    <w:rsid w:val="1EF23081"/>
    <w:rsid w:val="1F30762C"/>
    <w:rsid w:val="208D3953"/>
    <w:rsid w:val="208F7B3D"/>
    <w:rsid w:val="20A69E1E"/>
    <w:rsid w:val="21D30349"/>
    <w:rsid w:val="22B2F01C"/>
    <w:rsid w:val="22F2C382"/>
    <w:rsid w:val="23304762"/>
    <w:rsid w:val="239DC54D"/>
    <w:rsid w:val="23A9E991"/>
    <w:rsid w:val="24044B0A"/>
    <w:rsid w:val="2445B145"/>
    <w:rsid w:val="257A0F41"/>
    <w:rsid w:val="26348C3E"/>
    <w:rsid w:val="267C678E"/>
    <w:rsid w:val="2749332D"/>
    <w:rsid w:val="279C090F"/>
    <w:rsid w:val="27FA8D02"/>
    <w:rsid w:val="282D4CFB"/>
    <w:rsid w:val="2895EB99"/>
    <w:rsid w:val="28DD26A9"/>
    <w:rsid w:val="29183477"/>
    <w:rsid w:val="2929E4CF"/>
    <w:rsid w:val="2962552C"/>
    <w:rsid w:val="29C7F904"/>
    <w:rsid w:val="2B6BA68B"/>
    <w:rsid w:val="2BFB532B"/>
    <w:rsid w:val="2C1D54DE"/>
    <w:rsid w:val="2D23A406"/>
    <w:rsid w:val="2D2A402E"/>
    <w:rsid w:val="2DC1C118"/>
    <w:rsid w:val="2E123B09"/>
    <w:rsid w:val="2E442A23"/>
    <w:rsid w:val="2E93D8C0"/>
    <w:rsid w:val="2E94BCEF"/>
    <w:rsid w:val="2EB7FECF"/>
    <w:rsid w:val="2EDFE955"/>
    <w:rsid w:val="2F2343D4"/>
    <w:rsid w:val="2FDAC450"/>
    <w:rsid w:val="3084F8AE"/>
    <w:rsid w:val="30ABE120"/>
    <w:rsid w:val="30EFC760"/>
    <w:rsid w:val="314CD6E4"/>
    <w:rsid w:val="31E9A860"/>
    <w:rsid w:val="3223A582"/>
    <w:rsid w:val="328201FA"/>
    <w:rsid w:val="32BEDC3C"/>
    <w:rsid w:val="33E381E2"/>
    <w:rsid w:val="34246D98"/>
    <w:rsid w:val="343DED20"/>
    <w:rsid w:val="345E1AAD"/>
    <w:rsid w:val="34A64D30"/>
    <w:rsid w:val="351FAD00"/>
    <w:rsid w:val="356C09A9"/>
    <w:rsid w:val="35C03DF9"/>
    <w:rsid w:val="35E13632"/>
    <w:rsid w:val="3683F5FE"/>
    <w:rsid w:val="36A7BBF1"/>
    <w:rsid w:val="36DED346"/>
    <w:rsid w:val="36EA1B79"/>
    <w:rsid w:val="36EA33AB"/>
    <w:rsid w:val="3768A35E"/>
    <w:rsid w:val="37823AFA"/>
    <w:rsid w:val="38B2DAEC"/>
    <w:rsid w:val="38B9E82D"/>
    <w:rsid w:val="38C7CF68"/>
    <w:rsid w:val="38E1C5D5"/>
    <w:rsid w:val="38EF85CE"/>
    <w:rsid w:val="39874171"/>
    <w:rsid w:val="399555A4"/>
    <w:rsid w:val="3A51773A"/>
    <w:rsid w:val="3A5CEB60"/>
    <w:rsid w:val="3A8B553B"/>
    <w:rsid w:val="3BC5EC63"/>
    <w:rsid w:val="3BD30CC6"/>
    <w:rsid w:val="3BE616D2"/>
    <w:rsid w:val="3BF896DE"/>
    <w:rsid w:val="3C11E41E"/>
    <w:rsid w:val="3C2D9669"/>
    <w:rsid w:val="3C3C1481"/>
    <w:rsid w:val="3D948C22"/>
    <w:rsid w:val="3D98F4AC"/>
    <w:rsid w:val="3DF8354C"/>
    <w:rsid w:val="3E5C7ABB"/>
    <w:rsid w:val="3F105E28"/>
    <w:rsid w:val="3F581926"/>
    <w:rsid w:val="405AE332"/>
    <w:rsid w:val="407AA967"/>
    <w:rsid w:val="4130301D"/>
    <w:rsid w:val="421EEBB8"/>
    <w:rsid w:val="426D0F55"/>
    <w:rsid w:val="4289E5DB"/>
    <w:rsid w:val="42E7D389"/>
    <w:rsid w:val="43E07D4F"/>
    <w:rsid w:val="44026718"/>
    <w:rsid w:val="448CE9CB"/>
    <w:rsid w:val="459FE378"/>
    <w:rsid w:val="45EB1934"/>
    <w:rsid w:val="461AB0EB"/>
    <w:rsid w:val="46457B99"/>
    <w:rsid w:val="4678B664"/>
    <w:rsid w:val="46CD3E68"/>
    <w:rsid w:val="47106494"/>
    <w:rsid w:val="47A853D0"/>
    <w:rsid w:val="489A2F98"/>
    <w:rsid w:val="4963E966"/>
    <w:rsid w:val="499843D5"/>
    <w:rsid w:val="49B5A83A"/>
    <w:rsid w:val="4A4694F3"/>
    <w:rsid w:val="4AC8622E"/>
    <w:rsid w:val="4B8909B2"/>
    <w:rsid w:val="4BB3C027"/>
    <w:rsid w:val="4BCBE2E7"/>
    <w:rsid w:val="4BD8CD40"/>
    <w:rsid w:val="4C25932D"/>
    <w:rsid w:val="4C3482E2"/>
    <w:rsid w:val="4C40FD74"/>
    <w:rsid w:val="4CE90AE2"/>
    <w:rsid w:val="4DAFC435"/>
    <w:rsid w:val="4DCAB08A"/>
    <w:rsid w:val="4DDDFB5D"/>
    <w:rsid w:val="4DF45BD8"/>
    <w:rsid w:val="4E395362"/>
    <w:rsid w:val="4E9E72DF"/>
    <w:rsid w:val="4EB79B3C"/>
    <w:rsid w:val="4F280E62"/>
    <w:rsid w:val="4F463E17"/>
    <w:rsid w:val="4F4E5A8C"/>
    <w:rsid w:val="4F612566"/>
    <w:rsid w:val="4F623298"/>
    <w:rsid w:val="4FDD1ECB"/>
    <w:rsid w:val="4FFB6BE8"/>
    <w:rsid w:val="50072A33"/>
    <w:rsid w:val="50E35277"/>
    <w:rsid w:val="5104A0F8"/>
    <w:rsid w:val="51583696"/>
    <w:rsid w:val="515F5EA3"/>
    <w:rsid w:val="518592F7"/>
    <w:rsid w:val="51F6BC5B"/>
    <w:rsid w:val="524AF7A2"/>
    <w:rsid w:val="525FAF24"/>
    <w:rsid w:val="53094D70"/>
    <w:rsid w:val="534D7DCA"/>
    <w:rsid w:val="534E399C"/>
    <w:rsid w:val="53A9B134"/>
    <w:rsid w:val="53BB8918"/>
    <w:rsid w:val="54055513"/>
    <w:rsid w:val="54873B7F"/>
    <w:rsid w:val="54AF5D79"/>
    <w:rsid w:val="5581A11C"/>
    <w:rsid w:val="5670E490"/>
    <w:rsid w:val="5685DA5E"/>
    <w:rsid w:val="570E01D4"/>
    <w:rsid w:val="5716101D"/>
    <w:rsid w:val="575DB0C5"/>
    <w:rsid w:val="57768CDB"/>
    <w:rsid w:val="581E4469"/>
    <w:rsid w:val="5849E125"/>
    <w:rsid w:val="589E43AA"/>
    <w:rsid w:val="58EEDF4F"/>
    <w:rsid w:val="59606853"/>
    <w:rsid w:val="5966D366"/>
    <w:rsid w:val="597C056E"/>
    <w:rsid w:val="5AD5DEA9"/>
    <w:rsid w:val="5AFEFE4D"/>
    <w:rsid w:val="5B2E99D1"/>
    <w:rsid w:val="5B3FE6B6"/>
    <w:rsid w:val="5B7F7FD5"/>
    <w:rsid w:val="5C0D3941"/>
    <w:rsid w:val="5D10A5FD"/>
    <w:rsid w:val="5DAA4F51"/>
    <w:rsid w:val="5DC3101A"/>
    <w:rsid w:val="5DFA5245"/>
    <w:rsid w:val="5E579B2C"/>
    <w:rsid w:val="5EB98750"/>
    <w:rsid w:val="5ED3E0CE"/>
    <w:rsid w:val="5F510A34"/>
    <w:rsid w:val="5F97367A"/>
    <w:rsid w:val="5FCF7020"/>
    <w:rsid w:val="5FE03901"/>
    <w:rsid w:val="601B689C"/>
    <w:rsid w:val="6057E767"/>
    <w:rsid w:val="6075BD1E"/>
    <w:rsid w:val="60EDF26F"/>
    <w:rsid w:val="61149443"/>
    <w:rsid w:val="616663E9"/>
    <w:rsid w:val="619437B6"/>
    <w:rsid w:val="6195CE07"/>
    <w:rsid w:val="61D50D17"/>
    <w:rsid w:val="61FFA731"/>
    <w:rsid w:val="6275C572"/>
    <w:rsid w:val="627ADA46"/>
    <w:rsid w:val="63319E68"/>
    <w:rsid w:val="6344818D"/>
    <w:rsid w:val="647E54AD"/>
    <w:rsid w:val="64E18CEA"/>
    <w:rsid w:val="64EE5795"/>
    <w:rsid w:val="654263B2"/>
    <w:rsid w:val="65B56136"/>
    <w:rsid w:val="65D65D0F"/>
    <w:rsid w:val="66179B20"/>
    <w:rsid w:val="6619C940"/>
    <w:rsid w:val="672055E5"/>
    <w:rsid w:val="67CCFA4D"/>
    <w:rsid w:val="67E3C276"/>
    <w:rsid w:val="68050F8B"/>
    <w:rsid w:val="680F2725"/>
    <w:rsid w:val="682499E8"/>
    <w:rsid w:val="68274C37"/>
    <w:rsid w:val="682D7ACE"/>
    <w:rsid w:val="682F12E5"/>
    <w:rsid w:val="6866C8F4"/>
    <w:rsid w:val="68746E7B"/>
    <w:rsid w:val="68CEFB2F"/>
    <w:rsid w:val="68EF1CD1"/>
    <w:rsid w:val="691C7BE9"/>
    <w:rsid w:val="692B917C"/>
    <w:rsid w:val="69535ADC"/>
    <w:rsid w:val="6959C3C0"/>
    <w:rsid w:val="697C7105"/>
    <w:rsid w:val="69FE2E90"/>
    <w:rsid w:val="6A3E1D9B"/>
    <w:rsid w:val="6A42242C"/>
    <w:rsid w:val="6A8AED32"/>
    <w:rsid w:val="6AA9CE32"/>
    <w:rsid w:val="6AE0E526"/>
    <w:rsid w:val="6B07C386"/>
    <w:rsid w:val="6BF3B6BD"/>
    <w:rsid w:val="6C8DEF81"/>
    <w:rsid w:val="6C9704AB"/>
    <w:rsid w:val="6CE29848"/>
    <w:rsid w:val="6D209B9C"/>
    <w:rsid w:val="6E0FDF10"/>
    <w:rsid w:val="6E65404C"/>
    <w:rsid w:val="6ED531E7"/>
    <w:rsid w:val="6F6B6D06"/>
    <w:rsid w:val="6FDD346E"/>
    <w:rsid w:val="717BD937"/>
    <w:rsid w:val="71A528A3"/>
    <w:rsid w:val="71B4112D"/>
    <w:rsid w:val="71F7D92C"/>
    <w:rsid w:val="7270A1CA"/>
    <w:rsid w:val="72E3A1D3"/>
    <w:rsid w:val="7314C10D"/>
    <w:rsid w:val="73CB6F30"/>
    <w:rsid w:val="73EC6B09"/>
    <w:rsid w:val="743C7E8A"/>
    <w:rsid w:val="7440A186"/>
    <w:rsid w:val="74671C16"/>
    <w:rsid w:val="748F79CE"/>
    <w:rsid w:val="754CA122"/>
    <w:rsid w:val="75B5D481"/>
    <w:rsid w:val="75D84EEB"/>
    <w:rsid w:val="76508692"/>
    <w:rsid w:val="765F7169"/>
    <w:rsid w:val="7691A2C3"/>
    <w:rsid w:val="76C6BFA1"/>
    <w:rsid w:val="76E1A3F8"/>
    <w:rsid w:val="77184360"/>
    <w:rsid w:val="7731A1A8"/>
    <w:rsid w:val="7759DAA9"/>
    <w:rsid w:val="77B71FBC"/>
    <w:rsid w:val="780A071D"/>
    <w:rsid w:val="7817800E"/>
    <w:rsid w:val="7867E23F"/>
    <w:rsid w:val="788A9245"/>
    <w:rsid w:val="78CE5A44"/>
    <w:rsid w:val="78F65C6B"/>
    <w:rsid w:val="790A7ADA"/>
    <w:rsid w:val="7922082F"/>
    <w:rsid w:val="7A17E48E"/>
    <w:rsid w:val="7A8C39E5"/>
    <w:rsid w:val="7B972890"/>
    <w:rsid w:val="7BB4B467"/>
    <w:rsid w:val="7BF3BE48"/>
    <w:rsid w:val="7C222823"/>
    <w:rsid w:val="7C7CE705"/>
    <w:rsid w:val="7D2DB757"/>
    <w:rsid w:val="7D77A966"/>
    <w:rsid w:val="7D7ED9C4"/>
    <w:rsid w:val="7E2795F8"/>
    <w:rsid w:val="7E34B7CB"/>
    <w:rsid w:val="7E5F755D"/>
    <w:rsid w:val="7EAA4720"/>
    <w:rsid w:val="7EBD33D7"/>
    <w:rsid w:val="7F71113E"/>
    <w:rsid w:val="7FC36659"/>
    <w:rsid w:val="7FCC0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7AB4FE71"/>
  <w15:docId w15:val="{46DED73E-5319-438A-845C-6036D6EB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F1EF1"/>
    <w:pPr>
      <w:jc w:val="both"/>
    </w:pPr>
    <w:rPr>
      <w:rFonts w:asciiTheme="minorHAnsi" w:hAnsiTheme="minorHAnsi"/>
      <w:sz w:val="24"/>
    </w:rPr>
  </w:style>
  <w:style w:type="paragraph" w:styleId="Nadpis1">
    <w:name w:val="heading 1"/>
    <w:aliases w:val="Nadpis 1 Char,vlevo 18b."/>
    <w:basedOn w:val="Normln"/>
    <w:next w:val="Normln"/>
    <w:link w:val="Nadpis1Char1"/>
    <w:uiPriority w:val="9"/>
    <w:qFormat/>
    <w:rsid w:val="00A91587"/>
    <w:pPr>
      <w:keepNext/>
      <w:spacing w:before="240" w:after="240"/>
      <w:jc w:val="center"/>
      <w:outlineLvl w:val="0"/>
    </w:pPr>
    <w:rPr>
      <w:b/>
      <w:bCs/>
      <w:sz w:val="28"/>
      <w:szCs w:val="34"/>
    </w:rPr>
  </w:style>
  <w:style w:type="paragraph" w:styleId="Nadpis2">
    <w:name w:val="heading 2"/>
    <w:aliases w:val="H2,POŘ-Nadpis 2,vlevo 16b."/>
    <w:basedOn w:val="Normln"/>
    <w:next w:val="Normln"/>
    <w:link w:val="Nadpis2Char"/>
    <w:uiPriority w:val="9"/>
    <w:qFormat/>
    <w:rsid w:val="00445CE4"/>
    <w:pPr>
      <w:keepNext/>
      <w:autoSpaceDE w:val="0"/>
      <w:autoSpaceDN w:val="0"/>
      <w:adjustRightInd w:val="0"/>
      <w:outlineLvl w:val="1"/>
    </w:pPr>
    <w:rPr>
      <w:rFonts w:eastAsia="SimSun"/>
      <w:b/>
    </w:rPr>
  </w:style>
  <w:style w:type="paragraph" w:styleId="Nadpis3">
    <w:name w:val="heading 3"/>
    <w:aliases w:val="H3,Vysvětlivky,vlevo 14b."/>
    <w:basedOn w:val="Normln"/>
    <w:next w:val="Normln"/>
    <w:link w:val="Nadpis3Char"/>
    <w:uiPriority w:val="9"/>
    <w:qFormat/>
    <w:rsid w:val="00445CE4"/>
    <w:pPr>
      <w:keepNext/>
      <w:jc w:val="center"/>
      <w:outlineLvl w:val="2"/>
    </w:pPr>
    <w:rPr>
      <w:b/>
      <w:bCs/>
      <w:color w:val="000000"/>
    </w:rPr>
  </w:style>
  <w:style w:type="paragraph" w:styleId="Nadpis4">
    <w:name w:val="heading 4"/>
    <w:aliases w:val="příloha"/>
    <w:basedOn w:val="Normln"/>
    <w:next w:val="Normln"/>
    <w:link w:val="Nadpis4Char"/>
    <w:uiPriority w:val="9"/>
    <w:qFormat/>
    <w:rsid w:val="0010633C"/>
    <w:pPr>
      <w:keepNext/>
      <w:jc w:val="left"/>
      <w:outlineLvl w:val="3"/>
    </w:pPr>
    <w:rPr>
      <w:b/>
      <w:bCs/>
    </w:rPr>
  </w:style>
  <w:style w:type="paragraph" w:styleId="Nadpis5">
    <w:name w:val="heading 5"/>
    <w:basedOn w:val="Normln"/>
    <w:next w:val="Normln"/>
    <w:link w:val="Nadpis5Char"/>
    <w:uiPriority w:val="9"/>
    <w:qFormat/>
    <w:rsid w:val="00445CE4"/>
    <w:pPr>
      <w:keepNext/>
      <w:spacing w:before="240" w:after="120"/>
      <w:outlineLvl w:val="4"/>
    </w:pPr>
    <w:rPr>
      <w:b/>
      <w:noProof/>
    </w:rPr>
  </w:style>
  <w:style w:type="paragraph" w:styleId="Nadpis6">
    <w:name w:val="heading 6"/>
    <w:aliases w:val="střed 14b."/>
    <w:basedOn w:val="Normln"/>
    <w:next w:val="Normln"/>
    <w:link w:val="Nadpis6Char"/>
    <w:uiPriority w:val="9"/>
    <w:qFormat/>
    <w:rsid w:val="00445CE4"/>
    <w:pPr>
      <w:keepNext/>
      <w:spacing w:before="360"/>
      <w:ind w:firstLine="720"/>
      <w:outlineLvl w:val="5"/>
    </w:pPr>
    <w:rPr>
      <w:b/>
      <w:bCs/>
      <w:noProof/>
      <w:u w:val="single"/>
    </w:rPr>
  </w:style>
  <w:style w:type="paragraph" w:styleId="Nadpis7">
    <w:name w:val="heading 7"/>
    <w:basedOn w:val="Normln"/>
    <w:next w:val="Normln"/>
    <w:link w:val="Nadpis7Char"/>
    <w:uiPriority w:val="9"/>
    <w:qFormat/>
    <w:rsid w:val="002E15D3"/>
    <w:pPr>
      <w:keepNext/>
      <w:ind w:left="1296" w:hanging="1296"/>
      <w:outlineLvl w:val="6"/>
    </w:pPr>
    <w:rPr>
      <w:rFonts w:ascii="Arial" w:hAnsi="Arial"/>
      <w:b/>
      <w:bCs/>
      <w:color w:val="0000FF"/>
      <w:sz w:val="22"/>
    </w:rPr>
  </w:style>
  <w:style w:type="paragraph" w:styleId="Nadpis8">
    <w:name w:val="heading 8"/>
    <w:basedOn w:val="Normln"/>
    <w:next w:val="Normln"/>
    <w:link w:val="Nadpis8Char"/>
    <w:uiPriority w:val="9"/>
    <w:qFormat/>
    <w:rsid w:val="00445CE4"/>
    <w:pPr>
      <w:keepNext/>
      <w:jc w:val="center"/>
      <w:outlineLvl w:val="7"/>
    </w:pPr>
    <w:rPr>
      <w:b/>
      <w:bCs/>
      <w:noProof/>
    </w:rPr>
  </w:style>
  <w:style w:type="paragraph" w:styleId="Nadpis9">
    <w:name w:val="heading 9"/>
    <w:basedOn w:val="Normln"/>
    <w:next w:val="Normln"/>
    <w:link w:val="Nadpis9Char"/>
    <w:uiPriority w:val="9"/>
    <w:qFormat/>
    <w:rsid w:val="002E15D3"/>
    <w:pPr>
      <w:spacing w:before="240" w:after="60"/>
      <w:ind w:left="1584" w:hanging="1584"/>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loKZ">
    <w:name w:val="Číslo KZ"/>
    <w:basedOn w:val="Normln"/>
    <w:rsid w:val="00445CE4"/>
    <w:rPr>
      <w:b/>
      <w:bCs/>
      <w:sz w:val="32"/>
    </w:rPr>
  </w:style>
  <w:style w:type="paragraph" w:customStyle="1" w:styleId="odsazen">
    <w:name w:val="odsazený"/>
    <w:basedOn w:val="Normln"/>
    <w:rsid w:val="00445CE4"/>
    <w:pPr>
      <w:spacing w:before="120"/>
      <w:ind w:firstLine="567"/>
    </w:pPr>
    <w:rPr>
      <w:iCs/>
    </w:rPr>
  </w:style>
  <w:style w:type="paragraph" w:styleId="Zkladntext">
    <w:name w:val="Body Text"/>
    <w:aliases w:val="?????1,Body ...,Body Text Char,Body Text Char Char,Body Text Char Char Char,Body Text Char1 Char Char,Body Text Char2 Char,Corps de texte INTSUM,Nornální,Základní text - D,Základní text Char,b,Číslovaný seznam (i),Текст1"/>
    <w:basedOn w:val="Normln"/>
    <w:link w:val="ZkladntextChar1"/>
    <w:rsid w:val="00445CE4"/>
    <w:rPr>
      <w:b/>
      <w:bCs/>
      <w:sz w:val="28"/>
      <w:szCs w:val="28"/>
    </w:rPr>
  </w:style>
  <w:style w:type="paragraph" w:styleId="Zkladntextodsazen2">
    <w:name w:val="Body Text Indent 2"/>
    <w:basedOn w:val="Normln"/>
    <w:link w:val="Zkladntextodsazen2Char"/>
    <w:semiHidden/>
    <w:rsid w:val="00445CE4"/>
    <w:pPr>
      <w:ind w:left="1080" w:hanging="1080"/>
    </w:pPr>
  </w:style>
  <w:style w:type="paragraph" w:customStyle="1" w:styleId="vod">
    <w:name w:val="Úvod"/>
    <w:basedOn w:val="Normln"/>
    <w:rsid w:val="00445CE4"/>
    <w:pPr>
      <w:keepNext/>
      <w:spacing w:before="360" w:after="240"/>
      <w:outlineLvl w:val="0"/>
    </w:pPr>
    <w:rPr>
      <w:b/>
      <w:bCs/>
      <w:sz w:val="28"/>
      <w:szCs w:val="28"/>
    </w:rPr>
  </w:style>
  <w:style w:type="paragraph" w:customStyle="1" w:styleId="PlainText1">
    <w:name w:val="Plain Text1"/>
    <w:basedOn w:val="Normln"/>
    <w:rsid w:val="00445CE4"/>
    <w:rPr>
      <w:rFonts w:ascii="Courier New" w:hAnsi="Courier New"/>
    </w:rPr>
  </w:style>
  <w:style w:type="paragraph" w:styleId="Zkladntextodsazen">
    <w:name w:val="Body Text Indent"/>
    <w:aliases w:val=" Char Char Char, Char Char Char Char Char, Char Char1, Char Char1 Char Char,Základní text odsazený Char Char,Základní text odsazený Char Char Char Char,Základní text odsazený Char1,Základní text odsazený Char1 Char Char"/>
    <w:basedOn w:val="Normln"/>
    <w:link w:val="ZkladntextodsazenChar"/>
    <w:semiHidden/>
    <w:rsid w:val="00445CE4"/>
    <w:pPr>
      <w:ind w:firstLine="720"/>
    </w:pPr>
  </w:style>
  <w:style w:type="paragraph" w:styleId="Zkladntext3">
    <w:name w:val="Body Text 3"/>
    <w:basedOn w:val="Normln"/>
    <w:link w:val="Zkladntext3Char"/>
    <w:semiHidden/>
    <w:rsid w:val="00445CE4"/>
    <w:pPr>
      <w:keepNext/>
      <w:keepLines/>
    </w:pPr>
    <w:rPr>
      <w:b/>
      <w:bCs/>
    </w:rPr>
  </w:style>
  <w:style w:type="paragraph" w:styleId="Zkladntext2">
    <w:name w:val="Body Text 2"/>
    <w:basedOn w:val="Normln"/>
    <w:link w:val="Zkladntext2Char"/>
    <w:semiHidden/>
    <w:rsid w:val="00445CE4"/>
    <w:pPr>
      <w:spacing w:after="120" w:line="480" w:lineRule="auto"/>
    </w:pPr>
  </w:style>
  <w:style w:type="paragraph" w:customStyle="1" w:styleId="BodyText21">
    <w:name w:val="Body Text 21"/>
    <w:basedOn w:val="Normln"/>
    <w:rsid w:val="00445CE4"/>
    <w:pPr>
      <w:overflowPunct w:val="0"/>
      <w:autoSpaceDE w:val="0"/>
      <w:autoSpaceDN w:val="0"/>
      <w:adjustRightInd w:val="0"/>
      <w:spacing w:after="120"/>
      <w:textAlignment w:val="baseline"/>
    </w:pPr>
  </w:style>
  <w:style w:type="paragraph" w:styleId="Zpat">
    <w:name w:val="footer"/>
    <w:basedOn w:val="Normln"/>
    <w:link w:val="ZpatChar"/>
    <w:uiPriority w:val="99"/>
    <w:rsid w:val="00445CE4"/>
    <w:pPr>
      <w:tabs>
        <w:tab w:val="center" w:pos="4536"/>
        <w:tab w:val="right" w:pos="9072"/>
      </w:tabs>
    </w:pPr>
  </w:style>
  <w:style w:type="character" w:styleId="slostrnky">
    <w:name w:val="page number"/>
    <w:basedOn w:val="Standardnpsmoodstavce"/>
    <w:semiHidden/>
    <w:rsid w:val="00445CE4"/>
  </w:style>
  <w:style w:type="paragraph" w:styleId="Zhlav">
    <w:name w:val="header"/>
    <w:basedOn w:val="Normln"/>
    <w:link w:val="ZhlavChar"/>
    <w:uiPriority w:val="99"/>
    <w:rsid w:val="00445CE4"/>
    <w:pPr>
      <w:tabs>
        <w:tab w:val="center" w:pos="4536"/>
        <w:tab w:val="right" w:pos="9072"/>
      </w:tabs>
    </w:pPr>
  </w:style>
  <w:style w:type="character" w:styleId="Odkaznakoment">
    <w:name w:val="annotation reference"/>
    <w:basedOn w:val="Standardnpsmoodstavce"/>
    <w:uiPriority w:val="99"/>
    <w:semiHidden/>
    <w:rsid w:val="00445CE4"/>
    <w:rPr>
      <w:sz w:val="16"/>
      <w:szCs w:val="16"/>
    </w:rPr>
  </w:style>
  <w:style w:type="paragraph" w:styleId="Textkomente">
    <w:name w:val="annotation text"/>
    <w:basedOn w:val="Normln"/>
    <w:link w:val="TextkomenteChar"/>
    <w:uiPriority w:val="99"/>
    <w:rsid w:val="00445CE4"/>
  </w:style>
  <w:style w:type="paragraph" w:styleId="Zkladntextodsazen3">
    <w:name w:val="Body Text Indent 3"/>
    <w:basedOn w:val="Normln"/>
    <w:link w:val="Zkladntextodsazen3Char"/>
    <w:semiHidden/>
    <w:rsid w:val="00445CE4"/>
    <w:pPr>
      <w:tabs>
        <w:tab w:val="center" w:pos="4535"/>
      </w:tabs>
      <w:ind w:left="360"/>
    </w:pPr>
    <w:rPr>
      <w:noProof/>
    </w:rPr>
  </w:style>
  <w:style w:type="paragraph" w:customStyle="1" w:styleId="Styl10">
    <w:name w:val="Styl1"/>
    <w:basedOn w:val="Normln"/>
    <w:rsid w:val="00445CE4"/>
    <w:pPr>
      <w:widowControl w:val="0"/>
      <w:autoSpaceDE w:val="0"/>
      <w:autoSpaceDN w:val="0"/>
      <w:adjustRightInd w:val="0"/>
      <w:spacing w:before="120"/>
      <w:ind w:firstLine="709"/>
    </w:pPr>
    <w:rPr>
      <w:noProof/>
    </w:rPr>
  </w:style>
  <w:style w:type="paragraph" w:customStyle="1" w:styleId="Odstavec">
    <w:name w:val="Odstavec"/>
    <w:basedOn w:val="Normln"/>
    <w:rsid w:val="00445CE4"/>
    <w:pPr>
      <w:spacing w:before="120"/>
      <w:ind w:firstLine="709"/>
    </w:pPr>
    <w:rPr>
      <w:noProof/>
    </w:rPr>
  </w:style>
  <w:style w:type="paragraph" w:styleId="Bezmezer">
    <w:name w:val="No Spacing"/>
    <w:aliases w:val="Graf"/>
    <w:uiPriority w:val="1"/>
    <w:qFormat/>
    <w:rsid w:val="00C97EF2"/>
    <w:pPr>
      <w:numPr>
        <w:numId w:val="9"/>
      </w:numPr>
      <w:ind w:left="357" w:hanging="357"/>
    </w:pPr>
    <w:rPr>
      <w:rFonts w:asciiTheme="minorHAnsi" w:hAnsiTheme="minorHAnsi"/>
      <w:sz w:val="24"/>
      <w:szCs w:val="24"/>
      <w:lang w:eastAsia="en-US"/>
    </w:rPr>
  </w:style>
  <w:style w:type="paragraph" w:styleId="Odstavecseseznamem">
    <w:name w:val="List Paragraph"/>
    <w:aliases w:val="Dot pt,Indicator Text,LISTA,List Paragraph (Czech Tourism),List Paragraph Char Char Char,List Paragraph à moi,List Paragraph_0,List Paragraph_1,Nad,Nadpis pro KZ,No Spacing1,Numbered Para 1,Odstavec_muj,můj Nadpis 2,odrážky"/>
    <w:basedOn w:val="Normln"/>
    <w:link w:val="OdstavecseseznamemChar"/>
    <w:uiPriority w:val="34"/>
    <w:qFormat/>
    <w:rsid w:val="00814C74"/>
    <w:pPr>
      <w:ind w:left="708"/>
    </w:pPr>
  </w:style>
  <w:style w:type="character" w:styleId="Siln">
    <w:name w:val="Strong"/>
    <w:basedOn w:val="Standardnpsmoodstavce"/>
    <w:uiPriority w:val="22"/>
    <w:qFormat/>
    <w:rsid w:val="00B35C94"/>
    <w:rPr>
      <w:b/>
      <w:bCs/>
    </w:rPr>
  </w:style>
  <w:style w:type="character" w:styleId="Znakapoznpodarou">
    <w:name w:val="footnote reference"/>
    <w:aliases w:val="12 b.,BVI fnr Char Char Char,Char1 Char Char Char,Footnote Char Char Char,Footnote reference number Char Char Char,Footnote symbol Char Char Char,Ref Char Char Char,Times 10 Point Char Char Char,de nota al pie Char Char Char,4_G"/>
    <w:basedOn w:val="Standardnpsmoodstavce"/>
    <w:link w:val="BVIfnrCharChar"/>
    <w:uiPriority w:val="99"/>
    <w:rsid w:val="00DC76F7"/>
    <w:rPr>
      <w:vertAlign w:val="superscript"/>
    </w:rPr>
  </w:style>
  <w:style w:type="paragraph" w:styleId="Textpoznpodarou">
    <w:name w:val="footnote text"/>
    <w:aliases w:val="Char,Char Char Char1,Char Char1,FSR footnote,Footnote,Footnote Text Char1,Fußnote,Geneva 9,Plonk,Schriftart: 10 pt,Schriftart: 8 pt,Schriftart: 9 pt,Text pozn. pod čarou1,Text pozn. pod čarou_martin_ang,f,fn,lábléc,pozn. pod čarou,o"/>
    <w:basedOn w:val="Normln"/>
    <w:link w:val="TextpoznpodarouChar"/>
    <w:autoRedefine/>
    <w:uiPriority w:val="99"/>
    <w:qFormat/>
    <w:rsid w:val="00884FCE"/>
    <w:pPr>
      <w:ind w:left="284" w:hanging="284"/>
      <w:contextualSpacing/>
    </w:pPr>
    <w:rPr>
      <w:sz w:val="20"/>
    </w:rPr>
  </w:style>
  <w:style w:type="character" w:customStyle="1" w:styleId="TextpoznpodarouChar">
    <w:name w:val="Text pozn. pod čarou Char"/>
    <w:aliases w:val="Char Char,Char Char Char1 Char,Char Char1 Char,FSR footnote Char,Footnote Char,Footnote Text Char1 Char,Fußnote Char,Geneva 9 Char,Plonk Char,Schriftart: 10 pt Char,Schriftart: 8 pt Char,Schriftart: 9 pt Char,f Char,fn Char"/>
    <w:basedOn w:val="Standardnpsmoodstavce"/>
    <w:link w:val="Textpoznpodarou"/>
    <w:uiPriority w:val="99"/>
    <w:rsid w:val="00884FCE"/>
    <w:rPr>
      <w:rFonts w:asciiTheme="minorHAnsi" w:hAnsiTheme="minorHAnsi"/>
    </w:rPr>
  </w:style>
  <w:style w:type="paragraph" w:styleId="Nzev">
    <w:name w:val="Title"/>
    <w:aliases w:val="Pod čarou"/>
    <w:basedOn w:val="Normln"/>
    <w:link w:val="NzevChar"/>
    <w:uiPriority w:val="10"/>
    <w:qFormat/>
    <w:rsid w:val="00EB4F7E"/>
    <w:pPr>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autoSpaceDE w:val="0"/>
      <w:autoSpaceDN w:val="0"/>
    </w:pPr>
    <w:rPr>
      <w:rFonts w:cs="Times New Roman CE obyeejné"/>
      <w:bCs/>
      <w:i/>
      <w:sz w:val="20"/>
      <w:szCs w:val="28"/>
    </w:rPr>
  </w:style>
  <w:style w:type="character" w:customStyle="1" w:styleId="NzevChar">
    <w:name w:val="Název Char"/>
    <w:aliases w:val="Pod čarou Char"/>
    <w:basedOn w:val="Standardnpsmoodstavce"/>
    <w:link w:val="Nzev"/>
    <w:uiPriority w:val="10"/>
    <w:rsid w:val="00EB4F7E"/>
    <w:rPr>
      <w:rFonts w:asciiTheme="minorHAnsi" w:hAnsiTheme="minorHAnsi" w:cs="Times New Roman CE obyeejné"/>
      <w:bCs/>
      <w:i/>
      <w:szCs w:val="28"/>
    </w:rPr>
  </w:style>
  <w:style w:type="character" w:styleId="Hypertextovodkaz">
    <w:name w:val="Hyperlink"/>
    <w:basedOn w:val="Standardnpsmoodstavce"/>
    <w:uiPriority w:val="99"/>
    <w:rsid w:val="00FE449A"/>
    <w:rPr>
      <w:color w:val="0000FF"/>
      <w:u w:val="single"/>
    </w:rPr>
  </w:style>
  <w:style w:type="paragraph" w:styleId="Prosttext">
    <w:name w:val="Plain Text"/>
    <w:basedOn w:val="Normln"/>
    <w:link w:val="ProsttextChar"/>
    <w:uiPriority w:val="99"/>
    <w:unhideWhenUsed/>
    <w:rsid w:val="00CC77E3"/>
    <w:rPr>
      <w:rFonts w:ascii="Consolas" w:eastAsia="Calibri" w:hAnsi="Consolas"/>
      <w:sz w:val="21"/>
      <w:szCs w:val="21"/>
    </w:rPr>
  </w:style>
  <w:style w:type="character" w:customStyle="1" w:styleId="ProsttextChar">
    <w:name w:val="Prostý text Char"/>
    <w:basedOn w:val="Standardnpsmoodstavce"/>
    <w:link w:val="Prosttext"/>
    <w:uiPriority w:val="99"/>
    <w:rsid w:val="00CC77E3"/>
    <w:rPr>
      <w:rFonts w:ascii="Consolas" w:eastAsia="Calibri" w:hAnsi="Consolas"/>
      <w:sz w:val="21"/>
      <w:szCs w:val="21"/>
      <w:lang w:eastAsia="en-US"/>
    </w:rPr>
  </w:style>
  <w:style w:type="table" w:styleId="Mkatabulky">
    <w:name w:val="Table Grid"/>
    <w:basedOn w:val="Normlntabulka"/>
    <w:uiPriority w:val="39"/>
    <w:rsid w:val="00CA6F7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ulek">
    <w:name w:val="caption"/>
    <w:basedOn w:val="Normln"/>
    <w:next w:val="Normln"/>
    <w:uiPriority w:val="35"/>
    <w:unhideWhenUsed/>
    <w:qFormat/>
    <w:rsid w:val="00891AB3"/>
    <w:pPr>
      <w:spacing w:after="200"/>
    </w:pPr>
    <w:rPr>
      <w:rFonts w:ascii="Arial" w:eastAsia="Calibri" w:hAnsi="Arial"/>
      <w:b/>
      <w:bCs/>
      <w:color w:val="4F81BD"/>
      <w:sz w:val="18"/>
      <w:szCs w:val="18"/>
    </w:rPr>
  </w:style>
  <w:style w:type="paragraph" w:styleId="Textbubliny">
    <w:name w:val="Balloon Text"/>
    <w:basedOn w:val="Normln"/>
    <w:link w:val="TextbublinyChar"/>
    <w:uiPriority w:val="99"/>
    <w:semiHidden/>
    <w:unhideWhenUsed/>
    <w:rsid w:val="001711B8"/>
    <w:rPr>
      <w:rFonts w:ascii="Tahoma" w:hAnsi="Tahoma" w:cs="Tahoma"/>
      <w:sz w:val="16"/>
      <w:szCs w:val="16"/>
    </w:rPr>
  </w:style>
  <w:style w:type="character" w:customStyle="1" w:styleId="TextbublinyChar">
    <w:name w:val="Text bubliny Char"/>
    <w:basedOn w:val="Standardnpsmoodstavce"/>
    <w:link w:val="Textbubliny"/>
    <w:uiPriority w:val="99"/>
    <w:semiHidden/>
    <w:rsid w:val="001711B8"/>
    <w:rPr>
      <w:rFonts w:ascii="Tahoma" w:hAnsi="Tahoma" w:cs="Tahoma"/>
      <w:sz w:val="16"/>
      <w:szCs w:val="16"/>
      <w:lang w:val="en-US" w:eastAsia="en-US"/>
    </w:rPr>
  </w:style>
  <w:style w:type="paragraph" w:customStyle="1" w:styleId="normalodsazene3">
    <w:name w:val="normalodsazene3"/>
    <w:basedOn w:val="Normln"/>
    <w:rsid w:val="00834C0F"/>
    <w:pPr>
      <w:spacing w:before="30" w:after="75"/>
    </w:pPr>
    <w:rPr>
      <w:rFonts w:ascii="Verdana" w:hAnsi="Verdana"/>
      <w:color w:val="585858"/>
      <w:sz w:val="26"/>
      <w:szCs w:val="26"/>
    </w:rPr>
  </w:style>
  <w:style w:type="paragraph" w:styleId="Normlnweb">
    <w:name w:val="Normal (Web)"/>
    <w:basedOn w:val="Normln"/>
    <w:unhideWhenUsed/>
    <w:rsid w:val="004B5A40"/>
    <w:pPr>
      <w:spacing w:before="100" w:beforeAutospacing="1" w:after="100" w:afterAutospacing="1"/>
    </w:pPr>
  </w:style>
  <w:style w:type="paragraph" w:customStyle="1" w:styleId="Odstavecseseznamem1">
    <w:name w:val="Odstavec se seznamem1"/>
    <w:aliases w:val="Odstavec se seznamem2"/>
    <w:basedOn w:val="Normln"/>
    <w:uiPriority w:val="34"/>
    <w:qFormat/>
    <w:rsid w:val="0055636A"/>
    <w:pPr>
      <w:spacing w:after="200" w:line="276" w:lineRule="auto"/>
      <w:ind w:left="720"/>
      <w:contextualSpacing/>
    </w:pPr>
    <w:rPr>
      <w:rFonts w:ascii="Calibri" w:hAnsi="Calibri"/>
      <w:sz w:val="22"/>
      <w:szCs w:val="22"/>
    </w:rPr>
  </w:style>
  <w:style w:type="character" w:customStyle="1" w:styleId="bbtext">
    <w:name w:val="bbtext"/>
    <w:basedOn w:val="Standardnpsmoodstavce"/>
    <w:rsid w:val="005F012E"/>
  </w:style>
  <w:style w:type="paragraph" w:customStyle="1" w:styleId="lnek3">
    <w:name w:val="článek3"/>
    <w:basedOn w:val="Normln"/>
    <w:rsid w:val="00E579E8"/>
    <w:pPr>
      <w:numPr>
        <w:ilvl w:val="2"/>
        <w:numId w:val="1"/>
      </w:numPr>
      <w:tabs>
        <w:tab w:val="clear" w:pos="1277"/>
      </w:tabs>
      <w:spacing w:after="120"/>
      <w:ind w:left="2220" w:hanging="360"/>
    </w:pPr>
  </w:style>
  <w:style w:type="paragraph" w:customStyle="1" w:styleId="lnek1">
    <w:name w:val="článek1"/>
    <w:basedOn w:val="Normln"/>
    <w:next w:val="lnek2"/>
    <w:rsid w:val="00E579E8"/>
    <w:pPr>
      <w:keepNext/>
      <w:keepLines/>
      <w:numPr>
        <w:numId w:val="1"/>
      </w:numPr>
      <w:spacing w:before="240" w:after="240"/>
      <w:jc w:val="center"/>
    </w:pPr>
    <w:rPr>
      <w:b/>
      <w:sz w:val="28"/>
      <w:szCs w:val="28"/>
    </w:rPr>
  </w:style>
  <w:style w:type="paragraph" w:customStyle="1" w:styleId="lnek2">
    <w:name w:val="článek2"/>
    <w:basedOn w:val="Normln"/>
    <w:next w:val="lnek3"/>
    <w:rsid w:val="00E579E8"/>
    <w:pPr>
      <w:numPr>
        <w:ilvl w:val="1"/>
        <w:numId w:val="1"/>
      </w:numPr>
      <w:spacing w:before="120" w:after="120"/>
    </w:pPr>
    <w:rPr>
      <w:b/>
    </w:rPr>
  </w:style>
  <w:style w:type="paragraph" w:customStyle="1" w:styleId="NormlnKZ">
    <w:name w:val="Normální KZ"/>
    <w:basedOn w:val="Normln"/>
    <w:rsid w:val="006A7F16"/>
    <w:pPr>
      <w:spacing w:after="120"/>
      <w:ind w:firstLine="425"/>
    </w:pPr>
    <w:rPr>
      <w:sz w:val="22"/>
    </w:rPr>
  </w:style>
  <w:style w:type="paragraph" w:customStyle="1" w:styleId="Fous">
    <w:name w:val="Fous"/>
    <w:basedOn w:val="Normln"/>
    <w:rsid w:val="006A7F16"/>
    <w:pPr>
      <w:numPr>
        <w:numId w:val="2"/>
      </w:numPr>
      <w:tabs>
        <w:tab w:val="clear" w:pos="722"/>
        <w:tab w:val="num" w:pos="360"/>
      </w:tabs>
      <w:ind w:left="360" w:hanging="360"/>
    </w:pPr>
    <w:rPr>
      <w:sz w:val="22"/>
    </w:rPr>
  </w:style>
  <w:style w:type="paragraph" w:customStyle="1" w:styleId="Default">
    <w:name w:val="Default"/>
    <w:rsid w:val="00C50826"/>
    <w:pPr>
      <w:autoSpaceDE w:val="0"/>
      <w:autoSpaceDN w:val="0"/>
      <w:adjustRightInd w:val="0"/>
    </w:pPr>
    <w:rPr>
      <w:rFonts w:ascii="Arial" w:hAnsi="Arial" w:cs="Arial"/>
      <w:color w:val="000000"/>
      <w:sz w:val="24"/>
      <w:szCs w:val="24"/>
      <w:lang w:eastAsia="en-US"/>
    </w:rPr>
  </w:style>
  <w:style w:type="paragraph" w:customStyle="1" w:styleId="BVIfnrCharChar">
    <w:name w:val="BVI fnr Char Char"/>
    <w:aliases w:val="Char1 Char Char,Exposant 3 Point Char Char,Footnote Char Char,Footnote reference number Char Char,Footnote symbol Char Char,Ref Char Char,Times 10 Point Char Char,de nota al pie Char Char"/>
    <w:basedOn w:val="Normln"/>
    <w:link w:val="Znakapoznpodarou"/>
    <w:uiPriority w:val="99"/>
    <w:rsid w:val="00A30E79"/>
    <w:pPr>
      <w:spacing w:after="160" w:line="240" w:lineRule="exact"/>
    </w:pPr>
    <w:rPr>
      <w:vertAlign w:val="superscript"/>
    </w:rPr>
  </w:style>
  <w:style w:type="character" w:styleId="Zdraznn">
    <w:name w:val="Emphasis"/>
    <w:basedOn w:val="Standardnpsmoodstavce"/>
    <w:uiPriority w:val="20"/>
    <w:qFormat/>
    <w:rsid w:val="00524340"/>
    <w:rPr>
      <w:b/>
      <w:bCs/>
      <w:i w:val="0"/>
      <w:iCs w:val="0"/>
    </w:rPr>
  </w:style>
  <w:style w:type="character" w:customStyle="1" w:styleId="st1">
    <w:name w:val="st1"/>
    <w:basedOn w:val="Standardnpsmoodstavce"/>
    <w:rsid w:val="004C70C2"/>
  </w:style>
  <w:style w:type="character" w:customStyle="1" w:styleId="cizojazycne">
    <w:name w:val="cizojazycne"/>
    <w:basedOn w:val="Standardnpsmoodstavce"/>
    <w:rsid w:val="004C70C2"/>
  </w:style>
  <w:style w:type="character" w:customStyle="1" w:styleId="red-icon">
    <w:name w:val="red-icon"/>
    <w:basedOn w:val="Standardnpsmoodstavce"/>
    <w:rsid w:val="00A91E58"/>
  </w:style>
  <w:style w:type="character" w:customStyle="1" w:styleId="black-icon">
    <w:name w:val="black-icon"/>
    <w:basedOn w:val="Standardnpsmoodstavce"/>
    <w:rsid w:val="00A91E58"/>
  </w:style>
  <w:style w:type="character" w:customStyle="1" w:styleId="hps">
    <w:name w:val="hps"/>
    <w:basedOn w:val="Standardnpsmoodstavce"/>
    <w:rsid w:val="00692B18"/>
  </w:style>
  <w:style w:type="character" w:customStyle="1" w:styleId="shorttext">
    <w:name w:val="short_text"/>
    <w:basedOn w:val="Standardnpsmoodstavce"/>
    <w:rsid w:val="00692B18"/>
  </w:style>
  <w:style w:type="character" w:customStyle="1" w:styleId="Nadpis3Char">
    <w:name w:val="Nadpis 3 Char"/>
    <w:aliases w:val="H3 Char,Vysvětlivky Char,vlevo 14b. Char"/>
    <w:basedOn w:val="Standardnpsmoodstavce"/>
    <w:link w:val="Nadpis3"/>
    <w:uiPriority w:val="9"/>
    <w:rsid w:val="00174C92"/>
    <w:rPr>
      <w:b/>
      <w:bCs/>
      <w:color w:val="000000"/>
    </w:rPr>
  </w:style>
  <w:style w:type="character" w:customStyle="1" w:styleId="ZpatChar">
    <w:name w:val="Zápatí Char"/>
    <w:basedOn w:val="Standardnpsmoodstavce"/>
    <w:link w:val="Zpat"/>
    <w:uiPriority w:val="99"/>
    <w:rsid w:val="003D7541"/>
    <w:rPr>
      <w:sz w:val="24"/>
      <w:szCs w:val="24"/>
      <w:lang w:eastAsia="en-US"/>
    </w:rPr>
  </w:style>
  <w:style w:type="character" w:customStyle="1" w:styleId="OdstavecseseznamemChar">
    <w:name w:val="Odstavec se seznamem Char"/>
    <w:aliases w:val="Dot pt Char,Indicator Text Char,LISTA Char,List Paragraph (Czech Tourism) Char,List Paragraph Char Char Char Char,List Paragraph à moi Char,List Paragraph_0 Char,List Paragraph_1 Char,Nad Char,Nadpis pro KZ Char,odrážky Char"/>
    <w:basedOn w:val="Standardnpsmoodstavce"/>
    <w:link w:val="Odstavecseseznamem"/>
    <w:uiPriority w:val="34"/>
    <w:qFormat/>
    <w:locked/>
    <w:rsid w:val="00CF2CBD"/>
    <w:rPr>
      <w:sz w:val="24"/>
      <w:szCs w:val="24"/>
      <w:lang w:eastAsia="en-US"/>
    </w:rPr>
  </w:style>
  <w:style w:type="character" w:customStyle="1" w:styleId="Nadpis7Char">
    <w:name w:val="Nadpis 7 Char"/>
    <w:basedOn w:val="Standardnpsmoodstavce"/>
    <w:link w:val="Nadpis7"/>
    <w:uiPriority w:val="9"/>
    <w:rsid w:val="002E15D3"/>
    <w:rPr>
      <w:rFonts w:ascii="Arial" w:hAnsi="Arial"/>
      <w:b/>
      <w:bCs/>
      <w:color w:val="0000FF"/>
      <w:sz w:val="22"/>
      <w:szCs w:val="24"/>
      <w:lang w:eastAsia="en-US"/>
    </w:rPr>
  </w:style>
  <w:style w:type="character" w:customStyle="1" w:styleId="Nadpis9Char">
    <w:name w:val="Nadpis 9 Char"/>
    <w:basedOn w:val="Standardnpsmoodstavce"/>
    <w:link w:val="Nadpis9"/>
    <w:uiPriority w:val="9"/>
    <w:rsid w:val="002E15D3"/>
    <w:rPr>
      <w:rFonts w:ascii="Cambria" w:hAnsi="Cambria"/>
      <w:sz w:val="22"/>
      <w:szCs w:val="22"/>
      <w:lang w:eastAsia="en-US"/>
    </w:rPr>
  </w:style>
  <w:style w:type="character" w:customStyle="1" w:styleId="ZhlavChar">
    <w:name w:val="Záhlaví Char"/>
    <w:basedOn w:val="Standardnpsmoodstavce"/>
    <w:link w:val="Zhlav"/>
    <w:uiPriority w:val="99"/>
    <w:rsid w:val="0024209B"/>
    <w:rPr>
      <w:sz w:val="24"/>
      <w:szCs w:val="24"/>
      <w:lang w:eastAsia="en-US"/>
    </w:rPr>
  </w:style>
  <w:style w:type="character" w:customStyle="1" w:styleId="Nadpis5Char">
    <w:name w:val="Nadpis 5 Char"/>
    <w:basedOn w:val="Standardnpsmoodstavce"/>
    <w:link w:val="Nadpis5"/>
    <w:uiPriority w:val="9"/>
    <w:rsid w:val="006441C4"/>
    <w:rPr>
      <w:b/>
      <w:noProof/>
      <w:sz w:val="24"/>
      <w:szCs w:val="24"/>
      <w:lang w:eastAsia="en-US"/>
    </w:rPr>
  </w:style>
  <w:style w:type="character" w:customStyle="1" w:styleId="TextkomenteChar">
    <w:name w:val="Text komentáře Char"/>
    <w:basedOn w:val="Standardnpsmoodstavce"/>
    <w:link w:val="Textkomente"/>
    <w:uiPriority w:val="99"/>
    <w:rsid w:val="00D75209"/>
    <w:rPr>
      <w:lang w:eastAsia="en-US"/>
    </w:rPr>
  </w:style>
  <w:style w:type="paragraph" w:styleId="Revize">
    <w:name w:val="Revision"/>
    <w:hidden/>
    <w:uiPriority w:val="99"/>
    <w:semiHidden/>
    <w:rsid w:val="00F208B9"/>
    <w:rPr>
      <w:sz w:val="24"/>
      <w:szCs w:val="24"/>
      <w:lang w:eastAsia="en-US"/>
    </w:rPr>
  </w:style>
  <w:style w:type="paragraph" w:styleId="Pedmtkomente">
    <w:name w:val="annotation subject"/>
    <w:basedOn w:val="Textkomente"/>
    <w:next w:val="Textkomente"/>
    <w:link w:val="PedmtkomenteChar"/>
    <w:uiPriority w:val="99"/>
    <w:semiHidden/>
    <w:unhideWhenUsed/>
    <w:rsid w:val="009B2545"/>
    <w:rPr>
      <w:b/>
      <w:bCs/>
    </w:rPr>
  </w:style>
  <w:style w:type="character" w:customStyle="1" w:styleId="PedmtkomenteChar">
    <w:name w:val="Předmět komentáře Char"/>
    <w:basedOn w:val="TextkomenteChar"/>
    <w:link w:val="Pedmtkomente"/>
    <w:uiPriority w:val="99"/>
    <w:semiHidden/>
    <w:rsid w:val="009B2545"/>
    <w:rPr>
      <w:b/>
      <w:bCs/>
      <w:lang w:eastAsia="en-US"/>
    </w:rPr>
  </w:style>
  <w:style w:type="paragraph" w:customStyle="1" w:styleId="Poznmka">
    <w:name w:val="Poznámka"/>
    <w:basedOn w:val="Normln"/>
    <w:link w:val="PoznmkaChar"/>
    <w:autoRedefine/>
    <w:qFormat/>
    <w:rsid w:val="00C3302D"/>
    <w:pPr>
      <w:spacing w:before="60"/>
    </w:pPr>
    <w:rPr>
      <w:i/>
      <w:szCs w:val="18"/>
    </w:rPr>
  </w:style>
  <w:style w:type="character" w:customStyle="1" w:styleId="PoznmkaChar">
    <w:name w:val="Poznámka Char"/>
    <w:link w:val="Poznmka"/>
    <w:rsid w:val="00C3302D"/>
    <w:rPr>
      <w:rFonts w:asciiTheme="minorHAnsi" w:hAnsiTheme="minorHAnsi"/>
      <w:i/>
      <w:szCs w:val="18"/>
      <w:lang w:eastAsia="en-US"/>
    </w:rPr>
  </w:style>
  <w:style w:type="paragraph" w:customStyle="1" w:styleId="Nzevtabulky">
    <w:name w:val="Název tabulky"/>
    <w:basedOn w:val="Normln"/>
    <w:qFormat/>
    <w:rsid w:val="00B52B7F"/>
    <w:pPr>
      <w:keepNext/>
      <w:numPr>
        <w:ilvl w:val="1"/>
        <w:numId w:val="3"/>
      </w:numPr>
      <w:spacing w:before="240" w:after="120"/>
    </w:pPr>
    <w:rPr>
      <w:rFonts w:cs="Arial"/>
      <w:szCs w:val="22"/>
    </w:rPr>
  </w:style>
  <w:style w:type="paragraph" w:customStyle="1" w:styleId="Zdroj">
    <w:name w:val="Zdroj"/>
    <w:basedOn w:val="Normln"/>
    <w:link w:val="ZdrojChar"/>
    <w:qFormat/>
    <w:rsid w:val="007F2E73"/>
    <w:pPr>
      <w:ind w:left="57"/>
    </w:pPr>
    <w:rPr>
      <w:i/>
      <w:sz w:val="20"/>
      <w:szCs w:val="18"/>
    </w:rPr>
  </w:style>
  <w:style w:type="character" w:customStyle="1" w:styleId="ZdrojChar">
    <w:name w:val="Zdroj Char"/>
    <w:basedOn w:val="Standardnpsmoodstavce"/>
    <w:link w:val="Zdroj"/>
    <w:locked/>
    <w:rsid w:val="007F2E73"/>
    <w:rPr>
      <w:rFonts w:asciiTheme="minorHAnsi" w:hAnsiTheme="minorHAnsi"/>
      <w:i/>
      <w:szCs w:val="18"/>
    </w:rPr>
  </w:style>
  <w:style w:type="character" w:customStyle="1" w:styleId="Nadpis2Char">
    <w:name w:val="Nadpis 2 Char"/>
    <w:aliases w:val="H2 Char,POŘ-Nadpis 2 Char,vlevo 16b. Char"/>
    <w:basedOn w:val="Standardnpsmoodstavce"/>
    <w:link w:val="Nadpis2"/>
    <w:uiPriority w:val="9"/>
    <w:rsid w:val="00C21EF3"/>
    <w:rPr>
      <w:rFonts w:eastAsia="SimSun"/>
      <w:b/>
      <w:sz w:val="24"/>
    </w:rPr>
  </w:style>
  <w:style w:type="character" w:customStyle="1" w:styleId="Nadpis6Char">
    <w:name w:val="Nadpis 6 Char"/>
    <w:aliases w:val="střed 14b. Char"/>
    <w:basedOn w:val="Standardnpsmoodstavce"/>
    <w:link w:val="Nadpis6"/>
    <w:uiPriority w:val="9"/>
    <w:rsid w:val="00C21EF3"/>
    <w:rPr>
      <w:b/>
      <w:bCs/>
      <w:noProof/>
      <w:sz w:val="24"/>
      <w:szCs w:val="24"/>
      <w:u w:val="single"/>
      <w:lang w:eastAsia="en-US"/>
    </w:rPr>
  </w:style>
  <w:style w:type="paragraph" w:styleId="Citt">
    <w:name w:val="Quote"/>
    <w:basedOn w:val="Normln"/>
    <w:next w:val="Normln"/>
    <w:link w:val="CittChar"/>
    <w:uiPriority w:val="29"/>
    <w:qFormat/>
    <w:rsid w:val="00C21EF3"/>
    <w:pPr>
      <w:spacing w:before="120"/>
    </w:pPr>
    <w:rPr>
      <w:rFonts w:ascii="Arial" w:eastAsiaTheme="minorHAnsi" w:hAnsi="Arial" w:cstheme="minorBidi"/>
      <w:i/>
      <w:iCs/>
      <w:color w:val="000000" w:themeColor="text1"/>
      <w:sz w:val="22"/>
      <w:szCs w:val="22"/>
    </w:rPr>
  </w:style>
  <w:style w:type="character" w:customStyle="1" w:styleId="CittChar">
    <w:name w:val="Citát Char"/>
    <w:basedOn w:val="Standardnpsmoodstavce"/>
    <w:link w:val="Citt"/>
    <w:uiPriority w:val="29"/>
    <w:rsid w:val="00C21EF3"/>
    <w:rPr>
      <w:rFonts w:ascii="Arial" w:eastAsiaTheme="minorHAnsi" w:hAnsi="Arial" w:cstheme="minorBidi"/>
      <w:i/>
      <w:iCs/>
      <w:color w:val="000000" w:themeColor="text1"/>
      <w:sz w:val="22"/>
      <w:szCs w:val="22"/>
      <w:lang w:eastAsia="en-US"/>
    </w:rPr>
  </w:style>
  <w:style w:type="paragraph" w:customStyle="1" w:styleId="N1">
    <w:name w:val="N1"/>
    <w:basedOn w:val="Normln"/>
    <w:qFormat/>
    <w:rsid w:val="00C21EF3"/>
    <w:pPr>
      <w:keepNext/>
      <w:numPr>
        <w:numId w:val="4"/>
      </w:numPr>
      <w:spacing w:before="240" w:after="240"/>
    </w:pPr>
    <w:rPr>
      <w:rFonts w:ascii="Arial" w:eastAsiaTheme="minorHAnsi" w:hAnsi="Arial" w:cstheme="minorBidi"/>
      <w:b/>
      <w:i/>
      <w:szCs w:val="22"/>
    </w:rPr>
  </w:style>
  <w:style w:type="paragraph" w:customStyle="1" w:styleId="N2">
    <w:name w:val="N2"/>
    <w:basedOn w:val="Normln"/>
    <w:link w:val="N2Char"/>
    <w:qFormat/>
    <w:rsid w:val="00A91587"/>
    <w:pPr>
      <w:keepNext/>
      <w:autoSpaceDE w:val="0"/>
      <w:autoSpaceDN w:val="0"/>
      <w:adjustRightInd w:val="0"/>
      <w:spacing w:before="240" w:after="120"/>
      <w:outlineLvl w:val="2"/>
    </w:pPr>
    <w:rPr>
      <w:rFonts w:eastAsiaTheme="minorHAnsi" w:cstheme="minorBidi"/>
      <w:b/>
      <w:szCs w:val="22"/>
    </w:rPr>
  </w:style>
  <w:style w:type="character" w:customStyle="1" w:styleId="N2Char">
    <w:name w:val="N2 Char"/>
    <w:basedOn w:val="OdstavecseseznamemChar"/>
    <w:link w:val="N2"/>
    <w:rsid w:val="00A91587"/>
    <w:rPr>
      <w:rFonts w:asciiTheme="minorHAnsi" w:eastAsiaTheme="minorHAnsi" w:hAnsiTheme="minorHAnsi" w:cstheme="minorBidi"/>
      <w:b/>
      <w:sz w:val="24"/>
      <w:szCs w:val="22"/>
      <w:lang w:eastAsia="en-US"/>
    </w:rPr>
  </w:style>
  <w:style w:type="paragraph" w:customStyle="1" w:styleId="N3">
    <w:name w:val="N3"/>
    <w:basedOn w:val="Normln"/>
    <w:link w:val="N3Char"/>
    <w:qFormat/>
    <w:rsid w:val="00C21EF3"/>
    <w:pPr>
      <w:keepNext/>
      <w:numPr>
        <w:numId w:val="6"/>
      </w:numPr>
      <w:spacing w:before="240" w:after="240"/>
    </w:pPr>
    <w:rPr>
      <w:rFonts w:ascii="Arial" w:eastAsiaTheme="minorHAnsi" w:hAnsi="Arial" w:cstheme="minorBidi"/>
      <w:i/>
      <w:sz w:val="22"/>
      <w:szCs w:val="22"/>
    </w:rPr>
  </w:style>
  <w:style w:type="character" w:customStyle="1" w:styleId="N3Char">
    <w:name w:val="N3 Char"/>
    <w:basedOn w:val="OdstavecseseznamemChar"/>
    <w:link w:val="N3"/>
    <w:rsid w:val="00C21EF3"/>
    <w:rPr>
      <w:rFonts w:ascii="Arial" w:eastAsiaTheme="minorHAnsi" w:hAnsi="Arial" w:cstheme="minorBidi"/>
      <w:i/>
      <w:sz w:val="22"/>
      <w:szCs w:val="22"/>
      <w:lang w:eastAsia="en-US"/>
    </w:rPr>
  </w:style>
  <w:style w:type="paragraph" w:styleId="Normlnodsazen">
    <w:name w:val="Normal Indent"/>
    <w:basedOn w:val="Normln"/>
    <w:uiPriority w:val="99"/>
    <w:semiHidden/>
    <w:unhideWhenUsed/>
    <w:rsid w:val="00C21EF3"/>
    <w:pPr>
      <w:spacing w:before="120"/>
      <w:ind w:left="708"/>
    </w:pPr>
    <w:rPr>
      <w:rFonts w:ascii="Arial" w:eastAsiaTheme="minorHAnsi" w:hAnsi="Arial" w:cstheme="minorBidi"/>
      <w:sz w:val="22"/>
      <w:szCs w:val="22"/>
    </w:rPr>
  </w:style>
  <w:style w:type="table" w:customStyle="1" w:styleId="Mkatabulky1">
    <w:name w:val="Mřížka tabulky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C21EF3"/>
  </w:style>
  <w:style w:type="numbering" w:customStyle="1" w:styleId="Bezseznamu2">
    <w:name w:val="Bez seznamu2"/>
    <w:next w:val="Bezseznamu"/>
    <w:uiPriority w:val="99"/>
    <w:semiHidden/>
    <w:unhideWhenUsed/>
    <w:rsid w:val="00C21EF3"/>
  </w:style>
  <w:style w:type="numbering" w:customStyle="1" w:styleId="Bezseznamu3">
    <w:name w:val="Bez seznamu3"/>
    <w:next w:val="Bezseznamu"/>
    <w:uiPriority w:val="99"/>
    <w:semiHidden/>
    <w:unhideWhenUsed/>
    <w:rsid w:val="00C21EF3"/>
  </w:style>
  <w:style w:type="paragraph" w:customStyle="1" w:styleId="Nadpis71">
    <w:name w:val="Nadpis 71"/>
    <w:basedOn w:val="Normln"/>
    <w:next w:val="Normln"/>
    <w:uiPriority w:val="9"/>
    <w:unhideWhenUsed/>
    <w:qFormat/>
    <w:rsid w:val="0093467A"/>
    <w:pPr>
      <w:keepNext/>
      <w:keepLines/>
      <w:spacing w:before="200"/>
      <w:outlineLvl w:val="6"/>
    </w:pPr>
    <w:rPr>
      <w:rFonts w:ascii="Cambria" w:hAnsi="Cambria"/>
      <w:i/>
      <w:iCs/>
      <w:color w:val="404040"/>
      <w:lang w:val="en-US"/>
    </w:rPr>
  </w:style>
  <w:style w:type="numbering" w:customStyle="1" w:styleId="Bezseznamu11">
    <w:name w:val="Bez seznamu11"/>
    <w:next w:val="Bezseznamu"/>
    <w:uiPriority w:val="99"/>
    <w:semiHidden/>
    <w:unhideWhenUsed/>
    <w:rsid w:val="00C21EF3"/>
  </w:style>
  <w:style w:type="paragraph" w:customStyle="1" w:styleId="Citt1">
    <w:name w:val="Citát1"/>
    <w:basedOn w:val="Normln"/>
    <w:next w:val="Normln"/>
    <w:uiPriority w:val="29"/>
    <w:qFormat/>
    <w:rsid w:val="00C21EF3"/>
    <w:pPr>
      <w:spacing w:before="120"/>
    </w:pPr>
    <w:rPr>
      <w:rFonts w:ascii="Arial" w:eastAsia="Calibri" w:hAnsi="Arial"/>
      <w:i/>
      <w:iCs/>
      <w:color w:val="000000"/>
      <w:sz w:val="22"/>
      <w:szCs w:val="22"/>
    </w:rPr>
  </w:style>
  <w:style w:type="table" w:customStyle="1" w:styleId="Mkatabulky21">
    <w:name w:val="Mřížka tabulky21"/>
    <w:basedOn w:val="Normlntabulka"/>
    <w:next w:val="Mkatabulky"/>
    <w:uiPriority w:val="59"/>
    <w:rsid w:val="00C21E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7Char1">
    <w:name w:val="Nadpis 7 Char1"/>
    <w:basedOn w:val="Standardnpsmoodstavce"/>
    <w:uiPriority w:val="9"/>
    <w:semiHidden/>
    <w:rsid w:val="00C21EF3"/>
    <w:rPr>
      <w:rFonts w:ascii="Cambria" w:eastAsia="Times New Roman" w:hAnsi="Cambria" w:cs="Times New Roman"/>
      <w:i/>
      <w:iCs/>
      <w:color w:val="404040"/>
      <w:sz w:val="24"/>
      <w:szCs w:val="24"/>
      <w:lang w:val="en-US" w:eastAsia="en-US"/>
    </w:rPr>
  </w:style>
  <w:style w:type="character" w:customStyle="1" w:styleId="CittChar1">
    <w:name w:val="Citát Char1"/>
    <w:basedOn w:val="Standardnpsmoodstavce"/>
    <w:uiPriority w:val="29"/>
    <w:rsid w:val="00C21EF3"/>
    <w:rPr>
      <w:i/>
      <w:iCs/>
      <w:color w:val="000000"/>
      <w:sz w:val="24"/>
      <w:szCs w:val="24"/>
      <w:lang w:val="en-US" w:eastAsia="en-US"/>
    </w:rPr>
  </w:style>
  <w:style w:type="table" w:customStyle="1" w:styleId="Mkatabulky3">
    <w:name w:val="Mřížka tabulky3"/>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
    <w:name w:val="Mřížka tabulky1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
    <w:name w:val="Mřížka tabulky4"/>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
    <w:name w:val="Mřížka tabulky5"/>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
    <w:name w:val="Mřížka tabulky2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dpis4Char">
    <w:name w:val="Nadpis 4 Char"/>
    <w:aliases w:val="příloha Char"/>
    <w:basedOn w:val="Standardnpsmoodstavce"/>
    <w:link w:val="Nadpis4"/>
    <w:uiPriority w:val="9"/>
    <w:rsid w:val="0010633C"/>
    <w:rPr>
      <w:rFonts w:asciiTheme="minorHAnsi" w:hAnsiTheme="minorHAnsi"/>
      <w:b/>
      <w:bCs/>
      <w:sz w:val="24"/>
    </w:rPr>
  </w:style>
  <w:style w:type="numbering" w:customStyle="1" w:styleId="Bezseznamu4">
    <w:name w:val="Bez seznamu4"/>
    <w:next w:val="Bezseznamu"/>
    <w:uiPriority w:val="99"/>
    <w:semiHidden/>
    <w:unhideWhenUsed/>
    <w:rsid w:val="00C21EF3"/>
  </w:style>
  <w:style w:type="paragraph" w:styleId="Nadpisobsahu">
    <w:name w:val="TOC Heading"/>
    <w:basedOn w:val="Nadpis1"/>
    <w:next w:val="Normln"/>
    <w:uiPriority w:val="39"/>
    <w:qFormat/>
    <w:rsid w:val="00C21EF3"/>
    <w:pPr>
      <w:keepLines/>
      <w:spacing w:line="259" w:lineRule="auto"/>
      <w:jc w:val="left"/>
      <w:outlineLvl w:val="9"/>
    </w:pPr>
    <w:rPr>
      <w:rFonts w:ascii="Calibri Light" w:hAnsi="Calibri Light"/>
      <w:b w:val="0"/>
      <w:bCs w:val="0"/>
      <w:color w:val="2E74B5"/>
      <w:sz w:val="32"/>
      <w:szCs w:val="32"/>
    </w:rPr>
  </w:style>
  <w:style w:type="paragraph" w:styleId="Obsah2">
    <w:name w:val="toc 2"/>
    <w:basedOn w:val="Normln"/>
    <w:next w:val="Normln"/>
    <w:autoRedefine/>
    <w:uiPriority w:val="39"/>
    <w:unhideWhenUsed/>
    <w:rsid w:val="00C21EF3"/>
    <w:pPr>
      <w:ind w:left="240"/>
    </w:pPr>
    <w:rPr>
      <w:rFonts w:ascii="Calibri" w:hAnsi="Calibri"/>
    </w:rPr>
  </w:style>
  <w:style w:type="paragraph" w:styleId="Obsah3">
    <w:name w:val="toc 3"/>
    <w:basedOn w:val="Normln"/>
    <w:next w:val="Normln"/>
    <w:autoRedefine/>
    <w:uiPriority w:val="39"/>
    <w:unhideWhenUsed/>
    <w:rsid w:val="00C21EF3"/>
    <w:pPr>
      <w:tabs>
        <w:tab w:val="left" w:pos="960"/>
        <w:tab w:val="right" w:leader="dot" w:pos="9062"/>
      </w:tabs>
      <w:ind w:left="480"/>
    </w:pPr>
    <w:rPr>
      <w:rFonts w:ascii="Calibri" w:hAnsi="Calibri"/>
      <w:noProof/>
    </w:rPr>
  </w:style>
  <w:style w:type="paragraph" w:styleId="Rozloendokumentu">
    <w:name w:val="Document Map"/>
    <w:basedOn w:val="Normln"/>
    <w:link w:val="RozloendokumentuChar"/>
    <w:semiHidden/>
    <w:rsid w:val="00C21EF3"/>
    <w:pPr>
      <w:shd w:val="clear" w:color="auto" w:fill="000080"/>
    </w:pPr>
    <w:rPr>
      <w:rFonts w:ascii="Tahoma" w:hAnsi="Tahoma" w:cs="Tahoma"/>
    </w:rPr>
  </w:style>
  <w:style w:type="character" w:customStyle="1" w:styleId="RozloendokumentuChar">
    <w:name w:val="Rozložení dokumentu Char"/>
    <w:basedOn w:val="Standardnpsmoodstavce"/>
    <w:link w:val="Rozloendokumentu"/>
    <w:semiHidden/>
    <w:rsid w:val="00C21EF3"/>
    <w:rPr>
      <w:rFonts w:ascii="Tahoma" w:hAnsi="Tahoma" w:cs="Tahoma"/>
      <w:shd w:val="clear" w:color="auto" w:fill="000080"/>
      <w:lang w:eastAsia="en-US"/>
    </w:rPr>
  </w:style>
  <w:style w:type="paragraph" w:styleId="Zkladntext-prvnodsazen">
    <w:name w:val="Body Text First Indent"/>
    <w:basedOn w:val="Zkladntext"/>
    <w:link w:val="Zkladntext-prvnodsazenChar"/>
    <w:rsid w:val="00C21EF3"/>
    <w:pPr>
      <w:spacing w:after="120"/>
      <w:ind w:firstLine="210"/>
      <w:jc w:val="left"/>
    </w:pPr>
    <w:rPr>
      <w:rFonts w:ascii="Calibri" w:hAnsi="Calibri"/>
      <w:b w:val="0"/>
      <w:bCs w:val="0"/>
      <w:sz w:val="24"/>
      <w:szCs w:val="24"/>
    </w:rPr>
  </w:style>
  <w:style w:type="character" w:customStyle="1" w:styleId="ZkladntextChar1">
    <w:name w:val="Základní text Char1"/>
    <w:aliases w:val="?????1 Char,Body ... Char,Body Text Char Char1,Body Text Char Char Char1,Body Text Char Char Char Char,Body Text Char1 Char Char Char,Body Text Char2 Char Char,Corps de texte INTSUM Char,Nornální Char,Základní text - D Char,b Char"/>
    <w:basedOn w:val="Standardnpsmoodstavce"/>
    <w:link w:val="Zkladntext"/>
    <w:rsid w:val="00C21EF3"/>
    <w:rPr>
      <w:b/>
      <w:bCs/>
      <w:sz w:val="28"/>
      <w:szCs w:val="28"/>
      <w:lang w:eastAsia="en-US"/>
    </w:rPr>
  </w:style>
  <w:style w:type="character" w:customStyle="1" w:styleId="Zkladntext-prvnodsazenChar">
    <w:name w:val="Základní text - první odsazený Char"/>
    <w:basedOn w:val="ZkladntextChar1"/>
    <w:link w:val="Zkladntext-prvnodsazen"/>
    <w:rsid w:val="00C21EF3"/>
    <w:rPr>
      <w:rFonts w:ascii="Calibri" w:hAnsi="Calibri"/>
      <w:b w:val="0"/>
      <w:bCs w:val="0"/>
      <w:sz w:val="24"/>
      <w:szCs w:val="24"/>
      <w:lang w:eastAsia="en-US"/>
    </w:rPr>
  </w:style>
  <w:style w:type="table" w:customStyle="1" w:styleId="Mkatabulky6">
    <w:name w:val="Mřížka tabulky6"/>
    <w:basedOn w:val="Normlntabulka"/>
    <w:next w:val="Mkatabulky"/>
    <w:rsid w:val="00C21EF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C21EF3"/>
  </w:style>
  <w:style w:type="numbering" w:customStyle="1" w:styleId="Bezseznamu5">
    <w:name w:val="Bez seznamu5"/>
    <w:next w:val="Bezseznamu"/>
    <w:uiPriority w:val="99"/>
    <w:semiHidden/>
    <w:unhideWhenUsed/>
    <w:rsid w:val="00C21EF3"/>
  </w:style>
  <w:style w:type="table" w:customStyle="1" w:styleId="Mkatabulky7">
    <w:name w:val="Mřížka tabulky7"/>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2">
    <w:name w:val="Bez seznamu12"/>
    <w:next w:val="Bezseznamu"/>
    <w:uiPriority w:val="99"/>
    <w:semiHidden/>
    <w:unhideWhenUsed/>
    <w:rsid w:val="00C21EF3"/>
  </w:style>
  <w:style w:type="table" w:customStyle="1" w:styleId="Mkatabulky31">
    <w:name w:val="Mřížka tabulky31"/>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71">
    <w:name w:val="Mřížka tabulky7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8">
    <w:name w:val="Mřížka tabulky8"/>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2">
    <w:name w:val="Mřížka tabulky12"/>
    <w:basedOn w:val="Normlntabulka"/>
    <w:next w:val="Mkatabulky"/>
    <w:uiPriority w:val="39"/>
    <w:rsid w:val="00C21E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3">
    <w:name w:val="Mřížka tabulky2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1">
    <w:name w:val="Mřížka tabulky41"/>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6">
    <w:name w:val="Bez seznamu6"/>
    <w:next w:val="Bezseznamu"/>
    <w:uiPriority w:val="99"/>
    <w:semiHidden/>
    <w:unhideWhenUsed/>
    <w:rsid w:val="00C21EF3"/>
  </w:style>
  <w:style w:type="paragraph" w:customStyle="1" w:styleId="Nadpis21">
    <w:name w:val="Nadpis 21"/>
    <w:basedOn w:val="Normln"/>
    <w:next w:val="Normln"/>
    <w:unhideWhenUsed/>
    <w:qFormat/>
    <w:rsid w:val="00C21EF3"/>
    <w:pPr>
      <w:keepNext/>
      <w:keepLines/>
      <w:spacing w:before="200"/>
      <w:outlineLvl w:val="1"/>
    </w:pPr>
    <w:rPr>
      <w:rFonts w:ascii="Cambria" w:hAnsi="Cambria"/>
      <w:b/>
      <w:bCs/>
      <w:color w:val="4F81BD"/>
      <w:sz w:val="26"/>
      <w:szCs w:val="26"/>
    </w:rPr>
  </w:style>
  <w:style w:type="paragraph" w:customStyle="1" w:styleId="Nadpis31">
    <w:name w:val="Nadpis 31"/>
    <w:basedOn w:val="Normln"/>
    <w:next w:val="Normln"/>
    <w:uiPriority w:val="9"/>
    <w:unhideWhenUsed/>
    <w:qFormat/>
    <w:rsid w:val="00C21EF3"/>
    <w:pPr>
      <w:keepNext/>
      <w:keepLines/>
      <w:spacing w:before="40"/>
      <w:outlineLvl w:val="2"/>
    </w:pPr>
    <w:rPr>
      <w:rFonts w:ascii="Cambria" w:hAnsi="Cambria"/>
      <w:color w:val="243F60"/>
    </w:rPr>
  </w:style>
  <w:style w:type="paragraph" w:customStyle="1" w:styleId="Nadpis41">
    <w:name w:val="Nadpis 41"/>
    <w:basedOn w:val="Normln"/>
    <w:next w:val="Normln"/>
    <w:uiPriority w:val="9"/>
    <w:unhideWhenUsed/>
    <w:qFormat/>
    <w:rsid w:val="00C21EF3"/>
    <w:pPr>
      <w:keepNext/>
      <w:keepLines/>
      <w:spacing w:before="40"/>
      <w:outlineLvl w:val="3"/>
    </w:pPr>
    <w:rPr>
      <w:rFonts w:ascii="Cambria" w:hAnsi="Cambria"/>
      <w:i/>
      <w:iCs/>
      <w:color w:val="365F91"/>
      <w:sz w:val="22"/>
      <w:szCs w:val="22"/>
    </w:rPr>
  </w:style>
  <w:style w:type="table" w:customStyle="1" w:styleId="Mkatabulky9">
    <w:name w:val="Mřížka tabulky9"/>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3">
    <w:name w:val="Mřížka tabulky13"/>
    <w:basedOn w:val="Normlntabulka"/>
    <w:next w:val="Mkatabulky"/>
    <w:uiPriority w:val="59"/>
    <w:rsid w:val="00C2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4">
    <w:name w:val="Mřížka tabulky24"/>
    <w:basedOn w:val="Normlntabulka"/>
    <w:next w:val="Mkatabulky"/>
    <w:uiPriority w:val="5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11">
    <w:name w:val="Mřížka tabulky211"/>
    <w:basedOn w:val="Normlntabulka"/>
    <w:next w:val="Mkatabulky"/>
    <w:uiPriority w:val="59"/>
    <w:rsid w:val="00C21EF3"/>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32">
    <w:name w:val="Mřížka tabulky3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111">
    <w:name w:val="Mřížka tabulky11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42">
    <w:name w:val="Mřížka tabulky42"/>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51">
    <w:name w:val="Mřížka tabulky51"/>
    <w:basedOn w:val="Normlntabulka"/>
    <w:next w:val="Mkatabulky"/>
    <w:uiPriority w:val="39"/>
    <w:rsid w:val="00C21EF3"/>
    <w:rPr>
      <w:rFonts w:asciiTheme="minorHAnsi" w:hAnsi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21">
    <w:name w:val="Mřížka tabulky221"/>
    <w:basedOn w:val="Normlntabulka"/>
    <w:next w:val="Mkatabulky"/>
    <w:uiPriority w:val="39"/>
    <w:rsid w:val="00C21EF3"/>
    <w:rPr>
      <w:rFonts w:asciiTheme="minorHAnsi" w:hAnsiTheme="minorHAns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61">
    <w:name w:val="Mřížka tabulky61"/>
    <w:basedOn w:val="Normlntabulka"/>
    <w:next w:val="Mkatabulky"/>
    <w:rsid w:val="00C21EF3"/>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1">
    <w:name w:val="Nadpis 2 Char1"/>
    <w:basedOn w:val="Standardnpsmoodstavce"/>
    <w:uiPriority w:val="9"/>
    <w:semiHidden/>
    <w:rsid w:val="00C21EF3"/>
    <w:rPr>
      <w:rFonts w:ascii="Calibri Light" w:eastAsia="Times New Roman" w:hAnsi="Calibri Light" w:cs="Times New Roman"/>
      <w:color w:val="2E74B5"/>
      <w:sz w:val="26"/>
      <w:szCs w:val="26"/>
    </w:rPr>
  </w:style>
  <w:style w:type="character" w:customStyle="1" w:styleId="Nadpis7Char2">
    <w:name w:val="Nadpis 7 Char2"/>
    <w:basedOn w:val="Standardnpsmoodstavce"/>
    <w:uiPriority w:val="9"/>
    <w:semiHidden/>
    <w:rsid w:val="00C21EF3"/>
    <w:rPr>
      <w:rFonts w:ascii="Calibri Light" w:eastAsia="Times New Roman" w:hAnsi="Calibri Light" w:cs="Times New Roman"/>
      <w:i/>
      <w:iCs/>
      <w:color w:val="1F4D78"/>
    </w:rPr>
  </w:style>
  <w:style w:type="character" w:customStyle="1" w:styleId="CittChar2">
    <w:name w:val="Citát Char2"/>
    <w:basedOn w:val="Standardnpsmoodstavce"/>
    <w:uiPriority w:val="29"/>
    <w:rsid w:val="00C21EF3"/>
    <w:rPr>
      <w:rFonts w:cs="Times New Roman"/>
      <w:i/>
      <w:iCs/>
      <w:color w:val="404040"/>
    </w:rPr>
  </w:style>
  <w:style w:type="character" w:customStyle="1" w:styleId="CittChar21">
    <w:name w:val="Citát Char21"/>
    <w:basedOn w:val="Standardnpsmoodstavce"/>
    <w:uiPriority w:val="29"/>
    <w:rsid w:val="00C21EF3"/>
    <w:rPr>
      <w:rFonts w:cs="Times New Roman"/>
      <w:i/>
      <w:iCs/>
      <w:color w:val="404040"/>
    </w:rPr>
  </w:style>
  <w:style w:type="character" w:customStyle="1" w:styleId="Nadpis3Char1">
    <w:name w:val="Nadpis 3 Char1"/>
    <w:basedOn w:val="Standardnpsmoodstavce"/>
    <w:uiPriority w:val="9"/>
    <w:semiHidden/>
    <w:rsid w:val="00C21EF3"/>
    <w:rPr>
      <w:rFonts w:ascii="Calibri Light" w:eastAsia="Times New Roman" w:hAnsi="Calibri Light" w:cs="Times New Roman"/>
      <w:color w:val="1F4D78"/>
      <w:sz w:val="24"/>
      <w:szCs w:val="24"/>
    </w:rPr>
  </w:style>
  <w:style w:type="character" w:customStyle="1" w:styleId="Nadpis4Char1">
    <w:name w:val="Nadpis 4 Char1"/>
    <w:basedOn w:val="Standardnpsmoodstavce"/>
    <w:uiPriority w:val="9"/>
    <w:semiHidden/>
    <w:rsid w:val="00C21EF3"/>
    <w:rPr>
      <w:rFonts w:ascii="Calibri Light" w:eastAsia="Times New Roman" w:hAnsi="Calibri Light" w:cs="Times New Roman"/>
      <w:i/>
      <w:iCs/>
      <w:color w:val="2E74B5"/>
    </w:rPr>
  </w:style>
  <w:style w:type="numbering" w:customStyle="1" w:styleId="Bezseznamu7">
    <w:name w:val="Bez seznamu7"/>
    <w:next w:val="Bezseznamu"/>
    <w:uiPriority w:val="99"/>
    <w:semiHidden/>
    <w:unhideWhenUsed/>
    <w:rsid w:val="00C21EF3"/>
  </w:style>
  <w:style w:type="numbering" w:customStyle="1" w:styleId="Bezseznamu13">
    <w:name w:val="Bez seznamu13"/>
    <w:next w:val="Bezseznamu"/>
    <w:uiPriority w:val="99"/>
    <w:semiHidden/>
    <w:unhideWhenUsed/>
    <w:rsid w:val="00C21EF3"/>
  </w:style>
  <w:style w:type="numbering" w:customStyle="1" w:styleId="Bezseznamu111">
    <w:name w:val="Bez seznamu111"/>
    <w:next w:val="Bezseznamu"/>
    <w:uiPriority w:val="99"/>
    <w:semiHidden/>
    <w:unhideWhenUsed/>
    <w:rsid w:val="00C21EF3"/>
  </w:style>
  <w:style w:type="numbering" w:customStyle="1" w:styleId="Bezseznamu21">
    <w:name w:val="Bez seznamu21"/>
    <w:next w:val="Bezseznamu"/>
    <w:uiPriority w:val="99"/>
    <w:semiHidden/>
    <w:unhideWhenUsed/>
    <w:rsid w:val="00C21EF3"/>
  </w:style>
  <w:style w:type="numbering" w:customStyle="1" w:styleId="Bezseznamu31">
    <w:name w:val="Bez seznamu31"/>
    <w:next w:val="Bezseznamu"/>
    <w:uiPriority w:val="99"/>
    <w:semiHidden/>
    <w:unhideWhenUsed/>
    <w:rsid w:val="00C21EF3"/>
  </w:style>
  <w:style w:type="numbering" w:customStyle="1" w:styleId="Bezseznamu1111">
    <w:name w:val="Bez seznamu1111"/>
    <w:next w:val="Bezseznamu"/>
    <w:uiPriority w:val="99"/>
    <w:semiHidden/>
    <w:unhideWhenUsed/>
    <w:rsid w:val="00C21EF3"/>
  </w:style>
  <w:style w:type="numbering" w:customStyle="1" w:styleId="Bezseznamu41">
    <w:name w:val="Bez seznamu41"/>
    <w:next w:val="Bezseznamu"/>
    <w:uiPriority w:val="99"/>
    <w:semiHidden/>
    <w:unhideWhenUsed/>
    <w:rsid w:val="00C21EF3"/>
  </w:style>
  <w:style w:type="character" w:styleId="slodku">
    <w:name w:val="line number"/>
    <w:basedOn w:val="Standardnpsmoodstavce"/>
    <w:uiPriority w:val="99"/>
    <w:semiHidden/>
    <w:unhideWhenUsed/>
    <w:rsid w:val="00C21EF3"/>
  </w:style>
  <w:style w:type="paragraph" w:customStyle="1" w:styleId="Hlava">
    <w:name w:val="Hlava"/>
    <w:basedOn w:val="Normln"/>
    <w:link w:val="HlavaChar"/>
    <w:qFormat/>
    <w:rsid w:val="00C21EF3"/>
    <w:pPr>
      <w:suppressAutoHyphens/>
      <w:jc w:val="center"/>
    </w:pPr>
    <w:rPr>
      <w:lang w:eastAsia="ar-SA"/>
    </w:rPr>
  </w:style>
  <w:style w:type="character" w:customStyle="1" w:styleId="HlavaChar">
    <w:name w:val="Hlava Char"/>
    <w:link w:val="Hlava"/>
    <w:rsid w:val="00C21EF3"/>
    <w:rPr>
      <w:sz w:val="24"/>
      <w:szCs w:val="24"/>
      <w:lang w:eastAsia="ar-SA"/>
    </w:rPr>
  </w:style>
  <w:style w:type="paragraph" w:customStyle="1" w:styleId="BodyText22">
    <w:name w:val="Body Text 22"/>
    <w:basedOn w:val="Normln"/>
    <w:rsid w:val="00C21EF3"/>
    <w:pPr>
      <w:overflowPunct w:val="0"/>
      <w:autoSpaceDE w:val="0"/>
      <w:autoSpaceDN w:val="0"/>
      <w:adjustRightInd w:val="0"/>
      <w:ind w:firstLine="709"/>
      <w:textAlignment w:val="baseline"/>
    </w:pPr>
  </w:style>
  <w:style w:type="numbering" w:customStyle="1" w:styleId="Styl2">
    <w:name w:val="Styl2"/>
    <w:uiPriority w:val="99"/>
    <w:rsid w:val="006F2E2A"/>
    <w:pPr>
      <w:numPr>
        <w:numId w:val="7"/>
      </w:numPr>
    </w:pPr>
  </w:style>
  <w:style w:type="paragraph" w:customStyle="1" w:styleId="Pa18">
    <w:name w:val="Pa18"/>
    <w:basedOn w:val="Normln"/>
    <w:next w:val="Normln"/>
    <w:rsid w:val="0079253B"/>
    <w:pPr>
      <w:autoSpaceDE w:val="0"/>
      <w:autoSpaceDN w:val="0"/>
      <w:adjustRightInd w:val="0"/>
      <w:spacing w:line="211" w:lineRule="atLeast"/>
      <w:jc w:val="left"/>
    </w:pPr>
    <w:rPr>
      <w:rFonts w:ascii="Calibri" w:hAnsi="Calibri"/>
      <w:szCs w:val="24"/>
    </w:rPr>
  </w:style>
  <w:style w:type="character" w:customStyle="1" w:styleId="A14">
    <w:name w:val="A14"/>
    <w:rsid w:val="0079253B"/>
    <w:rPr>
      <w:b/>
      <w:color w:val="000000"/>
      <w:sz w:val="54"/>
    </w:rPr>
  </w:style>
  <w:style w:type="paragraph" w:customStyle="1" w:styleId="Pa19">
    <w:name w:val="Pa19"/>
    <w:basedOn w:val="Normln"/>
    <w:next w:val="Normln"/>
    <w:rsid w:val="0079253B"/>
    <w:pPr>
      <w:autoSpaceDE w:val="0"/>
      <w:autoSpaceDN w:val="0"/>
      <w:adjustRightInd w:val="0"/>
      <w:spacing w:line="211" w:lineRule="atLeast"/>
      <w:jc w:val="left"/>
    </w:pPr>
    <w:rPr>
      <w:rFonts w:ascii="Calibri" w:hAnsi="Calibri"/>
      <w:szCs w:val="24"/>
    </w:rPr>
  </w:style>
  <w:style w:type="paragraph" w:customStyle="1" w:styleId="Zkladn">
    <w:name w:val="Základní"/>
    <w:basedOn w:val="Normln"/>
    <w:rsid w:val="00554FD1"/>
    <w:pPr>
      <w:spacing w:before="120"/>
    </w:pPr>
    <w:rPr>
      <w:rFonts w:ascii="Arial" w:hAnsi="Arial"/>
      <w:szCs w:val="24"/>
      <w:lang w:eastAsia="en-US"/>
    </w:rPr>
  </w:style>
  <w:style w:type="character" w:customStyle="1" w:styleId="tabulkaChar">
    <w:name w:val="tabulka Char"/>
    <w:basedOn w:val="Standardnpsmoodstavce"/>
    <w:link w:val="tabulka"/>
    <w:locked/>
    <w:rsid w:val="00A57C26"/>
    <w:rPr>
      <w:rFonts w:asciiTheme="minorHAnsi" w:hAnsiTheme="minorHAnsi" w:cstheme="minorHAnsi"/>
      <w:sz w:val="24"/>
      <w:szCs w:val="24"/>
    </w:rPr>
  </w:style>
  <w:style w:type="paragraph" w:customStyle="1" w:styleId="tabulka">
    <w:name w:val="tabulka"/>
    <w:basedOn w:val="Normln"/>
    <w:link w:val="tabulkaChar"/>
    <w:qFormat/>
    <w:rsid w:val="00A57C26"/>
    <w:pPr>
      <w:keepNext/>
      <w:numPr>
        <w:numId w:val="8"/>
      </w:numPr>
      <w:ind w:left="357" w:hanging="357"/>
    </w:pPr>
    <w:rPr>
      <w:rFonts w:cstheme="minorHAnsi"/>
      <w:szCs w:val="24"/>
    </w:rPr>
  </w:style>
  <w:style w:type="paragraph" w:customStyle="1" w:styleId="l4">
    <w:name w:val="l4"/>
    <w:basedOn w:val="Normln"/>
    <w:rsid w:val="00916704"/>
    <w:pPr>
      <w:spacing w:before="100" w:beforeAutospacing="1" w:after="100" w:afterAutospacing="1"/>
      <w:jc w:val="left"/>
    </w:pPr>
    <w:rPr>
      <w:rFonts w:ascii="Times New Roman" w:hAnsi="Times New Roman"/>
      <w:szCs w:val="24"/>
    </w:rPr>
  </w:style>
  <w:style w:type="paragraph" w:customStyle="1" w:styleId="Nzevtabulka">
    <w:name w:val="Název tabulka"/>
    <w:basedOn w:val="Normln"/>
    <w:link w:val="NzevtabulkaChar"/>
    <w:qFormat/>
    <w:rsid w:val="008C1CD5"/>
    <w:pPr>
      <w:keepNext/>
      <w:numPr>
        <w:numId w:val="10"/>
      </w:numPr>
      <w:ind w:left="357" w:hanging="357"/>
    </w:pPr>
    <w:rPr>
      <w:rFonts w:cstheme="minorHAnsi"/>
      <w:szCs w:val="24"/>
      <w:lang w:eastAsia="en-US"/>
    </w:rPr>
  </w:style>
  <w:style w:type="character" w:customStyle="1" w:styleId="NzevtabulkaChar">
    <w:name w:val="Název tabulka Char"/>
    <w:basedOn w:val="Standardnpsmoodstavce"/>
    <w:link w:val="Nzevtabulka"/>
    <w:locked/>
    <w:rsid w:val="008C1CD5"/>
    <w:rPr>
      <w:rFonts w:asciiTheme="minorHAnsi" w:hAnsiTheme="minorHAnsi" w:cstheme="minorHAnsi"/>
      <w:sz w:val="24"/>
      <w:szCs w:val="24"/>
      <w:lang w:eastAsia="en-US"/>
    </w:rPr>
  </w:style>
  <w:style w:type="character" w:customStyle="1" w:styleId="Nadpis8Char">
    <w:name w:val="Nadpis 8 Char"/>
    <w:basedOn w:val="Standardnpsmoodstavce"/>
    <w:link w:val="Nadpis8"/>
    <w:uiPriority w:val="9"/>
    <w:rsid w:val="008C1CD5"/>
    <w:rPr>
      <w:rFonts w:asciiTheme="minorHAnsi" w:hAnsiTheme="minorHAnsi"/>
      <w:b/>
      <w:bCs/>
      <w:noProof/>
      <w:sz w:val="24"/>
    </w:rPr>
  </w:style>
  <w:style w:type="paragraph" w:styleId="Obsah1">
    <w:name w:val="toc 1"/>
    <w:basedOn w:val="Normln"/>
    <w:next w:val="Normln"/>
    <w:autoRedefine/>
    <w:uiPriority w:val="39"/>
    <w:unhideWhenUsed/>
    <w:rsid w:val="008C1CD5"/>
    <w:pPr>
      <w:tabs>
        <w:tab w:val="left" w:pos="440"/>
        <w:tab w:val="right" w:leader="dot" w:pos="9060"/>
      </w:tabs>
      <w:spacing w:after="60"/>
      <w:ind w:left="284" w:hanging="284"/>
    </w:pPr>
    <w:rPr>
      <w:szCs w:val="24"/>
      <w:lang w:eastAsia="en-US"/>
    </w:rPr>
  </w:style>
  <w:style w:type="character" w:customStyle="1" w:styleId="TextpoznpodarouChar1">
    <w:name w:val="Text pozn. pod čarou Char1"/>
    <w:basedOn w:val="Standardnpsmoodstavce"/>
    <w:uiPriority w:val="99"/>
    <w:semiHidden/>
    <w:rsid w:val="008C1CD5"/>
    <w:rPr>
      <w:sz w:val="20"/>
      <w:szCs w:val="20"/>
    </w:rPr>
  </w:style>
  <w:style w:type="paragraph" w:customStyle="1" w:styleId="Standard">
    <w:name w:val="Standard"/>
    <w:rsid w:val="008C1CD5"/>
    <w:pPr>
      <w:widowControl w:val="0"/>
      <w:suppressAutoHyphens/>
      <w:autoSpaceDN w:val="0"/>
      <w:textAlignment w:val="baseline"/>
    </w:pPr>
    <w:rPr>
      <w:kern w:val="3"/>
      <w:lang w:bidi="hi-IN"/>
    </w:rPr>
  </w:style>
  <w:style w:type="paragraph" w:customStyle="1" w:styleId="p7">
    <w:name w:val="p7"/>
    <w:basedOn w:val="Normln"/>
    <w:rsid w:val="008C1CD5"/>
    <w:pPr>
      <w:spacing w:before="100" w:beforeAutospacing="1" w:after="100" w:afterAutospacing="1"/>
      <w:jc w:val="left"/>
    </w:pPr>
    <w:rPr>
      <w:rFonts w:ascii="Times New Roman" w:hAnsi="Times New Roman"/>
      <w:szCs w:val="24"/>
    </w:rPr>
  </w:style>
  <w:style w:type="character" w:customStyle="1" w:styleId="s2">
    <w:name w:val="s2"/>
    <w:basedOn w:val="Standardnpsmoodstavce"/>
    <w:rsid w:val="008C1CD5"/>
  </w:style>
  <w:style w:type="paragraph" w:customStyle="1" w:styleId="p6">
    <w:name w:val="p6"/>
    <w:basedOn w:val="Normln"/>
    <w:rsid w:val="008C1CD5"/>
    <w:pPr>
      <w:spacing w:before="100" w:beforeAutospacing="1" w:after="100" w:afterAutospacing="1"/>
      <w:jc w:val="left"/>
    </w:pPr>
    <w:rPr>
      <w:rFonts w:ascii="Times New Roman" w:hAnsi="Times New Roman"/>
      <w:szCs w:val="24"/>
    </w:rPr>
  </w:style>
  <w:style w:type="character" w:customStyle="1" w:styleId="s3">
    <w:name w:val="s3"/>
    <w:basedOn w:val="Standardnpsmoodstavce"/>
    <w:rsid w:val="008C1CD5"/>
  </w:style>
  <w:style w:type="paragraph" w:styleId="Podnadpis">
    <w:name w:val="Subtitle"/>
    <w:aliases w:val="tabulka 1. řádek"/>
    <w:basedOn w:val="Normln"/>
    <w:next w:val="Normln"/>
    <w:link w:val="PodnadpisChar"/>
    <w:uiPriority w:val="11"/>
    <w:qFormat/>
    <w:rsid w:val="008C1CD5"/>
    <w:pPr>
      <w:numPr>
        <w:ilvl w:val="1"/>
      </w:numPr>
      <w:contextualSpacing/>
      <w:jc w:val="center"/>
    </w:pPr>
    <w:rPr>
      <w:rFonts w:eastAsiaTheme="minorEastAsia" w:cstheme="minorBidi"/>
      <w:b/>
      <w:sz w:val="22"/>
      <w:szCs w:val="22"/>
      <w:lang w:eastAsia="en-US"/>
    </w:rPr>
  </w:style>
  <w:style w:type="character" w:customStyle="1" w:styleId="PodnadpisChar">
    <w:name w:val="Podnadpis Char"/>
    <w:aliases w:val="tabulka 1. řádek Char"/>
    <w:basedOn w:val="Standardnpsmoodstavce"/>
    <w:link w:val="Podnadpis"/>
    <w:uiPriority w:val="11"/>
    <w:rsid w:val="008C1CD5"/>
    <w:rPr>
      <w:rFonts w:asciiTheme="minorHAnsi" w:eastAsiaTheme="minorEastAsia" w:hAnsiTheme="minorHAnsi" w:cstheme="minorBidi"/>
      <w:b/>
      <w:sz w:val="22"/>
      <w:szCs w:val="22"/>
      <w:lang w:eastAsia="en-US"/>
    </w:rPr>
  </w:style>
  <w:style w:type="character" w:customStyle="1" w:styleId="StylIChar">
    <w:name w:val="Styl I. Char"/>
    <w:link w:val="StylI"/>
    <w:locked/>
    <w:rsid w:val="008C1CD5"/>
    <w:rPr>
      <w:rFonts w:ascii="Arial" w:eastAsia="Calibri" w:hAnsi="Arial" w:cs="Arial"/>
    </w:rPr>
  </w:style>
  <w:style w:type="paragraph" w:customStyle="1" w:styleId="StylI">
    <w:name w:val="Styl I."/>
    <w:basedOn w:val="Odstavecseseznamem"/>
    <w:link w:val="StylIChar"/>
    <w:qFormat/>
    <w:rsid w:val="008C1CD5"/>
    <w:pPr>
      <w:numPr>
        <w:numId w:val="11"/>
      </w:numPr>
      <w:spacing w:before="120" w:after="240"/>
      <w:ind w:left="357" w:hanging="357"/>
    </w:pPr>
    <w:rPr>
      <w:rFonts w:ascii="Arial" w:eastAsia="Calibri" w:hAnsi="Arial" w:cs="Arial"/>
      <w:sz w:val="20"/>
    </w:rPr>
  </w:style>
  <w:style w:type="paragraph" w:customStyle="1" w:styleId="Stylaa">
    <w:name w:val="Styl aa)"/>
    <w:basedOn w:val="Odstavecseseznamem"/>
    <w:qFormat/>
    <w:rsid w:val="008C1CD5"/>
    <w:pPr>
      <w:numPr>
        <w:ilvl w:val="3"/>
        <w:numId w:val="11"/>
      </w:numPr>
      <w:tabs>
        <w:tab w:val="num" w:pos="360"/>
      </w:tabs>
      <w:spacing w:before="120" w:after="240"/>
      <w:ind w:left="357" w:hanging="357"/>
    </w:pPr>
    <w:rPr>
      <w:rFonts w:ascii="Arial" w:eastAsia="Calibri" w:hAnsi="Arial" w:cs="Arial"/>
      <w:sz w:val="22"/>
      <w:szCs w:val="22"/>
      <w:lang w:eastAsia="en-US"/>
    </w:rPr>
  </w:style>
  <w:style w:type="paragraph" w:customStyle="1" w:styleId="Styla">
    <w:name w:val="Styl a)"/>
    <w:basedOn w:val="Odstavecseseznamem"/>
    <w:qFormat/>
    <w:rsid w:val="008C1CD5"/>
    <w:pPr>
      <w:numPr>
        <w:ilvl w:val="2"/>
        <w:numId w:val="11"/>
      </w:numPr>
      <w:tabs>
        <w:tab w:val="num" w:pos="360"/>
      </w:tabs>
      <w:spacing w:before="120" w:after="240"/>
      <w:ind w:left="357" w:hanging="357"/>
    </w:pPr>
    <w:rPr>
      <w:rFonts w:ascii="Arial" w:eastAsia="Calibri" w:hAnsi="Arial" w:cs="Arial"/>
      <w:sz w:val="22"/>
      <w:szCs w:val="22"/>
      <w:lang w:eastAsia="en-US"/>
    </w:rPr>
  </w:style>
  <w:style w:type="character" w:customStyle="1" w:styleId="Styl1Char">
    <w:name w:val="Styl   1. Char"/>
    <w:link w:val="Styl1"/>
    <w:locked/>
    <w:rsid w:val="008C1CD5"/>
    <w:rPr>
      <w:rFonts w:ascii="Arial" w:eastAsia="Calibri" w:hAnsi="Arial" w:cs="Arial"/>
    </w:rPr>
  </w:style>
  <w:style w:type="paragraph" w:customStyle="1" w:styleId="Styl1">
    <w:name w:val="Styl   1."/>
    <w:basedOn w:val="Normln"/>
    <w:link w:val="Styl1Char"/>
    <w:qFormat/>
    <w:rsid w:val="008C1CD5"/>
    <w:pPr>
      <w:numPr>
        <w:numId w:val="12"/>
      </w:numPr>
      <w:spacing w:before="120" w:after="240"/>
    </w:pPr>
    <w:rPr>
      <w:rFonts w:ascii="Arial" w:eastAsia="Calibri" w:hAnsi="Arial" w:cs="Arial"/>
      <w:sz w:val="20"/>
    </w:rPr>
  </w:style>
  <w:style w:type="numbering" w:customStyle="1" w:styleId="StylI-aa">
    <w:name w:val="Styl I-aa)"/>
    <w:uiPriority w:val="99"/>
    <w:rsid w:val="008C1CD5"/>
    <w:pPr>
      <w:numPr>
        <w:numId w:val="11"/>
      </w:numPr>
    </w:pPr>
  </w:style>
  <w:style w:type="character" w:customStyle="1" w:styleId="Styl1-IChar">
    <w:name w:val="Styl1 - I. Char"/>
    <w:link w:val="Styl1-I"/>
    <w:locked/>
    <w:rsid w:val="008C1CD5"/>
    <w:rPr>
      <w:rFonts w:ascii="Arial" w:hAnsi="Arial" w:cs="Arial"/>
    </w:rPr>
  </w:style>
  <w:style w:type="paragraph" w:customStyle="1" w:styleId="Styl1-I">
    <w:name w:val="Styl1 - I."/>
    <w:basedOn w:val="Normln"/>
    <w:link w:val="Styl1-IChar"/>
    <w:qFormat/>
    <w:rsid w:val="008C1CD5"/>
    <w:pPr>
      <w:numPr>
        <w:numId w:val="13"/>
      </w:numPr>
      <w:overflowPunct w:val="0"/>
      <w:autoSpaceDE w:val="0"/>
      <w:autoSpaceDN w:val="0"/>
      <w:adjustRightInd w:val="0"/>
      <w:spacing w:before="120" w:after="240"/>
      <w:ind w:left="357" w:hanging="357"/>
    </w:pPr>
    <w:rPr>
      <w:rFonts w:ascii="Arial" w:hAnsi="Arial" w:cs="Arial"/>
      <w:sz w:val="20"/>
    </w:rPr>
  </w:style>
  <w:style w:type="character" w:customStyle="1" w:styleId="Styl1-1Char">
    <w:name w:val="Styl1 - 1. Char"/>
    <w:link w:val="Styl1-1"/>
    <w:locked/>
    <w:rsid w:val="008C1CD5"/>
    <w:rPr>
      <w:rFonts w:ascii="Arial" w:hAnsi="Arial" w:cs="Arial"/>
    </w:rPr>
  </w:style>
  <w:style w:type="paragraph" w:customStyle="1" w:styleId="Styl1-1">
    <w:name w:val="Styl1 - 1."/>
    <w:basedOn w:val="Normln"/>
    <w:link w:val="Styl1-1Char"/>
    <w:qFormat/>
    <w:rsid w:val="008C1CD5"/>
    <w:pPr>
      <w:numPr>
        <w:numId w:val="14"/>
      </w:numPr>
      <w:overflowPunct w:val="0"/>
      <w:autoSpaceDE w:val="0"/>
      <w:autoSpaceDN w:val="0"/>
      <w:adjustRightInd w:val="0"/>
      <w:spacing w:before="120" w:after="240"/>
      <w:ind w:left="357" w:hanging="357"/>
    </w:pPr>
    <w:rPr>
      <w:rFonts w:ascii="Arial" w:hAnsi="Arial" w:cs="Arial"/>
      <w:sz w:val="20"/>
    </w:rPr>
  </w:style>
  <w:style w:type="character" w:customStyle="1" w:styleId="Nadpis20">
    <w:name w:val="Nadpis #2_"/>
    <w:basedOn w:val="Standardnpsmoodstavce"/>
    <w:link w:val="Nadpis22"/>
    <w:locked/>
    <w:rsid w:val="008C1CD5"/>
    <w:rPr>
      <w:b/>
      <w:bCs/>
      <w:shd w:val="clear" w:color="auto" w:fill="FFFFFF"/>
    </w:rPr>
  </w:style>
  <w:style w:type="paragraph" w:customStyle="1" w:styleId="Nadpis22">
    <w:name w:val="Nadpis #2"/>
    <w:basedOn w:val="Normln"/>
    <w:link w:val="Nadpis20"/>
    <w:rsid w:val="008C1CD5"/>
    <w:pPr>
      <w:widowControl w:val="0"/>
      <w:shd w:val="clear" w:color="auto" w:fill="FFFFFF"/>
      <w:ind w:left="340"/>
      <w:outlineLvl w:val="1"/>
    </w:pPr>
    <w:rPr>
      <w:rFonts w:ascii="Times New Roman" w:hAnsi="Times New Roman"/>
      <w:b/>
      <w:bCs/>
      <w:sz w:val="20"/>
    </w:rPr>
  </w:style>
  <w:style w:type="character" w:customStyle="1" w:styleId="Zkladntext0">
    <w:name w:val="Základní text_"/>
    <w:basedOn w:val="Standardnpsmoodstavce"/>
    <w:link w:val="Zkladntext1"/>
    <w:locked/>
    <w:rsid w:val="008C1CD5"/>
    <w:rPr>
      <w:shd w:val="clear" w:color="auto" w:fill="FFFFFF"/>
    </w:rPr>
  </w:style>
  <w:style w:type="paragraph" w:customStyle="1" w:styleId="Zkladntext1">
    <w:name w:val="Základní text1"/>
    <w:basedOn w:val="Normln"/>
    <w:link w:val="Zkladntext0"/>
    <w:rsid w:val="008C1CD5"/>
    <w:pPr>
      <w:widowControl w:val="0"/>
      <w:shd w:val="clear" w:color="auto" w:fill="FFFFFF"/>
      <w:spacing w:after="260"/>
    </w:pPr>
    <w:rPr>
      <w:rFonts w:ascii="Times New Roman" w:hAnsi="Times New Roman"/>
      <w:sz w:val="20"/>
    </w:rPr>
  </w:style>
  <w:style w:type="character" w:customStyle="1" w:styleId="Nadpis1Char1">
    <w:name w:val="Nadpis 1 Char1"/>
    <w:aliases w:val="Nadpis 1 Char Char,vlevo 18b. Char"/>
    <w:basedOn w:val="Standardnpsmoodstavce"/>
    <w:link w:val="Nadpis1"/>
    <w:uiPriority w:val="9"/>
    <w:rsid w:val="00A91587"/>
    <w:rPr>
      <w:rFonts w:asciiTheme="minorHAnsi" w:hAnsiTheme="minorHAnsi"/>
      <w:b/>
      <w:bCs/>
      <w:sz w:val="28"/>
      <w:szCs w:val="34"/>
    </w:rPr>
  </w:style>
  <w:style w:type="character" w:customStyle="1" w:styleId="Zkladntextodsazen2Char">
    <w:name w:val="Základní text odsazený 2 Char"/>
    <w:basedOn w:val="Standardnpsmoodstavce"/>
    <w:link w:val="Zkladntextodsazen2"/>
    <w:semiHidden/>
    <w:rsid w:val="00D75822"/>
    <w:rPr>
      <w:rFonts w:asciiTheme="minorHAnsi" w:hAnsiTheme="minorHAnsi"/>
      <w:sz w:val="24"/>
    </w:rPr>
  </w:style>
  <w:style w:type="character" w:customStyle="1" w:styleId="ZkladntextodsazenChar">
    <w:name w:val="Základní text odsazený Char"/>
    <w:aliases w:val=" Char Char Char Char, Char Char Char Char Char Char, Char Char1 Char, Char Char1 Char Char Char,Základní text odsazený Char Char Char,Základní text odsazený Char Char Char Char Char,Základní text odsazený Char1 Char"/>
    <w:basedOn w:val="Standardnpsmoodstavce"/>
    <w:link w:val="Zkladntextodsazen"/>
    <w:semiHidden/>
    <w:rsid w:val="00D75822"/>
    <w:rPr>
      <w:rFonts w:asciiTheme="minorHAnsi" w:hAnsiTheme="minorHAnsi"/>
      <w:sz w:val="24"/>
    </w:rPr>
  </w:style>
  <w:style w:type="character" w:customStyle="1" w:styleId="Zkladntext3Char">
    <w:name w:val="Základní text 3 Char"/>
    <w:basedOn w:val="Standardnpsmoodstavce"/>
    <w:link w:val="Zkladntext3"/>
    <w:semiHidden/>
    <w:rsid w:val="00D75822"/>
    <w:rPr>
      <w:rFonts w:asciiTheme="minorHAnsi" w:hAnsiTheme="minorHAnsi"/>
      <w:b/>
      <w:bCs/>
      <w:sz w:val="24"/>
    </w:rPr>
  </w:style>
  <w:style w:type="character" w:customStyle="1" w:styleId="Zkladntext2Char">
    <w:name w:val="Základní text 2 Char"/>
    <w:basedOn w:val="Standardnpsmoodstavce"/>
    <w:link w:val="Zkladntext2"/>
    <w:semiHidden/>
    <w:rsid w:val="00D75822"/>
    <w:rPr>
      <w:rFonts w:asciiTheme="minorHAnsi" w:hAnsiTheme="minorHAnsi"/>
      <w:sz w:val="24"/>
    </w:rPr>
  </w:style>
  <w:style w:type="character" w:customStyle="1" w:styleId="Zkladntextodsazen3Char">
    <w:name w:val="Základní text odsazený 3 Char"/>
    <w:basedOn w:val="Standardnpsmoodstavce"/>
    <w:link w:val="Zkladntextodsazen3"/>
    <w:semiHidden/>
    <w:rsid w:val="00D75822"/>
    <w:rPr>
      <w:rFonts w:asciiTheme="minorHAnsi" w:hAnsiTheme="minorHAnsi"/>
      <w:noProof/>
      <w:sz w:val="24"/>
    </w:rPr>
  </w:style>
  <w:style w:type="paragraph" w:customStyle="1" w:styleId="TextKP">
    <w:name w:val="Text KP"/>
    <w:basedOn w:val="Normln"/>
    <w:link w:val="TextKPChar"/>
    <w:qFormat/>
    <w:rsid w:val="001D280A"/>
    <w:pPr>
      <w:spacing w:before="120" w:after="120"/>
    </w:pPr>
    <w:rPr>
      <w:rFonts w:cstheme="minorHAnsi"/>
      <w:szCs w:val="24"/>
      <w:lang w:eastAsia="en-US"/>
    </w:rPr>
  </w:style>
  <w:style w:type="character" w:customStyle="1" w:styleId="TextKPChar">
    <w:name w:val="Text KP Char"/>
    <w:basedOn w:val="Standardnpsmoodstavce"/>
    <w:link w:val="TextKP"/>
    <w:rsid w:val="001D280A"/>
    <w:rPr>
      <w:rFonts w:asciiTheme="minorHAnsi" w:hAnsiTheme="minorHAnsi" w:cstheme="minorHAnsi"/>
      <w:sz w:val="24"/>
      <w:szCs w:val="24"/>
      <w:lang w:eastAsia="en-US"/>
    </w:rPr>
  </w:style>
  <w:style w:type="paragraph" w:styleId="Obsah9">
    <w:name w:val="toc 9"/>
    <w:basedOn w:val="Normln"/>
    <w:next w:val="Normln"/>
    <w:autoRedefine/>
    <w:uiPriority w:val="39"/>
    <w:semiHidden/>
    <w:unhideWhenUsed/>
    <w:rsid w:val="00921832"/>
    <w:pPr>
      <w:spacing w:after="100"/>
      <w:ind w:left="1920"/>
    </w:pPr>
  </w:style>
  <w:style w:type="character" w:customStyle="1" w:styleId="TextChar">
    <w:name w:val="Text Char"/>
    <w:basedOn w:val="Standardnpsmoodstavce"/>
    <w:link w:val="Text"/>
    <w:locked/>
    <w:rsid w:val="00F27CE4"/>
    <w:rPr>
      <w:rFonts w:ascii="Calibri" w:hAnsi="Calibri" w:cs="Calibri"/>
    </w:rPr>
  </w:style>
  <w:style w:type="paragraph" w:customStyle="1" w:styleId="Text">
    <w:name w:val="Text"/>
    <w:basedOn w:val="Normln"/>
    <w:link w:val="TextChar"/>
    <w:rsid w:val="00F27CE4"/>
    <w:pPr>
      <w:spacing w:before="120" w:after="120"/>
    </w:pPr>
    <w:rPr>
      <w:rFonts w:ascii="Calibri" w:hAnsi="Calibri" w:cs="Calibri"/>
      <w:sz w:val="20"/>
    </w:rPr>
  </w:style>
  <w:style w:type="table" w:styleId="Prosttabulka2">
    <w:name w:val="Plain Table 2"/>
    <w:basedOn w:val="Normlntabulka"/>
    <w:uiPriority w:val="42"/>
    <w:rsid w:val="003F073F"/>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Zdrojapozn">
    <w:name w:val="Zdroj a pozn."/>
    <w:basedOn w:val="Normln"/>
    <w:link w:val="ZdrojapoznChar"/>
    <w:qFormat/>
    <w:rsid w:val="00E06E7C"/>
    <w:pPr>
      <w:spacing w:after="120"/>
    </w:pPr>
    <w:rPr>
      <w:rFonts w:ascii="Calibri" w:hAnsi="Calibri"/>
      <w:sz w:val="20"/>
      <w:szCs w:val="24"/>
    </w:rPr>
  </w:style>
  <w:style w:type="character" w:customStyle="1" w:styleId="ZdrojapoznChar">
    <w:name w:val="Zdroj a pozn. Char"/>
    <w:basedOn w:val="Standardnpsmoodstavce"/>
    <w:link w:val="Zdrojapozn"/>
    <w:rsid w:val="00E06E7C"/>
    <w:rPr>
      <w:rFonts w:ascii="Calibri" w:hAnsi="Calibri"/>
      <w:szCs w:val="24"/>
    </w:rPr>
  </w:style>
  <w:style w:type="paragraph" w:customStyle="1" w:styleId="Zdrojeapozn">
    <w:name w:val="Zdroje a pozn."/>
    <w:basedOn w:val="Normln"/>
    <w:next w:val="Normln"/>
    <w:link w:val="ZdrojeapoznChar"/>
    <w:autoRedefine/>
    <w:qFormat/>
    <w:rsid w:val="008105E1"/>
    <w:pPr>
      <w:spacing w:after="120"/>
      <w:ind w:left="567" w:hanging="567"/>
    </w:pPr>
    <w:rPr>
      <w:rFonts w:ascii="Calibri" w:eastAsia="Calibri" w:hAnsi="Calibri" w:cs="Calibri"/>
      <w:i/>
      <w:sz w:val="20"/>
      <w:szCs w:val="22"/>
      <w:lang w:eastAsia="en-US"/>
    </w:rPr>
  </w:style>
  <w:style w:type="character" w:customStyle="1" w:styleId="ZdrojeapoznChar">
    <w:name w:val="Zdroje a pozn. Char"/>
    <w:basedOn w:val="Standardnpsmoodstavce"/>
    <w:link w:val="Zdrojeapozn"/>
    <w:rsid w:val="008105E1"/>
    <w:rPr>
      <w:rFonts w:ascii="Calibri" w:eastAsia="Calibri" w:hAnsi="Calibri" w:cs="Calibri"/>
      <w:i/>
      <w:szCs w:val="22"/>
      <w:lang w:eastAsia="en-US"/>
    </w:rPr>
  </w:style>
  <w:style w:type="table" w:styleId="Prosttabulka1">
    <w:name w:val="Plain Table 1"/>
    <w:basedOn w:val="Normlntabulka"/>
    <w:uiPriority w:val="41"/>
    <w:rsid w:val="006B7E95"/>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rosttabulka11">
    <w:name w:val="Prostá tabulka 11"/>
    <w:basedOn w:val="Normlntabulka"/>
    <w:next w:val="Prosttabulka1"/>
    <w:uiPriority w:val="41"/>
    <w:rsid w:val="0071736B"/>
    <w:rPr>
      <w:rFonts w:ascii="Calibri" w:eastAsia="Calibri" w:hAnsi="Calibr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A15">
    <w:name w:val="A15"/>
    <w:rsid w:val="0041379A"/>
    <w:rPr>
      <w:color w:val="000000"/>
      <w:sz w:val="36"/>
      <w:szCs w:val="36"/>
    </w:rPr>
  </w:style>
  <w:style w:type="paragraph" w:styleId="Textvysvtlivek">
    <w:name w:val="endnote text"/>
    <w:basedOn w:val="Normln"/>
    <w:link w:val="TextvysvtlivekChar"/>
    <w:uiPriority w:val="99"/>
    <w:semiHidden/>
    <w:unhideWhenUsed/>
    <w:rsid w:val="00870F3D"/>
    <w:rPr>
      <w:sz w:val="20"/>
    </w:rPr>
  </w:style>
  <w:style w:type="character" w:customStyle="1" w:styleId="TextvysvtlivekChar">
    <w:name w:val="Text vysvětlivek Char"/>
    <w:basedOn w:val="Standardnpsmoodstavce"/>
    <w:link w:val="Textvysvtlivek"/>
    <w:uiPriority w:val="99"/>
    <w:semiHidden/>
    <w:rsid w:val="00870F3D"/>
    <w:rPr>
      <w:rFonts w:asciiTheme="minorHAnsi" w:hAnsiTheme="minorHAnsi"/>
    </w:rPr>
  </w:style>
  <w:style w:type="character" w:styleId="Odkaznavysvtlivky">
    <w:name w:val="endnote reference"/>
    <w:basedOn w:val="Standardnpsmoodstavce"/>
    <w:uiPriority w:val="99"/>
    <w:semiHidden/>
    <w:unhideWhenUsed/>
    <w:rsid w:val="00870F3D"/>
    <w:rPr>
      <w:vertAlign w:val="superscript"/>
    </w:rPr>
  </w:style>
  <w:style w:type="paragraph" w:customStyle="1" w:styleId="KP-normlntun">
    <w:name w:val="KP-normální tučně"/>
    <w:basedOn w:val="Normln"/>
    <w:qFormat/>
    <w:rsid w:val="00F81340"/>
    <w:pPr>
      <w:spacing w:after="120"/>
    </w:pPr>
    <w:rPr>
      <w:rFonts w:cstheme="minorHAnsi"/>
      <w:b/>
      <w:szCs w:val="24"/>
      <w:lang w:eastAsia="en-US"/>
    </w:rPr>
  </w:style>
  <w:style w:type="paragraph" w:customStyle="1" w:styleId="kp-normlntun0">
    <w:name w:val="kp-normlntun"/>
    <w:basedOn w:val="Normln"/>
    <w:rsid w:val="005D4660"/>
    <w:pPr>
      <w:spacing w:after="120"/>
    </w:pPr>
    <w:rPr>
      <w:rFonts w:ascii="Calibri" w:eastAsiaTheme="minorHAnsi" w:hAnsi="Calibri" w:cs="Calibri"/>
      <w:b/>
      <w:bCs/>
      <w:szCs w:val="24"/>
    </w:rPr>
  </w:style>
  <w:style w:type="paragraph" w:customStyle="1" w:styleId="KP-normlntext">
    <w:name w:val="KP-normální text"/>
    <w:basedOn w:val="Normln"/>
    <w:link w:val="KP-normlntextChar"/>
    <w:qFormat/>
    <w:rsid w:val="00F713B0"/>
    <w:pPr>
      <w:spacing w:after="120"/>
    </w:pPr>
    <w:rPr>
      <w:rFonts w:cstheme="minorHAnsi"/>
      <w:szCs w:val="24"/>
      <w:lang w:eastAsia="en-US"/>
    </w:rPr>
  </w:style>
  <w:style w:type="character" w:customStyle="1" w:styleId="KP-normlntextChar">
    <w:name w:val="KP-normální text Char"/>
    <w:link w:val="KP-normlntext"/>
    <w:rsid w:val="00F713B0"/>
    <w:rPr>
      <w:rFonts w:asciiTheme="minorHAnsi" w:hAnsiTheme="minorHAnsi" w:cstheme="minorHAns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2847">
      <w:bodyDiv w:val="1"/>
      <w:marLeft w:val="0"/>
      <w:marRight w:val="0"/>
      <w:marTop w:val="0"/>
      <w:marBottom w:val="0"/>
      <w:divBdr>
        <w:top w:val="none" w:sz="0" w:space="0" w:color="auto"/>
        <w:left w:val="none" w:sz="0" w:space="0" w:color="auto"/>
        <w:bottom w:val="none" w:sz="0" w:space="0" w:color="auto"/>
        <w:right w:val="none" w:sz="0" w:space="0" w:color="auto"/>
      </w:divBdr>
    </w:div>
    <w:div w:id="51584778">
      <w:bodyDiv w:val="1"/>
      <w:marLeft w:val="0"/>
      <w:marRight w:val="0"/>
      <w:marTop w:val="0"/>
      <w:marBottom w:val="0"/>
      <w:divBdr>
        <w:top w:val="none" w:sz="0" w:space="0" w:color="auto"/>
        <w:left w:val="none" w:sz="0" w:space="0" w:color="auto"/>
        <w:bottom w:val="none" w:sz="0" w:space="0" w:color="auto"/>
        <w:right w:val="none" w:sz="0" w:space="0" w:color="auto"/>
      </w:divBdr>
    </w:div>
    <w:div w:id="174344992">
      <w:bodyDiv w:val="1"/>
      <w:marLeft w:val="0"/>
      <w:marRight w:val="0"/>
      <w:marTop w:val="0"/>
      <w:marBottom w:val="0"/>
      <w:divBdr>
        <w:top w:val="none" w:sz="0" w:space="0" w:color="auto"/>
        <w:left w:val="none" w:sz="0" w:space="0" w:color="auto"/>
        <w:bottom w:val="none" w:sz="0" w:space="0" w:color="auto"/>
        <w:right w:val="none" w:sz="0" w:space="0" w:color="auto"/>
      </w:divBdr>
    </w:div>
    <w:div w:id="238292655">
      <w:bodyDiv w:val="1"/>
      <w:marLeft w:val="0"/>
      <w:marRight w:val="0"/>
      <w:marTop w:val="0"/>
      <w:marBottom w:val="0"/>
      <w:divBdr>
        <w:top w:val="none" w:sz="0" w:space="0" w:color="auto"/>
        <w:left w:val="none" w:sz="0" w:space="0" w:color="auto"/>
        <w:bottom w:val="none" w:sz="0" w:space="0" w:color="auto"/>
        <w:right w:val="none" w:sz="0" w:space="0" w:color="auto"/>
      </w:divBdr>
    </w:div>
    <w:div w:id="292756679">
      <w:bodyDiv w:val="1"/>
      <w:marLeft w:val="0"/>
      <w:marRight w:val="0"/>
      <w:marTop w:val="0"/>
      <w:marBottom w:val="0"/>
      <w:divBdr>
        <w:top w:val="none" w:sz="0" w:space="0" w:color="auto"/>
        <w:left w:val="none" w:sz="0" w:space="0" w:color="auto"/>
        <w:bottom w:val="none" w:sz="0" w:space="0" w:color="auto"/>
        <w:right w:val="none" w:sz="0" w:space="0" w:color="auto"/>
      </w:divBdr>
    </w:div>
    <w:div w:id="313533592">
      <w:bodyDiv w:val="1"/>
      <w:marLeft w:val="0"/>
      <w:marRight w:val="0"/>
      <w:marTop w:val="0"/>
      <w:marBottom w:val="0"/>
      <w:divBdr>
        <w:top w:val="none" w:sz="0" w:space="0" w:color="auto"/>
        <w:left w:val="none" w:sz="0" w:space="0" w:color="auto"/>
        <w:bottom w:val="none" w:sz="0" w:space="0" w:color="auto"/>
        <w:right w:val="none" w:sz="0" w:space="0" w:color="auto"/>
      </w:divBdr>
      <w:divsChild>
        <w:div w:id="206919099">
          <w:marLeft w:val="547"/>
          <w:marRight w:val="0"/>
          <w:marTop w:val="0"/>
          <w:marBottom w:val="0"/>
          <w:divBdr>
            <w:top w:val="none" w:sz="0" w:space="0" w:color="auto"/>
            <w:left w:val="none" w:sz="0" w:space="0" w:color="auto"/>
            <w:bottom w:val="none" w:sz="0" w:space="0" w:color="auto"/>
            <w:right w:val="none" w:sz="0" w:space="0" w:color="auto"/>
          </w:divBdr>
        </w:div>
      </w:divsChild>
    </w:div>
    <w:div w:id="384649627">
      <w:bodyDiv w:val="1"/>
      <w:marLeft w:val="0"/>
      <w:marRight w:val="0"/>
      <w:marTop w:val="0"/>
      <w:marBottom w:val="0"/>
      <w:divBdr>
        <w:top w:val="none" w:sz="0" w:space="0" w:color="auto"/>
        <w:left w:val="none" w:sz="0" w:space="0" w:color="auto"/>
        <w:bottom w:val="none" w:sz="0" w:space="0" w:color="auto"/>
        <w:right w:val="none" w:sz="0" w:space="0" w:color="auto"/>
      </w:divBdr>
    </w:div>
    <w:div w:id="389809322">
      <w:bodyDiv w:val="1"/>
      <w:marLeft w:val="0"/>
      <w:marRight w:val="0"/>
      <w:marTop w:val="0"/>
      <w:marBottom w:val="0"/>
      <w:divBdr>
        <w:top w:val="none" w:sz="0" w:space="0" w:color="auto"/>
        <w:left w:val="none" w:sz="0" w:space="0" w:color="auto"/>
        <w:bottom w:val="none" w:sz="0" w:space="0" w:color="auto"/>
        <w:right w:val="none" w:sz="0" w:space="0" w:color="auto"/>
      </w:divBdr>
    </w:div>
    <w:div w:id="410275501">
      <w:bodyDiv w:val="1"/>
      <w:marLeft w:val="0"/>
      <w:marRight w:val="0"/>
      <w:marTop w:val="0"/>
      <w:marBottom w:val="0"/>
      <w:divBdr>
        <w:top w:val="none" w:sz="0" w:space="0" w:color="auto"/>
        <w:left w:val="none" w:sz="0" w:space="0" w:color="auto"/>
        <w:bottom w:val="none" w:sz="0" w:space="0" w:color="auto"/>
        <w:right w:val="none" w:sz="0" w:space="0" w:color="auto"/>
      </w:divBdr>
    </w:div>
    <w:div w:id="492183250">
      <w:bodyDiv w:val="1"/>
      <w:marLeft w:val="0"/>
      <w:marRight w:val="0"/>
      <w:marTop w:val="0"/>
      <w:marBottom w:val="0"/>
      <w:divBdr>
        <w:top w:val="none" w:sz="0" w:space="0" w:color="auto"/>
        <w:left w:val="none" w:sz="0" w:space="0" w:color="auto"/>
        <w:bottom w:val="none" w:sz="0" w:space="0" w:color="auto"/>
        <w:right w:val="none" w:sz="0" w:space="0" w:color="auto"/>
      </w:divBdr>
    </w:div>
    <w:div w:id="538517618">
      <w:bodyDiv w:val="1"/>
      <w:marLeft w:val="0"/>
      <w:marRight w:val="0"/>
      <w:marTop w:val="0"/>
      <w:marBottom w:val="0"/>
      <w:divBdr>
        <w:top w:val="none" w:sz="0" w:space="0" w:color="auto"/>
        <w:left w:val="none" w:sz="0" w:space="0" w:color="auto"/>
        <w:bottom w:val="none" w:sz="0" w:space="0" w:color="auto"/>
        <w:right w:val="none" w:sz="0" w:space="0" w:color="auto"/>
      </w:divBdr>
    </w:div>
    <w:div w:id="568346666">
      <w:bodyDiv w:val="1"/>
      <w:marLeft w:val="0"/>
      <w:marRight w:val="0"/>
      <w:marTop w:val="0"/>
      <w:marBottom w:val="0"/>
      <w:divBdr>
        <w:top w:val="none" w:sz="0" w:space="0" w:color="auto"/>
        <w:left w:val="none" w:sz="0" w:space="0" w:color="auto"/>
        <w:bottom w:val="none" w:sz="0" w:space="0" w:color="auto"/>
        <w:right w:val="none" w:sz="0" w:space="0" w:color="auto"/>
      </w:divBdr>
    </w:div>
    <w:div w:id="579292656">
      <w:bodyDiv w:val="1"/>
      <w:marLeft w:val="0"/>
      <w:marRight w:val="0"/>
      <w:marTop w:val="0"/>
      <w:marBottom w:val="0"/>
      <w:divBdr>
        <w:top w:val="none" w:sz="0" w:space="0" w:color="auto"/>
        <w:left w:val="none" w:sz="0" w:space="0" w:color="auto"/>
        <w:bottom w:val="none" w:sz="0" w:space="0" w:color="auto"/>
        <w:right w:val="none" w:sz="0" w:space="0" w:color="auto"/>
      </w:divBdr>
    </w:div>
    <w:div w:id="661815217">
      <w:bodyDiv w:val="1"/>
      <w:marLeft w:val="0"/>
      <w:marRight w:val="0"/>
      <w:marTop w:val="0"/>
      <w:marBottom w:val="0"/>
      <w:divBdr>
        <w:top w:val="none" w:sz="0" w:space="0" w:color="auto"/>
        <w:left w:val="none" w:sz="0" w:space="0" w:color="auto"/>
        <w:bottom w:val="none" w:sz="0" w:space="0" w:color="auto"/>
        <w:right w:val="none" w:sz="0" w:space="0" w:color="auto"/>
      </w:divBdr>
    </w:div>
    <w:div w:id="700715284">
      <w:bodyDiv w:val="1"/>
      <w:marLeft w:val="0"/>
      <w:marRight w:val="0"/>
      <w:marTop w:val="0"/>
      <w:marBottom w:val="0"/>
      <w:divBdr>
        <w:top w:val="none" w:sz="0" w:space="0" w:color="auto"/>
        <w:left w:val="none" w:sz="0" w:space="0" w:color="auto"/>
        <w:bottom w:val="none" w:sz="0" w:space="0" w:color="auto"/>
        <w:right w:val="none" w:sz="0" w:space="0" w:color="auto"/>
      </w:divBdr>
    </w:div>
    <w:div w:id="759522539">
      <w:bodyDiv w:val="1"/>
      <w:marLeft w:val="0"/>
      <w:marRight w:val="0"/>
      <w:marTop w:val="0"/>
      <w:marBottom w:val="0"/>
      <w:divBdr>
        <w:top w:val="none" w:sz="0" w:space="0" w:color="auto"/>
        <w:left w:val="none" w:sz="0" w:space="0" w:color="auto"/>
        <w:bottom w:val="none" w:sz="0" w:space="0" w:color="auto"/>
        <w:right w:val="none" w:sz="0" w:space="0" w:color="auto"/>
      </w:divBdr>
    </w:div>
    <w:div w:id="834220784">
      <w:bodyDiv w:val="1"/>
      <w:marLeft w:val="0"/>
      <w:marRight w:val="0"/>
      <w:marTop w:val="0"/>
      <w:marBottom w:val="0"/>
      <w:divBdr>
        <w:top w:val="none" w:sz="0" w:space="0" w:color="auto"/>
        <w:left w:val="none" w:sz="0" w:space="0" w:color="auto"/>
        <w:bottom w:val="none" w:sz="0" w:space="0" w:color="auto"/>
        <w:right w:val="none" w:sz="0" w:space="0" w:color="auto"/>
      </w:divBdr>
    </w:div>
    <w:div w:id="839928278">
      <w:bodyDiv w:val="1"/>
      <w:marLeft w:val="0"/>
      <w:marRight w:val="0"/>
      <w:marTop w:val="0"/>
      <w:marBottom w:val="0"/>
      <w:divBdr>
        <w:top w:val="none" w:sz="0" w:space="0" w:color="auto"/>
        <w:left w:val="none" w:sz="0" w:space="0" w:color="auto"/>
        <w:bottom w:val="none" w:sz="0" w:space="0" w:color="auto"/>
        <w:right w:val="none" w:sz="0" w:space="0" w:color="auto"/>
      </w:divBdr>
    </w:div>
    <w:div w:id="845554808">
      <w:bodyDiv w:val="1"/>
      <w:marLeft w:val="0"/>
      <w:marRight w:val="0"/>
      <w:marTop w:val="0"/>
      <w:marBottom w:val="0"/>
      <w:divBdr>
        <w:top w:val="none" w:sz="0" w:space="0" w:color="auto"/>
        <w:left w:val="none" w:sz="0" w:space="0" w:color="auto"/>
        <w:bottom w:val="none" w:sz="0" w:space="0" w:color="auto"/>
        <w:right w:val="none" w:sz="0" w:space="0" w:color="auto"/>
      </w:divBdr>
    </w:div>
    <w:div w:id="852188055">
      <w:bodyDiv w:val="1"/>
      <w:marLeft w:val="0"/>
      <w:marRight w:val="0"/>
      <w:marTop w:val="0"/>
      <w:marBottom w:val="0"/>
      <w:divBdr>
        <w:top w:val="none" w:sz="0" w:space="0" w:color="auto"/>
        <w:left w:val="none" w:sz="0" w:space="0" w:color="auto"/>
        <w:bottom w:val="none" w:sz="0" w:space="0" w:color="auto"/>
        <w:right w:val="none" w:sz="0" w:space="0" w:color="auto"/>
      </w:divBdr>
    </w:div>
    <w:div w:id="885947575">
      <w:bodyDiv w:val="1"/>
      <w:marLeft w:val="0"/>
      <w:marRight w:val="0"/>
      <w:marTop w:val="0"/>
      <w:marBottom w:val="0"/>
      <w:divBdr>
        <w:top w:val="none" w:sz="0" w:space="0" w:color="auto"/>
        <w:left w:val="none" w:sz="0" w:space="0" w:color="auto"/>
        <w:bottom w:val="none" w:sz="0" w:space="0" w:color="auto"/>
        <w:right w:val="none" w:sz="0" w:space="0" w:color="auto"/>
      </w:divBdr>
    </w:div>
    <w:div w:id="979000444">
      <w:bodyDiv w:val="1"/>
      <w:marLeft w:val="0"/>
      <w:marRight w:val="0"/>
      <w:marTop w:val="0"/>
      <w:marBottom w:val="0"/>
      <w:divBdr>
        <w:top w:val="none" w:sz="0" w:space="0" w:color="auto"/>
        <w:left w:val="none" w:sz="0" w:space="0" w:color="auto"/>
        <w:bottom w:val="none" w:sz="0" w:space="0" w:color="auto"/>
        <w:right w:val="none" w:sz="0" w:space="0" w:color="auto"/>
      </w:divBdr>
    </w:div>
    <w:div w:id="1020274432">
      <w:bodyDiv w:val="1"/>
      <w:marLeft w:val="0"/>
      <w:marRight w:val="0"/>
      <w:marTop w:val="0"/>
      <w:marBottom w:val="0"/>
      <w:divBdr>
        <w:top w:val="none" w:sz="0" w:space="0" w:color="auto"/>
        <w:left w:val="none" w:sz="0" w:space="0" w:color="auto"/>
        <w:bottom w:val="none" w:sz="0" w:space="0" w:color="auto"/>
        <w:right w:val="none" w:sz="0" w:space="0" w:color="auto"/>
      </w:divBdr>
    </w:div>
    <w:div w:id="1069185717">
      <w:bodyDiv w:val="1"/>
      <w:marLeft w:val="0"/>
      <w:marRight w:val="0"/>
      <w:marTop w:val="0"/>
      <w:marBottom w:val="0"/>
      <w:divBdr>
        <w:top w:val="none" w:sz="0" w:space="0" w:color="auto"/>
        <w:left w:val="none" w:sz="0" w:space="0" w:color="auto"/>
        <w:bottom w:val="none" w:sz="0" w:space="0" w:color="auto"/>
        <w:right w:val="none" w:sz="0" w:space="0" w:color="auto"/>
      </w:divBdr>
    </w:div>
    <w:div w:id="1094283695">
      <w:bodyDiv w:val="1"/>
      <w:marLeft w:val="0"/>
      <w:marRight w:val="0"/>
      <w:marTop w:val="0"/>
      <w:marBottom w:val="0"/>
      <w:divBdr>
        <w:top w:val="none" w:sz="0" w:space="0" w:color="auto"/>
        <w:left w:val="none" w:sz="0" w:space="0" w:color="auto"/>
        <w:bottom w:val="none" w:sz="0" w:space="0" w:color="auto"/>
        <w:right w:val="none" w:sz="0" w:space="0" w:color="auto"/>
      </w:divBdr>
    </w:div>
    <w:div w:id="1101098431">
      <w:bodyDiv w:val="1"/>
      <w:marLeft w:val="0"/>
      <w:marRight w:val="0"/>
      <w:marTop w:val="0"/>
      <w:marBottom w:val="0"/>
      <w:divBdr>
        <w:top w:val="none" w:sz="0" w:space="0" w:color="auto"/>
        <w:left w:val="none" w:sz="0" w:space="0" w:color="auto"/>
        <w:bottom w:val="none" w:sz="0" w:space="0" w:color="auto"/>
        <w:right w:val="none" w:sz="0" w:space="0" w:color="auto"/>
      </w:divBdr>
    </w:div>
    <w:div w:id="1150557610">
      <w:bodyDiv w:val="1"/>
      <w:marLeft w:val="0"/>
      <w:marRight w:val="0"/>
      <w:marTop w:val="0"/>
      <w:marBottom w:val="0"/>
      <w:divBdr>
        <w:top w:val="none" w:sz="0" w:space="0" w:color="auto"/>
        <w:left w:val="none" w:sz="0" w:space="0" w:color="auto"/>
        <w:bottom w:val="none" w:sz="0" w:space="0" w:color="auto"/>
        <w:right w:val="none" w:sz="0" w:space="0" w:color="auto"/>
      </w:divBdr>
    </w:div>
    <w:div w:id="1187056790">
      <w:bodyDiv w:val="1"/>
      <w:marLeft w:val="0"/>
      <w:marRight w:val="0"/>
      <w:marTop w:val="0"/>
      <w:marBottom w:val="0"/>
      <w:divBdr>
        <w:top w:val="none" w:sz="0" w:space="0" w:color="auto"/>
        <w:left w:val="none" w:sz="0" w:space="0" w:color="auto"/>
        <w:bottom w:val="none" w:sz="0" w:space="0" w:color="auto"/>
        <w:right w:val="none" w:sz="0" w:space="0" w:color="auto"/>
      </w:divBdr>
    </w:div>
    <w:div w:id="1269852996">
      <w:bodyDiv w:val="1"/>
      <w:marLeft w:val="0"/>
      <w:marRight w:val="0"/>
      <w:marTop w:val="0"/>
      <w:marBottom w:val="0"/>
      <w:divBdr>
        <w:top w:val="none" w:sz="0" w:space="0" w:color="auto"/>
        <w:left w:val="none" w:sz="0" w:space="0" w:color="auto"/>
        <w:bottom w:val="none" w:sz="0" w:space="0" w:color="auto"/>
        <w:right w:val="none" w:sz="0" w:space="0" w:color="auto"/>
      </w:divBdr>
    </w:div>
    <w:div w:id="1317807660">
      <w:bodyDiv w:val="1"/>
      <w:marLeft w:val="0"/>
      <w:marRight w:val="0"/>
      <w:marTop w:val="0"/>
      <w:marBottom w:val="0"/>
      <w:divBdr>
        <w:top w:val="none" w:sz="0" w:space="0" w:color="auto"/>
        <w:left w:val="none" w:sz="0" w:space="0" w:color="auto"/>
        <w:bottom w:val="none" w:sz="0" w:space="0" w:color="auto"/>
        <w:right w:val="none" w:sz="0" w:space="0" w:color="auto"/>
      </w:divBdr>
    </w:div>
    <w:div w:id="1324816165">
      <w:bodyDiv w:val="1"/>
      <w:marLeft w:val="0"/>
      <w:marRight w:val="0"/>
      <w:marTop w:val="0"/>
      <w:marBottom w:val="0"/>
      <w:divBdr>
        <w:top w:val="none" w:sz="0" w:space="0" w:color="auto"/>
        <w:left w:val="none" w:sz="0" w:space="0" w:color="auto"/>
        <w:bottom w:val="none" w:sz="0" w:space="0" w:color="auto"/>
        <w:right w:val="none" w:sz="0" w:space="0" w:color="auto"/>
      </w:divBdr>
    </w:div>
    <w:div w:id="1325083791">
      <w:bodyDiv w:val="1"/>
      <w:marLeft w:val="0"/>
      <w:marRight w:val="0"/>
      <w:marTop w:val="0"/>
      <w:marBottom w:val="0"/>
      <w:divBdr>
        <w:top w:val="none" w:sz="0" w:space="0" w:color="auto"/>
        <w:left w:val="none" w:sz="0" w:space="0" w:color="auto"/>
        <w:bottom w:val="none" w:sz="0" w:space="0" w:color="auto"/>
        <w:right w:val="none" w:sz="0" w:space="0" w:color="auto"/>
      </w:divBdr>
    </w:div>
    <w:div w:id="1351298480">
      <w:bodyDiv w:val="1"/>
      <w:marLeft w:val="0"/>
      <w:marRight w:val="0"/>
      <w:marTop w:val="0"/>
      <w:marBottom w:val="0"/>
      <w:divBdr>
        <w:top w:val="none" w:sz="0" w:space="0" w:color="auto"/>
        <w:left w:val="none" w:sz="0" w:space="0" w:color="auto"/>
        <w:bottom w:val="none" w:sz="0" w:space="0" w:color="auto"/>
        <w:right w:val="none" w:sz="0" w:space="0" w:color="auto"/>
      </w:divBdr>
    </w:div>
    <w:div w:id="1356537401">
      <w:bodyDiv w:val="1"/>
      <w:marLeft w:val="0"/>
      <w:marRight w:val="0"/>
      <w:marTop w:val="0"/>
      <w:marBottom w:val="0"/>
      <w:divBdr>
        <w:top w:val="none" w:sz="0" w:space="0" w:color="auto"/>
        <w:left w:val="none" w:sz="0" w:space="0" w:color="auto"/>
        <w:bottom w:val="none" w:sz="0" w:space="0" w:color="auto"/>
        <w:right w:val="none" w:sz="0" w:space="0" w:color="auto"/>
      </w:divBdr>
    </w:div>
    <w:div w:id="1418206233">
      <w:bodyDiv w:val="1"/>
      <w:marLeft w:val="0"/>
      <w:marRight w:val="0"/>
      <w:marTop w:val="0"/>
      <w:marBottom w:val="0"/>
      <w:divBdr>
        <w:top w:val="none" w:sz="0" w:space="0" w:color="auto"/>
        <w:left w:val="none" w:sz="0" w:space="0" w:color="auto"/>
        <w:bottom w:val="none" w:sz="0" w:space="0" w:color="auto"/>
        <w:right w:val="none" w:sz="0" w:space="0" w:color="auto"/>
      </w:divBdr>
    </w:div>
    <w:div w:id="1446075500">
      <w:bodyDiv w:val="1"/>
      <w:marLeft w:val="0"/>
      <w:marRight w:val="0"/>
      <w:marTop w:val="0"/>
      <w:marBottom w:val="0"/>
      <w:divBdr>
        <w:top w:val="none" w:sz="0" w:space="0" w:color="auto"/>
        <w:left w:val="none" w:sz="0" w:space="0" w:color="auto"/>
        <w:bottom w:val="none" w:sz="0" w:space="0" w:color="auto"/>
        <w:right w:val="none" w:sz="0" w:space="0" w:color="auto"/>
      </w:divBdr>
    </w:div>
    <w:div w:id="1578517261">
      <w:bodyDiv w:val="1"/>
      <w:marLeft w:val="0"/>
      <w:marRight w:val="0"/>
      <w:marTop w:val="0"/>
      <w:marBottom w:val="0"/>
      <w:divBdr>
        <w:top w:val="none" w:sz="0" w:space="0" w:color="auto"/>
        <w:left w:val="none" w:sz="0" w:space="0" w:color="auto"/>
        <w:bottom w:val="none" w:sz="0" w:space="0" w:color="auto"/>
        <w:right w:val="none" w:sz="0" w:space="0" w:color="auto"/>
      </w:divBdr>
    </w:div>
    <w:div w:id="1721513435">
      <w:bodyDiv w:val="1"/>
      <w:marLeft w:val="0"/>
      <w:marRight w:val="0"/>
      <w:marTop w:val="0"/>
      <w:marBottom w:val="0"/>
      <w:divBdr>
        <w:top w:val="none" w:sz="0" w:space="0" w:color="auto"/>
        <w:left w:val="none" w:sz="0" w:space="0" w:color="auto"/>
        <w:bottom w:val="none" w:sz="0" w:space="0" w:color="auto"/>
        <w:right w:val="none" w:sz="0" w:space="0" w:color="auto"/>
      </w:divBdr>
    </w:div>
    <w:div w:id="1742210637">
      <w:bodyDiv w:val="1"/>
      <w:marLeft w:val="0"/>
      <w:marRight w:val="0"/>
      <w:marTop w:val="0"/>
      <w:marBottom w:val="0"/>
      <w:divBdr>
        <w:top w:val="none" w:sz="0" w:space="0" w:color="auto"/>
        <w:left w:val="none" w:sz="0" w:space="0" w:color="auto"/>
        <w:bottom w:val="none" w:sz="0" w:space="0" w:color="auto"/>
        <w:right w:val="none" w:sz="0" w:space="0" w:color="auto"/>
      </w:divBdr>
    </w:div>
    <w:div w:id="1776703417">
      <w:bodyDiv w:val="1"/>
      <w:marLeft w:val="0"/>
      <w:marRight w:val="0"/>
      <w:marTop w:val="0"/>
      <w:marBottom w:val="0"/>
      <w:divBdr>
        <w:top w:val="none" w:sz="0" w:space="0" w:color="auto"/>
        <w:left w:val="none" w:sz="0" w:space="0" w:color="auto"/>
        <w:bottom w:val="none" w:sz="0" w:space="0" w:color="auto"/>
        <w:right w:val="none" w:sz="0" w:space="0" w:color="auto"/>
      </w:divBdr>
    </w:div>
    <w:div w:id="1824732558">
      <w:bodyDiv w:val="1"/>
      <w:marLeft w:val="0"/>
      <w:marRight w:val="0"/>
      <w:marTop w:val="0"/>
      <w:marBottom w:val="0"/>
      <w:divBdr>
        <w:top w:val="none" w:sz="0" w:space="0" w:color="auto"/>
        <w:left w:val="none" w:sz="0" w:space="0" w:color="auto"/>
        <w:bottom w:val="none" w:sz="0" w:space="0" w:color="auto"/>
        <w:right w:val="none" w:sz="0" w:space="0" w:color="auto"/>
      </w:divBdr>
    </w:div>
    <w:div w:id="1825703372">
      <w:bodyDiv w:val="1"/>
      <w:marLeft w:val="0"/>
      <w:marRight w:val="0"/>
      <w:marTop w:val="0"/>
      <w:marBottom w:val="0"/>
      <w:divBdr>
        <w:top w:val="none" w:sz="0" w:space="0" w:color="auto"/>
        <w:left w:val="none" w:sz="0" w:space="0" w:color="auto"/>
        <w:bottom w:val="none" w:sz="0" w:space="0" w:color="auto"/>
        <w:right w:val="none" w:sz="0" w:space="0" w:color="auto"/>
      </w:divBdr>
    </w:div>
    <w:div w:id="1838618484">
      <w:bodyDiv w:val="1"/>
      <w:marLeft w:val="0"/>
      <w:marRight w:val="0"/>
      <w:marTop w:val="0"/>
      <w:marBottom w:val="0"/>
      <w:divBdr>
        <w:top w:val="none" w:sz="0" w:space="0" w:color="auto"/>
        <w:left w:val="none" w:sz="0" w:space="0" w:color="auto"/>
        <w:bottom w:val="none" w:sz="0" w:space="0" w:color="auto"/>
        <w:right w:val="none" w:sz="0" w:space="0" w:color="auto"/>
      </w:divBdr>
    </w:div>
    <w:div w:id="1842889764">
      <w:bodyDiv w:val="1"/>
      <w:marLeft w:val="0"/>
      <w:marRight w:val="0"/>
      <w:marTop w:val="0"/>
      <w:marBottom w:val="0"/>
      <w:divBdr>
        <w:top w:val="none" w:sz="0" w:space="0" w:color="auto"/>
        <w:left w:val="none" w:sz="0" w:space="0" w:color="auto"/>
        <w:bottom w:val="none" w:sz="0" w:space="0" w:color="auto"/>
        <w:right w:val="none" w:sz="0" w:space="0" w:color="auto"/>
      </w:divBdr>
    </w:div>
    <w:div w:id="1855026686">
      <w:bodyDiv w:val="1"/>
      <w:marLeft w:val="0"/>
      <w:marRight w:val="0"/>
      <w:marTop w:val="0"/>
      <w:marBottom w:val="0"/>
      <w:divBdr>
        <w:top w:val="none" w:sz="0" w:space="0" w:color="auto"/>
        <w:left w:val="none" w:sz="0" w:space="0" w:color="auto"/>
        <w:bottom w:val="none" w:sz="0" w:space="0" w:color="auto"/>
        <w:right w:val="none" w:sz="0" w:space="0" w:color="auto"/>
      </w:divBdr>
    </w:div>
    <w:div w:id="1884712608">
      <w:bodyDiv w:val="1"/>
      <w:marLeft w:val="0"/>
      <w:marRight w:val="0"/>
      <w:marTop w:val="0"/>
      <w:marBottom w:val="0"/>
      <w:divBdr>
        <w:top w:val="none" w:sz="0" w:space="0" w:color="auto"/>
        <w:left w:val="none" w:sz="0" w:space="0" w:color="auto"/>
        <w:bottom w:val="none" w:sz="0" w:space="0" w:color="auto"/>
        <w:right w:val="none" w:sz="0" w:space="0" w:color="auto"/>
      </w:divBdr>
    </w:div>
    <w:div w:id="1941256710">
      <w:bodyDiv w:val="1"/>
      <w:marLeft w:val="0"/>
      <w:marRight w:val="0"/>
      <w:marTop w:val="0"/>
      <w:marBottom w:val="0"/>
      <w:divBdr>
        <w:top w:val="none" w:sz="0" w:space="0" w:color="auto"/>
        <w:left w:val="none" w:sz="0" w:space="0" w:color="auto"/>
        <w:bottom w:val="none" w:sz="0" w:space="0" w:color="auto"/>
        <w:right w:val="none" w:sz="0" w:space="0" w:color="auto"/>
      </w:divBdr>
    </w:div>
    <w:div w:id="1968854368">
      <w:bodyDiv w:val="1"/>
      <w:marLeft w:val="0"/>
      <w:marRight w:val="0"/>
      <w:marTop w:val="0"/>
      <w:marBottom w:val="0"/>
      <w:divBdr>
        <w:top w:val="none" w:sz="0" w:space="0" w:color="auto"/>
        <w:left w:val="none" w:sz="0" w:space="0" w:color="auto"/>
        <w:bottom w:val="none" w:sz="0" w:space="0" w:color="auto"/>
        <w:right w:val="none" w:sz="0" w:space="0" w:color="auto"/>
      </w:divBdr>
    </w:div>
    <w:div w:id="2019043877">
      <w:bodyDiv w:val="1"/>
      <w:marLeft w:val="0"/>
      <w:marRight w:val="0"/>
      <w:marTop w:val="0"/>
      <w:marBottom w:val="0"/>
      <w:divBdr>
        <w:top w:val="none" w:sz="0" w:space="0" w:color="auto"/>
        <w:left w:val="none" w:sz="0" w:space="0" w:color="auto"/>
        <w:bottom w:val="none" w:sz="0" w:space="0" w:color="auto"/>
        <w:right w:val="none" w:sz="0" w:space="0" w:color="auto"/>
      </w:divBdr>
    </w:div>
    <w:div w:id="2089039450">
      <w:bodyDiv w:val="1"/>
      <w:marLeft w:val="0"/>
      <w:marRight w:val="0"/>
      <w:marTop w:val="0"/>
      <w:marBottom w:val="0"/>
      <w:divBdr>
        <w:top w:val="none" w:sz="0" w:space="0" w:color="auto"/>
        <w:left w:val="none" w:sz="0" w:space="0" w:color="auto"/>
        <w:bottom w:val="none" w:sz="0" w:space="0" w:color="auto"/>
        <w:right w:val="none" w:sz="0" w:space="0" w:color="auto"/>
      </w:divBdr>
    </w:div>
    <w:div w:id="211821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9.png"/><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novazelenausporam.cz/o-programu/schvalene-zadosti/"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1C39E1869F9F540B435FBD4981CECA4" ma:contentTypeVersion="0" ma:contentTypeDescription="Vytvoří nový dokument" ma:contentTypeScope="" ma:versionID="2cb9e4b4e4755486f23f92124074c5dd">
  <xsd:schema xmlns:xsd="http://www.w3.org/2001/XMLSchema" xmlns:xs="http://www.w3.org/2001/XMLSchema" xmlns:p="http://schemas.microsoft.com/office/2006/metadata/properties" targetNamespace="http://schemas.microsoft.com/office/2006/metadata/properties" ma:root="true" ma:fieldsID="2ecb93c72f33e94aa0d8973920a8bb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86D2D-E3EE-4292-AD7E-3A26B8A0022F}">
  <ds:schemaRefs>
    <ds:schemaRef ds:uri="http://schemas.microsoft.com/sharepoint/v3/contenttype/forms"/>
  </ds:schemaRefs>
</ds:datastoreItem>
</file>

<file path=customXml/itemProps2.xml><?xml version="1.0" encoding="utf-8"?>
<ds:datastoreItem xmlns:ds="http://schemas.openxmlformats.org/officeDocument/2006/customXml" ds:itemID="{CB21E629-5DF3-4CF7-A9F0-1B95903B7C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C167C8-2C01-4ECC-9A5D-5D9CA6877A28}">
  <ds:schemaRefs>
    <ds:schemaRef ds:uri="http://purl.org/dc/dcmitype/"/>
    <ds:schemaRef ds:uri="http://purl.org/dc/terms/"/>
    <ds:schemaRef ds:uri="http://schemas.microsoft.com/office/2006/metadata/properties"/>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0698A827-F884-4849-B980-2D9349055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8250</Words>
  <Characters>46790</Characters>
  <Application>Microsoft Office Word</Application>
  <DocSecurity>4</DocSecurity>
  <Lines>389</Lines>
  <Paragraphs>109</Paragraphs>
  <ScaleCrop>false</ScaleCrop>
  <HeadingPairs>
    <vt:vector size="2" baseType="variant">
      <vt:variant>
        <vt:lpstr>Název</vt:lpstr>
      </vt:variant>
      <vt:variant>
        <vt:i4>1</vt:i4>
      </vt:variant>
    </vt:vector>
  </HeadingPairs>
  <TitlesOfParts>
    <vt:vector size="1" baseType="lpstr">
      <vt:lpstr>KZ 20/19 Opatření ke snížení energetické náročnosti bytových domů</vt:lpstr>
    </vt:vector>
  </TitlesOfParts>
  <Company>NKU</Company>
  <LinksUpToDate>false</LinksUpToDate>
  <CharactersWithSpaces>54931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Kontrolní závěr z kontrolní akce NKÚ č. 20/19 - Opatření ke snížení energetické náročnosti bytových domů podporovaná z Integrovaného regionálního operačního programu a z programu Nová zelená úsporám</dc:title>
  <dc:subject>Kontrolní závěr z kontrolní akce NKÚ č. 20/19 - Opatření ke snížení energetické náročnosti bytových domů podporovaná z Integrovaného regionálního operačního programu a z programu Nová zelená úsporám</dc:subject>
  <dc:creator>Nejvyšší kontrolní úřad</dc:creator>
  <cp:keywords>kontrolní závěr; energetická účinnost; bytové domy; IROP; NZÚ</cp:keywords>
  <cp:lastModifiedBy>KOKRDA Daniel</cp:lastModifiedBy>
  <cp:revision>2</cp:revision>
  <cp:lastPrinted>2021-09-30T09:10:00Z</cp:lastPrinted>
  <dcterms:created xsi:type="dcterms:W3CDTF">2021-10-01T07:42:00Z</dcterms:created>
  <dcterms:modified xsi:type="dcterms:W3CDTF">2021-10-01T07:42:00Z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nonymizaceNavrh">
    <vt:lpwstr/>
  </property>
  <property fmtid="{D5CDD505-2E9C-101B-9397-08002B2CF9AE}" pid="3" name="Cislo_PostaOdesPisemnostDokumentVerze_PostaOdesPisemnost">
    <vt:lpwstr>VÝTISK Č. ...</vt:lpwstr>
  </property>
  <property fmtid="{D5CDD505-2E9C-101B-9397-08002B2CF9AE}" pid="4" name="CJ">
    <vt:lpwstr>18/09-NKU30/1213/18</vt:lpwstr>
  </property>
  <property fmtid="{D5CDD505-2E9C-101B-9397-08002B2CF9AE}" pid="5" name="CJ_PostaDoruc_PisemnostOdpovedNa_Pisemnost">
    <vt:lpwstr>XXX-XXX-XXX</vt:lpwstr>
  </property>
  <property fmtid="{D5CDD505-2E9C-101B-9397-08002B2CF9AE}" pid="6" name="CJ_Spis_Pisemnost">
    <vt:lpwstr>530/200/18</vt:lpwstr>
  </property>
  <property fmtid="{D5CDD505-2E9C-101B-9397-08002B2CF9AE}" pid="7" name="Contact_PostaOdes_All">
    <vt:lpwstr>ROZDĚLOVNÍK...</vt:lpwstr>
  </property>
  <property fmtid="{D5CDD505-2E9C-101B-9397-08002B2CF9AE}" pid="8" name="ContentTypeId">
    <vt:lpwstr>0x010100C1C39E1869F9F540B435FBD4981CECA4</vt:lpwstr>
  </property>
  <property fmtid="{D5CDD505-2E9C-101B-9397-08002B2CF9AE}" pid="9" name="DatumNaroz">
    <vt:lpwstr/>
  </property>
  <property fmtid="{D5CDD505-2E9C-101B-9397-08002B2CF9AE}" pid="10" name="DatumPlatnosti_PisemnostTypZpristupneniInformaciZOSZ_Pisemnost">
    <vt:lpwstr>ZOSZ_DatumPlatnosti</vt:lpwstr>
  </property>
  <property fmtid="{D5CDD505-2E9C-101B-9397-08002B2CF9AE}" pid="11" name="DatumPoriz_Pisemnost">
    <vt:lpwstr>17.12.2018</vt:lpwstr>
  </property>
  <property fmtid="{D5CDD505-2E9C-101B-9397-08002B2CF9AE}" pid="12" name="DisplayName_CisloObalky_PostaOdes">
    <vt:lpwstr>{DisplayName_CisloObalky_PostaOdes}</vt:lpwstr>
  </property>
  <property fmtid="{D5CDD505-2E9C-101B-9397-08002B2CF9AE}" pid="13" name="DisplayName_CJCol">
    <vt:lpwstr>18/09-NKU30/1213/18</vt:lpwstr>
  </property>
  <property fmtid="{D5CDD505-2E9C-101B-9397-08002B2CF9AE}" pid="14" name="DisplayName_SlozkaStupenUtajeniCollection_Slozka_Pisemnost">
    <vt:lpwstr/>
  </property>
  <property fmtid="{D5CDD505-2E9C-101B-9397-08002B2CF9AE}" pid="15" name="DisplayName_SpisovyUzel_PoziceZodpo_Pisemnost">
    <vt:lpwstr>Členové Úřadu</vt:lpwstr>
  </property>
  <property fmtid="{D5CDD505-2E9C-101B-9397-08002B2CF9AE}" pid="16" name="DisplayName_UserPoriz_Pisemnost">
    <vt:lpwstr>Romana Grešová</vt:lpwstr>
  </property>
  <property fmtid="{D5CDD505-2E9C-101B-9397-08002B2CF9AE}" pid="17" name="DuvodZmeny_SlozkaStupenUtajeniCollection_Slozka_Pisemnost">
    <vt:lpwstr/>
  </property>
  <property fmtid="{D5CDD505-2E9C-101B-9397-08002B2CF9AE}" pid="18" name="EC_Pisemnost">
    <vt:lpwstr>18-15817/NKU</vt:lpwstr>
  </property>
  <property fmtid="{D5CDD505-2E9C-101B-9397-08002B2CF9AE}" pid="19" name="Key_BarCode_Pisemnost">
    <vt:lpwstr>*B000326671*</vt:lpwstr>
  </property>
  <property fmtid="{D5CDD505-2E9C-101B-9397-08002B2CF9AE}" pid="20" name="KRukam">
    <vt:lpwstr>{KRukam}</vt:lpwstr>
  </property>
  <property fmtid="{D5CDD505-2E9C-101B-9397-08002B2CF9AE}" pid="21" name="NameAddress_Contact_SpisovyUzel_PoziceZodpo_Pisemnost">
    <vt:lpwstr>ADRESÁT SU...</vt:lpwstr>
  </property>
  <property fmtid="{D5CDD505-2E9C-101B-9397-08002B2CF9AE}" pid="22" name="Odkaz">
    <vt:lpwstr>ODKAZ</vt:lpwstr>
  </property>
  <property fmtid="{D5CDD505-2E9C-101B-9397-08002B2CF9AE}" pid="23" name="Password_PisemnostTypZpristupneniInformaciZOSZ_Pisemnost">
    <vt:lpwstr>ZOSZ_Password</vt:lpwstr>
  </property>
  <property fmtid="{D5CDD505-2E9C-101B-9397-08002B2CF9AE}" pid="24" name="PocetListuDokumentu_Pisemnost">
    <vt:lpwstr>1</vt:lpwstr>
  </property>
  <property fmtid="{D5CDD505-2E9C-101B-9397-08002B2CF9AE}" pid="25" name="PocetListu_Pisemnost">
    <vt:lpwstr>1</vt:lpwstr>
  </property>
  <property fmtid="{D5CDD505-2E9C-101B-9397-08002B2CF9AE}" pid="26" name="PocetPriloh_Pisemnost">
    <vt:lpwstr>POČET PŘÍLOH</vt:lpwstr>
  </property>
  <property fmtid="{D5CDD505-2E9C-101B-9397-08002B2CF9AE}" pid="27" name="Podpis">
    <vt:lpwstr/>
  </property>
  <property fmtid="{D5CDD505-2E9C-101B-9397-08002B2CF9AE}" pid="28" name="PostalAddress_Contact_SpisovyUzel_PoziceZodpo_Pisemnost">
    <vt:lpwstr>ADRESA SU...</vt:lpwstr>
  </property>
  <property fmtid="{D5CDD505-2E9C-101B-9397-08002B2CF9AE}" pid="29" name="RC">
    <vt:lpwstr/>
  </property>
  <property fmtid="{D5CDD505-2E9C-101B-9397-08002B2CF9AE}" pid="30" name="SkartacniZnakLhuta_PisemnostZnak">
    <vt:lpwstr>?/?</vt:lpwstr>
  </property>
  <property fmtid="{D5CDD505-2E9C-101B-9397-08002B2CF9AE}" pid="31" name="SmlouvaCislo">
    <vt:lpwstr>ČÍSLO SMLOUVY</vt:lpwstr>
  </property>
  <property fmtid="{D5CDD505-2E9C-101B-9397-08002B2CF9AE}" pid="32" name="SZ_Spis_Pisemnost">
    <vt:lpwstr>18/09</vt:lpwstr>
  </property>
  <property fmtid="{D5CDD505-2E9C-101B-9397-08002B2CF9AE}" pid="33" name="TEST">
    <vt:lpwstr>testovací pole</vt:lpwstr>
  </property>
  <property fmtid="{D5CDD505-2E9C-101B-9397-08002B2CF9AE}" pid="34" name="TypPrilohy_Pisemnost">
    <vt:lpwstr>TYP PŘÍLOHY</vt:lpwstr>
  </property>
  <property fmtid="{D5CDD505-2E9C-101B-9397-08002B2CF9AE}" pid="35" name="UserName_PisemnostTypZpristupneniInformaciZOSZ_Pisemnost">
    <vt:lpwstr>ZOSZ_UserName</vt:lpwstr>
  </property>
  <property fmtid="{D5CDD505-2E9C-101B-9397-08002B2CF9AE}" pid="36" name="Vec_Pisemnost">
    <vt:lpwstr>Návrh kontrolního závěru 18/09 do připomínek</vt:lpwstr>
  </property>
  <property fmtid="{D5CDD505-2E9C-101B-9397-08002B2CF9AE}" pid="37" name="Zkratka_SpisovyUzel_PoziceZodpo_Pisemnost">
    <vt:lpwstr>30</vt:lpwstr>
  </property>
</Properties>
</file>