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2FD51" w14:textId="77777777" w:rsidR="003A5711" w:rsidRPr="003A5711" w:rsidRDefault="003A5711" w:rsidP="003A5711">
      <w:pPr>
        <w:jc w:val="center"/>
        <w:rPr>
          <w:rFonts w:cstheme="minorHAnsi"/>
          <w:b/>
          <w:sz w:val="28"/>
          <w:szCs w:val="28"/>
        </w:rPr>
      </w:pPr>
      <w:r w:rsidRPr="003A5711">
        <w:rPr>
          <w:noProof/>
          <w:lang w:eastAsia="cs-CZ"/>
        </w:rPr>
        <w:drawing>
          <wp:anchor distT="0" distB="0" distL="114300" distR="114300" simplePos="0" relativeHeight="251659264" behindDoc="0" locked="0" layoutInCell="1" allowOverlap="1" wp14:anchorId="03CF6C41" wp14:editId="2E765567">
            <wp:simplePos x="0" y="0"/>
            <wp:positionH relativeFrom="margin">
              <wp:posOffset>2481580</wp:posOffset>
            </wp:positionH>
            <wp:positionV relativeFrom="paragraph">
              <wp:posOffset>0</wp:posOffset>
            </wp:positionV>
            <wp:extent cx="792480" cy="559435"/>
            <wp:effectExtent l="0" t="0" r="762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2480" cy="559435"/>
                    </a:xfrm>
                    <a:prstGeom prst="rect">
                      <a:avLst/>
                    </a:prstGeom>
                    <a:noFill/>
                  </pic:spPr>
                </pic:pic>
              </a:graphicData>
            </a:graphic>
            <wp14:sizeRelV relativeFrom="margin">
              <wp14:pctHeight>0</wp14:pctHeight>
            </wp14:sizeRelV>
          </wp:anchor>
        </w:drawing>
      </w:r>
    </w:p>
    <w:p w14:paraId="55ECC2BF" w14:textId="77777777" w:rsidR="003A5711" w:rsidRPr="003A5711" w:rsidRDefault="003A5711" w:rsidP="003A5711">
      <w:pPr>
        <w:jc w:val="center"/>
        <w:rPr>
          <w:rFonts w:cstheme="minorHAnsi"/>
          <w:b/>
          <w:sz w:val="28"/>
          <w:szCs w:val="28"/>
        </w:rPr>
      </w:pPr>
    </w:p>
    <w:p w14:paraId="76F80DAC" w14:textId="77777777" w:rsidR="003A5711" w:rsidRPr="003A5711" w:rsidRDefault="003A5711" w:rsidP="003A5711">
      <w:pPr>
        <w:jc w:val="center"/>
        <w:rPr>
          <w:rFonts w:cstheme="minorHAnsi"/>
          <w:b/>
          <w:sz w:val="28"/>
          <w:szCs w:val="28"/>
        </w:rPr>
      </w:pPr>
    </w:p>
    <w:p w14:paraId="25317C18" w14:textId="77777777" w:rsidR="003A5711" w:rsidRPr="003A5711" w:rsidRDefault="003A5711" w:rsidP="003A5711">
      <w:pPr>
        <w:jc w:val="center"/>
        <w:rPr>
          <w:b/>
          <w:sz w:val="32"/>
          <w:szCs w:val="32"/>
        </w:rPr>
      </w:pPr>
      <w:r w:rsidRPr="003A5711">
        <w:rPr>
          <w:rFonts w:cstheme="minorHAnsi"/>
          <w:b/>
          <w:sz w:val="28"/>
          <w:szCs w:val="28"/>
        </w:rPr>
        <w:t>Kontrolní závěr z kontrolní akce</w:t>
      </w:r>
    </w:p>
    <w:p w14:paraId="76725AE4" w14:textId="77777777" w:rsidR="003A5711" w:rsidRPr="003A5711" w:rsidRDefault="003A5711" w:rsidP="003A5711">
      <w:pPr>
        <w:jc w:val="center"/>
      </w:pPr>
    </w:p>
    <w:p w14:paraId="1C15C32F" w14:textId="77777777" w:rsidR="003A5711" w:rsidRPr="003A5711" w:rsidRDefault="003A5711" w:rsidP="003A5711">
      <w:pPr>
        <w:jc w:val="center"/>
        <w:rPr>
          <w:rFonts w:cstheme="minorHAnsi"/>
          <w:b/>
          <w:sz w:val="28"/>
          <w:szCs w:val="28"/>
        </w:rPr>
      </w:pPr>
      <w:r w:rsidRPr="003A5711">
        <w:rPr>
          <w:rFonts w:cstheme="minorHAnsi"/>
          <w:b/>
          <w:sz w:val="28"/>
          <w:szCs w:val="28"/>
        </w:rPr>
        <w:t>20/27</w:t>
      </w:r>
    </w:p>
    <w:p w14:paraId="09ED9A59" w14:textId="77777777" w:rsidR="003A5711" w:rsidRPr="003A5711" w:rsidRDefault="003A5711" w:rsidP="003A5711">
      <w:pPr>
        <w:jc w:val="center"/>
      </w:pPr>
    </w:p>
    <w:p w14:paraId="7B470B9D" w14:textId="570A710F" w:rsidR="003A5711" w:rsidRPr="003A5711" w:rsidRDefault="003A5711" w:rsidP="003A5711">
      <w:pPr>
        <w:jc w:val="center"/>
        <w:rPr>
          <w:rFonts w:cstheme="minorHAnsi"/>
          <w:b/>
          <w:sz w:val="28"/>
          <w:szCs w:val="28"/>
        </w:rPr>
      </w:pPr>
      <w:r w:rsidRPr="003A5711">
        <w:rPr>
          <w:rFonts w:cstheme="minorHAnsi"/>
          <w:b/>
          <w:sz w:val="28"/>
          <w:szCs w:val="28"/>
        </w:rPr>
        <w:t xml:space="preserve">Majetek a peněžní prostředky státu určené na zajištění činnosti </w:t>
      </w:r>
    </w:p>
    <w:p w14:paraId="6F958A95" w14:textId="77777777" w:rsidR="003A5711" w:rsidRPr="003A5711" w:rsidRDefault="003A5711" w:rsidP="003A5711">
      <w:pPr>
        <w:jc w:val="center"/>
        <w:rPr>
          <w:rFonts w:cstheme="minorHAnsi"/>
          <w:b/>
          <w:sz w:val="28"/>
          <w:szCs w:val="28"/>
        </w:rPr>
      </w:pPr>
      <w:r w:rsidRPr="003A5711">
        <w:rPr>
          <w:rFonts w:cstheme="minorHAnsi"/>
          <w:b/>
          <w:sz w:val="28"/>
          <w:szCs w:val="28"/>
        </w:rPr>
        <w:t>Generální inspekce bezpečnostních sborů</w:t>
      </w:r>
    </w:p>
    <w:p w14:paraId="56F25C68" w14:textId="77777777" w:rsidR="003A5711" w:rsidRPr="003A5711" w:rsidRDefault="003A5711" w:rsidP="003A5711">
      <w:pPr>
        <w:jc w:val="both"/>
        <w:rPr>
          <w:rFonts w:ascii="Calibri" w:hAnsi="Calibri" w:cs="Calibri"/>
          <w:sz w:val="24"/>
          <w:szCs w:val="24"/>
        </w:rPr>
      </w:pPr>
    </w:p>
    <w:p w14:paraId="2ACFD960" w14:textId="77777777" w:rsidR="003A5711" w:rsidRPr="003A5711" w:rsidRDefault="003A5711" w:rsidP="003A5711">
      <w:pPr>
        <w:jc w:val="both"/>
        <w:rPr>
          <w:rFonts w:ascii="Calibri" w:hAnsi="Calibri" w:cs="Calibri"/>
          <w:sz w:val="24"/>
          <w:szCs w:val="24"/>
        </w:rPr>
      </w:pPr>
    </w:p>
    <w:p w14:paraId="02D2F851" w14:textId="77777777" w:rsidR="003A5711" w:rsidRPr="003A5711" w:rsidRDefault="003A5711" w:rsidP="004F15E2">
      <w:pPr>
        <w:spacing w:line="264" w:lineRule="auto"/>
        <w:jc w:val="both"/>
        <w:rPr>
          <w:rFonts w:ascii="Calibri" w:hAnsi="Calibri" w:cs="Calibri"/>
          <w:sz w:val="24"/>
          <w:szCs w:val="24"/>
        </w:rPr>
      </w:pPr>
      <w:r w:rsidRPr="003A5711">
        <w:rPr>
          <w:rFonts w:ascii="Calibri" w:hAnsi="Calibri" w:cs="Calibri"/>
          <w:sz w:val="24"/>
          <w:szCs w:val="24"/>
        </w:rPr>
        <w:t>Kontrolní akce byla zařazena do plánu kontrolní činnosti Nejvyššího kontrolního úřadu (dále také „NKÚ“) na rok 2020 pod číslem 20/27. Kontrolní akci řídil a kontrolní závěr vypracoval člen NKÚ Ing. Jan Vedral.</w:t>
      </w:r>
    </w:p>
    <w:p w14:paraId="728CF6FE" w14:textId="77777777" w:rsidR="003A5711" w:rsidRPr="003A5711" w:rsidRDefault="003A5711" w:rsidP="004F15E2">
      <w:pPr>
        <w:autoSpaceDE w:val="0"/>
        <w:autoSpaceDN w:val="0"/>
        <w:adjustRightInd w:val="0"/>
        <w:spacing w:line="264" w:lineRule="auto"/>
        <w:rPr>
          <w:rFonts w:ascii="Calibri" w:hAnsi="Calibri" w:cs="Calibri"/>
          <w:sz w:val="24"/>
          <w:szCs w:val="24"/>
        </w:rPr>
      </w:pPr>
    </w:p>
    <w:p w14:paraId="24EC57A0" w14:textId="3AAED629" w:rsidR="003A5711" w:rsidRPr="003A5711" w:rsidRDefault="003A5711" w:rsidP="004F15E2">
      <w:pPr>
        <w:autoSpaceDE w:val="0"/>
        <w:autoSpaceDN w:val="0"/>
        <w:adjustRightInd w:val="0"/>
        <w:spacing w:line="264" w:lineRule="auto"/>
        <w:jc w:val="both"/>
        <w:rPr>
          <w:rFonts w:ascii="Calibri" w:hAnsi="Calibri" w:cs="Calibri"/>
          <w:sz w:val="24"/>
          <w:szCs w:val="24"/>
        </w:rPr>
      </w:pPr>
      <w:r w:rsidRPr="003A5711">
        <w:rPr>
          <w:rFonts w:ascii="Calibri" w:hAnsi="Calibri" w:cs="Calibri"/>
          <w:sz w:val="24"/>
          <w:szCs w:val="24"/>
        </w:rPr>
        <w:t>Cílem kontroly bylo prověřit, zda výdaje Generální inspekce bezpečnostních sborů byly realizovány v souladu s právními předpisy, a ověřit, zda je nastaven systém pro hospodárné a</w:t>
      </w:r>
      <w:r w:rsidR="002E1520">
        <w:rPr>
          <w:rFonts w:ascii="Calibri" w:hAnsi="Calibri" w:cs="Calibri"/>
          <w:sz w:val="24"/>
          <w:szCs w:val="24"/>
        </w:rPr>
        <w:t> </w:t>
      </w:r>
      <w:r w:rsidRPr="003A5711">
        <w:rPr>
          <w:rFonts w:ascii="Calibri" w:hAnsi="Calibri" w:cs="Calibri"/>
          <w:sz w:val="24"/>
          <w:szCs w:val="24"/>
        </w:rPr>
        <w:t>účelné hospodaření s majetkem a peněžními prostředky státu.</w:t>
      </w:r>
    </w:p>
    <w:p w14:paraId="19EA6E84" w14:textId="77777777" w:rsidR="003A5711" w:rsidRPr="003A5711" w:rsidRDefault="003A5711" w:rsidP="004F15E2">
      <w:pPr>
        <w:spacing w:line="264" w:lineRule="auto"/>
        <w:jc w:val="both"/>
        <w:rPr>
          <w:rFonts w:ascii="Calibri" w:hAnsi="Calibri" w:cs="Calibri"/>
          <w:sz w:val="24"/>
          <w:szCs w:val="24"/>
        </w:rPr>
      </w:pPr>
    </w:p>
    <w:p w14:paraId="519E8C2D" w14:textId="77777777" w:rsidR="003A5711" w:rsidRPr="003A5711" w:rsidRDefault="003A5711" w:rsidP="004F15E2">
      <w:pPr>
        <w:spacing w:line="264" w:lineRule="auto"/>
        <w:jc w:val="both"/>
        <w:rPr>
          <w:rFonts w:ascii="Calibri" w:hAnsi="Calibri" w:cs="Calibri"/>
          <w:b/>
          <w:sz w:val="24"/>
          <w:szCs w:val="24"/>
        </w:rPr>
      </w:pPr>
      <w:r w:rsidRPr="003A5711">
        <w:rPr>
          <w:rFonts w:ascii="Calibri" w:hAnsi="Calibri" w:cs="Calibri"/>
          <w:b/>
          <w:sz w:val="24"/>
          <w:szCs w:val="24"/>
        </w:rPr>
        <w:t>Kontrolovaná osoba:</w:t>
      </w:r>
    </w:p>
    <w:p w14:paraId="4A748C77" w14:textId="6DC0C3E8" w:rsidR="003A5711" w:rsidRPr="003A5711" w:rsidRDefault="003A5711" w:rsidP="004F15E2">
      <w:pPr>
        <w:spacing w:line="264" w:lineRule="auto"/>
        <w:jc w:val="both"/>
        <w:rPr>
          <w:rFonts w:ascii="Calibri" w:hAnsi="Calibri" w:cs="Calibri"/>
          <w:sz w:val="24"/>
          <w:szCs w:val="24"/>
        </w:rPr>
      </w:pPr>
      <w:r w:rsidRPr="003A5711">
        <w:rPr>
          <w:rFonts w:ascii="Calibri" w:hAnsi="Calibri" w:cs="Calibri"/>
          <w:sz w:val="24"/>
          <w:szCs w:val="24"/>
        </w:rPr>
        <w:t>Generální inspekce bezpečnostních sborů</w:t>
      </w:r>
      <w:r w:rsidR="000C6E0F">
        <w:rPr>
          <w:rFonts w:ascii="Calibri" w:hAnsi="Calibri" w:cs="Calibri"/>
          <w:sz w:val="24"/>
          <w:szCs w:val="24"/>
        </w:rPr>
        <w:t>, Praha</w:t>
      </w:r>
      <w:r w:rsidRPr="003A5711">
        <w:rPr>
          <w:rFonts w:ascii="Calibri" w:hAnsi="Calibri" w:cs="Calibri"/>
          <w:sz w:val="24"/>
          <w:szCs w:val="24"/>
        </w:rPr>
        <w:t xml:space="preserve"> (dále také „GIBS“)</w:t>
      </w:r>
      <w:r w:rsidR="00DE4F0F">
        <w:rPr>
          <w:rFonts w:ascii="Calibri" w:hAnsi="Calibri" w:cs="Calibri"/>
          <w:sz w:val="24"/>
          <w:szCs w:val="24"/>
        </w:rPr>
        <w:t>.</w:t>
      </w:r>
      <w:r w:rsidRPr="003A5711">
        <w:rPr>
          <w:rFonts w:ascii="Calibri" w:hAnsi="Calibri" w:cs="Calibri"/>
          <w:sz w:val="24"/>
          <w:szCs w:val="24"/>
        </w:rPr>
        <w:t xml:space="preserve"> </w:t>
      </w:r>
    </w:p>
    <w:p w14:paraId="743D7D34" w14:textId="77777777" w:rsidR="003A5711" w:rsidRPr="003A5711" w:rsidRDefault="003A5711" w:rsidP="004F15E2">
      <w:pPr>
        <w:spacing w:line="264" w:lineRule="auto"/>
        <w:jc w:val="both"/>
        <w:rPr>
          <w:rFonts w:ascii="Calibri" w:hAnsi="Calibri" w:cs="Calibri"/>
          <w:sz w:val="24"/>
          <w:szCs w:val="24"/>
        </w:rPr>
      </w:pPr>
    </w:p>
    <w:p w14:paraId="75F93B22" w14:textId="77777777" w:rsidR="003A5711" w:rsidRPr="003A5711" w:rsidRDefault="003A5711" w:rsidP="004F15E2">
      <w:pPr>
        <w:spacing w:line="264" w:lineRule="auto"/>
        <w:jc w:val="both"/>
        <w:rPr>
          <w:rFonts w:ascii="Calibri" w:hAnsi="Calibri" w:cs="Calibri"/>
          <w:sz w:val="24"/>
          <w:szCs w:val="24"/>
        </w:rPr>
      </w:pPr>
    </w:p>
    <w:p w14:paraId="755E824E" w14:textId="50DC79C0" w:rsidR="003A5711" w:rsidRPr="003A5711" w:rsidRDefault="000D788C" w:rsidP="004F15E2">
      <w:pPr>
        <w:spacing w:line="264" w:lineRule="auto"/>
        <w:jc w:val="both"/>
        <w:rPr>
          <w:rFonts w:ascii="Calibri" w:hAnsi="Calibri" w:cs="Calibri"/>
          <w:sz w:val="24"/>
          <w:szCs w:val="24"/>
        </w:rPr>
      </w:pPr>
      <w:r>
        <w:rPr>
          <w:rFonts w:ascii="Calibri" w:hAnsi="Calibri" w:cs="Calibri"/>
          <w:sz w:val="24"/>
          <w:szCs w:val="24"/>
        </w:rPr>
        <w:t>Kontrolováno bylo období 2017–</w:t>
      </w:r>
      <w:r w:rsidR="003A5711" w:rsidRPr="003A5711">
        <w:rPr>
          <w:rFonts w:ascii="Calibri" w:hAnsi="Calibri" w:cs="Calibri"/>
          <w:sz w:val="24"/>
          <w:szCs w:val="24"/>
        </w:rPr>
        <w:t>2020, v případě věcných souvislostí i období předcházející a následující.</w:t>
      </w:r>
    </w:p>
    <w:p w14:paraId="45B9ED63" w14:textId="77777777" w:rsidR="003A5711" w:rsidRPr="003A5711" w:rsidRDefault="003A5711" w:rsidP="004F15E2">
      <w:pPr>
        <w:spacing w:line="264" w:lineRule="auto"/>
        <w:jc w:val="both"/>
        <w:rPr>
          <w:rFonts w:ascii="Calibri" w:hAnsi="Calibri" w:cs="Calibri"/>
          <w:sz w:val="24"/>
          <w:szCs w:val="24"/>
        </w:rPr>
      </w:pPr>
    </w:p>
    <w:p w14:paraId="08D4BCF8" w14:textId="17289DBC" w:rsidR="003A5711" w:rsidRPr="003A5711" w:rsidRDefault="003A5711" w:rsidP="004F15E2">
      <w:pPr>
        <w:spacing w:line="264" w:lineRule="auto"/>
        <w:jc w:val="both"/>
        <w:rPr>
          <w:rFonts w:ascii="Calibri" w:hAnsi="Calibri" w:cs="Calibri"/>
          <w:sz w:val="24"/>
          <w:szCs w:val="24"/>
        </w:rPr>
      </w:pPr>
      <w:r w:rsidRPr="003A5711">
        <w:rPr>
          <w:rFonts w:ascii="Calibri" w:hAnsi="Calibri" w:cs="Calibri"/>
          <w:sz w:val="24"/>
          <w:szCs w:val="24"/>
        </w:rPr>
        <w:t>Kontrola byla prováděna u kontrolované osoby v době od listopadu 2020 do dubna 2021.</w:t>
      </w:r>
    </w:p>
    <w:p w14:paraId="64622CF0" w14:textId="77777777" w:rsidR="003A5711" w:rsidRPr="003A5711" w:rsidRDefault="003A5711" w:rsidP="003A5711">
      <w:pPr>
        <w:jc w:val="both"/>
        <w:rPr>
          <w:rFonts w:ascii="Calibri" w:hAnsi="Calibri" w:cs="Calibri"/>
          <w:sz w:val="24"/>
          <w:szCs w:val="24"/>
        </w:rPr>
      </w:pPr>
    </w:p>
    <w:p w14:paraId="2562F1E5" w14:textId="77777777" w:rsidR="003A5711" w:rsidRPr="003A5711" w:rsidRDefault="003A5711" w:rsidP="003A5711">
      <w:pPr>
        <w:jc w:val="both"/>
        <w:rPr>
          <w:rFonts w:ascii="Calibri" w:hAnsi="Calibri" w:cs="Calibri"/>
          <w:sz w:val="24"/>
          <w:szCs w:val="24"/>
        </w:rPr>
      </w:pPr>
    </w:p>
    <w:p w14:paraId="5FE69796" w14:textId="6F27725B" w:rsidR="003A5711" w:rsidRPr="003A5711" w:rsidRDefault="003A5711" w:rsidP="002E1520">
      <w:pPr>
        <w:spacing w:line="360" w:lineRule="auto"/>
        <w:jc w:val="both"/>
        <w:rPr>
          <w:rFonts w:ascii="Calibri" w:hAnsi="Calibri" w:cs="Calibri"/>
          <w:sz w:val="24"/>
          <w:szCs w:val="24"/>
        </w:rPr>
      </w:pPr>
      <w:r w:rsidRPr="003A5711">
        <w:rPr>
          <w:rFonts w:ascii="Calibri" w:hAnsi="Calibri" w:cs="Calibri"/>
          <w:b/>
          <w:bCs/>
          <w:i/>
          <w:iCs/>
          <w:spacing w:val="60"/>
          <w:sz w:val="24"/>
          <w:szCs w:val="24"/>
        </w:rPr>
        <w:t>Kolegium</w:t>
      </w:r>
      <w:r w:rsidRPr="003A5711">
        <w:rPr>
          <w:rFonts w:ascii="Calibri" w:hAnsi="Calibri" w:cs="Calibri"/>
          <w:b/>
          <w:bCs/>
          <w:i/>
          <w:iCs/>
          <w:sz w:val="24"/>
          <w:szCs w:val="24"/>
        </w:rPr>
        <w:t xml:space="preserve">   </w:t>
      </w:r>
      <w:r w:rsidRPr="003A5711">
        <w:rPr>
          <w:rFonts w:ascii="Calibri" w:hAnsi="Calibri" w:cs="Calibri"/>
          <w:b/>
          <w:bCs/>
          <w:i/>
          <w:iCs/>
          <w:spacing w:val="60"/>
          <w:sz w:val="24"/>
          <w:szCs w:val="24"/>
        </w:rPr>
        <w:t>NKÚ</w:t>
      </w:r>
      <w:r w:rsidRPr="003A5711">
        <w:rPr>
          <w:rFonts w:ascii="Calibri" w:hAnsi="Calibri" w:cs="Calibri"/>
          <w:sz w:val="24"/>
          <w:szCs w:val="24"/>
        </w:rPr>
        <w:t xml:space="preserve">   na svém </w:t>
      </w:r>
      <w:r w:rsidR="00A03458">
        <w:rPr>
          <w:rFonts w:ascii="Calibri" w:hAnsi="Calibri" w:cs="Calibri"/>
          <w:sz w:val="24"/>
          <w:szCs w:val="24"/>
        </w:rPr>
        <w:t>XI.</w:t>
      </w:r>
      <w:r w:rsidRPr="003A5711">
        <w:rPr>
          <w:rFonts w:ascii="Calibri" w:hAnsi="Calibri" w:cs="Calibri"/>
          <w:sz w:val="24"/>
          <w:szCs w:val="24"/>
        </w:rPr>
        <w:t xml:space="preserve"> jednání, které se konalo dne </w:t>
      </w:r>
      <w:r w:rsidR="00CF75B3" w:rsidRPr="00CF75B3">
        <w:rPr>
          <w:rFonts w:ascii="Calibri" w:hAnsi="Calibri" w:cs="Calibri"/>
          <w:sz w:val="24"/>
          <w:szCs w:val="24"/>
        </w:rPr>
        <w:t>28</w:t>
      </w:r>
      <w:r w:rsidRPr="00CF75B3">
        <w:rPr>
          <w:rFonts w:ascii="Calibri" w:hAnsi="Calibri" w:cs="Calibri"/>
          <w:sz w:val="24"/>
          <w:szCs w:val="24"/>
        </w:rPr>
        <w:t>. červ</w:t>
      </w:r>
      <w:r w:rsidR="00CF75B3" w:rsidRPr="00CF75B3">
        <w:rPr>
          <w:rFonts w:ascii="Calibri" w:hAnsi="Calibri" w:cs="Calibri"/>
          <w:sz w:val="24"/>
          <w:szCs w:val="24"/>
        </w:rPr>
        <w:t>na</w:t>
      </w:r>
      <w:r w:rsidRPr="00CF75B3">
        <w:rPr>
          <w:rFonts w:ascii="Calibri" w:hAnsi="Calibri" w:cs="Calibri"/>
          <w:sz w:val="24"/>
          <w:szCs w:val="24"/>
        </w:rPr>
        <w:t xml:space="preserve"> 2021,</w:t>
      </w:r>
    </w:p>
    <w:p w14:paraId="2C523494" w14:textId="388544CB" w:rsidR="003A5711" w:rsidRPr="003A5711" w:rsidRDefault="003A5711" w:rsidP="002E1520">
      <w:pPr>
        <w:spacing w:line="360" w:lineRule="auto"/>
        <w:jc w:val="both"/>
        <w:rPr>
          <w:rFonts w:ascii="Calibri" w:hAnsi="Calibri" w:cs="Calibri"/>
          <w:sz w:val="24"/>
          <w:szCs w:val="24"/>
        </w:rPr>
      </w:pPr>
      <w:r w:rsidRPr="003A5711">
        <w:rPr>
          <w:rFonts w:ascii="Calibri" w:hAnsi="Calibri" w:cs="Calibri"/>
          <w:b/>
          <w:bCs/>
          <w:i/>
          <w:iCs/>
          <w:spacing w:val="60"/>
          <w:sz w:val="24"/>
          <w:szCs w:val="24"/>
        </w:rPr>
        <w:t>schválilo</w:t>
      </w:r>
      <w:r w:rsidRPr="003A5711">
        <w:rPr>
          <w:rFonts w:ascii="Calibri" w:hAnsi="Calibri" w:cs="Calibri"/>
          <w:sz w:val="24"/>
          <w:szCs w:val="24"/>
        </w:rPr>
        <w:t xml:space="preserve">   usnesením č. </w:t>
      </w:r>
      <w:r w:rsidR="00D00195">
        <w:rPr>
          <w:rFonts w:ascii="Calibri" w:hAnsi="Calibri" w:cs="Calibri"/>
          <w:sz w:val="24"/>
          <w:szCs w:val="24"/>
        </w:rPr>
        <w:t>13</w:t>
      </w:r>
      <w:r w:rsidR="00A03458">
        <w:rPr>
          <w:rFonts w:ascii="Calibri" w:hAnsi="Calibri" w:cs="Calibri"/>
          <w:sz w:val="24"/>
          <w:szCs w:val="24"/>
        </w:rPr>
        <w:t>/XI/2021</w:t>
      </w:r>
    </w:p>
    <w:p w14:paraId="68B7D87F" w14:textId="77777777" w:rsidR="003A5711" w:rsidRPr="003A5711" w:rsidRDefault="003A5711" w:rsidP="002E1520">
      <w:pPr>
        <w:spacing w:line="360" w:lineRule="auto"/>
        <w:jc w:val="both"/>
        <w:rPr>
          <w:rFonts w:ascii="Calibri" w:hAnsi="Calibri" w:cs="Calibri"/>
          <w:sz w:val="24"/>
          <w:szCs w:val="24"/>
        </w:rPr>
      </w:pPr>
      <w:r w:rsidRPr="003A5711">
        <w:rPr>
          <w:rFonts w:ascii="Calibri" w:hAnsi="Calibri" w:cs="Calibri"/>
          <w:b/>
          <w:bCs/>
          <w:i/>
          <w:iCs/>
          <w:spacing w:val="60"/>
          <w:sz w:val="24"/>
          <w:szCs w:val="24"/>
        </w:rPr>
        <w:t>kontrolní</w:t>
      </w:r>
      <w:r w:rsidRPr="003A5711">
        <w:rPr>
          <w:rFonts w:ascii="Calibri" w:hAnsi="Calibri" w:cs="Calibri"/>
          <w:b/>
          <w:bCs/>
          <w:i/>
          <w:iCs/>
          <w:sz w:val="24"/>
          <w:szCs w:val="24"/>
        </w:rPr>
        <w:t xml:space="preserve">   </w:t>
      </w:r>
      <w:r w:rsidRPr="003A5711">
        <w:rPr>
          <w:rFonts w:ascii="Calibri" w:hAnsi="Calibri" w:cs="Calibri"/>
          <w:b/>
          <w:bCs/>
          <w:i/>
          <w:iCs/>
          <w:spacing w:val="60"/>
          <w:sz w:val="24"/>
          <w:szCs w:val="24"/>
        </w:rPr>
        <w:t>závěr</w:t>
      </w:r>
      <w:r w:rsidRPr="003A5711">
        <w:rPr>
          <w:rFonts w:ascii="Calibri" w:hAnsi="Calibri" w:cs="Calibri"/>
          <w:sz w:val="24"/>
          <w:szCs w:val="24"/>
        </w:rPr>
        <w:t xml:space="preserve">   v tomto znění:</w:t>
      </w:r>
    </w:p>
    <w:p w14:paraId="6FF96BF5" w14:textId="77777777" w:rsidR="003A5711" w:rsidRPr="003A5711" w:rsidRDefault="003A5711" w:rsidP="003A5711">
      <w:pPr>
        <w:rPr>
          <w:rFonts w:ascii="Calibri" w:hAnsi="Calibri" w:cs="Calibri"/>
          <w:sz w:val="24"/>
          <w:szCs w:val="24"/>
        </w:rPr>
      </w:pPr>
      <w:r w:rsidRPr="003A5711">
        <w:rPr>
          <w:rFonts w:ascii="Calibri" w:hAnsi="Calibri" w:cs="Calibri"/>
          <w:sz w:val="24"/>
          <w:szCs w:val="24"/>
        </w:rPr>
        <w:br w:type="page"/>
      </w:r>
    </w:p>
    <w:p w14:paraId="67CC45C8" w14:textId="77777777" w:rsidR="00442CA2" w:rsidRPr="00CF65B9" w:rsidRDefault="00442CA2" w:rsidP="002E1520">
      <w:pPr>
        <w:jc w:val="center"/>
        <w:rPr>
          <w:b/>
          <w:sz w:val="28"/>
          <w:szCs w:val="28"/>
        </w:rPr>
      </w:pPr>
      <w:bookmarkStart w:id="0" w:name="_Hlk73284876"/>
      <w:r w:rsidRPr="00CF65B9">
        <w:rPr>
          <w:b/>
          <w:sz w:val="28"/>
          <w:szCs w:val="28"/>
        </w:rPr>
        <w:lastRenderedPageBreak/>
        <w:t>Hospodaření GIBS</w:t>
      </w:r>
    </w:p>
    <w:p w14:paraId="229DEB37" w14:textId="3358F4D8" w:rsidR="00442CA2" w:rsidRPr="000F5929" w:rsidRDefault="00442CA2" w:rsidP="002E1520">
      <w:pPr>
        <w:spacing w:after="40"/>
        <w:jc w:val="right"/>
      </w:pPr>
      <w:r w:rsidRPr="00CF65B9">
        <w:rPr>
          <w:b/>
        </w:rPr>
        <w:t>(v tis. Kč)</w:t>
      </w:r>
    </w:p>
    <w:tbl>
      <w:tblPr>
        <w:tblStyle w:val="Mkatabulky"/>
        <w:tblW w:w="906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413"/>
        <w:gridCol w:w="711"/>
        <w:gridCol w:w="2835"/>
        <w:gridCol w:w="1275"/>
        <w:gridCol w:w="1418"/>
        <w:gridCol w:w="1417"/>
      </w:tblGrid>
      <w:tr w:rsidR="00442CA2" w:rsidRPr="0076500B" w14:paraId="5D0FC0F1" w14:textId="77777777" w:rsidTr="0076500B">
        <w:trPr>
          <w:trHeight w:val="283"/>
          <w:jc w:val="center"/>
        </w:trPr>
        <w:tc>
          <w:tcPr>
            <w:tcW w:w="4959" w:type="dxa"/>
            <w:gridSpan w:val="3"/>
            <w:shd w:val="clear" w:color="auto" w:fill="E5F1FF"/>
            <w:vAlign w:val="center"/>
          </w:tcPr>
          <w:p w14:paraId="1F55637E" w14:textId="76B5C0F5" w:rsidR="00442CA2" w:rsidRPr="0076500B" w:rsidRDefault="00442CA2" w:rsidP="00C2280B">
            <w:pPr>
              <w:jc w:val="center"/>
              <w:rPr>
                <w:rFonts w:ascii="Calibri" w:hAnsi="Calibri" w:cs="Calibri"/>
                <w:b/>
                <w:sz w:val="20"/>
                <w:szCs w:val="20"/>
              </w:rPr>
            </w:pPr>
          </w:p>
        </w:tc>
        <w:tc>
          <w:tcPr>
            <w:tcW w:w="1275" w:type="dxa"/>
            <w:shd w:val="clear" w:color="auto" w:fill="E5F1FF"/>
            <w:vAlign w:val="center"/>
            <w:hideMark/>
          </w:tcPr>
          <w:p w14:paraId="29D68954" w14:textId="77777777" w:rsidR="00442CA2" w:rsidRPr="0076500B" w:rsidRDefault="00442CA2" w:rsidP="002E1520">
            <w:pPr>
              <w:jc w:val="center"/>
              <w:rPr>
                <w:rFonts w:ascii="Calibri" w:hAnsi="Calibri" w:cs="Calibri"/>
                <w:b/>
                <w:sz w:val="20"/>
                <w:szCs w:val="20"/>
              </w:rPr>
            </w:pPr>
            <w:r w:rsidRPr="0076500B">
              <w:rPr>
                <w:rFonts w:ascii="Calibri" w:hAnsi="Calibri" w:cs="Calibri"/>
                <w:b/>
                <w:sz w:val="20"/>
                <w:szCs w:val="20"/>
              </w:rPr>
              <w:t>2012</w:t>
            </w:r>
          </w:p>
        </w:tc>
        <w:tc>
          <w:tcPr>
            <w:tcW w:w="1418" w:type="dxa"/>
            <w:shd w:val="clear" w:color="auto" w:fill="E5F1FF"/>
            <w:vAlign w:val="center"/>
            <w:hideMark/>
          </w:tcPr>
          <w:p w14:paraId="265F29F8" w14:textId="77777777" w:rsidR="00442CA2" w:rsidRPr="0076500B" w:rsidRDefault="00442CA2" w:rsidP="002E1520">
            <w:pPr>
              <w:jc w:val="center"/>
              <w:rPr>
                <w:rFonts w:ascii="Calibri" w:hAnsi="Calibri" w:cs="Calibri"/>
                <w:b/>
                <w:sz w:val="20"/>
                <w:szCs w:val="20"/>
              </w:rPr>
            </w:pPr>
            <w:r w:rsidRPr="0076500B">
              <w:rPr>
                <w:rFonts w:ascii="Calibri" w:hAnsi="Calibri" w:cs="Calibri"/>
                <w:b/>
                <w:sz w:val="20"/>
                <w:szCs w:val="20"/>
              </w:rPr>
              <w:t>2017</w:t>
            </w:r>
          </w:p>
        </w:tc>
        <w:tc>
          <w:tcPr>
            <w:tcW w:w="1417" w:type="dxa"/>
            <w:shd w:val="clear" w:color="auto" w:fill="E5F1FF"/>
            <w:vAlign w:val="center"/>
            <w:hideMark/>
          </w:tcPr>
          <w:p w14:paraId="2BD9C964" w14:textId="77777777" w:rsidR="00442CA2" w:rsidRPr="0076500B" w:rsidRDefault="00442CA2" w:rsidP="002E1520">
            <w:pPr>
              <w:jc w:val="center"/>
              <w:rPr>
                <w:rFonts w:ascii="Calibri" w:hAnsi="Calibri" w:cs="Calibri"/>
                <w:b/>
                <w:sz w:val="20"/>
                <w:szCs w:val="20"/>
              </w:rPr>
            </w:pPr>
            <w:r w:rsidRPr="0076500B">
              <w:rPr>
                <w:rFonts w:ascii="Calibri" w:hAnsi="Calibri" w:cs="Calibri"/>
                <w:b/>
                <w:sz w:val="20"/>
                <w:szCs w:val="20"/>
              </w:rPr>
              <w:t>2020</w:t>
            </w:r>
          </w:p>
        </w:tc>
      </w:tr>
      <w:tr w:rsidR="00442CA2" w:rsidRPr="0076500B" w14:paraId="1067F690" w14:textId="77777777" w:rsidTr="0076500B">
        <w:trPr>
          <w:trHeight w:val="283"/>
          <w:jc w:val="center"/>
        </w:trPr>
        <w:tc>
          <w:tcPr>
            <w:tcW w:w="4959" w:type="dxa"/>
            <w:gridSpan w:val="3"/>
            <w:vAlign w:val="center"/>
            <w:hideMark/>
          </w:tcPr>
          <w:p w14:paraId="4069BF8F" w14:textId="35B86393" w:rsidR="00442CA2" w:rsidRPr="0076500B" w:rsidRDefault="00442CA2" w:rsidP="00C2280B">
            <w:pPr>
              <w:rPr>
                <w:rFonts w:ascii="Calibri" w:hAnsi="Calibri" w:cs="Calibri"/>
                <w:sz w:val="20"/>
                <w:szCs w:val="20"/>
              </w:rPr>
            </w:pPr>
            <w:r w:rsidRPr="0076500B">
              <w:rPr>
                <w:rFonts w:ascii="Calibri" w:hAnsi="Calibri" w:cs="Calibri"/>
                <w:sz w:val="20"/>
                <w:szCs w:val="20"/>
              </w:rPr>
              <w:t>Hodnota majetku (</w:t>
            </w:r>
            <w:r w:rsidR="00C2280B">
              <w:rPr>
                <w:rFonts w:ascii="Calibri" w:hAnsi="Calibri" w:cs="Calibri"/>
                <w:sz w:val="20"/>
                <w:szCs w:val="20"/>
              </w:rPr>
              <w:t>a</w:t>
            </w:r>
            <w:r w:rsidRPr="0076500B">
              <w:rPr>
                <w:rFonts w:ascii="Calibri" w:hAnsi="Calibri" w:cs="Calibri"/>
                <w:sz w:val="20"/>
                <w:szCs w:val="20"/>
              </w:rPr>
              <w:t>ktiva netto celkem)</w:t>
            </w:r>
          </w:p>
        </w:tc>
        <w:tc>
          <w:tcPr>
            <w:tcW w:w="1275" w:type="dxa"/>
            <w:vAlign w:val="center"/>
          </w:tcPr>
          <w:p w14:paraId="33E69AE8"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sz w:val="20"/>
                <w:szCs w:val="20"/>
              </w:rPr>
              <w:t>195 000</w:t>
            </w:r>
          </w:p>
        </w:tc>
        <w:tc>
          <w:tcPr>
            <w:tcW w:w="1418" w:type="dxa"/>
            <w:vAlign w:val="center"/>
          </w:tcPr>
          <w:p w14:paraId="30D17479"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76C490"/>
                <w:sz w:val="20"/>
                <w:szCs w:val="20"/>
              </w:rPr>
              <w:t>↗</w:t>
            </w:r>
            <w:r w:rsidRPr="0076500B">
              <w:rPr>
                <w:rFonts w:ascii="Calibri" w:hAnsi="Calibri" w:cs="Calibri"/>
                <w:sz w:val="20"/>
                <w:szCs w:val="20"/>
              </w:rPr>
              <w:t xml:space="preserve"> 239 341</w:t>
            </w:r>
          </w:p>
        </w:tc>
        <w:tc>
          <w:tcPr>
            <w:tcW w:w="1417" w:type="dxa"/>
            <w:vAlign w:val="center"/>
          </w:tcPr>
          <w:p w14:paraId="6E6E16A7"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F23122"/>
                <w:sz w:val="20"/>
                <w:szCs w:val="20"/>
              </w:rPr>
              <w:t>↘</w:t>
            </w:r>
            <w:r w:rsidRPr="0076500B">
              <w:rPr>
                <w:rFonts w:ascii="Calibri" w:hAnsi="Calibri" w:cs="Calibri"/>
                <w:sz w:val="20"/>
                <w:szCs w:val="20"/>
              </w:rPr>
              <w:t xml:space="preserve"> 224 009</w:t>
            </w:r>
          </w:p>
        </w:tc>
      </w:tr>
      <w:tr w:rsidR="00442CA2" w:rsidRPr="0076500B" w14:paraId="380F2441" w14:textId="77777777" w:rsidTr="0076500B">
        <w:trPr>
          <w:trHeight w:val="283"/>
          <w:jc w:val="center"/>
        </w:trPr>
        <w:tc>
          <w:tcPr>
            <w:tcW w:w="4959" w:type="dxa"/>
            <w:gridSpan w:val="3"/>
            <w:vAlign w:val="center"/>
            <w:hideMark/>
          </w:tcPr>
          <w:p w14:paraId="7F6AA962" w14:textId="77777777" w:rsidR="00442CA2" w:rsidRPr="0076500B" w:rsidRDefault="00442CA2" w:rsidP="002E1520">
            <w:pPr>
              <w:rPr>
                <w:rFonts w:ascii="Calibri" w:hAnsi="Calibri" w:cs="Calibri"/>
                <w:sz w:val="20"/>
                <w:szCs w:val="20"/>
              </w:rPr>
            </w:pPr>
            <w:r w:rsidRPr="0076500B">
              <w:rPr>
                <w:rFonts w:ascii="Calibri" w:hAnsi="Calibri" w:cs="Calibri"/>
                <w:sz w:val="20"/>
                <w:szCs w:val="20"/>
              </w:rPr>
              <w:t>Celkové výdaje</w:t>
            </w:r>
          </w:p>
        </w:tc>
        <w:tc>
          <w:tcPr>
            <w:tcW w:w="1275" w:type="dxa"/>
            <w:vAlign w:val="center"/>
          </w:tcPr>
          <w:p w14:paraId="39F101D9"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sz w:val="20"/>
                <w:szCs w:val="20"/>
              </w:rPr>
              <w:t>310 468</w:t>
            </w:r>
          </w:p>
        </w:tc>
        <w:tc>
          <w:tcPr>
            <w:tcW w:w="1418" w:type="dxa"/>
            <w:vAlign w:val="center"/>
          </w:tcPr>
          <w:p w14:paraId="6DE0B560"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FF0000"/>
                <w:sz w:val="20"/>
                <w:szCs w:val="20"/>
              </w:rPr>
              <w:t>↗</w:t>
            </w:r>
            <w:r w:rsidRPr="0076500B">
              <w:rPr>
                <w:rFonts w:ascii="Calibri" w:hAnsi="Calibri" w:cs="Calibri"/>
                <w:color w:val="FF0000"/>
                <w:sz w:val="20"/>
                <w:szCs w:val="20"/>
              </w:rPr>
              <w:t xml:space="preserve"> </w:t>
            </w:r>
            <w:r w:rsidRPr="0076500B">
              <w:rPr>
                <w:rFonts w:ascii="Calibri" w:hAnsi="Calibri" w:cs="Calibri"/>
                <w:sz w:val="20"/>
                <w:szCs w:val="20"/>
              </w:rPr>
              <w:t>374 945</w:t>
            </w:r>
          </w:p>
        </w:tc>
        <w:tc>
          <w:tcPr>
            <w:tcW w:w="1417" w:type="dxa"/>
            <w:vAlign w:val="center"/>
          </w:tcPr>
          <w:p w14:paraId="609B1205"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FF0000"/>
                <w:sz w:val="20"/>
                <w:szCs w:val="20"/>
              </w:rPr>
              <w:t>↗</w:t>
            </w:r>
            <w:r w:rsidRPr="0076500B">
              <w:rPr>
                <w:rFonts w:ascii="Calibri" w:hAnsi="Calibri" w:cs="Calibri"/>
                <w:color w:val="FF0000"/>
                <w:sz w:val="20"/>
                <w:szCs w:val="20"/>
              </w:rPr>
              <w:t xml:space="preserve"> </w:t>
            </w:r>
            <w:r w:rsidRPr="0076500B">
              <w:rPr>
                <w:rFonts w:ascii="Calibri" w:hAnsi="Calibri" w:cs="Calibri"/>
                <w:sz w:val="20"/>
                <w:szCs w:val="20"/>
              </w:rPr>
              <w:t>447 988</w:t>
            </w:r>
          </w:p>
        </w:tc>
      </w:tr>
      <w:tr w:rsidR="00442CA2" w:rsidRPr="0076500B" w14:paraId="313404E4" w14:textId="77777777" w:rsidTr="0076500B">
        <w:trPr>
          <w:trHeight w:val="283"/>
          <w:jc w:val="center"/>
        </w:trPr>
        <w:tc>
          <w:tcPr>
            <w:tcW w:w="1413" w:type="dxa"/>
            <w:vMerge w:val="restart"/>
            <w:vAlign w:val="center"/>
          </w:tcPr>
          <w:p w14:paraId="37EEB4AB" w14:textId="234F4E57" w:rsidR="00442CA2" w:rsidRPr="0076500B" w:rsidRDefault="00442CA2" w:rsidP="002E1520">
            <w:pPr>
              <w:jc w:val="center"/>
              <w:rPr>
                <w:rFonts w:ascii="Calibri" w:hAnsi="Calibri" w:cs="Calibri"/>
                <w:sz w:val="20"/>
                <w:szCs w:val="20"/>
              </w:rPr>
            </w:pPr>
            <w:r w:rsidRPr="0076500B">
              <w:rPr>
                <w:rFonts w:ascii="Calibri" w:hAnsi="Calibri" w:cs="Calibri"/>
                <w:sz w:val="20"/>
                <w:szCs w:val="20"/>
              </w:rPr>
              <w:t>z toho</w:t>
            </w:r>
            <w:r w:rsidR="00DE4F0F">
              <w:rPr>
                <w:rFonts w:ascii="Calibri" w:hAnsi="Calibri" w:cs="Calibri"/>
                <w:sz w:val="20"/>
                <w:szCs w:val="20"/>
              </w:rPr>
              <w:t>:</w:t>
            </w:r>
          </w:p>
        </w:tc>
        <w:tc>
          <w:tcPr>
            <w:tcW w:w="3546" w:type="dxa"/>
            <w:gridSpan w:val="2"/>
            <w:vAlign w:val="center"/>
          </w:tcPr>
          <w:p w14:paraId="5B95E2E7" w14:textId="77777777" w:rsidR="00442CA2" w:rsidRPr="0076500B" w:rsidRDefault="00442CA2" w:rsidP="002E1520">
            <w:pPr>
              <w:rPr>
                <w:rFonts w:ascii="Calibri" w:hAnsi="Calibri" w:cs="Calibri"/>
                <w:sz w:val="20"/>
                <w:szCs w:val="20"/>
              </w:rPr>
            </w:pPr>
            <w:r w:rsidRPr="0076500B">
              <w:rPr>
                <w:rFonts w:ascii="Calibri" w:hAnsi="Calibri" w:cs="Calibri"/>
                <w:sz w:val="20"/>
                <w:szCs w:val="20"/>
              </w:rPr>
              <w:t>Kapitálové výdaje</w:t>
            </w:r>
          </w:p>
        </w:tc>
        <w:tc>
          <w:tcPr>
            <w:tcW w:w="1275" w:type="dxa"/>
            <w:vAlign w:val="center"/>
          </w:tcPr>
          <w:p w14:paraId="202EAF81"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sz w:val="20"/>
                <w:szCs w:val="20"/>
              </w:rPr>
              <w:t>41 875</w:t>
            </w:r>
          </w:p>
        </w:tc>
        <w:tc>
          <w:tcPr>
            <w:tcW w:w="1418" w:type="dxa"/>
            <w:vAlign w:val="center"/>
          </w:tcPr>
          <w:p w14:paraId="3A0FBDCF" w14:textId="77777777" w:rsidR="00442CA2" w:rsidRPr="0076500B" w:rsidRDefault="00442CA2" w:rsidP="0076500B">
            <w:pPr>
              <w:ind w:right="57"/>
              <w:jc w:val="right"/>
              <w:rPr>
                <w:rFonts w:ascii="Calibri" w:hAnsi="Calibri" w:cs="Calibri"/>
                <w:b/>
                <w:color w:val="76C490"/>
                <w:sz w:val="20"/>
                <w:szCs w:val="20"/>
              </w:rPr>
            </w:pPr>
            <w:r w:rsidRPr="0076500B">
              <w:rPr>
                <w:rFonts w:ascii="Calibri" w:hAnsi="Calibri" w:cs="Calibri"/>
                <w:b/>
                <w:color w:val="F23122"/>
                <w:sz w:val="20"/>
                <w:szCs w:val="20"/>
              </w:rPr>
              <w:t>↘</w:t>
            </w:r>
            <w:r w:rsidRPr="0076500B">
              <w:rPr>
                <w:rFonts w:ascii="Calibri" w:hAnsi="Calibri" w:cs="Calibri"/>
                <w:sz w:val="20"/>
                <w:szCs w:val="20"/>
              </w:rPr>
              <w:t xml:space="preserve"> 21 721</w:t>
            </w:r>
          </w:p>
        </w:tc>
        <w:tc>
          <w:tcPr>
            <w:tcW w:w="1417" w:type="dxa"/>
            <w:vAlign w:val="center"/>
          </w:tcPr>
          <w:p w14:paraId="08F16ECB" w14:textId="77777777" w:rsidR="00442CA2" w:rsidRPr="0076500B" w:rsidRDefault="00442CA2" w:rsidP="0076500B">
            <w:pPr>
              <w:ind w:right="57"/>
              <w:jc w:val="right"/>
              <w:rPr>
                <w:rFonts w:ascii="Calibri" w:hAnsi="Calibri" w:cs="Calibri"/>
                <w:b/>
                <w:color w:val="76C490"/>
                <w:sz w:val="20"/>
                <w:szCs w:val="20"/>
              </w:rPr>
            </w:pPr>
            <w:r w:rsidRPr="0076500B">
              <w:rPr>
                <w:rFonts w:ascii="Calibri" w:hAnsi="Calibri" w:cs="Calibri"/>
                <w:b/>
                <w:color w:val="F23122"/>
                <w:sz w:val="20"/>
                <w:szCs w:val="20"/>
              </w:rPr>
              <w:t>↘</w:t>
            </w:r>
            <w:r w:rsidRPr="0076500B">
              <w:rPr>
                <w:rFonts w:ascii="Calibri" w:hAnsi="Calibri" w:cs="Calibri"/>
                <w:sz w:val="20"/>
                <w:szCs w:val="20"/>
              </w:rPr>
              <w:t xml:space="preserve"> 2 746</w:t>
            </w:r>
          </w:p>
        </w:tc>
      </w:tr>
      <w:tr w:rsidR="00442CA2" w:rsidRPr="0076500B" w14:paraId="4AA59CEC" w14:textId="77777777" w:rsidTr="0076500B">
        <w:trPr>
          <w:trHeight w:val="283"/>
          <w:jc w:val="center"/>
        </w:trPr>
        <w:tc>
          <w:tcPr>
            <w:tcW w:w="1413" w:type="dxa"/>
            <w:vMerge/>
            <w:vAlign w:val="center"/>
          </w:tcPr>
          <w:p w14:paraId="33AC5993" w14:textId="77777777" w:rsidR="00442CA2" w:rsidRPr="0076500B" w:rsidRDefault="00442CA2" w:rsidP="002E1520">
            <w:pPr>
              <w:jc w:val="center"/>
              <w:rPr>
                <w:rFonts w:ascii="Calibri" w:hAnsi="Calibri" w:cs="Calibri"/>
                <w:sz w:val="20"/>
                <w:szCs w:val="20"/>
              </w:rPr>
            </w:pPr>
          </w:p>
        </w:tc>
        <w:tc>
          <w:tcPr>
            <w:tcW w:w="3546" w:type="dxa"/>
            <w:gridSpan w:val="2"/>
            <w:vAlign w:val="center"/>
          </w:tcPr>
          <w:p w14:paraId="75F51F76" w14:textId="77777777" w:rsidR="00442CA2" w:rsidRPr="0076500B" w:rsidRDefault="00442CA2" w:rsidP="002E1520">
            <w:pPr>
              <w:rPr>
                <w:rFonts w:ascii="Calibri" w:hAnsi="Calibri" w:cs="Calibri"/>
                <w:sz w:val="20"/>
                <w:szCs w:val="20"/>
              </w:rPr>
            </w:pPr>
            <w:r w:rsidRPr="0076500B">
              <w:rPr>
                <w:rFonts w:ascii="Calibri" w:hAnsi="Calibri" w:cs="Calibri"/>
                <w:sz w:val="20"/>
                <w:szCs w:val="20"/>
              </w:rPr>
              <w:t>Běžné výdaje</w:t>
            </w:r>
          </w:p>
        </w:tc>
        <w:tc>
          <w:tcPr>
            <w:tcW w:w="1275" w:type="dxa"/>
            <w:vAlign w:val="center"/>
          </w:tcPr>
          <w:p w14:paraId="57C4E182"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sz w:val="20"/>
                <w:szCs w:val="20"/>
              </w:rPr>
              <w:t>268 593</w:t>
            </w:r>
          </w:p>
        </w:tc>
        <w:tc>
          <w:tcPr>
            <w:tcW w:w="1418" w:type="dxa"/>
            <w:vAlign w:val="center"/>
          </w:tcPr>
          <w:p w14:paraId="370C2AF1"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FF0000"/>
                <w:sz w:val="20"/>
                <w:szCs w:val="20"/>
              </w:rPr>
              <w:t>↗</w:t>
            </w:r>
            <w:r w:rsidRPr="0076500B">
              <w:rPr>
                <w:rFonts w:ascii="Calibri" w:hAnsi="Calibri" w:cs="Calibri"/>
                <w:color w:val="FF0000"/>
                <w:sz w:val="20"/>
                <w:szCs w:val="20"/>
              </w:rPr>
              <w:t xml:space="preserve"> </w:t>
            </w:r>
            <w:r w:rsidRPr="0076500B">
              <w:rPr>
                <w:rFonts w:ascii="Calibri" w:hAnsi="Calibri" w:cs="Calibri"/>
                <w:sz w:val="20"/>
                <w:szCs w:val="20"/>
              </w:rPr>
              <w:t>353 224</w:t>
            </w:r>
          </w:p>
        </w:tc>
        <w:tc>
          <w:tcPr>
            <w:tcW w:w="1417" w:type="dxa"/>
            <w:vAlign w:val="center"/>
          </w:tcPr>
          <w:p w14:paraId="68D83CE9"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FF0000"/>
                <w:sz w:val="20"/>
                <w:szCs w:val="20"/>
              </w:rPr>
              <w:t>↗</w:t>
            </w:r>
            <w:r w:rsidRPr="0076500B">
              <w:rPr>
                <w:rFonts w:ascii="Calibri" w:hAnsi="Calibri" w:cs="Calibri"/>
                <w:color w:val="FF0000"/>
                <w:sz w:val="20"/>
                <w:szCs w:val="20"/>
              </w:rPr>
              <w:t xml:space="preserve"> </w:t>
            </w:r>
            <w:r w:rsidRPr="0076500B">
              <w:rPr>
                <w:rFonts w:ascii="Calibri" w:hAnsi="Calibri" w:cs="Calibri"/>
                <w:sz w:val="20"/>
                <w:szCs w:val="20"/>
              </w:rPr>
              <w:t>445 242</w:t>
            </w:r>
          </w:p>
        </w:tc>
      </w:tr>
      <w:tr w:rsidR="00442CA2" w:rsidRPr="0076500B" w14:paraId="2B437DFF" w14:textId="77777777" w:rsidTr="0076500B">
        <w:trPr>
          <w:trHeight w:val="283"/>
          <w:jc w:val="center"/>
        </w:trPr>
        <w:tc>
          <w:tcPr>
            <w:tcW w:w="2124" w:type="dxa"/>
            <w:gridSpan w:val="2"/>
            <w:vAlign w:val="center"/>
          </w:tcPr>
          <w:p w14:paraId="4E81E140" w14:textId="77777777" w:rsidR="00442CA2" w:rsidRPr="0076500B" w:rsidRDefault="00442CA2" w:rsidP="002E1520">
            <w:pPr>
              <w:jc w:val="right"/>
              <w:rPr>
                <w:rFonts w:ascii="Calibri" w:hAnsi="Calibri" w:cs="Calibri"/>
                <w:sz w:val="20"/>
                <w:szCs w:val="20"/>
              </w:rPr>
            </w:pPr>
          </w:p>
        </w:tc>
        <w:tc>
          <w:tcPr>
            <w:tcW w:w="2835" w:type="dxa"/>
            <w:vAlign w:val="center"/>
          </w:tcPr>
          <w:p w14:paraId="67AB3415" w14:textId="7DD0DFE1" w:rsidR="00442CA2" w:rsidRPr="0076500B" w:rsidRDefault="00442CA2" w:rsidP="00DE4F0F">
            <w:pPr>
              <w:rPr>
                <w:rFonts w:ascii="Calibri" w:hAnsi="Calibri" w:cs="Calibri"/>
                <w:sz w:val="20"/>
                <w:szCs w:val="20"/>
              </w:rPr>
            </w:pPr>
            <w:r w:rsidRPr="0076500B">
              <w:rPr>
                <w:rFonts w:ascii="Calibri" w:hAnsi="Calibri" w:cs="Calibri"/>
                <w:sz w:val="20"/>
                <w:szCs w:val="20"/>
              </w:rPr>
              <w:t>z toho</w:t>
            </w:r>
            <w:r w:rsidR="00DE4F0F">
              <w:rPr>
                <w:rFonts w:ascii="Calibri" w:hAnsi="Calibri" w:cs="Calibri"/>
                <w:sz w:val="20"/>
                <w:szCs w:val="20"/>
              </w:rPr>
              <w:t>:</w:t>
            </w:r>
            <w:r w:rsidRPr="0076500B">
              <w:rPr>
                <w:rFonts w:ascii="Calibri" w:hAnsi="Calibri" w:cs="Calibri"/>
                <w:sz w:val="20"/>
                <w:szCs w:val="20"/>
              </w:rPr>
              <w:t xml:space="preserve"> </w:t>
            </w:r>
            <w:r w:rsidR="00DE4F0F">
              <w:rPr>
                <w:rFonts w:ascii="Calibri" w:hAnsi="Calibri" w:cs="Calibri"/>
                <w:sz w:val="20"/>
                <w:szCs w:val="20"/>
              </w:rPr>
              <w:t>m</w:t>
            </w:r>
            <w:r w:rsidRPr="0076500B">
              <w:rPr>
                <w:rFonts w:ascii="Calibri" w:hAnsi="Calibri" w:cs="Calibri"/>
                <w:sz w:val="20"/>
                <w:szCs w:val="20"/>
              </w:rPr>
              <w:t>zdové výdaje</w:t>
            </w:r>
          </w:p>
        </w:tc>
        <w:tc>
          <w:tcPr>
            <w:tcW w:w="1275" w:type="dxa"/>
            <w:vAlign w:val="center"/>
          </w:tcPr>
          <w:p w14:paraId="2DF9EFAF"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sz w:val="20"/>
                <w:szCs w:val="20"/>
              </w:rPr>
              <w:t>181 860</w:t>
            </w:r>
          </w:p>
        </w:tc>
        <w:tc>
          <w:tcPr>
            <w:tcW w:w="1418" w:type="dxa"/>
            <w:vAlign w:val="center"/>
          </w:tcPr>
          <w:p w14:paraId="686CCF2F"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FF0000"/>
                <w:sz w:val="20"/>
                <w:szCs w:val="20"/>
              </w:rPr>
              <w:t>↗</w:t>
            </w:r>
            <w:r w:rsidRPr="0076500B">
              <w:rPr>
                <w:rFonts w:ascii="Calibri" w:hAnsi="Calibri" w:cs="Calibri"/>
                <w:color w:val="FF0000"/>
                <w:sz w:val="20"/>
                <w:szCs w:val="20"/>
              </w:rPr>
              <w:t xml:space="preserve"> </w:t>
            </w:r>
            <w:r w:rsidRPr="0076500B">
              <w:rPr>
                <w:rFonts w:ascii="Calibri" w:hAnsi="Calibri" w:cs="Calibri"/>
                <w:sz w:val="20"/>
                <w:szCs w:val="20"/>
              </w:rPr>
              <w:t>287 434</w:t>
            </w:r>
          </w:p>
        </w:tc>
        <w:tc>
          <w:tcPr>
            <w:tcW w:w="1417" w:type="dxa"/>
            <w:vAlign w:val="center"/>
          </w:tcPr>
          <w:p w14:paraId="31552A46"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FF0000"/>
                <w:sz w:val="20"/>
                <w:szCs w:val="20"/>
              </w:rPr>
              <w:t>↗</w:t>
            </w:r>
            <w:r w:rsidRPr="0076500B">
              <w:rPr>
                <w:rFonts w:ascii="Calibri" w:hAnsi="Calibri" w:cs="Calibri"/>
                <w:color w:val="FF0000"/>
                <w:sz w:val="20"/>
                <w:szCs w:val="20"/>
              </w:rPr>
              <w:t xml:space="preserve"> </w:t>
            </w:r>
            <w:r w:rsidRPr="0076500B">
              <w:rPr>
                <w:rFonts w:ascii="Calibri" w:hAnsi="Calibri" w:cs="Calibri"/>
                <w:sz w:val="20"/>
                <w:szCs w:val="20"/>
              </w:rPr>
              <w:t>338 497</w:t>
            </w:r>
          </w:p>
        </w:tc>
      </w:tr>
      <w:tr w:rsidR="00442CA2" w:rsidRPr="0076500B" w14:paraId="4FFE63F0" w14:textId="77777777" w:rsidTr="0076500B">
        <w:trPr>
          <w:trHeight w:val="283"/>
          <w:jc w:val="center"/>
        </w:trPr>
        <w:tc>
          <w:tcPr>
            <w:tcW w:w="4959" w:type="dxa"/>
            <w:gridSpan w:val="3"/>
            <w:vAlign w:val="center"/>
            <w:hideMark/>
          </w:tcPr>
          <w:p w14:paraId="57456CD0" w14:textId="77777777" w:rsidR="00442CA2" w:rsidRPr="0076500B" w:rsidRDefault="00442CA2" w:rsidP="00A154FA">
            <w:pPr>
              <w:rPr>
                <w:rFonts w:ascii="Calibri" w:hAnsi="Calibri" w:cs="Calibri"/>
                <w:sz w:val="20"/>
                <w:szCs w:val="20"/>
              </w:rPr>
            </w:pPr>
            <w:r w:rsidRPr="0076500B">
              <w:rPr>
                <w:rFonts w:ascii="Calibri" w:hAnsi="Calibri" w:cs="Calibri"/>
                <w:sz w:val="20"/>
                <w:szCs w:val="20"/>
              </w:rPr>
              <w:t>Přepočtený počet příslušníků a zaměstnanců</w:t>
            </w:r>
          </w:p>
        </w:tc>
        <w:tc>
          <w:tcPr>
            <w:tcW w:w="1275" w:type="dxa"/>
            <w:vAlign w:val="center"/>
          </w:tcPr>
          <w:p w14:paraId="1D6C44DA"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sz w:val="20"/>
                <w:szCs w:val="20"/>
              </w:rPr>
              <w:t>229, 5</w:t>
            </w:r>
          </w:p>
        </w:tc>
        <w:tc>
          <w:tcPr>
            <w:tcW w:w="1418" w:type="dxa"/>
            <w:vAlign w:val="center"/>
          </w:tcPr>
          <w:p w14:paraId="5D9A1824"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76C490"/>
                <w:sz w:val="20"/>
                <w:szCs w:val="20"/>
              </w:rPr>
              <w:t>↗</w:t>
            </w:r>
            <w:r w:rsidRPr="0076500B">
              <w:rPr>
                <w:rFonts w:ascii="Calibri" w:hAnsi="Calibri" w:cs="Calibri"/>
                <w:sz w:val="20"/>
                <w:szCs w:val="20"/>
              </w:rPr>
              <w:t xml:space="preserve"> 295, 25</w:t>
            </w:r>
          </w:p>
        </w:tc>
        <w:tc>
          <w:tcPr>
            <w:tcW w:w="1417" w:type="dxa"/>
            <w:vAlign w:val="center"/>
          </w:tcPr>
          <w:p w14:paraId="7B9CF8B6" w14:textId="77777777" w:rsidR="00442CA2" w:rsidRPr="0076500B" w:rsidRDefault="00442CA2" w:rsidP="0076500B">
            <w:pPr>
              <w:ind w:right="57"/>
              <w:jc w:val="right"/>
              <w:rPr>
                <w:rFonts w:ascii="Calibri" w:hAnsi="Calibri" w:cs="Calibri"/>
                <w:sz w:val="20"/>
                <w:szCs w:val="20"/>
              </w:rPr>
            </w:pPr>
            <w:r w:rsidRPr="0076500B">
              <w:rPr>
                <w:rFonts w:ascii="Calibri" w:hAnsi="Calibri" w:cs="Calibri"/>
                <w:b/>
                <w:color w:val="76C490"/>
                <w:sz w:val="20"/>
                <w:szCs w:val="20"/>
              </w:rPr>
              <w:t>↗</w:t>
            </w:r>
            <w:r w:rsidRPr="0076500B">
              <w:rPr>
                <w:rFonts w:ascii="Calibri" w:hAnsi="Calibri" w:cs="Calibri"/>
                <w:sz w:val="20"/>
                <w:szCs w:val="20"/>
              </w:rPr>
              <w:t xml:space="preserve"> 299, 13</w:t>
            </w:r>
          </w:p>
        </w:tc>
      </w:tr>
    </w:tbl>
    <w:p w14:paraId="6D4CD7E9" w14:textId="20B1E073" w:rsidR="00442CA2" w:rsidRPr="000F5929" w:rsidRDefault="00442CA2" w:rsidP="002E1520">
      <w:pPr>
        <w:spacing w:before="40"/>
      </w:pPr>
      <w:r w:rsidRPr="00AF644B">
        <w:rPr>
          <w:rFonts w:ascii="Calibri" w:eastAsia="Calibri" w:hAnsi="Calibri"/>
          <w:b/>
        </w:rPr>
        <w:t>Zdroj:</w:t>
      </w:r>
      <w:r w:rsidRPr="00CF65B9">
        <w:rPr>
          <w:rFonts w:ascii="Calibri" w:eastAsia="Calibri" w:hAnsi="Calibri"/>
        </w:rPr>
        <w:t xml:space="preserve"> </w:t>
      </w:r>
      <w:r w:rsidRPr="000F5929">
        <w:t>GIBS, skutečnost</w:t>
      </w:r>
      <w:r w:rsidRPr="000F5929" w:rsidDel="002311F3">
        <w:t xml:space="preserve"> </w:t>
      </w:r>
      <w:r w:rsidRPr="000F5929">
        <w:t>k 31.</w:t>
      </w:r>
      <w:r>
        <w:t xml:space="preserve"> </w:t>
      </w:r>
      <w:r w:rsidRPr="000F5929">
        <w:t>12</w:t>
      </w:r>
      <w:r>
        <w:t>.</w:t>
      </w:r>
      <w:r w:rsidRPr="000F5929">
        <w:t xml:space="preserve"> příslušného roku</w:t>
      </w:r>
      <w:r w:rsidR="00163186">
        <w:rPr>
          <w:rStyle w:val="Znakapoznpodarou"/>
        </w:rPr>
        <w:footnoteReference w:id="2"/>
      </w:r>
      <w:r w:rsidRPr="000F5929">
        <w:t>.</w:t>
      </w:r>
    </w:p>
    <w:p w14:paraId="0966368A" w14:textId="77777777" w:rsidR="00A154FA" w:rsidRPr="00A154FA" w:rsidRDefault="00A154FA" w:rsidP="00A154FA">
      <w:pPr>
        <w:jc w:val="both"/>
        <w:rPr>
          <w:rFonts w:ascii="Calibri" w:eastAsia="Calibri" w:hAnsi="Calibri" w:cs="Calibri"/>
          <w:noProof/>
          <w:color w:val="000000"/>
          <w:sz w:val="24"/>
          <w:szCs w:val="28"/>
        </w:rPr>
      </w:pPr>
    </w:p>
    <w:p w14:paraId="3803EACC" w14:textId="3B153AAA" w:rsidR="00442CA2" w:rsidRPr="002E1520" w:rsidRDefault="00442CA2" w:rsidP="00A154FA">
      <w:pPr>
        <w:jc w:val="both"/>
        <w:rPr>
          <w:rFonts w:eastAsia="Calibri" w:cs="Calibri"/>
          <w:b/>
          <w:color w:val="000000"/>
          <w:sz w:val="24"/>
          <w:szCs w:val="28"/>
          <w:lang w:eastAsia="cs-CZ"/>
        </w:rPr>
      </w:pPr>
      <w:r w:rsidRPr="002E1520">
        <w:rPr>
          <w:b/>
          <w:sz w:val="24"/>
          <w:szCs w:val="28"/>
        </w:rPr>
        <w:t xml:space="preserve">Růst výdajů GIBS v kontrolovaném období byl významně ovlivněn </w:t>
      </w:r>
      <w:r w:rsidR="002E1520">
        <w:rPr>
          <w:b/>
          <w:sz w:val="24"/>
          <w:szCs w:val="28"/>
        </w:rPr>
        <w:t>nehospodárným a </w:t>
      </w:r>
      <w:r w:rsidR="002E1310" w:rsidRPr="002E1520">
        <w:rPr>
          <w:b/>
          <w:sz w:val="24"/>
          <w:szCs w:val="28"/>
        </w:rPr>
        <w:t>neúčelným hospodařením</w:t>
      </w:r>
      <w:r w:rsidRPr="002E1520">
        <w:rPr>
          <w:b/>
          <w:sz w:val="24"/>
          <w:szCs w:val="28"/>
        </w:rPr>
        <w:t xml:space="preserve"> </w:t>
      </w:r>
      <w:r w:rsidR="00F91716" w:rsidRPr="002E1520">
        <w:rPr>
          <w:rFonts w:eastAsia="Calibri" w:cs="Calibri"/>
          <w:b/>
          <w:color w:val="000000"/>
          <w:sz w:val="24"/>
          <w:szCs w:val="28"/>
          <w:lang w:eastAsia="cs-CZ"/>
        </w:rPr>
        <w:t>s peněžními prostředky státu v</w:t>
      </w:r>
      <w:r w:rsidR="007C3E0C" w:rsidRPr="002E1520">
        <w:rPr>
          <w:rFonts w:eastAsia="Calibri" w:cs="Calibri"/>
          <w:b/>
          <w:color w:val="000000"/>
          <w:sz w:val="24"/>
          <w:szCs w:val="28"/>
          <w:lang w:eastAsia="cs-CZ"/>
        </w:rPr>
        <w:t> </w:t>
      </w:r>
      <w:r w:rsidRPr="002E1520">
        <w:rPr>
          <w:rFonts w:eastAsia="Calibri" w:cs="Calibri"/>
          <w:b/>
          <w:color w:val="000000"/>
          <w:sz w:val="24"/>
          <w:szCs w:val="28"/>
          <w:lang w:eastAsia="cs-CZ"/>
        </w:rPr>
        <w:t>personální oblasti.</w:t>
      </w:r>
    </w:p>
    <w:p w14:paraId="3B71E47A" w14:textId="77777777" w:rsidR="00A154FA" w:rsidRPr="00A154FA" w:rsidRDefault="00A154FA" w:rsidP="00A154FA">
      <w:pPr>
        <w:jc w:val="both"/>
        <w:rPr>
          <w:rFonts w:ascii="Calibri" w:eastAsia="Calibri" w:hAnsi="Calibri" w:cs="Calibri"/>
          <w:noProof/>
          <w:color w:val="000000"/>
          <w:sz w:val="24"/>
          <w:szCs w:val="28"/>
        </w:rPr>
      </w:pPr>
    </w:p>
    <w:p w14:paraId="09537658" w14:textId="6986A501" w:rsidR="00442CA2" w:rsidRPr="003A5711" w:rsidRDefault="00442CA2" w:rsidP="00F532ED">
      <w:pPr>
        <w:jc w:val="center"/>
        <w:rPr>
          <w:rFonts w:ascii="Calibri" w:eastAsia="Calibri" w:hAnsi="Calibri"/>
        </w:rPr>
      </w:pPr>
      <w:r w:rsidRPr="00A154FA">
        <w:rPr>
          <w:rFonts w:ascii="Calibri" w:eastAsia="Calibri" w:hAnsi="Calibri"/>
          <w:b/>
          <w:bCs/>
          <w:sz w:val="24"/>
          <w:szCs w:val="24"/>
        </w:rPr>
        <w:t>Růst výdajů GIBS (v tis. Kč)</w:t>
      </w:r>
      <w:r w:rsidRPr="00A154FA">
        <w:rPr>
          <w:b/>
          <w:noProof/>
          <w:lang w:eastAsia="cs-CZ"/>
        </w:rPr>
        <w:t xml:space="preserve"> </w:t>
      </w:r>
      <w:r>
        <w:rPr>
          <w:noProof/>
          <w:lang w:eastAsia="cs-CZ"/>
        </w:rPr>
        <w:drawing>
          <wp:inline distT="0" distB="0" distL="0" distR="0" wp14:anchorId="15CBF92E" wp14:editId="7FEC3A3F">
            <wp:extent cx="5759450" cy="21971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EFC677" w14:textId="77777777" w:rsidR="00442CA2" w:rsidRPr="003A5711" w:rsidRDefault="00442CA2" w:rsidP="002E1520">
      <w:pPr>
        <w:rPr>
          <w:rFonts w:ascii="Calibri" w:eastAsia="Calibri" w:hAnsi="Calibri" w:cs="Calibri"/>
          <w:sz w:val="20"/>
          <w:szCs w:val="20"/>
        </w:rPr>
      </w:pPr>
      <w:r w:rsidRPr="00AF644B">
        <w:rPr>
          <w:rFonts w:ascii="Calibri" w:eastAsia="Calibri" w:hAnsi="Calibri"/>
          <w:b/>
          <w:sz w:val="20"/>
          <w:szCs w:val="20"/>
        </w:rPr>
        <w:t>Zdroj:</w:t>
      </w:r>
      <w:r w:rsidRPr="003A5711">
        <w:rPr>
          <w:rFonts w:ascii="Calibri" w:eastAsia="Calibri" w:hAnsi="Calibri"/>
          <w:sz w:val="20"/>
          <w:szCs w:val="20"/>
        </w:rPr>
        <w:t xml:space="preserve"> Monitor státní pokladny. </w:t>
      </w:r>
    </w:p>
    <w:p w14:paraId="469D9B6C" w14:textId="77777777" w:rsidR="00442CA2" w:rsidRPr="003A5711" w:rsidRDefault="00442CA2" w:rsidP="002E1520">
      <w:pPr>
        <w:rPr>
          <w:rFonts w:ascii="Calibri" w:eastAsia="Calibri" w:hAnsi="Calibri" w:cs="Calibri"/>
          <w:sz w:val="20"/>
          <w:szCs w:val="20"/>
          <w:shd w:val="clear" w:color="auto" w:fill="FFFFFF"/>
          <w:lang w:eastAsia="cs-CZ"/>
        </w:rPr>
      </w:pPr>
      <w:r w:rsidRPr="003A5711">
        <w:rPr>
          <w:rFonts w:ascii="Calibri" w:eastAsia="Calibri" w:hAnsi="Calibri" w:cs="Calibri"/>
          <w:sz w:val="20"/>
          <w:szCs w:val="20"/>
          <w:shd w:val="clear" w:color="auto" w:fill="FFFFFF"/>
          <w:lang w:eastAsia="cs-CZ"/>
        </w:rPr>
        <w:t>* Pro rok 2021 je uveden schválený rozpočet.</w:t>
      </w:r>
    </w:p>
    <w:p w14:paraId="0588807E" w14:textId="77777777" w:rsidR="00A154FA" w:rsidRPr="00A154FA" w:rsidRDefault="00A154FA" w:rsidP="00A154FA">
      <w:pPr>
        <w:jc w:val="both"/>
        <w:rPr>
          <w:rFonts w:ascii="Calibri" w:eastAsia="Calibri" w:hAnsi="Calibri" w:cs="Calibri"/>
          <w:noProof/>
          <w:color w:val="000000"/>
          <w:sz w:val="24"/>
          <w:szCs w:val="28"/>
        </w:rPr>
      </w:pPr>
    </w:p>
    <w:p w14:paraId="02F68427" w14:textId="2E66645D" w:rsidR="00344B8B" w:rsidRDefault="00DB7FD3" w:rsidP="00A154FA">
      <w:pPr>
        <w:jc w:val="both"/>
        <w:rPr>
          <w:rFonts w:ascii="Calibri" w:eastAsia="Calibri" w:hAnsi="Calibri" w:cs="Calibri"/>
          <w:b/>
          <w:color w:val="000000"/>
          <w:sz w:val="24"/>
          <w:szCs w:val="28"/>
          <w:lang w:eastAsia="cs-CZ"/>
        </w:rPr>
      </w:pPr>
      <w:r w:rsidRPr="002E1520">
        <w:rPr>
          <w:rFonts w:ascii="Calibri" w:eastAsia="Calibri" w:hAnsi="Calibri" w:cs="Calibri"/>
          <w:b/>
          <w:noProof/>
          <w:color w:val="000000"/>
          <w:sz w:val="24"/>
          <w:szCs w:val="28"/>
        </w:rPr>
        <w:t>Výdaje GIBS vzrostly, přestože nedošlo k nárůstu činnosti</w:t>
      </w:r>
      <w:r w:rsidR="00344B8B" w:rsidRPr="002E1520">
        <w:rPr>
          <w:rFonts w:ascii="Calibri" w:eastAsia="Calibri" w:hAnsi="Calibri" w:cs="Calibri"/>
          <w:b/>
          <w:color w:val="000000"/>
          <w:sz w:val="24"/>
          <w:szCs w:val="28"/>
          <w:lang w:eastAsia="cs-CZ"/>
        </w:rPr>
        <w:t>.</w:t>
      </w:r>
    </w:p>
    <w:p w14:paraId="323B3D1C" w14:textId="1CD91462" w:rsidR="00A154FA" w:rsidRPr="00A154FA" w:rsidRDefault="00A154FA" w:rsidP="00A154FA">
      <w:pPr>
        <w:jc w:val="both"/>
        <w:rPr>
          <w:rFonts w:ascii="Calibri" w:eastAsia="Calibri" w:hAnsi="Calibri" w:cs="Calibri"/>
          <w:color w:val="000000"/>
          <w:sz w:val="24"/>
          <w:szCs w:val="28"/>
          <w:lang w:eastAsia="cs-CZ"/>
        </w:rPr>
      </w:pPr>
    </w:p>
    <w:p w14:paraId="3C816BCD" w14:textId="77777777" w:rsidR="00646334" w:rsidRDefault="00646334" w:rsidP="00646334">
      <w:pPr>
        <w:jc w:val="center"/>
        <w:rPr>
          <w:rFonts w:ascii="Calibri" w:eastAsia="Calibri" w:hAnsi="Calibri" w:cs="Times New Roman"/>
          <w:b/>
          <w:color w:val="000000"/>
          <w:sz w:val="24"/>
          <w:szCs w:val="24"/>
        </w:rPr>
      </w:pPr>
      <w:r>
        <w:rPr>
          <w:noProof/>
          <w:lang w:eastAsia="cs-CZ"/>
        </w:rPr>
        <w:drawing>
          <wp:anchor distT="0" distB="0" distL="114300" distR="114300" simplePos="0" relativeHeight="251665408" behindDoc="0" locked="0" layoutInCell="1" allowOverlap="1" wp14:anchorId="072E6A60" wp14:editId="7E524D5B">
            <wp:simplePos x="0" y="0"/>
            <wp:positionH relativeFrom="column">
              <wp:posOffset>-4445</wp:posOffset>
            </wp:positionH>
            <wp:positionV relativeFrom="paragraph">
              <wp:posOffset>251257</wp:posOffset>
            </wp:positionV>
            <wp:extent cx="5760720" cy="1876425"/>
            <wp:effectExtent l="0" t="0" r="0" b="0"/>
            <wp:wrapTopAndBottom/>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42CA2" w:rsidRPr="002E1520">
        <w:rPr>
          <w:rFonts w:ascii="Calibri" w:eastAsia="Calibri" w:hAnsi="Calibri" w:cs="Times New Roman"/>
          <w:b/>
          <w:color w:val="000000"/>
          <w:sz w:val="24"/>
          <w:szCs w:val="24"/>
        </w:rPr>
        <w:t>Činnost GIBS v letech 2012 až 2019</w:t>
      </w:r>
    </w:p>
    <w:p w14:paraId="34EC106A" w14:textId="303D58B9" w:rsidR="00442CA2" w:rsidRDefault="00442CA2" w:rsidP="00CC0BCD">
      <w:pPr>
        <w:rPr>
          <w:rFonts w:ascii="Calibri" w:eastAsia="Calibri" w:hAnsi="Calibri" w:cs="Times New Roman"/>
          <w:color w:val="000000"/>
          <w:sz w:val="20"/>
          <w:szCs w:val="20"/>
        </w:rPr>
      </w:pPr>
      <w:r w:rsidRPr="00AF644B">
        <w:rPr>
          <w:rFonts w:ascii="Calibri" w:eastAsia="Calibri" w:hAnsi="Calibri" w:cs="Times New Roman"/>
          <w:b/>
          <w:color w:val="000000"/>
          <w:sz w:val="20"/>
          <w:szCs w:val="20"/>
        </w:rPr>
        <w:t>Zdroj:</w:t>
      </w:r>
      <w:r w:rsidRPr="003A5711">
        <w:rPr>
          <w:rFonts w:ascii="Calibri" w:eastAsia="Calibri" w:hAnsi="Calibri" w:cs="Times New Roman"/>
          <w:color w:val="000000"/>
          <w:sz w:val="20"/>
          <w:szCs w:val="20"/>
        </w:rPr>
        <w:t xml:space="preserve"> </w:t>
      </w:r>
      <w:r w:rsidR="00DE4F0F">
        <w:rPr>
          <w:rFonts w:ascii="Calibri" w:eastAsia="Calibri" w:hAnsi="Calibri" w:cs="Times New Roman"/>
          <w:color w:val="000000"/>
          <w:sz w:val="20"/>
          <w:szCs w:val="20"/>
        </w:rPr>
        <w:t>d</w:t>
      </w:r>
      <w:r w:rsidRPr="003A5711">
        <w:rPr>
          <w:rFonts w:ascii="Calibri" w:eastAsia="Calibri" w:hAnsi="Calibri" w:cs="Times New Roman"/>
          <w:color w:val="000000"/>
          <w:sz w:val="20"/>
          <w:szCs w:val="20"/>
        </w:rPr>
        <w:t>ata GIBS</w:t>
      </w:r>
      <w:r>
        <w:rPr>
          <w:rFonts w:ascii="Calibri" w:eastAsia="Calibri" w:hAnsi="Calibri" w:cs="Times New Roman"/>
          <w:color w:val="000000"/>
          <w:sz w:val="20"/>
          <w:szCs w:val="20"/>
        </w:rPr>
        <w:t>.</w:t>
      </w:r>
    </w:p>
    <w:bookmarkEnd w:id="0"/>
    <w:p w14:paraId="167313B3" w14:textId="77777777" w:rsidR="002E1520" w:rsidRDefault="002E1520">
      <w:pPr>
        <w:rPr>
          <w:rFonts w:cstheme="minorHAnsi"/>
          <w:b/>
          <w:sz w:val="28"/>
          <w:szCs w:val="28"/>
        </w:rPr>
      </w:pPr>
      <w:r>
        <w:rPr>
          <w:rFonts w:cstheme="minorHAnsi"/>
          <w:b/>
          <w:sz w:val="28"/>
          <w:szCs w:val="28"/>
        </w:rPr>
        <w:br w:type="page"/>
      </w:r>
    </w:p>
    <w:p w14:paraId="17D70B8B" w14:textId="72147901" w:rsidR="003A5711" w:rsidRPr="003A5711" w:rsidRDefault="003A5711" w:rsidP="001F411F">
      <w:pPr>
        <w:spacing w:after="120"/>
        <w:jc w:val="center"/>
        <w:outlineLvl w:val="0"/>
        <w:rPr>
          <w:rFonts w:cstheme="minorHAnsi"/>
          <w:b/>
          <w:sz w:val="28"/>
          <w:szCs w:val="28"/>
        </w:rPr>
      </w:pPr>
      <w:r w:rsidRPr="003A5711">
        <w:rPr>
          <w:rFonts w:cstheme="minorHAnsi"/>
          <w:b/>
          <w:sz w:val="28"/>
          <w:szCs w:val="28"/>
        </w:rPr>
        <w:lastRenderedPageBreak/>
        <w:t>I. Shrnutí a vyhodnocení</w:t>
      </w:r>
    </w:p>
    <w:p w14:paraId="2FE2A0D3" w14:textId="61ED4E12" w:rsidR="003A5711" w:rsidRPr="003A5711" w:rsidRDefault="003A5711" w:rsidP="00484348">
      <w:pPr>
        <w:autoSpaceDE w:val="0"/>
        <w:autoSpaceDN w:val="0"/>
        <w:adjustRightInd w:val="0"/>
        <w:spacing w:after="120" w:line="264" w:lineRule="auto"/>
        <w:jc w:val="both"/>
        <w:rPr>
          <w:rFonts w:cstheme="minorHAnsi"/>
          <w:sz w:val="24"/>
          <w:szCs w:val="24"/>
          <w:lang w:eastAsia="cs-CZ"/>
        </w:rPr>
      </w:pPr>
      <w:r w:rsidRPr="003A5711">
        <w:rPr>
          <w:rFonts w:cstheme="minorHAnsi"/>
          <w:color w:val="000000" w:themeColor="text1"/>
          <w:sz w:val="24"/>
          <w:szCs w:val="24"/>
          <w:lang w:eastAsia="cs-CZ"/>
        </w:rPr>
        <w:t xml:space="preserve">Cílem kontroly bylo prověřit, zda výdaje </w:t>
      </w:r>
      <w:r w:rsidRPr="003A5711">
        <w:rPr>
          <w:rFonts w:cstheme="minorHAnsi"/>
          <w:sz w:val="24"/>
          <w:szCs w:val="24"/>
          <w:lang w:eastAsia="cs-CZ"/>
        </w:rPr>
        <w:t xml:space="preserve">GIBS byly realizovány v souladu s právními předpisy, a ověřit, zda je nastaven systém pro hospodárné a </w:t>
      </w:r>
      <w:r w:rsidR="00AF644B">
        <w:rPr>
          <w:rFonts w:cstheme="minorHAnsi"/>
          <w:sz w:val="24"/>
          <w:szCs w:val="24"/>
          <w:lang w:eastAsia="cs-CZ"/>
        </w:rPr>
        <w:t>účelné hospodaření s majetkem a </w:t>
      </w:r>
      <w:r w:rsidRPr="003A5711">
        <w:rPr>
          <w:rFonts w:cstheme="minorHAnsi"/>
          <w:sz w:val="24"/>
          <w:szCs w:val="24"/>
          <w:lang w:eastAsia="cs-CZ"/>
        </w:rPr>
        <w:t>peněžními prostředky státu.</w:t>
      </w:r>
    </w:p>
    <w:p w14:paraId="24408383" w14:textId="5167B96D" w:rsidR="003A5711" w:rsidRPr="003A5711" w:rsidRDefault="003A5711" w:rsidP="00484348">
      <w:pPr>
        <w:autoSpaceDE w:val="0"/>
        <w:autoSpaceDN w:val="0"/>
        <w:adjustRightInd w:val="0"/>
        <w:spacing w:after="120" w:line="264" w:lineRule="auto"/>
        <w:jc w:val="both"/>
        <w:rPr>
          <w:rFonts w:cstheme="minorHAnsi"/>
          <w:b/>
          <w:sz w:val="24"/>
          <w:szCs w:val="24"/>
        </w:rPr>
      </w:pPr>
      <w:r w:rsidRPr="003A5711">
        <w:rPr>
          <w:rFonts w:ascii="Calibri" w:eastAsia="Calibri" w:hAnsi="Calibri" w:cs="Calibri"/>
          <w:color w:val="000000"/>
          <w:sz w:val="24"/>
          <w:szCs w:val="24"/>
          <w:lang w:eastAsia="cs-CZ"/>
        </w:rPr>
        <w:t xml:space="preserve">Kontrole bylo podrobeno plánování potřeb v investiční a </w:t>
      </w:r>
      <w:r w:rsidR="00AF644B">
        <w:rPr>
          <w:rFonts w:ascii="Calibri" w:eastAsia="Calibri" w:hAnsi="Calibri" w:cs="Calibri"/>
          <w:color w:val="000000"/>
          <w:sz w:val="24"/>
          <w:szCs w:val="24"/>
          <w:lang w:eastAsia="cs-CZ"/>
        </w:rPr>
        <w:t>personální oblasti, nastavení a </w:t>
      </w:r>
      <w:r w:rsidRPr="003A5711">
        <w:rPr>
          <w:rFonts w:ascii="Calibri" w:eastAsia="Calibri" w:hAnsi="Calibri" w:cs="Calibri"/>
          <w:color w:val="000000"/>
          <w:sz w:val="24"/>
          <w:szCs w:val="24"/>
          <w:lang w:eastAsia="cs-CZ"/>
        </w:rPr>
        <w:t xml:space="preserve">funkčnost vnitřního kontrolního systému </w:t>
      </w:r>
      <w:r w:rsidR="00DE4F0F">
        <w:rPr>
          <w:rFonts w:ascii="Calibri" w:eastAsia="Calibri" w:hAnsi="Calibri" w:cs="Calibri"/>
          <w:color w:val="000000"/>
          <w:sz w:val="24"/>
          <w:szCs w:val="24"/>
          <w:lang w:eastAsia="cs-CZ"/>
        </w:rPr>
        <w:t>a</w:t>
      </w:r>
      <w:r w:rsidRPr="003A5711">
        <w:rPr>
          <w:rFonts w:ascii="Calibri" w:eastAsia="Calibri" w:hAnsi="Calibri" w:cs="Calibri"/>
          <w:color w:val="000000"/>
          <w:sz w:val="24"/>
          <w:szCs w:val="24"/>
          <w:lang w:eastAsia="cs-CZ"/>
        </w:rPr>
        <w:t xml:space="preserve"> odůvodněnost růstu výdajů v kontrolovaném období. Kontrola se také zaměřila na hospodárné </w:t>
      </w:r>
      <w:r w:rsidR="004F16D1">
        <w:rPr>
          <w:rFonts w:ascii="Calibri" w:eastAsia="Calibri" w:hAnsi="Calibri" w:cs="Calibri"/>
          <w:color w:val="000000"/>
          <w:sz w:val="24"/>
          <w:szCs w:val="24"/>
          <w:lang w:eastAsia="cs-CZ"/>
        </w:rPr>
        <w:t>a účelné hospodaření</w:t>
      </w:r>
      <w:r w:rsidR="00AF644B">
        <w:rPr>
          <w:rFonts w:ascii="Calibri" w:eastAsia="Calibri" w:hAnsi="Calibri" w:cs="Calibri"/>
          <w:color w:val="000000"/>
          <w:sz w:val="24"/>
          <w:szCs w:val="24"/>
          <w:lang w:eastAsia="cs-CZ"/>
        </w:rPr>
        <w:t xml:space="preserve"> s majetkem a </w:t>
      </w:r>
      <w:r w:rsidRPr="003A5711">
        <w:rPr>
          <w:rFonts w:ascii="Calibri" w:eastAsia="Calibri" w:hAnsi="Calibri" w:cs="Calibri"/>
          <w:color w:val="000000"/>
          <w:sz w:val="24"/>
          <w:szCs w:val="24"/>
          <w:lang w:eastAsia="cs-CZ"/>
        </w:rPr>
        <w:t>peněžními prostředky státu, plánování rozpočtu kapitoly a realizaci vybraných investičních akcí programů 176 100</w:t>
      </w:r>
      <w:r w:rsidRPr="003A5711">
        <w:rPr>
          <w:rFonts w:ascii="Calibri" w:eastAsia="Calibri" w:hAnsi="Calibri" w:cs="Calibri"/>
          <w:color w:val="000000"/>
          <w:sz w:val="24"/>
          <w:szCs w:val="24"/>
          <w:vertAlign w:val="superscript"/>
          <w:lang w:eastAsia="cs-CZ"/>
        </w:rPr>
        <w:footnoteReference w:id="3"/>
      </w:r>
      <w:r w:rsidRPr="003A5711">
        <w:rPr>
          <w:rFonts w:ascii="Calibri" w:eastAsia="Calibri" w:hAnsi="Calibri" w:cs="Calibri"/>
          <w:color w:val="000000"/>
          <w:sz w:val="24"/>
          <w:szCs w:val="24"/>
          <w:lang w:eastAsia="cs-CZ"/>
        </w:rPr>
        <w:t xml:space="preserve"> a 176 200</w:t>
      </w:r>
      <w:r w:rsidRPr="003A5711">
        <w:rPr>
          <w:rFonts w:ascii="Calibri" w:eastAsia="Calibri" w:hAnsi="Calibri" w:cs="Calibri"/>
          <w:color w:val="000000"/>
          <w:sz w:val="24"/>
          <w:szCs w:val="24"/>
          <w:vertAlign w:val="superscript"/>
          <w:lang w:eastAsia="cs-CZ"/>
        </w:rPr>
        <w:footnoteReference w:id="4"/>
      </w:r>
      <w:r w:rsidRPr="003A5711">
        <w:rPr>
          <w:rFonts w:ascii="Calibri" w:eastAsia="Calibri" w:hAnsi="Calibri" w:cs="Calibri"/>
          <w:color w:val="000000"/>
          <w:sz w:val="24"/>
          <w:szCs w:val="24"/>
          <w:lang w:eastAsia="cs-CZ"/>
        </w:rPr>
        <w:t xml:space="preserve"> a dosažení stanovených cílů těchto programů. Kontrola prověřila hospodaření GIBS také z hlediska dodržování </w:t>
      </w:r>
      <w:r w:rsidR="00AF644B">
        <w:rPr>
          <w:rFonts w:ascii="Calibri" w:eastAsia="Calibri" w:hAnsi="Calibri" w:cs="Calibri"/>
          <w:color w:val="000000"/>
          <w:sz w:val="24"/>
          <w:szCs w:val="24"/>
          <w:lang w:eastAsia="cs-CZ"/>
        </w:rPr>
        <w:t>vybraných ustanovení zákona č.  </w:t>
      </w:r>
      <w:r w:rsidR="002939F8">
        <w:rPr>
          <w:rFonts w:ascii="Calibri" w:eastAsia="Calibri" w:hAnsi="Calibri" w:cs="Calibri"/>
          <w:color w:val="000000"/>
          <w:sz w:val="24"/>
          <w:szCs w:val="24"/>
          <w:lang w:eastAsia="cs-CZ"/>
        </w:rPr>
        <w:t>2</w:t>
      </w:r>
      <w:r w:rsidRPr="003A5711">
        <w:rPr>
          <w:rFonts w:ascii="Calibri" w:eastAsia="Calibri" w:hAnsi="Calibri" w:cs="Calibri"/>
          <w:color w:val="000000"/>
          <w:sz w:val="24"/>
          <w:szCs w:val="24"/>
          <w:lang w:eastAsia="cs-CZ"/>
        </w:rPr>
        <w:t>19/2000 Sb.</w:t>
      </w:r>
      <w:r w:rsidRPr="003A5711">
        <w:rPr>
          <w:rFonts w:ascii="Calibri" w:eastAsia="Calibri" w:hAnsi="Calibri" w:cs="Calibri"/>
          <w:color w:val="000000"/>
          <w:sz w:val="24"/>
          <w:szCs w:val="24"/>
          <w:vertAlign w:val="superscript"/>
          <w:lang w:eastAsia="cs-CZ"/>
        </w:rPr>
        <w:footnoteReference w:id="5"/>
      </w:r>
      <w:r w:rsidRPr="003A5711">
        <w:rPr>
          <w:rFonts w:ascii="Calibri" w:eastAsia="Calibri" w:hAnsi="Calibri" w:cs="Calibri"/>
          <w:color w:val="000000"/>
          <w:sz w:val="24"/>
          <w:szCs w:val="24"/>
          <w:lang w:eastAsia="cs-CZ"/>
        </w:rPr>
        <w:t xml:space="preserve"> a zákona č. 218/2000 Sb.</w:t>
      </w:r>
      <w:r w:rsidRPr="003A5711">
        <w:rPr>
          <w:rFonts w:ascii="Calibri" w:eastAsia="Calibri" w:hAnsi="Calibri" w:cs="Calibri"/>
          <w:color w:val="000000"/>
          <w:sz w:val="24"/>
          <w:szCs w:val="24"/>
          <w:vertAlign w:val="superscript"/>
          <w:lang w:eastAsia="cs-CZ"/>
        </w:rPr>
        <w:footnoteReference w:id="6"/>
      </w:r>
      <w:bookmarkStart w:id="2" w:name="_GoBack"/>
      <w:bookmarkEnd w:id="2"/>
    </w:p>
    <w:p w14:paraId="5C36BDDB" w14:textId="52DEE03C" w:rsidR="009D71F8" w:rsidRPr="00442CA2" w:rsidRDefault="009D71F8" w:rsidP="00484348">
      <w:pPr>
        <w:autoSpaceDE w:val="0"/>
        <w:autoSpaceDN w:val="0"/>
        <w:adjustRightInd w:val="0"/>
        <w:spacing w:after="120" w:line="264" w:lineRule="auto"/>
        <w:jc w:val="both"/>
        <w:rPr>
          <w:rFonts w:ascii="Calibri" w:eastAsia="Calibri" w:hAnsi="Calibri"/>
          <w:bCs/>
          <w:sz w:val="24"/>
          <w:szCs w:val="24"/>
        </w:rPr>
      </w:pPr>
      <w:r w:rsidRPr="003A5711">
        <w:rPr>
          <w:rFonts w:ascii="Calibri" w:eastAsia="Calibri" w:hAnsi="Calibri" w:cs="Calibri"/>
          <w:b/>
          <w:color w:val="000000"/>
          <w:sz w:val="24"/>
          <w:szCs w:val="24"/>
          <w:lang w:eastAsia="cs-CZ"/>
        </w:rPr>
        <w:t xml:space="preserve">NKÚ při kontrole zjistil, že GIBS neměla v kontrolovaném období nastaven systém pro hospodárné a účelné hospodaření s majetkem a peněžními prostředky státu. </w:t>
      </w:r>
      <w:r>
        <w:rPr>
          <w:rFonts w:ascii="Calibri" w:eastAsia="Calibri" w:hAnsi="Calibri" w:cs="Calibri"/>
          <w:b/>
          <w:color w:val="000000"/>
          <w:sz w:val="24"/>
          <w:szCs w:val="24"/>
          <w:lang w:eastAsia="cs-CZ"/>
        </w:rPr>
        <w:t xml:space="preserve">GIBS </w:t>
      </w:r>
      <w:r w:rsidR="00512015">
        <w:rPr>
          <w:rFonts w:ascii="Calibri" w:eastAsia="Calibri" w:hAnsi="Calibri" w:cs="Calibri"/>
          <w:b/>
          <w:color w:val="000000"/>
          <w:sz w:val="24"/>
          <w:szCs w:val="24"/>
          <w:lang w:eastAsia="cs-CZ"/>
        </w:rPr>
        <w:t xml:space="preserve">nehospodárně a </w:t>
      </w:r>
      <w:r w:rsidRPr="003A5711">
        <w:rPr>
          <w:rFonts w:ascii="Calibri" w:eastAsia="Calibri" w:hAnsi="Calibri" w:cs="Calibri"/>
          <w:b/>
          <w:color w:val="000000"/>
          <w:sz w:val="24"/>
          <w:szCs w:val="24"/>
          <w:lang w:eastAsia="cs-CZ"/>
        </w:rPr>
        <w:t>neúčeln</w:t>
      </w:r>
      <w:r w:rsidR="00781DB2">
        <w:rPr>
          <w:rFonts w:ascii="Calibri" w:eastAsia="Calibri" w:hAnsi="Calibri" w:cs="Calibri"/>
          <w:b/>
          <w:color w:val="000000"/>
          <w:sz w:val="24"/>
          <w:szCs w:val="24"/>
          <w:lang w:eastAsia="cs-CZ"/>
        </w:rPr>
        <w:t>ě</w:t>
      </w:r>
      <w:r w:rsidRPr="003A5711">
        <w:rPr>
          <w:rFonts w:ascii="Calibri" w:eastAsia="Calibri" w:hAnsi="Calibri" w:cs="Calibri"/>
          <w:b/>
          <w:color w:val="000000"/>
          <w:sz w:val="24"/>
          <w:szCs w:val="24"/>
          <w:lang w:eastAsia="cs-CZ"/>
        </w:rPr>
        <w:t xml:space="preserve"> </w:t>
      </w:r>
      <w:r w:rsidR="004F16D1">
        <w:rPr>
          <w:rFonts w:ascii="Calibri" w:eastAsia="Calibri" w:hAnsi="Calibri" w:cs="Calibri"/>
          <w:b/>
          <w:color w:val="000000"/>
          <w:sz w:val="24"/>
          <w:szCs w:val="24"/>
          <w:lang w:eastAsia="cs-CZ"/>
        </w:rPr>
        <w:t xml:space="preserve">hospodařila </w:t>
      </w:r>
      <w:r w:rsidRPr="003A5711">
        <w:rPr>
          <w:rFonts w:ascii="Calibri" w:eastAsia="Calibri" w:hAnsi="Calibri" w:cs="Calibri"/>
          <w:b/>
          <w:color w:val="000000"/>
          <w:sz w:val="24"/>
          <w:szCs w:val="24"/>
          <w:lang w:eastAsia="cs-CZ"/>
        </w:rPr>
        <w:t>s peněžními prostředky státu především</w:t>
      </w:r>
      <w:r w:rsidR="008547F2">
        <w:rPr>
          <w:rFonts w:ascii="Calibri" w:eastAsia="Calibri" w:hAnsi="Calibri" w:cs="Calibri"/>
          <w:b/>
          <w:color w:val="000000"/>
          <w:sz w:val="24"/>
          <w:szCs w:val="24"/>
          <w:lang w:eastAsia="cs-CZ"/>
        </w:rPr>
        <w:t xml:space="preserve"> </w:t>
      </w:r>
      <w:r w:rsidRPr="003A5711">
        <w:rPr>
          <w:rFonts w:ascii="Calibri" w:eastAsia="Calibri" w:hAnsi="Calibri" w:cs="Calibri"/>
          <w:b/>
          <w:color w:val="000000"/>
          <w:sz w:val="24"/>
          <w:szCs w:val="24"/>
          <w:lang w:eastAsia="cs-CZ"/>
        </w:rPr>
        <w:t>v personální oblasti</w:t>
      </w:r>
      <w:r w:rsidR="00DB7FD3">
        <w:rPr>
          <w:rFonts w:ascii="Calibri" w:eastAsia="Calibri" w:hAnsi="Calibri" w:cs="Calibri"/>
          <w:b/>
          <w:color w:val="000000"/>
          <w:sz w:val="24"/>
          <w:szCs w:val="24"/>
          <w:lang w:eastAsia="cs-CZ"/>
        </w:rPr>
        <w:t xml:space="preserve">. </w:t>
      </w:r>
      <w:r w:rsidR="00BF0D25">
        <w:rPr>
          <w:rFonts w:ascii="Calibri" w:eastAsia="Calibri" w:hAnsi="Calibri" w:cs="Calibri"/>
          <w:b/>
          <w:color w:val="000000"/>
          <w:sz w:val="24"/>
          <w:szCs w:val="24"/>
          <w:lang w:eastAsia="cs-CZ"/>
        </w:rPr>
        <w:t>V</w:t>
      </w:r>
      <w:r w:rsidRPr="003A5711">
        <w:rPr>
          <w:rFonts w:ascii="Calibri" w:eastAsia="Calibri" w:hAnsi="Calibri" w:cs="Calibri"/>
          <w:b/>
          <w:color w:val="000000"/>
          <w:sz w:val="24"/>
          <w:szCs w:val="24"/>
          <w:lang w:eastAsia="cs-CZ"/>
        </w:rPr>
        <w:t xml:space="preserve">ýdaje GIBS činily v roce 2020 celkem 447 988 tis. Kč, což představuje oproti předpokladu </w:t>
      </w:r>
      <w:r w:rsidR="008547F2">
        <w:rPr>
          <w:rFonts w:ascii="Calibri" w:eastAsia="Calibri" w:hAnsi="Calibri" w:cs="Calibri"/>
          <w:b/>
          <w:color w:val="000000"/>
          <w:sz w:val="24"/>
          <w:szCs w:val="24"/>
          <w:lang w:eastAsia="cs-CZ"/>
        </w:rPr>
        <w:t xml:space="preserve">při vzniku GIBS </w:t>
      </w:r>
      <w:r w:rsidR="00BF0D25" w:rsidRPr="003A5711">
        <w:rPr>
          <w:rFonts w:ascii="Calibri" w:eastAsia="Calibri" w:hAnsi="Calibri" w:cs="Calibri"/>
          <w:b/>
          <w:color w:val="000000"/>
          <w:sz w:val="24"/>
          <w:szCs w:val="24"/>
          <w:lang w:eastAsia="cs-CZ"/>
        </w:rPr>
        <w:t xml:space="preserve">nárůst </w:t>
      </w:r>
      <w:r w:rsidRPr="003A5711">
        <w:rPr>
          <w:rFonts w:ascii="Calibri" w:eastAsia="Calibri" w:hAnsi="Calibri" w:cs="Calibri"/>
          <w:b/>
          <w:color w:val="000000"/>
          <w:sz w:val="24"/>
          <w:szCs w:val="24"/>
          <w:lang w:eastAsia="cs-CZ"/>
        </w:rPr>
        <w:t>o více než 60 %.</w:t>
      </w:r>
      <w:r w:rsidRPr="003A5711">
        <w:rPr>
          <w:rFonts w:ascii="Calibri" w:hAnsi="Calibri" w:cs="Calibri"/>
          <w:sz w:val="24"/>
          <w:szCs w:val="24"/>
        </w:rPr>
        <w:t xml:space="preserve"> </w:t>
      </w:r>
      <w:r w:rsidR="00CC4CF2" w:rsidRPr="00A42A04">
        <w:rPr>
          <w:rFonts w:ascii="Calibri" w:hAnsi="Calibri" w:cs="Calibri"/>
          <w:b/>
          <w:sz w:val="24"/>
          <w:szCs w:val="24"/>
        </w:rPr>
        <w:t xml:space="preserve">GIBS zároveň v oblasti </w:t>
      </w:r>
      <w:r w:rsidR="0024394C" w:rsidRPr="00A42A04">
        <w:rPr>
          <w:rFonts w:ascii="Calibri" w:hAnsi="Calibri" w:cs="Calibri"/>
          <w:b/>
          <w:sz w:val="24"/>
          <w:szCs w:val="24"/>
        </w:rPr>
        <w:t>tvorby rozpoč</w:t>
      </w:r>
      <w:r w:rsidR="00484348">
        <w:rPr>
          <w:rFonts w:ascii="Calibri" w:hAnsi="Calibri" w:cs="Calibri"/>
          <w:b/>
          <w:sz w:val="24"/>
          <w:szCs w:val="24"/>
        </w:rPr>
        <w:t>tu a </w:t>
      </w:r>
      <w:r w:rsidR="0024394C" w:rsidRPr="00A42A04">
        <w:rPr>
          <w:rFonts w:ascii="Calibri" w:eastAsia="Calibri" w:hAnsi="Calibri"/>
          <w:b/>
          <w:bCs/>
          <w:sz w:val="24"/>
          <w:szCs w:val="24"/>
        </w:rPr>
        <w:t>vyhodnocování stavu služebních dopravních prostředků</w:t>
      </w:r>
      <w:r w:rsidR="0024394C" w:rsidRPr="00A42A04">
        <w:rPr>
          <w:rFonts w:ascii="Calibri" w:hAnsi="Calibri" w:cs="Calibri"/>
          <w:b/>
          <w:sz w:val="24"/>
          <w:szCs w:val="24"/>
        </w:rPr>
        <w:t xml:space="preserve"> nepostupovala v souladu s právními předpisy. V oblasti využití nemovitého majetku NKÚ zjistil</w:t>
      </w:r>
      <w:r w:rsidR="0024394C">
        <w:rPr>
          <w:rFonts w:ascii="Calibri" w:hAnsi="Calibri" w:cs="Calibri"/>
          <w:b/>
          <w:sz w:val="24"/>
          <w:szCs w:val="24"/>
        </w:rPr>
        <w:t xml:space="preserve">, že GIBS poskytla </w:t>
      </w:r>
      <w:r w:rsidR="0024394C" w:rsidRPr="00A42A04">
        <w:rPr>
          <w:rFonts w:cs="Calibri"/>
          <w:b/>
          <w:sz w:val="24"/>
          <w:szCs w:val="24"/>
        </w:rPr>
        <w:t xml:space="preserve">bezúplatné dlouhodobé ubytování v délce nejméně osmi let. </w:t>
      </w:r>
      <w:r>
        <w:rPr>
          <w:rFonts w:ascii="Calibri" w:eastAsia="Calibri" w:hAnsi="Calibri" w:cs="Calibri"/>
          <w:b/>
          <w:color w:val="000000"/>
          <w:sz w:val="24"/>
          <w:szCs w:val="24"/>
          <w:lang w:eastAsia="cs-CZ"/>
        </w:rPr>
        <w:t xml:space="preserve">GIBS </w:t>
      </w:r>
      <w:r w:rsidR="0024394C">
        <w:rPr>
          <w:rFonts w:ascii="Calibri" w:eastAsia="Calibri" w:hAnsi="Calibri" w:cs="Calibri"/>
          <w:b/>
          <w:color w:val="000000"/>
          <w:sz w:val="24"/>
          <w:szCs w:val="24"/>
          <w:lang w:eastAsia="cs-CZ"/>
        </w:rPr>
        <w:t>také ne</w:t>
      </w:r>
      <w:r w:rsidR="00C60442">
        <w:rPr>
          <w:rFonts w:ascii="Calibri" w:eastAsia="Calibri" w:hAnsi="Calibri" w:cs="Calibri"/>
          <w:b/>
          <w:color w:val="000000"/>
          <w:sz w:val="24"/>
          <w:szCs w:val="24"/>
          <w:lang w:eastAsia="cs-CZ"/>
        </w:rPr>
        <w:t>provedla</w:t>
      </w:r>
      <w:r w:rsidR="00BF0D25" w:rsidRPr="003A5711">
        <w:rPr>
          <w:rFonts w:ascii="Calibri" w:eastAsia="Calibri" w:hAnsi="Calibri" w:cs="Calibri"/>
          <w:b/>
          <w:color w:val="000000"/>
          <w:sz w:val="24"/>
          <w:szCs w:val="24"/>
          <w:lang w:eastAsia="cs-CZ"/>
        </w:rPr>
        <w:t xml:space="preserve"> </w:t>
      </w:r>
      <w:r w:rsidRPr="003A5711">
        <w:rPr>
          <w:rFonts w:ascii="Calibri" w:eastAsia="Calibri" w:hAnsi="Calibri" w:cs="Calibri"/>
          <w:b/>
          <w:color w:val="000000"/>
          <w:sz w:val="24"/>
          <w:szCs w:val="24"/>
          <w:lang w:eastAsia="cs-CZ"/>
        </w:rPr>
        <w:t>účinná nápravná opatření k</w:t>
      </w:r>
      <w:r w:rsidR="004822FE">
        <w:rPr>
          <w:rFonts w:ascii="Calibri" w:eastAsia="Calibri" w:hAnsi="Calibri" w:cs="Calibri"/>
          <w:b/>
          <w:color w:val="000000"/>
          <w:sz w:val="24"/>
          <w:szCs w:val="24"/>
          <w:lang w:eastAsia="cs-CZ"/>
        </w:rPr>
        <w:t> </w:t>
      </w:r>
      <w:r w:rsidR="00F070C4">
        <w:rPr>
          <w:rFonts w:ascii="Calibri" w:eastAsia="Calibri" w:hAnsi="Calibri" w:cs="Calibri"/>
          <w:b/>
          <w:color w:val="000000"/>
          <w:sz w:val="24"/>
          <w:szCs w:val="24"/>
          <w:lang w:eastAsia="cs-CZ"/>
        </w:rPr>
        <w:t>nedostatkům</w:t>
      </w:r>
      <w:r w:rsidR="004822FE">
        <w:rPr>
          <w:rFonts w:ascii="Calibri" w:eastAsia="Calibri" w:hAnsi="Calibri" w:cs="Calibri"/>
          <w:b/>
          <w:color w:val="000000"/>
          <w:sz w:val="24"/>
          <w:szCs w:val="24"/>
          <w:lang w:eastAsia="cs-CZ"/>
        </w:rPr>
        <w:t xml:space="preserve"> z</w:t>
      </w:r>
      <w:r w:rsidR="007C3E0C">
        <w:rPr>
          <w:rFonts w:ascii="Calibri" w:eastAsia="Calibri" w:hAnsi="Calibri" w:cs="Calibri"/>
          <w:b/>
          <w:color w:val="000000"/>
          <w:sz w:val="24"/>
          <w:szCs w:val="24"/>
          <w:lang w:eastAsia="cs-CZ"/>
        </w:rPr>
        <w:t> </w:t>
      </w:r>
      <w:r w:rsidRPr="003A5711">
        <w:rPr>
          <w:rFonts w:ascii="Calibri" w:eastAsia="Calibri" w:hAnsi="Calibri" w:cs="Calibri"/>
          <w:b/>
          <w:color w:val="000000"/>
          <w:sz w:val="24"/>
          <w:szCs w:val="24"/>
          <w:lang w:eastAsia="cs-CZ"/>
        </w:rPr>
        <w:t xml:space="preserve">předcházející </w:t>
      </w:r>
      <w:r w:rsidRPr="003B3A4E">
        <w:rPr>
          <w:rFonts w:ascii="Calibri" w:eastAsia="Calibri" w:hAnsi="Calibri" w:cs="Calibri"/>
          <w:b/>
          <w:sz w:val="24"/>
          <w:szCs w:val="24"/>
          <w:lang w:eastAsia="cs-CZ"/>
        </w:rPr>
        <w:t>kontrol</w:t>
      </w:r>
      <w:r w:rsidR="005172ED" w:rsidRPr="003B3A4E">
        <w:rPr>
          <w:rFonts w:ascii="Calibri" w:eastAsia="Calibri" w:hAnsi="Calibri" w:cs="Calibri"/>
          <w:b/>
          <w:sz w:val="24"/>
          <w:szCs w:val="24"/>
          <w:lang w:eastAsia="cs-CZ"/>
        </w:rPr>
        <w:t>y</w:t>
      </w:r>
      <w:r w:rsidR="003B3A4E" w:rsidRPr="003B3A4E">
        <w:rPr>
          <w:rFonts w:ascii="Calibri" w:eastAsia="Calibri" w:hAnsi="Calibri" w:cs="Calibri"/>
          <w:b/>
          <w:sz w:val="24"/>
          <w:szCs w:val="24"/>
          <w:lang w:eastAsia="cs-CZ"/>
        </w:rPr>
        <w:t>.</w:t>
      </w:r>
      <w:r w:rsidRPr="003B3A4E">
        <w:rPr>
          <w:rFonts w:ascii="Calibri" w:eastAsia="Calibri" w:hAnsi="Calibri" w:cs="Calibri"/>
          <w:b/>
          <w:sz w:val="24"/>
          <w:szCs w:val="24"/>
          <w:lang w:eastAsia="cs-CZ"/>
        </w:rPr>
        <w:t xml:space="preserve"> </w:t>
      </w:r>
      <w:r w:rsidR="000656A1">
        <w:rPr>
          <w:rFonts w:ascii="Calibri" w:eastAsia="Calibri" w:hAnsi="Calibri" w:cs="Calibri"/>
          <w:b/>
          <w:color w:val="000000"/>
          <w:sz w:val="24"/>
          <w:szCs w:val="24"/>
          <w:lang w:eastAsia="cs-CZ"/>
        </w:rPr>
        <w:t xml:space="preserve">Na základě výše uvedených skutečností </w:t>
      </w:r>
      <w:r w:rsidR="00460D6B">
        <w:rPr>
          <w:rFonts w:ascii="Calibri" w:eastAsia="Calibri" w:hAnsi="Calibri" w:cs="Calibri"/>
          <w:b/>
          <w:color w:val="000000"/>
          <w:sz w:val="24"/>
          <w:szCs w:val="24"/>
          <w:lang w:eastAsia="cs-CZ"/>
        </w:rPr>
        <w:t xml:space="preserve">NKÚ </w:t>
      </w:r>
      <w:r w:rsidR="00F75565">
        <w:rPr>
          <w:rFonts w:ascii="Calibri" w:eastAsia="Calibri" w:hAnsi="Calibri" w:cs="Calibri"/>
          <w:b/>
          <w:color w:val="000000"/>
          <w:sz w:val="24"/>
          <w:szCs w:val="24"/>
          <w:lang w:eastAsia="cs-CZ"/>
        </w:rPr>
        <w:t>vyhodnotil</w:t>
      </w:r>
      <w:r w:rsidR="00460D6B">
        <w:rPr>
          <w:rFonts w:ascii="Calibri" w:eastAsia="Calibri" w:hAnsi="Calibri" w:cs="Calibri"/>
          <w:b/>
          <w:color w:val="000000"/>
          <w:sz w:val="24"/>
          <w:szCs w:val="24"/>
          <w:lang w:eastAsia="cs-CZ"/>
        </w:rPr>
        <w:t xml:space="preserve">, že </w:t>
      </w:r>
      <w:r w:rsidR="00CD22A8">
        <w:rPr>
          <w:rFonts w:ascii="Calibri" w:eastAsia="Calibri" w:hAnsi="Calibri" w:cs="Calibri"/>
          <w:b/>
          <w:color w:val="000000"/>
          <w:sz w:val="24"/>
          <w:szCs w:val="24"/>
          <w:lang w:eastAsia="cs-CZ"/>
        </w:rPr>
        <w:t xml:space="preserve">GIBS měla v kontrolovaném období </w:t>
      </w:r>
      <w:r w:rsidR="000656A1">
        <w:rPr>
          <w:rFonts w:ascii="Calibri" w:eastAsia="Calibri" w:hAnsi="Calibri" w:cs="Calibri"/>
          <w:b/>
          <w:color w:val="000000"/>
          <w:sz w:val="24"/>
          <w:szCs w:val="24"/>
          <w:lang w:eastAsia="cs-CZ"/>
        </w:rPr>
        <w:t>pouze omezeně funkční vnitřní kontrolní systém.</w:t>
      </w:r>
    </w:p>
    <w:p w14:paraId="1C1F7C6C" w14:textId="77777777" w:rsidR="003A5711" w:rsidRPr="003A5711" w:rsidRDefault="003A5711" w:rsidP="00484348">
      <w:pPr>
        <w:spacing w:after="120" w:line="264" w:lineRule="auto"/>
        <w:rPr>
          <w:rFonts w:cstheme="minorHAnsi"/>
          <w:sz w:val="24"/>
          <w:szCs w:val="24"/>
        </w:rPr>
      </w:pPr>
      <w:r w:rsidRPr="003A5711">
        <w:rPr>
          <w:rFonts w:cstheme="minorHAnsi"/>
          <w:sz w:val="24"/>
          <w:szCs w:val="24"/>
        </w:rPr>
        <w:t>Celkové hodnocení vychází z následujících hlavních zjištění z kontroly:</w:t>
      </w:r>
    </w:p>
    <w:p w14:paraId="05747204" w14:textId="71B02F0A" w:rsidR="009D71F8" w:rsidRPr="003A5711" w:rsidRDefault="009D71F8" w:rsidP="00484348">
      <w:pPr>
        <w:numPr>
          <w:ilvl w:val="0"/>
          <w:numId w:val="4"/>
        </w:numPr>
        <w:spacing w:after="120" w:line="264" w:lineRule="auto"/>
        <w:ind w:left="227" w:right="6" w:hanging="227"/>
        <w:jc w:val="both"/>
        <w:rPr>
          <w:rFonts w:ascii="Calibri" w:eastAsia="Calibri" w:hAnsi="Calibri" w:cs="Calibri"/>
          <w:sz w:val="24"/>
          <w:szCs w:val="24"/>
        </w:rPr>
      </w:pPr>
      <w:r w:rsidRPr="003A5711">
        <w:rPr>
          <w:rFonts w:ascii="Calibri" w:eastAsia="Calibri" w:hAnsi="Calibri" w:cs="Calibri"/>
          <w:sz w:val="24"/>
          <w:szCs w:val="24"/>
        </w:rPr>
        <w:t xml:space="preserve">NKÚ zjistil, že </w:t>
      </w:r>
      <w:r w:rsidR="00C60442">
        <w:rPr>
          <w:rFonts w:ascii="Calibri" w:eastAsia="Calibri" w:hAnsi="Calibri" w:cs="Calibri"/>
          <w:sz w:val="24"/>
          <w:szCs w:val="24"/>
        </w:rPr>
        <w:t>výdaje</w:t>
      </w:r>
      <w:r w:rsidRPr="003A5711">
        <w:rPr>
          <w:rFonts w:ascii="Calibri" w:eastAsia="Calibri" w:hAnsi="Calibri" w:cs="Calibri"/>
          <w:sz w:val="24"/>
          <w:szCs w:val="24"/>
        </w:rPr>
        <w:t xml:space="preserve"> GIBS </w:t>
      </w:r>
      <w:r w:rsidR="00C60442">
        <w:rPr>
          <w:rFonts w:ascii="Calibri" w:eastAsia="Calibri" w:hAnsi="Calibri" w:cs="Calibri"/>
          <w:sz w:val="24"/>
          <w:szCs w:val="24"/>
        </w:rPr>
        <w:t xml:space="preserve">se </w:t>
      </w:r>
      <w:r w:rsidR="00CF75B3">
        <w:rPr>
          <w:rFonts w:ascii="Calibri" w:eastAsia="Calibri" w:hAnsi="Calibri" w:cs="Calibri"/>
          <w:sz w:val="24"/>
          <w:szCs w:val="24"/>
        </w:rPr>
        <w:t>mezi roky 2017 a 2020</w:t>
      </w:r>
      <w:r w:rsidRPr="003A5711">
        <w:rPr>
          <w:rFonts w:ascii="Calibri" w:eastAsia="Calibri" w:hAnsi="Calibri" w:cs="Calibri"/>
          <w:sz w:val="24"/>
          <w:szCs w:val="24"/>
        </w:rPr>
        <w:t xml:space="preserve"> </w:t>
      </w:r>
      <w:r w:rsidR="00C60442">
        <w:rPr>
          <w:rFonts w:ascii="Calibri" w:eastAsia="Calibri" w:hAnsi="Calibri" w:cs="Calibri"/>
          <w:sz w:val="24"/>
          <w:szCs w:val="24"/>
        </w:rPr>
        <w:t xml:space="preserve">zvýšily </w:t>
      </w:r>
      <w:r w:rsidRPr="003A5711">
        <w:rPr>
          <w:rFonts w:ascii="Calibri" w:eastAsia="Calibri" w:hAnsi="Calibri" w:cs="Calibri"/>
          <w:sz w:val="24"/>
          <w:szCs w:val="24"/>
        </w:rPr>
        <w:t>o 19,5 %</w:t>
      </w:r>
      <w:r w:rsidR="00C60442">
        <w:rPr>
          <w:rFonts w:ascii="Calibri" w:eastAsia="Calibri" w:hAnsi="Calibri" w:cs="Calibri"/>
          <w:sz w:val="24"/>
          <w:szCs w:val="24"/>
        </w:rPr>
        <w:t>.</w:t>
      </w:r>
      <w:r w:rsidRPr="003A5711">
        <w:rPr>
          <w:rFonts w:ascii="Calibri" w:eastAsia="Calibri" w:hAnsi="Calibri" w:cs="Calibri"/>
          <w:sz w:val="24"/>
          <w:szCs w:val="24"/>
        </w:rPr>
        <w:t xml:space="preserve"> </w:t>
      </w:r>
      <w:r>
        <w:rPr>
          <w:rFonts w:ascii="Calibri" w:eastAsia="Calibri" w:hAnsi="Calibri" w:cs="Calibri"/>
          <w:sz w:val="24"/>
          <w:szCs w:val="24"/>
        </w:rPr>
        <w:t xml:space="preserve">Důvodem bylo </w:t>
      </w:r>
      <w:r w:rsidR="00ED0B0B">
        <w:rPr>
          <w:rFonts w:ascii="Calibri" w:eastAsia="Calibri" w:hAnsi="Calibri" w:cs="Calibri"/>
          <w:sz w:val="24"/>
          <w:szCs w:val="24"/>
        </w:rPr>
        <w:t xml:space="preserve">navýšení systemizovaných míst a </w:t>
      </w:r>
      <w:r w:rsidRPr="003A5711">
        <w:rPr>
          <w:rFonts w:ascii="Calibri" w:hAnsi="Calibri" w:cs="Calibri"/>
          <w:sz w:val="24"/>
          <w:szCs w:val="24"/>
        </w:rPr>
        <w:t>navyšování průměrných platů přísl</w:t>
      </w:r>
      <w:r>
        <w:rPr>
          <w:rFonts w:ascii="Calibri" w:hAnsi="Calibri" w:cs="Calibri"/>
          <w:sz w:val="24"/>
          <w:szCs w:val="24"/>
        </w:rPr>
        <w:t>ušníků a zaměstnanců GIBS za účelem zachování konkurenceschopnosti na trhu práce,</w:t>
      </w:r>
      <w:r w:rsidR="00A362D0">
        <w:rPr>
          <w:rFonts w:ascii="Calibri" w:hAnsi="Calibri" w:cs="Calibri"/>
          <w:sz w:val="24"/>
          <w:szCs w:val="24"/>
        </w:rPr>
        <w:t xml:space="preserve"> </w:t>
      </w:r>
      <w:r>
        <w:rPr>
          <w:rFonts w:ascii="Calibri" w:hAnsi="Calibri" w:cs="Calibri"/>
          <w:sz w:val="24"/>
          <w:szCs w:val="24"/>
        </w:rPr>
        <w:t>stabilizace personálních zdrojů a</w:t>
      </w:r>
      <w:r w:rsidR="00484348">
        <w:rPr>
          <w:rFonts w:ascii="Calibri" w:hAnsi="Calibri" w:cs="Calibri"/>
          <w:sz w:val="24"/>
          <w:szCs w:val="24"/>
        </w:rPr>
        <w:t> </w:t>
      </w:r>
      <w:r>
        <w:rPr>
          <w:rFonts w:ascii="Calibri" w:hAnsi="Calibri" w:cs="Calibri"/>
          <w:sz w:val="24"/>
          <w:szCs w:val="24"/>
        </w:rPr>
        <w:t xml:space="preserve">zajištění očekávaného nárůstu </w:t>
      </w:r>
      <w:r w:rsidR="0000208F">
        <w:rPr>
          <w:rFonts w:ascii="Calibri" w:hAnsi="Calibri" w:cs="Calibri"/>
          <w:sz w:val="24"/>
          <w:szCs w:val="24"/>
        </w:rPr>
        <w:t>činnosti</w:t>
      </w:r>
      <w:r w:rsidRPr="003A5711">
        <w:rPr>
          <w:rFonts w:ascii="Calibri" w:hAnsi="Calibri" w:cs="Calibri"/>
          <w:sz w:val="24"/>
          <w:szCs w:val="24"/>
        </w:rPr>
        <w:t>.</w:t>
      </w:r>
      <w:r w:rsidRPr="003A5711">
        <w:rPr>
          <w:rFonts w:ascii="Calibri" w:eastAsia="Calibri" w:hAnsi="Calibri" w:cs="Calibri"/>
          <w:sz w:val="24"/>
          <w:szCs w:val="24"/>
        </w:rPr>
        <w:t xml:space="preserve"> </w:t>
      </w:r>
      <w:r>
        <w:rPr>
          <w:rFonts w:ascii="Calibri" w:eastAsia="Calibri" w:hAnsi="Calibri" w:cs="Calibri"/>
          <w:sz w:val="24"/>
          <w:szCs w:val="24"/>
        </w:rPr>
        <w:t>Růst</w:t>
      </w:r>
      <w:r w:rsidR="005408B3">
        <w:rPr>
          <w:rFonts w:ascii="Calibri" w:eastAsia="Calibri" w:hAnsi="Calibri" w:cs="Calibri"/>
          <w:sz w:val="24"/>
          <w:szCs w:val="24"/>
        </w:rPr>
        <w:t xml:space="preserve"> </w:t>
      </w:r>
      <w:r>
        <w:rPr>
          <w:rFonts w:ascii="Calibri" w:eastAsia="Calibri" w:hAnsi="Calibri" w:cs="Calibri"/>
          <w:sz w:val="24"/>
          <w:szCs w:val="24"/>
        </w:rPr>
        <w:t xml:space="preserve">výdajů GIBS </w:t>
      </w:r>
      <w:r w:rsidR="005408B3">
        <w:rPr>
          <w:rFonts w:ascii="Calibri" w:eastAsia="Calibri" w:hAnsi="Calibri" w:cs="Calibri"/>
          <w:sz w:val="24"/>
          <w:szCs w:val="24"/>
        </w:rPr>
        <w:t>nebyl způsoben růstem</w:t>
      </w:r>
      <w:r>
        <w:rPr>
          <w:rFonts w:ascii="Calibri" w:eastAsia="Calibri" w:hAnsi="Calibri" w:cs="Calibri"/>
          <w:sz w:val="24"/>
          <w:szCs w:val="24"/>
        </w:rPr>
        <w:t xml:space="preserve"> kapitálových výdajů</w:t>
      </w:r>
      <w:r w:rsidR="00512015">
        <w:rPr>
          <w:rFonts w:ascii="Calibri" w:eastAsia="Calibri" w:hAnsi="Calibri" w:cs="Calibri"/>
          <w:sz w:val="24"/>
          <w:szCs w:val="24"/>
        </w:rPr>
        <w:t xml:space="preserve"> (</w:t>
      </w:r>
      <w:r w:rsidR="00460D6B">
        <w:rPr>
          <w:rFonts w:ascii="Calibri" w:eastAsia="Calibri" w:hAnsi="Calibri" w:cs="Calibri"/>
          <w:sz w:val="24"/>
          <w:szCs w:val="24"/>
        </w:rPr>
        <w:t xml:space="preserve">viz </w:t>
      </w:r>
      <w:r w:rsidR="00512015">
        <w:rPr>
          <w:rFonts w:ascii="Calibri" w:eastAsia="Calibri" w:hAnsi="Calibri" w:cs="Calibri"/>
          <w:sz w:val="24"/>
          <w:szCs w:val="24"/>
        </w:rPr>
        <w:t xml:space="preserve">tabulka č. 1). </w:t>
      </w:r>
      <w:r w:rsidRPr="003A5711">
        <w:rPr>
          <w:rFonts w:ascii="Calibri" w:eastAsia="Calibri" w:hAnsi="Calibri" w:cs="Calibri"/>
          <w:sz w:val="24"/>
          <w:szCs w:val="24"/>
        </w:rPr>
        <w:t xml:space="preserve">NKÚ vyhodnotil, že GIBS </w:t>
      </w:r>
      <w:r w:rsidR="00ED0B0B">
        <w:rPr>
          <w:rFonts w:ascii="Calibri" w:eastAsia="Calibri" w:hAnsi="Calibri" w:cs="Calibri"/>
          <w:sz w:val="24"/>
          <w:szCs w:val="24"/>
        </w:rPr>
        <w:t xml:space="preserve">navýšení výdajů </w:t>
      </w:r>
      <w:r w:rsidR="0081537D">
        <w:rPr>
          <w:rFonts w:ascii="Calibri" w:eastAsia="Calibri" w:hAnsi="Calibri" w:cs="Calibri"/>
          <w:sz w:val="24"/>
          <w:szCs w:val="24"/>
        </w:rPr>
        <w:t>ve výši 69,6 </w:t>
      </w:r>
      <w:r w:rsidRPr="003A5711">
        <w:rPr>
          <w:rFonts w:ascii="Calibri" w:eastAsia="Calibri" w:hAnsi="Calibri" w:cs="Calibri"/>
          <w:sz w:val="24"/>
          <w:szCs w:val="24"/>
        </w:rPr>
        <w:t>mil.</w:t>
      </w:r>
      <w:r w:rsidR="00484348">
        <w:rPr>
          <w:rFonts w:ascii="Calibri" w:eastAsia="Calibri" w:hAnsi="Calibri" w:cs="Calibri"/>
          <w:sz w:val="24"/>
          <w:szCs w:val="24"/>
        </w:rPr>
        <w:t> </w:t>
      </w:r>
      <w:r w:rsidRPr="003A5711">
        <w:rPr>
          <w:rFonts w:ascii="Calibri" w:eastAsia="Calibri" w:hAnsi="Calibri" w:cs="Calibri"/>
          <w:sz w:val="24"/>
          <w:szCs w:val="24"/>
        </w:rPr>
        <w:t>Kč dle usnesení vlády č. 148/2017</w:t>
      </w:r>
      <w:r w:rsidRPr="003A5711">
        <w:rPr>
          <w:rFonts w:ascii="Calibri" w:eastAsia="Calibri" w:hAnsi="Calibri" w:cs="Calibri"/>
          <w:sz w:val="24"/>
          <w:szCs w:val="24"/>
          <w:vertAlign w:val="superscript"/>
        </w:rPr>
        <w:footnoteReference w:id="7"/>
      </w:r>
      <w:r w:rsidRPr="003A5711">
        <w:rPr>
          <w:rFonts w:ascii="Calibri" w:eastAsia="Calibri" w:hAnsi="Calibri" w:cs="Calibri"/>
          <w:sz w:val="24"/>
          <w:szCs w:val="24"/>
        </w:rPr>
        <w:t xml:space="preserve"> </w:t>
      </w:r>
      <w:r w:rsidR="00ED0B0B">
        <w:rPr>
          <w:rFonts w:ascii="Calibri" w:eastAsia="Calibri" w:hAnsi="Calibri" w:cs="Calibri"/>
          <w:sz w:val="24"/>
          <w:szCs w:val="24"/>
        </w:rPr>
        <w:t>nevynaložila</w:t>
      </w:r>
      <w:r w:rsidR="00ED0B0B" w:rsidRPr="003A5711">
        <w:rPr>
          <w:rFonts w:ascii="Calibri" w:eastAsia="Calibri" w:hAnsi="Calibri" w:cs="Calibri"/>
          <w:sz w:val="24"/>
          <w:szCs w:val="24"/>
        </w:rPr>
        <w:t xml:space="preserve"> </w:t>
      </w:r>
      <w:r w:rsidRPr="003A5711">
        <w:rPr>
          <w:rFonts w:ascii="Calibri" w:eastAsia="Calibri" w:hAnsi="Calibri" w:cs="Calibri"/>
          <w:sz w:val="24"/>
          <w:szCs w:val="24"/>
        </w:rPr>
        <w:t>účeln</w:t>
      </w:r>
      <w:r w:rsidR="00ED0B0B">
        <w:rPr>
          <w:rFonts w:ascii="Calibri" w:eastAsia="Calibri" w:hAnsi="Calibri" w:cs="Calibri"/>
          <w:sz w:val="24"/>
          <w:szCs w:val="24"/>
        </w:rPr>
        <w:t>ě</w:t>
      </w:r>
      <w:r w:rsidRPr="003A5711">
        <w:rPr>
          <w:rFonts w:ascii="Calibri" w:eastAsia="Calibri" w:hAnsi="Calibri" w:cs="Calibri"/>
          <w:sz w:val="24"/>
          <w:szCs w:val="24"/>
        </w:rPr>
        <w:t xml:space="preserve">. Důvodem je </w:t>
      </w:r>
      <w:r w:rsidR="001165A0">
        <w:rPr>
          <w:rFonts w:ascii="Calibri" w:eastAsia="Calibri" w:hAnsi="Calibri" w:cs="Calibri"/>
          <w:sz w:val="24"/>
          <w:szCs w:val="24"/>
        </w:rPr>
        <w:t>ne</w:t>
      </w:r>
      <w:r w:rsidRPr="003A5711">
        <w:rPr>
          <w:rFonts w:ascii="Calibri" w:eastAsia="Calibri" w:hAnsi="Calibri" w:cs="Calibri"/>
          <w:sz w:val="24"/>
          <w:szCs w:val="24"/>
        </w:rPr>
        <w:t xml:space="preserve">zaplnění </w:t>
      </w:r>
      <w:r w:rsidR="001165A0">
        <w:rPr>
          <w:rFonts w:ascii="Calibri" w:eastAsia="Calibri" w:hAnsi="Calibri" w:cs="Calibri"/>
          <w:sz w:val="24"/>
          <w:szCs w:val="24"/>
        </w:rPr>
        <w:t>počtu</w:t>
      </w:r>
      <w:r w:rsidRPr="003A5711">
        <w:rPr>
          <w:rFonts w:ascii="Calibri" w:eastAsia="Calibri" w:hAnsi="Calibri" w:cs="Calibri"/>
          <w:sz w:val="24"/>
          <w:szCs w:val="24"/>
        </w:rPr>
        <w:t xml:space="preserve"> systemizovaných míst</w:t>
      </w:r>
      <w:r w:rsidR="001165A0">
        <w:rPr>
          <w:rFonts w:ascii="Calibri" w:eastAsia="Calibri" w:hAnsi="Calibri" w:cs="Calibri"/>
          <w:sz w:val="24"/>
          <w:szCs w:val="24"/>
        </w:rPr>
        <w:t xml:space="preserve">, </w:t>
      </w:r>
      <w:r w:rsidR="00C41B43">
        <w:rPr>
          <w:rFonts w:ascii="Calibri" w:eastAsia="Calibri" w:hAnsi="Calibri" w:cs="Calibri"/>
          <w:sz w:val="24"/>
          <w:szCs w:val="24"/>
        </w:rPr>
        <w:t>které</w:t>
      </w:r>
      <w:r w:rsidR="001165A0">
        <w:rPr>
          <w:rFonts w:ascii="Calibri" w:eastAsia="Calibri" w:hAnsi="Calibri" w:cs="Calibri"/>
          <w:sz w:val="24"/>
          <w:szCs w:val="24"/>
        </w:rPr>
        <w:t xml:space="preserve"> bylo </w:t>
      </w:r>
      <w:r w:rsidR="00995EA9">
        <w:rPr>
          <w:rFonts w:ascii="Calibri" w:eastAsia="Calibri" w:hAnsi="Calibri" w:cs="Calibri"/>
          <w:sz w:val="24"/>
          <w:szCs w:val="24"/>
        </w:rPr>
        <w:t>stanoveno jako cíl navýšení výdajů v předkládací zprávě</w:t>
      </w:r>
      <w:r w:rsidR="004822FE">
        <w:rPr>
          <w:rFonts w:ascii="Calibri" w:eastAsia="Calibri" w:hAnsi="Calibri" w:cs="Calibri"/>
          <w:sz w:val="24"/>
          <w:szCs w:val="24"/>
        </w:rPr>
        <w:t xml:space="preserve"> výše uvedeného usnesení vlády.</w:t>
      </w:r>
      <w:r w:rsidR="00512015">
        <w:rPr>
          <w:rFonts w:ascii="Calibri" w:eastAsia="Calibri" w:hAnsi="Calibri" w:cs="Calibri"/>
          <w:sz w:val="24"/>
          <w:szCs w:val="24"/>
        </w:rPr>
        <w:t xml:space="preserve"> </w:t>
      </w:r>
      <w:r w:rsidR="001165A0">
        <w:rPr>
          <w:rFonts w:ascii="Calibri" w:eastAsia="Calibri" w:hAnsi="Calibri" w:cs="Calibri"/>
          <w:sz w:val="24"/>
          <w:szCs w:val="24"/>
        </w:rPr>
        <w:t>Z</w:t>
      </w:r>
      <w:r w:rsidR="00512015">
        <w:rPr>
          <w:rFonts w:ascii="Calibri" w:eastAsia="Calibri" w:hAnsi="Calibri" w:cs="Calibri"/>
          <w:sz w:val="24"/>
          <w:szCs w:val="24"/>
        </w:rPr>
        <w:t>ároveň</w:t>
      </w:r>
      <w:r w:rsidRPr="003A5711">
        <w:rPr>
          <w:rFonts w:ascii="Calibri" w:eastAsia="Calibri" w:hAnsi="Calibri" w:cs="Calibri"/>
          <w:sz w:val="24"/>
          <w:szCs w:val="24"/>
        </w:rPr>
        <w:t xml:space="preserve"> </w:t>
      </w:r>
      <w:r w:rsidR="00512015">
        <w:rPr>
          <w:rFonts w:ascii="Calibri" w:eastAsia="Calibri" w:hAnsi="Calibri" w:cs="Calibri"/>
          <w:sz w:val="24"/>
          <w:szCs w:val="24"/>
        </w:rPr>
        <w:t>z</w:t>
      </w:r>
      <w:r w:rsidRPr="003A5711">
        <w:rPr>
          <w:rFonts w:ascii="Calibri" w:eastAsia="Calibri" w:hAnsi="Calibri" w:cs="Calibri"/>
          <w:sz w:val="24"/>
          <w:szCs w:val="24"/>
        </w:rPr>
        <w:t xml:space="preserve">e statistik úkonů činnosti GIBS nevyplynul ani očekávaný nárůst </w:t>
      </w:r>
      <w:r w:rsidR="0000208F">
        <w:rPr>
          <w:rFonts w:ascii="Calibri" w:eastAsia="Calibri" w:hAnsi="Calibri" w:cs="Calibri"/>
          <w:sz w:val="24"/>
          <w:szCs w:val="24"/>
        </w:rPr>
        <w:t xml:space="preserve">činnosti </w:t>
      </w:r>
      <w:r w:rsidRPr="003A5711">
        <w:rPr>
          <w:rFonts w:ascii="Calibri" w:eastAsia="Calibri" w:hAnsi="Calibri" w:cs="Calibri"/>
          <w:sz w:val="24"/>
          <w:szCs w:val="24"/>
        </w:rPr>
        <w:t>(</w:t>
      </w:r>
      <w:r w:rsidR="00460D6B">
        <w:rPr>
          <w:rFonts w:ascii="Calibri" w:eastAsia="Calibri" w:hAnsi="Calibri" w:cs="Calibri"/>
          <w:sz w:val="24"/>
          <w:szCs w:val="24"/>
        </w:rPr>
        <w:t xml:space="preserve">viz </w:t>
      </w:r>
      <w:r w:rsidRPr="003A5711">
        <w:rPr>
          <w:rFonts w:ascii="Calibri" w:eastAsia="Calibri" w:hAnsi="Calibri" w:cs="Calibri"/>
          <w:sz w:val="24"/>
          <w:szCs w:val="24"/>
        </w:rPr>
        <w:t>část IV.1.1</w:t>
      </w:r>
      <w:r w:rsidR="00460D6B">
        <w:rPr>
          <w:rFonts w:ascii="Calibri" w:eastAsia="Calibri" w:hAnsi="Calibri" w:cs="Calibri"/>
          <w:sz w:val="24"/>
          <w:szCs w:val="24"/>
        </w:rPr>
        <w:t xml:space="preserve"> tohoto kontrolního závěru</w:t>
      </w:r>
      <w:r w:rsidRPr="003A5711">
        <w:rPr>
          <w:rFonts w:ascii="Calibri" w:eastAsia="Calibri" w:hAnsi="Calibri" w:cs="Calibri"/>
          <w:sz w:val="24"/>
          <w:szCs w:val="24"/>
        </w:rPr>
        <w:t>)</w:t>
      </w:r>
      <w:r w:rsidR="00080CE2">
        <w:rPr>
          <w:rFonts w:ascii="Calibri" w:eastAsia="Calibri" w:hAnsi="Calibri" w:cs="Calibri"/>
          <w:sz w:val="24"/>
          <w:szCs w:val="24"/>
        </w:rPr>
        <w:t>, přesto</w:t>
      </w:r>
      <w:r w:rsidRPr="003A5711">
        <w:rPr>
          <w:rFonts w:ascii="Calibri" w:eastAsia="Calibri" w:hAnsi="Calibri" w:cs="Calibri"/>
          <w:sz w:val="24"/>
          <w:szCs w:val="24"/>
        </w:rPr>
        <w:t xml:space="preserve"> GIBS prostředky na navýšení systemizovaných míst</w:t>
      </w:r>
      <w:r w:rsidR="00280AED">
        <w:rPr>
          <w:rFonts w:ascii="Calibri" w:eastAsia="Calibri" w:hAnsi="Calibri" w:cs="Calibri"/>
          <w:sz w:val="24"/>
          <w:szCs w:val="24"/>
        </w:rPr>
        <w:t xml:space="preserve"> z části</w:t>
      </w:r>
      <w:r w:rsidRPr="003A5711">
        <w:rPr>
          <w:rFonts w:ascii="Calibri" w:eastAsia="Calibri" w:hAnsi="Calibri" w:cs="Calibri"/>
          <w:sz w:val="24"/>
          <w:szCs w:val="24"/>
        </w:rPr>
        <w:t xml:space="preserve"> použila na odměny stávajícím </w:t>
      </w:r>
      <w:r w:rsidRPr="003A5711">
        <w:rPr>
          <w:rFonts w:ascii="Calibri" w:eastAsia="Calibri" w:hAnsi="Calibri" w:cs="Calibri"/>
          <w:sz w:val="24"/>
          <w:szCs w:val="24"/>
        </w:rPr>
        <w:lastRenderedPageBreak/>
        <w:t>příslušníkům a zaměstnancům</w:t>
      </w:r>
      <w:r w:rsidR="006E5826">
        <w:rPr>
          <w:rFonts w:ascii="Calibri" w:eastAsia="Calibri" w:hAnsi="Calibri" w:cs="Calibri"/>
          <w:sz w:val="24"/>
          <w:szCs w:val="24"/>
        </w:rPr>
        <w:t>.</w:t>
      </w:r>
      <w:r w:rsidRPr="003A5711">
        <w:rPr>
          <w:rFonts w:ascii="Calibri" w:eastAsia="Calibri" w:hAnsi="Calibri" w:cs="Calibri"/>
          <w:sz w:val="24"/>
          <w:szCs w:val="24"/>
        </w:rPr>
        <w:t xml:space="preserve"> </w:t>
      </w:r>
      <w:r w:rsidR="006E5826">
        <w:rPr>
          <w:rFonts w:ascii="Calibri" w:eastAsia="Calibri" w:hAnsi="Calibri" w:cs="Calibri"/>
          <w:sz w:val="24"/>
          <w:szCs w:val="24"/>
        </w:rPr>
        <w:t>N</w:t>
      </w:r>
      <w:r w:rsidRPr="003A5711">
        <w:rPr>
          <w:rFonts w:ascii="Calibri" w:eastAsia="Calibri" w:hAnsi="Calibri" w:cs="Calibri"/>
          <w:sz w:val="24"/>
          <w:szCs w:val="24"/>
        </w:rPr>
        <w:t xml:space="preserve">evyužila je tak </w:t>
      </w:r>
      <w:r w:rsidR="005172ED">
        <w:rPr>
          <w:rFonts w:ascii="Calibri" w:eastAsia="Calibri" w:hAnsi="Calibri" w:cs="Calibri"/>
          <w:sz w:val="24"/>
          <w:szCs w:val="24"/>
        </w:rPr>
        <w:t xml:space="preserve">hospodárně a </w:t>
      </w:r>
      <w:r w:rsidRPr="003A5711">
        <w:rPr>
          <w:rFonts w:ascii="Calibri" w:eastAsia="Calibri" w:hAnsi="Calibri" w:cs="Calibri"/>
          <w:sz w:val="24"/>
          <w:szCs w:val="24"/>
        </w:rPr>
        <w:t xml:space="preserve">v souladu se stanoveným účelem, neboť </w:t>
      </w:r>
      <w:r w:rsidRPr="003A5711">
        <w:rPr>
          <w:rFonts w:ascii="Calibri" w:eastAsia="Calibri" w:hAnsi="Calibri"/>
          <w:bCs/>
          <w:sz w:val="24"/>
          <w:szCs w:val="24"/>
        </w:rPr>
        <w:t>navýšila odměny příslušníků a zaměstnanců v roce 2017 oproti roku 2016 o</w:t>
      </w:r>
      <w:r w:rsidR="00460D6B">
        <w:rPr>
          <w:rFonts w:ascii="Calibri" w:eastAsia="Calibri" w:hAnsi="Calibri"/>
          <w:bCs/>
          <w:sz w:val="24"/>
          <w:szCs w:val="24"/>
        </w:rPr>
        <w:t> </w:t>
      </w:r>
      <w:r w:rsidRPr="003A5711">
        <w:rPr>
          <w:rFonts w:ascii="Calibri" w:eastAsia="Calibri" w:hAnsi="Calibri"/>
          <w:bCs/>
          <w:sz w:val="24"/>
          <w:szCs w:val="24"/>
        </w:rPr>
        <w:t xml:space="preserve">102 % </w:t>
      </w:r>
      <w:r w:rsidRPr="003A5711">
        <w:rPr>
          <w:rFonts w:ascii="Calibri" w:eastAsia="Calibri" w:hAnsi="Calibri" w:cs="Calibri"/>
          <w:sz w:val="24"/>
          <w:szCs w:val="24"/>
        </w:rPr>
        <w:t>(</w:t>
      </w:r>
      <w:r w:rsidR="00460D6B">
        <w:rPr>
          <w:rFonts w:ascii="Calibri" w:eastAsia="Calibri" w:hAnsi="Calibri" w:cs="Calibri"/>
          <w:sz w:val="24"/>
          <w:szCs w:val="24"/>
        </w:rPr>
        <w:t xml:space="preserve">viz </w:t>
      </w:r>
      <w:r w:rsidRPr="003A5711">
        <w:rPr>
          <w:rFonts w:ascii="Calibri" w:eastAsia="Calibri" w:hAnsi="Calibri" w:cs="Calibri"/>
          <w:sz w:val="24"/>
          <w:szCs w:val="24"/>
        </w:rPr>
        <w:t>část IV.1.2</w:t>
      </w:r>
      <w:r w:rsidR="00460D6B">
        <w:rPr>
          <w:rFonts w:ascii="Calibri" w:eastAsia="Calibri" w:hAnsi="Calibri" w:cs="Calibri"/>
          <w:sz w:val="24"/>
          <w:szCs w:val="24"/>
        </w:rPr>
        <w:t xml:space="preserve"> tohoto kontrolního závěru</w:t>
      </w:r>
      <w:r w:rsidRPr="003A5711">
        <w:rPr>
          <w:rFonts w:ascii="Calibri" w:eastAsia="Calibri" w:hAnsi="Calibri" w:cs="Calibri"/>
          <w:sz w:val="24"/>
          <w:szCs w:val="24"/>
        </w:rPr>
        <w:t>).</w:t>
      </w:r>
    </w:p>
    <w:p w14:paraId="153FF040" w14:textId="4342DEFD" w:rsidR="003A5711" w:rsidRPr="003A5711" w:rsidRDefault="003A5711" w:rsidP="00484348">
      <w:pPr>
        <w:numPr>
          <w:ilvl w:val="0"/>
          <w:numId w:val="4"/>
        </w:numPr>
        <w:spacing w:after="120" w:line="264" w:lineRule="auto"/>
        <w:ind w:left="227" w:right="6" w:hanging="227"/>
        <w:jc w:val="both"/>
        <w:rPr>
          <w:rFonts w:ascii="Calibri" w:eastAsia="Calibri" w:hAnsi="Calibri" w:cs="Calibri"/>
          <w:color w:val="000000"/>
          <w:sz w:val="24"/>
          <w:szCs w:val="24"/>
          <w:shd w:val="clear" w:color="auto" w:fill="FFFFFF"/>
        </w:rPr>
      </w:pPr>
      <w:r w:rsidRPr="003A5711">
        <w:rPr>
          <w:rFonts w:ascii="Calibri" w:eastAsia="Calibri" w:hAnsi="Calibri" w:cs="Calibri"/>
          <w:sz w:val="24"/>
          <w:szCs w:val="24"/>
        </w:rPr>
        <w:t>GIBS patří od roku 2017 mezi kapitoly</w:t>
      </w:r>
      <w:r w:rsidR="00F26E53">
        <w:rPr>
          <w:rFonts w:ascii="Calibri" w:eastAsia="Calibri" w:hAnsi="Calibri" w:cs="Calibri"/>
          <w:sz w:val="24"/>
          <w:szCs w:val="24"/>
        </w:rPr>
        <w:t xml:space="preserve"> státního rozpočtu</w:t>
      </w:r>
      <w:r w:rsidRPr="003A5711">
        <w:rPr>
          <w:rFonts w:ascii="Calibri" w:eastAsia="Calibri" w:hAnsi="Calibri" w:cs="Calibri"/>
          <w:sz w:val="24"/>
          <w:szCs w:val="24"/>
        </w:rPr>
        <w:t xml:space="preserve">, které vyplácí nejvyšší průměrné platy ve veřejném sektoru. Průměrný plat v kapitole 376 GIBS za rok 2020 činil 67 662 Kč, </w:t>
      </w:r>
      <w:r w:rsidR="00460D6B">
        <w:rPr>
          <w:rFonts w:ascii="Calibri" w:eastAsia="Calibri" w:hAnsi="Calibri" w:cs="Calibri"/>
          <w:sz w:val="24"/>
          <w:szCs w:val="24"/>
        </w:rPr>
        <w:t xml:space="preserve">zatímco </w:t>
      </w:r>
      <w:r w:rsidRPr="003A5711">
        <w:rPr>
          <w:rFonts w:ascii="Calibri" w:eastAsia="Calibri" w:hAnsi="Calibri" w:cs="Calibri"/>
          <w:sz w:val="24"/>
          <w:szCs w:val="24"/>
        </w:rPr>
        <w:t xml:space="preserve">např. </w:t>
      </w:r>
      <w:r w:rsidR="006A40E5">
        <w:rPr>
          <w:rFonts w:ascii="Calibri" w:eastAsia="Calibri" w:hAnsi="Calibri" w:cs="Calibri"/>
          <w:sz w:val="24"/>
          <w:szCs w:val="24"/>
        </w:rPr>
        <w:t>v kapitole 314</w:t>
      </w:r>
      <w:r w:rsidR="00460D6B">
        <w:rPr>
          <w:rFonts w:ascii="Calibri" w:eastAsia="Calibri" w:hAnsi="Calibri" w:cs="Calibri"/>
          <w:sz w:val="24"/>
          <w:szCs w:val="24"/>
        </w:rPr>
        <w:t> –</w:t>
      </w:r>
      <w:r w:rsidR="006A40E5">
        <w:rPr>
          <w:rFonts w:ascii="Calibri" w:eastAsia="Calibri" w:hAnsi="Calibri" w:cs="Calibri"/>
          <w:sz w:val="24"/>
          <w:szCs w:val="24"/>
        </w:rPr>
        <w:t xml:space="preserve"> </w:t>
      </w:r>
      <w:r w:rsidR="006A40E5" w:rsidRPr="009D6D78">
        <w:rPr>
          <w:rFonts w:ascii="Calibri" w:eastAsia="Calibri" w:hAnsi="Calibri" w:cs="Calibri"/>
          <w:i/>
          <w:sz w:val="24"/>
          <w:szCs w:val="24"/>
        </w:rPr>
        <w:t>Ministerstvo vnitra</w:t>
      </w:r>
      <w:r w:rsidR="006A40E5">
        <w:rPr>
          <w:rFonts w:ascii="Calibri" w:eastAsia="Calibri" w:hAnsi="Calibri" w:cs="Calibri"/>
          <w:sz w:val="24"/>
          <w:szCs w:val="24"/>
        </w:rPr>
        <w:t xml:space="preserve"> </w:t>
      </w:r>
      <w:r w:rsidR="00460D6B">
        <w:rPr>
          <w:rFonts w:ascii="Calibri" w:eastAsia="Calibri" w:hAnsi="Calibri" w:cs="Calibri"/>
          <w:sz w:val="24"/>
          <w:szCs w:val="24"/>
        </w:rPr>
        <w:t xml:space="preserve">činil </w:t>
      </w:r>
      <w:r w:rsidR="006A40E5">
        <w:rPr>
          <w:rFonts w:ascii="Calibri" w:eastAsia="Calibri" w:hAnsi="Calibri" w:cs="Calibri"/>
          <w:sz w:val="24"/>
          <w:szCs w:val="24"/>
        </w:rPr>
        <w:t xml:space="preserve"> 46 383 Kč, </w:t>
      </w:r>
      <w:r w:rsidR="007C3E0C">
        <w:rPr>
          <w:rFonts w:ascii="Calibri" w:eastAsia="Calibri" w:hAnsi="Calibri" w:cs="Calibri"/>
          <w:sz w:val="24"/>
          <w:szCs w:val="24"/>
        </w:rPr>
        <w:t>v kapitole 358</w:t>
      </w:r>
      <w:r w:rsidR="00460D6B">
        <w:rPr>
          <w:rFonts w:ascii="Calibri" w:eastAsia="Calibri" w:hAnsi="Calibri" w:cs="Calibri"/>
          <w:sz w:val="24"/>
          <w:szCs w:val="24"/>
        </w:rPr>
        <w:t xml:space="preserve"> –</w:t>
      </w:r>
      <w:r w:rsidR="007C3E0C">
        <w:rPr>
          <w:rFonts w:ascii="Calibri" w:eastAsia="Calibri" w:hAnsi="Calibri" w:cs="Calibri"/>
          <w:sz w:val="24"/>
          <w:szCs w:val="24"/>
        </w:rPr>
        <w:t xml:space="preserve"> </w:t>
      </w:r>
      <w:r w:rsidR="007C3E0C" w:rsidRPr="009D6D78">
        <w:rPr>
          <w:rFonts w:ascii="Calibri" w:eastAsia="Calibri" w:hAnsi="Calibri" w:cs="Calibri"/>
          <w:i/>
          <w:sz w:val="24"/>
          <w:szCs w:val="24"/>
        </w:rPr>
        <w:t>Ústavní soud</w:t>
      </w:r>
      <w:r w:rsidR="007C3E0C">
        <w:rPr>
          <w:rFonts w:ascii="Calibri" w:eastAsia="Calibri" w:hAnsi="Calibri" w:cs="Calibri"/>
          <w:sz w:val="24"/>
          <w:szCs w:val="24"/>
        </w:rPr>
        <w:t xml:space="preserve"> </w:t>
      </w:r>
      <w:r w:rsidR="00460D6B">
        <w:rPr>
          <w:rFonts w:ascii="Calibri" w:eastAsia="Calibri" w:hAnsi="Calibri" w:cs="Calibri"/>
          <w:sz w:val="24"/>
          <w:szCs w:val="24"/>
        </w:rPr>
        <w:t>činil</w:t>
      </w:r>
      <w:r w:rsidRPr="003A5711">
        <w:rPr>
          <w:rFonts w:ascii="Calibri" w:eastAsia="Calibri" w:hAnsi="Calibri" w:cs="Calibri"/>
          <w:sz w:val="24"/>
          <w:szCs w:val="24"/>
        </w:rPr>
        <w:t xml:space="preserve"> 50</w:t>
      </w:r>
      <w:r w:rsidR="00484348">
        <w:rPr>
          <w:rFonts w:ascii="Calibri" w:eastAsia="Calibri" w:hAnsi="Calibri" w:cs="Calibri"/>
          <w:sz w:val="24"/>
          <w:szCs w:val="24"/>
        </w:rPr>
        <w:t> </w:t>
      </w:r>
      <w:r w:rsidRPr="003A5711">
        <w:rPr>
          <w:rFonts w:ascii="Calibri" w:eastAsia="Calibri" w:hAnsi="Calibri" w:cs="Calibri"/>
          <w:sz w:val="24"/>
          <w:szCs w:val="24"/>
        </w:rPr>
        <w:t>164</w:t>
      </w:r>
      <w:r w:rsidR="00484348">
        <w:rPr>
          <w:rFonts w:ascii="Calibri" w:eastAsia="Calibri" w:hAnsi="Calibri" w:cs="Calibri"/>
          <w:sz w:val="24"/>
          <w:szCs w:val="24"/>
        </w:rPr>
        <w:t> </w:t>
      </w:r>
      <w:r w:rsidRPr="003A5711">
        <w:rPr>
          <w:rFonts w:ascii="Calibri" w:eastAsia="Calibri" w:hAnsi="Calibri" w:cs="Calibri"/>
          <w:sz w:val="24"/>
          <w:szCs w:val="24"/>
        </w:rPr>
        <w:t>Kč nebo kapitole 353</w:t>
      </w:r>
      <w:r w:rsidR="00460D6B">
        <w:rPr>
          <w:rFonts w:ascii="Calibri" w:eastAsia="Calibri" w:hAnsi="Calibri" w:cs="Calibri"/>
          <w:sz w:val="24"/>
          <w:szCs w:val="24"/>
        </w:rPr>
        <w:t xml:space="preserve"> –</w:t>
      </w:r>
      <w:r w:rsidRPr="003A5711">
        <w:rPr>
          <w:rFonts w:ascii="Calibri" w:eastAsia="Calibri" w:hAnsi="Calibri" w:cs="Calibri"/>
          <w:sz w:val="24"/>
          <w:szCs w:val="24"/>
        </w:rPr>
        <w:t xml:space="preserve"> </w:t>
      </w:r>
      <w:r w:rsidRPr="009D6D78">
        <w:rPr>
          <w:rFonts w:ascii="Calibri" w:eastAsia="Calibri" w:hAnsi="Calibri" w:cs="Calibri"/>
          <w:i/>
          <w:sz w:val="24"/>
          <w:szCs w:val="24"/>
        </w:rPr>
        <w:t>Úřad p</w:t>
      </w:r>
      <w:r w:rsidR="007C3E0C" w:rsidRPr="009D6D78">
        <w:rPr>
          <w:rFonts w:ascii="Calibri" w:eastAsia="Calibri" w:hAnsi="Calibri" w:cs="Calibri"/>
          <w:i/>
          <w:sz w:val="24"/>
          <w:szCs w:val="24"/>
        </w:rPr>
        <w:t>ro ochranu hospodářské soutěže</w:t>
      </w:r>
      <w:r w:rsidR="007C3E0C">
        <w:rPr>
          <w:rFonts w:ascii="Calibri" w:eastAsia="Calibri" w:hAnsi="Calibri" w:cs="Calibri"/>
          <w:sz w:val="24"/>
          <w:szCs w:val="24"/>
        </w:rPr>
        <w:t xml:space="preserve"> </w:t>
      </w:r>
      <w:r w:rsidR="00460D6B">
        <w:rPr>
          <w:rFonts w:ascii="Calibri" w:eastAsia="Calibri" w:hAnsi="Calibri" w:cs="Calibri"/>
          <w:sz w:val="24"/>
          <w:szCs w:val="24"/>
        </w:rPr>
        <w:t>činil</w:t>
      </w:r>
      <w:r w:rsidRPr="003A5711">
        <w:rPr>
          <w:rFonts w:ascii="Calibri" w:eastAsia="Calibri" w:hAnsi="Calibri" w:cs="Calibri"/>
          <w:sz w:val="24"/>
          <w:szCs w:val="24"/>
        </w:rPr>
        <w:t xml:space="preserve"> 48</w:t>
      </w:r>
      <w:r w:rsidR="00460D6B">
        <w:rPr>
          <w:rFonts w:ascii="Calibri" w:eastAsia="Calibri" w:hAnsi="Calibri" w:cs="Calibri"/>
          <w:sz w:val="24"/>
          <w:szCs w:val="24"/>
        </w:rPr>
        <w:t> 999 </w:t>
      </w:r>
      <w:r w:rsidRPr="003A5711">
        <w:rPr>
          <w:rFonts w:ascii="Calibri" w:eastAsia="Calibri" w:hAnsi="Calibri" w:cs="Calibri"/>
          <w:sz w:val="24"/>
          <w:szCs w:val="24"/>
        </w:rPr>
        <w:t>Kč</w:t>
      </w:r>
      <w:r w:rsidRPr="003A5711">
        <w:rPr>
          <w:rFonts w:ascii="Calibri" w:eastAsia="Calibri" w:hAnsi="Calibri" w:cs="Calibri"/>
          <w:sz w:val="24"/>
          <w:szCs w:val="24"/>
          <w:vertAlign w:val="superscript"/>
        </w:rPr>
        <w:footnoteReference w:id="8"/>
      </w:r>
      <w:r w:rsidRPr="003A5711">
        <w:rPr>
          <w:rFonts w:ascii="Calibri" w:eastAsia="Calibri" w:hAnsi="Calibri" w:cs="Calibri"/>
          <w:sz w:val="24"/>
          <w:szCs w:val="24"/>
        </w:rPr>
        <w:t>. Na základě požadavků GIBS se postupně průměrný plat příslušníků, resp.</w:t>
      </w:r>
      <w:r w:rsidR="00460D6B">
        <w:rPr>
          <w:rFonts w:ascii="Calibri" w:eastAsia="Calibri" w:hAnsi="Calibri" w:cs="Calibri"/>
          <w:sz w:val="24"/>
          <w:szCs w:val="24"/>
        </w:rPr>
        <w:t> </w:t>
      </w:r>
      <w:r w:rsidRPr="003A5711">
        <w:rPr>
          <w:rFonts w:ascii="Calibri" w:eastAsia="Calibri" w:hAnsi="Calibri" w:cs="Calibri"/>
          <w:sz w:val="24"/>
          <w:szCs w:val="24"/>
        </w:rPr>
        <w:t>zaměstnanců GIBS</w:t>
      </w:r>
      <w:r w:rsidR="008813E6">
        <w:rPr>
          <w:rFonts w:ascii="Calibri" w:eastAsia="Calibri" w:hAnsi="Calibri" w:cs="Calibri"/>
          <w:sz w:val="24"/>
          <w:szCs w:val="24"/>
        </w:rPr>
        <w:t>,</w:t>
      </w:r>
      <w:r w:rsidRPr="003A5711">
        <w:rPr>
          <w:rFonts w:ascii="Calibri" w:eastAsia="Calibri" w:hAnsi="Calibri" w:cs="Calibri"/>
          <w:sz w:val="24"/>
          <w:szCs w:val="24"/>
        </w:rPr>
        <w:t xml:space="preserve"> zvýšil v roce 2020 v porovnání s rokem 2016 o více než 45 %, resp. 38 %. </w:t>
      </w:r>
      <w:r w:rsidR="002E1310">
        <w:rPr>
          <w:rFonts w:ascii="Calibri" w:eastAsia="Calibri" w:hAnsi="Calibri" w:cs="Calibri"/>
          <w:sz w:val="24"/>
          <w:szCs w:val="24"/>
        </w:rPr>
        <w:t>NKÚ vyhodnotil navyšování platů GIBS jako neúčelné, neboť GIBS v návaznosti na zajištění cíle konkurenceschopnosti na trhu práce</w:t>
      </w:r>
      <w:r w:rsidR="002E1310">
        <w:rPr>
          <w:rFonts w:ascii="Calibri" w:eastAsia="Calibri" w:hAnsi="Calibri" w:cs="Calibri"/>
          <w:color w:val="000000"/>
          <w:sz w:val="24"/>
          <w:szCs w:val="24"/>
          <w:shd w:val="clear" w:color="auto" w:fill="FFFFFF"/>
        </w:rPr>
        <w:t xml:space="preserve"> </w:t>
      </w:r>
      <w:r w:rsidR="002E1310">
        <w:rPr>
          <w:rFonts w:ascii="Calibri" w:eastAsia="Calibri" w:hAnsi="Calibri" w:cs="Calibri"/>
          <w:sz w:val="24"/>
          <w:szCs w:val="24"/>
        </w:rPr>
        <w:t xml:space="preserve">průkazně nedoložila oprávněnost svých potřeb </w:t>
      </w:r>
      <w:r w:rsidR="008960CC">
        <w:rPr>
          <w:rFonts w:ascii="Calibri" w:eastAsia="Calibri" w:hAnsi="Calibri" w:cs="Calibri"/>
          <w:sz w:val="24"/>
          <w:szCs w:val="24"/>
        </w:rPr>
        <w:t>a </w:t>
      </w:r>
      <w:r w:rsidR="002E1310">
        <w:rPr>
          <w:rFonts w:ascii="Calibri" w:eastAsia="Calibri" w:hAnsi="Calibri" w:cs="Calibri"/>
          <w:sz w:val="24"/>
          <w:szCs w:val="24"/>
        </w:rPr>
        <w:t>nezohlednila vývoj průměrných platů ve veřejném sektoru</w:t>
      </w:r>
      <w:r w:rsidR="00AC3B54">
        <w:rPr>
          <w:rFonts w:ascii="Calibri" w:eastAsia="Calibri" w:hAnsi="Calibri" w:cs="Calibri"/>
          <w:sz w:val="24"/>
          <w:szCs w:val="24"/>
        </w:rPr>
        <w:t>,</w:t>
      </w:r>
      <w:r w:rsidR="002E1310">
        <w:rPr>
          <w:rFonts w:ascii="Calibri" w:eastAsia="Calibri" w:hAnsi="Calibri" w:cs="Calibri"/>
          <w:sz w:val="24"/>
          <w:szCs w:val="24"/>
        </w:rPr>
        <w:t xml:space="preserve"> ačkoliv již v době předložení požadavků patřila mezi rozpočtové kapitoly s nejvyšším průměrným platem (</w:t>
      </w:r>
      <w:r w:rsidR="008813E6">
        <w:rPr>
          <w:rFonts w:ascii="Calibri" w:eastAsia="Calibri" w:hAnsi="Calibri" w:cs="Calibri"/>
          <w:sz w:val="24"/>
          <w:szCs w:val="24"/>
        </w:rPr>
        <w:t xml:space="preserve">viz </w:t>
      </w:r>
      <w:r w:rsidR="002E1310">
        <w:rPr>
          <w:rFonts w:ascii="Calibri" w:eastAsia="Calibri" w:hAnsi="Calibri" w:cs="Calibri"/>
          <w:sz w:val="24"/>
          <w:szCs w:val="24"/>
        </w:rPr>
        <w:t>část IV.2.1</w:t>
      </w:r>
      <w:r w:rsidR="008813E6">
        <w:rPr>
          <w:rFonts w:ascii="Calibri" w:eastAsia="Calibri" w:hAnsi="Calibri" w:cs="Calibri"/>
          <w:sz w:val="24"/>
          <w:szCs w:val="24"/>
        </w:rPr>
        <w:t xml:space="preserve"> tohoto kontrolního závěru</w:t>
      </w:r>
      <w:r w:rsidR="002E1310">
        <w:rPr>
          <w:rFonts w:ascii="Calibri" w:eastAsia="Calibri" w:hAnsi="Calibri" w:cs="Calibri"/>
          <w:sz w:val="24"/>
          <w:szCs w:val="24"/>
        </w:rPr>
        <w:t xml:space="preserve">). </w:t>
      </w:r>
      <w:r w:rsidR="007C3E0C">
        <w:rPr>
          <w:rFonts w:ascii="Calibri" w:eastAsia="Calibri" w:hAnsi="Calibri" w:cs="Calibri"/>
          <w:sz w:val="24"/>
          <w:szCs w:val="24"/>
        </w:rPr>
        <w:t>I </w:t>
      </w:r>
      <w:r w:rsidRPr="003A5711">
        <w:rPr>
          <w:rFonts w:ascii="Calibri" w:eastAsia="Calibri" w:hAnsi="Calibri" w:cs="Calibri"/>
          <w:sz w:val="24"/>
          <w:szCs w:val="24"/>
        </w:rPr>
        <w:t xml:space="preserve">přes navyšování průměrných platů </w:t>
      </w:r>
      <w:r w:rsidRPr="003A5711">
        <w:rPr>
          <w:rFonts w:ascii="Calibri" w:eastAsia="Calibri" w:hAnsi="Calibri"/>
          <w:sz w:val="24"/>
          <w:szCs w:val="24"/>
        </w:rPr>
        <w:t>docházelo</w:t>
      </w:r>
      <w:r w:rsidRPr="003A5711" w:rsidDel="00EC54A0">
        <w:rPr>
          <w:rFonts w:ascii="Calibri" w:eastAsia="Calibri" w:hAnsi="Calibri" w:cs="Calibri"/>
          <w:sz w:val="24"/>
          <w:szCs w:val="24"/>
        </w:rPr>
        <w:t xml:space="preserve"> </w:t>
      </w:r>
      <w:r w:rsidRPr="003A5711">
        <w:rPr>
          <w:rFonts w:ascii="Calibri" w:eastAsia="Calibri" w:hAnsi="Calibri" w:cs="Calibri"/>
          <w:sz w:val="24"/>
          <w:szCs w:val="24"/>
        </w:rPr>
        <w:t xml:space="preserve">v kontrolovaném období </w:t>
      </w:r>
      <w:r w:rsidRPr="003A5711">
        <w:rPr>
          <w:rFonts w:ascii="Calibri" w:eastAsia="Calibri" w:hAnsi="Calibri"/>
          <w:sz w:val="24"/>
          <w:szCs w:val="24"/>
        </w:rPr>
        <w:t>k vysoké fluktuaci příslušníků GIBS</w:t>
      </w:r>
      <w:r w:rsidR="005172ED">
        <w:rPr>
          <w:rFonts w:ascii="Calibri" w:eastAsia="Calibri" w:hAnsi="Calibri"/>
          <w:sz w:val="24"/>
          <w:szCs w:val="24"/>
        </w:rPr>
        <w:t>.</w:t>
      </w:r>
      <w:r w:rsidRPr="003A5711">
        <w:rPr>
          <w:rFonts w:ascii="Calibri" w:eastAsia="Calibri" w:hAnsi="Calibri"/>
          <w:sz w:val="24"/>
          <w:szCs w:val="24"/>
        </w:rPr>
        <w:t xml:space="preserve"> </w:t>
      </w:r>
      <w:r w:rsidR="005172ED">
        <w:rPr>
          <w:rFonts w:ascii="Calibri" w:eastAsia="Calibri" w:hAnsi="Calibri"/>
          <w:sz w:val="24"/>
          <w:szCs w:val="24"/>
        </w:rPr>
        <w:t>N</w:t>
      </w:r>
      <w:r w:rsidR="00BF1E69">
        <w:rPr>
          <w:rFonts w:ascii="Calibri" w:eastAsia="Calibri" w:hAnsi="Calibri"/>
          <w:sz w:val="24"/>
          <w:szCs w:val="24"/>
        </w:rPr>
        <w:t>avyšování průměrných platů neve</w:t>
      </w:r>
      <w:r w:rsidR="008960CC">
        <w:rPr>
          <w:rFonts w:ascii="Calibri" w:eastAsia="Calibri" w:hAnsi="Calibri"/>
          <w:sz w:val="24"/>
          <w:szCs w:val="24"/>
        </w:rPr>
        <w:t>dlo ke stabilizaci sboru GIBS a </w:t>
      </w:r>
      <w:r w:rsidR="00BF1E69">
        <w:rPr>
          <w:rFonts w:ascii="Calibri" w:eastAsia="Calibri" w:hAnsi="Calibri"/>
          <w:sz w:val="24"/>
          <w:szCs w:val="24"/>
        </w:rPr>
        <w:t xml:space="preserve">fluktuace se </w:t>
      </w:r>
      <w:r w:rsidR="00B52F9B">
        <w:rPr>
          <w:rFonts w:ascii="Calibri" w:eastAsia="Calibri" w:hAnsi="Calibri"/>
          <w:sz w:val="24"/>
          <w:szCs w:val="24"/>
        </w:rPr>
        <w:t>významně</w:t>
      </w:r>
      <w:r w:rsidR="00B52F9B" w:rsidRPr="003A5711">
        <w:rPr>
          <w:rFonts w:ascii="Calibri" w:eastAsia="Calibri" w:hAnsi="Calibri"/>
          <w:sz w:val="24"/>
          <w:szCs w:val="24"/>
        </w:rPr>
        <w:t xml:space="preserve"> </w:t>
      </w:r>
      <w:r w:rsidRPr="003A5711">
        <w:rPr>
          <w:rFonts w:ascii="Calibri" w:eastAsia="Calibri" w:hAnsi="Calibri"/>
          <w:sz w:val="24"/>
          <w:szCs w:val="24"/>
        </w:rPr>
        <w:t xml:space="preserve">promítla do růstu </w:t>
      </w:r>
      <w:r w:rsidR="009A439D">
        <w:rPr>
          <w:rFonts w:ascii="Calibri" w:eastAsia="Calibri" w:hAnsi="Calibri"/>
          <w:sz w:val="24"/>
          <w:szCs w:val="24"/>
        </w:rPr>
        <w:t xml:space="preserve">celkového objemu </w:t>
      </w:r>
      <w:r w:rsidRPr="003A5711">
        <w:rPr>
          <w:rFonts w:ascii="Calibri" w:eastAsia="Calibri" w:hAnsi="Calibri"/>
          <w:sz w:val="24"/>
          <w:szCs w:val="24"/>
        </w:rPr>
        <w:t>vypláceného výsluhového příspěvku</w:t>
      </w:r>
      <w:r w:rsidRPr="003A5711">
        <w:rPr>
          <w:color w:val="000000"/>
          <w:shd w:val="clear" w:color="auto" w:fill="FFFFFF"/>
          <w:vertAlign w:val="superscript"/>
        </w:rPr>
        <w:footnoteReference w:id="9"/>
      </w:r>
      <w:r w:rsidRPr="003A5711">
        <w:rPr>
          <w:rFonts w:ascii="Calibri" w:eastAsia="Calibri" w:hAnsi="Calibri"/>
          <w:sz w:val="24"/>
          <w:szCs w:val="24"/>
        </w:rPr>
        <w:t xml:space="preserve">. Ten </w:t>
      </w:r>
      <w:r w:rsidRPr="003A5711">
        <w:rPr>
          <w:rFonts w:ascii="Calibri" w:eastAsia="Calibri" w:hAnsi="Calibri" w:cs="Calibri"/>
          <w:color w:val="000000"/>
          <w:sz w:val="24"/>
          <w:szCs w:val="24"/>
          <w:shd w:val="clear" w:color="auto" w:fill="FFFFFF"/>
        </w:rPr>
        <w:t>vzrostl v </w:t>
      </w:r>
      <w:r w:rsidR="008813E6">
        <w:rPr>
          <w:rFonts w:ascii="Calibri" w:eastAsia="Calibri" w:hAnsi="Calibri" w:cs="Calibri"/>
          <w:color w:val="000000"/>
          <w:sz w:val="24"/>
          <w:szCs w:val="24"/>
          <w:shd w:val="clear" w:color="auto" w:fill="FFFFFF"/>
        </w:rPr>
        <w:t>roce 2020 až na 42 mil. Kč, tj. </w:t>
      </w:r>
      <w:r w:rsidRPr="003A5711">
        <w:rPr>
          <w:rFonts w:ascii="Calibri" w:eastAsia="Calibri" w:hAnsi="Calibri" w:cs="Calibri"/>
          <w:color w:val="000000"/>
          <w:sz w:val="24"/>
          <w:szCs w:val="24"/>
          <w:shd w:val="clear" w:color="auto" w:fill="FFFFFF"/>
        </w:rPr>
        <w:t>o</w:t>
      </w:r>
      <w:r w:rsidR="008813E6">
        <w:rPr>
          <w:rFonts w:ascii="Calibri" w:eastAsia="Calibri" w:hAnsi="Calibri" w:cs="Calibri"/>
          <w:color w:val="000000"/>
          <w:sz w:val="24"/>
          <w:szCs w:val="24"/>
          <w:shd w:val="clear" w:color="auto" w:fill="FFFFFF"/>
        </w:rPr>
        <w:t> 211 </w:t>
      </w:r>
      <w:r w:rsidRPr="003A5711">
        <w:rPr>
          <w:rFonts w:ascii="Calibri" w:eastAsia="Calibri" w:hAnsi="Calibri" w:cs="Calibri"/>
          <w:color w:val="000000"/>
          <w:sz w:val="24"/>
          <w:szCs w:val="24"/>
          <w:shd w:val="clear" w:color="auto" w:fill="FFFFFF"/>
        </w:rPr>
        <w:t>% více</w:t>
      </w:r>
      <w:r w:rsidR="008813E6">
        <w:rPr>
          <w:rFonts w:ascii="Calibri" w:eastAsia="Calibri" w:hAnsi="Calibri" w:cs="Calibri"/>
          <w:color w:val="000000"/>
          <w:sz w:val="24"/>
          <w:szCs w:val="24"/>
          <w:shd w:val="clear" w:color="auto" w:fill="FFFFFF"/>
        </w:rPr>
        <w:t>,</w:t>
      </w:r>
      <w:r w:rsidRPr="003A5711">
        <w:rPr>
          <w:rFonts w:ascii="Calibri" w:eastAsia="Calibri" w:hAnsi="Calibri" w:cs="Calibri"/>
          <w:color w:val="000000"/>
          <w:sz w:val="24"/>
          <w:szCs w:val="24"/>
          <w:shd w:val="clear" w:color="auto" w:fill="FFFFFF"/>
        </w:rPr>
        <w:t xml:space="preserve"> než činil v roce 2017. Č</w:t>
      </w:r>
      <w:r w:rsidRPr="003A5711">
        <w:rPr>
          <w:sz w:val="24"/>
          <w:szCs w:val="24"/>
        </w:rPr>
        <w:t xml:space="preserve">etnost odchodů a výše výsluhového příspěvku v návaznosti na zvyšování platů </w:t>
      </w:r>
      <w:r w:rsidR="008960CC">
        <w:rPr>
          <w:sz w:val="24"/>
          <w:szCs w:val="24"/>
        </w:rPr>
        <w:t>přispěla k </w:t>
      </w:r>
      <w:r w:rsidR="00253E56">
        <w:rPr>
          <w:sz w:val="24"/>
          <w:szCs w:val="24"/>
        </w:rPr>
        <w:t>rů</w:t>
      </w:r>
      <w:r w:rsidRPr="003A5711">
        <w:rPr>
          <w:sz w:val="24"/>
          <w:szCs w:val="24"/>
        </w:rPr>
        <w:t>st</w:t>
      </w:r>
      <w:r w:rsidR="00253E56">
        <w:rPr>
          <w:sz w:val="24"/>
          <w:szCs w:val="24"/>
        </w:rPr>
        <w:t>u</w:t>
      </w:r>
      <w:r w:rsidRPr="003A5711">
        <w:rPr>
          <w:sz w:val="24"/>
          <w:szCs w:val="24"/>
        </w:rPr>
        <w:t xml:space="preserve"> výdajů GIBS v kontrolovaném období (</w:t>
      </w:r>
      <w:r w:rsidR="008813E6">
        <w:rPr>
          <w:sz w:val="24"/>
          <w:szCs w:val="24"/>
        </w:rPr>
        <w:t xml:space="preserve">viz </w:t>
      </w:r>
      <w:r w:rsidRPr="003A5711">
        <w:rPr>
          <w:sz w:val="24"/>
          <w:szCs w:val="24"/>
        </w:rPr>
        <w:t>část IV.2.2</w:t>
      </w:r>
      <w:r w:rsidR="008813E6">
        <w:rPr>
          <w:sz w:val="24"/>
          <w:szCs w:val="24"/>
        </w:rPr>
        <w:t xml:space="preserve"> tohoto kontrolního závěru</w:t>
      </w:r>
      <w:r w:rsidRPr="003A5711">
        <w:rPr>
          <w:sz w:val="24"/>
          <w:szCs w:val="24"/>
        </w:rPr>
        <w:t>).</w:t>
      </w:r>
    </w:p>
    <w:p w14:paraId="50F07BED" w14:textId="39DFF112" w:rsidR="003A5711" w:rsidRPr="00221DB1" w:rsidRDefault="003A5711" w:rsidP="00484348">
      <w:pPr>
        <w:numPr>
          <w:ilvl w:val="0"/>
          <w:numId w:val="4"/>
        </w:numPr>
        <w:spacing w:after="120" w:line="264" w:lineRule="auto"/>
        <w:ind w:left="227" w:hanging="227"/>
        <w:jc w:val="both"/>
        <w:rPr>
          <w:rFonts w:ascii="Calibri" w:eastAsia="Times New Roman" w:hAnsi="Calibri" w:cs="Times New Roman"/>
          <w:sz w:val="24"/>
          <w:szCs w:val="24"/>
        </w:rPr>
      </w:pPr>
      <w:r w:rsidRPr="003A5711">
        <w:rPr>
          <w:rFonts w:ascii="Calibri" w:eastAsia="Calibri" w:hAnsi="Calibri"/>
          <w:bCs/>
          <w:sz w:val="24"/>
          <w:szCs w:val="24"/>
        </w:rPr>
        <w:t>Při kontrole dokumentace programů reprodukce majetku zjistil</w:t>
      </w:r>
      <w:r w:rsidR="0071320E" w:rsidRPr="0071320E">
        <w:rPr>
          <w:rFonts w:ascii="Calibri" w:eastAsia="Calibri" w:hAnsi="Calibri"/>
          <w:bCs/>
          <w:sz w:val="24"/>
          <w:szCs w:val="24"/>
        </w:rPr>
        <w:t xml:space="preserve"> </w:t>
      </w:r>
      <w:r w:rsidR="0071320E" w:rsidRPr="003A5711">
        <w:rPr>
          <w:rFonts w:ascii="Calibri" w:eastAsia="Calibri" w:hAnsi="Calibri"/>
          <w:bCs/>
          <w:sz w:val="24"/>
          <w:szCs w:val="24"/>
        </w:rPr>
        <w:t>NKÚ</w:t>
      </w:r>
      <w:r w:rsidRPr="003A5711">
        <w:rPr>
          <w:rFonts w:ascii="Calibri" w:eastAsia="Calibri" w:hAnsi="Calibri"/>
          <w:bCs/>
          <w:sz w:val="24"/>
          <w:szCs w:val="24"/>
        </w:rPr>
        <w:t xml:space="preserve">, že </w:t>
      </w:r>
      <w:r w:rsidRPr="003A5711">
        <w:rPr>
          <w:rFonts w:ascii="Calibri" w:eastAsia="Calibri" w:hAnsi="Calibri" w:cs="Calibri"/>
          <w:color w:val="000000"/>
          <w:sz w:val="24"/>
          <w:szCs w:val="24"/>
          <w:lang w:eastAsia="cs-CZ"/>
        </w:rPr>
        <w:t xml:space="preserve">GIBS stanovila jako ukazatel </w:t>
      </w:r>
      <w:r w:rsidRPr="003A5711">
        <w:rPr>
          <w:rFonts w:ascii="Calibri" w:eastAsia="Times New Roman" w:hAnsi="Calibri" w:cs="Times New Roman"/>
          <w:sz w:val="24"/>
          <w:szCs w:val="24"/>
        </w:rPr>
        <w:t xml:space="preserve">plnění cíle programů (věcný indikátor) </w:t>
      </w:r>
      <w:r w:rsidRPr="009D6D78">
        <w:rPr>
          <w:rFonts w:ascii="Calibri" w:eastAsia="Times New Roman" w:hAnsi="Calibri" w:cs="Times New Roman"/>
          <w:sz w:val="24"/>
          <w:szCs w:val="24"/>
        </w:rPr>
        <w:t>„</w:t>
      </w:r>
      <w:r w:rsidR="0071320E" w:rsidRPr="009D6D78">
        <w:rPr>
          <w:rFonts w:ascii="Calibri" w:eastAsia="Times New Roman" w:hAnsi="Calibri" w:cs="Times New Roman"/>
          <w:sz w:val="24"/>
          <w:szCs w:val="24"/>
        </w:rPr>
        <w:t>p</w:t>
      </w:r>
      <w:r w:rsidRPr="009D6D78">
        <w:rPr>
          <w:rFonts w:ascii="Calibri" w:eastAsia="Times New Roman" w:hAnsi="Calibri" w:cs="Times New Roman"/>
          <w:sz w:val="24"/>
          <w:szCs w:val="24"/>
        </w:rPr>
        <w:t xml:space="preserve">řijetí výročních zpráv </w:t>
      </w:r>
      <w:r w:rsidR="0071320E" w:rsidRPr="009D6D78">
        <w:rPr>
          <w:rFonts w:ascii="Calibri" w:eastAsia="Times New Roman" w:hAnsi="Calibri" w:cs="Times New Roman"/>
          <w:sz w:val="24"/>
          <w:szCs w:val="24"/>
        </w:rPr>
        <w:t>v</w:t>
      </w:r>
      <w:r w:rsidRPr="009D6D78">
        <w:rPr>
          <w:rFonts w:ascii="Calibri" w:eastAsia="Times New Roman" w:hAnsi="Calibri" w:cs="Times New Roman"/>
          <w:sz w:val="24"/>
          <w:szCs w:val="24"/>
        </w:rPr>
        <w:t>ládou ČR“</w:t>
      </w:r>
      <w:r w:rsidRPr="003A5711">
        <w:rPr>
          <w:rFonts w:ascii="Calibri" w:eastAsia="Times New Roman" w:hAnsi="Calibri" w:cs="Times New Roman"/>
          <w:iCs/>
          <w:sz w:val="24"/>
          <w:szCs w:val="24"/>
        </w:rPr>
        <w:t xml:space="preserve">, což je ukazatel, pomocí něhož nelze úspěšnost realizace programů, resp. investičních akcí </w:t>
      </w:r>
      <w:r w:rsidRPr="003A5711">
        <w:rPr>
          <w:rFonts w:ascii="Calibri" w:eastAsia="Times New Roman" w:hAnsi="Calibri" w:cs="Times New Roman"/>
          <w:sz w:val="24"/>
          <w:szCs w:val="24"/>
        </w:rPr>
        <w:t xml:space="preserve">kvalitativně ani kvantitativně vyhodnotit </w:t>
      </w:r>
      <w:r w:rsidRPr="003A5711">
        <w:rPr>
          <w:rFonts w:ascii="Calibri" w:eastAsia="Times New Roman" w:hAnsi="Calibri" w:cs="Calibri"/>
          <w:noProof/>
          <w:sz w:val="24"/>
          <w:szCs w:val="24"/>
        </w:rPr>
        <w:t>(</w:t>
      </w:r>
      <w:r w:rsidR="0071320E">
        <w:rPr>
          <w:rFonts w:ascii="Calibri" w:eastAsia="Times New Roman" w:hAnsi="Calibri" w:cs="Calibri"/>
          <w:noProof/>
          <w:sz w:val="24"/>
          <w:szCs w:val="24"/>
        </w:rPr>
        <w:t xml:space="preserve">viz </w:t>
      </w:r>
      <w:r w:rsidRPr="003A5711">
        <w:rPr>
          <w:rFonts w:ascii="Calibri" w:eastAsia="Times New Roman" w:hAnsi="Calibri" w:cs="Calibri"/>
          <w:noProof/>
          <w:sz w:val="24"/>
          <w:szCs w:val="24"/>
        </w:rPr>
        <w:t>část IV.3.1</w:t>
      </w:r>
      <w:r w:rsidR="0071320E">
        <w:rPr>
          <w:rFonts w:ascii="Calibri" w:eastAsia="Times New Roman" w:hAnsi="Calibri" w:cs="Calibri"/>
          <w:noProof/>
          <w:sz w:val="24"/>
          <w:szCs w:val="24"/>
        </w:rPr>
        <w:t xml:space="preserve"> tohoto kontrolního závěru</w:t>
      </w:r>
      <w:r w:rsidRPr="003A5711">
        <w:rPr>
          <w:rFonts w:ascii="Calibri" w:eastAsia="Times New Roman" w:hAnsi="Calibri" w:cs="Calibri"/>
          <w:noProof/>
          <w:sz w:val="24"/>
          <w:szCs w:val="24"/>
        </w:rPr>
        <w:t>)</w:t>
      </w:r>
      <w:r w:rsidRPr="003A5711">
        <w:rPr>
          <w:rFonts w:ascii="Calibri" w:eastAsia="Times New Roman" w:hAnsi="Calibri" w:cs="Times New Roman"/>
          <w:sz w:val="24"/>
          <w:szCs w:val="24"/>
        </w:rPr>
        <w:t xml:space="preserve">. NKÚ zároveň zjistil, že </w:t>
      </w:r>
      <w:r w:rsidR="00385DB1">
        <w:rPr>
          <w:rFonts w:ascii="Calibri" w:eastAsia="Times New Roman" w:hAnsi="Calibri" w:cs="Calibri"/>
          <w:noProof/>
          <w:sz w:val="24"/>
          <w:szCs w:val="24"/>
        </w:rPr>
        <w:t>GIBS z </w:t>
      </w:r>
      <w:r w:rsidRPr="003A5711">
        <w:rPr>
          <w:rFonts w:ascii="Calibri" w:eastAsia="Times New Roman" w:hAnsi="Calibri" w:cs="Calibri"/>
          <w:noProof/>
          <w:sz w:val="24"/>
          <w:szCs w:val="24"/>
        </w:rPr>
        <w:t>programu 176 100 vyčerpala pouze 54 % alokovaných peněžních prostředků</w:t>
      </w:r>
      <w:r w:rsidR="002C3C10">
        <w:rPr>
          <w:rFonts w:ascii="Calibri" w:eastAsia="Times New Roman" w:hAnsi="Calibri" w:cs="Calibri"/>
          <w:noProof/>
          <w:sz w:val="24"/>
          <w:szCs w:val="24"/>
        </w:rPr>
        <w:t xml:space="preserve"> státu</w:t>
      </w:r>
      <w:r w:rsidRPr="003A5711">
        <w:rPr>
          <w:rFonts w:ascii="Calibri" w:eastAsia="Times New Roman" w:hAnsi="Calibri" w:cs="Calibri"/>
          <w:noProof/>
          <w:sz w:val="24"/>
          <w:szCs w:val="24"/>
        </w:rPr>
        <w:t xml:space="preserve">, což dokládá, že není schopna </w:t>
      </w:r>
      <w:r w:rsidR="00D9524B">
        <w:rPr>
          <w:rFonts w:ascii="Calibri" w:eastAsia="Times New Roman" w:hAnsi="Calibri" w:cs="Calibri"/>
          <w:noProof/>
          <w:sz w:val="24"/>
          <w:szCs w:val="24"/>
        </w:rPr>
        <w:t>stanovit</w:t>
      </w:r>
      <w:r w:rsidR="00D9524B" w:rsidRPr="003A5711">
        <w:rPr>
          <w:rFonts w:ascii="Calibri" w:eastAsia="Times New Roman" w:hAnsi="Calibri" w:cs="Calibri"/>
          <w:noProof/>
          <w:sz w:val="24"/>
          <w:szCs w:val="24"/>
        </w:rPr>
        <w:t xml:space="preserve"> </w:t>
      </w:r>
      <w:r w:rsidRPr="003A5711">
        <w:rPr>
          <w:rFonts w:ascii="Calibri" w:eastAsia="Times New Roman" w:hAnsi="Calibri" w:cs="Calibri"/>
          <w:noProof/>
          <w:sz w:val="24"/>
          <w:szCs w:val="24"/>
        </w:rPr>
        <w:t xml:space="preserve">ve střednědobém horizontu své potřeby a </w:t>
      </w:r>
      <w:r w:rsidR="00D9524B">
        <w:rPr>
          <w:rFonts w:ascii="Calibri" w:eastAsia="Times New Roman" w:hAnsi="Calibri" w:cs="Calibri"/>
          <w:noProof/>
          <w:sz w:val="24"/>
          <w:szCs w:val="24"/>
        </w:rPr>
        <w:t xml:space="preserve">poté </w:t>
      </w:r>
      <w:r w:rsidRPr="003A5711">
        <w:rPr>
          <w:rFonts w:ascii="Calibri" w:eastAsia="Times New Roman" w:hAnsi="Calibri" w:cs="Calibri"/>
          <w:noProof/>
          <w:sz w:val="24"/>
          <w:szCs w:val="24"/>
        </w:rPr>
        <w:t>připravit a realizovat konkrétní investiční akce (</w:t>
      </w:r>
      <w:r w:rsidR="0071320E">
        <w:rPr>
          <w:rFonts w:ascii="Calibri" w:eastAsia="Times New Roman" w:hAnsi="Calibri" w:cs="Calibri"/>
          <w:noProof/>
          <w:sz w:val="24"/>
          <w:szCs w:val="24"/>
        </w:rPr>
        <w:t xml:space="preserve">viz </w:t>
      </w:r>
      <w:r w:rsidRPr="003A5711">
        <w:rPr>
          <w:rFonts w:ascii="Calibri" w:eastAsia="Times New Roman" w:hAnsi="Calibri" w:cs="Calibri"/>
          <w:noProof/>
          <w:sz w:val="24"/>
          <w:szCs w:val="24"/>
        </w:rPr>
        <w:t>část IV.3.2</w:t>
      </w:r>
      <w:r w:rsidR="0071320E">
        <w:rPr>
          <w:rFonts w:ascii="Calibri" w:eastAsia="Times New Roman" w:hAnsi="Calibri" w:cs="Calibri"/>
          <w:noProof/>
          <w:sz w:val="24"/>
          <w:szCs w:val="24"/>
        </w:rPr>
        <w:t xml:space="preserve"> tohoto kontrolního závěru</w:t>
      </w:r>
      <w:r w:rsidRPr="003A5711">
        <w:rPr>
          <w:rFonts w:ascii="Calibri" w:eastAsia="Times New Roman" w:hAnsi="Calibri" w:cs="Calibri"/>
          <w:noProof/>
          <w:sz w:val="24"/>
          <w:szCs w:val="24"/>
        </w:rPr>
        <w:t xml:space="preserve">). </w:t>
      </w:r>
      <w:r w:rsidRPr="003A5711">
        <w:rPr>
          <w:bCs/>
          <w:noProof/>
          <w:sz w:val="24"/>
          <w:szCs w:val="24"/>
        </w:rPr>
        <w:t>Z</w:t>
      </w:r>
      <w:r w:rsidR="00D9524B">
        <w:rPr>
          <w:bCs/>
          <w:noProof/>
          <w:sz w:val="24"/>
          <w:szCs w:val="24"/>
        </w:rPr>
        <w:t> </w:t>
      </w:r>
      <w:r w:rsidRPr="003A5711">
        <w:rPr>
          <w:bCs/>
          <w:noProof/>
          <w:sz w:val="24"/>
          <w:szCs w:val="24"/>
        </w:rPr>
        <w:t>alokované</w:t>
      </w:r>
      <w:r w:rsidR="00D9524B">
        <w:rPr>
          <w:bCs/>
          <w:noProof/>
          <w:sz w:val="24"/>
          <w:szCs w:val="24"/>
        </w:rPr>
        <w:t xml:space="preserve"> </w:t>
      </w:r>
      <w:r w:rsidR="00AC3B54">
        <w:rPr>
          <w:bCs/>
          <w:noProof/>
          <w:sz w:val="24"/>
          <w:szCs w:val="24"/>
        </w:rPr>
        <w:t>částky navazující</w:t>
      </w:r>
      <w:r w:rsidRPr="003A5711">
        <w:rPr>
          <w:bCs/>
          <w:noProof/>
          <w:sz w:val="24"/>
          <w:szCs w:val="24"/>
        </w:rPr>
        <w:t xml:space="preserve">ho </w:t>
      </w:r>
      <w:r w:rsidR="0071320E">
        <w:rPr>
          <w:bCs/>
          <w:sz w:val="24"/>
          <w:szCs w:val="24"/>
        </w:rPr>
        <w:t>p</w:t>
      </w:r>
      <w:r w:rsidRPr="003A5711">
        <w:rPr>
          <w:bCs/>
          <w:sz w:val="24"/>
          <w:szCs w:val="24"/>
        </w:rPr>
        <w:t xml:space="preserve">rogramu 176 200 </w:t>
      </w:r>
      <w:r w:rsidRPr="003A5711">
        <w:rPr>
          <w:bCs/>
          <w:noProof/>
          <w:sz w:val="24"/>
          <w:szCs w:val="24"/>
        </w:rPr>
        <w:t>vyčerpala GIBS</w:t>
      </w:r>
      <w:r w:rsidRPr="003A5711">
        <w:rPr>
          <w:bCs/>
          <w:sz w:val="24"/>
          <w:szCs w:val="24"/>
        </w:rPr>
        <w:t xml:space="preserve"> v</w:t>
      </w:r>
      <w:r w:rsidR="0071320E">
        <w:rPr>
          <w:bCs/>
          <w:sz w:val="24"/>
          <w:szCs w:val="24"/>
        </w:rPr>
        <w:t> </w:t>
      </w:r>
      <w:r w:rsidR="00385DB1">
        <w:rPr>
          <w:bCs/>
          <w:noProof/>
          <w:sz w:val="24"/>
          <w:szCs w:val="24"/>
        </w:rPr>
        <w:t>období 2018–</w:t>
      </w:r>
      <w:r w:rsidRPr="003A5711">
        <w:rPr>
          <w:bCs/>
          <w:noProof/>
          <w:sz w:val="24"/>
          <w:szCs w:val="24"/>
        </w:rPr>
        <w:t xml:space="preserve">2020 pouze 18 %. </w:t>
      </w:r>
      <w:r w:rsidRPr="003A5711">
        <w:rPr>
          <w:rFonts w:ascii="Calibri" w:eastAsia="Times New Roman" w:hAnsi="Calibri" w:cs="Calibri"/>
          <w:noProof/>
          <w:sz w:val="24"/>
          <w:szCs w:val="24"/>
        </w:rPr>
        <w:t xml:space="preserve">Vzhledem k ukončení realizace tohoto programu do </w:t>
      </w:r>
      <w:r w:rsidRPr="003A5711">
        <w:rPr>
          <w:rFonts w:ascii="Calibri" w:eastAsia="Calibri" w:hAnsi="Calibri" w:cs="Calibri"/>
          <w:color w:val="000000"/>
          <w:sz w:val="24"/>
          <w:szCs w:val="24"/>
          <w:shd w:val="clear" w:color="auto" w:fill="FFFFFF"/>
        </w:rPr>
        <w:t>31.</w:t>
      </w:r>
      <w:r w:rsidR="0071320E">
        <w:rPr>
          <w:rFonts w:ascii="Calibri" w:eastAsia="Calibri" w:hAnsi="Calibri" w:cs="Calibri"/>
          <w:color w:val="000000"/>
          <w:sz w:val="24"/>
          <w:szCs w:val="24"/>
          <w:shd w:val="clear" w:color="auto" w:fill="FFFFFF"/>
        </w:rPr>
        <w:t> </w:t>
      </w:r>
      <w:r w:rsidRPr="003A5711">
        <w:rPr>
          <w:rFonts w:ascii="Calibri" w:eastAsia="Calibri" w:hAnsi="Calibri" w:cs="Calibri"/>
          <w:color w:val="000000"/>
          <w:sz w:val="24"/>
          <w:szCs w:val="24"/>
          <w:shd w:val="clear" w:color="auto" w:fill="FFFFFF"/>
        </w:rPr>
        <w:t xml:space="preserve">května 2022 </w:t>
      </w:r>
      <w:r w:rsidRPr="003A5711">
        <w:rPr>
          <w:rFonts w:ascii="Calibri" w:eastAsia="Times New Roman" w:hAnsi="Calibri" w:cs="Calibri"/>
          <w:noProof/>
          <w:sz w:val="24"/>
          <w:szCs w:val="24"/>
        </w:rPr>
        <w:t xml:space="preserve">je pravděpodobné, že </w:t>
      </w:r>
      <w:r w:rsidRPr="003A5711">
        <w:rPr>
          <w:bCs/>
          <w:sz w:val="24"/>
          <w:szCs w:val="24"/>
        </w:rPr>
        <w:t xml:space="preserve">GIBS ani v tomto programu nebude schopna splnit </w:t>
      </w:r>
      <w:r w:rsidR="004F0686">
        <w:rPr>
          <w:bCs/>
          <w:sz w:val="24"/>
          <w:szCs w:val="24"/>
        </w:rPr>
        <w:t>stanovené</w:t>
      </w:r>
      <w:r w:rsidR="004F0686" w:rsidRPr="003A5711">
        <w:rPr>
          <w:bCs/>
          <w:sz w:val="24"/>
          <w:szCs w:val="24"/>
        </w:rPr>
        <w:t xml:space="preserve"> </w:t>
      </w:r>
      <w:r w:rsidRPr="003A5711">
        <w:rPr>
          <w:bCs/>
          <w:sz w:val="24"/>
          <w:szCs w:val="24"/>
        </w:rPr>
        <w:t xml:space="preserve">cíle </w:t>
      </w:r>
      <w:r w:rsidR="00CF75B3">
        <w:rPr>
          <w:bCs/>
          <w:sz w:val="24"/>
          <w:szCs w:val="24"/>
        </w:rPr>
        <w:t xml:space="preserve">jednotlivých programů </w:t>
      </w:r>
      <w:r w:rsidRPr="003A5711">
        <w:rPr>
          <w:bCs/>
          <w:sz w:val="24"/>
          <w:szCs w:val="24"/>
        </w:rPr>
        <w:t xml:space="preserve">v oblasti reprodukce majetku. </w:t>
      </w:r>
      <w:r w:rsidR="00221DB1" w:rsidRPr="00221DB1">
        <w:rPr>
          <w:rFonts w:ascii="Calibri" w:eastAsia="Times New Roman" w:hAnsi="Calibri" w:cs="Times New Roman"/>
          <w:sz w:val="24"/>
          <w:szCs w:val="24"/>
        </w:rPr>
        <w:t xml:space="preserve">Na omezení </w:t>
      </w:r>
      <w:r w:rsidR="00364496">
        <w:rPr>
          <w:rFonts w:ascii="Calibri" w:eastAsia="Times New Roman" w:hAnsi="Calibri" w:cs="Times New Roman"/>
          <w:sz w:val="24"/>
          <w:szCs w:val="24"/>
        </w:rPr>
        <w:t xml:space="preserve">při </w:t>
      </w:r>
      <w:r w:rsidR="00221DB1" w:rsidRPr="00221DB1">
        <w:rPr>
          <w:rFonts w:ascii="Calibri" w:eastAsia="Times New Roman" w:hAnsi="Calibri" w:cs="Times New Roman"/>
          <w:sz w:val="24"/>
          <w:szCs w:val="24"/>
        </w:rPr>
        <w:t xml:space="preserve">plnění úkolů </w:t>
      </w:r>
      <w:r w:rsidR="00245B76">
        <w:rPr>
          <w:rFonts w:ascii="Calibri" w:eastAsia="Times New Roman" w:hAnsi="Calibri" w:cs="Times New Roman"/>
          <w:sz w:val="24"/>
          <w:szCs w:val="24"/>
        </w:rPr>
        <w:t xml:space="preserve">v oblasti řízení trestních věcí </w:t>
      </w:r>
      <w:r w:rsidR="00A75377">
        <w:rPr>
          <w:rFonts w:ascii="Calibri" w:eastAsia="Times New Roman" w:hAnsi="Calibri" w:cs="Times New Roman"/>
          <w:sz w:val="24"/>
          <w:szCs w:val="24"/>
        </w:rPr>
        <w:t>z důvodu</w:t>
      </w:r>
      <w:r w:rsidR="00221DB1" w:rsidRPr="00221DB1">
        <w:rPr>
          <w:rFonts w:ascii="Calibri" w:eastAsia="Times New Roman" w:hAnsi="Calibri" w:cs="Times New Roman"/>
          <w:sz w:val="24"/>
          <w:szCs w:val="24"/>
        </w:rPr>
        <w:t xml:space="preserve"> nedostatečného technického vybavení přitom GIBS sama upozornila např. v</w:t>
      </w:r>
      <w:r w:rsidR="00A75377">
        <w:rPr>
          <w:rFonts w:ascii="Calibri" w:eastAsia="Times New Roman" w:hAnsi="Calibri" w:cs="Times New Roman"/>
          <w:sz w:val="24"/>
          <w:szCs w:val="24"/>
        </w:rPr>
        <w:t> </w:t>
      </w:r>
      <w:r w:rsidR="00FE79D6">
        <w:rPr>
          <w:rFonts w:ascii="Calibri" w:eastAsia="Times New Roman" w:hAnsi="Calibri" w:cs="Times New Roman"/>
          <w:sz w:val="24"/>
          <w:szCs w:val="24"/>
        </w:rPr>
        <w:t xml:space="preserve">předkládací zprávě k </w:t>
      </w:r>
      <w:r w:rsidR="00221DB1" w:rsidRPr="00221DB1">
        <w:rPr>
          <w:rFonts w:ascii="Calibri" w:eastAsia="Calibri" w:hAnsi="Calibri" w:cs="Calibri"/>
          <w:sz w:val="24"/>
          <w:szCs w:val="24"/>
        </w:rPr>
        <w:t>usnesení vlády č. 148/2017.</w:t>
      </w:r>
      <w:r w:rsidR="00221DB1">
        <w:rPr>
          <w:rFonts w:ascii="Calibri" w:eastAsia="Times New Roman" w:hAnsi="Calibri" w:cs="Times New Roman"/>
          <w:sz w:val="24"/>
          <w:szCs w:val="24"/>
        </w:rPr>
        <w:t xml:space="preserve"> </w:t>
      </w:r>
    </w:p>
    <w:p w14:paraId="1BB854E7" w14:textId="5F30090B" w:rsidR="009D71F8" w:rsidRPr="00F3373F" w:rsidRDefault="009D71F8" w:rsidP="00484348">
      <w:pPr>
        <w:numPr>
          <w:ilvl w:val="0"/>
          <w:numId w:val="4"/>
        </w:numPr>
        <w:spacing w:after="120" w:line="264" w:lineRule="auto"/>
        <w:ind w:left="227" w:hanging="227"/>
        <w:jc w:val="both"/>
        <w:rPr>
          <w:rFonts w:ascii="Calibri" w:eastAsia="Calibri" w:hAnsi="Calibri" w:cs="Calibri"/>
          <w:sz w:val="24"/>
          <w:szCs w:val="24"/>
        </w:rPr>
      </w:pPr>
      <w:r w:rsidRPr="00A42A04">
        <w:rPr>
          <w:rFonts w:ascii="Calibri" w:eastAsia="Calibri" w:hAnsi="Calibri"/>
          <w:bCs/>
          <w:sz w:val="24"/>
          <w:szCs w:val="24"/>
        </w:rPr>
        <w:t>V rámci kontroly využití nemovitého majetku zjistil</w:t>
      </w:r>
      <w:r w:rsidR="00E44BFF" w:rsidRPr="00E44BFF">
        <w:rPr>
          <w:rFonts w:ascii="Calibri" w:eastAsia="Calibri" w:hAnsi="Calibri"/>
          <w:bCs/>
          <w:sz w:val="24"/>
          <w:szCs w:val="24"/>
        </w:rPr>
        <w:t xml:space="preserve"> </w:t>
      </w:r>
      <w:r w:rsidR="00E44BFF" w:rsidRPr="00A42A04">
        <w:rPr>
          <w:rFonts w:ascii="Calibri" w:eastAsia="Calibri" w:hAnsi="Calibri"/>
          <w:bCs/>
          <w:sz w:val="24"/>
          <w:szCs w:val="24"/>
        </w:rPr>
        <w:t>NKÚ</w:t>
      </w:r>
      <w:r w:rsidRPr="00A42A04">
        <w:rPr>
          <w:rFonts w:ascii="Calibri" w:eastAsia="Calibri" w:hAnsi="Calibri"/>
          <w:bCs/>
          <w:sz w:val="24"/>
          <w:szCs w:val="24"/>
        </w:rPr>
        <w:t>, že GIBS</w:t>
      </w:r>
      <w:r w:rsidR="00100C02" w:rsidRPr="00A42A04">
        <w:rPr>
          <w:rFonts w:ascii="Calibri" w:eastAsia="Calibri" w:hAnsi="Calibri"/>
          <w:bCs/>
          <w:sz w:val="24"/>
          <w:szCs w:val="24"/>
        </w:rPr>
        <w:t xml:space="preserve"> v jednom případě</w:t>
      </w:r>
      <w:r w:rsidRPr="00A42A04">
        <w:rPr>
          <w:rFonts w:ascii="Calibri" w:eastAsia="Calibri" w:hAnsi="Calibri"/>
          <w:bCs/>
          <w:sz w:val="24"/>
          <w:szCs w:val="24"/>
        </w:rPr>
        <w:t xml:space="preserve"> poskytla v kontrolovaném období</w:t>
      </w:r>
      <w:r w:rsidR="00C33520">
        <w:rPr>
          <w:rFonts w:ascii="Calibri" w:eastAsia="Calibri" w:hAnsi="Calibri"/>
          <w:bCs/>
          <w:sz w:val="24"/>
          <w:szCs w:val="24"/>
        </w:rPr>
        <w:t xml:space="preserve"> v rámci cestovních náhrad</w:t>
      </w:r>
      <w:r w:rsidRPr="00A42A04">
        <w:rPr>
          <w:rFonts w:ascii="Calibri" w:eastAsia="Calibri" w:hAnsi="Calibri"/>
          <w:bCs/>
          <w:sz w:val="24"/>
          <w:szCs w:val="24"/>
        </w:rPr>
        <w:t xml:space="preserve"> </w:t>
      </w:r>
      <w:r w:rsidRPr="00A42A04">
        <w:rPr>
          <w:rFonts w:ascii="Calibri" w:eastAsia="Calibri" w:hAnsi="Calibri" w:cs="Calibri"/>
          <w:sz w:val="24"/>
          <w:szCs w:val="24"/>
        </w:rPr>
        <w:t>bezúplatné d</w:t>
      </w:r>
      <w:r w:rsidR="00662177" w:rsidRPr="00A42A04">
        <w:rPr>
          <w:rFonts w:ascii="Calibri" w:eastAsia="Calibri" w:hAnsi="Calibri" w:cs="Calibri"/>
          <w:sz w:val="24"/>
          <w:szCs w:val="24"/>
        </w:rPr>
        <w:t>louhodobé ubytování příslušníkovi</w:t>
      </w:r>
      <w:r w:rsidRPr="00A42A04">
        <w:rPr>
          <w:rFonts w:ascii="Calibri" w:eastAsia="Calibri" w:hAnsi="Calibri" w:cs="Calibri"/>
          <w:sz w:val="24"/>
          <w:szCs w:val="24"/>
        </w:rPr>
        <w:t xml:space="preserve"> GIBS</w:t>
      </w:r>
      <w:r w:rsidR="00100C02" w:rsidRPr="00A42A04">
        <w:rPr>
          <w:rFonts w:ascii="Calibri" w:eastAsia="Calibri" w:hAnsi="Calibri" w:cs="Calibri"/>
          <w:sz w:val="24"/>
          <w:szCs w:val="24"/>
        </w:rPr>
        <w:t xml:space="preserve"> </w:t>
      </w:r>
      <w:r w:rsidR="00A23A40" w:rsidRPr="00A42A04">
        <w:rPr>
          <w:rFonts w:ascii="Calibri" w:eastAsia="Calibri" w:hAnsi="Calibri" w:cs="Calibri"/>
          <w:sz w:val="24"/>
          <w:szCs w:val="24"/>
        </w:rPr>
        <w:t>od 28. </w:t>
      </w:r>
      <w:r w:rsidR="00D9524B" w:rsidRPr="00A42A04">
        <w:rPr>
          <w:rFonts w:ascii="Calibri" w:eastAsia="Calibri" w:hAnsi="Calibri" w:cs="Calibri"/>
          <w:sz w:val="24"/>
          <w:szCs w:val="24"/>
        </w:rPr>
        <w:t>března</w:t>
      </w:r>
      <w:r w:rsidR="00662177" w:rsidRPr="00A42A04">
        <w:rPr>
          <w:rFonts w:ascii="Calibri" w:eastAsia="Calibri" w:hAnsi="Calibri" w:cs="Calibri"/>
          <w:sz w:val="24"/>
          <w:szCs w:val="24"/>
        </w:rPr>
        <w:t xml:space="preserve"> 2013 do </w:t>
      </w:r>
      <w:r w:rsidR="009A3DAB">
        <w:rPr>
          <w:rFonts w:ascii="Calibri" w:eastAsia="Calibri" w:hAnsi="Calibri" w:cs="Calibri"/>
          <w:sz w:val="24"/>
          <w:szCs w:val="24"/>
        </w:rPr>
        <w:t>doby ukončení kontroly</w:t>
      </w:r>
      <w:r w:rsidR="00CC4CF2" w:rsidRPr="00A42A04">
        <w:rPr>
          <w:rFonts w:ascii="Calibri" w:eastAsia="Calibri" w:hAnsi="Calibri" w:cs="Calibri"/>
          <w:sz w:val="24"/>
          <w:szCs w:val="24"/>
        </w:rPr>
        <w:t xml:space="preserve">. Zároveň </w:t>
      </w:r>
      <w:r w:rsidRPr="00A42A04">
        <w:rPr>
          <w:rFonts w:ascii="Calibri" w:eastAsia="Calibri" w:hAnsi="Calibri" w:cs="Calibri"/>
          <w:sz w:val="24"/>
          <w:szCs w:val="24"/>
        </w:rPr>
        <w:t>t</w:t>
      </w:r>
      <w:r w:rsidR="00CC4CF2">
        <w:rPr>
          <w:rFonts w:ascii="Calibri" w:eastAsia="Calibri" w:hAnsi="Calibri" w:cs="Calibri"/>
          <w:sz w:val="24"/>
          <w:szCs w:val="24"/>
        </w:rPr>
        <w:t>u</w:t>
      </w:r>
      <w:r w:rsidRPr="00A42A04">
        <w:rPr>
          <w:rFonts w:ascii="Calibri" w:eastAsia="Calibri" w:hAnsi="Calibri" w:cs="Calibri"/>
          <w:sz w:val="24"/>
          <w:szCs w:val="24"/>
        </w:rPr>
        <w:t>to dohod</w:t>
      </w:r>
      <w:r w:rsidR="00CC4CF2">
        <w:rPr>
          <w:rFonts w:ascii="Calibri" w:eastAsia="Calibri" w:hAnsi="Calibri" w:cs="Calibri"/>
          <w:sz w:val="24"/>
          <w:szCs w:val="24"/>
        </w:rPr>
        <w:t>u</w:t>
      </w:r>
      <w:r w:rsidR="00385DB1">
        <w:rPr>
          <w:rFonts w:ascii="Calibri" w:eastAsia="Calibri" w:hAnsi="Calibri" w:cs="Calibri"/>
          <w:sz w:val="24"/>
          <w:szCs w:val="24"/>
        </w:rPr>
        <w:t xml:space="preserve"> o </w:t>
      </w:r>
      <w:r w:rsidRPr="00A42A04">
        <w:rPr>
          <w:rFonts w:ascii="Calibri" w:eastAsia="Calibri" w:hAnsi="Calibri" w:cs="Calibri"/>
          <w:sz w:val="24"/>
          <w:szCs w:val="24"/>
        </w:rPr>
        <w:t xml:space="preserve">ubytování </w:t>
      </w:r>
      <w:r w:rsidR="00CC4CF2">
        <w:rPr>
          <w:rFonts w:ascii="Calibri" w:eastAsia="Calibri" w:hAnsi="Calibri" w:cs="Calibri"/>
          <w:sz w:val="24"/>
          <w:szCs w:val="24"/>
        </w:rPr>
        <w:t xml:space="preserve">GIBS </w:t>
      </w:r>
      <w:r w:rsidR="00662177" w:rsidRPr="00A42A04">
        <w:rPr>
          <w:rFonts w:ascii="Calibri" w:eastAsia="Calibri" w:hAnsi="Calibri" w:cs="Calibri"/>
          <w:sz w:val="24"/>
          <w:szCs w:val="24"/>
        </w:rPr>
        <w:t>následně</w:t>
      </w:r>
      <w:r w:rsidRPr="00A42A04">
        <w:rPr>
          <w:rFonts w:ascii="Calibri" w:eastAsia="Calibri" w:hAnsi="Calibri" w:cs="Calibri"/>
          <w:sz w:val="24"/>
          <w:szCs w:val="24"/>
        </w:rPr>
        <w:t xml:space="preserve"> prodlouž</w:t>
      </w:r>
      <w:r w:rsidR="00CC4CF2">
        <w:rPr>
          <w:rFonts w:ascii="Calibri" w:eastAsia="Calibri" w:hAnsi="Calibri" w:cs="Calibri"/>
          <w:sz w:val="24"/>
          <w:szCs w:val="24"/>
        </w:rPr>
        <w:t>ila</w:t>
      </w:r>
      <w:r w:rsidRPr="00A42A04">
        <w:rPr>
          <w:rFonts w:ascii="Calibri" w:eastAsia="Calibri" w:hAnsi="Calibri" w:cs="Calibri"/>
          <w:sz w:val="24"/>
          <w:szCs w:val="24"/>
        </w:rPr>
        <w:t xml:space="preserve"> do 30. </w:t>
      </w:r>
      <w:r w:rsidR="00D9524B" w:rsidRPr="00A42A04">
        <w:rPr>
          <w:rFonts w:ascii="Calibri" w:eastAsia="Calibri" w:hAnsi="Calibri" w:cs="Calibri"/>
          <w:sz w:val="24"/>
          <w:szCs w:val="24"/>
        </w:rPr>
        <w:t>června</w:t>
      </w:r>
      <w:r w:rsidRPr="00A42A04">
        <w:rPr>
          <w:rFonts w:ascii="Calibri" w:eastAsia="Calibri" w:hAnsi="Calibri" w:cs="Calibri"/>
          <w:sz w:val="24"/>
          <w:szCs w:val="24"/>
        </w:rPr>
        <w:t xml:space="preserve"> 2026. </w:t>
      </w:r>
      <w:r w:rsidR="00A23A40" w:rsidRPr="00A42A04">
        <w:rPr>
          <w:rFonts w:ascii="Calibri" w:eastAsia="Calibri" w:hAnsi="Calibri" w:cs="Calibri"/>
          <w:sz w:val="24"/>
          <w:szCs w:val="24"/>
        </w:rPr>
        <w:t>NKÚ</w:t>
      </w:r>
      <w:r w:rsidR="00CC4CF2" w:rsidRPr="00A42A04">
        <w:rPr>
          <w:rFonts w:ascii="Calibri" w:eastAsia="Calibri" w:hAnsi="Calibri" w:cs="Calibri"/>
          <w:sz w:val="24"/>
          <w:szCs w:val="24"/>
        </w:rPr>
        <w:t xml:space="preserve"> </w:t>
      </w:r>
      <w:r w:rsidR="00DD3FAA">
        <w:rPr>
          <w:rFonts w:ascii="Calibri" w:eastAsia="Calibri" w:hAnsi="Calibri" w:cs="Calibri"/>
          <w:sz w:val="24"/>
          <w:szCs w:val="24"/>
        </w:rPr>
        <w:t>tak</w:t>
      </w:r>
      <w:r w:rsidR="00CC4CF2">
        <w:rPr>
          <w:rFonts w:ascii="Calibri" w:eastAsia="Calibri" w:hAnsi="Calibri" w:cs="Calibri"/>
          <w:sz w:val="24"/>
          <w:szCs w:val="24"/>
        </w:rPr>
        <w:t xml:space="preserve"> </w:t>
      </w:r>
      <w:r w:rsidR="00A23A40" w:rsidRPr="00A42A04">
        <w:rPr>
          <w:rFonts w:ascii="Calibri" w:eastAsia="Calibri" w:hAnsi="Calibri" w:cs="Calibri"/>
          <w:sz w:val="24"/>
          <w:szCs w:val="24"/>
        </w:rPr>
        <w:t>poukazuje na nedostatečnou právní úpravu</w:t>
      </w:r>
      <w:r w:rsidR="0024394C">
        <w:rPr>
          <w:rFonts w:ascii="Calibri" w:eastAsia="Calibri" w:hAnsi="Calibri" w:cs="Calibri"/>
          <w:sz w:val="24"/>
          <w:szCs w:val="24"/>
        </w:rPr>
        <w:t xml:space="preserve"> </w:t>
      </w:r>
      <w:r w:rsidR="009A3DAB">
        <w:rPr>
          <w:rFonts w:ascii="Calibri" w:eastAsia="Calibri" w:hAnsi="Calibri" w:cs="Calibri"/>
          <w:sz w:val="24"/>
          <w:szCs w:val="24"/>
        </w:rPr>
        <w:t xml:space="preserve">zákona č. 361/2003 Sb., ve kterém není </w:t>
      </w:r>
      <w:r w:rsidR="00DD3FAA">
        <w:rPr>
          <w:rFonts w:ascii="Calibri" w:eastAsia="Calibri" w:hAnsi="Calibri" w:cs="Calibri"/>
          <w:sz w:val="24"/>
          <w:szCs w:val="24"/>
        </w:rPr>
        <w:t>stanov</w:t>
      </w:r>
      <w:r w:rsidR="009A3DAB">
        <w:rPr>
          <w:rFonts w:ascii="Calibri" w:eastAsia="Calibri" w:hAnsi="Calibri" w:cs="Calibri"/>
          <w:sz w:val="24"/>
          <w:szCs w:val="24"/>
        </w:rPr>
        <w:t>ena</w:t>
      </w:r>
      <w:r w:rsidR="00DD3FAA">
        <w:rPr>
          <w:rFonts w:ascii="Calibri" w:eastAsia="Calibri" w:hAnsi="Calibri" w:cs="Calibri"/>
          <w:sz w:val="24"/>
          <w:szCs w:val="24"/>
        </w:rPr>
        <w:t xml:space="preserve"> maximální </w:t>
      </w:r>
      <w:r w:rsidR="0024394C">
        <w:rPr>
          <w:rFonts w:ascii="Calibri" w:eastAsia="Calibri" w:hAnsi="Calibri" w:cs="Calibri"/>
          <w:sz w:val="24"/>
          <w:szCs w:val="24"/>
        </w:rPr>
        <w:lastRenderedPageBreak/>
        <w:t>dob</w:t>
      </w:r>
      <w:r w:rsidR="0027599B">
        <w:rPr>
          <w:rFonts w:ascii="Calibri" w:eastAsia="Calibri" w:hAnsi="Calibri" w:cs="Calibri"/>
          <w:sz w:val="24"/>
          <w:szCs w:val="24"/>
        </w:rPr>
        <w:t>a</w:t>
      </w:r>
      <w:r w:rsidR="00242E46">
        <w:rPr>
          <w:rFonts w:ascii="Calibri" w:eastAsia="Calibri" w:hAnsi="Calibri" w:cs="Calibri"/>
          <w:sz w:val="24"/>
          <w:szCs w:val="24"/>
        </w:rPr>
        <w:t xml:space="preserve"> </w:t>
      </w:r>
      <w:r w:rsidR="0027599B">
        <w:rPr>
          <w:rFonts w:ascii="Calibri" w:eastAsia="Calibri" w:hAnsi="Calibri" w:cs="Calibri"/>
          <w:sz w:val="24"/>
          <w:szCs w:val="24"/>
        </w:rPr>
        <w:t>pro</w:t>
      </w:r>
      <w:r w:rsidR="0024394C">
        <w:rPr>
          <w:rFonts w:ascii="Calibri" w:eastAsia="Calibri" w:hAnsi="Calibri" w:cs="Calibri"/>
          <w:sz w:val="24"/>
          <w:szCs w:val="24"/>
        </w:rPr>
        <w:t xml:space="preserve"> </w:t>
      </w:r>
      <w:r w:rsidR="00CC4CF2" w:rsidRPr="00CC4CF2">
        <w:rPr>
          <w:rFonts w:ascii="Calibri" w:eastAsia="Calibri" w:hAnsi="Calibri" w:cs="Calibri"/>
          <w:sz w:val="24"/>
          <w:szCs w:val="24"/>
        </w:rPr>
        <w:t xml:space="preserve">poskytování náhrady cestovních výdajů </w:t>
      </w:r>
      <w:r w:rsidR="00DD3FAA">
        <w:rPr>
          <w:rFonts w:ascii="Calibri" w:eastAsia="Calibri" w:hAnsi="Calibri" w:cs="Calibri"/>
          <w:sz w:val="24"/>
          <w:szCs w:val="24"/>
        </w:rPr>
        <w:t xml:space="preserve">v případě výkonu práce v jiném místě </w:t>
      </w:r>
      <w:r w:rsidR="00DD3FAA" w:rsidRPr="00DD3FAA">
        <w:rPr>
          <w:rFonts w:ascii="Calibri" w:eastAsia="Calibri" w:hAnsi="Calibri" w:cs="Calibri"/>
          <w:sz w:val="24"/>
          <w:szCs w:val="24"/>
        </w:rPr>
        <w:t>s</w:t>
      </w:r>
      <w:r w:rsidR="00DD3FAA" w:rsidRPr="00A42A04">
        <w:rPr>
          <w:rFonts w:ascii="Calibri" w:eastAsia="Calibri" w:hAnsi="Calibri" w:cs="Calibri"/>
          <w:sz w:val="24"/>
          <w:szCs w:val="24"/>
        </w:rPr>
        <w:t>lužebního působiště</w:t>
      </w:r>
      <w:r w:rsidR="0071320E">
        <w:rPr>
          <w:rFonts w:ascii="Calibri" w:eastAsia="Calibri" w:hAnsi="Calibri" w:cs="Calibri"/>
          <w:sz w:val="24"/>
          <w:szCs w:val="24"/>
        </w:rPr>
        <w:t>,</w:t>
      </w:r>
      <w:r w:rsidR="00DD3FAA">
        <w:rPr>
          <w:rFonts w:ascii="Calibri" w:eastAsia="Calibri" w:hAnsi="Calibri" w:cs="Calibri"/>
          <w:sz w:val="24"/>
          <w:szCs w:val="24"/>
        </w:rPr>
        <w:t xml:space="preserve"> než je trvalé bydliště příslušníka</w:t>
      </w:r>
      <w:r w:rsidR="00A23A40" w:rsidRPr="00A42A04">
        <w:rPr>
          <w:rFonts w:ascii="Calibri" w:eastAsia="Calibri" w:hAnsi="Calibri" w:cs="Calibri"/>
          <w:sz w:val="24"/>
          <w:szCs w:val="24"/>
        </w:rPr>
        <w:t xml:space="preserve"> </w:t>
      </w:r>
      <w:r w:rsidRPr="00A42A04">
        <w:rPr>
          <w:rFonts w:ascii="Calibri" w:eastAsia="Calibri" w:hAnsi="Calibri" w:cs="Calibri"/>
          <w:sz w:val="24"/>
          <w:szCs w:val="24"/>
        </w:rPr>
        <w:t>(</w:t>
      </w:r>
      <w:r w:rsidR="0071320E">
        <w:rPr>
          <w:rFonts w:ascii="Calibri" w:eastAsia="Calibri" w:hAnsi="Calibri" w:cs="Calibri"/>
          <w:sz w:val="24"/>
          <w:szCs w:val="24"/>
        </w:rPr>
        <w:t xml:space="preserve">viz </w:t>
      </w:r>
      <w:r w:rsidRPr="00A42A04">
        <w:rPr>
          <w:rFonts w:ascii="Calibri" w:eastAsia="Calibri" w:hAnsi="Calibri" w:cs="Calibri"/>
          <w:sz w:val="24"/>
          <w:szCs w:val="24"/>
        </w:rPr>
        <w:t>část IV.4.2</w:t>
      </w:r>
      <w:r w:rsidR="0071320E">
        <w:rPr>
          <w:rFonts w:ascii="Calibri" w:eastAsia="Calibri" w:hAnsi="Calibri" w:cs="Calibri"/>
          <w:sz w:val="24"/>
          <w:szCs w:val="24"/>
        </w:rPr>
        <w:t xml:space="preserve"> tohoto kontrolního závěru</w:t>
      </w:r>
      <w:r w:rsidRPr="00A42A04">
        <w:rPr>
          <w:rFonts w:ascii="Calibri" w:eastAsia="Calibri" w:hAnsi="Calibri" w:cs="Calibri"/>
          <w:sz w:val="24"/>
          <w:szCs w:val="24"/>
        </w:rPr>
        <w:t xml:space="preserve">). </w:t>
      </w:r>
      <w:r w:rsidRPr="0063045B">
        <w:rPr>
          <w:rFonts w:ascii="Calibri" w:eastAsia="Calibri" w:hAnsi="Calibri" w:cs="Calibri"/>
          <w:sz w:val="24"/>
          <w:szCs w:val="24"/>
        </w:rPr>
        <w:t xml:space="preserve">Cílem GIBS v oblasti nemovitého majetku byla od roku 2012 dislokace všech </w:t>
      </w:r>
      <w:r w:rsidRPr="0063045B">
        <w:rPr>
          <w:rFonts w:ascii="Calibri" w:hAnsi="Calibri"/>
          <w:sz w:val="24"/>
          <w:szCs w:val="24"/>
        </w:rPr>
        <w:t xml:space="preserve">pracovišť GIBS </w:t>
      </w:r>
      <w:r w:rsidR="00CF75B3">
        <w:rPr>
          <w:rFonts w:ascii="Calibri" w:hAnsi="Calibri"/>
          <w:sz w:val="24"/>
          <w:szCs w:val="24"/>
        </w:rPr>
        <w:t xml:space="preserve">do objektů ve vlastnictví státu. </w:t>
      </w:r>
      <w:r w:rsidR="00CF75B3" w:rsidRPr="003A5711">
        <w:rPr>
          <w:rFonts w:ascii="Calibri" w:hAnsi="Calibri"/>
          <w:sz w:val="24"/>
          <w:szCs w:val="24"/>
        </w:rPr>
        <w:t xml:space="preserve">NKÚ ověřil hospodárnost dislokací pracovišť GIBS na třech případech realizovaných v kontrolovaném období </w:t>
      </w:r>
      <w:r w:rsidR="00CF75B3">
        <w:rPr>
          <w:rFonts w:ascii="Calibri" w:hAnsi="Calibri"/>
          <w:sz w:val="24"/>
          <w:szCs w:val="24"/>
        </w:rPr>
        <w:t>(</w:t>
      </w:r>
      <w:r w:rsidR="00CF75B3" w:rsidRPr="003A5711">
        <w:rPr>
          <w:rFonts w:ascii="Calibri" w:hAnsi="Calibri"/>
          <w:sz w:val="24"/>
          <w:szCs w:val="24"/>
        </w:rPr>
        <w:t>Praha a Středočeský kraj</w:t>
      </w:r>
      <w:r w:rsidR="00CF75B3">
        <w:rPr>
          <w:rStyle w:val="Znakapoznpodarou"/>
          <w:rFonts w:ascii="Calibri" w:hAnsi="Calibri"/>
          <w:sz w:val="24"/>
          <w:szCs w:val="24"/>
        </w:rPr>
        <w:footnoteReference w:id="10"/>
      </w:r>
      <w:r w:rsidR="00385DB1">
        <w:rPr>
          <w:rFonts w:ascii="Calibri" w:hAnsi="Calibri"/>
          <w:sz w:val="24"/>
          <w:szCs w:val="24"/>
        </w:rPr>
        <w:t>, Plzeň a </w:t>
      </w:r>
      <w:r w:rsidR="00CF75B3" w:rsidRPr="003A5711">
        <w:rPr>
          <w:rFonts w:ascii="Calibri" w:hAnsi="Calibri"/>
          <w:sz w:val="24"/>
          <w:szCs w:val="24"/>
        </w:rPr>
        <w:t>Liberec).</w:t>
      </w:r>
      <w:r w:rsidR="00CF75B3" w:rsidRPr="003A5711">
        <w:rPr>
          <w:rFonts w:ascii="Calibri" w:eastAsia="Calibri" w:hAnsi="Calibri" w:cs="Calibri"/>
          <w:sz w:val="24"/>
          <w:szCs w:val="24"/>
        </w:rPr>
        <w:t xml:space="preserve"> Podklady dokládají snahu GIBS o přemístění </w:t>
      </w:r>
      <w:r w:rsidR="00CF75B3">
        <w:rPr>
          <w:rFonts w:ascii="Calibri" w:eastAsia="Calibri" w:hAnsi="Calibri" w:cs="Calibri"/>
          <w:sz w:val="24"/>
          <w:szCs w:val="24"/>
        </w:rPr>
        <w:t xml:space="preserve">pracovišť </w:t>
      </w:r>
      <w:r w:rsidR="00CF75B3" w:rsidRPr="003A5711">
        <w:rPr>
          <w:rFonts w:ascii="Calibri" w:eastAsia="Calibri" w:hAnsi="Calibri" w:cs="Calibri"/>
          <w:sz w:val="24"/>
          <w:szCs w:val="24"/>
        </w:rPr>
        <w:t>do prostor objektů ve vlastnictví státu, nicméně pouze v jednom příp</w:t>
      </w:r>
      <w:r w:rsidR="00CF75B3">
        <w:rPr>
          <w:rFonts w:ascii="Calibri" w:eastAsia="Calibri" w:hAnsi="Calibri" w:cs="Calibri"/>
          <w:sz w:val="24"/>
          <w:szCs w:val="24"/>
        </w:rPr>
        <w:t>adě byla tato dislokace úspěšná</w:t>
      </w:r>
      <w:r w:rsidR="00CF75B3" w:rsidRPr="003A5711">
        <w:rPr>
          <w:rFonts w:ascii="Calibri" w:eastAsia="Calibri" w:hAnsi="Calibri" w:cs="Calibri"/>
          <w:sz w:val="24"/>
          <w:szCs w:val="24"/>
        </w:rPr>
        <w:t xml:space="preserve">. </w:t>
      </w:r>
    </w:p>
    <w:p w14:paraId="3E185BCC" w14:textId="479F06EE" w:rsidR="006E2CC6" w:rsidRDefault="006E2CC6" w:rsidP="00484348">
      <w:pPr>
        <w:numPr>
          <w:ilvl w:val="0"/>
          <w:numId w:val="4"/>
        </w:numPr>
        <w:spacing w:after="120" w:line="264" w:lineRule="auto"/>
        <w:ind w:left="227" w:hanging="227"/>
        <w:jc w:val="both"/>
        <w:rPr>
          <w:rFonts w:ascii="Calibri" w:hAnsi="Calibri"/>
          <w:sz w:val="24"/>
          <w:szCs w:val="24"/>
        </w:rPr>
      </w:pPr>
      <w:r w:rsidRPr="003A5711">
        <w:rPr>
          <w:rFonts w:ascii="Calibri" w:eastAsia="Calibri" w:hAnsi="Calibri" w:cs="Calibri"/>
          <w:color w:val="000000"/>
          <w:sz w:val="24"/>
          <w:szCs w:val="24"/>
          <w:lang w:eastAsia="cs-CZ"/>
        </w:rPr>
        <w:t>G</w:t>
      </w:r>
      <w:r w:rsidRPr="006E2CC6">
        <w:rPr>
          <w:rFonts w:ascii="Calibri" w:hAnsi="Calibri"/>
          <w:sz w:val="24"/>
          <w:szCs w:val="24"/>
        </w:rPr>
        <w:t>IBS neměla zpracované dokumenty, které by obsahovaly konkrétní a jednoznačně vymezené cíle a potřeby v investiční a personální oblasti (</w:t>
      </w:r>
      <w:r w:rsidR="0071320E">
        <w:rPr>
          <w:rFonts w:ascii="Calibri" w:hAnsi="Calibri"/>
          <w:sz w:val="24"/>
          <w:szCs w:val="24"/>
        </w:rPr>
        <w:t xml:space="preserve">viz </w:t>
      </w:r>
      <w:r w:rsidRPr="006E2CC6">
        <w:rPr>
          <w:rFonts w:ascii="Calibri" w:hAnsi="Calibri"/>
          <w:sz w:val="24"/>
          <w:szCs w:val="24"/>
        </w:rPr>
        <w:t>část IV.5.1</w:t>
      </w:r>
      <w:r w:rsidR="0071320E">
        <w:rPr>
          <w:rFonts w:ascii="Calibri" w:hAnsi="Calibri"/>
          <w:sz w:val="24"/>
          <w:szCs w:val="24"/>
        </w:rPr>
        <w:t xml:space="preserve"> tohoto kontrolního závěru</w:t>
      </w:r>
      <w:r w:rsidRPr="006E2CC6">
        <w:rPr>
          <w:rFonts w:ascii="Calibri" w:hAnsi="Calibri"/>
          <w:sz w:val="24"/>
          <w:szCs w:val="24"/>
        </w:rPr>
        <w:t xml:space="preserve">). </w:t>
      </w:r>
      <w:r w:rsidR="00CF75B3">
        <w:rPr>
          <w:rFonts w:ascii="Calibri" w:hAnsi="Calibri"/>
          <w:sz w:val="24"/>
          <w:szCs w:val="24"/>
        </w:rPr>
        <w:t>Ačkoliv p</w:t>
      </w:r>
      <w:r w:rsidR="0020376B" w:rsidRPr="0020376B">
        <w:rPr>
          <w:rFonts w:ascii="Calibri" w:hAnsi="Calibri"/>
          <w:sz w:val="24"/>
          <w:szCs w:val="24"/>
        </w:rPr>
        <w:t xml:space="preserve">ovinnost zpracovávat </w:t>
      </w:r>
      <w:r w:rsidR="00CF75B3">
        <w:rPr>
          <w:rFonts w:ascii="Calibri" w:hAnsi="Calibri"/>
          <w:sz w:val="24"/>
          <w:szCs w:val="24"/>
        </w:rPr>
        <w:t>tyto dokumenty</w:t>
      </w:r>
      <w:r w:rsidR="0020376B" w:rsidRPr="0020376B">
        <w:rPr>
          <w:rFonts w:ascii="Calibri" w:hAnsi="Calibri"/>
          <w:sz w:val="24"/>
          <w:szCs w:val="24"/>
        </w:rPr>
        <w:t xml:space="preserve"> přímo z ustanovení právních předpisů nevyplývá</w:t>
      </w:r>
      <w:r w:rsidR="0071320E">
        <w:rPr>
          <w:rFonts w:ascii="Calibri" w:hAnsi="Calibri"/>
          <w:sz w:val="24"/>
          <w:szCs w:val="24"/>
        </w:rPr>
        <w:t>,</w:t>
      </w:r>
      <w:r w:rsidR="009B794B">
        <w:rPr>
          <w:rFonts w:ascii="Calibri" w:hAnsi="Calibri"/>
          <w:sz w:val="24"/>
          <w:szCs w:val="24"/>
        </w:rPr>
        <w:t xml:space="preserve"> </w:t>
      </w:r>
      <w:r w:rsidR="0071320E">
        <w:rPr>
          <w:rFonts w:ascii="Calibri" w:hAnsi="Calibri"/>
          <w:sz w:val="24"/>
          <w:szCs w:val="24"/>
        </w:rPr>
        <w:t>a</w:t>
      </w:r>
      <w:r w:rsidR="0020376B" w:rsidRPr="0020376B">
        <w:rPr>
          <w:rFonts w:ascii="Calibri" w:hAnsi="Calibri"/>
          <w:sz w:val="24"/>
          <w:szCs w:val="24"/>
        </w:rPr>
        <w:t xml:space="preserve">bsence priorit činnosti a rozvoje GIBS </w:t>
      </w:r>
      <w:r w:rsidR="00330CD9">
        <w:rPr>
          <w:rFonts w:ascii="Calibri" w:hAnsi="Calibri"/>
          <w:sz w:val="24"/>
          <w:szCs w:val="24"/>
        </w:rPr>
        <w:t>je rizikem pro nehospodárné a</w:t>
      </w:r>
      <w:r w:rsidR="00D51704">
        <w:rPr>
          <w:rFonts w:ascii="Calibri" w:hAnsi="Calibri"/>
          <w:sz w:val="24"/>
          <w:szCs w:val="24"/>
        </w:rPr>
        <w:t> </w:t>
      </w:r>
      <w:r w:rsidR="00330CD9">
        <w:rPr>
          <w:rFonts w:ascii="Calibri" w:hAnsi="Calibri"/>
          <w:sz w:val="24"/>
          <w:szCs w:val="24"/>
        </w:rPr>
        <w:t>ne</w:t>
      </w:r>
      <w:r w:rsidR="0020376B" w:rsidRPr="0020376B">
        <w:rPr>
          <w:rFonts w:ascii="Calibri" w:hAnsi="Calibri"/>
          <w:sz w:val="24"/>
          <w:szCs w:val="24"/>
        </w:rPr>
        <w:t xml:space="preserve">účelné </w:t>
      </w:r>
      <w:r w:rsidR="00330CD9">
        <w:rPr>
          <w:rFonts w:ascii="Calibri" w:hAnsi="Calibri"/>
          <w:sz w:val="24"/>
          <w:szCs w:val="24"/>
        </w:rPr>
        <w:t>nakládání s peněžními prostředky státu.</w:t>
      </w:r>
      <w:r w:rsidR="0020376B" w:rsidRPr="0020376B">
        <w:rPr>
          <w:rFonts w:ascii="Calibri" w:hAnsi="Calibri"/>
          <w:sz w:val="24"/>
          <w:szCs w:val="24"/>
        </w:rPr>
        <w:t xml:space="preserve"> </w:t>
      </w:r>
      <w:r w:rsidRPr="006E2CC6">
        <w:rPr>
          <w:rFonts w:ascii="Calibri" w:hAnsi="Calibri"/>
          <w:sz w:val="24"/>
          <w:szCs w:val="24"/>
        </w:rPr>
        <w:t>Neexistence cílů a potřeb např. v investiční oblasti negativně ovlivňuje čerpání peněžních prostředků státu a plnění stanovených cílů (</w:t>
      </w:r>
      <w:r w:rsidR="005A1795">
        <w:rPr>
          <w:rFonts w:ascii="Calibri" w:hAnsi="Calibri"/>
          <w:sz w:val="24"/>
          <w:szCs w:val="24"/>
        </w:rPr>
        <w:t xml:space="preserve">viz </w:t>
      </w:r>
      <w:r w:rsidRPr="006E2CC6">
        <w:rPr>
          <w:rFonts w:ascii="Calibri" w:hAnsi="Calibri"/>
          <w:sz w:val="24"/>
          <w:szCs w:val="24"/>
        </w:rPr>
        <w:t>část IV.3.2</w:t>
      </w:r>
      <w:r w:rsidR="005A1795">
        <w:rPr>
          <w:rFonts w:ascii="Calibri" w:hAnsi="Calibri"/>
          <w:sz w:val="24"/>
          <w:szCs w:val="24"/>
        </w:rPr>
        <w:t xml:space="preserve"> tohoto kontrolního závěru</w:t>
      </w:r>
      <w:r w:rsidRPr="006E2CC6">
        <w:rPr>
          <w:rFonts w:ascii="Calibri" w:hAnsi="Calibri"/>
          <w:sz w:val="24"/>
          <w:szCs w:val="24"/>
        </w:rPr>
        <w:t>). Důsledkem byla nepřipravenost konkrétních investičních akcí k realizaci a omezená možnost zajistit optimální rozvoj a</w:t>
      </w:r>
      <w:r w:rsidR="005A1795">
        <w:rPr>
          <w:rFonts w:ascii="Calibri" w:hAnsi="Calibri"/>
          <w:sz w:val="24"/>
          <w:szCs w:val="24"/>
        </w:rPr>
        <w:t> </w:t>
      </w:r>
      <w:r w:rsidRPr="006E2CC6">
        <w:rPr>
          <w:rFonts w:ascii="Calibri" w:hAnsi="Calibri"/>
          <w:sz w:val="24"/>
          <w:szCs w:val="24"/>
        </w:rPr>
        <w:t>obnovu materiálně technické základny GIBS (</w:t>
      </w:r>
      <w:r w:rsidR="005A1795">
        <w:rPr>
          <w:rFonts w:ascii="Calibri" w:hAnsi="Calibri"/>
          <w:sz w:val="24"/>
          <w:szCs w:val="24"/>
        </w:rPr>
        <w:t xml:space="preserve">viz </w:t>
      </w:r>
      <w:r w:rsidRPr="006E2CC6">
        <w:rPr>
          <w:rFonts w:ascii="Calibri" w:hAnsi="Calibri"/>
          <w:sz w:val="24"/>
          <w:szCs w:val="24"/>
        </w:rPr>
        <w:t>část IV.3</w:t>
      </w:r>
      <w:r w:rsidR="005A1795">
        <w:rPr>
          <w:rFonts w:ascii="Calibri" w:hAnsi="Calibri"/>
          <w:sz w:val="24"/>
          <w:szCs w:val="24"/>
        </w:rPr>
        <w:t xml:space="preserve"> tohoto kontrolního závěru</w:t>
      </w:r>
      <w:r w:rsidRPr="006E2CC6">
        <w:rPr>
          <w:rFonts w:ascii="Calibri" w:hAnsi="Calibri"/>
          <w:sz w:val="24"/>
          <w:szCs w:val="24"/>
        </w:rPr>
        <w:t>),</w:t>
      </w:r>
      <w:r w:rsidR="001F6E21">
        <w:rPr>
          <w:rFonts w:ascii="Calibri" w:hAnsi="Calibri"/>
          <w:sz w:val="24"/>
          <w:szCs w:val="24"/>
        </w:rPr>
        <w:t xml:space="preserve"> </w:t>
      </w:r>
      <w:r w:rsidRPr="006E2CC6">
        <w:rPr>
          <w:rFonts w:ascii="Calibri" w:hAnsi="Calibri"/>
          <w:sz w:val="24"/>
          <w:szCs w:val="24"/>
        </w:rPr>
        <w:t>což dokládá výše</w:t>
      </w:r>
      <w:r w:rsidR="00CF75B3">
        <w:rPr>
          <w:rFonts w:ascii="Calibri" w:hAnsi="Calibri"/>
          <w:sz w:val="24"/>
          <w:szCs w:val="24"/>
        </w:rPr>
        <w:t xml:space="preserve"> čerpaných</w:t>
      </w:r>
      <w:r w:rsidRPr="006E2CC6">
        <w:rPr>
          <w:rFonts w:ascii="Calibri" w:hAnsi="Calibri"/>
          <w:sz w:val="24"/>
          <w:szCs w:val="24"/>
        </w:rPr>
        <w:t xml:space="preserve"> kapitálových výdajů v kontrolovaném období.</w:t>
      </w:r>
      <w:r w:rsidR="00D9524B">
        <w:rPr>
          <w:rFonts w:ascii="Calibri" w:hAnsi="Calibri"/>
          <w:sz w:val="24"/>
          <w:szCs w:val="24"/>
        </w:rPr>
        <w:t xml:space="preserve"> </w:t>
      </w:r>
      <w:r w:rsidR="004F0686">
        <w:rPr>
          <w:rFonts w:ascii="Calibri" w:eastAsia="Calibri" w:hAnsi="Calibri" w:cs="Calibri"/>
          <w:color w:val="000000"/>
          <w:sz w:val="24"/>
          <w:szCs w:val="24"/>
          <w:lang w:eastAsia="cs-CZ"/>
        </w:rPr>
        <w:t>Dopadem absence průběžného plánování a</w:t>
      </w:r>
      <w:r w:rsidR="005A1795">
        <w:rPr>
          <w:rFonts w:ascii="Calibri" w:eastAsia="Calibri" w:hAnsi="Calibri" w:cs="Calibri"/>
          <w:color w:val="000000"/>
          <w:sz w:val="24"/>
          <w:szCs w:val="24"/>
          <w:lang w:eastAsia="cs-CZ"/>
        </w:rPr>
        <w:t> </w:t>
      </w:r>
      <w:r w:rsidR="004F0686">
        <w:rPr>
          <w:rFonts w:ascii="Calibri" w:eastAsia="Calibri" w:hAnsi="Calibri" w:cs="Calibri"/>
          <w:color w:val="000000"/>
          <w:sz w:val="24"/>
          <w:szCs w:val="24"/>
          <w:lang w:eastAsia="cs-CZ"/>
        </w:rPr>
        <w:t xml:space="preserve">vyhodnocování personální oblasti byla od roku 2018 </w:t>
      </w:r>
      <w:r w:rsidR="00A30A5B">
        <w:rPr>
          <w:rFonts w:ascii="Calibri" w:eastAsia="Calibri" w:hAnsi="Calibri" w:cs="Calibri"/>
          <w:color w:val="000000"/>
          <w:sz w:val="24"/>
          <w:szCs w:val="24"/>
          <w:lang w:eastAsia="cs-CZ"/>
        </w:rPr>
        <w:t xml:space="preserve">mimo jiné </w:t>
      </w:r>
      <w:r w:rsidR="004F0686">
        <w:rPr>
          <w:rFonts w:ascii="Calibri" w:eastAsia="Calibri" w:hAnsi="Calibri" w:cs="Calibri"/>
          <w:color w:val="000000"/>
          <w:sz w:val="24"/>
          <w:szCs w:val="24"/>
          <w:lang w:eastAsia="cs-CZ"/>
        </w:rPr>
        <w:t>nutnost GIBS každoročně žádat v průběhu roku o navýšení rozpočtu</w:t>
      </w:r>
      <w:r w:rsidR="004F0686" w:rsidRPr="00980F84">
        <w:rPr>
          <w:rFonts w:ascii="Calibri" w:eastAsia="Calibri" w:hAnsi="Calibri" w:cs="Calibri"/>
          <w:color w:val="000000"/>
          <w:sz w:val="24"/>
          <w:szCs w:val="24"/>
          <w:lang w:eastAsia="cs-CZ"/>
        </w:rPr>
        <w:t xml:space="preserve"> </w:t>
      </w:r>
      <w:r w:rsidR="004F0686">
        <w:rPr>
          <w:rFonts w:ascii="Calibri" w:eastAsia="Calibri" w:hAnsi="Calibri" w:cs="Calibri"/>
          <w:color w:val="000000"/>
          <w:sz w:val="24"/>
          <w:szCs w:val="24"/>
          <w:lang w:eastAsia="cs-CZ"/>
        </w:rPr>
        <w:t xml:space="preserve">GIBS </w:t>
      </w:r>
      <w:r w:rsidR="004F0686" w:rsidRPr="00980F84">
        <w:rPr>
          <w:rFonts w:ascii="Calibri" w:eastAsia="Calibri" w:hAnsi="Calibri" w:cs="Calibri"/>
          <w:color w:val="000000"/>
          <w:sz w:val="24"/>
          <w:szCs w:val="24"/>
          <w:lang w:eastAsia="cs-CZ"/>
        </w:rPr>
        <w:t xml:space="preserve">na </w:t>
      </w:r>
      <w:r w:rsidR="00CF75B3">
        <w:rPr>
          <w:rFonts w:ascii="Calibri" w:eastAsia="Calibri" w:hAnsi="Calibri" w:cs="Calibri"/>
          <w:color w:val="000000"/>
          <w:sz w:val="24"/>
          <w:szCs w:val="24"/>
          <w:lang w:eastAsia="cs-CZ"/>
        </w:rPr>
        <w:t>mj.</w:t>
      </w:r>
      <w:r w:rsidR="0081537D">
        <w:rPr>
          <w:rFonts w:ascii="Calibri" w:eastAsia="Calibri" w:hAnsi="Calibri" w:cs="Calibri"/>
          <w:color w:val="000000"/>
          <w:sz w:val="24"/>
          <w:szCs w:val="24"/>
          <w:lang w:eastAsia="cs-CZ"/>
        </w:rPr>
        <w:t> </w:t>
      </w:r>
      <w:r w:rsidR="00CF75B3">
        <w:rPr>
          <w:rFonts w:ascii="Calibri" w:eastAsia="Calibri" w:hAnsi="Calibri" w:cs="Calibri"/>
          <w:color w:val="000000"/>
          <w:sz w:val="24"/>
          <w:szCs w:val="24"/>
          <w:lang w:eastAsia="cs-CZ"/>
        </w:rPr>
        <w:t>výsluhový příspěvek</w:t>
      </w:r>
      <w:r w:rsidR="004F0686">
        <w:rPr>
          <w:rFonts w:ascii="Calibri" w:eastAsia="Calibri" w:hAnsi="Calibri" w:cs="Calibri"/>
          <w:color w:val="000000"/>
          <w:sz w:val="24"/>
          <w:szCs w:val="24"/>
          <w:lang w:eastAsia="cs-CZ"/>
        </w:rPr>
        <w:t xml:space="preserve"> z rozpočtové kapitoly 396 – </w:t>
      </w:r>
      <w:r w:rsidR="004F0686" w:rsidRPr="009D6D78">
        <w:rPr>
          <w:rFonts w:ascii="Calibri" w:eastAsia="Calibri" w:hAnsi="Calibri" w:cs="Calibri"/>
          <w:i/>
          <w:color w:val="000000"/>
          <w:sz w:val="24"/>
          <w:szCs w:val="24"/>
          <w:lang w:eastAsia="cs-CZ"/>
        </w:rPr>
        <w:t>Státní dluh</w:t>
      </w:r>
      <w:r w:rsidR="004F0686">
        <w:rPr>
          <w:rFonts w:ascii="Calibri" w:eastAsia="Calibri" w:hAnsi="Calibri" w:cs="Calibri"/>
          <w:color w:val="000000"/>
          <w:sz w:val="24"/>
          <w:szCs w:val="24"/>
          <w:lang w:eastAsia="cs-CZ"/>
        </w:rPr>
        <w:t>.</w:t>
      </w:r>
    </w:p>
    <w:p w14:paraId="0FE80E63" w14:textId="095FCD35" w:rsidR="00662D19" w:rsidRPr="00761604" w:rsidRDefault="00662D19" w:rsidP="00484348">
      <w:pPr>
        <w:numPr>
          <w:ilvl w:val="0"/>
          <w:numId w:val="4"/>
        </w:numPr>
        <w:spacing w:after="120" w:line="264" w:lineRule="auto"/>
        <w:ind w:left="227" w:hanging="227"/>
        <w:contextualSpacing/>
        <w:jc w:val="both"/>
        <w:rPr>
          <w:rFonts w:ascii="Calibri" w:eastAsia="Calibri" w:hAnsi="Calibri"/>
          <w:sz w:val="24"/>
          <w:szCs w:val="24"/>
        </w:rPr>
      </w:pPr>
      <w:r w:rsidRPr="00761604">
        <w:rPr>
          <w:rFonts w:ascii="Calibri" w:eastAsia="Calibri" w:hAnsi="Calibri"/>
          <w:bCs/>
          <w:sz w:val="24"/>
          <w:szCs w:val="24"/>
        </w:rPr>
        <w:t xml:space="preserve">GIBS nerozpočtovala nedaňové a kapitálové příjmy, ačkoliv </w:t>
      </w:r>
      <w:r w:rsidR="00AC3B54">
        <w:rPr>
          <w:rFonts w:ascii="Calibri" w:eastAsia="Calibri" w:hAnsi="Calibri"/>
          <w:bCs/>
          <w:sz w:val="24"/>
          <w:szCs w:val="24"/>
        </w:rPr>
        <w:t>každoročně</w:t>
      </w:r>
      <w:r w:rsidRPr="00761604">
        <w:rPr>
          <w:rFonts w:ascii="Calibri" w:eastAsia="Calibri" w:hAnsi="Calibri"/>
          <w:bCs/>
          <w:sz w:val="24"/>
          <w:szCs w:val="24"/>
        </w:rPr>
        <w:t xml:space="preserve"> dosahovaly řádově několika stovek tisíc</w:t>
      </w:r>
      <w:r w:rsidR="001E413D">
        <w:rPr>
          <w:rFonts w:ascii="Calibri" w:eastAsia="Calibri" w:hAnsi="Calibri"/>
          <w:bCs/>
          <w:sz w:val="24"/>
          <w:szCs w:val="24"/>
        </w:rPr>
        <w:t>ů</w:t>
      </w:r>
      <w:r w:rsidRPr="00761604">
        <w:rPr>
          <w:rFonts w:ascii="Calibri" w:eastAsia="Calibri" w:hAnsi="Calibri"/>
          <w:bCs/>
          <w:sz w:val="24"/>
          <w:szCs w:val="24"/>
        </w:rPr>
        <w:t xml:space="preserve"> korun</w:t>
      </w:r>
      <w:r w:rsidR="00761604">
        <w:rPr>
          <w:rFonts w:ascii="Calibri" w:eastAsia="Calibri" w:hAnsi="Calibri"/>
          <w:bCs/>
          <w:sz w:val="24"/>
          <w:szCs w:val="24"/>
        </w:rPr>
        <w:t>.</w:t>
      </w:r>
      <w:r w:rsidRPr="00761604">
        <w:rPr>
          <w:rFonts w:ascii="Calibri" w:eastAsia="Calibri" w:hAnsi="Calibri"/>
          <w:bCs/>
          <w:sz w:val="24"/>
          <w:szCs w:val="24"/>
        </w:rPr>
        <w:t xml:space="preserve"> Jedn</w:t>
      </w:r>
      <w:r w:rsidR="004F0686">
        <w:rPr>
          <w:rFonts w:ascii="Calibri" w:eastAsia="Calibri" w:hAnsi="Calibri"/>
          <w:bCs/>
          <w:sz w:val="24"/>
          <w:szCs w:val="24"/>
        </w:rPr>
        <w:t xml:space="preserve">alo </w:t>
      </w:r>
      <w:r w:rsidRPr="00761604">
        <w:rPr>
          <w:rFonts w:ascii="Calibri" w:eastAsia="Calibri" w:hAnsi="Calibri"/>
          <w:bCs/>
          <w:sz w:val="24"/>
          <w:szCs w:val="24"/>
        </w:rPr>
        <w:t>se např.</w:t>
      </w:r>
      <w:r w:rsidR="00B4682A" w:rsidRPr="00761604">
        <w:rPr>
          <w:rFonts w:ascii="Calibri" w:eastAsia="Calibri" w:hAnsi="Calibri"/>
          <w:bCs/>
          <w:sz w:val="24"/>
          <w:szCs w:val="24"/>
        </w:rPr>
        <w:t xml:space="preserve"> o</w:t>
      </w:r>
      <w:r w:rsidRPr="00761604">
        <w:rPr>
          <w:rFonts w:ascii="Calibri" w:eastAsia="Calibri" w:hAnsi="Calibri"/>
          <w:bCs/>
          <w:sz w:val="24"/>
          <w:szCs w:val="24"/>
        </w:rPr>
        <w:t xml:space="preserve"> příjmy z pronájmu majetku nebo příjmy za úhradu nákladů za provoz ve služebních bytech, jejichž předpokládaná hodnota byla ze strany GIBS pro daný rok vyčíslitelná</w:t>
      </w:r>
      <w:r w:rsidR="00CC4CF2" w:rsidRPr="00761604">
        <w:rPr>
          <w:rFonts w:ascii="Calibri" w:eastAsia="Calibri" w:hAnsi="Calibri"/>
          <w:bCs/>
          <w:sz w:val="24"/>
          <w:szCs w:val="24"/>
        </w:rPr>
        <w:t xml:space="preserve"> (</w:t>
      </w:r>
      <w:r w:rsidR="005A1795">
        <w:rPr>
          <w:rFonts w:ascii="Calibri" w:eastAsia="Calibri" w:hAnsi="Calibri"/>
          <w:bCs/>
          <w:sz w:val="24"/>
          <w:szCs w:val="24"/>
        </w:rPr>
        <w:t xml:space="preserve">viz </w:t>
      </w:r>
      <w:r w:rsidR="00CC4CF2" w:rsidRPr="00761604">
        <w:rPr>
          <w:rFonts w:ascii="Calibri" w:eastAsia="Calibri" w:hAnsi="Calibri"/>
          <w:bCs/>
          <w:sz w:val="24"/>
          <w:szCs w:val="24"/>
        </w:rPr>
        <w:t>část IV.1.3</w:t>
      </w:r>
      <w:r w:rsidR="005A1795">
        <w:rPr>
          <w:rFonts w:ascii="Calibri" w:eastAsia="Calibri" w:hAnsi="Calibri"/>
          <w:bCs/>
          <w:sz w:val="24"/>
          <w:szCs w:val="24"/>
        </w:rPr>
        <w:t xml:space="preserve"> </w:t>
      </w:r>
      <w:r w:rsidR="005A1795">
        <w:rPr>
          <w:rFonts w:ascii="Calibri" w:hAnsi="Calibri"/>
          <w:sz w:val="24"/>
          <w:szCs w:val="24"/>
        </w:rPr>
        <w:t>tohoto kontrolního závěru</w:t>
      </w:r>
      <w:r w:rsidR="00CC4CF2" w:rsidRPr="00761604">
        <w:rPr>
          <w:rFonts w:ascii="Calibri" w:eastAsia="Calibri" w:hAnsi="Calibri"/>
          <w:bCs/>
          <w:sz w:val="24"/>
          <w:szCs w:val="24"/>
        </w:rPr>
        <w:t>)</w:t>
      </w:r>
      <w:r w:rsidRPr="00761604">
        <w:rPr>
          <w:rFonts w:ascii="Calibri" w:eastAsia="Calibri" w:hAnsi="Calibri"/>
          <w:bCs/>
          <w:sz w:val="24"/>
          <w:szCs w:val="24"/>
        </w:rPr>
        <w:t>. Na tento nedo</w:t>
      </w:r>
      <w:r w:rsidR="002F4CBD">
        <w:rPr>
          <w:rFonts w:ascii="Calibri" w:eastAsia="Calibri" w:hAnsi="Calibri"/>
          <w:bCs/>
          <w:sz w:val="24"/>
          <w:szCs w:val="24"/>
        </w:rPr>
        <w:t>statek byla GIBS upozorněna i Ministerstvem financí (dále také „MF“)</w:t>
      </w:r>
      <w:r w:rsidRPr="00761604">
        <w:rPr>
          <w:rFonts w:ascii="Calibri" w:eastAsia="Calibri" w:hAnsi="Calibri"/>
          <w:bCs/>
          <w:sz w:val="24"/>
          <w:szCs w:val="24"/>
        </w:rPr>
        <w:t xml:space="preserve"> při veřejnosprávní kontrole již v roce 2018.</w:t>
      </w:r>
      <w:r w:rsidRPr="00761604">
        <w:rPr>
          <w:rFonts w:ascii="Calibri" w:eastAsia="Calibri" w:hAnsi="Calibri"/>
          <w:sz w:val="24"/>
          <w:szCs w:val="24"/>
        </w:rPr>
        <w:t xml:space="preserve"> MF vytklo GIBS také vysoký počet rozpočtových opatření a </w:t>
      </w:r>
      <w:r w:rsidRPr="00761604">
        <w:rPr>
          <w:rFonts w:ascii="Calibri" w:eastAsia="Calibri" w:hAnsi="Calibri"/>
          <w:bCs/>
          <w:sz w:val="24"/>
          <w:szCs w:val="24"/>
        </w:rPr>
        <w:t xml:space="preserve">přesuny prostředků na rozpočtové položky, které nejsou čerpány </w:t>
      </w:r>
      <w:r w:rsidR="00280AED">
        <w:rPr>
          <w:rFonts w:ascii="Calibri" w:eastAsia="Calibri" w:hAnsi="Calibri"/>
          <w:bCs/>
          <w:sz w:val="24"/>
          <w:szCs w:val="24"/>
        </w:rPr>
        <w:t xml:space="preserve">a </w:t>
      </w:r>
      <w:r w:rsidRPr="00761604">
        <w:rPr>
          <w:rFonts w:ascii="Calibri" w:eastAsia="Calibri" w:hAnsi="Calibri"/>
          <w:bCs/>
          <w:sz w:val="24"/>
          <w:szCs w:val="24"/>
        </w:rPr>
        <w:t xml:space="preserve">ani se jejich čerpání nepředpokládá. </w:t>
      </w:r>
      <w:r w:rsidR="00C33520">
        <w:rPr>
          <w:rFonts w:ascii="Calibri" w:hAnsi="Calibri" w:cs="Calibri"/>
          <w:sz w:val="24"/>
          <w:szCs w:val="24"/>
        </w:rPr>
        <w:t>T</w:t>
      </w:r>
      <w:r w:rsidR="00761604">
        <w:rPr>
          <w:rFonts w:ascii="Calibri" w:hAnsi="Calibri" w:cs="Calibri"/>
          <w:sz w:val="24"/>
          <w:szCs w:val="24"/>
        </w:rPr>
        <w:t xml:space="preserve">yto </w:t>
      </w:r>
      <w:r w:rsidR="00CC4CF2" w:rsidRPr="00761604">
        <w:rPr>
          <w:rFonts w:ascii="Calibri" w:hAnsi="Calibri" w:cs="Calibri"/>
          <w:sz w:val="24"/>
          <w:szCs w:val="24"/>
        </w:rPr>
        <w:t xml:space="preserve">nedostatky zjistil NKÚ opakovaně i v následujících letech. </w:t>
      </w:r>
      <w:r w:rsidR="00385DB1">
        <w:rPr>
          <w:rFonts w:ascii="Calibri" w:hAnsi="Calibri" w:cs="Calibri"/>
          <w:sz w:val="24"/>
          <w:szCs w:val="24"/>
        </w:rPr>
        <w:t>Z výše uvedených skutečností a </w:t>
      </w:r>
      <w:r w:rsidR="0089055F">
        <w:rPr>
          <w:rFonts w:ascii="Calibri" w:hAnsi="Calibri" w:cs="Calibri"/>
          <w:sz w:val="24"/>
          <w:szCs w:val="24"/>
        </w:rPr>
        <w:t xml:space="preserve">opakujících se </w:t>
      </w:r>
      <w:r w:rsidR="00930F74">
        <w:rPr>
          <w:rFonts w:ascii="Calibri" w:hAnsi="Calibri" w:cs="Calibri"/>
          <w:sz w:val="24"/>
          <w:szCs w:val="24"/>
        </w:rPr>
        <w:t xml:space="preserve">zjištěných </w:t>
      </w:r>
      <w:r w:rsidR="0089055F">
        <w:rPr>
          <w:rFonts w:ascii="Calibri" w:hAnsi="Calibri" w:cs="Calibri"/>
          <w:sz w:val="24"/>
          <w:szCs w:val="24"/>
        </w:rPr>
        <w:t xml:space="preserve">nedostatků </w:t>
      </w:r>
      <w:r w:rsidR="00CC4CF2" w:rsidRPr="00761604">
        <w:rPr>
          <w:rFonts w:ascii="Calibri" w:hAnsi="Calibri" w:cs="Calibri"/>
          <w:sz w:val="24"/>
          <w:szCs w:val="24"/>
        </w:rPr>
        <w:t>NKÚ proto vyhodnotil vnitřní kontrolní systém GIBS jako omezeně funkční (</w:t>
      </w:r>
      <w:r w:rsidR="005A1795">
        <w:rPr>
          <w:rFonts w:ascii="Calibri" w:hAnsi="Calibri" w:cs="Calibri"/>
          <w:sz w:val="24"/>
          <w:szCs w:val="24"/>
        </w:rPr>
        <w:t xml:space="preserve">viz </w:t>
      </w:r>
      <w:r w:rsidR="00CC4CF2" w:rsidRPr="00761604">
        <w:rPr>
          <w:rFonts w:ascii="Calibri" w:hAnsi="Calibri" w:cs="Calibri"/>
          <w:sz w:val="24"/>
          <w:szCs w:val="24"/>
        </w:rPr>
        <w:t>část IV.5.2</w:t>
      </w:r>
      <w:r w:rsidR="005A1795">
        <w:rPr>
          <w:rFonts w:ascii="Calibri" w:hAnsi="Calibri" w:cs="Calibri"/>
          <w:sz w:val="24"/>
          <w:szCs w:val="24"/>
        </w:rPr>
        <w:t xml:space="preserve"> </w:t>
      </w:r>
      <w:r w:rsidR="005A1795">
        <w:rPr>
          <w:rFonts w:ascii="Calibri" w:hAnsi="Calibri"/>
          <w:sz w:val="24"/>
          <w:szCs w:val="24"/>
        </w:rPr>
        <w:t>tohoto kontrolního závěru</w:t>
      </w:r>
      <w:r w:rsidR="00CC4CF2" w:rsidRPr="00761604">
        <w:rPr>
          <w:rFonts w:ascii="Calibri" w:hAnsi="Calibri" w:cs="Calibri"/>
          <w:sz w:val="24"/>
          <w:szCs w:val="24"/>
        </w:rPr>
        <w:t>).</w:t>
      </w:r>
    </w:p>
    <w:p w14:paraId="10EE59B5" w14:textId="77777777" w:rsidR="003A5711" w:rsidRPr="003A5711" w:rsidRDefault="003A5711" w:rsidP="001F411F">
      <w:pPr>
        <w:spacing w:before="480" w:after="120"/>
        <w:jc w:val="center"/>
        <w:outlineLvl w:val="0"/>
        <w:rPr>
          <w:rFonts w:cstheme="minorHAnsi"/>
          <w:b/>
          <w:sz w:val="28"/>
          <w:szCs w:val="28"/>
        </w:rPr>
      </w:pPr>
      <w:r w:rsidRPr="003A5711">
        <w:rPr>
          <w:rFonts w:cstheme="minorHAnsi"/>
          <w:b/>
          <w:sz w:val="28"/>
          <w:szCs w:val="28"/>
        </w:rPr>
        <w:t>II. Informace o kontrolované oblasti</w:t>
      </w:r>
    </w:p>
    <w:p w14:paraId="22F426E2" w14:textId="5D5CC6E8" w:rsidR="003A5711" w:rsidRPr="003A5711" w:rsidRDefault="003A5711" w:rsidP="00484348">
      <w:pPr>
        <w:spacing w:after="120" w:line="264" w:lineRule="auto"/>
        <w:ind w:right="6" w:hanging="11"/>
        <w:jc w:val="both"/>
        <w:rPr>
          <w:rFonts w:cstheme="minorHAnsi"/>
          <w:sz w:val="24"/>
          <w:szCs w:val="24"/>
        </w:rPr>
      </w:pPr>
      <w:r w:rsidRPr="003A5711">
        <w:rPr>
          <w:rFonts w:ascii="Calibri" w:eastAsia="Calibri" w:hAnsi="Calibri" w:cs="Calibri"/>
          <w:color w:val="000000"/>
          <w:sz w:val="24"/>
          <w:lang w:eastAsia="cs-CZ"/>
        </w:rPr>
        <w:t xml:space="preserve">GIBS byla </w:t>
      </w:r>
      <w:r w:rsidRPr="003A5711">
        <w:rPr>
          <w:rFonts w:ascii="Calibri" w:eastAsia="Calibri" w:hAnsi="Calibri" w:cs="Calibri"/>
          <w:sz w:val="24"/>
          <w:lang w:eastAsia="cs-CZ"/>
        </w:rPr>
        <w:t>zřízena zákon</w:t>
      </w:r>
      <w:r w:rsidR="00965B88">
        <w:rPr>
          <w:rFonts w:ascii="Calibri" w:eastAsia="Calibri" w:hAnsi="Calibri" w:cs="Calibri"/>
          <w:sz w:val="24"/>
          <w:lang w:eastAsia="cs-CZ"/>
        </w:rPr>
        <w:t>em</w:t>
      </w:r>
      <w:r w:rsidRPr="003A5711">
        <w:rPr>
          <w:rFonts w:ascii="Calibri" w:eastAsia="Calibri" w:hAnsi="Calibri" w:cs="Calibri"/>
          <w:sz w:val="24"/>
          <w:lang w:eastAsia="cs-CZ"/>
        </w:rPr>
        <w:t xml:space="preserve"> č. </w:t>
      </w:r>
      <w:r w:rsidRPr="003A5711">
        <w:rPr>
          <w:rFonts w:ascii="Calibri" w:eastAsia="Calibri" w:hAnsi="Calibri" w:cs="Calibri"/>
          <w:color w:val="000000"/>
          <w:sz w:val="24"/>
          <w:lang w:eastAsia="cs-CZ"/>
        </w:rPr>
        <w:t>341/2011 Sb., který vymezuje její hlavní úkoly, což je především vyhledávat, odhalovat a vyšetřovat skutečnosti nasvědčující tomu, že byl spáchán trestný čin, jehož pachatelem je příslušník Policie Č</w:t>
      </w:r>
      <w:r w:rsidR="006E2CC6">
        <w:rPr>
          <w:rFonts w:ascii="Calibri" w:eastAsia="Calibri" w:hAnsi="Calibri" w:cs="Calibri"/>
          <w:color w:val="000000"/>
          <w:sz w:val="24"/>
          <w:lang w:eastAsia="cs-CZ"/>
        </w:rPr>
        <w:t>eské republiky</w:t>
      </w:r>
      <w:r w:rsidRPr="003A5711">
        <w:rPr>
          <w:rFonts w:ascii="Calibri" w:eastAsia="Calibri" w:hAnsi="Calibri" w:cs="Calibri"/>
          <w:color w:val="000000"/>
          <w:sz w:val="24"/>
          <w:lang w:eastAsia="cs-CZ"/>
        </w:rPr>
        <w:t xml:space="preserve">, celník, příslušník Vězeňské služby ČR, příslušník GIBS anebo zaměstnanci těchto útvarů. GIBS také provádí zkoušky spolehlivosti vůči protiprávnímu jednání uvedených příslušníků a zaměstnanců. </w:t>
      </w:r>
      <w:r w:rsidRPr="003A5711">
        <w:rPr>
          <w:rFonts w:cstheme="minorHAnsi"/>
          <w:sz w:val="24"/>
          <w:szCs w:val="24"/>
        </w:rPr>
        <w:t>GIBS při plnění svých úkolů spolupracuje s ozbrojenými silami, bezpečnostními sbory a dalšími orgány veřejné správy, jakož i s právnickými a fyzickými osobami.</w:t>
      </w:r>
    </w:p>
    <w:p w14:paraId="0B847370" w14:textId="603E169C" w:rsidR="003A5711" w:rsidRPr="003A5711" w:rsidRDefault="003A5711" w:rsidP="00484348">
      <w:pPr>
        <w:spacing w:after="120" w:line="264" w:lineRule="auto"/>
        <w:jc w:val="both"/>
        <w:rPr>
          <w:sz w:val="24"/>
          <w:szCs w:val="24"/>
        </w:rPr>
      </w:pPr>
      <w:r w:rsidRPr="003A5711">
        <w:rPr>
          <w:rFonts w:cstheme="minorHAnsi"/>
          <w:sz w:val="24"/>
          <w:szCs w:val="24"/>
        </w:rPr>
        <w:lastRenderedPageBreak/>
        <w:t xml:space="preserve">GIBS je samostatný ozbrojený bezpečnostní sbor, organizační složka státu a účetní jednotka. Toto uspořádání je odlišné od většiny evropských zemí, </w:t>
      </w:r>
      <w:r w:rsidR="00965B88">
        <w:rPr>
          <w:rFonts w:cstheme="minorHAnsi"/>
          <w:sz w:val="24"/>
          <w:szCs w:val="24"/>
        </w:rPr>
        <w:t>ve kterých</w:t>
      </w:r>
      <w:r w:rsidR="00385DB1">
        <w:rPr>
          <w:rFonts w:cstheme="minorHAnsi"/>
          <w:sz w:val="24"/>
          <w:szCs w:val="24"/>
        </w:rPr>
        <w:t xml:space="preserve"> je orgán prověřující a </w:t>
      </w:r>
      <w:r w:rsidRPr="003A5711">
        <w:rPr>
          <w:rFonts w:cstheme="minorHAnsi"/>
          <w:sz w:val="24"/>
          <w:szCs w:val="24"/>
        </w:rPr>
        <w:t>vyšetřující trestnou činnost policistů začleněn v rámci ministerstva vnitra</w:t>
      </w:r>
      <w:r w:rsidRPr="003A5711">
        <w:rPr>
          <w:sz w:val="24"/>
          <w:szCs w:val="24"/>
        </w:rPr>
        <w:t xml:space="preserve">. Organizační strukturu GIBS k 31. </w:t>
      </w:r>
      <w:r w:rsidR="003F0330">
        <w:rPr>
          <w:sz w:val="24"/>
          <w:szCs w:val="24"/>
        </w:rPr>
        <w:t>prosinci</w:t>
      </w:r>
      <w:r w:rsidRPr="003A5711">
        <w:rPr>
          <w:sz w:val="24"/>
          <w:szCs w:val="24"/>
        </w:rPr>
        <w:t xml:space="preserve"> 2020 tvořil</w:t>
      </w:r>
      <w:r w:rsidR="00A9382D">
        <w:rPr>
          <w:sz w:val="24"/>
          <w:szCs w:val="24"/>
        </w:rPr>
        <w:t>o pracoviště</w:t>
      </w:r>
      <w:r w:rsidR="001C169E">
        <w:rPr>
          <w:sz w:val="24"/>
          <w:szCs w:val="24"/>
        </w:rPr>
        <w:t xml:space="preserve"> </w:t>
      </w:r>
      <w:r w:rsidRPr="003A5711">
        <w:rPr>
          <w:rFonts w:cstheme="minorHAnsi"/>
          <w:sz w:val="24"/>
          <w:szCs w:val="24"/>
        </w:rPr>
        <w:t xml:space="preserve">v Praze a dvanáct krajských oddělení GIBS. </w:t>
      </w:r>
      <w:r w:rsidRPr="003A5711">
        <w:rPr>
          <w:sz w:val="24"/>
          <w:szCs w:val="24"/>
        </w:rPr>
        <w:t>GIBS měla 333 systemizovaných služebních a pracovních míst, přepočtený počet příslušníků a zaměstnanců ke stejnému datu byl 299.</w:t>
      </w:r>
    </w:p>
    <w:p w14:paraId="734D402A" w14:textId="359DB345" w:rsidR="003A5711" w:rsidRPr="00662D19" w:rsidRDefault="003A5711" w:rsidP="00484348">
      <w:pPr>
        <w:spacing w:after="120" w:line="264" w:lineRule="auto"/>
        <w:ind w:right="6" w:hanging="11"/>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 xml:space="preserve">GIBS byla příslušná hospodařit k 31. </w:t>
      </w:r>
      <w:r w:rsidR="003F0330">
        <w:rPr>
          <w:rFonts w:ascii="Calibri" w:eastAsia="Calibri" w:hAnsi="Calibri" w:cs="Calibri"/>
          <w:color w:val="000000"/>
          <w:sz w:val="24"/>
          <w:szCs w:val="24"/>
          <w:lang w:eastAsia="cs-CZ"/>
        </w:rPr>
        <w:t>prosinci</w:t>
      </w:r>
      <w:r w:rsidRPr="003A5711">
        <w:rPr>
          <w:rFonts w:ascii="Calibri" w:eastAsia="Calibri" w:hAnsi="Calibri" w:cs="Calibri"/>
          <w:color w:val="000000"/>
          <w:sz w:val="24"/>
          <w:szCs w:val="24"/>
          <w:lang w:eastAsia="cs-CZ"/>
        </w:rPr>
        <w:t xml:space="preserve"> 2020 s majet</w:t>
      </w:r>
      <w:r w:rsidR="00385DB1">
        <w:rPr>
          <w:rFonts w:ascii="Calibri" w:eastAsia="Calibri" w:hAnsi="Calibri" w:cs="Calibri"/>
          <w:color w:val="000000"/>
          <w:sz w:val="24"/>
          <w:szCs w:val="24"/>
          <w:lang w:eastAsia="cs-CZ"/>
        </w:rPr>
        <w:t>kem státu v celkové hodnotě 224 </w:t>
      </w:r>
      <w:r w:rsidRPr="003A5711">
        <w:rPr>
          <w:rFonts w:ascii="Calibri" w:eastAsia="Calibri" w:hAnsi="Calibri" w:cs="Calibri"/>
          <w:color w:val="000000"/>
          <w:sz w:val="24"/>
          <w:szCs w:val="24"/>
          <w:lang w:eastAsia="cs-CZ"/>
        </w:rPr>
        <w:t>mil. Kč, z toho nejvýznamnější položku představují nemovit</w:t>
      </w:r>
      <w:r w:rsidR="00A9382D">
        <w:rPr>
          <w:rFonts w:ascii="Calibri" w:eastAsia="Calibri" w:hAnsi="Calibri" w:cs="Calibri"/>
          <w:color w:val="000000"/>
          <w:sz w:val="24"/>
          <w:szCs w:val="24"/>
          <w:lang w:eastAsia="cs-CZ"/>
        </w:rPr>
        <w:t>é věci</w:t>
      </w:r>
      <w:r w:rsidRPr="003A5711">
        <w:rPr>
          <w:rFonts w:ascii="Calibri" w:eastAsia="Calibri" w:hAnsi="Calibri" w:cs="Calibri"/>
          <w:color w:val="000000"/>
          <w:sz w:val="24"/>
          <w:szCs w:val="24"/>
          <w:lang w:eastAsia="cs-CZ"/>
        </w:rPr>
        <w:t xml:space="preserve"> včetně pozemků (126</w:t>
      </w:r>
      <w:r w:rsidR="007F02E4">
        <w:rPr>
          <w:rFonts w:ascii="Calibri" w:eastAsia="Calibri" w:hAnsi="Calibri" w:cs="Calibri"/>
          <w:color w:val="000000"/>
          <w:sz w:val="24"/>
          <w:szCs w:val="24"/>
          <w:lang w:eastAsia="cs-CZ"/>
        </w:rPr>
        <w:t> mil. </w:t>
      </w:r>
      <w:r w:rsidRPr="003A5711">
        <w:rPr>
          <w:rFonts w:ascii="Calibri" w:eastAsia="Calibri" w:hAnsi="Calibri" w:cs="Calibri"/>
          <w:color w:val="000000"/>
          <w:sz w:val="24"/>
          <w:szCs w:val="24"/>
          <w:lang w:eastAsia="cs-CZ"/>
        </w:rPr>
        <w:t xml:space="preserve">Kč) a samostatné movité věci (34 mil. Kč). Hodnota majetku státu, se kterým je příslušná </w:t>
      </w:r>
      <w:r w:rsidRPr="00662D19">
        <w:rPr>
          <w:rFonts w:ascii="Calibri" w:eastAsia="Calibri" w:hAnsi="Calibri" w:cs="Calibri"/>
          <w:color w:val="000000"/>
          <w:sz w:val="24"/>
          <w:szCs w:val="24"/>
          <w:lang w:eastAsia="cs-CZ"/>
        </w:rPr>
        <w:t xml:space="preserve">hospodařit GIBS se v kontrolovaném období významně neměnila. </w:t>
      </w:r>
    </w:p>
    <w:p w14:paraId="2908D2F2" w14:textId="6DA326A0" w:rsidR="00CA4434" w:rsidRDefault="003A5711" w:rsidP="00484348">
      <w:pPr>
        <w:spacing w:after="120" w:line="264" w:lineRule="auto"/>
        <w:jc w:val="both"/>
        <w:rPr>
          <w:rFonts w:ascii="Calibri" w:eastAsia="Calibri" w:hAnsi="Calibri" w:cs="Calibri"/>
          <w:color w:val="000000"/>
          <w:sz w:val="24"/>
          <w:szCs w:val="24"/>
          <w:lang w:eastAsia="cs-CZ"/>
        </w:rPr>
      </w:pPr>
      <w:r w:rsidRPr="00662D19">
        <w:rPr>
          <w:rFonts w:cstheme="minorHAnsi"/>
          <w:sz w:val="24"/>
          <w:szCs w:val="24"/>
        </w:rPr>
        <w:t>Výdaje GIBS v kontrolovaném období meziročně rostly. Jak vyplývá z tabulky č.</w:t>
      </w:r>
      <w:r w:rsidR="00662D19" w:rsidRPr="00662D19">
        <w:rPr>
          <w:rFonts w:cstheme="minorHAnsi"/>
          <w:sz w:val="24"/>
          <w:szCs w:val="24"/>
        </w:rPr>
        <w:t xml:space="preserve"> 1</w:t>
      </w:r>
      <w:r w:rsidR="00290A7E">
        <w:rPr>
          <w:rFonts w:cstheme="minorHAnsi"/>
          <w:sz w:val="24"/>
          <w:szCs w:val="24"/>
        </w:rPr>
        <w:t>,</w:t>
      </w:r>
      <w:r w:rsidRPr="00662D19">
        <w:rPr>
          <w:rFonts w:cstheme="minorHAnsi"/>
          <w:sz w:val="24"/>
          <w:szCs w:val="24"/>
        </w:rPr>
        <w:t xml:space="preserve"> nebyl důvodem </w:t>
      </w:r>
      <w:r w:rsidR="006E2CC6" w:rsidRPr="00662D19">
        <w:rPr>
          <w:rFonts w:cstheme="minorHAnsi"/>
          <w:sz w:val="24"/>
          <w:szCs w:val="24"/>
        </w:rPr>
        <w:t xml:space="preserve">růstu </w:t>
      </w:r>
      <w:r w:rsidR="009D71F8" w:rsidRPr="00662D19">
        <w:rPr>
          <w:rFonts w:cstheme="minorHAnsi"/>
          <w:sz w:val="24"/>
          <w:szCs w:val="24"/>
        </w:rPr>
        <w:t xml:space="preserve">výdajů </w:t>
      </w:r>
      <w:r w:rsidR="003F0330" w:rsidRPr="00662D19">
        <w:rPr>
          <w:rFonts w:cstheme="minorHAnsi"/>
          <w:sz w:val="24"/>
          <w:szCs w:val="24"/>
        </w:rPr>
        <w:t xml:space="preserve">nárůst </w:t>
      </w:r>
      <w:r w:rsidRPr="00662D19">
        <w:rPr>
          <w:rFonts w:cstheme="minorHAnsi"/>
          <w:sz w:val="24"/>
          <w:szCs w:val="24"/>
        </w:rPr>
        <w:t xml:space="preserve">kapitálových výdajů (investic). </w:t>
      </w:r>
      <w:r w:rsidRPr="00662D19">
        <w:rPr>
          <w:rFonts w:ascii="Calibri" w:eastAsia="Calibri" w:hAnsi="Calibri" w:cs="Calibri"/>
          <w:color w:val="000000"/>
          <w:sz w:val="24"/>
          <w:szCs w:val="24"/>
          <w:lang w:eastAsia="cs-CZ"/>
        </w:rPr>
        <w:t>Přehled netto hodnoty vybraných aktiv a vybraných nákladů a výnosů GIBS v letech 2017 až 2020 je uveden v příloze č. 1</w:t>
      </w:r>
      <w:r w:rsidR="00CB1255">
        <w:rPr>
          <w:rFonts w:ascii="Calibri" w:eastAsia="Calibri" w:hAnsi="Calibri" w:cs="Calibri"/>
          <w:color w:val="000000"/>
          <w:sz w:val="24"/>
          <w:szCs w:val="24"/>
          <w:lang w:eastAsia="cs-CZ"/>
        </w:rPr>
        <w:t xml:space="preserve"> tohoto kontrolního závěru</w:t>
      </w:r>
      <w:r w:rsidRPr="00662D19">
        <w:rPr>
          <w:rFonts w:ascii="Calibri" w:eastAsia="Calibri" w:hAnsi="Calibri" w:cs="Calibri"/>
          <w:color w:val="000000"/>
          <w:sz w:val="24"/>
          <w:szCs w:val="24"/>
          <w:lang w:eastAsia="cs-CZ"/>
        </w:rPr>
        <w:t>.</w:t>
      </w:r>
    </w:p>
    <w:p w14:paraId="1B69BF60" w14:textId="2358F103" w:rsidR="003A5711" w:rsidRPr="007F02E4" w:rsidRDefault="003A5711" w:rsidP="002F4FB9">
      <w:pPr>
        <w:keepNext/>
        <w:tabs>
          <w:tab w:val="right" w:pos="9072"/>
        </w:tabs>
        <w:spacing w:after="40"/>
        <w:rPr>
          <w:rFonts w:cstheme="minorHAnsi"/>
          <w:b/>
          <w:sz w:val="24"/>
          <w:szCs w:val="24"/>
        </w:rPr>
      </w:pPr>
      <w:r w:rsidRPr="007F02E4">
        <w:rPr>
          <w:rFonts w:cstheme="minorHAnsi"/>
          <w:b/>
          <w:sz w:val="24"/>
          <w:szCs w:val="24"/>
        </w:rPr>
        <w:t xml:space="preserve">Tabulka č. </w:t>
      </w:r>
      <w:r w:rsidR="00662D19" w:rsidRPr="007F02E4">
        <w:rPr>
          <w:rFonts w:cstheme="minorHAnsi"/>
          <w:b/>
          <w:sz w:val="24"/>
          <w:szCs w:val="24"/>
        </w:rPr>
        <w:t>1</w:t>
      </w:r>
      <w:r w:rsidRPr="007F02E4">
        <w:rPr>
          <w:rFonts w:cstheme="minorHAnsi"/>
          <w:b/>
          <w:sz w:val="24"/>
          <w:szCs w:val="24"/>
        </w:rPr>
        <w:t>: Výdaje GIBS v letech 2012</w:t>
      </w:r>
      <w:r w:rsidR="008A713B" w:rsidRPr="007F02E4">
        <w:rPr>
          <w:rFonts w:cstheme="minorHAnsi"/>
          <w:b/>
          <w:sz w:val="24"/>
          <w:szCs w:val="24"/>
        </w:rPr>
        <w:t>-</w:t>
      </w:r>
      <w:r w:rsidRPr="007F02E4">
        <w:rPr>
          <w:rFonts w:cstheme="minorHAnsi"/>
          <w:b/>
          <w:sz w:val="24"/>
          <w:szCs w:val="24"/>
        </w:rPr>
        <w:t xml:space="preserve">2020 </w:t>
      </w:r>
      <w:r w:rsidR="002F4FB9">
        <w:rPr>
          <w:rFonts w:cstheme="minorHAnsi"/>
          <w:b/>
          <w:sz w:val="24"/>
          <w:szCs w:val="24"/>
        </w:rPr>
        <w:tab/>
      </w:r>
      <w:r w:rsidRPr="007F02E4">
        <w:rPr>
          <w:rFonts w:cstheme="minorHAnsi"/>
          <w:b/>
          <w:sz w:val="24"/>
          <w:szCs w:val="24"/>
        </w:rPr>
        <w:t>(v tis. Kč)</w:t>
      </w:r>
    </w:p>
    <w:tbl>
      <w:tblPr>
        <w:tblStyle w:val="Mkatabulky2"/>
        <w:tblW w:w="909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701"/>
        <w:gridCol w:w="822"/>
        <w:gridCol w:w="822"/>
        <w:gridCol w:w="822"/>
        <w:gridCol w:w="822"/>
        <w:gridCol w:w="822"/>
        <w:gridCol w:w="822"/>
        <w:gridCol w:w="822"/>
        <w:gridCol w:w="822"/>
        <w:gridCol w:w="822"/>
      </w:tblGrid>
      <w:tr w:rsidR="003A5711" w:rsidRPr="001F411F" w14:paraId="27A37F30" w14:textId="77777777" w:rsidTr="002F4FB9">
        <w:trPr>
          <w:trHeight w:val="283"/>
        </w:trPr>
        <w:tc>
          <w:tcPr>
            <w:tcW w:w="1701" w:type="dxa"/>
            <w:shd w:val="clear" w:color="auto" w:fill="E5F1FF"/>
            <w:vAlign w:val="center"/>
          </w:tcPr>
          <w:p w14:paraId="42DF9320" w14:textId="77777777" w:rsidR="003A5711" w:rsidRPr="001F411F" w:rsidRDefault="003A5711" w:rsidP="002F4FB9">
            <w:pPr>
              <w:rPr>
                <w:rFonts w:ascii="Calibri" w:hAnsi="Calibri" w:cs="Calibri"/>
                <w:sz w:val="18"/>
                <w:szCs w:val="18"/>
              </w:rPr>
            </w:pPr>
          </w:p>
        </w:tc>
        <w:tc>
          <w:tcPr>
            <w:tcW w:w="822" w:type="dxa"/>
            <w:shd w:val="clear" w:color="auto" w:fill="E5F1FF"/>
            <w:vAlign w:val="center"/>
          </w:tcPr>
          <w:p w14:paraId="161C16E2"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2012</w:t>
            </w:r>
          </w:p>
        </w:tc>
        <w:tc>
          <w:tcPr>
            <w:tcW w:w="822" w:type="dxa"/>
            <w:shd w:val="clear" w:color="auto" w:fill="E5F1FF"/>
            <w:vAlign w:val="center"/>
          </w:tcPr>
          <w:p w14:paraId="4EA690ED"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2013</w:t>
            </w:r>
          </w:p>
        </w:tc>
        <w:tc>
          <w:tcPr>
            <w:tcW w:w="822" w:type="dxa"/>
            <w:shd w:val="clear" w:color="auto" w:fill="E5F1FF"/>
            <w:vAlign w:val="center"/>
          </w:tcPr>
          <w:p w14:paraId="6712B01C"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2014</w:t>
            </w:r>
          </w:p>
        </w:tc>
        <w:tc>
          <w:tcPr>
            <w:tcW w:w="822" w:type="dxa"/>
            <w:shd w:val="clear" w:color="auto" w:fill="E5F1FF"/>
            <w:vAlign w:val="center"/>
          </w:tcPr>
          <w:p w14:paraId="52FAFE1C"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2015</w:t>
            </w:r>
          </w:p>
        </w:tc>
        <w:tc>
          <w:tcPr>
            <w:tcW w:w="822" w:type="dxa"/>
            <w:shd w:val="clear" w:color="auto" w:fill="E5F1FF"/>
            <w:vAlign w:val="center"/>
          </w:tcPr>
          <w:p w14:paraId="01F34D25"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2016</w:t>
            </w:r>
          </w:p>
        </w:tc>
        <w:tc>
          <w:tcPr>
            <w:tcW w:w="822" w:type="dxa"/>
            <w:shd w:val="clear" w:color="auto" w:fill="E5F1FF"/>
            <w:vAlign w:val="center"/>
          </w:tcPr>
          <w:p w14:paraId="6DE3372A"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2017</w:t>
            </w:r>
          </w:p>
        </w:tc>
        <w:tc>
          <w:tcPr>
            <w:tcW w:w="822" w:type="dxa"/>
            <w:shd w:val="clear" w:color="auto" w:fill="E5F1FF"/>
            <w:vAlign w:val="center"/>
          </w:tcPr>
          <w:p w14:paraId="40C84557"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2018</w:t>
            </w:r>
          </w:p>
        </w:tc>
        <w:tc>
          <w:tcPr>
            <w:tcW w:w="822" w:type="dxa"/>
            <w:shd w:val="clear" w:color="auto" w:fill="E5F1FF"/>
            <w:vAlign w:val="center"/>
          </w:tcPr>
          <w:p w14:paraId="5E18E78E"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2019</w:t>
            </w:r>
          </w:p>
        </w:tc>
        <w:tc>
          <w:tcPr>
            <w:tcW w:w="822" w:type="dxa"/>
            <w:shd w:val="clear" w:color="auto" w:fill="E5F1FF"/>
            <w:vAlign w:val="center"/>
          </w:tcPr>
          <w:p w14:paraId="7C782154" w14:textId="77777777" w:rsidR="003A5711" w:rsidRPr="001F411F" w:rsidRDefault="003A5711" w:rsidP="002F4FB9">
            <w:pPr>
              <w:jc w:val="center"/>
              <w:rPr>
                <w:rFonts w:ascii="Calibri" w:hAnsi="Calibri" w:cs="Calibri"/>
                <w:b/>
                <w:sz w:val="18"/>
                <w:szCs w:val="18"/>
              </w:rPr>
            </w:pPr>
            <w:r w:rsidRPr="001F411F">
              <w:rPr>
                <w:rFonts w:ascii="Calibri" w:hAnsi="Calibri" w:cs="Calibri"/>
                <w:b/>
                <w:sz w:val="18"/>
                <w:szCs w:val="18"/>
              </w:rPr>
              <w:t>2020</w:t>
            </w:r>
          </w:p>
        </w:tc>
      </w:tr>
      <w:tr w:rsidR="003A5711" w:rsidRPr="001F411F" w14:paraId="3C6842AD" w14:textId="77777777" w:rsidTr="002F4FB9">
        <w:trPr>
          <w:trHeight w:val="283"/>
        </w:trPr>
        <w:tc>
          <w:tcPr>
            <w:tcW w:w="1701" w:type="dxa"/>
            <w:shd w:val="clear" w:color="auto" w:fill="auto"/>
            <w:vAlign w:val="center"/>
          </w:tcPr>
          <w:p w14:paraId="46532F07" w14:textId="77777777" w:rsidR="003A5711" w:rsidRPr="001F411F" w:rsidRDefault="003A5711" w:rsidP="002F4FB9">
            <w:pPr>
              <w:rPr>
                <w:rFonts w:ascii="Calibri" w:hAnsi="Calibri" w:cs="Calibri"/>
                <w:sz w:val="18"/>
                <w:szCs w:val="18"/>
              </w:rPr>
            </w:pPr>
            <w:r w:rsidRPr="001F411F">
              <w:rPr>
                <w:rFonts w:ascii="Calibri" w:hAnsi="Calibri" w:cs="Calibri"/>
                <w:sz w:val="18"/>
                <w:szCs w:val="18"/>
              </w:rPr>
              <w:t>Výdaje</w:t>
            </w:r>
          </w:p>
        </w:tc>
        <w:tc>
          <w:tcPr>
            <w:tcW w:w="822" w:type="dxa"/>
            <w:vAlign w:val="center"/>
          </w:tcPr>
          <w:p w14:paraId="003FEA2D" w14:textId="24097953" w:rsidR="003A5711" w:rsidRPr="001F411F" w:rsidRDefault="003A5711" w:rsidP="002F4FB9">
            <w:pPr>
              <w:jc w:val="right"/>
              <w:rPr>
                <w:rFonts w:ascii="Calibri" w:hAnsi="Calibri" w:cs="Calibri"/>
                <w:sz w:val="18"/>
                <w:szCs w:val="18"/>
              </w:rPr>
            </w:pPr>
            <w:r w:rsidRPr="001F411F">
              <w:rPr>
                <w:rFonts w:ascii="Calibri" w:hAnsi="Calibri" w:cs="Calibri"/>
                <w:sz w:val="18"/>
                <w:szCs w:val="18"/>
              </w:rPr>
              <w:t>310 46</w:t>
            </w:r>
            <w:r w:rsidR="00CB1B38" w:rsidRPr="001F411F">
              <w:rPr>
                <w:rFonts w:ascii="Calibri" w:hAnsi="Calibri" w:cs="Calibri"/>
                <w:sz w:val="18"/>
                <w:szCs w:val="18"/>
              </w:rPr>
              <w:t>7</w:t>
            </w:r>
          </w:p>
        </w:tc>
        <w:tc>
          <w:tcPr>
            <w:tcW w:w="822" w:type="dxa"/>
            <w:vAlign w:val="center"/>
          </w:tcPr>
          <w:p w14:paraId="2F077087" w14:textId="77777777" w:rsidR="003A5711" w:rsidRPr="001F411F" w:rsidRDefault="003A5711" w:rsidP="002F4FB9">
            <w:pPr>
              <w:jc w:val="right"/>
              <w:rPr>
                <w:rFonts w:ascii="Calibri" w:hAnsi="Calibri" w:cs="Calibri"/>
                <w:sz w:val="18"/>
                <w:szCs w:val="18"/>
              </w:rPr>
            </w:pPr>
            <w:r w:rsidRPr="001F411F">
              <w:rPr>
                <w:rFonts w:ascii="Calibri" w:hAnsi="Calibri" w:cs="Calibri"/>
                <w:sz w:val="18"/>
                <w:szCs w:val="18"/>
              </w:rPr>
              <w:t>275 534</w:t>
            </w:r>
          </w:p>
        </w:tc>
        <w:tc>
          <w:tcPr>
            <w:tcW w:w="822" w:type="dxa"/>
            <w:vAlign w:val="center"/>
          </w:tcPr>
          <w:p w14:paraId="4B74BD04" w14:textId="77777777" w:rsidR="003A5711" w:rsidRPr="001F411F" w:rsidRDefault="003A5711" w:rsidP="002F4FB9">
            <w:pPr>
              <w:jc w:val="right"/>
              <w:rPr>
                <w:rFonts w:ascii="Calibri" w:hAnsi="Calibri" w:cs="Calibri"/>
                <w:sz w:val="18"/>
                <w:szCs w:val="18"/>
              </w:rPr>
            </w:pPr>
            <w:r w:rsidRPr="001F411F">
              <w:rPr>
                <w:rFonts w:ascii="Calibri" w:hAnsi="Calibri" w:cs="Calibri"/>
                <w:sz w:val="18"/>
                <w:szCs w:val="18"/>
              </w:rPr>
              <w:t>282 333</w:t>
            </w:r>
          </w:p>
        </w:tc>
        <w:tc>
          <w:tcPr>
            <w:tcW w:w="822" w:type="dxa"/>
            <w:shd w:val="clear" w:color="auto" w:fill="auto"/>
            <w:vAlign w:val="center"/>
          </w:tcPr>
          <w:p w14:paraId="58841FBD" w14:textId="77777777" w:rsidR="003A5711" w:rsidRPr="001F411F" w:rsidRDefault="003A5711" w:rsidP="002F4FB9">
            <w:pPr>
              <w:jc w:val="right"/>
              <w:rPr>
                <w:rFonts w:ascii="Calibri" w:hAnsi="Calibri" w:cs="Calibri"/>
                <w:sz w:val="18"/>
                <w:szCs w:val="18"/>
              </w:rPr>
            </w:pPr>
            <w:r w:rsidRPr="001F411F">
              <w:rPr>
                <w:rFonts w:ascii="Calibri" w:hAnsi="Calibri" w:cs="Calibri"/>
                <w:sz w:val="18"/>
                <w:szCs w:val="18"/>
              </w:rPr>
              <w:t>270 491</w:t>
            </w:r>
          </w:p>
        </w:tc>
        <w:tc>
          <w:tcPr>
            <w:tcW w:w="822" w:type="dxa"/>
            <w:shd w:val="clear" w:color="auto" w:fill="auto"/>
            <w:vAlign w:val="center"/>
          </w:tcPr>
          <w:p w14:paraId="5FC274F8" w14:textId="1A802CB6" w:rsidR="003A5711" w:rsidRPr="001F411F" w:rsidRDefault="003A5711" w:rsidP="002F4FB9">
            <w:pPr>
              <w:jc w:val="right"/>
              <w:rPr>
                <w:rFonts w:ascii="Calibri" w:hAnsi="Calibri" w:cs="Calibri"/>
                <w:sz w:val="18"/>
                <w:szCs w:val="18"/>
              </w:rPr>
            </w:pPr>
            <w:r w:rsidRPr="001F411F">
              <w:rPr>
                <w:rFonts w:ascii="Calibri" w:hAnsi="Calibri" w:cs="Calibri"/>
                <w:sz w:val="18"/>
                <w:szCs w:val="18"/>
              </w:rPr>
              <w:t>282 52</w:t>
            </w:r>
            <w:r w:rsidR="00CB1B38" w:rsidRPr="001F411F">
              <w:rPr>
                <w:rFonts w:ascii="Calibri" w:hAnsi="Calibri" w:cs="Calibri"/>
                <w:sz w:val="18"/>
                <w:szCs w:val="18"/>
              </w:rPr>
              <w:t>2</w:t>
            </w:r>
          </w:p>
        </w:tc>
        <w:tc>
          <w:tcPr>
            <w:tcW w:w="822" w:type="dxa"/>
            <w:shd w:val="clear" w:color="auto" w:fill="auto"/>
            <w:vAlign w:val="center"/>
          </w:tcPr>
          <w:p w14:paraId="420E29BB" w14:textId="42400780" w:rsidR="003A5711" w:rsidRPr="001F411F" w:rsidRDefault="003A5711" w:rsidP="002F4FB9">
            <w:pPr>
              <w:jc w:val="right"/>
              <w:rPr>
                <w:rFonts w:ascii="Calibri" w:hAnsi="Calibri" w:cs="Calibri"/>
                <w:sz w:val="18"/>
                <w:szCs w:val="18"/>
              </w:rPr>
            </w:pPr>
            <w:r w:rsidRPr="001F411F">
              <w:rPr>
                <w:rFonts w:ascii="Calibri" w:hAnsi="Calibri" w:cs="Calibri"/>
                <w:sz w:val="18"/>
                <w:szCs w:val="18"/>
              </w:rPr>
              <w:t>374 94</w:t>
            </w:r>
            <w:r w:rsidR="00CB1B38" w:rsidRPr="001F411F">
              <w:rPr>
                <w:rFonts w:ascii="Calibri" w:hAnsi="Calibri" w:cs="Calibri"/>
                <w:sz w:val="18"/>
                <w:szCs w:val="18"/>
              </w:rPr>
              <w:t>5</w:t>
            </w:r>
          </w:p>
        </w:tc>
        <w:tc>
          <w:tcPr>
            <w:tcW w:w="822" w:type="dxa"/>
            <w:shd w:val="clear" w:color="auto" w:fill="auto"/>
            <w:vAlign w:val="center"/>
          </w:tcPr>
          <w:p w14:paraId="3463CA65" w14:textId="2D6C9AFC" w:rsidR="003A5711" w:rsidRPr="001F411F" w:rsidRDefault="003A5711" w:rsidP="002F4FB9">
            <w:pPr>
              <w:jc w:val="right"/>
              <w:rPr>
                <w:rFonts w:ascii="Calibri" w:hAnsi="Calibri" w:cs="Calibri"/>
                <w:sz w:val="18"/>
                <w:szCs w:val="18"/>
              </w:rPr>
            </w:pPr>
            <w:r w:rsidRPr="001F411F">
              <w:rPr>
                <w:rFonts w:ascii="Calibri" w:hAnsi="Calibri" w:cs="Calibri"/>
                <w:sz w:val="18"/>
                <w:szCs w:val="18"/>
              </w:rPr>
              <w:t>406 27</w:t>
            </w:r>
            <w:r w:rsidR="00CB1B38" w:rsidRPr="001F411F">
              <w:rPr>
                <w:rFonts w:ascii="Calibri" w:hAnsi="Calibri" w:cs="Calibri"/>
                <w:sz w:val="18"/>
                <w:szCs w:val="18"/>
              </w:rPr>
              <w:t>5</w:t>
            </w:r>
          </w:p>
        </w:tc>
        <w:tc>
          <w:tcPr>
            <w:tcW w:w="822" w:type="dxa"/>
            <w:shd w:val="clear" w:color="auto" w:fill="auto"/>
            <w:vAlign w:val="center"/>
          </w:tcPr>
          <w:p w14:paraId="735847E6" w14:textId="3A827516" w:rsidR="003A5711" w:rsidRPr="001F411F" w:rsidRDefault="003A5711" w:rsidP="002F4FB9">
            <w:pPr>
              <w:jc w:val="right"/>
              <w:rPr>
                <w:rFonts w:ascii="Calibri" w:hAnsi="Calibri" w:cs="Calibri"/>
                <w:sz w:val="18"/>
                <w:szCs w:val="18"/>
              </w:rPr>
            </w:pPr>
            <w:r w:rsidRPr="001F411F">
              <w:rPr>
                <w:rFonts w:ascii="Calibri" w:hAnsi="Calibri" w:cs="Calibri"/>
                <w:sz w:val="18"/>
                <w:szCs w:val="18"/>
              </w:rPr>
              <w:t>426 57</w:t>
            </w:r>
            <w:r w:rsidR="00CB1B38" w:rsidRPr="001F411F">
              <w:rPr>
                <w:rFonts w:ascii="Calibri" w:hAnsi="Calibri" w:cs="Calibri"/>
                <w:sz w:val="18"/>
                <w:szCs w:val="18"/>
              </w:rPr>
              <w:t>9</w:t>
            </w:r>
          </w:p>
        </w:tc>
        <w:tc>
          <w:tcPr>
            <w:tcW w:w="822" w:type="dxa"/>
            <w:shd w:val="clear" w:color="auto" w:fill="auto"/>
            <w:vAlign w:val="center"/>
          </w:tcPr>
          <w:p w14:paraId="1CCB4023" w14:textId="77777777" w:rsidR="003A5711" w:rsidRPr="001F411F" w:rsidRDefault="003A5711" w:rsidP="002F4FB9">
            <w:pPr>
              <w:jc w:val="right"/>
              <w:rPr>
                <w:rFonts w:ascii="Calibri" w:hAnsi="Calibri" w:cs="Calibri"/>
                <w:sz w:val="18"/>
                <w:szCs w:val="18"/>
              </w:rPr>
            </w:pPr>
            <w:r w:rsidRPr="001F411F">
              <w:rPr>
                <w:rFonts w:ascii="Calibri" w:hAnsi="Calibri" w:cs="Calibri"/>
                <w:sz w:val="18"/>
                <w:szCs w:val="18"/>
              </w:rPr>
              <w:t>447 988</w:t>
            </w:r>
          </w:p>
        </w:tc>
      </w:tr>
      <w:tr w:rsidR="003A5711" w:rsidRPr="001F411F" w14:paraId="28B04963" w14:textId="77777777" w:rsidTr="002F4FB9">
        <w:trPr>
          <w:trHeight w:val="283"/>
        </w:trPr>
        <w:tc>
          <w:tcPr>
            <w:tcW w:w="1701" w:type="dxa"/>
            <w:noWrap/>
            <w:vAlign w:val="center"/>
            <w:hideMark/>
          </w:tcPr>
          <w:p w14:paraId="06D2B706" w14:textId="77777777" w:rsidR="003A5711" w:rsidRPr="001F411F" w:rsidRDefault="003A5711" w:rsidP="002F4FB9">
            <w:pPr>
              <w:ind w:firstLine="179"/>
              <w:rPr>
                <w:rFonts w:ascii="Calibri" w:hAnsi="Calibri" w:cs="Calibri"/>
                <w:color w:val="000000"/>
                <w:sz w:val="18"/>
                <w:szCs w:val="18"/>
                <w:lang w:eastAsia="cs-CZ"/>
              </w:rPr>
            </w:pPr>
            <w:r w:rsidRPr="001F411F">
              <w:rPr>
                <w:rFonts w:ascii="Calibri" w:hAnsi="Calibri" w:cs="Calibri"/>
                <w:i/>
                <w:iCs/>
                <w:color w:val="000000"/>
                <w:sz w:val="18"/>
                <w:szCs w:val="18"/>
                <w:lang w:eastAsia="cs-CZ"/>
              </w:rPr>
              <w:t>z toho</w:t>
            </w:r>
            <w:r w:rsidRPr="001F411F">
              <w:rPr>
                <w:rFonts w:ascii="Calibri" w:hAnsi="Calibri" w:cs="Calibri"/>
                <w:color w:val="000000"/>
                <w:sz w:val="18"/>
                <w:szCs w:val="18"/>
                <w:lang w:eastAsia="cs-CZ"/>
              </w:rPr>
              <w:t xml:space="preserve"> běžné</w:t>
            </w:r>
          </w:p>
        </w:tc>
        <w:tc>
          <w:tcPr>
            <w:tcW w:w="822" w:type="dxa"/>
            <w:vAlign w:val="center"/>
          </w:tcPr>
          <w:p w14:paraId="5CC4224A"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sz w:val="18"/>
                <w:szCs w:val="18"/>
              </w:rPr>
              <w:t>268 593</w:t>
            </w:r>
          </w:p>
        </w:tc>
        <w:tc>
          <w:tcPr>
            <w:tcW w:w="822" w:type="dxa"/>
            <w:vAlign w:val="center"/>
          </w:tcPr>
          <w:p w14:paraId="6B646B2A"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252 768</w:t>
            </w:r>
          </w:p>
        </w:tc>
        <w:tc>
          <w:tcPr>
            <w:tcW w:w="822" w:type="dxa"/>
            <w:vAlign w:val="center"/>
          </w:tcPr>
          <w:p w14:paraId="067014E2"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274 668</w:t>
            </w:r>
          </w:p>
        </w:tc>
        <w:tc>
          <w:tcPr>
            <w:tcW w:w="822" w:type="dxa"/>
            <w:vAlign w:val="center"/>
          </w:tcPr>
          <w:p w14:paraId="14DDE7DD" w14:textId="77777777" w:rsidR="003A5711" w:rsidRPr="001F411F" w:rsidRDefault="003A5711" w:rsidP="002F4FB9">
            <w:pPr>
              <w:jc w:val="right"/>
              <w:rPr>
                <w:rFonts w:ascii="Calibri" w:hAnsi="Calibri" w:cs="Calibri"/>
                <w:sz w:val="18"/>
                <w:szCs w:val="18"/>
              </w:rPr>
            </w:pPr>
            <w:r w:rsidRPr="001F411F">
              <w:rPr>
                <w:rFonts w:ascii="Calibri" w:hAnsi="Calibri" w:cs="Calibri"/>
                <w:sz w:val="18"/>
                <w:szCs w:val="18"/>
              </w:rPr>
              <w:t>264 541</w:t>
            </w:r>
          </w:p>
        </w:tc>
        <w:tc>
          <w:tcPr>
            <w:tcW w:w="822" w:type="dxa"/>
            <w:vAlign w:val="center"/>
          </w:tcPr>
          <w:p w14:paraId="2014C0E2"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276 943</w:t>
            </w:r>
          </w:p>
        </w:tc>
        <w:tc>
          <w:tcPr>
            <w:tcW w:w="822" w:type="dxa"/>
            <w:noWrap/>
            <w:vAlign w:val="center"/>
            <w:hideMark/>
          </w:tcPr>
          <w:p w14:paraId="57386F66"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353 224</w:t>
            </w:r>
          </w:p>
        </w:tc>
        <w:tc>
          <w:tcPr>
            <w:tcW w:w="822" w:type="dxa"/>
            <w:noWrap/>
            <w:vAlign w:val="center"/>
          </w:tcPr>
          <w:p w14:paraId="2B1678F8"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401 401</w:t>
            </w:r>
          </w:p>
        </w:tc>
        <w:tc>
          <w:tcPr>
            <w:tcW w:w="822" w:type="dxa"/>
            <w:noWrap/>
            <w:vAlign w:val="center"/>
          </w:tcPr>
          <w:p w14:paraId="182B7E90"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420 211</w:t>
            </w:r>
          </w:p>
        </w:tc>
        <w:tc>
          <w:tcPr>
            <w:tcW w:w="822" w:type="dxa"/>
            <w:shd w:val="clear" w:color="auto" w:fill="auto"/>
            <w:vAlign w:val="center"/>
          </w:tcPr>
          <w:p w14:paraId="57A32431"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445 242</w:t>
            </w:r>
          </w:p>
        </w:tc>
      </w:tr>
      <w:tr w:rsidR="003A5711" w:rsidRPr="001F411F" w14:paraId="591431FE" w14:textId="77777777" w:rsidTr="002F4FB9">
        <w:trPr>
          <w:trHeight w:val="283"/>
        </w:trPr>
        <w:tc>
          <w:tcPr>
            <w:tcW w:w="1701" w:type="dxa"/>
            <w:noWrap/>
            <w:vAlign w:val="center"/>
            <w:hideMark/>
          </w:tcPr>
          <w:p w14:paraId="0DFC2FC9" w14:textId="0FDBE40A" w:rsidR="003A5711" w:rsidRPr="001F411F" w:rsidRDefault="003A5711" w:rsidP="002F4FB9">
            <w:pPr>
              <w:ind w:firstLine="179"/>
              <w:rPr>
                <w:rFonts w:ascii="Calibri" w:hAnsi="Calibri" w:cs="Calibri"/>
                <w:color w:val="000000"/>
                <w:sz w:val="18"/>
                <w:szCs w:val="18"/>
                <w:lang w:eastAsia="cs-CZ"/>
              </w:rPr>
            </w:pPr>
            <w:r w:rsidRPr="001F411F">
              <w:rPr>
                <w:rFonts w:ascii="Calibri" w:hAnsi="Calibri" w:cs="Calibri"/>
                <w:i/>
                <w:iCs/>
                <w:color w:val="000000"/>
                <w:sz w:val="18"/>
                <w:szCs w:val="18"/>
                <w:lang w:eastAsia="cs-CZ"/>
              </w:rPr>
              <w:t>z toho</w:t>
            </w:r>
            <w:r w:rsidR="002F4FB9">
              <w:rPr>
                <w:rFonts w:ascii="Calibri" w:hAnsi="Calibri" w:cs="Calibri"/>
                <w:color w:val="000000"/>
                <w:sz w:val="18"/>
                <w:szCs w:val="18"/>
                <w:lang w:eastAsia="cs-CZ"/>
              </w:rPr>
              <w:t xml:space="preserve"> kapitálové</w:t>
            </w:r>
          </w:p>
        </w:tc>
        <w:tc>
          <w:tcPr>
            <w:tcW w:w="822" w:type="dxa"/>
            <w:vAlign w:val="center"/>
          </w:tcPr>
          <w:p w14:paraId="1EC1FD2D"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sz w:val="18"/>
                <w:szCs w:val="18"/>
              </w:rPr>
              <w:t>41 874</w:t>
            </w:r>
          </w:p>
        </w:tc>
        <w:tc>
          <w:tcPr>
            <w:tcW w:w="822" w:type="dxa"/>
            <w:vAlign w:val="center"/>
          </w:tcPr>
          <w:p w14:paraId="131A61F2"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22 766</w:t>
            </w:r>
          </w:p>
        </w:tc>
        <w:tc>
          <w:tcPr>
            <w:tcW w:w="822" w:type="dxa"/>
            <w:vAlign w:val="center"/>
          </w:tcPr>
          <w:p w14:paraId="762C3609"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7 665</w:t>
            </w:r>
          </w:p>
        </w:tc>
        <w:tc>
          <w:tcPr>
            <w:tcW w:w="822" w:type="dxa"/>
            <w:vAlign w:val="center"/>
          </w:tcPr>
          <w:p w14:paraId="1921EF28" w14:textId="77777777" w:rsidR="003A5711" w:rsidRPr="001F411F" w:rsidRDefault="003A5711" w:rsidP="002F4FB9">
            <w:pPr>
              <w:jc w:val="right"/>
              <w:rPr>
                <w:rFonts w:ascii="Calibri" w:hAnsi="Calibri" w:cs="Calibri"/>
                <w:sz w:val="18"/>
                <w:szCs w:val="18"/>
              </w:rPr>
            </w:pPr>
            <w:r w:rsidRPr="001F411F">
              <w:rPr>
                <w:rFonts w:ascii="Calibri" w:hAnsi="Calibri" w:cs="Calibri"/>
                <w:sz w:val="18"/>
                <w:szCs w:val="18"/>
              </w:rPr>
              <w:t>5 950</w:t>
            </w:r>
          </w:p>
        </w:tc>
        <w:tc>
          <w:tcPr>
            <w:tcW w:w="822" w:type="dxa"/>
            <w:vAlign w:val="center"/>
          </w:tcPr>
          <w:p w14:paraId="45E09CFC"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5 579</w:t>
            </w:r>
          </w:p>
        </w:tc>
        <w:tc>
          <w:tcPr>
            <w:tcW w:w="822" w:type="dxa"/>
            <w:noWrap/>
            <w:vAlign w:val="center"/>
            <w:hideMark/>
          </w:tcPr>
          <w:p w14:paraId="54F34603"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21 721</w:t>
            </w:r>
          </w:p>
        </w:tc>
        <w:tc>
          <w:tcPr>
            <w:tcW w:w="822" w:type="dxa"/>
            <w:noWrap/>
            <w:vAlign w:val="center"/>
          </w:tcPr>
          <w:p w14:paraId="13D1D276"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4 874</w:t>
            </w:r>
          </w:p>
        </w:tc>
        <w:tc>
          <w:tcPr>
            <w:tcW w:w="822" w:type="dxa"/>
            <w:noWrap/>
            <w:vAlign w:val="center"/>
          </w:tcPr>
          <w:p w14:paraId="7383A586"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6 368</w:t>
            </w:r>
          </w:p>
        </w:tc>
        <w:tc>
          <w:tcPr>
            <w:tcW w:w="822" w:type="dxa"/>
            <w:shd w:val="clear" w:color="auto" w:fill="auto"/>
            <w:vAlign w:val="center"/>
          </w:tcPr>
          <w:p w14:paraId="1C71E969" w14:textId="77777777" w:rsidR="003A5711" w:rsidRPr="001F411F" w:rsidRDefault="003A5711" w:rsidP="002F4FB9">
            <w:pPr>
              <w:jc w:val="right"/>
              <w:rPr>
                <w:rFonts w:ascii="Calibri" w:hAnsi="Calibri" w:cs="Calibri"/>
                <w:color w:val="000000"/>
                <w:sz w:val="18"/>
                <w:szCs w:val="18"/>
                <w:lang w:eastAsia="cs-CZ"/>
              </w:rPr>
            </w:pPr>
            <w:r w:rsidRPr="001F411F">
              <w:rPr>
                <w:rFonts w:ascii="Calibri" w:hAnsi="Calibri" w:cs="Calibri"/>
                <w:color w:val="000000"/>
                <w:sz w:val="18"/>
                <w:szCs w:val="18"/>
                <w:lang w:eastAsia="cs-CZ"/>
              </w:rPr>
              <w:t>2 746</w:t>
            </w:r>
          </w:p>
        </w:tc>
      </w:tr>
    </w:tbl>
    <w:p w14:paraId="76CEB6BC" w14:textId="3B502958" w:rsidR="003A5711" w:rsidRPr="003A5711" w:rsidRDefault="003A5711" w:rsidP="001F411F">
      <w:pPr>
        <w:spacing w:before="40"/>
        <w:rPr>
          <w:rFonts w:cstheme="minorHAnsi"/>
          <w:sz w:val="20"/>
          <w:szCs w:val="20"/>
        </w:rPr>
      </w:pPr>
      <w:r w:rsidRPr="00385DB1">
        <w:rPr>
          <w:rFonts w:cstheme="minorHAnsi"/>
          <w:b/>
          <w:sz w:val="20"/>
          <w:szCs w:val="20"/>
        </w:rPr>
        <w:t>Zdroj:</w:t>
      </w:r>
      <w:r w:rsidRPr="003A5711">
        <w:rPr>
          <w:rFonts w:cstheme="minorHAnsi"/>
          <w:sz w:val="20"/>
          <w:szCs w:val="20"/>
        </w:rPr>
        <w:t xml:space="preserve"> </w:t>
      </w:r>
      <w:r w:rsidR="00CB1255">
        <w:rPr>
          <w:rFonts w:cstheme="minorHAnsi"/>
          <w:sz w:val="20"/>
          <w:szCs w:val="20"/>
        </w:rPr>
        <w:t>z</w:t>
      </w:r>
      <w:r w:rsidRPr="003A5711">
        <w:rPr>
          <w:rFonts w:cstheme="minorHAnsi"/>
          <w:sz w:val="20"/>
          <w:szCs w:val="20"/>
        </w:rPr>
        <w:t>právy o činnosti GIBS a Monitor státní pokladny.</w:t>
      </w:r>
    </w:p>
    <w:p w14:paraId="4395AA44" w14:textId="7E4D7E94" w:rsidR="003A5711" w:rsidRDefault="003A5711" w:rsidP="00484348">
      <w:pPr>
        <w:spacing w:before="120" w:after="120" w:line="264" w:lineRule="auto"/>
        <w:jc w:val="both"/>
        <w:rPr>
          <w:sz w:val="24"/>
          <w:szCs w:val="24"/>
        </w:rPr>
      </w:pPr>
      <w:r w:rsidRPr="003A5711">
        <w:rPr>
          <w:rFonts w:cstheme="minorHAnsi"/>
          <w:sz w:val="24"/>
          <w:szCs w:val="24"/>
        </w:rPr>
        <w:t xml:space="preserve">V kontrolovaném období realizovala GIBS dva programy reprodukce majetku, a to program 176 100 a program 176 200. </w:t>
      </w:r>
      <w:r w:rsidRPr="003A5711">
        <w:rPr>
          <w:color w:val="000000"/>
          <w:spacing w:val="-2"/>
          <w:sz w:val="24"/>
          <w:szCs w:val="24"/>
        </w:rPr>
        <w:t xml:space="preserve">Program 176 100 byl zahájen v roce 2015 a ukončen v roce 2018. Program 176 200 byl zahájen v roce 2018 s plánovaným termínem ukončení </w:t>
      </w:r>
      <w:r w:rsidR="00C92E17" w:rsidRPr="003A5711">
        <w:rPr>
          <w:rFonts w:ascii="Calibri" w:eastAsia="Times New Roman" w:hAnsi="Calibri" w:cs="Calibri"/>
          <w:noProof/>
          <w:sz w:val="24"/>
          <w:szCs w:val="24"/>
        </w:rPr>
        <w:t xml:space="preserve">do </w:t>
      </w:r>
      <w:r w:rsidR="00C92E17">
        <w:rPr>
          <w:rFonts w:ascii="Calibri" w:eastAsia="Calibri" w:hAnsi="Calibri" w:cs="Calibri"/>
          <w:color w:val="000000"/>
          <w:sz w:val="24"/>
          <w:szCs w:val="24"/>
          <w:shd w:val="clear" w:color="auto" w:fill="FFFFFF"/>
        </w:rPr>
        <w:t>31. května 2022</w:t>
      </w:r>
      <w:r w:rsidRPr="003A5711">
        <w:rPr>
          <w:color w:val="000000"/>
          <w:spacing w:val="-2"/>
          <w:sz w:val="24"/>
          <w:szCs w:val="24"/>
        </w:rPr>
        <w:t xml:space="preserve">. Cílem programů </w:t>
      </w:r>
      <w:r w:rsidRPr="003A5711">
        <w:rPr>
          <w:sz w:val="24"/>
          <w:szCs w:val="24"/>
        </w:rPr>
        <w:t xml:space="preserve">bylo </w:t>
      </w:r>
      <w:r w:rsidRPr="003A5711">
        <w:rPr>
          <w:color w:val="000000"/>
          <w:spacing w:val="-2"/>
          <w:sz w:val="24"/>
          <w:szCs w:val="24"/>
        </w:rPr>
        <w:t>v</w:t>
      </w:r>
      <w:r w:rsidRPr="003A5711">
        <w:rPr>
          <w:sz w:val="24"/>
          <w:szCs w:val="24"/>
        </w:rPr>
        <w:t xml:space="preserve"> oblasti movitého majetku pořízení výpočetní techniky a softwaru, doplnění a obnova autoparku a pořízení speciálního operačního majetku k logistické podpoře činnosti GIBS. V oblasti nemovitého majetku </w:t>
      </w:r>
      <w:r w:rsidR="006948DF">
        <w:rPr>
          <w:sz w:val="24"/>
          <w:szCs w:val="24"/>
        </w:rPr>
        <w:t xml:space="preserve">bylo cílem </w:t>
      </w:r>
      <w:r w:rsidRPr="003A5711">
        <w:rPr>
          <w:sz w:val="24"/>
          <w:szCs w:val="24"/>
        </w:rPr>
        <w:t>zlepšení tepelných vlastností stávajících budov či rekonstrukce objektů a bytů ve vlastnictví státu, se kterým je GIBS příslušná hospodařit. Oba programy byly rozděleny na tři podprogramy, a to komunikační infrastruktura, materiálně technické zabezpečení a zvláštní výdaje. Účast státního rozpočtu na financování programu 176 100 byla ve výši 62 865 tis. Kč a u programu 176 200 je</w:t>
      </w:r>
      <w:r w:rsidR="00C92E17">
        <w:rPr>
          <w:sz w:val="24"/>
          <w:szCs w:val="24"/>
        </w:rPr>
        <w:t xml:space="preserve"> plánována</w:t>
      </w:r>
      <w:r w:rsidRPr="003A5711">
        <w:rPr>
          <w:sz w:val="24"/>
          <w:szCs w:val="24"/>
        </w:rPr>
        <w:t xml:space="preserve"> ve výši 106 950 tis. Kč.</w:t>
      </w:r>
    </w:p>
    <w:p w14:paraId="5FB1C619" w14:textId="77777777" w:rsidR="003A5711" w:rsidRPr="003A5711" w:rsidRDefault="003A5711" w:rsidP="001F411F">
      <w:pPr>
        <w:spacing w:before="480" w:after="120"/>
        <w:jc w:val="center"/>
        <w:outlineLvl w:val="0"/>
        <w:rPr>
          <w:rFonts w:cstheme="minorHAnsi"/>
          <w:b/>
          <w:sz w:val="24"/>
          <w:szCs w:val="24"/>
        </w:rPr>
      </w:pPr>
      <w:r w:rsidRPr="003A5711">
        <w:rPr>
          <w:rFonts w:cstheme="minorHAnsi"/>
          <w:b/>
          <w:sz w:val="28"/>
          <w:szCs w:val="28"/>
        </w:rPr>
        <w:t>III. Rozsah kontroly</w:t>
      </w:r>
    </w:p>
    <w:p w14:paraId="42098D4A" w14:textId="77777777" w:rsidR="003A5711" w:rsidRPr="003A5711" w:rsidRDefault="003A5711" w:rsidP="00484348">
      <w:pPr>
        <w:autoSpaceDE w:val="0"/>
        <w:autoSpaceDN w:val="0"/>
        <w:adjustRightInd w:val="0"/>
        <w:spacing w:after="120" w:line="264" w:lineRule="auto"/>
        <w:jc w:val="both"/>
        <w:rPr>
          <w:rFonts w:cstheme="minorHAnsi"/>
          <w:sz w:val="24"/>
          <w:szCs w:val="24"/>
          <w:lang w:eastAsia="cs-CZ"/>
        </w:rPr>
      </w:pPr>
      <w:r w:rsidRPr="003A5711">
        <w:rPr>
          <w:rFonts w:cstheme="minorHAnsi"/>
          <w:color w:val="000000" w:themeColor="text1"/>
          <w:sz w:val="24"/>
          <w:szCs w:val="24"/>
          <w:lang w:eastAsia="cs-CZ"/>
        </w:rPr>
        <w:t xml:space="preserve">Cílem kontrolní akce č. 20/27 bylo prověřit, zda výdaje </w:t>
      </w:r>
      <w:r w:rsidRPr="003A5711">
        <w:rPr>
          <w:rFonts w:cstheme="minorHAnsi"/>
          <w:sz w:val="24"/>
          <w:szCs w:val="24"/>
          <w:lang w:eastAsia="cs-CZ"/>
        </w:rPr>
        <w:t>GIBS byly realizovány v souladu s právními předpisy, a ověřit, zda je nastaven systém pro hospodárné a účelné hospodaření s majetkem a peněžními prostředky státu.</w:t>
      </w:r>
    </w:p>
    <w:p w14:paraId="037E326B" w14:textId="77777777" w:rsidR="003A5711" w:rsidRPr="003A5711" w:rsidRDefault="003A5711" w:rsidP="00484348">
      <w:pPr>
        <w:spacing w:line="264" w:lineRule="auto"/>
        <w:ind w:right="6" w:hanging="11"/>
        <w:jc w:val="both"/>
        <w:rPr>
          <w:rFonts w:ascii="Calibri" w:eastAsia="Calibri" w:hAnsi="Calibri" w:cs="Calibri"/>
          <w:color w:val="000000"/>
          <w:sz w:val="24"/>
          <w:szCs w:val="24"/>
          <w:lang w:eastAsia="cs-CZ"/>
        </w:rPr>
      </w:pPr>
      <w:r w:rsidRPr="003A5711">
        <w:rPr>
          <w:sz w:val="24"/>
          <w:szCs w:val="24"/>
        </w:rPr>
        <w:t>Kontrolní akce č. 20/27 byla zaměřena zejména na:</w:t>
      </w:r>
    </w:p>
    <w:p w14:paraId="1B60E0E1" w14:textId="77777777" w:rsidR="003A5711" w:rsidRPr="003A5711" w:rsidRDefault="003A5711" w:rsidP="00484348">
      <w:pPr>
        <w:numPr>
          <w:ilvl w:val="0"/>
          <w:numId w:val="3"/>
        </w:numPr>
        <w:spacing w:line="264" w:lineRule="auto"/>
        <w:ind w:left="284" w:right="6" w:hanging="284"/>
        <w:contextualSpacing/>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 xml:space="preserve">odůvodnění růstu výdajů v rozpočtu kapitoly GIBS a jeho čerpání v kontrolovaném období; </w:t>
      </w:r>
    </w:p>
    <w:p w14:paraId="6E9FDF71" w14:textId="77777777" w:rsidR="003A5711" w:rsidRPr="003A5711" w:rsidRDefault="003A5711" w:rsidP="00484348">
      <w:pPr>
        <w:numPr>
          <w:ilvl w:val="0"/>
          <w:numId w:val="3"/>
        </w:numPr>
        <w:spacing w:line="264" w:lineRule="auto"/>
        <w:ind w:left="284" w:right="6" w:hanging="284"/>
        <w:contextualSpacing/>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čerpání peněžních prostředků státu a plánování rozpočtových požadavků na personální oblast GIBS;</w:t>
      </w:r>
    </w:p>
    <w:p w14:paraId="064BEBBD" w14:textId="1FF9DC8C" w:rsidR="003A5711" w:rsidRPr="003A5711" w:rsidRDefault="003A5711" w:rsidP="00484348">
      <w:pPr>
        <w:numPr>
          <w:ilvl w:val="0"/>
          <w:numId w:val="3"/>
        </w:numPr>
        <w:spacing w:after="120" w:line="264" w:lineRule="auto"/>
        <w:ind w:left="284" w:right="6" w:hanging="284"/>
        <w:contextualSpacing/>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lastRenderedPageBreak/>
        <w:t xml:space="preserve">naplnění cílů programů </w:t>
      </w:r>
      <w:r w:rsidRPr="003A5711">
        <w:rPr>
          <w:sz w:val="24"/>
          <w:szCs w:val="24"/>
        </w:rPr>
        <w:t xml:space="preserve">176 100 a 176 200 </w:t>
      </w:r>
      <w:r w:rsidRPr="003A5711">
        <w:rPr>
          <w:rFonts w:ascii="Calibri" w:eastAsia="Calibri" w:hAnsi="Calibri" w:cs="Calibri"/>
          <w:color w:val="000000"/>
          <w:sz w:val="24"/>
          <w:szCs w:val="24"/>
          <w:lang w:eastAsia="cs-CZ"/>
        </w:rPr>
        <w:t>a dodržování ustanovení právních předpisů při realizaci vybraných investičních akcí;</w:t>
      </w:r>
    </w:p>
    <w:p w14:paraId="299F648A" w14:textId="77777777" w:rsidR="003A5711" w:rsidRPr="003A5711" w:rsidRDefault="003A5711" w:rsidP="00484348">
      <w:pPr>
        <w:numPr>
          <w:ilvl w:val="0"/>
          <w:numId w:val="3"/>
        </w:numPr>
        <w:spacing w:line="264" w:lineRule="auto"/>
        <w:ind w:left="284" w:right="6" w:hanging="284"/>
        <w:contextualSpacing/>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 xml:space="preserve">účelné a hospodárné nakládání s majetkem a peněžními prostředky státu se zaměřením na využití movitého majetku (služební dopravní prostředky) a nemovitého majetku ve vazbě na plánovanou dislokaci pracovišť GIBS do objektů ve vlastnictví státu a související úsporu provozních výdajů; </w:t>
      </w:r>
    </w:p>
    <w:p w14:paraId="62E0C26B" w14:textId="618508FB" w:rsidR="003A5711" w:rsidRPr="003A5711" w:rsidRDefault="003A5711" w:rsidP="00484348">
      <w:pPr>
        <w:numPr>
          <w:ilvl w:val="0"/>
          <w:numId w:val="3"/>
        </w:numPr>
        <w:spacing w:line="264" w:lineRule="auto"/>
        <w:ind w:left="284" w:right="6" w:hanging="284"/>
        <w:contextualSpacing/>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 xml:space="preserve">hospodárnost a </w:t>
      </w:r>
      <w:r w:rsidR="00A9382D">
        <w:rPr>
          <w:rFonts w:ascii="Calibri" w:eastAsia="Calibri" w:hAnsi="Calibri" w:cs="Calibri"/>
          <w:color w:val="000000"/>
          <w:sz w:val="24"/>
          <w:szCs w:val="24"/>
          <w:lang w:eastAsia="cs-CZ"/>
        </w:rPr>
        <w:t>soulad</w:t>
      </w:r>
      <w:r w:rsidR="00A9382D" w:rsidRPr="003A5711">
        <w:rPr>
          <w:rFonts w:ascii="Calibri" w:eastAsia="Calibri" w:hAnsi="Calibri" w:cs="Calibri"/>
          <w:color w:val="000000"/>
          <w:sz w:val="24"/>
          <w:szCs w:val="24"/>
          <w:lang w:eastAsia="cs-CZ"/>
        </w:rPr>
        <w:t xml:space="preserve"> </w:t>
      </w:r>
      <w:r w:rsidRPr="003A5711">
        <w:rPr>
          <w:rFonts w:ascii="Calibri" w:eastAsia="Calibri" w:hAnsi="Calibri" w:cs="Calibri"/>
          <w:color w:val="000000"/>
          <w:sz w:val="24"/>
          <w:szCs w:val="24"/>
          <w:lang w:eastAsia="cs-CZ"/>
        </w:rPr>
        <w:t xml:space="preserve">vybraných provozních </w:t>
      </w:r>
      <w:r w:rsidR="00A9382D">
        <w:rPr>
          <w:rFonts w:ascii="Calibri" w:eastAsia="Calibri" w:hAnsi="Calibri" w:cs="Calibri"/>
          <w:color w:val="000000"/>
          <w:sz w:val="24"/>
          <w:szCs w:val="24"/>
          <w:lang w:eastAsia="cs-CZ"/>
        </w:rPr>
        <w:t>nákladů s právními předpisy</w:t>
      </w:r>
      <w:r w:rsidRPr="003A5711">
        <w:rPr>
          <w:rFonts w:ascii="Calibri" w:eastAsia="Calibri" w:hAnsi="Calibri" w:cs="Calibri"/>
          <w:color w:val="000000"/>
          <w:sz w:val="24"/>
          <w:szCs w:val="24"/>
          <w:lang w:eastAsia="cs-CZ"/>
        </w:rPr>
        <w:t>;</w:t>
      </w:r>
    </w:p>
    <w:p w14:paraId="638F7D3A" w14:textId="77777777" w:rsidR="003A5711" w:rsidRPr="003A5711" w:rsidRDefault="003A5711" w:rsidP="00484348">
      <w:pPr>
        <w:numPr>
          <w:ilvl w:val="0"/>
          <w:numId w:val="3"/>
        </w:numPr>
        <w:spacing w:after="120" w:line="264" w:lineRule="auto"/>
        <w:ind w:left="284" w:right="6" w:hanging="284"/>
        <w:contextualSpacing/>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nastavení systému pro účelné hospodaření s majetkem a peněžními prostředky státu se zaměřením na zpracování plánů potřeb v investiční a personální oblasti;</w:t>
      </w:r>
    </w:p>
    <w:p w14:paraId="12C40BAA" w14:textId="77777777" w:rsidR="003A5711" w:rsidRPr="003A5711" w:rsidRDefault="003A5711" w:rsidP="00484348">
      <w:pPr>
        <w:numPr>
          <w:ilvl w:val="0"/>
          <w:numId w:val="3"/>
        </w:numPr>
        <w:spacing w:after="120" w:line="264" w:lineRule="auto"/>
        <w:ind w:left="284" w:right="6" w:hanging="284"/>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 xml:space="preserve">nastavení a funkčnost vnitřního kontrolního systému. </w:t>
      </w:r>
    </w:p>
    <w:p w14:paraId="06003A53" w14:textId="410541A2" w:rsidR="003A5711" w:rsidRPr="003A5711" w:rsidRDefault="003A5711" w:rsidP="00484348">
      <w:pPr>
        <w:spacing w:after="120" w:line="264" w:lineRule="auto"/>
        <w:jc w:val="both"/>
        <w:rPr>
          <w:rFonts w:ascii="Calibri" w:eastAsia="Times New Roman" w:hAnsi="Calibri" w:cs="Calibri"/>
          <w:sz w:val="24"/>
          <w:szCs w:val="24"/>
        </w:rPr>
      </w:pPr>
      <w:r w:rsidRPr="003A5711">
        <w:rPr>
          <w:rFonts w:ascii="Calibri" w:eastAsia="Calibri" w:hAnsi="Calibri" w:cs="Calibri"/>
          <w:color w:val="000000"/>
          <w:sz w:val="24"/>
          <w:szCs w:val="24"/>
          <w:lang w:eastAsia="cs-CZ"/>
        </w:rPr>
        <w:t>Kontrolovaný objem peněžních prost</w:t>
      </w:r>
      <w:r w:rsidR="00CF75B3">
        <w:rPr>
          <w:rFonts w:ascii="Calibri" w:eastAsia="Calibri" w:hAnsi="Calibri" w:cs="Calibri"/>
          <w:color w:val="000000"/>
          <w:sz w:val="24"/>
          <w:szCs w:val="24"/>
          <w:lang w:eastAsia="cs-CZ"/>
        </w:rPr>
        <w:t>ředků GIBS činil 1 655 786 tis.</w:t>
      </w:r>
      <w:r w:rsidR="006948DF">
        <w:rPr>
          <w:rFonts w:ascii="Calibri" w:eastAsia="Calibri" w:hAnsi="Calibri" w:cs="Calibri"/>
          <w:color w:val="000000"/>
          <w:sz w:val="24"/>
          <w:szCs w:val="24"/>
          <w:lang w:eastAsia="cs-CZ"/>
        </w:rPr>
        <w:t> </w:t>
      </w:r>
      <w:r w:rsidRPr="003A5711">
        <w:rPr>
          <w:rFonts w:ascii="Calibri" w:eastAsia="Calibri" w:hAnsi="Calibri" w:cs="Calibri"/>
          <w:color w:val="000000"/>
          <w:sz w:val="24"/>
          <w:szCs w:val="24"/>
          <w:lang w:eastAsia="cs-CZ"/>
        </w:rPr>
        <w:t xml:space="preserve">Kč. </w:t>
      </w:r>
      <w:r w:rsidRPr="003A5711">
        <w:rPr>
          <w:rFonts w:ascii="Calibri" w:eastAsia="Calibri" w:hAnsi="Calibri" w:cs="Calibri"/>
          <w:sz w:val="24"/>
          <w:szCs w:val="24"/>
          <w:lang w:eastAsia="cs-CZ"/>
        </w:rPr>
        <w:t>K</w:t>
      </w:r>
      <w:r w:rsidRPr="003A5711">
        <w:rPr>
          <w:rFonts w:ascii="Calibri" w:eastAsia="Calibri" w:hAnsi="Calibri" w:cs="Calibri"/>
          <w:color w:val="000000"/>
          <w:sz w:val="24"/>
          <w:szCs w:val="24"/>
          <w:lang w:eastAsia="cs-CZ"/>
        </w:rPr>
        <w:t xml:space="preserve">ontrole byly podrobeny vybrané účetní případy v rámci provozních výdajů v letech 2017 až 2020 vedené na nákladových účtech </w:t>
      </w:r>
      <w:r w:rsidRPr="009D6D78">
        <w:rPr>
          <w:rFonts w:ascii="Calibri" w:eastAsia="Calibri" w:hAnsi="Calibri" w:cs="Calibri"/>
          <w:color w:val="000000"/>
          <w:sz w:val="24"/>
          <w:szCs w:val="24"/>
          <w:lang w:eastAsia="cs-CZ"/>
        </w:rPr>
        <w:t xml:space="preserve">501 – </w:t>
      </w:r>
      <w:r w:rsidRPr="003A5711">
        <w:rPr>
          <w:rFonts w:ascii="Calibri" w:eastAsia="Calibri" w:hAnsi="Calibri" w:cs="Calibri"/>
          <w:i/>
          <w:color w:val="000000"/>
          <w:sz w:val="24"/>
          <w:szCs w:val="24"/>
          <w:lang w:eastAsia="cs-CZ"/>
        </w:rPr>
        <w:t>Spotřeba materiálu</w:t>
      </w:r>
      <w:r w:rsidRPr="009D6D78">
        <w:rPr>
          <w:rFonts w:ascii="Calibri" w:eastAsia="Calibri" w:hAnsi="Calibri" w:cs="Calibri"/>
          <w:color w:val="000000"/>
          <w:sz w:val="24"/>
          <w:szCs w:val="24"/>
          <w:lang w:eastAsia="cs-CZ"/>
        </w:rPr>
        <w:t xml:space="preserve">, 511 – </w:t>
      </w:r>
      <w:r w:rsidRPr="003A5711">
        <w:rPr>
          <w:rFonts w:ascii="Calibri" w:eastAsia="Calibri" w:hAnsi="Calibri" w:cs="Calibri"/>
          <w:i/>
          <w:color w:val="000000"/>
          <w:sz w:val="24"/>
          <w:szCs w:val="24"/>
          <w:lang w:eastAsia="cs-CZ"/>
        </w:rPr>
        <w:t>Opravy a udržování</w:t>
      </w:r>
      <w:r w:rsidRPr="009D6D78">
        <w:rPr>
          <w:rFonts w:ascii="Calibri" w:eastAsia="Calibri" w:hAnsi="Calibri" w:cs="Calibri"/>
          <w:color w:val="000000"/>
          <w:sz w:val="24"/>
          <w:szCs w:val="24"/>
          <w:lang w:eastAsia="cs-CZ"/>
        </w:rPr>
        <w:t xml:space="preserve">, 518 – </w:t>
      </w:r>
      <w:r w:rsidRPr="003A5711">
        <w:rPr>
          <w:rFonts w:ascii="Calibri" w:eastAsia="Calibri" w:hAnsi="Calibri" w:cs="Calibri"/>
          <w:i/>
          <w:color w:val="000000"/>
          <w:sz w:val="24"/>
          <w:szCs w:val="24"/>
          <w:lang w:eastAsia="cs-CZ"/>
        </w:rPr>
        <w:t xml:space="preserve">Ostatní služby </w:t>
      </w:r>
      <w:r w:rsidRPr="009D6D78">
        <w:rPr>
          <w:rFonts w:ascii="Calibri" w:eastAsia="Calibri" w:hAnsi="Calibri" w:cs="Calibri"/>
          <w:color w:val="000000"/>
          <w:sz w:val="24"/>
          <w:szCs w:val="24"/>
          <w:lang w:eastAsia="cs-CZ"/>
        </w:rPr>
        <w:t xml:space="preserve">a 549 – </w:t>
      </w:r>
      <w:r w:rsidRPr="003A5711">
        <w:rPr>
          <w:rFonts w:ascii="Calibri" w:eastAsia="Calibri" w:hAnsi="Calibri" w:cs="Calibri"/>
          <w:i/>
          <w:color w:val="000000"/>
          <w:sz w:val="24"/>
          <w:szCs w:val="24"/>
          <w:lang w:eastAsia="cs-CZ"/>
        </w:rPr>
        <w:t>Ostatní náklady z činnosti</w:t>
      </w:r>
      <w:r w:rsidRPr="003A5711">
        <w:rPr>
          <w:rFonts w:ascii="Calibri" w:eastAsia="Calibri" w:hAnsi="Calibri" w:cs="Calibri"/>
          <w:color w:val="000000"/>
          <w:sz w:val="24"/>
          <w:szCs w:val="24"/>
          <w:lang w:eastAsia="cs-CZ"/>
        </w:rPr>
        <w:t xml:space="preserve">. </w:t>
      </w:r>
      <w:r w:rsidRPr="003A5711">
        <w:rPr>
          <w:rFonts w:ascii="Calibri" w:eastAsia="Calibri" w:hAnsi="Calibri" w:cs="Calibri"/>
          <w:sz w:val="24"/>
          <w:szCs w:val="24"/>
          <w:lang w:eastAsia="cs-CZ"/>
        </w:rPr>
        <w:t xml:space="preserve">Jednalo se o </w:t>
      </w:r>
      <w:r w:rsidRPr="003A5711">
        <w:rPr>
          <w:rFonts w:ascii="Calibri" w:eastAsia="Calibri" w:hAnsi="Calibri" w:cs="Calibri"/>
          <w:color w:val="000000"/>
          <w:sz w:val="24"/>
          <w:szCs w:val="24"/>
          <w:lang w:eastAsia="cs-CZ"/>
        </w:rPr>
        <w:t>30 účetních p</w:t>
      </w:r>
      <w:r w:rsidR="006948DF">
        <w:rPr>
          <w:rFonts w:ascii="Calibri" w:eastAsia="Calibri" w:hAnsi="Calibri" w:cs="Calibri"/>
          <w:color w:val="000000"/>
          <w:sz w:val="24"/>
          <w:szCs w:val="24"/>
          <w:lang w:eastAsia="cs-CZ"/>
        </w:rPr>
        <w:t>řípadů v celkové hodnotě 11 781 tis. </w:t>
      </w:r>
      <w:r w:rsidRPr="003A5711">
        <w:rPr>
          <w:rFonts w:ascii="Calibri" w:eastAsia="Calibri" w:hAnsi="Calibri" w:cs="Calibri"/>
          <w:color w:val="000000"/>
          <w:sz w:val="24"/>
          <w:szCs w:val="24"/>
          <w:lang w:eastAsia="cs-CZ"/>
        </w:rPr>
        <w:t>Kč. V rámci kontroly realizace investičních akcí byl vybrán vzorek sedmi ak</w:t>
      </w:r>
      <w:r w:rsidR="006948DF">
        <w:rPr>
          <w:rFonts w:ascii="Calibri" w:eastAsia="Calibri" w:hAnsi="Calibri" w:cs="Calibri"/>
          <w:color w:val="000000"/>
          <w:sz w:val="24"/>
          <w:szCs w:val="24"/>
          <w:lang w:eastAsia="cs-CZ"/>
        </w:rPr>
        <w:t>cí v celkové hodnotě 6 999 tis. </w:t>
      </w:r>
      <w:r w:rsidRPr="003A5711">
        <w:rPr>
          <w:rFonts w:ascii="Calibri" w:eastAsia="Calibri" w:hAnsi="Calibri" w:cs="Calibri"/>
          <w:color w:val="000000"/>
          <w:sz w:val="24"/>
          <w:szCs w:val="24"/>
          <w:lang w:eastAsia="cs-CZ"/>
        </w:rPr>
        <w:t>Kč. Akce zahrnovaly jak nákupy služebních dopravních prostředků</w:t>
      </w:r>
      <w:r w:rsidR="008A713B">
        <w:rPr>
          <w:rFonts w:ascii="Calibri" w:eastAsia="Calibri" w:hAnsi="Calibri" w:cs="Calibri"/>
          <w:color w:val="000000"/>
          <w:sz w:val="24"/>
          <w:szCs w:val="24"/>
          <w:lang w:eastAsia="cs-CZ"/>
        </w:rPr>
        <w:t>,</w:t>
      </w:r>
      <w:r w:rsidRPr="003A5711">
        <w:rPr>
          <w:rFonts w:ascii="Calibri" w:eastAsia="Calibri" w:hAnsi="Calibri" w:cs="Calibri"/>
          <w:color w:val="000000"/>
          <w:sz w:val="24"/>
          <w:szCs w:val="24"/>
          <w:lang w:eastAsia="cs-CZ"/>
        </w:rPr>
        <w:t xml:space="preserve"> tak i zhotovení stavebních prací. Kontrolní vzorek byl vybrán na základě kritéria finanční významnosti, věcného zaměření jednotlivých nákladových položek a </w:t>
      </w:r>
      <w:r w:rsidR="00A9382D">
        <w:rPr>
          <w:rFonts w:ascii="Calibri" w:eastAsia="Calibri" w:hAnsi="Calibri" w:cs="Calibri"/>
          <w:color w:val="000000"/>
          <w:sz w:val="24"/>
          <w:szCs w:val="24"/>
          <w:lang w:eastAsia="cs-CZ"/>
        </w:rPr>
        <w:t xml:space="preserve">s ohledem na zaměření </w:t>
      </w:r>
      <w:r w:rsidR="00EC244F">
        <w:rPr>
          <w:rFonts w:ascii="Calibri" w:eastAsia="Calibri" w:hAnsi="Calibri" w:cs="Calibri"/>
          <w:color w:val="000000"/>
          <w:sz w:val="24"/>
          <w:szCs w:val="24"/>
          <w:lang w:eastAsia="cs-CZ"/>
        </w:rPr>
        <w:t xml:space="preserve">předcházejí </w:t>
      </w:r>
      <w:r w:rsidR="00A9382D">
        <w:rPr>
          <w:rFonts w:ascii="Calibri" w:eastAsia="Calibri" w:hAnsi="Calibri" w:cs="Calibri"/>
          <w:color w:val="000000"/>
          <w:sz w:val="24"/>
          <w:szCs w:val="24"/>
          <w:lang w:eastAsia="cs-CZ"/>
        </w:rPr>
        <w:t>kontroly</w:t>
      </w:r>
      <w:r w:rsidR="00EC244F">
        <w:rPr>
          <w:rFonts w:ascii="Calibri" w:eastAsia="Calibri" w:hAnsi="Calibri" w:cs="Calibri"/>
          <w:color w:val="000000"/>
          <w:sz w:val="24"/>
          <w:szCs w:val="24"/>
          <w:lang w:eastAsia="cs-CZ"/>
        </w:rPr>
        <w:t xml:space="preserve"> MF</w:t>
      </w:r>
      <w:r w:rsidR="00C92E17">
        <w:rPr>
          <w:rFonts w:ascii="Calibri" w:eastAsia="Times New Roman" w:hAnsi="Calibri" w:cs="Calibri"/>
          <w:sz w:val="24"/>
          <w:szCs w:val="24"/>
        </w:rPr>
        <w:t>.</w:t>
      </w:r>
    </w:p>
    <w:p w14:paraId="51CA3328" w14:textId="77777777" w:rsidR="003A5711" w:rsidRPr="003A5711" w:rsidRDefault="003A5711" w:rsidP="00484348">
      <w:pPr>
        <w:ind w:left="567" w:right="6" w:hanging="578"/>
        <w:jc w:val="both"/>
        <w:rPr>
          <w:sz w:val="20"/>
          <w:szCs w:val="20"/>
        </w:rPr>
      </w:pPr>
      <w:r w:rsidRPr="003A5711">
        <w:rPr>
          <w:b/>
          <w:bCs/>
          <w:sz w:val="20"/>
          <w:szCs w:val="20"/>
        </w:rPr>
        <w:t xml:space="preserve">Pozn.: </w:t>
      </w:r>
      <w:r w:rsidRPr="003A5711">
        <w:rPr>
          <w:sz w:val="20"/>
          <w:szCs w:val="20"/>
        </w:rPr>
        <w:t>Právní předpisy uvedené v tomto kontrolním závěru jsou aplikovány ve znění účinném pro kontrolované období.</w:t>
      </w:r>
    </w:p>
    <w:p w14:paraId="483BDEE4" w14:textId="77777777" w:rsidR="003A5711" w:rsidRPr="003A5711" w:rsidRDefault="003A5711" w:rsidP="002F4FB9">
      <w:pPr>
        <w:spacing w:before="360" w:after="120"/>
        <w:jc w:val="center"/>
        <w:outlineLvl w:val="0"/>
        <w:rPr>
          <w:rFonts w:cstheme="minorHAnsi"/>
          <w:b/>
          <w:sz w:val="28"/>
          <w:szCs w:val="28"/>
        </w:rPr>
      </w:pPr>
      <w:r w:rsidRPr="003A5711">
        <w:rPr>
          <w:rFonts w:cstheme="minorHAnsi"/>
          <w:b/>
          <w:sz w:val="28"/>
          <w:szCs w:val="28"/>
        </w:rPr>
        <w:t>IV. Podrobné skutečnosti zjištěné kontrolou</w:t>
      </w:r>
    </w:p>
    <w:p w14:paraId="3BE2B90E" w14:textId="4D68BBD1" w:rsidR="003A5711" w:rsidRPr="003A5711" w:rsidRDefault="002F4FB9" w:rsidP="002F4FB9">
      <w:pPr>
        <w:keepNext/>
        <w:spacing w:after="120" w:line="264" w:lineRule="auto"/>
        <w:jc w:val="both"/>
        <w:outlineLvl w:val="1"/>
        <w:rPr>
          <w:rFonts w:cs="Calibri"/>
          <w:b/>
          <w:sz w:val="24"/>
          <w:szCs w:val="24"/>
        </w:rPr>
      </w:pPr>
      <w:r>
        <w:rPr>
          <w:rFonts w:cs="Calibri"/>
          <w:b/>
          <w:sz w:val="24"/>
          <w:szCs w:val="24"/>
        </w:rPr>
        <w:t xml:space="preserve">1. </w:t>
      </w:r>
      <w:r w:rsidR="003A5711" w:rsidRPr="003A5711">
        <w:rPr>
          <w:rFonts w:cs="Calibri"/>
          <w:b/>
          <w:sz w:val="24"/>
          <w:szCs w:val="24"/>
        </w:rPr>
        <w:t xml:space="preserve">Růst výdajů rozpočtu GIBS a jeho čerpání </w:t>
      </w:r>
    </w:p>
    <w:p w14:paraId="03E21AF7" w14:textId="189088A5" w:rsidR="003A5711" w:rsidRPr="003A5711" w:rsidRDefault="003A5711" w:rsidP="00484348">
      <w:pPr>
        <w:spacing w:after="120" w:line="264" w:lineRule="auto"/>
        <w:jc w:val="both"/>
        <w:rPr>
          <w:rFonts w:ascii="Calibri" w:hAnsi="Calibri" w:cs="Calibri"/>
          <w:sz w:val="24"/>
          <w:szCs w:val="24"/>
        </w:rPr>
      </w:pPr>
      <w:r w:rsidRPr="003A5711">
        <w:rPr>
          <w:rFonts w:ascii="Calibri" w:hAnsi="Calibri" w:cs="Calibri"/>
          <w:sz w:val="24"/>
          <w:szCs w:val="24"/>
        </w:rPr>
        <w:t xml:space="preserve">V důvodové zprávě k zákonu č. 341/2011 Sb. v části </w:t>
      </w:r>
      <w:r w:rsidR="002D5242">
        <w:rPr>
          <w:rFonts w:ascii="Calibri" w:hAnsi="Calibri" w:cs="Calibri"/>
          <w:sz w:val="24"/>
          <w:szCs w:val="24"/>
        </w:rPr>
        <w:t xml:space="preserve">o </w:t>
      </w:r>
      <w:r w:rsidRPr="003A5711">
        <w:rPr>
          <w:rFonts w:ascii="Calibri" w:hAnsi="Calibri" w:cs="Calibri"/>
          <w:sz w:val="24"/>
          <w:szCs w:val="24"/>
        </w:rPr>
        <w:t xml:space="preserve">vyhodnocení ekonomických dopadů bylo uvedeno, že v prvním roce fungování GIBS (2012) jsou předpokládané výdaje na její činnost odhadnuty ve výši 325 118 tis. Kč, následné roky (bez přihlédnutí k inflaci a k nepředvídaným potřebám nového sboru) ve výši 279 398 tis. Kč ročně. NKÚ zjistil, že GIBS v období od roku 2013 do roku 2016 </w:t>
      </w:r>
      <w:r w:rsidR="00231BB9">
        <w:rPr>
          <w:rFonts w:ascii="Calibri" w:hAnsi="Calibri" w:cs="Calibri"/>
          <w:sz w:val="24"/>
          <w:szCs w:val="24"/>
        </w:rPr>
        <w:t>výrazně nepřekročila</w:t>
      </w:r>
      <w:r w:rsidR="00231BB9" w:rsidRPr="003A5711">
        <w:rPr>
          <w:rFonts w:ascii="Calibri" w:hAnsi="Calibri" w:cs="Calibri"/>
          <w:sz w:val="24"/>
          <w:szCs w:val="24"/>
        </w:rPr>
        <w:t xml:space="preserve"> </w:t>
      </w:r>
      <w:r w:rsidR="002C3C10">
        <w:rPr>
          <w:rFonts w:ascii="Calibri" w:hAnsi="Calibri" w:cs="Calibri"/>
          <w:sz w:val="24"/>
          <w:szCs w:val="24"/>
        </w:rPr>
        <w:t>objem</w:t>
      </w:r>
      <w:r w:rsidR="002C3C10" w:rsidRPr="003A5711">
        <w:rPr>
          <w:rFonts w:ascii="Calibri" w:hAnsi="Calibri" w:cs="Calibri"/>
          <w:sz w:val="24"/>
          <w:szCs w:val="24"/>
        </w:rPr>
        <w:t xml:space="preserve"> </w:t>
      </w:r>
      <w:r w:rsidRPr="003A5711">
        <w:rPr>
          <w:rFonts w:ascii="Calibri" w:hAnsi="Calibri" w:cs="Calibri"/>
          <w:sz w:val="24"/>
          <w:szCs w:val="24"/>
        </w:rPr>
        <w:t>výdajů dle důvodové zprávy. V roce 2017 jej výrazně překročila a i v dalších letech výdaje GIBS skokově narůstaly, a to až na 447</w:t>
      </w:r>
      <w:r w:rsidR="002F4FB9">
        <w:rPr>
          <w:rFonts w:ascii="Calibri" w:hAnsi="Calibri" w:cs="Calibri"/>
          <w:sz w:val="24"/>
          <w:szCs w:val="24"/>
        </w:rPr>
        <w:t> </w:t>
      </w:r>
      <w:r w:rsidRPr="003A5711">
        <w:rPr>
          <w:rFonts w:ascii="Calibri" w:hAnsi="Calibri" w:cs="Calibri"/>
          <w:sz w:val="24"/>
          <w:szCs w:val="24"/>
        </w:rPr>
        <w:t>988</w:t>
      </w:r>
      <w:r w:rsidR="002F4FB9">
        <w:rPr>
          <w:rFonts w:ascii="Calibri" w:hAnsi="Calibri" w:cs="Calibri"/>
          <w:sz w:val="24"/>
          <w:szCs w:val="24"/>
        </w:rPr>
        <w:t> </w:t>
      </w:r>
      <w:r w:rsidRPr="003A5711">
        <w:rPr>
          <w:rFonts w:ascii="Calibri" w:hAnsi="Calibri" w:cs="Calibri"/>
          <w:sz w:val="24"/>
          <w:szCs w:val="24"/>
        </w:rPr>
        <w:t>tis.</w:t>
      </w:r>
      <w:r w:rsidR="002F4FB9">
        <w:rPr>
          <w:rFonts w:ascii="Calibri" w:hAnsi="Calibri" w:cs="Calibri"/>
          <w:sz w:val="24"/>
          <w:szCs w:val="24"/>
        </w:rPr>
        <w:t> </w:t>
      </w:r>
      <w:r w:rsidRPr="003A5711">
        <w:rPr>
          <w:rFonts w:ascii="Calibri" w:hAnsi="Calibri" w:cs="Calibri"/>
          <w:sz w:val="24"/>
          <w:szCs w:val="24"/>
        </w:rPr>
        <w:t>Kč v roce 2020, což představuje nárůst oproti předpokladu o 168 590 tis. Kč, tj. o více než 60</w:t>
      </w:r>
      <w:r w:rsidR="00194AA8">
        <w:rPr>
          <w:rFonts w:ascii="Calibri" w:hAnsi="Calibri" w:cs="Calibri"/>
          <w:sz w:val="24"/>
          <w:szCs w:val="24"/>
        </w:rPr>
        <w:t> </w:t>
      </w:r>
      <w:r w:rsidRPr="003A5711">
        <w:rPr>
          <w:rFonts w:ascii="Calibri" w:hAnsi="Calibri" w:cs="Calibri"/>
          <w:sz w:val="24"/>
          <w:szCs w:val="24"/>
        </w:rPr>
        <w:t xml:space="preserve">%. Pro rok 2021 byl schválen rozpočet výdajů GIBS ve výši 469 757 tis. Kč, což by představovalo v případě </w:t>
      </w:r>
      <w:r w:rsidR="00BB1B9F">
        <w:rPr>
          <w:rFonts w:ascii="Calibri" w:hAnsi="Calibri" w:cs="Calibri"/>
          <w:sz w:val="24"/>
          <w:szCs w:val="24"/>
        </w:rPr>
        <w:t>čerpání</w:t>
      </w:r>
      <w:r w:rsidR="00BB1B9F" w:rsidRPr="003A5711">
        <w:rPr>
          <w:rFonts w:ascii="Calibri" w:hAnsi="Calibri" w:cs="Calibri"/>
          <w:sz w:val="24"/>
          <w:szCs w:val="24"/>
        </w:rPr>
        <w:t xml:space="preserve"> </w:t>
      </w:r>
      <w:r w:rsidRPr="003A5711">
        <w:rPr>
          <w:rFonts w:ascii="Calibri" w:hAnsi="Calibri" w:cs="Calibri"/>
          <w:sz w:val="24"/>
          <w:szCs w:val="24"/>
        </w:rPr>
        <w:t>v plánované výši nárůst již o 68 % oproti předpokladu</w:t>
      </w:r>
      <w:r w:rsidR="00BB1B9F">
        <w:rPr>
          <w:rFonts w:ascii="Calibri" w:hAnsi="Calibri" w:cs="Calibri"/>
          <w:sz w:val="24"/>
          <w:szCs w:val="24"/>
        </w:rPr>
        <w:t xml:space="preserve"> z důvodové zprávy</w:t>
      </w:r>
      <w:r w:rsidRPr="003A5711">
        <w:rPr>
          <w:rFonts w:ascii="Calibri" w:hAnsi="Calibri" w:cs="Calibri"/>
          <w:sz w:val="24"/>
          <w:szCs w:val="24"/>
        </w:rPr>
        <w:t xml:space="preserve">. </w:t>
      </w:r>
    </w:p>
    <w:p w14:paraId="14313725" w14:textId="6DCB4F2B" w:rsidR="003A5711" w:rsidRPr="002F4FB9" w:rsidRDefault="003A5711" w:rsidP="002F4FB9">
      <w:pPr>
        <w:tabs>
          <w:tab w:val="right" w:pos="9072"/>
        </w:tabs>
        <w:spacing w:after="40"/>
        <w:rPr>
          <w:rFonts w:ascii="Calibri" w:eastAsia="Calibri" w:hAnsi="Calibri"/>
          <w:b/>
          <w:sz w:val="24"/>
          <w:szCs w:val="24"/>
        </w:rPr>
      </w:pPr>
      <w:r w:rsidRPr="002F4FB9">
        <w:rPr>
          <w:rFonts w:ascii="Calibri" w:eastAsia="Calibri" w:hAnsi="Calibri"/>
          <w:b/>
          <w:sz w:val="24"/>
          <w:szCs w:val="24"/>
        </w:rPr>
        <w:t xml:space="preserve">Tabulka č. </w:t>
      </w:r>
      <w:r w:rsidR="00662D19" w:rsidRPr="002F4FB9">
        <w:rPr>
          <w:rFonts w:ascii="Calibri" w:eastAsia="Calibri" w:hAnsi="Calibri"/>
          <w:b/>
          <w:sz w:val="24"/>
          <w:szCs w:val="24"/>
        </w:rPr>
        <w:t>2</w:t>
      </w:r>
      <w:r w:rsidRPr="002F4FB9">
        <w:rPr>
          <w:rFonts w:ascii="Calibri" w:eastAsia="Calibri" w:hAnsi="Calibri"/>
          <w:b/>
          <w:sz w:val="24"/>
          <w:szCs w:val="24"/>
        </w:rPr>
        <w:t>: Rozpočet</w:t>
      </w:r>
      <w:r w:rsidR="00385DB1" w:rsidRPr="002F4FB9">
        <w:rPr>
          <w:rFonts w:ascii="Calibri" w:eastAsia="Calibri" w:hAnsi="Calibri"/>
          <w:b/>
          <w:sz w:val="24"/>
          <w:szCs w:val="24"/>
        </w:rPr>
        <w:t xml:space="preserve"> GIBS v letech 2012–</w:t>
      </w:r>
      <w:r w:rsidRPr="002F4FB9">
        <w:rPr>
          <w:rFonts w:ascii="Calibri" w:eastAsia="Calibri" w:hAnsi="Calibri"/>
          <w:b/>
          <w:sz w:val="24"/>
          <w:szCs w:val="24"/>
        </w:rPr>
        <w:t xml:space="preserve">2020 </w:t>
      </w:r>
      <w:r w:rsidR="002F4FB9">
        <w:rPr>
          <w:rFonts w:ascii="Calibri" w:eastAsia="Calibri" w:hAnsi="Calibri"/>
          <w:b/>
          <w:sz w:val="24"/>
          <w:szCs w:val="24"/>
        </w:rPr>
        <w:tab/>
      </w:r>
      <w:r w:rsidRPr="002F4FB9">
        <w:rPr>
          <w:rFonts w:ascii="Calibri" w:eastAsia="Calibri" w:hAnsi="Calibri"/>
          <w:b/>
          <w:sz w:val="24"/>
          <w:szCs w:val="24"/>
        </w:rPr>
        <w:t>(v tis. Kč)</w:t>
      </w:r>
    </w:p>
    <w:tbl>
      <w:tblPr>
        <w:tblW w:w="9074"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1928"/>
        <w:gridCol w:w="794"/>
        <w:gridCol w:w="794"/>
        <w:gridCol w:w="794"/>
        <w:gridCol w:w="794"/>
        <w:gridCol w:w="794"/>
        <w:gridCol w:w="794"/>
        <w:gridCol w:w="794"/>
        <w:gridCol w:w="794"/>
        <w:gridCol w:w="794"/>
      </w:tblGrid>
      <w:tr w:rsidR="003A5711" w:rsidRPr="002F4FB9" w14:paraId="7F67BED2" w14:textId="77777777" w:rsidTr="002F4FB9">
        <w:trPr>
          <w:trHeight w:val="283"/>
          <w:jc w:val="center"/>
        </w:trPr>
        <w:tc>
          <w:tcPr>
            <w:tcW w:w="1928" w:type="dxa"/>
            <w:shd w:val="clear" w:color="auto" w:fill="E5F1FF"/>
            <w:noWrap/>
            <w:vAlign w:val="center"/>
            <w:hideMark/>
          </w:tcPr>
          <w:p w14:paraId="3F1D4FDF" w14:textId="77777777" w:rsidR="003A5711" w:rsidRPr="002F4FB9" w:rsidRDefault="003A5711" w:rsidP="002F4FB9">
            <w:pPr>
              <w:rPr>
                <w:rFonts w:ascii="Calibri" w:hAnsi="Calibri" w:cs="Calibri"/>
                <w:b/>
                <w:bCs/>
                <w:sz w:val="18"/>
                <w:szCs w:val="18"/>
                <w:lang w:eastAsia="cs-CZ"/>
              </w:rPr>
            </w:pPr>
            <w:r w:rsidRPr="002F4FB9">
              <w:rPr>
                <w:rFonts w:ascii="Calibri" w:hAnsi="Calibri" w:cs="Calibri"/>
                <w:b/>
                <w:bCs/>
                <w:sz w:val="18"/>
                <w:szCs w:val="18"/>
                <w:lang w:eastAsia="cs-CZ"/>
              </w:rPr>
              <w:t>Ukazatel</w:t>
            </w:r>
          </w:p>
        </w:tc>
        <w:tc>
          <w:tcPr>
            <w:tcW w:w="794" w:type="dxa"/>
            <w:shd w:val="clear" w:color="auto" w:fill="E5F1FF"/>
            <w:noWrap/>
            <w:vAlign w:val="center"/>
            <w:hideMark/>
          </w:tcPr>
          <w:p w14:paraId="628DF826"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2012</w:t>
            </w:r>
          </w:p>
        </w:tc>
        <w:tc>
          <w:tcPr>
            <w:tcW w:w="794" w:type="dxa"/>
            <w:shd w:val="clear" w:color="auto" w:fill="E5F1FF"/>
            <w:noWrap/>
            <w:vAlign w:val="center"/>
            <w:hideMark/>
          </w:tcPr>
          <w:p w14:paraId="7B75B759"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2013</w:t>
            </w:r>
          </w:p>
        </w:tc>
        <w:tc>
          <w:tcPr>
            <w:tcW w:w="794" w:type="dxa"/>
            <w:shd w:val="clear" w:color="auto" w:fill="E5F1FF"/>
            <w:noWrap/>
            <w:vAlign w:val="center"/>
            <w:hideMark/>
          </w:tcPr>
          <w:p w14:paraId="6E07C099"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2014</w:t>
            </w:r>
          </w:p>
        </w:tc>
        <w:tc>
          <w:tcPr>
            <w:tcW w:w="794" w:type="dxa"/>
            <w:shd w:val="clear" w:color="auto" w:fill="E5F1FF"/>
            <w:noWrap/>
            <w:vAlign w:val="center"/>
            <w:hideMark/>
          </w:tcPr>
          <w:p w14:paraId="3A74A3BF"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2015</w:t>
            </w:r>
          </w:p>
        </w:tc>
        <w:tc>
          <w:tcPr>
            <w:tcW w:w="794" w:type="dxa"/>
            <w:shd w:val="clear" w:color="auto" w:fill="E5F1FF"/>
            <w:noWrap/>
            <w:vAlign w:val="center"/>
            <w:hideMark/>
          </w:tcPr>
          <w:p w14:paraId="27BA9B19"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2016</w:t>
            </w:r>
          </w:p>
        </w:tc>
        <w:tc>
          <w:tcPr>
            <w:tcW w:w="794" w:type="dxa"/>
            <w:shd w:val="clear" w:color="auto" w:fill="E5F1FF"/>
            <w:noWrap/>
            <w:vAlign w:val="center"/>
            <w:hideMark/>
          </w:tcPr>
          <w:p w14:paraId="3CDCD736"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2017</w:t>
            </w:r>
          </w:p>
        </w:tc>
        <w:tc>
          <w:tcPr>
            <w:tcW w:w="794" w:type="dxa"/>
            <w:shd w:val="clear" w:color="auto" w:fill="E5F1FF"/>
            <w:noWrap/>
            <w:vAlign w:val="center"/>
            <w:hideMark/>
          </w:tcPr>
          <w:p w14:paraId="7F39173E"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2018</w:t>
            </w:r>
          </w:p>
        </w:tc>
        <w:tc>
          <w:tcPr>
            <w:tcW w:w="794" w:type="dxa"/>
            <w:shd w:val="clear" w:color="auto" w:fill="E5F1FF"/>
            <w:noWrap/>
            <w:vAlign w:val="center"/>
            <w:hideMark/>
          </w:tcPr>
          <w:p w14:paraId="4C3DA38D"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2019</w:t>
            </w:r>
          </w:p>
        </w:tc>
        <w:tc>
          <w:tcPr>
            <w:tcW w:w="794" w:type="dxa"/>
            <w:shd w:val="clear" w:color="auto" w:fill="E5F1FF"/>
            <w:vAlign w:val="center"/>
          </w:tcPr>
          <w:p w14:paraId="73B84624" w14:textId="77777777" w:rsidR="003A5711" w:rsidRPr="002F4FB9" w:rsidRDefault="003A5711" w:rsidP="002F4FB9">
            <w:pPr>
              <w:jc w:val="center"/>
              <w:rPr>
                <w:rFonts w:ascii="Calibri" w:hAnsi="Calibri" w:cs="Calibri"/>
                <w:b/>
                <w:bCs/>
                <w:sz w:val="18"/>
                <w:szCs w:val="18"/>
                <w:lang w:eastAsia="cs-CZ"/>
              </w:rPr>
            </w:pPr>
            <w:r w:rsidRPr="002F4FB9">
              <w:rPr>
                <w:rFonts w:ascii="Calibri" w:hAnsi="Calibri" w:cs="Calibri"/>
                <w:b/>
                <w:bCs/>
                <w:sz w:val="18"/>
                <w:szCs w:val="18"/>
                <w:lang w:eastAsia="cs-CZ"/>
              </w:rPr>
              <w:t>2020</w:t>
            </w:r>
          </w:p>
        </w:tc>
      </w:tr>
      <w:tr w:rsidR="003A5711" w:rsidRPr="002F4FB9" w14:paraId="3925D538" w14:textId="77777777" w:rsidTr="002F4FB9">
        <w:trPr>
          <w:trHeight w:val="283"/>
          <w:jc w:val="center"/>
        </w:trPr>
        <w:tc>
          <w:tcPr>
            <w:tcW w:w="1928" w:type="dxa"/>
            <w:shd w:val="clear" w:color="auto" w:fill="auto"/>
            <w:noWrap/>
            <w:vAlign w:val="center"/>
            <w:hideMark/>
          </w:tcPr>
          <w:p w14:paraId="4A108649" w14:textId="77777777" w:rsidR="003A5711" w:rsidRPr="002F4FB9" w:rsidRDefault="003A5711" w:rsidP="002F4FB9">
            <w:pPr>
              <w:rPr>
                <w:rFonts w:ascii="Calibri" w:hAnsi="Calibri" w:cs="Calibri"/>
                <w:sz w:val="18"/>
                <w:szCs w:val="18"/>
                <w:lang w:eastAsia="cs-CZ"/>
              </w:rPr>
            </w:pPr>
            <w:r w:rsidRPr="002F4FB9">
              <w:rPr>
                <w:rFonts w:ascii="Calibri" w:hAnsi="Calibri" w:cs="Calibri"/>
                <w:sz w:val="18"/>
                <w:szCs w:val="18"/>
                <w:lang w:eastAsia="cs-CZ"/>
              </w:rPr>
              <w:t>Schválený rozpočet</w:t>
            </w:r>
          </w:p>
        </w:tc>
        <w:tc>
          <w:tcPr>
            <w:tcW w:w="794" w:type="dxa"/>
            <w:shd w:val="clear" w:color="auto" w:fill="auto"/>
            <w:noWrap/>
            <w:vAlign w:val="center"/>
            <w:hideMark/>
          </w:tcPr>
          <w:p w14:paraId="76FC6C11"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0</w:t>
            </w:r>
          </w:p>
        </w:tc>
        <w:tc>
          <w:tcPr>
            <w:tcW w:w="794" w:type="dxa"/>
            <w:shd w:val="clear" w:color="auto" w:fill="auto"/>
            <w:noWrap/>
            <w:vAlign w:val="center"/>
            <w:hideMark/>
          </w:tcPr>
          <w:p w14:paraId="4CCAC84D"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277 267</w:t>
            </w:r>
          </w:p>
        </w:tc>
        <w:tc>
          <w:tcPr>
            <w:tcW w:w="794" w:type="dxa"/>
            <w:shd w:val="clear" w:color="auto" w:fill="auto"/>
            <w:noWrap/>
            <w:vAlign w:val="center"/>
            <w:hideMark/>
          </w:tcPr>
          <w:p w14:paraId="1A732331"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279 724</w:t>
            </w:r>
          </w:p>
        </w:tc>
        <w:tc>
          <w:tcPr>
            <w:tcW w:w="794" w:type="dxa"/>
            <w:shd w:val="clear" w:color="auto" w:fill="auto"/>
            <w:noWrap/>
            <w:vAlign w:val="center"/>
            <w:hideMark/>
          </w:tcPr>
          <w:p w14:paraId="4E19D3E2"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267 632</w:t>
            </w:r>
          </w:p>
        </w:tc>
        <w:tc>
          <w:tcPr>
            <w:tcW w:w="794" w:type="dxa"/>
            <w:shd w:val="clear" w:color="auto" w:fill="auto"/>
            <w:noWrap/>
            <w:vAlign w:val="center"/>
            <w:hideMark/>
          </w:tcPr>
          <w:p w14:paraId="4FE27113"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278 147</w:t>
            </w:r>
          </w:p>
        </w:tc>
        <w:tc>
          <w:tcPr>
            <w:tcW w:w="794" w:type="dxa"/>
            <w:shd w:val="clear" w:color="auto" w:fill="auto"/>
            <w:noWrap/>
            <w:vAlign w:val="center"/>
            <w:hideMark/>
          </w:tcPr>
          <w:p w14:paraId="3D18B5ED"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307 586</w:t>
            </w:r>
          </w:p>
        </w:tc>
        <w:tc>
          <w:tcPr>
            <w:tcW w:w="794" w:type="dxa"/>
            <w:shd w:val="clear" w:color="auto" w:fill="auto"/>
            <w:noWrap/>
            <w:vAlign w:val="center"/>
            <w:hideMark/>
          </w:tcPr>
          <w:p w14:paraId="78081EA2"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397 381</w:t>
            </w:r>
          </w:p>
        </w:tc>
        <w:tc>
          <w:tcPr>
            <w:tcW w:w="794" w:type="dxa"/>
            <w:shd w:val="clear" w:color="auto" w:fill="auto"/>
            <w:noWrap/>
            <w:vAlign w:val="center"/>
            <w:hideMark/>
          </w:tcPr>
          <w:p w14:paraId="6A8C2F60"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405 838</w:t>
            </w:r>
          </w:p>
        </w:tc>
        <w:tc>
          <w:tcPr>
            <w:tcW w:w="794" w:type="dxa"/>
            <w:vAlign w:val="center"/>
          </w:tcPr>
          <w:p w14:paraId="1F025FE7"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452 581</w:t>
            </w:r>
          </w:p>
        </w:tc>
      </w:tr>
      <w:tr w:rsidR="003A5711" w:rsidRPr="002F4FB9" w14:paraId="0CCDE6B3" w14:textId="77777777" w:rsidTr="002F4FB9">
        <w:trPr>
          <w:trHeight w:val="283"/>
          <w:jc w:val="center"/>
        </w:trPr>
        <w:tc>
          <w:tcPr>
            <w:tcW w:w="1928" w:type="dxa"/>
            <w:shd w:val="clear" w:color="auto" w:fill="auto"/>
            <w:noWrap/>
            <w:vAlign w:val="center"/>
            <w:hideMark/>
          </w:tcPr>
          <w:p w14:paraId="7B7196F0" w14:textId="77777777" w:rsidR="003A5711" w:rsidRPr="002F4FB9" w:rsidRDefault="003A5711" w:rsidP="002F4FB9">
            <w:pPr>
              <w:rPr>
                <w:rFonts w:ascii="Calibri" w:hAnsi="Calibri" w:cs="Calibri"/>
                <w:sz w:val="18"/>
                <w:szCs w:val="18"/>
                <w:lang w:eastAsia="cs-CZ"/>
              </w:rPr>
            </w:pPr>
            <w:r w:rsidRPr="002F4FB9">
              <w:rPr>
                <w:rFonts w:ascii="Calibri" w:hAnsi="Calibri" w:cs="Calibri"/>
                <w:sz w:val="18"/>
                <w:szCs w:val="18"/>
                <w:lang w:eastAsia="cs-CZ"/>
              </w:rPr>
              <w:t>Rozpočet po změnách</w:t>
            </w:r>
          </w:p>
        </w:tc>
        <w:tc>
          <w:tcPr>
            <w:tcW w:w="794" w:type="dxa"/>
            <w:shd w:val="clear" w:color="auto" w:fill="auto"/>
            <w:noWrap/>
            <w:vAlign w:val="center"/>
            <w:hideMark/>
          </w:tcPr>
          <w:p w14:paraId="4FB86DF9"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322 308</w:t>
            </w:r>
          </w:p>
        </w:tc>
        <w:tc>
          <w:tcPr>
            <w:tcW w:w="794" w:type="dxa"/>
            <w:shd w:val="clear" w:color="auto" w:fill="auto"/>
            <w:noWrap/>
            <w:vAlign w:val="center"/>
            <w:hideMark/>
          </w:tcPr>
          <w:p w14:paraId="715FBBCD"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277 086</w:t>
            </w:r>
          </w:p>
        </w:tc>
        <w:tc>
          <w:tcPr>
            <w:tcW w:w="794" w:type="dxa"/>
            <w:shd w:val="clear" w:color="auto" w:fill="auto"/>
            <w:noWrap/>
            <w:vAlign w:val="center"/>
            <w:hideMark/>
          </w:tcPr>
          <w:p w14:paraId="00B49938"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280 929</w:t>
            </w:r>
          </w:p>
        </w:tc>
        <w:tc>
          <w:tcPr>
            <w:tcW w:w="794" w:type="dxa"/>
            <w:shd w:val="clear" w:color="auto" w:fill="auto"/>
            <w:noWrap/>
            <w:vAlign w:val="center"/>
            <w:hideMark/>
          </w:tcPr>
          <w:p w14:paraId="2B66A2A1"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270 217</w:t>
            </w:r>
          </w:p>
        </w:tc>
        <w:tc>
          <w:tcPr>
            <w:tcW w:w="794" w:type="dxa"/>
            <w:shd w:val="clear" w:color="auto" w:fill="auto"/>
            <w:noWrap/>
            <w:vAlign w:val="center"/>
            <w:hideMark/>
          </w:tcPr>
          <w:p w14:paraId="1B79D78E"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283 100</w:t>
            </w:r>
          </w:p>
        </w:tc>
        <w:tc>
          <w:tcPr>
            <w:tcW w:w="794" w:type="dxa"/>
            <w:shd w:val="clear" w:color="auto" w:fill="auto"/>
            <w:noWrap/>
            <w:vAlign w:val="center"/>
            <w:hideMark/>
          </w:tcPr>
          <w:p w14:paraId="2C4F1221"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380 712</w:t>
            </w:r>
          </w:p>
        </w:tc>
        <w:tc>
          <w:tcPr>
            <w:tcW w:w="794" w:type="dxa"/>
            <w:shd w:val="clear" w:color="auto" w:fill="auto"/>
            <w:noWrap/>
            <w:vAlign w:val="center"/>
            <w:hideMark/>
          </w:tcPr>
          <w:p w14:paraId="70774C45"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407 885</w:t>
            </w:r>
          </w:p>
        </w:tc>
        <w:tc>
          <w:tcPr>
            <w:tcW w:w="794" w:type="dxa"/>
            <w:shd w:val="clear" w:color="auto" w:fill="auto"/>
            <w:noWrap/>
            <w:vAlign w:val="center"/>
            <w:hideMark/>
          </w:tcPr>
          <w:p w14:paraId="2BB5F82E"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427 459</w:t>
            </w:r>
          </w:p>
        </w:tc>
        <w:tc>
          <w:tcPr>
            <w:tcW w:w="794" w:type="dxa"/>
            <w:vAlign w:val="center"/>
          </w:tcPr>
          <w:p w14:paraId="7EFEB760"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470 043</w:t>
            </w:r>
          </w:p>
        </w:tc>
      </w:tr>
      <w:tr w:rsidR="003A5711" w:rsidRPr="002F4FB9" w14:paraId="7C5DA607" w14:textId="77777777" w:rsidTr="002F4FB9">
        <w:trPr>
          <w:trHeight w:val="283"/>
          <w:jc w:val="center"/>
        </w:trPr>
        <w:tc>
          <w:tcPr>
            <w:tcW w:w="1928" w:type="dxa"/>
            <w:shd w:val="clear" w:color="auto" w:fill="auto"/>
            <w:noWrap/>
            <w:vAlign w:val="center"/>
            <w:hideMark/>
          </w:tcPr>
          <w:p w14:paraId="52180837" w14:textId="77777777" w:rsidR="003A5711" w:rsidRPr="002F4FB9" w:rsidRDefault="003A5711" w:rsidP="002F4FB9">
            <w:pPr>
              <w:rPr>
                <w:rFonts w:ascii="Calibri" w:hAnsi="Calibri" w:cs="Calibri"/>
                <w:sz w:val="18"/>
                <w:szCs w:val="18"/>
                <w:lang w:eastAsia="cs-CZ"/>
              </w:rPr>
            </w:pPr>
            <w:r w:rsidRPr="002F4FB9">
              <w:rPr>
                <w:rFonts w:ascii="Calibri" w:hAnsi="Calibri" w:cs="Calibri"/>
                <w:sz w:val="18"/>
                <w:szCs w:val="18"/>
                <w:lang w:eastAsia="cs-CZ"/>
              </w:rPr>
              <w:t>Konečný rozpočet</w:t>
            </w:r>
          </w:p>
        </w:tc>
        <w:tc>
          <w:tcPr>
            <w:tcW w:w="794" w:type="dxa"/>
            <w:shd w:val="clear" w:color="auto" w:fill="auto"/>
            <w:noWrap/>
            <w:vAlign w:val="center"/>
            <w:hideMark/>
          </w:tcPr>
          <w:p w14:paraId="7EFFFFBE"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319 669</w:t>
            </w:r>
          </w:p>
        </w:tc>
        <w:tc>
          <w:tcPr>
            <w:tcW w:w="794" w:type="dxa"/>
            <w:shd w:val="clear" w:color="auto" w:fill="auto"/>
            <w:noWrap/>
            <w:vAlign w:val="center"/>
            <w:hideMark/>
          </w:tcPr>
          <w:p w14:paraId="3E030D17"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280 647</w:t>
            </w:r>
          </w:p>
        </w:tc>
        <w:tc>
          <w:tcPr>
            <w:tcW w:w="794" w:type="dxa"/>
            <w:shd w:val="clear" w:color="auto" w:fill="auto"/>
            <w:noWrap/>
            <w:vAlign w:val="center"/>
            <w:hideMark/>
          </w:tcPr>
          <w:p w14:paraId="161A08F2"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284 137</w:t>
            </w:r>
          </w:p>
        </w:tc>
        <w:tc>
          <w:tcPr>
            <w:tcW w:w="794" w:type="dxa"/>
            <w:shd w:val="clear" w:color="auto" w:fill="auto"/>
            <w:noWrap/>
            <w:vAlign w:val="center"/>
            <w:hideMark/>
          </w:tcPr>
          <w:p w14:paraId="7FD5DA5E"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271 646</w:t>
            </w:r>
          </w:p>
        </w:tc>
        <w:tc>
          <w:tcPr>
            <w:tcW w:w="794" w:type="dxa"/>
            <w:shd w:val="clear" w:color="auto" w:fill="auto"/>
            <w:noWrap/>
            <w:vAlign w:val="center"/>
            <w:hideMark/>
          </w:tcPr>
          <w:p w14:paraId="4A2739AA"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284 154</w:t>
            </w:r>
          </w:p>
        </w:tc>
        <w:tc>
          <w:tcPr>
            <w:tcW w:w="794" w:type="dxa"/>
            <w:shd w:val="clear" w:color="auto" w:fill="auto"/>
            <w:noWrap/>
            <w:vAlign w:val="center"/>
            <w:hideMark/>
          </w:tcPr>
          <w:p w14:paraId="5DDC0FCA"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382 502</w:t>
            </w:r>
          </w:p>
        </w:tc>
        <w:tc>
          <w:tcPr>
            <w:tcW w:w="794" w:type="dxa"/>
            <w:shd w:val="clear" w:color="auto" w:fill="auto"/>
            <w:noWrap/>
            <w:vAlign w:val="center"/>
            <w:hideMark/>
          </w:tcPr>
          <w:p w14:paraId="5E569AD6"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414 539</w:t>
            </w:r>
          </w:p>
        </w:tc>
        <w:tc>
          <w:tcPr>
            <w:tcW w:w="794" w:type="dxa"/>
            <w:shd w:val="clear" w:color="auto" w:fill="auto"/>
            <w:noWrap/>
            <w:vAlign w:val="center"/>
            <w:hideMark/>
          </w:tcPr>
          <w:p w14:paraId="3B7EF782"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435 640</w:t>
            </w:r>
          </w:p>
        </w:tc>
        <w:tc>
          <w:tcPr>
            <w:tcW w:w="794" w:type="dxa"/>
            <w:vAlign w:val="center"/>
          </w:tcPr>
          <w:p w14:paraId="10EA020F"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476 728</w:t>
            </w:r>
          </w:p>
        </w:tc>
      </w:tr>
      <w:tr w:rsidR="003A5711" w:rsidRPr="002F4FB9" w14:paraId="0B03E0B7" w14:textId="77777777" w:rsidTr="002F4FB9">
        <w:trPr>
          <w:trHeight w:val="283"/>
          <w:jc w:val="center"/>
        </w:trPr>
        <w:tc>
          <w:tcPr>
            <w:tcW w:w="1928" w:type="dxa"/>
            <w:shd w:val="clear" w:color="auto" w:fill="auto"/>
            <w:noWrap/>
            <w:vAlign w:val="center"/>
            <w:hideMark/>
          </w:tcPr>
          <w:p w14:paraId="2FB75DAB" w14:textId="77777777" w:rsidR="003A5711" w:rsidRPr="002F4FB9" w:rsidRDefault="003A5711" w:rsidP="002F4FB9">
            <w:pPr>
              <w:rPr>
                <w:rFonts w:ascii="Calibri" w:hAnsi="Calibri" w:cs="Calibri"/>
                <w:sz w:val="18"/>
                <w:szCs w:val="18"/>
                <w:lang w:eastAsia="cs-CZ"/>
              </w:rPr>
            </w:pPr>
            <w:r w:rsidRPr="002F4FB9">
              <w:rPr>
                <w:rFonts w:ascii="Calibri" w:hAnsi="Calibri" w:cs="Calibri"/>
                <w:sz w:val="18"/>
                <w:szCs w:val="18"/>
                <w:lang w:eastAsia="cs-CZ"/>
              </w:rPr>
              <w:t>Skutečné čerpání</w:t>
            </w:r>
          </w:p>
        </w:tc>
        <w:tc>
          <w:tcPr>
            <w:tcW w:w="794" w:type="dxa"/>
            <w:shd w:val="clear" w:color="auto" w:fill="auto"/>
            <w:noWrap/>
            <w:vAlign w:val="center"/>
            <w:hideMark/>
          </w:tcPr>
          <w:p w14:paraId="28913E2B"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310 468</w:t>
            </w:r>
          </w:p>
        </w:tc>
        <w:tc>
          <w:tcPr>
            <w:tcW w:w="794" w:type="dxa"/>
            <w:shd w:val="clear" w:color="auto" w:fill="auto"/>
            <w:noWrap/>
            <w:vAlign w:val="center"/>
            <w:hideMark/>
          </w:tcPr>
          <w:p w14:paraId="670AB150"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275 534</w:t>
            </w:r>
          </w:p>
        </w:tc>
        <w:tc>
          <w:tcPr>
            <w:tcW w:w="794" w:type="dxa"/>
            <w:shd w:val="clear" w:color="auto" w:fill="auto"/>
            <w:noWrap/>
            <w:vAlign w:val="center"/>
            <w:hideMark/>
          </w:tcPr>
          <w:p w14:paraId="20414506"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282 333</w:t>
            </w:r>
          </w:p>
        </w:tc>
        <w:tc>
          <w:tcPr>
            <w:tcW w:w="794" w:type="dxa"/>
            <w:shd w:val="clear" w:color="auto" w:fill="auto"/>
            <w:noWrap/>
            <w:vAlign w:val="center"/>
            <w:hideMark/>
          </w:tcPr>
          <w:p w14:paraId="0301AD6F"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270 491</w:t>
            </w:r>
          </w:p>
        </w:tc>
        <w:tc>
          <w:tcPr>
            <w:tcW w:w="794" w:type="dxa"/>
            <w:shd w:val="clear" w:color="auto" w:fill="auto"/>
            <w:noWrap/>
            <w:vAlign w:val="center"/>
            <w:hideMark/>
          </w:tcPr>
          <w:p w14:paraId="72671BEA"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282 523</w:t>
            </w:r>
          </w:p>
        </w:tc>
        <w:tc>
          <w:tcPr>
            <w:tcW w:w="794" w:type="dxa"/>
            <w:shd w:val="clear" w:color="auto" w:fill="auto"/>
            <w:noWrap/>
            <w:vAlign w:val="center"/>
            <w:hideMark/>
          </w:tcPr>
          <w:p w14:paraId="78A6E0BC"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374 945</w:t>
            </w:r>
          </w:p>
        </w:tc>
        <w:tc>
          <w:tcPr>
            <w:tcW w:w="794" w:type="dxa"/>
            <w:shd w:val="clear" w:color="auto" w:fill="auto"/>
            <w:noWrap/>
            <w:vAlign w:val="center"/>
            <w:hideMark/>
          </w:tcPr>
          <w:p w14:paraId="35087F76"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406 275</w:t>
            </w:r>
          </w:p>
        </w:tc>
        <w:tc>
          <w:tcPr>
            <w:tcW w:w="794" w:type="dxa"/>
            <w:shd w:val="clear" w:color="auto" w:fill="auto"/>
            <w:noWrap/>
            <w:vAlign w:val="center"/>
            <w:hideMark/>
          </w:tcPr>
          <w:p w14:paraId="220EB2C0"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426 579</w:t>
            </w:r>
          </w:p>
        </w:tc>
        <w:tc>
          <w:tcPr>
            <w:tcW w:w="794" w:type="dxa"/>
            <w:shd w:val="clear" w:color="auto" w:fill="auto"/>
            <w:vAlign w:val="center"/>
          </w:tcPr>
          <w:p w14:paraId="28EC4445" w14:textId="77777777" w:rsidR="003A5711" w:rsidRPr="002F4FB9" w:rsidRDefault="003A5711" w:rsidP="002F4FB9">
            <w:pPr>
              <w:ind w:right="28"/>
              <w:jc w:val="right"/>
              <w:rPr>
                <w:rFonts w:ascii="Calibri" w:hAnsi="Calibri" w:cs="Calibri"/>
                <w:sz w:val="18"/>
                <w:szCs w:val="18"/>
                <w:lang w:eastAsia="cs-CZ"/>
              </w:rPr>
            </w:pPr>
            <w:r w:rsidRPr="002F4FB9">
              <w:rPr>
                <w:rFonts w:ascii="Calibri" w:hAnsi="Calibri" w:cs="Calibri"/>
                <w:sz w:val="18"/>
                <w:szCs w:val="18"/>
                <w:lang w:eastAsia="cs-CZ"/>
              </w:rPr>
              <w:t>447 988</w:t>
            </w:r>
          </w:p>
        </w:tc>
      </w:tr>
    </w:tbl>
    <w:p w14:paraId="2ED07132" w14:textId="77777777" w:rsidR="003A5711" w:rsidRPr="003A5711" w:rsidRDefault="003A5711" w:rsidP="002F4FB9">
      <w:pPr>
        <w:spacing w:before="40" w:after="120"/>
        <w:rPr>
          <w:rFonts w:ascii="Calibri" w:eastAsia="Calibri" w:hAnsi="Calibri"/>
          <w:sz w:val="20"/>
          <w:szCs w:val="20"/>
        </w:rPr>
      </w:pPr>
      <w:r w:rsidRPr="00385DB1">
        <w:rPr>
          <w:rFonts w:ascii="Calibri" w:eastAsia="Calibri" w:hAnsi="Calibri"/>
          <w:b/>
          <w:sz w:val="20"/>
          <w:szCs w:val="20"/>
        </w:rPr>
        <w:t>Zdroj:</w:t>
      </w:r>
      <w:r w:rsidRPr="003A5711">
        <w:rPr>
          <w:rFonts w:ascii="Calibri" w:eastAsia="Calibri" w:hAnsi="Calibri"/>
          <w:sz w:val="20"/>
          <w:szCs w:val="20"/>
        </w:rPr>
        <w:t xml:space="preserve"> Monitor státní pokladny, data GIBS.</w:t>
      </w:r>
    </w:p>
    <w:p w14:paraId="4A7B36D5" w14:textId="76FE32F2" w:rsidR="006E2CC6" w:rsidRPr="003A5711" w:rsidRDefault="006E2CC6" w:rsidP="004F15E2">
      <w:pPr>
        <w:spacing w:after="120" w:line="264" w:lineRule="auto"/>
        <w:jc w:val="both"/>
        <w:rPr>
          <w:rFonts w:ascii="Calibri" w:hAnsi="Calibri" w:cs="Calibri"/>
          <w:sz w:val="24"/>
          <w:szCs w:val="24"/>
        </w:rPr>
      </w:pPr>
      <w:r w:rsidRPr="003A5711">
        <w:rPr>
          <w:rFonts w:ascii="Calibri" w:hAnsi="Calibri" w:cs="Calibri"/>
          <w:sz w:val="24"/>
          <w:szCs w:val="24"/>
        </w:rPr>
        <w:t xml:space="preserve">NKÚ analyzoval růst výdajů GIBS a zjistil, že se na něm v roce 2017 a v následujících letech nejvýznamněji podílely peněžní prostředky státu schválené usnesením vlády č. 148/2017. </w:t>
      </w:r>
      <w:r w:rsidRPr="003A5711">
        <w:rPr>
          <w:rFonts w:ascii="Calibri" w:hAnsi="Calibri" w:cs="Calibri"/>
          <w:sz w:val="24"/>
          <w:szCs w:val="24"/>
        </w:rPr>
        <w:lastRenderedPageBreak/>
        <w:t>Předmětem tohoto usnesení byla GIBS požadovaná změna systemizace, tj. navýšení systemizace o 29 příslušníků a šest zaměstnanců a zároveň navýšení stávajících platových prostředků. Jako důvod uvedla GIBS zachování konkurenceschopnosti na trhu práce</w:t>
      </w:r>
      <w:r w:rsidRPr="00BD2B50">
        <w:rPr>
          <w:rFonts w:ascii="Calibri" w:hAnsi="Calibri" w:cs="Calibri"/>
          <w:sz w:val="24"/>
          <w:szCs w:val="24"/>
        </w:rPr>
        <w:t xml:space="preserve"> </w:t>
      </w:r>
      <w:r w:rsidR="00385DB1">
        <w:rPr>
          <w:rFonts w:ascii="Calibri" w:hAnsi="Calibri" w:cs="Calibri"/>
          <w:sz w:val="24"/>
          <w:szCs w:val="24"/>
        </w:rPr>
        <w:t>a </w:t>
      </w:r>
      <w:r w:rsidRPr="003A5711">
        <w:rPr>
          <w:rFonts w:ascii="Calibri" w:hAnsi="Calibri" w:cs="Calibri"/>
          <w:sz w:val="24"/>
          <w:szCs w:val="24"/>
        </w:rPr>
        <w:t>stabilizac</w:t>
      </w:r>
      <w:r>
        <w:rPr>
          <w:rFonts w:ascii="Calibri" w:hAnsi="Calibri" w:cs="Calibri"/>
          <w:sz w:val="24"/>
          <w:szCs w:val="24"/>
        </w:rPr>
        <w:t>i</w:t>
      </w:r>
      <w:r w:rsidRPr="003A5711">
        <w:rPr>
          <w:rFonts w:ascii="Calibri" w:hAnsi="Calibri" w:cs="Calibri"/>
          <w:sz w:val="24"/>
          <w:szCs w:val="24"/>
        </w:rPr>
        <w:t xml:space="preserve"> personálních zdrojů. Průměrný plat se od 1. k</w:t>
      </w:r>
      <w:r w:rsidR="00385DB1">
        <w:rPr>
          <w:rFonts w:ascii="Calibri" w:hAnsi="Calibri" w:cs="Calibri"/>
          <w:sz w:val="24"/>
          <w:szCs w:val="24"/>
        </w:rPr>
        <w:t xml:space="preserve">větna 2017 navýšil o 5 438 Kč </w:t>
      </w:r>
      <w:r w:rsidR="00385DB1" w:rsidRPr="00385DB1">
        <w:t>u</w:t>
      </w:r>
      <w:r w:rsidR="00385DB1">
        <w:t> </w:t>
      </w:r>
      <w:r w:rsidRPr="00385DB1">
        <w:t>příslušníků</w:t>
      </w:r>
      <w:r w:rsidR="002C3C10">
        <w:rPr>
          <w:rFonts w:ascii="Calibri" w:hAnsi="Calibri" w:cs="Calibri"/>
          <w:sz w:val="24"/>
          <w:szCs w:val="24"/>
        </w:rPr>
        <w:t xml:space="preserve"> GIBS</w:t>
      </w:r>
      <w:r w:rsidRPr="003A5711">
        <w:rPr>
          <w:rFonts w:ascii="Calibri" w:hAnsi="Calibri" w:cs="Calibri"/>
          <w:sz w:val="24"/>
          <w:szCs w:val="24"/>
        </w:rPr>
        <w:t xml:space="preserve"> a o 2 177 Kč u zaměstnanců GIBS. </w:t>
      </w:r>
    </w:p>
    <w:p w14:paraId="67508DC9" w14:textId="7ACF59A2" w:rsidR="00615EF5" w:rsidRDefault="003A5711" w:rsidP="003044CF">
      <w:pPr>
        <w:keepNext/>
        <w:spacing w:after="120" w:line="264" w:lineRule="auto"/>
        <w:ind w:left="425" w:hanging="425"/>
        <w:outlineLvl w:val="2"/>
        <w:rPr>
          <w:rFonts w:cs="Calibri"/>
          <w:b/>
          <w:sz w:val="24"/>
          <w:szCs w:val="24"/>
        </w:rPr>
      </w:pPr>
      <w:r w:rsidRPr="003A5711">
        <w:rPr>
          <w:rFonts w:cs="Calibri"/>
          <w:b/>
          <w:sz w:val="24"/>
          <w:szCs w:val="24"/>
        </w:rPr>
        <w:t xml:space="preserve">1.1 </w:t>
      </w:r>
      <w:r w:rsidR="00615EF5" w:rsidRPr="006E6E10">
        <w:rPr>
          <w:rFonts w:cs="Calibri"/>
          <w:b/>
          <w:sz w:val="24"/>
          <w:szCs w:val="24"/>
        </w:rPr>
        <w:t xml:space="preserve">GIBS </w:t>
      </w:r>
      <w:r w:rsidR="006E6E10" w:rsidRPr="006E6E10">
        <w:rPr>
          <w:rFonts w:cs="Calibri"/>
          <w:b/>
          <w:sz w:val="24"/>
          <w:szCs w:val="24"/>
        </w:rPr>
        <w:t xml:space="preserve">navýšené </w:t>
      </w:r>
      <w:r w:rsidR="00615EF5" w:rsidRPr="006E6E10">
        <w:rPr>
          <w:rFonts w:ascii="Calibri" w:hAnsi="Calibri" w:cs="Calibri"/>
          <w:b/>
          <w:sz w:val="24"/>
          <w:szCs w:val="24"/>
        </w:rPr>
        <w:t xml:space="preserve">peněžní prostředky </w:t>
      </w:r>
      <w:r w:rsidR="006E6E10" w:rsidRPr="006E6E10">
        <w:rPr>
          <w:rFonts w:ascii="Calibri" w:hAnsi="Calibri" w:cs="Calibri"/>
          <w:b/>
          <w:sz w:val="24"/>
          <w:szCs w:val="24"/>
        </w:rPr>
        <w:t>na platy zaměstnanců</w:t>
      </w:r>
      <w:r w:rsidR="00615EF5" w:rsidRPr="006E6E10">
        <w:rPr>
          <w:rFonts w:ascii="Calibri" w:eastAsia="Calibri" w:hAnsi="Calibri"/>
          <w:b/>
          <w:sz w:val="24"/>
          <w:szCs w:val="24"/>
        </w:rPr>
        <w:t xml:space="preserve"> </w:t>
      </w:r>
      <w:r w:rsidR="00BA24A1" w:rsidRPr="006E6E10">
        <w:rPr>
          <w:rFonts w:cs="Calibri"/>
          <w:b/>
          <w:sz w:val="24"/>
          <w:szCs w:val="24"/>
        </w:rPr>
        <w:t>použila</w:t>
      </w:r>
      <w:r w:rsidR="00BA24A1" w:rsidRPr="006E6E10">
        <w:rPr>
          <w:rFonts w:ascii="Calibri" w:eastAsia="Calibri" w:hAnsi="Calibri"/>
          <w:b/>
          <w:sz w:val="24"/>
          <w:szCs w:val="24"/>
        </w:rPr>
        <w:t xml:space="preserve"> neúčelně</w:t>
      </w:r>
    </w:p>
    <w:p w14:paraId="0D6C6B72" w14:textId="024FEDE3" w:rsidR="003A5711" w:rsidRPr="00662D19" w:rsidRDefault="003A5711" w:rsidP="004F15E2">
      <w:pPr>
        <w:spacing w:after="120" w:line="264" w:lineRule="auto"/>
        <w:jc w:val="both"/>
        <w:rPr>
          <w:rFonts w:ascii="Calibri" w:hAnsi="Calibri" w:cs="Calibri"/>
          <w:sz w:val="24"/>
          <w:szCs w:val="24"/>
        </w:rPr>
      </w:pPr>
      <w:r w:rsidRPr="003A5711">
        <w:rPr>
          <w:rFonts w:ascii="Calibri" w:eastAsia="Calibri" w:hAnsi="Calibri" w:cs="Times New Roman"/>
          <w:sz w:val="24"/>
          <w:szCs w:val="24"/>
        </w:rPr>
        <w:t xml:space="preserve">NKÚ zjistil, že GIBS neměla </w:t>
      </w:r>
      <w:r w:rsidR="00615EF5">
        <w:rPr>
          <w:rFonts w:ascii="Calibri" w:eastAsia="Calibri" w:hAnsi="Calibri" w:cs="Times New Roman"/>
          <w:sz w:val="24"/>
          <w:szCs w:val="24"/>
        </w:rPr>
        <w:t>v </w:t>
      </w:r>
      <w:r w:rsidR="005F72CE">
        <w:rPr>
          <w:rFonts w:ascii="Calibri" w:eastAsia="Calibri" w:hAnsi="Calibri" w:cs="Times New Roman"/>
          <w:sz w:val="24"/>
          <w:szCs w:val="24"/>
        </w:rPr>
        <w:t>roce</w:t>
      </w:r>
      <w:r w:rsidR="00615EF5">
        <w:rPr>
          <w:rFonts w:ascii="Calibri" w:eastAsia="Calibri" w:hAnsi="Calibri" w:cs="Times New Roman"/>
          <w:sz w:val="24"/>
          <w:szCs w:val="24"/>
        </w:rPr>
        <w:t xml:space="preserve"> 2020</w:t>
      </w:r>
      <w:r w:rsidRPr="003A5711">
        <w:rPr>
          <w:rFonts w:ascii="Calibri" w:eastAsia="Calibri" w:hAnsi="Calibri" w:cs="Times New Roman"/>
          <w:sz w:val="24"/>
          <w:szCs w:val="24"/>
        </w:rPr>
        <w:t xml:space="preserve"> </w:t>
      </w:r>
      <w:r w:rsidR="00506A6E">
        <w:rPr>
          <w:rFonts w:ascii="Calibri" w:eastAsia="Calibri" w:hAnsi="Calibri" w:cs="Times New Roman"/>
          <w:sz w:val="24"/>
          <w:szCs w:val="24"/>
        </w:rPr>
        <w:t>obsazeno</w:t>
      </w:r>
      <w:r w:rsidR="00506A6E" w:rsidRPr="003A5711">
        <w:rPr>
          <w:rFonts w:ascii="Calibri" w:eastAsia="Calibri" w:hAnsi="Calibri" w:cs="Times New Roman"/>
          <w:sz w:val="24"/>
          <w:szCs w:val="24"/>
        </w:rPr>
        <w:t xml:space="preserve"> </w:t>
      </w:r>
      <w:r w:rsidRPr="003A5711">
        <w:rPr>
          <w:rFonts w:ascii="Calibri" w:eastAsia="Calibri" w:hAnsi="Calibri" w:cs="Calibri"/>
          <w:sz w:val="24"/>
          <w:szCs w:val="24"/>
        </w:rPr>
        <w:t xml:space="preserve">29 </w:t>
      </w:r>
      <w:r w:rsidRPr="003A5711">
        <w:rPr>
          <w:rFonts w:ascii="Calibri" w:eastAsia="Calibri" w:hAnsi="Calibri" w:cs="Times New Roman"/>
          <w:sz w:val="24"/>
          <w:szCs w:val="24"/>
        </w:rPr>
        <w:t xml:space="preserve">systemizovaných míst </w:t>
      </w:r>
      <w:r w:rsidRPr="003A5711">
        <w:rPr>
          <w:rFonts w:ascii="Calibri" w:eastAsia="Calibri" w:hAnsi="Calibri" w:cs="Calibri"/>
          <w:sz w:val="24"/>
          <w:szCs w:val="24"/>
        </w:rPr>
        <w:t xml:space="preserve">příslušníků a čtyři systemizovaná místa pro zaměstnance GIBS, tedy obdobný počet, </w:t>
      </w:r>
      <w:r w:rsidR="00615EF5">
        <w:rPr>
          <w:rFonts w:ascii="Calibri" w:eastAsia="Calibri" w:hAnsi="Calibri" w:cs="Calibri"/>
          <w:sz w:val="24"/>
          <w:szCs w:val="24"/>
        </w:rPr>
        <w:t xml:space="preserve">o </w:t>
      </w:r>
      <w:r w:rsidRPr="003A5711">
        <w:rPr>
          <w:rFonts w:ascii="Calibri" w:eastAsia="Calibri" w:hAnsi="Calibri" w:cs="Calibri"/>
          <w:sz w:val="24"/>
          <w:szCs w:val="24"/>
        </w:rPr>
        <w:t xml:space="preserve">který </w:t>
      </w:r>
      <w:r w:rsidR="00615EF5">
        <w:rPr>
          <w:rFonts w:ascii="Calibri" w:eastAsia="Calibri" w:hAnsi="Calibri" w:cs="Calibri"/>
          <w:sz w:val="24"/>
          <w:szCs w:val="24"/>
        </w:rPr>
        <w:t xml:space="preserve">požadovala systemizaci navýšit </w:t>
      </w:r>
      <w:r w:rsidRPr="003A5711">
        <w:rPr>
          <w:rFonts w:ascii="Calibri" w:eastAsia="Calibri" w:hAnsi="Calibri" w:cs="Calibri"/>
          <w:sz w:val="24"/>
          <w:szCs w:val="24"/>
        </w:rPr>
        <w:t xml:space="preserve">dle </w:t>
      </w:r>
      <w:r w:rsidR="004B31A2">
        <w:rPr>
          <w:rFonts w:ascii="Calibri" w:eastAsia="Calibri" w:hAnsi="Calibri" w:cs="Calibri"/>
          <w:sz w:val="24"/>
          <w:szCs w:val="24"/>
        </w:rPr>
        <w:t xml:space="preserve">předkládací zprávy </w:t>
      </w:r>
      <w:r w:rsidR="00930F74">
        <w:rPr>
          <w:rFonts w:ascii="Calibri" w:eastAsia="Calibri" w:hAnsi="Calibri" w:cs="Calibri"/>
          <w:sz w:val="24"/>
          <w:szCs w:val="24"/>
        </w:rPr>
        <w:t xml:space="preserve">k </w:t>
      </w:r>
      <w:r w:rsidRPr="003A5711">
        <w:rPr>
          <w:rFonts w:ascii="Calibri" w:hAnsi="Calibri" w:cs="Calibri"/>
          <w:sz w:val="24"/>
          <w:szCs w:val="24"/>
        </w:rPr>
        <w:t xml:space="preserve">usnesení vlády č. 148/2017. </w:t>
      </w:r>
      <w:r w:rsidR="00615EF5">
        <w:rPr>
          <w:rFonts w:ascii="Calibri" w:hAnsi="Calibri" w:cs="Calibri"/>
          <w:sz w:val="24"/>
          <w:szCs w:val="24"/>
        </w:rPr>
        <w:t xml:space="preserve">Vývoj </w:t>
      </w:r>
      <w:r w:rsidR="004B31A2">
        <w:rPr>
          <w:rFonts w:ascii="Calibri" w:hAnsi="Calibri" w:cs="Calibri"/>
          <w:sz w:val="24"/>
          <w:szCs w:val="24"/>
        </w:rPr>
        <w:t>obsazenosti</w:t>
      </w:r>
      <w:r w:rsidR="004B31A2" w:rsidRPr="003A5711">
        <w:rPr>
          <w:rFonts w:ascii="Calibri" w:eastAsia="Calibri" w:hAnsi="Calibri" w:cs="Calibri"/>
          <w:color w:val="000000"/>
          <w:sz w:val="24"/>
          <w:szCs w:val="24"/>
        </w:rPr>
        <w:t xml:space="preserve"> </w:t>
      </w:r>
      <w:r w:rsidRPr="003A5711">
        <w:rPr>
          <w:rFonts w:ascii="Calibri" w:eastAsia="Calibri" w:hAnsi="Calibri" w:cs="Calibri"/>
          <w:color w:val="000000"/>
          <w:sz w:val="24"/>
          <w:szCs w:val="24"/>
        </w:rPr>
        <w:t>od ledna 2016 do listopadu 2020</w:t>
      </w:r>
      <w:r w:rsidR="00615EF5">
        <w:rPr>
          <w:rFonts w:ascii="Calibri" w:eastAsia="Calibri" w:hAnsi="Calibri" w:cs="Calibri"/>
          <w:color w:val="000000"/>
          <w:sz w:val="24"/>
          <w:szCs w:val="24"/>
        </w:rPr>
        <w:t xml:space="preserve"> je uveden v grafu </w:t>
      </w:r>
      <w:r w:rsidR="00615EF5" w:rsidRPr="00662D19">
        <w:rPr>
          <w:rFonts w:ascii="Calibri" w:eastAsia="Calibri" w:hAnsi="Calibri" w:cs="Calibri"/>
          <w:color w:val="000000"/>
          <w:sz w:val="24"/>
          <w:szCs w:val="24"/>
        </w:rPr>
        <w:t>č.</w:t>
      </w:r>
      <w:r w:rsidR="00662D19" w:rsidRPr="00662D19">
        <w:rPr>
          <w:rFonts w:ascii="Calibri" w:eastAsia="Calibri" w:hAnsi="Calibri" w:cs="Calibri"/>
          <w:color w:val="000000"/>
          <w:sz w:val="24"/>
          <w:szCs w:val="24"/>
        </w:rPr>
        <w:t xml:space="preserve"> 1</w:t>
      </w:r>
      <w:r w:rsidR="00615EF5" w:rsidRPr="00662D19">
        <w:rPr>
          <w:rFonts w:ascii="Calibri" w:eastAsia="Calibri" w:hAnsi="Calibri" w:cs="Calibri"/>
          <w:color w:val="000000"/>
          <w:sz w:val="24"/>
          <w:szCs w:val="24"/>
        </w:rPr>
        <w:t>.</w:t>
      </w:r>
    </w:p>
    <w:p w14:paraId="07190690" w14:textId="484FB622" w:rsidR="008A713B" w:rsidRPr="0081537D" w:rsidRDefault="003A5711" w:rsidP="0081537D">
      <w:pPr>
        <w:ind w:left="993" w:hanging="993"/>
        <w:contextualSpacing/>
        <w:jc w:val="both"/>
        <w:rPr>
          <w:rFonts w:ascii="Calibri" w:eastAsia="Calibri" w:hAnsi="Calibri"/>
          <w:b/>
          <w:sz w:val="24"/>
          <w:szCs w:val="24"/>
        </w:rPr>
      </w:pPr>
      <w:r w:rsidRPr="0081537D">
        <w:rPr>
          <w:rFonts w:ascii="Calibri" w:eastAsia="Calibri" w:hAnsi="Calibri"/>
          <w:b/>
          <w:sz w:val="24"/>
          <w:szCs w:val="24"/>
        </w:rPr>
        <w:t xml:space="preserve">Graf č. </w:t>
      </w:r>
      <w:r w:rsidR="00662D19" w:rsidRPr="0081537D">
        <w:rPr>
          <w:rFonts w:ascii="Calibri" w:eastAsia="Calibri" w:hAnsi="Calibri"/>
          <w:b/>
          <w:sz w:val="24"/>
          <w:szCs w:val="24"/>
        </w:rPr>
        <w:t>1</w:t>
      </w:r>
      <w:r w:rsidRPr="0081537D">
        <w:rPr>
          <w:rFonts w:ascii="Calibri" w:eastAsia="Calibri" w:hAnsi="Calibri"/>
          <w:b/>
          <w:sz w:val="24"/>
          <w:szCs w:val="24"/>
        </w:rPr>
        <w:t xml:space="preserve">: </w:t>
      </w:r>
      <w:r w:rsidR="0081537D">
        <w:rPr>
          <w:rFonts w:ascii="Calibri" w:eastAsia="Calibri" w:hAnsi="Calibri"/>
          <w:b/>
          <w:sz w:val="24"/>
          <w:szCs w:val="24"/>
        </w:rPr>
        <w:tab/>
      </w:r>
      <w:r w:rsidRPr="0081537D">
        <w:rPr>
          <w:rFonts w:ascii="Calibri" w:eastAsia="Calibri" w:hAnsi="Calibri"/>
          <w:b/>
          <w:sz w:val="24"/>
          <w:szCs w:val="24"/>
        </w:rPr>
        <w:t xml:space="preserve">Skutečná </w:t>
      </w:r>
      <w:r w:rsidR="004B31A2" w:rsidRPr="0081537D">
        <w:rPr>
          <w:rFonts w:ascii="Calibri" w:eastAsia="Calibri" w:hAnsi="Calibri"/>
          <w:b/>
          <w:sz w:val="24"/>
          <w:szCs w:val="24"/>
        </w:rPr>
        <w:t xml:space="preserve">obsazenost </w:t>
      </w:r>
      <w:r w:rsidRPr="0081537D">
        <w:rPr>
          <w:rFonts w:ascii="Calibri" w:eastAsia="Calibri" w:hAnsi="Calibri"/>
          <w:b/>
          <w:sz w:val="24"/>
          <w:szCs w:val="24"/>
        </w:rPr>
        <w:t xml:space="preserve">systemizovaných míst příslušníků a zaměstnanců GIBS </w:t>
      </w:r>
      <w:r w:rsidR="002D5242">
        <w:rPr>
          <w:rFonts w:ascii="Calibri" w:eastAsia="Calibri" w:hAnsi="Calibri"/>
          <w:b/>
          <w:sz w:val="24"/>
          <w:szCs w:val="24"/>
        </w:rPr>
        <w:t>k</w:t>
      </w:r>
      <w:r w:rsidR="001E413D">
        <w:rPr>
          <w:rFonts w:ascii="Calibri" w:eastAsia="Calibri" w:hAnsi="Calibri"/>
          <w:b/>
          <w:sz w:val="24"/>
          <w:szCs w:val="24"/>
        </w:rPr>
        <w:t> </w:t>
      </w:r>
      <w:r w:rsidR="002D5242">
        <w:rPr>
          <w:rFonts w:ascii="Calibri" w:eastAsia="Calibri" w:hAnsi="Calibri"/>
          <w:b/>
          <w:sz w:val="24"/>
          <w:szCs w:val="24"/>
        </w:rPr>
        <w:t>1.</w:t>
      </w:r>
      <w:r w:rsidR="001E413D">
        <w:rPr>
          <w:rFonts w:ascii="Calibri" w:eastAsia="Calibri" w:hAnsi="Calibri"/>
          <w:b/>
          <w:sz w:val="24"/>
          <w:szCs w:val="24"/>
        </w:rPr>
        <w:t> 1. </w:t>
      </w:r>
      <w:r w:rsidRPr="0081537D">
        <w:rPr>
          <w:rFonts w:ascii="Calibri" w:eastAsia="Calibri" w:hAnsi="Calibri"/>
          <w:b/>
          <w:sz w:val="24"/>
          <w:szCs w:val="24"/>
        </w:rPr>
        <w:t>v letech 2016</w:t>
      </w:r>
      <w:r w:rsidR="00BD7050" w:rsidRPr="0081537D">
        <w:rPr>
          <w:rFonts w:ascii="Calibri" w:eastAsia="Calibri" w:hAnsi="Calibri"/>
          <w:b/>
          <w:sz w:val="24"/>
          <w:szCs w:val="24"/>
        </w:rPr>
        <w:t>–</w:t>
      </w:r>
      <w:r w:rsidRPr="0081537D">
        <w:rPr>
          <w:rFonts w:ascii="Calibri" w:eastAsia="Calibri" w:hAnsi="Calibri"/>
          <w:b/>
          <w:sz w:val="24"/>
          <w:szCs w:val="24"/>
        </w:rPr>
        <w:t>20</w:t>
      </w:r>
      <w:r w:rsidR="00A824EE">
        <w:rPr>
          <w:rFonts w:ascii="Calibri" w:eastAsia="Calibri" w:hAnsi="Calibri"/>
          <w:b/>
          <w:sz w:val="24"/>
          <w:szCs w:val="24"/>
        </w:rPr>
        <w:t>19 a k 1. prosinci 2020</w:t>
      </w:r>
    </w:p>
    <w:p w14:paraId="492EDA41" w14:textId="6421FDF8" w:rsidR="003A5711" w:rsidRPr="003A5711" w:rsidRDefault="003B5364" w:rsidP="003B5364">
      <w:pPr>
        <w:contextualSpacing/>
        <w:jc w:val="both"/>
        <w:rPr>
          <w:rFonts w:ascii="Calibri" w:eastAsia="Calibri" w:hAnsi="Calibri"/>
          <w:color w:val="000000"/>
          <w:sz w:val="20"/>
        </w:rPr>
      </w:pPr>
      <w:r w:rsidRPr="003A5711">
        <w:rPr>
          <w:rFonts w:ascii="Calibri" w:eastAsia="Calibri" w:hAnsi="Calibri"/>
          <w:noProof/>
          <w:lang w:eastAsia="cs-CZ"/>
        </w:rPr>
        <w:drawing>
          <wp:inline distT="0" distB="0" distL="0" distR="0" wp14:anchorId="3F70ABBB" wp14:editId="509F3FB2">
            <wp:extent cx="5692775" cy="1905990"/>
            <wp:effectExtent l="0" t="0" r="317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77B8BF" w14:textId="2F7E3445" w:rsidR="003A5711" w:rsidRPr="003A5711" w:rsidRDefault="003A5711" w:rsidP="003A5711">
      <w:pPr>
        <w:spacing w:after="120"/>
        <w:jc w:val="both"/>
        <w:rPr>
          <w:rFonts w:ascii="Calibri" w:eastAsia="Calibri" w:hAnsi="Calibri" w:cs="Times New Roman"/>
          <w:sz w:val="20"/>
          <w:szCs w:val="20"/>
        </w:rPr>
      </w:pPr>
      <w:r w:rsidRPr="00BD7050">
        <w:rPr>
          <w:rFonts w:ascii="Calibri" w:eastAsia="Calibri" w:hAnsi="Calibri" w:cs="Times New Roman"/>
          <w:b/>
          <w:sz w:val="20"/>
          <w:szCs w:val="20"/>
        </w:rPr>
        <w:t>Zdroj:</w:t>
      </w:r>
      <w:r w:rsidRPr="003A5711">
        <w:rPr>
          <w:rFonts w:ascii="Calibri" w:eastAsia="Calibri" w:hAnsi="Calibri" w:cs="Times New Roman"/>
          <w:sz w:val="20"/>
          <w:szCs w:val="20"/>
        </w:rPr>
        <w:t xml:space="preserve"> data GIBS</w:t>
      </w:r>
      <w:r w:rsidR="008A713B">
        <w:rPr>
          <w:rFonts w:ascii="Calibri" w:eastAsia="Calibri" w:hAnsi="Calibri" w:cs="Times New Roman"/>
          <w:sz w:val="20"/>
          <w:szCs w:val="20"/>
        </w:rPr>
        <w:t>.</w:t>
      </w:r>
    </w:p>
    <w:p w14:paraId="7CF735A6" w14:textId="0012C636" w:rsidR="003A5711" w:rsidRPr="003A5711" w:rsidRDefault="003A5711" w:rsidP="004F15E2">
      <w:pPr>
        <w:spacing w:after="120" w:line="264" w:lineRule="auto"/>
        <w:jc w:val="both"/>
        <w:rPr>
          <w:rFonts w:ascii="Calibri" w:eastAsia="Calibri" w:hAnsi="Calibri" w:cs="Times New Roman"/>
          <w:color w:val="000000"/>
          <w:sz w:val="24"/>
          <w:szCs w:val="24"/>
        </w:rPr>
      </w:pPr>
      <w:r w:rsidRPr="003A5711">
        <w:rPr>
          <w:rFonts w:ascii="Calibri" w:eastAsia="Calibri" w:hAnsi="Calibri" w:cs="Times New Roman"/>
          <w:sz w:val="24"/>
          <w:szCs w:val="24"/>
        </w:rPr>
        <w:t>Jako jeden z důvodů nutnosti navýšení počtu systemizovaných míst uvedla GIBS v </w:t>
      </w:r>
      <w:r w:rsidR="004B31A2">
        <w:rPr>
          <w:rFonts w:ascii="Calibri" w:eastAsia="Calibri" w:hAnsi="Calibri" w:cs="Times New Roman"/>
          <w:sz w:val="24"/>
          <w:szCs w:val="24"/>
        </w:rPr>
        <w:t>překládací zprávě</w:t>
      </w:r>
      <w:r w:rsidRPr="003A5711">
        <w:rPr>
          <w:rFonts w:ascii="Calibri" w:eastAsia="Calibri" w:hAnsi="Calibri" w:cs="Times New Roman"/>
          <w:sz w:val="24"/>
          <w:szCs w:val="24"/>
        </w:rPr>
        <w:t xml:space="preserve"> k </w:t>
      </w:r>
      <w:r w:rsidRPr="003A5711">
        <w:rPr>
          <w:rFonts w:ascii="Calibri" w:hAnsi="Calibri" w:cs="Calibri"/>
          <w:sz w:val="24"/>
          <w:szCs w:val="24"/>
        </w:rPr>
        <w:t xml:space="preserve">usnesení vlády č. 148/2017 </w:t>
      </w:r>
      <w:r w:rsidRPr="003A5711">
        <w:rPr>
          <w:rFonts w:ascii="Calibri" w:eastAsia="Calibri" w:hAnsi="Calibri" w:cs="Times New Roman"/>
          <w:sz w:val="24"/>
          <w:szCs w:val="24"/>
        </w:rPr>
        <w:t xml:space="preserve">potenciální nárůst </w:t>
      </w:r>
      <w:r w:rsidR="0000208F">
        <w:rPr>
          <w:rFonts w:ascii="Calibri" w:eastAsia="Calibri" w:hAnsi="Calibri" w:cs="Times New Roman"/>
          <w:sz w:val="24"/>
          <w:szCs w:val="24"/>
        </w:rPr>
        <w:t xml:space="preserve">činnosti </w:t>
      </w:r>
      <w:r w:rsidRPr="003A5711">
        <w:rPr>
          <w:rFonts w:ascii="Calibri" w:eastAsia="Calibri" w:hAnsi="Calibri" w:cs="Times New Roman"/>
          <w:sz w:val="24"/>
          <w:szCs w:val="24"/>
        </w:rPr>
        <w:t xml:space="preserve">v souvislosti se zvyšováním počtu příslušníků a zaměstnanců ostatních bezpečnostních sborů. NKÚ proto provedl srovnání </w:t>
      </w:r>
      <w:r w:rsidRPr="003A5711">
        <w:rPr>
          <w:rFonts w:ascii="Calibri" w:eastAsia="Calibri" w:hAnsi="Calibri" w:cs="Times New Roman"/>
          <w:color w:val="000000"/>
          <w:sz w:val="24"/>
          <w:szCs w:val="24"/>
        </w:rPr>
        <w:t xml:space="preserve">vykazovaných úkonů </w:t>
      </w:r>
      <w:r w:rsidR="00A362D0">
        <w:rPr>
          <w:rFonts w:ascii="Calibri" w:eastAsia="Calibri" w:hAnsi="Calibri" w:cs="Times New Roman"/>
          <w:color w:val="000000"/>
          <w:sz w:val="24"/>
          <w:szCs w:val="24"/>
        </w:rPr>
        <w:t xml:space="preserve">činnosti </w:t>
      </w:r>
      <w:r w:rsidRPr="003A5711">
        <w:rPr>
          <w:rFonts w:ascii="Calibri" w:eastAsia="Calibri" w:hAnsi="Calibri" w:cs="Times New Roman"/>
          <w:color w:val="000000"/>
          <w:sz w:val="24"/>
          <w:szCs w:val="24"/>
        </w:rPr>
        <w:t>GIBS, které je uvedeno v t</w:t>
      </w:r>
      <w:r w:rsidRPr="00662D19">
        <w:rPr>
          <w:rFonts w:ascii="Calibri" w:eastAsia="Calibri" w:hAnsi="Calibri" w:cs="Times New Roman"/>
          <w:color w:val="000000"/>
          <w:sz w:val="24"/>
          <w:szCs w:val="24"/>
        </w:rPr>
        <w:t>abulce č. 3.</w:t>
      </w:r>
      <w:r w:rsidRPr="003A5711">
        <w:rPr>
          <w:rFonts w:ascii="Calibri" w:eastAsia="Calibri" w:hAnsi="Calibri" w:cs="Times New Roman"/>
          <w:color w:val="000000"/>
          <w:sz w:val="24"/>
          <w:szCs w:val="24"/>
        </w:rPr>
        <w:t xml:space="preserve"> </w:t>
      </w:r>
    </w:p>
    <w:p w14:paraId="32D21F56" w14:textId="22F1CCEF" w:rsidR="003A5711" w:rsidRPr="006B5240" w:rsidRDefault="003A5711" w:rsidP="006B5240">
      <w:pPr>
        <w:spacing w:after="40"/>
        <w:jc w:val="both"/>
        <w:rPr>
          <w:rFonts w:ascii="Calibri" w:eastAsia="Calibri" w:hAnsi="Calibri" w:cs="Times New Roman"/>
          <w:b/>
          <w:color w:val="000000"/>
          <w:sz w:val="24"/>
          <w:szCs w:val="24"/>
        </w:rPr>
      </w:pPr>
      <w:r w:rsidRPr="006B5240">
        <w:rPr>
          <w:rFonts w:ascii="Calibri" w:eastAsia="Calibri" w:hAnsi="Calibri" w:cs="Times New Roman"/>
          <w:b/>
          <w:color w:val="000000"/>
          <w:sz w:val="24"/>
          <w:szCs w:val="24"/>
        </w:rPr>
        <w:t xml:space="preserve">Tabulka č. 3: Úkony </w:t>
      </w:r>
      <w:r w:rsidR="00A362D0" w:rsidRPr="006B5240">
        <w:rPr>
          <w:rFonts w:ascii="Calibri" w:eastAsia="Calibri" w:hAnsi="Calibri" w:cs="Times New Roman"/>
          <w:b/>
          <w:color w:val="000000"/>
          <w:sz w:val="24"/>
          <w:szCs w:val="24"/>
        </w:rPr>
        <w:t xml:space="preserve">činnosti </w:t>
      </w:r>
      <w:r w:rsidR="00BD7050" w:rsidRPr="006B5240">
        <w:rPr>
          <w:rFonts w:ascii="Calibri" w:eastAsia="Calibri" w:hAnsi="Calibri" w:cs="Times New Roman"/>
          <w:b/>
          <w:color w:val="000000"/>
          <w:sz w:val="24"/>
          <w:szCs w:val="24"/>
        </w:rPr>
        <w:t>GIBS v letech 2012–</w:t>
      </w:r>
      <w:r w:rsidRPr="006B5240">
        <w:rPr>
          <w:rFonts w:ascii="Calibri" w:eastAsia="Calibri" w:hAnsi="Calibri" w:cs="Times New Roman"/>
          <w:b/>
          <w:color w:val="000000"/>
          <w:sz w:val="24"/>
          <w:szCs w:val="24"/>
        </w:rPr>
        <w:t>2019</w:t>
      </w:r>
      <w:r w:rsidRPr="006B5240">
        <w:rPr>
          <w:rFonts w:ascii="Calibri" w:eastAsia="Calibri" w:hAnsi="Calibri" w:cs="Times New Roman"/>
          <w:b/>
          <w:color w:val="000000"/>
          <w:sz w:val="24"/>
          <w:szCs w:val="24"/>
          <w:vertAlign w:val="superscript"/>
        </w:rPr>
        <w:footnoteReference w:id="11"/>
      </w:r>
    </w:p>
    <w:tbl>
      <w:tblPr>
        <w:tblW w:w="9044" w:type="dxa"/>
        <w:jc w:val="center"/>
        <w:tblLayout w:type="fixed"/>
        <w:tblCellMar>
          <w:left w:w="70" w:type="dxa"/>
          <w:right w:w="70" w:type="dxa"/>
        </w:tblCellMar>
        <w:tblLook w:val="04A0" w:firstRow="1" w:lastRow="0" w:firstColumn="1" w:lastColumn="0" w:noHBand="0" w:noVBand="1"/>
      </w:tblPr>
      <w:tblGrid>
        <w:gridCol w:w="2721"/>
        <w:gridCol w:w="765"/>
        <w:gridCol w:w="794"/>
        <w:gridCol w:w="794"/>
        <w:gridCol w:w="794"/>
        <w:gridCol w:w="794"/>
        <w:gridCol w:w="794"/>
        <w:gridCol w:w="794"/>
        <w:gridCol w:w="794"/>
      </w:tblGrid>
      <w:tr w:rsidR="003A5711" w:rsidRPr="006B5240" w14:paraId="2C598704" w14:textId="77777777" w:rsidTr="006B5240">
        <w:trPr>
          <w:trHeight w:val="231"/>
          <w:jc w:val="center"/>
        </w:trPr>
        <w:tc>
          <w:tcPr>
            <w:tcW w:w="2721" w:type="dxa"/>
            <w:tcBorders>
              <w:top w:val="single" w:sz="4" w:space="0" w:color="auto"/>
              <w:left w:val="single" w:sz="4" w:space="0" w:color="auto"/>
              <w:bottom w:val="single" w:sz="4" w:space="0" w:color="auto"/>
              <w:right w:val="single" w:sz="4" w:space="0" w:color="auto"/>
            </w:tcBorders>
            <w:shd w:val="clear" w:color="auto" w:fill="E5F1FF"/>
            <w:noWrap/>
            <w:vAlign w:val="bottom"/>
            <w:hideMark/>
          </w:tcPr>
          <w:p w14:paraId="4208EDCD" w14:textId="77777777" w:rsidR="003A5711" w:rsidRPr="006B5240" w:rsidRDefault="003A5711" w:rsidP="003A5711">
            <w:pPr>
              <w:rPr>
                <w:rFonts w:ascii="Calibri" w:eastAsia="Times New Roman" w:hAnsi="Calibri" w:cs="Calibri"/>
                <w:sz w:val="20"/>
                <w:szCs w:val="20"/>
                <w:lang w:eastAsia="cs-CZ"/>
              </w:rPr>
            </w:pPr>
          </w:p>
        </w:tc>
        <w:tc>
          <w:tcPr>
            <w:tcW w:w="765" w:type="dxa"/>
            <w:tcBorders>
              <w:top w:val="single" w:sz="4" w:space="0" w:color="auto"/>
              <w:left w:val="single" w:sz="4" w:space="0" w:color="auto"/>
              <w:bottom w:val="single" w:sz="4" w:space="0" w:color="auto"/>
              <w:right w:val="single" w:sz="4" w:space="0" w:color="auto"/>
            </w:tcBorders>
            <w:shd w:val="clear" w:color="auto" w:fill="E5F1FF"/>
          </w:tcPr>
          <w:p w14:paraId="6B9796DB"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2012</w:t>
            </w:r>
          </w:p>
        </w:tc>
        <w:tc>
          <w:tcPr>
            <w:tcW w:w="794" w:type="dxa"/>
            <w:tcBorders>
              <w:top w:val="single" w:sz="4" w:space="0" w:color="auto"/>
              <w:left w:val="single" w:sz="4" w:space="0" w:color="auto"/>
              <w:bottom w:val="single" w:sz="4" w:space="0" w:color="auto"/>
              <w:right w:val="single" w:sz="4" w:space="0" w:color="auto"/>
            </w:tcBorders>
            <w:shd w:val="clear" w:color="auto" w:fill="E5F1FF"/>
          </w:tcPr>
          <w:p w14:paraId="3183310B"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2013</w:t>
            </w:r>
          </w:p>
        </w:tc>
        <w:tc>
          <w:tcPr>
            <w:tcW w:w="794" w:type="dxa"/>
            <w:tcBorders>
              <w:top w:val="single" w:sz="4" w:space="0" w:color="auto"/>
              <w:left w:val="single" w:sz="4" w:space="0" w:color="auto"/>
              <w:bottom w:val="single" w:sz="4" w:space="0" w:color="auto"/>
              <w:right w:val="single" w:sz="4" w:space="0" w:color="auto"/>
            </w:tcBorders>
            <w:shd w:val="clear" w:color="auto" w:fill="E5F1FF"/>
          </w:tcPr>
          <w:p w14:paraId="10FD329D"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2014</w:t>
            </w:r>
          </w:p>
        </w:tc>
        <w:tc>
          <w:tcPr>
            <w:tcW w:w="794" w:type="dxa"/>
            <w:tcBorders>
              <w:top w:val="single" w:sz="4" w:space="0" w:color="auto"/>
              <w:left w:val="single" w:sz="4" w:space="0" w:color="auto"/>
              <w:bottom w:val="single" w:sz="4" w:space="0" w:color="auto"/>
              <w:right w:val="single" w:sz="4" w:space="0" w:color="auto"/>
            </w:tcBorders>
            <w:shd w:val="clear" w:color="auto" w:fill="E5F1FF"/>
          </w:tcPr>
          <w:p w14:paraId="5C8B6CAD"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2015</w:t>
            </w:r>
          </w:p>
        </w:tc>
        <w:tc>
          <w:tcPr>
            <w:tcW w:w="794" w:type="dxa"/>
            <w:tcBorders>
              <w:top w:val="single" w:sz="4" w:space="0" w:color="auto"/>
              <w:left w:val="single" w:sz="4" w:space="0" w:color="auto"/>
              <w:bottom w:val="single" w:sz="4" w:space="0" w:color="auto"/>
              <w:right w:val="single" w:sz="4" w:space="0" w:color="auto"/>
            </w:tcBorders>
            <w:shd w:val="clear" w:color="auto" w:fill="E5F1FF"/>
            <w:noWrap/>
            <w:vAlign w:val="bottom"/>
            <w:hideMark/>
          </w:tcPr>
          <w:p w14:paraId="6BD5192A"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2016</w:t>
            </w:r>
          </w:p>
        </w:tc>
        <w:tc>
          <w:tcPr>
            <w:tcW w:w="794" w:type="dxa"/>
            <w:tcBorders>
              <w:top w:val="single" w:sz="4" w:space="0" w:color="auto"/>
              <w:left w:val="single" w:sz="4" w:space="0" w:color="auto"/>
              <w:bottom w:val="single" w:sz="4" w:space="0" w:color="auto"/>
              <w:right w:val="single" w:sz="4" w:space="0" w:color="auto"/>
            </w:tcBorders>
            <w:shd w:val="clear" w:color="auto" w:fill="E5F1FF"/>
            <w:noWrap/>
            <w:vAlign w:val="bottom"/>
            <w:hideMark/>
          </w:tcPr>
          <w:p w14:paraId="693344CF"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2017</w:t>
            </w:r>
          </w:p>
        </w:tc>
        <w:tc>
          <w:tcPr>
            <w:tcW w:w="794" w:type="dxa"/>
            <w:tcBorders>
              <w:top w:val="single" w:sz="4" w:space="0" w:color="auto"/>
              <w:left w:val="single" w:sz="4" w:space="0" w:color="auto"/>
              <w:bottom w:val="single" w:sz="4" w:space="0" w:color="auto"/>
              <w:right w:val="single" w:sz="4" w:space="0" w:color="auto"/>
            </w:tcBorders>
            <w:shd w:val="clear" w:color="auto" w:fill="E5F1FF"/>
            <w:noWrap/>
            <w:vAlign w:val="bottom"/>
            <w:hideMark/>
          </w:tcPr>
          <w:p w14:paraId="6EE3B068"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2018</w:t>
            </w:r>
          </w:p>
        </w:tc>
        <w:tc>
          <w:tcPr>
            <w:tcW w:w="794" w:type="dxa"/>
            <w:tcBorders>
              <w:top w:val="single" w:sz="4" w:space="0" w:color="auto"/>
              <w:left w:val="single" w:sz="4" w:space="0" w:color="auto"/>
              <w:bottom w:val="single" w:sz="4" w:space="0" w:color="auto"/>
              <w:right w:val="single" w:sz="4" w:space="0" w:color="auto"/>
            </w:tcBorders>
            <w:shd w:val="clear" w:color="auto" w:fill="E5F1FF"/>
            <w:noWrap/>
            <w:vAlign w:val="bottom"/>
            <w:hideMark/>
          </w:tcPr>
          <w:p w14:paraId="2FF3859C" w14:textId="77777777" w:rsidR="003A5711" w:rsidRPr="006B5240" w:rsidRDefault="003A5711" w:rsidP="003A5711">
            <w:pPr>
              <w:jc w:val="center"/>
              <w:rPr>
                <w:rFonts w:ascii="Calibri" w:eastAsia="Times New Roman" w:hAnsi="Calibri" w:cs="Calibri"/>
                <w:b/>
                <w:bCs/>
                <w:color w:val="000000"/>
                <w:sz w:val="20"/>
                <w:szCs w:val="20"/>
                <w:lang w:eastAsia="cs-CZ"/>
              </w:rPr>
            </w:pPr>
            <w:r w:rsidRPr="006B5240">
              <w:rPr>
                <w:rFonts w:ascii="Calibri" w:eastAsia="Times New Roman" w:hAnsi="Calibri" w:cs="Calibri"/>
                <w:b/>
                <w:bCs/>
                <w:color w:val="000000"/>
                <w:sz w:val="20"/>
                <w:szCs w:val="20"/>
                <w:lang w:eastAsia="cs-CZ"/>
              </w:rPr>
              <w:t>2019</w:t>
            </w:r>
          </w:p>
        </w:tc>
      </w:tr>
      <w:tr w:rsidR="003A5711" w:rsidRPr="006B5240" w14:paraId="70E502DF" w14:textId="77777777" w:rsidTr="006B5240">
        <w:trPr>
          <w:trHeight w:val="231"/>
          <w:jc w:val="center"/>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D7A06" w14:textId="471BBD1E" w:rsidR="003A5711" w:rsidRPr="006B5240" w:rsidRDefault="003A5711" w:rsidP="003A5711">
            <w:pPr>
              <w:rPr>
                <w:rFonts w:ascii="Calibri" w:eastAsia="Times New Roman" w:hAnsi="Calibri" w:cs="Calibri"/>
                <w:color w:val="000000"/>
                <w:sz w:val="20"/>
                <w:szCs w:val="20"/>
                <w:lang w:eastAsia="cs-CZ"/>
              </w:rPr>
            </w:pPr>
            <w:r w:rsidRPr="006B5240">
              <w:rPr>
                <w:rFonts w:ascii="Calibri" w:eastAsia="Times New Roman" w:hAnsi="Calibri" w:cs="Calibri"/>
                <w:bCs/>
                <w:color w:val="000000"/>
                <w:sz w:val="20"/>
                <w:szCs w:val="20"/>
                <w:lang w:eastAsia="cs-CZ"/>
              </w:rPr>
              <w:t>P</w:t>
            </w:r>
            <w:r w:rsidR="009F5CF5" w:rsidRPr="006B5240">
              <w:rPr>
                <w:rFonts w:ascii="Calibri" w:eastAsia="Times New Roman" w:hAnsi="Calibri" w:cs="Calibri"/>
                <w:bCs/>
                <w:color w:val="000000"/>
                <w:sz w:val="20"/>
                <w:szCs w:val="20"/>
                <w:lang w:eastAsia="cs-CZ"/>
              </w:rPr>
              <w:t>očet p</w:t>
            </w:r>
            <w:r w:rsidR="006B5240" w:rsidRPr="006B5240">
              <w:rPr>
                <w:rFonts w:ascii="Calibri" w:eastAsia="Times New Roman" w:hAnsi="Calibri" w:cs="Calibri"/>
                <w:bCs/>
                <w:color w:val="000000"/>
                <w:sz w:val="20"/>
                <w:szCs w:val="20"/>
                <w:lang w:eastAsia="cs-CZ"/>
              </w:rPr>
              <w:t>odezření z </w:t>
            </w:r>
            <w:r w:rsidRPr="006B5240">
              <w:rPr>
                <w:rFonts w:ascii="Calibri" w:eastAsia="Times New Roman" w:hAnsi="Calibri" w:cs="Calibri"/>
                <w:bCs/>
                <w:color w:val="000000"/>
                <w:sz w:val="20"/>
                <w:szCs w:val="20"/>
                <w:lang w:eastAsia="cs-CZ"/>
              </w:rPr>
              <w:t>protiprávního jednání</w:t>
            </w:r>
            <w:r w:rsidRPr="006B5240">
              <w:rPr>
                <w:rFonts w:ascii="Calibri" w:eastAsia="Times New Roman" w:hAnsi="Calibri" w:cs="Calibri"/>
                <w:color w:val="000000"/>
                <w:sz w:val="20"/>
                <w:szCs w:val="20"/>
                <w:lang w:eastAsia="cs-CZ"/>
              </w:rPr>
              <w:t>*</w:t>
            </w:r>
          </w:p>
        </w:tc>
        <w:tc>
          <w:tcPr>
            <w:tcW w:w="765" w:type="dxa"/>
            <w:tcBorders>
              <w:top w:val="single" w:sz="4" w:space="0" w:color="auto"/>
              <w:left w:val="single" w:sz="4" w:space="0" w:color="auto"/>
              <w:bottom w:val="single" w:sz="4" w:space="0" w:color="auto"/>
              <w:right w:val="single" w:sz="4" w:space="0" w:color="auto"/>
            </w:tcBorders>
          </w:tcPr>
          <w:p w14:paraId="115EFC4B"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536</w:t>
            </w:r>
          </w:p>
        </w:tc>
        <w:tc>
          <w:tcPr>
            <w:tcW w:w="794" w:type="dxa"/>
            <w:tcBorders>
              <w:top w:val="single" w:sz="4" w:space="0" w:color="auto"/>
              <w:left w:val="single" w:sz="4" w:space="0" w:color="auto"/>
              <w:bottom w:val="single" w:sz="4" w:space="0" w:color="auto"/>
              <w:right w:val="single" w:sz="4" w:space="0" w:color="auto"/>
            </w:tcBorders>
          </w:tcPr>
          <w:p w14:paraId="040180FF"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571 </w:t>
            </w:r>
          </w:p>
          <w:p w14:paraId="48BE7B02" w14:textId="64E72CC9" w:rsidR="003A5711" w:rsidRPr="006B5240" w:rsidRDefault="003A5711" w:rsidP="00A301BE">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w:t>
            </w:r>
            <w:r w:rsidR="00A301BE">
              <w:rPr>
                <w:rFonts w:ascii="Calibri" w:eastAsia="Times New Roman" w:hAnsi="Calibri" w:cs="Calibri"/>
                <w:color w:val="000000"/>
                <w:sz w:val="20"/>
                <w:szCs w:val="20"/>
                <w:lang w:eastAsia="cs-CZ"/>
              </w:rPr>
              <w:t>−</w:t>
            </w:r>
            <w:r w:rsidRPr="006B5240">
              <w:rPr>
                <w:rFonts w:ascii="Calibri" w:eastAsia="Times New Roman" w:hAnsi="Calibri" w:cs="Calibri"/>
                <w:color w:val="000000"/>
                <w:sz w:val="20"/>
                <w:szCs w:val="20"/>
                <w:lang w:eastAsia="cs-CZ"/>
              </w:rPr>
              <w:t>35)</w:t>
            </w:r>
          </w:p>
        </w:tc>
        <w:tc>
          <w:tcPr>
            <w:tcW w:w="794" w:type="dxa"/>
            <w:tcBorders>
              <w:top w:val="single" w:sz="4" w:space="0" w:color="auto"/>
              <w:left w:val="single" w:sz="4" w:space="0" w:color="auto"/>
              <w:bottom w:val="single" w:sz="4" w:space="0" w:color="auto"/>
              <w:right w:val="single" w:sz="4" w:space="0" w:color="auto"/>
            </w:tcBorders>
          </w:tcPr>
          <w:p w14:paraId="4E81DF0B"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732</w:t>
            </w:r>
          </w:p>
          <w:p w14:paraId="67568CF3"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(+161)</w:t>
            </w:r>
          </w:p>
        </w:tc>
        <w:tc>
          <w:tcPr>
            <w:tcW w:w="794" w:type="dxa"/>
            <w:tcBorders>
              <w:top w:val="single" w:sz="4" w:space="0" w:color="auto"/>
              <w:left w:val="single" w:sz="4" w:space="0" w:color="auto"/>
              <w:bottom w:val="single" w:sz="4" w:space="0" w:color="auto"/>
              <w:right w:val="single" w:sz="4" w:space="0" w:color="auto"/>
            </w:tcBorders>
          </w:tcPr>
          <w:p w14:paraId="7E6A2BF4"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604</w:t>
            </w:r>
          </w:p>
          <w:p w14:paraId="4A251C23" w14:textId="33D9EFD3"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128)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54528"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617 (+103)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ACC3A"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551 </w:t>
            </w:r>
          </w:p>
          <w:p w14:paraId="01E9857F" w14:textId="55108286"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66)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303FE"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460 </w:t>
            </w:r>
          </w:p>
          <w:p w14:paraId="4CAD2395" w14:textId="756B0AEC"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91)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AE2B9"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437 </w:t>
            </w:r>
          </w:p>
          <w:p w14:paraId="531893A5" w14:textId="42495AA0" w:rsidR="003A5711" w:rsidRPr="006B5240" w:rsidRDefault="003A5711" w:rsidP="00702E43">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w:t>
            </w:r>
            <w:r w:rsidR="00702E43">
              <w:rPr>
                <w:rFonts w:ascii="Calibri" w:eastAsia="Times New Roman" w:hAnsi="Calibri" w:cs="Calibri"/>
                <w:color w:val="000000"/>
                <w:sz w:val="20"/>
                <w:szCs w:val="20"/>
                <w:lang w:eastAsia="cs-CZ"/>
              </w:rPr>
              <w:t>−</w:t>
            </w:r>
            <w:r w:rsidRPr="006B5240">
              <w:rPr>
                <w:rFonts w:ascii="Calibri" w:eastAsia="Times New Roman" w:hAnsi="Calibri" w:cs="Calibri"/>
                <w:color w:val="000000"/>
                <w:sz w:val="20"/>
                <w:szCs w:val="20"/>
                <w:lang w:eastAsia="cs-CZ"/>
              </w:rPr>
              <w:t>23)</w:t>
            </w:r>
          </w:p>
        </w:tc>
      </w:tr>
      <w:tr w:rsidR="003A5711" w:rsidRPr="006B5240" w14:paraId="695CC201" w14:textId="77777777" w:rsidTr="006B5240">
        <w:trPr>
          <w:trHeight w:val="231"/>
          <w:jc w:val="center"/>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C0E5D" w14:textId="53D4CCDD" w:rsidR="003A5711" w:rsidRPr="006B5240" w:rsidRDefault="003A5711" w:rsidP="009F5CF5">
            <w:pP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Počet osob podezřelých (</w:t>
            </w:r>
            <w:r w:rsidR="009F5CF5" w:rsidRPr="006B5240">
              <w:rPr>
                <w:rFonts w:ascii="Calibri" w:eastAsia="Times New Roman" w:hAnsi="Calibri" w:cs="Calibri"/>
                <w:color w:val="000000"/>
                <w:sz w:val="20"/>
                <w:szCs w:val="20"/>
                <w:lang w:eastAsia="cs-CZ"/>
              </w:rPr>
              <w:t>zjištění pachatelé</w:t>
            </w:r>
            <w:r w:rsidRPr="006B5240">
              <w:rPr>
                <w:rFonts w:ascii="Calibri" w:eastAsia="Times New Roman" w:hAnsi="Calibri" w:cs="Calibri"/>
                <w:color w:val="000000"/>
                <w:sz w:val="20"/>
                <w:szCs w:val="20"/>
                <w:lang w:eastAsia="cs-CZ"/>
              </w:rPr>
              <w:t>)*</w:t>
            </w:r>
          </w:p>
        </w:tc>
        <w:tc>
          <w:tcPr>
            <w:tcW w:w="765" w:type="dxa"/>
            <w:tcBorders>
              <w:top w:val="single" w:sz="4" w:space="0" w:color="auto"/>
              <w:left w:val="single" w:sz="4" w:space="0" w:color="auto"/>
              <w:bottom w:val="single" w:sz="4" w:space="0" w:color="auto"/>
              <w:right w:val="single" w:sz="4" w:space="0" w:color="auto"/>
            </w:tcBorders>
          </w:tcPr>
          <w:p w14:paraId="0FAFC840"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307</w:t>
            </w:r>
          </w:p>
        </w:tc>
        <w:tc>
          <w:tcPr>
            <w:tcW w:w="794" w:type="dxa"/>
            <w:tcBorders>
              <w:top w:val="single" w:sz="4" w:space="0" w:color="auto"/>
              <w:left w:val="single" w:sz="4" w:space="0" w:color="auto"/>
              <w:bottom w:val="single" w:sz="4" w:space="0" w:color="auto"/>
              <w:right w:val="single" w:sz="4" w:space="0" w:color="auto"/>
            </w:tcBorders>
          </w:tcPr>
          <w:p w14:paraId="65A1F725"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390 </w:t>
            </w:r>
          </w:p>
          <w:p w14:paraId="1193339D" w14:textId="6B4AACBA" w:rsidR="003A5711" w:rsidRPr="006B5240" w:rsidRDefault="003A5711" w:rsidP="00A301BE">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w:t>
            </w:r>
            <w:r w:rsidR="00A301BE">
              <w:rPr>
                <w:rFonts w:ascii="Calibri" w:eastAsia="Times New Roman" w:hAnsi="Calibri" w:cs="Calibri"/>
                <w:color w:val="000000"/>
                <w:sz w:val="20"/>
                <w:szCs w:val="20"/>
                <w:lang w:eastAsia="cs-CZ"/>
              </w:rPr>
              <w:t>−</w:t>
            </w:r>
            <w:r w:rsidRPr="006B5240">
              <w:rPr>
                <w:rFonts w:ascii="Calibri" w:eastAsia="Times New Roman" w:hAnsi="Calibri" w:cs="Calibri"/>
                <w:color w:val="000000"/>
                <w:sz w:val="20"/>
                <w:szCs w:val="20"/>
                <w:lang w:eastAsia="cs-CZ"/>
              </w:rPr>
              <w:t>83)</w:t>
            </w:r>
          </w:p>
        </w:tc>
        <w:tc>
          <w:tcPr>
            <w:tcW w:w="794" w:type="dxa"/>
            <w:tcBorders>
              <w:top w:val="single" w:sz="4" w:space="0" w:color="auto"/>
              <w:left w:val="single" w:sz="4" w:space="0" w:color="auto"/>
              <w:bottom w:val="single" w:sz="4" w:space="0" w:color="auto"/>
              <w:right w:val="single" w:sz="4" w:space="0" w:color="auto"/>
            </w:tcBorders>
          </w:tcPr>
          <w:p w14:paraId="572FDA76"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454</w:t>
            </w:r>
          </w:p>
          <w:p w14:paraId="61DCC532"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(+94)</w:t>
            </w:r>
          </w:p>
        </w:tc>
        <w:tc>
          <w:tcPr>
            <w:tcW w:w="794" w:type="dxa"/>
            <w:tcBorders>
              <w:top w:val="single" w:sz="4" w:space="0" w:color="auto"/>
              <w:left w:val="single" w:sz="4" w:space="0" w:color="auto"/>
              <w:bottom w:val="single" w:sz="4" w:space="0" w:color="auto"/>
              <w:right w:val="single" w:sz="4" w:space="0" w:color="auto"/>
            </w:tcBorders>
          </w:tcPr>
          <w:p w14:paraId="6D85F151"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382</w:t>
            </w:r>
          </w:p>
          <w:p w14:paraId="4687AEAE" w14:textId="3C478A31"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2599"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418 (+36)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03700"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451 (+33)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ABB5C"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482 (+31)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B9C0"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582 (+100)</w:t>
            </w:r>
          </w:p>
        </w:tc>
      </w:tr>
      <w:tr w:rsidR="003A5711" w:rsidRPr="006B5240" w14:paraId="7F90BE7A" w14:textId="77777777" w:rsidTr="006B5240">
        <w:trPr>
          <w:trHeight w:val="242"/>
          <w:jc w:val="center"/>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969A" w14:textId="0AAE5AD1" w:rsidR="003A5711" w:rsidRPr="006B5240" w:rsidRDefault="009F5CF5" w:rsidP="003A5711">
            <w:pP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Počet zahájených trestních řízení</w:t>
            </w:r>
            <w:r w:rsidR="003A5711" w:rsidRPr="006B5240">
              <w:rPr>
                <w:rFonts w:ascii="Calibri" w:eastAsia="Times New Roman" w:hAnsi="Calibri" w:cs="Calibri"/>
                <w:color w:val="000000"/>
                <w:sz w:val="20"/>
                <w:szCs w:val="20"/>
                <w:lang w:eastAsia="cs-CZ"/>
              </w:rPr>
              <w:t>*</w:t>
            </w:r>
          </w:p>
        </w:tc>
        <w:tc>
          <w:tcPr>
            <w:tcW w:w="765" w:type="dxa"/>
            <w:tcBorders>
              <w:top w:val="single" w:sz="4" w:space="0" w:color="auto"/>
              <w:left w:val="single" w:sz="4" w:space="0" w:color="auto"/>
              <w:bottom w:val="single" w:sz="4" w:space="0" w:color="auto"/>
              <w:right w:val="single" w:sz="4" w:space="0" w:color="auto"/>
            </w:tcBorders>
          </w:tcPr>
          <w:p w14:paraId="541D5D8C"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183</w:t>
            </w:r>
          </w:p>
        </w:tc>
        <w:tc>
          <w:tcPr>
            <w:tcW w:w="794" w:type="dxa"/>
            <w:tcBorders>
              <w:top w:val="single" w:sz="4" w:space="0" w:color="auto"/>
              <w:left w:val="single" w:sz="4" w:space="0" w:color="auto"/>
              <w:bottom w:val="single" w:sz="4" w:space="0" w:color="auto"/>
              <w:right w:val="single" w:sz="4" w:space="0" w:color="auto"/>
            </w:tcBorders>
          </w:tcPr>
          <w:p w14:paraId="059AA844"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269</w:t>
            </w:r>
          </w:p>
          <w:p w14:paraId="1935FB78" w14:textId="45FC82F2" w:rsidR="003A5711" w:rsidRPr="006B5240" w:rsidRDefault="003A5711" w:rsidP="00A301BE">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w:t>
            </w:r>
            <w:r w:rsidR="00A301BE">
              <w:rPr>
                <w:rFonts w:ascii="Calibri" w:eastAsia="Times New Roman" w:hAnsi="Calibri" w:cs="Calibri"/>
                <w:color w:val="000000"/>
                <w:sz w:val="20"/>
                <w:szCs w:val="20"/>
                <w:lang w:eastAsia="cs-CZ"/>
              </w:rPr>
              <w:t>−</w:t>
            </w:r>
            <w:r w:rsidRPr="006B5240">
              <w:rPr>
                <w:rFonts w:ascii="Calibri" w:eastAsia="Times New Roman" w:hAnsi="Calibri" w:cs="Calibri"/>
                <w:color w:val="000000"/>
                <w:sz w:val="20"/>
                <w:szCs w:val="20"/>
                <w:lang w:eastAsia="cs-CZ"/>
              </w:rPr>
              <w:t>86)</w:t>
            </w:r>
          </w:p>
        </w:tc>
        <w:tc>
          <w:tcPr>
            <w:tcW w:w="794" w:type="dxa"/>
            <w:tcBorders>
              <w:top w:val="single" w:sz="4" w:space="0" w:color="auto"/>
              <w:left w:val="single" w:sz="4" w:space="0" w:color="auto"/>
              <w:bottom w:val="single" w:sz="4" w:space="0" w:color="auto"/>
              <w:right w:val="single" w:sz="4" w:space="0" w:color="auto"/>
            </w:tcBorders>
          </w:tcPr>
          <w:p w14:paraId="46FCD800"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313</w:t>
            </w:r>
          </w:p>
          <w:p w14:paraId="6CF754AF"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(+44)</w:t>
            </w:r>
          </w:p>
        </w:tc>
        <w:tc>
          <w:tcPr>
            <w:tcW w:w="794" w:type="dxa"/>
            <w:tcBorders>
              <w:top w:val="single" w:sz="4" w:space="0" w:color="auto"/>
              <w:left w:val="single" w:sz="4" w:space="0" w:color="auto"/>
              <w:bottom w:val="single" w:sz="4" w:space="0" w:color="auto"/>
              <w:right w:val="single" w:sz="4" w:space="0" w:color="auto"/>
            </w:tcBorders>
          </w:tcPr>
          <w:p w14:paraId="6778B1DC"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258</w:t>
            </w:r>
          </w:p>
          <w:p w14:paraId="1C4C4188" w14:textId="4F30EA33"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55)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B481"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247 </w:t>
            </w:r>
          </w:p>
          <w:p w14:paraId="626B983F" w14:textId="2B5428A5"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11)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8B7E"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147 </w:t>
            </w:r>
          </w:p>
          <w:p w14:paraId="60403C1C" w14:textId="3DDE7ABB"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 xml:space="preserve">100)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EE81F"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135 </w:t>
            </w:r>
          </w:p>
          <w:p w14:paraId="3D2BC0F5" w14:textId="46A3AC7D" w:rsidR="003A5711" w:rsidRPr="006B5240" w:rsidRDefault="00702E43"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12)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64CB9"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113 </w:t>
            </w:r>
          </w:p>
          <w:p w14:paraId="6B0A2740" w14:textId="59BFE260" w:rsidR="003A5711" w:rsidRPr="006B5240" w:rsidRDefault="00702E43"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22)</w:t>
            </w:r>
          </w:p>
        </w:tc>
      </w:tr>
      <w:tr w:rsidR="003A5711" w:rsidRPr="006B5240" w14:paraId="209B4B42" w14:textId="77777777" w:rsidTr="006B5240">
        <w:trPr>
          <w:trHeight w:val="242"/>
          <w:jc w:val="center"/>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54D0" w14:textId="617D9D0B" w:rsidR="003A5711" w:rsidRPr="006B5240" w:rsidRDefault="009F5CF5" w:rsidP="009F5CF5">
            <w:pP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Počet provedených zkoušek</w:t>
            </w:r>
            <w:r w:rsidR="003A5711" w:rsidRPr="006B5240">
              <w:rPr>
                <w:rFonts w:ascii="Calibri" w:eastAsia="Times New Roman" w:hAnsi="Calibri" w:cs="Calibri"/>
                <w:color w:val="000000"/>
                <w:sz w:val="20"/>
                <w:szCs w:val="20"/>
                <w:lang w:eastAsia="cs-CZ"/>
              </w:rPr>
              <w:t xml:space="preserve"> spolehlivosti*</w:t>
            </w:r>
          </w:p>
        </w:tc>
        <w:tc>
          <w:tcPr>
            <w:tcW w:w="765" w:type="dxa"/>
            <w:tcBorders>
              <w:top w:val="single" w:sz="4" w:space="0" w:color="auto"/>
              <w:left w:val="single" w:sz="4" w:space="0" w:color="auto"/>
              <w:bottom w:val="single" w:sz="4" w:space="0" w:color="auto"/>
              <w:right w:val="single" w:sz="4" w:space="0" w:color="auto"/>
            </w:tcBorders>
          </w:tcPr>
          <w:p w14:paraId="620AB190"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31</w:t>
            </w:r>
          </w:p>
        </w:tc>
        <w:tc>
          <w:tcPr>
            <w:tcW w:w="794" w:type="dxa"/>
            <w:tcBorders>
              <w:top w:val="single" w:sz="4" w:space="0" w:color="auto"/>
              <w:left w:val="single" w:sz="4" w:space="0" w:color="auto"/>
              <w:bottom w:val="single" w:sz="4" w:space="0" w:color="auto"/>
              <w:right w:val="single" w:sz="4" w:space="0" w:color="auto"/>
            </w:tcBorders>
          </w:tcPr>
          <w:p w14:paraId="4F4AC0D8"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 xml:space="preserve">56 </w:t>
            </w:r>
          </w:p>
          <w:p w14:paraId="01D50F04"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(+25)</w:t>
            </w:r>
          </w:p>
        </w:tc>
        <w:tc>
          <w:tcPr>
            <w:tcW w:w="794" w:type="dxa"/>
            <w:tcBorders>
              <w:top w:val="single" w:sz="4" w:space="0" w:color="auto"/>
              <w:left w:val="single" w:sz="4" w:space="0" w:color="auto"/>
              <w:bottom w:val="single" w:sz="4" w:space="0" w:color="auto"/>
              <w:right w:val="single" w:sz="4" w:space="0" w:color="auto"/>
            </w:tcBorders>
          </w:tcPr>
          <w:p w14:paraId="65ADB92F"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40</w:t>
            </w:r>
          </w:p>
          <w:p w14:paraId="54A62AC6" w14:textId="60DAE5A0" w:rsidR="003A5711" w:rsidRPr="006B5240" w:rsidRDefault="003A5711" w:rsidP="00A301BE">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w:t>
            </w:r>
            <w:r w:rsidR="00A301BE">
              <w:rPr>
                <w:rFonts w:ascii="Calibri" w:eastAsia="Times New Roman" w:hAnsi="Calibri" w:cs="Calibri"/>
                <w:color w:val="000000"/>
                <w:sz w:val="20"/>
                <w:szCs w:val="20"/>
                <w:lang w:eastAsia="cs-CZ"/>
              </w:rPr>
              <w:t>−</w:t>
            </w:r>
            <w:r w:rsidRPr="006B5240">
              <w:rPr>
                <w:rFonts w:ascii="Calibri" w:eastAsia="Times New Roman" w:hAnsi="Calibri" w:cs="Calibri"/>
                <w:color w:val="000000"/>
                <w:sz w:val="20"/>
                <w:szCs w:val="20"/>
                <w:lang w:eastAsia="cs-CZ"/>
              </w:rPr>
              <w:t>14)</w:t>
            </w:r>
          </w:p>
        </w:tc>
        <w:tc>
          <w:tcPr>
            <w:tcW w:w="794" w:type="dxa"/>
            <w:tcBorders>
              <w:top w:val="single" w:sz="4" w:space="0" w:color="auto"/>
              <w:left w:val="single" w:sz="4" w:space="0" w:color="auto"/>
              <w:bottom w:val="single" w:sz="4" w:space="0" w:color="auto"/>
              <w:right w:val="single" w:sz="4" w:space="0" w:color="auto"/>
            </w:tcBorders>
          </w:tcPr>
          <w:p w14:paraId="05C3D197"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w:t>
            </w:r>
          </w:p>
          <w:p w14:paraId="444C314C" w14:textId="27389C35" w:rsidR="003A5711" w:rsidRPr="006B5240" w:rsidRDefault="00A301BE"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C073A"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22</w:t>
            </w:r>
          </w:p>
          <w:p w14:paraId="7A7E1502"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(+18)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8DEDE"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15</w:t>
            </w:r>
          </w:p>
          <w:p w14:paraId="538ACF47" w14:textId="0FF5D617" w:rsidR="003A5711" w:rsidRPr="006B5240" w:rsidRDefault="003A5711" w:rsidP="00A301BE">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w:t>
            </w:r>
            <w:r w:rsidR="00A301BE">
              <w:rPr>
                <w:rFonts w:ascii="Calibri" w:eastAsia="Times New Roman" w:hAnsi="Calibri" w:cs="Calibri"/>
                <w:color w:val="000000"/>
                <w:sz w:val="20"/>
                <w:szCs w:val="20"/>
                <w:lang w:eastAsia="cs-CZ"/>
              </w:rPr>
              <w:t>−</w:t>
            </w:r>
            <w:r w:rsidRPr="006B5240">
              <w:rPr>
                <w:rFonts w:ascii="Calibri" w:eastAsia="Times New Roman" w:hAnsi="Calibri" w:cs="Calibri"/>
                <w:color w:val="000000"/>
                <w:sz w:val="20"/>
                <w:szCs w:val="20"/>
                <w:lang w:eastAsia="cs-CZ"/>
              </w:rPr>
              <w:t>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EAE76"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40</w:t>
            </w:r>
          </w:p>
          <w:p w14:paraId="72B7AC45"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8D73E" w14:textId="77777777" w:rsidR="003A5711" w:rsidRPr="006B5240" w:rsidRDefault="003A5711" w:rsidP="003A5711">
            <w:pPr>
              <w:jc w:val="center"/>
              <w:rPr>
                <w:rFonts w:ascii="Calibri" w:eastAsia="Times New Roman" w:hAnsi="Calibri" w:cs="Calibri"/>
                <w:color w:val="000000"/>
                <w:sz w:val="20"/>
                <w:szCs w:val="20"/>
                <w:lang w:eastAsia="cs-CZ"/>
              </w:rPr>
            </w:pPr>
            <w:r w:rsidRPr="006B5240">
              <w:rPr>
                <w:rFonts w:ascii="Calibri" w:eastAsia="Times New Roman" w:hAnsi="Calibri" w:cs="Calibri"/>
                <w:color w:val="000000"/>
                <w:sz w:val="20"/>
                <w:szCs w:val="20"/>
                <w:lang w:eastAsia="cs-CZ"/>
              </w:rPr>
              <w:t>13</w:t>
            </w:r>
          </w:p>
          <w:p w14:paraId="6A4628E2" w14:textId="64EFA947" w:rsidR="003A5711" w:rsidRPr="006B5240" w:rsidRDefault="00702E43" w:rsidP="003A5711">
            <w:pPr>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w:t>
            </w:r>
            <w:r w:rsidR="003A5711" w:rsidRPr="006B5240">
              <w:rPr>
                <w:rFonts w:ascii="Calibri" w:eastAsia="Times New Roman" w:hAnsi="Calibri" w:cs="Calibri"/>
                <w:color w:val="000000"/>
                <w:sz w:val="20"/>
                <w:szCs w:val="20"/>
                <w:lang w:eastAsia="cs-CZ"/>
              </w:rPr>
              <w:t>27)</w:t>
            </w:r>
          </w:p>
        </w:tc>
      </w:tr>
    </w:tbl>
    <w:p w14:paraId="00A2DEB3" w14:textId="2AD154BB" w:rsidR="003A5711" w:rsidRPr="003A5711" w:rsidRDefault="003A5711" w:rsidP="006B5240">
      <w:pPr>
        <w:spacing w:before="40"/>
        <w:jc w:val="both"/>
        <w:rPr>
          <w:rFonts w:ascii="Calibri" w:eastAsia="Calibri" w:hAnsi="Calibri" w:cs="Times New Roman"/>
          <w:color w:val="000000"/>
          <w:sz w:val="20"/>
        </w:rPr>
      </w:pPr>
      <w:r w:rsidRPr="00BD7050">
        <w:rPr>
          <w:rFonts w:ascii="Calibri" w:eastAsia="Calibri" w:hAnsi="Calibri" w:cs="Times New Roman"/>
          <w:b/>
          <w:color w:val="000000"/>
          <w:sz w:val="20"/>
        </w:rPr>
        <w:t>Zdroj:</w:t>
      </w:r>
      <w:r w:rsidRPr="003A5711">
        <w:rPr>
          <w:rFonts w:ascii="Calibri" w:eastAsia="Calibri" w:hAnsi="Calibri" w:cs="Times New Roman"/>
          <w:color w:val="000000"/>
          <w:sz w:val="20"/>
        </w:rPr>
        <w:t xml:space="preserve"> </w:t>
      </w:r>
      <w:r w:rsidR="00702E43">
        <w:rPr>
          <w:rFonts w:ascii="Calibri" w:eastAsia="Calibri" w:hAnsi="Calibri" w:cs="Times New Roman"/>
          <w:color w:val="000000"/>
          <w:sz w:val="20"/>
        </w:rPr>
        <w:t>z</w:t>
      </w:r>
      <w:r w:rsidRPr="003A5711">
        <w:rPr>
          <w:rFonts w:ascii="Calibri" w:eastAsia="Calibri" w:hAnsi="Calibri" w:cs="Times New Roman"/>
          <w:color w:val="000000"/>
          <w:sz w:val="20"/>
        </w:rPr>
        <w:t>právy o činnosti GIBS</w:t>
      </w:r>
      <w:r w:rsidR="00F66851">
        <w:rPr>
          <w:rFonts w:ascii="Calibri" w:eastAsia="Calibri" w:hAnsi="Calibri" w:cs="Times New Roman"/>
          <w:color w:val="000000"/>
          <w:sz w:val="20"/>
        </w:rPr>
        <w:t>.</w:t>
      </w:r>
    </w:p>
    <w:p w14:paraId="03462397" w14:textId="5C0A1973" w:rsidR="003A5711" w:rsidRPr="003A5711" w:rsidRDefault="003A5711" w:rsidP="003A5711">
      <w:pPr>
        <w:spacing w:after="120"/>
        <w:jc w:val="both"/>
        <w:rPr>
          <w:rFonts w:ascii="Calibri" w:eastAsia="Calibri" w:hAnsi="Calibri" w:cs="Times New Roman"/>
          <w:color w:val="000000"/>
          <w:sz w:val="20"/>
          <w:szCs w:val="20"/>
        </w:rPr>
      </w:pPr>
      <w:r w:rsidRPr="003A5711">
        <w:rPr>
          <w:rFonts w:ascii="Calibri" w:eastAsia="Calibri" w:hAnsi="Calibri" w:cs="Times New Roman"/>
          <w:color w:val="000000"/>
          <w:sz w:val="20"/>
          <w:szCs w:val="20"/>
        </w:rPr>
        <w:t>*</w:t>
      </w:r>
      <w:r w:rsidR="006B5240">
        <w:rPr>
          <w:rFonts w:ascii="Calibri" w:eastAsia="Calibri" w:hAnsi="Calibri" w:cs="Times New Roman"/>
          <w:color w:val="000000"/>
          <w:sz w:val="20"/>
          <w:szCs w:val="20"/>
        </w:rPr>
        <w:t xml:space="preserve"> </w:t>
      </w:r>
      <w:r w:rsidRPr="003A5711">
        <w:rPr>
          <w:rFonts w:ascii="Calibri" w:eastAsia="Calibri" w:hAnsi="Calibri" w:cs="Times New Roman"/>
          <w:color w:val="000000"/>
          <w:sz w:val="20"/>
          <w:szCs w:val="20"/>
        </w:rPr>
        <w:t>V závorkách je uveden přírůstek/úbytek ve srovnání s předchozím rokem.</w:t>
      </w:r>
    </w:p>
    <w:p w14:paraId="34D011ED" w14:textId="194F0BFB" w:rsidR="003A5711" w:rsidRPr="003A5711" w:rsidRDefault="003A5711" w:rsidP="004F15E2">
      <w:pPr>
        <w:spacing w:after="120" w:line="264" w:lineRule="auto"/>
        <w:jc w:val="both"/>
        <w:rPr>
          <w:rFonts w:ascii="Calibri" w:eastAsia="Calibri" w:hAnsi="Calibri" w:cs="Times New Roman"/>
          <w:bCs/>
          <w:sz w:val="24"/>
          <w:szCs w:val="24"/>
        </w:rPr>
      </w:pPr>
      <w:r w:rsidRPr="003A5711">
        <w:rPr>
          <w:rFonts w:ascii="Calibri" w:eastAsia="Calibri" w:hAnsi="Calibri" w:cs="Calibri"/>
          <w:bCs/>
          <w:sz w:val="24"/>
          <w:szCs w:val="24"/>
        </w:rPr>
        <w:t xml:space="preserve">Ačkoliv GIBS z důvodu navyšování počtu příslušníků a zaměstnanců ostatních bezpečnostních sborů předpokládala nárůst své </w:t>
      </w:r>
      <w:r w:rsidR="0000208F">
        <w:rPr>
          <w:rFonts w:ascii="Calibri" w:eastAsia="Calibri" w:hAnsi="Calibri" w:cs="Calibri"/>
          <w:bCs/>
          <w:sz w:val="24"/>
          <w:szCs w:val="24"/>
        </w:rPr>
        <w:t>činnosti</w:t>
      </w:r>
      <w:r w:rsidRPr="003A5711">
        <w:rPr>
          <w:rFonts w:ascii="Calibri" w:eastAsia="Calibri" w:hAnsi="Calibri" w:cs="Calibri"/>
          <w:bCs/>
          <w:sz w:val="24"/>
          <w:szCs w:val="24"/>
          <w:vertAlign w:val="superscript"/>
        </w:rPr>
        <w:footnoteReference w:id="12"/>
      </w:r>
      <w:r w:rsidRPr="003A5711">
        <w:rPr>
          <w:rFonts w:ascii="Calibri" w:eastAsia="Calibri" w:hAnsi="Calibri" w:cs="Calibri"/>
          <w:bCs/>
          <w:sz w:val="24"/>
          <w:szCs w:val="24"/>
        </w:rPr>
        <w:t>, v</w:t>
      </w:r>
      <w:r w:rsidRPr="003A5711">
        <w:rPr>
          <w:rFonts w:ascii="Calibri" w:eastAsia="Calibri" w:hAnsi="Calibri" w:cs="Times New Roman"/>
          <w:bCs/>
          <w:sz w:val="24"/>
          <w:szCs w:val="24"/>
        </w:rPr>
        <w:t xml:space="preserve">e statistikách úkonů </w:t>
      </w:r>
      <w:r w:rsidR="002E66BB">
        <w:rPr>
          <w:rFonts w:ascii="Calibri" w:eastAsia="Calibri" w:hAnsi="Calibri" w:cs="Times New Roman"/>
          <w:bCs/>
          <w:sz w:val="24"/>
          <w:szCs w:val="24"/>
        </w:rPr>
        <w:t xml:space="preserve">činnosti </w:t>
      </w:r>
      <w:r w:rsidRPr="003A5711">
        <w:rPr>
          <w:rFonts w:ascii="Calibri" w:eastAsia="Calibri" w:hAnsi="Calibri" w:cs="Times New Roman"/>
          <w:bCs/>
          <w:sz w:val="24"/>
          <w:szCs w:val="24"/>
        </w:rPr>
        <w:t xml:space="preserve">GIBS se od roku 2017 počet podezření z protiprávního jednání i počet zahájených trestních stíhání snižoval. Vzrostl </w:t>
      </w:r>
      <w:r w:rsidRPr="003A5711">
        <w:rPr>
          <w:rFonts w:ascii="Calibri" w:eastAsia="Calibri" w:hAnsi="Calibri" w:cs="Times New Roman"/>
          <w:bCs/>
          <w:sz w:val="24"/>
          <w:szCs w:val="24"/>
        </w:rPr>
        <w:lastRenderedPageBreak/>
        <w:t xml:space="preserve">pouze počet podezřelých osob. </w:t>
      </w:r>
      <w:r w:rsidRPr="003A5711">
        <w:rPr>
          <w:rFonts w:ascii="Calibri" w:eastAsia="Calibri" w:hAnsi="Calibri"/>
          <w:sz w:val="24"/>
          <w:szCs w:val="24"/>
        </w:rPr>
        <w:t xml:space="preserve">Jiné doklady o nárůstu </w:t>
      </w:r>
      <w:r w:rsidR="0000208F">
        <w:rPr>
          <w:rFonts w:ascii="Calibri" w:eastAsia="Calibri" w:hAnsi="Calibri"/>
          <w:sz w:val="24"/>
          <w:szCs w:val="24"/>
        </w:rPr>
        <w:t>činnosti</w:t>
      </w:r>
      <w:r w:rsidRPr="003A5711">
        <w:rPr>
          <w:rFonts w:ascii="Calibri" w:eastAsia="Calibri" w:hAnsi="Calibri"/>
          <w:sz w:val="24"/>
          <w:szCs w:val="24"/>
        </w:rPr>
        <w:t xml:space="preserve"> v kontrolovaném období </w:t>
      </w:r>
      <w:r w:rsidR="006D08BF" w:rsidRPr="003A5711">
        <w:rPr>
          <w:rFonts w:ascii="Calibri" w:eastAsia="Calibri" w:hAnsi="Calibri"/>
          <w:sz w:val="24"/>
          <w:szCs w:val="24"/>
        </w:rPr>
        <w:t xml:space="preserve">GIBS </w:t>
      </w:r>
      <w:r w:rsidRPr="003A5711">
        <w:rPr>
          <w:rFonts w:ascii="Calibri" w:eastAsia="Calibri" w:hAnsi="Calibri"/>
          <w:sz w:val="24"/>
          <w:szCs w:val="24"/>
        </w:rPr>
        <w:t>nedoložila.</w:t>
      </w:r>
    </w:p>
    <w:p w14:paraId="440E6435" w14:textId="7DB334A8" w:rsidR="0087375E" w:rsidRPr="003A5711" w:rsidRDefault="0087375E" w:rsidP="004F15E2">
      <w:pPr>
        <w:spacing w:after="120" w:line="264" w:lineRule="auto"/>
        <w:jc w:val="both"/>
        <w:rPr>
          <w:rFonts w:ascii="Calibri" w:eastAsia="Calibri" w:hAnsi="Calibri" w:cs="Times New Roman"/>
          <w:bCs/>
          <w:sz w:val="24"/>
          <w:szCs w:val="24"/>
        </w:rPr>
      </w:pPr>
      <w:r w:rsidRPr="003A5711">
        <w:rPr>
          <w:rFonts w:ascii="Calibri" w:eastAsia="Calibri" w:hAnsi="Calibri" w:cs="Times New Roman"/>
          <w:bCs/>
          <w:sz w:val="24"/>
          <w:szCs w:val="24"/>
        </w:rPr>
        <w:t xml:space="preserve">Důvodem pro navýšení stávajících platů příslušníků a zaměstnanců GIBS mělo být </w:t>
      </w:r>
      <w:r w:rsidRPr="003A5711">
        <w:rPr>
          <w:rFonts w:ascii="Calibri" w:eastAsia="Calibri" w:hAnsi="Calibri" w:cs="Times New Roman"/>
          <w:sz w:val="24"/>
          <w:szCs w:val="24"/>
        </w:rPr>
        <w:t xml:space="preserve">dle </w:t>
      </w:r>
      <w:r w:rsidR="00231BB9">
        <w:rPr>
          <w:rFonts w:ascii="Calibri" w:eastAsia="Calibri" w:hAnsi="Calibri" w:cs="Times New Roman"/>
          <w:sz w:val="24"/>
          <w:szCs w:val="24"/>
        </w:rPr>
        <w:t>předkládací</w:t>
      </w:r>
      <w:r w:rsidR="00231BB9" w:rsidRPr="003A5711">
        <w:rPr>
          <w:rFonts w:ascii="Calibri" w:eastAsia="Calibri" w:hAnsi="Calibri" w:cs="Times New Roman"/>
          <w:sz w:val="24"/>
          <w:szCs w:val="24"/>
        </w:rPr>
        <w:t xml:space="preserve"> </w:t>
      </w:r>
      <w:r w:rsidRPr="003A5711">
        <w:rPr>
          <w:rFonts w:ascii="Calibri" w:eastAsia="Calibri" w:hAnsi="Calibri" w:cs="Times New Roman"/>
          <w:sz w:val="24"/>
          <w:szCs w:val="24"/>
        </w:rPr>
        <w:t>zprávy k </w:t>
      </w:r>
      <w:r w:rsidRPr="003A5711">
        <w:rPr>
          <w:rFonts w:ascii="Calibri" w:hAnsi="Calibri" w:cs="Calibri"/>
          <w:sz w:val="24"/>
          <w:szCs w:val="24"/>
        </w:rPr>
        <w:t>usnesení vlády č. 148/2017</w:t>
      </w:r>
      <w:r w:rsidRPr="003A5711">
        <w:rPr>
          <w:rFonts w:ascii="Calibri" w:eastAsia="Calibri" w:hAnsi="Calibri" w:cs="Times New Roman"/>
          <w:bCs/>
          <w:sz w:val="24"/>
          <w:szCs w:val="24"/>
        </w:rPr>
        <w:t xml:space="preserve"> zvýšení konkurenceschopnosti na trhu práce. GIBS odůvodnila tento požadavek </w:t>
      </w:r>
      <w:r w:rsidR="000673AD">
        <w:rPr>
          <w:rFonts w:ascii="Calibri" w:eastAsia="Calibri" w:hAnsi="Calibri" w:cs="Times New Roman"/>
          <w:bCs/>
          <w:sz w:val="24"/>
          <w:szCs w:val="24"/>
        </w:rPr>
        <w:t xml:space="preserve">pouze </w:t>
      </w:r>
      <w:r w:rsidRPr="003A5711">
        <w:rPr>
          <w:rFonts w:ascii="Calibri" w:eastAsia="Calibri" w:hAnsi="Calibri" w:cs="Times New Roman"/>
          <w:bCs/>
          <w:sz w:val="24"/>
          <w:szCs w:val="24"/>
        </w:rPr>
        <w:t>porovnáním</w:t>
      </w:r>
      <w:r w:rsidR="000673AD">
        <w:rPr>
          <w:rFonts w:ascii="Calibri" w:eastAsia="Calibri" w:hAnsi="Calibri" w:cs="Times New Roman"/>
          <w:bCs/>
          <w:sz w:val="24"/>
          <w:szCs w:val="24"/>
        </w:rPr>
        <w:t xml:space="preserve"> </w:t>
      </w:r>
      <w:r w:rsidRPr="003A5711">
        <w:rPr>
          <w:rFonts w:ascii="Calibri" w:eastAsia="Calibri" w:hAnsi="Calibri" w:cs="Times New Roman"/>
          <w:bCs/>
          <w:sz w:val="24"/>
          <w:szCs w:val="24"/>
        </w:rPr>
        <w:t xml:space="preserve">s průměrnými platy </w:t>
      </w:r>
      <w:r w:rsidRPr="009D6D78">
        <w:rPr>
          <w:rFonts w:ascii="Calibri" w:eastAsia="Calibri" w:hAnsi="Calibri" w:cs="Times New Roman"/>
          <w:bCs/>
          <w:iCs/>
          <w:sz w:val="24"/>
          <w:szCs w:val="24"/>
        </w:rPr>
        <w:t>Útvaru pro odhalování organizovaného zločinu</w:t>
      </w:r>
      <w:r w:rsidRPr="003A5711">
        <w:rPr>
          <w:rFonts w:ascii="Calibri" w:eastAsia="Calibri" w:hAnsi="Calibri" w:cs="Times New Roman"/>
          <w:bCs/>
          <w:sz w:val="24"/>
          <w:szCs w:val="24"/>
        </w:rPr>
        <w:t xml:space="preserve"> a </w:t>
      </w:r>
      <w:r w:rsidRPr="009D6D78">
        <w:rPr>
          <w:rFonts w:ascii="Calibri" w:eastAsia="Calibri" w:hAnsi="Calibri" w:cs="Times New Roman"/>
          <w:bCs/>
          <w:iCs/>
          <w:sz w:val="24"/>
          <w:szCs w:val="24"/>
        </w:rPr>
        <w:t>Útvaru odhalování korupce a finanční kriminality služby kriminální policie a vyšetřování.</w:t>
      </w:r>
      <w:r>
        <w:rPr>
          <w:rFonts w:ascii="Calibri" w:eastAsia="Calibri" w:hAnsi="Calibri" w:cs="Times New Roman"/>
          <w:bCs/>
          <w:i/>
          <w:iCs/>
          <w:sz w:val="24"/>
          <w:szCs w:val="24"/>
        </w:rPr>
        <w:t xml:space="preserve"> </w:t>
      </w:r>
      <w:r w:rsidR="00FD4471" w:rsidRPr="009E5A39">
        <w:rPr>
          <w:rFonts w:ascii="Calibri" w:eastAsia="Calibri" w:hAnsi="Calibri" w:cs="Calibri"/>
          <w:sz w:val="24"/>
          <w:szCs w:val="24"/>
        </w:rPr>
        <w:t>GIBS průkazně nedoložila v předkládacích zprávách oprávněnost svých potřeb a zároveň ve svých požadavcích nezohlednila např. vývoj průměrných platů ve veřejném sektoru nebo skutečnost, že patří mezi kapitoly státního rozpočtu s nejvyšším průměrným platem.</w:t>
      </w:r>
    </w:p>
    <w:p w14:paraId="6CE3BF22" w14:textId="2349BE75" w:rsidR="003A5711" w:rsidRPr="003A5711" w:rsidRDefault="003A5711" w:rsidP="004F15E2">
      <w:pPr>
        <w:spacing w:after="120" w:line="264" w:lineRule="auto"/>
        <w:jc w:val="both"/>
        <w:rPr>
          <w:rFonts w:ascii="Calibri" w:eastAsia="Calibri" w:hAnsi="Calibri"/>
          <w:b/>
          <w:sz w:val="24"/>
          <w:szCs w:val="24"/>
        </w:rPr>
      </w:pPr>
      <w:r w:rsidRPr="003A5711">
        <w:rPr>
          <w:rFonts w:ascii="Calibri" w:eastAsia="Calibri" w:hAnsi="Calibri"/>
          <w:b/>
          <w:sz w:val="24"/>
          <w:szCs w:val="24"/>
        </w:rPr>
        <w:t>GIBS požadovala navýšení platových prostředků z důvodu zvýšení počtu systemizovaných míst</w:t>
      </w:r>
      <w:r w:rsidR="00683F8D">
        <w:rPr>
          <w:rFonts w:ascii="Calibri" w:eastAsia="Calibri" w:hAnsi="Calibri"/>
          <w:b/>
          <w:sz w:val="24"/>
          <w:szCs w:val="24"/>
        </w:rPr>
        <w:t xml:space="preserve">, který uvedla jako cíl v předkládací zprávě </w:t>
      </w:r>
      <w:r w:rsidR="001A4501">
        <w:rPr>
          <w:rFonts w:ascii="Calibri" w:eastAsia="Calibri" w:hAnsi="Calibri"/>
          <w:b/>
          <w:sz w:val="24"/>
          <w:szCs w:val="24"/>
        </w:rPr>
        <w:t>k </w:t>
      </w:r>
      <w:r w:rsidR="00683F8D">
        <w:rPr>
          <w:rFonts w:ascii="Calibri" w:eastAsia="Calibri" w:hAnsi="Calibri"/>
          <w:b/>
          <w:sz w:val="24"/>
          <w:szCs w:val="24"/>
        </w:rPr>
        <w:t xml:space="preserve">usnesení </w:t>
      </w:r>
      <w:r w:rsidR="008308BE">
        <w:rPr>
          <w:rFonts w:ascii="Calibri" w:eastAsia="Calibri" w:hAnsi="Calibri"/>
          <w:b/>
          <w:sz w:val="24"/>
          <w:szCs w:val="24"/>
        </w:rPr>
        <w:t>vlády č. 148/2017. GIBS system</w:t>
      </w:r>
      <w:r w:rsidR="00683F8D">
        <w:rPr>
          <w:rFonts w:ascii="Calibri" w:eastAsia="Calibri" w:hAnsi="Calibri"/>
          <w:b/>
          <w:sz w:val="24"/>
          <w:szCs w:val="24"/>
        </w:rPr>
        <w:t>izovaná místa</w:t>
      </w:r>
      <w:r w:rsidRPr="003A5711">
        <w:rPr>
          <w:rFonts w:ascii="Calibri" w:eastAsia="Calibri" w:hAnsi="Calibri"/>
          <w:b/>
          <w:sz w:val="24"/>
          <w:szCs w:val="24"/>
        </w:rPr>
        <w:t xml:space="preserve"> příslušníky a zaměstnanci </w:t>
      </w:r>
      <w:r w:rsidR="000673AD">
        <w:rPr>
          <w:rFonts w:ascii="Calibri" w:eastAsia="Calibri" w:hAnsi="Calibri"/>
          <w:b/>
          <w:sz w:val="24"/>
          <w:szCs w:val="24"/>
        </w:rPr>
        <w:t xml:space="preserve">dlouhodobě </w:t>
      </w:r>
      <w:r w:rsidR="00231BB9" w:rsidRPr="003A5711">
        <w:rPr>
          <w:rFonts w:ascii="Calibri" w:eastAsia="Calibri" w:hAnsi="Calibri"/>
          <w:b/>
          <w:sz w:val="24"/>
          <w:szCs w:val="24"/>
        </w:rPr>
        <w:t>ne</w:t>
      </w:r>
      <w:r w:rsidR="00231BB9">
        <w:rPr>
          <w:rFonts w:ascii="Calibri" w:eastAsia="Calibri" w:hAnsi="Calibri"/>
          <w:b/>
          <w:sz w:val="24"/>
          <w:szCs w:val="24"/>
        </w:rPr>
        <w:t>obsadila</w:t>
      </w:r>
      <w:r w:rsidRPr="003A5711">
        <w:rPr>
          <w:rFonts w:ascii="Calibri" w:eastAsia="Calibri" w:hAnsi="Calibri"/>
          <w:b/>
          <w:sz w:val="24"/>
          <w:szCs w:val="24"/>
        </w:rPr>
        <w:t>.</w:t>
      </w:r>
      <w:r w:rsidR="00BA24A1">
        <w:rPr>
          <w:rFonts w:ascii="Calibri" w:eastAsia="Calibri" w:hAnsi="Calibri"/>
          <w:b/>
          <w:sz w:val="24"/>
          <w:szCs w:val="24"/>
        </w:rPr>
        <w:t xml:space="preserve"> Z</w:t>
      </w:r>
      <w:r w:rsidRPr="003A5711">
        <w:rPr>
          <w:rFonts w:ascii="Calibri" w:eastAsia="Calibri" w:hAnsi="Calibri"/>
          <w:b/>
          <w:sz w:val="24"/>
          <w:szCs w:val="24"/>
        </w:rPr>
        <w:t xml:space="preserve"> předložených statistik </w:t>
      </w:r>
      <w:r w:rsidR="00BA24A1">
        <w:rPr>
          <w:rFonts w:ascii="Calibri" w:eastAsia="Calibri" w:hAnsi="Calibri"/>
          <w:b/>
          <w:sz w:val="24"/>
          <w:szCs w:val="24"/>
        </w:rPr>
        <w:t xml:space="preserve">dle zpráv o činnosti GIBS </w:t>
      </w:r>
      <w:r w:rsidRPr="003A5711">
        <w:rPr>
          <w:rFonts w:ascii="Calibri" w:eastAsia="Calibri" w:hAnsi="Calibri"/>
          <w:b/>
          <w:sz w:val="24"/>
          <w:szCs w:val="24"/>
        </w:rPr>
        <w:t xml:space="preserve">v období 2017 až 2019 </w:t>
      </w:r>
      <w:r w:rsidR="00BA24A1">
        <w:rPr>
          <w:rFonts w:ascii="Calibri" w:eastAsia="Calibri" w:hAnsi="Calibri"/>
          <w:b/>
          <w:sz w:val="24"/>
          <w:szCs w:val="24"/>
        </w:rPr>
        <w:t xml:space="preserve">také </w:t>
      </w:r>
      <w:r w:rsidRPr="003A5711">
        <w:rPr>
          <w:rFonts w:ascii="Calibri" w:eastAsia="Calibri" w:hAnsi="Calibri"/>
          <w:b/>
          <w:sz w:val="24"/>
          <w:szCs w:val="24"/>
        </w:rPr>
        <w:t xml:space="preserve">jednoznačně nevyplývá nárůst </w:t>
      </w:r>
      <w:r w:rsidR="0000208F">
        <w:rPr>
          <w:rFonts w:ascii="Calibri" w:eastAsia="Calibri" w:hAnsi="Calibri"/>
          <w:b/>
          <w:sz w:val="24"/>
          <w:szCs w:val="24"/>
        </w:rPr>
        <w:t xml:space="preserve">činnosti </w:t>
      </w:r>
      <w:r w:rsidR="00BA24A1">
        <w:rPr>
          <w:rFonts w:ascii="Calibri" w:eastAsia="Calibri" w:hAnsi="Calibri"/>
          <w:b/>
          <w:sz w:val="24"/>
          <w:szCs w:val="24"/>
        </w:rPr>
        <w:t xml:space="preserve">GIBS. </w:t>
      </w:r>
      <w:r w:rsidR="002E1310" w:rsidRPr="002E1310">
        <w:rPr>
          <w:rFonts w:ascii="Calibri" w:eastAsia="Calibri" w:hAnsi="Calibri" w:cs="Calibri"/>
          <w:b/>
          <w:sz w:val="24"/>
          <w:szCs w:val="24"/>
        </w:rPr>
        <w:t>NKÚ vyhodnotil, že GIBS navýšení výdajů ve výši 69,6 mil. Kč dle usnesení vlády č. 148/2017 nevynaložila zcela účelně.</w:t>
      </w:r>
    </w:p>
    <w:p w14:paraId="78287405" w14:textId="77777777" w:rsidR="003A5711" w:rsidRPr="003A5711" w:rsidRDefault="003A5711" w:rsidP="006B5240">
      <w:pPr>
        <w:keepNext/>
        <w:spacing w:after="120" w:line="264" w:lineRule="auto"/>
        <w:ind w:left="425" w:hanging="425"/>
        <w:outlineLvl w:val="2"/>
        <w:rPr>
          <w:rFonts w:cs="Calibri"/>
          <w:b/>
          <w:sz w:val="24"/>
          <w:szCs w:val="24"/>
        </w:rPr>
      </w:pPr>
      <w:r w:rsidRPr="003A5711">
        <w:rPr>
          <w:rFonts w:cs="Calibri"/>
          <w:b/>
          <w:sz w:val="24"/>
          <w:szCs w:val="24"/>
        </w:rPr>
        <w:t xml:space="preserve">1.2 </w:t>
      </w:r>
      <w:r w:rsidRPr="003A5711">
        <w:rPr>
          <w:rFonts w:cs="Calibri"/>
          <w:b/>
          <w:sz w:val="24"/>
          <w:szCs w:val="24"/>
        </w:rPr>
        <w:tab/>
        <w:t xml:space="preserve">GIBS část prostředků určených pro nově systemizovaná místa použila na odměny </w:t>
      </w:r>
      <w:r w:rsidRPr="003A5711">
        <w:rPr>
          <w:rFonts w:cs="Calibri"/>
          <w:b/>
          <w:sz w:val="24"/>
          <w:szCs w:val="24"/>
        </w:rPr>
        <w:br/>
        <w:t>pro stávající příslušníky a zaměstnance</w:t>
      </w:r>
    </w:p>
    <w:p w14:paraId="0945BBF6" w14:textId="5F1C5D7A" w:rsidR="00BA24A1" w:rsidRDefault="003A5711" w:rsidP="004F15E2">
      <w:pPr>
        <w:spacing w:after="120" w:line="264" w:lineRule="auto"/>
        <w:jc w:val="both"/>
        <w:rPr>
          <w:rFonts w:ascii="Calibri" w:eastAsia="Calibri" w:hAnsi="Calibri"/>
          <w:bCs/>
          <w:sz w:val="24"/>
          <w:szCs w:val="24"/>
        </w:rPr>
      </w:pPr>
      <w:r w:rsidRPr="003A5711">
        <w:rPr>
          <w:rFonts w:ascii="Calibri" w:eastAsia="Calibri" w:hAnsi="Calibri"/>
          <w:bCs/>
          <w:sz w:val="24"/>
          <w:szCs w:val="24"/>
        </w:rPr>
        <w:t>Čerpání výdajů GIBS v roce 2017 bylo o 92 42</w:t>
      </w:r>
      <w:r w:rsidR="00506A6E">
        <w:rPr>
          <w:rFonts w:ascii="Calibri" w:eastAsia="Calibri" w:hAnsi="Calibri"/>
          <w:bCs/>
          <w:sz w:val="24"/>
          <w:szCs w:val="24"/>
        </w:rPr>
        <w:t>1</w:t>
      </w:r>
      <w:r w:rsidRPr="003A5711">
        <w:rPr>
          <w:rFonts w:ascii="Calibri" w:eastAsia="Calibri" w:hAnsi="Calibri"/>
          <w:bCs/>
          <w:sz w:val="24"/>
          <w:szCs w:val="24"/>
        </w:rPr>
        <w:t xml:space="preserve"> tis. Kč (33 %) vyšší než v roce 2016. Důvodem bylo i navýšení peněžních prostředků státu dle </w:t>
      </w:r>
      <w:r w:rsidRPr="003A5711">
        <w:rPr>
          <w:rFonts w:ascii="Calibri" w:hAnsi="Calibri" w:cs="Calibri"/>
          <w:sz w:val="24"/>
          <w:szCs w:val="24"/>
        </w:rPr>
        <w:t>usnesení vlády č. 148/2017</w:t>
      </w:r>
      <w:r w:rsidRPr="003A5711">
        <w:rPr>
          <w:rFonts w:ascii="Calibri" w:eastAsia="Calibri" w:hAnsi="Calibri"/>
          <w:bCs/>
          <w:sz w:val="24"/>
          <w:szCs w:val="24"/>
        </w:rPr>
        <w:t xml:space="preserve">, kterým došlo k posílení rozpočtu GIBS o 69 648 tis. Kč. </w:t>
      </w:r>
      <w:r w:rsidR="009E5A39">
        <w:rPr>
          <w:rFonts w:ascii="Calibri" w:eastAsia="Calibri" w:hAnsi="Calibri"/>
          <w:bCs/>
          <w:sz w:val="24"/>
          <w:szCs w:val="24"/>
        </w:rPr>
        <w:t>Prostředky měly být dle předkládací zprávy tohoto usnesení použity mj. na platy pro nové příslušníky a zaměstnance GIBS a na navýšení průměrných platů stávajících příslušníků a zaměstnanců GIBS. NKÚ zjistil, že prostředky ve výši 16 594 tis. Kč pro nově systemizovaná místa</w:t>
      </w:r>
      <w:r w:rsidR="00702E43">
        <w:rPr>
          <w:rFonts w:ascii="Calibri" w:eastAsia="Calibri" w:hAnsi="Calibri"/>
          <w:bCs/>
          <w:sz w:val="24"/>
          <w:szCs w:val="24"/>
        </w:rPr>
        <w:t xml:space="preserve"> </w:t>
      </w:r>
      <w:r w:rsidR="009E5A39">
        <w:rPr>
          <w:rFonts w:ascii="Calibri" w:eastAsia="Calibri" w:hAnsi="Calibri"/>
          <w:bCs/>
          <w:sz w:val="24"/>
          <w:szCs w:val="24"/>
        </w:rPr>
        <w:t>použila GIBS na odměny pro stávající příslušníky a zaměstnance GIBS. GIBS navýšila odměny příslušníků a zaměstnanců GIBS v roce 2017 oproti roku 2016 o 102 % (</w:t>
      </w:r>
      <w:r w:rsidR="00702E43">
        <w:rPr>
          <w:rFonts w:ascii="Calibri" w:eastAsia="Calibri" w:hAnsi="Calibri"/>
          <w:bCs/>
          <w:sz w:val="24"/>
          <w:szCs w:val="24"/>
        </w:rPr>
        <w:t xml:space="preserve">viz </w:t>
      </w:r>
      <w:r w:rsidR="009E5A39">
        <w:rPr>
          <w:rFonts w:ascii="Calibri" w:eastAsia="Calibri" w:hAnsi="Calibri"/>
          <w:bCs/>
          <w:sz w:val="24"/>
          <w:szCs w:val="24"/>
        </w:rPr>
        <w:t>tabulka č. 4). Účelově určené prostředky tak GIBS nevyužila ke stanovenému účelu a hospodárně.</w:t>
      </w:r>
    </w:p>
    <w:p w14:paraId="3B27233C" w14:textId="5E3AFC64" w:rsidR="003A5711" w:rsidRPr="009D44A3" w:rsidRDefault="003A5711" w:rsidP="009D44A3">
      <w:pPr>
        <w:tabs>
          <w:tab w:val="right" w:pos="9072"/>
        </w:tabs>
        <w:spacing w:after="40"/>
        <w:rPr>
          <w:rFonts w:ascii="Calibri" w:eastAsia="Calibri" w:hAnsi="Calibri"/>
          <w:b/>
          <w:sz w:val="24"/>
          <w:szCs w:val="24"/>
        </w:rPr>
      </w:pPr>
      <w:r w:rsidRPr="009D44A3">
        <w:rPr>
          <w:rFonts w:ascii="Calibri" w:eastAsia="Calibri" w:hAnsi="Calibri"/>
          <w:b/>
          <w:sz w:val="24"/>
          <w:szCs w:val="24"/>
        </w:rPr>
        <w:t>Tabulka č. 4: Odměny příslušníků a zaměstnanců GIBS za roky 2012</w:t>
      </w:r>
      <w:r w:rsidR="00702E43">
        <w:rPr>
          <w:rFonts w:ascii="Calibri" w:eastAsia="Calibri" w:hAnsi="Calibri"/>
          <w:b/>
          <w:sz w:val="24"/>
          <w:szCs w:val="24"/>
        </w:rPr>
        <w:t>–</w:t>
      </w:r>
      <w:r w:rsidRPr="009D44A3">
        <w:rPr>
          <w:rFonts w:ascii="Calibri" w:eastAsia="Calibri" w:hAnsi="Calibri"/>
          <w:b/>
          <w:sz w:val="24"/>
          <w:szCs w:val="24"/>
        </w:rPr>
        <w:t xml:space="preserve">2020 </w:t>
      </w:r>
      <w:r w:rsidR="009D44A3">
        <w:rPr>
          <w:rFonts w:ascii="Calibri" w:eastAsia="Calibri" w:hAnsi="Calibri"/>
          <w:b/>
          <w:sz w:val="24"/>
          <w:szCs w:val="24"/>
        </w:rPr>
        <w:tab/>
      </w:r>
      <w:r w:rsidRPr="009D44A3">
        <w:rPr>
          <w:rFonts w:ascii="Calibri" w:eastAsia="Calibri" w:hAnsi="Calibri"/>
          <w:b/>
          <w:sz w:val="24"/>
          <w:szCs w:val="24"/>
        </w:rPr>
        <w:t>(v tis. Kč)</w:t>
      </w:r>
    </w:p>
    <w:tbl>
      <w:tblPr>
        <w:tblStyle w:val="Mkatabulky1811"/>
        <w:tblW w:w="9153"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268"/>
        <w:gridCol w:w="765"/>
        <w:gridCol w:w="765"/>
        <w:gridCol w:w="765"/>
        <w:gridCol w:w="765"/>
        <w:gridCol w:w="765"/>
        <w:gridCol w:w="765"/>
        <w:gridCol w:w="765"/>
        <w:gridCol w:w="765"/>
        <w:gridCol w:w="765"/>
      </w:tblGrid>
      <w:tr w:rsidR="003A5711" w:rsidRPr="009D44A3" w14:paraId="10FF84D8" w14:textId="77777777" w:rsidTr="006B5240">
        <w:trPr>
          <w:trHeight w:val="283"/>
          <w:jc w:val="center"/>
        </w:trPr>
        <w:tc>
          <w:tcPr>
            <w:tcW w:w="2268" w:type="dxa"/>
            <w:shd w:val="clear" w:color="auto" w:fill="E5F1FF"/>
            <w:vAlign w:val="center"/>
          </w:tcPr>
          <w:p w14:paraId="677F97B3" w14:textId="77777777" w:rsidR="003A5711" w:rsidRPr="009D44A3" w:rsidRDefault="003A5711" w:rsidP="009D44A3">
            <w:pPr>
              <w:jc w:val="center"/>
              <w:rPr>
                <w:rFonts w:cs="Calibri"/>
                <w:b/>
                <w:bCs/>
                <w:sz w:val="20"/>
                <w:szCs w:val="20"/>
                <w:lang w:eastAsia="cs-CZ"/>
              </w:rPr>
            </w:pPr>
            <w:r w:rsidRPr="009D44A3">
              <w:rPr>
                <w:rFonts w:cs="Calibri"/>
                <w:b/>
                <w:bCs/>
                <w:sz w:val="20"/>
                <w:szCs w:val="20"/>
              </w:rPr>
              <w:t>Rok</w:t>
            </w:r>
          </w:p>
        </w:tc>
        <w:tc>
          <w:tcPr>
            <w:tcW w:w="765" w:type="dxa"/>
            <w:shd w:val="clear" w:color="auto" w:fill="E5F1FF"/>
            <w:vAlign w:val="center"/>
          </w:tcPr>
          <w:p w14:paraId="24EBA53D" w14:textId="77777777" w:rsidR="003A5711" w:rsidRPr="009D44A3" w:rsidRDefault="003A5711" w:rsidP="009D44A3">
            <w:pPr>
              <w:jc w:val="center"/>
              <w:rPr>
                <w:rFonts w:cs="Calibri"/>
                <w:b/>
                <w:bCs/>
                <w:sz w:val="20"/>
                <w:szCs w:val="20"/>
                <w:lang w:eastAsia="cs-CZ"/>
              </w:rPr>
            </w:pPr>
            <w:r w:rsidRPr="009D44A3">
              <w:rPr>
                <w:rFonts w:cs="Calibri"/>
                <w:b/>
                <w:bCs/>
                <w:sz w:val="20"/>
                <w:szCs w:val="20"/>
              </w:rPr>
              <w:t>2012</w:t>
            </w:r>
          </w:p>
        </w:tc>
        <w:tc>
          <w:tcPr>
            <w:tcW w:w="765" w:type="dxa"/>
            <w:shd w:val="clear" w:color="auto" w:fill="E5F1FF"/>
            <w:noWrap/>
            <w:vAlign w:val="center"/>
            <w:hideMark/>
          </w:tcPr>
          <w:p w14:paraId="7F2EEE9F"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2013</w:t>
            </w:r>
          </w:p>
        </w:tc>
        <w:tc>
          <w:tcPr>
            <w:tcW w:w="765" w:type="dxa"/>
            <w:shd w:val="clear" w:color="auto" w:fill="E5F1FF"/>
            <w:noWrap/>
            <w:vAlign w:val="center"/>
            <w:hideMark/>
          </w:tcPr>
          <w:p w14:paraId="46854552"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2014</w:t>
            </w:r>
          </w:p>
        </w:tc>
        <w:tc>
          <w:tcPr>
            <w:tcW w:w="765" w:type="dxa"/>
            <w:shd w:val="clear" w:color="auto" w:fill="E5F1FF"/>
            <w:noWrap/>
            <w:vAlign w:val="center"/>
            <w:hideMark/>
          </w:tcPr>
          <w:p w14:paraId="01C12280"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2015</w:t>
            </w:r>
          </w:p>
        </w:tc>
        <w:tc>
          <w:tcPr>
            <w:tcW w:w="765" w:type="dxa"/>
            <w:shd w:val="clear" w:color="auto" w:fill="E5F1FF"/>
            <w:noWrap/>
            <w:vAlign w:val="center"/>
            <w:hideMark/>
          </w:tcPr>
          <w:p w14:paraId="69553574"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2016</w:t>
            </w:r>
          </w:p>
        </w:tc>
        <w:tc>
          <w:tcPr>
            <w:tcW w:w="765" w:type="dxa"/>
            <w:shd w:val="clear" w:color="auto" w:fill="E5F1FF"/>
            <w:noWrap/>
            <w:vAlign w:val="center"/>
            <w:hideMark/>
          </w:tcPr>
          <w:p w14:paraId="04F0A2C0"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2017</w:t>
            </w:r>
          </w:p>
        </w:tc>
        <w:tc>
          <w:tcPr>
            <w:tcW w:w="765" w:type="dxa"/>
            <w:shd w:val="clear" w:color="auto" w:fill="E5F1FF"/>
            <w:noWrap/>
            <w:vAlign w:val="center"/>
            <w:hideMark/>
          </w:tcPr>
          <w:p w14:paraId="1EA050AE"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2018</w:t>
            </w:r>
          </w:p>
        </w:tc>
        <w:tc>
          <w:tcPr>
            <w:tcW w:w="765" w:type="dxa"/>
            <w:shd w:val="clear" w:color="auto" w:fill="E5F1FF"/>
            <w:noWrap/>
            <w:vAlign w:val="center"/>
            <w:hideMark/>
          </w:tcPr>
          <w:p w14:paraId="0743EE25"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2019</w:t>
            </w:r>
          </w:p>
        </w:tc>
        <w:tc>
          <w:tcPr>
            <w:tcW w:w="765" w:type="dxa"/>
            <w:shd w:val="clear" w:color="auto" w:fill="E5F1FF"/>
            <w:noWrap/>
            <w:vAlign w:val="center"/>
            <w:hideMark/>
          </w:tcPr>
          <w:p w14:paraId="5413A721" w14:textId="77777777" w:rsidR="003A5711" w:rsidRPr="009D44A3" w:rsidRDefault="003A5711" w:rsidP="009D44A3">
            <w:pPr>
              <w:jc w:val="center"/>
              <w:rPr>
                <w:rFonts w:cs="Calibri"/>
                <w:b/>
                <w:bCs/>
                <w:sz w:val="20"/>
                <w:szCs w:val="20"/>
                <w:lang w:eastAsia="cs-CZ"/>
              </w:rPr>
            </w:pPr>
            <w:r w:rsidRPr="009D44A3">
              <w:rPr>
                <w:rFonts w:cs="Calibri"/>
                <w:b/>
                <w:bCs/>
                <w:sz w:val="20"/>
                <w:szCs w:val="20"/>
                <w:lang w:eastAsia="cs-CZ"/>
              </w:rPr>
              <w:t>2020</w:t>
            </w:r>
          </w:p>
        </w:tc>
      </w:tr>
      <w:tr w:rsidR="003A5711" w:rsidRPr="009D44A3" w14:paraId="635EB243" w14:textId="77777777" w:rsidTr="006B5240">
        <w:trPr>
          <w:trHeight w:val="283"/>
          <w:jc w:val="center"/>
        </w:trPr>
        <w:tc>
          <w:tcPr>
            <w:tcW w:w="2268" w:type="dxa"/>
            <w:vAlign w:val="center"/>
          </w:tcPr>
          <w:p w14:paraId="3597FC81" w14:textId="77777777" w:rsidR="003A5711" w:rsidRPr="009D44A3" w:rsidRDefault="003A5711" w:rsidP="009D44A3">
            <w:pPr>
              <w:jc w:val="left"/>
              <w:rPr>
                <w:rFonts w:cs="Calibri"/>
                <w:sz w:val="20"/>
                <w:szCs w:val="20"/>
                <w:lang w:eastAsia="cs-CZ"/>
              </w:rPr>
            </w:pPr>
            <w:r w:rsidRPr="009D44A3">
              <w:rPr>
                <w:rFonts w:cs="Calibri"/>
                <w:bCs/>
                <w:sz w:val="20"/>
                <w:szCs w:val="20"/>
              </w:rPr>
              <w:t>Příslušníci kázeňské</w:t>
            </w:r>
            <w:r w:rsidRPr="009D44A3">
              <w:rPr>
                <w:rFonts w:cs="Calibri"/>
                <w:color w:val="4D5156"/>
                <w:sz w:val="20"/>
                <w:szCs w:val="20"/>
                <w:shd w:val="clear" w:color="auto" w:fill="FFFFFF"/>
              </w:rPr>
              <w:t>*</w:t>
            </w:r>
          </w:p>
        </w:tc>
        <w:tc>
          <w:tcPr>
            <w:tcW w:w="765" w:type="dxa"/>
            <w:vAlign w:val="center"/>
          </w:tcPr>
          <w:p w14:paraId="22BEB6E2" w14:textId="77777777" w:rsidR="003A5711" w:rsidRPr="009D44A3" w:rsidRDefault="003A5711" w:rsidP="009D44A3">
            <w:pPr>
              <w:ind w:right="28"/>
              <w:jc w:val="right"/>
              <w:rPr>
                <w:rFonts w:cs="Calibri"/>
                <w:sz w:val="18"/>
                <w:szCs w:val="20"/>
                <w:lang w:eastAsia="cs-CZ"/>
              </w:rPr>
            </w:pPr>
            <w:r w:rsidRPr="009D44A3">
              <w:rPr>
                <w:rFonts w:cs="Calibri"/>
                <w:sz w:val="18"/>
                <w:szCs w:val="20"/>
              </w:rPr>
              <w:t>1 234</w:t>
            </w:r>
          </w:p>
        </w:tc>
        <w:tc>
          <w:tcPr>
            <w:tcW w:w="765" w:type="dxa"/>
            <w:noWrap/>
            <w:vAlign w:val="center"/>
            <w:hideMark/>
          </w:tcPr>
          <w:p w14:paraId="097AC3A9"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1 234</w:t>
            </w:r>
          </w:p>
        </w:tc>
        <w:tc>
          <w:tcPr>
            <w:tcW w:w="765" w:type="dxa"/>
            <w:noWrap/>
            <w:vAlign w:val="center"/>
            <w:hideMark/>
          </w:tcPr>
          <w:p w14:paraId="45B0EFC7"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1 234</w:t>
            </w:r>
          </w:p>
        </w:tc>
        <w:tc>
          <w:tcPr>
            <w:tcW w:w="765" w:type="dxa"/>
            <w:noWrap/>
            <w:vAlign w:val="center"/>
            <w:hideMark/>
          </w:tcPr>
          <w:p w14:paraId="2FEB86C7"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1 218</w:t>
            </w:r>
          </w:p>
        </w:tc>
        <w:tc>
          <w:tcPr>
            <w:tcW w:w="765" w:type="dxa"/>
            <w:noWrap/>
            <w:vAlign w:val="center"/>
            <w:hideMark/>
          </w:tcPr>
          <w:p w14:paraId="799E3FD4"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1 234</w:t>
            </w:r>
          </w:p>
        </w:tc>
        <w:tc>
          <w:tcPr>
            <w:tcW w:w="765" w:type="dxa"/>
            <w:noWrap/>
            <w:vAlign w:val="center"/>
            <w:hideMark/>
          </w:tcPr>
          <w:p w14:paraId="4703A96B"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1 234</w:t>
            </w:r>
          </w:p>
        </w:tc>
        <w:tc>
          <w:tcPr>
            <w:tcW w:w="765" w:type="dxa"/>
            <w:noWrap/>
            <w:vAlign w:val="center"/>
            <w:hideMark/>
          </w:tcPr>
          <w:p w14:paraId="72873C05"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1 234</w:t>
            </w:r>
          </w:p>
        </w:tc>
        <w:tc>
          <w:tcPr>
            <w:tcW w:w="765" w:type="dxa"/>
            <w:noWrap/>
            <w:vAlign w:val="center"/>
            <w:hideMark/>
          </w:tcPr>
          <w:p w14:paraId="491676F7"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1 234</w:t>
            </w:r>
          </w:p>
        </w:tc>
        <w:tc>
          <w:tcPr>
            <w:tcW w:w="765" w:type="dxa"/>
            <w:noWrap/>
            <w:vAlign w:val="center"/>
            <w:hideMark/>
          </w:tcPr>
          <w:p w14:paraId="7DDEB1FA"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1 234</w:t>
            </w:r>
          </w:p>
        </w:tc>
      </w:tr>
      <w:tr w:rsidR="003A5711" w:rsidRPr="009D44A3" w14:paraId="7DEC6409" w14:textId="77777777" w:rsidTr="006B5240">
        <w:trPr>
          <w:trHeight w:val="283"/>
          <w:jc w:val="center"/>
        </w:trPr>
        <w:tc>
          <w:tcPr>
            <w:tcW w:w="2268" w:type="dxa"/>
            <w:vAlign w:val="center"/>
          </w:tcPr>
          <w:p w14:paraId="42E9AAA7" w14:textId="7239F773" w:rsidR="003A5711" w:rsidRPr="009D44A3" w:rsidRDefault="003A5711" w:rsidP="006B5240">
            <w:pPr>
              <w:jc w:val="left"/>
              <w:rPr>
                <w:rFonts w:cs="Calibri"/>
                <w:sz w:val="20"/>
                <w:szCs w:val="20"/>
                <w:lang w:eastAsia="cs-CZ"/>
              </w:rPr>
            </w:pPr>
            <w:r w:rsidRPr="009D44A3">
              <w:rPr>
                <w:rFonts w:cs="Calibri"/>
                <w:bCs/>
                <w:sz w:val="20"/>
                <w:szCs w:val="20"/>
              </w:rPr>
              <w:t>Příslušníci pracovní</w:t>
            </w:r>
            <w:r w:rsidRPr="009D44A3">
              <w:rPr>
                <w:rFonts w:cs="Calibri"/>
                <w:color w:val="4D5156"/>
                <w:sz w:val="20"/>
                <w:szCs w:val="20"/>
                <w:shd w:val="clear" w:color="auto" w:fill="FFFFFF"/>
              </w:rPr>
              <w:t>**</w:t>
            </w:r>
          </w:p>
        </w:tc>
        <w:tc>
          <w:tcPr>
            <w:tcW w:w="765" w:type="dxa"/>
            <w:vAlign w:val="center"/>
          </w:tcPr>
          <w:p w14:paraId="19449B3E" w14:textId="77777777" w:rsidR="003A5711" w:rsidRPr="009D44A3" w:rsidRDefault="003A5711" w:rsidP="009D44A3">
            <w:pPr>
              <w:ind w:right="28"/>
              <w:jc w:val="right"/>
              <w:rPr>
                <w:rFonts w:cs="Calibri"/>
                <w:sz w:val="18"/>
                <w:szCs w:val="20"/>
                <w:lang w:eastAsia="cs-CZ"/>
              </w:rPr>
            </w:pPr>
            <w:r w:rsidRPr="009D44A3">
              <w:rPr>
                <w:rFonts w:cs="Calibri"/>
                <w:sz w:val="18"/>
                <w:szCs w:val="20"/>
              </w:rPr>
              <w:t>15 779</w:t>
            </w:r>
          </w:p>
        </w:tc>
        <w:tc>
          <w:tcPr>
            <w:tcW w:w="765" w:type="dxa"/>
            <w:noWrap/>
            <w:vAlign w:val="center"/>
            <w:hideMark/>
          </w:tcPr>
          <w:p w14:paraId="78045371"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11 729</w:t>
            </w:r>
          </w:p>
        </w:tc>
        <w:tc>
          <w:tcPr>
            <w:tcW w:w="765" w:type="dxa"/>
            <w:noWrap/>
            <w:vAlign w:val="center"/>
            <w:hideMark/>
          </w:tcPr>
          <w:p w14:paraId="5901FF8C"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13 970</w:t>
            </w:r>
          </w:p>
        </w:tc>
        <w:tc>
          <w:tcPr>
            <w:tcW w:w="765" w:type="dxa"/>
            <w:noWrap/>
            <w:vAlign w:val="center"/>
            <w:hideMark/>
          </w:tcPr>
          <w:p w14:paraId="3CB59479"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10 849</w:t>
            </w:r>
          </w:p>
        </w:tc>
        <w:tc>
          <w:tcPr>
            <w:tcW w:w="765" w:type="dxa"/>
            <w:noWrap/>
            <w:vAlign w:val="center"/>
            <w:hideMark/>
          </w:tcPr>
          <w:p w14:paraId="1D0DAE0A"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13 863</w:t>
            </w:r>
          </w:p>
        </w:tc>
        <w:tc>
          <w:tcPr>
            <w:tcW w:w="765" w:type="dxa"/>
            <w:noWrap/>
            <w:vAlign w:val="center"/>
            <w:hideMark/>
          </w:tcPr>
          <w:p w14:paraId="30DA856F"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30 662</w:t>
            </w:r>
          </w:p>
        </w:tc>
        <w:tc>
          <w:tcPr>
            <w:tcW w:w="765" w:type="dxa"/>
            <w:noWrap/>
            <w:vAlign w:val="center"/>
            <w:hideMark/>
          </w:tcPr>
          <w:p w14:paraId="4A3DB7F5"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18 993</w:t>
            </w:r>
          </w:p>
        </w:tc>
        <w:tc>
          <w:tcPr>
            <w:tcW w:w="765" w:type="dxa"/>
            <w:noWrap/>
            <w:vAlign w:val="center"/>
            <w:hideMark/>
          </w:tcPr>
          <w:p w14:paraId="3CC71A88"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24 799</w:t>
            </w:r>
          </w:p>
        </w:tc>
        <w:tc>
          <w:tcPr>
            <w:tcW w:w="765" w:type="dxa"/>
            <w:noWrap/>
            <w:vAlign w:val="center"/>
            <w:hideMark/>
          </w:tcPr>
          <w:p w14:paraId="3D5195CB"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23 944</w:t>
            </w:r>
          </w:p>
        </w:tc>
      </w:tr>
      <w:tr w:rsidR="003A5711" w:rsidRPr="009D44A3" w14:paraId="54D28E12" w14:textId="77777777" w:rsidTr="006B5240">
        <w:trPr>
          <w:trHeight w:val="283"/>
          <w:jc w:val="center"/>
        </w:trPr>
        <w:tc>
          <w:tcPr>
            <w:tcW w:w="2268" w:type="dxa"/>
            <w:vAlign w:val="center"/>
          </w:tcPr>
          <w:p w14:paraId="70C69E8F" w14:textId="6342756C" w:rsidR="003A5711" w:rsidRPr="009D44A3" w:rsidRDefault="003A5711" w:rsidP="006B5240">
            <w:pPr>
              <w:jc w:val="left"/>
              <w:rPr>
                <w:rFonts w:cs="Calibri"/>
                <w:sz w:val="20"/>
                <w:szCs w:val="20"/>
                <w:lang w:eastAsia="cs-CZ"/>
              </w:rPr>
            </w:pPr>
            <w:r w:rsidRPr="009D44A3">
              <w:rPr>
                <w:rFonts w:cs="Calibri"/>
                <w:bCs/>
                <w:sz w:val="20"/>
                <w:szCs w:val="20"/>
              </w:rPr>
              <w:t>Občan. zam. pracovní</w:t>
            </w:r>
            <w:r w:rsidRPr="009D44A3">
              <w:rPr>
                <w:rFonts w:cs="Calibri"/>
                <w:color w:val="4D5156"/>
                <w:sz w:val="20"/>
                <w:szCs w:val="20"/>
                <w:shd w:val="clear" w:color="auto" w:fill="FFFFFF"/>
              </w:rPr>
              <w:t>***</w:t>
            </w:r>
          </w:p>
        </w:tc>
        <w:tc>
          <w:tcPr>
            <w:tcW w:w="765" w:type="dxa"/>
            <w:vAlign w:val="center"/>
          </w:tcPr>
          <w:p w14:paraId="0EBDC65E" w14:textId="77777777" w:rsidR="003A5711" w:rsidRPr="009D44A3" w:rsidRDefault="003A5711" w:rsidP="009D44A3">
            <w:pPr>
              <w:ind w:right="28"/>
              <w:jc w:val="right"/>
              <w:rPr>
                <w:rFonts w:cs="Calibri"/>
                <w:sz w:val="18"/>
                <w:szCs w:val="20"/>
                <w:lang w:eastAsia="cs-CZ"/>
              </w:rPr>
            </w:pPr>
            <w:r w:rsidRPr="009D44A3">
              <w:rPr>
                <w:rFonts w:cs="Calibri"/>
                <w:sz w:val="18"/>
                <w:szCs w:val="20"/>
              </w:rPr>
              <w:t>2 918</w:t>
            </w:r>
          </w:p>
        </w:tc>
        <w:tc>
          <w:tcPr>
            <w:tcW w:w="765" w:type="dxa"/>
            <w:noWrap/>
            <w:vAlign w:val="center"/>
            <w:hideMark/>
          </w:tcPr>
          <w:p w14:paraId="216FC5B6"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2 321</w:t>
            </w:r>
          </w:p>
        </w:tc>
        <w:tc>
          <w:tcPr>
            <w:tcW w:w="765" w:type="dxa"/>
            <w:noWrap/>
            <w:vAlign w:val="center"/>
            <w:hideMark/>
          </w:tcPr>
          <w:p w14:paraId="5800AE7C"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2 978</w:t>
            </w:r>
          </w:p>
        </w:tc>
        <w:tc>
          <w:tcPr>
            <w:tcW w:w="765" w:type="dxa"/>
            <w:noWrap/>
            <w:vAlign w:val="center"/>
            <w:hideMark/>
          </w:tcPr>
          <w:p w14:paraId="2D329CF2"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2 117</w:t>
            </w:r>
          </w:p>
        </w:tc>
        <w:tc>
          <w:tcPr>
            <w:tcW w:w="765" w:type="dxa"/>
            <w:noWrap/>
            <w:vAlign w:val="center"/>
            <w:hideMark/>
          </w:tcPr>
          <w:p w14:paraId="09BBB7D9"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2 427</w:t>
            </w:r>
          </w:p>
        </w:tc>
        <w:tc>
          <w:tcPr>
            <w:tcW w:w="765" w:type="dxa"/>
            <w:noWrap/>
            <w:vAlign w:val="center"/>
            <w:hideMark/>
          </w:tcPr>
          <w:p w14:paraId="0188C1B3"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3 548</w:t>
            </w:r>
          </w:p>
        </w:tc>
        <w:tc>
          <w:tcPr>
            <w:tcW w:w="765" w:type="dxa"/>
            <w:noWrap/>
            <w:vAlign w:val="center"/>
            <w:hideMark/>
          </w:tcPr>
          <w:p w14:paraId="767B968A"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2 545</w:t>
            </w:r>
          </w:p>
        </w:tc>
        <w:tc>
          <w:tcPr>
            <w:tcW w:w="765" w:type="dxa"/>
            <w:noWrap/>
            <w:vAlign w:val="center"/>
            <w:hideMark/>
          </w:tcPr>
          <w:p w14:paraId="7E4B13E8"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2 787</w:t>
            </w:r>
          </w:p>
        </w:tc>
        <w:tc>
          <w:tcPr>
            <w:tcW w:w="765" w:type="dxa"/>
            <w:noWrap/>
            <w:vAlign w:val="center"/>
            <w:hideMark/>
          </w:tcPr>
          <w:p w14:paraId="2147A6B1" w14:textId="77777777" w:rsidR="003A5711" w:rsidRPr="009D44A3" w:rsidRDefault="003A5711" w:rsidP="009D44A3">
            <w:pPr>
              <w:ind w:right="28"/>
              <w:jc w:val="right"/>
              <w:rPr>
                <w:rFonts w:cs="Calibri"/>
                <w:sz w:val="18"/>
                <w:szCs w:val="20"/>
                <w:lang w:eastAsia="cs-CZ"/>
              </w:rPr>
            </w:pPr>
            <w:r w:rsidRPr="009D44A3">
              <w:rPr>
                <w:rFonts w:cs="Calibri"/>
                <w:sz w:val="18"/>
                <w:szCs w:val="20"/>
                <w:lang w:eastAsia="cs-CZ"/>
              </w:rPr>
              <w:t>4 170</w:t>
            </w:r>
          </w:p>
        </w:tc>
      </w:tr>
      <w:tr w:rsidR="003A5711" w:rsidRPr="009D44A3" w14:paraId="649176C3" w14:textId="77777777" w:rsidTr="006B5240">
        <w:trPr>
          <w:trHeight w:val="283"/>
          <w:jc w:val="center"/>
        </w:trPr>
        <w:tc>
          <w:tcPr>
            <w:tcW w:w="2268" w:type="dxa"/>
            <w:shd w:val="clear" w:color="auto" w:fill="auto"/>
            <w:vAlign w:val="center"/>
          </w:tcPr>
          <w:p w14:paraId="2CA1241A" w14:textId="77777777" w:rsidR="003A5711" w:rsidRPr="009D44A3" w:rsidRDefault="003A5711" w:rsidP="009D44A3">
            <w:pPr>
              <w:jc w:val="left"/>
              <w:rPr>
                <w:rFonts w:cs="Calibri"/>
                <w:b/>
                <w:sz w:val="20"/>
                <w:szCs w:val="20"/>
                <w:lang w:eastAsia="cs-CZ"/>
              </w:rPr>
            </w:pPr>
            <w:r w:rsidRPr="009D44A3">
              <w:rPr>
                <w:rFonts w:cs="Calibri"/>
                <w:b/>
                <w:sz w:val="20"/>
                <w:szCs w:val="20"/>
                <w:lang w:eastAsia="cs-CZ"/>
              </w:rPr>
              <w:t>Celkem</w:t>
            </w:r>
          </w:p>
        </w:tc>
        <w:tc>
          <w:tcPr>
            <w:tcW w:w="765" w:type="dxa"/>
            <w:shd w:val="clear" w:color="auto" w:fill="auto"/>
            <w:vAlign w:val="center"/>
          </w:tcPr>
          <w:p w14:paraId="3CF2D1F0" w14:textId="77777777" w:rsidR="003A5711" w:rsidRPr="009D44A3" w:rsidRDefault="003A5711" w:rsidP="009D44A3">
            <w:pPr>
              <w:ind w:right="28"/>
              <w:jc w:val="right"/>
              <w:rPr>
                <w:rFonts w:cs="Calibri"/>
                <w:b/>
                <w:sz w:val="18"/>
                <w:szCs w:val="20"/>
              </w:rPr>
            </w:pPr>
            <w:r w:rsidRPr="009D44A3">
              <w:rPr>
                <w:rFonts w:cs="Calibri"/>
                <w:b/>
                <w:sz w:val="18"/>
                <w:szCs w:val="20"/>
              </w:rPr>
              <w:t>19 932</w:t>
            </w:r>
          </w:p>
        </w:tc>
        <w:tc>
          <w:tcPr>
            <w:tcW w:w="765" w:type="dxa"/>
            <w:shd w:val="clear" w:color="auto" w:fill="auto"/>
            <w:noWrap/>
            <w:vAlign w:val="center"/>
            <w:hideMark/>
          </w:tcPr>
          <w:p w14:paraId="4A6CAB85"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15 283</w:t>
            </w:r>
          </w:p>
        </w:tc>
        <w:tc>
          <w:tcPr>
            <w:tcW w:w="765" w:type="dxa"/>
            <w:shd w:val="clear" w:color="auto" w:fill="auto"/>
            <w:noWrap/>
            <w:vAlign w:val="center"/>
            <w:hideMark/>
          </w:tcPr>
          <w:p w14:paraId="45FCE429"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18 182</w:t>
            </w:r>
          </w:p>
        </w:tc>
        <w:tc>
          <w:tcPr>
            <w:tcW w:w="765" w:type="dxa"/>
            <w:shd w:val="clear" w:color="auto" w:fill="auto"/>
            <w:noWrap/>
            <w:vAlign w:val="center"/>
            <w:hideMark/>
          </w:tcPr>
          <w:p w14:paraId="11C9C061"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14 184</w:t>
            </w:r>
          </w:p>
        </w:tc>
        <w:tc>
          <w:tcPr>
            <w:tcW w:w="765" w:type="dxa"/>
            <w:shd w:val="clear" w:color="auto" w:fill="auto"/>
            <w:noWrap/>
            <w:vAlign w:val="center"/>
            <w:hideMark/>
          </w:tcPr>
          <w:p w14:paraId="03E607A8"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17 524</w:t>
            </w:r>
          </w:p>
        </w:tc>
        <w:tc>
          <w:tcPr>
            <w:tcW w:w="765" w:type="dxa"/>
            <w:shd w:val="clear" w:color="auto" w:fill="auto"/>
            <w:noWrap/>
            <w:vAlign w:val="center"/>
            <w:hideMark/>
          </w:tcPr>
          <w:p w14:paraId="2AC07746"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35 444</w:t>
            </w:r>
          </w:p>
        </w:tc>
        <w:tc>
          <w:tcPr>
            <w:tcW w:w="765" w:type="dxa"/>
            <w:shd w:val="clear" w:color="auto" w:fill="auto"/>
            <w:noWrap/>
            <w:vAlign w:val="center"/>
            <w:hideMark/>
          </w:tcPr>
          <w:p w14:paraId="34AC7798"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22 772</w:t>
            </w:r>
          </w:p>
        </w:tc>
        <w:tc>
          <w:tcPr>
            <w:tcW w:w="765" w:type="dxa"/>
            <w:shd w:val="clear" w:color="auto" w:fill="auto"/>
            <w:noWrap/>
            <w:vAlign w:val="center"/>
            <w:hideMark/>
          </w:tcPr>
          <w:p w14:paraId="5774E0C7"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28 820</w:t>
            </w:r>
          </w:p>
        </w:tc>
        <w:tc>
          <w:tcPr>
            <w:tcW w:w="765" w:type="dxa"/>
            <w:shd w:val="clear" w:color="auto" w:fill="auto"/>
            <w:noWrap/>
            <w:vAlign w:val="center"/>
            <w:hideMark/>
          </w:tcPr>
          <w:p w14:paraId="39E014F9" w14:textId="77777777" w:rsidR="003A5711" w:rsidRPr="009D44A3" w:rsidRDefault="003A5711" w:rsidP="009D44A3">
            <w:pPr>
              <w:ind w:right="28"/>
              <w:jc w:val="right"/>
              <w:rPr>
                <w:rFonts w:cs="Calibri"/>
                <w:b/>
                <w:sz w:val="18"/>
                <w:szCs w:val="20"/>
                <w:lang w:eastAsia="cs-CZ"/>
              </w:rPr>
            </w:pPr>
            <w:r w:rsidRPr="009D44A3">
              <w:rPr>
                <w:rFonts w:cs="Calibri"/>
                <w:b/>
                <w:sz w:val="18"/>
                <w:szCs w:val="20"/>
                <w:lang w:eastAsia="cs-CZ"/>
              </w:rPr>
              <w:t>29 348</w:t>
            </w:r>
          </w:p>
        </w:tc>
      </w:tr>
    </w:tbl>
    <w:p w14:paraId="3B85FCAB" w14:textId="4475EB93" w:rsidR="003A5711" w:rsidRPr="003A5711" w:rsidRDefault="003A5711" w:rsidP="009D44A3">
      <w:pPr>
        <w:spacing w:before="40"/>
        <w:jc w:val="both"/>
        <w:rPr>
          <w:rFonts w:ascii="Calibri" w:eastAsia="Calibri" w:hAnsi="Calibri"/>
          <w:sz w:val="20"/>
        </w:rPr>
      </w:pPr>
      <w:r w:rsidRPr="00BD7050">
        <w:rPr>
          <w:rFonts w:ascii="Calibri" w:eastAsia="Calibri" w:hAnsi="Calibri"/>
          <w:b/>
          <w:sz w:val="20"/>
        </w:rPr>
        <w:t>Zdroj:</w:t>
      </w:r>
      <w:r w:rsidRPr="003A5711">
        <w:rPr>
          <w:rFonts w:ascii="Calibri" w:eastAsia="Calibri" w:hAnsi="Calibri"/>
          <w:sz w:val="20"/>
        </w:rPr>
        <w:t xml:space="preserve"> data GIBS</w:t>
      </w:r>
      <w:r w:rsidR="00235CC5">
        <w:rPr>
          <w:rFonts w:ascii="Calibri" w:eastAsia="Calibri" w:hAnsi="Calibri"/>
          <w:sz w:val="20"/>
        </w:rPr>
        <w:t>.</w:t>
      </w:r>
    </w:p>
    <w:p w14:paraId="1E3B0031" w14:textId="2D9DA098" w:rsidR="003A5711" w:rsidRPr="003A5711" w:rsidRDefault="003A5711" w:rsidP="006B5240">
      <w:pPr>
        <w:ind w:left="369" w:hanging="369"/>
        <w:jc w:val="both"/>
        <w:rPr>
          <w:rFonts w:eastAsia="Calibri"/>
          <w:sz w:val="20"/>
          <w:szCs w:val="20"/>
        </w:rPr>
      </w:pPr>
      <w:r w:rsidRPr="003A5711">
        <w:rPr>
          <w:rFonts w:eastAsia="Calibri" w:cs="Arial"/>
          <w:sz w:val="20"/>
          <w:szCs w:val="20"/>
          <w:shd w:val="clear" w:color="auto" w:fill="FFFFFF"/>
        </w:rPr>
        <w:t>*</w:t>
      </w:r>
      <w:r w:rsidRPr="003A5711">
        <w:rPr>
          <w:rFonts w:eastAsia="Calibri"/>
          <w:sz w:val="20"/>
          <w:szCs w:val="20"/>
        </w:rPr>
        <w:t xml:space="preserve"> </w:t>
      </w:r>
      <w:r w:rsidR="006B5240">
        <w:rPr>
          <w:rFonts w:eastAsia="Calibri"/>
          <w:sz w:val="20"/>
          <w:szCs w:val="20"/>
        </w:rPr>
        <w:tab/>
      </w:r>
      <w:r w:rsidRPr="003A5711">
        <w:rPr>
          <w:rFonts w:eastAsia="Calibri"/>
          <w:sz w:val="20"/>
          <w:szCs w:val="20"/>
        </w:rPr>
        <w:t xml:space="preserve">Odměny podle </w:t>
      </w:r>
      <w:r w:rsidR="00BD7050">
        <w:rPr>
          <w:rFonts w:eastAsia="Calibri"/>
          <w:sz w:val="20"/>
          <w:szCs w:val="20"/>
        </w:rPr>
        <w:t xml:space="preserve">ustanovení </w:t>
      </w:r>
      <w:r w:rsidRPr="003A5711">
        <w:rPr>
          <w:rFonts w:eastAsia="Calibri"/>
          <w:sz w:val="20"/>
          <w:szCs w:val="20"/>
        </w:rPr>
        <w:t>§ 49 zákona č. 361/2003 Sb.</w:t>
      </w:r>
      <w:r w:rsidR="00DB3485">
        <w:rPr>
          <w:rFonts w:eastAsia="Calibri"/>
          <w:sz w:val="20"/>
          <w:szCs w:val="20"/>
        </w:rPr>
        <w:t xml:space="preserve"> (</w:t>
      </w:r>
      <w:r w:rsidR="00DB3485" w:rsidRPr="00DB3485">
        <w:rPr>
          <w:rFonts w:eastAsia="Calibri"/>
          <w:sz w:val="20"/>
          <w:szCs w:val="20"/>
        </w:rPr>
        <w:t>za projevení osobní statečnosti nebo za splnění zvlášť významného služebního úkolu anebo za účelem ocenění příkladného plnění služebních povinností</w:t>
      </w:r>
      <w:r w:rsidR="00DB3485">
        <w:rPr>
          <w:rFonts w:eastAsia="Calibri"/>
          <w:sz w:val="20"/>
          <w:szCs w:val="20"/>
        </w:rPr>
        <w:t>)</w:t>
      </w:r>
      <w:r w:rsidR="00702E43">
        <w:rPr>
          <w:rFonts w:eastAsia="Calibri"/>
          <w:sz w:val="20"/>
          <w:szCs w:val="20"/>
        </w:rPr>
        <w:t>.</w:t>
      </w:r>
    </w:p>
    <w:p w14:paraId="588329FF" w14:textId="01A4C9E3" w:rsidR="003A5711" w:rsidRPr="0002026C" w:rsidRDefault="003A5711" w:rsidP="006B5240">
      <w:pPr>
        <w:ind w:left="369" w:hanging="369"/>
        <w:jc w:val="both"/>
      </w:pPr>
      <w:r w:rsidRPr="003A5711">
        <w:rPr>
          <w:rFonts w:cs="Arial"/>
          <w:sz w:val="20"/>
          <w:szCs w:val="20"/>
          <w:shd w:val="clear" w:color="auto" w:fill="FFFFFF"/>
        </w:rPr>
        <w:t xml:space="preserve">** </w:t>
      </w:r>
      <w:r w:rsidR="006B5240">
        <w:rPr>
          <w:rFonts w:cs="Arial"/>
          <w:sz w:val="20"/>
          <w:szCs w:val="20"/>
          <w:shd w:val="clear" w:color="auto" w:fill="FFFFFF"/>
        </w:rPr>
        <w:tab/>
      </w:r>
      <w:r w:rsidRPr="003A5711">
        <w:rPr>
          <w:rFonts w:cs="Arial"/>
          <w:sz w:val="20"/>
          <w:szCs w:val="20"/>
          <w:shd w:val="clear" w:color="auto" w:fill="FFFFFF"/>
        </w:rPr>
        <w:t xml:space="preserve">Odměny podle </w:t>
      </w:r>
      <w:r w:rsidR="00BD7050">
        <w:rPr>
          <w:rFonts w:cs="Arial"/>
          <w:sz w:val="20"/>
          <w:szCs w:val="20"/>
          <w:shd w:val="clear" w:color="auto" w:fill="FFFFFF"/>
        </w:rPr>
        <w:t xml:space="preserve">ustanovení </w:t>
      </w:r>
      <w:r w:rsidRPr="003A5711">
        <w:rPr>
          <w:rFonts w:cs="Arial"/>
          <w:sz w:val="20"/>
          <w:szCs w:val="20"/>
          <w:shd w:val="clear" w:color="auto" w:fill="FFFFFF"/>
        </w:rPr>
        <w:t>§ 123 zákona č. 361/2003 Sb.</w:t>
      </w:r>
      <w:r w:rsidR="0002026C" w:rsidRPr="0002026C">
        <w:rPr>
          <w:rFonts w:eastAsia="Calibri"/>
          <w:sz w:val="20"/>
          <w:szCs w:val="20"/>
        </w:rPr>
        <w:t xml:space="preserve"> (za splnění mimořádného nebo zvlášť významného služebního úkolu, splnění naléhavých služebních úkolů za nepřítomného příslušníka nebo dosavadní výkon služby při dovršení 50 let věku)</w:t>
      </w:r>
      <w:r w:rsidR="00702E43">
        <w:rPr>
          <w:rFonts w:eastAsia="Calibri"/>
          <w:sz w:val="20"/>
          <w:szCs w:val="20"/>
        </w:rPr>
        <w:t>.</w:t>
      </w:r>
    </w:p>
    <w:p w14:paraId="3AEEFF71" w14:textId="595FE073" w:rsidR="003A5711" w:rsidRPr="003A5711" w:rsidRDefault="003A5711" w:rsidP="006B5240">
      <w:pPr>
        <w:spacing w:after="120"/>
        <w:ind w:left="369" w:hanging="369"/>
        <w:jc w:val="both"/>
        <w:rPr>
          <w:rFonts w:cs="Arial"/>
          <w:sz w:val="20"/>
          <w:szCs w:val="20"/>
          <w:shd w:val="clear" w:color="auto" w:fill="FFFFFF"/>
        </w:rPr>
      </w:pPr>
      <w:r w:rsidRPr="003A5711">
        <w:rPr>
          <w:rFonts w:cs="Arial"/>
          <w:sz w:val="20"/>
          <w:szCs w:val="20"/>
          <w:shd w:val="clear" w:color="auto" w:fill="FFFFFF"/>
        </w:rPr>
        <w:t xml:space="preserve">*** </w:t>
      </w:r>
      <w:r w:rsidR="006B5240">
        <w:rPr>
          <w:rFonts w:cs="Arial"/>
          <w:sz w:val="20"/>
          <w:szCs w:val="20"/>
          <w:shd w:val="clear" w:color="auto" w:fill="FFFFFF"/>
        </w:rPr>
        <w:tab/>
      </w:r>
      <w:r w:rsidRPr="003A5711">
        <w:rPr>
          <w:rFonts w:cs="Arial"/>
          <w:sz w:val="20"/>
          <w:szCs w:val="20"/>
          <w:shd w:val="clear" w:color="auto" w:fill="FFFFFF"/>
        </w:rPr>
        <w:t xml:space="preserve">Odměny podle </w:t>
      </w:r>
      <w:r w:rsidR="00BD7050">
        <w:rPr>
          <w:rFonts w:cs="Arial"/>
          <w:sz w:val="20"/>
          <w:szCs w:val="20"/>
          <w:shd w:val="clear" w:color="auto" w:fill="FFFFFF"/>
        </w:rPr>
        <w:t xml:space="preserve">ustanovení </w:t>
      </w:r>
      <w:r w:rsidRPr="003A5711">
        <w:rPr>
          <w:rFonts w:cs="Arial"/>
          <w:sz w:val="20"/>
          <w:szCs w:val="20"/>
          <w:shd w:val="clear" w:color="auto" w:fill="FFFFFF"/>
        </w:rPr>
        <w:t>§ 134 zákona č. 262/2006 Sb.</w:t>
      </w:r>
      <w:r w:rsidR="0002026C">
        <w:rPr>
          <w:rFonts w:cs="Arial"/>
          <w:sz w:val="20"/>
          <w:szCs w:val="20"/>
          <w:shd w:val="clear" w:color="auto" w:fill="FFFFFF"/>
        </w:rPr>
        <w:t xml:space="preserve"> </w:t>
      </w:r>
      <w:r w:rsidR="0002026C" w:rsidRPr="0002026C">
        <w:rPr>
          <w:rFonts w:eastAsia="Calibri"/>
          <w:sz w:val="20"/>
          <w:szCs w:val="20"/>
        </w:rPr>
        <w:t>(</w:t>
      </w:r>
      <w:r w:rsidR="0002026C">
        <w:rPr>
          <w:rFonts w:eastAsia="Calibri"/>
          <w:sz w:val="20"/>
          <w:szCs w:val="20"/>
        </w:rPr>
        <w:t>z</w:t>
      </w:r>
      <w:r w:rsidR="0002026C" w:rsidRPr="0002026C">
        <w:rPr>
          <w:rFonts w:eastAsia="Calibri"/>
          <w:sz w:val="20"/>
          <w:szCs w:val="20"/>
        </w:rPr>
        <w:t>a úspěšné splnění mimořádného nebo zvlášť významného pracovního úkolu)</w:t>
      </w:r>
      <w:r w:rsidR="00702E43">
        <w:rPr>
          <w:rFonts w:eastAsia="Calibri"/>
          <w:sz w:val="20"/>
          <w:szCs w:val="20"/>
        </w:rPr>
        <w:t>.</w:t>
      </w:r>
    </w:p>
    <w:p w14:paraId="7DCA69CA" w14:textId="17F177D3" w:rsidR="003A5711" w:rsidRPr="003A5711" w:rsidRDefault="003A5711" w:rsidP="004F15E2">
      <w:pPr>
        <w:spacing w:after="120" w:line="264" w:lineRule="auto"/>
        <w:jc w:val="both"/>
        <w:rPr>
          <w:rFonts w:ascii="Calibri" w:eastAsia="Calibri" w:hAnsi="Calibri"/>
          <w:b/>
          <w:bCs/>
          <w:sz w:val="24"/>
          <w:szCs w:val="24"/>
        </w:rPr>
      </w:pPr>
      <w:r w:rsidRPr="003A5711">
        <w:rPr>
          <w:rFonts w:ascii="Calibri" w:eastAsia="Calibri" w:hAnsi="Calibri" w:cs="Calibri"/>
          <w:b/>
          <w:sz w:val="24"/>
          <w:szCs w:val="24"/>
        </w:rPr>
        <w:t xml:space="preserve">GIBS část peněžních prostředků státu </w:t>
      </w:r>
      <w:r w:rsidR="002340E8">
        <w:rPr>
          <w:rFonts w:ascii="Calibri" w:eastAsia="Calibri" w:hAnsi="Calibri" w:cs="Calibri"/>
          <w:b/>
          <w:sz w:val="24"/>
          <w:szCs w:val="24"/>
        </w:rPr>
        <w:t xml:space="preserve">určených </w:t>
      </w:r>
      <w:r w:rsidRPr="003A5711">
        <w:rPr>
          <w:rFonts w:ascii="Calibri" w:eastAsia="Calibri" w:hAnsi="Calibri" w:cs="Calibri"/>
          <w:b/>
          <w:sz w:val="24"/>
          <w:szCs w:val="24"/>
        </w:rPr>
        <w:t xml:space="preserve">na navýšení </w:t>
      </w:r>
      <w:r w:rsidR="00C33520">
        <w:rPr>
          <w:rFonts w:ascii="Calibri" w:eastAsia="Calibri" w:hAnsi="Calibri" w:cs="Calibri"/>
          <w:b/>
          <w:sz w:val="24"/>
          <w:szCs w:val="24"/>
        </w:rPr>
        <w:t xml:space="preserve">počtu </w:t>
      </w:r>
      <w:r w:rsidRPr="003A5711">
        <w:rPr>
          <w:rFonts w:ascii="Calibri" w:eastAsia="Calibri" w:hAnsi="Calibri" w:cs="Calibri"/>
          <w:b/>
          <w:sz w:val="24"/>
          <w:szCs w:val="24"/>
        </w:rPr>
        <w:t>systemizovaných míst</w:t>
      </w:r>
      <w:r w:rsidR="00930F74">
        <w:rPr>
          <w:rFonts w:ascii="Calibri" w:eastAsia="Calibri" w:hAnsi="Calibri" w:cs="Calibri"/>
          <w:b/>
          <w:sz w:val="24"/>
          <w:szCs w:val="24"/>
        </w:rPr>
        <w:t xml:space="preserve">, který byl stanoven </w:t>
      </w:r>
      <w:r w:rsidR="002340E8">
        <w:rPr>
          <w:rFonts w:ascii="Calibri" w:eastAsia="Calibri" w:hAnsi="Calibri" w:cs="Calibri"/>
          <w:b/>
          <w:sz w:val="24"/>
          <w:szCs w:val="24"/>
        </w:rPr>
        <w:t xml:space="preserve">jako cíl </w:t>
      </w:r>
      <w:r w:rsidR="00953DBA">
        <w:rPr>
          <w:rFonts w:ascii="Calibri" w:eastAsia="Calibri" w:hAnsi="Calibri"/>
          <w:b/>
          <w:sz w:val="24"/>
          <w:szCs w:val="24"/>
        </w:rPr>
        <w:t xml:space="preserve">v předkládací zprávě </w:t>
      </w:r>
      <w:r w:rsidR="001A4501">
        <w:rPr>
          <w:rFonts w:ascii="Calibri" w:eastAsia="Calibri" w:hAnsi="Calibri"/>
          <w:b/>
          <w:sz w:val="24"/>
          <w:szCs w:val="24"/>
        </w:rPr>
        <w:t>k </w:t>
      </w:r>
      <w:r w:rsidR="00E94376" w:rsidRPr="003A5711">
        <w:rPr>
          <w:rFonts w:ascii="Calibri" w:hAnsi="Calibri" w:cs="Calibri"/>
          <w:b/>
          <w:sz w:val="24"/>
          <w:szCs w:val="24"/>
        </w:rPr>
        <w:t>usnesení vlády č. 148/2017</w:t>
      </w:r>
      <w:r w:rsidR="00930F74">
        <w:rPr>
          <w:rFonts w:ascii="Calibri" w:hAnsi="Calibri" w:cs="Calibri"/>
          <w:b/>
          <w:sz w:val="24"/>
          <w:szCs w:val="24"/>
        </w:rPr>
        <w:t>,</w:t>
      </w:r>
      <w:r w:rsidR="00E94376" w:rsidRPr="003A5711">
        <w:rPr>
          <w:rFonts w:ascii="Calibri" w:hAnsi="Calibri" w:cs="Calibri"/>
          <w:b/>
          <w:sz w:val="24"/>
          <w:szCs w:val="24"/>
        </w:rPr>
        <w:t xml:space="preserve"> </w:t>
      </w:r>
      <w:r w:rsidRPr="003A5711">
        <w:rPr>
          <w:rFonts w:ascii="Calibri" w:eastAsia="Calibri" w:hAnsi="Calibri" w:cs="Calibri"/>
          <w:b/>
          <w:sz w:val="24"/>
          <w:szCs w:val="24"/>
        </w:rPr>
        <w:t xml:space="preserve">použila na </w:t>
      </w:r>
      <w:r w:rsidRPr="003A5711">
        <w:rPr>
          <w:rFonts w:ascii="Calibri" w:eastAsia="Calibri" w:hAnsi="Calibri" w:cs="Calibri"/>
          <w:b/>
          <w:sz w:val="24"/>
          <w:szCs w:val="24"/>
        </w:rPr>
        <w:lastRenderedPageBreak/>
        <w:t>odměny stávajícím příslušníkům a zaměstnancům</w:t>
      </w:r>
      <w:r w:rsidR="00344B8B">
        <w:rPr>
          <w:rFonts w:ascii="Calibri" w:eastAsia="Calibri" w:hAnsi="Calibri" w:cs="Calibri"/>
          <w:b/>
          <w:sz w:val="24"/>
          <w:szCs w:val="24"/>
        </w:rPr>
        <w:t xml:space="preserve">. </w:t>
      </w:r>
      <w:r w:rsidR="00930F74">
        <w:rPr>
          <w:rFonts w:ascii="Calibri" w:eastAsia="Calibri" w:hAnsi="Calibri" w:cs="Calibri"/>
          <w:b/>
          <w:sz w:val="24"/>
          <w:szCs w:val="24"/>
        </w:rPr>
        <w:t>GIBS n</w:t>
      </w:r>
      <w:r w:rsidRPr="003A5711">
        <w:rPr>
          <w:rFonts w:ascii="Calibri" w:eastAsia="Calibri" w:hAnsi="Calibri" w:cs="Calibri"/>
          <w:b/>
          <w:sz w:val="24"/>
          <w:szCs w:val="24"/>
        </w:rPr>
        <w:t xml:space="preserve">evyužila </w:t>
      </w:r>
      <w:r w:rsidR="00930F74">
        <w:rPr>
          <w:rFonts w:ascii="Calibri" w:eastAsia="Calibri" w:hAnsi="Calibri" w:cs="Calibri"/>
          <w:b/>
          <w:sz w:val="24"/>
          <w:szCs w:val="24"/>
        </w:rPr>
        <w:t>tyto prostředky</w:t>
      </w:r>
      <w:r w:rsidRPr="003A5711">
        <w:rPr>
          <w:rFonts w:ascii="Calibri" w:eastAsia="Calibri" w:hAnsi="Calibri" w:cs="Calibri"/>
          <w:b/>
          <w:sz w:val="24"/>
          <w:szCs w:val="24"/>
        </w:rPr>
        <w:t xml:space="preserve"> v souladu se stanoveným účelem a také hospodárně, neboť </w:t>
      </w:r>
      <w:r w:rsidRPr="003A5711">
        <w:rPr>
          <w:rFonts w:ascii="Calibri" w:eastAsia="Calibri" w:hAnsi="Calibri"/>
          <w:b/>
          <w:sz w:val="24"/>
          <w:szCs w:val="24"/>
        </w:rPr>
        <w:t>navýšila odměny v roce 2017 oproti roku 2016 o 102 %.</w:t>
      </w:r>
      <w:r w:rsidRPr="003A5711">
        <w:rPr>
          <w:rFonts w:ascii="Calibri" w:eastAsia="Calibri" w:hAnsi="Calibri"/>
          <w:b/>
          <w:bCs/>
          <w:sz w:val="24"/>
          <w:szCs w:val="24"/>
        </w:rPr>
        <w:t xml:space="preserve">  </w:t>
      </w:r>
    </w:p>
    <w:p w14:paraId="59495F1F" w14:textId="5D943FE0" w:rsidR="003A5711" w:rsidRPr="003A5711" w:rsidRDefault="003A5711" w:rsidP="009D44A3">
      <w:pPr>
        <w:keepNext/>
        <w:spacing w:after="120" w:line="264" w:lineRule="auto"/>
        <w:ind w:left="425" w:hanging="425"/>
        <w:outlineLvl w:val="2"/>
        <w:rPr>
          <w:rFonts w:cs="Calibri"/>
          <w:b/>
          <w:sz w:val="24"/>
          <w:szCs w:val="24"/>
        </w:rPr>
      </w:pPr>
      <w:r w:rsidRPr="003A5711">
        <w:rPr>
          <w:rFonts w:cs="Calibri"/>
          <w:b/>
          <w:sz w:val="24"/>
          <w:szCs w:val="24"/>
        </w:rPr>
        <w:t xml:space="preserve">1.3 </w:t>
      </w:r>
      <w:r w:rsidRPr="003A5711">
        <w:rPr>
          <w:rFonts w:ascii="Calibri" w:eastAsia="Calibri" w:hAnsi="Calibri" w:cs="Calibri"/>
          <w:b/>
          <w:bCs/>
          <w:sz w:val="24"/>
          <w:szCs w:val="24"/>
        </w:rPr>
        <w:t xml:space="preserve">Rozpočet GIBS nebyl sestaven na základě </w:t>
      </w:r>
      <w:r w:rsidR="00462366">
        <w:rPr>
          <w:rFonts w:ascii="Calibri" w:eastAsia="Calibri" w:hAnsi="Calibri" w:cs="Calibri"/>
          <w:b/>
          <w:bCs/>
          <w:sz w:val="24"/>
          <w:szCs w:val="24"/>
        </w:rPr>
        <w:t>očekávaných</w:t>
      </w:r>
      <w:r w:rsidR="00462366" w:rsidRPr="003A5711">
        <w:rPr>
          <w:rFonts w:ascii="Calibri" w:eastAsia="Calibri" w:hAnsi="Calibri" w:cs="Calibri"/>
          <w:b/>
          <w:bCs/>
          <w:sz w:val="24"/>
          <w:szCs w:val="24"/>
        </w:rPr>
        <w:t xml:space="preserve"> </w:t>
      </w:r>
      <w:r w:rsidRPr="003A5711">
        <w:rPr>
          <w:rFonts w:ascii="Calibri" w:eastAsia="Calibri" w:hAnsi="Calibri" w:cs="Calibri"/>
          <w:b/>
          <w:bCs/>
          <w:sz w:val="24"/>
          <w:szCs w:val="24"/>
        </w:rPr>
        <w:t xml:space="preserve">příjmů </w:t>
      </w:r>
    </w:p>
    <w:p w14:paraId="6ED30219" w14:textId="258E97EB" w:rsidR="003A5711" w:rsidRPr="003A5711" w:rsidRDefault="003A5711" w:rsidP="004F15E2">
      <w:pPr>
        <w:spacing w:after="120" w:line="264" w:lineRule="auto"/>
        <w:jc w:val="both"/>
        <w:rPr>
          <w:rFonts w:ascii="Calibri" w:eastAsia="Calibri" w:hAnsi="Calibri"/>
          <w:sz w:val="24"/>
          <w:szCs w:val="24"/>
        </w:rPr>
      </w:pPr>
      <w:r w:rsidRPr="003A5711">
        <w:rPr>
          <w:rFonts w:ascii="Calibri" w:eastAsia="Calibri" w:hAnsi="Calibri"/>
          <w:bCs/>
          <w:sz w:val="24"/>
          <w:szCs w:val="24"/>
        </w:rPr>
        <w:t xml:space="preserve">GIBS v kontrolovaném období nerozpočtovala nedaňové a kapitálové příjmy, ačkoliv </w:t>
      </w:r>
      <w:r w:rsidR="00CB1B38">
        <w:rPr>
          <w:rFonts w:ascii="Calibri" w:eastAsia="Calibri" w:hAnsi="Calibri"/>
          <w:bCs/>
          <w:sz w:val="24"/>
          <w:szCs w:val="24"/>
        </w:rPr>
        <w:t>každoročně</w:t>
      </w:r>
      <w:r w:rsidRPr="003A5711">
        <w:rPr>
          <w:rFonts w:ascii="Calibri" w:eastAsia="Calibri" w:hAnsi="Calibri"/>
          <w:bCs/>
          <w:sz w:val="24"/>
          <w:szCs w:val="24"/>
        </w:rPr>
        <w:t xml:space="preserve"> dosahovaly řádově několika stovek tisíc</w:t>
      </w:r>
      <w:r w:rsidR="00702E43">
        <w:rPr>
          <w:rFonts w:ascii="Calibri" w:eastAsia="Calibri" w:hAnsi="Calibri"/>
          <w:bCs/>
          <w:sz w:val="24"/>
          <w:szCs w:val="24"/>
        </w:rPr>
        <w:t>ů</w:t>
      </w:r>
      <w:r w:rsidRPr="003A5711">
        <w:rPr>
          <w:rFonts w:ascii="Calibri" w:eastAsia="Calibri" w:hAnsi="Calibri"/>
          <w:bCs/>
          <w:sz w:val="24"/>
          <w:szCs w:val="24"/>
        </w:rPr>
        <w:t xml:space="preserve"> korun (v kontrolovaném období se jednalo celkem o částku 6 22</w:t>
      </w:r>
      <w:r w:rsidR="006F4749">
        <w:rPr>
          <w:rFonts w:ascii="Calibri" w:eastAsia="Calibri" w:hAnsi="Calibri"/>
          <w:bCs/>
          <w:sz w:val="24"/>
          <w:szCs w:val="24"/>
        </w:rPr>
        <w:t>7</w:t>
      </w:r>
      <w:r w:rsidRPr="003A5711">
        <w:rPr>
          <w:rFonts w:ascii="Calibri" w:eastAsia="Calibri" w:hAnsi="Calibri"/>
          <w:bCs/>
          <w:sz w:val="24"/>
          <w:szCs w:val="24"/>
        </w:rPr>
        <w:t xml:space="preserve"> tis. Kč). Jedn</w:t>
      </w:r>
      <w:r w:rsidR="006F0CD9">
        <w:rPr>
          <w:rFonts w:ascii="Calibri" w:eastAsia="Calibri" w:hAnsi="Calibri"/>
          <w:bCs/>
          <w:sz w:val="24"/>
          <w:szCs w:val="24"/>
        </w:rPr>
        <w:t>alo se</w:t>
      </w:r>
      <w:r w:rsidRPr="003A5711">
        <w:rPr>
          <w:rFonts w:ascii="Calibri" w:eastAsia="Calibri" w:hAnsi="Calibri"/>
          <w:bCs/>
          <w:sz w:val="24"/>
          <w:szCs w:val="24"/>
        </w:rPr>
        <w:t xml:space="preserve"> o příjmy (např. příjmy z pronájmu majetku nebo příjmy za úhradu nákladů za provoz ve služebních bytech), jejichž předpokládaná hodnota byla ze strany GIBS pro daný rok vyčíslitelná. Na tento nedostatek byla GIBS upozorněna i MF při veřejnosprávní kontrole již v roce 2018.</w:t>
      </w:r>
      <w:r w:rsidRPr="003A5711">
        <w:rPr>
          <w:rFonts w:ascii="Calibri" w:eastAsia="Calibri" w:hAnsi="Calibri"/>
          <w:sz w:val="24"/>
          <w:szCs w:val="24"/>
        </w:rPr>
        <w:t xml:space="preserve"> MF vytklo GIBS také vysoký počet rozpočtových opatření a </w:t>
      </w:r>
      <w:r w:rsidRPr="003A5711">
        <w:rPr>
          <w:rFonts w:ascii="Calibri" w:eastAsia="Calibri" w:hAnsi="Calibri"/>
          <w:bCs/>
          <w:sz w:val="24"/>
          <w:szCs w:val="24"/>
        </w:rPr>
        <w:t>přesuny prostředků na rozpočtové položky, které nejsou čerpány</w:t>
      </w:r>
      <w:r w:rsidR="00FA2CE5">
        <w:rPr>
          <w:rFonts w:ascii="Calibri" w:eastAsia="Calibri" w:hAnsi="Calibri"/>
          <w:bCs/>
          <w:sz w:val="24"/>
          <w:szCs w:val="24"/>
        </w:rPr>
        <w:t xml:space="preserve"> a</w:t>
      </w:r>
      <w:r w:rsidR="00702E43">
        <w:rPr>
          <w:rFonts w:ascii="Calibri" w:eastAsia="Calibri" w:hAnsi="Calibri"/>
          <w:bCs/>
          <w:sz w:val="24"/>
          <w:szCs w:val="24"/>
        </w:rPr>
        <w:t> </w:t>
      </w:r>
      <w:r w:rsidRPr="003A5711">
        <w:rPr>
          <w:rFonts w:ascii="Calibri" w:eastAsia="Calibri" w:hAnsi="Calibri"/>
          <w:bCs/>
          <w:sz w:val="24"/>
          <w:szCs w:val="24"/>
        </w:rPr>
        <w:t xml:space="preserve">ani se jejich čerpání nepředpokládá. Tyto nedostatky zjistil v rámci kontroly také NKÚ </w:t>
      </w:r>
      <w:r w:rsidR="007D68B1" w:rsidRPr="003A5711">
        <w:rPr>
          <w:rFonts w:ascii="Calibri" w:eastAsia="Calibri" w:hAnsi="Calibri"/>
          <w:bCs/>
          <w:sz w:val="24"/>
          <w:szCs w:val="24"/>
        </w:rPr>
        <w:t xml:space="preserve">(např. </w:t>
      </w:r>
      <w:r w:rsidR="007D68B1" w:rsidRPr="003A5711">
        <w:rPr>
          <w:rFonts w:ascii="Calibri" w:eastAsia="Calibri" w:hAnsi="Calibri"/>
          <w:sz w:val="24"/>
          <w:szCs w:val="24"/>
        </w:rPr>
        <w:t xml:space="preserve">GIBS v letech 2019 a 2020 provedla 47 </w:t>
      </w:r>
      <w:r w:rsidR="007D68B1" w:rsidRPr="003A5711">
        <w:rPr>
          <w:rFonts w:ascii="Calibri" w:eastAsia="Calibri" w:hAnsi="Calibri"/>
          <w:bCs/>
          <w:sz w:val="24"/>
          <w:szCs w:val="24"/>
        </w:rPr>
        <w:t>vnitřních rozpočtových opatření</w:t>
      </w:r>
      <w:r w:rsidR="007D68B1">
        <w:rPr>
          <w:rFonts w:ascii="Calibri" w:eastAsia="Calibri" w:hAnsi="Calibri"/>
          <w:bCs/>
          <w:sz w:val="24"/>
          <w:szCs w:val="24"/>
        </w:rPr>
        <w:t xml:space="preserve"> v celkové výši 66</w:t>
      </w:r>
      <w:r w:rsidR="00702E43">
        <w:rPr>
          <w:rFonts w:ascii="Calibri" w:eastAsia="Calibri" w:hAnsi="Calibri"/>
          <w:bCs/>
          <w:sz w:val="24"/>
          <w:szCs w:val="24"/>
        </w:rPr>
        <w:t> </w:t>
      </w:r>
      <w:r w:rsidR="007D68B1">
        <w:rPr>
          <w:rFonts w:ascii="Calibri" w:eastAsia="Calibri" w:hAnsi="Calibri"/>
          <w:bCs/>
          <w:sz w:val="24"/>
          <w:szCs w:val="24"/>
        </w:rPr>
        <w:t>5</w:t>
      </w:r>
      <w:r w:rsidR="006F4749">
        <w:rPr>
          <w:rFonts w:ascii="Calibri" w:eastAsia="Calibri" w:hAnsi="Calibri"/>
          <w:bCs/>
          <w:sz w:val="24"/>
          <w:szCs w:val="24"/>
        </w:rPr>
        <w:t>51</w:t>
      </w:r>
      <w:r w:rsidR="00702E43">
        <w:rPr>
          <w:rFonts w:ascii="Calibri" w:eastAsia="Calibri" w:hAnsi="Calibri"/>
          <w:bCs/>
          <w:sz w:val="24"/>
          <w:szCs w:val="24"/>
        </w:rPr>
        <w:t> </w:t>
      </w:r>
      <w:r w:rsidR="006F4749">
        <w:rPr>
          <w:rFonts w:ascii="Calibri" w:eastAsia="Calibri" w:hAnsi="Calibri"/>
          <w:bCs/>
          <w:sz w:val="24"/>
          <w:szCs w:val="24"/>
        </w:rPr>
        <w:t>tis.</w:t>
      </w:r>
      <w:r w:rsidR="007D68B1">
        <w:rPr>
          <w:rFonts w:ascii="Calibri" w:eastAsia="Calibri" w:hAnsi="Calibri"/>
          <w:bCs/>
          <w:sz w:val="24"/>
          <w:szCs w:val="24"/>
        </w:rPr>
        <w:t xml:space="preserve"> Kč, což je o 8</w:t>
      </w:r>
      <w:r w:rsidR="006F4749">
        <w:rPr>
          <w:rFonts w:ascii="Calibri" w:eastAsia="Calibri" w:hAnsi="Calibri"/>
          <w:bCs/>
          <w:sz w:val="24"/>
          <w:szCs w:val="24"/>
        </w:rPr>
        <w:t xml:space="preserve"> </w:t>
      </w:r>
      <w:r w:rsidR="007D68B1">
        <w:rPr>
          <w:rFonts w:ascii="Calibri" w:eastAsia="Calibri" w:hAnsi="Calibri"/>
          <w:bCs/>
          <w:sz w:val="24"/>
          <w:szCs w:val="24"/>
        </w:rPr>
        <w:t>4</w:t>
      </w:r>
      <w:r w:rsidR="006F4749">
        <w:rPr>
          <w:rFonts w:ascii="Calibri" w:eastAsia="Calibri" w:hAnsi="Calibri"/>
          <w:bCs/>
          <w:sz w:val="24"/>
          <w:szCs w:val="24"/>
        </w:rPr>
        <w:t>11</w:t>
      </w:r>
      <w:r w:rsidR="007D68B1">
        <w:rPr>
          <w:rFonts w:ascii="Calibri" w:eastAsia="Calibri" w:hAnsi="Calibri"/>
          <w:bCs/>
          <w:sz w:val="24"/>
          <w:szCs w:val="24"/>
        </w:rPr>
        <w:t xml:space="preserve"> </w:t>
      </w:r>
      <w:r w:rsidR="006F4749">
        <w:rPr>
          <w:rFonts w:ascii="Calibri" w:eastAsia="Calibri" w:hAnsi="Calibri"/>
          <w:bCs/>
          <w:sz w:val="24"/>
          <w:szCs w:val="24"/>
        </w:rPr>
        <w:t>tis.</w:t>
      </w:r>
      <w:r w:rsidR="007D68B1">
        <w:rPr>
          <w:rFonts w:ascii="Calibri" w:eastAsia="Calibri" w:hAnsi="Calibri"/>
          <w:bCs/>
          <w:sz w:val="24"/>
          <w:szCs w:val="24"/>
        </w:rPr>
        <w:t xml:space="preserve"> Kč více než v letech 2017 a 2018, kdy provedla celkem 61</w:t>
      </w:r>
      <w:r w:rsidR="00702E43">
        <w:rPr>
          <w:rFonts w:ascii="Calibri" w:eastAsia="Calibri" w:hAnsi="Calibri"/>
          <w:bCs/>
          <w:sz w:val="24"/>
          <w:szCs w:val="24"/>
        </w:rPr>
        <w:t> </w:t>
      </w:r>
      <w:r w:rsidR="007D68B1">
        <w:rPr>
          <w:rFonts w:ascii="Calibri" w:eastAsia="Calibri" w:hAnsi="Calibri"/>
          <w:bCs/>
          <w:sz w:val="24"/>
          <w:szCs w:val="24"/>
        </w:rPr>
        <w:t>rozpočtových opatření ve výši 58</w:t>
      </w:r>
      <w:r w:rsidR="006F4749">
        <w:rPr>
          <w:rFonts w:ascii="Calibri" w:eastAsia="Calibri" w:hAnsi="Calibri"/>
          <w:bCs/>
          <w:sz w:val="24"/>
          <w:szCs w:val="24"/>
        </w:rPr>
        <w:t xml:space="preserve"> </w:t>
      </w:r>
      <w:r w:rsidR="007D68B1">
        <w:rPr>
          <w:rFonts w:ascii="Calibri" w:eastAsia="Calibri" w:hAnsi="Calibri"/>
          <w:bCs/>
          <w:sz w:val="24"/>
          <w:szCs w:val="24"/>
        </w:rPr>
        <w:t>1</w:t>
      </w:r>
      <w:r w:rsidR="006F4749">
        <w:rPr>
          <w:rFonts w:ascii="Calibri" w:eastAsia="Calibri" w:hAnsi="Calibri"/>
          <w:bCs/>
          <w:sz w:val="24"/>
          <w:szCs w:val="24"/>
        </w:rPr>
        <w:t>40</w:t>
      </w:r>
      <w:r w:rsidR="007D68B1">
        <w:rPr>
          <w:rFonts w:ascii="Calibri" w:eastAsia="Calibri" w:hAnsi="Calibri"/>
          <w:bCs/>
          <w:sz w:val="24"/>
          <w:szCs w:val="24"/>
        </w:rPr>
        <w:t xml:space="preserve"> </w:t>
      </w:r>
      <w:r w:rsidR="006F4749">
        <w:rPr>
          <w:rFonts w:ascii="Calibri" w:eastAsia="Calibri" w:hAnsi="Calibri"/>
          <w:bCs/>
          <w:sz w:val="24"/>
          <w:szCs w:val="24"/>
        </w:rPr>
        <w:t>tis.</w:t>
      </w:r>
      <w:r w:rsidR="007D68B1">
        <w:rPr>
          <w:rFonts w:ascii="Calibri" w:eastAsia="Calibri" w:hAnsi="Calibri"/>
          <w:bCs/>
          <w:sz w:val="24"/>
          <w:szCs w:val="24"/>
        </w:rPr>
        <w:t xml:space="preserve"> Kč</w:t>
      </w:r>
      <w:r w:rsidR="007D68B1" w:rsidRPr="003A5711">
        <w:rPr>
          <w:rFonts w:ascii="Calibri" w:eastAsia="Calibri" w:hAnsi="Calibri"/>
          <w:bCs/>
          <w:sz w:val="24"/>
          <w:szCs w:val="24"/>
        </w:rPr>
        <w:t>).</w:t>
      </w:r>
      <w:r w:rsidRPr="003A5711">
        <w:rPr>
          <w:rFonts w:ascii="Calibri" w:eastAsia="Calibri" w:hAnsi="Calibri"/>
          <w:bCs/>
          <w:sz w:val="24"/>
          <w:szCs w:val="24"/>
        </w:rPr>
        <w:t xml:space="preserve"> </w:t>
      </w:r>
    </w:p>
    <w:p w14:paraId="3004711E" w14:textId="2610F6DF" w:rsidR="003A5711" w:rsidRPr="003A5711" w:rsidRDefault="003A5711" w:rsidP="004F15E2">
      <w:pPr>
        <w:spacing w:after="120" w:line="264" w:lineRule="auto"/>
        <w:jc w:val="both"/>
        <w:rPr>
          <w:rFonts w:ascii="Calibri" w:eastAsia="Calibri" w:hAnsi="Calibri"/>
          <w:b/>
          <w:bCs/>
          <w:sz w:val="24"/>
          <w:szCs w:val="24"/>
        </w:rPr>
      </w:pPr>
      <w:r w:rsidRPr="003A5711">
        <w:rPr>
          <w:rFonts w:ascii="Calibri" w:eastAsia="Calibri" w:hAnsi="Calibri"/>
          <w:b/>
          <w:bCs/>
          <w:sz w:val="24"/>
          <w:szCs w:val="24"/>
        </w:rPr>
        <w:t xml:space="preserve">GIBS nesestavila v kontrolovaném období návrh rozpočtu </w:t>
      </w:r>
      <w:r w:rsidR="00C21D9F">
        <w:rPr>
          <w:rFonts w:ascii="Calibri" w:eastAsia="Calibri" w:hAnsi="Calibri"/>
          <w:b/>
          <w:bCs/>
          <w:sz w:val="24"/>
          <w:szCs w:val="24"/>
        </w:rPr>
        <w:t>v souladu s očekávanými</w:t>
      </w:r>
      <w:r w:rsidRPr="003A5711">
        <w:rPr>
          <w:rFonts w:ascii="Calibri" w:eastAsia="Calibri" w:hAnsi="Calibri"/>
          <w:b/>
          <w:bCs/>
          <w:sz w:val="24"/>
          <w:szCs w:val="24"/>
        </w:rPr>
        <w:t xml:space="preserve"> příjm</w:t>
      </w:r>
      <w:r w:rsidR="00C21D9F">
        <w:rPr>
          <w:rFonts w:ascii="Calibri" w:eastAsia="Calibri" w:hAnsi="Calibri"/>
          <w:b/>
          <w:bCs/>
          <w:sz w:val="24"/>
          <w:szCs w:val="24"/>
        </w:rPr>
        <w:t>y</w:t>
      </w:r>
      <w:r w:rsidRPr="003A5711">
        <w:rPr>
          <w:rFonts w:ascii="Calibri" w:eastAsia="Calibri" w:hAnsi="Calibri"/>
          <w:b/>
          <w:bCs/>
          <w:sz w:val="24"/>
          <w:szCs w:val="24"/>
        </w:rPr>
        <w:t xml:space="preserve">, </w:t>
      </w:r>
      <w:r w:rsidR="00C21D9F">
        <w:rPr>
          <w:rFonts w:ascii="Calibri" w:eastAsia="Calibri" w:hAnsi="Calibri"/>
          <w:b/>
          <w:bCs/>
          <w:sz w:val="24"/>
          <w:szCs w:val="24"/>
        </w:rPr>
        <w:t>rozpočet</w:t>
      </w:r>
      <w:r w:rsidR="00C21D9F" w:rsidRPr="003A5711">
        <w:rPr>
          <w:rFonts w:ascii="Calibri" w:eastAsia="Calibri" w:hAnsi="Calibri"/>
          <w:b/>
          <w:bCs/>
          <w:sz w:val="24"/>
          <w:szCs w:val="24"/>
        </w:rPr>
        <w:t xml:space="preserve"> </w:t>
      </w:r>
      <w:r w:rsidRPr="003A5711">
        <w:rPr>
          <w:rFonts w:ascii="Calibri" w:eastAsia="Calibri" w:hAnsi="Calibri"/>
          <w:b/>
          <w:bCs/>
          <w:sz w:val="24"/>
          <w:szCs w:val="24"/>
        </w:rPr>
        <w:t xml:space="preserve">tak </w:t>
      </w:r>
      <w:r w:rsidR="00C21D9F">
        <w:rPr>
          <w:rFonts w:ascii="Calibri" w:eastAsia="Calibri" w:hAnsi="Calibri"/>
          <w:b/>
          <w:bCs/>
          <w:sz w:val="24"/>
          <w:szCs w:val="24"/>
        </w:rPr>
        <w:t xml:space="preserve">nebyl </w:t>
      </w:r>
      <w:r w:rsidRPr="003A5711">
        <w:rPr>
          <w:rFonts w:ascii="Calibri" w:eastAsia="Calibri" w:hAnsi="Calibri"/>
          <w:b/>
          <w:bCs/>
          <w:sz w:val="24"/>
          <w:szCs w:val="24"/>
        </w:rPr>
        <w:t>v souladu s</w:t>
      </w:r>
      <w:r w:rsidR="00824CCD">
        <w:rPr>
          <w:rFonts w:ascii="Calibri" w:eastAsia="Calibri" w:hAnsi="Calibri"/>
          <w:b/>
          <w:bCs/>
          <w:sz w:val="24"/>
          <w:szCs w:val="24"/>
        </w:rPr>
        <w:t xml:space="preserve"> ustanovením </w:t>
      </w:r>
      <w:r w:rsidRPr="003A5711">
        <w:rPr>
          <w:rFonts w:ascii="Calibri" w:eastAsia="Calibri" w:hAnsi="Calibri"/>
          <w:b/>
          <w:bCs/>
          <w:sz w:val="24"/>
          <w:szCs w:val="24"/>
        </w:rPr>
        <w:t xml:space="preserve">§ 5 odst. 2 zákona č. 218/2000 Sb. </w:t>
      </w:r>
    </w:p>
    <w:p w14:paraId="35746570" w14:textId="2C83359A" w:rsidR="003A5711" w:rsidRPr="003A5711" w:rsidRDefault="009D44A3" w:rsidP="009D44A3">
      <w:pPr>
        <w:keepNext/>
        <w:spacing w:after="120" w:line="264" w:lineRule="auto"/>
        <w:outlineLvl w:val="1"/>
        <w:rPr>
          <w:rFonts w:cs="Calibri"/>
          <w:b/>
          <w:sz w:val="24"/>
          <w:szCs w:val="24"/>
        </w:rPr>
      </w:pPr>
      <w:r>
        <w:rPr>
          <w:rFonts w:cs="Calibri"/>
          <w:b/>
          <w:sz w:val="24"/>
          <w:szCs w:val="24"/>
        </w:rPr>
        <w:t xml:space="preserve">2. </w:t>
      </w:r>
      <w:r w:rsidR="003A5711" w:rsidRPr="003A5711">
        <w:rPr>
          <w:rFonts w:cs="Calibri"/>
          <w:b/>
          <w:sz w:val="24"/>
          <w:szCs w:val="24"/>
        </w:rPr>
        <w:t>P</w:t>
      </w:r>
      <w:r w:rsidR="003A5711" w:rsidRPr="003A5711">
        <w:rPr>
          <w:rFonts w:ascii="Calibri" w:eastAsia="Calibri" w:hAnsi="Calibri" w:cs="Calibri"/>
          <w:b/>
          <w:color w:val="000000"/>
          <w:sz w:val="24"/>
          <w:szCs w:val="24"/>
          <w:lang w:eastAsia="cs-CZ"/>
        </w:rPr>
        <w:t>lánování personálních výdajů GIBS</w:t>
      </w:r>
    </w:p>
    <w:p w14:paraId="4D6455D9" w14:textId="2A6A3945" w:rsidR="003A5711" w:rsidRPr="003A5711" w:rsidRDefault="009D44A3" w:rsidP="009D44A3">
      <w:pPr>
        <w:keepNext/>
        <w:spacing w:after="120" w:line="264" w:lineRule="auto"/>
        <w:ind w:left="425" w:hanging="425"/>
        <w:outlineLvl w:val="2"/>
        <w:rPr>
          <w:rFonts w:cs="Calibri"/>
          <w:b/>
          <w:sz w:val="24"/>
          <w:szCs w:val="24"/>
        </w:rPr>
      </w:pPr>
      <w:r>
        <w:rPr>
          <w:rFonts w:cs="Calibri"/>
          <w:b/>
          <w:sz w:val="24"/>
          <w:szCs w:val="24"/>
        </w:rPr>
        <w:t xml:space="preserve">2.1 </w:t>
      </w:r>
      <w:r w:rsidR="003A5711" w:rsidRPr="003A5711">
        <w:rPr>
          <w:rFonts w:cs="Calibri"/>
          <w:b/>
          <w:sz w:val="24"/>
          <w:szCs w:val="24"/>
        </w:rPr>
        <w:t>GIBS navyšovala platy příslušníků a zaměstnanců neúčelně</w:t>
      </w:r>
    </w:p>
    <w:p w14:paraId="1D3E4FB5" w14:textId="6A8FBDE3" w:rsidR="003A5711" w:rsidRPr="003A5711" w:rsidRDefault="0087375E" w:rsidP="004F15E2">
      <w:pPr>
        <w:spacing w:after="120" w:line="264" w:lineRule="auto"/>
        <w:jc w:val="both"/>
        <w:rPr>
          <w:rFonts w:ascii="Calibri" w:eastAsia="Calibri" w:hAnsi="Calibri" w:cs="Calibri"/>
          <w:sz w:val="24"/>
          <w:szCs w:val="24"/>
        </w:rPr>
      </w:pPr>
      <w:r>
        <w:rPr>
          <w:rFonts w:ascii="Calibri" w:eastAsia="Calibri" w:hAnsi="Calibri" w:cs="Calibri"/>
          <w:sz w:val="24"/>
          <w:szCs w:val="24"/>
        </w:rPr>
        <w:t>Od roku 201</w:t>
      </w:r>
      <w:r w:rsidR="009A439D">
        <w:rPr>
          <w:rFonts w:ascii="Calibri" w:eastAsia="Calibri" w:hAnsi="Calibri" w:cs="Calibri"/>
          <w:sz w:val="24"/>
          <w:szCs w:val="24"/>
        </w:rPr>
        <w:t>5</w:t>
      </w:r>
      <w:r>
        <w:rPr>
          <w:rFonts w:ascii="Calibri" w:eastAsia="Calibri" w:hAnsi="Calibri" w:cs="Calibri"/>
          <w:sz w:val="24"/>
          <w:szCs w:val="24"/>
        </w:rPr>
        <w:t xml:space="preserve"> GIBS </w:t>
      </w:r>
      <w:r w:rsidR="00C21D9F">
        <w:rPr>
          <w:rFonts w:ascii="Calibri" w:eastAsia="Calibri" w:hAnsi="Calibri" w:cs="Calibri"/>
          <w:sz w:val="24"/>
          <w:szCs w:val="24"/>
        </w:rPr>
        <w:t>výrazně</w:t>
      </w:r>
      <w:r w:rsidR="00C21D9F" w:rsidRPr="003A5711">
        <w:rPr>
          <w:rFonts w:ascii="Calibri" w:eastAsia="Calibri" w:hAnsi="Calibri" w:cs="Calibri"/>
          <w:sz w:val="24"/>
          <w:szCs w:val="24"/>
        </w:rPr>
        <w:t xml:space="preserve"> </w:t>
      </w:r>
      <w:r w:rsidR="003A5711" w:rsidRPr="003A5711">
        <w:rPr>
          <w:rFonts w:ascii="Calibri" w:eastAsia="Calibri" w:hAnsi="Calibri" w:cs="Calibri"/>
          <w:sz w:val="24"/>
          <w:szCs w:val="24"/>
        </w:rPr>
        <w:t>zvyšovala platy příslušníků a zaměstnanců GIBS</w:t>
      </w:r>
      <w:r w:rsidR="00406DC8">
        <w:rPr>
          <w:rFonts w:ascii="Calibri" w:eastAsia="Calibri" w:hAnsi="Calibri" w:cs="Calibri"/>
          <w:sz w:val="24"/>
          <w:szCs w:val="24"/>
        </w:rPr>
        <w:t xml:space="preserve">, což realizovala </w:t>
      </w:r>
      <w:r w:rsidR="003A5711" w:rsidRPr="003A5711">
        <w:rPr>
          <w:rFonts w:ascii="Calibri" w:eastAsia="Calibri" w:hAnsi="Calibri" w:cs="Calibri"/>
          <w:sz w:val="24"/>
          <w:szCs w:val="24"/>
        </w:rPr>
        <w:t xml:space="preserve">jak v rámci plošného zvyšování platů ve veřejném sektoru, tak </w:t>
      </w:r>
      <w:r w:rsidR="00406DC8">
        <w:rPr>
          <w:rFonts w:ascii="Calibri" w:eastAsia="Calibri" w:hAnsi="Calibri" w:cs="Calibri"/>
          <w:sz w:val="24"/>
          <w:szCs w:val="24"/>
        </w:rPr>
        <w:t xml:space="preserve">prostřednictvím požadavků </w:t>
      </w:r>
      <w:r w:rsidR="003A5711" w:rsidRPr="003A5711">
        <w:rPr>
          <w:rFonts w:ascii="Calibri" w:eastAsia="Calibri" w:hAnsi="Calibri" w:cs="Calibri"/>
          <w:sz w:val="24"/>
          <w:szCs w:val="24"/>
        </w:rPr>
        <w:t>pouze v rámci kapitoly GIBS. GIBS v těchto případech odůvodnila v předkládacích zprávách k usnesením vlády (</w:t>
      </w:r>
      <w:r w:rsidR="008F3F83">
        <w:rPr>
          <w:rFonts w:ascii="Calibri" w:eastAsia="Calibri" w:hAnsi="Calibri" w:cs="Calibri"/>
          <w:sz w:val="24"/>
          <w:szCs w:val="24"/>
        </w:rPr>
        <w:t xml:space="preserve">jejich </w:t>
      </w:r>
      <w:r w:rsidR="003A5711" w:rsidRPr="003A5711">
        <w:rPr>
          <w:rFonts w:ascii="Calibri" w:eastAsia="Calibri" w:hAnsi="Calibri" w:cs="Calibri"/>
          <w:sz w:val="24"/>
          <w:szCs w:val="24"/>
        </w:rPr>
        <w:t xml:space="preserve">přehled je uveden v příloze č. 2 </w:t>
      </w:r>
      <w:r w:rsidR="00832540">
        <w:rPr>
          <w:rFonts w:ascii="Calibri" w:eastAsia="Calibri" w:hAnsi="Calibri" w:cs="Calibri"/>
          <w:sz w:val="24"/>
          <w:szCs w:val="24"/>
        </w:rPr>
        <w:t xml:space="preserve">tohoto </w:t>
      </w:r>
      <w:r w:rsidR="003A5711" w:rsidRPr="003A5711">
        <w:rPr>
          <w:rFonts w:ascii="Calibri" w:eastAsia="Calibri" w:hAnsi="Calibri" w:cs="Calibri"/>
          <w:sz w:val="24"/>
          <w:szCs w:val="24"/>
        </w:rPr>
        <w:t xml:space="preserve">kontrolního závěru) potřebu navýšení </w:t>
      </w:r>
      <w:r w:rsidR="002340E8">
        <w:rPr>
          <w:rFonts w:ascii="Calibri" w:eastAsia="Calibri" w:hAnsi="Calibri" w:cs="Calibri"/>
          <w:sz w:val="24"/>
          <w:szCs w:val="24"/>
        </w:rPr>
        <w:t xml:space="preserve">platových </w:t>
      </w:r>
      <w:r w:rsidR="008F3F83">
        <w:rPr>
          <w:rFonts w:ascii="Calibri" w:eastAsia="Calibri" w:hAnsi="Calibri" w:cs="Calibri"/>
          <w:sz w:val="24"/>
          <w:szCs w:val="24"/>
        </w:rPr>
        <w:t xml:space="preserve">výdajů </w:t>
      </w:r>
      <w:r w:rsidR="003A5711" w:rsidRPr="003A5711">
        <w:rPr>
          <w:rFonts w:ascii="Calibri" w:eastAsia="Calibri" w:hAnsi="Calibri" w:cs="Calibri"/>
          <w:sz w:val="24"/>
          <w:szCs w:val="24"/>
        </w:rPr>
        <w:t xml:space="preserve">tím, že není konkurenceschopná na trhu práce z důvodu nižších platů ve srovnání s jinými bezpečnostními sbory. </w:t>
      </w:r>
    </w:p>
    <w:p w14:paraId="74E31C3F" w14:textId="6CB4AD60" w:rsidR="00D225B1" w:rsidRPr="0002026C" w:rsidRDefault="003A5711" w:rsidP="004F15E2">
      <w:pPr>
        <w:spacing w:after="120" w:line="264" w:lineRule="auto"/>
        <w:jc w:val="both"/>
        <w:rPr>
          <w:rFonts w:ascii="Calibri" w:eastAsia="Calibri" w:hAnsi="Calibri"/>
        </w:rPr>
      </w:pPr>
      <w:r w:rsidRPr="003A5711">
        <w:rPr>
          <w:rFonts w:ascii="Calibri" w:eastAsia="Calibri" w:hAnsi="Calibri" w:cs="Calibri"/>
          <w:sz w:val="24"/>
          <w:szCs w:val="24"/>
        </w:rPr>
        <w:t xml:space="preserve">GIBS však </w:t>
      </w:r>
      <w:r w:rsidR="007E468D">
        <w:rPr>
          <w:rFonts w:ascii="Calibri" w:eastAsia="Calibri" w:hAnsi="Calibri" w:cs="Calibri"/>
          <w:sz w:val="24"/>
          <w:szCs w:val="24"/>
        </w:rPr>
        <w:t>ani</w:t>
      </w:r>
      <w:r w:rsidRPr="003A5711">
        <w:rPr>
          <w:rFonts w:ascii="Calibri" w:eastAsia="Calibri" w:hAnsi="Calibri" w:cs="Calibri"/>
          <w:sz w:val="24"/>
          <w:szCs w:val="24"/>
        </w:rPr>
        <w:t xml:space="preserve"> v předkládacích zprávách k usnesením vlády, </w:t>
      </w:r>
      <w:r w:rsidR="007E468D">
        <w:rPr>
          <w:rFonts w:ascii="Calibri" w:eastAsia="Calibri" w:hAnsi="Calibri" w:cs="Calibri"/>
          <w:sz w:val="24"/>
          <w:szCs w:val="24"/>
        </w:rPr>
        <w:t>ani</w:t>
      </w:r>
      <w:r w:rsidRPr="003A5711">
        <w:rPr>
          <w:rFonts w:ascii="Calibri" w:eastAsia="Calibri" w:hAnsi="Calibri" w:cs="Calibri"/>
          <w:sz w:val="24"/>
          <w:szCs w:val="24"/>
        </w:rPr>
        <w:t xml:space="preserve"> kontrole NKÚ průkazně nedoložila podklady odůvodňující navyšování platů ve vazbě na skutečné potřeby a s ohledem na výši průměrného platu v rámci GIBS. Z veřejně dostupných zdrojů zároveň NKÚ zjistil, že GIBS patří již od roku 2017 (od doby, kdy GIBS žádala o navýšení platových prostředků) mezi kapitoly</w:t>
      </w:r>
      <w:r w:rsidR="008F3F83">
        <w:rPr>
          <w:rFonts w:ascii="Calibri" w:eastAsia="Calibri" w:hAnsi="Calibri" w:cs="Calibri"/>
          <w:sz w:val="24"/>
          <w:szCs w:val="24"/>
        </w:rPr>
        <w:t xml:space="preserve"> státního rozpočtu</w:t>
      </w:r>
      <w:r w:rsidRPr="003A5711">
        <w:rPr>
          <w:rFonts w:ascii="Calibri" w:eastAsia="Calibri" w:hAnsi="Calibri" w:cs="Calibri"/>
          <w:sz w:val="24"/>
          <w:szCs w:val="24"/>
        </w:rPr>
        <w:t>, které vyplácí nejvyšší průměrné platy ve veřejném sektoru</w:t>
      </w:r>
      <w:r w:rsidRPr="003A5711">
        <w:rPr>
          <w:rFonts w:ascii="Calibri" w:eastAsia="Calibri" w:hAnsi="Calibri"/>
          <w:sz w:val="24"/>
          <w:szCs w:val="24"/>
        </w:rPr>
        <w:t>.</w:t>
      </w:r>
      <w:r w:rsidRPr="003A5711">
        <w:rPr>
          <w:rFonts w:ascii="Calibri" w:eastAsia="Calibri" w:hAnsi="Calibri" w:cs="Calibri"/>
          <w:sz w:val="24"/>
          <w:szCs w:val="24"/>
        </w:rPr>
        <w:t xml:space="preserve"> </w:t>
      </w:r>
    </w:p>
    <w:p w14:paraId="7A849F7A" w14:textId="73DE13DF" w:rsidR="003A5711" w:rsidRPr="003A5711" w:rsidRDefault="003A5711" w:rsidP="004F15E2">
      <w:pPr>
        <w:spacing w:after="120" w:line="264" w:lineRule="auto"/>
        <w:jc w:val="both"/>
        <w:rPr>
          <w:rFonts w:ascii="Calibri" w:eastAsia="Calibri" w:hAnsi="Calibri" w:cs="Calibri"/>
          <w:sz w:val="24"/>
          <w:szCs w:val="24"/>
        </w:rPr>
      </w:pPr>
      <w:r w:rsidRPr="003A5711">
        <w:rPr>
          <w:rFonts w:ascii="Calibri" w:eastAsia="Calibri" w:hAnsi="Calibri" w:cs="Calibri"/>
          <w:sz w:val="24"/>
          <w:szCs w:val="24"/>
        </w:rPr>
        <w:t>Průměrný plat v kapitole 376</w:t>
      </w:r>
      <w:r w:rsidR="007E468D">
        <w:rPr>
          <w:rFonts w:ascii="Calibri" w:eastAsia="Calibri" w:hAnsi="Calibri" w:cs="Calibri"/>
          <w:sz w:val="24"/>
          <w:szCs w:val="24"/>
        </w:rPr>
        <w:t> –</w:t>
      </w:r>
      <w:r w:rsidRPr="003A5711">
        <w:rPr>
          <w:rFonts w:ascii="Calibri" w:eastAsia="Calibri" w:hAnsi="Calibri" w:cs="Calibri"/>
          <w:sz w:val="24"/>
          <w:szCs w:val="24"/>
        </w:rPr>
        <w:t xml:space="preserve"> GIBS za rok 2020 činil 67 662 Kč, </w:t>
      </w:r>
      <w:r w:rsidR="007E468D">
        <w:rPr>
          <w:rFonts w:ascii="Calibri" w:eastAsia="Calibri" w:hAnsi="Calibri" w:cs="Calibri"/>
          <w:sz w:val="24"/>
          <w:szCs w:val="24"/>
        </w:rPr>
        <w:t xml:space="preserve">zatímco </w:t>
      </w:r>
      <w:r w:rsidRPr="003A5711">
        <w:rPr>
          <w:rFonts w:ascii="Calibri" w:eastAsia="Calibri" w:hAnsi="Calibri" w:cs="Calibri"/>
          <w:sz w:val="24"/>
          <w:szCs w:val="24"/>
        </w:rPr>
        <w:t xml:space="preserve">např. </w:t>
      </w:r>
      <w:r w:rsidR="006A40E5">
        <w:rPr>
          <w:rFonts w:ascii="Calibri" w:eastAsia="Calibri" w:hAnsi="Calibri" w:cs="Calibri"/>
          <w:sz w:val="24"/>
          <w:szCs w:val="24"/>
        </w:rPr>
        <w:t xml:space="preserve">v kapitole </w:t>
      </w:r>
      <w:r w:rsidR="007E468D">
        <w:rPr>
          <w:rFonts w:ascii="Calibri" w:eastAsia="Calibri" w:hAnsi="Calibri" w:cs="Calibri"/>
          <w:sz w:val="24"/>
          <w:szCs w:val="24"/>
        </w:rPr>
        <w:br/>
      </w:r>
      <w:r w:rsidR="006A40E5">
        <w:rPr>
          <w:rFonts w:ascii="Calibri" w:eastAsia="Calibri" w:hAnsi="Calibri" w:cs="Calibri"/>
          <w:sz w:val="24"/>
          <w:szCs w:val="24"/>
        </w:rPr>
        <w:t>314</w:t>
      </w:r>
      <w:r w:rsidR="009D44A3">
        <w:rPr>
          <w:rFonts w:ascii="Calibri" w:eastAsia="Calibri" w:hAnsi="Calibri" w:cs="Calibri"/>
          <w:sz w:val="24"/>
          <w:szCs w:val="24"/>
        </w:rPr>
        <w:t> </w:t>
      </w:r>
      <w:r w:rsidR="007E468D">
        <w:rPr>
          <w:rFonts w:ascii="Calibri" w:eastAsia="Calibri" w:hAnsi="Calibri" w:cs="Calibri"/>
          <w:sz w:val="24"/>
          <w:szCs w:val="24"/>
        </w:rPr>
        <w:t xml:space="preserve">– </w:t>
      </w:r>
      <w:r w:rsidR="006A40E5" w:rsidRPr="009D6D78">
        <w:rPr>
          <w:rFonts w:ascii="Calibri" w:eastAsia="Calibri" w:hAnsi="Calibri" w:cs="Calibri"/>
          <w:i/>
          <w:sz w:val="24"/>
          <w:szCs w:val="24"/>
        </w:rPr>
        <w:t>Ministerstvo vnitra</w:t>
      </w:r>
      <w:r w:rsidR="006A40E5">
        <w:rPr>
          <w:rFonts w:ascii="Calibri" w:eastAsia="Calibri" w:hAnsi="Calibri" w:cs="Calibri"/>
          <w:sz w:val="24"/>
          <w:szCs w:val="24"/>
        </w:rPr>
        <w:t xml:space="preserve"> </w:t>
      </w:r>
      <w:r w:rsidR="007E468D">
        <w:rPr>
          <w:rFonts w:ascii="Calibri" w:eastAsia="Calibri" w:hAnsi="Calibri" w:cs="Calibri"/>
          <w:sz w:val="24"/>
          <w:szCs w:val="24"/>
        </w:rPr>
        <w:t>činil</w:t>
      </w:r>
      <w:r w:rsidR="006A40E5">
        <w:rPr>
          <w:rFonts w:ascii="Calibri" w:eastAsia="Calibri" w:hAnsi="Calibri" w:cs="Calibri"/>
          <w:sz w:val="24"/>
          <w:szCs w:val="24"/>
        </w:rPr>
        <w:t xml:space="preserve"> 46 383 Kč, </w:t>
      </w:r>
      <w:r w:rsidRPr="003A5711">
        <w:rPr>
          <w:rFonts w:ascii="Calibri" w:eastAsia="Calibri" w:hAnsi="Calibri" w:cs="Calibri"/>
          <w:sz w:val="24"/>
          <w:szCs w:val="24"/>
        </w:rPr>
        <w:t>v kapitole 358</w:t>
      </w:r>
      <w:r w:rsidR="007E468D">
        <w:rPr>
          <w:rFonts w:ascii="Calibri" w:eastAsia="Calibri" w:hAnsi="Calibri" w:cs="Calibri"/>
          <w:sz w:val="24"/>
          <w:szCs w:val="24"/>
        </w:rPr>
        <w:t> –</w:t>
      </w:r>
      <w:r w:rsidRPr="003A5711">
        <w:rPr>
          <w:rFonts w:ascii="Calibri" w:eastAsia="Calibri" w:hAnsi="Calibri" w:cs="Calibri"/>
          <w:sz w:val="24"/>
          <w:szCs w:val="24"/>
        </w:rPr>
        <w:t xml:space="preserve"> </w:t>
      </w:r>
      <w:r w:rsidRPr="009D6D78">
        <w:rPr>
          <w:rFonts w:ascii="Calibri" w:eastAsia="Calibri" w:hAnsi="Calibri" w:cs="Calibri"/>
          <w:i/>
          <w:sz w:val="24"/>
          <w:szCs w:val="24"/>
        </w:rPr>
        <w:t>Ústavní soud</w:t>
      </w:r>
      <w:r w:rsidRPr="003A5711">
        <w:rPr>
          <w:rFonts w:ascii="Calibri" w:eastAsia="Calibri" w:hAnsi="Calibri" w:cs="Calibri"/>
          <w:sz w:val="24"/>
          <w:szCs w:val="24"/>
        </w:rPr>
        <w:t xml:space="preserve"> </w:t>
      </w:r>
      <w:r w:rsidR="007E468D">
        <w:rPr>
          <w:rFonts w:ascii="Calibri" w:eastAsia="Calibri" w:hAnsi="Calibri" w:cs="Calibri"/>
          <w:sz w:val="24"/>
          <w:szCs w:val="24"/>
        </w:rPr>
        <w:t>činil</w:t>
      </w:r>
      <w:r w:rsidRPr="003A5711">
        <w:rPr>
          <w:rFonts w:ascii="Calibri" w:eastAsia="Calibri" w:hAnsi="Calibri" w:cs="Calibri"/>
          <w:sz w:val="24"/>
          <w:szCs w:val="24"/>
        </w:rPr>
        <w:t xml:space="preserve"> 50 164 Kč nebo kapitole 353</w:t>
      </w:r>
      <w:r w:rsidR="009D44A3">
        <w:rPr>
          <w:rFonts w:ascii="Calibri" w:eastAsia="Calibri" w:hAnsi="Calibri" w:cs="Calibri"/>
          <w:sz w:val="24"/>
          <w:szCs w:val="24"/>
        </w:rPr>
        <w:t> </w:t>
      </w:r>
      <w:r w:rsidR="007E468D">
        <w:rPr>
          <w:rFonts w:ascii="Calibri" w:eastAsia="Calibri" w:hAnsi="Calibri" w:cs="Calibri"/>
          <w:sz w:val="24"/>
          <w:szCs w:val="24"/>
        </w:rPr>
        <w:t xml:space="preserve">– </w:t>
      </w:r>
      <w:r w:rsidRPr="009D6D78">
        <w:rPr>
          <w:rFonts w:ascii="Calibri" w:eastAsia="Calibri" w:hAnsi="Calibri" w:cs="Calibri"/>
          <w:i/>
          <w:sz w:val="24"/>
          <w:szCs w:val="24"/>
        </w:rPr>
        <w:t>Úřad pro ochranu hospodářské soutěže</w:t>
      </w:r>
      <w:r w:rsidRPr="003A5711">
        <w:rPr>
          <w:rFonts w:ascii="Calibri" w:eastAsia="Calibri" w:hAnsi="Calibri" w:cs="Calibri"/>
          <w:sz w:val="24"/>
          <w:szCs w:val="24"/>
        </w:rPr>
        <w:t xml:space="preserve"> </w:t>
      </w:r>
      <w:r w:rsidR="007E468D">
        <w:rPr>
          <w:rFonts w:ascii="Calibri" w:eastAsia="Calibri" w:hAnsi="Calibri" w:cs="Calibri"/>
          <w:sz w:val="24"/>
          <w:szCs w:val="24"/>
        </w:rPr>
        <w:t>činil</w:t>
      </w:r>
      <w:r w:rsidRPr="003A5711">
        <w:rPr>
          <w:rFonts w:ascii="Calibri" w:eastAsia="Calibri" w:hAnsi="Calibri" w:cs="Calibri"/>
          <w:sz w:val="24"/>
          <w:szCs w:val="24"/>
        </w:rPr>
        <w:t xml:space="preserve"> 48 999 Kč. GIBS tuto skutečnost odůvodnila pouze tím, </w:t>
      </w:r>
      <w:r w:rsidRPr="003A5711">
        <w:rPr>
          <w:rFonts w:ascii="Calibri" w:eastAsia="Calibri" w:hAnsi="Calibri" w:cs="Calibri"/>
          <w:bCs/>
          <w:sz w:val="24"/>
          <w:szCs w:val="24"/>
        </w:rPr>
        <w:t>že zaměstnává v převážné míře zkušené příslušníky, kteří mají odsloužený vysoký počet let a současně nejvyšší platové třídy.</w:t>
      </w:r>
      <w:r w:rsidRPr="003A5711">
        <w:rPr>
          <w:rFonts w:ascii="Calibri" w:eastAsia="Calibri" w:hAnsi="Calibri" w:cs="Calibri"/>
          <w:bCs/>
          <w:i/>
          <w:sz w:val="24"/>
          <w:szCs w:val="24"/>
        </w:rPr>
        <w:t xml:space="preserve"> </w:t>
      </w:r>
      <w:r w:rsidRPr="003A5711">
        <w:rPr>
          <w:rFonts w:ascii="Calibri" w:eastAsia="Calibri" w:hAnsi="Calibri" w:cs="Calibri"/>
          <w:sz w:val="24"/>
          <w:szCs w:val="24"/>
        </w:rPr>
        <w:t>Průměrný plat příslušníků GIBS se v roce 2020</w:t>
      </w:r>
      <w:r w:rsidR="008F3F83">
        <w:rPr>
          <w:rFonts w:ascii="Calibri" w:eastAsia="Calibri" w:hAnsi="Calibri" w:cs="Calibri"/>
          <w:sz w:val="24"/>
          <w:szCs w:val="24"/>
        </w:rPr>
        <w:t xml:space="preserve"> (71 556 Kč) </w:t>
      </w:r>
      <w:r w:rsidRPr="003A5711">
        <w:rPr>
          <w:rFonts w:ascii="Calibri" w:eastAsia="Calibri" w:hAnsi="Calibri" w:cs="Calibri"/>
          <w:sz w:val="24"/>
          <w:szCs w:val="24"/>
        </w:rPr>
        <w:t>zvýšil v porovnání s rokem 2016 o více než 45 %, u zaměstnanců GIBS</w:t>
      </w:r>
      <w:r w:rsidR="00437D97">
        <w:rPr>
          <w:rFonts w:ascii="Calibri" w:eastAsia="Calibri" w:hAnsi="Calibri" w:cs="Calibri"/>
          <w:sz w:val="24"/>
          <w:szCs w:val="24"/>
        </w:rPr>
        <w:t xml:space="preserve"> (47 556 Kč)</w:t>
      </w:r>
      <w:r w:rsidRPr="003A5711">
        <w:rPr>
          <w:rFonts w:ascii="Calibri" w:eastAsia="Calibri" w:hAnsi="Calibri" w:cs="Calibri"/>
          <w:sz w:val="24"/>
          <w:szCs w:val="24"/>
        </w:rPr>
        <w:t xml:space="preserve"> o více než 38 %.</w:t>
      </w:r>
      <w:r w:rsidR="0049499D">
        <w:rPr>
          <w:rFonts w:ascii="Calibri" w:eastAsia="Calibri" w:hAnsi="Calibri" w:cs="Calibri"/>
          <w:sz w:val="24"/>
          <w:szCs w:val="24"/>
        </w:rPr>
        <w:t xml:space="preserve"> Průměrný plat příslušníka Policie ČR byl v roce 2020 ve výši 50 530 Kč.</w:t>
      </w:r>
    </w:p>
    <w:p w14:paraId="4CE70B86" w14:textId="4563BBDD" w:rsidR="003A5711" w:rsidRPr="00662D19" w:rsidRDefault="003A5711" w:rsidP="004F15E2">
      <w:pPr>
        <w:spacing w:after="120" w:line="264" w:lineRule="auto"/>
        <w:jc w:val="both"/>
        <w:rPr>
          <w:rFonts w:ascii="Calibri" w:eastAsia="Calibri" w:hAnsi="Calibri" w:cs="Calibri"/>
          <w:sz w:val="24"/>
          <w:szCs w:val="24"/>
        </w:rPr>
      </w:pPr>
      <w:r w:rsidRPr="003A5711">
        <w:rPr>
          <w:rFonts w:ascii="Calibri" w:eastAsia="Calibri" w:hAnsi="Calibri"/>
          <w:sz w:val="24"/>
          <w:szCs w:val="24"/>
        </w:rPr>
        <w:lastRenderedPageBreak/>
        <w:t xml:space="preserve">Porovnání růstu průměrných platů příslušníků GIBS a </w:t>
      </w:r>
      <w:r w:rsidR="00437D97" w:rsidRPr="003A5711">
        <w:rPr>
          <w:rFonts w:ascii="Calibri" w:eastAsia="Calibri" w:hAnsi="Calibri"/>
          <w:sz w:val="24"/>
          <w:szCs w:val="24"/>
        </w:rPr>
        <w:t xml:space="preserve">příslušníků </w:t>
      </w:r>
      <w:r w:rsidR="0013137A">
        <w:rPr>
          <w:rFonts w:ascii="Calibri" w:eastAsia="Calibri" w:hAnsi="Calibri"/>
          <w:sz w:val="24"/>
          <w:szCs w:val="24"/>
        </w:rPr>
        <w:t>Policie ČR v letech 2012–</w:t>
      </w:r>
      <w:r w:rsidRPr="003A5711">
        <w:rPr>
          <w:rFonts w:ascii="Calibri" w:eastAsia="Calibri" w:hAnsi="Calibri"/>
          <w:sz w:val="24"/>
          <w:szCs w:val="24"/>
        </w:rPr>
        <w:t xml:space="preserve">2020 je </w:t>
      </w:r>
      <w:r w:rsidRPr="00662D19">
        <w:rPr>
          <w:rFonts w:ascii="Calibri" w:eastAsia="Calibri" w:hAnsi="Calibri"/>
          <w:sz w:val="24"/>
          <w:szCs w:val="24"/>
        </w:rPr>
        <w:t>uvedeno v grafu č.</w:t>
      </w:r>
      <w:r w:rsidR="00662D19" w:rsidRPr="00662D19">
        <w:rPr>
          <w:rFonts w:ascii="Calibri" w:eastAsia="Calibri" w:hAnsi="Calibri"/>
          <w:sz w:val="24"/>
          <w:szCs w:val="24"/>
        </w:rPr>
        <w:t xml:space="preserve"> 2</w:t>
      </w:r>
      <w:r w:rsidRPr="00662D19">
        <w:rPr>
          <w:rFonts w:ascii="Calibri" w:eastAsia="Calibri" w:hAnsi="Calibri"/>
          <w:sz w:val="24"/>
          <w:szCs w:val="24"/>
        </w:rPr>
        <w:t>.</w:t>
      </w:r>
      <w:r w:rsidRPr="00662D19">
        <w:rPr>
          <w:rFonts w:ascii="Calibri" w:eastAsia="Calibri" w:hAnsi="Calibri" w:cs="Calibri"/>
          <w:sz w:val="24"/>
          <w:szCs w:val="24"/>
        </w:rPr>
        <w:t xml:space="preserve"> Z porovnání vyplývá, že konkurenceschopnost GIBS na trhu práce byla zajištěna již v roce 201</w:t>
      </w:r>
      <w:r w:rsidR="00703ADF">
        <w:rPr>
          <w:rFonts w:ascii="Calibri" w:eastAsia="Calibri" w:hAnsi="Calibri" w:cs="Calibri"/>
          <w:sz w:val="24"/>
          <w:szCs w:val="24"/>
        </w:rPr>
        <w:t>5</w:t>
      </w:r>
      <w:r w:rsidRPr="00662D19">
        <w:rPr>
          <w:rFonts w:ascii="Calibri" w:eastAsia="Calibri" w:hAnsi="Calibri" w:cs="Calibri"/>
          <w:sz w:val="24"/>
          <w:szCs w:val="24"/>
        </w:rPr>
        <w:t>.</w:t>
      </w:r>
    </w:p>
    <w:p w14:paraId="4DC0ABE0" w14:textId="16C07A27" w:rsidR="001B194A" w:rsidRDefault="003A5711" w:rsidP="001B194A">
      <w:pPr>
        <w:keepNext/>
        <w:spacing w:after="160" w:line="259" w:lineRule="auto"/>
        <w:rPr>
          <w:noProof/>
          <w:lang w:eastAsia="cs-CZ"/>
        </w:rPr>
      </w:pPr>
      <w:r w:rsidRPr="001B194A">
        <w:rPr>
          <w:rFonts w:ascii="Calibri" w:eastAsia="Calibri" w:hAnsi="Calibri"/>
          <w:b/>
          <w:sz w:val="24"/>
          <w:szCs w:val="24"/>
        </w:rPr>
        <w:t xml:space="preserve">Graf č. </w:t>
      </w:r>
      <w:r w:rsidR="00662D19" w:rsidRPr="001B194A">
        <w:rPr>
          <w:rFonts w:ascii="Calibri" w:eastAsia="Calibri" w:hAnsi="Calibri"/>
          <w:b/>
          <w:sz w:val="24"/>
          <w:szCs w:val="24"/>
        </w:rPr>
        <w:t>2</w:t>
      </w:r>
      <w:r w:rsidRPr="001B194A">
        <w:rPr>
          <w:rFonts w:ascii="Calibri" w:eastAsia="Calibri" w:hAnsi="Calibri"/>
          <w:b/>
          <w:sz w:val="24"/>
          <w:szCs w:val="24"/>
        </w:rPr>
        <w:t>: Nárůst průměrných platů příslušníků GIBS a Policie ČR v letech 2012</w:t>
      </w:r>
      <w:r w:rsidR="007E468D">
        <w:rPr>
          <w:rFonts w:ascii="Calibri" w:eastAsia="Calibri" w:hAnsi="Calibri"/>
          <w:b/>
          <w:sz w:val="24"/>
          <w:szCs w:val="24"/>
        </w:rPr>
        <w:t>–</w:t>
      </w:r>
      <w:r w:rsidRPr="001B194A">
        <w:rPr>
          <w:rFonts w:ascii="Calibri" w:eastAsia="Calibri" w:hAnsi="Calibri"/>
          <w:b/>
          <w:sz w:val="24"/>
          <w:szCs w:val="24"/>
        </w:rPr>
        <w:t xml:space="preserve">2020 </w:t>
      </w:r>
      <w:r w:rsidR="007E468D">
        <w:rPr>
          <w:rFonts w:ascii="Calibri" w:eastAsia="Calibri" w:hAnsi="Calibri"/>
          <w:b/>
          <w:sz w:val="24"/>
          <w:szCs w:val="24"/>
        </w:rPr>
        <w:t>(</w:t>
      </w:r>
      <w:r w:rsidRPr="001B194A">
        <w:rPr>
          <w:rFonts w:ascii="Calibri" w:eastAsia="Calibri" w:hAnsi="Calibri"/>
          <w:b/>
          <w:sz w:val="24"/>
          <w:szCs w:val="24"/>
        </w:rPr>
        <w:t>v %</w:t>
      </w:r>
      <w:r w:rsidR="007E468D">
        <w:rPr>
          <w:rFonts w:ascii="Calibri" w:eastAsia="Calibri" w:hAnsi="Calibri"/>
          <w:b/>
          <w:sz w:val="24"/>
          <w:szCs w:val="24"/>
        </w:rPr>
        <w:t>)</w:t>
      </w:r>
    </w:p>
    <w:p w14:paraId="56B1E56D" w14:textId="1C84F7F4" w:rsidR="003A5711" w:rsidRPr="003A5711" w:rsidRDefault="003A5711" w:rsidP="001B194A">
      <w:pPr>
        <w:spacing w:after="160" w:line="259" w:lineRule="auto"/>
        <w:ind w:left="567" w:hanging="567"/>
        <w:rPr>
          <w:rFonts w:ascii="Calibri" w:eastAsia="Calibri" w:hAnsi="Calibri"/>
          <w:noProof/>
          <w:lang w:eastAsia="cs-CZ"/>
        </w:rPr>
      </w:pPr>
      <w:r w:rsidRPr="003A5711">
        <w:rPr>
          <w:noProof/>
          <w:lang w:eastAsia="cs-CZ"/>
        </w:rPr>
        <w:drawing>
          <wp:anchor distT="0" distB="0" distL="114300" distR="114300" simplePos="0" relativeHeight="251660288" behindDoc="0" locked="0" layoutInCell="1" allowOverlap="1" wp14:anchorId="7AC55E4B" wp14:editId="487C8E5A">
            <wp:simplePos x="0" y="0"/>
            <wp:positionH relativeFrom="column">
              <wp:posOffset>-4445</wp:posOffset>
            </wp:positionH>
            <wp:positionV relativeFrom="paragraph">
              <wp:posOffset>0</wp:posOffset>
            </wp:positionV>
            <wp:extent cx="5760720" cy="2346562"/>
            <wp:effectExtent l="0" t="0" r="0" b="0"/>
            <wp:wrapTopAndBottom/>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13137A">
        <w:rPr>
          <w:rFonts w:ascii="Calibri" w:eastAsia="Calibri" w:hAnsi="Calibri" w:cs="Calibri"/>
          <w:b/>
          <w:sz w:val="20"/>
          <w:szCs w:val="20"/>
        </w:rPr>
        <w:t>Zdroj:</w:t>
      </w:r>
      <w:r w:rsidRPr="003A5711">
        <w:rPr>
          <w:rFonts w:ascii="Calibri" w:eastAsia="Calibri" w:hAnsi="Calibri" w:cs="Calibri"/>
          <w:sz w:val="20"/>
          <w:szCs w:val="20"/>
        </w:rPr>
        <w:t xml:space="preserve"> Informace o platech příslušníků Policie ČR byly získány ze závěrečných účtů kapitoly 314 – </w:t>
      </w:r>
      <w:r w:rsidRPr="009D6D78">
        <w:rPr>
          <w:rFonts w:ascii="Calibri" w:eastAsia="Calibri" w:hAnsi="Calibri" w:cs="Calibri"/>
          <w:i/>
          <w:sz w:val="20"/>
          <w:szCs w:val="20"/>
        </w:rPr>
        <w:t>Ministerstvo vnitra</w:t>
      </w:r>
      <w:r w:rsidR="007E468D">
        <w:rPr>
          <w:rFonts w:ascii="Calibri" w:eastAsia="Calibri" w:hAnsi="Calibri" w:cs="Calibri"/>
          <w:sz w:val="20"/>
          <w:szCs w:val="20"/>
        </w:rPr>
        <w:t>;</w:t>
      </w:r>
      <w:r w:rsidRPr="003A5711">
        <w:rPr>
          <w:rFonts w:ascii="Calibri" w:eastAsia="Calibri" w:hAnsi="Calibri" w:cs="Calibri"/>
          <w:sz w:val="20"/>
          <w:szCs w:val="20"/>
        </w:rPr>
        <w:t xml:space="preserve"> jedná se o průměrný plat zaměstnanců bezpečnostních sborů a ozbrojených sil ve služebním poměru. V případě příslušníků GIBS je zdrojem dat informace předaná NKÚ v rámci kontroly. </w:t>
      </w:r>
      <w:r w:rsidR="006E2675">
        <w:rPr>
          <w:rFonts w:ascii="Calibri" w:eastAsia="Calibri" w:hAnsi="Calibri" w:cs="Calibri"/>
          <w:sz w:val="20"/>
          <w:szCs w:val="20"/>
        </w:rPr>
        <w:t xml:space="preserve"> </w:t>
      </w:r>
    </w:p>
    <w:p w14:paraId="01BB66F6" w14:textId="5B8C00CC" w:rsidR="003A5711" w:rsidRPr="003A5711" w:rsidRDefault="00930F74" w:rsidP="004F15E2">
      <w:pPr>
        <w:spacing w:after="120" w:line="264" w:lineRule="auto"/>
        <w:jc w:val="both"/>
        <w:rPr>
          <w:rFonts w:ascii="Calibri" w:eastAsia="Calibri" w:hAnsi="Calibri" w:cs="Calibri"/>
          <w:b/>
          <w:sz w:val="24"/>
          <w:szCs w:val="24"/>
        </w:rPr>
      </w:pPr>
      <w:r>
        <w:rPr>
          <w:rFonts w:ascii="Calibri" w:eastAsia="Calibri" w:hAnsi="Calibri" w:cs="Calibri"/>
          <w:b/>
          <w:sz w:val="24"/>
          <w:szCs w:val="24"/>
        </w:rPr>
        <w:t>Z</w:t>
      </w:r>
      <w:r w:rsidR="009E5A39">
        <w:rPr>
          <w:rFonts w:ascii="Calibri" w:eastAsia="Calibri" w:hAnsi="Calibri" w:cs="Calibri"/>
          <w:b/>
          <w:sz w:val="24"/>
          <w:szCs w:val="24"/>
        </w:rPr>
        <w:t> </w:t>
      </w:r>
      <w:r>
        <w:rPr>
          <w:rFonts w:ascii="Calibri" w:eastAsia="Calibri" w:hAnsi="Calibri" w:cs="Calibri"/>
          <w:b/>
          <w:sz w:val="24"/>
          <w:szCs w:val="24"/>
        </w:rPr>
        <w:t>grafu</w:t>
      </w:r>
      <w:r w:rsidR="009E5A39">
        <w:rPr>
          <w:rFonts w:ascii="Calibri" w:eastAsia="Calibri" w:hAnsi="Calibri" w:cs="Calibri"/>
          <w:b/>
          <w:sz w:val="24"/>
          <w:szCs w:val="24"/>
        </w:rPr>
        <w:t xml:space="preserve"> č. 2</w:t>
      </w:r>
      <w:r>
        <w:rPr>
          <w:rFonts w:ascii="Calibri" w:eastAsia="Calibri" w:hAnsi="Calibri" w:cs="Calibri"/>
          <w:b/>
          <w:sz w:val="24"/>
          <w:szCs w:val="24"/>
        </w:rPr>
        <w:t xml:space="preserve"> vyplývá, </w:t>
      </w:r>
      <w:r w:rsidR="00316BBB">
        <w:rPr>
          <w:rFonts w:ascii="Calibri" w:eastAsia="Calibri" w:hAnsi="Calibri" w:cs="Calibri"/>
          <w:b/>
          <w:sz w:val="24"/>
          <w:szCs w:val="24"/>
        </w:rPr>
        <w:t xml:space="preserve">že </w:t>
      </w:r>
      <w:r>
        <w:rPr>
          <w:rFonts w:ascii="Calibri" w:eastAsia="Calibri" w:hAnsi="Calibri" w:cs="Calibri"/>
          <w:b/>
          <w:sz w:val="24"/>
          <w:szCs w:val="24"/>
        </w:rPr>
        <w:t xml:space="preserve">konkurenceschopnost GIBS na trhu práce byla zajištěna již v roce 2015. </w:t>
      </w:r>
      <w:r w:rsidR="00316BBB">
        <w:rPr>
          <w:rFonts w:ascii="Calibri" w:eastAsia="Calibri" w:hAnsi="Calibri" w:cs="Calibri"/>
          <w:b/>
          <w:sz w:val="24"/>
          <w:szCs w:val="24"/>
        </w:rPr>
        <w:t xml:space="preserve">I přesto v následujících letech GIBS požadovala navyšování platových prostředků s odůvodněním v předkládacích zprávách, </w:t>
      </w:r>
      <w:r w:rsidR="00316BBB" w:rsidRPr="001C169E">
        <w:rPr>
          <w:rFonts w:ascii="Calibri" w:eastAsia="Calibri" w:hAnsi="Calibri" w:cs="Calibri"/>
          <w:b/>
          <w:sz w:val="24"/>
          <w:szCs w:val="24"/>
        </w:rPr>
        <w:t>že není konkurenceschopná na trhu práce z důvodu nižších platů ve srovnání s jinými bezpečnostními sbory</w:t>
      </w:r>
      <w:r w:rsidR="00316BBB" w:rsidRPr="00316BBB">
        <w:rPr>
          <w:rFonts w:ascii="Calibri" w:eastAsia="Calibri" w:hAnsi="Calibri" w:cs="Calibri"/>
          <w:b/>
          <w:sz w:val="24"/>
          <w:szCs w:val="24"/>
        </w:rPr>
        <w:t>.</w:t>
      </w:r>
      <w:r w:rsidR="00316BBB">
        <w:rPr>
          <w:rFonts w:ascii="Calibri" w:eastAsia="Calibri" w:hAnsi="Calibri" w:cs="Calibri"/>
          <w:b/>
          <w:sz w:val="24"/>
          <w:szCs w:val="24"/>
        </w:rPr>
        <w:t xml:space="preserve"> </w:t>
      </w:r>
      <w:r w:rsidR="003A5711" w:rsidRPr="003A5711">
        <w:rPr>
          <w:rFonts w:ascii="Calibri" w:eastAsia="Calibri" w:hAnsi="Calibri" w:cs="Calibri"/>
          <w:b/>
          <w:sz w:val="24"/>
          <w:szCs w:val="24"/>
        </w:rPr>
        <w:t xml:space="preserve">GIBS průkazně nedoložila </w:t>
      </w:r>
      <w:r w:rsidR="004E292C">
        <w:rPr>
          <w:rFonts w:ascii="Calibri" w:eastAsia="Calibri" w:hAnsi="Calibri" w:cs="Calibri"/>
          <w:b/>
          <w:sz w:val="24"/>
          <w:szCs w:val="24"/>
        </w:rPr>
        <w:t xml:space="preserve">v předkládacích zprávách </w:t>
      </w:r>
      <w:r w:rsidR="003A5711" w:rsidRPr="003A5711">
        <w:rPr>
          <w:rFonts w:ascii="Calibri" w:eastAsia="Calibri" w:hAnsi="Calibri" w:cs="Calibri"/>
          <w:b/>
          <w:sz w:val="24"/>
          <w:szCs w:val="24"/>
        </w:rPr>
        <w:t xml:space="preserve">oprávněnost svých potřeb a zároveň </w:t>
      </w:r>
      <w:r w:rsidR="004E292C">
        <w:rPr>
          <w:rFonts w:ascii="Calibri" w:eastAsia="Calibri" w:hAnsi="Calibri" w:cs="Calibri"/>
          <w:b/>
          <w:sz w:val="24"/>
          <w:szCs w:val="24"/>
        </w:rPr>
        <w:t xml:space="preserve">ve svých požadavcích </w:t>
      </w:r>
      <w:r w:rsidR="003A5711" w:rsidRPr="003A5711">
        <w:rPr>
          <w:rFonts w:ascii="Calibri" w:eastAsia="Calibri" w:hAnsi="Calibri" w:cs="Calibri"/>
          <w:b/>
          <w:sz w:val="24"/>
          <w:szCs w:val="24"/>
        </w:rPr>
        <w:t>nezohlednila např. vývoj průměrných platů ve veřejném sektoru nebo skutečnost, že patří mezi kapitoly</w:t>
      </w:r>
      <w:r w:rsidR="00437D97">
        <w:rPr>
          <w:rFonts w:ascii="Calibri" w:eastAsia="Calibri" w:hAnsi="Calibri" w:cs="Calibri"/>
          <w:b/>
          <w:sz w:val="24"/>
          <w:szCs w:val="24"/>
        </w:rPr>
        <w:t xml:space="preserve"> státního rozpočtu </w:t>
      </w:r>
      <w:r w:rsidR="003A5711" w:rsidRPr="003A5711">
        <w:rPr>
          <w:rFonts w:ascii="Calibri" w:eastAsia="Calibri" w:hAnsi="Calibri" w:cs="Calibri"/>
          <w:b/>
          <w:sz w:val="24"/>
          <w:szCs w:val="24"/>
        </w:rPr>
        <w:t xml:space="preserve">s nejvyšším průměrným platem. </w:t>
      </w:r>
      <w:r w:rsidR="003A5711" w:rsidRPr="00316BBB">
        <w:rPr>
          <w:rFonts w:ascii="Calibri" w:eastAsia="Calibri" w:hAnsi="Calibri" w:cs="Calibri"/>
          <w:b/>
          <w:sz w:val="24"/>
          <w:szCs w:val="24"/>
        </w:rPr>
        <w:t>Z výše uvedených důvodů vyhodnotil NKÚ navyšování platů GIBS jako neúčelné.</w:t>
      </w:r>
    </w:p>
    <w:p w14:paraId="0D698F1D" w14:textId="6FDE38FD" w:rsidR="003A5711" w:rsidRPr="003A5711" w:rsidRDefault="003A5711" w:rsidP="001B194A">
      <w:pPr>
        <w:keepNext/>
        <w:spacing w:after="120" w:line="264" w:lineRule="auto"/>
        <w:ind w:left="425" w:hanging="425"/>
        <w:outlineLvl w:val="2"/>
        <w:rPr>
          <w:rFonts w:cs="Calibri"/>
          <w:b/>
          <w:sz w:val="24"/>
          <w:szCs w:val="24"/>
        </w:rPr>
      </w:pPr>
      <w:r w:rsidRPr="003A5711">
        <w:rPr>
          <w:rFonts w:cs="Calibri"/>
          <w:b/>
          <w:sz w:val="24"/>
          <w:szCs w:val="24"/>
        </w:rPr>
        <w:t>2.2 Fluktuace v GIBS a její rozpočtové dopady</w:t>
      </w:r>
    </w:p>
    <w:p w14:paraId="25A3F14E" w14:textId="2F624CDB" w:rsidR="003A5711" w:rsidRPr="00442CA2" w:rsidRDefault="003A5711" w:rsidP="004F15E2">
      <w:pPr>
        <w:spacing w:after="120" w:line="264" w:lineRule="auto"/>
        <w:jc w:val="both"/>
        <w:rPr>
          <w:rFonts w:ascii="Calibri" w:eastAsia="Calibri" w:hAnsi="Calibri"/>
          <w:sz w:val="24"/>
          <w:szCs w:val="24"/>
        </w:rPr>
      </w:pPr>
      <w:r w:rsidRPr="003A5711">
        <w:rPr>
          <w:rFonts w:ascii="Calibri" w:eastAsia="Calibri" w:hAnsi="Calibri"/>
          <w:sz w:val="24"/>
          <w:szCs w:val="24"/>
        </w:rPr>
        <w:t>Růst výdajů GIBS v kontrolovaném období ovlivnilo také vysoké mn</w:t>
      </w:r>
      <w:r w:rsidR="0087375E">
        <w:rPr>
          <w:rFonts w:ascii="Calibri" w:eastAsia="Calibri" w:hAnsi="Calibri"/>
          <w:sz w:val="24"/>
          <w:szCs w:val="24"/>
        </w:rPr>
        <w:t>ožství odchodů příslušníků GIB</w:t>
      </w:r>
      <w:r w:rsidR="00437D97">
        <w:rPr>
          <w:rFonts w:ascii="Calibri" w:eastAsia="Calibri" w:hAnsi="Calibri"/>
          <w:sz w:val="24"/>
          <w:szCs w:val="24"/>
        </w:rPr>
        <w:t xml:space="preserve">S. </w:t>
      </w:r>
      <w:r w:rsidR="0087375E">
        <w:rPr>
          <w:rFonts w:ascii="Calibri" w:eastAsia="Calibri" w:hAnsi="Calibri"/>
          <w:sz w:val="24"/>
          <w:szCs w:val="24"/>
        </w:rPr>
        <w:t>N</w:t>
      </w:r>
      <w:r w:rsidRPr="003A5711">
        <w:rPr>
          <w:rFonts w:ascii="Calibri" w:eastAsia="Calibri" w:hAnsi="Calibri"/>
          <w:sz w:val="24"/>
          <w:szCs w:val="24"/>
        </w:rPr>
        <w:t>ejvyšší četnost byla zjištěna v </w:t>
      </w:r>
      <w:r w:rsidR="00895E8E">
        <w:rPr>
          <w:rFonts w:ascii="Calibri" w:eastAsia="Calibri" w:hAnsi="Calibri"/>
          <w:sz w:val="24"/>
          <w:szCs w:val="24"/>
        </w:rPr>
        <w:t>letech</w:t>
      </w:r>
      <w:r w:rsidRPr="003A5711">
        <w:rPr>
          <w:rFonts w:ascii="Calibri" w:eastAsia="Calibri" w:hAnsi="Calibri"/>
          <w:sz w:val="24"/>
          <w:szCs w:val="24"/>
        </w:rPr>
        <w:t xml:space="preserve"> 2018 a 2020</w:t>
      </w:r>
      <w:r w:rsidR="00437D97">
        <w:rPr>
          <w:rFonts w:ascii="Calibri" w:eastAsia="Calibri" w:hAnsi="Calibri"/>
          <w:sz w:val="24"/>
          <w:szCs w:val="24"/>
        </w:rPr>
        <w:t xml:space="preserve">, jedním z důvodů </w:t>
      </w:r>
      <w:r w:rsidR="00F011A3">
        <w:rPr>
          <w:rFonts w:ascii="Calibri" w:eastAsia="Calibri" w:hAnsi="Calibri"/>
          <w:sz w:val="24"/>
          <w:szCs w:val="24"/>
        </w:rPr>
        <w:t>byly</w:t>
      </w:r>
      <w:r w:rsidR="00437D97">
        <w:rPr>
          <w:rFonts w:ascii="Calibri" w:eastAsia="Calibri" w:hAnsi="Calibri"/>
          <w:sz w:val="24"/>
          <w:szCs w:val="24"/>
        </w:rPr>
        <w:t xml:space="preserve"> </w:t>
      </w:r>
      <w:r w:rsidR="00437D97" w:rsidRPr="003A5711">
        <w:rPr>
          <w:rFonts w:ascii="Calibri" w:eastAsia="Calibri" w:hAnsi="Calibri"/>
          <w:sz w:val="24"/>
          <w:szCs w:val="24"/>
        </w:rPr>
        <w:t>dle vyjádření GIBS</w:t>
      </w:r>
      <w:r w:rsidR="00437D97" w:rsidRPr="00437D97">
        <w:rPr>
          <w:rFonts w:ascii="Calibri" w:eastAsia="Calibri" w:hAnsi="Calibri"/>
          <w:sz w:val="24"/>
          <w:szCs w:val="24"/>
        </w:rPr>
        <w:t xml:space="preserve"> </w:t>
      </w:r>
      <w:r w:rsidR="00437D97" w:rsidRPr="003A5711">
        <w:rPr>
          <w:rFonts w:ascii="Calibri" w:eastAsia="Calibri" w:hAnsi="Calibri"/>
          <w:sz w:val="24"/>
          <w:szCs w:val="24"/>
        </w:rPr>
        <w:t>změny ve vedení</w:t>
      </w:r>
      <w:r w:rsidR="00F011A3">
        <w:rPr>
          <w:rFonts w:ascii="Calibri" w:eastAsia="Calibri" w:hAnsi="Calibri"/>
          <w:sz w:val="24"/>
          <w:szCs w:val="24"/>
        </w:rPr>
        <w:t xml:space="preserve"> GIBS. </w:t>
      </w:r>
      <w:r w:rsidRPr="003A5711">
        <w:rPr>
          <w:rFonts w:ascii="Calibri" w:eastAsia="Calibri" w:hAnsi="Calibri"/>
          <w:sz w:val="24"/>
          <w:szCs w:val="24"/>
        </w:rPr>
        <w:t xml:space="preserve">Stabilizaci personálních zdrojů jako jeden z cílů navyšování platových prostředků </w:t>
      </w:r>
      <w:r w:rsidR="00F011A3" w:rsidRPr="003A5711">
        <w:rPr>
          <w:rFonts w:ascii="Calibri" w:eastAsia="Calibri" w:hAnsi="Calibri"/>
          <w:bCs/>
          <w:sz w:val="24"/>
          <w:szCs w:val="24"/>
        </w:rPr>
        <w:t xml:space="preserve">dle </w:t>
      </w:r>
      <w:r w:rsidR="00F011A3" w:rsidRPr="003A5711">
        <w:rPr>
          <w:rFonts w:ascii="Calibri" w:hAnsi="Calibri" w:cs="Calibri"/>
          <w:sz w:val="24"/>
          <w:szCs w:val="24"/>
        </w:rPr>
        <w:t>usnesení vlády č. 148/2017</w:t>
      </w:r>
      <w:r w:rsidR="00F011A3">
        <w:rPr>
          <w:rFonts w:ascii="Calibri" w:hAnsi="Calibri" w:cs="Calibri"/>
          <w:sz w:val="24"/>
          <w:szCs w:val="24"/>
        </w:rPr>
        <w:t xml:space="preserve"> </w:t>
      </w:r>
      <w:r w:rsidRPr="003A5711">
        <w:rPr>
          <w:rFonts w:ascii="Calibri" w:eastAsia="Calibri" w:hAnsi="Calibri"/>
          <w:sz w:val="24"/>
          <w:szCs w:val="24"/>
        </w:rPr>
        <w:t xml:space="preserve">uvedených v části IV.1.1 </w:t>
      </w:r>
      <w:r w:rsidR="007E468D">
        <w:rPr>
          <w:rFonts w:ascii="Calibri" w:eastAsia="Calibri" w:hAnsi="Calibri"/>
          <w:sz w:val="24"/>
          <w:szCs w:val="24"/>
        </w:rPr>
        <w:t xml:space="preserve">tohoto </w:t>
      </w:r>
      <w:r w:rsidRPr="003A5711">
        <w:rPr>
          <w:rFonts w:ascii="Calibri" w:eastAsia="Calibri" w:hAnsi="Calibri"/>
          <w:sz w:val="24"/>
          <w:szCs w:val="24"/>
        </w:rPr>
        <w:t xml:space="preserve">kontrolního závěru tak GIBS nesplnila, neboť v období 2018 až 2020 odešlo ze služebního poměru celkem </w:t>
      </w:r>
      <w:r w:rsidR="00F011A3">
        <w:rPr>
          <w:rFonts w:ascii="Calibri" w:eastAsia="Calibri" w:hAnsi="Calibri"/>
          <w:sz w:val="24"/>
          <w:szCs w:val="24"/>
        </w:rPr>
        <w:t>120</w:t>
      </w:r>
      <w:r w:rsidR="00F011A3" w:rsidRPr="003A5711">
        <w:rPr>
          <w:rFonts w:ascii="Calibri" w:eastAsia="Calibri" w:hAnsi="Calibri"/>
          <w:sz w:val="24"/>
          <w:szCs w:val="24"/>
        </w:rPr>
        <w:t xml:space="preserve"> </w:t>
      </w:r>
      <w:r w:rsidRPr="003A5711">
        <w:rPr>
          <w:rFonts w:ascii="Calibri" w:eastAsia="Calibri" w:hAnsi="Calibri"/>
          <w:sz w:val="24"/>
          <w:szCs w:val="24"/>
        </w:rPr>
        <w:t>příslušníků GIBS</w:t>
      </w:r>
      <w:r w:rsidR="00F011A3">
        <w:rPr>
          <w:rFonts w:ascii="Calibri" w:eastAsia="Calibri" w:hAnsi="Calibri"/>
          <w:sz w:val="24"/>
          <w:szCs w:val="24"/>
        </w:rPr>
        <w:t xml:space="preserve">, z toho 87 % mimo služební poměr. </w:t>
      </w:r>
      <w:r w:rsidRPr="003A5711">
        <w:rPr>
          <w:rFonts w:ascii="Calibri" w:eastAsia="Calibri" w:hAnsi="Calibri"/>
          <w:sz w:val="24"/>
          <w:szCs w:val="24"/>
        </w:rPr>
        <w:t xml:space="preserve">Počet odchodů ovlivňuje výši </w:t>
      </w:r>
      <w:r w:rsidR="002238B9">
        <w:rPr>
          <w:rFonts w:ascii="Calibri" w:eastAsia="Calibri" w:hAnsi="Calibri"/>
          <w:sz w:val="24"/>
          <w:szCs w:val="24"/>
        </w:rPr>
        <w:t>výsluhových nároků</w:t>
      </w:r>
      <w:r w:rsidRPr="003A5711">
        <w:rPr>
          <w:rFonts w:ascii="Calibri" w:eastAsia="Calibri" w:hAnsi="Calibri"/>
          <w:sz w:val="24"/>
          <w:szCs w:val="24"/>
        </w:rPr>
        <w:t>, které GIBS následně vyplácí, a to především odchodného</w:t>
      </w:r>
      <w:r w:rsidRPr="003A5711">
        <w:rPr>
          <w:rFonts w:ascii="Calibri" w:eastAsia="Calibri" w:hAnsi="Calibri"/>
          <w:sz w:val="24"/>
          <w:szCs w:val="24"/>
          <w:vertAlign w:val="superscript"/>
        </w:rPr>
        <w:footnoteReference w:id="13"/>
      </w:r>
      <w:r w:rsidRPr="003A5711">
        <w:rPr>
          <w:rFonts w:ascii="Calibri" w:eastAsia="Calibri" w:hAnsi="Calibri"/>
          <w:sz w:val="24"/>
          <w:szCs w:val="24"/>
        </w:rPr>
        <w:t xml:space="preserve"> a výsluhového příspěvku (viz graf č</w:t>
      </w:r>
      <w:r w:rsidRPr="00662D19">
        <w:rPr>
          <w:rFonts w:ascii="Calibri" w:eastAsia="Calibri" w:hAnsi="Calibri"/>
          <w:sz w:val="24"/>
          <w:szCs w:val="24"/>
        </w:rPr>
        <w:t>.</w:t>
      </w:r>
      <w:r w:rsidR="00662D19">
        <w:rPr>
          <w:rFonts w:ascii="Calibri" w:eastAsia="Calibri" w:hAnsi="Calibri"/>
          <w:sz w:val="24"/>
          <w:szCs w:val="24"/>
        </w:rPr>
        <w:t xml:space="preserve"> </w:t>
      </w:r>
      <w:r w:rsidR="00662D19" w:rsidRPr="00662D19">
        <w:rPr>
          <w:rFonts w:ascii="Calibri" w:eastAsia="Calibri" w:hAnsi="Calibri"/>
          <w:sz w:val="24"/>
          <w:szCs w:val="24"/>
        </w:rPr>
        <w:t>3</w:t>
      </w:r>
      <w:r w:rsidRPr="00662D19">
        <w:rPr>
          <w:rFonts w:ascii="Calibri" w:eastAsia="Calibri" w:hAnsi="Calibri"/>
          <w:sz w:val="24"/>
          <w:szCs w:val="24"/>
        </w:rPr>
        <w:t xml:space="preserve">). </w:t>
      </w:r>
      <w:r w:rsidRPr="003A5711">
        <w:rPr>
          <w:rFonts w:ascii="Calibri" w:eastAsia="Calibri" w:hAnsi="Calibri"/>
          <w:sz w:val="24"/>
          <w:szCs w:val="24"/>
        </w:rPr>
        <w:t>Např. výsluhový příspěvek vzrostl z 13,5</w:t>
      </w:r>
      <w:r w:rsidR="00895E8E">
        <w:rPr>
          <w:rFonts w:ascii="Calibri" w:eastAsia="Calibri" w:hAnsi="Calibri"/>
          <w:sz w:val="24"/>
          <w:szCs w:val="24"/>
        </w:rPr>
        <w:t> </w:t>
      </w:r>
      <w:r w:rsidRPr="003A5711">
        <w:rPr>
          <w:rFonts w:ascii="Calibri" w:eastAsia="Calibri" w:hAnsi="Calibri"/>
          <w:sz w:val="24"/>
          <w:szCs w:val="24"/>
        </w:rPr>
        <w:t>mil.</w:t>
      </w:r>
      <w:r w:rsidR="00895E8E">
        <w:rPr>
          <w:rFonts w:ascii="Calibri" w:eastAsia="Calibri" w:hAnsi="Calibri"/>
          <w:sz w:val="24"/>
          <w:szCs w:val="24"/>
        </w:rPr>
        <w:t> </w:t>
      </w:r>
      <w:r w:rsidRPr="003A5711">
        <w:rPr>
          <w:rFonts w:ascii="Calibri" w:eastAsia="Calibri" w:hAnsi="Calibri"/>
          <w:sz w:val="24"/>
          <w:szCs w:val="24"/>
        </w:rPr>
        <w:t>Kč (2017) na 42 mil. Kč (2020), tj. o 211 %.</w:t>
      </w:r>
    </w:p>
    <w:p w14:paraId="5886FAD5" w14:textId="77777777" w:rsidR="001B194A" w:rsidRDefault="003A5711" w:rsidP="001B194A">
      <w:pPr>
        <w:keepNext/>
        <w:ind w:left="993" w:hanging="993"/>
        <w:rPr>
          <w:rFonts w:ascii="Calibri" w:eastAsia="Calibri" w:hAnsi="Calibri"/>
          <w:b/>
          <w:noProof/>
          <w:sz w:val="24"/>
          <w:szCs w:val="24"/>
          <w:lang w:eastAsia="cs-CZ"/>
        </w:rPr>
      </w:pPr>
      <w:r w:rsidRPr="001B194A">
        <w:rPr>
          <w:rFonts w:ascii="Calibri" w:eastAsia="Calibri" w:hAnsi="Calibri"/>
          <w:b/>
          <w:noProof/>
          <w:sz w:val="24"/>
          <w:szCs w:val="24"/>
          <w:lang w:eastAsia="cs-CZ"/>
        </w:rPr>
        <w:lastRenderedPageBreak/>
        <w:t xml:space="preserve">Graf č. </w:t>
      </w:r>
      <w:r w:rsidR="00662D19" w:rsidRPr="001B194A">
        <w:rPr>
          <w:rFonts w:ascii="Calibri" w:eastAsia="Calibri" w:hAnsi="Calibri"/>
          <w:b/>
          <w:noProof/>
          <w:sz w:val="24"/>
          <w:szCs w:val="24"/>
          <w:lang w:eastAsia="cs-CZ"/>
        </w:rPr>
        <w:t>3</w:t>
      </w:r>
      <w:r w:rsidRPr="001B194A">
        <w:rPr>
          <w:rFonts w:ascii="Calibri" w:eastAsia="Calibri" w:hAnsi="Calibri"/>
          <w:b/>
          <w:noProof/>
          <w:sz w:val="24"/>
          <w:szCs w:val="24"/>
          <w:lang w:eastAsia="cs-CZ"/>
        </w:rPr>
        <w:t xml:space="preserve">: </w:t>
      </w:r>
      <w:r w:rsidR="001B194A">
        <w:rPr>
          <w:rFonts w:ascii="Calibri" w:eastAsia="Calibri" w:hAnsi="Calibri"/>
          <w:b/>
          <w:noProof/>
          <w:sz w:val="24"/>
          <w:szCs w:val="24"/>
          <w:lang w:eastAsia="cs-CZ"/>
        </w:rPr>
        <w:tab/>
      </w:r>
      <w:r w:rsidRPr="001B194A">
        <w:rPr>
          <w:rFonts w:ascii="Calibri" w:eastAsia="Calibri" w:hAnsi="Calibri"/>
          <w:b/>
          <w:noProof/>
          <w:sz w:val="24"/>
          <w:szCs w:val="24"/>
          <w:lang w:eastAsia="cs-CZ"/>
        </w:rPr>
        <w:t>Vývoj čerpání odchodného a výsluhového příspěvku</w:t>
      </w:r>
      <w:r w:rsidR="0013137A" w:rsidRPr="001B194A">
        <w:rPr>
          <w:rFonts w:ascii="Calibri" w:eastAsia="Calibri" w:hAnsi="Calibri"/>
          <w:b/>
          <w:noProof/>
          <w:sz w:val="24"/>
          <w:szCs w:val="24"/>
          <w:lang w:eastAsia="cs-CZ"/>
        </w:rPr>
        <w:t xml:space="preserve"> příslušníků GIBS v</w:t>
      </w:r>
      <w:r w:rsidR="001B194A">
        <w:rPr>
          <w:rFonts w:ascii="Calibri" w:eastAsia="Calibri" w:hAnsi="Calibri"/>
          <w:b/>
          <w:noProof/>
          <w:sz w:val="24"/>
          <w:szCs w:val="24"/>
          <w:lang w:eastAsia="cs-CZ"/>
        </w:rPr>
        <w:t> </w:t>
      </w:r>
      <w:r w:rsidR="0013137A" w:rsidRPr="001B194A">
        <w:rPr>
          <w:rFonts w:ascii="Calibri" w:eastAsia="Calibri" w:hAnsi="Calibri"/>
          <w:b/>
          <w:noProof/>
          <w:sz w:val="24"/>
          <w:szCs w:val="24"/>
          <w:lang w:eastAsia="cs-CZ"/>
        </w:rPr>
        <w:t>letech</w:t>
      </w:r>
      <w:r w:rsidR="001B194A">
        <w:rPr>
          <w:rFonts w:ascii="Calibri" w:eastAsia="Calibri" w:hAnsi="Calibri"/>
          <w:b/>
          <w:noProof/>
          <w:sz w:val="24"/>
          <w:szCs w:val="24"/>
          <w:lang w:eastAsia="cs-CZ"/>
        </w:rPr>
        <w:t xml:space="preserve"> </w:t>
      </w:r>
      <w:r w:rsidR="0013137A" w:rsidRPr="001B194A">
        <w:rPr>
          <w:rFonts w:ascii="Calibri" w:eastAsia="Calibri" w:hAnsi="Calibri"/>
          <w:b/>
          <w:noProof/>
          <w:sz w:val="24"/>
          <w:szCs w:val="24"/>
          <w:lang w:eastAsia="cs-CZ"/>
        </w:rPr>
        <w:t>2012–</w:t>
      </w:r>
      <w:r w:rsidRPr="001B194A">
        <w:rPr>
          <w:rFonts w:ascii="Calibri" w:eastAsia="Calibri" w:hAnsi="Calibri"/>
          <w:b/>
          <w:noProof/>
          <w:sz w:val="24"/>
          <w:szCs w:val="24"/>
          <w:lang w:eastAsia="cs-CZ"/>
        </w:rPr>
        <w:t>2020</w:t>
      </w:r>
    </w:p>
    <w:p w14:paraId="1D6CF66F" w14:textId="2068335B" w:rsidR="003A5711" w:rsidRPr="003A5711" w:rsidRDefault="003A5711" w:rsidP="001B194A">
      <w:pPr>
        <w:keepNext/>
        <w:rPr>
          <w:rFonts w:ascii="Calibri" w:eastAsia="Calibri" w:hAnsi="Calibri"/>
          <w:noProof/>
          <w:lang w:eastAsia="cs-CZ"/>
        </w:rPr>
      </w:pPr>
      <w:r w:rsidRPr="003A5711">
        <w:rPr>
          <w:noProof/>
          <w:lang w:eastAsia="cs-CZ"/>
        </w:rPr>
        <w:drawing>
          <wp:inline distT="0" distB="0" distL="0" distR="0" wp14:anchorId="7D0959FA" wp14:editId="6ACDB731">
            <wp:extent cx="5642394" cy="2173605"/>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36C388" w14:textId="27D1272B" w:rsidR="003A5711" w:rsidRPr="003A5711" w:rsidRDefault="003A5711" w:rsidP="003A5711">
      <w:pPr>
        <w:spacing w:after="120"/>
        <w:rPr>
          <w:rFonts w:ascii="Calibri" w:eastAsia="Calibri" w:hAnsi="Calibri" w:cs="Calibri"/>
          <w:sz w:val="20"/>
          <w:szCs w:val="20"/>
        </w:rPr>
      </w:pPr>
      <w:r w:rsidRPr="0013137A">
        <w:rPr>
          <w:rFonts w:ascii="Calibri" w:eastAsia="Calibri" w:hAnsi="Calibri" w:cs="Calibri"/>
          <w:b/>
          <w:sz w:val="20"/>
          <w:szCs w:val="20"/>
        </w:rPr>
        <w:t>Zdroj:</w:t>
      </w:r>
      <w:r w:rsidRPr="003A5711">
        <w:rPr>
          <w:rFonts w:ascii="Calibri" w:eastAsia="Calibri" w:hAnsi="Calibri" w:cs="Calibri"/>
          <w:sz w:val="20"/>
          <w:szCs w:val="20"/>
        </w:rPr>
        <w:t xml:space="preserve"> Monitor státní pokladny</w:t>
      </w:r>
      <w:r w:rsidR="00235CC5">
        <w:rPr>
          <w:rFonts w:ascii="Calibri" w:eastAsia="Calibri" w:hAnsi="Calibri" w:cs="Calibri"/>
          <w:sz w:val="20"/>
          <w:szCs w:val="20"/>
        </w:rPr>
        <w:t>.</w:t>
      </w:r>
    </w:p>
    <w:p w14:paraId="67F835FC" w14:textId="03643CEC" w:rsidR="003A5711" w:rsidRPr="003A5711" w:rsidRDefault="003A5711" w:rsidP="004F15E2">
      <w:pPr>
        <w:spacing w:after="120" w:line="264" w:lineRule="auto"/>
        <w:jc w:val="both"/>
        <w:rPr>
          <w:rFonts w:ascii="Calibri" w:eastAsia="Calibri" w:hAnsi="Calibri" w:cs="Calibri"/>
          <w:color w:val="000000"/>
          <w:sz w:val="24"/>
          <w:szCs w:val="24"/>
          <w:shd w:val="clear" w:color="auto" w:fill="FFFFFF"/>
        </w:rPr>
      </w:pPr>
      <w:r w:rsidRPr="003A5711">
        <w:rPr>
          <w:rFonts w:ascii="Calibri" w:eastAsia="Calibri" w:hAnsi="Calibri" w:cs="Calibri"/>
          <w:color w:val="000000"/>
          <w:sz w:val="24"/>
          <w:szCs w:val="24"/>
          <w:shd w:val="clear" w:color="auto" w:fill="FFFFFF"/>
        </w:rPr>
        <w:t>Odchod příslušníka GIBS se odráží v čerpání výsluhového příspěvku</w:t>
      </w:r>
      <w:r w:rsidRPr="003A5711">
        <w:rPr>
          <w:rFonts w:ascii="Calibri" w:eastAsia="Calibri" w:hAnsi="Calibri" w:cs="Calibri"/>
          <w:color w:val="000000"/>
          <w:sz w:val="24"/>
          <w:szCs w:val="24"/>
          <w:shd w:val="clear" w:color="auto" w:fill="FFFFFF"/>
          <w:vertAlign w:val="superscript"/>
        </w:rPr>
        <w:footnoteReference w:id="14"/>
      </w:r>
      <w:r w:rsidRPr="003A5711">
        <w:rPr>
          <w:rFonts w:ascii="Calibri" w:eastAsia="Calibri" w:hAnsi="Calibri" w:cs="Calibri"/>
          <w:color w:val="000000"/>
          <w:sz w:val="24"/>
          <w:szCs w:val="24"/>
          <w:shd w:val="clear" w:color="auto" w:fill="FFFFFF"/>
        </w:rPr>
        <w:t xml:space="preserve"> až do doby, než dosáhne souběhu</w:t>
      </w:r>
      <w:r w:rsidR="00CC109E">
        <w:rPr>
          <w:rFonts w:ascii="Calibri" w:eastAsia="Calibri" w:hAnsi="Calibri" w:cs="Calibri"/>
          <w:color w:val="000000"/>
          <w:sz w:val="24"/>
          <w:szCs w:val="24"/>
          <w:shd w:val="clear" w:color="auto" w:fill="FFFFFF"/>
        </w:rPr>
        <w:t xml:space="preserve"> </w:t>
      </w:r>
      <w:r w:rsidRPr="003A5711">
        <w:rPr>
          <w:rFonts w:ascii="Calibri" w:eastAsia="Calibri" w:hAnsi="Calibri" w:cs="Calibri"/>
          <w:color w:val="000000"/>
          <w:sz w:val="24"/>
          <w:szCs w:val="24"/>
          <w:shd w:val="clear" w:color="auto" w:fill="FFFFFF"/>
        </w:rPr>
        <w:t xml:space="preserve">s důchodem. Tabulka </w:t>
      </w:r>
      <w:r w:rsidRPr="00662D19">
        <w:rPr>
          <w:rFonts w:ascii="Calibri" w:eastAsia="Calibri" w:hAnsi="Calibri" w:cs="Calibri"/>
          <w:color w:val="000000"/>
          <w:sz w:val="24"/>
          <w:szCs w:val="24"/>
          <w:shd w:val="clear" w:color="auto" w:fill="FFFFFF"/>
        </w:rPr>
        <w:t xml:space="preserve">č. </w:t>
      </w:r>
      <w:r w:rsidR="00662D19" w:rsidRPr="00662D19">
        <w:rPr>
          <w:rFonts w:ascii="Calibri" w:eastAsia="Calibri" w:hAnsi="Calibri" w:cs="Calibri"/>
          <w:color w:val="000000"/>
          <w:sz w:val="24"/>
          <w:szCs w:val="24"/>
          <w:shd w:val="clear" w:color="auto" w:fill="FFFFFF"/>
        </w:rPr>
        <w:t>5</w:t>
      </w:r>
      <w:r w:rsidRPr="00662D19">
        <w:rPr>
          <w:rFonts w:ascii="Calibri" w:eastAsia="Calibri" w:hAnsi="Calibri" w:cs="Calibri"/>
          <w:color w:val="000000"/>
          <w:sz w:val="24"/>
          <w:szCs w:val="24"/>
          <w:shd w:val="clear" w:color="auto" w:fill="FFFFFF"/>
        </w:rPr>
        <w:t xml:space="preserve"> uvádí</w:t>
      </w:r>
      <w:r w:rsidRPr="003A5711">
        <w:rPr>
          <w:rFonts w:ascii="Calibri" w:eastAsia="Calibri" w:hAnsi="Calibri" w:cs="Calibri"/>
          <w:color w:val="000000"/>
          <w:sz w:val="24"/>
          <w:szCs w:val="24"/>
          <w:shd w:val="clear" w:color="auto" w:fill="FFFFFF"/>
        </w:rPr>
        <w:t xml:space="preserve"> počet bývalých příslušníků GIBS, kterým byl v kontrolovaném období vyplácen a kteří dosáhli důchodového věku. Z ní vyplývá, že čerpání výsluhového příspěvku bude zatěžovat rozpočet GIBS i v následujících letech. </w:t>
      </w:r>
      <w:r w:rsidR="007D68B1">
        <w:rPr>
          <w:rFonts w:ascii="Calibri" w:eastAsia="Calibri" w:hAnsi="Calibri" w:cs="Calibri"/>
          <w:color w:val="000000"/>
          <w:sz w:val="24"/>
          <w:szCs w:val="24"/>
          <w:shd w:val="clear" w:color="auto" w:fill="FFFFFF"/>
        </w:rPr>
        <w:t xml:space="preserve">GIBS </w:t>
      </w:r>
      <w:r w:rsidR="00CB0F45">
        <w:rPr>
          <w:rFonts w:ascii="Calibri" w:eastAsia="Calibri" w:hAnsi="Calibri" w:cs="Calibri"/>
          <w:color w:val="000000"/>
          <w:sz w:val="24"/>
          <w:szCs w:val="24"/>
          <w:shd w:val="clear" w:color="auto" w:fill="FFFFFF"/>
        </w:rPr>
        <w:t>potvrdila</w:t>
      </w:r>
      <w:r w:rsidR="007D68B1">
        <w:rPr>
          <w:rFonts w:ascii="Calibri" w:eastAsia="Calibri" w:hAnsi="Calibri" w:cs="Calibri"/>
          <w:color w:val="000000"/>
          <w:sz w:val="24"/>
          <w:szCs w:val="24"/>
          <w:shd w:val="clear" w:color="auto" w:fill="FFFFFF"/>
        </w:rPr>
        <w:t xml:space="preserve">, že </w:t>
      </w:r>
      <w:r w:rsidR="007D68B1" w:rsidRPr="00663ED8">
        <w:rPr>
          <w:rFonts w:ascii="Calibri" w:eastAsia="Calibri" w:hAnsi="Calibri" w:cs="Calibri"/>
          <w:color w:val="000000"/>
          <w:sz w:val="24"/>
          <w:szCs w:val="24"/>
          <w:shd w:val="clear" w:color="auto" w:fill="FFFFFF"/>
        </w:rPr>
        <w:t>řada</w:t>
      </w:r>
      <w:r w:rsidR="007D68B1">
        <w:rPr>
          <w:rFonts w:ascii="Calibri" w:eastAsia="Calibri" w:hAnsi="Calibri" w:cs="Calibri"/>
          <w:color w:val="000000"/>
          <w:sz w:val="24"/>
          <w:szCs w:val="24"/>
          <w:shd w:val="clear" w:color="auto" w:fill="FFFFFF"/>
        </w:rPr>
        <w:t xml:space="preserve"> příslušníků </w:t>
      </w:r>
      <w:r w:rsidR="007D68B1" w:rsidRPr="00663ED8">
        <w:rPr>
          <w:rFonts w:ascii="Calibri" w:eastAsia="Calibri" w:hAnsi="Calibri" w:cs="Calibri"/>
          <w:color w:val="000000"/>
          <w:sz w:val="24"/>
          <w:szCs w:val="24"/>
          <w:shd w:val="clear" w:color="auto" w:fill="FFFFFF"/>
        </w:rPr>
        <w:t>GIBS po dosažení maximální výše výsluhových příspěvků odchází ze služebního poměru</w:t>
      </w:r>
      <w:r w:rsidR="007D68B1" w:rsidRPr="00B131B2">
        <w:rPr>
          <w:rFonts w:ascii="Calibri" w:eastAsia="Calibri" w:hAnsi="Calibri" w:cs="Calibri"/>
          <w:color w:val="000000"/>
          <w:sz w:val="24"/>
          <w:szCs w:val="24"/>
          <w:shd w:val="clear" w:color="auto" w:fill="FFFFFF"/>
        </w:rPr>
        <w:t>.</w:t>
      </w:r>
    </w:p>
    <w:p w14:paraId="383BEEDF" w14:textId="5817441B" w:rsidR="003A5711" w:rsidRPr="001B194A" w:rsidRDefault="003A5711" w:rsidP="001B194A">
      <w:pPr>
        <w:spacing w:after="40"/>
        <w:rPr>
          <w:rFonts w:ascii="Calibri" w:eastAsia="Calibri" w:hAnsi="Calibri"/>
          <w:b/>
          <w:sz w:val="24"/>
          <w:szCs w:val="24"/>
        </w:rPr>
      </w:pPr>
      <w:r w:rsidRPr="001B194A">
        <w:rPr>
          <w:rFonts w:ascii="Calibri" w:eastAsia="Calibri" w:hAnsi="Calibri"/>
          <w:b/>
          <w:sz w:val="24"/>
          <w:szCs w:val="24"/>
        </w:rPr>
        <w:t xml:space="preserve">Tabulka č. </w:t>
      </w:r>
      <w:r w:rsidR="00662D19" w:rsidRPr="001B194A">
        <w:rPr>
          <w:rFonts w:ascii="Calibri" w:eastAsia="Calibri" w:hAnsi="Calibri"/>
          <w:b/>
          <w:sz w:val="24"/>
          <w:szCs w:val="24"/>
        </w:rPr>
        <w:t>5</w:t>
      </w:r>
      <w:r w:rsidRPr="001B194A">
        <w:rPr>
          <w:rFonts w:ascii="Calibri" w:eastAsia="Calibri" w:hAnsi="Calibri"/>
          <w:b/>
          <w:sz w:val="24"/>
          <w:szCs w:val="24"/>
        </w:rPr>
        <w:t xml:space="preserve">: Počty bývalých příslušníků GIBS, kterým je vyplácen výsluhový příspěvek </w:t>
      </w:r>
    </w:p>
    <w:tbl>
      <w:tblPr>
        <w:tblStyle w:val="Mkatabulky2012"/>
        <w:tblW w:w="90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0"/>
        <w:gridCol w:w="850"/>
        <w:gridCol w:w="850"/>
        <w:gridCol w:w="850"/>
      </w:tblGrid>
      <w:tr w:rsidR="003A5711" w:rsidRPr="003A5711" w14:paraId="548B73F7" w14:textId="77777777" w:rsidTr="00895E8E">
        <w:trPr>
          <w:trHeight w:val="283"/>
        </w:trPr>
        <w:tc>
          <w:tcPr>
            <w:tcW w:w="6520" w:type="dxa"/>
            <w:shd w:val="clear" w:color="auto" w:fill="E5F1FF"/>
            <w:vAlign w:val="center"/>
          </w:tcPr>
          <w:p w14:paraId="6E47B12F" w14:textId="77777777" w:rsidR="003A5711" w:rsidRPr="003A5711" w:rsidRDefault="003A5711" w:rsidP="001B194A">
            <w:pPr>
              <w:jc w:val="left"/>
              <w:rPr>
                <w:b/>
                <w:sz w:val="20"/>
                <w:szCs w:val="20"/>
              </w:rPr>
            </w:pPr>
            <w:r w:rsidRPr="003A5711">
              <w:rPr>
                <w:b/>
                <w:sz w:val="20"/>
                <w:szCs w:val="20"/>
              </w:rPr>
              <w:t>Rok</w:t>
            </w:r>
          </w:p>
        </w:tc>
        <w:tc>
          <w:tcPr>
            <w:tcW w:w="850" w:type="dxa"/>
            <w:shd w:val="clear" w:color="auto" w:fill="E5F1FF"/>
            <w:vAlign w:val="center"/>
          </w:tcPr>
          <w:p w14:paraId="4F653F8D" w14:textId="77777777" w:rsidR="003A5711" w:rsidRPr="003A5711" w:rsidRDefault="003A5711" w:rsidP="001B194A">
            <w:pPr>
              <w:jc w:val="center"/>
              <w:rPr>
                <w:b/>
                <w:sz w:val="20"/>
                <w:szCs w:val="20"/>
              </w:rPr>
            </w:pPr>
            <w:r w:rsidRPr="003A5711">
              <w:rPr>
                <w:b/>
                <w:sz w:val="20"/>
                <w:szCs w:val="20"/>
              </w:rPr>
              <w:t>2017</w:t>
            </w:r>
          </w:p>
        </w:tc>
        <w:tc>
          <w:tcPr>
            <w:tcW w:w="850" w:type="dxa"/>
            <w:shd w:val="clear" w:color="auto" w:fill="E5F1FF"/>
            <w:vAlign w:val="center"/>
          </w:tcPr>
          <w:p w14:paraId="7A43D837" w14:textId="77777777" w:rsidR="003A5711" w:rsidRPr="003A5711" w:rsidRDefault="003A5711" w:rsidP="001B194A">
            <w:pPr>
              <w:jc w:val="center"/>
              <w:rPr>
                <w:b/>
                <w:sz w:val="20"/>
                <w:szCs w:val="20"/>
              </w:rPr>
            </w:pPr>
            <w:r w:rsidRPr="003A5711">
              <w:rPr>
                <w:b/>
                <w:sz w:val="20"/>
                <w:szCs w:val="20"/>
              </w:rPr>
              <w:t>2018</w:t>
            </w:r>
          </w:p>
        </w:tc>
        <w:tc>
          <w:tcPr>
            <w:tcW w:w="850" w:type="dxa"/>
            <w:shd w:val="clear" w:color="auto" w:fill="E5F1FF"/>
            <w:vAlign w:val="center"/>
          </w:tcPr>
          <w:p w14:paraId="17CAA793" w14:textId="77777777" w:rsidR="003A5711" w:rsidRPr="003A5711" w:rsidRDefault="003A5711" w:rsidP="001B194A">
            <w:pPr>
              <w:jc w:val="center"/>
              <w:rPr>
                <w:b/>
                <w:sz w:val="20"/>
                <w:szCs w:val="20"/>
              </w:rPr>
            </w:pPr>
            <w:r w:rsidRPr="003A5711">
              <w:rPr>
                <w:b/>
                <w:sz w:val="20"/>
                <w:szCs w:val="20"/>
              </w:rPr>
              <w:t>2019</w:t>
            </w:r>
          </w:p>
        </w:tc>
      </w:tr>
      <w:tr w:rsidR="003A5711" w:rsidRPr="003A5711" w14:paraId="0C41A4B8" w14:textId="77777777" w:rsidTr="00895E8E">
        <w:trPr>
          <w:trHeight w:val="283"/>
        </w:trPr>
        <w:tc>
          <w:tcPr>
            <w:tcW w:w="6520" w:type="dxa"/>
            <w:vAlign w:val="center"/>
          </w:tcPr>
          <w:p w14:paraId="04ECA21A" w14:textId="77777777" w:rsidR="003A5711" w:rsidRPr="003A5711" w:rsidRDefault="003A5711" w:rsidP="001B194A">
            <w:pPr>
              <w:jc w:val="left"/>
              <w:rPr>
                <w:sz w:val="20"/>
                <w:szCs w:val="20"/>
              </w:rPr>
            </w:pPr>
            <w:r w:rsidRPr="003A5711">
              <w:rPr>
                <w:sz w:val="20"/>
                <w:szCs w:val="20"/>
              </w:rPr>
              <w:t>Počet bývalých příslušníků GIBS, kterým je vyplácen výsluhový příspěvek</w:t>
            </w:r>
          </w:p>
        </w:tc>
        <w:tc>
          <w:tcPr>
            <w:tcW w:w="850" w:type="dxa"/>
            <w:vAlign w:val="center"/>
          </w:tcPr>
          <w:p w14:paraId="05136AFC" w14:textId="77777777" w:rsidR="003A5711" w:rsidRPr="003A5711" w:rsidRDefault="003A5711" w:rsidP="001B194A">
            <w:pPr>
              <w:ind w:right="113"/>
              <w:jc w:val="right"/>
              <w:rPr>
                <w:sz w:val="20"/>
                <w:szCs w:val="20"/>
              </w:rPr>
            </w:pPr>
            <w:r w:rsidRPr="003A5711">
              <w:rPr>
                <w:rFonts w:cs="Calibri"/>
                <w:color w:val="000000"/>
                <w:sz w:val="20"/>
                <w:szCs w:val="20"/>
                <w:shd w:val="clear" w:color="auto" w:fill="FFFFFF"/>
              </w:rPr>
              <w:t>50</w:t>
            </w:r>
          </w:p>
        </w:tc>
        <w:tc>
          <w:tcPr>
            <w:tcW w:w="850" w:type="dxa"/>
            <w:vAlign w:val="center"/>
          </w:tcPr>
          <w:p w14:paraId="54FBE71D" w14:textId="77777777" w:rsidR="003A5711" w:rsidRPr="003A5711" w:rsidRDefault="003A5711" w:rsidP="001B194A">
            <w:pPr>
              <w:ind w:right="113"/>
              <w:jc w:val="right"/>
              <w:rPr>
                <w:sz w:val="20"/>
                <w:szCs w:val="20"/>
              </w:rPr>
            </w:pPr>
            <w:r w:rsidRPr="003A5711">
              <w:rPr>
                <w:rFonts w:cs="Calibri"/>
                <w:sz w:val="20"/>
                <w:szCs w:val="20"/>
                <w:shd w:val="clear" w:color="auto" w:fill="FFFFFF"/>
              </w:rPr>
              <w:t>82</w:t>
            </w:r>
          </w:p>
        </w:tc>
        <w:tc>
          <w:tcPr>
            <w:tcW w:w="850" w:type="dxa"/>
            <w:vAlign w:val="center"/>
          </w:tcPr>
          <w:p w14:paraId="5EDE2BC2" w14:textId="77777777" w:rsidR="003A5711" w:rsidRPr="003A5711" w:rsidRDefault="003A5711" w:rsidP="001B194A">
            <w:pPr>
              <w:ind w:right="113"/>
              <w:jc w:val="right"/>
              <w:rPr>
                <w:sz w:val="20"/>
                <w:szCs w:val="20"/>
              </w:rPr>
            </w:pPr>
            <w:r w:rsidRPr="003A5711">
              <w:rPr>
                <w:sz w:val="20"/>
                <w:szCs w:val="20"/>
              </w:rPr>
              <w:t>111</w:t>
            </w:r>
          </w:p>
        </w:tc>
      </w:tr>
      <w:tr w:rsidR="003A5711" w:rsidRPr="003A5711" w14:paraId="79D20446" w14:textId="77777777" w:rsidTr="00895E8E">
        <w:trPr>
          <w:trHeight w:val="283"/>
        </w:trPr>
        <w:tc>
          <w:tcPr>
            <w:tcW w:w="6520" w:type="dxa"/>
            <w:vAlign w:val="center"/>
          </w:tcPr>
          <w:p w14:paraId="4D58E841" w14:textId="77777777" w:rsidR="003A5711" w:rsidRPr="003A5711" w:rsidRDefault="003A5711" w:rsidP="001B194A">
            <w:pPr>
              <w:jc w:val="left"/>
              <w:rPr>
                <w:sz w:val="20"/>
                <w:szCs w:val="20"/>
              </w:rPr>
            </w:pPr>
            <w:r w:rsidRPr="003A5711">
              <w:rPr>
                <w:sz w:val="20"/>
                <w:szCs w:val="20"/>
              </w:rPr>
              <w:t>Počet bývalých příslušníků GIBS, kteří dosáhli důchodového věku</w:t>
            </w:r>
          </w:p>
        </w:tc>
        <w:tc>
          <w:tcPr>
            <w:tcW w:w="850" w:type="dxa"/>
            <w:vAlign w:val="center"/>
          </w:tcPr>
          <w:p w14:paraId="66D2F567" w14:textId="77777777" w:rsidR="003A5711" w:rsidRPr="003A5711" w:rsidRDefault="003A5711" w:rsidP="001B194A">
            <w:pPr>
              <w:ind w:right="113"/>
              <w:jc w:val="right"/>
              <w:rPr>
                <w:sz w:val="20"/>
                <w:szCs w:val="20"/>
              </w:rPr>
            </w:pPr>
            <w:r w:rsidRPr="003A5711">
              <w:rPr>
                <w:sz w:val="20"/>
                <w:szCs w:val="20"/>
              </w:rPr>
              <w:t>4</w:t>
            </w:r>
          </w:p>
        </w:tc>
        <w:tc>
          <w:tcPr>
            <w:tcW w:w="850" w:type="dxa"/>
            <w:vAlign w:val="center"/>
          </w:tcPr>
          <w:p w14:paraId="461D70EC" w14:textId="77777777" w:rsidR="003A5711" w:rsidRPr="003A5711" w:rsidRDefault="003A5711" w:rsidP="001B194A">
            <w:pPr>
              <w:ind w:right="113"/>
              <w:jc w:val="right"/>
              <w:rPr>
                <w:sz w:val="20"/>
                <w:szCs w:val="20"/>
              </w:rPr>
            </w:pPr>
            <w:r w:rsidRPr="003A5711">
              <w:rPr>
                <w:rFonts w:cs="Calibri"/>
                <w:sz w:val="20"/>
                <w:szCs w:val="20"/>
                <w:shd w:val="clear" w:color="auto" w:fill="FFFFFF"/>
              </w:rPr>
              <w:t>6</w:t>
            </w:r>
          </w:p>
        </w:tc>
        <w:tc>
          <w:tcPr>
            <w:tcW w:w="850" w:type="dxa"/>
            <w:vAlign w:val="center"/>
          </w:tcPr>
          <w:p w14:paraId="7281D4EA" w14:textId="77777777" w:rsidR="003A5711" w:rsidRPr="003A5711" w:rsidRDefault="003A5711" w:rsidP="001B194A">
            <w:pPr>
              <w:ind w:right="113"/>
              <w:jc w:val="right"/>
              <w:rPr>
                <w:sz w:val="20"/>
                <w:szCs w:val="20"/>
              </w:rPr>
            </w:pPr>
            <w:r w:rsidRPr="003A5711">
              <w:rPr>
                <w:sz w:val="20"/>
                <w:szCs w:val="20"/>
              </w:rPr>
              <w:t>8</w:t>
            </w:r>
          </w:p>
        </w:tc>
      </w:tr>
    </w:tbl>
    <w:p w14:paraId="08FAE798" w14:textId="692B3603" w:rsidR="003A5711" w:rsidRPr="003A5711" w:rsidRDefault="003A5711" w:rsidP="001B194A">
      <w:pPr>
        <w:spacing w:before="40" w:after="120"/>
        <w:rPr>
          <w:rFonts w:ascii="Calibri" w:eastAsia="Calibri" w:hAnsi="Calibri"/>
          <w:sz w:val="20"/>
          <w:szCs w:val="20"/>
        </w:rPr>
      </w:pPr>
      <w:r w:rsidRPr="0013137A">
        <w:rPr>
          <w:rFonts w:ascii="Calibri" w:eastAsia="Calibri" w:hAnsi="Calibri"/>
          <w:b/>
          <w:sz w:val="20"/>
          <w:szCs w:val="20"/>
        </w:rPr>
        <w:t>Zdroj:</w:t>
      </w:r>
      <w:r w:rsidRPr="003A5711">
        <w:rPr>
          <w:rFonts w:ascii="Calibri" w:eastAsia="Calibri" w:hAnsi="Calibri"/>
          <w:sz w:val="20"/>
          <w:szCs w:val="20"/>
        </w:rPr>
        <w:t xml:space="preserve"> </w:t>
      </w:r>
      <w:r w:rsidR="006605A3">
        <w:rPr>
          <w:rFonts w:ascii="Calibri" w:eastAsia="Calibri" w:hAnsi="Calibri"/>
          <w:sz w:val="20"/>
          <w:szCs w:val="20"/>
        </w:rPr>
        <w:t>z</w:t>
      </w:r>
      <w:r w:rsidRPr="003A5711">
        <w:rPr>
          <w:rFonts w:ascii="Calibri" w:eastAsia="Calibri" w:hAnsi="Calibri"/>
          <w:sz w:val="20"/>
          <w:szCs w:val="20"/>
        </w:rPr>
        <w:t>ávěrečné účty kapitoly GIBS</w:t>
      </w:r>
      <w:r w:rsidR="00235CC5">
        <w:rPr>
          <w:rFonts w:ascii="Calibri" w:eastAsia="Calibri" w:hAnsi="Calibri"/>
          <w:sz w:val="20"/>
          <w:szCs w:val="20"/>
        </w:rPr>
        <w:t>.</w:t>
      </w:r>
    </w:p>
    <w:p w14:paraId="1C9376EE" w14:textId="6C36CAAC" w:rsidR="003A5711" w:rsidRPr="003A5711" w:rsidRDefault="00981CE9" w:rsidP="004F15E2">
      <w:pPr>
        <w:spacing w:after="120" w:line="264" w:lineRule="auto"/>
        <w:jc w:val="both"/>
        <w:rPr>
          <w:rFonts w:ascii="Calibri" w:eastAsia="Calibri" w:hAnsi="Calibri"/>
          <w:b/>
          <w:sz w:val="24"/>
          <w:szCs w:val="24"/>
        </w:rPr>
      </w:pPr>
      <w:r>
        <w:rPr>
          <w:rFonts w:ascii="Calibri" w:eastAsia="Calibri" w:hAnsi="Calibri"/>
          <w:b/>
          <w:bCs/>
          <w:iCs/>
          <w:sz w:val="24"/>
          <w:szCs w:val="24"/>
        </w:rPr>
        <w:t>P</w:t>
      </w:r>
      <w:r w:rsidR="00235CC5">
        <w:rPr>
          <w:rFonts w:ascii="Calibri" w:eastAsia="Calibri" w:hAnsi="Calibri"/>
          <w:b/>
          <w:bCs/>
          <w:iCs/>
          <w:sz w:val="24"/>
          <w:szCs w:val="24"/>
        </w:rPr>
        <w:t xml:space="preserve">řestože </w:t>
      </w:r>
      <w:r>
        <w:rPr>
          <w:rFonts w:ascii="Calibri" w:eastAsia="Calibri" w:hAnsi="Calibri"/>
          <w:b/>
          <w:bCs/>
          <w:iCs/>
          <w:sz w:val="24"/>
          <w:szCs w:val="24"/>
        </w:rPr>
        <w:t xml:space="preserve">GIBS </w:t>
      </w:r>
      <w:r w:rsidR="003A5711" w:rsidRPr="003A5711">
        <w:rPr>
          <w:rFonts w:ascii="Calibri" w:eastAsia="Calibri" w:hAnsi="Calibri"/>
          <w:b/>
          <w:bCs/>
          <w:iCs/>
          <w:sz w:val="24"/>
          <w:szCs w:val="24"/>
        </w:rPr>
        <w:t xml:space="preserve">vyplácela v kontrolovaném období jedny z nejvyšších průměrných platů ve veřejném sektoru, </w:t>
      </w:r>
      <w:r w:rsidR="003A5711" w:rsidRPr="003A5711">
        <w:rPr>
          <w:rFonts w:ascii="Calibri" w:eastAsia="Calibri" w:hAnsi="Calibri"/>
          <w:b/>
          <w:sz w:val="24"/>
          <w:szCs w:val="24"/>
        </w:rPr>
        <w:t>docházelo k vysoké fluktuaci</w:t>
      </w:r>
      <w:r w:rsidR="009E5A39">
        <w:rPr>
          <w:rFonts w:ascii="Calibri" w:eastAsia="Calibri" w:hAnsi="Calibri"/>
          <w:b/>
          <w:sz w:val="24"/>
          <w:szCs w:val="24"/>
        </w:rPr>
        <w:t xml:space="preserve"> zejména</w:t>
      </w:r>
      <w:r w:rsidR="003A5711" w:rsidRPr="003A5711">
        <w:rPr>
          <w:rFonts w:ascii="Calibri" w:eastAsia="Calibri" w:hAnsi="Calibri"/>
          <w:b/>
          <w:sz w:val="24"/>
          <w:szCs w:val="24"/>
        </w:rPr>
        <w:t xml:space="preserve"> </w:t>
      </w:r>
      <w:r w:rsidR="00235CC5">
        <w:rPr>
          <w:rFonts w:ascii="Calibri" w:eastAsia="Calibri" w:hAnsi="Calibri"/>
          <w:b/>
          <w:sz w:val="24"/>
          <w:szCs w:val="24"/>
        </w:rPr>
        <w:t xml:space="preserve">jejich </w:t>
      </w:r>
      <w:r w:rsidR="003A5711" w:rsidRPr="003A5711">
        <w:rPr>
          <w:rFonts w:ascii="Calibri" w:eastAsia="Calibri" w:hAnsi="Calibri"/>
          <w:b/>
          <w:sz w:val="24"/>
          <w:szCs w:val="24"/>
        </w:rPr>
        <w:t xml:space="preserve">příslušníků. To způsobilo mj. razantní růst vypláceného výsluhového příspěvku </w:t>
      </w:r>
      <w:r w:rsidR="003A5711" w:rsidRPr="003A5711">
        <w:rPr>
          <w:rFonts w:ascii="Calibri" w:eastAsia="Calibri" w:hAnsi="Calibri" w:cs="Calibri"/>
          <w:b/>
          <w:color w:val="000000"/>
          <w:sz w:val="24"/>
          <w:szCs w:val="24"/>
          <w:shd w:val="clear" w:color="auto" w:fill="FFFFFF"/>
        </w:rPr>
        <w:t>z 13,5 mil. Kč (2017) na 42 mil. Kč (2020), tj. o 211 %. Jeho výše rostla také v souvislosti s rostoucí výší průměrných platů. Č</w:t>
      </w:r>
      <w:r w:rsidR="003A5711" w:rsidRPr="003A5711">
        <w:rPr>
          <w:b/>
          <w:sz w:val="24"/>
          <w:szCs w:val="24"/>
        </w:rPr>
        <w:t xml:space="preserve">etnost odchodů a zejména </w:t>
      </w:r>
      <w:r w:rsidR="009A439D">
        <w:rPr>
          <w:b/>
          <w:sz w:val="24"/>
          <w:szCs w:val="24"/>
        </w:rPr>
        <w:t xml:space="preserve">výše objemu </w:t>
      </w:r>
      <w:r w:rsidR="003A5711" w:rsidRPr="003A5711">
        <w:rPr>
          <w:b/>
          <w:sz w:val="24"/>
          <w:szCs w:val="24"/>
        </w:rPr>
        <w:t>vypláceného výsluhového příspěvku v návaznosti na zvyšování průměrných platů přispěla k růstu výdaj</w:t>
      </w:r>
      <w:r w:rsidR="0013137A">
        <w:rPr>
          <w:b/>
          <w:sz w:val="24"/>
          <w:szCs w:val="24"/>
        </w:rPr>
        <w:t>ů GIBS v kontrolovaném období a </w:t>
      </w:r>
      <w:r w:rsidR="00D96025">
        <w:rPr>
          <w:b/>
          <w:sz w:val="24"/>
          <w:szCs w:val="24"/>
        </w:rPr>
        <w:t>exi</w:t>
      </w:r>
      <w:r w:rsidR="00BF1E69">
        <w:rPr>
          <w:b/>
          <w:sz w:val="24"/>
          <w:szCs w:val="24"/>
        </w:rPr>
        <w:t>s</w:t>
      </w:r>
      <w:r w:rsidR="00D96025">
        <w:rPr>
          <w:b/>
          <w:sz w:val="24"/>
          <w:szCs w:val="24"/>
        </w:rPr>
        <w:t xml:space="preserve">tuje riziko </w:t>
      </w:r>
      <w:r w:rsidR="003A5711" w:rsidRPr="003A5711">
        <w:rPr>
          <w:rFonts w:ascii="Calibri" w:eastAsia="Calibri" w:hAnsi="Calibri" w:cs="Calibri"/>
          <w:b/>
          <w:color w:val="000000"/>
          <w:sz w:val="24"/>
          <w:szCs w:val="24"/>
          <w:shd w:val="clear" w:color="auto" w:fill="FFFFFF"/>
        </w:rPr>
        <w:t>zatěžov</w:t>
      </w:r>
      <w:r w:rsidR="00D96025">
        <w:rPr>
          <w:rFonts w:ascii="Calibri" w:eastAsia="Calibri" w:hAnsi="Calibri" w:cs="Calibri"/>
          <w:b/>
          <w:color w:val="000000"/>
          <w:sz w:val="24"/>
          <w:szCs w:val="24"/>
          <w:shd w:val="clear" w:color="auto" w:fill="FFFFFF"/>
        </w:rPr>
        <w:t xml:space="preserve">ání </w:t>
      </w:r>
      <w:r w:rsidR="003A5711" w:rsidRPr="003A5711">
        <w:rPr>
          <w:rFonts w:ascii="Calibri" w:eastAsia="Calibri" w:hAnsi="Calibri" w:cs="Calibri"/>
          <w:b/>
          <w:color w:val="000000"/>
          <w:sz w:val="24"/>
          <w:szCs w:val="24"/>
          <w:shd w:val="clear" w:color="auto" w:fill="FFFFFF"/>
        </w:rPr>
        <w:t>rozpočt</w:t>
      </w:r>
      <w:r w:rsidR="00D96025">
        <w:rPr>
          <w:rFonts w:ascii="Calibri" w:eastAsia="Calibri" w:hAnsi="Calibri" w:cs="Calibri"/>
          <w:b/>
          <w:color w:val="000000"/>
          <w:sz w:val="24"/>
          <w:szCs w:val="24"/>
          <w:shd w:val="clear" w:color="auto" w:fill="FFFFFF"/>
        </w:rPr>
        <w:t>u</w:t>
      </w:r>
      <w:r w:rsidR="003A5711" w:rsidRPr="003A5711">
        <w:rPr>
          <w:rFonts w:ascii="Calibri" w:eastAsia="Calibri" w:hAnsi="Calibri" w:cs="Calibri"/>
          <w:b/>
          <w:color w:val="000000"/>
          <w:sz w:val="24"/>
          <w:szCs w:val="24"/>
          <w:shd w:val="clear" w:color="auto" w:fill="FFFFFF"/>
        </w:rPr>
        <w:t xml:space="preserve"> GIBS i v následujících letech.</w:t>
      </w:r>
    </w:p>
    <w:p w14:paraId="04B4F27D" w14:textId="4E229371" w:rsidR="003A5711" w:rsidRPr="003A5711" w:rsidRDefault="00903DF3" w:rsidP="00903DF3">
      <w:pPr>
        <w:keepNext/>
        <w:spacing w:after="120" w:line="264" w:lineRule="auto"/>
        <w:outlineLvl w:val="1"/>
        <w:rPr>
          <w:rFonts w:cs="Calibri"/>
          <w:b/>
          <w:sz w:val="24"/>
          <w:szCs w:val="24"/>
        </w:rPr>
      </w:pPr>
      <w:r>
        <w:rPr>
          <w:rFonts w:cs="Calibri"/>
          <w:b/>
          <w:sz w:val="24"/>
          <w:szCs w:val="24"/>
        </w:rPr>
        <w:t xml:space="preserve">3. </w:t>
      </w:r>
      <w:r w:rsidR="003A5711" w:rsidRPr="003A5711">
        <w:rPr>
          <w:rFonts w:cs="Calibri"/>
          <w:b/>
          <w:sz w:val="24"/>
          <w:szCs w:val="24"/>
        </w:rPr>
        <w:t xml:space="preserve">Plnění cílů </w:t>
      </w:r>
      <w:r w:rsidR="003A5711" w:rsidRPr="003A5711">
        <w:rPr>
          <w:rFonts w:ascii="Calibri" w:eastAsia="Calibri" w:hAnsi="Calibri" w:cs="Calibri"/>
          <w:b/>
          <w:color w:val="000000"/>
          <w:sz w:val="24"/>
          <w:szCs w:val="24"/>
          <w:lang w:eastAsia="cs-CZ"/>
        </w:rPr>
        <w:t>programů reprodukce majetku</w:t>
      </w:r>
      <w:r w:rsidR="003A5711" w:rsidRPr="003A5711">
        <w:rPr>
          <w:rFonts w:cs="Calibri"/>
          <w:b/>
          <w:sz w:val="24"/>
          <w:szCs w:val="24"/>
        </w:rPr>
        <w:t xml:space="preserve"> a r</w:t>
      </w:r>
      <w:r w:rsidR="003A5711" w:rsidRPr="003A5711">
        <w:rPr>
          <w:rFonts w:ascii="Calibri" w:eastAsia="Calibri" w:hAnsi="Calibri" w:cs="Calibri"/>
          <w:b/>
          <w:color w:val="000000"/>
          <w:sz w:val="24"/>
          <w:szCs w:val="24"/>
          <w:lang w:eastAsia="cs-CZ"/>
        </w:rPr>
        <w:t>ealizace investičních akcí</w:t>
      </w:r>
    </w:p>
    <w:p w14:paraId="2CC756B7" w14:textId="5B35D546" w:rsidR="003A5711" w:rsidRPr="003A5711" w:rsidRDefault="0032791C" w:rsidP="0032791C">
      <w:pPr>
        <w:keepNext/>
        <w:spacing w:after="120" w:line="264" w:lineRule="auto"/>
        <w:ind w:left="425" w:hanging="425"/>
        <w:outlineLvl w:val="2"/>
        <w:rPr>
          <w:rFonts w:cs="Calibri"/>
          <w:b/>
          <w:sz w:val="24"/>
          <w:szCs w:val="24"/>
        </w:rPr>
      </w:pPr>
      <w:r>
        <w:rPr>
          <w:rFonts w:cs="Calibri"/>
          <w:b/>
          <w:sz w:val="24"/>
          <w:szCs w:val="24"/>
        </w:rPr>
        <w:t xml:space="preserve">3.1 </w:t>
      </w:r>
      <w:r w:rsidR="003A5711" w:rsidRPr="003A5711">
        <w:rPr>
          <w:rFonts w:cs="Calibri"/>
          <w:b/>
          <w:sz w:val="24"/>
          <w:szCs w:val="24"/>
        </w:rPr>
        <w:t>GIBS v programech reprodukce majetku nestanovila měřitelné cíle</w:t>
      </w:r>
    </w:p>
    <w:p w14:paraId="765671E2" w14:textId="5F01143F" w:rsidR="003A5711" w:rsidRPr="003A5711" w:rsidRDefault="003A5711" w:rsidP="004F15E2">
      <w:pPr>
        <w:spacing w:after="120" w:line="264" w:lineRule="auto"/>
        <w:jc w:val="both"/>
        <w:rPr>
          <w:rFonts w:ascii="Calibri" w:eastAsia="Calibri" w:hAnsi="Calibri" w:cs="Calibri"/>
          <w:sz w:val="24"/>
          <w:szCs w:val="24"/>
          <w:lang w:eastAsia="cs-CZ"/>
        </w:rPr>
      </w:pPr>
      <w:r w:rsidRPr="003A5711">
        <w:rPr>
          <w:rFonts w:ascii="Calibri" w:eastAsia="Times New Roman" w:hAnsi="Calibri" w:cs="Times New Roman"/>
          <w:sz w:val="24"/>
          <w:szCs w:val="24"/>
        </w:rPr>
        <w:t>Cílem programů 176 100 a 176 200 bylo dle jejich dokumentace „</w:t>
      </w:r>
      <w:r w:rsidR="006605A3">
        <w:rPr>
          <w:rFonts w:ascii="Calibri" w:eastAsia="Times New Roman" w:hAnsi="Calibri" w:cs="Times New Roman"/>
          <w:sz w:val="24"/>
          <w:szCs w:val="24"/>
        </w:rPr>
        <w:t>... </w:t>
      </w:r>
      <w:r w:rsidRPr="003A5711">
        <w:rPr>
          <w:rFonts w:ascii="Calibri" w:eastAsia="Times New Roman" w:hAnsi="Calibri" w:cs="Calibri"/>
          <w:i/>
          <w:noProof/>
          <w:sz w:val="24"/>
          <w:szCs w:val="24"/>
        </w:rPr>
        <w:t>ve stanoveném období udržet stávající schopnosti GIBS k plnění úkolů stanovených zákonem č. 341/2011 Sb. a</w:t>
      </w:r>
      <w:r w:rsidR="006605A3">
        <w:rPr>
          <w:rFonts w:ascii="Calibri" w:eastAsia="Times New Roman" w:hAnsi="Calibri" w:cs="Calibri"/>
          <w:i/>
          <w:noProof/>
          <w:sz w:val="24"/>
          <w:szCs w:val="24"/>
        </w:rPr>
        <w:t> </w:t>
      </w:r>
      <w:r w:rsidRPr="003A5711">
        <w:rPr>
          <w:rFonts w:ascii="Calibri" w:eastAsia="Times New Roman" w:hAnsi="Calibri" w:cs="Calibri"/>
          <w:i/>
          <w:noProof/>
          <w:sz w:val="24"/>
          <w:szCs w:val="24"/>
        </w:rPr>
        <w:t>zabezpečit plánovaný rozvoj těchto schopností</w:t>
      </w:r>
      <w:r w:rsidRPr="009D6D78">
        <w:rPr>
          <w:rFonts w:ascii="Calibri" w:eastAsia="Times New Roman" w:hAnsi="Calibri" w:cs="Calibri"/>
          <w:noProof/>
          <w:sz w:val="24"/>
          <w:szCs w:val="24"/>
        </w:rPr>
        <w:t>“</w:t>
      </w:r>
      <w:r w:rsidRPr="003A5711">
        <w:rPr>
          <w:rFonts w:ascii="Calibri" w:eastAsia="Times New Roman" w:hAnsi="Calibri" w:cs="Times New Roman"/>
          <w:sz w:val="24"/>
          <w:szCs w:val="24"/>
        </w:rPr>
        <w:t>.</w:t>
      </w:r>
      <w:r w:rsidRPr="003A5711">
        <w:rPr>
          <w:rFonts w:ascii="Calibri" w:eastAsia="Calibri" w:hAnsi="Calibri" w:cs="Calibri"/>
          <w:sz w:val="24"/>
          <w:szCs w:val="24"/>
          <w:lang w:eastAsia="cs-CZ"/>
        </w:rPr>
        <w:t xml:space="preserve"> </w:t>
      </w:r>
      <w:r w:rsidRPr="003A5711">
        <w:rPr>
          <w:rFonts w:ascii="Calibri" w:eastAsia="Calibri" w:hAnsi="Calibri" w:cs="Calibri"/>
          <w:color w:val="000000"/>
          <w:sz w:val="24"/>
          <w:szCs w:val="24"/>
          <w:lang w:eastAsia="cs-CZ"/>
        </w:rPr>
        <w:t>GIBS</w:t>
      </w:r>
      <w:r w:rsidRPr="003A5711" w:rsidDel="0095652A">
        <w:rPr>
          <w:rFonts w:ascii="Calibri" w:eastAsia="Calibri" w:hAnsi="Calibri" w:cs="Calibri"/>
          <w:i/>
          <w:color w:val="000000"/>
          <w:sz w:val="24"/>
          <w:szCs w:val="24"/>
          <w:lang w:eastAsia="cs-CZ"/>
        </w:rPr>
        <w:t xml:space="preserve"> </w:t>
      </w:r>
      <w:r w:rsidRPr="003A5711">
        <w:rPr>
          <w:rFonts w:ascii="Calibri" w:eastAsia="Calibri" w:hAnsi="Calibri" w:cs="Calibri"/>
          <w:iCs/>
          <w:color w:val="000000"/>
          <w:sz w:val="24"/>
          <w:szCs w:val="24"/>
          <w:lang w:eastAsia="cs-CZ"/>
        </w:rPr>
        <w:t>jako</w:t>
      </w:r>
      <w:r w:rsidRPr="003A5711">
        <w:rPr>
          <w:rFonts w:ascii="Calibri" w:eastAsia="Calibri" w:hAnsi="Calibri" w:cs="Calibri"/>
          <w:color w:val="000000"/>
          <w:sz w:val="24"/>
          <w:szCs w:val="24"/>
          <w:lang w:eastAsia="cs-CZ"/>
        </w:rPr>
        <w:t xml:space="preserve"> ukazatel (věcný indikátor) pro naplnění cíl</w:t>
      </w:r>
      <w:r w:rsidR="00CC109E">
        <w:rPr>
          <w:rFonts w:ascii="Calibri" w:eastAsia="Calibri" w:hAnsi="Calibri" w:cs="Calibri"/>
          <w:color w:val="000000"/>
          <w:sz w:val="24"/>
          <w:szCs w:val="24"/>
          <w:lang w:eastAsia="cs-CZ"/>
        </w:rPr>
        <w:t>ů programů</w:t>
      </w:r>
      <w:r w:rsidRPr="003A5711">
        <w:rPr>
          <w:rFonts w:ascii="Calibri" w:eastAsia="Calibri" w:hAnsi="Calibri" w:cs="Calibri"/>
          <w:color w:val="000000"/>
          <w:sz w:val="24"/>
          <w:szCs w:val="24"/>
          <w:lang w:eastAsia="cs-CZ"/>
        </w:rPr>
        <w:t xml:space="preserve"> stanovila:</w:t>
      </w:r>
      <w:r w:rsidRPr="003A5711">
        <w:rPr>
          <w:rFonts w:ascii="Calibri" w:eastAsia="Calibri" w:hAnsi="Calibri" w:cs="Calibri"/>
          <w:i/>
          <w:color w:val="000000"/>
          <w:sz w:val="24"/>
          <w:szCs w:val="24"/>
          <w:lang w:eastAsia="cs-CZ"/>
        </w:rPr>
        <w:t xml:space="preserve"> </w:t>
      </w:r>
      <w:r w:rsidRPr="003A5711">
        <w:rPr>
          <w:rFonts w:ascii="Calibri" w:eastAsia="Calibri" w:hAnsi="Calibri" w:cs="Calibri"/>
          <w:bCs/>
          <w:iCs/>
          <w:color w:val="000000"/>
          <w:sz w:val="24"/>
          <w:szCs w:val="24"/>
          <w:lang w:eastAsia="cs-CZ"/>
        </w:rPr>
        <w:t>„</w:t>
      </w:r>
      <w:r w:rsidR="006605A3" w:rsidRPr="009D6D78">
        <w:rPr>
          <w:rFonts w:ascii="Calibri" w:eastAsia="Calibri" w:hAnsi="Calibri" w:cs="Calibri"/>
          <w:bCs/>
          <w:color w:val="000000"/>
          <w:sz w:val="24"/>
          <w:szCs w:val="24"/>
          <w:lang w:eastAsia="cs-CZ"/>
        </w:rPr>
        <w:t>p</w:t>
      </w:r>
      <w:r w:rsidRPr="009D6D78">
        <w:rPr>
          <w:rFonts w:ascii="Calibri" w:eastAsia="Calibri" w:hAnsi="Calibri" w:cs="Calibri"/>
          <w:bCs/>
          <w:color w:val="000000"/>
          <w:sz w:val="24"/>
          <w:szCs w:val="24"/>
          <w:lang w:eastAsia="cs-CZ"/>
        </w:rPr>
        <w:t xml:space="preserve">řijetí </w:t>
      </w:r>
      <w:r w:rsidR="006605A3" w:rsidRPr="009D6D78">
        <w:rPr>
          <w:rFonts w:ascii="Calibri" w:eastAsia="Calibri" w:hAnsi="Calibri" w:cs="Calibri"/>
          <w:bCs/>
          <w:color w:val="000000"/>
          <w:sz w:val="24"/>
          <w:szCs w:val="24"/>
          <w:lang w:eastAsia="cs-CZ"/>
        </w:rPr>
        <w:t>v</w:t>
      </w:r>
      <w:r w:rsidRPr="009D6D78">
        <w:rPr>
          <w:rFonts w:ascii="Calibri" w:eastAsia="Calibri" w:hAnsi="Calibri" w:cs="Calibri"/>
          <w:bCs/>
          <w:color w:val="000000"/>
          <w:sz w:val="24"/>
          <w:szCs w:val="24"/>
          <w:lang w:eastAsia="cs-CZ"/>
        </w:rPr>
        <w:t xml:space="preserve">ýroční zprávy Generální inspekce bezpečnostních sborů </w:t>
      </w:r>
      <w:r w:rsidR="006605A3" w:rsidRPr="009D6D78">
        <w:rPr>
          <w:rFonts w:ascii="Calibri" w:eastAsia="Calibri" w:hAnsi="Calibri" w:cs="Calibri"/>
          <w:bCs/>
          <w:color w:val="000000"/>
          <w:sz w:val="24"/>
          <w:szCs w:val="24"/>
          <w:lang w:eastAsia="cs-CZ"/>
        </w:rPr>
        <w:t>v</w:t>
      </w:r>
      <w:r w:rsidRPr="009D6D78">
        <w:rPr>
          <w:rFonts w:ascii="Calibri" w:eastAsia="Calibri" w:hAnsi="Calibri" w:cs="Calibri"/>
          <w:bCs/>
          <w:color w:val="000000"/>
          <w:sz w:val="24"/>
          <w:szCs w:val="24"/>
          <w:lang w:eastAsia="cs-CZ"/>
        </w:rPr>
        <w:t>ládou ČR za kalendářní roky 2015 až 2017</w:t>
      </w:r>
      <w:r w:rsidR="006605A3" w:rsidRPr="009D6D78">
        <w:rPr>
          <w:rFonts w:ascii="Calibri" w:eastAsia="Calibri" w:hAnsi="Calibri" w:cs="Calibri"/>
          <w:bCs/>
          <w:color w:val="000000"/>
          <w:sz w:val="24"/>
          <w:szCs w:val="24"/>
          <w:lang w:eastAsia="cs-CZ"/>
        </w:rPr>
        <w:t>,</w:t>
      </w:r>
      <w:r w:rsidRPr="009D6D78">
        <w:rPr>
          <w:rFonts w:ascii="Calibri" w:eastAsia="Calibri" w:hAnsi="Calibri" w:cs="Calibri"/>
          <w:bCs/>
          <w:color w:val="000000"/>
          <w:sz w:val="24"/>
          <w:szCs w:val="24"/>
          <w:lang w:eastAsia="cs-CZ"/>
        </w:rPr>
        <w:t xml:space="preserve"> resp. 2018 až 2021</w:t>
      </w:r>
      <w:r w:rsidR="006605A3" w:rsidRPr="003A5711">
        <w:rPr>
          <w:rFonts w:ascii="Calibri" w:eastAsia="Calibri" w:hAnsi="Calibri" w:cs="Calibri"/>
          <w:bCs/>
          <w:iCs/>
          <w:color w:val="000000"/>
          <w:sz w:val="24"/>
          <w:szCs w:val="24"/>
          <w:lang w:eastAsia="cs-CZ"/>
        </w:rPr>
        <w:t>“</w:t>
      </w:r>
      <w:r w:rsidRPr="009D6D78">
        <w:rPr>
          <w:rFonts w:ascii="Calibri" w:eastAsia="Calibri" w:hAnsi="Calibri" w:cs="Calibri"/>
          <w:bCs/>
          <w:color w:val="000000"/>
          <w:sz w:val="24"/>
          <w:szCs w:val="24"/>
          <w:lang w:eastAsia="cs-CZ"/>
        </w:rPr>
        <w:t>.</w:t>
      </w:r>
      <w:r w:rsidRPr="003A5711">
        <w:rPr>
          <w:rFonts w:ascii="Calibri" w:eastAsia="Calibri" w:hAnsi="Calibri" w:cs="Calibri"/>
          <w:b/>
          <w:i/>
          <w:color w:val="000000"/>
          <w:sz w:val="24"/>
          <w:szCs w:val="24"/>
          <w:lang w:eastAsia="cs-CZ"/>
        </w:rPr>
        <w:t xml:space="preserve"> </w:t>
      </w:r>
    </w:p>
    <w:p w14:paraId="7AF73A26" w14:textId="0AFB4682" w:rsidR="003A5711" w:rsidRPr="0087375E" w:rsidRDefault="003A5711" w:rsidP="004F15E2">
      <w:pPr>
        <w:spacing w:after="120" w:line="264" w:lineRule="auto"/>
        <w:jc w:val="both"/>
        <w:rPr>
          <w:rFonts w:ascii="Calibri" w:eastAsia="Calibri" w:hAnsi="Calibri" w:cs="Calibri"/>
          <w:b/>
          <w:color w:val="000000"/>
          <w:sz w:val="24"/>
          <w:szCs w:val="24"/>
          <w:lang w:eastAsia="cs-CZ"/>
        </w:rPr>
      </w:pPr>
      <w:r w:rsidRPr="003A5711">
        <w:rPr>
          <w:rFonts w:ascii="Calibri" w:eastAsia="Calibri" w:hAnsi="Calibri" w:cs="Calibri"/>
          <w:b/>
          <w:color w:val="000000"/>
          <w:sz w:val="24"/>
          <w:szCs w:val="24"/>
          <w:lang w:eastAsia="cs-CZ"/>
        </w:rPr>
        <w:lastRenderedPageBreak/>
        <w:t>NKÚ vyhodnotil, že p</w:t>
      </w:r>
      <w:r w:rsidRPr="003A5711">
        <w:rPr>
          <w:rFonts w:ascii="Calibri" w:eastAsia="Times New Roman" w:hAnsi="Calibri" w:cs="Times New Roman"/>
          <w:b/>
          <w:sz w:val="24"/>
          <w:szCs w:val="24"/>
        </w:rPr>
        <w:t>omocí takto nastaveného věcného indikátoru nemůže GIBS splnění cíl</w:t>
      </w:r>
      <w:r w:rsidR="00CC109E">
        <w:rPr>
          <w:rFonts w:ascii="Calibri" w:eastAsia="Times New Roman" w:hAnsi="Calibri" w:cs="Times New Roman"/>
          <w:b/>
          <w:sz w:val="24"/>
          <w:szCs w:val="24"/>
        </w:rPr>
        <w:t xml:space="preserve">ů </w:t>
      </w:r>
      <w:r w:rsidRPr="003A5711">
        <w:rPr>
          <w:rFonts w:ascii="Calibri" w:eastAsia="Times New Roman" w:hAnsi="Calibri" w:cs="Times New Roman"/>
          <w:b/>
          <w:sz w:val="24"/>
          <w:szCs w:val="24"/>
        </w:rPr>
        <w:t xml:space="preserve">programů </w:t>
      </w:r>
      <w:r w:rsidRPr="003A5711">
        <w:rPr>
          <w:rFonts w:ascii="Calibri" w:eastAsia="Times New Roman" w:hAnsi="Calibri" w:cs="Times New Roman"/>
          <w:b/>
          <w:bCs/>
          <w:sz w:val="24"/>
          <w:szCs w:val="24"/>
        </w:rPr>
        <w:t>176 100 a 176 200</w:t>
      </w:r>
      <w:r w:rsidRPr="003A5711">
        <w:rPr>
          <w:rFonts w:ascii="Calibri" w:eastAsia="Times New Roman" w:hAnsi="Calibri" w:cs="Times New Roman"/>
          <w:sz w:val="24"/>
          <w:szCs w:val="24"/>
        </w:rPr>
        <w:t xml:space="preserve"> </w:t>
      </w:r>
      <w:r w:rsidRPr="003A5711">
        <w:rPr>
          <w:rFonts w:ascii="Calibri" w:eastAsia="Times New Roman" w:hAnsi="Calibri" w:cs="Times New Roman"/>
          <w:b/>
          <w:sz w:val="24"/>
          <w:szCs w:val="24"/>
        </w:rPr>
        <w:t>kvalitativně či kvantitativně změřit</w:t>
      </w:r>
      <w:r w:rsidR="006605A3">
        <w:rPr>
          <w:rFonts w:ascii="Calibri" w:eastAsia="Times New Roman" w:hAnsi="Calibri" w:cs="Times New Roman"/>
          <w:b/>
          <w:sz w:val="24"/>
          <w:szCs w:val="24"/>
        </w:rPr>
        <w:t>,</w:t>
      </w:r>
      <w:r w:rsidRPr="003A5711">
        <w:rPr>
          <w:rFonts w:ascii="Calibri" w:eastAsia="Times New Roman" w:hAnsi="Calibri" w:cs="Times New Roman"/>
          <w:b/>
          <w:sz w:val="24"/>
          <w:szCs w:val="24"/>
        </w:rPr>
        <w:t xml:space="preserve"> a </w:t>
      </w:r>
      <w:r w:rsidR="006605A3">
        <w:rPr>
          <w:rFonts w:ascii="Calibri" w:eastAsia="Times New Roman" w:hAnsi="Calibri" w:cs="Times New Roman"/>
          <w:b/>
          <w:sz w:val="24"/>
          <w:szCs w:val="24"/>
        </w:rPr>
        <w:t>tudíž</w:t>
      </w:r>
      <w:r w:rsidRPr="003A5711">
        <w:rPr>
          <w:rFonts w:ascii="Calibri" w:eastAsia="Times New Roman" w:hAnsi="Calibri" w:cs="Times New Roman"/>
          <w:b/>
          <w:sz w:val="24"/>
          <w:szCs w:val="24"/>
        </w:rPr>
        <w:t xml:space="preserve"> vyhodnotit. </w:t>
      </w:r>
      <w:r w:rsidRPr="003A5711">
        <w:rPr>
          <w:rFonts w:ascii="Calibri" w:eastAsia="Calibri" w:hAnsi="Calibri" w:cs="Calibri"/>
          <w:b/>
          <w:color w:val="000000"/>
          <w:sz w:val="24"/>
          <w:szCs w:val="24"/>
          <w:lang w:eastAsia="cs-CZ"/>
        </w:rPr>
        <w:t>Nastavený věcný indikátor nesouvisí s programovým financováním, tj. nemá návaznost na splnění souboru věcných, časových a finančních podmínek konkrétních akcí na pořízení nebo technické zhodnocení hmotného a nehmotného dlouhodobého majetku, s</w:t>
      </w:r>
      <w:r w:rsidR="006605A3">
        <w:rPr>
          <w:rFonts w:ascii="Calibri" w:eastAsia="Calibri" w:hAnsi="Calibri" w:cs="Calibri"/>
          <w:b/>
          <w:color w:val="000000"/>
          <w:sz w:val="24"/>
          <w:szCs w:val="24"/>
          <w:lang w:eastAsia="cs-CZ"/>
        </w:rPr>
        <w:t> </w:t>
      </w:r>
      <w:r w:rsidRPr="003A5711">
        <w:rPr>
          <w:rFonts w:ascii="Calibri" w:eastAsia="Calibri" w:hAnsi="Calibri" w:cs="Calibri"/>
          <w:b/>
          <w:color w:val="000000"/>
          <w:sz w:val="24"/>
          <w:szCs w:val="24"/>
          <w:lang w:eastAsia="cs-CZ"/>
        </w:rPr>
        <w:t>výjimkou drobného hmotného a nehmotného dl</w:t>
      </w:r>
      <w:r w:rsidR="0087375E">
        <w:rPr>
          <w:rFonts w:ascii="Calibri" w:eastAsia="Calibri" w:hAnsi="Calibri" w:cs="Calibri"/>
          <w:b/>
          <w:color w:val="000000"/>
          <w:sz w:val="24"/>
          <w:szCs w:val="24"/>
          <w:lang w:eastAsia="cs-CZ"/>
        </w:rPr>
        <w:t xml:space="preserve">ouhodobého majetku. </w:t>
      </w:r>
    </w:p>
    <w:p w14:paraId="13C6D3C9" w14:textId="1742E6F9" w:rsidR="007D68B1" w:rsidRPr="003A5711" w:rsidRDefault="003A5711" w:rsidP="004F15E2">
      <w:pPr>
        <w:spacing w:after="120" w:line="264" w:lineRule="auto"/>
        <w:jc w:val="both"/>
        <w:rPr>
          <w:rFonts w:ascii="Calibri" w:eastAsia="Times New Roman" w:hAnsi="Calibri" w:cs="Times New Roman"/>
          <w:sz w:val="24"/>
          <w:szCs w:val="24"/>
        </w:rPr>
      </w:pPr>
      <w:r w:rsidRPr="003A5711">
        <w:rPr>
          <w:rFonts w:ascii="Calibri" w:eastAsia="Times New Roman" w:hAnsi="Calibri" w:cs="Times New Roman"/>
          <w:sz w:val="24"/>
          <w:szCs w:val="24"/>
        </w:rPr>
        <w:t xml:space="preserve">GIBS každoročně ve </w:t>
      </w:r>
      <w:r w:rsidR="00981CE9">
        <w:rPr>
          <w:rFonts w:ascii="Calibri" w:eastAsia="Times New Roman" w:hAnsi="Calibri" w:cs="Times New Roman"/>
          <w:sz w:val="24"/>
          <w:szCs w:val="24"/>
        </w:rPr>
        <w:t>z</w:t>
      </w:r>
      <w:r w:rsidRPr="003A5711">
        <w:rPr>
          <w:rFonts w:ascii="Calibri" w:eastAsia="Times New Roman" w:hAnsi="Calibri" w:cs="Times New Roman"/>
          <w:sz w:val="24"/>
          <w:szCs w:val="24"/>
        </w:rPr>
        <w:t>právách o činnost</w:t>
      </w:r>
      <w:r w:rsidR="00981CE9">
        <w:rPr>
          <w:rFonts w:ascii="Calibri" w:eastAsia="Times New Roman" w:hAnsi="Calibri" w:cs="Times New Roman"/>
          <w:sz w:val="24"/>
          <w:szCs w:val="24"/>
        </w:rPr>
        <w:t>i</w:t>
      </w:r>
      <w:r w:rsidRPr="003A5711">
        <w:rPr>
          <w:rFonts w:ascii="Calibri" w:eastAsia="Times New Roman" w:hAnsi="Calibri" w:cs="Times New Roman"/>
          <w:sz w:val="24"/>
          <w:szCs w:val="24"/>
        </w:rPr>
        <w:t xml:space="preserve"> GIBS pouze uvádí, kol</w:t>
      </w:r>
      <w:r w:rsidR="0013137A">
        <w:rPr>
          <w:rFonts w:ascii="Calibri" w:eastAsia="Times New Roman" w:hAnsi="Calibri" w:cs="Times New Roman"/>
          <w:sz w:val="24"/>
          <w:szCs w:val="24"/>
        </w:rPr>
        <w:t>ik peněžních prostředků státu a </w:t>
      </w:r>
      <w:r w:rsidRPr="003A5711">
        <w:rPr>
          <w:rFonts w:ascii="Calibri" w:eastAsia="Times New Roman" w:hAnsi="Calibri" w:cs="Times New Roman"/>
          <w:sz w:val="24"/>
          <w:szCs w:val="24"/>
        </w:rPr>
        <w:t>z jakých programů čerpala. Každoroční přijetí výroční zprávy GIBS vládou ČR není závislé</w:t>
      </w:r>
      <w:r w:rsidR="0087375E">
        <w:rPr>
          <w:rFonts w:ascii="Calibri" w:eastAsia="Times New Roman" w:hAnsi="Calibri" w:cs="Times New Roman"/>
          <w:sz w:val="24"/>
          <w:szCs w:val="24"/>
        </w:rPr>
        <w:t xml:space="preserve"> na</w:t>
      </w:r>
      <w:r w:rsidRPr="003A5711">
        <w:rPr>
          <w:rFonts w:ascii="Calibri" w:eastAsia="Times New Roman" w:hAnsi="Calibri" w:cs="Times New Roman"/>
          <w:sz w:val="24"/>
          <w:szCs w:val="24"/>
        </w:rPr>
        <w:t xml:space="preserve"> úspěšnosti realizace </w:t>
      </w:r>
      <w:r w:rsidRPr="003A5711">
        <w:rPr>
          <w:rFonts w:ascii="Calibri" w:eastAsia="Times New Roman" w:hAnsi="Calibri" w:cs="Times New Roman"/>
          <w:iCs/>
          <w:sz w:val="24"/>
          <w:szCs w:val="24"/>
        </w:rPr>
        <w:t xml:space="preserve">programů, resp. investičních akcí. </w:t>
      </w:r>
      <w:r w:rsidRPr="003A5711">
        <w:rPr>
          <w:rFonts w:ascii="Calibri" w:eastAsia="Times New Roman" w:hAnsi="Calibri" w:cs="Times New Roman"/>
          <w:sz w:val="24"/>
          <w:szCs w:val="24"/>
        </w:rPr>
        <w:t>Také v rámci jednotlivých podprogramů programů 176 100 a 176 200 nestanovila GIBS až na výjimky (</w:t>
      </w:r>
      <w:r w:rsidR="00981CE9">
        <w:rPr>
          <w:rFonts w:ascii="Calibri" w:eastAsia="Times New Roman" w:hAnsi="Calibri" w:cs="Times New Roman"/>
          <w:sz w:val="24"/>
          <w:szCs w:val="24"/>
        </w:rPr>
        <w:t xml:space="preserve">např. </w:t>
      </w:r>
      <w:r w:rsidRPr="003A5711">
        <w:rPr>
          <w:rFonts w:ascii="Calibri" w:eastAsia="Times New Roman" w:hAnsi="Calibri" w:cs="Times New Roman"/>
          <w:sz w:val="24"/>
          <w:szCs w:val="24"/>
        </w:rPr>
        <w:t xml:space="preserve">počet služebních dopravních prostředků) měřitelné indikátory, </w:t>
      </w:r>
      <w:r w:rsidR="006605A3">
        <w:rPr>
          <w:rFonts w:ascii="Calibri" w:eastAsia="Times New Roman" w:hAnsi="Calibri" w:cs="Times New Roman"/>
          <w:sz w:val="24"/>
          <w:szCs w:val="24"/>
        </w:rPr>
        <w:t xml:space="preserve">jejichž </w:t>
      </w:r>
      <w:r w:rsidRPr="003A5711">
        <w:rPr>
          <w:rFonts w:ascii="Calibri" w:eastAsia="Times New Roman" w:hAnsi="Calibri" w:cs="Times New Roman"/>
          <w:sz w:val="24"/>
          <w:szCs w:val="24"/>
        </w:rPr>
        <w:t xml:space="preserve">pomocí </w:t>
      </w:r>
      <w:r w:rsidR="006605A3">
        <w:rPr>
          <w:rFonts w:ascii="Calibri" w:eastAsia="Times New Roman" w:hAnsi="Calibri" w:cs="Times New Roman"/>
          <w:sz w:val="24"/>
          <w:szCs w:val="24"/>
        </w:rPr>
        <w:t>by bylo</w:t>
      </w:r>
      <w:r w:rsidRPr="003A5711">
        <w:rPr>
          <w:rFonts w:ascii="Calibri" w:eastAsia="Times New Roman" w:hAnsi="Calibri" w:cs="Times New Roman"/>
          <w:sz w:val="24"/>
          <w:szCs w:val="24"/>
        </w:rPr>
        <w:t xml:space="preserve"> možné vyhodnotit cíle těchto podprogramů.</w:t>
      </w:r>
      <w:r w:rsidR="007D68B1" w:rsidRPr="007D68B1">
        <w:rPr>
          <w:rFonts w:ascii="Calibri" w:eastAsia="Times New Roman" w:hAnsi="Calibri" w:cs="Times New Roman"/>
          <w:sz w:val="24"/>
          <w:szCs w:val="24"/>
        </w:rPr>
        <w:t xml:space="preserve"> </w:t>
      </w:r>
    </w:p>
    <w:p w14:paraId="1261ABC6" w14:textId="71EFD7B9" w:rsidR="003A5711" w:rsidRPr="003A5711" w:rsidRDefault="003A5711" w:rsidP="0032791C">
      <w:pPr>
        <w:keepNext/>
        <w:spacing w:after="120" w:line="264" w:lineRule="auto"/>
        <w:ind w:left="425" w:hanging="425"/>
        <w:outlineLvl w:val="2"/>
        <w:rPr>
          <w:rFonts w:cs="Calibri"/>
          <w:b/>
          <w:sz w:val="24"/>
          <w:szCs w:val="24"/>
        </w:rPr>
      </w:pPr>
      <w:r w:rsidRPr="003A5711">
        <w:rPr>
          <w:rFonts w:cs="Calibri"/>
          <w:b/>
          <w:sz w:val="24"/>
          <w:szCs w:val="24"/>
        </w:rPr>
        <w:t xml:space="preserve">3.2 </w:t>
      </w:r>
      <w:r w:rsidRPr="003A5711">
        <w:rPr>
          <w:rFonts w:cs="Calibri"/>
          <w:b/>
          <w:sz w:val="24"/>
          <w:szCs w:val="24"/>
        </w:rPr>
        <w:tab/>
        <w:t>GIBS z </w:t>
      </w:r>
      <w:r w:rsidR="007E0076">
        <w:rPr>
          <w:rFonts w:cs="Calibri"/>
          <w:b/>
          <w:sz w:val="24"/>
          <w:szCs w:val="24"/>
        </w:rPr>
        <w:t>p</w:t>
      </w:r>
      <w:r w:rsidRPr="003A5711">
        <w:rPr>
          <w:rFonts w:cs="Calibri"/>
          <w:b/>
          <w:sz w:val="24"/>
          <w:szCs w:val="24"/>
        </w:rPr>
        <w:t>ro</w:t>
      </w:r>
      <w:r w:rsidR="002F4CBD">
        <w:rPr>
          <w:rFonts w:cs="Calibri"/>
          <w:b/>
          <w:sz w:val="24"/>
          <w:szCs w:val="24"/>
        </w:rPr>
        <w:t>gramu 176 100 vyčerpala pouze 53,6</w:t>
      </w:r>
      <w:r w:rsidRPr="003A5711">
        <w:rPr>
          <w:rFonts w:cs="Calibri"/>
          <w:b/>
          <w:sz w:val="24"/>
          <w:szCs w:val="24"/>
        </w:rPr>
        <w:t xml:space="preserve"> % alokovaných peněžních prostředků státu </w:t>
      </w:r>
      <w:r w:rsidR="00E40FE8">
        <w:rPr>
          <w:rFonts w:cs="Calibri"/>
          <w:b/>
          <w:sz w:val="24"/>
          <w:szCs w:val="24"/>
        </w:rPr>
        <w:t>a nesplnila stanovené cíle podprogramů</w:t>
      </w:r>
    </w:p>
    <w:p w14:paraId="48078839" w14:textId="5FA52F56" w:rsidR="003A5711" w:rsidRPr="003A5711" w:rsidRDefault="003A5711" w:rsidP="004F15E2">
      <w:pPr>
        <w:spacing w:after="120" w:line="264" w:lineRule="auto"/>
        <w:jc w:val="both"/>
        <w:rPr>
          <w:rFonts w:ascii="Calibri" w:hAnsi="Calibri"/>
          <w:bCs/>
          <w:sz w:val="24"/>
          <w:szCs w:val="24"/>
        </w:rPr>
      </w:pPr>
      <w:r w:rsidRPr="003A5711">
        <w:rPr>
          <w:rFonts w:ascii="Calibri" w:hAnsi="Calibri"/>
          <w:bCs/>
          <w:sz w:val="24"/>
          <w:szCs w:val="24"/>
        </w:rPr>
        <w:t xml:space="preserve">GIBS při stanovení objemu plánovaných peněžních prostředků </w:t>
      </w:r>
      <w:r w:rsidR="002C3C10">
        <w:rPr>
          <w:rFonts w:ascii="Calibri" w:hAnsi="Calibri"/>
          <w:bCs/>
          <w:sz w:val="24"/>
          <w:szCs w:val="24"/>
        </w:rPr>
        <w:t xml:space="preserve">státu </w:t>
      </w:r>
      <w:r w:rsidRPr="003A5711">
        <w:rPr>
          <w:rFonts w:ascii="Calibri" w:hAnsi="Calibri"/>
          <w:bCs/>
          <w:sz w:val="24"/>
          <w:szCs w:val="24"/>
        </w:rPr>
        <w:t xml:space="preserve">programů </w:t>
      </w:r>
      <w:r w:rsidR="0013137A">
        <w:rPr>
          <w:sz w:val="24"/>
          <w:szCs w:val="24"/>
        </w:rPr>
        <w:t>176 100 a </w:t>
      </w:r>
      <w:r w:rsidRPr="003A5711">
        <w:rPr>
          <w:sz w:val="24"/>
          <w:szCs w:val="24"/>
        </w:rPr>
        <w:t xml:space="preserve">176 200 </w:t>
      </w:r>
      <w:r w:rsidRPr="003A5711">
        <w:rPr>
          <w:rFonts w:ascii="Calibri" w:hAnsi="Calibri"/>
          <w:bCs/>
          <w:sz w:val="24"/>
          <w:szCs w:val="24"/>
        </w:rPr>
        <w:t xml:space="preserve">a na </w:t>
      </w:r>
      <w:r w:rsidR="00916022">
        <w:rPr>
          <w:rFonts w:ascii="Calibri" w:hAnsi="Calibri"/>
          <w:bCs/>
          <w:sz w:val="24"/>
          <w:szCs w:val="24"/>
        </w:rPr>
        <w:t>ně</w:t>
      </w:r>
      <w:r w:rsidRPr="003A5711">
        <w:rPr>
          <w:rFonts w:ascii="Calibri" w:hAnsi="Calibri"/>
          <w:bCs/>
          <w:sz w:val="24"/>
          <w:szCs w:val="24"/>
        </w:rPr>
        <w:t xml:space="preserve"> navazujících cílů nevycházela z konkrétních a jednoznačně definovaných </w:t>
      </w:r>
      <w:r w:rsidR="008A06E2">
        <w:rPr>
          <w:rFonts w:ascii="Calibri" w:hAnsi="Calibri"/>
          <w:bCs/>
          <w:sz w:val="24"/>
          <w:szCs w:val="24"/>
        </w:rPr>
        <w:t xml:space="preserve">věcných a finančních </w:t>
      </w:r>
      <w:r w:rsidRPr="003A5711">
        <w:rPr>
          <w:rFonts w:ascii="Calibri" w:hAnsi="Calibri"/>
          <w:bCs/>
          <w:sz w:val="24"/>
          <w:szCs w:val="24"/>
        </w:rPr>
        <w:t>potřeb</w:t>
      </w:r>
      <w:r w:rsidR="00916022">
        <w:rPr>
          <w:rFonts w:ascii="Calibri" w:hAnsi="Calibri"/>
          <w:bCs/>
          <w:sz w:val="24"/>
          <w:szCs w:val="24"/>
        </w:rPr>
        <w:t>,</w:t>
      </w:r>
      <w:r w:rsidR="008A06E2">
        <w:rPr>
          <w:rFonts w:ascii="Calibri" w:hAnsi="Calibri"/>
          <w:bCs/>
          <w:sz w:val="24"/>
          <w:szCs w:val="24"/>
        </w:rPr>
        <w:t xml:space="preserve"> </w:t>
      </w:r>
      <w:r w:rsidR="00AC3B54">
        <w:rPr>
          <w:rFonts w:ascii="Calibri" w:hAnsi="Calibri"/>
          <w:bCs/>
          <w:sz w:val="24"/>
          <w:szCs w:val="24"/>
        </w:rPr>
        <w:t>na</w:t>
      </w:r>
      <w:r w:rsidR="00916022">
        <w:rPr>
          <w:rFonts w:ascii="Calibri" w:hAnsi="Calibri"/>
          <w:bCs/>
          <w:sz w:val="24"/>
          <w:szCs w:val="24"/>
        </w:rPr>
        <w:t xml:space="preserve"> jejichž</w:t>
      </w:r>
      <w:r w:rsidR="00AC3B54">
        <w:rPr>
          <w:rFonts w:ascii="Calibri" w:hAnsi="Calibri"/>
          <w:bCs/>
          <w:sz w:val="24"/>
          <w:szCs w:val="24"/>
        </w:rPr>
        <w:t xml:space="preserve"> </w:t>
      </w:r>
      <w:r w:rsidRPr="003A5711">
        <w:rPr>
          <w:sz w:val="24"/>
          <w:szCs w:val="24"/>
        </w:rPr>
        <w:t xml:space="preserve">základě </w:t>
      </w:r>
      <w:r w:rsidR="00895E8E">
        <w:rPr>
          <w:sz w:val="24"/>
          <w:szCs w:val="24"/>
        </w:rPr>
        <w:t xml:space="preserve">by </w:t>
      </w:r>
      <w:r w:rsidR="008A06E2">
        <w:rPr>
          <w:sz w:val="24"/>
          <w:szCs w:val="24"/>
        </w:rPr>
        <w:t xml:space="preserve">GIBS </w:t>
      </w:r>
      <w:r w:rsidRPr="003A5711">
        <w:rPr>
          <w:sz w:val="24"/>
          <w:szCs w:val="24"/>
        </w:rPr>
        <w:t>stanovila bilanci potřeb a</w:t>
      </w:r>
      <w:r w:rsidR="00895E8E">
        <w:rPr>
          <w:sz w:val="24"/>
          <w:szCs w:val="24"/>
        </w:rPr>
        <w:t> </w:t>
      </w:r>
      <w:r w:rsidRPr="003A5711">
        <w:rPr>
          <w:sz w:val="24"/>
          <w:szCs w:val="24"/>
        </w:rPr>
        <w:t xml:space="preserve">zdrojů financování obou programů. V oblasti definice potřeb předložila pouze v oblasti informačních technologií </w:t>
      </w:r>
      <w:r w:rsidRPr="009D6D78">
        <w:rPr>
          <w:rFonts w:ascii="Calibri" w:hAnsi="Calibri"/>
          <w:sz w:val="24"/>
          <w:szCs w:val="24"/>
        </w:rPr>
        <w:t>„</w:t>
      </w:r>
      <w:r w:rsidR="00916022" w:rsidRPr="009D6D78">
        <w:rPr>
          <w:rFonts w:ascii="Calibri" w:hAnsi="Calibri"/>
          <w:sz w:val="24"/>
          <w:szCs w:val="24"/>
        </w:rPr>
        <w:t>v</w:t>
      </w:r>
      <w:r w:rsidRPr="009D6D78">
        <w:rPr>
          <w:rFonts w:ascii="Calibri" w:hAnsi="Calibri"/>
          <w:sz w:val="24"/>
          <w:szCs w:val="24"/>
        </w:rPr>
        <w:t>yhodnocení stavu informatiky a návrhy změn strategie informatiky“</w:t>
      </w:r>
      <w:r w:rsidRPr="003A5711">
        <w:rPr>
          <w:rFonts w:ascii="Calibri" w:hAnsi="Calibri"/>
          <w:sz w:val="24"/>
          <w:szCs w:val="24"/>
        </w:rPr>
        <w:t xml:space="preserve"> (z roku 2014 a 2016).</w:t>
      </w:r>
      <w:r w:rsidRPr="003A5711">
        <w:rPr>
          <w:rFonts w:ascii="Calibri" w:hAnsi="Calibri"/>
          <w:bCs/>
          <w:sz w:val="24"/>
          <w:szCs w:val="24"/>
        </w:rPr>
        <w:t xml:space="preserve"> </w:t>
      </w:r>
      <w:r w:rsidRPr="003A5711">
        <w:rPr>
          <w:rFonts w:ascii="Calibri" w:hAnsi="Calibri"/>
          <w:sz w:val="24"/>
          <w:szCs w:val="24"/>
        </w:rPr>
        <w:t>Tyto dokumenty obsahují pouze informace o realizovaných projektech do roku 2014, resp. 2017</w:t>
      </w:r>
      <w:r w:rsidR="00916022">
        <w:rPr>
          <w:rFonts w:ascii="Calibri" w:hAnsi="Calibri"/>
          <w:sz w:val="24"/>
          <w:szCs w:val="24"/>
        </w:rPr>
        <w:t>,</w:t>
      </w:r>
      <w:r w:rsidRPr="003A5711">
        <w:rPr>
          <w:rFonts w:ascii="Calibri" w:hAnsi="Calibri"/>
          <w:sz w:val="24"/>
          <w:szCs w:val="24"/>
        </w:rPr>
        <w:t xml:space="preserve"> a návrhy strategických projektů v následujícím období.</w:t>
      </w:r>
      <w:r w:rsidRPr="003A5711">
        <w:rPr>
          <w:rFonts w:ascii="Calibri" w:hAnsi="Calibri"/>
          <w:bCs/>
          <w:sz w:val="24"/>
          <w:szCs w:val="24"/>
        </w:rPr>
        <w:t xml:space="preserve"> </w:t>
      </w:r>
      <w:r w:rsidRPr="003A5711">
        <w:rPr>
          <w:rFonts w:ascii="Calibri" w:hAnsi="Calibri"/>
          <w:sz w:val="24"/>
          <w:szCs w:val="24"/>
        </w:rPr>
        <w:t xml:space="preserve">Z dokumentů není zřejmé, jaké konkrétní </w:t>
      </w:r>
      <w:r w:rsidR="009D2106">
        <w:rPr>
          <w:rFonts w:ascii="Calibri" w:hAnsi="Calibri"/>
          <w:sz w:val="24"/>
          <w:szCs w:val="24"/>
        </w:rPr>
        <w:t>investiční akce</w:t>
      </w:r>
      <w:r w:rsidR="009D2106" w:rsidRPr="003A5711">
        <w:rPr>
          <w:rFonts w:ascii="Calibri" w:hAnsi="Calibri"/>
          <w:sz w:val="24"/>
          <w:szCs w:val="24"/>
        </w:rPr>
        <w:t xml:space="preserve"> </w:t>
      </w:r>
      <w:r w:rsidR="009D2106">
        <w:rPr>
          <w:rFonts w:ascii="Calibri" w:hAnsi="Calibri"/>
          <w:sz w:val="24"/>
          <w:szCs w:val="24"/>
        </w:rPr>
        <w:t xml:space="preserve">v návaznosti na strategické projekty </w:t>
      </w:r>
      <w:r w:rsidRPr="003A5711">
        <w:rPr>
          <w:rFonts w:ascii="Calibri" w:hAnsi="Calibri"/>
          <w:sz w:val="24"/>
          <w:szCs w:val="24"/>
        </w:rPr>
        <w:t xml:space="preserve">plánuje GIBS </w:t>
      </w:r>
      <w:r w:rsidR="009D2106">
        <w:rPr>
          <w:rFonts w:ascii="Calibri" w:hAnsi="Calibri"/>
          <w:sz w:val="24"/>
          <w:szCs w:val="24"/>
        </w:rPr>
        <w:t>realizovat</w:t>
      </w:r>
      <w:r w:rsidR="00916022">
        <w:rPr>
          <w:rFonts w:ascii="Calibri" w:hAnsi="Calibri"/>
          <w:sz w:val="24"/>
          <w:szCs w:val="24"/>
        </w:rPr>
        <w:t>,</w:t>
      </w:r>
      <w:r w:rsidR="009D2106" w:rsidRPr="003A5711">
        <w:rPr>
          <w:rFonts w:ascii="Calibri" w:hAnsi="Calibri"/>
          <w:sz w:val="24"/>
          <w:szCs w:val="24"/>
        </w:rPr>
        <w:t xml:space="preserve"> </w:t>
      </w:r>
      <w:r w:rsidRPr="003A5711">
        <w:rPr>
          <w:rFonts w:ascii="Calibri" w:hAnsi="Calibri"/>
          <w:sz w:val="24"/>
          <w:szCs w:val="24"/>
        </w:rPr>
        <w:t xml:space="preserve">ani předpokládaná cena požadovaného majetku, tedy předpoklady pro tvorbu dokumentací obou programů. Absence definice potřeb </w:t>
      </w:r>
      <w:r w:rsidR="001455A9" w:rsidRPr="003A5711">
        <w:rPr>
          <w:rFonts w:ascii="Calibri" w:hAnsi="Calibri"/>
          <w:sz w:val="24"/>
          <w:szCs w:val="24"/>
        </w:rPr>
        <w:t>byla</w:t>
      </w:r>
      <w:r w:rsidR="001455A9">
        <w:rPr>
          <w:rFonts w:ascii="Calibri" w:hAnsi="Calibri"/>
          <w:sz w:val="24"/>
          <w:szCs w:val="24"/>
        </w:rPr>
        <w:t xml:space="preserve"> jedním z hlavních</w:t>
      </w:r>
      <w:r w:rsidR="001455A9" w:rsidRPr="003A5711">
        <w:rPr>
          <w:rFonts w:ascii="Calibri" w:hAnsi="Calibri"/>
          <w:sz w:val="24"/>
          <w:szCs w:val="24"/>
        </w:rPr>
        <w:t xml:space="preserve"> důvod</w:t>
      </w:r>
      <w:r w:rsidR="001455A9">
        <w:rPr>
          <w:rFonts w:ascii="Calibri" w:hAnsi="Calibri"/>
          <w:sz w:val="24"/>
          <w:szCs w:val="24"/>
        </w:rPr>
        <w:t>ů</w:t>
      </w:r>
      <w:r w:rsidR="001455A9" w:rsidRPr="003A5711" w:rsidDel="001455A9">
        <w:rPr>
          <w:rFonts w:ascii="Calibri" w:hAnsi="Calibri"/>
          <w:sz w:val="24"/>
          <w:szCs w:val="24"/>
        </w:rPr>
        <w:t xml:space="preserve"> </w:t>
      </w:r>
      <w:r w:rsidRPr="003A5711">
        <w:rPr>
          <w:rFonts w:ascii="Calibri" w:hAnsi="Calibri"/>
          <w:sz w:val="24"/>
          <w:szCs w:val="24"/>
        </w:rPr>
        <w:t xml:space="preserve">nízkého čerpání </w:t>
      </w:r>
      <w:r w:rsidRPr="003A5711">
        <w:rPr>
          <w:rFonts w:ascii="Calibri" w:eastAsia="Times New Roman" w:hAnsi="Calibri" w:cs="Times New Roman"/>
          <w:noProof/>
          <w:sz w:val="24"/>
          <w:szCs w:val="24"/>
        </w:rPr>
        <w:t xml:space="preserve">peněžních prostředků státu </w:t>
      </w:r>
      <w:r w:rsidR="007E0076">
        <w:rPr>
          <w:rFonts w:ascii="Calibri" w:eastAsia="Times New Roman" w:hAnsi="Calibri" w:cs="Times New Roman"/>
          <w:noProof/>
          <w:sz w:val="24"/>
          <w:szCs w:val="24"/>
        </w:rPr>
        <w:t>p</w:t>
      </w:r>
      <w:r w:rsidRPr="003A5711">
        <w:rPr>
          <w:rFonts w:ascii="Calibri" w:eastAsia="Times New Roman" w:hAnsi="Calibri" w:cs="Times New Roman"/>
          <w:noProof/>
          <w:sz w:val="24"/>
          <w:szCs w:val="24"/>
        </w:rPr>
        <w:t>rogramu 176 100 (</w:t>
      </w:r>
      <w:r w:rsidR="00895E8E">
        <w:rPr>
          <w:rFonts w:ascii="Calibri" w:eastAsia="Times New Roman" w:hAnsi="Calibri" w:cs="Times New Roman"/>
          <w:noProof/>
          <w:sz w:val="24"/>
          <w:szCs w:val="24"/>
        </w:rPr>
        <w:t xml:space="preserve">viz </w:t>
      </w:r>
      <w:r w:rsidRPr="003A5711">
        <w:rPr>
          <w:rFonts w:ascii="Calibri" w:eastAsia="Times New Roman" w:hAnsi="Calibri" w:cs="Times New Roman"/>
          <w:noProof/>
          <w:sz w:val="24"/>
          <w:szCs w:val="24"/>
        </w:rPr>
        <w:t>tabulk</w:t>
      </w:r>
      <w:r w:rsidRPr="00662D19">
        <w:rPr>
          <w:rFonts w:ascii="Calibri" w:eastAsia="Times New Roman" w:hAnsi="Calibri" w:cs="Times New Roman"/>
          <w:noProof/>
          <w:sz w:val="24"/>
          <w:szCs w:val="24"/>
        </w:rPr>
        <w:t xml:space="preserve">a </w:t>
      </w:r>
      <w:r w:rsidR="00662D19" w:rsidRPr="00662D19">
        <w:rPr>
          <w:rFonts w:ascii="Calibri" w:eastAsia="Times New Roman" w:hAnsi="Calibri" w:cs="Times New Roman"/>
          <w:noProof/>
          <w:sz w:val="24"/>
          <w:szCs w:val="24"/>
        </w:rPr>
        <w:t>č. 6</w:t>
      </w:r>
      <w:r w:rsidRPr="00662D19">
        <w:rPr>
          <w:rFonts w:ascii="Calibri" w:eastAsia="Times New Roman" w:hAnsi="Calibri" w:cs="Times New Roman"/>
          <w:noProof/>
          <w:sz w:val="24"/>
          <w:szCs w:val="24"/>
        </w:rPr>
        <w:t>)</w:t>
      </w:r>
      <w:r w:rsidR="00CC109E">
        <w:rPr>
          <w:rFonts w:ascii="Calibri" w:eastAsia="Times New Roman" w:hAnsi="Calibri" w:cs="Times New Roman"/>
          <w:noProof/>
          <w:sz w:val="24"/>
          <w:szCs w:val="24"/>
        </w:rPr>
        <w:t>.</w:t>
      </w:r>
      <w:r w:rsidRPr="003A5711">
        <w:rPr>
          <w:rFonts w:ascii="Calibri" w:eastAsia="Times New Roman" w:hAnsi="Calibri" w:cs="Times New Roman"/>
          <w:noProof/>
          <w:sz w:val="24"/>
          <w:szCs w:val="24"/>
        </w:rPr>
        <w:t xml:space="preserve"> </w:t>
      </w:r>
    </w:p>
    <w:p w14:paraId="6401BC82" w14:textId="2BA99E04" w:rsidR="003A5711" w:rsidRPr="0032791C" w:rsidRDefault="003A5711" w:rsidP="0032791C">
      <w:pPr>
        <w:tabs>
          <w:tab w:val="right" w:pos="9072"/>
        </w:tabs>
        <w:spacing w:after="40"/>
        <w:jc w:val="both"/>
        <w:rPr>
          <w:rFonts w:ascii="Calibri" w:eastAsia="Times New Roman" w:hAnsi="Calibri" w:cs="Times New Roman"/>
          <w:b/>
          <w:noProof/>
          <w:sz w:val="24"/>
          <w:szCs w:val="24"/>
        </w:rPr>
      </w:pPr>
      <w:r w:rsidRPr="0032791C">
        <w:rPr>
          <w:rFonts w:ascii="Calibri" w:eastAsia="Times New Roman" w:hAnsi="Calibri" w:cs="Times New Roman"/>
          <w:b/>
          <w:noProof/>
          <w:sz w:val="24"/>
          <w:szCs w:val="24"/>
        </w:rPr>
        <w:t xml:space="preserve">Tabulka č. </w:t>
      </w:r>
      <w:r w:rsidR="00662D19" w:rsidRPr="0032791C">
        <w:rPr>
          <w:rFonts w:ascii="Calibri" w:eastAsia="Times New Roman" w:hAnsi="Calibri" w:cs="Times New Roman"/>
          <w:b/>
          <w:noProof/>
          <w:sz w:val="24"/>
          <w:szCs w:val="24"/>
        </w:rPr>
        <w:t>6</w:t>
      </w:r>
      <w:r w:rsidRPr="0032791C">
        <w:rPr>
          <w:rFonts w:ascii="Calibri" w:eastAsia="Times New Roman" w:hAnsi="Calibri" w:cs="Times New Roman"/>
          <w:b/>
          <w:noProof/>
          <w:sz w:val="24"/>
          <w:szCs w:val="24"/>
        </w:rPr>
        <w:t xml:space="preserve">: Čerpání peněžních prostředků státu </w:t>
      </w:r>
      <w:r w:rsidR="007E0076" w:rsidRPr="0032791C">
        <w:rPr>
          <w:rFonts w:ascii="Calibri" w:eastAsia="Times New Roman" w:hAnsi="Calibri" w:cs="Times New Roman"/>
          <w:b/>
          <w:noProof/>
          <w:sz w:val="24"/>
          <w:szCs w:val="24"/>
        </w:rPr>
        <w:t>p</w:t>
      </w:r>
      <w:r w:rsidRPr="0032791C">
        <w:rPr>
          <w:rFonts w:ascii="Calibri" w:eastAsia="Times New Roman" w:hAnsi="Calibri" w:cs="Times New Roman"/>
          <w:b/>
          <w:noProof/>
          <w:sz w:val="24"/>
          <w:szCs w:val="24"/>
        </w:rPr>
        <w:t>rogramu 176</w:t>
      </w:r>
      <w:r w:rsidR="0032791C">
        <w:rPr>
          <w:rFonts w:ascii="Calibri" w:eastAsia="Times New Roman" w:hAnsi="Calibri" w:cs="Times New Roman"/>
          <w:b/>
          <w:noProof/>
          <w:sz w:val="24"/>
          <w:szCs w:val="24"/>
        </w:rPr>
        <w:t> </w:t>
      </w:r>
      <w:r w:rsidRPr="0032791C">
        <w:rPr>
          <w:rFonts w:ascii="Calibri" w:eastAsia="Times New Roman" w:hAnsi="Calibri" w:cs="Times New Roman"/>
          <w:b/>
          <w:noProof/>
          <w:sz w:val="24"/>
          <w:szCs w:val="24"/>
        </w:rPr>
        <w:t xml:space="preserve">100 </w:t>
      </w:r>
      <w:r w:rsidR="0032791C">
        <w:rPr>
          <w:rFonts w:ascii="Calibri" w:eastAsia="Times New Roman" w:hAnsi="Calibri" w:cs="Times New Roman"/>
          <w:b/>
          <w:noProof/>
          <w:sz w:val="24"/>
          <w:szCs w:val="24"/>
        </w:rPr>
        <w:tab/>
      </w:r>
      <w:r w:rsidRPr="0032791C">
        <w:rPr>
          <w:rFonts w:ascii="Calibri" w:eastAsia="Times New Roman" w:hAnsi="Calibri" w:cs="Times New Roman"/>
          <w:b/>
          <w:noProof/>
          <w:sz w:val="24"/>
          <w:szCs w:val="24"/>
        </w:rPr>
        <w:t>(v tis. Kč)</w:t>
      </w:r>
    </w:p>
    <w:tbl>
      <w:tblPr>
        <w:tblStyle w:val="Mkatabulky51"/>
        <w:tblW w:w="0" w:type="auto"/>
        <w:tblInd w:w="-5" w:type="dxa"/>
        <w:tblLook w:val="04A0" w:firstRow="1" w:lastRow="0" w:firstColumn="1" w:lastColumn="0" w:noHBand="0" w:noVBand="1"/>
      </w:tblPr>
      <w:tblGrid>
        <w:gridCol w:w="2058"/>
        <w:gridCol w:w="1566"/>
        <w:gridCol w:w="1812"/>
        <w:gridCol w:w="1644"/>
        <w:gridCol w:w="1985"/>
      </w:tblGrid>
      <w:tr w:rsidR="003A5711" w:rsidRPr="003A5711" w14:paraId="579520DD" w14:textId="77777777" w:rsidTr="0032791C">
        <w:trPr>
          <w:trHeight w:val="283"/>
        </w:trPr>
        <w:tc>
          <w:tcPr>
            <w:tcW w:w="2058" w:type="dxa"/>
            <w:shd w:val="clear" w:color="auto" w:fill="E5F1FF"/>
            <w:vAlign w:val="center"/>
          </w:tcPr>
          <w:p w14:paraId="31A9C435" w14:textId="2362D376" w:rsidR="003A5711" w:rsidRPr="003A5711" w:rsidRDefault="003A5711" w:rsidP="0032791C">
            <w:pPr>
              <w:jc w:val="center"/>
              <w:rPr>
                <w:noProof/>
                <w:sz w:val="20"/>
                <w:szCs w:val="20"/>
              </w:rPr>
            </w:pPr>
            <w:r w:rsidRPr="003A5711">
              <w:rPr>
                <w:b/>
                <w:noProof/>
                <w:sz w:val="20"/>
                <w:szCs w:val="20"/>
              </w:rPr>
              <w:t>Program 176 100</w:t>
            </w:r>
          </w:p>
        </w:tc>
        <w:tc>
          <w:tcPr>
            <w:tcW w:w="1566" w:type="dxa"/>
            <w:shd w:val="clear" w:color="auto" w:fill="E5F1FF"/>
            <w:vAlign w:val="center"/>
          </w:tcPr>
          <w:p w14:paraId="58D8FE31" w14:textId="77777777" w:rsidR="003A5711" w:rsidRPr="003A5711" w:rsidRDefault="003A5711" w:rsidP="0032791C">
            <w:pPr>
              <w:jc w:val="center"/>
              <w:rPr>
                <w:b/>
                <w:noProof/>
                <w:sz w:val="20"/>
                <w:szCs w:val="20"/>
              </w:rPr>
            </w:pPr>
            <w:r w:rsidRPr="003A5711">
              <w:rPr>
                <w:b/>
                <w:noProof/>
                <w:sz w:val="20"/>
                <w:szCs w:val="20"/>
              </w:rPr>
              <w:t>2015</w:t>
            </w:r>
          </w:p>
        </w:tc>
        <w:tc>
          <w:tcPr>
            <w:tcW w:w="1812" w:type="dxa"/>
            <w:shd w:val="clear" w:color="auto" w:fill="E5F1FF"/>
            <w:vAlign w:val="center"/>
          </w:tcPr>
          <w:p w14:paraId="179C8EF2" w14:textId="77777777" w:rsidR="003A5711" w:rsidRPr="003A5711" w:rsidRDefault="003A5711" w:rsidP="0032791C">
            <w:pPr>
              <w:jc w:val="center"/>
              <w:rPr>
                <w:b/>
                <w:noProof/>
                <w:sz w:val="20"/>
                <w:szCs w:val="20"/>
              </w:rPr>
            </w:pPr>
            <w:r w:rsidRPr="003A5711">
              <w:rPr>
                <w:b/>
                <w:noProof/>
                <w:sz w:val="20"/>
                <w:szCs w:val="20"/>
              </w:rPr>
              <w:t>2016</w:t>
            </w:r>
          </w:p>
        </w:tc>
        <w:tc>
          <w:tcPr>
            <w:tcW w:w="1644" w:type="dxa"/>
            <w:shd w:val="clear" w:color="auto" w:fill="E5F1FF"/>
            <w:vAlign w:val="center"/>
          </w:tcPr>
          <w:p w14:paraId="6C249807" w14:textId="77777777" w:rsidR="003A5711" w:rsidRPr="003A5711" w:rsidRDefault="003A5711" w:rsidP="0032791C">
            <w:pPr>
              <w:jc w:val="center"/>
              <w:rPr>
                <w:b/>
                <w:noProof/>
                <w:sz w:val="20"/>
                <w:szCs w:val="20"/>
              </w:rPr>
            </w:pPr>
            <w:r w:rsidRPr="003A5711">
              <w:rPr>
                <w:b/>
                <w:noProof/>
                <w:sz w:val="20"/>
                <w:szCs w:val="20"/>
              </w:rPr>
              <w:t>2017</w:t>
            </w:r>
          </w:p>
        </w:tc>
        <w:tc>
          <w:tcPr>
            <w:tcW w:w="1985" w:type="dxa"/>
            <w:shd w:val="clear" w:color="auto" w:fill="E5F1FF"/>
            <w:vAlign w:val="center"/>
          </w:tcPr>
          <w:p w14:paraId="52E934A3" w14:textId="77777777" w:rsidR="003A5711" w:rsidRPr="003A5711" w:rsidRDefault="003A5711" w:rsidP="0032791C">
            <w:pPr>
              <w:jc w:val="center"/>
              <w:rPr>
                <w:b/>
                <w:noProof/>
                <w:sz w:val="20"/>
                <w:szCs w:val="20"/>
              </w:rPr>
            </w:pPr>
            <w:r w:rsidRPr="003A5711">
              <w:rPr>
                <w:b/>
                <w:noProof/>
                <w:sz w:val="20"/>
                <w:szCs w:val="20"/>
              </w:rPr>
              <w:t>Celkem 2015-2017</w:t>
            </w:r>
          </w:p>
        </w:tc>
      </w:tr>
      <w:tr w:rsidR="003A5711" w:rsidRPr="003A5711" w14:paraId="0FA2677B" w14:textId="77777777" w:rsidTr="0032791C">
        <w:trPr>
          <w:trHeight w:val="283"/>
        </w:trPr>
        <w:tc>
          <w:tcPr>
            <w:tcW w:w="2058" w:type="dxa"/>
            <w:vAlign w:val="center"/>
          </w:tcPr>
          <w:p w14:paraId="0F1A9B59" w14:textId="77777777" w:rsidR="003A5711" w:rsidRPr="003A5711" w:rsidRDefault="003A5711" w:rsidP="0032791C">
            <w:pPr>
              <w:rPr>
                <w:noProof/>
                <w:sz w:val="20"/>
                <w:szCs w:val="20"/>
              </w:rPr>
            </w:pPr>
            <w:r w:rsidRPr="003A5711">
              <w:rPr>
                <w:noProof/>
                <w:sz w:val="20"/>
                <w:szCs w:val="20"/>
              </w:rPr>
              <w:t>Plánované zdroje</w:t>
            </w:r>
          </w:p>
        </w:tc>
        <w:tc>
          <w:tcPr>
            <w:tcW w:w="1566" w:type="dxa"/>
            <w:vAlign w:val="center"/>
          </w:tcPr>
          <w:p w14:paraId="0AC66FBD" w14:textId="77777777" w:rsidR="003A5711" w:rsidRPr="003A5711" w:rsidRDefault="003A5711" w:rsidP="006E409D">
            <w:pPr>
              <w:ind w:right="312"/>
              <w:jc w:val="right"/>
              <w:rPr>
                <w:noProof/>
                <w:sz w:val="20"/>
                <w:szCs w:val="20"/>
              </w:rPr>
            </w:pPr>
            <w:r w:rsidRPr="003A5711">
              <w:rPr>
                <w:noProof/>
                <w:sz w:val="20"/>
                <w:szCs w:val="20"/>
              </w:rPr>
              <w:t>19 705</w:t>
            </w:r>
          </w:p>
        </w:tc>
        <w:tc>
          <w:tcPr>
            <w:tcW w:w="1812" w:type="dxa"/>
            <w:vAlign w:val="center"/>
          </w:tcPr>
          <w:p w14:paraId="79B9674B" w14:textId="77777777" w:rsidR="003A5711" w:rsidRPr="003A5711" w:rsidRDefault="003A5711" w:rsidP="006E409D">
            <w:pPr>
              <w:ind w:right="312"/>
              <w:jc w:val="right"/>
              <w:rPr>
                <w:noProof/>
                <w:sz w:val="20"/>
                <w:szCs w:val="20"/>
              </w:rPr>
            </w:pPr>
            <w:r w:rsidRPr="003A5711">
              <w:rPr>
                <w:noProof/>
                <w:sz w:val="20"/>
                <w:szCs w:val="20"/>
              </w:rPr>
              <w:t>21 980</w:t>
            </w:r>
          </w:p>
        </w:tc>
        <w:tc>
          <w:tcPr>
            <w:tcW w:w="1644" w:type="dxa"/>
            <w:vAlign w:val="center"/>
          </w:tcPr>
          <w:p w14:paraId="58BCACF1" w14:textId="77777777" w:rsidR="003A5711" w:rsidRPr="003A5711" w:rsidRDefault="003A5711" w:rsidP="006E409D">
            <w:pPr>
              <w:ind w:right="312"/>
              <w:jc w:val="right"/>
              <w:rPr>
                <w:noProof/>
                <w:sz w:val="20"/>
                <w:szCs w:val="20"/>
              </w:rPr>
            </w:pPr>
            <w:r w:rsidRPr="003A5711">
              <w:rPr>
                <w:noProof/>
                <w:sz w:val="20"/>
                <w:szCs w:val="20"/>
              </w:rPr>
              <w:t>21 180</w:t>
            </w:r>
          </w:p>
        </w:tc>
        <w:tc>
          <w:tcPr>
            <w:tcW w:w="1985" w:type="dxa"/>
            <w:vAlign w:val="center"/>
          </w:tcPr>
          <w:p w14:paraId="59438DC3" w14:textId="77777777" w:rsidR="003A5711" w:rsidRPr="003A5711" w:rsidRDefault="003A5711" w:rsidP="006E409D">
            <w:pPr>
              <w:ind w:right="312"/>
              <w:jc w:val="right"/>
              <w:rPr>
                <w:b/>
                <w:noProof/>
                <w:sz w:val="20"/>
                <w:szCs w:val="20"/>
              </w:rPr>
            </w:pPr>
            <w:r w:rsidRPr="003A5711">
              <w:rPr>
                <w:b/>
                <w:noProof/>
                <w:sz w:val="20"/>
                <w:szCs w:val="20"/>
              </w:rPr>
              <w:t>62 865</w:t>
            </w:r>
          </w:p>
        </w:tc>
      </w:tr>
      <w:tr w:rsidR="003A5711" w:rsidRPr="003A5711" w14:paraId="68A2458A" w14:textId="77777777" w:rsidTr="0032791C">
        <w:trPr>
          <w:trHeight w:val="283"/>
        </w:trPr>
        <w:tc>
          <w:tcPr>
            <w:tcW w:w="2058" w:type="dxa"/>
            <w:vAlign w:val="center"/>
          </w:tcPr>
          <w:p w14:paraId="646893E7" w14:textId="77777777" w:rsidR="003A5711" w:rsidRPr="003A5711" w:rsidRDefault="003A5711" w:rsidP="0032791C">
            <w:pPr>
              <w:rPr>
                <w:noProof/>
                <w:sz w:val="20"/>
                <w:szCs w:val="20"/>
              </w:rPr>
            </w:pPr>
            <w:r w:rsidRPr="003A5711">
              <w:rPr>
                <w:noProof/>
                <w:sz w:val="20"/>
                <w:szCs w:val="20"/>
              </w:rPr>
              <w:t>Skutečné čerpání</w:t>
            </w:r>
          </w:p>
        </w:tc>
        <w:tc>
          <w:tcPr>
            <w:tcW w:w="1566" w:type="dxa"/>
            <w:vAlign w:val="center"/>
          </w:tcPr>
          <w:p w14:paraId="1AFEE3EE" w14:textId="122309FF" w:rsidR="003A5711" w:rsidRPr="003A5711" w:rsidRDefault="003A5711" w:rsidP="006E409D">
            <w:pPr>
              <w:ind w:right="312"/>
              <w:jc w:val="right"/>
              <w:rPr>
                <w:noProof/>
                <w:sz w:val="20"/>
                <w:szCs w:val="20"/>
              </w:rPr>
            </w:pPr>
            <w:r w:rsidRPr="003A5711">
              <w:rPr>
                <w:noProof/>
                <w:sz w:val="20"/>
                <w:szCs w:val="20"/>
              </w:rPr>
              <w:t>5 950</w:t>
            </w:r>
          </w:p>
        </w:tc>
        <w:tc>
          <w:tcPr>
            <w:tcW w:w="1812" w:type="dxa"/>
            <w:vAlign w:val="center"/>
          </w:tcPr>
          <w:p w14:paraId="3F7AE13A" w14:textId="77777777" w:rsidR="003A5711" w:rsidRPr="003A5711" w:rsidRDefault="003A5711" w:rsidP="006E409D">
            <w:pPr>
              <w:ind w:right="312"/>
              <w:jc w:val="right"/>
              <w:rPr>
                <w:noProof/>
                <w:sz w:val="20"/>
                <w:szCs w:val="20"/>
              </w:rPr>
            </w:pPr>
            <w:r w:rsidRPr="003A5711">
              <w:rPr>
                <w:noProof/>
                <w:sz w:val="20"/>
                <w:szCs w:val="20"/>
              </w:rPr>
              <w:t xml:space="preserve"> 5 793</w:t>
            </w:r>
          </w:p>
        </w:tc>
        <w:tc>
          <w:tcPr>
            <w:tcW w:w="1644" w:type="dxa"/>
            <w:vAlign w:val="center"/>
          </w:tcPr>
          <w:p w14:paraId="681F37A6" w14:textId="77777777" w:rsidR="003A5711" w:rsidRPr="003A5711" w:rsidRDefault="003A5711" w:rsidP="006E409D">
            <w:pPr>
              <w:ind w:right="312"/>
              <w:jc w:val="right"/>
              <w:rPr>
                <w:noProof/>
                <w:sz w:val="20"/>
                <w:szCs w:val="20"/>
              </w:rPr>
            </w:pPr>
            <w:r w:rsidRPr="003A5711">
              <w:rPr>
                <w:noProof/>
                <w:sz w:val="20"/>
                <w:szCs w:val="20"/>
              </w:rPr>
              <w:t>21 952</w:t>
            </w:r>
          </w:p>
        </w:tc>
        <w:tc>
          <w:tcPr>
            <w:tcW w:w="1985" w:type="dxa"/>
            <w:vAlign w:val="center"/>
          </w:tcPr>
          <w:p w14:paraId="10A6C362" w14:textId="77777777" w:rsidR="003A5711" w:rsidRPr="003A5711" w:rsidRDefault="003A5711" w:rsidP="006E409D">
            <w:pPr>
              <w:ind w:right="312"/>
              <w:jc w:val="right"/>
              <w:rPr>
                <w:b/>
                <w:noProof/>
                <w:sz w:val="20"/>
                <w:szCs w:val="20"/>
              </w:rPr>
            </w:pPr>
            <w:r w:rsidRPr="003A5711">
              <w:rPr>
                <w:b/>
                <w:noProof/>
                <w:sz w:val="20"/>
                <w:szCs w:val="20"/>
              </w:rPr>
              <w:t>33 695</w:t>
            </w:r>
          </w:p>
        </w:tc>
      </w:tr>
      <w:tr w:rsidR="003A5711" w:rsidRPr="003A5711" w14:paraId="5EA5CBE7" w14:textId="77777777" w:rsidTr="0032791C">
        <w:trPr>
          <w:trHeight w:val="283"/>
        </w:trPr>
        <w:tc>
          <w:tcPr>
            <w:tcW w:w="2058" w:type="dxa"/>
            <w:vAlign w:val="center"/>
          </w:tcPr>
          <w:p w14:paraId="3452AF27" w14:textId="77777777" w:rsidR="003A5711" w:rsidRPr="003A5711" w:rsidRDefault="003A5711" w:rsidP="0032791C">
            <w:pPr>
              <w:rPr>
                <w:noProof/>
                <w:sz w:val="20"/>
                <w:szCs w:val="20"/>
              </w:rPr>
            </w:pPr>
            <w:r w:rsidRPr="003A5711">
              <w:rPr>
                <w:noProof/>
                <w:sz w:val="20"/>
                <w:szCs w:val="20"/>
              </w:rPr>
              <w:t>Vyjádření v %</w:t>
            </w:r>
          </w:p>
        </w:tc>
        <w:tc>
          <w:tcPr>
            <w:tcW w:w="1566" w:type="dxa"/>
            <w:vAlign w:val="center"/>
          </w:tcPr>
          <w:p w14:paraId="631633D9" w14:textId="77777777" w:rsidR="003A5711" w:rsidRPr="003A5711" w:rsidRDefault="003A5711" w:rsidP="0032791C">
            <w:pPr>
              <w:ind w:right="57"/>
              <w:jc w:val="right"/>
              <w:rPr>
                <w:noProof/>
                <w:sz w:val="20"/>
                <w:szCs w:val="20"/>
              </w:rPr>
            </w:pPr>
            <w:r w:rsidRPr="003A5711">
              <w:rPr>
                <w:noProof/>
                <w:sz w:val="20"/>
                <w:szCs w:val="20"/>
              </w:rPr>
              <w:t>30,20</w:t>
            </w:r>
          </w:p>
        </w:tc>
        <w:tc>
          <w:tcPr>
            <w:tcW w:w="1812" w:type="dxa"/>
            <w:vAlign w:val="center"/>
          </w:tcPr>
          <w:p w14:paraId="65CFED03" w14:textId="77777777" w:rsidR="003A5711" w:rsidRPr="003A5711" w:rsidRDefault="003A5711" w:rsidP="0032791C">
            <w:pPr>
              <w:ind w:right="57"/>
              <w:jc w:val="right"/>
              <w:rPr>
                <w:noProof/>
                <w:sz w:val="20"/>
                <w:szCs w:val="20"/>
              </w:rPr>
            </w:pPr>
            <w:r w:rsidRPr="003A5711">
              <w:rPr>
                <w:noProof/>
                <w:sz w:val="20"/>
                <w:szCs w:val="20"/>
              </w:rPr>
              <w:t>26,36</w:t>
            </w:r>
          </w:p>
        </w:tc>
        <w:tc>
          <w:tcPr>
            <w:tcW w:w="1644" w:type="dxa"/>
            <w:vAlign w:val="center"/>
          </w:tcPr>
          <w:p w14:paraId="74C47C7B" w14:textId="755953BC" w:rsidR="003A5711" w:rsidRPr="003A5711" w:rsidRDefault="003A5711" w:rsidP="0032791C">
            <w:pPr>
              <w:ind w:right="57"/>
              <w:jc w:val="right"/>
              <w:rPr>
                <w:noProof/>
                <w:sz w:val="20"/>
                <w:szCs w:val="20"/>
              </w:rPr>
            </w:pPr>
            <w:r w:rsidRPr="003A5711">
              <w:rPr>
                <w:noProof/>
                <w:sz w:val="20"/>
                <w:szCs w:val="20"/>
              </w:rPr>
              <w:t>103,64</w:t>
            </w:r>
          </w:p>
        </w:tc>
        <w:tc>
          <w:tcPr>
            <w:tcW w:w="1985" w:type="dxa"/>
            <w:vAlign w:val="center"/>
          </w:tcPr>
          <w:p w14:paraId="30E86635" w14:textId="77777777" w:rsidR="003A5711" w:rsidRPr="003A5711" w:rsidRDefault="003A5711" w:rsidP="0032791C">
            <w:pPr>
              <w:ind w:right="57"/>
              <w:jc w:val="right"/>
              <w:rPr>
                <w:b/>
                <w:noProof/>
                <w:sz w:val="20"/>
                <w:szCs w:val="20"/>
              </w:rPr>
            </w:pPr>
            <w:r w:rsidRPr="003A5711">
              <w:rPr>
                <w:b/>
                <w:noProof/>
                <w:sz w:val="20"/>
                <w:szCs w:val="20"/>
              </w:rPr>
              <w:t>53,60</w:t>
            </w:r>
          </w:p>
        </w:tc>
      </w:tr>
    </w:tbl>
    <w:p w14:paraId="198C5628" w14:textId="5F15F206" w:rsidR="003A5711" w:rsidRPr="003A5711" w:rsidRDefault="003A5711" w:rsidP="0032791C">
      <w:pPr>
        <w:spacing w:before="40" w:after="120"/>
        <w:rPr>
          <w:rFonts w:ascii="Calibri" w:eastAsia="Times New Roman" w:hAnsi="Calibri" w:cs="Times New Roman"/>
          <w:noProof/>
        </w:rPr>
      </w:pPr>
      <w:r w:rsidRPr="0013137A">
        <w:rPr>
          <w:rFonts w:ascii="Calibri" w:eastAsia="Times New Roman" w:hAnsi="Calibri" w:cs="Calibri"/>
          <w:b/>
          <w:sz w:val="20"/>
          <w:szCs w:val="20"/>
        </w:rPr>
        <w:t>Zdroj:</w:t>
      </w:r>
      <w:r w:rsidRPr="003A5711">
        <w:rPr>
          <w:rFonts w:ascii="Calibri" w:eastAsia="Times New Roman" w:hAnsi="Calibri" w:cs="Calibri"/>
          <w:sz w:val="20"/>
          <w:szCs w:val="20"/>
        </w:rPr>
        <w:t xml:space="preserve"> </w:t>
      </w:r>
      <w:r w:rsidR="00916022">
        <w:rPr>
          <w:rFonts w:ascii="Calibri" w:eastAsia="Times New Roman" w:hAnsi="Calibri" w:cs="Calibri"/>
          <w:sz w:val="20"/>
          <w:szCs w:val="20"/>
        </w:rPr>
        <w:t>p</w:t>
      </w:r>
      <w:r w:rsidRPr="003A5711">
        <w:rPr>
          <w:rFonts w:ascii="Calibri" w:eastAsia="Times New Roman" w:hAnsi="Calibri" w:cs="Calibri"/>
          <w:sz w:val="20"/>
          <w:szCs w:val="20"/>
        </w:rPr>
        <w:t xml:space="preserve">rogramová dokumentace </w:t>
      </w:r>
      <w:r w:rsidR="007E0076">
        <w:rPr>
          <w:rFonts w:ascii="Calibri" w:eastAsia="Times New Roman" w:hAnsi="Calibri" w:cs="Calibri"/>
          <w:sz w:val="20"/>
          <w:szCs w:val="20"/>
        </w:rPr>
        <w:t>p</w:t>
      </w:r>
      <w:r w:rsidRPr="003A5711">
        <w:rPr>
          <w:rFonts w:ascii="Calibri" w:eastAsia="Times New Roman" w:hAnsi="Calibri" w:cs="Calibri"/>
          <w:sz w:val="20"/>
          <w:szCs w:val="20"/>
        </w:rPr>
        <w:t xml:space="preserve">rogramu 176 100 a </w:t>
      </w:r>
      <w:r w:rsidRPr="003A5711">
        <w:rPr>
          <w:rFonts w:ascii="Calibri" w:eastAsia="Times New Roman" w:hAnsi="Calibri" w:cs="Calibri"/>
          <w:noProof/>
          <w:sz w:val="20"/>
          <w:szCs w:val="20"/>
        </w:rPr>
        <w:t>přehled čerpání prostředků v jednotlivých letech.</w:t>
      </w:r>
      <w:r w:rsidRPr="003A5711" w:rsidDel="00D1003C">
        <w:rPr>
          <w:rFonts w:ascii="Calibri" w:eastAsia="Times New Roman" w:hAnsi="Calibri" w:cs="Calibri"/>
          <w:noProof/>
        </w:rPr>
        <w:t xml:space="preserve"> </w:t>
      </w:r>
    </w:p>
    <w:p w14:paraId="0B561563" w14:textId="0F839FDE" w:rsidR="003A5711" w:rsidRPr="003A5711" w:rsidRDefault="003A5711" w:rsidP="004F15E2">
      <w:pPr>
        <w:spacing w:after="120" w:line="264" w:lineRule="auto"/>
        <w:jc w:val="both"/>
        <w:rPr>
          <w:rFonts w:ascii="Calibri" w:hAnsi="Calibri"/>
          <w:i/>
          <w:iCs/>
          <w:sz w:val="24"/>
          <w:szCs w:val="24"/>
        </w:rPr>
      </w:pPr>
      <w:r w:rsidRPr="003A5711">
        <w:rPr>
          <w:rFonts w:ascii="Calibri" w:eastAsia="Calibri" w:hAnsi="Calibri" w:cs="Calibri"/>
          <w:b/>
          <w:color w:val="000000"/>
          <w:sz w:val="24"/>
          <w:szCs w:val="24"/>
          <w:lang w:eastAsia="cs-CZ"/>
        </w:rPr>
        <w:t xml:space="preserve">GIBS vyčerpala z </w:t>
      </w:r>
      <w:r w:rsidR="007E0076">
        <w:rPr>
          <w:rFonts w:ascii="Calibri" w:eastAsia="Calibri" w:hAnsi="Calibri" w:cs="Calibri"/>
          <w:b/>
          <w:color w:val="000000"/>
          <w:sz w:val="24"/>
          <w:szCs w:val="24"/>
          <w:lang w:eastAsia="cs-CZ"/>
        </w:rPr>
        <w:t>p</w:t>
      </w:r>
      <w:r w:rsidRPr="003A5711">
        <w:rPr>
          <w:rFonts w:ascii="Calibri" w:eastAsia="Calibri" w:hAnsi="Calibri" w:cs="Calibri"/>
          <w:b/>
          <w:color w:val="000000"/>
          <w:sz w:val="24"/>
          <w:szCs w:val="24"/>
          <w:lang w:eastAsia="cs-CZ"/>
        </w:rPr>
        <w:t>rogramu 176 100 pouze 53,6 % alokovaných peněžních prostředků státu</w:t>
      </w:r>
      <w:r w:rsidR="00916022">
        <w:rPr>
          <w:rFonts w:ascii="Calibri" w:eastAsia="Calibri" w:hAnsi="Calibri" w:cs="Calibri"/>
          <w:b/>
          <w:color w:val="000000"/>
          <w:sz w:val="24"/>
          <w:szCs w:val="24"/>
          <w:lang w:eastAsia="cs-CZ"/>
        </w:rPr>
        <w:t>,</w:t>
      </w:r>
      <w:r w:rsidRPr="003A5711">
        <w:rPr>
          <w:rFonts w:ascii="Calibri" w:eastAsia="Calibri" w:hAnsi="Calibri" w:cs="Calibri"/>
          <w:b/>
          <w:color w:val="000000"/>
          <w:sz w:val="24"/>
          <w:szCs w:val="24"/>
          <w:lang w:eastAsia="cs-CZ"/>
        </w:rPr>
        <w:t xml:space="preserve"> a nesplnila </w:t>
      </w:r>
      <w:r w:rsidR="00CC109E">
        <w:rPr>
          <w:rFonts w:ascii="Calibri" w:eastAsia="Calibri" w:hAnsi="Calibri" w:cs="Calibri"/>
          <w:b/>
          <w:color w:val="000000"/>
          <w:sz w:val="24"/>
          <w:szCs w:val="24"/>
          <w:lang w:eastAsia="cs-CZ"/>
        </w:rPr>
        <w:t xml:space="preserve">tak </w:t>
      </w:r>
      <w:r w:rsidRPr="003A5711">
        <w:rPr>
          <w:rFonts w:ascii="Calibri" w:eastAsia="Calibri" w:hAnsi="Calibri" w:cs="Calibri"/>
          <w:b/>
          <w:color w:val="000000"/>
          <w:sz w:val="24"/>
          <w:szCs w:val="24"/>
          <w:lang w:eastAsia="cs-CZ"/>
        </w:rPr>
        <w:t>stanovené cíle</w:t>
      </w:r>
      <w:r w:rsidRPr="00492D11">
        <w:rPr>
          <w:rFonts w:ascii="Calibri" w:eastAsia="Calibri" w:hAnsi="Calibri" w:cs="Calibri"/>
          <w:b/>
          <w:color w:val="000000"/>
          <w:sz w:val="24"/>
          <w:szCs w:val="24"/>
          <w:lang w:eastAsia="cs-CZ"/>
        </w:rPr>
        <w:t>,</w:t>
      </w:r>
      <w:r w:rsidRPr="003A5711">
        <w:rPr>
          <w:rFonts w:ascii="Calibri" w:eastAsia="Calibri" w:hAnsi="Calibri" w:cs="Calibri"/>
          <w:b/>
          <w:color w:val="000000"/>
          <w:sz w:val="24"/>
          <w:szCs w:val="24"/>
          <w:lang w:eastAsia="cs-CZ"/>
        </w:rPr>
        <w:t xml:space="preserve"> např. </w:t>
      </w:r>
      <w:r w:rsidR="00C42A18">
        <w:rPr>
          <w:rFonts w:ascii="Calibri" w:eastAsia="Calibri" w:hAnsi="Calibri" w:cs="Calibri"/>
          <w:b/>
          <w:color w:val="000000"/>
          <w:sz w:val="24"/>
          <w:szCs w:val="24"/>
          <w:lang w:eastAsia="cs-CZ"/>
        </w:rPr>
        <w:t>prostřednictvím</w:t>
      </w:r>
      <w:r w:rsidR="00916022">
        <w:rPr>
          <w:rFonts w:ascii="Calibri" w:eastAsia="Calibri" w:hAnsi="Calibri" w:cs="Calibri"/>
          <w:b/>
          <w:color w:val="000000"/>
          <w:sz w:val="24"/>
          <w:szCs w:val="24"/>
          <w:lang w:eastAsia="cs-CZ"/>
        </w:rPr>
        <w:t xml:space="preserve"> </w:t>
      </w:r>
      <w:r w:rsidR="00C42A18">
        <w:rPr>
          <w:rFonts w:ascii="Calibri" w:eastAsia="Calibri" w:hAnsi="Calibri" w:cs="Calibri"/>
          <w:b/>
          <w:color w:val="000000"/>
          <w:sz w:val="24"/>
          <w:szCs w:val="24"/>
          <w:lang w:eastAsia="cs-CZ"/>
        </w:rPr>
        <w:t>podprogramu</w:t>
      </w:r>
      <w:r w:rsidR="00CC109E">
        <w:rPr>
          <w:rFonts w:ascii="Calibri" w:eastAsia="Calibri" w:hAnsi="Calibri" w:cs="Calibri"/>
          <w:b/>
          <w:color w:val="000000"/>
          <w:sz w:val="24"/>
          <w:szCs w:val="24"/>
          <w:lang w:eastAsia="cs-CZ"/>
        </w:rPr>
        <w:t xml:space="preserve"> </w:t>
      </w:r>
      <w:r w:rsidR="00C42A18">
        <w:rPr>
          <w:rFonts w:ascii="Calibri" w:eastAsia="Calibri" w:hAnsi="Calibri" w:cs="Calibri"/>
          <w:b/>
          <w:color w:val="000000"/>
          <w:sz w:val="24"/>
          <w:szCs w:val="24"/>
          <w:lang w:eastAsia="cs-CZ"/>
        </w:rPr>
        <w:t>176 102</w:t>
      </w:r>
      <w:r w:rsidR="006E5826">
        <w:rPr>
          <w:rStyle w:val="Znakapoznpodarou"/>
          <w:rFonts w:ascii="Calibri" w:eastAsia="Calibri" w:hAnsi="Calibri" w:cs="Calibri"/>
          <w:b/>
          <w:color w:val="000000"/>
          <w:sz w:val="24"/>
          <w:szCs w:val="24"/>
          <w:lang w:eastAsia="cs-CZ"/>
        </w:rPr>
        <w:footnoteReference w:id="15"/>
      </w:r>
      <w:r w:rsidR="00C42A18">
        <w:rPr>
          <w:rFonts w:ascii="Calibri" w:eastAsia="Calibri" w:hAnsi="Calibri" w:cs="Calibri"/>
          <w:b/>
          <w:color w:val="000000"/>
          <w:sz w:val="24"/>
          <w:szCs w:val="24"/>
          <w:lang w:eastAsia="cs-CZ"/>
        </w:rPr>
        <w:t xml:space="preserve"> </w:t>
      </w:r>
      <w:r w:rsidRPr="003A5711">
        <w:rPr>
          <w:rFonts w:ascii="Calibri" w:eastAsia="Calibri" w:hAnsi="Calibri" w:cs="Calibri"/>
          <w:b/>
          <w:color w:val="000000"/>
          <w:sz w:val="24"/>
          <w:szCs w:val="24"/>
          <w:lang w:eastAsia="cs-CZ"/>
        </w:rPr>
        <w:t xml:space="preserve">místo plánovaných 60 </w:t>
      </w:r>
      <w:r w:rsidR="009D2106">
        <w:rPr>
          <w:rFonts w:ascii="Calibri" w:eastAsia="Calibri" w:hAnsi="Calibri" w:cs="Calibri"/>
          <w:b/>
          <w:color w:val="000000"/>
          <w:sz w:val="24"/>
          <w:szCs w:val="24"/>
          <w:lang w:eastAsia="cs-CZ"/>
        </w:rPr>
        <w:t>kusů</w:t>
      </w:r>
      <w:r w:rsidR="009D2106" w:rsidRPr="003A5711">
        <w:rPr>
          <w:rFonts w:ascii="Calibri" w:eastAsia="Calibri" w:hAnsi="Calibri" w:cs="Calibri"/>
          <w:b/>
          <w:color w:val="000000"/>
          <w:sz w:val="24"/>
          <w:szCs w:val="24"/>
          <w:lang w:eastAsia="cs-CZ"/>
        </w:rPr>
        <w:t xml:space="preserve"> </w:t>
      </w:r>
      <w:r w:rsidRPr="003A5711">
        <w:rPr>
          <w:rFonts w:ascii="Calibri" w:eastAsia="Calibri" w:hAnsi="Calibri" w:cs="Calibri"/>
          <w:b/>
          <w:color w:val="000000"/>
          <w:sz w:val="24"/>
          <w:szCs w:val="24"/>
          <w:lang w:eastAsia="cs-CZ"/>
        </w:rPr>
        <w:t xml:space="preserve">služebních dopravních prostředků pořídila pouze 28 </w:t>
      </w:r>
      <w:r w:rsidR="009D2106">
        <w:rPr>
          <w:rFonts w:ascii="Calibri" w:eastAsia="Calibri" w:hAnsi="Calibri" w:cs="Calibri"/>
          <w:b/>
          <w:color w:val="000000"/>
          <w:sz w:val="24"/>
          <w:szCs w:val="24"/>
          <w:lang w:eastAsia="cs-CZ"/>
        </w:rPr>
        <w:t xml:space="preserve">kusů </w:t>
      </w:r>
      <w:r w:rsidRPr="003A5711">
        <w:rPr>
          <w:rFonts w:ascii="Calibri" w:eastAsia="Calibri" w:hAnsi="Calibri" w:cs="Calibri"/>
          <w:b/>
          <w:color w:val="000000"/>
          <w:sz w:val="24"/>
          <w:szCs w:val="24"/>
          <w:lang w:eastAsia="cs-CZ"/>
        </w:rPr>
        <w:t xml:space="preserve">nebo z plánovaného počtu zateplení </w:t>
      </w:r>
      <w:r w:rsidR="009D2106">
        <w:rPr>
          <w:rFonts w:ascii="Calibri" w:eastAsia="Calibri" w:hAnsi="Calibri" w:cs="Calibri"/>
          <w:b/>
          <w:color w:val="000000"/>
          <w:sz w:val="24"/>
          <w:szCs w:val="24"/>
          <w:lang w:eastAsia="cs-CZ"/>
        </w:rPr>
        <w:t>čtyř</w:t>
      </w:r>
      <w:r w:rsidR="009D2106" w:rsidRPr="003A5711">
        <w:rPr>
          <w:rFonts w:ascii="Calibri" w:eastAsia="Calibri" w:hAnsi="Calibri" w:cs="Calibri"/>
          <w:b/>
          <w:color w:val="000000"/>
          <w:sz w:val="24"/>
          <w:szCs w:val="24"/>
          <w:lang w:eastAsia="cs-CZ"/>
        </w:rPr>
        <w:t xml:space="preserve"> </w:t>
      </w:r>
      <w:r w:rsidRPr="003A5711">
        <w:rPr>
          <w:rFonts w:ascii="Calibri" w:eastAsia="Calibri" w:hAnsi="Calibri" w:cs="Calibri"/>
          <w:b/>
          <w:color w:val="000000"/>
          <w:sz w:val="24"/>
          <w:szCs w:val="24"/>
          <w:lang w:eastAsia="cs-CZ"/>
        </w:rPr>
        <w:t xml:space="preserve">objektů se GIBS podařilo zateplit pouze </w:t>
      </w:r>
      <w:r w:rsidR="009D2106">
        <w:rPr>
          <w:rFonts w:ascii="Calibri" w:eastAsia="Calibri" w:hAnsi="Calibri" w:cs="Calibri"/>
          <w:b/>
          <w:color w:val="000000"/>
          <w:sz w:val="24"/>
          <w:szCs w:val="24"/>
          <w:lang w:eastAsia="cs-CZ"/>
        </w:rPr>
        <w:t xml:space="preserve">dva </w:t>
      </w:r>
      <w:r w:rsidRPr="003A5711">
        <w:rPr>
          <w:rFonts w:ascii="Calibri" w:eastAsia="Calibri" w:hAnsi="Calibri" w:cs="Calibri"/>
          <w:b/>
          <w:color w:val="000000"/>
          <w:sz w:val="24"/>
          <w:szCs w:val="24"/>
          <w:lang w:eastAsia="cs-CZ"/>
        </w:rPr>
        <w:t xml:space="preserve">objekty. </w:t>
      </w:r>
      <w:r w:rsidR="00E40FE8" w:rsidRPr="001C169E">
        <w:rPr>
          <w:rFonts w:ascii="Calibri" w:hAnsi="Calibri"/>
          <w:b/>
          <w:sz w:val="24"/>
          <w:szCs w:val="24"/>
        </w:rPr>
        <w:t>GIBS odůvod</w:t>
      </w:r>
      <w:r w:rsidR="00E40FE8">
        <w:rPr>
          <w:rFonts w:ascii="Calibri" w:hAnsi="Calibri"/>
          <w:b/>
          <w:sz w:val="24"/>
          <w:szCs w:val="24"/>
        </w:rPr>
        <w:t>nila</w:t>
      </w:r>
      <w:r w:rsidR="00E40FE8" w:rsidRPr="001C169E">
        <w:rPr>
          <w:rFonts w:ascii="Calibri" w:hAnsi="Calibri"/>
          <w:b/>
          <w:sz w:val="24"/>
          <w:szCs w:val="24"/>
        </w:rPr>
        <w:t xml:space="preserve"> nevyčerpání alokovaných peněžních prostředků státu efektivním a</w:t>
      </w:r>
      <w:r w:rsidR="0051336B">
        <w:rPr>
          <w:rFonts w:ascii="Calibri" w:hAnsi="Calibri"/>
          <w:b/>
          <w:sz w:val="24"/>
          <w:szCs w:val="24"/>
        </w:rPr>
        <w:t> </w:t>
      </w:r>
      <w:r w:rsidR="00E40FE8" w:rsidRPr="001C169E">
        <w:rPr>
          <w:rFonts w:ascii="Calibri" w:hAnsi="Calibri"/>
          <w:b/>
          <w:sz w:val="24"/>
          <w:szCs w:val="24"/>
        </w:rPr>
        <w:t>hospodárným plánováním, kdy realizovala pouze aktuální a prioritní akce.</w:t>
      </w:r>
      <w:r w:rsidR="00E40FE8">
        <w:rPr>
          <w:rFonts w:ascii="Calibri" w:hAnsi="Calibri"/>
          <w:sz w:val="24"/>
          <w:szCs w:val="24"/>
        </w:rPr>
        <w:t xml:space="preserve"> </w:t>
      </w:r>
      <w:r w:rsidRPr="003A5711">
        <w:rPr>
          <w:rFonts w:ascii="Calibri" w:eastAsia="Calibri" w:hAnsi="Calibri" w:cs="Calibri"/>
          <w:b/>
          <w:color w:val="000000"/>
          <w:sz w:val="24"/>
          <w:szCs w:val="24"/>
          <w:lang w:eastAsia="cs-CZ"/>
        </w:rPr>
        <w:t xml:space="preserve">Nízké čerpání </w:t>
      </w:r>
      <w:r w:rsidR="009E5A39">
        <w:rPr>
          <w:rFonts w:ascii="Calibri" w:eastAsia="Calibri" w:hAnsi="Calibri" w:cs="Calibri"/>
          <w:b/>
          <w:color w:val="000000"/>
          <w:sz w:val="24"/>
          <w:szCs w:val="24"/>
          <w:lang w:eastAsia="cs-CZ"/>
        </w:rPr>
        <w:t xml:space="preserve">však naopak </w:t>
      </w:r>
      <w:r w:rsidRPr="003A5711">
        <w:rPr>
          <w:rFonts w:ascii="Calibri" w:eastAsia="Calibri" w:hAnsi="Calibri" w:cs="Calibri"/>
          <w:b/>
          <w:color w:val="000000"/>
          <w:sz w:val="24"/>
          <w:szCs w:val="24"/>
          <w:lang w:eastAsia="cs-CZ"/>
        </w:rPr>
        <w:t xml:space="preserve">dokazuje, že GIBS není schopna </w:t>
      </w:r>
      <w:r w:rsidR="00A466E3">
        <w:rPr>
          <w:rFonts w:ascii="Calibri" w:eastAsia="Calibri" w:hAnsi="Calibri" w:cs="Calibri"/>
          <w:b/>
          <w:color w:val="000000"/>
          <w:sz w:val="24"/>
          <w:szCs w:val="24"/>
          <w:lang w:eastAsia="cs-CZ"/>
        </w:rPr>
        <w:t>stanovit</w:t>
      </w:r>
      <w:r w:rsidRPr="003A5711">
        <w:rPr>
          <w:rFonts w:ascii="Calibri" w:eastAsia="Calibri" w:hAnsi="Calibri" w:cs="Calibri"/>
          <w:b/>
          <w:color w:val="000000"/>
          <w:sz w:val="24"/>
          <w:szCs w:val="24"/>
          <w:lang w:eastAsia="cs-CZ"/>
        </w:rPr>
        <w:t xml:space="preserve"> ve střednědobém horizontu své potřeby </w:t>
      </w:r>
      <w:r w:rsidR="00A466E3">
        <w:rPr>
          <w:rFonts w:ascii="Calibri" w:eastAsia="Calibri" w:hAnsi="Calibri" w:cs="Calibri"/>
          <w:b/>
          <w:color w:val="000000"/>
          <w:sz w:val="24"/>
          <w:szCs w:val="24"/>
          <w:lang w:eastAsia="cs-CZ"/>
        </w:rPr>
        <w:t xml:space="preserve">a poté </w:t>
      </w:r>
      <w:r w:rsidRPr="003A5711">
        <w:rPr>
          <w:rFonts w:ascii="Calibri" w:eastAsia="Calibri" w:hAnsi="Calibri" w:cs="Calibri"/>
          <w:b/>
          <w:color w:val="000000"/>
          <w:sz w:val="24"/>
          <w:szCs w:val="24"/>
          <w:lang w:eastAsia="cs-CZ"/>
        </w:rPr>
        <w:t xml:space="preserve">připravit a realizovat konkrétní akce a využít schválené disponibilní peněžní </w:t>
      </w:r>
      <w:r w:rsidRPr="003A5711">
        <w:rPr>
          <w:rFonts w:ascii="Calibri" w:eastAsia="Calibri" w:hAnsi="Calibri" w:cs="Calibri"/>
          <w:b/>
          <w:color w:val="000000"/>
          <w:sz w:val="24"/>
          <w:szCs w:val="24"/>
          <w:lang w:eastAsia="cs-CZ"/>
        </w:rPr>
        <w:lastRenderedPageBreak/>
        <w:t>prostředky státu k udržení stávající</w:t>
      </w:r>
      <w:r w:rsidR="00A466E3">
        <w:rPr>
          <w:rFonts w:ascii="Calibri" w:eastAsia="Calibri" w:hAnsi="Calibri" w:cs="Calibri"/>
          <w:b/>
          <w:color w:val="000000"/>
          <w:sz w:val="24"/>
          <w:szCs w:val="24"/>
          <w:lang w:eastAsia="cs-CZ"/>
        </w:rPr>
        <w:t>ch</w:t>
      </w:r>
      <w:r w:rsidRPr="003A5711">
        <w:rPr>
          <w:rFonts w:ascii="Calibri" w:eastAsia="Calibri" w:hAnsi="Calibri" w:cs="Calibri"/>
          <w:b/>
          <w:color w:val="000000"/>
          <w:sz w:val="24"/>
          <w:szCs w:val="24"/>
          <w:lang w:eastAsia="cs-CZ"/>
        </w:rPr>
        <w:t xml:space="preserve"> schopnost</w:t>
      </w:r>
      <w:r w:rsidR="00A466E3">
        <w:rPr>
          <w:rFonts w:ascii="Calibri" w:eastAsia="Calibri" w:hAnsi="Calibri" w:cs="Calibri"/>
          <w:b/>
          <w:color w:val="000000"/>
          <w:sz w:val="24"/>
          <w:szCs w:val="24"/>
          <w:lang w:eastAsia="cs-CZ"/>
        </w:rPr>
        <w:t>í</w:t>
      </w:r>
      <w:r w:rsidRPr="003A5711">
        <w:rPr>
          <w:rFonts w:ascii="Calibri" w:eastAsia="Calibri" w:hAnsi="Calibri" w:cs="Calibri"/>
          <w:b/>
          <w:color w:val="000000"/>
          <w:sz w:val="24"/>
          <w:szCs w:val="24"/>
          <w:lang w:eastAsia="cs-CZ"/>
        </w:rPr>
        <w:t xml:space="preserve"> GIBS k plnění úkolů stanovených zákonem č. 341/2011 Sb. a zabezpečení plánovaného rozvoje těchto schopností.  </w:t>
      </w:r>
    </w:p>
    <w:p w14:paraId="007F225A" w14:textId="3EB2AEDD" w:rsidR="003A5711" w:rsidRPr="00662D19" w:rsidRDefault="003A5711" w:rsidP="004F15E2">
      <w:pPr>
        <w:spacing w:after="120" w:line="264" w:lineRule="auto"/>
        <w:jc w:val="both"/>
        <w:rPr>
          <w:rFonts w:ascii="Calibri" w:eastAsia="Times New Roman" w:hAnsi="Calibri" w:cs="Times New Roman"/>
          <w:sz w:val="24"/>
          <w:szCs w:val="24"/>
        </w:rPr>
      </w:pPr>
      <w:r w:rsidRPr="003A5711">
        <w:rPr>
          <w:rFonts w:ascii="Calibri" w:eastAsia="Times New Roman" w:hAnsi="Calibri" w:cs="Calibri"/>
          <w:noProof/>
          <w:sz w:val="24"/>
          <w:szCs w:val="24"/>
        </w:rPr>
        <w:t xml:space="preserve">GIBS vyčerpala v rámci </w:t>
      </w:r>
      <w:r w:rsidR="007E0076">
        <w:rPr>
          <w:rFonts w:ascii="Calibri" w:eastAsia="Times New Roman" w:hAnsi="Calibri" w:cs="Calibri"/>
          <w:noProof/>
          <w:sz w:val="24"/>
          <w:szCs w:val="24"/>
        </w:rPr>
        <w:t>p</w:t>
      </w:r>
      <w:r w:rsidRPr="003A5711">
        <w:rPr>
          <w:rFonts w:ascii="Calibri" w:eastAsia="Times New Roman" w:hAnsi="Calibri" w:cs="Calibri"/>
          <w:noProof/>
          <w:sz w:val="24"/>
          <w:szCs w:val="24"/>
        </w:rPr>
        <w:t xml:space="preserve">rogramu 176 100 pouze 33,7 mil. Kč, přesto navýšila v navazujícím </w:t>
      </w:r>
      <w:r w:rsidR="007E0076">
        <w:rPr>
          <w:rFonts w:ascii="Calibri" w:eastAsia="Times New Roman" w:hAnsi="Calibri" w:cs="Calibri"/>
          <w:noProof/>
          <w:sz w:val="24"/>
          <w:szCs w:val="24"/>
        </w:rPr>
        <w:t>p</w:t>
      </w:r>
      <w:r w:rsidRPr="003A5711">
        <w:rPr>
          <w:rFonts w:ascii="Calibri" w:eastAsia="Times New Roman" w:hAnsi="Calibri" w:cs="Calibri"/>
          <w:noProof/>
          <w:sz w:val="24"/>
          <w:szCs w:val="24"/>
        </w:rPr>
        <w:t xml:space="preserve">rogramu 176 200 </w:t>
      </w:r>
      <w:r w:rsidR="00A466E3">
        <w:rPr>
          <w:rFonts w:ascii="Calibri" w:eastAsia="Times New Roman" w:hAnsi="Calibri" w:cs="Calibri"/>
          <w:noProof/>
          <w:sz w:val="24"/>
          <w:szCs w:val="24"/>
        </w:rPr>
        <w:t xml:space="preserve">plánovaný objem peněžních prostředků státu </w:t>
      </w:r>
      <w:r w:rsidRPr="003A5711">
        <w:rPr>
          <w:rFonts w:ascii="Calibri" w:eastAsia="Times New Roman" w:hAnsi="Calibri" w:cs="Calibri"/>
          <w:noProof/>
          <w:sz w:val="24"/>
          <w:szCs w:val="24"/>
        </w:rPr>
        <w:t xml:space="preserve">(bilanci potřeb a zdrojů) v porovnání s </w:t>
      </w:r>
      <w:r w:rsidR="007E0076">
        <w:rPr>
          <w:rFonts w:ascii="Calibri" w:eastAsia="Times New Roman" w:hAnsi="Calibri" w:cs="Calibri"/>
          <w:noProof/>
          <w:sz w:val="24"/>
          <w:szCs w:val="24"/>
        </w:rPr>
        <w:t>p</w:t>
      </w:r>
      <w:r w:rsidRPr="003A5711">
        <w:rPr>
          <w:rFonts w:ascii="Calibri" w:eastAsia="Times New Roman" w:hAnsi="Calibri" w:cs="Calibri"/>
          <w:noProof/>
          <w:sz w:val="24"/>
          <w:szCs w:val="24"/>
        </w:rPr>
        <w:t>rogram</w:t>
      </w:r>
      <w:r w:rsidR="00A466E3">
        <w:rPr>
          <w:rFonts w:ascii="Calibri" w:eastAsia="Times New Roman" w:hAnsi="Calibri" w:cs="Calibri"/>
          <w:noProof/>
          <w:sz w:val="24"/>
          <w:szCs w:val="24"/>
        </w:rPr>
        <w:t>em</w:t>
      </w:r>
      <w:r w:rsidRPr="003A5711">
        <w:rPr>
          <w:rFonts w:ascii="Calibri" w:eastAsia="Times New Roman" w:hAnsi="Calibri" w:cs="Calibri"/>
          <w:noProof/>
          <w:sz w:val="24"/>
          <w:szCs w:val="24"/>
        </w:rPr>
        <w:t xml:space="preserve"> 176 100 (63 mil. Kč) téměř dvojnásobně, a to na cca 107 mil. Kč. Způsob stanovení této částky GIBS kontrole NKÚ nedoložila. GIBS při tvorbě navazujícího </w:t>
      </w:r>
      <w:r w:rsidR="007E0076">
        <w:rPr>
          <w:rFonts w:ascii="Calibri" w:eastAsia="Times New Roman" w:hAnsi="Calibri" w:cs="Calibri"/>
          <w:noProof/>
          <w:sz w:val="24"/>
          <w:szCs w:val="24"/>
        </w:rPr>
        <w:t>p</w:t>
      </w:r>
      <w:r w:rsidRPr="003A5711">
        <w:rPr>
          <w:rFonts w:ascii="Calibri" w:eastAsia="Times New Roman" w:hAnsi="Calibri" w:cs="Calibri"/>
          <w:noProof/>
          <w:sz w:val="24"/>
          <w:szCs w:val="24"/>
        </w:rPr>
        <w:t xml:space="preserve">rogramu 176 200 nevycházela ze zkušeností s realizací </w:t>
      </w:r>
      <w:r w:rsidR="007E0076">
        <w:rPr>
          <w:rFonts w:ascii="Calibri" w:eastAsia="Times New Roman" w:hAnsi="Calibri" w:cs="Calibri"/>
          <w:noProof/>
          <w:sz w:val="24"/>
          <w:szCs w:val="24"/>
        </w:rPr>
        <w:t>p</w:t>
      </w:r>
      <w:r w:rsidRPr="003A5711">
        <w:rPr>
          <w:rFonts w:ascii="Calibri" w:eastAsia="Times New Roman" w:hAnsi="Calibri" w:cs="Calibri"/>
          <w:noProof/>
          <w:sz w:val="24"/>
          <w:szCs w:val="24"/>
        </w:rPr>
        <w:t xml:space="preserve">rogramu 176 100, cíle stanovila identicky a tedy neměřitelně, stejně určila </w:t>
      </w:r>
      <w:r w:rsidR="00A466E3" w:rsidRPr="003A5711">
        <w:rPr>
          <w:rFonts w:ascii="Calibri" w:eastAsia="Calibri" w:hAnsi="Calibri" w:cs="Calibri"/>
          <w:color w:val="000000"/>
          <w:sz w:val="24"/>
          <w:szCs w:val="24"/>
          <w:lang w:eastAsia="cs-CZ"/>
        </w:rPr>
        <w:t>ukazatel (věcný indikátor) pro naplnění cíle</w:t>
      </w:r>
      <w:r w:rsidR="00A466E3">
        <w:rPr>
          <w:rFonts w:ascii="Calibri" w:eastAsia="Calibri" w:hAnsi="Calibri" w:cs="Calibri"/>
          <w:color w:val="000000"/>
          <w:sz w:val="24"/>
          <w:szCs w:val="24"/>
          <w:lang w:eastAsia="cs-CZ"/>
        </w:rPr>
        <w:t xml:space="preserve"> </w:t>
      </w:r>
      <w:r w:rsidRPr="003A5711">
        <w:rPr>
          <w:rFonts w:ascii="Calibri" w:eastAsia="Times New Roman" w:hAnsi="Calibri" w:cs="Calibri"/>
          <w:noProof/>
          <w:sz w:val="24"/>
          <w:szCs w:val="24"/>
        </w:rPr>
        <w:t>jako „</w:t>
      </w:r>
      <w:r w:rsidR="00916022" w:rsidRPr="009D6D78">
        <w:rPr>
          <w:rFonts w:ascii="Calibri" w:eastAsia="Times New Roman" w:hAnsi="Calibri" w:cs="Calibri"/>
          <w:noProof/>
          <w:sz w:val="24"/>
          <w:szCs w:val="24"/>
        </w:rPr>
        <w:t>p</w:t>
      </w:r>
      <w:r w:rsidRPr="009D6D78">
        <w:rPr>
          <w:rFonts w:ascii="Calibri" w:eastAsia="Times New Roman" w:hAnsi="Calibri" w:cs="Calibri"/>
          <w:noProof/>
          <w:sz w:val="24"/>
          <w:szCs w:val="24"/>
        </w:rPr>
        <w:t xml:space="preserve">řijetí výročních zpráv </w:t>
      </w:r>
      <w:r w:rsidR="00916022" w:rsidRPr="009D6D78">
        <w:rPr>
          <w:rFonts w:ascii="Calibri" w:eastAsia="Times New Roman" w:hAnsi="Calibri" w:cs="Calibri"/>
          <w:noProof/>
          <w:sz w:val="24"/>
          <w:szCs w:val="24"/>
        </w:rPr>
        <w:t>v</w:t>
      </w:r>
      <w:r w:rsidRPr="009D6D78">
        <w:rPr>
          <w:rFonts w:ascii="Calibri" w:eastAsia="Times New Roman" w:hAnsi="Calibri" w:cs="Calibri"/>
          <w:noProof/>
          <w:sz w:val="24"/>
          <w:szCs w:val="24"/>
        </w:rPr>
        <w:t>ládou ČR“</w:t>
      </w:r>
      <w:r w:rsidRPr="00662D19">
        <w:rPr>
          <w:rFonts w:ascii="Calibri" w:eastAsia="Times New Roman" w:hAnsi="Calibri" w:cs="Calibri"/>
          <w:noProof/>
          <w:sz w:val="24"/>
          <w:szCs w:val="24"/>
        </w:rPr>
        <w:t xml:space="preserve">. </w:t>
      </w:r>
      <w:r w:rsidRPr="00662D19">
        <w:rPr>
          <w:rFonts w:ascii="Calibri" w:eastAsia="Times New Roman" w:hAnsi="Calibri" w:cs="Times New Roman"/>
          <w:sz w:val="24"/>
          <w:szCs w:val="24"/>
        </w:rPr>
        <w:t xml:space="preserve">Plánované financování </w:t>
      </w:r>
      <w:r w:rsidR="007E0076">
        <w:rPr>
          <w:rFonts w:ascii="Calibri" w:eastAsia="Times New Roman" w:hAnsi="Calibri" w:cs="Times New Roman"/>
          <w:sz w:val="24"/>
          <w:szCs w:val="24"/>
        </w:rPr>
        <w:t>p</w:t>
      </w:r>
      <w:r w:rsidRPr="00662D19">
        <w:rPr>
          <w:rFonts w:ascii="Calibri" w:eastAsia="Times New Roman" w:hAnsi="Calibri" w:cs="Times New Roman"/>
          <w:sz w:val="24"/>
          <w:szCs w:val="24"/>
        </w:rPr>
        <w:t>rogramu 176 200 je uvedeno v </w:t>
      </w:r>
      <w:r w:rsidR="007D68B1" w:rsidRPr="00662D19">
        <w:rPr>
          <w:rFonts w:ascii="Calibri" w:eastAsia="Times New Roman" w:hAnsi="Calibri" w:cs="Times New Roman"/>
          <w:sz w:val="24"/>
          <w:szCs w:val="24"/>
        </w:rPr>
        <w:t>tabulce</w:t>
      </w:r>
      <w:r w:rsidRPr="00662D19">
        <w:rPr>
          <w:rFonts w:ascii="Calibri" w:eastAsia="Times New Roman" w:hAnsi="Calibri" w:cs="Times New Roman"/>
          <w:sz w:val="24"/>
          <w:szCs w:val="24"/>
        </w:rPr>
        <w:t xml:space="preserve"> č</w:t>
      </w:r>
      <w:r w:rsidR="00662D19" w:rsidRPr="00662D19">
        <w:rPr>
          <w:rFonts w:ascii="Calibri" w:eastAsia="Times New Roman" w:hAnsi="Calibri" w:cs="Times New Roman"/>
          <w:sz w:val="24"/>
          <w:szCs w:val="24"/>
        </w:rPr>
        <w:t>. 7.</w:t>
      </w:r>
    </w:p>
    <w:p w14:paraId="285590B1" w14:textId="2F24BB79" w:rsidR="003A5711" w:rsidRPr="0051336B" w:rsidRDefault="003A5711" w:rsidP="0051336B">
      <w:pPr>
        <w:tabs>
          <w:tab w:val="right" w:pos="9072"/>
        </w:tabs>
        <w:spacing w:after="40"/>
        <w:jc w:val="both"/>
        <w:rPr>
          <w:rFonts w:ascii="Calibri" w:eastAsia="Times New Roman" w:hAnsi="Calibri" w:cs="Times New Roman"/>
          <w:b/>
          <w:sz w:val="24"/>
          <w:szCs w:val="24"/>
        </w:rPr>
      </w:pPr>
      <w:r w:rsidRPr="0051336B">
        <w:rPr>
          <w:rFonts w:ascii="Calibri" w:eastAsia="Times New Roman" w:hAnsi="Calibri" w:cs="Times New Roman"/>
          <w:b/>
          <w:sz w:val="24"/>
          <w:szCs w:val="24"/>
        </w:rPr>
        <w:t xml:space="preserve">Tabulka č. </w:t>
      </w:r>
      <w:r w:rsidR="00662D19" w:rsidRPr="0051336B">
        <w:rPr>
          <w:rFonts w:ascii="Calibri" w:eastAsia="Times New Roman" w:hAnsi="Calibri" w:cs="Times New Roman"/>
          <w:b/>
          <w:sz w:val="24"/>
          <w:szCs w:val="24"/>
        </w:rPr>
        <w:t>7</w:t>
      </w:r>
      <w:r w:rsidRPr="0051336B">
        <w:rPr>
          <w:rFonts w:ascii="Calibri" w:eastAsia="Times New Roman" w:hAnsi="Calibri" w:cs="Times New Roman"/>
          <w:b/>
          <w:sz w:val="24"/>
          <w:szCs w:val="24"/>
        </w:rPr>
        <w:t xml:space="preserve">: Plánované financování </w:t>
      </w:r>
      <w:r w:rsidR="00BB3EAE" w:rsidRPr="0051336B">
        <w:rPr>
          <w:rFonts w:ascii="Calibri" w:eastAsia="Times New Roman" w:hAnsi="Calibri" w:cs="Times New Roman"/>
          <w:b/>
          <w:sz w:val="24"/>
          <w:szCs w:val="24"/>
        </w:rPr>
        <w:t>p</w:t>
      </w:r>
      <w:r w:rsidRPr="0051336B">
        <w:rPr>
          <w:rFonts w:ascii="Calibri" w:eastAsia="Times New Roman" w:hAnsi="Calibri" w:cs="Times New Roman"/>
          <w:b/>
          <w:sz w:val="24"/>
          <w:szCs w:val="24"/>
        </w:rPr>
        <w:t>rogramu 176</w:t>
      </w:r>
      <w:r w:rsidR="0051336B">
        <w:rPr>
          <w:rFonts w:ascii="Calibri" w:eastAsia="Times New Roman" w:hAnsi="Calibri" w:cs="Times New Roman"/>
          <w:b/>
          <w:sz w:val="24"/>
          <w:szCs w:val="24"/>
        </w:rPr>
        <w:t> </w:t>
      </w:r>
      <w:r w:rsidRPr="0051336B">
        <w:rPr>
          <w:rFonts w:ascii="Calibri" w:eastAsia="Times New Roman" w:hAnsi="Calibri" w:cs="Times New Roman"/>
          <w:b/>
          <w:sz w:val="24"/>
          <w:szCs w:val="24"/>
        </w:rPr>
        <w:t xml:space="preserve">200 </w:t>
      </w:r>
      <w:r w:rsidR="0051336B">
        <w:rPr>
          <w:rFonts w:ascii="Calibri" w:eastAsia="Times New Roman" w:hAnsi="Calibri" w:cs="Times New Roman"/>
          <w:b/>
          <w:sz w:val="24"/>
          <w:szCs w:val="24"/>
        </w:rPr>
        <w:tab/>
      </w:r>
      <w:r w:rsidRPr="0051336B">
        <w:rPr>
          <w:rFonts w:ascii="Calibri" w:eastAsia="Times New Roman" w:hAnsi="Calibri" w:cs="Times New Roman"/>
          <w:b/>
          <w:sz w:val="24"/>
          <w:szCs w:val="24"/>
        </w:rPr>
        <w:t>(v tis. Kč)</w:t>
      </w:r>
    </w:p>
    <w:tbl>
      <w:tblPr>
        <w:tblStyle w:val="Mkatabulky11"/>
        <w:tblW w:w="0" w:type="auto"/>
        <w:jc w:val="center"/>
        <w:tblLook w:val="04A0" w:firstRow="1" w:lastRow="0" w:firstColumn="1" w:lastColumn="0" w:noHBand="0" w:noVBand="1"/>
      </w:tblPr>
      <w:tblGrid>
        <w:gridCol w:w="3350"/>
        <w:gridCol w:w="1141"/>
        <w:gridCol w:w="1141"/>
        <w:gridCol w:w="1141"/>
        <w:gridCol w:w="1141"/>
        <w:gridCol w:w="1148"/>
      </w:tblGrid>
      <w:tr w:rsidR="003A5711" w:rsidRPr="005B0E1F" w14:paraId="1F8D6527" w14:textId="77777777" w:rsidTr="0051336B">
        <w:trPr>
          <w:trHeight w:val="283"/>
          <w:jc w:val="center"/>
        </w:trPr>
        <w:tc>
          <w:tcPr>
            <w:tcW w:w="3402" w:type="dxa"/>
            <w:shd w:val="clear" w:color="auto" w:fill="E5F1FF"/>
            <w:vAlign w:val="center"/>
          </w:tcPr>
          <w:p w14:paraId="759CA067" w14:textId="77777777" w:rsidR="003A5711" w:rsidRPr="005B0E1F" w:rsidRDefault="003A5711" w:rsidP="0051336B">
            <w:pPr>
              <w:jc w:val="center"/>
              <w:rPr>
                <w:rFonts w:cs="Calibri"/>
                <w:sz w:val="20"/>
                <w:szCs w:val="20"/>
              </w:rPr>
            </w:pPr>
            <w:r w:rsidRPr="005B0E1F">
              <w:rPr>
                <w:rFonts w:cs="Calibri"/>
                <w:b/>
                <w:sz w:val="20"/>
                <w:szCs w:val="20"/>
              </w:rPr>
              <w:t>Číslo podprogramu</w:t>
            </w:r>
          </w:p>
        </w:tc>
        <w:tc>
          <w:tcPr>
            <w:tcW w:w="1155" w:type="dxa"/>
            <w:shd w:val="clear" w:color="auto" w:fill="E5F1FF"/>
            <w:vAlign w:val="center"/>
          </w:tcPr>
          <w:p w14:paraId="14C28D6A" w14:textId="77777777" w:rsidR="003A5711" w:rsidRPr="005B0E1F" w:rsidRDefault="003A5711" w:rsidP="0051336B">
            <w:pPr>
              <w:jc w:val="center"/>
              <w:rPr>
                <w:rFonts w:cs="Calibri"/>
                <w:b/>
                <w:sz w:val="20"/>
                <w:szCs w:val="20"/>
              </w:rPr>
            </w:pPr>
            <w:r w:rsidRPr="005B0E1F">
              <w:rPr>
                <w:rFonts w:cs="Calibri"/>
                <w:b/>
                <w:sz w:val="20"/>
                <w:szCs w:val="20"/>
              </w:rPr>
              <w:t>2018</w:t>
            </w:r>
          </w:p>
        </w:tc>
        <w:tc>
          <w:tcPr>
            <w:tcW w:w="1155" w:type="dxa"/>
            <w:shd w:val="clear" w:color="auto" w:fill="E5F1FF"/>
            <w:vAlign w:val="center"/>
          </w:tcPr>
          <w:p w14:paraId="06B7CC4A" w14:textId="77777777" w:rsidR="003A5711" w:rsidRPr="005B0E1F" w:rsidRDefault="003A5711" w:rsidP="0051336B">
            <w:pPr>
              <w:jc w:val="center"/>
              <w:rPr>
                <w:rFonts w:cs="Calibri"/>
                <w:b/>
                <w:sz w:val="20"/>
                <w:szCs w:val="20"/>
              </w:rPr>
            </w:pPr>
            <w:r w:rsidRPr="005B0E1F">
              <w:rPr>
                <w:rFonts w:cs="Calibri"/>
                <w:b/>
                <w:sz w:val="20"/>
                <w:szCs w:val="20"/>
              </w:rPr>
              <w:t>2019</w:t>
            </w:r>
          </w:p>
        </w:tc>
        <w:tc>
          <w:tcPr>
            <w:tcW w:w="1155" w:type="dxa"/>
            <w:shd w:val="clear" w:color="auto" w:fill="E5F1FF"/>
            <w:vAlign w:val="center"/>
          </w:tcPr>
          <w:p w14:paraId="5424EFE0" w14:textId="77777777" w:rsidR="003A5711" w:rsidRPr="005B0E1F" w:rsidRDefault="003A5711" w:rsidP="0051336B">
            <w:pPr>
              <w:jc w:val="center"/>
              <w:rPr>
                <w:rFonts w:cs="Calibri"/>
                <w:b/>
                <w:sz w:val="20"/>
                <w:szCs w:val="20"/>
              </w:rPr>
            </w:pPr>
            <w:r w:rsidRPr="005B0E1F">
              <w:rPr>
                <w:rFonts w:cs="Calibri"/>
                <w:b/>
                <w:sz w:val="20"/>
                <w:szCs w:val="20"/>
              </w:rPr>
              <w:t>2020</w:t>
            </w:r>
          </w:p>
        </w:tc>
        <w:tc>
          <w:tcPr>
            <w:tcW w:w="1155" w:type="dxa"/>
            <w:shd w:val="clear" w:color="auto" w:fill="E5F1FF"/>
            <w:vAlign w:val="center"/>
          </w:tcPr>
          <w:p w14:paraId="281338AC" w14:textId="77777777" w:rsidR="003A5711" w:rsidRPr="005B0E1F" w:rsidRDefault="003A5711" w:rsidP="0051336B">
            <w:pPr>
              <w:jc w:val="center"/>
              <w:rPr>
                <w:rFonts w:cs="Calibri"/>
                <w:b/>
                <w:sz w:val="20"/>
                <w:szCs w:val="20"/>
              </w:rPr>
            </w:pPr>
            <w:r w:rsidRPr="005B0E1F">
              <w:rPr>
                <w:rFonts w:cs="Calibri"/>
                <w:b/>
                <w:sz w:val="20"/>
                <w:szCs w:val="20"/>
              </w:rPr>
              <w:t>2021</w:t>
            </w:r>
          </w:p>
        </w:tc>
        <w:tc>
          <w:tcPr>
            <w:tcW w:w="1156" w:type="dxa"/>
            <w:shd w:val="clear" w:color="auto" w:fill="E5F1FF"/>
            <w:vAlign w:val="center"/>
          </w:tcPr>
          <w:p w14:paraId="0471DF3A" w14:textId="77777777" w:rsidR="003A5711" w:rsidRPr="005B0E1F" w:rsidRDefault="003A5711" w:rsidP="0051336B">
            <w:pPr>
              <w:jc w:val="center"/>
              <w:rPr>
                <w:rFonts w:cs="Calibri"/>
                <w:b/>
                <w:sz w:val="20"/>
                <w:szCs w:val="20"/>
              </w:rPr>
            </w:pPr>
            <w:r w:rsidRPr="005B0E1F">
              <w:rPr>
                <w:rFonts w:cs="Calibri"/>
                <w:b/>
                <w:sz w:val="20"/>
                <w:szCs w:val="20"/>
              </w:rPr>
              <w:t>Celkem</w:t>
            </w:r>
          </w:p>
        </w:tc>
      </w:tr>
      <w:tr w:rsidR="003A5711" w:rsidRPr="005B0E1F" w14:paraId="51CEAC3E" w14:textId="77777777" w:rsidTr="0051336B">
        <w:trPr>
          <w:trHeight w:val="283"/>
          <w:jc w:val="center"/>
        </w:trPr>
        <w:tc>
          <w:tcPr>
            <w:tcW w:w="3402" w:type="dxa"/>
            <w:vAlign w:val="center"/>
          </w:tcPr>
          <w:p w14:paraId="0E6E3BAC" w14:textId="77777777" w:rsidR="003A5711" w:rsidRPr="005B0E1F" w:rsidRDefault="003A5711" w:rsidP="0051336B">
            <w:pPr>
              <w:jc w:val="center"/>
              <w:rPr>
                <w:rFonts w:cs="Calibri"/>
                <w:sz w:val="20"/>
                <w:szCs w:val="20"/>
              </w:rPr>
            </w:pPr>
            <w:r w:rsidRPr="005B0E1F">
              <w:rPr>
                <w:rFonts w:cs="Calibri"/>
                <w:sz w:val="20"/>
                <w:szCs w:val="20"/>
              </w:rPr>
              <w:t>176 201</w:t>
            </w:r>
          </w:p>
        </w:tc>
        <w:tc>
          <w:tcPr>
            <w:tcW w:w="1155" w:type="dxa"/>
            <w:vAlign w:val="center"/>
          </w:tcPr>
          <w:p w14:paraId="35F3F94C" w14:textId="77777777" w:rsidR="003A5711" w:rsidRPr="005B0E1F" w:rsidRDefault="003A5711" w:rsidP="0051336B">
            <w:pPr>
              <w:ind w:right="57"/>
              <w:jc w:val="right"/>
              <w:rPr>
                <w:rFonts w:cs="Calibri"/>
                <w:sz w:val="20"/>
                <w:szCs w:val="20"/>
              </w:rPr>
            </w:pPr>
            <w:r w:rsidRPr="005B0E1F">
              <w:rPr>
                <w:rFonts w:cs="Calibri"/>
                <w:sz w:val="20"/>
                <w:szCs w:val="20"/>
              </w:rPr>
              <w:t>2 800</w:t>
            </w:r>
          </w:p>
        </w:tc>
        <w:tc>
          <w:tcPr>
            <w:tcW w:w="1155" w:type="dxa"/>
            <w:vAlign w:val="center"/>
          </w:tcPr>
          <w:p w14:paraId="6BAF9AD8" w14:textId="77777777" w:rsidR="003A5711" w:rsidRPr="005B0E1F" w:rsidRDefault="003A5711" w:rsidP="0051336B">
            <w:pPr>
              <w:ind w:right="57"/>
              <w:jc w:val="right"/>
              <w:rPr>
                <w:rFonts w:cs="Calibri"/>
                <w:sz w:val="20"/>
                <w:szCs w:val="20"/>
              </w:rPr>
            </w:pPr>
            <w:r w:rsidRPr="005B0E1F">
              <w:rPr>
                <w:rFonts w:cs="Calibri"/>
                <w:sz w:val="20"/>
                <w:szCs w:val="20"/>
              </w:rPr>
              <w:t>2 050</w:t>
            </w:r>
          </w:p>
        </w:tc>
        <w:tc>
          <w:tcPr>
            <w:tcW w:w="1155" w:type="dxa"/>
            <w:vAlign w:val="center"/>
          </w:tcPr>
          <w:p w14:paraId="4AD44030" w14:textId="77777777" w:rsidR="003A5711" w:rsidRPr="005B0E1F" w:rsidRDefault="003A5711" w:rsidP="0051336B">
            <w:pPr>
              <w:ind w:right="57"/>
              <w:jc w:val="right"/>
              <w:rPr>
                <w:rFonts w:cs="Calibri"/>
                <w:sz w:val="20"/>
                <w:szCs w:val="20"/>
              </w:rPr>
            </w:pPr>
            <w:r w:rsidRPr="005B0E1F">
              <w:rPr>
                <w:rFonts w:cs="Calibri"/>
                <w:sz w:val="20"/>
                <w:szCs w:val="20"/>
              </w:rPr>
              <w:t>2 300</w:t>
            </w:r>
          </w:p>
        </w:tc>
        <w:tc>
          <w:tcPr>
            <w:tcW w:w="1155" w:type="dxa"/>
            <w:vAlign w:val="center"/>
          </w:tcPr>
          <w:p w14:paraId="4BAF44AF" w14:textId="77777777" w:rsidR="003A5711" w:rsidRPr="005B0E1F" w:rsidRDefault="003A5711" w:rsidP="0051336B">
            <w:pPr>
              <w:ind w:right="57"/>
              <w:jc w:val="right"/>
              <w:rPr>
                <w:rFonts w:cs="Calibri"/>
                <w:sz w:val="20"/>
                <w:szCs w:val="20"/>
              </w:rPr>
            </w:pPr>
            <w:r w:rsidRPr="005B0E1F">
              <w:rPr>
                <w:rFonts w:cs="Calibri"/>
                <w:sz w:val="20"/>
                <w:szCs w:val="20"/>
              </w:rPr>
              <w:t>2 800</w:t>
            </w:r>
          </w:p>
        </w:tc>
        <w:tc>
          <w:tcPr>
            <w:tcW w:w="1156" w:type="dxa"/>
            <w:vAlign w:val="center"/>
          </w:tcPr>
          <w:p w14:paraId="1DEABFD9" w14:textId="77777777" w:rsidR="003A5711" w:rsidRPr="005B0E1F" w:rsidRDefault="003A5711" w:rsidP="0051336B">
            <w:pPr>
              <w:ind w:right="57"/>
              <w:jc w:val="right"/>
              <w:rPr>
                <w:rFonts w:cs="Calibri"/>
                <w:sz w:val="20"/>
                <w:szCs w:val="20"/>
              </w:rPr>
            </w:pPr>
            <w:r w:rsidRPr="005B0E1F">
              <w:rPr>
                <w:rFonts w:cs="Calibri"/>
                <w:sz w:val="20"/>
                <w:szCs w:val="20"/>
              </w:rPr>
              <w:t>9 950</w:t>
            </w:r>
          </w:p>
        </w:tc>
      </w:tr>
      <w:tr w:rsidR="003A5711" w:rsidRPr="005B0E1F" w14:paraId="394FB750" w14:textId="77777777" w:rsidTr="0051336B">
        <w:trPr>
          <w:trHeight w:val="283"/>
          <w:jc w:val="center"/>
        </w:trPr>
        <w:tc>
          <w:tcPr>
            <w:tcW w:w="3402" w:type="dxa"/>
            <w:vAlign w:val="center"/>
          </w:tcPr>
          <w:p w14:paraId="00B29A26" w14:textId="77777777" w:rsidR="003A5711" w:rsidRPr="005B0E1F" w:rsidRDefault="003A5711" w:rsidP="0051336B">
            <w:pPr>
              <w:jc w:val="center"/>
              <w:rPr>
                <w:rFonts w:cs="Calibri"/>
                <w:sz w:val="20"/>
                <w:szCs w:val="20"/>
              </w:rPr>
            </w:pPr>
            <w:r w:rsidRPr="005B0E1F">
              <w:rPr>
                <w:rFonts w:cs="Calibri"/>
                <w:sz w:val="20"/>
                <w:szCs w:val="20"/>
              </w:rPr>
              <w:t>176 202</w:t>
            </w:r>
          </w:p>
        </w:tc>
        <w:tc>
          <w:tcPr>
            <w:tcW w:w="1155" w:type="dxa"/>
            <w:vAlign w:val="center"/>
          </w:tcPr>
          <w:p w14:paraId="5ED04C31" w14:textId="77777777" w:rsidR="003A5711" w:rsidRPr="005B0E1F" w:rsidRDefault="003A5711" w:rsidP="0051336B">
            <w:pPr>
              <w:ind w:right="57"/>
              <w:jc w:val="right"/>
              <w:rPr>
                <w:rFonts w:cs="Calibri"/>
                <w:sz w:val="20"/>
                <w:szCs w:val="20"/>
              </w:rPr>
            </w:pPr>
            <w:r w:rsidRPr="005B0E1F">
              <w:rPr>
                <w:rFonts w:cs="Calibri"/>
                <w:sz w:val="20"/>
                <w:szCs w:val="20"/>
              </w:rPr>
              <w:t>14 000</w:t>
            </w:r>
          </w:p>
        </w:tc>
        <w:tc>
          <w:tcPr>
            <w:tcW w:w="1155" w:type="dxa"/>
            <w:vAlign w:val="center"/>
          </w:tcPr>
          <w:p w14:paraId="7807C9F7" w14:textId="77777777" w:rsidR="003A5711" w:rsidRPr="005B0E1F" w:rsidRDefault="003A5711" w:rsidP="0051336B">
            <w:pPr>
              <w:ind w:right="57"/>
              <w:jc w:val="right"/>
              <w:rPr>
                <w:rFonts w:cs="Calibri"/>
                <w:sz w:val="20"/>
                <w:szCs w:val="20"/>
              </w:rPr>
            </w:pPr>
            <w:r w:rsidRPr="005B0E1F">
              <w:rPr>
                <w:rFonts w:cs="Calibri"/>
                <w:sz w:val="20"/>
                <w:szCs w:val="20"/>
              </w:rPr>
              <w:t>27 000</w:t>
            </w:r>
          </w:p>
        </w:tc>
        <w:tc>
          <w:tcPr>
            <w:tcW w:w="1155" w:type="dxa"/>
            <w:vAlign w:val="center"/>
          </w:tcPr>
          <w:p w14:paraId="5DDC100D" w14:textId="77777777" w:rsidR="003A5711" w:rsidRPr="005B0E1F" w:rsidRDefault="003A5711" w:rsidP="0051336B">
            <w:pPr>
              <w:ind w:right="57"/>
              <w:jc w:val="right"/>
              <w:rPr>
                <w:rFonts w:cs="Calibri"/>
                <w:sz w:val="20"/>
                <w:szCs w:val="20"/>
              </w:rPr>
            </w:pPr>
            <w:r w:rsidRPr="005B0E1F">
              <w:rPr>
                <w:rFonts w:cs="Calibri"/>
                <w:sz w:val="20"/>
                <w:szCs w:val="20"/>
              </w:rPr>
              <w:t>20 000</w:t>
            </w:r>
          </w:p>
        </w:tc>
        <w:tc>
          <w:tcPr>
            <w:tcW w:w="1155" w:type="dxa"/>
            <w:vAlign w:val="center"/>
          </w:tcPr>
          <w:p w14:paraId="5E609E5C" w14:textId="77777777" w:rsidR="003A5711" w:rsidRPr="005B0E1F" w:rsidRDefault="003A5711" w:rsidP="0051336B">
            <w:pPr>
              <w:ind w:right="57"/>
              <w:jc w:val="right"/>
              <w:rPr>
                <w:rFonts w:cs="Calibri"/>
                <w:sz w:val="20"/>
                <w:szCs w:val="20"/>
              </w:rPr>
            </w:pPr>
            <w:r w:rsidRPr="005B0E1F">
              <w:rPr>
                <w:rFonts w:cs="Calibri"/>
                <w:sz w:val="20"/>
                <w:szCs w:val="20"/>
              </w:rPr>
              <w:t>20 000</w:t>
            </w:r>
          </w:p>
        </w:tc>
        <w:tc>
          <w:tcPr>
            <w:tcW w:w="1156" w:type="dxa"/>
            <w:vAlign w:val="center"/>
          </w:tcPr>
          <w:p w14:paraId="3BA80EE2" w14:textId="77777777" w:rsidR="003A5711" w:rsidRPr="005B0E1F" w:rsidRDefault="003A5711" w:rsidP="0051336B">
            <w:pPr>
              <w:ind w:right="57"/>
              <w:jc w:val="right"/>
              <w:rPr>
                <w:rFonts w:cs="Calibri"/>
                <w:sz w:val="20"/>
                <w:szCs w:val="20"/>
              </w:rPr>
            </w:pPr>
            <w:r w:rsidRPr="005B0E1F">
              <w:rPr>
                <w:rFonts w:cs="Calibri"/>
                <w:sz w:val="20"/>
                <w:szCs w:val="20"/>
              </w:rPr>
              <w:t>81 000</w:t>
            </w:r>
          </w:p>
        </w:tc>
      </w:tr>
      <w:tr w:rsidR="003A5711" w:rsidRPr="005B0E1F" w14:paraId="2151F34B" w14:textId="77777777" w:rsidTr="0051336B">
        <w:trPr>
          <w:trHeight w:val="283"/>
          <w:jc w:val="center"/>
        </w:trPr>
        <w:tc>
          <w:tcPr>
            <w:tcW w:w="3402" w:type="dxa"/>
            <w:vAlign w:val="center"/>
          </w:tcPr>
          <w:p w14:paraId="42384F47" w14:textId="77777777" w:rsidR="003A5711" w:rsidRPr="005B0E1F" w:rsidRDefault="003A5711" w:rsidP="0051336B">
            <w:pPr>
              <w:jc w:val="center"/>
              <w:rPr>
                <w:rFonts w:cs="Calibri"/>
                <w:sz w:val="20"/>
                <w:szCs w:val="20"/>
              </w:rPr>
            </w:pPr>
            <w:r w:rsidRPr="005B0E1F">
              <w:rPr>
                <w:rFonts w:cs="Calibri"/>
                <w:sz w:val="20"/>
                <w:szCs w:val="20"/>
              </w:rPr>
              <w:t>176 203</w:t>
            </w:r>
          </w:p>
        </w:tc>
        <w:tc>
          <w:tcPr>
            <w:tcW w:w="1155" w:type="dxa"/>
            <w:vAlign w:val="center"/>
          </w:tcPr>
          <w:p w14:paraId="0546411F" w14:textId="77777777" w:rsidR="003A5711" w:rsidRPr="005B0E1F" w:rsidRDefault="003A5711" w:rsidP="0051336B">
            <w:pPr>
              <w:ind w:right="57"/>
              <w:jc w:val="right"/>
              <w:rPr>
                <w:rFonts w:cs="Calibri"/>
                <w:sz w:val="20"/>
                <w:szCs w:val="20"/>
              </w:rPr>
            </w:pPr>
            <w:r w:rsidRPr="005B0E1F">
              <w:rPr>
                <w:rFonts w:cs="Calibri"/>
                <w:sz w:val="20"/>
                <w:szCs w:val="20"/>
              </w:rPr>
              <w:t>4 000</w:t>
            </w:r>
          </w:p>
        </w:tc>
        <w:tc>
          <w:tcPr>
            <w:tcW w:w="1155" w:type="dxa"/>
            <w:vAlign w:val="center"/>
          </w:tcPr>
          <w:p w14:paraId="733CEC12" w14:textId="77777777" w:rsidR="003A5711" w:rsidRPr="005B0E1F" w:rsidRDefault="003A5711" w:rsidP="0051336B">
            <w:pPr>
              <w:ind w:right="57"/>
              <w:jc w:val="right"/>
              <w:rPr>
                <w:rFonts w:cs="Calibri"/>
                <w:sz w:val="20"/>
                <w:szCs w:val="20"/>
              </w:rPr>
            </w:pPr>
            <w:r w:rsidRPr="005B0E1F">
              <w:rPr>
                <w:rFonts w:cs="Calibri"/>
                <w:sz w:val="20"/>
                <w:szCs w:val="20"/>
              </w:rPr>
              <w:t>4 000</w:t>
            </w:r>
          </w:p>
        </w:tc>
        <w:tc>
          <w:tcPr>
            <w:tcW w:w="1155" w:type="dxa"/>
            <w:vAlign w:val="center"/>
          </w:tcPr>
          <w:p w14:paraId="03395605" w14:textId="77777777" w:rsidR="003A5711" w:rsidRPr="005B0E1F" w:rsidRDefault="003A5711" w:rsidP="0051336B">
            <w:pPr>
              <w:ind w:right="57"/>
              <w:jc w:val="right"/>
              <w:rPr>
                <w:rFonts w:cs="Calibri"/>
                <w:sz w:val="20"/>
                <w:szCs w:val="20"/>
              </w:rPr>
            </w:pPr>
            <w:r w:rsidRPr="005B0E1F">
              <w:rPr>
                <w:rFonts w:cs="Calibri"/>
                <w:sz w:val="20"/>
                <w:szCs w:val="20"/>
              </w:rPr>
              <w:t>4 000</w:t>
            </w:r>
          </w:p>
        </w:tc>
        <w:tc>
          <w:tcPr>
            <w:tcW w:w="1155" w:type="dxa"/>
            <w:vAlign w:val="center"/>
          </w:tcPr>
          <w:p w14:paraId="49A5AB73" w14:textId="77777777" w:rsidR="003A5711" w:rsidRPr="005B0E1F" w:rsidRDefault="003A5711" w:rsidP="0051336B">
            <w:pPr>
              <w:ind w:right="57"/>
              <w:jc w:val="right"/>
              <w:rPr>
                <w:rFonts w:cs="Calibri"/>
                <w:sz w:val="20"/>
                <w:szCs w:val="20"/>
              </w:rPr>
            </w:pPr>
            <w:r w:rsidRPr="005B0E1F">
              <w:rPr>
                <w:rFonts w:cs="Calibri"/>
                <w:sz w:val="20"/>
                <w:szCs w:val="20"/>
              </w:rPr>
              <w:t>4 000</w:t>
            </w:r>
          </w:p>
        </w:tc>
        <w:tc>
          <w:tcPr>
            <w:tcW w:w="1156" w:type="dxa"/>
            <w:vAlign w:val="center"/>
          </w:tcPr>
          <w:p w14:paraId="73AF2601" w14:textId="77777777" w:rsidR="003A5711" w:rsidRPr="005B0E1F" w:rsidRDefault="003A5711" w:rsidP="0051336B">
            <w:pPr>
              <w:ind w:right="57"/>
              <w:jc w:val="right"/>
              <w:rPr>
                <w:rFonts w:cs="Calibri"/>
                <w:sz w:val="20"/>
                <w:szCs w:val="20"/>
              </w:rPr>
            </w:pPr>
            <w:r w:rsidRPr="005B0E1F">
              <w:rPr>
                <w:rFonts w:cs="Calibri"/>
                <w:sz w:val="20"/>
                <w:szCs w:val="20"/>
              </w:rPr>
              <w:t>16 000</w:t>
            </w:r>
          </w:p>
        </w:tc>
      </w:tr>
      <w:tr w:rsidR="003A5711" w:rsidRPr="005B0E1F" w14:paraId="5F0D511E" w14:textId="77777777" w:rsidTr="0051336B">
        <w:trPr>
          <w:trHeight w:val="283"/>
          <w:jc w:val="center"/>
        </w:trPr>
        <w:tc>
          <w:tcPr>
            <w:tcW w:w="3402" w:type="dxa"/>
            <w:shd w:val="clear" w:color="auto" w:fill="auto"/>
            <w:vAlign w:val="center"/>
          </w:tcPr>
          <w:p w14:paraId="5FEF52B2" w14:textId="77777777" w:rsidR="003A5711" w:rsidRPr="005B0E1F" w:rsidRDefault="003A5711" w:rsidP="0051336B">
            <w:pPr>
              <w:jc w:val="center"/>
              <w:rPr>
                <w:rFonts w:cs="Calibri"/>
                <w:b/>
                <w:sz w:val="20"/>
                <w:szCs w:val="20"/>
              </w:rPr>
            </w:pPr>
            <w:r w:rsidRPr="005B0E1F">
              <w:rPr>
                <w:rFonts w:cs="Calibri"/>
                <w:b/>
                <w:sz w:val="20"/>
                <w:szCs w:val="20"/>
              </w:rPr>
              <w:t>Program 176 200</w:t>
            </w:r>
          </w:p>
        </w:tc>
        <w:tc>
          <w:tcPr>
            <w:tcW w:w="1155" w:type="dxa"/>
            <w:shd w:val="clear" w:color="auto" w:fill="auto"/>
            <w:vAlign w:val="center"/>
          </w:tcPr>
          <w:p w14:paraId="7B445751" w14:textId="77777777" w:rsidR="003A5711" w:rsidRPr="005B0E1F" w:rsidRDefault="003A5711" w:rsidP="0051336B">
            <w:pPr>
              <w:ind w:right="57"/>
              <w:jc w:val="right"/>
              <w:rPr>
                <w:rFonts w:cs="Calibri"/>
                <w:b/>
                <w:sz w:val="20"/>
                <w:szCs w:val="20"/>
              </w:rPr>
            </w:pPr>
            <w:r w:rsidRPr="005B0E1F">
              <w:rPr>
                <w:rFonts w:cs="Calibri"/>
                <w:b/>
                <w:sz w:val="20"/>
                <w:szCs w:val="20"/>
              </w:rPr>
              <w:t>20 800</w:t>
            </w:r>
          </w:p>
        </w:tc>
        <w:tc>
          <w:tcPr>
            <w:tcW w:w="1155" w:type="dxa"/>
            <w:shd w:val="clear" w:color="auto" w:fill="auto"/>
            <w:vAlign w:val="center"/>
          </w:tcPr>
          <w:p w14:paraId="07D6CAC5" w14:textId="77777777" w:rsidR="003A5711" w:rsidRPr="005B0E1F" w:rsidRDefault="003A5711" w:rsidP="0051336B">
            <w:pPr>
              <w:ind w:right="57"/>
              <w:jc w:val="right"/>
              <w:rPr>
                <w:rFonts w:cs="Calibri"/>
                <w:b/>
                <w:sz w:val="20"/>
                <w:szCs w:val="20"/>
              </w:rPr>
            </w:pPr>
            <w:r w:rsidRPr="005B0E1F">
              <w:rPr>
                <w:rFonts w:cs="Calibri"/>
                <w:b/>
                <w:sz w:val="20"/>
                <w:szCs w:val="20"/>
              </w:rPr>
              <w:t>33 050</w:t>
            </w:r>
          </w:p>
        </w:tc>
        <w:tc>
          <w:tcPr>
            <w:tcW w:w="1155" w:type="dxa"/>
            <w:shd w:val="clear" w:color="auto" w:fill="auto"/>
            <w:vAlign w:val="center"/>
          </w:tcPr>
          <w:p w14:paraId="562DA349" w14:textId="77777777" w:rsidR="003A5711" w:rsidRPr="005B0E1F" w:rsidRDefault="003A5711" w:rsidP="0051336B">
            <w:pPr>
              <w:ind w:right="57"/>
              <w:jc w:val="right"/>
              <w:rPr>
                <w:rFonts w:cs="Calibri"/>
                <w:b/>
                <w:sz w:val="20"/>
                <w:szCs w:val="20"/>
              </w:rPr>
            </w:pPr>
            <w:r w:rsidRPr="005B0E1F">
              <w:rPr>
                <w:rFonts w:cs="Calibri"/>
                <w:b/>
                <w:sz w:val="20"/>
                <w:szCs w:val="20"/>
              </w:rPr>
              <w:t>26 300</w:t>
            </w:r>
          </w:p>
        </w:tc>
        <w:tc>
          <w:tcPr>
            <w:tcW w:w="1155" w:type="dxa"/>
            <w:shd w:val="clear" w:color="auto" w:fill="auto"/>
            <w:vAlign w:val="center"/>
          </w:tcPr>
          <w:p w14:paraId="2FDDF872" w14:textId="77777777" w:rsidR="003A5711" w:rsidRPr="005B0E1F" w:rsidRDefault="003A5711" w:rsidP="0051336B">
            <w:pPr>
              <w:ind w:right="57"/>
              <w:jc w:val="right"/>
              <w:rPr>
                <w:rFonts w:cs="Calibri"/>
                <w:b/>
                <w:sz w:val="20"/>
                <w:szCs w:val="20"/>
              </w:rPr>
            </w:pPr>
            <w:r w:rsidRPr="005B0E1F">
              <w:rPr>
                <w:rFonts w:cs="Calibri"/>
                <w:b/>
                <w:sz w:val="20"/>
                <w:szCs w:val="20"/>
              </w:rPr>
              <w:t>26 800</w:t>
            </w:r>
          </w:p>
        </w:tc>
        <w:tc>
          <w:tcPr>
            <w:tcW w:w="1156" w:type="dxa"/>
            <w:shd w:val="clear" w:color="auto" w:fill="auto"/>
            <w:vAlign w:val="center"/>
          </w:tcPr>
          <w:p w14:paraId="7190E77B" w14:textId="77777777" w:rsidR="003A5711" w:rsidRPr="005B0E1F" w:rsidRDefault="003A5711" w:rsidP="0051336B">
            <w:pPr>
              <w:ind w:right="57"/>
              <w:jc w:val="right"/>
              <w:rPr>
                <w:rFonts w:cs="Calibri"/>
                <w:b/>
                <w:sz w:val="20"/>
                <w:szCs w:val="20"/>
              </w:rPr>
            </w:pPr>
            <w:r w:rsidRPr="005B0E1F">
              <w:rPr>
                <w:rFonts w:cs="Calibri"/>
                <w:b/>
                <w:sz w:val="20"/>
                <w:szCs w:val="20"/>
              </w:rPr>
              <w:t>106 950</w:t>
            </w:r>
          </w:p>
        </w:tc>
      </w:tr>
    </w:tbl>
    <w:p w14:paraId="1CEDDA6C" w14:textId="67EB24AE" w:rsidR="003A5711" w:rsidRPr="003A5711" w:rsidRDefault="003A5711" w:rsidP="005B0E1F">
      <w:pPr>
        <w:spacing w:before="40" w:after="120"/>
        <w:jc w:val="both"/>
        <w:rPr>
          <w:rFonts w:ascii="Calibri" w:eastAsia="Times New Roman" w:hAnsi="Calibri" w:cs="Calibri"/>
          <w:sz w:val="20"/>
          <w:szCs w:val="20"/>
        </w:rPr>
      </w:pPr>
      <w:r w:rsidRPr="0013137A">
        <w:rPr>
          <w:rFonts w:ascii="Calibri" w:eastAsia="Times New Roman" w:hAnsi="Calibri" w:cs="Calibri"/>
          <w:b/>
          <w:sz w:val="20"/>
          <w:szCs w:val="20"/>
        </w:rPr>
        <w:t>Zdroj:</w:t>
      </w:r>
      <w:r w:rsidRPr="003A5711">
        <w:rPr>
          <w:rFonts w:ascii="Calibri" w:eastAsia="Times New Roman" w:hAnsi="Calibri" w:cs="Calibri"/>
          <w:sz w:val="20"/>
          <w:szCs w:val="20"/>
        </w:rPr>
        <w:t xml:space="preserve"> </w:t>
      </w:r>
      <w:r w:rsidR="008D66E5">
        <w:rPr>
          <w:rFonts w:ascii="Calibri" w:eastAsia="Times New Roman" w:hAnsi="Calibri" w:cs="Calibri"/>
          <w:sz w:val="20"/>
          <w:szCs w:val="20"/>
        </w:rPr>
        <w:t>p</w:t>
      </w:r>
      <w:r w:rsidRPr="003A5711">
        <w:rPr>
          <w:rFonts w:ascii="Calibri" w:eastAsia="Times New Roman" w:hAnsi="Calibri" w:cs="Calibri"/>
          <w:sz w:val="20"/>
          <w:szCs w:val="20"/>
        </w:rPr>
        <w:t xml:space="preserve">rogramová dokumentace </w:t>
      </w:r>
      <w:r w:rsidR="00BB3EAE">
        <w:rPr>
          <w:rFonts w:ascii="Calibri" w:eastAsia="Times New Roman" w:hAnsi="Calibri" w:cs="Calibri"/>
          <w:sz w:val="20"/>
          <w:szCs w:val="20"/>
        </w:rPr>
        <w:t>p</w:t>
      </w:r>
      <w:r w:rsidRPr="003A5711">
        <w:rPr>
          <w:rFonts w:ascii="Calibri" w:eastAsia="Times New Roman" w:hAnsi="Calibri" w:cs="Calibri"/>
          <w:sz w:val="20"/>
          <w:szCs w:val="20"/>
        </w:rPr>
        <w:t>rogramu 176</w:t>
      </w:r>
      <w:r w:rsidR="0013137A">
        <w:rPr>
          <w:rFonts w:ascii="Calibri" w:eastAsia="Times New Roman" w:hAnsi="Calibri" w:cs="Calibri"/>
          <w:sz w:val="20"/>
          <w:szCs w:val="20"/>
        </w:rPr>
        <w:t> </w:t>
      </w:r>
      <w:r w:rsidRPr="003A5711">
        <w:rPr>
          <w:rFonts w:ascii="Calibri" w:eastAsia="Times New Roman" w:hAnsi="Calibri" w:cs="Calibri"/>
          <w:sz w:val="20"/>
          <w:szCs w:val="20"/>
        </w:rPr>
        <w:t>200</w:t>
      </w:r>
      <w:r w:rsidR="0013137A">
        <w:rPr>
          <w:rFonts w:ascii="Calibri" w:eastAsia="Times New Roman" w:hAnsi="Calibri" w:cs="Calibri"/>
          <w:sz w:val="20"/>
          <w:szCs w:val="20"/>
        </w:rPr>
        <w:t>.</w:t>
      </w:r>
    </w:p>
    <w:p w14:paraId="0F96FF2D" w14:textId="477F431B" w:rsidR="00492D11" w:rsidRDefault="003A5711" w:rsidP="00023972">
      <w:pPr>
        <w:spacing w:after="120" w:line="264" w:lineRule="auto"/>
        <w:jc w:val="both"/>
        <w:rPr>
          <w:bCs/>
          <w:sz w:val="24"/>
          <w:szCs w:val="24"/>
        </w:rPr>
      </w:pPr>
      <w:r w:rsidRPr="003A5711">
        <w:rPr>
          <w:bCs/>
          <w:noProof/>
          <w:sz w:val="24"/>
          <w:szCs w:val="24"/>
        </w:rPr>
        <w:t>GIBS vyčerpala v období 2018</w:t>
      </w:r>
      <w:r w:rsidR="008D66E5">
        <w:rPr>
          <w:bCs/>
          <w:noProof/>
          <w:sz w:val="24"/>
          <w:szCs w:val="24"/>
        </w:rPr>
        <w:t>–</w:t>
      </w:r>
      <w:r w:rsidRPr="003A5711">
        <w:rPr>
          <w:bCs/>
          <w:noProof/>
          <w:sz w:val="24"/>
          <w:szCs w:val="24"/>
        </w:rPr>
        <w:t xml:space="preserve">2020 z plánované částky ve výši 80,15 mil. Kč ve skutečnosti pouze cca 14,5 mil. Kč (tj. 18 %). </w:t>
      </w:r>
      <w:r w:rsidRPr="003A5711">
        <w:rPr>
          <w:bCs/>
          <w:sz w:val="24"/>
          <w:szCs w:val="24"/>
        </w:rPr>
        <w:t>Vzhledem k plánovanému ukončení realizace programu 176</w:t>
      </w:r>
      <w:r w:rsidR="00290A7E">
        <w:rPr>
          <w:bCs/>
          <w:sz w:val="24"/>
          <w:szCs w:val="24"/>
        </w:rPr>
        <w:t> </w:t>
      </w:r>
      <w:r w:rsidRPr="003A5711">
        <w:rPr>
          <w:bCs/>
          <w:sz w:val="24"/>
          <w:szCs w:val="24"/>
        </w:rPr>
        <w:t xml:space="preserve">200 v květnu </w:t>
      </w:r>
      <w:r w:rsidR="00492D11">
        <w:rPr>
          <w:bCs/>
          <w:sz w:val="24"/>
          <w:szCs w:val="24"/>
        </w:rPr>
        <w:t xml:space="preserve">roku </w:t>
      </w:r>
      <w:r w:rsidRPr="003A5711">
        <w:rPr>
          <w:bCs/>
          <w:sz w:val="24"/>
          <w:szCs w:val="24"/>
        </w:rPr>
        <w:t xml:space="preserve">2022 </w:t>
      </w:r>
      <w:r w:rsidR="00D96025">
        <w:rPr>
          <w:bCs/>
          <w:sz w:val="24"/>
          <w:szCs w:val="24"/>
        </w:rPr>
        <w:t>existuje riziko</w:t>
      </w:r>
      <w:r w:rsidRPr="003A5711">
        <w:rPr>
          <w:bCs/>
          <w:sz w:val="24"/>
          <w:szCs w:val="24"/>
        </w:rPr>
        <w:t xml:space="preserve">, že GIBS obdobně ani v tomto programu nebude schopna splnit plánované cíle a vyčerpat disponibilní peněžní prostředky státu určené na rozvoj a udržení schopností GIBS. </w:t>
      </w:r>
      <w:r w:rsidR="00492D11" w:rsidRPr="00221DB1">
        <w:rPr>
          <w:rFonts w:ascii="Calibri" w:eastAsia="Times New Roman" w:hAnsi="Calibri" w:cs="Times New Roman"/>
          <w:sz w:val="24"/>
          <w:szCs w:val="24"/>
        </w:rPr>
        <w:t xml:space="preserve">Na omezení </w:t>
      </w:r>
      <w:r w:rsidR="00492D11">
        <w:rPr>
          <w:rFonts w:ascii="Calibri" w:eastAsia="Times New Roman" w:hAnsi="Calibri" w:cs="Times New Roman"/>
          <w:sz w:val="24"/>
          <w:szCs w:val="24"/>
        </w:rPr>
        <w:t xml:space="preserve">při </w:t>
      </w:r>
      <w:r w:rsidR="00492D11" w:rsidRPr="00221DB1">
        <w:rPr>
          <w:rFonts w:ascii="Calibri" w:eastAsia="Times New Roman" w:hAnsi="Calibri" w:cs="Times New Roman"/>
          <w:sz w:val="24"/>
          <w:szCs w:val="24"/>
        </w:rPr>
        <w:t xml:space="preserve">plnění úkolů </w:t>
      </w:r>
      <w:r w:rsidR="00492D11">
        <w:rPr>
          <w:rFonts w:ascii="Calibri" w:eastAsia="Times New Roman" w:hAnsi="Calibri" w:cs="Times New Roman"/>
          <w:sz w:val="24"/>
          <w:szCs w:val="24"/>
        </w:rPr>
        <w:t>v </w:t>
      </w:r>
      <w:r w:rsidR="0013137A">
        <w:rPr>
          <w:rFonts w:ascii="Calibri" w:eastAsia="Times New Roman" w:hAnsi="Calibri" w:cs="Times New Roman"/>
          <w:sz w:val="24"/>
          <w:szCs w:val="24"/>
        </w:rPr>
        <w:t>oblasti řízení trestních věcí z </w:t>
      </w:r>
      <w:r w:rsidR="00492D11">
        <w:rPr>
          <w:rFonts w:ascii="Calibri" w:eastAsia="Times New Roman" w:hAnsi="Calibri" w:cs="Times New Roman"/>
          <w:sz w:val="24"/>
          <w:szCs w:val="24"/>
        </w:rPr>
        <w:t>důvodu</w:t>
      </w:r>
      <w:r w:rsidR="00492D11" w:rsidRPr="00221DB1">
        <w:rPr>
          <w:rFonts w:ascii="Calibri" w:eastAsia="Times New Roman" w:hAnsi="Calibri" w:cs="Times New Roman"/>
          <w:sz w:val="24"/>
          <w:szCs w:val="24"/>
        </w:rPr>
        <w:t xml:space="preserve"> nedostatečného technického vybav</w:t>
      </w:r>
      <w:r w:rsidR="009E5A39">
        <w:rPr>
          <w:rFonts w:ascii="Calibri" w:eastAsia="Times New Roman" w:hAnsi="Calibri" w:cs="Times New Roman"/>
          <w:sz w:val="24"/>
          <w:szCs w:val="24"/>
        </w:rPr>
        <w:t>ení přitom GIBS sama upozornila</w:t>
      </w:r>
      <w:r w:rsidR="001A4501">
        <w:rPr>
          <w:rFonts w:ascii="Calibri" w:eastAsia="Times New Roman" w:hAnsi="Calibri" w:cs="Times New Roman"/>
          <w:sz w:val="24"/>
          <w:szCs w:val="24"/>
        </w:rPr>
        <w:t xml:space="preserve"> </w:t>
      </w:r>
      <w:r w:rsidR="00755E18">
        <w:rPr>
          <w:rFonts w:ascii="Calibri" w:eastAsia="Times New Roman" w:hAnsi="Calibri" w:cs="Times New Roman"/>
          <w:sz w:val="24"/>
          <w:szCs w:val="24"/>
        </w:rPr>
        <w:t>v</w:t>
      </w:r>
      <w:r w:rsidR="001A4501">
        <w:rPr>
          <w:rFonts w:ascii="Calibri" w:eastAsia="Times New Roman" w:hAnsi="Calibri" w:cs="Times New Roman"/>
          <w:sz w:val="24"/>
          <w:szCs w:val="24"/>
        </w:rPr>
        <w:t> </w:t>
      </w:r>
      <w:r w:rsidR="00755E18">
        <w:rPr>
          <w:rFonts w:ascii="Calibri" w:eastAsia="Times New Roman" w:hAnsi="Calibri" w:cs="Times New Roman"/>
          <w:sz w:val="24"/>
          <w:szCs w:val="24"/>
        </w:rPr>
        <w:t>předkládací zprávě</w:t>
      </w:r>
      <w:r w:rsidR="00492D11">
        <w:rPr>
          <w:rFonts w:ascii="Calibri" w:eastAsia="Times New Roman" w:hAnsi="Calibri" w:cs="Times New Roman"/>
          <w:sz w:val="24"/>
          <w:szCs w:val="24"/>
        </w:rPr>
        <w:t xml:space="preserve"> </w:t>
      </w:r>
      <w:r w:rsidR="001A4501">
        <w:rPr>
          <w:rFonts w:ascii="Calibri" w:eastAsia="Times New Roman" w:hAnsi="Calibri" w:cs="Times New Roman"/>
          <w:sz w:val="24"/>
          <w:szCs w:val="24"/>
        </w:rPr>
        <w:t>k </w:t>
      </w:r>
      <w:r w:rsidR="00492D11" w:rsidRPr="00221DB1">
        <w:rPr>
          <w:rFonts w:ascii="Calibri" w:eastAsia="Calibri" w:hAnsi="Calibri" w:cs="Calibri"/>
          <w:sz w:val="24"/>
          <w:szCs w:val="24"/>
        </w:rPr>
        <w:t>usnesení vlády č. 148/2017.</w:t>
      </w:r>
    </w:p>
    <w:p w14:paraId="22AF5D0C" w14:textId="0BA3A73A" w:rsidR="003A5711" w:rsidRPr="003A5711" w:rsidRDefault="005B0E1F" w:rsidP="005B0E1F">
      <w:pPr>
        <w:keepNext/>
        <w:spacing w:after="120" w:line="264" w:lineRule="auto"/>
        <w:outlineLvl w:val="1"/>
        <w:rPr>
          <w:rFonts w:cs="Calibri"/>
          <w:b/>
          <w:sz w:val="24"/>
          <w:szCs w:val="24"/>
        </w:rPr>
      </w:pPr>
      <w:r>
        <w:rPr>
          <w:rFonts w:cs="Calibri"/>
          <w:b/>
          <w:sz w:val="24"/>
          <w:szCs w:val="24"/>
        </w:rPr>
        <w:t xml:space="preserve">4. </w:t>
      </w:r>
      <w:r w:rsidR="003A5711" w:rsidRPr="003A5711">
        <w:rPr>
          <w:rFonts w:cs="Calibri"/>
          <w:b/>
          <w:sz w:val="24"/>
          <w:szCs w:val="24"/>
        </w:rPr>
        <w:t>Nakládání s nemovitým a movitým majetkem</w:t>
      </w:r>
    </w:p>
    <w:p w14:paraId="3C916289" w14:textId="62FFF7C4" w:rsidR="003A5711" w:rsidRDefault="003A5711" w:rsidP="00023972">
      <w:pPr>
        <w:spacing w:after="120" w:line="264" w:lineRule="auto"/>
        <w:jc w:val="both"/>
        <w:rPr>
          <w:sz w:val="24"/>
          <w:szCs w:val="24"/>
        </w:rPr>
      </w:pPr>
      <w:r w:rsidRPr="003A5711">
        <w:rPr>
          <w:sz w:val="24"/>
          <w:szCs w:val="24"/>
        </w:rPr>
        <w:t xml:space="preserve">V roce 2020 měla GIBS </w:t>
      </w:r>
      <w:r w:rsidR="001455A9">
        <w:rPr>
          <w:sz w:val="24"/>
          <w:szCs w:val="24"/>
        </w:rPr>
        <w:t>příslušnost</w:t>
      </w:r>
      <w:r w:rsidR="001455A9" w:rsidRPr="003A5711">
        <w:rPr>
          <w:sz w:val="24"/>
          <w:szCs w:val="24"/>
        </w:rPr>
        <w:t xml:space="preserve"> </w:t>
      </w:r>
      <w:r w:rsidRPr="003A5711">
        <w:rPr>
          <w:sz w:val="24"/>
          <w:szCs w:val="24"/>
        </w:rPr>
        <w:t>hospodařit s 22 objekty, tři objekty využívala formou komerčního nájmu a pět formou výpůjčky. V období let 2017 až 2020 vynaložila GIBS na provoz objektů, s nimiž měla právo hospodařit</w:t>
      </w:r>
      <w:r w:rsidR="001A4501">
        <w:rPr>
          <w:sz w:val="24"/>
          <w:szCs w:val="24"/>
        </w:rPr>
        <w:t>,</w:t>
      </w:r>
      <w:r w:rsidRPr="003A5711">
        <w:rPr>
          <w:sz w:val="24"/>
          <w:szCs w:val="24"/>
        </w:rPr>
        <w:t xml:space="preserve"> celkem 16,9 mil. Kč, </w:t>
      </w:r>
      <w:r w:rsidR="001A4501">
        <w:rPr>
          <w:sz w:val="24"/>
          <w:szCs w:val="24"/>
        </w:rPr>
        <w:t xml:space="preserve">na provoz objektů, </w:t>
      </w:r>
      <w:r w:rsidRPr="003A5711">
        <w:rPr>
          <w:sz w:val="24"/>
          <w:szCs w:val="24"/>
        </w:rPr>
        <w:t>které využívala formou komerčního nájmu</w:t>
      </w:r>
      <w:r w:rsidR="001A4501">
        <w:rPr>
          <w:sz w:val="24"/>
          <w:szCs w:val="24"/>
        </w:rPr>
        <w:t>,</w:t>
      </w:r>
      <w:r w:rsidRPr="003A5711">
        <w:rPr>
          <w:sz w:val="24"/>
          <w:szCs w:val="24"/>
        </w:rPr>
        <w:t xml:space="preserve"> </w:t>
      </w:r>
      <w:r w:rsidR="00EE360D">
        <w:rPr>
          <w:sz w:val="24"/>
          <w:szCs w:val="24"/>
        </w:rPr>
        <w:t>celkem 17,5</w:t>
      </w:r>
      <w:r w:rsidRPr="003A5711">
        <w:rPr>
          <w:sz w:val="24"/>
          <w:szCs w:val="24"/>
        </w:rPr>
        <w:t xml:space="preserve"> mil. Kč, a </w:t>
      </w:r>
      <w:r w:rsidR="00565126">
        <w:rPr>
          <w:sz w:val="24"/>
          <w:szCs w:val="24"/>
        </w:rPr>
        <w:t xml:space="preserve">na provoz </w:t>
      </w:r>
      <w:r w:rsidR="001A4501">
        <w:rPr>
          <w:sz w:val="24"/>
          <w:szCs w:val="24"/>
        </w:rPr>
        <w:t xml:space="preserve">objektů, </w:t>
      </w:r>
      <w:r w:rsidRPr="003A5711">
        <w:rPr>
          <w:sz w:val="24"/>
          <w:szCs w:val="24"/>
        </w:rPr>
        <w:t>které využívala formou výpůjčky od jiných organizačních složek státu</w:t>
      </w:r>
      <w:r w:rsidR="001A4501">
        <w:rPr>
          <w:sz w:val="24"/>
          <w:szCs w:val="24"/>
        </w:rPr>
        <w:t>,</w:t>
      </w:r>
      <w:r w:rsidRPr="003A5711">
        <w:rPr>
          <w:sz w:val="24"/>
          <w:szCs w:val="24"/>
        </w:rPr>
        <w:t xml:space="preserve"> celkem 1,7 mil. Kč. </w:t>
      </w:r>
    </w:p>
    <w:p w14:paraId="307DFF0E" w14:textId="52A1136C" w:rsidR="003A5711" w:rsidRPr="003A5711" w:rsidRDefault="003A5711" w:rsidP="005B0E1F">
      <w:pPr>
        <w:keepNext/>
        <w:spacing w:after="120" w:line="264" w:lineRule="auto"/>
        <w:ind w:left="425" w:hanging="425"/>
        <w:outlineLvl w:val="2"/>
        <w:rPr>
          <w:rFonts w:cs="Calibri"/>
          <w:b/>
          <w:sz w:val="24"/>
          <w:szCs w:val="24"/>
        </w:rPr>
      </w:pPr>
      <w:r w:rsidRPr="003A5711">
        <w:rPr>
          <w:rFonts w:cs="Calibri"/>
          <w:b/>
          <w:sz w:val="24"/>
          <w:szCs w:val="24"/>
        </w:rPr>
        <w:t xml:space="preserve">4.1 </w:t>
      </w:r>
      <w:r w:rsidRPr="003A5711">
        <w:rPr>
          <w:rFonts w:cs="Calibri"/>
          <w:b/>
          <w:sz w:val="24"/>
          <w:szCs w:val="24"/>
        </w:rPr>
        <w:tab/>
      </w:r>
      <w:r w:rsidR="00F049FD">
        <w:rPr>
          <w:rFonts w:cs="Calibri"/>
          <w:b/>
          <w:sz w:val="24"/>
          <w:szCs w:val="24"/>
        </w:rPr>
        <w:t xml:space="preserve">GIBS nevyužila </w:t>
      </w:r>
      <w:r w:rsidR="00F049FD" w:rsidRPr="003A5711">
        <w:rPr>
          <w:rFonts w:ascii="Calibri" w:eastAsia="Calibri" w:hAnsi="Calibri" w:cs="Calibri"/>
          <w:b/>
          <w:sz w:val="24"/>
          <w:szCs w:val="24"/>
        </w:rPr>
        <w:t>disponibilních peněžních prostředků státu určen</w:t>
      </w:r>
      <w:r w:rsidR="00755E18">
        <w:rPr>
          <w:rFonts w:ascii="Calibri" w:eastAsia="Calibri" w:hAnsi="Calibri" w:cs="Calibri"/>
          <w:b/>
          <w:sz w:val="24"/>
          <w:szCs w:val="24"/>
        </w:rPr>
        <w:t>ých</w:t>
      </w:r>
      <w:r w:rsidR="00F049FD" w:rsidRPr="003A5711">
        <w:rPr>
          <w:rFonts w:ascii="Calibri" w:eastAsia="Calibri" w:hAnsi="Calibri" w:cs="Calibri"/>
          <w:b/>
          <w:sz w:val="24"/>
          <w:szCs w:val="24"/>
        </w:rPr>
        <w:t xml:space="preserve"> k rozvoji a obnově materiálně technické základny GIBS</w:t>
      </w:r>
      <w:r w:rsidR="00F049FD" w:rsidRPr="003A5711" w:rsidDel="00F049FD">
        <w:rPr>
          <w:rFonts w:ascii="Calibri" w:eastAsia="Calibri" w:hAnsi="Calibri" w:cs="Calibri"/>
          <w:b/>
          <w:sz w:val="24"/>
          <w:szCs w:val="24"/>
        </w:rPr>
        <w:t xml:space="preserve"> </w:t>
      </w:r>
    </w:p>
    <w:p w14:paraId="6CAE9B64" w14:textId="783E46FC" w:rsidR="003A5711" w:rsidRDefault="009D0BAA" w:rsidP="00023972">
      <w:pPr>
        <w:spacing w:after="120" w:line="264" w:lineRule="auto"/>
        <w:jc w:val="both"/>
        <w:rPr>
          <w:rFonts w:ascii="Calibri" w:eastAsia="Calibri" w:hAnsi="Calibri" w:cs="Calibri"/>
          <w:sz w:val="24"/>
          <w:szCs w:val="24"/>
        </w:rPr>
      </w:pPr>
      <w:r w:rsidRPr="00442CA2">
        <w:rPr>
          <w:rFonts w:cs="Calibri"/>
          <w:sz w:val="24"/>
          <w:szCs w:val="24"/>
        </w:rPr>
        <w:t>GIBS nestanovila potřeby</w:t>
      </w:r>
      <w:r w:rsidRPr="00442CA2">
        <w:rPr>
          <w:rFonts w:ascii="Calibri" w:eastAsia="Calibri" w:hAnsi="Calibri" w:cs="Calibri"/>
          <w:color w:val="000000"/>
          <w:sz w:val="24"/>
          <w:szCs w:val="24"/>
          <w:lang w:eastAsia="cs-CZ"/>
        </w:rPr>
        <w:t xml:space="preserve"> v investiční oblasti</w:t>
      </w:r>
      <w:r>
        <w:rPr>
          <w:rFonts w:ascii="Calibri" w:eastAsia="Calibri" w:hAnsi="Calibri" w:cs="Calibri"/>
          <w:color w:val="000000"/>
          <w:sz w:val="24"/>
          <w:szCs w:val="24"/>
          <w:lang w:eastAsia="cs-CZ"/>
        </w:rPr>
        <w:t xml:space="preserve">, </w:t>
      </w:r>
      <w:r w:rsidRPr="003A5711">
        <w:rPr>
          <w:rFonts w:ascii="Calibri" w:eastAsia="Calibri" w:hAnsi="Calibri" w:cs="Calibri"/>
          <w:color w:val="000000"/>
          <w:sz w:val="24"/>
          <w:lang w:eastAsia="cs-CZ"/>
        </w:rPr>
        <w:t>každoročně</w:t>
      </w:r>
      <w:r>
        <w:rPr>
          <w:rFonts w:ascii="Calibri" w:eastAsia="Calibri" w:hAnsi="Calibri" w:cs="Calibri"/>
          <w:color w:val="000000"/>
          <w:sz w:val="24"/>
          <w:lang w:eastAsia="cs-CZ"/>
        </w:rPr>
        <w:t xml:space="preserve"> pouze</w:t>
      </w:r>
      <w:r w:rsidRPr="003A5711">
        <w:rPr>
          <w:rFonts w:ascii="Calibri" w:eastAsia="Calibri" w:hAnsi="Calibri" w:cs="Calibri"/>
          <w:color w:val="000000"/>
          <w:sz w:val="24"/>
          <w:lang w:eastAsia="cs-CZ"/>
        </w:rPr>
        <w:t xml:space="preserve"> sestav</w:t>
      </w:r>
      <w:r>
        <w:rPr>
          <w:rFonts w:ascii="Calibri" w:eastAsia="Calibri" w:hAnsi="Calibri" w:cs="Calibri"/>
          <w:color w:val="000000"/>
          <w:sz w:val="24"/>
          <w:lang w:eastAsia="cs-CZ"/>
        </w:rPr>
        <w:t>ovala</w:t>
      </w:r>
      <w:r w:rsidRPr="003A5711">
        <w:rPr>
          <w:rFonts w:ascii="Calibri" w:eastAsia="Calibri" w:hAnsi="Calibri" w:cs="Calibri"/>
          <w:color w:val="000000"/>
          <w:sz w:val="24"/>
          <w:lang w:eastAsia="cs-CZ"/>
        </w:rPr>
        <w:t xml:space="preserve"> </w:t>
      </w:r>
      <w:r w:rsidR="001A4501">
        <w:rPr>
          <w:rFonts w:ascii="Calibri" w:eastAsia="Calibri" w:hAnsi="Calibri" w:cs="Calibri"/>
          <w:i/>
          <w:color w:val="000000"/>
          <w:sz w:val="24"/>
          <w:lang w:eastAsia="cs-CZ"/>
        </w:rPr>
        <w:t>p</w:t>
      </w:r>
      <w:r w:rsidRPr="003A5711">
        <w:rPr>
          <w:rFonts w:ascii="Calibri" w:eastAsia="Calibri" w:hAnsi="Calibri" w:cs="Calibri"/>
          <w:i/>
          <w:color w:val="000000"/>
          <w:sz w:val="24"/>
          <w:lang w:eastAsia="cs-CZ"/>
        </w:rPr>
        <w:t>lány nákupu majetku, oprav a služeb</w:t>
      </w:r>
      <w:r>
        <w:rPr>
          <w:rFonts w:ascii="Calibri" w:eastAsia="Calibri" w:hAnsi="Calibri" w:cs="Calibri"/>
          <w:i/>
          <w:color w:val="000000"/>
          <w:sz w:val="24"/>
          <w:lang w:eastAsia="cs-CZ"/>
        </w:rPr>
        <w:t xml:space="preserve"> </w:t>
      </w:r>
      <w:r>
        <w:rPr>
          <w:rFonts w:ascii="Calibri" w:eastAsia="Calibri" w:hAnsi="Calibri" w:cs="Calibri"/>
          <w:color w:val="000000"/>
          <w:sz w:val="24"/>
          <w:szCs w:val="24"/>
          <w:lang w:eastAsia="cs-CZ"/>
        </w:rPr>
        <w:t xml:space="preserve">(viz </w:t>
      </w:r>
      <w:r w:rsidRPr="003A5711">
        <w:rPr>
          <w:rFonts w:ascii="Calibri" w:eastAsia="Calibri" w:hAnsi="Calibri" w:cs="Calibri"/>
          <w:sz w:val="24"/>
          <w:szCs w:val="24"/>
        </w:rPr>
        <w:t xml:space="preserve">část IV.5.1 </w:t>
      </w:r>
      <w:r w:rsidR="008D66E5">
        <w:rPr>
          <w:rFonts w:ascii="Calibri" w:eastAsia="Calibri" w:hAnsi="Calibri" w:cs="Calibri"/>
          <w:sz w:val="24"/>
          <w:szCs w:val="24"/>
        </w:rPr>
        <w:t xml:space="preserve">tohoto </w:t>
      </w:r>
      <w:r w:rsidRPr="003A5711">
        <w:rPr>
          <w:rFonts w:ascii="Calibri" w:eastAsia="Calibri" w:hAnsi="Calibri" w:cs="Calibri"/>
          <w:sz w:val="24"/>
          <w:szCs w:val="24"/>
        </w:rPr>
        <w:t>kontrolního závěru</w:t>
      </w:r>
      <w:r>
        <w:rPr>
          <w:rFonts w:ascii="Calibri" w:eastAsia="Calibri" w:hAnsi="Calibri" w:cs="Calibri"/>
          <w:sz w:val="24"/>
          <w:szCs w:val="24"/>
        </w:rPr>
        <w:t xml:space="preserve">). </w:t>
      </w:r>
      <w:r w:rsidR="003A5711" w:rsidRPr="003A5711">
        <w:rPr>
          <w:rFonts w:ascii="Calibri" w:eastAsia="Calibri" w:hAnsi="Calibri" w:cs="Calibri"/>
          <w:sz w:val="24"/>
          <w:szCs w:val="24"/>
        </w:rPr>
        <w:t>NKÚ zjistil, že GIBS nerealiz</w:t>
      </w:r>
      <w:r>
        <w:rPr>
          <w:rFonts w:ascii="Calibri" w:eastAsia="Calibri" w:hAnsi="Calibri" w:cs="Calibri"/>
          <w:sz w:val="24"/>
          <w:szCs w:val="24"/>
        </w:rPr>
        <w:t>ovala</w:t>
      </w:r>
      <w:r w:rsidR="003A5711" w:rsidRPr="003A5711">
        <w:rPr>
          <w:rFonts w:ascii="Calibri" w:eastAsia="Calibri" w:hAnsi="Calibri" w:cs="Calibri"/>
          <w:sz w:val="24"/>
          <w:szCs w:val="24"/>
        </w:rPr>
        <w:t xml:space="preserve"> plánované investice nebo naopak </w:t>
      </w:r>
      <w:r w:rsidRPr="003A5711">
        <w:rPr>
          <w:rFonts w:ascii="Calibri" w:eastAsia="Calibri" w:hAnsi="Calibri" w:cs="Calibri"/>
          <w:sz w:val="24"/>
          <w:szCs w:val="24"/>
        </w:rPr>
        <w:t>realiz</w:t>
      </w:r>
      <w:r>
        <w:rPr>
          <w:rFonts w:ascii="Calibri" w:eastAsia="Calibri" w:hAnsi="Calibri" w:cs="Calibri"/>
          <w:sz w:val="24"/>
          <w:szCs w:val="24"/>
        </w:rPr>
        <w:t>ovala</w:t>
      </w:r>
      <w:r w:rsidRPr="003A5711">
        <w:rPr>
          <w:rFonts w:ascii="Calibri" w:eastAsia="Calibri" w:hAnsi="Calibri" w:cs="Calibri"/>
          <w:sz w:val="24"/>
          <w:szCs w:val="24"/>
        </w:rPr>
        <w:t xml:space="preserve"> </w:t>
      </w:r>
      <w:r w:rsidR="003A5711" w:rsidRPr="003A5711">
        <w:rPr>
          <w:rFonts w:ascii="Calibri" w:eastAsia="Calibri" w:hAnsi="Calibri" w:cs="Calibri"/>
          <w:sz w:val="24"/>
          <w:szCs w:val="24"/>
        </w:rPr>
        <w:t xml:space="preserve">investice, které do plánů nákupu nezahrnula. </w:t>
      </w:r>
      <w:r w:rsidR="00F049FD">
        <w:rPr>
          <w:rFonts w:ascii="Calibri" w:eastAsia="Calibri" w:hAnsi="Calibri" w:cs="Calibri"/>
          <w:sz w:val="24"/>
          <w:szCs w:val="24"/>
        </w:rPr>
        <w:t>To vyplývá z porovnání</w:t>
      </w:r>
      <w:r w:rsidR="003A5711" w:rsidRPr="003A5711">
        <w:rPr>
          <w:rFonts w:ascii="Calibri" w:eastAsia="Calibri" w:hAnsi="Calibri" w:cs="Calibri"/>
          <w:sz w:val="24"/>
          <w:szCs w:val="24"/>
        </w:rPr>
        <w:t xml:space="preserve"> skutečné</w:t>
      </w:r>
      <w:r w:rsidR="00F049FD">
        <w:rPr>
          <w:rFonts w:ascii="Calibri" w:eastAsia="Calibri" w:hAnsi="Calibri" w:cs="Calibri"/>
          <w:sz w:val="24"/>
          <w:szCs w:val="24"/>
        </w:rPr>
        <w:t>ho</w:t>
      </w:r>
      <w:r w:rsidR="003A5711" w:rsidRPr="003A5711">
        <w:rPr>
          <w:rFonts w:ascii="Calibri" w:eastAsia="Calibri" w:hAnsi="Calibri" w:cs="Calibri"/>
          <w:sz w:val="24"/>
          <w:szCs w:val="24"/>
        </w:rPr>
        <w:t xml:space="preserve"> čerpání peněžních prostředků státu na položce </w:t>
      </w:r>
      <w:r w:rsidR="003A5711" w:rsidRPr="009D6D78">
        <w:rPr>
          <w:rFonts w:ascii="Calibri" w:eastAsia="Calibri" w:hAnsi="Calibri" w:cs="Calibri"/>
          <w:sz w:val="24"/>
          <w:szCs w:val="24"/>
        </w:rPr>
        <w:t xml:space="preserve">6121 – </w:t>
      </w:r>
      <w:r w:rsidR="003A5711" w:rsidRPr="003A5711">
        <w:rPr>
          <w:rFonts w:ascii="Calibri" w:eastAsia="Calibri" w:hAnsi="Calibri" w:cs="Calibri"/>
          <w:i/>
          <w:sz w:val="24"/>
          <w:szCs w:val="24"/>
        </w:rPr>
        <w:t>Budovy, haly a stavby</w:t>
      </w:r>
      <w:r w:rsidR="003A5711" w:rsidRPr="003A5711">
        <w:rPr>
          <w:rFonts w:ascii="Calibri" w:eastAsia="Calibri" w:hAnsi="Calibri" w:cs="Calibri"/>
          <w:sz w:val="24"/>
          <w:szCs w:val="24"/>
        </w:rPr>
        <w:t xml:space="preserve"> rozpočtu GIBS a plán</w:t>
      </w:r>
      <w:r w:rsidR="00F049FD">
        <w:rPr>
          <w:rFonts w:ascii="Calibri" w:eastAsia="Calibri" w:hAnsi="Calibri" w:cs="Calibri"/>
          <w:sz w:val="24"/>
          <w:szCs w:val="24"/>
        </w:rPr>
        <w:t>ů</w:t>
      </w:r>
      <w:r w:rsidR="003A5711" w:rsidRPr="003A5711">
        <w:rPr>
          <w:rFonts w:ascii="Calibri" w:eastAsia="Calibri" w:hAnsi="Calibri" w:cs="Calibri"/>
          <w:sz w:val="24"/>
          <w:szCs w:val="24"/>
        </w:rPr>
        <w:t xml:space="preserve"> </w:t>
      </w:r>
      <w:r>
        <w:rPr>
          <w:rFonts w:ascii="Calibri" w:eastAsia="Calibri" w:hAnsi="Calibri" w:cs="Calibri"/>
          <w:sz w:val="24"/>
          <w:szCs w:val="24"/>
        </w:rPr>
        <w:t xml:space="preserve">nákupů </w:t>
      </w:r>
      <w:r w:rsidR="003A5711" w:rsidRPr="003A5711">
        <w:rPr>
          <w:rFonts w:ascii="Calibri" w:eastAsia="Calibri" w:hAnsi="Calibri" w:cs="Calibri"/>
          <w:sz w:val="24"/>
          <w:szCs w:val="24"/>
        </w:rPr>
        <w:t xml:space="preserve">pro daný rok. </w:t>
      </w:r>
      <w:r>
        <w:rPr>
          <w:rFonts w:ascii="Calibri" w:eastAsia="Calibri" w:hAnsi="Calibri" w:cs="Calibri"/>
          <w:sz w:val="24"/>
          <w:szCs w:val="24"/>
        </w:rPr>
        <w:t>Např. v</w:t>
      </w:r>
      <w:r w:rsidR="003A5711" w:rsidRPr="003A5711">
        <w:rPr>
          <w:rFonts w:ascii="Calibri" w:eastAsia="Calibri" w:hAnsi="Calibri" w:cs="Calibri"/>
          <w:sz w:val="24"/>
          <w:szCs w:val="24"/>
        </w:rPr>
        <w:t xml:space="preserve"> roce 2017 byly skutečně čerpané peněžní prostředky státu o 87,5 % vyšší oproti plánovaným prostředkům, naopak v roce 2018 byly plánované </w:t>
      </w:r>
      <w:r w:rsidR="008D66E5">
        <w:rPr>
          <w:rFonts w:ascii="Calibri" w:eastAsia="Calibri" w:hAnsi="Calibri" w:cs="Calibri"/>
          <w:sz w:val="24"/>
          <w:szCs w:val="24"/>
        </w:rPr>
        <w:t>prostředky vyčerpány pouze z 5 </w:t>
      </w:r>
      <w:r w:rsidR="003A5711" w:rsidRPr="003A5711">
        <w:rPr>
          <w:rFonts w:ascii="Calibri" w:eastAsia="Calibri" w:hAnsi="Calibri" w:cs="Calibri"/>
          <w:sz w:val="24"/>
          <w:szCs w:val="24"/>
        </w:rPr>
        <w:t>%.</w:t>
      </w:r>
      <w:r w:rsidR="003A5711" w:rsidRPr="009D6D78">
        <w:rPr>
          <w:rFonts w:ascii="Calibri" w:hAnsi="Calibri"/>
          <w:color w:val="000000" w:themeColor="text1"/>
          <w:sz w:val="24"/>
          <w:szCs w:val="24"/>
        </w:rPr>
        <w:t xml:space="preserve"> </w:t>
      </w:r>
      <w:r w:rsidR="003A5711" w:rsidRPr="003A5711">
        <w:rPr>
          <w:rFonts w:ascii="Calibri" w:hAnsi="Calibri"/>
          <w:sz w:val="24"/>
          <w:szCs w:val="24"/>
        </w:rPr>
        <w:t xml:space="preserve">Důvodem těchto výkyvů </w:t>
      </w:r>
      <w:r w:rsidR="00F049FD">
        <w:rPr>
          <w:rFonts w:ascii="Calibri" w:hAnsi="Calibri"/>
          <w:sz w:val="24"/>
          <w:szCs w:val="24"/>
        </w:rPr>
        <w:t>byla</w:t>
      </w:r>
      <w:r w:rsidR="00F049FD" w:rsidRPr="003A5711">
        <w:rPr>
          <w:rFonts w:ascii="Calibri" w:hAnsi="Calibri"/>
          <w:sz w:val="24"/>
          <w:szCs w:val="24"/>
        </w:rPr>
        <w:t xml:space="preserve"> </w:t>
      </w:r>
      <w:r w:rsidR="003A5711" w:rsidRPr="003A5711">
        <w:rPr>
          <w:rFonts w:ascii="Calibri" w:hAnsi="Calibri"/>
          <w:sz w:val="24"/>
          <w:szCs w:val="24"/>
        </w:rPr>
        <w:t xml:space="preserve">nedostatečná příprava realizace jednotlivých investičních akcí ze strany GIBS. </w:t>
      </w:r>
      <w:r w:rsidR="003A5711" w:rsidRPr="003A5711">
        <w:rPr>
          <w:rFonts w:ascii="Calibri" w:eastAsia="Calibri" w:hAnsi="Calibri" w:cs="Calibri"/>
          <w:sz w:val="24"/>
          <w:szCs w:val="24"/>
        </w:rPr>
        <w:t xml:space="preserve">Např. v rámci </w:t>
      </w:r>
      <w:r w:rsidR="00540954">
        <w:rPr>
          <w:rFonts w:ascii="Calibri" w:eastAsia="Calibri" w:hAnsi="Calibri" w:cs="Calibri"/>
          <w:sz w:val="24"/>
          <w:szCs w:val="24"/>
        </w:rPr>
        <w:t>pod</w:t>
      </w:r>
      <w:r w:rsidR="00C42A18">
        <w:rPr>
          <w:rFonts w:ascii="Calibri" w:eastAsia="Calibri" w:hAnsi="Calibri" w:cs="Calibri"/>
          <w:sz w:val="24"/>
          <w:szCs w:val="24"/>
        </w:rPr>
        <w:t>programu 176 102</w:t>
      </w:r>
      <w:r w:rsidR="003A5711" w:rsidRPr="003A5711">
        <w:rPr>
          <w:rFonts w:ascii="Calibri" w:eastAsia="Calibri" w:hAnsi="Calibri" w:cs="Calibri"/>
          <w:sz w:val="24"/>
          <w:szCs w:val="24"/>
        </w:rPr>
        <w:t xml:space="preserve"> plánovala pořídit GIBS v letech 2015 až 2017 </w:t>
      </w:r>
      <w:r w:rsidR="003A5711" w:rsidRPr="003A5711">
        <w:rPr>
          <w:rFonts w:ascii="Calibri" w:eastAsia="Calibri" w:hAnsi="Calibri" w:cs="Calibri"/>
          <w:sz w:val="24"/>
          <w:szCs w:val="24"/>
        </w:rPr>
        <w:lastRenderedPageBreak/>
        <w:t>celkem 60 kusů služebních dopravních prostředků za 18 mil. Kč, tj. průměrná jednotková cena byla předpokládána ve výši 300 tis. Kč. NKÚ zjistil, že GIBS nakoupila v daném období pouze 28 služebních dopravních prostředků v celkové výši 12,5 mil. Kč, což je necelá polovina (47 %) z</w:t>
      </w:r>
      <w:r w:rsidR="00F049FD">
        <w:rPr>
          <w:rFonts w:ascii="Calibri" w:eastAsia="Calibri" w:hAnsi="Calibri" w:cs="Calibri"/>
          <w:sz w:val="24"/>
          <w:szCs w:val="24"/>
        </w:rPr>
        <w:t> </w:t>
      </w:r>
      <w:r w:rsidR="003A5711" w:rsidRPr="003A5711">
        <w:rPr>
          <w:rFonts w:ascii="Calibri" w:eastAsia="Calibri" w:hAnsi="Calibri" w:cs="Calibri"/>
          <w:sz w:val="24"/>
          <w:szCs w:val="24"/>
        </w:rPr>
        <w:t>plánovaného</w:t>
      </w:r>
      <w:r w:rsidR="00F049FD">
        <w:rPr>
          <w:rFonts w:ascii="Calibri" w:eastAsia="Calibri" w:hAnsi="Calibri" w:cs="Calibri"/>
          <w:sz w:val="24"/>
          <w:szCs w:val="24"/>
        </w:rPr>
        <w:t xml:space="preserve"> </w:t>
      </w:r>
      <w:r w:rsidR="003A5711" w:rsidRPr="003A5711">
        <w:rPr>
          <w:rFonts w:ascii="Calibri" w:eastAsia="Calibri" w:hAnsi="Calibri" w:cs="Calibri"/>
          <w:sz w:val="24"/>
          <w:szCs w:val="24"/>
        </w:rPr>
        <w:t>počtu.</w:t>
      </w:r>
      <w:r w:rsidR="00F049FD">
        <w:rPr>
          <w:rFonts w:ascii="Calibri" w:eastAsia="Calibri" w:hAnsi="Calibri" w:cs="Calibri"/>
          <w:sz w:val="24"/>
          <w:szCs w:val="24"/>
        </w:rPr>
        <w:t xml:space="preserve"> </w:t>
      </w:r>
      <w:r w:rsidR="00362F97">
        <w:rPr>
          <w:rFonts w:ascii="Calibri" w:eastAsia="Calibri" w:hAnsi="Calibri" w:cs="Calibri"/>
          <w:sz w:val="24"/>
          <w:szCs w:val="24"/>
        </w:rPr>
        <w:t>Průměrná j</w:t>
      </w:r>
      <w:r w:rsidR="003A5711" w:rsidRPr="003A5711">
        <w:rPr>
          <w:rFonts w:ascii="Calibri" w:eastAsia="Calibri" w:hAnsi="Calibri" w:cs="Calibri"/>
          <w:sz w:val="24"/>
          <w:szCs w:val="24"/>
        </w:rPr>
        <w:t xml:space="preserve">ednotková cena však oproti údajům uvedeným v dokumentaci </w:t>
      </w:r>
      <w:r w:rsidR="00BB3EAE">
        <w:rPr>
          <w:rFonts w:ascii="Calibri" w:eastAsia="Calibri" w:hAnsi="Calibri" w:cs="Calibri"/>
          <w:sz w:val="24"/>
          <w:szCs w:val="24"/>
        </w:rPr>
        <w:t>p</w:t>
      </w:r>
      <w:r w:rsidR="003A5711" w:rsidRPr="003A5711">
        <w:rPr>
          <w:rFonts w:ascii="Calibri" w:eastAsia="Calibri" w:hAnsi="Calibri" w:cs="Calibri"/>
          <w:sz w:val="24"/>
          <w:szCs w:val="24"/>
        </w:rPr>
        <w:t>rogramu 176 100 dosáhla cca 447 tis. Kč, což je o 49 % více, než bylo předpokládáno.</w:t>
      </w:r>
      <w:r w:rsidR="00F049FD">
        <w:rPr>
          <w:rFonts w:ascii="Calibri" w:eastAsia="Calibri" w:hAnsi="Calibri" w:cs="Calibri"/>
          <w:sz w:val="24"/>
          <w:szCs w:val="24"/>
        </w:rPr>
        <w:t xml:space="preserve"> GIBS tedy nakoupila oproti plánu za vyšší cenu menší počet </w:t>
      </w:r>
      <w:r w:rsidR="00F049FD" w:rsidRPr="003A5711">
        <w:rPr>
          <w:rFonts w:ascii="Calibri" w:eastAsia="Calibri" w:hAnsi="Calibri" w:cs="Calibri"/>
          <w:sz w:val="24"/>
          <w:szCs w:val="24"/>
        </w:rPr>
        <w:t>služebních dopravních prostředků</w:t>
      </w:r>
      <w:r w:rsidR="00F049FD">
        <w:rPr>
          <w:rFonts w:ascii="Calibri" w:eastAsia="Calibri" w:hAnsi="Calibri" w:cs="Calibri"/>
          <w:sz w:val="24"/>
          <w:szCs w:val="24"/>
        </w:rPr>
        <w:t>.</w:t>
      </w:r>
    </w:p>
    <w:p w14:paraId="018C4D55" w14:textId="0872E643" w:rsidR="003A5711" w:rsidRPr="003A5711" w:rsidRDefault="003A5711" w:rsidP="00023972">
      <w:pPr>
        <w:spacing w:after="120" w:line="264" w:lineRule="auto"/>
        <w:jc w:val="both"/>
        <w:rPr>
          <w:rFonts w:ascii="Calibri" w:eastAsia="Calibri" w:hAnsi="Calibri" w:cs="Calibri"/>
          <w:sz w:val="24"/>
          <w:szCs w:val="24"/>
        </w:rPr>
      </w:pPr>
      <w:r w:rsidRPr="003A5711">
        <w:rPr>
          <w:rFonts w:ascii="Calibri" w:eastAsia="Calibri" w:hAnsi="Calibri" w:cs="Calibri"/>
          <w:sz w:val="24"/>
          <w:szCs w:val="24"/>
        </w:rPr>
        <w:t xml:space="preserve">V rámci </w:t>
      </w:r>
      <w:r w:rsidR="00362F97">
        <w:rPr>
          <w:rFonts w:ascii="Calibri" w:eastAsia="Calibri" w:hAnsi="Calibri" w:cs="Calibri"/>
          <w:sz w:val="24"/>
          <w:szCs w:val="24"/>
        </w:rPr>
        <w:t>pod</w:t>
      </w:r>
      <w:r w:rsidRPr="003A5711">
        <w:rPr>
          <w:rFonts w:ascii="Calibri" w:eastAsia="Calibri" w:hAnsi="Calibri" w:cs="Calibri"/>
          <w:sz w:val="24"/>
          <w:szCs w:val="24"/>
        </w:rPr>
        <w:t>programu 176 20</w:t>
      </w:r>
      <w:r w:rsidR="00362F97">
        <w:rPr>
          <w:rFonts w:ascii="Calibri" w:eastAsia="Calibri" w:hAnsi="Calibri" w:cs="Calibri"/>
          <w:sz w:val="24"/>
          <w:szCs w:val="24"/>
        </w:rPr>
        <w:t>2</w:t>
      </w:r>
      <w:r w:rsidR="00362F97">
        <w:rPr>
          <w:rStyle w:val="Znakapoznpodarou"/>
          <w:rFonts w:ascii="Calibri" w:eastAsia="Calibri" w:hAnsi="Calibri" w:cs="Calibri"/>
          <w:sz w:val="24"/>
          <w:szCs w:val="24"/>
        </w:rPr>
        <w:footnoteReference w:id="16"/>
      </w:r>
      <w:r w:rsidRPr="003A5711">
        <w:rPr>
          <w:rFonts w:ascii="Calibri" w:eastAsia="Calibri" w:hAnsi="Calibri" w:cs="Calibri"/>
          <w:sz w:val="24"/>
          <w:szCs w:val="24"/>
        </w:rPr>
        <w:t xml:space="preserve"> plánovala GIBS pořídit</w:t>
      </w:r>
      <w:r w:rsidRPr="003A5711" w:rsidDel="00372073">
        <w:rPr>
          <w:rFonts w:ascii="Calibri" w:eastAsia="Calibri" w:hAnsi="Calibri" w:cs="Calibri"/>
          <w:sz w:val="24"/>
          <w:szCs w:val="24"/>
        </w:rPr>
        <w:t xml:space="preserve"> </w:t>
      </w:r>
      <w:r w:rsidRPr="003A5711">
        <w:rPr>
          <w:rFonts w:ascii="Calibri" w:eastAsia="Calibri" w:hAnsi="Calibri" w:cs="Calibri"/>
          <w:sz w:val="24"/>
          <w:szCs w:val="24"/>
        </w:rPr>
        <w:t xml:space="preserve">v letech 2018 až 2021 celkem 90 kusů služebních dopravních prostředků za 36 mil. Kč, tj. průměrná jednotková cena se zvýšila na 400 tis. Kč. NKÚ zjistil, že do doby ukončení kontroly NKÚ nenakoupila GIBS prostřednictvím </w:t>
      </w:r>
      <w:r w:rsidR="00362F97">
        <w:rPr>
          <w:rFonts w:ascii="Calibri" w:eastAsia="Calibri" w:hAnsi="Calibri" w:cs="Calibri"/>
          <w:sz w:val="24"/>
          <w:szCs w:val="24"/>
        </w:rPr>
        <w:t>pod</w:t>
      </w:r>
      <w:r w:rsidRPr="003A5711">
        <w:rPr>
          <w:rFonts w:ascii="Calibri" w:eastAsia="Calibri" w:hAnsi="Calibri" w:cs="Calibri"/>
          <w:sz w:val="24"/>
          <w:szCs w:val="24"/>
        </w:rPr>
        <w:t>programu 176 20</w:t>
      </w:r>
      <w:r w:rsidR="00362F97">
        <w:rPr>
          <w:rFonts w:ascii="Calibri" w:eastAsia="Calibri" w:hAnsi="Calibri" w:cs="Calibri"/>
          <w:sz w:val="24"/>
          <w:szCs w:val="24"/>
        </w:rPr>
        <w:t>2</w:t>
      </w:r>
      <w:r w:rsidRPr="003A5711">
        <w:rPr>
          <w:rFonts w:ascii="Calibri" w:eastAsia="Calibri" w:hAnsi="Calibri" w:cs="Calibri"/>
          <w:sz w:val="24"/>
          <w:szCs w:val="24"/>
        </w:rPr>
        <w:t xml:space="preserve"> </w:t>
      </w:r>
      <w:r w:rsidR="00755E18">
        <w:rPr>
          <w:rFonts w:ascii="Calibri" w:eastAsia="Calibri" w:hAnsi="Calibri" w:cs="Calibri"/>
          <w:sz w:val="24"/>
          <w:szCs w:val="24"/>
        </w:rPr>
        <w:t>žádný</w:t>
      </w:r>
      <w:r w:rsidR="00755E18" w:rsidRPr="003A5711">
        <w:rPr>
          <w:rFonts w:ascii="Calibri" w:eastAsia="Calibri" w:hAnsi="Calibri" w:cs="Calibri"/>
          <w:sz w:val="24"/>
          <w:szCs w:val="24"/>
        </w:rPr>
        <w:t xml:space="preserve"> </w:t>
      </w:r>
      <w:r w:rsidRPr="003A5711">
        <w:rPr>
          <w:rFonts w:ascii="Calibri" w:eastAsia="Calibri" w:hAnsi="Calibri" w:cs="Calibri"/>
          <w:sz w:val="24"/>
          <w:szCs w:val="24"/>
        </w:rPr>
        <w:t xml:space="preserve">služební dopravní prostředek. </w:t>
      </w:r>
    </w:p>
    <w:p w14:paraId="7E7F6F0C" w14:textId="1C9F3B61" w:rsidR="003A5711" w:rsidRPr="003A5711" w:rsidRDefault="003A5711" w:rsidP="00023972">
      <w:pPr>
        <w:spacing w:after="120" w:line="264" w:lineRule="auto"/>
        <w:jc w:val="both"/>
        <w:rPr>
          <w:rFonts w:ascii="Calibri" w:eastAsia="Calibri" w:hAnsi="Calibri" w:cs="Calibri"/>
          <w:b/>
          <w:sz w:val="24"/>
          <w:szCs w:val="24"/>
        </w:rPr>
      </w:pPr>
      <w:r w:rsidRPr="003A5711">
        <w:rPr>
          <w:rFonts w:ascii="Calibri" w:eastAsia="Calibri" w:hAnsi="Calibri" w:cs="Calibri"/>
          <w:b/>
          <w:sz w:val="24"/>
          <w:szCs w:val="24"/>
        </w:rPr>
        <w:t>Dopadem nedostatečné přípravy investičních akcí je nevyužití disponibilních peněžních prostředků státu určených k</w:t>
      </w:r>
      <w:r w:rsidR="00671593">
        <w:rPr>
          <w:rFonts w:ascii="Calibri" w:eastAsia="Calibri" w:hAnsi="Calibri" w:cs="Calibri"/>
          <w:b/>
          <w:sz w:val="24"/>
          <w:szCs w:val="24"/>
        </w:rPr>
        <w:t> udržení a rozvoji</w:t>
      </w:r>
      <w:r w:rsidRPr="003A5711">
        <w:rPr>
          <w:rFonts w:ascii="Calibri" w:eastAsia="Calibri" w:hAnsi="Calibri" w:cs="Calibri"/>
          <w:b/>
          <w:sz w:val="24"/>
          <w:szCs w:val="24"/>
        </w:rPr>
        <w:t xml:space="preserve"> materiálně technické základny GIBS. </w:t>
      </w:r>
      <w:r w:rsidR="00F049FD" w:rsidRPr="00442CA2">
        <w:rPr>
          <w:rFonts w:ascii="Calibri" w:eastAsia="Calibri" w:hAnsi="Calibri" w:cs="Calibri"/>
          <w:b/>
          <w:sz w:val="24"/>
          <w:szCs w:val="24"/>
        </w:rPr>
        <w:t xml:space="preserve">V roce 2020 např. činil rozpočet kapitálových výdajů 10 mil. Kč, </w:t>
      </w:r>
      <w:r w:rsidR="001A4501">
        <w:rPr>
          <w:rFonts w:ascii="Calibri" w:eastAsia="Calibri" w:hAnsi="Calibri" w:cs="Calibri"/>
          <w:b/>
          <w:sz w:val="24"/>
          <w:szCs w:val="24"/>
        </w:rPr>
        <w:t xml:space="preserve">avšak </w:t>
      </w:r>
      <w:r w:rsidR="00F049FD" w:rsidRPr="00442CA2">
        <w:rPr>
          <w:rFonts w:ascii="Calibri" w:eastAsia="Calibri" w:hAnsi="Calibri" w:cs="Calibri"/>
          <w:b/>
          <w:sz w:val="24"/>
          <w:szCs w:val="24"/>
        </w:rPr>
        <w:t>GIBS byla schopna vyčerpat pouze 2,75 mil. Kč, tj. necelých 28 %.</w:t>
      </w:r>
      <w:r w:rsidR="00F049FD">
        <w:rPr>
          <w:rFonts w:ascii="Calibri" w:eastAsia="Calibri" w:hAnsi="Calibri" w:cs="Calibri"/>
          <w:b/>
          <w:sz w:val="24"/>
          <w:szCs w:val="24"/>
        </w:rPr>
        <w:t xml:space="preserve"> </w:t>
      </w:r>
      <w:r w:rsidRPr="003A5711">
        <w:rPr>
          <w:rFonts w:ascii="Calibri" w:eastAsia="Calibri" w:hAnsi="Calibri" w:cs="Calibri"/>
          <w:b/>
          <w:sz w:val="24"/>
          <w:szCs w:val="24"/>
        </w:rPr>
        <w:t xml:space="preserve">Podíl kapitálových výdajů na celkových výdajích GIBS se </w:t>
      </w:r>
      <w:r w:rsidR="00671593">
        <w:rPr>
          <w:rFonts w:ascii="Calibri" w:eastAsia="Calibri" w:hAnsi="Calibri" w:cs="Calibri"/>
          <w:b/>
          <w:sz w:val="24"/>
          <w:szCs w:val="24"/>
        </w:rPr>
        <w:t xml:space="preserve">každoročně </w:t>
      </w:r>
      <w:r w:rsidRPr="003A5711">
        <w:rPr>
          <w:rFonts w:ascii="Calibri" w:eastAsia="Calibri" w:hAnsi="Calibri" w:cs="Calibri"/>
          <w:b/>
          <w:sz w:val="24"/>
          <w:szCs w:val="24"/>
        </w:rPr>
        <w:t>pohyboval</w:t>
      </w:r>
      <w:r w:rsidR="00671593">
        <w:rPr>
          <w:rFonts w:ascii="Calibri" w:eastAsia="Calibri" w:hAnsi="Calibri" w:cs="Calibri"/>
          <w:b/>
          <w:sz w:val="24"/>
          <w:szCs w:val="24"/>
        </w:rPr>
        <w:t xml:space="preserve"> </w:t>
      </w:r>
      <w:r w:rsidRPr="003A5711">
        <w:rPr>
          <w:rFonts w:ascii="Calibri" w:eastAsia="Calibri" w:hAnsi="Calibri" w:cs="Calibri"/>
          <w:b/>
          <w:sz w:val="24"/>
          <w:szCs w:val="24"/>
        </w:rPr>
        <w:t>od roku 2018 do roku 2020 pouze do 2 %.</w:t>
      </w:r>
    </w:p>
    <w:p w14:paraId="440AC5B8" w14:textId="374DEE34" w:rsidR="007D68B1" w:rsidRPr="00362F97" w:rsidRDefault="005B0E1F" w:rsidP="005B0E1F">
      <w:pPr>
        <w:keepNext/>
        <w:spacing w:after="120" w:line="264" w:lineRule="auto"/>
        <w:ind w:left="425" w:hanging="425"/>
        <w:outlineLvl w:val="2"/>
        <w:rPr>
          <w:rFonts w:cs="Calibri"/>
          <w:b/>
          <w:sz w:val="24"/>
          <w:szCs w:val="24"/>
        </w:rPr>
      </w:pPr>
      <w:r>
        <w:rPr>
          <w:rFonts w:cs="Calibri"/>
          <w:b/>
          <w:sz w:val="24"/>
          <w:szCs w:val="24"/>
        </w:rPr>
        <w:t xml:space="preserve">4.2 </w:t>
      </w:r>
      <w:r w:rsidR="007D68B1" w:rsidRPr="00362F97">
        <w:rPr>
          <w:rFonts w:cs="Calibri"/>
          <w:b/>
          <w:sz w:val="24"/>
          <w:szCs w:val="24"/>
        </w:rPr>
        <w:t xml:space="preserve">GIBS poskytla v jednom případě </w:t>
      </w:r>
      <w:r w:rsidR="00F3373F" w:rsidRPr="00362F97">
        <w:rPr>
          <w:rFonts w:cs="Calibri"/>
          <w:b/>
          <w:sz w:val="24"/>
          <w:szCs w:val="24"/>
        </w:rPr>
        <w:t xml:space="preserve">bezúplatné </w:t>
      </w:r>
      <w:r w:rsidR="007D68B1" w:rsidRPr="00362F97">
        <w:rPr>
          <w:rFonts w:cs="Calibri"/>
          <w:b/>
          <w:sz w:val="24"/>
          <w:szCs w:val="24"/>
        </w:rPr>
        <w:t xml:space="preserve">dlouhodobé ubytování </w:t>
      </w:r>
      <w:r w:rsidR="00F3373F" w:rsidRPr="00362F97">
        <w:rPr>
          <w:rFonts w:cs="Calibri"/>
          <w:b/>
          <w:sz w:val="24"/>
          <w:szCs w:val="24"/>
        </w:rPr>
        <w:t>v délce osmi let</w:t>
      </w:r>
    </w:p>
    <w:p w14:paraId="6C4FF9C9" w14:textId="0E9F4431" w:rsidR="007D68B1" w:rsidRPr="00362F97" w:rsidRDefault="007D68B1" w:rsidP="00023972">
      <w:pPr>
        <w:spacing w:after="120" w:line="264" w:lineRule="auto"/>
        <w:jc w:val="both"/>
        <w:rPr>
          <w:rFonts w:ascii="Calibri" w:eastAsia="Calibri" w:hAnsi="Calibri" w:cs="Calibri"/>
          <w:sz w:val="24"/>
          <w:szCs w:val="24"/>
        </w:rPr>
      </w:pPr>
      <w:r w:rsidRPr="00362F97">
        <w:rPr>
          <w:rFonts w:ascii="Calibri" w:eastAsia="Calibri" w:hAnsi="Calibri" w:cs="Calibri"/>
          <w:sz w:val="24"/>
          <w:szCs w:val="24"/>
        </w:rPr>
        <w:t>GIBS v kontrolovaném období poskytovala dlouhodobé bez</w:t>
      </w:r>
      <w:r w:rsidR="00F3373F" w:rsidRPr="00362F97">
        <w:rPr>
          <w:rFonts w:ascii="Calibri" w:eastAsia="Calibri" w:hAnsi="Calibri" w:cs="Calibri"/>
          <w:sz w:val="24"/>
          <w:szCs w:val="24"/>
        </w:rPr>
        <w:t>ú</w:t>
      </w:r>
      <w:r w:rsidRPr="00362F97">
        <w:rPr>
          <w:rFonts w:ascii="Calibri" w:eastAsia="Calibri" w:hAnsi="Calibri" w:cs="Calibri"/>
          <w:sz w:val="24"/>
          <w:szCs w:val="24"/>
        </w:rPr>
        <w:t>platné ubytování příslušníkům GIBS na základě dohod o ubytování nebo na základě schválení žádosti o bez</w:t>
      </w:r>
      <w:r w:rsidR="002B04DD" w:rsidRPr="00362F97">
        <w:rPr>
          <w:rFonts w:ascii="Calibri" w:eastAsia="Calibri" w:hAnsi="Calibri" w:cs="Calibri"/>
          <w:sz w:val="24"/>
          <w:szCs w:val="24"/>
        </w:rPr>
        <w:t>ú</w:t>
      </w:r>
      <w:r w:rsidRPr="00362F97">
        <w:rPr>
          <w:rFonts w:ascii="Calibri" w:eastAsia="Calibri" w:hAnsi="Calibri" w:cs="Calibri"/>
          <w:sz w:val="24"/>
          <w:szCs w:val="24"/>
        </w:rPr>
        <w:t>platné</w:t>
      </w:r>
      <w:r w:rsidR="00FC59EB" w:rsidRPr="00362F97">
        <w:rPr>
          <w:rFonts w:ascii="Calibri" w:eastAsia="Calibri" w:hAnsi="Calibri" w:cs="Calibri"/>
          <w:sz w:val="24"/>
          <w:szCs w:val="24"/>
        </w:rPr>
        <w:t>m</w:t>
      </w:r>
      <w:r w:rsidRPr="00362F97">
        <w:rPr>
          <w:rFonts w:ascii="Calibri" w:eastAsia="Calibri" w:hAnsi="Calibri" w:cs="Calibri"/>
          <w:sz w:val="24"/>
          <w:szCs w:val="24"/>
        </w:rPr>
        <w:t xml:space="preserve"> ubytování</w:t>
      </w:r>
      <w:r w:rsidR="00FC59EB" w:rsidRPr="00362F97">
        <w:rPr>
          <w:rFonts w:ascii="Calibri" w:eastAsia="Calibri" w:hAnsi="Calibri" w:cs="Calibri"/>
          <w:sz w:val="24"/>
          <w:szCs w:val="24"/>
        </w:rPr>
        <w:t xml:space="preserve">. </w:t>
      </w:r>
      <w:r w:rsidR="002B04DD" w:rsidRPr="00362F97">
        <w:rPr>
          <w:rFonts w:ascii="Calibri" w:eastAsia="Calibri" w:hAnsi="Calibri" w:cs="Calibri"/>
          <w:sz w:val="24"/>
          <w:szCs w:val="24"/>
        </w:rPr>
        <w:t>D</w:t>
      </w:r>
      <w:r w:rsidRPr="00362F97">
        <w:rPr>
          <w:rFonts w:ascii="Calibri" w:eastAsia="Calibri" w:hAnsi="Calibri" w:cs="Calibri"/>
          <w:sz w:val="24"/>
          <w:szCs w:val="24"/>
        </w:rPr>
        <w:t xml:space="preserve">ohody o ubytování </w:t>
      </w:r>
      <w:r w:rsidR="002B04DD" w:rsidRPr="00362F97">
        <w:rPr>
          <w:rFonts w:ascii="Calibri" w:eastAsia="Calibri" w:hAnsi="Calibri" w:cs="Calibri"/>
          <w:sz w:val="24"/>
          <w:szCs w:val="24"/>
        </w:rPr>
        <w:t xml:space="preserve">uzavírala </w:t>
      </w:r>
      <w:r w:rsidRPr="00362F97">
        <w:rPr>
          <w:rFonts w:ascii="Calibri" w:eastAsia="Calibri" w:hAnsi="Calibri" w:cs="Calibri"/>
          <w:sz w:val="24"/>
          <w:szCs w:val="24"/>
        </w:rPr>
        <w:t xml:space="preserve">na dobu neurčitou. V jednom případě GIBS poskytla bezúplatné ubytování od 28. </w:t>
      </w:r>
      <w:r w:rsidR="00516CBA">
        <w:rPr>
          <w:rFonts w:ascii="Calibri" w:eastAsia="Calibri" w:hAnsi="Calibri" w:cs="Calibri"/>
          <w:sz w:val="24"/>
          <w:szCs w:val="24"/>
        </w:rPr>
        <w:t>března</w:t>
      </w:r>
      <w:r w:rsidRPr="00362F97">
        <w:rPr>
          <w:rFonts w:ascii="Calibri" w:eastAsia="Calibri" w:hAnsi="Calibri" w:cs="Calibri"/>
          <w:sz w:val="24"/>
          <w:szCs w:val="24"/>
        </w:rPr>
        <w:t xml:space="preserve"> 2013 do současnosti a tato dohoda o ubytování byla</w:t>
      </w:r>
      <w:r w:rsidR="00662177" w:rsidRPr="00362F97">
        <w:rPr>
          <w:rFonts w:ascii="Calibri" w:eastAsia="Calibri" w:hAnsi="Calibri" w:cs="Calibri"/>
          <w:sz w:val="24"/>
          <w:szCs w:val="24"/>
        </w:rPr>
        <w:t xml:space="preserve"> následně</w:t>
      </w:r>
      <w:r w:rsidRPr="00362F97">
        <w:rPr>
          <w:rFonts w:ascii="Calibri" w:eastAsia="Calibri" w:hAnsi="Calibri" w:cs="Calibri"/>
          <w:sz w:val="24"/>
          <w:szCs w:val="24"/>
        </w:rPr>
        <w:t xml:space="preserve"> prodloužena do 30. </w:t>
      </w:r>
      <w:r w:rsidR="00516CBA">
        <w:rPr>
          <w:rFonts w:ascii="Calibri" w:eastAsia="Calibri" w:hAnsi="Calibri" w:cs="Calibri"/>
          <w:sz w:val="24"/>
          <w:szCs w:val="24"/>
        </w:rPr>
        <w:t>června</w:t>
      </w:r>
      <w:r w:rsidRPr="00362F97">
        <w:rPr>
          <w:rFonts w:ascii="Calibri" w:eastAsia="Calibri" w:hAnsi="Calibri" w:cs="Calibri"/>
          <w:sz w:val="24"/>
          <w:szCs w:val="24"/>
        </w:rPr>
        <w:t xml:space="preserve"> 2026. Příslušníkovi tak bylo ze strany GIBS poskytnuto </w:t>
      </w:r>
      <w:r w:rsidR="00FC59EB" w:rsidRPr="00362F97">
        <w:rPr>
          <w:rFonts w:ascii="Calibri" w:eastAsia="Calibri" w:hAnsi="Calibri" w:cs="Calibri"/>
          <w:sz w:val="24"/>
          <w:szCs w:val="24"/>
        </w:rPr>
        <w:t>plnění ve výši 588 210 </w:t>
      </w:r>
      <w:r w:rsidRPr="00362F97">
        <w:rPr>
          <w:rFonts w:ascii="Calibri" w:eastAsia="Calibri" w:hAnsi="Calibri" w:cs="Calibri"/>
          <w:sz w:val="24"/>
          <w:szCs w:val="24"/>
        </w:rPr>
        <w:t>Kč</w:t>
      </w:r>
      <w:r w:rsidRPr="00362F97">
        <w:rPr>
          <w:rStyle w:val="Znakapoznpodarou"/>
          <w:rFonts w:ascii="Calibri" w:eastAsia="Calibri" w:hAnsi="Calibri" w:cs="Calibri"/>
          <w:sz w:val="24"/>
          <w:szCs w:val="24"/>
        </w:rPr>
        <w:footnoteReference w:id="17"/>
      </w:r>
      <w:r w:rsidRPr="00362F97">
        <w:rPr>
          <w:rFonts w:ascii="Calibri" w:eastAsia="Calibri" w:hAnsi="Calibri" w:cs="Calibri"/>
          <w:sz w:val="24"/>
          <w:szCs w:val="24"/>
        </w:rPr>
        <w:t xml:space="preserve"> za dobu trvání bezúplatného ubytování od 28. </w:t>
      </w:r>
      <w:r w:rsidR="002B04DD" w:rsidRPr="00362F97">
        <w:rPr>
          <w:rFonts w:ascii="Calibri" w:eastAsia="Calibri" w:hAnsi="Calibri" w:cs="Calibri"/>
          <w:sz w:val="24"/>
          <w:szCs w:val="24"/>
        </w:rPr>
        <w:t>března</w:t>
      </w:r>
      <w:r w:rsidRPr="00362F97">
        <w:rPr>
          <w:rFonts w:ascii="Calibri" w:eastAsia="Calibri" w:hAnsi="Calibri" w:cs="Calibri"/>
          <w:sz w:val="24"/>
          <w:szCs w:val="24"/>
        </w:rPr>
        <w:t xml:space="preserve"> 2013 do 3</w:t>
      </w:r>
      <w:r w:rsidR="0013137A">
        <w:rPr>
          <w:rFonts w:ascii="Calibri" w:eastAsia="Calibri" w:hAnsi="Calibri" w:cs="Calibri"/>
          <w:sz w:val="24"/>
          <w:szCs w:val="24"/>
        </w:rPr>
        <w:t>1. </w:t>
      </w:r>
      <w:r w:rsidR="002B04DD" w:rsidRPr="00362F97">
        <w:rPr>
          <w:rFonts w:ascii="Calibri" w:eastAsia="Calibri" w:hAnsi="Calibri" w:cs="Calibri"/>
          <w:sz w:val="24"/>
          <w:szCs w:val="24"/>
        </w:rPr>
        <w:t>března</w:t>
      </w:r>
      <w:r w:rsidRPr="00362F97">
        <w:rPr>
          <w:rFonts w:ascii="Calibri" w:eastAsia="Calibri" w:hAnsi="Calibri" w:cs="Calibri"/>
          <w:sz w:val="24"/>
          <w:szCs w:val="24"/>
        </w:rPr>
        <w:t xml:space="preserve"> 202</w:t>
      </w:r>
      <w:r w:rsidR="00722CFA" w:rsidRPr="00362F97">
        <w:rPr>
          <w:rFonts w:ascii="Calibri" w:eastAsia="Calibri" w:hAnsi="Calibri" w:cs="Calibri"/>
          <w:sz w:val="24"/>
          <w:szCs w:val="24"/>
        </w:rPr>
        <w:t>1</w:t>
      </w:r>
      <w:r w:rsidRPr="00362F97">
        <w:rPr>
          <w:rFonts w:ascii="Calibri" w:eastAsia="Calibri" w:hAnsi="Calibri" w:cs="Calibri"/>
          <w:sz w:val="24"/>
          <w:szCs w:val="24"/>
        </w:rPr>
        <w:t xml:space="preserve">. </w:t>
      </w:r>
      <w:r w:rsidR="00F3373F" w:rsidRPr="00362F97">
        <w:rPr>
          <w:rFonts w:ascii="Calibri" w:eastAsia="Calibri" w:hAnsi="Calibri" w:cs="Calibri"/>
          <w:sz w:val="24"/>
          <w:szCs w:val="24"/>
        </w:rPr>
        <w:t xml:space="preserve">K tomu NKÚ uvádí, že není dostatečně legislativně </w:t>
      </w:r>
      <w:r w:rsidR="009E5A39">
        <w:rPr>
          <w:rFonts w:ascii="Calibri" w:eastAsia="Calibri" w:hAnsi="Calibri" w:cs="Calibri"/>
          <w:sz w:val="24"/>
          <w:szCs w:val="24"/>
        </w:rPr>
        <w:t>upraveno</w:t>
      </w:r>
      <w:r w:rsidR="00F3373F" w:rsidRPr="00362F97">
        <w:rPr>
          <w:rFonts w:ascii="Calibri" w:eastAsia="Calibri" w:hAnsi="Calibri" w:cs="Calibri"/>
          <w:sz w:val="24"/>
          <w:szCs w:val="24"/>
        </w:rPr>
        <w:t>, jaká doba je přiměřená pro uplatnění ustanovení § 149 odst. 1 zákona č. 361/2003 Sb., který umožňuje poskytovat náhrady cestovních výdajů do doby přestěhování do jiného místa služebního působiště.</w:t>
      </w:r>
    </w:p>
    <w:p w14:paraId="77D4AFFC" w14:textId="65CBDC55" w:rsidR="003A5711" w:rsidRPr="003A5711" w:rsidRDefault="005B0E1F" w:rsidP="005B0E1F">
      <w:pPr>
        <w:keepNext/>
        <w:spacing w:after="120" w:line="264" w:lineRule="auto"/>
        <w:ind w:left="425" w:hanging="425"/>
        <w:outlineLvl w:val="2"/>
        <w:rPr>
          <w:rFonts w:cs="Calibri"/>
          <w:b/>
          <w:sz w:val="24"/>
          <w:szCs w:val="24"/>
        </w:rPr>
      </w:pPr>
      <w:r>
        <w:rPr>
          <w:rFonts w:cs="Calibri"/>
          <w:b/>
          <w:sz w:val="24"/>
          <w:szCs w:val="24"/>
        </w:rPr>
        <w:t xml:space="preserve">4.3 </w:t>
      </w:r>
      <w:r w:rsidR="003A5711" w:rsidRPr="00362F97">
        <w:rPr>
          <w:rFonts w:cs="Calibri"/>
          <w:b/>
          <w:sz w:val="24"/>
          <w:szCs w:val="24"/>
        </w:rPr>
        <w:t xml:space="preserve">GIBS </w:t>
      </w:r>
      <w:r w:rsidR="00E5568D">
        <w:rPr>
          <w:rFonts w:cs="Calibri"/>
          <w:b/>
          <w:sz w:val="24"/>
          <w:szCs w:val="24"/>
        </w:rPr>
        <w:t>se</w:t>
      </w:r>
      <w:r w:rsidR="00B4368D">
        <w:rPr>
          <w:rFonts w:cs="Calibri"/>
          <w:b/>
          <w:sz w:val="24"/>
          <w:szCs w:val="24"/>
        </w:rPr>
        <w:t xml:space="preserve"> zatím</w:t>
      </w:r>
      <w:r w:rsidR="00E5568D">
        <w:rPr>
          <w:rFonts w:cs="Calibri"/>
          <w:b/>
          <w:sz w:val="24"/>
          <w:szCs w:val="24"/>
        </w:rPr>
        <w:t xml:space="preserve"> nepodařilo přesunout</w:t>
      </w:r>
      <w:r w:rsidR="00E5568D" w:rsidRPr="00362F97">
        <w:rPr>
          <w:rFonts w:cs="Calibri"/>
          <w:b/>
          <w:sz w:val="24"/>
          <w:szCs w:val="24"/>
        </w:rPr>
        <w:t xml:space="preserve"> </w:t>
      </w:r>
      <w:r w:rsidR="003A5711" w:rsidRPr="00362F97">
        <w:rPr>
          <w:rFonts w:cs="Calibri"/>
          <w:b/>
          <w:sz w:val="24"/>
          <w:szCs w:val="24"/>
        </w:rPr>
        <w:t>všechna pracoviště do objektů ve vlastnictví státu</w:t>
      </w:r>
    </w:p>
    <w:p w14:paraId="6D4830B1" w14:textId="181B53A6" w:rsidR="0087375E" w:rsidRPr="003A5711" w:rsidRDefault="004C10F5" w:rsidP="00023972">
      <w:pPr>
        <w:spacing w:after="120" w:line="264" w:lineRule="auto"/>
        <w:jc w:val="both"/>
        <w:rPr>
          <w:rFonts w:ascii="Calibri" w:eastAsia="Calibri" w:hAnsi="Calibri" w:cs="Calibri"/>
          <w:sz w:val="24"/>
          <w:szCs w:val="24"/>
        </w:rPr>
      </w:pPr>
      <w:r>
        <w:rPr>
          <w:rFonts w:ascii="Calibri" w:eastAsia="Calibri" w:hAnsi="Calibri" w:cs="Calibri"/>
          <w:sz w:val="24"/>
          <w:szCs w:val="24"/>
        </w:rPr>
        <w:t>J</w:t>
      </w:r>
      <w:r w:rsidRPr="003A5711">
        <w:rPr>
          <w:rFonts w:ascii="Calibri" w:eastAsia="Calibri" w:hAnsi="Calibri" w:cs="Calibri"/>
          <w:sz w:val="24"/>
          <w:szCs w:val="24"/>
        </w:rPr>
        <w:t>iž od roku 2012</w:t>
      </w:r>
      <w:r>
        <w:rPr>
          <w:rFonts w:ascii="Calibri" w:eastAsia="Calibri" w:hAnsi="Calibri" w:cs="Calibri"/>
          <w:sz w:val="24"/>
          <w:szCs w:val="24"/>
        </w:rPr>
        <w:t xml:space="preserve"> bylo dle zpráv </w:t>
      </w:r>
      <w:r w:rsidRPr="003A5711">
        <w:rPr>
          <w:rFonts w:ascii="Calibri" w:eastAsia="Calibri" w:hAnsi="Calibri" w:cs="Calibri"/>
          <w:sz w:val="24"/>
          <w:szCs w:val="24"/>
        </w:rPr>
        <w:t>o činnosti GIBS</w:t>
      </w:r>
      <w:r>
        <w:rPr>
          <w:rFonts w:ascii="Calibri" w:eastAsia="Calibri" w:hAnsi="Calibri" w:cs="Calibri"/>
          <w:sz w:val="24"/>
          <w:szCs w:val="24"/>
        </w:rPr>
        <w:t xml:space="preserve"> a dokumentace </w:t>
      </w:r>
      <w:r w:rsidRPr="003A5711">
        <w:rPr>
          <w:rFonts w:ascii="Calibri" w:eastAsia="Calibri" w:hAnsi="Calibri"/>
          <w:bCs/>
          <w:sz w:val="24"/>
          <w:szCs w:val="24"/>
        </w:rPr>
        <w:t xml:space="preserve">programů </w:t>
      </w:r>
      <w:r w:rsidRPr="003A5711">
        <w:rPr>
          <w:rFonts w:ascii="Calibri" w:eastAsia="Calibri" w:hAnsi="Calibri" w:cs="Calibri"/>
          <w:sz w:val="24"/>
          <w:szCs w:val="24"/>
        </w:rPr>
        <w:t>176 100 a 176</w:t>
      </w:r>
      <w:r>
        <w:rPr>
          <w:rFonts w:ascii="Calibri" w:eastAsia="Calibri" w:hAnsi="Calibri" w:cs="Calibri"/>
          <w:sz w:val="24"/>
          <w:szCs w:val="24"/>
        </w:rPr>
        <w:t> </w:t>
      </w:r>
      <w:r w:rsidRPr="003A5711">
        <w:rPr>
          <w:rFonts w:ascii="Calibri" w:eastAsia="Calibri" w:hAnsi="Calibri" w:cs="Calibri"/>
          <w:sz w:val="24"/>
          <w:szCs w:val="24"/>
        </w:rPr>
        <w:t xml:space="preserve">200 </w:t>
      </w:r>
      <w:r>
        <w:rPr>
          <w:rFonts w:ascii="Calibri" w:eastAsia="Calibri" w:hAnsi="Calibri" w:cs="Calibri"/>
          <w:sz w:val="24"/>
          <w:szCs w:val="24"/>
        </w:rPr>
        <w:t xml:space="preserve">cílem GIBS </w:t>
      </w:r>
      <w:r w:rsidR="0087375E" w:rsidRPr="003A5711">
        <w:rPr>
          <w:rFonts w:ascii="Calibri" w:eastAsia="Calibri" w:hAnsi="Calibri" w:cs="Calibri"/>
          <w:sz w:val="24"/>
          <w:szCs w:val="24"/>
        </w:rPr>
        <w:t xml:space="preserve">opuštění komerčních nájmů a zajištění dislokace </w:t>
      </w:r>
      <w:r w:rsidR="00922AD5">
        <w:rPr>
          <w:rFonts w:ascii="Calibri" w:eastAsia="Calibri" w:hAnsi="Calibri" w:cs="Calibri"/>
          <w:sz w:val="24"/>
          <w:szCs w:val="24"/>
        </w:rPr>
        <w:t xml:space="preserve">všech </w:t>
      </w:r>
      <w:r w:rsidR="0087375E" w:rsidRPr="003A5711">
        <w:rPr>
          <w:rFonts w:ascii="Calibri" w:eastAsia="Calibri" w:hAnsi="Calibri" w:cs="Calibri"/>
          <w:sz w:val="24"/>
          <w:szCs w:val="24"/>
        </w:rPr>
        <w:t>pracovišť</w:t>
      </w:r>
      <w:r>
        <w:rPr>
          <w:rFonts w:ascii="Calibri" w:eastAsia="Calibri" w:hAnsi="Calibri" w:cs="Calibri"/>
          <w:sz w:val="24"/>
          <w:szCs w:val="24"/>
        </w:rPr>
        <w:t xml:space="preserve"> </w:t>
      </w:r>
      <w:r w:rsidR="0087375E" w:rsidRPr="003A5711">
        <w:rPr>
          <w:rFonts w:ascii="Calibri" w:eastAsia="Calibri" w:hAnsi="Calibri" w:cs="Calibri"/>
          <w:sz w:val="24"/>
          <w:szCs w:val="24"/>
        </w:rPr>
        <w:t xml:space="preserve">v objektech, se kterými je příslušná hospodařit, případně objektech vypůjčených od ostatních organizačních složek státu. GIBS doložila kontrole NKÚ podklady o </w:t>
      </w:r>
      <w:r>
        <w:rPr>
          <w:rFonts w:ascii="Calibri" w:eastAsia="Calibri" w:hAnsi="Calibri" w:cs="Calibri"/>
          <w:sz w:val="24"/>
          <w:szCs w:val="24"/>
        </w:rPr>
        <w:t xml:space="preserve">jejích </w:t>
      </w:r>
      <w:r w:rsidR="0087375E" w:rsidRPr="003A5711">
        <w:rPr>
          <w:rFonts w:ascii="Calibri" w:eastAsia="Calibri" w:hAnsi="Calibri" w:cs="Calibri"/>
          <w:sz w:val="24"/>
          <w:szCs w:val="24"/>
        </w:rPr>
        <w:t>aktivách v této oblasti od roku 2012 do doby ukončení kontroly.</w:t>
      </w:r>
      <w:r w:rsidR="0087375E">
        <w:rPr>
          <w:rFonts w:ascii="Calibri" w:eastAsia="Calibri" w:hAnsi="Calibri" w:cs="Calibri"/>
          <w:sz w:val="24"/>
          <w:szCs w:val="24"/>
        </w:rPr>
        <w:t xml:space="preserve"> </w:t>
      </w:r>
      <w:r w:rsidR="009E5A39" w:rsidRPr="003A5711">
        <w:rPr>
          <w:rFonts w:ascii="Calibri" w:hAnsi="Calibri"/>
          <w:sz w:val="24"/>
          <w:szCs w:val="24"/>
        </w:rPr>
        <w:t xml:space="preserve">NKÚ ověřil hospodárnost dislokací pracovišť GIBS na třech případech realizovaných v kontrolovaném období </w:t>
      </w:r>
      <w:r w:rsidR="009E5A39">
        <w:rPr>
          <w:rFonts w:ascii="Calibri" w:hAnsi="Calibri"/>
          <w:sz w:val="24"/>
          <w:szCs w:val="24"/>
        </w:rPr>
        <w:t>(</w:t>
      </w:r>
      <w:r w:rsidR="009E5A39" w:rsidRPr="003A5711">
        <w:rPr>
          <w:rFonts w:ascii="Calibri" w:hAnsi="Calibri"/>
          <w:sz w:val="24"/>
          <w:szCs w:val="24"/>
        </w:rPr>
        <w:t>Praha a Středočeský kraj</w:t>
      </w:r>
      <w:r w:rsidR="009E5A39">
        <w:rPr>
          <w:rStyle w:val="Znakapoznpodarou"/>
          <w:rFonts w:ascii="Calibri" w:hAnsi="Calibri"/>
          <w:sz w:val="24"/>
          <w:szCs w:val="24"/>
        </w:rPr>
        <w:footnoteReference w:id="18"/>
      </w:r>
      <w:r w:rsidR="009E5A39" w:rsidRPr="003A5711">
        <w:rPr>
          <w:rFonts w:ascii="Calibri" w:hAnsi="Calibri"/>
          <w:sz w:val="24"/>
          <w:szCs w:val="24"/>
        </w:rPr>
        <w:t>, Plzeň a Liberec).</w:t>
      </w:r>
      <w:r w:rsidR="009E5A39" w:rsidRPr="003A5711">
        <w:rPr>
          <w:rFonts w:ascii="Calibri" w:eastAsia="Calibri" w:hAnsi="Calibri" w:cs="Calibri"/>
          <w:sz w:val="24"/>
          <w:szCs w:val="24"/>
        </w:rPr>
        <w:t xml:space="preserve"> Podklady dokládají snahu GIBS o přemístění </w:t>
      </w:r>
      <w:r w:rsidR="009E5A39">
        <w:rPr>
          <w:rFonts w:ascii="Calibri" w:eastAsia="Calibri" w:hAnsi="Calibri" w:cs="Calibri"/>
          <w:sz w:val="24"/>
          <w:szCs w:val="24"/>
        </w:rPr>
        <w:t xml:space="preserve">pracovišť </w:t>
      </w:r>
      <w:r w:rsidR="009E5A39" w:rsidRPr="003A5711">
        <w:rPr>
          <w:rFonts w:ascii="Calibri" w:eastAsia="Calibri" w:hAnsi="Calibri" w:cs="Calibri"/>
          <w:sz w:val="24"/>
          <w:szCs w:val="24"/>
        </w:rPr>
        <w:t xml:space="preserve">do prostor objektů ve vlastnictví státu, nicméně pouze v jednom případě byla tato dislokace úspěšná </w:t>
      </w:r>
      <w:r w:rsidR="009E5A39">
        <w:rPr>
          <w:rFonts w:ascii="Calibri" w:eastAsia="Calibri" w:hAnsi="Calibri" w:cs="Calibri"/>
          <w:sz w:val="24"/>
          <w:szCs w:val="24"/>
        </w:rPr>
        <w:t>(Plzeň</w:t>
      </w:r>
      <w:r w:rsidR="009E5A39" w:rsidRPr="003A5711">
        <w:rPr>
          <w:rFonts w:ascii="Calibri" w:eastAsia="Calibri" w:hAnsi="Calibri" w:cs="Calibri"/>
          <w:sz w:val="24"/>
          <w:szCs w:val="24"/>
        </w:rPr>
        <w:t xml:space="preserve">). </w:t>
      </w:r>
      <w:r w:rsidR="00FC59EB">
        <w:rPr>
          <w:rFonts w:ascii="Calibri" w:eastAsia="Calibri" w:hAnsi="Calibri" w:cs="Calibri"/>
          <w:sz w:val="24"/>
          <w:szCs w:val="24"/>
        </w:rPr>
        <w:t xml:space="preserve">Výše uhrazeného nájemného za využití komerčních objektů se </w:t>
      </w:r>
      <w:r>
        <w:rPr>
          <w:rFonts w:ascii="Calibri" w:eastAsia="Calibri" w:hAnsi="Calibri" w:cs="Calibri"/>
          <w:sz w:val="24"/>
          <w:szCs w:val="24"/>
        </w:rPr>
        <w:t xml:space="preserve">tak </w:t>
      </w:r>
      <w:r w:rsidR="00FC59EB">
        <w:rPr>
          <w:rFonts w:ascii="Calibri" w:eastAsia="Calibri" w:hAnsi="Calibri" w:cs="Calibri"/>
          <w:sz w:val="24"/>
          <w:szCs w:val="24"/>
        </w:rPr>
        <w:t>v kontrolovaném období výrazně nezměnila.</w:t>
      </w:r>
    </w:p>
    <w:p w14:paraId="2DBAA3BE" w14:textId="0ABC628A" w:rsidR="003A5711" w:rsidRDefault="003A5711" w:rsidP="00023972">
      <w:pPr>
        <w:spacing w:after="120" w:line="264" w:lineRule="auto"/>
        <w:jc w:val="both"/>
        <w:rPr>
          <w:rFonts w:ascii="Calibri" w:eastAsia="Calibri" w:hAnsi="Calibri" w:cs="Calibri"/>
          <w:b/>
          <w:sz w:val="24"/>
          <w:szCs w:val="24"/>
        </w:rPr>
      </w:pPr>
      <w:r w:rsidRPr="003A5711">
        <w:rPr>
          <w:rFonts w:ascii="Calibri" w:eastAsia="Calibri" w:hAnsi="Calibri" w:cs="Calibri"/>
          <w:b/>
          <w:sz w:val="24"/>
          <w:szCs w:val="24"/>
        </w:rPr>
        <w:lastRenderedPageBreak/>
        <w:t xml:space="preserve">GIBS </w:t>
      </w:r>
      <w:r w:rsidR="00695B3E">
        <w:rPr>
          <w:rFonts w:ascii="Calibri" w:eastAsia="Calibri" w:hAnsi="Calibri" w:cs="Calibri"/>
          <w:b/>
          <w:sz w:val="24"/>
          <w:szCs w:val="24"/>
        </w:rPr>
        <w:t xml:space="preserve">se </w:t>
      </w:r>
      <w:r w:rsidRPr="003A5711">
        <w:rPr>
          <w:rFonts w:ascii="Calibri" w:eastAsia="Calibri" w:hAnsi="Calibri" w:cs="Calibri"/>
          <w:b/>
          <w:sz w:val="24"/>
          <w:szCs w:val="24"/>
        </w:rPr>
        <w:t xml:space="preserve">tak do doby ukončení kontroly NKÚ </w:t>
      </w:r>
      <w:r w:rsidR="00695B3E" w:rsidRPr="003A5711">
        <w:rPr>
          <w:rFonts w:ascii="Calibri" w:eastAsia="Calibri" w:hAnsi="Calibri" w:cs="Calibri"/>
          <w:b/>
          <w:sz w:val="24"/>
          <w:szCs w:val="24"/>
        </w:rPr>
        <w:t>ne</w:t>
      </w:r>
      <w:r w:rsidR="00695B3E">
        <w:rPr>
          <w:rFonts w:ascii="Calibri" w:eastAsia="Calibri" w:hAnsi="Calibri" w:cs="Calibri"/>
          <w:b/>
          <w:sz w:val="24"/>
          <w:szCs w:val="24"/>
        </w:rPr>
        <w:t>podařilo splnit</w:t>
      </w:r>
      <w:r w:rsidR="00695B3E" w:rsidRPr="003A5711">
        <w:rPr>
          <w:rFonts w:ascii="Calibri" w:eastAsia="Calibri" w:hAnsi="Calibri" w:cs="Calibri"/>
          <w:b/>
          <w:sz w:val="24"/>
          <w:szCs w:val="24"/>
        </w:rPr>
        <w:t xml:space="preserve"> </w:t>
      </w:r>
      <w:r w:rsidRPr="003A5711">
        <w:rPr>
          <w:rFonts w:ascii="Calibri" w:eastAsia="Calibri" w:hAnsi="Calibri" w:cs="Calibri"/>
          <w:b/>
          <w:sz w:val="24"/>
          <w:szCs w:val="24"/>
        </w:rPr>
        <w:t xml:space="preserve">již od roku 2012 plánovaný cíl nahrazení komerčních nájmů </w:t>
      </w:r>
      <w:r w:rsidRPr="003A5711">
        <w:rPr>
          <w:rFonts w:ascii="Calibri" w:hAnsi="Calibri"/>
          <w:b/>
          <w:bCs/>
          <w:sz w:val="24"/>
          <w:szCs w:val="24"/>
        </w:rPr>
        <w:t>pracovišť GIBS</w:t>
      </w:r>
      <w:r w:rsidRPr="003A5711">
        <w:rPr>
          <w:rFonts w:ascii="Calibri" w:hAnsi="Calibri"/>
          <w:sz w:val="24"/>
          <w:szCs w:val="24"/>
        </w:rPr>
        <w:t xml:space="preserve"> </w:t>
      </w:r>
      <w:r w:rsidRPr="003A5711">
        <w:rPr>
          <w:rFonts w:ascii="Calibri" w:eastAsia="Calibri" w:hAnsi="Calibri" w:cs="Calibri"/>
          <w:b/>
          <w:sz w:val="24"/>
          <w:szCs w:val="24"/>
        </w:rPr>
        <w:t>prostory objektů ve vlastnictví státu.</w:t>
      </w:r>
    </w:p>
    <w:p w14:paraId="6C287E65" w14:textId="01B80B3F" w:rsidR="003A5711" w:rsidRPr="003A5711" w:rsidRDefault="003A5711" w:rsidP="005B0E1F">
      <w:pPr>
        <w:keepNext/>
        <w:spacing w:after="120" w:line="264" w:lineRule="auto"/>
        <w:ind w:left="425" w:hanging="425"/>
        <w:outlineLvl w:val="2"/>
        <w:rPr>
          <w:rFonts w:cs="Calibri"/>
          <w:b/>
          <w:sz w:val="24"/>
          <w:szCs w:val="24"/>
        </w:rPr>
      </w:pPr>
      <w:r w:rsidRPr="003A5711">
        <w:rPr>
          <w:rFonts w:cs="Calibri"/>
          <w:b/>
          <w:sz w:val="24"/>
          <w:szCs w:val="24"/>
        </w:rPr>
        <w:t>4.4</w:t>
      </w:r>
      <w:r w:rsidR="005B0E1F">
        <w:rPr>
          <w:rFonts w:cs="Calibri"/>
          <w:b/>
          <w:sz w:val="24"/>
          <w:szCs w:val="24"/>
        </w:rPr>
        <w:t xml:space="preserve"> </w:t>
      </w:r>
      <w:r w:rsidR="00BF0A10">
        <w:rPr>
          <w:rFonts w:cs="Calibri"/>
          <w:b/>
          <w:sz w:val="24"/>
          <w:szCs w:val="24"/>
        </w:rPr>
        <w:t>GIBS nepořizuje</w:t>
      </w:r>
      <w:r w:rsidR="00BF0A10" w:rsidRPr="003A5711">
        <w:rPr>
          <w:rFonts w:cs="Calibri"/>
          <w:b/>
          <w:sz w:val="24"/>
          <w:szCs w:val="24"/>
        </w:rPr>
        <w:t xml:space="preserve"> </w:t>
      </w:r>
      <w:r w:rsidRPr="003A5711">
        <w:rPr>
          <w:rFonts w:cs="Calibri"/>
          <w:b/>
          <w:sz w:val="24"/>
          <w:szCs w:val="24"/>
        </w:rPr>
        <w:t>služební dopravní prostředk</w:t>
      </w:r>
      <w:r w:rsidR="00BF0A10">
        <w:rPr>
          <w:rFonts w:cs="Calibri"/>
          <w:b/>
          <w:sz w:val="24"/>
          <w:szCs w:val="24"/>
        </w:rPr>
        <w:t>y dle</w:t>
      </w:r>
      <w:r w:rsidR="002F4CBD">
        <w:rPr>
          <w:rFonts w:cs="Calibri"/>
          <w:b/>
          <w:sz w:val="24"/>
          <w:szCs w:val="24"/>
        </w:rPr>
        <w:t xml:space="preserve"> svých</w:t>
      </w:r>
      <w:r w:rsidR="00BF0A10">
        <w:rPr>
          <w:rFonts w:cs="Calibri"/>
          <w:b/>
          <w:sz w:val="24"/>
          <w:szCs w:val="24"/>
        </w:rPr>
        <w:t xml:space="preserve"> potřeb</w:t>
      </w:r>
      <w:r w:rsidRPr="003A5711">
        <w:rPr>
          <w:rFonts w:cs="Calibri"/>
          <w:b/>
          <w:sz w:val="24"/>
          <w:szCs w:val="24"/>
        </w:rPr>
        <w:t xml:space="preserve"> </w:t>
      </w:r>
    </w:p>
    <w:p w14:paraId="020EAE7D" w14:textId="1E6A3507" w:rsidR="004879D0" w:rsidRPr="00BF0A10" w:rsidRDefault="00D415BD" w:rsidP="00023972">
      <w:pPr>
        <w:spacing w:after="120" w:line="264" w:lineRule="auto"/>
        <w:jc w:val="both"/>
        <w:rPr>
          <w:rFonts w:ascii="Calibri" w:eastAsia="Calibri" w:hAnsi="Calibri"/>
          <w:bCs/>
          <w:sz w:val="24"/>
          <w:szCs w:val="24"/>
        </w:rPr>
      </w:pPr>
      <w:r w:rsidRPr="003A5711">
        <w:rPr>
          <w:rFonts w:ascii="Calibri" w:eastAsia="Calibri" w:hAnsi="Calibri"/>
          <w:bCs/>
          <w:sz w:val="24"/>
          <w:szCs w:val="24"/>
        </w:rPr>
        <w:t>NKÚ zjistil, že GIBS má z</w:t>
      </w:r>
      <w:r w:rsidR="004879D0">
        <w:rPr>
          <w:rFonts w:ascii="Calibri" w:eastAsia="Calibri" w:hAnsi="Calibri"/>
          <w:bCs/>
          <w:sz w:val="24"/>
          <w:szCs w:val="24"/>
        </w:rPr>
        <w:t xml:space="preserve"> </w:t>
      </w:r>
      <w:r w:rsidRPr="003A5711">
        <w:rPr>
          <w:rFonts w:ascii="Calibri" w:eastAsia="Calibri" w:hAnsi="Calibri"/>
          <w:bCs/>
          <w:sz w:val="24"/>
          <w:szCs w:val="24"/>
        </w:rPr>
        <w:t>účetních dat a dalších podpůrných</w:t>
      </w:r>
      <w:r w:rsidR="0013137A">
        <w:rPr>
          <w:rFonts w:ascii="Calibri" w:eastAsia="Calibri" w:hAnsi="Calibri"/>
          <w:bCs/>
          <w:sz w:val="24"/>
          <w:szCs w:val="24"/>
        </w:rPr>
        <w:t xml:space="preserve"> údajů možnost získat přehled o </w:t>
      </w:r>
      <w:r w:rsidRPr="003A5711">
        <w:rPr>
          <w:rFonts w:ascii="Calibri" w:eastAsia="Calibri" w:hAnsi="Calibri"/>
          <w:bCs/>
          <w:sz w:val="24"/>
          <w:szCs w:val="24"/>
        </w:rPr>
        <w:t xml:space="preserve">stavu a nákladech na služební dopravní prostředky. I přes opakované žádosti NKÚ ale GIBS nedoložila podklady, na </w:t>
      </w:r>
      <w:r w:rsidR="00453E50">
        <w:rPr>
          <w:rFonts w:ascii="Calibri" w:eastAsia="Calibri" w:hAnsi="Calibri"/>
          <w:bCs/>
          <w:sz w:val="24"/>
          <w:szCs w:val="24"/>
        </w:rPr>
        <w:t xml:space="preserve">jejichž </w:t>
      </w:r>
      <w:r w:rsidRPr="003A5711">
        <w:rPr>
          <w:rFonts w:ascii="Calibri" w:eastAsia="Calibri" w:hAnsi="Calibri"/>
          <w:bCs/>
          <w:sz w:val="24"/>
          <w:szCs w:val="24"/>
        </w:rPr>
        <w:t xml:space="preserve">základě plánovala obměnu služebních dopravních prostředků v rámci programů </w:t>
      </w:r>
      <w:r w:rsidRPr="003A5711">
        <w:rPr>
          <w:rFonts w:ascii="Calibri" w:eastAsia="Calibri" w:hAnsi="Calibri" w:cs="Calibri"/>
          <w:sz w:val="24"/>
          <w:szCs w:val="24"/>
        </w:rPr>
        <w:t xml:space="preserve">176 100 a 176 200. </w:t>
      </w:r>
      <w:r w:rsidRPr="003A5711">
        <w:rPr>
          <w:rFonts w:ascii="Calibri" w:eastAsia="Calibri" w:hAnsi="Calibri"/>
          <w:bCs/>
          <w:sz w:val="24"/>
          <w:szCs w:val="24"/>
        </w:rPr>
        <w:t>GIBS tak neprokázala provázanost plánovaných investic s vyhodnocováním stavu služebních dopravních prostředků, což není v souladu s</w:t>
      </w:r>
      <w:r w:rsidR="004879D0">
        <w:rPr>
          <w:rFonts w:ascii="Calibri" w:eastAsia="Calibri" w:hAnsi="Calibri"/>
          <w:bCs/>
          <w:sz w:val="24"/>
          <w:szCs w:val="24"/>
        </w:rPr>
        <w:t xml:space="preserve"> ustanovením </w:t>
      </w:r>
      <w:r w:rsidRPr="003A5711">
        <w:rPr>
          <w:rFonts w:ascii="Calibri" w:eastAsia="Calibri" w:hAnsi="Calibri"/>
          <w:bCs/>
          <w:sz w:val="24"/>
          <w:szCs w:val="24"/>
        </w:rPr>
        <w:t>§ 39 odst. 3 zákona č. 218/2000 Sb., dle kterého správ</w:t>
      </w:r>
      <w:r w:rsidR="0013137A">
        <w:rPr>
          <w:rFonts w:ascii="Calibri" w:eastAsia="Calibri" w:hAnsi="Calibri"/>
          <w:bCs/>
          <w:sz w:val="24"/>
          <w:szCs w:val="24"/>
        </w:rPr>
        <w:t>ce kapitoly soustavně sleduje a </w:t>
      </w:r>
      <w:r w:rsidRPr="003A5711">
        <w:rPr>
          <w:rFonts w:ascii="Calibri" w:eastAsia="Calibri" w:hAnsi="Calibri"/>
          <w:bCs/>
          <w:sz w:val="24"/>
          <w:szCs w:val="24"/>
        </w:rPr>
        <w:t>vyhodnocuje hospodárnost, efektivnost a účelnost vynakládání výdajů ve své kapitole. P</w:t>
      </w:r>
      <w:r w:rsidRPr="003A5711">
        <w:rPr>
          <w:rFonts w:ascii="Calibri" w:eastAsia="Calibri" w:hAnsi="Calibri"/>
          <w:sz w:val="24"/>
          <w:szCs w:val="24"/>
        </w:rPr>
        <w:t xml:space="preserve">ořízení </w:t>
      </w:r>
      <w:r w:rsidR="004879D0">
        <w:rPr>
          <w:rFonts w:ascii="Calibri" w:eastAsia="Calibri" w:hAnsi="Calibri" w:cs="Calibri"/>
          <w:sz w:val="24"/>
          <w:szCs w:val="24"/>
        </w:rPr>
        <w:t xml:space="preserve">menšího počtu </w:t>
      </w:r>
      <w:r w:rsidR="004879D0" w:rsidRPr="003A5711">
        <w:rPr>
          <w:rFonts w:ascii="Calibri" w:eastAsia="Calibri" w:hAnsi="Calibri" w:cs="Calibri"/>
          <w:sz w:val="24"/>
          <w:szCs w:val="24"/>
        </w:rPr>
        <w:t>služebních dopravních prostředků</w:t>
      </w:r>
      <w:r w:rsidR="004879D0">
        <w:rPr>
          <w:rFonts w:ascii="Calibri" w:eastAsia="Calibri" w:hAnsi="Calibri" w:cs="Calibri"/>
          <w:sz w:val="24"/>
          <w:szCs w:val="24"/>
        </w:rPr>
        <w:t xml:space="preserve"> za vyšší cenu </w:t>
      </w:r>
      <w:r w:rsidR="004879D0" w:rsidRPr="003A5711">
        <w:rPr>
          <w:rFonts w:ascii="Calibri" w:eastAsia="Calibri" w:hAnsi="Calibri"/>
          <w:sz w:val="24"/>
          <w:szCs w:val="24"/>
        </w:rPr>
        <w:t xml:space="preserve">v rámci </w:t>
      </w:r>
      <w:r w:rsidR="00BB3EAE">
        <w:rPr>
          <w:rFonts w:ascii="Calibri" w:eastAsia="Calibri" w:hAnsi="Calibri"/>
          <w:sz w:val="24"/>
          <w:szCs w:val="24"/>
        </w:rPr>
        <w:t>p</w:t>
      </w:r>
      <w:r w:rsidR="004879D0" w:rsidRPr="003A5711">
        <w:rPr>
          <w:rFonts w:ascii="Calibri" w:eastAsia="Calibri" w:hAnsi="Calibri"/>
          <w:sz w:val="24"/>
          <w:szCs w:val="24"/>
        </w:rPr>
        <w:t>rogramu 176</w:t>
      </w:r>
      <w:r w:rsidR="004879D0">
        <w:rPr>
          <w:rFonts w:ascii="Calibri" w:eastAsia="Calibri" w:hAnsi="Calibri"/>
          <w:sz w:val="24"/>
          <w:szCs w:val="24"/>
        </w:rPr>
        <w:t> </w:t>
      </w:r>
      <w:r w:rsidR="004879D0" w:rsidRPr="003A5711">
        <w:rPr>
          <w:rFonts w:ascii="Calibri" w:eastAsia="Calibri" w:hAnsi="Calibri"/>
          <w:sz w:val="24"/>
          <w:szCs w:val="24"/>
        </w:rPr>
        <w:t>100</w:t>
      </w:r>
      <w:r w:rsidR="004879D0">
        <w:rPr>
          <w:rFonts w:ascii="Calibri" w:eastAsia="Calibri" w:hAnsi="Calibri"/>
          <w:sz w:val="24"/>
          <w:szCs w:val="24"/>
        </w:rPr>
        <w:t xml:space="preserve"> </w:t>
      </w:r>
      <w:r w:rsidR="004879D0">
        <w:rPr>
          <w:rFonts w:ascii="Calibri" w:eastAsia="Calibri" w:hAnsi="Calibri" w:cs="Calibri"/>
          <w:color w:val="000000"/>
          <w:sz w:val="24"/>
          <w:szCs w:val="24"/>
          <w:lang w:eastAsia="cs-CZ"/>
        </w:rPr>
        <w:t xml:space="preserve">(viz </w:t>
      </w:r>
      <w:r w:rsidR="004879D0" w:rsidRPr="003A5711">
        <w:rPr>
          <w:rFonts w:ascii="Calibri" w:eastAsia="Calibri" w:hAnsi="Calibri" w:cs="Calibri"/>
          <w:sz w:val="24"/>
          <w:szCs w:val="24"/>
        </w:rPr>
        <w:t>část IV.</w:t>
      </w:r>
      <w:r w:rsidR="004879D0">
        <w:rPr>
          <w:rFonts w:ascii="Calibri" w:eastAsia="Calibri" w:hAnsi="Calibri" w:cs="Calibri"/>
          <w:sz w:val="24"/>
          <w:szCs w:val="24"/>
        </w:rPr>
        <w:t>4</w:t>
      </w:r>
      <w:r w:rsidR="004879D0" w:rsidRPr="003A5711">
        <w:rPr>
          <w:rFonts w:ascii="Calibri" w:eastAsia="Calibri" w:hAnsi="Calibri" w:cs="Calibri"/>
          <w:sz w:val="24"/>
          <w:szCs w:val="24"/>
        </w:rPr>
        <w:t xml:space="preserve">.1 </w:t>
      </w:r>
      <w:r w:rsidR="00C13C6C">
        <w:rPr>
          <w:rFonts w:ascii="Calibri" w:eastAsia="Calibri" w:hAnsi="Calibri" w:cs="Calibri"/>
          <w:sz w:val="24"/>
          <w:szCs w:val="24"/>
        </w:rPr>
        <w:t xml:space="preserve">tohoto </w:t>
      </w:r>
      <w:r w:rsidR="004879D0" w:rsidRPr="003A5711">
        <w:rPr>
          <w:rFonts w:ascii="Calibri" w:eastAsia="Calibri" w:hAnsi="Calibri" w:cs="Calibri"/>
          <w:sz w:val="24"/>
          <w:szCs w:val="24"/>
        </w:rPr>
        <w:t>kontrolního závěru</w:t>
      </w:r>
      <w:r w:rsidR="004879D0">
        <w:rPr>
          <w:rFonts w:ascii="Calibri" w:eastAsia="Calibri" w:hAnsi="Calibri" w:cs="Calibri"/>
          <w:sz w:val="24"/>
          <w:szCs w:val="24"/>
        </w:rPr>
        <w:t>)</w:t>
      </w:r>
      <w:r w:rsidR="004879D0">
        <w:rPr>
          <w:rFonts w:ascii="Calibri" w:eastAsia="Calibri" w:hAnsi="Calibri"/>
          <w:sz w:val="24"/>
          <w:szCs w:val="24"/>
        </w:rPr>
        <w:t xml:space="preserve"> </w:t>
      </w:r>
      <w:r w:rsidRPr="003A5711">
        <w:rPr>
          <w:rFonts w:ascii="Calibri" w:eastAsia="Calibri" w:hAnsi="Calibri"/>
          <w:sz w:val="24"/>
          <w:szCs w:val="24"/>
        </w:rPr>
        <w:t xml:space="preserve">znamená i s ohledem na rostoucí výši </w:t>
      </w:r>
      <w:r w:rsidRPr="003A5711">
        <w:rPr>
          <w:rFonts w:ascii="Calibri" w:eastAsia="Calibri" w:hAnsi="Calibri"/>
          <w:bCs/>
          <w:sz w:val="24"/>
          <w:szCs w:val="24"/>
        </w:rPr>
        <w:t xml:space="preserve">výdajů na </w:t>
      </w:r>
      <w:r w:rsidR="004879D0">
        <w:rPr>
          <w:rFonts w:ascii="Calibri" w:eastAsia="Calibri" w:hAnsi="Calibri"/>
          <w:bCs/>
          <w:sz w:val="24"/>
          <w:szCs w:val="24"/>
        </w:rPr>
        <w:t xml:space="preserve">jejich </w:t>
      </w:r>
      <w:r w:rsidRPr="003A5711">
        <w:rPr>
          <w:rFonts w:ascii="Calibri" w:eastAsia="Calibri" w:hAnsi="Calibri"/>
          <w:bCs/>
          <w:sz w:val="24"/>
          <w:szCs w:val="24"/>
        </w:rPr>
        <w:t xml:space="preserve">opravy a udržování </w:t>
      </w:r>
      <w:r w:rsidR="004879D0">
        <w:rPr>
          <w:rFonts w:ascii="Calibri" w:eastAsia="Calibri" w:hAnsi="Calibri"/>
          <w:bCs/>
          <w:sz w:val="24"/>
          <w:szCs w:val="24"/>
        </w:rPr>
        <w:t xml:space="preserve">(od roku 2017 do roku 2020 </w:t>
      </w:r>
      <w:r w:rsidR="00BF0A10">
        <w:rPr>
          <w:rFonts w:ascii="Calibri" w:eastAsia="Calibri" w:hAnsi="Calibri"/>
          <w:bCs/>
          <w:sz w:val="24"/>
          <w:szCs w:val="24"/>
        </w:rPr>
        <w:t xml:space="preserve">se </w:t>
      </w:r>
      <w:r w:rsidR="00BF0A10" w:rsidRPr="003A5711">
        <w:rPr>
          <w:rFonts w:ascii="Calibri" w:eastAsia="Calibri" w:hAnsi="Calibri"/>
          <w:bCs/>
          <w:sz w:val="24"/>
          <w:szCs w:val="24"/>
        </w:rPr>
        <w:t>zvýšily téměř o 20 %</w:t>
      </w:r>
      <w:r w:rsidR="00BF0A10">
        <w:rPr>
          <w:rFonts w:ascii="Calibri" w:eastAsia="Calibri" w:hAnsi="Calibri"/>
          <w:bCs/>
          <w:sz w:val="24"/>
          <w:szCs w:val="24"/>
        </w:rPr>
        <w:t xml:space="preserve">) </w:t>
      </w:r>
      <w:r w:rsidRPr="003A5711">
        <w:rPr>
          <w:rFonts w:ascii="Calibri" w:eastAsia="Calibri" w:hAnsi="Calibri"/>
          <w:bCs/>
          <w:sz w:val="24"/>
          <w:szCs w:val="24"/>
        </w:rPr>
        <w:t>riziko neefektivního a nehospodárného vynakládání peněžních prostředků státu v této oblasti.</w:t>
      </w:r>
      <w:r w:rsidRPr="00C2621A">
        <w:rPr>
          <w:rFonts w:ascii="Calibri" w:eastAsia="Calibri" w:hAnsi="Calibri"/>
          <w:bCs/>
          <w:sz w:val="24"/>
          <w:szCs w:val="24"/>
        </w:rPr>
        <w:t xml:space="preserve"> </w:t>
      </w:r>
    </w:p>
    <w:p w14:paraId="743EAB32" w14:textId="2DC8CB0B" w:rsidR="003A5711" w:rsidRPr="003A5711" w:rsidRDefault="003A5711" w:rsidP="00023972">
      <w:pPr>
        <w:tabs>
          <w:tab w:val="left" w:pos="1560"/>
        </w:tabs>
        <w:spacing w:after="120" w:line="264" w:lineRule="auto"/>
        <w:jc w:val="both"/>
        <w:rPr>
          <w:rFonts w:ascii="Calibri" w:hAnsi="Calibri"/>
          <w:sz w:val="24"/>
          <w:szCs w:val="24"/>
        </w:rPr>
      </w:pPr>
      <w:r w:rsidRPr="003A5711">
        <w:rPr>
          <w:rFonts w:ascii="Calibri" w:hAnsi="Calibri"/>
          <w:sz w:val="24"/>
          <w:szCs w:val="24"/>
        </w:rPr>
        <w:t>Kontrolou vybraných provozních výdajů bylo ověřeno, že byly realizovány hospodár</w:t>
      </w:r>
      <w:r w:rsidR="0013137A">
        <w:rPr>
          <w:rFonts w:ascii="Calibri" w:hAnsi="Calibri"/>
          <w:sz w:val="24"/>
          <w:szCs w:val="24"/>
        </w:rPr>
        <w:t>ně a </w:t>
      </w:r>
      <w:r w:rsidRPr="003A5711">
        <w:rPr>
          <w:rFonts w:ascii="Calibri" w:hAnsi="Calibri"/>
          <w:sz w:val="24"/>
          <w:szCs w:val="24"/>
        </w:rPr>
        <w:t xml:space="preserve">v souladu s právními předpisy. </w:t>
      </w:r>
    </w:p>
    <w:p w14:paraId="233A85C4" w14:textId="202C8083" w:rsidR="003A5711" w:rsidRPr="003A5711" w:rsidRDefault="005B0E1F" w:rsidP="005B0E1F">
      <w:pPr>
        <w:keepNext/>
        <w:spacing w:after="120" w:line="264" w:lineRule="auto"/>
        <w:outlineLvl w:val="1"/>
        <w:rPr>
          <w:rFonts w:cs="Calibri"/>
          <w:b/>
          <w:sz w:val="24"/>
          <w:szCs w:val="24"/>
        </w:rPr>
      </w:pPr>
      <w:r>
        <w:rPr>
          <w:rFonts w:cs="Calibri"/>
          <w:b/>
          <w:sz w:val="24"/>
          <w:szCs w:val="24"/>
        </w:rPr>
        <w:t xml:space="preserve">5. </w:t>
      </w:r>
      <w:r w:rsidR="003A5711" w:rsidRPr="003A5711">
        <w:rPr>
          <w:rFonts w:cs="Calibri"/>
          <w:b/>
          <w:sz w:val="24"/>
          <w:szCs w:val="24"/>
        </w:rPr>
        <w:t>Nastavení systému pro účelné hospodaření s majetkem a peněžními prostředky státu</w:t>
      </w:r>
    </w:p>
    <w:p w14:paraId="172A7990" w14:textId="1D30E974" w:rsidR="003A5711" w:rsidRPr="003A5711" w:rsidRDefault="003A5711" w:rsidP="005B0E1F">
      <w:pPr>
        <w:keepNext/>
        <w:spacing w:after="120" w:line="264" w:lineRule="auto"/>
        <w:ind w:left="425" w:hanging="425"/>
        <w:outlineLvl w:val="2"/>
        <w:rPr>
          <w:rFonts w:ascii="Calibri" w:eastAsia="Calibri" w:hAnsi="Calibri" w:cs="Calibri"/>
          <w:b/>
          <w:color w:val="000000"/>
          <w:sz w:val="24"/>
          <w:szCs w:val="24"/>
          <w:lang w:eastAsia="cs-CZ"/>
        </w:rPr>
      </w:pPr>
      <w:r w:rsidRPr="003A5711">
        <w:rPr>
          <w:rFonts w:cs="Calibri"/>
          <w:b/>
          <w:sz w:val="24"/>
          <w:szCs w:val="24"/>
        </w:rPr>
        <w:t>5.1 GIBS nestanovila potřeby</w:t>
      </w:r>
      <w:r w:rsidRPr="003A5711">
        <w:rPr>
          <w:rFonts w:ascii="Calibri" w:eastAsia="Calibri" w:hAnsi="Calibri" w:cs="Calibri"/>
          <w:b/>
          <w:color w:val="000000"/>
          <w:sz w:val="24"/>
          <w:szCs w:val="24"/>
          <w:lang w:eastAsia="cs-CZ"/>
        </w:rPr>
        <w:t xml:space="preserve"> v investiční a personální oblasti</w:t>
      </w:r>
    </w:p>
    <w:p w14:paraId="12DEA79F" w14:textId="04CDE5B5" w:rsidR="00E27DAB" w:rsidRPr="00442CA2" w:rsidRDefault="00D415BD" w:rsidP="00023972">
      <w:pPr>
        <w:spacing w:after="120" w:line="264" w:lineRule="auto"/>
        <w:ind w:right="6"/>
        <w:jc w:val="both"/>
        <w:rPr>
          <w:rFonts w:ascii="Calibri" w:eastAsia="Calibri" w:hAnsi="Calibri" w:cs="Calibri"/>
          <w:bCs/>
          <w:sz w:val="24"/>
          <w:szCs w:val="24"/>
          <w:lang w:eastAsia="cs-CZ"/>
        </w:rPr>
      </w:pPr>
      <w:r w:rsidRPr="003A5711">
        <w:rPr>
          <w:rFonts w:ascii="Calibri" w:eastAsia="Calibri" w:hAnsi="Calibri" w:cs="Calibri"/>
          <w:color w:val="000000"/>
          <w:sz w:val="24"/>
          <w:lang w:eastAsia="cs-CZ"/>
        </w:rPr>
        <w:t xml:space="preserve">GIBS každoročně sestavuje </w:t>
      </w:r>
      <w:r w:rsidR="00C13C6C">
        <w:rPr>
          <w:rFonts w:ascii="Calibri" w:eastAsia="Calibri" w:hAnsi="Calibri" w:cs="Calibri"/>
          <w:i/>
          <w:color w:val="000000"/>
          <w:sz w:val="24"/>
          <w:lang w:eastAsia="cs-CZ"/>
        </w:rPr>
        <w:t>p</w:t>
      </w:r>
      <w:r w:rsidRPr="003A5711">
        <w:rPr>
          <w:rFonts w:ascii="Calibri" w:eastAsia="Calibri" w:hAnsi="Calibri" w:cs="Calibri"/>
          <w:i/>
          <w:color w:val="000000"/>
          <w:sz w:val="24"/>
          <w:lang w:eastAsia="cs-CZ"/>
        </w:rPr>
        <w:t xml:space="preserve">lány nákupu majetku, oprav a služeb, </w:t>
      </w:r>
      <w:r w:rsidRPr="003A5711">
        <w:rPr>
          <w:rFonts w:ascii="Calibri" w:eastAsia="Calibri" w:hAnsi="Calibri" w:cs="Calibri"/>
          <w:iCs/>
          <w:color w:val="000000"/>
          <w:sz w:val="24"/>
          <w:lang w:eastAsia="cs-CZ"/>
        </w:rPr>
        <w:t xml:space="preserve">které </w:t>
      </w:r>
      <w:r w:rsidRPr="003A5711">
        <w:rPr>
          <w:rFonts w:ascii="Calibri" w:eastAsia="Calibri" w:hAnsi="Calibri" w:cs="Calibri"/>
          <w:color w:val="000000"/>
          <w:sz w:val="24"/>
          <w:lang w:eastAsia="cs-CZ"/>
        </w:rPr>
        <w:t xml:space="preserve">obsahují rozpis položek majetku a služeb, jež plánuje v daném roce pořídit. </w:t>
      </w:r>
      <w:r w:rsidRPr="003A5711">
        <w:rPr>
          <w:rFonts w:ascii="Calibri" w:eastAsia="Calibri" w:hAnsi="Calibri" w:cs="Arial"/>
          <w:bCs/>
          <w:color w:val="000000"/>
          <w:sz w:val="24"/>
          <w:szCs w:val="24"/>
          <w:lang w:eastAsia="cs-CZ"/>
        </w:rPr>
        <w:t>GIBS sestavovala tyto plány až na začátku příslušného roku, tedy po schválení státního rozpočtu včetně rozpočtové kapitoly 376</w:t>
      </w:r>
      <w:r w:rsidR="005B0E1F">
        <w:rPr>
          <w:rFonts w:ascii="Calibri" w:eastAsia="Calibri" w:hAnsi="Calibri" w:cs="Arial"/>
          <w:bCs/>
          <w:color w:val="000000"/>
          <w:sz w:val="24"/>
          <w:szCs w:val="24"/>
          <w:lang w:eastAsia="cs-CZ"/>
        </w:rPr>
        <w:t> </w:t>
      </w:r>
      <w:r w:rsidRPr="003A5711">
        <w:rPr>
          <w:rFonts w:ascii="Calibri" w:eastAsia="Calibri" w:hAnsi="Calibri" w:cs="Arial"/>
          <w:bCs/>
          <w:color w:val="000000"/>
          <w:sz w:val="24"/>
          <w:szCs w:val="24"/>
          <w:lang w:eastAsia="cs-CZ"/>
        </w:rPr>
        <w:t xml:space="preserve">– GIBS. </w:t>
      </w:r>
      <w:r w:rsidRPr="003A5711">
        <w:rPr>
          <w:rFonts w:ascii="Calibri" w:eastAsia="Calibri" w:hAnsi="Calibri" w:cs="Arial"/>
          <w:sz w:val="24"/>
          <w:szCs w:val="24"/>
          <w:lang w:eastAsia="cs-CZ"/>
        </w:rPr>
        <w:t xml:space="preserve">Rozpočet </w:t>
      </w:r>
      <w:r w:rsidR="00C84D70">
        <w:rPr>
          <w:rFonts w:ascii="Calibri" w:eastAsia="Calibri" w:hAnsi="Calibri" w:cs="Arial"/>
          <w:sz w:val="24"/>
          <w:szCs w:val="24"/>
          <w:lang w:eastAsia="cs-CZ"/>
        </w:rPr>
        <w:t>kapitoly 376</w:t>
      </w:r>
      <w:r w:rsidR="00C13C6C">
        <w:rPr>
          <w:rFonts w:ascii="Calibri" w:eastAsia="Calibri" w:hAnsi="Calibri" w:cs="Arial"/>
          <w:sz w:val="24"/>
          <w:szCs w:val="24"/>
          <w:lang w:eastAsia="cs-CZ"/>
        </w:rPr>
        <w:t> </w:t>
      </w:r>
      <w:r w:rsidR="00C13C6C" w:rsidRPr="003A5711">
        <w:rPr>
          <w:rFonts w:ascii="Calibri" w:eastAsia="Calibri" w:hAnsi="Calibri" w:cs="Arial"/>
          <w:bCs/>
          <w:color w:val="000000"/>
          <w:sz w:val="24"/>
          <w:szCs w:val="24"/>
          <w:lang w:eastAsia="cs-CZ"/>
        </w:rPr>
        <w:t>–</w:t>
      </w:r>
      <w:r w:rsidR="00C84D70">
        <w:rPr>
          <w:rFonts w:ascii="Calibri" w:eastAsia="Calibri" w:hAnsi="Calibri" w:cs="Arial"/>
          <w:sz w:val="24"/>
          <w:szCs w:val="24"/>
          <w:lang w:eastAsia="cs-CZ"/>
        </w:rPr>
        <w:t xml:space="preserve"> GIBS </w:t>
      </w:r>
      <w:r w:rsidRPr="003A5711">
        <w:rPr>
          <w:rFonts w:ascii="Calibri" w:eastAsia="Calibri" w:hAnsi="Calibri" w:cs="Arial"/>
          <w:sz w:val="24"/>
          <w:szCs w:val="24"/>
          <w:lang w:eastAsia="cs-CZ"/>
        </w:rPr>
        <w:t xml:space="preserve">tak nevycházel z reálných potřeb GIBS, jejichž stanovení by mělo návrhům rozpočtu předcházet. </w:t>
      </w:r>
      <w:r w:rsidR="00B172F7" w:rsidRPr="003A5711">
        <w:rPr>
          <w:rFonts w:ascii="Calibri" w:eastAsia="Calibri" w:hAnsi="Calibri" w:cs="Arial"/>
          <w:color w:val="000000"/>
          <w:sz w:val="24"/>
          <w:szCs w:val="24"/>
          <w:lang w:eastAsia="cs-CZ"/>
        </w:rPr>
        <w:t xml:space="preserve">GIBS zpracovala dále </w:t>
      </w:r>
      <w:r w:rsidR="00B172F7" w:rsidRPr="003A5711">
        <w:rPr>
          <w:rFonts w:ascii="Calibri" w:eastAsia="Calibri" w:hAnsi="Calibri" w:cs="Arial"/>
          <w:i/>
          <w:color w:val="000000"/>
          <w:sz w:val="24"/>
          <w:szCs w:val="24"/>
          <w:lang w:eastAsia="cs-CZ"/>
        </w:rPr>
        <w:t>Analýzu činností 2012 až 2016</w:t>
      </w:r>
      <w:r w:rsidR="00B172F7" w:rsidRPr="003A5711">
        <w:rPr>
          <w:rFonts w:ascii="Calibri" w:eastAsia="Calibri" w:hAnsi="Calibri" w:cs="Arial"/>
          <w:color w:val="000000"/>
          <w:sz w:val="24"/>
          <w:szCs w:val="24"/>
          <w:lang w:eastAsia="cs-CZ"/>
        </w:rPr>
        <w:t xml:space="preserve">, která však obsahuje jen </w:t>
      </w:r>
      <w:r w:rsidR="00B172F7" w:rsidRPr="003A5711">
        <w:rPr>
          <w:rFonts w:ascii="Calibri" w:eastAsia="Calibri" w:hAnsi="Calibri" w:cs="Calibri"/>
          <w:color w:val="000000"/>
          <w:sz w:val="24"/>
          <w:szCs w:val="24"/>
          <w:lang w:eastAsia="cs-CZ"/>
        </w:rPr>
        <w:t xml:space="preserve">stručné informace o stavu nemovitého a movitého majetku a souhrn činností, které GIBS v tomto období realizovala. </w:t>
      </w:r>
      <w:r w:rsidR="00E27DAB">
        <w:rPr>
          <w:rFonts w:ascii="Calibri" w:eastAsia="Calibri" w:hAnsi="Calibri" w:cs="Calibri"/>
          <w:color w:val="000000"/>
          <w:sz w:val="24"/>
          <w:szCs w:val="24"/>
          <w:lang w:eastAsia="cs-CZ"/>
        </w:rPr>
        <w:t>Analýza o</w:t>
      </w:r>
      <w:r w:rsidR="00B172F7" w:rsidRPr="003A5711">
        <w:rPr>
          <w:rFonts w:ascii="Calibri" w:eastAsia="Calibri" w:hAnsi="Calibri" w:cs="Calibri"/>
          <w:color w:val="000000"/>
          <w:sz w:val="24"/>
          <w:szCs w:val="24"/>
          <w:lang w:eastAsia="cs-CZ"/>
        </w:rPr>
        <w:t>bsahuje také plánovaný „</w:t>
      </w:r>
      <w:r w:rsidR="00B172F7" w:rsidRPr="009D6D78">
        <w:rPr>
          <w:rFonts w:ascii="Calibri" w:eastAsia="Calibri" w:hAnsi="Calibri" w:cs="Calibri"/>
          <w:color w:val="000000"/>
          <w:sz w:val="24"/>
          <w:szCs w:val="24"/>
          <w:lang w:eastAsia="cs-CZ"/>
        </w:rPr>
        <w:t>vývoj na období 2017 až 2020</w:t>
      </w:r>
      <w:r w:rsidR="00B172F7" w:rsidRPr="003A5711">
        <w:rPr>
          <w:rFonts w:ascii="Calibri" w:eastAsia="Calibri" w:hAnsi="Calibri" w:cs="Calibri"/>
          <w:color w:val="000000"/>
          <w:sz w:val="24"/>
          <w:szCs w:val="24"/>
          <w:lang w:eastAsia="cs-CZ"/>
        </w:rPr>
        <w:t xml:space="preserve">“ v oblasti movitého a nemovitého majetku a v personální </w:t>
      </w:r>
      <w:r w:rsidR="00B172F7" w:rsidRPr="003A5711">
        <w:rPr>
          <w:rFonts w:ascii="Calibri" w:eastAsia="Calibri" w:hAnsi="Calibri" w:cs="Calibri"/>
          <w:sz w:val="24"/>
          <w:szCs w:val="24"/>
          <w:lang w:eastAsia="cs-CZ"/>
        </w:rPr>
        <w:t>oblasti.</w:t>
      </w:r>
      <w:r w:rsidR="00B172F7" w:rsidRPr="003A5711">
        <w:rPr>
          <w:rFonts w:ascii="Calibri" w:eastAsia="Calibri" w:hAnsi="Calibri" w:cs="Calibri"/>
          <w:color w:val="000000"/>
          <w:sz w:val="24"/>
          <w:szCs w:val="24"/>
          <w:lang w:eastAsia="cs-CZ"/>
        </w:rPr>
        <w:t xml:space="preserve"> </w:t>
      </w:r>
      <w:r w:rsidR="00B172F7" w:rsidRPr="003A5711">
        <w:rPr>
          <w:rFonts w:ascii="Calibri" w:eastAsia="Calibri" w:hAnsi="Calibri" w:cs="Calibri"/>
          <w:sz w:val="24"/>
          <w:szCs w:val="24"/>
          <w:lang w:eastAsia="cs-CZ"/>
        </w:rPr>
        <w:t xml:space="preserve">Ten však obsahoval </w:t>
      </w:r>
      <w:r w:rsidR="00B172F7" w:rsidRPr="003A5711">
        <w:rPr>
          <w:rFonts w:ascii="Calibri" w:eastAsia="Calibri" w:hAnsi="Calibri" w:cs="Calibri"/>
          <w:bCs/>
          <w:sz w:val="24"/>
          <w:szCs w:val="24"/>
          <w:lang w:eastAsia="cs-CZ"/>
        </w:rPr>
        <w:t>pouze stručný seznam činností bez bližšího harmonogramu a</w:t>
      </w:r>
      <w:r w:rsidR="005B0E1F">
        <w:rPr>
          <w:rFonts w:ascii="Calibri" w:eastAsia="Calibri" w:hAnsi="Calibri" w:cs="Calibri"/>
          <w:bCs/>
          <w:sz w:val="24"/>
          <w:szCs w:val="24"/>
          <w:lang w:eastAsia="cs-CZ"/>
        </w:rPr>
        <w:t> </w:t>
      </w:r>
      <w:r w:rsidR="00B172F7" w:rsidRPr="003A5711">
        <w:rPr>
          <w:rFonts w:ascii="Calibri" w:eastAsia="Calibri" w:hAnsi="Calibri" w:cs="Calibri"/>
          <w:bCs/>
          <w:sz w:val="24"/>
          <w:szCs w:val="24"/>
          <w:lang w:eastAsia="cs-CZ"/>
        </w:rPr>
        <w:t xml:space="preserve">odhadovaných </w:t>
      </w:r>
      <w:r w:rsidR="00E27DAB">
        <w:rPr>
          <w:rFonts w:ascii="Calibri" w:eastAsia="Calibri" w:hAnsi="Calibri" w:cs="Calibri"/>
          <w:bCs/>
          <w:sz w:val="24"/>
          <w:szCs w:val="24"/>
          <w:lang w:eastAsia="cs-CZ"/>
        </w:rPr>
        <w:t xml:space="preserve">výdajů. </w:t>
      </w:r>
      <w:r w:rsidR="00B172F7" w:rsidRPr="003A5711">
        <w:rPr>
          <w:rFonts w:ascii="Calibri" w:eastAsia="Calibri" w:hAnsi="Calibri" w:cs="Calibri"/>
          <w:color w:val="000000"/>
          <w:sz w:val="24"/>
          <w:szCs w:val="24"/>
          <w:lang w:eastAsia="cs-CZ"/>
        </w:rPr>
        <w:t xml:space="preserve">NKÚ vyhodnotil </w:t>
      </w:r>
      <w:r w:rsidR="00B172F7" w:rsidRPr="003A5711">
        <w:rPr>
          <w:rFonts w:ascii="Calibri" w:eastAsia="Calibri" w:hAnsi="Calibri" w:cs="Calibri"/>
          <w:sz w:val="24"/>
          <w:szCs w:val="24"/>
          <w:lang w:eastAsia="cs-CZ"/>
        </w:rPr>
        <w:t>zpracovávané</w:t>
      </w:r>
      <w:r w:rsidR="00B172F7" w:rsidRPr="009D6D78">
        <w:rPr>
          <w:rFonts w:ascii="Calibri" w:eastAsia="Calibri" w:hAnsi="Calibri" w:cs="Calibri"/>
          <w:bCs/>
          <w:sz w:val="24"/>
          <w:szCs w:val="24"/>
          <w:lang w:eastAsia="cs-CZ"/>
        </w:rPr>
        <w:t xml:space="preserve"> </w:t>
      </w:r>
      <w:r w:rsidR="00B172F7" w:rsidRPr="003A5711">
        <w:rPr>
          <w:rFonts w:ascii="Calibri" w:eastAsia="Calibri" w:hAnsi="Calibri" w:cs="Calibri"/>
          <w:sz w:val="24"/>
          <w:szCs w:val="24"/>
          <w:lang w:eastAsia="cs-CZ"/>
        </w:rPr>
        <w:t>p</w:t>
      </w:r>
      <w:r w:rsidR="00B172F7" w:rsidRPr="003A5711">
        <w:rPr>
          <w:rFonts w:ascii="Calibri" w:eastAsia="Calibri" w:hAnsi="Calibri" w:cs="Calibri"/>
          <w:color w:val="000000"/>
          <w:sz w:val="24"/>
          <w:szCs w:val="24"/>
          <w:lang w:eastAsia="cs-CZ"/>
        </w:rPr>
        <w:t xml:space="preserve">lány a analýzy </w:t>
      </w:r>
      <w:r w:rsidR="00B172F7">
        <w:rPr>
          <w:rFonts w:ascii="Calibri" w:eastAsia="Calibri" w:hAnsi="Calibri" w:cs="Calibri"/>
          <w:color w:val="000000"/>
          <w:sz w:val="24"/>
          <w:szCs w:val="24"/>
          <w:lang w:eastAsia="cs-CZ"/>
        </w:rPr>
        <w:t xml:space="preserve">GIBS </w:t>
      </w:r>
      <w:r w:rsidR="00B172F7" w:rsidRPr="003A5711">
        <w:rPr>
          <w:rFonts w:ascii="Calibri" w:eastAsia="Calibri" w:hAnsi="Calibri" w:cs="Calibri"/>
          <w:color w:val="000000"/>
          <w:sz w:val="24"/>
          <w:szCs w:val="24"/>
          <w:lang w:eastAsia="cs-CZ"/>
        </w:rPr>
        <w:t>prokazující monitoring investiční oblasti jako nedostatečné, neboť neobsahují konkrétn</w:t>
      </w:r>
      <w:r w:rsidR="0013137A">
        <w:rPr>
          <w:rFonts w:ascii="Calibri" w:eastAsia="Calibri" w:hAnsi="Calibri" w:cs="Calibri"/>
          <w:color w:val="000000"/>
          <w:sz w:val="24"/>
          <w:szCs w:val="24"/>
          <w:lang w:eastAsia="cs-CZ"/>
        </w:rPr>
        <w:t>í a jednoznačně vymezené cíle a </w:t>
      </w:r>
      <w:r w:rsidR="00B172F7" w:rsidRPr="003A5711">
        <w:rPr>
          <w:rFonts w:ascii="Calibri" w:eastAsia="Calibri" w:hAnsi="Calibri" w:cs="Calibri"/>
          <w:color w:val="000000"/>
          <w:sz w:val="24"/>
          <w:szCs w:val="24"/>
          <w:lang w:eastAsia="cs-CZ"/>
        </w:rPr>
        <w:t xml:space="preserve">potřeby, kterých chce GIBS v daném období dosáhnout. </w:t>
      </w:r>
    </w:p>
    <w:p w14:paraId="68D2362D" w14:textId="31F15D76" w:rsidR="00B172F7" w:rsidRDefault="00B172F7" w:rsidP="00023972">
      <w:pPr>
        <w:spacing w:after="120" w:line="264" w:lineRule="auto"/>
        <w:ind w:right="6"/>
        <w:jc w:val="both"/>
        <w:rPr>
          <w:rFonts w:ascii="Calibri" w:eastAsia="Calibri" w:hAnsi="Calibri" w:cs="Calibri"/>
          <w:color w:val="000000"/>
          <w:sz w:val="24"/>
          <w:szCs w:val="24"/>
          <w:lang w:eastAsia="cs-CZ"/>
        </w:rPr>
      </w:pPr>
      <w:r w:rsidRPr="003A5711">
        <w:rPr>
          <w:rFonts w:ascii="Calibri" w:eastAsia="Calibri" w:hAnsi="Calibri" w:cs="Calibri"/>
          <w:color w:val="000000"/>
          <w:sz w:val="24"/>
          <w:szCs w:val="24"/>
          <w:lang w:eastAsia="cs-CZ"/>
        </w:rPr>
        <w:t>Pro personální oblast GIBS analýzy ani vnitřní pravidla a post</w:t>
      </w:r>
      <w:r w:rsidR="0013137A">
        <w:rPr>
          <w:rFonts w:ascii="Calibri" w:eastAsia="Calibri" w:hAnsi="Calibri" w:cs="Calibri"/>
          <w:color w:val="000000"/>
          <w:sz w:val="24"/>
          <w:szCs w:val="24"/>
          <w:lang w:eastAsia="cs-CZ"/>
        </w:rPr>
        <w:t>upy pro plánování, monitoring a </w:t>
      </w:r>
      <w:r w:rsidRPr="003A5711">
        <w:rPr>
          <w:rFonts w:ascii="Calibri" w:eastAsia="Calibri" w:hAnsi="Calibri" w:cs="Calibri"/>
          <w:color w:val="000000"/>
          <w:sz w:val="24"/>
          <w:szCs w:val="24"/>
          <w:lang w:eastAsia="cs-CZ"/>
        </w:rPr>
        <w:t xml:space="preserve">vyhodnocování </w:t>
      </w:r>
      <w:r w:rsidR="00FF345F">
        <w:rPr>
          <w:rFonts w:ascii="Calibri" w:eastAsia="Calibri" w:hAnsi="Calibri" w:cs="Calibri"/>
          <w:color w:val="000000"/>
          <w:sz w:val="24"/>
          <w:szCs w:val="24"/>
          <w:lang w:eastAsia="cs-CZ"/>
        </w:rPr>
        <w:t>nezpracovala</w:t>
      </w:r>
      <w:r w:rsidRPr="003A5711">
        <w:rPr>
          <w:rFonts w:ascii="Calibri" w:eastAsia="Calibri" w:hAnsi="Calibri" w:cs="Calibri"/>
          <w:color w:val="000000"/>
          <w:sz w:val="24"/>
          <w:szCs w:val="24"/>
          <w:lang w:eastAsia="cs-CZ"/>
        </w:rPr>
        <w:t xml:space="preserve">. </w:t>
      </w:r>
      <w:r>
        <w:rPr>
          <w:rFonts w:ascii="Calibri" w:eastAsia="Calibri" w:hAnsi="Calibri" w:cs="Calibri"/>
          <w:color w:val="000000"/>
          <w:sz w:val="24"/>
          <w:szCs w:val="24"/>
          <w:lang w:eastAsia="cs-CZ"/>
        </w:rPr>
        <w:t>Důsledkem absence průběžného plánování a vyhodnocování personální oblasti byla od roku 2018 nutnost GIBS ka</w:t>
      </w:r>
      <w:r w:rsidR="0013137A">
        <w:rPr>
          <w:rFonts w:ascii="Calibri" w:eastAsia="Calibri" w:hAnsi="Calibri" w:cs="Calibri"/>
          <w:color w:val="000000"/>
          <w:sz w:val="24"/>
          <w:szCs w:val="24"/>
          <w:lang w:eastAsia="cs-CZ"/>
        </w:rPr>
        <w:t>ždoročně žádat v průběhu roku o </w:t>
      </w:r>
      <w:r>
        <w:rPr>
          <w:rFonts w:ascii="Calibri" w:eastAsia="Calibri" w:hAnsi="Calibri" w:cs="Calibri"/>
          <w:color w:val="000000"/>
          <w:sz w:val="24"/>
          <w:szCs w:val="24"/>
          <w:lang w:eastAsia="cs-CZ"/>
        </w:rPr>
        <w:t xml:space="preserve">navýšení </w:t>
      </w:r>
      <w:r w:rsidR="00E90C3B">
        <w:rPr>
          <w:rFonts w:ascii="Calibri" w:eastAsia="Calibri" w:hAnsi="Calibri" w:cs="Calibri"/>
          <w:color w:val="000000"/>
          <w:sz w:val="24"/>
          <w:szCs w:val="24"/>
          <w:lang w:eastAsia="cs-CZ"/>
        </w:rPr>
        <w:t>rozpočtu</w:t>
      </w:r>
      <w:r w:rsidRPr="00980F84">
        <w:rPr>
          <w:rFonts w:ascii="Calibri" w:eastAsia="Calibri" w:hAnsi="Calibri" w:cs="Calibri"/>
          <w:color w:val="000000"/>
          <w:sz w:val="24"/>
          <w:szCs w:val="24"/>
          <w:lang w:eastAsia="cs-CZ"/>
        </w:rPr>
        <w:t xml:space="preserve"> </w:t>
      </w:r>
      <w:r>
        <w:rPr>
          <w:rFonts w:ascii="Calibri" w:eastAsia="Calibri" w:hAnsi="Calibri" w:cs="Calibri"/>
          <w:color w:val="000000"/>
          <w:sz w:val="24"/>
          <w:szCs w:val="24"/>
          <w:lang w:eastAsia="cs-CZ"/>
        </w:rPr>
        <w:t xml:space="preserve">GIBS </w:t>
      </w:r>
      <w:r w:rsidRPr="00980F84">
        <w:rPr>
          <w:rFonts w:ascii="Calibri" w:eastAsia="Calibri" w:hAnsi="Calibri" w:cs="Calibri"/>
          <w:color w:val="000000"/>
          <w:sz w:val="24"/>
          <w:szCs w:val="24"/>
          <w:lang w:eastAsia="cs-CZ"/>
        </w:rPr>
        <w:t xml:space="preserve">na </w:t>
      </w:r>
      <w:r w:rsidR="00E07696">
        <w:rPr>
          <w:rFonts w:ascii="Calibri" w:eastAsia="Calibri" w:hAnsi="Calibri" w:cs="Calibri"/>
          <w:color w:val="000000"/>
          <w:sz w:val="24"/>
          <w:szCs w:val="24"/>
          <w:lang w:eastAsia="cs-CZ"/>
        </w:rPr>
        <w:t xml:space="preserve">mj. výsluhový příspěvek </w:t>
      </w:r>
      <w:r>
        <w:rPr>
          <w:rFonts w:ascii="Calibri" w:eastAsia="Calibri" w:hAnsi="Calibri" w:cs="Calibri"/>
          <w:color w:val="000000"/>
          <w:sz w:val="24"/>
          <w:szCs w:val="24"/>
          <w:lang w:eastAsia="cs-CZ"/>
        </w:rPr>
        <w:t xml:space="preserve">z rozpočtové kapitoly 396 – </w:t>
      </w:r>
      <w:r w:rsidRPr="009D6D78">
        <w:rPr>
          <w:rFonts w:ascii="Calibri" w:eastAsia="Calibri" w:hAnsi="Calibri" w:cs="Calibri"/>
          <w:i/>
          <w:color w:val="000000"/>
          <w:sz w:val="24"/>
          <w:szCs w:val="24"/>
          <w:lang w:eastAsia="cs-CZ"/>
        </w:rPr>
        <w:t>Státní dluh</w:t>
      </w:r>
      <w:r>
        <w:rPr>
          <w:rFonts w:ascii="Calibri" w:eastAsia="Calibri" w:hAnsi="Calibri" w:cs="Calibri"/>
          <w:color w:val="000000"/>
          <w:sz w:val="24"/>
          <w:szCs w:val="24"/>
          <w:lang w:eastAsia="cs-CZ"/>
        </w:rPr>
        <w:t>.</w:t>
      </w:r>
      <w:r w:rsidRPr="00BC1185">
        <w:t xml:space="preserve"> </w:t>
      </w:r>
      <w:r>
        <w:rPr>
          <w:sz w:val="24"/>
          <w:szCs w:val="24"/>
        </w:rPr>
        <w:t>Zároveň</w:t>
      </w:r>
      <w:r w:rsidRPr="00E23043">
        <w:rPr>
          <w:sz w:val="24"/>
          <w:szCs w:val="24"/>
        </w:rPr>
        <w:t xml:space="preserve"> </w:t>
      </w:r>
      <w:r w:rsidRPr="00BC1185">
        <w:rPr>
          <w:rFonts w:ascii="Calibri" w:eastAsia="Calibri" w:hAnsi="Calibri" w:cs="Calibri"/>
          <w:color w:val="000000"/>
          <w:sz w:val="24"/>
          <w:szCs w:val="24"/>
          <w:lang w:eastAsia="cs-CZ"/>
        </w:rPr>
        <w:t>od roku 2012 žádala GIBS opakovaně o úpravy</w:t>
      </w:r>
      <w:r w:rsidR="0013137A">
        <w:rPr>
          <w:rFonts w:ascii="Calibri" w:eastAsia="Calibri" w:hAnsi="Calibri" w:cs="Calibri"/>
          <w:color w:val="000000"/>
          <w:sz w:val="24"/>
          <w:szCs w:val="24"/>
          <w:lang w:eastAsia="cs-CZ"/>
        </w:rPr>
        <w:t xml:space="preserve"> závazných limitů a ukazatelů v </w:t>
      </w:r>
      <w:r w:rsidRPr="00BC1185">
        <w:rPr>
          <w:rFonts w:ascii="Calibri" w:eastAsia="Calibri" w:hAnsi="Calibri" w:cs="Calibri"/>
          <w:color w:val="000000"/>
          <w:sz w:val="24"/>
          <w:szCs w:val="24"/>
          <w:lang w:eastAsia="cs-CZ"/>
        </w:rPr>
        <w:t>personální oblasti.</w:t>
      </w:r>
    </w:p>
    <w:p w14:paraId="025AE6AC" w14:textId="1E061775" w:rsidR="00D6358A" w:rsidRDefault="00D6358A" w:rsidP="00023972">
      <w:pPr>
        <w:spacing w:after="120" w:line="264" w:lineRule="auto"/>
        <w:ind w:right="6"/>
        <w:jc w:val="both"/>
        <w:rPr>
          <w:rFonts w:ascii="Calibri" w:eastAsia="Calibri" w:hAnsi="Calibri" w:cs="Arial"/>
          <w:sz w:val="24"/>
          <w:szCs w:val="24"/>
          <w:lang w:eastAsia="cs-CZ"/>
        </w:rPr>
      </w:pPr>
      <w:r>
        <w:rPr>
          <w:rFonts w:ascii="Calibri" w:eastAsia="Calibri" w:hAnsi="Calibri" w:cs="Arial"/>
          <w:sz w:val="24"/>
          <w:szCs w:val="24"/>
          <w:lang w:eastAsia="cs-CZ"/>
        </w:rPr>
        <w:t xml:space="preserve">Na nedostatky v oblasti tvorby a odůvodnění rozpočtu </w:t>
      </w:r>
      <w:r w:rsidR="004C3BFA">
        <w:rPr>
          <w:rFonts w:ascii="Calibri" w:eastAsia="Calibri" w:hAnsi="Calibri" w:cs="Arial"/>
          <w:sz w:val="24"/>
          <w:szCs w:val="24"/>
          <w:lang w:eastAsia="cs-CZ"/>
        </w:rPr>
        <w:t xml:space="preserve">GIBS </w:t>
      </w:r>
      <w:r>
        <w:rPr>
          <w:rFonts w:ascii="Calibri" w:eastAsia="Calibri" w:hAnsi="Calibri" w:cs="Arial"/>
          <w:sz w:val="24"/>
          <w:szCs w:val="24"/>
          <w:lang w:eastAsia="cs-CZ"/>
        </w:rPr>
        <w:t xml:space="preserve">např. </w:t>
      </w:r>
      <w:r w:rsidR="004C3BFA">
        <w:rPr>
          <w:rFonts w:ascii="Calibri" w:eastAsia="Calibri" w:hAnsi="Calibri" w:cs="Arial"/>
          <w:sz w:val="24"/>
          <w:szCs w:val="24"/>
          <w:lang w:eastAsia="cs-CZ"/>
        </w:rPr>
        <w:t>pro</w:t>
      </w:r>
      <w:r>
        <w:rPr>
          <w:rFonts w:ascii="Calibri" w:eastAsia="Calibri" w:hAnsi="Calibri" w:cs="Arial"/>
          <w:sz w:val="24"/>
          <w:szCs w:val="24"/>
          <w:lang w:eastAsia="cs-CZ"/>
        </w:rPr>
        <w:t xml:space="preserve"> rok 2018 upozornil dle veřejných zdrojů i </w:t>
      </w:r>
      <w:r w:rsidRPr="00CB5CDA">
        <w:rPr>
          <w:rFonts w:ascii="Calibri" w:eastAsia="Calibri" w:hAnsi="Calibri" w:cs="Arial"/>
          <w:sz w:val="24"/>
          <w:szCs w:val="24"/>
          <w:lang w:eastAsia="cs-CZ"/>
        </w:rPr>
        <w:t xml:space="preserve">zpravodaj výboru pro bezpečnost </w:t>
      </w:r>
      <w:r>
        <w:rPr>
          <w:rFonts w:ascii="Calibri" w:eastAsia="Calibri" w:hAnsi="Calibri" w:cs="Arial"/>
          <w:sz w:val="24"/>
          <w:szCs w:val="24"/>
          <w:lang w:eastAsia="cs-CZ"/>
        </w:rPr>
        <w:t xml:space="preserve">Poslanecké sněmovny Parlamentu ČR. </w:t>
      </w:r>
      <w:r w:rsidR="004B2715">
        <w:rPr>
          <w:rFonts w:ascii="Calibri" w:eastAsia="Calibri" w:hAnsi="Calibri" w:cs="Arial"/>
          <w:sz w:val="24"/>
          <w:szCs w:val="24"/>
          <w:lang w:eastAsia="cs-CZ"/>
        </w:rPr>
        <w:t>Dle zpráv o činnosti GIBS byla přitom s</w:t>
      </w:r>
      <w:r w:rsidR="004B2715">
        <w:rPr>
          <w:rFonts w:ascii="Calibri" w:hAnsi="Calibri"/>
          <w:sz w:val="24"/>
          <w:szCs w:val="24"/>
        </w:rPr>
        <w:t>třednědobá koncepce obsahující cíle GIBS</w:t>
      </w:r>
      <w:r w:rsidR="004B2715" w:rsidRPr="002A223B">
        <w:rPr>
          <w:rFonts w:ascii="Calibri" w:hAnsi="Calibri"/>
          <w:sz w:val="24"/>
          <w:szCs w:val="24"/>
        </w:rPr>
        <w:t xml:space="preserve"> z pohledu </w:t>
      </w:r>
      <w:r w:rsidR="004B2715" w:rsidRPr="002A223B">
        <w:rPr>
          <w:rFonts w:ascii="Calibri" w:hAnsi="Calibri"/>
          <w:sz w:val="24"/>
          <w:szCs w:val="24"/>
        </w:rPr>
        <w:lastRenderedPageBreak/>
        <w:t>organizačního, personálního, ekonomi</w:t>
      </w:r>
      <w:r w:rsidR="004B2715">
        <w:rPr>
          <w:rFonts w:ascii="Calibri" w:hAnsi="Calibri"/>
          <w:sz w:val="24"/>
          <w:szCs w:val="24"/>
        </w:rPr>
        <w:t>ckého a technického zabezpečení v minulosti zpracována.</w:t>
      </w:r>
    </w:p>
    <w:p w14:paraId="160ECACB" w14:textId="6CD2C670" w:rsidR="004C3BFA" w:rsidRDefault="003A5711" w:rsidP="00023972">
      <w:pPr>
        <w:spacing w:after="120" w:line="264" w:lineRule="auto"/>
        <w:ind w:right="6" w:hanging="11"/>
        <w:jc w:val="both"/>
        <w:rPr>
          <w:rFonts w:ascii="Calibri" w:eastAsia="Calibri" w:hAnsi="Calibri" w:cs="Calibri"/>
          <w:b/>
          <w:bCs/>
          <w:sz w:val="24"/>
          <w:szCs w:val="24"/>
        </w:rPr>
      </w:pPr>
      <w:r w:rsidRPr="003A5711">
        <w:rPr>
          <w:rFonts w:ascii="Calibri" w:eastAsia="Calibri" w:hAnsi="Calibri" w:cs="Calibri"/>
          <w:b/>
          <w:color w:val="000000"/>
          <w:sz w:val="24"/>
          <w:lang w:eastAsia="cs-CZ"/>
        </w:rPr>
        <w:t xml:space="preserve">Ačkoliv povinnost zpracovávat plány potřeb </w:t>
      </w:r>
      <w:r w:rsidR="004C3BFA">
        <w:rPr>
          <w:rFonts w:ascii="Calibri" w:eastAsia="Calibri" w:hAnsi="Calibri" w:cs="Calibri"/>
          <w:b/>
          <w:color w:val="000000"/>
          <w:sz w:val="24"/>
          <w:lang w:eastAsia="cs-CZ"/>
        </w:rPr>
        <w:t>p</w:t>
      </w:r>
      <w:r w:rsidRPr="003A5711">
        <w:rPr>
          <w:rFonts w:ascii="Calibri" w:eastAsia="Calibri" w:hAnsi="Calibri" w:cs="Calibri"/>
          <w:b/>
          <w:color w:val="000000"/>
          <w:sz w:val="24"/>
          <w:lang w:eastAsia="cs-CZ"/>
        </w:rPr>
        <w:t>římo z ustanovení právních předpisů nevyplývá, absence priorit činnosti a rozvoje GIB</w:t>
      </w:r>
      <w:r w:rsidR="003E2630">
        <w:rPr>
          <w:rFonts w:ascii="Calibri" w:eastAsia="Calibri" w:hAnsi="Calibri" w:cs="Calibri"/>
          <w:b/>
          <w:color w:val="000000"/>
          <w:sz w:val="24"/>
          <w:lang w:eastAsia="cs-CZ"/>
        </w:rPr>
        <w:t>S prostřednictvím konkrétních a </w:t>
      </w:r>
      <w:r w:rsidRPr="003A5711">
        <w:rPr>
          <w:rFonts w:ascii="Calibri" w:eastAsia="Calibri" w:hAnsi="Calibri" w:cs="Calibri"/>
          <w:b/>
          <w:color w:val="000000"/>
          <w:sz w:val="24"/>
          <w:lang w:eastAsia="cs-CZ"/>
        </w:rPr>
        <w:t xml:space="preserve">jednoznačně vymezených potřeb pro další období negativně ovlivňuje </w:t>
      </w:r>
      <w:r w:rsidR="004C3BFA" w:rsidRPr="003A5711">
        <w:rPr>
          <w:rFonts w:ascii="Calibri" w:eastAsia="Calibri" w:hAnsi="Calibri" w:cs="Calibri"/>
          <w:b/>
          <w:color w:val="000000"/>
          <w:sz w:val="24"/>
          <w:lang w:eastAsia="cs-CZ"/>
        </w:rPr>
        <w:t>tvorbu rozpočtu</w:t>
      </w:r>
      <w:r w:rsidR="004C3BFA">
        <w:rPr>
          <w:rFonts w:ascii="Calibri" w:eastAsia="Calibri" w:hAnsi="Calibri" w:cs="Calibri"/>
          <w:b/>
          <w:color w:val="000000"/>
          <w:sz w:val="24"/>
          <w:lang w:eastAsia="cs-CZ"/>
        </w:rPr>
        <w:t>,</w:t>
      </w:r>
      <w:r w:rsidR="004C3BFA" w:rsidRPr="003A5711">
        <w:rPr>
          <w:rFonts w:ascii="Calibri" w:eastAsia="Calibri" w:hAnsi="Calibri" w:cs="Calibri"/>
          <w:b/>
          <w:color w:val="000000"/>
          <w:sz w:val="24"/>
          <w:lang w:eastAsia="cs-CZ"/>
        </w:rPr>
        <w:t xml:space="preserve"> </w:t>
      </w:r>
      <w:r w:rsidR="004C3BFA">
        <w:rPr>
          <w:rFonts w:ascii="Calibri" w:eastAsia="Calibri" w:hAnsi="Calibri" w:cs="Calibri"/>
          <w:b/>
          <w:color w:val="000000"/>
          <w:sz w:val="24"/>
          <w:lang w:eastAsia="cs-CZ"/>
        </w:rPr>
        <w:t xml:space="preserve">účelné </w:t>
      </w:r>
      <w:r w:rsidRPr="003A5711">
        <w:rPr>
          <w:rFonts w:ascii="Calibri" w:eastAsia="Calibri" w:hAnsi="Calibri" w:cs="Calibri"/>
          <w:b/>
          <w:color w:val="000000"/>
          <w:sz w:val="24"/>
          <w:lang w:eastAsia="cs-CZ"/>
        </w:rPr>
        <w:t>čerpání peněžních prostředků státu</w:t>
      </w:r>
      <w:r w:rsidR="004C3BFA">
        <w:rPr>
          <w:rFonts w:ascii="Calibri" w:eastAsia="Calibri" w:hAnsi="Calibri" w:cs="Calibri"/>
          <w:b/>
          <w:color w:val="000000"/>
          <w:sz w:val="24"/>
          <w:lang w:eastAsia="cs-CZ"/>
        </w:rPr>
        <w:t xml:space="preserve"> a </w:t>
      </w:r>
      <w:r w:rsidRPr="003A5711">
        <w:rPr>
          <w:rFonts w:ascii="Calibri" w:eastAsia="Calibri" w:hAnsi="Calibri" w:cs="Calibri"/>
          <w:b/>
          <w:color w:val="000000"/>
          <w:sz w:val="24"/>
          <w:lang w:eastAsia="cs-CZ"/>
        </w:rPr>
        <w:t>plnění cílů program</w:t>
      </w:r>
      <w:r w:rsidR="004C3BFA">
        <w:rPr>
          <w:rFonts w:ascii="Calibri" w:eastAsia="Calibri" w:hAnsi="Calibri" w:cs="Calibri"/>
          <w:b/>
          <w:color w:val="000000"/>
          <w:sz w:val="24"/>
          <w:lang w:eastAsia="cs-CZ"/>
        </w:rPr>
        <w:t>ů</w:t>
      </w:r>
      <w:r w:rsidRPr="003A5711">
        <w:rPr>
          <w:rFonts w:ascii="Calibri" w:eastAsia="Calibri" w:hAnsi="Calibri" w:cs="Calibri"/>
          <w:b/>
          <w:color w:val="000000"/>
          <w:sz w:val="24"/>
          <w:lang w:eastAsia="cs-CZ"/>
        </w:rPr>
        <w:t xml:space="preserve"> </w:t>
      </w:r>
      <w:r w:rsidRPr="003A5711">
        <w:rPr>
          <w:rFonts w:ascii="Calibri" w:eastAsia="Calibri" w:hAnsi="Calibri" w:cs="Calibri"/>
          <w:b/>
          <w:bCs/>
          <w:sz w:val="24"/>
          <w:szCs w:val="24"/>
        </w:rPr>
        <w:t>176 100 a 176</w:t>
      </w:r>
      <w:r w:rsidR="004C3BFA">
        <w:rPr>
          <w:rFonts w:ascii="Calibri" w:eastAsia="Calibri" w:hAnsi="Calibri" w:cs="Calibri"/>
          <w:b/>
          <w:bCs/>
          <w:sz w:val="24"/>
          <w:szCs w:val="24"/>
        </w:rPr>
        <w:t> </w:t>
      </w:r>
      <w:r w:rsidRPr="003A5711">
        <w:rPr>
          <w:rFonts w:ascii="Calibri" w:eastAsia="Calibri" w:hAnsi="Calibri" w:cs="Calibri"/>
          <w:b/>
          <w:bCs/>
          <w:sz w:val="24"/>
          <w:szCs w:val="24"/>
        </w:rPr>
        <w:t>200</w:t>
      </w:r>
      <w:r w:rsidR="004C3BFA">
        <w:rPr>
          <w:rFonts w:ascii="Calibri" w:eastAsia="Calibri" w:hAnsi="Calibri" w:cs="Calibri"/>
          <w:b/>
          <w:bCs/>
          <w:sz w:val="24"/>
          <w:szCs w:val="24"/>
        </w:rPr>
        <w:t>.</w:t>
      </w:r>
    </w:p>
    <w:p w14:paraId="7B569934" w14:textId="407727FD" w:rsidR="003A5711" w:rsidRPr="003A5711" w:rsidRDefault="005B0E1F" w:rsidP="005B0E1F">
      <w:pPr>
        <w:keepNext/>
        <w:spacing w:after="120" w:line="264" w:lineRule="auto"/>
        <w:ind w:left="425" w:hanging="425"/>
        <w:outlineLvl w:val="2"/>
        <w:rPr>
          <w:rFonts w:cs="Calibri"/>
          <w:b/>
          <w:sz w:val="24"/>
          <w:szCs w:val="24"/>
        </w:rPr>
      </w:pPr>
      <w:r>
        <w:rPr>
          <w:rFonts w:cs="Calibri"/>
          <w:b/>
          <w:sz w:val="24"/>
          <w:szCs w:val="24"/>
        </w:rPr>
        <w:t xml:space="preserve">5.2 </w:t>
      </w:r>
      <w:r w:rsidR="003A5711" w:rsidRPr="003A5711">
        <w:rPr>
          <w:rFonts w:cs="Calibri"/>
          <w:b/>
          <w:sz w:val="24"/>
          <w:szCs w:val="24"/>
        </w:rPr>
        <w:t xml:space="preserve">Vnitřní kontrolní systém GIBS nebyl v kontrolovaném období </w:t>
      </w:r>
      <w:r w:rsidR="002E1310">
        <w:rPr>
          <w:rFonts w:cs="Calibri"/>
          <w:b/>
          <w:sz w:val="24"/>
          <w:szCs w:val="24"/>
        </w:rPr>
        <w:t xml:space="preserve">zcela </w:t>
      </w:r>
      <w:r w:rsidR="003A5711" w:rsidRPr="003A5711">
        <w:rPr>
          <w:rFonts w:cs="Calibri"/>
          <w:b/>
          <w:sz w:val="24"/>
          <w:szCs w:val="24"/>
        </w:rPr>
        <w:t>funkční</w:t>
      </w:r>
    </w:p>
    <w:p w14:paraId="11C7196D" w14:textId="63FDBD20" w:rsidR="00A11085" w:rsidRPr="00662D19" w:rsidRDefault="00A11085" w:rsidP="00023972">
      <w:pPr>
        <w:spacing w:after="120" w:line="264" w:lineRule="auto"/>
        <w:jc w:val="both"/>
        <w:rPr>
          <w:rFonts w:ascii="Calibri" w:eastAsia="Calibri" w:hAnsi="Calibri" w:cs="Calibri"/>
          <w:sz w:val="24"/>
          <w:szCs w:val="24"/>
        </w:rPr>
      </w:pPr>
      <w:r w:rsidRPr="00662D19">
        <w:rPr>
          <w:rFonts w:ascii="Calibri" w:hAnsi="Calibri" w:cs="Calibri"/>
          <w:sz w:val="24"/>
          <w:szCs w:val="24"/>
        </w:rPr>
        <w:t xml:space="preserve">NKÚ zjistil, že GIBS </w:t>
      </w:r>
      <w:r>
        <w:rPr>
          <w:rFonts w:ascii="Calibri" w:hAnsi="Calibri" w:cs="Calibri"/>
          <w:sz w:val="24"/>
          <w:szCs w:val="24"/>
        </w:rPr>
        <w:t>v kontrolovaném období poskytovala příslušníkům GIBS dlouhodobé bezúplatné ubytování (</w:t>
      </w:r>
      <w:r w:rsidR="0001115B">
        <w:rPr>
          <w:rFonts w:ascii="Calibri" w:hAnsi="Calibri" w:cs="Calibri"/>
          <w:sz w:val="24"/>
          <w:szCs w:val="24"/>
        </w:rPr>
        <w:t xml:space="preserve">viz část </w:t>
      </w:r>
      <w:r>
        <w:rPr>
          <w:rFonts w:ascii="Calibri" w:hAnsi="Calibri" w:cs="Calibri"/>
          <w:sz w:val="24"/>
          <w:szCs w:val="24"/>
        </w:rPr>
        <w:t>IV.4.2</w:t>
      </w:r>
      <w:r w:rsidR="0001115B">
        <w:rPr>
          <w:rFonts w:ascii="Calibri" w:hAnsi="Calibri" w:cs="Calibri"/>
          <w:sz w:val="24"/>
          <w:szCs w:val="24"/>
        </w:rPr>
        <w:t xml:space="preserve"> tohoto kontrolního závěru</w:t>
      </w:r>
      <w:r>
        <w:rPr>
          <w:rFonts w:ascii="Calibri" w:hAnsi="Calibri" w:cs="Calibri"/>
          <w:sz w:val="24"/>
          <w:szCs w:val="24"/>
        </w:rPr>
        <w:t xml:space="preserve">), </w:t>
      </w:r>
      <w:r w:rsidRPr="00662D19">
        <w:rPr>
          <w:rFonts w:ascii="Calibri" w:hAnsi="Calibri" w:cs="Calibri"/>
          <w:sz w:val="24"/>
          <w:szCs w:val="24"/>
        </w:rPr>
        <w:t>nerozpočtovala nedaňové a</w:t>
      </w:r>
      <w:r w:rsidR="0001115B">
        <w:rPr>
          <w:rFonts w:ascii="Calibri" w:hAnsi="Calibri" w:cs="Calibri"/>
          <w:sz w:val="24"/>
          <w:szCs w:val="24"/>
        </w:rPr>
        <w:t> </w:t>
      </w:r>
      <w:r w:rsidRPr="00662D19">
        <w:rPr>
          <w:rFonts w:ascii="Calibri" w:hAnsi="Calibri" w:cs="Calibri"/>
          <w:sz w:val="24"/>
          <w:szCs w:val="24"/>
        </w:rPr>
        <w:t xml:space="preserve">kapitálové příjmy </w:t>
      </w:r>
      <w:r>
        <w:rPr>
          <w:rFonts w:ascii="Calibri" w:hAnsi="Calibri" w:cs="Calibri"/>
          <w:sz w:val="24"/>
          <w:szCs w:val="24"/>
        </w:rPr>
        <w:t>a</w:t>
      </w:r>
      <w:r w:rsidRPr="00662D19">
        <w:rPr>
          <w:rFonts w:ascii="Calibri" w:hAnsi="Calibri" w:cs="Calibri"/>
          <w:sz w:val="24"/>
          <w:szCs w:val="24"/>
        </w:rPr>
        <w:t xml:space="preserve"> </w:t>
      </w:r>
      <w:r w:rsidRPr="00392CB1">
        <w:rPr>
          <w:rFonts w:ascii="Calibri" w:hAnsi="Calibri" w:cs="Calibri"/>
          <w:sz w:val="24"/>
          <w:szCs w:val="24"/>
        </w:rPr>
        <w:t xml:space="preserve">převáděla nevyčerpané prostředky na rozpočtové položky, které nebyly čerpány </w:t>
      </w:r>
      <w:r w:rsidR="00B4368D">
        <w:rPr>
          <w:rFonts w:ascii="Calibri" w:hAnsi="Calibri" w:cs="Calibri"/>
          <w:sz w:val="24"/>
          <w:szCs w:val="24"/>
        </w:rPr>
        <w:t>nebo</w:t>
      </w:r>
      <w:r w:rsidRPr="00392CB1">
        <w:rPr>
          <w:rFonts w:ascii="Calibri" w:hAnsi="Calibri" w:cs="Calibri"/>
          <w:sz w:val="24"/>
          <w:szCs w:val="24"/>
        </w:rPr>
        <w:t xml:space="preserve"> se jejich čerpání nepředpokládá</w:t>
      </w:r>
      <w:r w:rsidRPr="00662D19">
        <w:rPr>
          <w:rFonts w:ascii="Calibri" w:hAnsi="Calibri" w:cs="Calibri"/>
          <w:sz w:val="24"/>
          <w:szCs w:val="24"/>
        </w:rPr>
        <w:t xml:space="preserve"> </w:t>
      </w:r>
      <w:r w:rsidRPr="00392CB1">
        <w:rPr>
          <w:rFonts w:ascii="Calibri" w:hAnsi="Calibri" w:cs="Calibri"/>
          <w:sz w:val="24"/>
          <w:szCs w:val="24"/>
        </w:rPr>
        <w:t>(</w:t>
      </w:r>
      <w:r w:rsidR="0001115B">
        <w:rPr>
          <w:rFonts w:ascii="Calibri" w:hAnsi="Calibri" w:cs="Calibri"/>
          <w:sz w:val="24"/>
          <w:szCs w:val="24"/>
        </w:rPr>
        <w:t xml:space="preserve">viz </w:t>
      </w:r>
      <w:r w:rsidRPr="00392CB1">
        <w:rPr>
          <w:rFonts w:ascii="Calibri" w:hAnsi="Calibri" w:cs="Calibri"/>
          <w:sz w:val="24"/>
          <w:szCs w:val="24"/>
        </w:rPr>
        <w:t>část IV.1.3</w:t>
      </w:r>
      <w:r w:rsidR="0001115B">
        <w:rPr>
          <w:rFonts w:ascii="Calibri" w:hAnsi="Calibri" w:cs="Calibri"/>
          <w:sz w:val="24"/>
          <w:szCs w:val="24"/>
        </w:rPr>
        <w:t xml:space="preserve"> tohoto kontrolního závěru</w:t>
      </w:r>
      <w:r w:rsidRPr="00392CB1">
        <w:rPr>
          <w:rFonts w:ascii="Calibri" w:hAnsi="Calibri" w:cs="Calibri"/>
          <w:sz w:val="24"/>
          <w:szCs w:val="24"/>
        </w:rPr>
        <w:t>).</w:t>
      </w:r>
      <w:r w:rsidRPr="00662D19">
        <w:rPr>
          <w:rFonts w:ascii="Calibri" w:hAnsi="Calibri" w:cs="Calibri"/>
          <w:sz w:val="24"/>
          <w:szCs w:val="24"/>
        </w:rPr>
        <w:t xml:space="preserve"> </w:t>
      </w:r>
      <w:r>
        <w:rPr>
          <w:rFonts w:ascii="Calibri" w:hAnsi="Calibri" w:cs="Calibri"/>
          <w:sz w:val="24"/>
          <w:szCs w:val="24"/>
        </w:rPr>
        <w:t xml:space="preserve">Na </w:t>
      </w:r>
      <w:r w:rsidR="00B4368D">
        <w:rPr>
          <w:rFonts w:ascii="Calibri" w:hAnsi="Calibri" w:cs="Calibri"/>
          <w:sz w:val="24"/>
          <w:szCs w:val="24"/>
        </w:rPr>
        <w:t>obdobné</w:t>
      </w:r>
      <w:r>
        <w:rPr>
          <w:rFonts w:ascii="Calibri" w:hAnsi="Calibri" w:cs="Calibri"/>
          <w:sz w:val="24"/>
          <w:szCs w:val="24"/>
        </w:rPr>
        <w:t xml:space="preserve"> nedostatky upozornila i </w:t>
      </w:r>
      <w:r w:rsidRPr="00662D19">
        <w:rPr>
          <w:rFonts w:ascii="Calibri" w:hAnsi="Calibri" w:cs="Calibri"/>
          <w:sz w:val="24"/>
          <w:szCs w:val="24"/>
        </w:rPr>
        <w:t xml:space="preserve">veřejnosprávní kontrola </w:t>
      </w:r>
      <w:r>
        <w:rPr>
          <w:rFonts w:ascii="Calibri" w:hAnsi="Calibri" w:cs="Calibri"/>
          <w:sz w:val="24"/>
          <w:szCs w:val="24"/>
        </w:rPr>
        <w:t>provedená</w:t>
      </w:r>
      <w:r w:rsidR="0001115B" w:rsidRPr="0001115B">
        <w:rPr>
          <w:rFonts w:ascii="Calibri" w:hAnsi="Calibri" w:cs="Calibri"/>
          <w:sz w:val="24"/>
          <w:szCs w:val="24"/>
        </w:rPr>
        <w:t xml:space="preserve"> </w:t>
      </w:r>
      <w:r w:rsidR="0001115B" w:rsidRPr="00662D19">
        <w:rPr>
          <w:rFonts w:ascii="Calibri" w:hAnsi="Calibri" w:cs="Calibri"/>
          <w:sz w:val="24"/>
          <w:szCs w:val="24"/>
        </w:rPr>
        <w:t>MF</w:t>
      </w:r>
      <w:r>
        <w:rPr>
          <w:rFonts w:ascii="Calibri" w:hAnsi="Calibri" w:cs="Calibri"/>
          <w:sz w:val="24"/>
          <w:szCs w:val="24"/>
        </w:rPr>
        <w:t xml:space="preserve"> v roce 2018. MF také zjistilo </w:t>
      </w:r>
      <w:r w:rsidRPr="00662D19">
        <w:rPr>
          <w:rFonts w:ascii="Calibri" w:hAnsi="Calibri" w:cs="Calibri"/>
          <w:sz w:val="24"/>
          <w:szCs w:val="24"/>
        </w:rPr>
        <w:t>mj. bezúplatné dlouhodobé využívání ubytovacích zařízení příslušníky GIBS, diskriminační vymezení předmětu veřejné zakázky nebo neoprávněné vyvedení rozpočtových prostředků na mimorozpočtové prostředky.</w:t>
      </w:r>
      <w:r w:rsidRPr="00662D19">
        <w:rPr>
          <w:rFonts w:ascii="Calibri" w:eastAsia="Calibri" w:hAnsi="Calibri" w:cs="Calibri"/>
          <w:sz w:val="24"/>
          <w:szCs w:val="24"/>
        </w:rPr>
        <w:t xml:space="preserve"> </w:t>
      </w:r>
    </w:p>
    <w:p w14:paraId="1E272844" w14:textId="2350912B" w:rsidR="00A11085" w:rsidRDefault="00A11085" w:rsidP="00023972">
      <w:pPr>
        <w:spacing w:after="120" w:line="264" w:lineRule="auto"/>
        <w:jc w:val="both"/>
        <w:rPr>
          <w:rFonts w:ascii="Calibri" w:hAnsi="Calibri" w:cs="Calibri"/>
          <w:b/>
          <w:sz w:val="24"/>
          <w:szCs w:val="24"/>
        </w:rPr>
      </w:pPr>
      <w:r>
        <w:rPr>
          <w:rFonts w:ascii="Calibri" w:hAnsi="Calibri" w:cs="Calibri"/>
          <w:b/>
          <w:sz w:val="24"/>
          <w:szCs w:val="24"/>
        </w:rPr>
        <w:t>NKÚ uvádí, že vnitřní kontrolní systém GIBS neodhalil opa</w:t>
      </w:r>
      <w:r w:rsidR="003E2630">
        <w:rPr>
          <w:rFonts w:ascii="Calibri" w:hAnsi="Calibri" w:cs="Calibri"/>
          <w:b/>
          <w:sz w:val="24"/>
          <w:szCs w:val="24"/>
        </w:rPr>
        <w:t>kující se zjištěné nedostatky a </w:t>
      </w:r>
      <w:r>
        <w:rPr>
          <w:rFonts w:ascii="Calibri" w:hAnsi="Calibri" w:cs="Calibri"/>
          <w:b/>
          <w:sz w:val="24"/>
          <w:szCs w:val="24"/>
        </w:rPr>
        <w:t>zároveň nezabránil nehospodárnému a neúčelnému hospodaření s peněžními prostředky státu především v personální oblasti (</w:t>
      </w:r>
      <w:r w:rsidR="0001115B">
        <w:rPr>
          <w:rFonts w:ascii="Calibri" w:hAnsi="Calibri" w:cs="Calibri"/>
          <w:b/>
          <w:sz w:val="24"/>
          <w:szCs w:val="24"/>
        </w:rPr>
        <w:t xml:space="preserve">viz </w:t>
      </w:r>
      <w:r>
        <w:rPr>
          <w:rFonts w:ascii="Calibri" w:hAnsi="Calibri" w:cs="Calibri"/>
          <w:b/>
          <w:sz w:val="24"/>
          <w:szCs w:val="24"/>
        </w:rPr>
        <w:t>část IV.1.1 a IV.1.2</w:t>
      </w:r>
      <w:r w:rsidR="0001115B">
        <w:rPr>
          <w:rFonts w:ascii="Calibri" w:hAnsi="Calibri" w:cs="Calibri"/>
          <w:b/>
          <w:sz w:val="24"/>
          <w:szCs w:val="24"/>
        </w:rPr>
        <w:t xml:space="preserve"> tohoto kontrolního závěru</w:t>
      </w:r>
      <w:r>
        <w:rPr>
          <w:rFonts w:ascii="Calibri" w:hAnsi="Calibri" w:cs="Calibri"/>
          <w:b/>
          <w:sz w:val="24"/>
          <w:szCs w:val="24"/>
        </w:rPr>
        <w:t xml:space="preserve">). Současně ze zjištěných nedostatků vyplývá, že přijatá nápravná opatření GIBS ke skutečnostem z veřejnosprávní kontroly MF nebyla dostatečně účinná, což ovlivnilo funkčnost vnitřního kontrolního systému. </w:t>
      </w:r>
      <w:r w:rsidRPr="003A5711">
        <w:rPr>
          <w:rFonts w:ascii="Calibri" w:hAnsi="Calibri" w:cs="Calibri"/>
          <w:b/>
          <w:sz w:val="24"/>
          <w:szCs w:val="24"/>
        </w:rPr>
        <w:t>Na základě uvedených skutečností vyhodnotil</w:t>
      </w:r>
      <w:r w:rsidR="0001115B" w:rsidRPr="0001115B">
        <w:rPr>
          <w:rFonts w:ascii="Calibri" w:hAnsi="Calibri" w:cs="Calibri"/>
          <w:b/>
          <w:sz w:val="24"/>
          <w:szCs w:val="24"/>
        </w:rPr>
        <w:t xml:space="preserve"> </w:t>
      </w:r>
      <w:r w:rsidR="0001115B" w:rsidRPr="003A5711">
        <w:rPr>
          <w:rFonts w:ascii="Calibri" w:hAnsi="Calibri" w:cs="Calibri"/>
          <w:b/>
          <w:sz w:val="24"/>
          <w:szCs w:val="24"/>
        </w:rPr>
        <w:t>NKÚ</w:t>
      </w:r>
      <w:r w:rsidRPr="003A5711">
        <w:rPr>
          <w:rFonts w:ascii="Calibri" w:hAnsi="Calibri" w:cs="Calibri"/>
          <w:b/>
          <w:sz w:val="24"/>
          <w:szCs w:val="24"/>
        </w:rPr>
        <w:t xml:space="preserve">, že vnitřní kontrolní systém GIBS v kontrolovaném období </w:t>
      </w:r>
      <w:r>
        <w:rPr>
          <w:rFonts w:ascii="Calibri" w:hAnsi="Calibri" w:cs="Calibri"/>
          <w:b/>
          <w:sz w:val="24"/>
          <w:szCs w:val="24"/>
        </w:rPr>
        <w:t xml:space="preserve">byl </w:t>
      </w:r>
      <w:r w:rsidRPr="003A5711">
        <w:rPr>
          <w:rFonts w:ascii="Calibri" w:hAnsi="Calibri" w:cs="Calibri"/>
          <w:b/>
          <w:sz w:val="24"/>
          <w:szCs w:val="24"/>
        </w:rPr>
        <w:t>funkční</w:t>
      </w:r>
      <w:r>
        <w:rPr>
          <w:rFonts w:ascii="Calibri" w:hAnsi="Calibri" w:cs="Calibri"/>
          <w:b/>
          <w:sz w:val="24"/>
          <w:szCs w:val="24"/>
        </w:rPr>
        <w:t xml:space="preserve"> pouze omezeně. </w:t>
      </w:r>
    </w:p>
    <w:p w14:paraId="560B1F40" w14:textId="77777777" w:rsidR="00C13C6C" w:rsidRPr="003A5711" w:rsidRDefault="00C13C6C" w:rsidP="00023972">
      <w:pPr>
        <w:spacing w:after="120" w:line="264" w:lineRule="auto"/>
        <w:jc w:val="both"/>
        <w:rPr>
          <w:rFonts w:ascii="Calibri" w:hAnsi="Calibri" w:cs="Calibri"/>
          <w:sz w:val="24"/>
          <w:szCs w:val="24"/>
        </w:rPr>
      </w:pPr>
    </w:p>
    <w:p w14:paraId="4A9471C4" w14:textId="64E39785" w:rsidR="003A5711" w:rsidRPr="00546AF6" w:rsidRDefault="003A5711" w:rsidP="00C13C6C">
      <w:pPr>
        <w:keepNext/>
        <w:spacing w:after="120"/>
        <w:rPr>
          <w:sz w:val="24"/>
          <w:szCs w:val="24"/>
        </w:rPr>
      </w:pPr>
      <w:r w:rsidRPr="00546AF6">
        <w:rPr>
          <w:rFonts w:cstheme="minorHAnsi"/>
          <w:b/>
          <w:sz w:val="24"/>
          <w:szCs w:val="24"/>
        </w:rPr>
        <w:t>Seznam zkratek</w:t>
      </w:r>
    </w:p>
    <w:p w14:paraId="3EABD318" w14:textId="712CD093" w:rsidR="00C46008" w:rsidRDefault="00C46008" w:rsidP="00C13C6C">
      <w:pPr>
        <w:keepNext/>
        <w:spacing w:after="120"/>
        <w:ind w:left="2977" w:hanging="2977"/>
        <w:rPr>
          <w:rFonts w:cs="Times New Roman"/>
          <w:sz w:val="24"/>
          <w:szCs w:val="24"/>
          <w:lang w:eastAsia="cs-CZ"/>
        </w:rPr>
      </w:pPr>
      <w:r>
        <w:rPr>
          <w:rFonts w:cs="Times New Roman"/>
          <w:sz w:val="24"/>
          <w:szCs w:val="24"/>
          <w:lang w:eastAsia="cs-CZ"/>
        </w:rPr>
        <w:t>BS</w:t>
      </w:r>
      <w:r>
        <w:rPr>
          <w:rFonts w:cs="Times New Roman"/>
          <w:sz w:val="24"/>
          <w:szCs w:val="24"/>
          <w:lang w:eastAsia="cs-CZ"/>
        </w:rPr>
        <w:tab/>
        <w:t>bezpečnostní sbory</w:t>
      </w:r>
    </w:p>
    <w:p w14:paraId="3BDD369C" w14:textId="1B12E36F" w:rsidR="003A5711" w:rsidRPr="003A5711" w:rsidRDefault="003A5711" w:rsidP="00C13C6C">
      <w:pPr>
        <w:keepNext/>
        <w:spacing w:after="120"/>
        <w:ind w:left="2977" w:hanging="2977"/>
        <w:rPr>
          <w:rFonts w:cs="Times New Roman"/>
          <w:sz w:val="24"/>
          <w:szCs w:val="24"/>
          <w:lang w:eastAsia="cs-CZ"/>
        </w:rPr>
      </w:pPr>
      <w:r w:rsidRPr="003A5711">
        <w:rPr>
          <w:rFonts w:cs="Times New Roman"/>
          <w:sz w:val="24"/>
          <w:szCs w:val="24"/>
          <w:lang w:eastAsia="cs-CZ"/>
        </w:rPr>
        <w:t>ČR</w:t>
      </w:r>
      <w:r w:rsidRPr="003A5711">
        <w:rPr>
          <w:rFonts w:cs="Times New Roman"/>
          <w:sz w:val="24"/>
          <w:szCs w:val="24"/>
          <w:lang w:eastAsia="cs-CZ"/>
        </w:rPr>
        <w:tab/>
        <w:t>Česká republika</w:t>
      </w:r>
    </w:p>
    <w:p w14:paraId="3084C04F" w14:textId="77777777" w:rsidR="003A5711" w:rsidRPr="003A5711" w:rsidRDefault="003A5711" w:rsidP="00C13C6C">
      <w:pPr>
        <w:keepNext/>
        <w:spacing w:after="120"/>
        <w:ind w:left="2977" w:hanging="2977"/>
        <w:rPr>
          <w:rFonts w:cs="Times New Roman"/>
          <w:sz w:val="24"/>
          <w:szCs w:val="24"/>
          <w:lang w:eastAsia="cs-CZ"/>
        </w:rPr>
      </w:pPr>
      <w:r w:rsidRPr="003A5711">
        <w:rPr>
          <w:rFonts w:cs="Times New Roman"/>
          <w:sz w:val="24"/>
          <w:szCs w:val="24"/>
          <w:lang w:eastAsia="cs-CZ"/>
        </w:rPr>
        <w:t>GIBS</w:t>
      </w:r>
      <w:r w:rsidRPr="003A5711">
        <w:rPr>
          <w:rFonts w:cs="Times New Roman"/>
          <w:sz w:val="24"/>
          <w:szCs w:val="24"/>
          <w:lang w:eastAsia="cs-CZ"/>
        </w:rPr>
        <w:tab/>
      </w:r>
      <w:r w:rsidRPr="003A5711">
        <w:rPr>
          <w:sz w:val="24"/>
          <w:szCs w:val="24"/>
        </w:rPr>
        <w:t>Generální inspekce bezpečnostních sborů</w:t>
      </w:r>
    </w:p>
    <w:p w14:paraId="6FD27508" w14:textId="77777777" w:rsidR="003A5711" w:rsidRPr="003A5711" w:rsidRDefault="003A5711" w:rsidP="00C13C6C">
      <w:pPr>
        <w:keepNext/>
        <w:spacing w:after="120"/>
        <w:ind w:left="2977" w:hanging="2977"/>
        <w:rPr>
          <w:rFonts w:cs="Times New Roman"/>
          <w:sz w:val="24"/>
          <w:szCs w:val="24"/>
          <w:lang w:eastAsia="cs-CZ"/>
        </w:rPr>
      </w:pPr>
      <w:r w:rsidRPr="003A5711">
        <w:rPr>
          <w:rFonts w:cs="Times New Roman"/>
          <w:sz w:val="24"/>
          <w:szCs w:val="24"/>
          <w:lang w:eastAsia="cs-CZ"/>
        </w:rPr>
        <w:t>MF</w:t>
      </w:r>
      <w:r w:rsidRPr="003A5711">
        <w:rPr>
          <w:rFonts w:cs="Times New Roman"/>
          <w:sz w:val="24"/>
          <w:szCs w:val="24"/>
          <w:lang w:eastAsia="cs-CZ"/>
        </w:rPr>
        <w:tab/>
        <w:t>Ministerstvo financí</w:t>
      </w:r>
    </w:p>
    <w:p w14:paraId="77E0A80B" w14:textId="03AB0FDB" w:rsidR="003A5711" w:rsidRDefault="003A5711" w:rsidP="00C13C6C">
      <w:pPr>
        <w:keepNext/>
        <w:spacing w:after="120"/>
        <w:ind w:left="2977" w:hanging="2977"/>
        <w:rPr>
          <w:rFonts w:cs="Times New Roman"/>
          <w:sz w:val="24"/>
          <w:szCs w:val="24"/>
          <w:lang w:eastAsia="cs-CZ"/>
        </w:rPr>
      </w:pPr>
      <w:r w:rsidRPr="003A5711">
        <w:rPr>
          <w:rFonts w:cs="Times New Roman"/>
          <w:sz w:val="24"/>
          <w:szCs w:val="24"/>
          <w:lang w:eastAsia="cs-CZ"/>
        </w:rPr>
        <w:t>NKÚ</w:t>
      </w:r>
      <w:r w:rsidRPr="003A5711">
        <w:rPr>
          <w:rFonts w:cs="Times New Roman"/>
          <w:sz w:val="24"/>
          <w:szCs w:val="24"/>
          <w:lang w:eastAsia="cs-CZ"/>
        </w:rPr>
        <w:tab/>
        <w:t>Nejvyšší kontrolní úřad</w:t>
      </w:r>
    </w:p>
    <w:p w14:paraId="548C0273" w14:textId="58B9F1FE" w:rsidR="00C46008" w:rsidRDefault="00C46008" w:rsidP="00C13C6C">
      <w:pPr>
        <w:keepNext/>
        <w:spacing w:after="120"/>
        <w:ind w:left="2977" w:hanging="2977"/>
        <w:rPr>
          <w:rFonts w:cs="Times New Roman"/>
          <w:sz w:val="24"/>
          <w:szCs w:val="24"/>
          <w:lang w:eastAsia="cs-CZ"/>
        </w:rPr>
      </w:pPr>
      <w:r>
        <w:rPr>
          <w:rFonts w:cs="Times New Roman"/>
          <w:sz w:val="24"/>
          <w:szCs w:val="24"/>
          <w:lang w:eastAsia="cs-CZ"/>
        </w:rPr>
        <w:t>NV</w:t>
      </w:r>
      <w:r>
        <w:rPr>
          <w:rFonts w:cs="Times New Roman"/>
          <w:sz w:val="24"/>
          <w:szCs w:val="24"/>
          <w:lang w:eastAsia="cs-CZ"/>
        </w:rPr>
        <w:tab/>
        <w:t>nařízení vlády</w:t>
      </w:r>
    </w:p>
    <w:p w14:paraId="7D99FFB8" w14:textId="2067C090" w:rsidR="00C46008" w:rsidRDefault="00C46008" w:rsidP="00C13C6C">
      <w:pPr>
        <w:keepNext/>
        <w:spacing w:after="120"/>
        <w:ind w:left="2977" w:hanging="2977"/>
        <w:rPr>
          <w:rFonts w:cs="Times New Roman"/>
          <w:sz w:val="24"/>
          <w:szCs w:val="24"/>
          <w:lang w:eastAsia="cs-CZ"/>
        </w:rPr>
      </w:pPr>
      <w:r>
        <w:rPr>
          <w:rFonts w:cs="Times New Roman"/>
          <w:sz w:val="24"/>
          <w:szCs w:val="24"/>
          <w:lang w:eastAsia="cs-CZ"/>
        </w:rPr>
        <w:t>OSS</w:t>
      </w:r>
      <w:r>
        <w:rPr>
          <w:rFonts w:cs="Times New Roman"/>
          <w:sz w:val="24"/>
          <w:szCs w:val="24"/>
          <w:lang w:eastAsia="cs-CZ"/>
        </w:rPr>
        <w:tab/>
        <w:t>organizační složka státu</w:t>
      </w:r>
    </w:p>
    <w:p w14:paraId="47530BE9" w14:textId="52EF68FA" w:rsidR="00C46008" w:rsidRDefault="00C46008" w:rsidP="00C13C6C">
      <w:pPr>
        <w:keepNext/>
        <w:spacing w:after="120"/>
        <w:ind w:left="2977" w:hanging="2977"/>
        <w:rPr>
          <w:rFonts w:cs="Times New Roman"/>
          <w:sz w:val="24"/>
          <w:szCs w:val="24"/>
          <w:lang w:eastAsia="cs-CZ"/>
        </w:rPr>
      </w:pPr>
      <w:r>
        <w:rPr>
          <w:rFonts w:cs="Times New Roman"/>
          <w:sz w:val="24"/>
          <w:szCs w:val="24"/>
          <w:lang w:eastAsia="cs-CZ"/>
        </w:rPr>
        <w:t>PO</w:t>
      </w:r>
      <w:r>
        <w:rPr>
          <w:rFonts w:cs="Times New Roman"/>
          <w:sz w:val="24"/>
          <w:szCs w:val="24"/>
          <w:lang w:eastAsia="cs-CZ"/>
        </w:rPr>
        <w:tab/>
        <w:t>příspěvková organizace</w:t>
      </w:r>
    </w:p>
    <w:p w14:paraId="459B119E" w14:textId="5156ACDA" w:rsidR="00C46008" w:rsidRDefault="00C46008" w:rsidP="00C13C6C">
      <w:pPr>
        <w:keepNext/>
        <w:spacing w:after="120"/>
        <w:ind w:left="2977" w:hanging="2977"/>
        <w:rPr>
          <w:rFonts w:cs="Times New Roman"/>
          <w:sz w:val="24"/>
          <w:szCs w:val="24"/>
          <w:lang w:eastAsia="cs-CZ"/>
        </w:rPr>
      </w:pPr>
      <w:r>
        <w:rPr>
          <w:rFonts w:cs="Times New Roman"/>
          <w:sz w:val="24"/>
          <w:szCs w:val="24"/>
          <w:lang w:eastAsia="cs-CZ"/>
        </w:rPr>
        <w:t>RO</w:t>
      </w:r>
      <w:r>
        <w:rPr>
          <w:rFonts w:cs="Times New Roman"/>
          <w:sz w:val="24"/>
          <w:szCs w:val="24"/>
          <w:lang w:eastAsia="cs-CZ"/>
        </w:rPr>
        <w:tab/>
        <w:t>rozpočtové opatření</w:t>
      </w:r>
    </w:p>
    <w:p w14:paraId="594017EF" w14:textId="2AB4A878" w:rsidR="00C46008" w:rsidRPr="003A5711" w:rsidRDefault="00C46008" w:rsidP="00C13C6C">
      <w:pPr>
        <w:keepNext/>
        <w:spacing w:after="120"/>
        <w:ind w:left="2977" w:hanging="2977"/>
        <w:rPr>
          <w:rFonts w:cs="Times New Roman"/>
          <w:sz w:val="24"/>
          <w:szCs w:val="24"/>
          <w:lang w:eastAsia="cs-CZ"/>
        </w:rPr>
      </w:pPr>
      <w:r>
        <w:rPr>
          <w:rFonts w:cs="Times New Roman"/>
          <w:sz w:val="24"/>
          <w:szCs w:val="24"/>
          <w:lang w:eastAsia="cs-CZ"/>
        </w:rPr>
        <w:t>UV</w:t>
      </w:r>
      <w:r>
        <w:rPr>
          <w:rFonts w:cs="Times New Roman"/>
          <w:sz w:val="24"/>
          <w:szCs w:val="24"/>
          <w:lang w:eastAsia="cs-CZ"/>
        </w:rPr>
        <w:tab/>
        <w:t>usnesení vlády ČR</w:t>
      </w:r>
    </w:p>
    <w:p w14:paraId="009B9CD2" w14:textId="77777777" w:rsidR="003A5711" w:rsidRPr="003A5711" w:rsidRDefault="003A5711" w:rsidP="003A5711">
      <w:pPr>
        <w:jc w:val="both"/>
        <w:rPr>
          <w:rFonts w:ascii="Calibri" w:eastAsia="Calibri" w:hAnsi="Calibri" w:cs="Times New Roman"/>
          <w:b/>
          <w:sz w:val="24"/>
          <w:szCs w:val="24"/>
        </w:rPr>
      </w:pPr>
    </w:p>
    <w:p w14:paraId="02153CF0" w14:textId="5FD5E85D" w:rsidR="003A5711" w:rsidRPr="003A5711" w:rsidRDefault="003A5711" w:rsidP="003A5711">
      <w:pPr>
        <w:jc w:val="both"/>
        <w:rPr>
          <w:rFonts w:ascii="Calibri" w:eastAsia="Calibri" w:hAnsi="Calibri" w:cs="Times New Roman"/>
          <w:b/>
          <w:sz w:val="24"/>
          <w:szCs w:val="24"/>
        </w:rPr>
      </w:pPr>
    </w:p>
    <w:p w14:paraId="6B19D19F" w14:textId="5DE7FA24" w:rsidR="00DF7B82" w:rsidRDefault="00DF7B82">
      <w:r>
        <w:br w:type="page"/>
      </w:r>
    </w:p>
    <w:p w14:paraId="27742BD1" w14:textId="68BF4F2B" w:rsidR="003F7F41" w:rsidRDefault="00DF7B82" w:rsidP="00DF7B82">
      <w:pPr>
        <w:jc w:val="right"/>
        <w:rPr>
          <w:b/>
          <w:sz w:val="24"/>
          <w:szCs w:val="24"/>
        </w:rPr>
      </w:pPr>
      <w:r>
        <w:rPr>
          <w:b/>
          <w:sz w:val="24"/>
          <w:szCs w:val="24"/>
        </w:rPr>
        <w:lastRenderedPageBreak/>
        <w:t>Příloha č. 1</w:t>
      </w:r>
    </w:p>
    <w:p w14:paraId="276C26BA" w14:textId="77777777" w:rsidR="00DF7B82" w:rsidRPr="00DF7B82" w:rsidRDefault="00DF7B82" w:rsidP="00DF7B82">
      <w:pPr>
        <w:rPr>
          <w:rFonts w:ascii="Calibri" w:eastAsia="Calibri" w:hAnsi="Calibri" w:cs="Calibri"/>
          <w:color w:val="000000"/>
          <w:sz w:val="24"/>
          <w:szCs w:val="24"/>
          <w:lang w:eastAsia="cs-CZ"/>
        </w:rPr>
      </w:pPr>
    </w:p>
    <w:p w14:paraId="5D6A755A" w14:textId="2FD8FC02" w:rsidR="00DF7B82" w:rsidRPr="00DF7B82" w:rsidRDefault="00DF7B82" w:rsidP="00DF7B82">
      <w:pPr>
        <w:jc w:val="center"/>
        <w:rPr>
          <w:rFonts w:ascii="Calibri" w:hAnsi="Calibri" w:cs="Calibri"/>
          <w:b/>
          <w:sz w:val="24"/>
          <w:szCs w:val="24"/>
        </w:rPr>
      </w:pPr>
      <w:r w:rsidRPr="00DF7B82">
        <w:rPr>
          <w:rFonts w:ascii="Calibri" w:eastAsia="Calibri" w:hAnsi="Calibri" w:cs="Calibri"/>
          <w:b/>
          <w:color w:val="000000"/>
          <w:sz w:val="24"/>
          <w:szCs w:val="24"/>
          <w:lang w:eastAsia="cs-CZ"/>
        </w:rPr>
        <w:t>Přehled netto hodnoty vybraných aktiv a</w:t>
      </w:r>
      <w:r>
        <w:rPr>
          <w:rFonts w:ascii="Calibri" w:eastAsia="Calibri" w:hAnsi="Calibri" w:cs="Calibri"/>
          <w:b/>
          <w:color w:val="000000"/>
          <w:sz w:val="24"/>
          <w:szCs w:val="24"/>
          <w:lang w:eastAsia="cs-CZ"/>
        </w:rPr>
        <w:t> </w:t>
      </w:r>
      <w:r w:rsidRPr="00DF7B82">
        <w:rPr>
          <w:rFonts w:ascii="Calibri" w:eastAsia="Calibri" w:hAnsi="Calibri" w:cs="Calibri"/>
          <w:b/>
          <w:color w:val="000000"/>
          <w:sz w:val="24"/>
          <w:szCs w:val="24"/>
          <w:lang w:eastAsia="cs-CZ"/>
        </w:rPr>
        <w:t xml:space="preserve">vybraných nákladů a výnosů GIBS </w:t>
      </w:r>
      <w:r w:rsidR="00C46008">
        <w:rPr>
          <w:rFonts w:ascii="Calibri" w:eastAsia="Calibri" w:hAnsi="Calibri" w:cs="Calibri"/>
          <w:b/>
          <w:color w:val="000000"/>
          <w:sz w:val="24"/>
          <w:szCs w:val="24"/>
          <w:lang w:eastAsia="cs-CZ"/>
        </w:rPr>
        <w:br/>
      </w:r>
      <w:r w:rsidRPr="00DF7B82">
        <w:rPr>
          <w:rFonts w:ascii="Calibri" w:eastAsia="Calibri" w:hAnsi="Calibri" w:cs="Calibri"/>
          <w:b/>
          <w:color w:val="000000"/>
          <w:sz w:val="24"/>
          <w:szCs w:val="24"/>
          <w:lang w:eastAsia="cs-CZ"/>
        </w:rPr>
        <w:t>v letech 2017 až 2020</w:t>
      </w:r>
    </w:p>
    <w:p w14:paraId="0E4D2055" w14:textId="275C3337" w:rsidR="00DF7B82" w:rsidRDefault="00DF7B82" w:rsidP="00DF7B82">
      <w:pPr>
        <w:jc w:val="both"/>
        <w:rPr>
          <w:rFonts w:ascii="Calibri" w:hAnsi="Calibri" w:cs="Calibri"/>
          <w:sz w:val="24"/>
          <w:szCs w:val="24"/>
        </w:rPr>
      </w:pPr>
    </w:p>
    <w:p w14:paraId="7A62B62B" w14:textId="061FA0A6" w:rsidR="00DF7B82" w:rsidRPr="00DF7B82" w:rsidRDefault="00DF7B82" w:rsidP="00DF7B82">
      <w:pPr>
        <w:tabs>
          <w:tab w:val="right" w:pos="9072"/>
        </w:tabs>
        <w:spacing w:after="40"/>
        <w:rPr>
          <w:rFonts w:cstheme="minorHAnsi"/>
          <w:b/>
        </w:rPr>
      </w:pPr>
      <w:r w:rsidRPr="00DF7B82">
        <w:rPr>
          <w:rFonts w:cstheme="minorHAnsi"/>
          <w:b/>
          <w:bCs/>
          <w:iCs/>
        </w:rPr>
        <w:t xml:space="preserve">Přehled netto hodnoty vybraných aktiv GIBS v letech 2017–2020 </w:t>
      </w:r>
      <w:r>
        <w:rPr>
          <w:rFonts w:cstheme="minorHAnsi"/>
          <w:b/>
          <w:bCs/>
          <w:iCs/>
        </w:rPr>
        <w:tab/>
      </w:r>
      <w:r w:rsidRPr="00DF7B82">
        <w:rPr>
          <w:rFonts w:cstheme="minorHAnsi"/>
          <w:b/>
          <w:bCs/>
          <w:iCs/>
        </w:rPr>
        <w:t xml:space="preserve">(v tis. Kč) </w:t>
      </w:r>
    </w:p>
    <w:tbl>
      <w:tblPr>
        <w:tblW w:w="9185" w:type="dxa"/>
        <w:tblInd w:w="-8" w:type="dxa"/>
        <w:tblLayout w:type="fixed"/>
        <w:tblCellMar>
          <w:left w:w="70" w:type="dxa"/>
          <w:right w:w="70" w:type="dxa"/>
        </w:tblCellMar>
        <w:tblLook w:val="04A0" w:firstRow="1" w:lastRow="0" w:firstColumn="1" w:lastColumn="0" w:noHBand="0" w:noVBand="1"/>
      </w:tblPr>
      <w:tblGrid>
        <w:gridCol w:w="3231"/>
        <w:gridCol w:w="851"/>
        <w:gridCol w:w="1276"/>
        <w:gridCol w:w="1275"/>
        <w:gridCol w:w="1276"/>
        <w:gridCol w:w="1276"/>
      </w:tblGrid>
      <w:tr w:rsidR="00DF7B82" w:rsidRPr="00DF7B82" w14:paraId="173ADD1F" w14:textId="77777777" w:rsidTr="00A2524F">
        <w:trPr>
          <w:trHeight w:val="283"/>
        </w:trPr>
        <w:tc>
          <w:tcPr>
            <w:tcW w:w="3231" w:type="dxa"/>
            <w:vMerge w:val="restart"/>
            <w:tcBorders>
              <w:top w:val="single" w:sz="4" w:space="0" w:color="333333"/>
              <w:left w:val="single" w:sz="4" w:space="0" w:color="333333"/>
              <w:right w:val="single" w:sz="4" w:space="0" w:color="333333"/>
            </w:tcBorders>
            <w:shd w:val="clear" w:color="auto" w:fill="E5F1FF"/>
            <w:noWrap/>
            <w:vAlign w:val="center"/>
          </w:tcPr>
          <w:p w14:paraId="0ECD7A50" w14:textId="77777777" w:rsidR="00DF7B82" w:rsidRPr="00DF7B82" w:rsidRDefault="00DF7B82" w:rsidP="00A2524F">
            <w:pPr>
              <w:jc w:val="center"/>
              <w:rPr>
                <w:rFonts w:ascii="Calibri" w:hAnsi="Calibri" w:cs="Calibri"/>
                <w:sz w:val="20"/>
                <w:szCs w:val="20"/>
                <w:lang w:eastAsia="cs-CZ"/>
              </w:rPr>
            </w:pPr>
            <w:r w:rsidRPr="00DF7B82">
              <w:rPr>
                <w:rFonts w:ascii="Calibri" w:hAnsi="Calibri" w:cs="Calibri"/>
                <w:b/>
                <w:color w:val="000000"/>
                <w:sz w:val="20"/>
                <w:szCs w:val="20"/>
                <w:lang w:eastAsia="cs-CZ"/>
              </w:rPr>
              <w:t>Majetek</w:t>
            </w:r>
          </w:p>
        </w:tc>
        <w:tc>
          <w:tcPr>
            <w:tcW w:w="851" w:type="dxa"/>
            <w:vMerge w:val="restart"/>
            <w:tcBorders>
              <w:top w:val="single" w:sz="4" w:space="0" w:color="333333"/>
              <w:left w:val="nil"/>
              <w:right w:val="single" w:sz="4" w:space="0" w:color="333333"/>
            </w:tcBorders>
            <w:shd w:val="clear" w:color="auto" w:fill="E5F1FF"/>
            <w:noWrap/>
            <w:vAlign w:val="center"/>
          </w:tcPr>
          <w:p w14:paraId="7BD9F7BF"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b/>
                <w:color w:val="000000"/>
                <w:sz w:val="20"/>
                <w:szCs w:val="20"/>
                <w:lang w:eastAsia="cs-CZ"/>
              </w:rPr>
              <w:t>Účet</w:t>
            </w:r>
          </w:p>
        </w:tc>
        <w:tc>
          <w:tcPr>
            <w:tcW w:w="5103" w:type="dxa"/>
            <w:gridSpan w:val="4"/>
            <w:tcBorders>
              <w:top w:val="single" w:sz="4" w:space="0" w:color="333333"/>
              <w:left w:val="nil"/>
              <w:bottom w:val="single" w:sz="4" w:space="0" w:color="333333"/>
              <w:right w:val="single" w:sz="4" w:space="0" w:color="auto"/>
            </w:tcBorders>
            <w:shd w:val="clear" w:color="auto" w:fill="E5F1FF"/>
            <w:noWrap/>
            <w:vAlign w:val="center"/>
          </w:tcPr>
          <w:p w14:paraId="74024C6D" w14:textId="77777777" w:rsidR="00DF7B82" w:rsidRPr="00DF7B82" w:rsidRDefault="00DF7B82" w:rsidP="000C0E1E">
            <w:pPr>
              <w:jc w:val="center"/>
              <w:rPr>
                <w:rFonts w:ascii="Calibri" w:hAnsi="Calibri" w:cs="Calibri"/>
                <w:b/>
                <w:color w:val="000000"/>
                <w:sz w:val="20"/>
                <w:szCs w:val="20"/>
                <w:lang w:eastAsia="cs-CZ"/>
              </w:rPr>
            </w:pPr>
            <w:r w:rsidRPr="00DF7B82">
              <w:rPr>
                <w:rFonts w:ascii="Calibri" w:hAnsi="Calibri" w:cs="Calibri"/>
                <w:b/>
                <w:color w:val="000000"/>
                <w:sz w:val="20"/>
                <w:szCs w:val="20"/>
                <w:lang w:eastAsia="cs-CZ"/>
              </w:rPr>
              <w:t>Stav majetku ke dni</w:t>
            </w:r>
          </w:p>
        </w:tc>
      </w:tr>
      <w:tr w:rsidR="00DF7B82" w:rsidRPr="00DF7B82" w14:paraId="3C12979A" w14:textId="77777777" w:rsidTr="00A2524F">
        <w:trPr>
          <w:trHeight w:val="283"/>
        </w:trPr>
        <w:tc>
          <w:tcPr>
            <w:tcW w:w="3231" w:type="dxa"/>
            <w:vMerge/>
            <w:tcBorders>
              <w:left w:val="single" w:sz="4" w:space="0" w:color="333333"/>
              <w:bottom w:val="single" w:sz="4" w:space="0" w:color="333333"/>
              <w:right w:val="single" w:sz="4" w:space="0" w:color="333333"/>
            </w:tcBorders>
            <w:shd w:val="clear" w:color="auto" w:fill="auto"/>
            <w:noWrap/>
            <w:vAlign w:val="center"/>
          </w:tcPr>
          <w:p w14:paraId="4841BAEA" w14:textId="77777777" w:rsidR="00DF7B82" w:rsidRPr="00DF7B82" w:rsidRDefault="00DF7B82" w:rsidP="00A2524F">
            <w:pPr>
              <w:rPr>
                <w:rFonts w:ascii="Calibri" w:hAnsi="Calibri" w:cs="Calibri"/>
                <w:sz w:val="20"/>
                <w:szCs w:val="20"/>
                <w:lang w:eastAsia="cs-CZ"/>
              </w:rPr>
            </w:pPr>
          </w:p>
        </w:tc>
        <w:tc>
          <w:tcPr>
            <w:tcW w:w="851" w:type="dxa"/>
            <w:vMerge/>
            <w:tcBorders>
              <w:left w:val="nil"/>
              <w:bottom w:val="single" w:sz="4" w:space="0" w:color="333333"/>
              <w:right w:val="single" w:sz="4" w:space="0" w:color="333333"/>
            </w:tcBorders>
            <w:shd w:val="clear" w:color="auto" w:fill="auto"/>
            <w:noWrap/>
            <w:vAlign w:val="center"/>
          </w:tcPr>
          <w:p w14:paraId="1CAC75E2" w14:textId="77777777" w:rsidR="00DF7B82" w:rsidRPr="00DF7B82" w:rsidRDefault="00DF7B82" w:rsidP="000C0E1E">
            <w:pPr>
              <w:jc w:val="center"/>
              <w:rPr>
                <w:rFonts w:ascii="Calibri" w:hAnsi="Calibri" w:cs="Calibri"/>
                <w:sz w:val="20"/>
                <w:szCs w:val="20"/>
                <w:lang w:eastAsia="cs-CZ"/>
              </w:rPr>
            </w:pPr>
          </w:p>
        </w:tc>
        <w:tc>
          <w:tcPr>
            <w:tcW w:w="1276" w:type="dxa"/>
            <w:tcBorders>
              <w:top w:val="single" w:sz="4" w:space="0" w:color="333333"/>
              <w:left w:val="nil"/>
              <w:bottom w:val="single" w:sz="4" w:space="0" w:color="333333"/>
              <w:right w:val="single" w:sz="4" w:space="0" w:color="333333"/>
            </w:tcBorders>
            <w:shd w:val="clear" w:color="auto" w:fill="E5F1FF"/>
            <w:noWrap/>
            <w:vAlign w:val="center"/>
          </w:tcPr>
          <w:p w14:paraId="1F330E89"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b/>
                <w:color w:val="000000"/>
                <w:sz w:val="20"/>
                <w:szCs w:val="20"/>
                <w:lang w:eastAsia="cs-CZ"/>
              </w:rPr>
              <w:t>31. 12. 2017</w:t>
            </w:r>
          </w:p>
        </w:tc>
        <w:tc>
          <w:tcPr>
            <w:tcW w:w="1275" w:type="dxa"/>
            <w:tcBorders>
              <w:top w:val="single" w:sz="4" w:space="0" w:color="333333"/>
              <w:left w:val="nil"/>
              <w:bottom w:val="single" w:sz="4" w:space="0" w:color="333333"/>
              <w:right w:val="single" w:sz="4" w:space="0" w:color="333333"/>
            </w:tcBorders>
            <w:shd w:val="clear" w:color="auto" w:fill="E5F1FF"/>
            <w:noWrap/>
            <w:vAlign w:val="center"/>
          </w:tcPr>
          <w:p w14:paraId="04C1506D"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b/>
                <w:color w:val="000000"/>
                <w:sz w:val="20"/>
                <w:szCs w:val="20"/>
                <w:lang w:eastAsia="cs-CZ"/>
              </w:rPr>
              <w:t>31. 12. 2018</w:t>
            </w:r>
          </w:p>
        </w:tc>
        <w:tc>
          <w:tcPr>
            <w:tcW w:w="1276" w:type="dxa"/>
            <w:tcBorders>
              <w:top w:val="single" w:sz="4" w:space="0" w:color="333333"/>
              <w:left w:val="nil"/>
              <w:bottom w:val="single" w:sz="4" w:space="0" w:color="333333"/>
              <w:right w:val="single" w:sz="4" w:space="0" w:color="auto"/>
            </w:tcBorders>
            <w:shd w:val="clear" w:color="auto" w:fill="E5F1FF"/>
            <w:noWrap/>
            <w:vAlign w:val="center"/>
          </w:tcPr>
          <w:p w14:paraId="073710FC"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b/>
                <w:color w:val="000000"/>
                <w:sz w:val="20"/>
                <w:szCs w:val="20"/>
                <w:lang w:eastAsia="cs-CZ"/>
              </w:rPr>
              <w:t>31. 12. 2019</w:t>
            </w:r>
          </w:p>
        </w:tc>
        <w:tc>
          <w:tcPr>
            <w:tcW w:w="1276" w:type="dxa"/>
            <w:tcBorders>
              <w:top w:val="single" w:sz="4" w:space="0" w:color="333333"/>
              <w:left w:val="nil"/>
              <w:bottom w:val="single" w:sz="4" w:space="0" w:color="333333"/>
              <w:right w:val="single" w:sz="4" w:space="0" w:color="auto"/>
            </w:tcBorders>
            <w:shd w:val="clear" w:color="auto" w:fill="E5F1FF"/>
            <w:vAlign w:val="center"/>
          </w:tcPr>
          <w:p w14:paraId="66934D8A" w14:textId="77777777" w:rsidR="00DF7B82" w:rsidRPr="00DF7B82" w:rsidRDefault="00DF7B82" w:rsidP="000C0E1E">
            <w:pPr>
              <w:jc w:val="center"/>
              <w:rPr>
                <w:rFonts w:ascii="Calibri" w:hAnsi="Calibri" w:cs="Calibri"/>
                <w:b/>
                <w:color w:val="000000"/>
                <w:sz w:val="20"/>
                <w:szCs w:val="20"/>
                <w:lang w:eastAsia="cs-CZ"/>
              </w:rPr>
            </w:pPr>
            <w:r w:rsidRPr="00DF7B82">
              <w:rPr>
                <w:rFonts w:ascii="Calibri" w:hAnsi="Calibri" w:cs="Calibri"/>
                <w:b/>
                <w:color w:val="000000"/>
                <w:sz w:val="20"/>
                <w:szCs w:val="20"/>
                <w:lang w:eastAsia="cs-CZ"/>
              </w:rPr>
              <w:t>31. 12. 2020</w:t>
            </w:r>
          </w:p>
        </w:tc>
      </w:tr>
      <w:tr w:rsidR="00DF7B82" w:rsidRPr="00DF7B82" w14:paraId="673F979B" w14:textId="77777777" w:rsidTr="00A2524F">
        <w:trPr>
          <w:trHeight w:val="283"/>
        </w:trPr>
        <w:tc>
          <w:tcPr>
            <w:tcW w:w="323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14:paraId="304EBB13" w14:textId="77777777" w:rsidR="00DF7B82" w:rsidRPr="00DF7B82" w:rsidRDefault="00DF7B82" w:rsidP="00A2524F">
            <w:pPr>
              <w:rPr>
                <w:rFonts w:ascii="Calibri" w:hAnsi="Calibri" w:cs="Calibri"/>
                <w:sz w:val="20"/>
                <w:szCs w:val="20"/>
                <w:lang w:eastAsia="cs-CZ"/>
              </w:rPr>
            </w:pPr>
            <w:r w:rsidRPr="00DF7B82">
              <w:rPr>
                <w:rFonts w:ascii="Calibri" w:hAnsi="Calibri" w:cs="Calibri"/>
                <w:b/>
                <w:bCs/>
                <w:color w:val="000000"/>
                <w:sz w:val="20"/>
                <w:szCs w:val="20"/>
                <w:lang w:eastAsia="cs-CZ"/>
              </w:rPr>
              <w:t xml:space="preserve">Aktiva celkem </w:t>
            </w:r>
          </w:p>
        </w:tc>
        <w:tc>
          <w:tcPr>
            <w:tcW w:w="851" w:type="dxa"/>
            <w:tcBorders>
              <w:top w:val="single" w:sz="4" w:space="0" w:color="333333"/>
              <w:left w:val="nil"/>
              <w:bottom w:val="single" w:sz="4" w:space="0" w:color="333333"/>
              <w:right w:val="single" w:sz="4" w:space="0" w:color="333333"/>
            </w:tcBorders>
            <w:shd w:val="clear" w:color="auto" w:fill="auto"/>
            <w:noWrap/>
            <w:vAlign w:val="center"/>
            <w:hideMark/>
          </w:tcPr>
          <w:p w14:paraId="576B905B"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single" w:sz="4" w:space="0" w:color="333333"/>
              <w:left w:val="nil"/>
              <w:bottom w:val="single" w:sz="4" w:space="0" w:color="333333"/>
              <w:right w:val="single" w:sz="4" w:space="0" w:color="333333"/>
            </w:tcBorders>
            <w:shd w:val="clear" w:color="auto" w:fill="auto"/>
            <w:noWrap/>
            <w:vAlign w:val="center"/>
            <w:hideMark/>
          </w:tcPr>
          <w:p w14:paraId="548DE5B3"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239 341</w:t>
            </w:r>
          </w:p>
        </w:tc>
        <w:tc>
          <w:tcPr>
            <w:tcW w:w="1275" w:type="dxa"/>
            <w:tcBorders>
              <w:top w:val="single" w:sz="4" w:space="0" w:color="333333"/>
              <w:left w:val="nil"/>
              <w:bottom w:val="single" w:sz="4" w:space="0" w:color="333333"/>
              <w:right w:val="single" w:sz="4" w:space="0" w:color="333333"/>
            </w:tcBorders>
            <w:shd w:val="clear" w:color="auto" w:fill="auto"/>
            <w:noWrap/>
            <w:vAlign w:val="center"/>
            <w:hideMark/>
          </w:tcPr>
          <w:p w14:paraId="62B1DA6B"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231 075</w:t>
            </w:r>
          </w:p>
        </w:tc>
        <w:tc>
          <w:tcPr>
            <w:tcW w:w="1276" w:type="dxa"/>
            <w:tcBorders>
              <w:top w:val="single" w:sz="4" w:space="0" w:color="333333"/>
              <w:left w:val="nil"/>
              <w:bottom w:val="single" w:sz="4" w:space="0" w:color="333333"/>
              <w:right w:val="single" w:sz="4" w:space="0" w:color="auto"/>
            </w:tcBorders>
            <w:shd w:val="clear" w:color="auto" w:fill="auto"/>
            <w:noWrap/>
            <w:vAlign w:val="center"/>
            <w:hideMark/>
          </w:tcPr>
          <w:p w14:paraId="5C152545"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233 700</w:t>
            </w:r>
          </w:p>
        </w:tc>
        <w:tc>
          <w:tcPr>
            <w:tcW w:w="1276" w:type="dxa"/>
            <w:tcBorders>
              <w:top w:val="single" w:sz="4" w:space="0" w:color="333333"/>
              <w:left w:val="nil"/>
              <w:bottom w:val="single" w:sz="4" w:space="0" w:color="333333"/>
              <w:right w:val="single" w:sz="4" w:space="0" w:color="auto"/>
            </w:tcBorders>
            <w:vAlign w:val="center"/>
          </w:tcPr>
          <w:p w14:paraId="32439F36"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224 009</w:t>
            </w:r>
          </w:p>
        </w:tc>
      </w:tr>
      <w:tr w:rsidR="00DF7B82" w:rsidRPr="00DF7B82" w14:paraId="0FC7069D"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0DA80FF8" w14:textId="77777777" w:rsidR="00DF7B82" w:rsidRPr="00DF7B82" w:rsidRDefault="00DF7B82" w:rsidP="00A2524F">
            <w:pPr>
              <w:rPr>
                <w:rFonts w:ascii="Calibri" w:hAnsi="Calibri" w:cs="Calibri"/>
                <w:sz w:val="20"/>
                <w:szCs w:val="20"/>
                <w:lang w:eastAsia="cs-CZ"/>
              </w:rPr>
            </w:pPr>
            <w:r w:rsidRPr="00DF7B82">
              <w:rPr>
                <w:rFonts w:ascii="Calibri" w:hAnsi="Calibri" w:cs="Calibri"/>
                <w:b/>
                <w:bCs/>
                <w:color w:val="000000"/>
                <w:sz w:val="20"/>
                <w:szCs w:val="20"/>
                <w:lang w:eastAsia="cs-CZ"/>
              </w:rPr>
              <w:t>S T Á L Á   A K T I V A</w:t>
            </w:r>
          </w:p>
        </w:tc>
        <w:tc>
          <w:tcPr>
            <w:tcW w:w="851" w:type="dxa"/>
            <w:tcBorders>
              <w:top w:val="nil"/>
              <w:left w:val="nil"/>
              <w:bottom w:val="single" w:sz="4" w:space="0" w:color="333333"/>
              <w:right w:val="single" w:sz="4" w:space="0" w:color="333333"/>
            </w:tcBorders>
            <w:shd w:val="clear" w:color="auto" w:fill="auto"/>
            <w:noWrap/>
            <w:vAlign w:val="center"/>
            <w:hideMark/>
          </w:tcPr>
          <w:p w14:paraId="03795DD6"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nil"/>
              <w:left w:val="nil"/>
              <w:bottom w:val="single" w:sz="4" w:space="0" w:color="333333"/>
              <w:right w:val="single" w:sz="4" w:space="0" w:color="333333"/>
            </w:tcBorders>
            <w:shd w:val="clear" w:color="auto" w:fill="auto"/>
            <w:noWrap/>
            <w:vAlign w:val="center"/>
            <w:hideMark/>
          </w:tcPr>
          <w:p w14:paraId="62118BD2"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174 733</w:t>
            </w:r>
          </w:p>
        </w:tc>
        <w:tc>
          <w:tcPr>
            <w:tcW w:w="1275" w:type="dxa"/>
            <w:tcBorders>
              <w:top w:val="nil"/>
              <w:left w:val="nil"/>
              <w:bottom w:val="single" w:sz="4" w:space="0" w:color="333333"/>
              <w:right w:val="single" w:sz="4" w:space="0" w:color="333333"/>
            </w:tcBorders>
            <w:shd w:val="clear" w:color="auto" w:fill="auto"/>
            <w:noWrap/>
            <w:vAlign w:val="center"/>
            <w:hideMark/>
          </w:tcPr>
          <w:p w14:paraId="562DD027"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169 362</w:t>
            </w:r>
          </w:p>
        </w:tc>
        <w:tc>
          <w:tcPr>
            <w:tcW w:w="1276" w:type="dxa"/>
            <w:tcBorders>
              <w:top w:val="nil"/>
              <w:left w:val="nil"/>
              <w:bottom w:val="single" w:sz="4" w:space="0" w:color="333333"/>
              <w:right w:val="single" w:sz="4" w:space="0" w:color="auto"/>
            </w:tcBorders>
            <w:shd w:val="clear" w:color="auto" w:fill="auto"/>
            <w:noWrap/>
            <w:vAlign w:val="center"/>
            <w:hideMark/>
          </w:tcPr>
          <w:p w14:paraId="36975258"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167 868</w:t>
            </w:r>
          </w:p>
        </w:tc>
        <w:tc>
          <w:tcPr>
            <w:tcW w:w="1276" w:type="dxa"/>
            <w:tcBorders>
              <w:top w:val="nil"/>
              <w:left w:val="nil"/>
              <w:bottom w:val="single" w:sz="4" w:space="0" w:color="333333"/>
              <w:right w:val="single" w:sz="4" w:space="0" w:color="auto"/>
            </w:tcBorders>
            <w:vAlign w:val="center"/>
          </w:tcPr>
          <w:p w14:paraId="663EBC34"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161 908</w:t>
            </w:r>
          </w:p>
        </w:tc>
      </w:tr>
      <w:tr w:rsidR="00DF7B82" w:rsidRPr="00DF7B82" w14:paraId="7B5F5796"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615561D7" w14:textId="77777777" w:rsidR="00DF7B82" w:rsidRPr="00DF7B82" w:rsidRDefault="00DF7B82" w:rsidP="00A2524F">
            <w:pPr>
              <w:rPr>
                <w:rFonts w:ascii="Calibri" w:hAnsi="Calibri" w:cs="Calibri"/>
                <w:i/>
                <w:sz w:val="20"/>
                <w:szCs w:val="20"/>
                <w:lang w:eastAsia="cs-CZ"/>
              </w:rPr>
            </w:pPr>
            <w:r w:rsidRPr="00DF7B82">
              <w:rPr>
                <w:rFonts w:ascii="Calibri" w:hAnsi="Calibri" w:cs="Calibri"/>
                <w:i/>
                <w:sz w:val="20"/>
                <w:szCs w:val="20"/>
                <w:lang w:eastAsia="cs-CZ"/>
              </w:rPr>
              <w:t>Dlouhodobý nehmotný majetek</w:t>
            </w:r>
          </w:p>
        </w:tc>
        <w:tc>
          <w:tcPr>
            <w:tcW w:w="851" w:type="dxa"/>
            <w:tcBorders>
              <w:top w:val="nil"/>
              <w:left w:val="nil"/>
              <w:bottom w:val="single" w:sz="4" w:space="0" w:color="333333"/>
              <w:right w:val="single" w:sz="4" w:space="0" w:color="333333"/>
            </w:tcBorders>
            <w:shd w:val="clear" w:color="auto" w:fill="auto"/>
            <w:noWrap/>
            <w:vAlign w:val="center"/>
            <w:hideMark/>
          </w:tcPr>
          <w:p w14:paraId="239766C6"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nil"/>
              <w:left w:val="nil"/>
              <w:bottom w:val="single" w:sz="4" w:space="0" w:color="333333"/>
              <w:right w:val="single" w:sz="4" w:space="0" w:color="333333"/>
            </w:tcBorders>
            <w:shd w:val="clear" w:color="auto" w:fill="auto"/>
            <w:noWrap/>
            <w:vAlign w:val="center"/>
            <w:hideMark/>
          </w:tcPr>
          <w:p w14:paraId="024E8277"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2 271</w:t>
            </w:r>
          </w:p>
        </w:tc>
        <w:tc>
          <w:tcPr>
            <w:tcW w:w="1275" w:type="dxa"/>
            <w:tcBorders>
              <w:top w:val="nil"/>
              <w:left w:val="nil"/>
              <w:bottom w:val="single" w:sz="4" w:space="0" w:color="333333"/>
              <w:right w:val="single" w:sz="4" w:space="0" w:color="333333"/>
            </w:tcBorders>
            <w:shd w:val="clear" w:color="auto" w:fill="auto"/>
            <w:noWrap/>
            <w:vAlign w:val="center"/>
            <w:hideMark/>
          </w:tcPr>
          <w:p w14:paraId="18EFBC1D"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1 675</w:t>
            </w:r>
          </w:p>
        </w:tc>
        <w:tc>
          <w:tcPr>
            <w:tcW w:w="1276" w:type="dxa"/>
            <w:tcBorders>
              <w:top w:val="nil"/>
              <w:left w:val="nil"/>
              <w:bottom w:val="single" w:sz="4" w:space="0" w:color="333333"/>
              <w:right w:val="single" w:sz="4" w:space="0" w:color="auto"/>
            </w:tcBorders>
            <w:shd w:val="clear" w:color="auto" w:fill="auto"/>
            <w:noWrap/>
            <w:vAlign w:val="center"/>
            <w:hideMark/>
          </w:tcPr>
          <w:p w14:paraId="401076CF"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1 667</w:t>
            </w:r>
          </w:p>
        </w:tc>
        <w:tc>
          <w:tcPr>
            <w:tcW w:w="1276" w:type="dxa"/>
            <w:tcBorders>
              <w:top w:val="nil"/>
              <w:left w:val="nil"/>
              <w:bottom w:val="single" w:sz="4" w:space="0" w:color="333333"/>
              <w:right w:val="single" w:sz="4" w:space="0" w:color="auto"/>
            </w:tcBorders>
            <w:vAlign w:val="center"/>
          </w:tcPr>
          <w:p w14:paraId="52AABE9C"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1 497</w:t>
            </w:r>
          </w:p>
        </w:tc>
      </w:tr>
      <w:tr w:rsidR="00DF7B82" w:rsidRPr="00DF7B82" w14:paraId="6817E12B"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13B00B6F"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Software</w:t>
            </w:r>
          </w:p>
        </w:tc>
        <w:tc>
          <w:tcPr>
            <w:tcW w:w="851" w:type="dxa"/>
            <w:tcBorders>
              <w:top w:val="nil"/>
              <w:left w:val="nil"/>
              <w:bottom w:val="single" w:sz="4" w:space="0" w:color="333333"/>
              <w:right w:val="single" w:sz="4" w:space="0" w:color="333333"/>
            </w:tcBorders>
            <w:shd w:val="clear" w:color="auto" w:fill="auto"/>
            <w:noWrap/>
            <w:vAlign w:val="center"/>
            <w:hideMark/>
          </w:tcPr>
          <w:p w14:paraId="63B35134"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013</w:t>
            </w:r>
          </w:p>
        </w:tc>
        <w:tc>
          <w:tcPr>
            <w:tcW w:w="1276" w:type="dxa"/>
            <w:tcBorders>
              <w:top w:val="nil"/>
              <w:left w:val="nil"/>
              <w:bottom w:val="single" w:sz="4" w:space="0" w:color="333333"/>
              <w:right w:val="single" w:sz="4" w:space="0" w:color="333333"/>
            </w:tcBorders>
            <w:shd w:val="clear" w:color="auto" w:fill="auto"/>
            <w:noWrap/>
            <w:vAlign w:val="center"/>
            <w:hideMark/>
          </w:tcPr>
          <w:p w14:paraId="713F1459"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2 271</w:t>
            </w:r>
          </w:p>
        </w:tc>
        <w:tc>
          <w:tcPr>
            <w:tcW w:w="1275" w:type="dxa"/>
            <w:tcBorders>
              <w:top w:val="nil"/>
              <w:left w:val="nil"/>
              <w:bottom w:val="single" w:sz="4" w:space="0" w:color="333333"/>
              <w:right w:val="single" w:sz="4" w:space="0" w:color="333333"/>
            </w:tcBorders>
            <w:shd w:val="clear" w:color="auto" w:fill="auto"/>
            <w:noWrap/>
            <w:vAlign w:val="center"/>
            <w:hideMark/>
          </w:tcPr>
          <w:p w14:paraId="1BFCA015"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1 675</w:t>
            </w:r>
          </w:p>
        </w:tc>
        <w:tc>
          <w:tcPr>
            <w:tcW w:w="1276" w:type="dxa"/>
            <w:tcBorders>
              <w:top w:val="nil"/>
              <w:left w:val="nil"/>
              <w:bottom w:val="single" w:sz="4" w:space="0" w:color="333333"/>
              <w:right w:val="single" w:sz="4" w:space="0" w:color="auto"/>
            </w:tcBorders>
            <w:shd w:val="clear" w:color="auto" w:fill="auto"/>
            <w:noWrap/>
            <w:vAlign w:val="center"/>
            <w:hideMark/>
          </w:tcPr>
          <w:p w14:paraId="459601F2"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1 667</w:t>
            </w:r>
          </w:p>
        </w:tc>
        <w:tc>
          <w:tcPr>
            <w:tcW w:w="1276" w:type="dxa"/>
            <w:tcBorders>
              <w:top w:val="nil"/>
              <w:left w:val="nil"/>
              <w:bottom w:val="single" w:sz="4" w:space="0" w:color="333333"/>
              <w:right w:val="single" w:sz="4" w:space="0" w:color="auto"/>
            </w:tcBorders>
            <w:vAlign w:val="center"/>
          </w:tcPr>
          <w:p w14:paraId="26D58339"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1 497</w:t>
            </w:r>
          </w:p>
        </w:tc>
      </w:tr>
      <w:tr w:rsidR="00DF7B82" w:rsidRPr="00DF7B82" w14:paraId="4D9DF632"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7726290D" w14:textId="77777777" w:rsidR="00DF7B82" w:rsidRPr="00DF7B82" w:rsidRDefault="00DF7B82" w:rsidP="00A2524F">
            <w:pPr>
              <w:rPr>
                <w:rFonts w:ascii="Calibri" w:hAnsi="Calibri" w:cs="Calibri"/>
                <w:i/>
                <w:sz w:val="20"/>
                <w:szCs w:val="20"/>
                <w:lang w:eastAsia="cs-CZ"/>
              </w:rPr>
            </w:pPr>
            <w:r w:rsidRPr="00DF7B82">
              <w:rPr>
                <w:rFonts w:ascii="Calibri" w:hAnsi="Calibri" w:cs="Calibri"/>
                <w:i/>
                <w:sz w:val="20"/>
                <w:szCs w:val="20"/>
                <w:lang w:eastAsia="cs-CZ"/>
              </w:rPr>
              <w:t>Dlouhodobý hmotný majetek</w:t>
            </w:r>
          </w:p>
        </w:tc>
        <w:tc>
          <w:tcPr>
            <w:tcW w:w="851" w:type="dxa"/>
            <w:tcBorders>
              <w:top w:val="nil"/>
              <w:left w:val="nil"/>
              <w:bottom w:val="single" w:sz="4" w:space="0" w:color="333333"/>
              <w:right w:val="single" w:sz="4" w:space="0" w:color="333333"/>
            </w:tcBorders>
            <w:shd w:val="clear" w:color="auto" w:fill="auto"/>
            <w:noWrap/>
            <w:vAlign w:val="center"/>
            <w:hideMark/>
          </w:tcPr>
          <w:p w14:paraId="0E01D049"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nil"/>
              <w:left w:val="nil"/>
              <w:bottom w:val="single" w:sz="4" w:space="0" w:color="333333"/>
              <w:right w:val="single" w:sz="4" w:space="0" w:color="333333"/>
            </w:tcBorders>
            <w:shd w:val="clear" w:color="auto" w:fill="auto"/>
            <w:noWrap/>
            <w:vAlign w:val="center"/>
            <w:hideMark/>
          </w:tcPr>
          <w:p w14:paraId="76A03E08"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172 462</w:t>
            </w:r>
          </w:p>
        </w:tc>
        <w:tc>
          <w:tcPr>
            <w:tcW w:w="1275" w:type="dxa"/>
            <w:tcBorders>
              <w:top w:val="nil"/>
              <w:left w:val="nil"/>
              <w:bottom w:val="single" w:sz="4" w:space="0" w:color="333333"/>
              <w:right w:val="single" w:sz="4" w:space="0" w:color="333333"/>
            </w:tcBorders>
            <w:shd w:val="clear" w:color="auto" w:fill="auto"/>
            <w:noWrap/>
            <w:vAlign w:val="center"/>
            <w:hideMark/>
          </w:tcPr>
          <w:p w14:paraId="7C78BDFA"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167 687</w:t>
            </w:r>
          </w:p>
        </w:tc>
        <w:tc>
          <w:tcPr>
            <w:tcW w:w="1276" w:type="dxa"/>
            <w:tcBorders>
              <w:top w:val="nil"/>
              <w:left w:val="nil"/>
              <w:bottom w:val="single" w:sz="4" w:space="0" w:color="333333"/>
              <w:right w:val="single" w:sz="4" w:space="0" w:color="auto"/>
            </w:tcBorders>
            <w:shd w:val="clear" w:color="auto" w:fill="auto"/>
            <w:noWrap/>
            <w:vAlign w:val="center"/>
            <w:hideMark/>
          </w:tcPr>
          <w:p w14:paraId="3F1D1070"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166 201</w:t>
            </w:r>
          </w:p>
        </w:tc>
        <w:tc>
          <w:tcPr>
            <w:tcW w:w="1276" w:type="dxa"/>
            <w:tcBorders>
              <w:top w:val="nil"/>
              <w:left w:val="nil"/>
              <w:bottom w:val="single" w:sz="4" w:space="0" w:color="333333"/>
              <w:right w:val="single" w:sz="4" w:space="0" w:color="auto"/>
            </w:tcBorders>
            <w:vAlign w:val="center"/>
          </w:tcPr>
          <w:p w14:paraId="590C72D3"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160 411</w:t>
            </w:r>
          </w:p>
        </w:tc>
      </w:tr>
      <w:tr w:rsidR="00DF7B82" w:rsidRPr="00DF7B82" w14:paraId="7AE34A84"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3FFACB6F"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Pozemky</w:t>
            </w:r>
          </w:p>
        </w:tc>
        <w:tc>
          <w:tcPr>
            <w:tcW w:w="851" w:type="dxa"/>
            <w:tcBorders>
              <w:top w:val="nil"/>
              <w:left w:val="nil"/>
              <w:bottom w:val="single" w:sz="4" w:space="0" w:color="333333"/>
              <w:right w:val="single" w:sz="4" w:space="0" w:color="333333"/>
            </w:tcBorders>
            <w:shd w:val="clear" w:color="auto" w:fill="auto"/>
            <w:noWrap/>
            <w:vAlign w:val="center"/>
            <w:hideMark/>
          </w:tcPr>
          <w:p w14:paraId="135B310D"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031</w:t>
            </w:r>
          </w:p>
        </w:tc>
        <w:tc>
          <w:tcPr>
            <w:tcW w:w="1276" w:type="dxa"/>
            <w:tcBorders>
              <w:top w:val="nil"/>
              <w:left w:val="nil"/>
              <w:bottom w:val="single" w:sz="4" w:space="0" w:color="333333"/>
              <w:right w:val="single" w:sz="4" w:space="0" w:color="333333"/>
            </w:tcBorders>
            <w:shd w:val="clear" w:color="auto" w:fill="auto"/>
            <w:noWrap/>
            <w:vAlign w:val="center"/>
            <w:hideMark/>
          </w:tcPr>
          <w:p w14:paraId="2C757D64"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18 691</w:t>
            </w:r>
          </w:p>
        </w:tc>
        <w:tc>
          <w:tcPr>
            <w:tcW w:w="1275" w:type="dxa"/>
            <w:tcBorders>
              <w:top w:val="nil"/>
              <w:left w:val="nil"/>
              <w:bottom w:val="single" w:sz="4" w:space="0" w:color="333333"/>
              <w:right w:val="single" w:sz="4" w:space="0" w:color="333333"/>
            </w:tcBorders>
            <w:shd w:val="clear" w:color="auto" w:fill="auto"/>
            <w:noWrap/>
            <w:vAlign w:val="center"/>
            <w:hideMark/>
          </w:tcPr>
          <w:p w14:paraId="32582B9D"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18 691</w:t>
            </w:r>
          </w:p>
        </w:tc>
        <w:tc>
          <w:tcPr>
            <w:tcW w:w="1276" w:type="dxa"/>
            <w:tcBorders>
              <w:top w:val="nil"/>
              <w:left w:val="nil"/>
              <w:bottom w:val="single" w:sz="4" w:space="0" w:color="333333"/>
              <w:right w:val="single" w:sz="4" w:space="0" w:color="auto"/>
            </w:tcBorders>
            <w:shd w:val="clear" w:color="auto" w:fill="auto"/>
            <w:noWrap/>
            <w:vAlign w:val="center"/>
            <w:hideMark/>
          </w:tcPr>
          <w:p w14:paraId="7B8DE80B"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18 991</w:t>
            </w:r>
          </w:p>
        </w:tc>
        <w:tc>
          <w:tcPr>
            <w:tcW w:w="1276" w:type="dxa"/>
            <w:tcBorders>
              <w:top w:val="nil"/>
              <w:left w:val="nil"/>
              <w:bottom w:val="single" w:sz="4" w:space="0" w:color="333333"/>
              <w:right w:val="single" w:sz="4" w:space="0" w:color="auto"/>
            </w:tcBorders>
            <w:vAlign w:val="center"/>
          </w:tcPr>
          <w:p w14:paraId="0E0BEF2D"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19 015</w:t>
            </w:r>
          </w:p>
        </w:tc>
      </w:tr>
      <w:tr w:rsidR="00DF7B82" w:rsidRPr="00DF7B82" w14:paraId="2566A30E"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7CAE9A7E"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Stavby</w:t>
            </w:r>
          </w:p>
        </w:tc>
        <w:tc>
          <w:tcPr>
            <w:tcW w:w="851" w:type="dxa"/>
            <w:tcBorders>
              <w:top w:val="nil"/>
              <w:left w:val="nil"/>
              <w:bottom w:val="single" w:sz="4" w:space="0" w:color="333333"/>
              <w:right w:val="single" w:sz="4" w:space="0" w:color="333333"/>
            </w:tcBorders>
            <w:shd w:val="clear" w:color="auto" w:fill="auto"/>
            <w:noWrap/>
            <w:vAlign w:val="center"/>
            <w:hideMark/>
          </w:tcPr>
          <w:p w14:paraId="5169CD62"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021</w:t>
            </w:r>
          </w:p>
        </w:tc>
        <w:tc>
          <w:tcPr>
            <w:tcW w:w="1276" w:type="dxa"/>
            <w:tcBorders>
              <w:top w:val="nil"/>
              <w:left w:val="nil"/>
              <w:bottom w:val="single" w:sz="4" w:space="0" w:color="333333"/>
              <w:right w:val="single" w:sz="4" w:space="0" w:color="333333"/>
            </w:tcBorders>
            <w:shd w:val="clear" w:color="auto" w:fill="auto"/>
            <w:noWrap/>
            <w:vAlign w:val="center"/>
            <w:hideMark/>
          </w:tcPr>
          <w:p w14:paraId="62F8FAF2"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106 140</w:t>
            </w:r>
          </w:p>
        </w:tc>
        <w:tc>
          <w:tcPr>
            <w:tcW w:w="1275" w:type="dxa"/>
            <w:tcBorders>
              <w:top w:val="nil"/>
              <w:left w:val="nil"/>
              <w:bottom w:val="single" w:sz="4" w:space="0" w:color="333333"/>
              <w:right w:val="single" w:sz="4" w:space="0" w:color="333333"/>
            </w:tcBorders>
            <w:shd w:val="clear" w:color="auto" w:fill="auto"/>
            <w:noWrap/>
            <w:vAlign w:val="center"/>
            <w:hideMark/>
          </w:tcPr>
          <w:p w14:paraId="04C007A9"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104 604</w:t>
            </w:r>
          </w:p>
        </w:tc>
        <w:tc>
          <w:tcPr>
            <w:tcW w:w="1276" w:type="dxa"/>
            <w:tcBorders>
              <w:top w:val="nil"/>
              <w:left w:val="nil"/>
              <w:bottom w:val="single" w:sz="4" w:space="0" w:color="333333"/>
              <w:right w:val="single" w:sz="4" w:space="0" w:color="auto"/>
            </w:tcBorders>
            <w:shd w:val="clear" w:color="auto" w:fill="auto"/>
            <w:noWrap/>
            <w:vAlign w:val="center"/>
            <w:hideMark/>
          </w:tcPr>
          <w:p w14:paraId="55F28787"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106 530</w:t>
            </w:r>
          </w:p>
        </w:tc>
        <w:tc>
          <w:tcPr>
            <w:tcW w:w="1276" w:type="dxa"/>
            <w:tcBorders>
              <w:top w:val="nil"/>
              <w:left w:val="nil"/>
              <w:bottom w:val="single" w:sz="4" w:space="0" w:color="333333"/>
              <w:right w:val="single" w:sz="4" w:space="0" w:color="auto"/>
            </w:tcBorders>
            <w:vAlign w:val="center"/>
          </w:tcPr>
          <w:p w14:paraId="54463B88"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107 401</w:t>
            </w:r>
          </w:p>
        </w:tc>
      </w:tr>
      <w:tr w:rsidR="00DF7B82" w:rsidRPr="00DF7B82" w14:paraId="31259453"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6D8A10F9" w14:textId="10AC7023"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 xml:space="preserve">Samostatné hmotné movité věci </w:t>
            </w:r>
            <w:r w:rsidR="00A2524F">
              <w:rPr>
                <w:rFonts w:ascii="Calibri" w:hAnsi="Calibri" w:cs="Calibri"/>
                <w:sz w:val="20"/>
                <w:szCs w:val="20"/>
                <w:lang w:eastAsia="cs-CZ"/>
              </w:rPr>
              <w:t>a </w:t>
            </w:r>
            <w:r w:rsidRPr="00DF7B82">
              <w:rPr>
                <w:rFonts w:ascii="Calibri" w:hAnsi="Calibri" w:cs="Calibri"/>
                <w:sz w:val="20"/>
                <w:szCs w:val="20"/>
                <w:lang w:eastAsia="cs-CZ"/>
              </w:rPr>
              <w:t>soubory hmotných movitých věcí</w:t>
            </w:r>
          </w:p>
        </w:tc>
        <w:tc>
          <w:tcPr>
            <w:tcW w:w="851" w:type="dxa"/>
            <w:tcBorders>
              <w:top w:val="nil"/>
              <w:left w:val="nil"/>
              <w:bottom w:val="single" w:sz="4" w:space="0" w:color="333333"/>
              <w:right w:val="single" w:sz="4" w:space="0" w:color="333333"/>
            </w:tcBorders>
            <w:shd w:val="clear" w:color="auto" w:fill="auto"/>
            <w:noWrap/>
            <w:vAlign w:val="center"/>
            <w:hideMark/>
          </w:tcPr>
          <w:p w14:paraId="64BA05D5"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022</w:t>
            </w:r>
          </w:p>
        </w:tc>
        <w:tc>
          <w:tcPr>
            <w:tcW w:w="1276" w:type="dxa"/>
            <w:tcBorders>
              <w:top w:val="nil"/>
              <w:left w:val="nil"/>
              <w:bottom w:val="single" w:sz="4" w:space="0" w:color="333333"/>
              <w:right w:val="single" w:sz="4" w:space="0" w:color="333333"/>
            </w:tcBorders>
            <w:shd w:val="clear" w:color="auto" w:fill="auto"/>
            <w:noWrap/>
            <w:vAlign w:val="center"/>
            <w:hideMark/>
          </w:tcPr>
          <w:p w14:paraId="4F7EB370"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47 606</w:t>
            </w:r>
          </w:p>
        </w:tc>
        <w:tc>
          <w:tcPr>
            <w:tcW w:w="1275" w:type="dxa"/>
            <w:tcBorders>
              <w:top w:val="nil"/>
              <w:left w:val="nil"/>
              <w:bottom w:val="single" w:sz="4" w:space="0" w:color="333333"/>
              <w:right w:val="single" w:sz="4" w:space="0" w:color="333333"/>
            </w:tcBorders>
            <w:shd w:val="clear" w:color="auto" w:fill="auto"/>
            <w:noWrap/>
            <w:vAlign w:val="center"/>
            <w:hideMark/>
          </w:tcPr>
          <w:p w14:paraId="4AB6C194"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44 316</w:t>
            </w:r>
          </w:p>
        </w:tc>
        <w:tc>
          <w:tcPr>
            <w:tcW w:w="1276" w:type="dxa"/>
            <w:tcBorders>
              <w:top w:val="nil"/>
              <w:left w:val="nil"/>
              <w:bottom w:val="single" w:sz="4" w:space="0" w:color="333333"/>
              <w:right w:val="single" w:sz="4" w:space="0" w:color="auto"/>
            </w:tcBorders>
            <w:shd w:val="clear" w:color="auto" w:fill="auto"/>
            <w:noWrap/>
            <w:vAlign w:val="center"/>
            <w:hideMark/>
          </w:tcPr>
          <w:p w14:paraId="602D2833"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40 583</w:t>
            </w:r>
          </w:p>
        </w:tc>
        <w:tc>
          <w:tcPr>
            <w:tcW w:w="1276" w:type="dxa"/>
            <w:tcBorders>
              <w:top w:val="nil"/>
              <w:left w:val="nil"/>
              <w:bottom w:val="single" w:sz="4" w:space="0" w:color="333333"/>
              <w:right w:val="single" w:sz="4" w:space="0" w:color="auto"/>
            </w:tcBorders>
            <w:vAlign w:val="center"/>
          </w:tcPr>
          <w:p w14:paraId="3F6C19C6"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33 864</w:t>
            </w:r>
          </w:p>
        </w:tc>
      </w:tr>
      <w:tr w:rsidR="00DF7B82" w:rsidRPr="00DF7B82" w14:paraId="3B9D3396"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09B8145D" w14:textId="2912086F" w:rsidR="00DF7B82" w:rsidRPr="00DF7B82" w:rsidRDefault="00DF7B82" w:rsidP="00A2524F">
            <w:pPr>
              <w:rPr>
                <w:rFonts w:ascii="Calibri" w:hAnsi="Calibri" w:cs="Calibri"/>
                <w:i/>
                <w:sz w:val="20"/>
                <w:szCs w:val="20"/>
                <w:lang w:eastAsia="cs-CZ"/>
              </w:rPr>
            </w:pPr>
            <w:r w:rsidRPr="00DF7B82">
              <w:rPr>
                <w:rFonts w:ascii="Calibri" w:hAnsi="Calibri" w:cs="Calibri"/>
                <w:b/>
                <w:bCs/>
                <w:color w:val="000000"/>
                <w:sz w:val="20"/>
                <w:szCs w:val="20"/>
                <w:lang w:eastAsia="cs-CZ"/>
              </w:rPr>
              <w:t xml:space="preserve">O B Ě Ž N Á </w:t>
            </w:r>
            <w:r w:rsidR="00061E04">
              <w:rPr>
                <w:rFonts w:ascii="Calibri" w:hAnsi="Calibri" w:cs="Calibri"/>
                <w:b/>
                <w:bCs/>
                <w:color w:val="000000"/>
                <w:sz w:val="20"/>
                <w:szCs w:val="20"/>
                <w:lang w:eastAsia="cs-CZ"/>
              </w:rPr>
              <w:t xml:space="preserve"> </w:t>
            </w:r>
            <w:r w:rsidRPr="00DF7B82">
              <w:rPr>
                <w:rFonts w:ascii="Calibri" w:hAnsi="Calibri" w:cs="Calibri"/>
                <w:b/>
                <w:bCs/>
                <w:color w:val="000000"/>
                <w:sz w:val="20"/>
                <w:szCs w:val="20"/>
                <w:lang w:eastAsia="cs-CZ"/>
              </w:rPr>
              <w:t xml:space="preserve"> A K T I V A</w:t>
            </w:r>
          </w:p>
        </w:tc>
        <w:tc>
          <w:tcPr>
            <w:tcW w:w="851" w:type="dxa"/>
            <w:tcBorders>
              <w:top w:val="nil"/>
              <w:left w:val="nil"/>
              <w:bottom w:val="single" w:sz="4" w:space="0" w:color="333333"/>
              <w:right w:val="single" w:sz="4" w:space="0" w:color="333333"/>
            </w:tcBorders>
            <w:shd w:val="clear" w:color="auto" w:fill="auto"/>
            <w:noWrap/>
            <w:vAlign w:val="center"/>
            <w:hideMark/>
          </w:tcPr>
          <w:p w14:paraId="75F1EFF3"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nil"/>
              <w:left w:val="nil"/>
              <w:bottom w:val="single" w:sz="4" w:space="0" w:color="333333"/>
              <w:right w:val="single" w:sz="4" w:space="0" w:color="333333"/>
            </w:tcBorders>
            <w:shd w:val="clear" w:color="auto" w:fill="auto"/>
            <w:noWrap/>
            <w:vAlign w:val="center"/>
            <w:hideMark/>
          </w:tcPr>
          <w:p w14:paraId="5D8F3802"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64 609</w:t>
            </w:r>
          </w:p>
        </w:tc>
        <w:tc>
          <w:tcPr>
            <w:tcW w:w="1275" w:type="dxa"/>
            <w:tcBorders>
              <w:top w:val="nil"/>
              <w:left w:val="nil"/>
              <w:bottom w:val="single" w:sz="4" w:space="0" w:color="333333"/>
              <w:right w:val="single" w:sz="4" w:space="0" w:color="333333"/>
            </w:tcBorders>
            <w:shd w:val="clear" w:color="auto" w:fill="auto"/>
            <w:noWrap/>
            <w:vAlign w:val="center"/>
            <w:hideMark/>
          </w:tcPr>
          <w:p w14:paraId="5A6492F2"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61 713</w:t>
            </w:r>
          </w:p>
        </w:tc>
        <w:tc>
          <w:tcPr>
            <w:tcW w:w="1276" w:type="dxa"/>
            <w:tcBorders>
              <w:top w:val="nil"/>
              <w:left w:val="nil"/>
              <w:bottom w:val="single" w:sz="4" w:space="0" w:color="333333"/>
              <w:right w:val="single" w:sz="4" w:space="0" w:color="auto"/>
            </w:tcBorders>
            <w:shd w:val="clear" w:color="auto" w:fill="auto"/>
            <w:noWrap/>
            <w:vAlign w:val="center"/>
            <w:hideMark/>
          </w:tcPr>
          <w:p w14:paraId="5F662F2B"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65 831</w:t>
            </w:r>
          </w:p>
        </w:tc>
        <w:tc>
          <w:tcPr>
            <w:tcW w:w="1276" w:type="dxa"/>
            <w:tcBorders>
              <w:top w:val="nil"/>
              <w:left w:val="nil"/>
              <w:bottom w:val="single" w:sz="4" w:space="0" w:color="333333"/>
              <w:right w:val="single" w:sz="4" w:space="0" w:color="auto"/>
            </w:tcBorders>
            <w:vAlign w:val="center"/>
          </w:tcPr>
          <w:p w14:paraId="6E2C7BFB" w14:textId="77777777" w:rsidR="00DF7B82" w:rsidRPr="00DF7B82" w:rsidRDefault="00DF7B82" w:rsidP="000C0E1E">
            <w:pPr>
              <w:ind w:right="57"/>
              <w:jc w:val="right"/>
              <w:rPr>
                <w:rFonts w:ascii="Calibri" w:hAnsi="Calibri" w:cs="Calibri"/>
                <w:b/>
                <w:sz w:val="20"/>
                <w:szCs w:val="20"/>
                <w:lang w:eastAsia="cs-CZ"/>
              </w:rPr>
            </w:pPr>
            <w:r w:rsidRPr="00DF7B82">
              <w:rPr>
                <w:rFonts w:ascii="Calibri" w:hAnsi="Calibri" w:cs="Calibri"/>
                <w:b/>
                <w:sz w:val="20"/>
                <w:szCs w:val="20"/>
                <w:lang w:eastAsia="cs-CZ"/>
              </w:rPr>
              <w:t>62 102</w:t>
            </w:r>
          </w:p>
        </w:tc>
      </w:tr>
      <w:tr w:rsidR="00DF7B82" w:rsidRPr="00DF7B82" w14:paraId="47A568FB"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18D0CE72" w14:textId="77777777" w:rsidR="00DF7B82" w:rsidRPr="00DF7B82" w:rsidRDefault="00DF7B82" w:rsidP="00A2524F">
            <w:pPr>
              <w:rPr>
                <w:rFonts w:ascii="Calibri" w:hAnsi="Calibri" w:cs="Calibri"/>
                <w:i/>
                <w:sz w:val="20"/>
                <w:szCs w:val="20"/>
                <w:lang w:eastAsia="cs-CZ"/>
              </w:rPr>
            </w:pPr>
            <w:r w:rsidRPr="00DF7B82">
              <w:rPr>
                <w:rFonts w:ascii="Calibri" w:hAnsi="Calibri" w:cs="Calibri"/>
                <w:i/>
                <w:sz w:val="20"/>
                <w:szCs w:val="20"/>
                <w:lang w:eastAsia="cs-CZ"/>
              </w:rPr>
              <w:t>Zásoby</w:t>
            </w:r>
          </w:p>
        </w:tc>
        <w:tc>
          <w:tcPr>
            <w:tcW w:w="851" w:type="dxa"/>
            <w:tcBorders>
              <w:top w:val="nil"/>
              <w:left w:val="nil"/>
              <w:bottom w:val="single" w:sz="4" w:space="0" w:color="333333"/>
              <w:right w:val="single" w:sz="4" w:space="0" w:color="333333"/>
            </w:tcBorders>
            <w:shd w:val="clear" w:color="auto" w:fill="auto"/>
            <w:noWrap/>
            <w:vAlign w:val="center"/>
            <w:hideMark/>
          </w:tcPr>
          <w:p w14:paraId="1D8CB3CC"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nil"/>
              <w:left w:val="nil"/>
              <w:bottom w:val="single" w:sz="4" w:space="0" w:color="333333"/>
              <w:right w:val="single" w:sz="4" w:space="0" w:color="333333"/>
            </w:tcBorders>
            <w:shd w:val="clear" w:color="auto" w:fill="auto"/>
            <w:noWrap/>
            <w:vAlign w:val="center"/>
            <w:hideMark/>
          </w:tcPr>
          <w:p w14:paraId="39DA5E6B"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3 967</w:t>
            </w:r>
          </w:p>
        </w:tc>
        <w:tc>
          <w:tcPr>
            <w:tcW w:w="1275" w:type="dxa"/>
            <w:tcBorders>
              <w:top w:val="nil"/>
              <w:left w:val="nil"/>
              <w:bottom w:val="single" w:sz="4" w:space="0" w:color="333333"/>
              <w:right w:val="single" w:sz="4" w:space="0" w:color="333333"/>
            </w:tcBorders>
            <w:shd w:val="clear" w:color="auto" w:fill="auto"/>
            <w:noWrap/>
            <w:vAlign w:val="center"/>
            <w:hideMark/>
          </w:tcPr>
          <w:p w14:paraId="09650963"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3 928</w:t>
            </w:r>
          </w:p>
        </w:tc>
        <w:tc>
          <w:tcPr>
            <w:tcW w:w="1276" w:type="dxa"/>
            <w:tcBorders>
              <w:top w:val="nil"/>
              <w:left w:val="nil"/>
              <w:bottom w:val="single" w:sz="4" w:space="0" w:color="333333"/>
              <w:right w:val="single" w:sz="4" w:space="0" w:color="auto"/>
            </w:tcBorders>
            <w:shd w:val="clear" w:color="auto" w:fill="auto"/>
            <w:noWrap/>
            <w:vAlign w:val="center"/>
            <w:hideMark/>
          </w:tcPr>
          <w:p w14:paraId="0425DEA1"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3 541</w:t>
            </w:r>
          </w:p>
        </w:tc>
        <w:tc>
          <w:tcPr>
            <w:tcW w:w="1276" w:type="dxa"/>
            <w:tcBorders>
              <w:top w:val="nil"/>
              <w:left w:val="nil"/>
              <w:bottom w:val="single" w:sz="4" w:space="0" w:color="333333"/>
              <w:right w:val="single" w:sz="4" w:space="0" w:color="auto"/>
            </w:tcBorders>
            <w:vAlign w:val="center"/>
          </w:tcPr>
          <w:p w14:paraId="3BDA7ACA"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3 500</w:t>
            </w:r>
          </w:p>
        </w:tc>
      </w:tr>
      <w:tr w:rsidR="00DF7B82" w:rsidRPr="00DF7B82" w14:paraId="4BD520B0"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2FB9379B"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Materiál na skladě</w:t>
            </w:r>
          </w:p>
        </w:tc>
        <w:tc>
          <w:tcPr>
            <w:tcW w:w="851" w:type="dxa"/>
            <w:tcBorders>
              <w:top w:val="nil"/>
              <w:left w:val="nil"/>
              <w:bottom w:val="single" w:sz="4" w:space="0" w:color="333333"/>
              <w:right w:val="single" w:sz="4" w:space="0" w:color="333333"/>
            </w:tcBorders>
            <w:shd w:val="clear" w:color="auto" w:fill="auto"/>
            <w:noWrap/>
            <w:vAlign w:val="center"/>
            <w:hideMark/>
          </w:tcPr>
          <w:p w14:paraId="6F9707A7"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112</w:t>
            </w:r>
          </w:p>
        </w:tc>
        <w:tc>
          <w:tcPr>
            <w:tcW w:w="1276" w:type="dxa"/>
            <w:tcBorders>
              <w:top w:val="nil"/>
              <w:left w:val="nil"/>
              <w:bottom w:val="single" w:sz="4" w:space="0" w:color="333333"/>
              <w:right w:val="single" w:sz="4" w:space="0" w:color="333333"/>
            </w:tcBorders>
            <w:shd w:val="clear" w:color="auto" w:fill="auto"/>
            <w:noWrap/>
            <w:vAlign w:val="center"/>
            <w:hideMark/>
          </w:tcPr>
          <w:p w14:paraId="100D836A"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3 967</w:t>
            </w:r>
          </w:p>
        </w:tc>
        <w:tc>
          <w:tcPr>
            <w:tcW w:w="1275" w:type="dxa"/>
            <w:tcBorders>
              <w:top w:val="nil"/>
              <w:left w:val="nil"/>
              <w:bottom w:val="single" w:sz="4" w:space="0" w:color="333333"/>
              <w:right w:val="single" w:sz="4" w:space="0" w:color="333333"/>
            </w:tcBorders>
            <w:shd w:val="clear" w:color="auto" w:fill="auto"/>
            <w:noWrap/>
            <w:vAlign w:val="center"/>
            <w:hideMark/>
          </w:tcPr>
          <w:p w14:paraId="717722CA"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3 928</w:t>
            </w:r>
          </w:p>
        </w:tc>
        <w:tc>
          <w:tcPr>
            <w:tcW w:w="1276" w:type="dxa"/>
            <w:tcBorders>
              <w:top w:val="nil"/>
              <w:left w:val="nil"/>
              <w:bottom w:val="single" w:sz="4" w:space="0" w:color="333333"/>
              <w:right w:val="single" w:sz="4" w:space="0" w:color="auto"/>
            </w:tcBorders>
            <w:shd w:val="clear" w:color="auto" w:fill="auto"/>
            <w:noWrap/>
            <w:vAlign w:val="center"/>
            <w:hideMark/>
          </w:tcPr>
          <w:p w14:paraId="027EA2D0"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3 541</w:t>
            </w:r>
          </w:p>
        </w:tc>
        <w:tc>
          <w:tcPr>
            <w:tcW w:w="1276" w:type="dxa"/>
            <w:tcBorders>
              <w:top w:val="nil"/>
              <w:left w:val="nil"/>
              <w:bottom w:val="single" w:sz="4" w:space="0" w:color="333333"/>
              <w:right w:val="single" w:sz="4" w:space="0" w:color="auto"/>
            </w:tcBorders>
            <w:vAlign w:val="center"/>
          </w:tcPr>
          <w:p w14:paraId="4F38A9C1"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3 500</w:t>
            </w:r>
          </w:p>
        </w:tc>
      </w:tr>
      <w:tr w:rsidR="00DF7B82" w:rsidRPr="00DF7B82" w14:paraId="572CE473"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4A53ED08" w14:textId="77777777" w:rsidR="00DF7B82" w:rsidRPr="00DF7B82" w:rsidRDefault="00DF7B82" w:rsidP="00A2524F">
            <w:pPr>
              <w:rPr>
                <w:rFonts w:ascii="Calibri" w:hAnsi="Calibri" w:cs="Calibri"/>
                <w:i/>
                <w:sz w:val="20"/>
                <w:szCs w:val="20"/>
                <w:lang w:eastAsia="cs-CZ"/>
              </w:rPr>
            </w:pPr>
            <w:r w:rsidRPr="00DF7B82">
              <w:rPr>
                <w:rFonts w:ascii="Calibri" w:hAnsi="Calibri" w:cs="Calibri"/>
                <w:i/>
                <w:sz w:val="20"/>
                <w:szCs w:val="20"/>
                <w:lang w:eastAsia="cs-CZ"/>
              </w:rPr>
              <w:t>Krátkodobé pohledávky</w:t>
            </w:r>
          </w:p>
        </w:tc>
        <w:tc>
          <w:tcPr>
            <w:tcW w:w="851" w:type="dxa"/>
            <w:tcBorders>
              <w:top w:val="nil"/>
              <w:left w:val="nil"/>
              <w:bottom w:val="single" w:sz="4" w:space="0" w:color="333333"/>
              <w:right w:val="single" w:sz="4" w:space="0" w:color="333333"/>
            </w:tcBorders>
            <w:shd w:val="clear" w:color="auto" w:fill="auto"/>
            <w:noWrap/>
            <w:vAlign w:val="center"/>
            <w:hideMark/>
          </w:tcPr>
          <w:p w14:paraId="10B937BB"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nil"/>
              <w:left w:val="nil"/>
              <w:bottom w:val="single" w:sz="4" w:space="0" w:color="333333"/>
              <w:right w:val="single" w:sz="4" w:space="0" w:color="333333"/>
            </w:tcBorders>
            <w:shd w:val="clear" w:color="auto" w:fill="auto"/>
            <w:noWrap/>
            <w:vAlign w:val="center"/>
            <w:hideMark/>
          </w:tcPr>
          <w:p w14:paraId="2C9BC306"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2 490</w:t>
            </w:r>
          </w:p>
        </w:tc>
        <w:tc>
          <w:tcPr>
            <w:tcW w:w="1275" w:type="dxa"/>
            <w:tcBorders>
              <w:top w:val="nil"/>
              <w:left w:val="nil"/>
              <w:bottom w:val="single" w:sz="4" w:space="0" w:color="333333"/>
              <w:right w:val="single" w:sz="4" w:space="0" w:color="333333"/>
            </w:tcBorders>
            <w:shd w:val="clear" w:color="auto" w:fill="auto"/>
            <w:noWrap/>
            <w:vAlign w:val="center"/>
            <w:hideMark/>
          </w:tcPr>
          <w:p w14:paraId="6E957898"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3 736</w:t>
            </w:r>
          </w:p>
        </w:tc>
        <w:tc>
          <w:tcPr>
            <w:tcW w:w="1276" w:type="dxa"/>
            <w:tcBorders>
              <w:top w:val="nil"/>
              <w:left w:val="nil"/>
              <w:bottom w:val="single" w:sz="4" w:space="0" w:color="333333"/>
              <w:right w:val="single" w:sz="4" w:space="0" w:color="auto"/>
            </w:tcBorders>
            <w:shd w:val="clear" w:color="auto" w:fill="auto"/>
            <w:noWrap/>
            <w:vAlign w:val="center"/>
            <w:hideMark/>
          </w:tcPr>
          <w:p w14:paraId="774060FE"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4 389</w:t>
            </w:r>
          </w:p>
        </w:tc>
        <w:tc>
          <w:tcPr>
            <w:tcW w:w="1276" w:type="dxa"/>
            <w:tcBorders>
              <w:top w:val="nil"/>
              <w:left w:val="nil"/>
              <w:bottom w:val="single" w:sz="4" w:space="0" w:color="333333"/>
              <w:right w:val="single" w:sz="4" w:space="0" w:color="auto"/>
            </w:tcBorders>
            <w:vAlign w:val="center"/>
          </w:tcPr>
          <w:p w14:paraId="7BD5E130"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6 578</w:t>
            </w:r>
          </w:p>
        </w:tc>
      </w:tr>
      <w:tr w:rsidR="00DF7B82" w:rsidRPr="00DF7B82" w14:paraId="1C46EE36"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7044ECE9"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Krátkodobé poskytnuté zálohy</w:t>
            </w:r>
          </w:p>
        </w:tc>
        <w:tc>
          <w:tcPr>
            <w:tcW w:w="851" w:type="dxa"/>
            <w:tcBorders>
              <w:top w:val="nil"/>
              <w:left w:val="nil"/>
              <w:bottom w:val="single" w:sz="4" w:space="0" w:color="333333"/>
              <w:right w:val="single" w:sz="4" w:space="0" w:color="333333"/>
            </w:tcBorders>
            <w:shd w:val="clear" w:color="auto" w:fill="auto"/>
            <w:noWrap/>
            <w:vAlign w:val="center"/>
            <w:hideMark/>
          </w:tcPr>
          <w:p w14:paraId="1F419E62"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314</w:t>
            </w:r>
          </w:p>
        </w:tc>
        <w:tc>
          <w:tcPr>
            <w:tcW w:w="1276" w:type="dxa"/>
            <w:tcBorders>
              <w:top w:val="nil"/>
              <w:left w:val="nil"/>
              <w:bottom w:val="single" w:sz="4" w:space="0" w:color="333333"/>
              <w:right w:val="single" w:sz="4" w:space="0" w:color="333333"/>
            </w:tcBorders>
            <w:shd w:val="clear" w:color="auto" w:fill="auto"/>
            <w:noWrap/>
            <w:vAlign w:val="center"/>
            <w:hideMark/>
          </w:tcPr>
          <w:p w14:paraId="3365D345"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1 939</w:t>
            </w:r>
          </w:p>
        </w:tc>
        <w:tc>
          <w:tcPr>
            <w:tcW w:w="1275" w:type="dxa"/>
            <w:tcBorders>
              <w:top w:val="nil"/>
              <w:left w:val="nil"/>
              <w:bottom w:val="single" w:sz="4" w:space="0" w:color="333333"/>
              <w:right w:val="single" w:sz="4" w:space="0" w:color="333333"/>
            </w:tcBorders>
            <w:shd w:val="clear" w:color="auto" w:fill="auto"/>
            <w:noWrap/>
            <w:vAlign w:val="center"/>
            <w:hideMark/>
          </w:tcPr>
          <w:p w14:paraId="6466C459"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1 977</w:t>
            </w:r>
          </w:p>
        </w:tc>
        <w:tc>
          <w:tcPr>
            <w:tcW w:w="1276" w:type="dxa"/>
            <w:tcBorders>
              <w:top w:val="nil"/>
              <w:left w:val="nil"/>
              <w:bottom w:val="single" w:sz="4" w:space="0" w:color="333333"/>
              <w:right w:val="single" w:sz="4" w:space="0" w:color="auto"/>
            </w:tcBorders>
            <w:shd w:val="clear" w:color="auto" w:fill="auto"/>
            <w:noWrap/>
            <w:vAlign w:val="center"/>
            <w:hideMark/>
          </w:tcPr>
          <w:p w14:paraId="558772B5"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2 213</w:t>
            </w:r>
          </w:p>
        </w:tc>
        <w:tc>
          <w:tcPr>
            <w:tcW w:w="1276" w:type="dxa"/>
            <w:tcBorders>
              <w:top w:val="nil"/>
              <w:left w:val="nil"/>
              <w:bottom w:val="single" w:sz="4" w:space="0" w:color="333333"/>
              <w:right w:val="single" w:sz="4" w:space="0" w:color="auto"/>
            </w:tcBorders>
            <w:vAlign w:val="center"/>
          </w:tcPr>
          <w:p w14:paraId="48486491"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2 133</w:t>
            </w:r>
          </w:p>
        </w:tc>
      </w:tr>
      <w:tr w:rsidR="00DF7B82" w:rsidRPr="00DF7B82" w14:paraId="3C295264"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682D57CB"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Náklady příštích období</w:t>
            </w:r>
          </w:p>
        </w:tc>
        <w:tc>
          <w:tcPr>
            <w:tcW w:w="851" w:type="dxa"/>
            <w:tcBorders>
              <w:top w:val="nil"/>
              <w:left w:val="nil"/>
              <w:bottom w:val="single" w:sz="4" w:space="0" w:color="333333"/>
              <w:right w:val="single" w:sz="4" w:space="0" w:color="333333"/>
            </w:tcBorders>
            <w:shd w:val="clear" w:color="auto" w:fill="auto"/>
            <w:noWrap/>
            <w:vAlign w:val="center"/>
            <w:hideMark/>
          </w:tcPr>
          <w:p w14:paraId="2E8E0035"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381</w:t>
            </w:r>
          </w:p>
        </w:tc>
        <w:tc>
          <w:tcPr>
            <w:tcW w:w="1276" w:type="dxa"/>
            <w:tcBorders>
              <w:top w:val="nil"/>
              <w:left w:val="nil"/>
              <w:bottom w:val="single" w:sz="4" w:space="0" w:color="333333"/>
              <w:right w:val="single" w:sz="4" w:space="0" w:color="333333"/>
            </w:tcBorders>
            <w:shd w:val="clear" w:color="auto" w:fill="auto"/>
            <w:noWrap/>
            <w:vAlign w:val="center"/>
            <w:hideMark/>
          </w:tcPr>
          <w:p w14:paraId="18AAB597"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486</w:t>
            </w:r>
          </w:p>
        </w:tc>
        <w:tc>
          <w:tcPr>
            <w:tcW w:w="1275" w:type="dxa"/>
            <w:tcBorders>
              <w:top w:val="nil"/>
              <w:left w:val="nil"/>
              <w:bottom w:val="single" w:sz="4" w:space="0" w:color="333333"/>
              <w:right w:val="single" w:sz="4" w:space="0" w:color="333333"/>
            </w:tcBorders>
            <w:shd w:val="clear" w:color="auto" w:fill="auto"/>
            <w:noWrap/>
            <w:vAlign w:val="center"/>
            <w:hideMark/>
          </w:tcPr>
          <w:p w14:paraId="68052E81"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1 674</w:t>
            </w:r>
          </w:p>
        </w:tc>
        <w:tc>
          <w:tcPr>
            <w:tcW w:w="1276" w:type="dxa"/>
            <w:tcBorders>
              <w:top w:val="nil"/>
              <w:left w:val="nil"/>
              <w:bottom w:val="single" w:sz="4" w:space="0" w:color="333333"/>
              <w:right w:val="single" w:sz="4" w:space="0" w:color="auto"/>
            </w:tcBorders>
            <w:shd w:val="clear" w:color="auto" w:fill="auto"/>
            <w:noWrap/>
            <w:vAlign w:val="center"/>
            <w:hideMark/>
          </w:tcPr>
          <w:p w14:paraId="29D60419"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2 038</w:t>
            </w:r>
          </w:p>
        </w:tc>
        <w:tc>
          <w:tcPr>
            <w:tcW w:w="1276" w:type="dxa"/>
            <w:tcBorders>
              <w:top w:val="nil"/>
              <w:left w:val="nil"/>
              <w:bottom w:val="single" w:sz="4" w:space="0" w:color="333333"/>
              <w:right w:val="single" w:sz="4" w:space="0" w:color="auto"/>
            </w:tcBorders>
            <w:vAlign w:val="center"/>
          </w:tcPr>
          <w:p w14:paraId="126808E1"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4 195</w:t>
            </w:r>
          </w:p>
        </w:tc>
      </w:tr>
      <w:tr w:rsidR="00DF7B82" w:rsidRPr="00DF7B82" w14:paraId="22EAD509"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184A9814" w14:textId="77777777" w:rsidR="00DF7B82" w:rsidRPr="00DF7B82" w:rsidRDefault="00DF7B82" w:rsidP="00A2524F">
            <w:pPr>
              <w:rPr>
                <w:rFonts w:ascii="Calibri" w:hAnsi="Calibri" w:cs="Calibri"/>
                <w:i/>
                <w:sz w:val="20"/>
                <w:szCs w:val="20"/>
                <w:lang w:eastAsia="cs-CZ"/>
              </w:rPr>
            </w:pPr>
            <w:r w:rsidRPr="00DF7B82">
              <w:rPr>
                <w:rFonts w:ascii="Calibri" w:hAnsi="Calibri" w:cs="Calibri"/>
                <w:i/>
                <w:sz w:val="20"/>
                <w:szCs w:val="20"/>
                <w:lang w:eastAsia="cs-CZ"/>
              </w:rPr>
              <w:t>Krátkodobý finanční majetek</w:t>
            </w:r>
          </w:p>
        </w:tc>
        <w:tc>
          <w:tcPr>
            <w:tcW w:w="851" w:type="dxa"/>
            <w:tcBorders>
              <w:top w:val="nil"/>
              <w:left w:val="nil"/>
              <w:bottom w:val="single" w:sz="4" w:space="0" w:color="333333"/>
              <w:right w:val="single" w:sz="4" w:space="0" w:color="333333"/>
            </w:tcBorders>
            <w:shd w:val="clear" w:color="auto" w:fill="auto"/>
            <w:noWrap/>
            <w:vAlign w:val="center"/>
            <w:hideMark/>
          </w:tcPr>
          <w:p w14:paraId="00B8F144"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w:t>
            </w:r>
          </w:p>
        </w:tc>
        <w:tc>
          <w:tcPr>
            <w:tcW w:w="1276" w:type="dxa"/>
            <w:tcBorders>
              <w:top w:val="nil"/>
              <w:left w:val="nil"/>
              <w:bottom w:val="single" w:sz="4" w:space="0" w:color="333333"/>
              <w:right w:val="single" w:sz="4" w:space="0" w:color="333333"/>
            </w:tcBorders>
            <w:shd w:val="clear" w:color="auto" w:fill="auto"/>
            <w:noWrap/>
            <w:vAlign w:val="center"/>
            <w:hideMark/>
          </w:tcPr>
          <w:p w14:paraId="520C6171"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58 152</w:t>
            </w:r>
          </w:p>
        </w:tc>
        <w:tc>
          <w:tcPr>
            <w:tcW w:w="1275" w:type="dxa"/>
            <w:tcBorders>
              <w:top w:val="nil"/>
              <w:left w:val="nil"/>
              <w:bottom w:val="single" w:sz="4" w:space="0" w:color="333333"/>
              <w:right w:val="single" w:sz="4" w:space="0" w:color="333333"/>
            </w:tcBorders>
            <w:shd w:val="clear" w:color="auto" w:fill="auto"/>
            <w:noWrap/>
            <w:vAlign w:val="center"/>
            <w:hideMark/>
          </w:tcPr>
          <w:p w14:paraId="40031E8B"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54 049</w:t>
            </w:r>
          </w:p>
        </w:tc>
        <w:tc>
          <w:tcPr>
            <w:tcW w:w="1276" w:type="dxa"/>
            <w:tcBorders>
              <w:top w:val="nil"/>
              <w:left w:val="nil"/>
              <w:bottom w:val="single" w:sz="4" w:space="0" w:color="333333"/>
              <w:right w:val="single" w:sz="4" w:space="0" w:color="auto"/>
            </w:tcBorders>
            <w:shd w:val="clear" w:color="auto" w:fill="auto"/>
            <w:noWrap/>
            <w:vAlign w:val="center"/>
            <w:hideMark/>
          </w:tcPr>
          <w:p w14:paraId="52B78E6A"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57 902</w:t>
            </w:r>
          </w:p>
        </w:tc>
        <w:tc>
          <w:tcPr>
            <w:tcW w:w="1276" w:type="dxa"/>
            <w:tcBorders>
              <w:top w:val="nil"/>
              <w:left w:val="nil"/>
              <w:bottom w:val="single" w:sz="4" w:space="0" w:color="333333"/>
              <w:right w:val="single" w:sz="4" w:space="0" w:color="auto"/>
            </w:tcBorders>
            <w:vAlign w:val="center"/>
          </w:tcPr>
          <w:p w14:paraId="66DF6321"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52 024</w:t>
            </w:r>
          </w:p>
        </w:tc>
      </w:tr>
      <w:tr w:rsidR="00DF7B82" w:rsidRPr="00DF7B82" w14:paraId="4732B91C"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25FB9143"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Jiné běžné účty</w:t>
            </w:r>
          </w:p>
        </w:tc>
        <w:tc>
          <w:tcPr>
            <w:tcW w:w="851" w:type="dxa"/>
            <w:tcBorders>
              <w:top w:val="nil"/>
              <w:left w:val="nil"/>
              <w:bottom w:val="single" w:sz="4" w:space="0" w:color="333333"/>
              <w:right w:val="single" w:sz="4" w:space="0" w:color="333333"/>
            </w:tcBorders>
            <w:shd w:val="clear" w:color="auto" w:fill="auto"/>
            <w:noWrap/>
            <w:vAlign w:val="center"/>
            <w:hideMark/>
          </w:tcPr>
          <w:p w14:paraId="3F008CC2"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245</w:t>
            </w:r>
          </w:p>
        </w:tc>
        <w:tc>
          <w:tcPr>
            <w:tcW w:w="1276" w:type="dxa"/>
            <w:tcBorders>
              <w:top w:val="nil"/>
              <w:left w:val="nil"/>
              <w:bottom w:val="single" w:sz="4" w:space="0" w:color="333333"/>
              <w:right w:val="single" w:sz="4" w:space="0" w:color="333333"/>
            </w:tcBorders>
            <w:shd w:val="clear" w:color="auto" w:fill="auto"/>
            <w:noWrap/>
            <w:vAlign w:val="center"/>
            <w:hideMark/>
          </w:tcPr>
          <w:p w14:paraId="1324CB04"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55 337</w:t>
            </w:r>
          </w:p>
        </w:tc>
        <w:tc>
          <w:tcPr>
            <w:tcW w:w="1275" w:type="dxa"/>
            <w:tcBorders>
              <w:top w:val="nil"/>
              <w:left w:val="nil"/>
              <w:bottom w:val="single" w:sz="4" w:space="0" w:color="333333"/>
              <w:right w:val="single" w:sz="4" w:space="0" w:color="333333"/>
            </w:tcBorders>
            <w:shd w:val="clear" w:color="auto" w:fill="auto"/>
            <w:noWrap/>
            <w:vAlign w:val="center"/>
            <w:hideMark/>
          </w:tcPr>
          <w:p w14:paraId="058D1872"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51 008</w:t>
            </w:r>
          </w:p>
        </w:tc>
        <w:tc>
          <w:tcPr>
            <w:tcW w:w="1276" w:type="dxa"/>
            <w:tcBorders>
              <w:top w:val="nil"/>
              <w:left w:val="nil"/>
              <w:bottom w:val="single" w:sz="4" w:space="0" w:color="333333"/>
              <w:right w:val="single" w:sz="4" w:space="0" w:color="auto"/>
            </w:tcBorders>
            <w:shd w:val="clear" w:color="auto" w:fill="auto"/>
            <w:noWrap/>
            <w:vAlign w:val="center"/>
            <w:hideMark/>
          </w:tcPr>
          <w:p w14:paraId="10EF858A"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55 043</w:t>
            </w:r>
          </w:p>
        </w:tc>
        <w:tc>
          <w:tcPr>
            <w:tcW w:w="1276" w:type="dxa"/>
            <w:tcBorders>
              <w:top w:val="nil"/>
              <w:left w:val="nil"/>
              <w:bottom w:val="single" w:sz="4" w:space="0" w:color="333333"/>
              <w:right w:val="single" w:sz="4" w:space="0" w:color="auto"/>
            </w:tcBorders>
            <w:vAlign w:val="center"/>
          </w:tcPr>
          <w:p w14:paraId="4FE2B47B"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49 029</w:t>
            </w:r>
          </w:p>
        </w:tc>
      </w:tr>
      <w:tr w:rsidR="00DF7B82" w:rsidRPr="00DF7B82" w14:paraId="564000D9" w14:textId="77777777" w:rsidTr="00A2524F">
        <w:trPr>
          <w:trHeight w:val="283"/>
        </w:trPr>
        <w:tc>
          <w:tcPr>
            <w:tcW w:w="3231" w:type="dxa"/>
            <w:tcBorders>
              <w:top w:val="nil"/>
              <w:left w:val="single" w:sz="4" w:space="0" w:color="333333"/>
              <w:bottom w:val="single" w:sz="4" w:space="0" w:color="333333"/>
              <w:right w:val="single" w:sz="4" w:space="0" w:color="333333"/>
            </w:tcBorders>
            <w:shd w:val="clear" w:color="auto" w:fill="auto"/>
            <w:noWrap/>
            <w:vAlign w:val="center"/>
            <w:hideMark/>
          </w:tcPr>
          <w:p w14:paraId="7FF44C9F" w14:textId="77777777" w:rsidR="00DF7B82" w:rsidRPr="00DF7B82" w:rsidRDefault="00DF7B82" w:rsidP="00A2524F">
            <w:pPr>
              <w:rPr>
                <w:rFonts w:ascii="Calibri" w:hAnsi="Calibri" w:cs="Calibri"/>
                <w:sz w:val="20"/>
                <w:szCs w:val="20"/>
                <w:lang w:eastAsia="cs-CZ"/>
              </w:rPr>
            </w:pPr>
            <w:r w:rsidRPr="00DF7B82">
              <w:rPr>
                <w:rFonts w:ascii="Calibri" w:hAnsi="Calibri" w:cs="Calibri"/>
                <w:sz w:val="20"/>
                <w:szCs w:val="20"/>
                <w:lang w:eastAsia="cs-CZ"/>
              </w:rPr>
              <w:t>Běžný účet FKSP</w:t>
            </w:r>
          </w:p>
        </w:tc>
        <w:tc>
          <w:tcPr>
            <w:tcW w:w="851" w:type="dxa"/>
            <w:tcBorders>
              <w:top w:val="nil"/>
              <w:left w:val="nil"/>
              <w:bottom w:val="single" w:sz="4" w:space="0" w:color="333333"/>
              <w:right w:val="single" w:sz="4" w:space="0" w:color="333333"/>
            </w:tcBorders>
            <w:shd w:val="clear" w:color="auto" w:fill="auto"/>
            <w:noWrap/>
            <w:vAlign w:val="center"/>
            <w:hideMark/>
          </w:tcPr>
          <w:p w14:paraId="5A2C6DB7" w14:textId="77777777" w:rsidR="00DF7B82" w:rsidRPr="00DF7B82" w:rsidRDefault="00DF7B82" w:rsidP="000C0E1E">
            <w:pPr>
              <w:jc w:val="center"/>
              <w:rPr>
                <w:rFonts w:ascii="Calibri" w:hAnsi="Calibri" w:cs="Calibri"/>
                <w:sz w:val="20"/>
                <w:szCs w:val="20"/>
                <w:lang w:eastAsia="cs-CZ"/>
              </w:rPr>
            </w:pPr>
            <w:r w:rsidRPr="00DF7B82">
              <w:rPr>
                <w:rFonts w:ascii="Calibri" w:hAnsi="Calibri" w:cs="Calibri"/>
                <w:sz w:val="20"/>
                <w:szCs w:val="20"/>
                <w:lang w:eastAsia="cs-CZ"/>
              </w:rPr>
              <w:t>243</w:t>
            </w:r>
          </w:p>
        </w:tc>
        <w:tc>
          <w:tcPr>
            <w:tcW w:w="1276" w:type="dxa"/>
            <w:tcBorders>
              <w:top w:val="nil"/>
              <w:left w:val="nil"/>
              <w:bottom w:val="single" w:sz="4" w:space="0" w:color="333333"/>
              <w:right w:val="single" w:sz="4" w:space="0" w:color="333333"/>
            </w:tcBorders>
            <w:shd w:val="clear" w:color="auto" w:fill="auto"/>
            <w:noWrap/>
            <w:vAlign w:val="center"/>
            <w:hideMark/>
          </w:tcPr>
          <w:p w14:paraId="7579EC5B"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2 613</w:t>
            </w:r>
          </w:p>
        </w:tc>
        <w:tc>
          <w:tcPr>
            <w:tcW w:w="1275" w:type="dxa"/>
            <w:tcBorders>
              <w:top w:val="nil"/>
              <w:left w:val="nil"/>
              <w:bottom w:val="single" w:sz="4" w:space="0" w:color="333333"/>
              <w:right w:val="single" w:sz="4" w:space="0" w:color="333333"/>
            </w:tcBorders>
            <w:shd w:val="clear" w:color="auto" w:fill="auto"/>
            <w:noWrap/>
            <w:vAlign w:val="center"/>
            <w:hideMark/>
          </w:tcPr>
          <w:p w14:paraId="616D47F5"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3 039</w:t>
            </w:r>
          </w:p>
        </w:tc>
        <w:tc>
          <w:tcPr>
            <w:tcW w:w="1276" w:type="dxa"/>
            <w:tcBorders>
              <w:top w:val="nil"/>
              <w:left w:val="nil"/>
              <w:bottom w:val="single" w:sz="4" w:space="0" w:color="333333"/>
              <w:right w:val="single" w:sz="4" w:space="0" w:color="auto"/>
            </w:tcBorders>
            <w:shd w:val="clear" w:color="auto" w:fill="auto"/>
            <w:noWrap/>
            <w:vAlign w:val="center"/>
            <w:hideMark/>
          </w:tcPr>
          <w:p w14:paraId="386E673C"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2 856</w:t>
            </w:r>
          </w:p>
        </w:tc>
        <w:tc>
          <w:tcPr>
            <w:tcW w:w="1276" w:type="dxa"/>
            <w:tcBorders>
              <w:top w:val="nil"/>
              <w:left w:val="nil"/>
              <w:bottom w:val="single" w:sz="4" w:space="0" w:color="333333"/>
              <w:right w:val="single" w:sz="4" w:space="0" w:color="auto"/>
            </w:tcBorders>
            <w:vAlign w:val="center"/>
          </w:tcPr>
          <w:p w14:paraId="7E7B2B7B" w14:textId="77777777" w:rsidR="00DF7B82" w:rsidRPr="00DF7B82" w:rsidRDefault="00DF7B82" w:rsidP="000C0E1E">
            <w:pPr>
              <w:ind w:right="57"/>
              <w:jc w:val="right"/>
              <w:rPr>
                <w:rFonts w:ascii="Calibri" w:hAnsi="Calibri" w:cs="Calibri"/>
                <w:sz w:val="20"/>
                <w:szCs w:val="20"/>
                <w:lang w:eastAsia="cs-CZ"/>
              </w:rPr>
            </w:pPr>
            <w:r w:rsidRPr="00DF7B82">
              <w:rPr>
                <w:rFonts w:ascii="Calibri" w:hAnsi="Calibri" w:cs="Calibri"/>
                <w:sz w:val="20"/>
                <w:szCs w:val="20"/>
                <w:lang w:eastAsia="cs-CZ"/>
              </w:rPr>
              <w:t>2 992</w:t>
            </w:r>
          </w:p>
        </w:tc>
      </w:tr>
    </w:tbl>
    <w:p w14:paraId="7444B098" w14:textId="77777777" w:rsidR="00DF7B82" w:rsidRPr="00073089" w:rsidRDefault="00DF7B82" w:rsidP="00DF7B82">
      <w:pPr>
        <w:spacing w:before="40"/>
        <w:rPr>
          <w:rFonts w:cstheme="minorHAnsi"/>
          <w:sz w:val="20"/>
        </w:rPr>
      </w:pPr>
      <w:r w:rsidRPr="00392322">
        <w:rPr>
          <w:rFonts w:cstheme="minorHAnsi"/>
          <w:b/>
          <w:sz w:val="20"/>
        </w:rPr>
        <w:t>Zdroj:</w:t>
      </w:r>
      <w:r>
        <w:rPr>
          <w:rFonts w:cstheme="minorHAnsi"/>
          <w:sz w:val="20"/>
        </w:rPr>
        <w:t xml:space="preserve"> Monitor státní pokladny.</w:t>
      </w:r>
    </w:p>
    <w:p w14:paraId="0A37B0D5" w14:textId="77777777" w:rsidR="00DF7B82" w:rsidRDefault="00DF7B82" w:rsidP="00DF7B82"/>
    <w:p w14:paraId="1587875D" w14:textId="742C5B35" w:rsidR="00DF7B82" w:rsidRPr="00DF7B82" w:rsidRDefault="00DF7B82" w:rsidP="00DF7B82">
      <w:pPr>
        <w:keepNext/>
        <w:tabs>
          <w:tab w:val="right" w:pos="9072"/>
        </w:tabs>
        <w:overflowPunct w:val="0"/>
        <w:autoSpaceDE w:val="0"/>
        <w:autoSpaceDN w:val="0"/>
        <w:adjustRightInd w:val="0"/>
        <w:spacing w:after="40"/>
        <w:rPr>
          <w:rFonts w:cstheme="minorHAnsi"/>
          <w:b/>
          <w:i/>
        </w:rPr>
      </w:pPr>
      <w:r w:rsidRPr="00DF7B82">
        <w:rPr>
          <w:rFonts w:cstheme="minorHAnsi"/>
          <w:b/>
        </w:rPr>
        <w:t xml:space="preserve">Přehled vybraných nákladů a výnosů GIBS </w:t>
      </w:r>
      <w:r w:rsidRPr="00DF7B82">
        <w:rPr>
          <w:rFonts w:cstheme="minorHAnsi"/>
          <w:b/>
        </w:rPr>
        <w:tab/>
        <w:t>(v tis. Kč)</w:t>
      </w:r>
    </w:p>
    <w:tbl>
      <w:tblPr>
        <w:tblW w:w="9072" w:type="dxa"/>
        <w:tblInd w:w="-5" w:type="dxa"/>
        <w:tblLayout w:type="fixed"/>
        <w:tblCellMar>
          <w:left w:w="70" w:type="dxa"/>
          <w:right w:w="70" w:type="dxa"/>
        </w:tblCellMar>
        <w:tblLook w:val="04A0" w:firstRow="1" w:lastRow="0" w:firstColumn="1" w:lastColumn="0" w:noHBand="0" w:noVBand="1"/>
      </w:tblPr>
      <w:tblGrid>
        <w:gridCol w:w="4111"/>
        <w:gridCol w:w="709"/>
        <w:gridCol w:w="992"/>
        <w:gridCol w:w="1134"/>
        <w:gridCol w:w="1134"/>
        <w:gridCol w:w="992"/>
      </w:tblGrid>
      <w:tr w:rsidR="00DF7B82" w:rsidRPr="00073089" w14:paraId="218AADCE"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0B60C62B" w14:textId="77777777" w:rsidR="00DF7B82" w:rsidRPr="000C0E1E" w:rsidRDefault="00DF7B82" w:rsidP="000C0E1E">
            <w:pPr>
              <w:jc w:val="center"/>
              <w:rPr>
                <w:rFonts w:ascii="Calibri" w:hAnsi="Calibri" w:cs="Calibri"/>
                <w:b/>
                <w:bCs/>
                <w:sz w:val="20"/>
                <w:szCs w:val="20"/>
                <w:lang w:eastAsia="cs-CZ"/>
              </w:rPr>
            </w:pPr>
            <w:r w:rsidRPr="000C0E1E">
              <w:rPr>
                <w:rFonts w:ascii="Calibri" w:hAnsi="Calibri" w:cs="Calibri"/>
                <w:b/>
                <w:bCs/>
                <w:sz w:val="20"/>
                <w:szCs w:val="20"/>
                <w:lang w:eastAsia="cs-CZ"/>
              </w:rPr>
              <w:t>Název položky</w:t>
            </w:r>
          </w:p>
        </w:tc>
        <w:tc>
          <w:tcPr>
            <w:tcW w:w="709"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A9F08C2" w14:textId="77777777" w:rsidR="00DF7B82" w:rsidRPr="000C0E1E" w:rsidRDefault="00DF7B82" w:rsidP="000C0E1E">
            <w:pPr>
              <w:jc w:val="center"/>
              <w:rPr>
                <w:rFonts w:ascii="Calibri" w:hAnsi="Calibri" w:cs="Calibri"/>
                <w:b/>
                <w:bCs/>
                <w:sz w:val="20"/>
                <w:szCs w:val="20"/>
                <w:lang w:eastAsia="cs-CZ"/>
              </w:rPr>
            </w:pPr>
            <w:r w:rsidRPr="000C0E1E">
              <w:rPr>
                <w:rFonts w:ascii="Calibri" w:hAnsi="Calibri" w:cs="Calibri"/>
                <w:b/>
                <w:bCs/>
                <w:sz w:val="20"/>
                <w:szCs w:val="20"/>
                <w:lang w:eastAsia="cs-CZ"/>
              </w:rPr>
              <w:t>Účet</w:t>
            </w:r>
          </w:p>
        </w:tc>
        <w:tc>
          <w:tcPr>
            <w:tcW w:w="99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21FC999" w14:textId="77777777" w:rsidR="00DF7B82" w:rsidRPr="000C0E1E" w:rsidRDefault="00DF7B82" w:rsidP="000C0E1E">
            <w:pPr>
              <w:jc w:val="center"/>
              <w:rPr>
                <w:rFonts w:ascii="Calibri" w:hAnsi="Calibri" w:cs="Calibri"/>
                <w:b/>
                <w:bCs/>
                <w:sz w:val="20"/>
                <w:szCs w:val="20"/>
                <w:lang w:eastAsia="cs-CZ"/>
              </w:rPr>
            </w:pPr>
            <w:r w:rsidRPr="000C0E1E">
              <w:rPr>
                <w:rFonts w:ascii="Calibri" w:hAnsi="Calibri" w:cs="Calibri"/>
                <w:b/>
                <w:bCs/>
                <w:sz w:val="20"/>
                <w:szCs w:val="20"/>
                <w:lang w:eastAsia="cs-CZ"/>
              </w:rPr>
              <w:t>Za období 2017</w:t>
            </w:r>
          </w:p>
        </w:tc>
        <w:tc>
          <w:tcPr>
            <w:tcW w:w="113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885EB97" w14:textId="77777777" w:rsidR="00DF7B82" w:rsidRPr="000C0E1E" w:rsidRDefault="00DF7B82" w:rsidP="000C0E1E">
            <w:pPr>
              <w:jc w:val="center"/>
              <w:rPr>
                <w:rFonts w:ascii="Calibri" w:hAnsi="Calibri" w:cs="Calibri"/>
                <w:b/>
                <w:bCs/>
                <w:sz w:val="20"/>
                <w:szCs w:val="20"/>
                <w:lang w:eastAsia="cs-CZ"/>
              </w:rPr>
            </w:pPr>
            <w:r w:rsidRPr="000C0E1E">
              <w:rPr>
                <w:rFonts w:ascii="Calibri" w:hAnsi="Calibri" w:cs="Calibri"/>
                <w:b/>
                <w:bCs/>
                <w:sz w:val="20"/>
                <w:szCs w:val="20"/>
                <w:lang w:eastAsia="cs-CZ"/>
              </w:rPr>
              <w:t>Za období 2018</w:t>
            </w:r>
          </w:p>
        </w:tc>
        <w:tc>
          <w:tcPr>
            <w:tcW w:w="113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4ABE71B" w14:textId="77777777" w:rsidR="00DF7B82" w:rsidRPr="000C0E1E" w:rsidRDefault="00DF7B82" w:rsidP="000C0E1E">
            <w:pPr>
              <w:jc w:val="center"/>
              <w:rPr>
                <w:rFonts w:ascii="Calibri" w:hAnsi="Calibri" w:cs="Calibri"/>
                <w:b/>
                <w:bCs/>
                <w:sz w:val="20"/>
                <w:szCs w:val="20"/>
                <w:lang w:eastAsia="cs-CZ"/>
              </w:rPr>
            </w:pPr>
            <w:r w:rsidRPr="000C0E1E">
              <w:rPr>
                <w:rFonts w:ascii="Calibri" w:hAnsi="Calibri" w:cs="Calibri"/>
                <w:b/>
                <w:bCs/>
                <w:sz w:val="20"/>
                <w:szCs w:val="20"/>
                <w:lang w:eastAsia="cs-CZ"/>
              </w:rPr>
              <w:t>Za období 2019</w:t>
            </w:r>
          </w:p>
        </w:tc>
        <w:tc>
          <w:tcPr>
            <w:tcW w:w="992" w:type="dxa"/>
            <w:tcBorders>
              <w:top w:val="single" w:sz="4" w:space="0" w:color="auto"/>
              <w:left w:val="single" w:sz="4" w:space="0" w:color="auto"/>
              <w:bottom w:val="single" w:sz="4" w:space="0" w:color="auto"/>
              <w:right w:val="single" w:sz="4" w:space="0" w:color="auto"/>
            </w:tcBorders>
            <w:shd w:val="clear" w:color="auto" w:fill="E5F1FF"/>
            <w:vAlign w:val="center"/>
          </w:tcPr>
          <w:p w14:paraId="11CDDC57" w14:textId="77777777" w:rsidR="00DF7B82" w:rsidRPr="000C0E1E" w:rsidRDefault="00DF7B82" w:rsidP="000C0E1E">
            <w:pPr>
              <w:jc w:val="center"/>
              <w:rPr>
                <w:rFonts w:ascii="Calibri" w:hAnsi="Calibri" w:cs="Calibri"/>
                <w:b/>
                <w:bCs/>
                <w:sz w:val="20"/>
                <w:szCs w:val="20"/>
                <w:lang w:eastAsia="cs-CZ"/>
              </w:rPr>
            </w:pPr>
            <w:r w:rsidRPr="000C0E1E">
              <w:rPr>
                <w:rFonts w:ascii="Calibri" w:hAnsi="Calibri" w:cs="Calibri"/>
                <w:b/>
                <w:bCs/>
                <w:sz w:val="20"/>
                <w:szCs w:val="20"/>
                <w:lang w:eastAsia="cs-CZ"/>
              </w:rPr>
              <w:t>Za období 2020</w:t>
            </w:r>
          </w:p>
        </w:tc>
      </w:tr>
      <w:tr w:rsidR="00DF7B82" w:rsidRPr="00073089" w14:paraId="79C8A4C4" w14:textId="77777777" w:rsidTr="000C0E1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7427" w14:textId="77777777" w:rsidR="00DF7B82" w:rsidRPr="000C0E1E" w:rsidRDefault="00DF7B82" w:rsidP="000C0E1E">
            <w:pPr>
              <w:rPr>
                <w:rFonts w:ascii="Calibri" w:hAnsi="Calibri" w:cs="Calibri"/>
                <w:b/>
                <w:sz w:val="20"/>
                <w:szCs w:val="20"/>
                <w:lang w:eastAsia="cs-CZ"/>
              </w:rPr>
            </w:pPr>
            <w:r w:rsidRPr="000C0E1E">
              <w:rPr>
                <w:rFonts w:ascii="Calibri" w:hAnsi="Calibri" w:cs="Calibri"/>
                <w:b/>
                <w:sz w:val="20"/>
                <w:szCs w:val="20"/>
                <w:lang w:eastAsia="cs-CZ"/>
              </w:rPr>
              <w:t>NÁKLADY CELKEM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DE79"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357 923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ADC8"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414 105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CC18"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429 663</w:t>
            </w:r>
          </w:p>
        </w:tc>
        <w:tc>
          <w:tcPr>
            <w:tcW w:w="992" w:type="dxa"/>
            <w:tcBorders>
              <w:top w:val="single" w:sz="4" w:space="0" w:color="auto"/>
              <w:left w:val="single" w:sz="4" w:space="0" w:color="auto"/>
              <w:bottom w:val="single" w:sz="4" w:space="0" w:color="auto"/>
              <w:right w:val="single" w:sz="4" w:space="0" w:color="auto"/>
            </w:tcBorders>
            <w:vAlign w:val="center"/>
          </w:tcPr>
          <w:p w14:paraId="515660B3"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460 420</w:t>
            </w:r>
          </w:p>
        </w:tc>
      </w:tr>
      <w:tr w:rsidR="00DF7B82" w:rsidRPr="00073089" w14:paraId="7FAF7290" w14:textId="77777777" w:rsidTr="000C0E1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E911" w14:textId="77777777" w:rsidR="00DF7B82" w:rsidRPr="000C0E1E" w:rsidRDefault="00DF7B82" w:rsidP="000C0E1E">
            <w:pPr>
              <w:rPr>
                <w:rFonts w:ascii="Calibri" w:hAnsi="Calibri" w:cs="Calibri"/>
                <w:sz w:val="20"/>
                <w:szCs w:val="20"/>
                <w:lang w:eastAsia="cs-CZ"/>
              </w:rPr>
            </w:pPr>
            <w:r w:rsidRPr="000C0E1E">
              <w:rPr>
                <w:rFonts w:ascii="Calibri" w:hAnsi="Calibri" w:cs="Calibri"/>
                <w:i/>
                <w:sz w:val="20"/>
                <w:szCs w:val="20"/>
                <w:lang w:eastAsia="cs-CZ"/>
              </w:rPr>
              <w:t>Náklady z činnosti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B0060"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342 133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A3C7E"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376 224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F6A8A"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386 842</w:t>
            </w:r>
          </w:p>
        </w:tc>
        <w:tc>
          <w:tcPr>
            <w:tcW w:w="992" w:type="dxa"/>
            <w:tcBorders>
              <w:top w:val="single" w:sz="4" w:space="0" w:color="auto"/>
              <w:left w:val="single" w:sz="4" w:space="0" w:color="auto"/>
              <w:bottom w:val="single" w:sz="4" w:space="0" w:color="auto"/>
              <w:right w:val="single" w:sz="4" w:space="0" w:color="auto"/>
            </w:tcBorders>
            <w:vAlign w:val="center"/>
          </w:tcPr>
          <w:p w14:paraId="3B1715E3"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402 926</w:t>
            </w:r>
          </w:p>
        </w:tc>
      </w:tr>
      <w:tr w:rsidR="00DF7B82" w:rsidRPr="00073089" w14:paraId="4ED43C06"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AFAFF"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Spotřeba materiálu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BC5B3"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C65A7"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8 049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9AC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8 424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69DD"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8 271</w:t>
            </w:r>
          </w:p>
        </w:tc>
        <w:tc>
          <w:tcPr>
            <w:tcW w:w="992" w:type="dxa"/>
            <w:tcBorders>
              <w:top w:val="single" w:sz="4" w:space="0" w:color="auto"/>
              <w:left w:val="single" w:sz="4" w:space="0" w:color="auto"/>
              <w:bottom w:val="single" w:sz="4" w:space="0" w:color="auto"/>
              <w:right w:val="single" w:sz="4" w:space="0" w:color="auto"/>
            </w:tcBorders>
            <w:vAlign w:val="center"/>
          </w:tcPr>
          <w:p w14:paraId="27B1108A"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7 428</w:t>
            </w:r>
          </w:p>
        </w:tc>
      </w:tr>
      <w:tr w:rsidR="00DF7B82" w:rsidRPr="00073089" w14:paraId="582A4783"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F8D5E"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Spotřeba energie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2B29"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79FD5"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4 208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835A"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3 613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C66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3 662</w:t>
            </w:r>
          </w:p>
        </w:tc>
        <w:tc>
          <w:tcPr>
            <w:tcW w:w="992" w:type="dxa"/>
            <w:tcBorders>
              <w:top w:val="single" w:sz="4" w:space="0" w:color="auto"/>
              <w:left w:val="single" w:sz="4" w:space="0" w:color="auto"/>
              <w:bottom w:val="single" w:sz="4" w:space="0" w:color="auto"/>
              <w:right w:val="single" w:sz="4" w:space="0" w:color="auto"/>
            </w:tcBorders>
            <w:vAlign w:val="center"/>
          </w:tcPr>
          <w:p w14:paraId="312AF5F3"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3 794</w:t>
            </w:r>
          </w:p>
        </w:tc>
      </w:tr>
      <w:tr w:rsidR="00DF7B82" w:rsidRPr="00073089" w14:paraId="5FB77825"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65D6E"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Spotřeba jiných neskladovatelných dodávek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33EE"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0BA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0B9FF"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C56C9"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452</w:t>
            </w:r>
          </w:p>
        </w:tc>
        <w:tc>
          <w:tcPr>
            <w:tcW w:w="992" w:type="dxa"/>
            <w:tcBorders>
              <w:top w:val="single" w:sz="4" w:space="0" w:color="auto"/>
              <w:left w:val="single" w:sz="4" w:space="0" w:color="auto"/>
              <w:bottom w:val="single" w:sz="4" w:space="0" w:color="auto"/>
              <w:right w:val="single" w:sz="4" w:space="0" w:color="auto"/>
            </w:tcBorders>
            <w:vAlign w:val="center"/>
          </w:tcPr>
          <w:p w14:paraId="534A2D4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443</w:t>
            </w:r>
          </w:p>
        </w:tc>
      </w:tr>
      <w:tr w:rsidR="00DF7B82" w:rsidRPr="00073089" w14:paraId="760CDE87"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9199B"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Opravy a udržování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13F1"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ED1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4 518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0DAA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4 304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0FF5"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5 369</w:t>
            </w:r>
          </w:p>
        </w:tc>
        <w:tc>
          <w:tcPr>
            <w:tcW w:w="992" w:type="dxa"/>
            <w:tcBorders>
              <w:top w:val="single" w:sz="4" w:space="0" w:color="auto"/>
              <w:left w:val="single" w:sz="4" w:space="0" w:color="auto"/>
              <w:bottom w:val="single" w:sz="4" w:space="0" w:color="auto"/>
              <w:right w:val="single" w:sz="4" w:space="0" w:color="auto"/>
            </w:tcBorders>
            <w:vAlign w:val="center"/>
          </w:tcPr>
          <w:p w14:paraId="381E1B5F"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4 757</w:t>
            </w:r>
          </w:p>
        </w:tc>
      </w:tr>
      <w:tr w:rsidR="00DF7B82" w:rsidRPr="00073089" w14:paraId="34998EB2"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EB22"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Cestovné</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6E90"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63C7"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704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C9E7D"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8E90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1 057</w:t>
            </w:r>
          </w:p>
        </w:tc>
        <w:tc>
          <w:tcPr>
            <w:tcW w:w="992" w:type="dxa"/>
            <w:tcBorders>
              <w:top w:val="single" w:sz="4" w:space="0" w:color="auto"/>
              <w:left w:val="single" w:sz="4" w:space="0" w:color="auto"/>
              <w:bottom w:val="single" w:sz="4" w:space="0" w:color="auto"/>
              <w:right w:val="single" w:sz="4" w:space="0" w:color="auto"/>
            </w:tcBorders>
            <w:vAlign w:val="center"/>
          </w:tcPr>
          <w:p w14:paraId="53711759"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510</w:t>
            </w:r>
          </w:p>
        </w:tc>
      </w:tr>
      <w:tr w:rsidR="00DF7B82" w:rsidRPr="00073089" w14:paraId="6AE019A6"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0295"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Ostatní služby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BF48"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E0CFE"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14 421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42F8"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14 926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6DDA3"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15 386</w:t>
            </w:r>
          </w:p>
        </w:tc>
        <w:tc>
          <w:tcPr>
            <w:tcW w:w="992" w:type="dxa"/>
            <w:tcBorders>
              <w:top w:val="single" w:sz="4" w:space="0" w:color="auto"/>
              <w:left w:val="single" w:sz="4" w:space="0" w:color="auto"/>
              <w:bottom w:val="single" w:sz="4" w:space="0" w:color="auto"/>
              <w:right w:val="single" w:sz="4" w:space="0" w:color="auto"/>
            </w:tcBorders>
            <w:vAlign w:val="center"/>
          </w:tcPr>
          <w:p w14:paraId="4501A33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15 070</w:t>
            </w:r>
          </w:p>
        </w:tc>
      </w:tr>
      <w:tr w:rsidR="00DF7B82" w:rsidRPr="00073089" w14:paraId="11BC3C62"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E1E0"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Mzdové náklady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A2FDC"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ACA77"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214 844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5EBE8"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234 765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7F15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244 863</w:t>
            </w:r>
          </w:p>
        </w:tc>
        <w:tc>
          <w:tcPr>
            <w:tcW w:w="992" w:type="dxa"/>
            <w:tcBorders>
              <w:top w:val="single" w:sz="4" w:space="0" w:color="auto"/>
              <w:left w:val="single" w:sz="4" w:space="0" w:color="auto"/>
              <w:bottom w:val="single" w:sz="4" w:space="0" w:color="auto"/>
              <w:right w:val="single" w:sz="4" w:space="0" w:color="auto"/>
            </w:tcBorders>
            <w:vAlign w:val="center"/>
          </w:tcPr>
          <w:p w14:paraId="59D3143D"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252 865</w:t>
            </w:r>
          </w:p>
        </w:tc>
      </w:tr>
      <w:tr w:rsidR="00DF7B82" w:rsidRPr="00073089" w14:paraId="76699CE8"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355E"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Zákonné sociální pojištění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5913"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068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72 015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D7C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78 719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48CE"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81 772</w:t>
            </w:r>
          </w:p>
        </w:tc>
        <w:tc>
          <w:tcPr>
            <w:tcW w:w="992" w:type="dxa"/>
            <w:tcBorders>
              <w:top w:val="single" w:sz="4" w:space="0" w:color="auto"/>
              <w:left w:val="single" w:sz="4" w:space="0" w:color="auto"/>
              <w:bottom w:val="single" w:sz="4" w:space="0" w:color="auto"/>
              <w:right w:val="single" w:sz="4" w:space="0" w:color="auto"/>
            </w:tcBorders>
            <w:vAlign w:val="center"/>
          </w:tcPr>
          <w:p w14:paraId="1E59CF12"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83 286</w:t>
            </w:r>
          </w:p>
        </w:tc>
      </w:tr>
      <w:tr w:rsidR="00DF7B82" w:rsidRPr="00073089" w14:paraId="1CCDA804"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7966"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Zákonné sociální náklady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277A"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62F7"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6 011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69F0"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6 586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3C53F"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6 797</w:t>
            </w:r>
          </w:p>
        </w:tc>
        <w:tc>
          <w:tcPr>
            <w:tcW w:w="992" w:type="dxa"/>
            <w:tcBorders>
              <w:top w:val="single" w:sz="4" w:space="0" w:color="auto"/>
              <w:left w:val="single" w:sz="4" w:space="0" w:color="auto"/>
              <w:bottom w:val="single" w:sz="4" w:space="0" w:color="auto"/>
              <w:right w:val="single" w:sz="4" w:space="0" w:color="auto"/>
            </w:tcBorders>
            <w:vAlign w:val="center"/>
          </w:tcPr>
          <w:p w14:paraId="4502F068"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9 880</w:t>
            </w:r>
          </w:p>
        </w:tc>
      </w:tr>
      <w:tr w:rsidR="00DF7B82" w:rsidRPr="00073089" w14:paraId="4A93E501"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359F4"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Jiné daně a poplatky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E9778"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5A86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D1D5"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C4B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249</w:t>
            </w:r>
          </w:p>
        </w:tc>
        <w:tc>
          <w:tcPr>
            <w:tcW w:w="992" w:type="dxa"/>
            <w:tcBorders>
              <w:top w:val="single" w:sz="4" w:space="0" w:color="auto"/>
              <w:left w:val="single" w:sz="4" w:space="0" w:color="auto"/>
              <w:bottom w:val="single" w:sz="4" w:space="0" w:color="auto"/>
              <w:right w:val="single" w:sz="4" w:space="0" w:color="auto"/>
            </w:tcBorders>
            <w:vAlign w:val="center"/>
          </w:tcPr>
          <w:p w14:paraId="0847EE7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267</w:t>
            </w:r>
          </w:p>
        </w:tc>
      </w:tr>
      <w:tr w:rsidR="00DF7B82" w:rsidRPr="00073089" w14:paraId="6C798CD4"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43C9"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Dary a jiná bezúplatná předání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497D"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279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183FA"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0E989"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242</w:t>
            </w:r>
          </w:p>
        </w:tc>
        <w:tc>
          <w:tcPr>
            <w:tcW w:w="992" w:type="dxa"/>
            <w:tcBorders>
              <w:top w:val="single" w:sz="4" w:space="0" w:color="auto"/>
              <w:left w:val="single" w:sz="4" w:space="0" w:color="auto"/>
              <w:bottom w:val="single" w:sz="4" w:space="0" w:color="auto"/>
              <w:right w:val="single" w:sz="4" w:space="0" w:color="auto"/>
            </w:tcBorders>
            <w:vAlign w:val="center"/>
          </w:tcPr>
          <w:p w14:paraId="48BBECD5"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104</w:t>
            </w:r>
          </w:p>
        </w:tc>
      </w:tr>
      <w:tr w:rsidR="00DF7B82" w:rsidRPr="00073089" w14:paraId="111E2146"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C9EF9"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Odpisy dlouhodobého majetku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76F8"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F0FF"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8 962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D2581"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10 360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888D"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10 648</w:t>
            </w:r>
          </w:p>
        </w:tc>
        <w:tc>
          <w:tcPr>
            <w:tcW w:w="992" w:type="dxa"/>
            <w:tcBorders>
              <w:top w:val="single" w:sz="4" w:space="0" w:color="auto"/>
              <w:left w:val="single" w:sz="4" w:space="0" w:color="auto"/>
              <w:bottom w:val="single" w:sz="4" w:space="0" w:color="auto"/>
              <w:right w:val="single" w:sz="4" w:space="0" w:color="auto"/>
            </w:tcBorders>
            <w:vAlign w:val="center"/>
          </w:tcPr>
          <w:p w14:paraId="4AF76D0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11 188</w:t>
            </w:r>
          </w:p>
        </w:tc>
      </w:tr>
      <w:tr w:rsidR="00DF7B82" w:rsidRPr="00073089" w14:paraId="48D77707"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46B5"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Prodaný dlouhodobý hmotný majetek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6426"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6C9D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A1440"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983D"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0</w:t>
            </w:r>
          </w:p>
        </w:tc>
        <w:tc>
          <w:tcPr>
            <w:tcW w:w="992" w:type="dxa"/>
            <w:tcBorders>
              <w:top w:val="single" w:sz="4" w:space="0" w:color="auto"/>
              <w:left w:val="single" w:sz="4" w:space="0" w:color="auto"/>
              <w:bottom w:val="single" w:sz="4" w:space="0" w:color="auto"/>
              <w:right w:val="single" w:sz="4" w:space="0" w:color="auto"/>
            </w:tcBorders>
            <w:vAlign w:val="center"/>
          </w:tcPr>
          <w:p w14:paraId="076856D2"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0</w:t>
            </w:r>
          </w:p>
        </w:tc>
      </w:tr>
      <w:tr w:rsidR="00DF7B82" w:rsidRPr="00073089" w14:paraId="7915E5DF"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1EFD"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Náklady z drobného dlouhodobého majetku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826A"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E052"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2 014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46C0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5 891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111E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2 481</w:t>
            </w:r>
          </w:p>
        </w:tc>
        <w:tc>
          <w:tcPr>
            <w:tcW w:w="992" w:type="dxa"/>
            <w:tcBorders>
              <w:top w:val="single" w:sz="4" w:space="0" w:color="auto"/>
              <w:left w:val="single" w:sz="4" w:space="0" w:color="auto"/>
              <w:bottom w:val="single" w:sz="4" w:space="0" w:color="auto"/>
              <w:right w:val="single" w:sz="4" w:space="0" w:color="auto"/>
            </w:tcBorders>
            <w:vAlign w:val="center"/>
          </w:tcPr>
          <w:p w14:paraId="0AF877B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2 345</w:t>
            </w:r>
          </w:p>
        </w:tc>
      </w:tr>
      <w:tr w:rsidR="00DF7B82" w:rsidRPr="00073089" w14:paraId="39613658"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8AE8"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lastRenderedPageBreak/>
              <w:t>Ostatní náklady z činnosti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B986"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4251"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5 652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E1F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6 989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1621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5 594</w:t>
            </w:r>
          </w:p>
        </w:tc>
        <w:tc>
          <w:tcPr>
            <w:tcW w:w="992" w:type="dxa"/>
            <w:tcBorders>
              <w:top w:val="single" w:sz="4" w:space="0" w:color="auto"/>
              <w:left w:val="single" w:sz="4" w:space="0" w:color="auto"/>
              <w:bottom w:val="single" w:sz="4" w:space="0" w:color="auto"/>
              <w:right w:val="single" w:sz="4" w:space="0" w:color="auto"/>
            </w:tcBorders>
            <w:vAlign w:val="center"/>
          </w:tcPr>
          <w:p w14:paraId="12ED6C52"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8 526</w:t>
            </w:r>
          </w:p>
        </w:tc>
      </w:tr>
      <w:tr w:rsidR="00DF7B82" w:rsidRPr="00073089" w14:paraId="4FEE6D72" w14:textId="77777777" w:rsidTr="000C0E1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A7EB" w14:textId="77777777" w:rsidR="00DF7B82" w:rsidRPr="000C0E1E" w:rsidRDefault="00DF7B82" w:rsidP="000C0E1E">
            <w:pPr>
              <w:rPr>
                <w:rFonts w:ascii="Calibri" w:hAnsi="Calibri" w:cs="Calibri"/>
                <w:sz w:val="20"/>
                <w:szCs w:val="20"/>
                <w:lang w:eastAsia="cs-CZ"/>
              </w:rPr>
            </w:pPr>
            <w:r w:rsidRPr="000C0E1E">
              <w:rPr>
                <w:rFonts w:ascii="Calibri" w:hAnsi="Calibri" w:cs="Calibri"/>
                <w:i/>
                <w:sz w:val="20"/>
                <w:szCs w:val="20"/>
                <w:lang w:eastAsia="cs-CZ"/>
              </w:rPr>
              <w:t>Náklady na transfery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D1B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15 770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302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37 874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E7F8"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42 814</w:t>
            </w:r>
          </w:p>
        </w:tc>
        <w:tc>
          <w:tcPr>
            <w:tcW w:w="992" w:type="dxa"/>
            <w:tcBorders>
              <w:top w:val="single" w:sz="4" w:space="0" w:color="auto"/>
              <w:left w:val="single" w:sz="4" w:space="0" w:color="auto"/>
              <w:bottom w:val="single" w:sz="4" w:space="0" w:color="auto"/>
              <w:right w:val="single" w:sz="4" w:space="0" w:color="auto"/>
            </w:tcBorders>
            <w:vAlign w:val="center"/>
          </w:tcPr>
          <w:p w14:paraId="4629E2C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57 374</w:t>
            </w:r>
          </w:p>
        </w:tc>
      </w:tr>
      <w:tr w:rsidR="00DF7B82" w:rsidRPr="00073089" w14:paraId="0751457D"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973E"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Náklady vybraných ústředních vládních institucí na transfery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DD6D"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571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3F0A"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15 770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1556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37 874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F490"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42 814</w:t>
            </w:r>
          </w:p>
        </w:tc>
        <w:tc>
          <w:tcPr>
            <w:tcW w:w="992" w:type="dxa"/>
            <w:tcBorders>
              <w:top w:val="single" w:sz="4" w:space="0" w:color="auto"/>
              <w:left w:val="single" w:sz="4" w:space="0" w:color="auto"/>
              <w:bottom w:val="single" w:sz="4" w:space="0" w:color="auto"/>
              <w:right w:val="single" w:sz="4" w:space="0" w:color="auto"/>
            </w:tcBorders>
            <w:vAlign w:val="center"/>
          </w:tcPr>
          <w:p w14:paraId="4AB11A78"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57 374</w:t>
            </w:r>
          </w:p>
        </w:tc>
      </w:tr>
      <w:tr w:rsidR="00DF7B82" w:rsidRPr="00073089" w14:paraId="7D5CAE11" w14:textId="77777777" w:rsidTr="000C0E1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3825C" w14:textId="77777777" w:rsidR="00DF7B82" w:rsidRPr="000C0E1E" w:rsidRDefault="00DF7B82" w:rsidP="000C0E1E">
            <w:pPr>
              <w:rPr>
                <w:rFonts w:ascii="Calibri" w:hAnsi="Calibri" w:cs="Calibri"/>
                <w:b/>
                <w:sz w:val="20"/>
                <w:szCs w:val="20"/>
                <w:lang w:eastAsia="cs-CZ"/>
              </w:rPr>
            </w:pPr>
            <w:r w:rsidRPr="000C0E1E">
              <w:rPr>
                <w:rFonts w:ascii="Calibri" w:hAnsi="Calibri" w:cs="Calibri"/>
                <w:b/>
                <w:sz w:val="20"/>
                <w:szCs w:val="20"/>
                <w:lang w:eastAsia="cs-CZ"/>
              </w:rPr>
              <w:t>VÝNOSY CELKEM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CD4DE"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58 198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F337F"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65 477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69BA"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67 275</w:t>
            </w:r>
          </w:p>
        </w:tc>
        <w:tc>
          <w:tcPr>
            <w:tcW w:w="992" w:type="dxa"/>
            <w:tcBorders>
              <w:top w:val="single" w:sz="4" w:space="0" w:color="auto"/>
              <w:left w:val="single" w:sz="4" w:space="0" w:color="auto"/>
              <w:bottom w:val="single" w:sz="4" w:space="0" w:color="auto"/>
              <w:right w:val="single" w:sz="4" w:space="0" w:color="auto"/>
            </w:tcBorders>
            <w:vAlign w:val="center"/>
          </w:tcPr>
          <w:p w14:paraId="361FCF33" w14:textId="77777777" w:rsidR="00DF7B82" w:rsidRPr="000C0E1E" w:rsidRDefault="00DF7B82" w:rsidP="000C0E1E">
            <w:pPr>
              <w:ind w:right="57"/>
              <w:jc w:val="right"/>
              <w:rPr>
                <w:rFonts w:ascii="Calibri" w:hAnsi="Calibri" w:cs="Calibri"/>
                <w:b/>
                <w:sz w:val="20"/>
                <w:szCs w:val="20"/>
                <w:lang w:eastAsia="cs-CZ"/>
              </w:rPr>
            </w:pPr>
            <w:r w:rsidRPr="000C0E1E">
              <w:rPr>
                <w:rFonts w:ascii="Calibri" w:hAnsi="Calibri" w:cs="Calibri"/>
                <w:b/>
                <w:sz w:val="20"/>
                <w:szCs w:val="20"/>
                <w:lang w:eastAsia="cs-CZ"/>
              </w:rPr>
              <w:t>69 937</w:t>
            </w:r>
          </w:p>
        </w:tc>
      </w:tr>
      <w:tr w:rsidR="00DF7B82" w:rsidRPr="00073089" w14:paraId="2D83625E" w14:textId="77777777" w:rsidTr="000C0E1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EBA82" w14:textId="77777777" w:rsidR="00DF7B82" w:rsidRPr="000C0E1E" w:rsidRDefault="00DF7B82" w:rsidP="000C0E1E">
            <w:pPr>
              <w:rPr>
                <w:rFonts w:ascii="Calibri" w:hAnsi="Calibri" w:cs="Calibri"/>
                <w:sz w:val="20"/>
                <w:szCs w:val="20"/>
                <w:lang w:eastAsia="cs-CZ"/>
              </w:rPr>
            </w:pPr>
            <w:r w:rsidRPr="000C0E1E">
              <w:rPr>
                <w:rFonts w:ascii="Calibri" w:hAnsi="Calibri" w:cs="Calibri"/>
                <w:i/>
                <w:sz w:val="20"/>
                <w:szCs w:val="20"/>
                <w:lang w:eastAsia="cs-CZ"/>
              </w:rPr>
              <w:t>Výnosy z činnosti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02A3"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1942"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BDFD"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783</w:t>
            </w:r>
          </w:p>
        </w:tc>
        <w:tc>
          <w:tcPr>
            <w:tcW w:w="992" w:type="dxa"/>
            <w:tcBorders>
              <w:top w:val="single" w:sz="4" w:space="0" w:color="auto"/>
              <w:left w:val="single" w:sz="4" w:space="0" w:color="auto"/>
              <w:bottom w:val="single" w:sz="4" w:space="0" w:color="auto"/>
              <w:right w:val="single" w:sz="4" w:space="0" w:color="auto"/>
            </w:tcBorders>
            <w:vAlign w:val="center"/>
          </w:tcPr>
          <w:p w14:paraId="7F56518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1 580</w:t>
            </w:r>
          </w:p>
        </w:tc>
      </w:tr>
      <w:tr w:rsidR="00DF7B82" w:rsidRPr="00073089" w14:paraId="6D4210B7"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18964"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Výnosy z prodeje služeb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0819E"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95E6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713E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4064C"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60</w:t>
            </w:r>
          </w:p>
        </w:tc>
        <w:tc>
          <w:tcPr>
            <w:tcW w:w="992" w:type="dxa"/>
            <w:tcBorders>
              <w:top w:val="single" w:sz="4" w:space="0" w:color="auto"/>
              <w:left w:val="single" w:sz="4" w:space="0" w:color="auto"/>
              <w:bottom w:val="single" w:sz="4" w:space="0" w:color="auto"/>
              <w:right w:val="single" w:sz="4" w:space="0" w:color="auto"/>
            </w:tcBorders>
            <w:vAlign w:val="center"/>
          </w:tcPr>
          <w:p w14:paraId="70C268F9"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56</w:t>
            </w:r>
          </w:p>
        </w:tc>
      </w:tr>
      <w:tr w:rsidR="00DF7B82" w:rsidRPr="00073089" w14:paraId="38BC2D5F"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2ADA"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Výnosy z pronájmu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0B619"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603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6D32B"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FCA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C5907"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173</w:t>
            </w:r>
          </w:p>
        </w:tc>
        <w:tc>
          <w:tcPr>
            <w:tcW w:w="992" w:type="dxa"/>
            <w:tcBorders>
              <w:top w:val="single" w:sz="4" w:space="0" w:color="auto"/>
              <w:left w:val="single" w:sz="4" w:space="0" w:color="auto"/>
              <w:bottom w:val="single" w:sz="4" w:space="0" w:color="auto"/>
              <w:right w:val="single" w:sz="4" w:space="0" w:color="auto"/>
            </w:tcBorders>
            <w:vAlign w:val="center"/>
          </w:tcPr>
          <w:p w14:paraId="5F902A8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178</w:t>
            </w:r>
          </w:p>
        </w:tc>
      </w:tr>
      <w:tr w:rsidR="00DF7B82" w:rsidRPr="00073089" w14:paraId="5346D49F"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5756C"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Jiné pokuty a penále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76E5"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642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BEDAF"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18C8"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920F"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21</w:t>
            </w:r>
          </w:p>
        </w:tc>
        <w:tc>
          <w:tcPr>
            <w:tcW w:w="992" w:type="dxa"/>
            <w:tcBorders>
              <w:top w:val="single" w:sz="4" w:space="0" w:color="auto"/>
              <w:left w:val="single" w:sz="4" w:space="0" w:color="auto"/>
              <w:bottom w:val="single" w:sz="4" w:space="0" w:color="auto"/>
              <w:right w:val="single" w:sz="4" w:space="0" w:color="auto"/>
            </w:tcBorders>
            <w:vAlign w:val="center"/>
          </w:tcPr>
          <w:p w14:paraId="1D514EC0"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35</w:t>
            </w:r>
          </w:p>
        </w:tc>
      </w:tr>
      <w:tr w:rsidR="00DF7B82" w:rsidRPr="00073089" w14:paraId="0C20755F"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AC6E"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Výnosy z prodeje dlouhodobého hmotného majetku kromě pozemků</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EDB8A"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646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2655"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659D"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736F6"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w:t>
            </w:r>
          </w:p>
        </w:tc>
        <w:tc>
          <w:tcPr>
            <w:tcW w:w="992" w:type="dxa"/>
            <w:tcBorders>
              <w:top w:val="single" w:sz="4" w:space="0" w:color="auto"/>
              <w:left w:val="single" w:sz="4" w:space="0" w:color="auto"/>
              <w:bottom w:val="single" w:sz="4" w:space="0" w:color="auto"/>
              <w:right w:val="single" w:sz="4" w:space="0" w:color="auto"/>
            </w:tcBorders>
            <w:vAlign w:val="center"/>
          </w:tcPr>
          <w:p w14:paraId="5514702E"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390</w:t>
            </w:r>
          </w:p>
        </w:tc>
      </w:tr>
      <w:tr w:rsidR="00DF7B82" w:rsidRPr="00073089" w14:paraId="64C939F9"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7D20"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Čerpání fondů</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16A2"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648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0ECE"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5D96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1A207"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w:t>
            </w:r>
          </w:p>
        </w:tc>
        <w:tc>
          <w:tcPr>
            <w:tcW w:w="992" w:type="dxa"/>
            <w:tcBorders>
              <w:top w:val="single" w:sz="4" w:space="0" w:color="auto"/>
              <w:left w:val="single" w:sz="4" w:space="0" w:color="auto"/>
              <w:bottom w:val="single" w:sz="4" w:space="0" w:color="auto"/>
              <w:right w:val="single" w:sz="4" w:space="0" w:color="auto"/>
            </w:tcBorders>
            <w:vAlign w:val="center"/>
          </w:tcPr>
          <w:p w14:paraId="4071B212"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0</w:t>
            </w:r>
          </w:p>
        </w:tc>
      </w:tr>
      <w:tr w:rsidR="00DF7B82" w:rsidRPr="00073089" w14:paraId="70F0688F"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F2B5"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Ostatní výnosy z činnosti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8B6CA"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649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1D39"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1C9A"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146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521</w:t>
            </w:r>
          </w:p>
        </w:tc>
        <w:tc>
          <w:tcPr>
            <w:tcW w:w="992" w:type="dxa"/>
            <w:tcBorders>
              <w:top w:val="single" w:sz="4" w:space="0" w:color="auto"/>
              <w:left w:val="single" w:sz="4" w:space="0" w:color="auto"/>
              <w:bottom w:val="single" w:sz="4" w:space="0" w:color="auto"/>
              <w:right w:val="single" w:sz="4" w:space="0" w:color="auto"/>
            </w:tcBorders>
            <w:vAlign w:val="center"/>
          </w:tcPr>
          <w:p w14:paraId="1FF40F01"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920</w:t>
            </w:r>
          </w:p>
        </w:tc>
      </w:tr>
      <w:tr w:rsidR="00DF7B82" w:rsidRPr="00073089" w14:paraId="156CD244" w14:textId="77777777" w:rsidTr="000C0E1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35ED" w14:textId="77777777" w:rsidR="00DF7B82" w:rsidRPr="000C0E1E" w:rsidRDefault="00DF7B82" w:rsidP="000C0E1E">
            <w:pPr>
              <w:rPr>
                <w:rFonts w:ascii="Calibri" w:hAnsi="Calibri" w:cs="Calibri"/>
                <w:sz w:val="20"/>
                <w:szCs w:val="20"/>
                <w:lang w:eastAsia="cs-CZ"/>
              </w:rPr>
            </w:pPr>
            <w:r w:rsidRPr="000C0E1E">
              <w:rPr>
                <w:rFonts w:ascii="Calibri" w:hAnsi="Calibri" w:cs="Calibri"/>
                <w:i/>
                <w:sz w:val="20"/>
                <w:szCs w:val="20"/>
                <w:lang w:eastAsia="cs-CZ"/>
              </w:rPr>
              <w:t>Výnosy z daní a poplatků</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A83A"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57 223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9ED2"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64 603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4D1C1"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66 489</w:t>
            </w:r>
          </w:p>
        </w:tc>
        <w:tc>
          <w:tcPr>
            <w:tcW w:w="992" w:type="dxa"/>
            <w:tcBorders>
              <w:top w:val="single" w:sz="4" w:space="0" w:color="auto"/>
              <w:left w:val="single" w:sz="4" w:space="0" w:color="auto"/>
              <w:bottom w:val="single" w:sz="4" w:space="0" w:color="auto"/>
              <w:right w:val="single" w:sz="4" w:space="0" w:color="auto"/>
            </w:tcBorders>
            <w:vAlign w:val="center"/>
          </w:tcPr>
          <w:p w14:paraId="592FAF81"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68 357</w:t>
            </w:r>
          </w:p>
        </w:tc>
      </w:tr>
      <w:tr w:rsidR="00DF7B82" w:rsidRPr="00073089" w14:paraId="262AE554" w14:textId="77777777" w:rsidTr="000C0E1E">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2B7C" w14:textId="77777777" w:rsidR="00DF7B82" w:rsidRPr="000C0E1E" w:rsidRDefault="00DF7B82" w:rsidP="000C0E1E">
            <w:pPr>
              <w:rPr>
                <w:rFonts w:ascii="Calibri" w:hAnsi="Calibri" w:cs="Calibri"/>
                <w:sz w:val="20"/>
                <w:szCs w:val="20"/>
                <w:lang w:eastAsia="cs-CZ"/>
              </w:rPr>
            </w:pPr>
            <w:r w:rsidRPr="000C0E1E">
              <w:rPr>
                <w:rFonts w:ascii="Calibri" w:hAnsi="Calibri" w:cs="Calibri"/>
                <w:sz w:val="20"/>
                <w:szCs w:val="20"/>
                <w:lang w:eastAsia="cs-CZ"/>
              </w:rPr>
              <w:t>Výnosy ze sociálního pojištění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F10A" w14:textId="77777777" w:rsidR="00DF7B82" w:rsidRPr="000C0E1E" w:rsidRDefault="00DF7B82" w:rsidP="000C0E1E">
            <w:pPr>
              <w:jc w:val="center"/>
              <w:rPr>
                <w:rFonts w:ascii="Calibri" w:hAnsi="Calibri" w:cs="Calibri"/>
                <w:sz w:val="20"/>
                <w:szCs w:val="20"/>
                <w:lang w:eastAsia="cs-CZ"/>
              </w:rPr>
            </w:pPr>
            <w:r w:rsidRPr="000C0E1E">
              <w:rPr>
                <w:rFonts w:ascii="Calibri" w:hAnsi="Calibri" w:cs="Calibri"/>
                <w:sz w:val="20"/>
                <w:szCs w:val="20"/>
                <w:lang w:eastAsia="cs-CZ"/>
              </w:rPr>
              <w:t>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EE0EE"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57 223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7CB34"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64 603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3AF7"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66 489</w:t>
            </w:r>
          </w:p>
        </w:tc>
        <w:tc>
          <w:tcPr>
            <w:tcW w:w="992" w:type="dxa"/>
            <w:tcBorders>
              <w:top w:val="single" w:sz="4" w:space="0" w:color="auto"/>
              <w:left w:val="single" w:sz="4" w:space="0" w:color="auto"/>
              <w:bottom w:val="single" w:sz="4" w:space="0" w:color="auto"/>
              <w:right w:val="single" w:sz="4" w:space="0" w:color="auto"/>
            </w:tcBorders>
            <w:vAlign w:val="center"/>
          </w:tcPr>
          <w:p w14:paraId="744214F5" w14:textId="77777777" w:rsidR="00DF7B82" w:rsidRPr="000C0E1E" w:rsidRDefault="00DF7B82" w:rsidP="000C0E1E">
            <w:pPr>
              <w:ind w:right="57"/>
              <w:jc w:val="right"/>
              <w:rPr>
                <w:rFonts w:ascii="Calibri" w:hAnsi="Calibri" w:cs="Calibri"/>
                <w:sz w:val="20"/>
                <w:szCs w:val="20"/>
                <w:lang w:eastAsia="cs-CZ"/>
              </w:rPr>
            </w:pPr>
            <w:r w:rsidRPr="000C0E1E">
              <w:rPr>
                <w:rFonts w:ascii="Calibri" w:hAnsi="Calibri" w:cs="Calibri"/>
                <w:sz w:val="20"/>
                <w:szCs w:val="20"/>
                <w:lang w:eastAsia="cs-CZ"/>
              </w:rPr>
              <w:t>68 357</w:t>
            </w:r>
          </w:p>
        </w:tc>
      </w:tr>
      <w:tr w:rsidR="00DF7B82" w:rsidRPr="00073089" w14:paraId="7564B639" w14:textId="77777777" w:rsidTr="000C0E1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97C3" w14:textId="77777777" w:rsidR="00DF7B82" w:rsidRPr="000C0E1E" w:rsidRDefault="00DF7B82" w:rsidP="000C0E1E">
            <w:pPr>
              <w:rPr>
                <w:rFonts w:ascii="Calibri" w:hAnsi="Calibri" w:cs="Calibri"/>
                <w:b/>
                <w:sz w:val="20"/>
                <w:szCs w:val="20"/>
                <w:lang w:eastAsia="cs-CZ"/>
              </w:rPr>
            </w:pPr>
            <w:r w:rsidRPr="000C0E1E">
              <w:rPr>
                <w:rFonts w:ascii="Calibri" w:hAnsi="Calibri" w:cs="Calibri"/>
                <w:b/>
                <w:sz w:val="20"/>
                <w:szCs w:val="20"/>
                <w:lang w:eastAsia="cs-CZ"/>
              </w:rPr>
              <w:t>Výsledek hospodaření před zdaněním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0249" w14:textId="4DF7AD24" w:rsidR="00DF7B82" w:rsidRPr="000C0E1E" w:rsidRDefault="0001115B" w:rsidP="000C0E1E">
            <w:pPr>
              <w:ind w:right="57"/>
              <w:jc w:val="right"/>
              <w:rPr>
                <w:rFonts w:ascii="Calibri" w:hAnsi="Calibri" w:cs="Calibri"/>
                <w:b/>
                <w:sz w:val="20"/>
                <w:szCs w:val="20"/>
                <w:lang w:eastAsia="cs-CZ"/>
              </w:rPr>
            </w:pPr>
            <w:r>
              <w:rPr>
                <w:rFonts w:ascii="Calibri" w:hAnsi="Calibri" w:cs="Calibri"/>
                <w:b/>
                <w:sz w:val="20"/>
                <w:szCs w:val="20"/>
                <w:lang w:eastAsia="cs-CZ"/>
              </w:rPr>
              <w:t>−</w:t>
            </w:r>
            <w:r w:rsidR="00DF7B82" w:rsidRPr="000C0E1E">
              <w:rPr>
                <w:rFonts w:ascii="Calibri" w:hAnsi="Calibri" w:cs="Calibri"/>
                <w:b/>
                <w:sz w:val="20"/>
                <w:szCs w:val="20"/>
                <w:lang w:eastAsia="cs-CZ"/>
              </w:rPr>
              <w:t>299 725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F7A51" w14:textId="4D56481B" w:rsidR="00DF7B82" w:rsidRPr="000C0E1E" w:rsidRDefault="0001115B" w:rsidP="000C0E1E">
            <w:pPr>
              <w:ind w:right="57"/>
              <w:jc w:val="right"/>
              <w:rPr>
                <w:rFonts w:ascii="Calibri" w:hAnsi="Calibri" w:cs="Calibri"/>
                <w:b/>
                <w:sz w:val="20"/>
                <w:szCs w:val="20"/>
                <w:lang w:eastAsia="cs-CZ"/>
              </w:rPr>
            </w:pPr>
            <w:r>
              <w:rPr>
                <w:rFonts w:ascii="Calibri" w:hAnsi="Calibri" w:cs="Calibri"/>
                <w:b/>
                <w:sz w:val="20"/>
                <w:szCs w:val="20"/>
                <w:lang w:eastAsia="cs-CZ"/>
              </w:rPr>
              <w:t>−</w:t>
            </w:r>
            <w:r w:rsidR="00DF7B82" w:rsidRPr="000C0E1E">
              <w:rPr>
                <w:rFonts w:ascii="Calibri" w:hAnsi="Calibri" w:cs="Calibri"/>
                <w:b/>
                <w:sz w:val="20"/>
                <w:szCs w:val="20"/>
                <w:lang w:eastAsia="cs-CZ"/>
              </w:rPr>
              <w:t>348 628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606D" w14:textId="3901916F" w:rsidR="00DF7B82" w:rsidRPr="000C0E1E" w:rsidRDefault="0001115B" w:rsidP="000C0E1E">
            <w:pPr>
              <w:ind w:right="57"/>
              <w:jc w:val="right"/>
              <w:rPr>
                <w:rFonts w:ascii="Calibri" w:hAnsi="Calibri" w:cs="Calibri"/>
                <w:b/>
                <w:sz w:val="20"/>
                <w:szCs w:val="20"/>
                <w:lang w:eastAsia="cs-CZ"/>
              </w:rPr>
            </w:pPr>
            <w:r>
              <w:rPr>
                <w:rFonts w:ascii="Calibri" w:hAnsi="Calibri" w:cs="Calibri"/>
                <w:b/>
                <w:sz w:val="20"/>
                <w:szCs w:val="20"/>
                <w:lang w:eastAsia="cs-CZ"/>
              </w:rPr>
              <w:t>−</w:t>
            </w:r>
            <w:r w:rsidR="00DF7B82" w:rsidRPr="000C0E1E">
              <w:rPr>
                <w:rFonts w:ascii="Calibri" w:hAnsi="Calibri" w:cs="Calibri"/>
                <w:b/>
                <w:sz w:val="20"/>
                <w:szCs w:val="20"/>
                <w:lang w:eastAsia="cs-CZ"/>
              </w:rPr>
              <w:t>362 389</w:t>
            </w:r>
          </w:p>
        </w:tc>
        <w:tc>
          <w:tcPr>
            <w:tcW w:w="992" w:type="dxa"/>
            <w:tcBorders>
              <w:top w:val="single" w:sz="4" w:space="0" w:color="auto"/>
              <w:left w:val="single" w:sz="4" w:space="0" w:color="auto"/>
              <w:bottom w:val="single" w:sz="4" w:space="0" w:color="auto"/>
              <w:right w:val="single" w:sz="4" w:space="0" w:color="auto"/>
            </w:tcBorders>
            <w:vAlign w:val="center"/>
          </w:tcPr>
          <w:p w14:paraId="68A3F7C2" w14:textId="179CAEA7" w:rsidR="00DF7B82" w:rsidRPr="000C0E1E" w:rsidRDefault="0001115B" w:rsidP="000C0E1E">
            <w:pPr>
              <w:ind w:right="57"/>
              <w:jc w:val="right"/>
              <w:rPr>
                <w:rFonts w:ascii="Calibri" w:hAnsi="Calibri" w:cs="Calibri"/>
                <w:b/>
                <w:sz w:val="20"/>
                <w:szCs w:val="20"/>
                <w:lang w:eastAsia="cs-CZ"/>
              </w:rPr>
            </w:pPr>
            <w:r>
              <w:rPr>
                <w:rFonts w:ascii="Calibri" w:hAnsi="Calibri" w:cs="Calibri"/>
                <w:b/>
                <w:sz w:val="20"/>
                <w:szCs w:val="20"/>
                <w:lang w:eastAsia="cs-CZ"/>
              </w:rPr>
              <w:t>−</w:t>
            </w:r>
            <w:r w:rsidR="00DF7B82" w:rsidRPr="000C0E1E">
              <w:rPr>
                <w:rFonts w:ascii="Calibri" w:hAnsi="Calibri" w:cs="Calibri"/>
                <w:b/>
                <w:sz w:val="20"/>
                <w:szCs w:val="20"/>
                <w:lang w:eastAsia="cs-CZ"/>
              </w:rPr>
              <w:t>390 482</w:t>
            </w:r>
          </w:p>
        </w:tc>
      </w:tr>
    </w:tbl>
    <w:p w14:paraId="33AFB1D4" w14:textId="77777777" w:rsidR="00DF7B82" w:rsidRPr="00073089" w:rsidRDefault="00DF7B82" w:rsidP="006D6AB7">
      <w:pPr>
        <w:spacing w:before="40"/>
        <w:rPr>
          <w:rFonts w:cstheme="minorHAnsi"/>
          <w:sz w:val="20"/>
        </w:rPr>
      </w:pPr>
      <w:r w:rsidRPr="00392322">
        <w:rPr>
          <w:rFonts w:cstheme="minorHAnsi"/>
          <w:b/>
          <w:sz w:val="20"/>
        </w:rPr>
        <w:t>Zdroj:</w:t>
      </w:r>
      <w:r w:rsidRPr="00073089">
        <w:rPr>
          <w:rFonts w:cstheme="minorHAnsi"/>
          <w:sz w:val="20"/>
        </w:rPr>
        <w:t xml:space="preserve"> Monitor státní pokladny</w:t>
      </w:r>
      <w:r>
        <w:rPr>
          <w:rFonts w:cstheme="minorHAnsi"/>
          <w:sz w:val="20"/>
        </w:rPr>
        <w:t>.</w:t>
      </w:r>
    </w:p>
    <w:p w14:paraId="7645D513" w14:textId="77777777" w:rsidR="00DF7B82" w:rsidRPr="00B4137D" w:rsidRDefault="00DF7B82" w:rsidP="00DF7B82"/>
    <w:p w14:paraId="6DAC09A6" w14:textId="4F6C1E9F" w:rsidR="00A2524F" w:rsidRDefault="00A2524F">
      <w:pPr>
        <w:rPr>
          <w:rFonts w:ascii="Calibri" w:hAnsi="Calibri" w:cs="Calibri"/>
          <w:sz w:val="24"/>
          <w:szCs w:val="24"/>
        </w:rPr>
      </w:pPr>
      <w:r>
        <w:rPr>
          <w:rFonts w:ascii="Calibri" w:hAnsi="Calibri" w:cs="Calibri"/>
          <w:sz w:val="24"/>
          <w:szCs w:val="24"/>
        </w:rPr>
        <w:br w:type="page"/>
      </w:r>
    </w:p>
    <w:p w14:paraId="01DF8F8F" w14:textId="1FCDA9C7" w:rsidR="00DF7B82" w:rsidRDefault="00A2524F" w:rsidP="00A2524F">
      <w:pPr>
        <w:jc w:val="right"/>
        <w:rPr>
          <w:rFonts w:ascii="Calibri" w:hAnsi="Calibri" w:cs="Calibri"/>
          <w:b/>
          <w:sz w:val="24"/>
          <w:szCs w:val="24"/>
        </w:rPr>
      </w:pPr>
      <w:r>
        <w:rPr>
          <w:rFonts w:ascii="Calibri" w:hAnsi="Calibri" w:cs="Calibri"/>
          <w:b/>
          <w:sz w:val="24"/>
          <w:szCs w:val="24"/>
        </w:rPr>
        <w:lastRenderedPageBreak/>
        <w:t>Příloha č. 2</w:t>
      </w:r>
    </w:p>
    <w:p w14:paraId="3457ECD6" w14:textId="77777777" w:rsidR="00A2524F" w:rsidRPr="00A2524F" w:rsidRDefault="00A2524F" w:rsidP="00A2524F">
      <w:pPr>
        <w:jc w:val="both"/>
        <w:rPr>
          <w:rFonts w:ascii="Calibri" w:eastAsia="Calibri" w:hAnsi="Calibri"/>
          <w:sz w:val="24"/>
        </w:rPr>
      </w:pPr>
    </w:p>
    <w:p w14:paraId="2FF6EE84" w14:textId="370655EF" w:rsidR="00A2524F" w:rsidRDefault="00A2524F" w:rsidP="00A2524F">
      <w:pPr>
        <w:jc w:val="center"/>
        <w:rPr>
          <w:rFonts w:ascii="Calibri" w:eastAsia="Calibri" w:hAnsi="Calibri"/>
          <w:b/>
          <w:sz w:val="24"/>
        </w:rPr>
      </w:pPr>
      <w:r w:rsidRPr="00A2524F">
        <w:rPr>
          <w:rFonts w:ascii="Calibri" w:eastAsia="Calibri" w:hAnsi="Calibri"/>
          <w:b/>
          <w:sz w:val="24"/>
        </w:rPr>
        <w:t>Navyšování platových prostředků příslušníků GIBS</w:t>
      </w:r>
    </w:p>
    <w:p w14:paraId="08C3C084" w14:textId="77777777" w:rsidR="00A2524F" w:rsidRPr="00A2524F" w:rsidRDefault="00A2524F" w:rsidP="00A2524F">
      <w:pPr>
        <w:jc w:val="both"/>
        <w:rPr>
          <w:rFonts w:ascii="Calibri" w:eastAsia="Calibri" w:hAnsi="Calibri"/>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134"/>
        <w:gridCol w:w="2551"/>
        <w:gridCol w:w="2552"/>
        <w:gridCol w:w="992"/>
        <w:gridCol w:w="992"/>
      </w:tblGrid>
      <w:tr w:rsidR="00A2524F" w:rsidRPr="00A2524F" w14:paraId="16894945"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E5F1FF"/>
            <w:vAlign w:val="center"/>
          </w:tcPr>
          <w:p w14:paraId="165FBF09" w14:textId="77777777" w:rsidR="00A2524F" w:rsidRPr="00A2524F" w:rsidRDefault="00A2524F" w:rsidP="00A2524F">
            <w:pPr>
              <w:jc w:val="center"/>
              <w:rPr>
                <w:rFonts w:ascii="Calibri" w:hAnsi="Calibri" w:cs="Calibri"/>
                <w:b/>
                <w:color w:val="000000"/>
                <w:sz w:val="16"/>
                <w:szCs w:val="16"/>
                <w:lang w:eastAsia="cs-CZ"/>
              </w:rPr>
            </w:pPr>
            <w:r w:rsidRPr="00A2524F">
              <w:rPr>
                <w:rFonts w:ascii="Calibri" w:hAnsi="Calibri" w:cs="Calibri"/>
                <w:b/>
                <w:color w:val="000000"/>
                <w:sz w:val="16"/>
                <w:szCs w:val="16"/>
                <w:lang w:eastAsia="cs-CZ"/>
              </w:rPr>
              <w:t>Datum navýšení</w:t>
            </w:r>
          </w:p>
        </w:tc>
        <w:tc>
          <w:tcPr>
            <w:tcW w:w="113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2308446" w14:textId="77777777" w:rsidR="00A2524F" w:rsidRPr="00A2524F" w:rsidRDefault="00A2524F" w:rsidP="006D6AB7">
            <w:pPr>
              <w:jc w:val="center"/>
              <w:rPr>
                <w:rFonts w:ascii="Calibri" w:hAnsi="Calibri" w:cs="Calibri"/>
                <w:b/>
                <w:color w:val="000000"/>
                <w:sz w:val="16"/>
                <w:szCs w:val="16"/>
                <w:lang w:eastAsia="cs-CZ"/>
              </w:rPr>
            </w:pPr>
            <w:r w:rsidRPr="00A2524F">
              <w:rPr>
                <w:rFonts w:ascii="Calibri" w:hAnsi="Calibri" w:cs="Calibri"/>
                <w:b/>
                <w:color w:val="000000"/>
                <w:sz w:val="16"/>
                <w:szCs w:val="16"/>
                <w:lang w:eastAsia="cs-CZ"/>
              </w:rPr>
              <w:t>Rozhodnutí</w:t>
            </w:r>
          </w:p>
        </w:tc>
        <w:tc>
          <w:tcPr>
            <w:tcW w:w="2551" w:type="dxa"/>
            <w:tcBorders>
              <w:top w:val="single" w:sz="4" w:space="0" w:color="auto"/>
              <w:left w:val="single" w:sz="4" w:space="0" w:color="auto"/>
              <w:bottom w:val="single" w:sz="4" w:space="0" w:color="auto"/>
              <w:right w:val="single" w:sz="4" w:space="0" w:color="auto"/>
            </w:tcBorders>
            <w:shd w:val="clear" w:color="auto" w:fill="E5F1FF"/>
            <w:vAlign w:val="center"/>
          </w:tcPr>
          <w:p w14:paraId="4A4F609F" w14:textId="77777777" w:rsidR="00A2524F" w:rsidRPr="00A2524F" w:rsidRDefault="00A2524F" w:rsidP="006D6AB7">
            <w:pPr>
              <w:jc w:val="center"/>
              <w:rPr>
                <w:rFonts w:ascii="Calibri" w:hAnsi="Calibri" w:cs="Calibri"/>
                <w:b/>
                <w:sz w:val="16"/>
                <w:szCs w:val="16"/>
                <w:lang w:eastAsia="cs-CZ"/>
              </w:rPr>
            </w:pPr>
            <w:r w:rsidRPr="00A2524F">
              <w:rPr>
                <w:rFonts w:ascii="Calibri" w:hAnsi="Calibri" w:cs="Calibri"/>
                <w:b/>
                <w:sz w:val="16"/>
                <w:szCs w:val="16"/>
                <w:lang w:eastAsia="cs-CZ"/>
              </w:rPr>
              <w:t>Odůvodnění</w:t>
            </w:r>
          </w:p>
        </w:tc>
        <w:tc>
          <w:tcPr>
            <w:tcW w:w="2552" w:type="dxa"/>
            <w:tcBorders>
              <w:top w:val="single" w:sz="4" w:space="0" w:color="auto"/>
              <w:left w:val="single" w:sz="4" w:space="0" w:color="auto"/>
              <w:bottom w:val="single" w:sz="4" w:space="0" w:color="auto"/>
              <w:right w:val="single" w:sz="4" w:space="0" w:color="auto"/>
            </w:tcBorders>
            <w:shd w:val="clear" w:color="auto" w:fill="E5F1FF"/>
            <w:vAlign w:val="center"/>
          </w:tcPr>
          <w:p w14:paraId="623AA2E1" w14:textId="77777777" w:rsidR="00A2524F" w:rsidRPr="00A2524F" w:rsidRDefault="00A2524F" w:rsidP="006D6AB7">
            <w:pPr>
              <w:jc w:val="center"/>
              <w:rPr>
                <w:rFonts w:ascii="Calibri" w:hAnsi="Calibri" w:cs="Calibri"/>
                <w:b/>
                <w:sz w:val="16"/>
                <w:szCs w:val="16"/>
                <w:lang w:eastAsia="cs-CZ"/>
              </w:rPr>
            </w:pPr>
            <w:r w:rsidRPr="00A2524F">
              <w:rPr>
                <w:rFonts w:ascii="Calibri" w:hAnsi="Calibri" w:cs="Calibri"/>
                <w:b/>
                <w:sz w:val="16"/>
                <w:szCs w:val="16"/>
                <w:lang w:eastAsia="cs-CZ"/>
              </w:rPr>
              <w:t>Rozpočtové dopady</w:t>
            </w:r>
          </w:p>
        </w:tc>
        <w:tc>
          <w:tcPr>
            <w:tcW w:w="992" w:type="dxa"/>
            <w:tcBorders>
              <w:top w:val="single" w:sz="4" w:space="0" w:color="auto"/>
              <w:left w:val="single" w:sz="4" w:space="0" w:color="auto"/>
              <w:bottom w:val="single" w:sz="4" w:space="0" w:color="auto"/>
              <w:right w:val="single" w:sz="4" w:space="0" w:color="auto"/>
            </w:tcBorders>
            <w:shd w:val="clear" w:color="auto" w:fill="E5F1FF"/>
            <w:vAlign w:val="center"/>
          </w:tcPr>
          <w:p w14:paraId="7E8779E3" w14:textId="77777777" w:rsidR="00A2524F" w:rsidRPr="00A2524F" w:rsidRDefault="00A2524F" w:rsidP="006D6AB7">
            <w:pPr>
              <w:jc w:val="center"/>
              <w:rPr>
                <w:rFonts w:ascii="Calibri" w:hAnsi="Calibri" w:cs="Calibri"/>
                <w:b/>
                <w:sz w:val="16"/>
                <w:szCs w:val="16"/>
                <w:lang w:eastAsia="cs-CZ"/>
              </w:rPr>
            </w:pPr>
            <w:r w:rsidRPr="00A2524F">
              <w:rPr>
                <w:rFonts w:ascii="Calibri" w:hAnsi="Calibri" w:cs="Calibri"/>
                <w:b/>
                <w:sz w:val="16"/>
                <w:szCs w:val="16"/>
                <w:lang w:eastAsia="cs-CZ"/>
              </w:rPr>
              <w:t>% a částka navýšení platu příslušníka GIBS</w:t>
            </w:r>
          </w:p>
        </w:tc>
        <w:tc>
          <w:tcPr>
            <w:tcW w:w="992" w:type="dxa"/>
            <w:tcBorders>
              <w:top w:val="single" w:sz="4" w:space="0" w:color="auto"/>
              <w:left w:val="single" w:sz="4" w:space="0" w:color="auto"/>
              <w:bottom w:val="single" w:sz="4" w:space="0" w:color="auto"/>
              <w:right w:val="single" w:sz="4" w:space="0" w:color="auto"/>
            </w:tcBorders>
            <w:shd w:val="clear" w:color="auto" w:fill="E5F1FF"/>
            <w:vAlign w:val="center"/>
          </w:tcPr>
          <w:p w14:paraId="2E5BE5BD" w14:textId="77777777" w:rsidR="00A2524F" w:rsidRPr="00A2524F" w:rsidRDefault="00A2524F" w:rsidP="006D6AB7">
            <w:pPr>
              <w:jc w:val="center"/>
              <w:rPr>
                <w:rFonts w:ascii="Calibri" w:hAnsi="Calibri" w:cs="Calibri"/>
                <w:b/>
                <w:sz w:val="16"/>
                <w:szCs w:val="16"/>
                <w:lang w:eastAsia="cs-CZ"/>
              </w:rPr>
            </w:pPr>
            <w:r w:rsidRPr="00A2524F">
              <w:rPr>
                <w:rFonts w:ascii="Calibri" w:hAnsi="Calibri" w:cs="Calibri"/>
                <w:b/>
                <w:sz w:val="16"/>
                <w:szCs w:val="16"/>
                <w:lang w:eastAsia="cs-CZ"/>
              </w:rPr>
              <w:t>Průměrný plat příslušníka GIBS</w:t>
            </w:r>
          </w:p>
        </w:tc>
      </w:tr>
      <w:tr w:rsidR="00A2524F" w:rsidRPr="00A2524F" w14:paraId="2DEB785B"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CCAC17" w14:textId="77777777" w:rsidR="00A2524F" w:rsidRPr="00A2524F" w:rsidRDefault="00A2524F" w:rsidP="00A2524F">
            <w:pPr>
              <w:jc w:val="center"/>
              <w:rPr>
                <w:rFonts w:ascii="Calibri" w:hAnsi="Calibri" w:cs="Calibri"/>
                <w:b/>
                <w:color w:val="000000"/>
                <w:sz w:val="16"/>
                <w:szCs w:val="16"/>
                <w:lang w:eastAsia="cs-CZ"/>
              </w:rPr>
            </w:pPr>
            <w:r w:rsidRPr="00A2524F">
              <w:rPr>
                <w:rFonts w:ascii="Calibri" w:hAnsi="Calibri" w:cs="Calibri"/>
                <w:b/>
                <w:color w:val="000000"/>
                <w:sz w:val="16"/>
                <w:szCs w:val="16"/>
                <w:lang w:eastAsia="cs-CZ"/>
              </w:rPr>
              <w:t>2017</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5F2C7E5" w14:textId="5A19A6D2" w:rsidR="00A2524F" w:rsidRPr="00A2524F" w:rsidRDefault="00A2524F" w:rsidP="00061E04">
            <w:pPr>
              <w:rPr>
                <w:rFonts w:ascii="Calibri" w:hAnsi="Calibri" w:cs="Calibri"/>
                <w:b/>
                <w:color w:val="000000"/>
                <w:sz w:val="16"/>
                <w:szCs w:val="16"/>
                <w:lang w:eastAsia="cs-CZ"/>
              </w:rPr>
            </w:pPr>
            <w:r w:rsidRPr="00A2524F">
              <w:rPr>
                <w:rFonts w:ascii="Calibri" w:hAnsi="Calibri" w:cs="Calibri"/>
                <w:b/>
                <w:color w:val="000000"/>
                <w:sz w:val="16"/>
                <w:szCs w:val="16"/>
                <w:lang w:eastAsia="cs-CZ"/>
              </w:rPr>
              <w:t>Průměrný plánovaný plat příslušníků na rok 2017: 50 064 Kč</w:t>
            </w:r>
          </w:p>
        </w:tc>
      </w:tr>
      <w:tr w:rsidR="00A2524F" w:rsidRPr="00A2524F" w14:paraId="3F381362"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3D74FE92" w14:textId="4202280B" w:rsidR="00A2524F" w:rsidRPr="00A2524F" w:rsidRDefault="00A2524F" w:rsidP="00A2524F">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1. 5. 2017</w:t>
            </w:r>
          </w:p>
          <w:p w14:paraId="4C56F3C4" w14:textId="77777777" w:rsidR="00A2524F" w:rsidRPr="00A2524F" w:rsidRDefault="00A2524F" w:rsidP="00A2524F">
            <w:pPr>
              <w:jc w:val="center"/>
              <w:rPr>
                <w:rFonts w:ascii="Calibri" w:hAnsi="Calibri" w:cs="Calibri"/>
                <w:color w:val="000000"/>
                <w:sz w:val="16"/>
                <w:szCs w:val="16"/>
                <w:lang w:eastAsia="cs-CZ"/>
              </w:rPr>
            </w:pPr>
          </w:p>
        </w:tc>
        <w:tc>
          <w:tcPr>
            <w:tcW w:w="1134" w:type="dxa"/>
            <w:tcBorders>
              <w:top w:val="single" w:sz="4" w:space="0" w:color="auto"/>
              <w:left w:val="single" w:sz="4" w:space="0" w:color="auto"/>
              <w:bottom w:val="single" w:sz="4" w:space="0" w:color="auto"/>
              <w:right w:val="single" w:sz="4" w:space="0" w:color="auto"/>
            </w:tcBorders>
          </w:tcPr>
          <w:p w14:paraId="3ED2800B" w14:textId="1F64C476" w:rsidR="00A2524F" w:rsidRPr="00A2524F" w:rsidRDefault="00A2524F" w:rsidP="00EA3840">
            <w:pPr>
              <w:jc w:val="center"/>
              <w:rPr>
                <w:rFonts w:ascii="Calibri" w:hAnsi="Calibri" w:cs="Calibri"/>
                <w:sz w:val="16"/>
                <w:szCs w:val="16"/>
                <w:lang w:eastAsia="cs-CZ"/>
              </w:rPr>
            </w:pPr>
            <w:r w:rsidRPr="00A2524F">
              <w:rPr>
                <w:rFonts w:ascii="Calibri" w:hAnsi="Calibri" w:cs="Calibri"/>
                <w:sz w:val="16"/>
                <w:szCs w:val="16"/>
                <w:lang w:eastAsia="cs-CZ"/>
              </w:rPr>
              <w:t>UV ČR č. 148 ze dne 27.</w:t>
            </w:r>
            <w:r w:rsidR="00EA3840">
              <w:rPr>
                <w:rFonts w:ascii="Calibri" w:hAnsi="Calibri" w:cs="Calibri"/>
                <w:sz w:val="16"/>
                <w:szCs w:val="16"/>
                <w:lang w:eastAsia="cs-CZ"/>
              </w:rPr>
              <w:t> </w:t>
            </w:r>
            <w:r w:rsidRPr="00A2524F">
              <w:rPr>
                <w:rFonts w:ascii="Calibri" w:hAnsi="Calibri" w:cs="Calibri"/>
                <w:sz w:val="16"/>
                <w:szCs w:val="16"/>
                <w:lang w:eastAsia="cs-CZ"/>
              </w:rPr>
              <w:t>2.</w:t>
            </w:r>
            <w:r w:rsidR="00EA3840">
              <w:rPr>
                <w:rFonts w:ascii="Calibri" w:hAnsi="Calibri" w:cs="Calibri"/>
                <w:sz w:val="16"/>
                <w:szCs w:val="16"/>
                <w:lang w:eastAsia="cs-CZ"/>
              </w:rPr>
              <w:t> </w:t>
            </w:r>
            <w:r w:rsidRPr="00A2524F">
              <w:rPr>
                <w:rFonts w:ascii="Calibri" w:hAnsi="Calibri" w:cs="Calibri"/>
                <w:sz w:val="16"/>
                <w:szCs w:val="16"/>
                <w:lang w:eastAsia="cs-CZ"/>
              </w:rPr>
              <w:t>2017</w:t>
            </w:r>
          </w:p>
          <w:p w14:paraId="2C86F7AB" w14:textId="77777777" w:rsidR="00A2524F" w:rsidRPr="00A2524F" w:rsidRDefault="00A2524F" w:rsidP="00EA3840">
            <w:pPr>
              <w:jc w:val="center"/>
              <w:rPr>
                <w:rFonts w:ascii="Calibri" w:hAnsi="Calibri" w:cs="Calibri"/>
                <w:sz w:val="16"/>
                <w:szCs w:val="16"/>
                <w:lang w:eastAsia="cs-CZ"/>
              </w:rPr>
            </w:pPr>
          </w:p>
        </w:tc>
        <w:tc>
          <w:tcPr>
            <w:tcW w:w="2551" w:type="dxa"/>
            <w:tcBorders>
              <w:top w:val="single" w:sz="4" w:space="0" w:color="auto"/>
              <w:left w:val="single" w:sz="4" w:space="0" w:color="auto"/>
              <w:bottom w:val="single" w:sz="4" w:space="0" w:color="auto"/>
              <w:right w:val="single" w:sz="4" w:space="0" w:color="auto"/>
            </w:tcBorders>
          </w:tcPr>
          <w:p w14:paraId="50D83483" w14:textId="77777777" w:rsidR="00A2524F" w:rsidRPr="00A2524F" w:rsidRDefault="00A2524F" w:rsidP="00EA3840">
            <w:pPr>
              <w:rPr>
                <w:rFonts w:ascii="Calibri" w:hAnsi="Calibri" w:cs="Calibri"/>
                <w:sz w:val="16"/>
                <w:szCs w:val="16"/>
                <w:lang w:eastAsia="cs-CZ"/>
              </w:rPr>
            </w:pPr>
            <w:r w:rsidRPr="00A2524F">
              <w:rPr>
                <w:rFonts w:ascii="Calibri" w:hAnsi="Calibri" w:cs="Calibri"/>
                <w:color w:val="000000"/>
                <w:sz w:val="16"/>
                <w:szCs w:val="16"/>
                <w:lang w:eastAsia="cs-CZ"/>
              </w:rPr>
              <w:t>GIBS nemohla zaplnit systemizovaná místa, na základě porovnání s dalšími elitními útvary (potenciálními zdroji příslušníků) zjistila, že má nižší průměrné platy, navýšení mělo vést k vyšší konkurenceschopnosti.</w:t>
            </w:r>
          </w:p>
        </w:tc>
        <w:tc>
          <w:tcPr>
            <w:tcW w:w="2552" w:type="dxa"/>
            <w:tcBorders>
              <w:top w:val="single" w:sz="4" w:space="0" w:color="auto"/>
              <w:left w:val="single" w:sz="4" w:space="0" w:color="auto"/>
              <w:bottom w:val="single" w:sz="4" w:space="0" w:color="auto"/>
              <w:right w:val="single" w:sz="4" w:space="0" w:color="auto"/>
            </w:tcBorders>
            <w:hideMark/>
          </w:tcPr>
          <w:p w14:paraId="116353D1" w14:textId="0F4EB558" w:rsidR="00A2524F" w:rsidRPr="00A2524F" w:rsidRDefault="00A2524F" w:rsidP="00EA3840">
            <w:pPr>
              <w:rPr>
                <w:rFonts w:ascii="Calibri" w:hAnsi="Calibri" w:cs="Calibri"/>
                <w:sz w:val="16"/>
                <w:szCs w:val="16"/>
                <w:lang w:eastAsia="cs-CZ"/>
              </w:rPr>
            </w:pPr>
            <w:r w:rsidRPr="00A2524F">
              <w:rPr>
                <w:rFonts w:ascii="Calibri" w:hAnsi="Calibri" w:cs="Calibri"/>
                <w:sz w:val="16"/>
                <w:szCs w:val="16"/>
                <w:lang w:eastAsia="cs-CZ"/>
              </w:rPr>
              <w:t xml:space="preserve">RO </w:t>
            </w:r>
            <w:r w:rsidR="000A2052">
              <w:rPr>
                <w:rFonts w:ascii="Calibri" w:hAnsi="Calibri" w:cs="Calibri"/>
                <w:sz w:val="16"/>
                <w:szCs w:val="16"/>
                <w:lang w:eastAsia="cs-CZ"/>
              </w:rPr>
              <w:t>č. </w:t>
            </w:r>
            <w:r w:rsidRPr="00A2524F">
              <w:rPr>
                <w:rFonts w:ascii="Calibri" w:hAnsi="Calibri" w:cs="Calibri"/>
                <w:sz w:val="16"/>
                <w:szCs w:val="16"/>
                <w:lang w:eastAsia="cs-CZ"/>
              </w:rPr>
              <w:t xml:space="preserve">1/2017 </w:t>
            </w:r>
            <w:r w:rsidR="000A2052">
              <w:rPr>
                <w:rFonts w:ascii="Calibri" w:hAnsi="Calibri" w:cs="Calibri"/>
                <w:sz w:val="16"/>
                <w:szCs w:val="16"/>
                <w:lang w:eastAsia="cs-CZ"/>
              </w:rPr>
              <w:t>–</w:t>
            </w:r>
            <w:r w:rsidRPr="00A2524F">
              <w:rPr>
                <w:rFonts w:ascii="Calibri" w:hAnsi="Calibri" w:cs="Calibri"/>
                <w:sz w:val="16"/>
                <w:szCs w:val="16"/>
                <w:lang w:eastAsia="cs-CZ"/>
              </w:rPr>
              <w:t xml:space="preserve"> </w:t>
            </w:r>
            <w:r w:rsidRPr="00A2524F">
              <w:rPr>
                <w:rFonts w:ascii="Calibri" w:eastAsia="Courier New" w:hAnsi="Calibri" w:cs="Calibri"/>
                <w:sz w:val="16"/>
                <w:szCs w:val="16"/>
                <w:lang w:eastAsia="cs-CZ"/>
              </w:rPr>
              <w:t xml:space="preserve">do rozpočtu převedeno 69 648 214 Kč, z toho na </w:t>
            </w:r>
            <w:r w:rsidRPr="00A2524F">
              <w:rPr>
                <w:rFonts w:ascii="Calibri" w:hAnsi="Calibri" w:cs="Calibri"/>
                <w:color w:val="000000"/>
                <w:sz w:val="16"/>
                <w:szCs w:val="16"/>
                <w:lang w:eastAsia="cs-CZ"/>
              </w:rPr>
              <w:t>služeb</w:t>
            </w:r>
            <w:r w:rsidR="00EA3840">
              <w:rPr>
                <w:rFonts w:ascii="Calibri" w:hAnsi="Calibri" w:cs="Calibri"/>
                <w:color w:val="000000"/>
                <w:sz w:val="16"/>
                <w:szCs w:val="16"/>
                <w:lang w:eastAsia="cs-CZ"/>
              </w:rPr>
              <w:t>ní příjmy příslušníků (nových i </w:t>
            </w:r>
            <w:r w:rsidRPr="00A2524F">
              <w:rPr>
                <w:rFonts w:ascii="Calibri" w:hAnsi="Calibri" w:cs="Calibri"/>
                <w:color w:val="000000"/>
                <w:sz w:val="16"/>
                <w:szCs w:val="16"/>
                <w:lang w:eastAsia="cs-CZ"/>
              </w:rPr>
              <w:t xml:space="preserve">stávajících) </w:t>
            </w:r>
            <w:r w:rsidRPr="00A2524F">
              <w:rPr>
                <w:rFonts w:ascii="Calibri" w:eastAsia="Courier New" w:hAnsi="Calibri" w:cs="Calibri"/>
                <w:sz w:val="16"/>
                <w:szCs w:val="16"/>
                <w:lang w:eastAsia="cs-CZ"/>
              </w:rPr>
              <w:t>35 631 337 Kč</w:t>
            </w:r>
            <w:r w:rsidR="000A2052">
              <w:rPr>
                <w:rFonts w:ascii="Calibri" w:eastAsia="Courier New" w:hAnsi="Calibri" w:cs="Calibri"/>
                <w:sz w:val="16"/>
                <w:szCs w:val="16"/>
                <w:lang w:eastAsia="cs-CZ"/>
              </w:rPr>
              <w:t>.</w:t>
            </w:r>
          </w:p>
          <w:p w14:paraId="2A9344AE" w14:textId="598FB753" w:rsidR="00A2524F" w:rsidRPr="00A2524F" w:rsidRDefault="000A2052" w:rsidP="00EA3840">
            <w:pPr>
              <w:rPr>
                <w:rFonts w:ascii="Calibri" w:hAnsi="Calibri" w:cs="Calibri"/>
                <w:sz w:val="16"/>
                <w:szCs w:val="16"/>
                <w:lang w:eastAsia="cs-CZ"/>
              </w:rPr>
            </w:pPr>
            <w:r>
              <w:rPr>
                <w:rFonts w:ascii="Calibri" w:hAnsi="Calibri" w:cs="Calibri"/>
                <w:sz w:val="16"/>
                <w:szCs w:val="16"/>
                <w:lang w:eastAsia="cs-CZ"/>
              </w:rPr>
              <w:t>R</w:t>
            </w:r>
            <w:r w:rsidR="00A2524F" w:rsidRPr="00A2524F">
              <w:rPr>
                <w:rFonts w:ascii="Calibri" w:hAnsi="Calibri" w:cs="Calibri"/>
                <w:sz w:val="16"/>
                <w:szCs w:val="16"/>
                <w:lang w:eastAsia="cs-CZ"/>
              </w:rPr>
              <w:t>ozpočtové dopady v dalších letech</w:t>
            </w:r>
            <w:r>
              <w:rPr>
                <w:rFonts w:ascii="Calibri" w:hAnsi="Calibri" w:cs="Calibri"/>
                <w:sz w:val="16"/>
                <w:szCs w:val="16"/>
                <w:lang w:eastAsia="cs-CZ"/>
              </w:rPr>
              <w:t>:</w:t>
            </w:r>
            <w:r w:rsidR="00A2524F" w:rsidRPr="00A2524F">
              <w:rPr>
                <w:rFonts w:ascii="Calibri" w:hAnsi="Calibri" w:cs="Calibri"/>
                <w:sz w:val="16"/>
                <w:szCs w:val="16"/>
                <w:highlight w:val="yellow"/>
                <w:lang w:eastAsia="cs-CZ"/>
              </w:rPr>
              <w:t xml:space="preserve"> </w:t>
            </w:r>
            <w:r w:rsidR="00A2524F" w:rsidRPr="00A2524F">
              <w:rPr>
                <w:rFonts w:ascii="Calibri" w:hAnsi="Calibri" w:cs="Calibri"/>
                <w:sz w:val="16"/>
                <w:szCs w:val="16"/>
                <w:lang w:eastAsia="cs-CZ"/>
              </w:rPr>
              <w:t>18 206 424 Kč.</w:t>
            </w:r>
          </w:p>
        </w:tc>
        <w:tc>
          <w:tcPr>
            <w:tcW w:w="992" w:type="dxa"/>
            <w:tcBorders>
              <w:top w:val="single" w:sz="4" w:space="0" w:color="auto"/>
              <w:left w:val="single" w:sz="4" w:space="0" w:color="auto"/>
              <w:bottom w:val="single" w:sz="4" w:space="0" w:color="auto"/>
              <w:right w:val="single" w:sz="4" w:space="0" w:color="auto"/>
            </w:tcBorders>
            <w:hideMark/>
          </w:tcPr>
          <w:p w14:paraId="6EBE9330" w14:textId="2DB70700" w:rsidR="00A2524F" w:rsidRPr="00A2524F" w:rsidRDefault="00A2524F" w:rsidP="00EA3840">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Navýšení o</w:t>
            </w:r>
            <w:r w:rsidR="00EA3840">
              <w:rPr>
                <w:rFonts w:ascii="Calibri" w:hAnsi="Calibri" w:cs="Calibri"/>
                <w:color w:val="000000"/>
                <w:sz w:val="16"/>
                <w:szCs w:val="16"/>
                <w:lang w:eastAsia="cs-CZ"/>
              </w:rPr>
              <w:t> </w:t>
            </w:r>
            <w:r w:rsidRPr="00A2524F">
              <w:rPr>
                <w:rFonts w:ascii="Calibri" w:hAnsi="Calibri" w:cs="Calibri"/>
                <w:color w:val="000000"/>
                <w:sz w:val="16"/>
                <w:szCs w:val="16"/>
                <w:lang w:eastAsia="cs-CZ"/>
              </w:rPr>
              <w:t>5</w:t>
            </w:r>
            <w:r w:rsidR="00EA3840">
              <w:rPr>
                <w:rFonts w:ascii="Calibri" w:hAnsi="Calibri" w:cs="Calibri"/>
                <w:color w:val="000000"/>
                <w:sz w:val="16"/>
                <w:szCs w:val="16"/>
                <w:lang w:eastAsia="cs-CZ"/>
              </w:rPr>
              <w:t> </w:t>
            </w:r>
            <w:r w:rsidRPr="00A2524F">
              <w:rPr>
                <w:rFonts w:ascii="Calibri" w:hAnsi="Calibri" w:cs="Calibri"/>
                <w:color w:val="000000"/>
                <w:sz w:val="16"/>
                <w:szCs w:val="16"/>
                <w:lang w:eastAsia="cs-CZ"/>
              </w:rPr>
              <w:t>438 Kč (10,86 %)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217952" w14:textId="77777777" w:rsidR="00A2524F" w:rsidRPr="00A2524F" w:rsidRDefault="00A2524F" w:rsidP="00EA3840">
            <w:pPr>
              <w:jc w:val="right"/>
              <w:rPr>
                <w:rFonts w:ascii="Calibri" w:hAnsi="Calibri" w:cs="Calibri"/>
                <w:color w:val="000000"/>
                <w:sz w:val="16"/>
                <w:szCs w:val="16"/>
                <w:lang w:eastAsia="cs-CZ"/>
              </w:rPr>
            </w:pPr>
            <w:r w:rsidRPr="00A2524F">
              <w:rPr>
                <w:rFonts w:ascii="Calibri" w:hAnsi="Calibri" w:cs="Calibri"/>
                <w:color w:val="000000"/>
                <w:sz w:val="16"/>
                <w:szCs w:val="16"/>
                <w:lang w:eastAsia="cs-CZ"/>
              </w:rPr>
              <w:t>55 502 Kč</w:t>
            </w:r>
          </w:p>
        </w:tc>
      </w:tr>
      <w:tr w:rsidR="00A2524F" w:rsidRPr="00A2524F" w14:paraId="6AAC43D4"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654C7336" w14:textId="67C6FC12" w:rsidR="00A2524F" w:rsidRPr="00A2524F" w:rsidRDefault="00A2524F" w:rsidP="00A2524F">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1. 7. 2017</w:t>
            </w:r>
          </w:p>
        </w:tc>
        <w:tc>
          <w:tcPr>
            <w:tcW w:w="1134" w:type="dxa"/>
            <w:tcBorders>
              <w:top w:val="single" w:sz="4" w:space="0" w:color="auto"/>
              <w:left w:val="single" w:sz="4" w:space="0" w:color="auto"/>
              <w:bottom w:val="single" w:sz="4" w:space="0" w:color="auto"/>
              <w:right w:val="single" w:sz="4" w:space="0" w:color="auto"/>
            </w:tcBorders>
            <w:hideMark/>
          </w:tcPr>
          <w:p w14:paraId="40ECCBF0" w14:textId="4A6651BC" w:rsidR="00A2524F" w:rsidRPr="00A2524F" w:rsidRDefault="00A2524F" w:rsidP="00EA3840">
            <w:pPr>
              <w:jc w:val="center"/>
              <w:rPr>
                <w:rFonts w:ascii="Calibri" w:hAnsi="Calibri" w:cs="Calibri"/>
                <w:sz w:val="16"/>
                <w:szCs w:val="16"/>
                <w:lang w:eastAsia="cs-CZ"/>
              </w:rPr>
            </w:pPr>
            <w:r w:rsidRPr="00A2524F">
              <w:rPr>
                <w:rFonts w:ascii="Calibri" w:hAnsi="Calibri" w:cs="Calibri"/>
                <w:sz w:val="16"/>
                <w:szCs w:val="16"/>
                <w:lang w:eastAsia="cs-CZ"/>
              </w:rPr>
              <w:t xml:space="preserve">UV ČR č. 228 ze </w:t>
            </w:r>
            <w:r w:rsidR="00EA3840">
              <w:rPr>
                <w:rFonts w:ascii="Calibri" w:hAnsi="Calibri" w:cs="Calibri"/>
                <w:sz w:val="16"/>
                <w:szCs w:val="16"/>
                <w:lang w:eastAsia="cs-CZ"/>
              </w:rPr>
              <w:t>dne 29. </w:t>
            </w:r>
            <w:r w:rsidRPr="00A2524F">
              <w:rPr>
                <w:rFonts w:ascii="Calibri" w:hAnsi="Calibri" w:cs="Calibri"/>
                <w:sz w:val="16"/>
                <w:szCs w:val="16"/>
                <w:lang w:eastAsia="cs-CZ"/>
              </w:rPr>
              <w:t>3.</w:t>
            </w:r>
            <w:r w:rsidR="00EA3840">
              <w:rPr>
                <w:rFonts w:ascii="Calibri" w:hAnsi="Calibri" w:cs="Calibri"/>
                <w:sz w:val="16"/>
                <w:szCs w:val="16"/>
                <w:lang w:eastAsia="cs-CZ"/>
              </w:rPr>
              <w:t> </w:t>
            </w:r>
            <w:r w:rsidRPr="00A2524F">
              <w:rPr>
                <w:rFonts w:ascii="Calibri" w:hAnsi="Calibri" w:cs="Calibri"/>
                <w:sz w:val="16"/>
                <w:szCs w:val="16"/>
                <w:lang w:eastAsia="cs-CZ"/>
              </w:rPr>
              <w:t>2017</w:t>
            </w:r>
            <w:r w:rsidRPr="00A2524F">
              <w:rPr>
                <w:rFonts w:ascii="Calibri" w:hAnsi="Calibri" w:cs="Calibri"/>
                <w:sz w:val="16"/>
                <w:szCs w:val="16"/>
                <w:vertAlign w:val="superscript"/>
                <w:lang w:eastAsia="cs-CZ"/>
              </w:rPr>
              <w:footnoteReference w:id="19"/>
            </w:r>
          </w:p>
        </w:tc>
        <w:tc>
          <w:tcPr>
            <w:tcW w:w="2551" w:type="dxa"/>
            <w:tcBorders>
              <w:top w:val="single" w:sz="4" w:space="0" w:color="auto"/>
              <w:left w:val="single" w:sz="4" w:space="0" w:color="auto"/>
              <w:bottom w:val="single" w:sz="4" w:space="0" w:color="auto"/>
              <w:right w:val="single" w:sz="4" w:space="0" w:color="auto"/>
            </w:tcBorders>
          </w:tcPr>
          <w:p w14:paraId="5758908D" w14:textId="44393501" w:rsidR="00A2524F" w:rsidRPr="00A2524F" w:rsidRDefault="00A2524F" w:rsidP="00EA3840">
            <w:pPr>
              <w:rPr>
                <w:rFonts w:ascii="Calibri" w:hAnsi="Calibri" w:cs="Calibri"/>
                <w:color w:val="000000"/>
                <w:sz w:val="16"/>
                <w:szCs w:val="16"/>
                <w:lang w:eastAsia="cs-CZ"/>
              </w:rPr>
            </w:pPr>
            <w:r w:rsidRPr="00A2524F">
              <w:rPr>
                <w:rFonts w:ascii="Calibri" w:hAnsi="Calibri" w:cs="Calibri"/>
                <w:color w:val="000000"/>
                <w:sz w:val="16"/>
                <w:szCs w:val="16"/>
                <w:lang w:eastAsia="cs-CZ"/>
              </w:rPr>
              <w:t>Plošné navýšení stupnice základních tarifů pro všechny příslušníky od 1.</w:t>
            </w:r>
            <w:r w:rsidR="00EA3840">
              <w:rPr>
                <w:rFonts w:ascii="Calibri" w:hAnsi="Calibri" w:cs="Calibri"/>
                <w:color w:val="000000"/>
                <w:sz w:val="16"/>
                <w:szCs w:val="16"/>
                <w:lang w:eastAsia="cs-CZ"/>
              </w:rPr>
              <w:t> </w:t>
            </w:r>
            <w:r w:rsidRPr="00A2524F">
              <w:rPr>
                <w:rFonts w:ascii="Calibri" w:hAnsi="Calibri" w:cs="Calibri"/>
                <w:color w:val="000000"/>
                <w:sz w:val="16"/>
                <w:szCs w:val="16"/>
                <w:lang w:eastAsia="cs-CZ"/>
              </w:rPr>
              <w:t>7.</w:t>
            </w:r>
            <w:r w:rsidR="00EA3840">
              <w:rPr>
                <w:rFonts w:ascii="Calibri" w:hAnsi="Calibri" w:cs="Calibri"/>
                <w:color w:val="000000"/>
                <w:sz w:val="16"/>
                <w:szCs w:val="16"/>
                <w:lang w:eastAsia="cs-CZ"/>
              </w:rPr>
              <w:t> </w:t>
            </w:r>
            <w:r w:rsidRPr="00A2524F">
              <w:rPr>
                <w:rFonts w:ascii="Calibri" w:hAnsi="Calibri" w:cs="Calibri"/>
                <w:color w:val="000000"/>
                <w:sz w:val="16"/>
                <w:szCs w:val="16"/>
                <w:lang w:eastAsia="cs-CZ"/>
              </w:rPr>
              <w:t>2017 o 10 %.</w:t>
            </w:r>
          </w:p>
        </w:tc>
        <w:tc>
          <w:tcPr>
            <w:tcW w:w="2552" w:type="dxa"/>
            <w:tcBorders>
              <w:top w:val="single" w:sz="4" w:space="0" w:color="auto"/>
              <w:left w:val="single" w:sz="4" w:space="0" w:color="auto"/>
              <w:bottom w:val="single" w:sz="4" w:space="0" w:color="auto"/>
              <w:right w:val="single" w:sz="4" w:space="0" w:color="auto"/>
            </w:tcBorders>
            <w:hideMark/>
          </w:tcPr>
          <w:p w14:paraId="7BAE4D4E" w14:textId="28A287EF" w:rsidR="00A2524F" w:rsidRPr="00A2524F" w:rsidRDefault="00A2524F" w:rsidP="00EA3840">
            <w:pPr>
              <w:rPr>
                <w:rFonts w:ascii="Calibri" w:hAnsi="Calibri" w:cs="Calibri"/>
                <w:sz w:val="16"/>
                <w:szCs w:val="16"/>
                <w:lang w:eastAsia="cs-CZ"/>
              </w:rPr>
            </w:pPr>
            <w:r w:rsidRPr="00A2524F">
              <w:rPr>
                <w:rFonts w:ascii="Calibri" w:hAnsi="Calibri" w:cs="Calibri"/>
                <w:color w:val="000000"/>
                <w:sz w:val="16"/>
                <w:szCs w:val="16"/>
                <w:lang w:eastAsia="cs-CZ"/>
              </w:rPr>
              <w:t>Rozpočet nebyl navýšen, navýšení bylo realizováno již na základě UV č.</w:t>
            </w:r>
            <w:r w:rsidR="00EA3840">
              <w:rPr>
                <w:rFonts w:ascii="Calibri" w:hAnsi="Calibri" w:cs="Calibri"/>
                <w:color w:val="000000"/>
                <w:sz w:val="16"/>
                <w:szCs w:val="16"/>
                <w:lang w:eastAsia="cs-CZ"/>
              </w:rPr>
              <w:t> </w:t>
            </w:r>
            <w:r w:rsidRPr="00A2524F">
              <w:rPr>
                <w:rFonts w:ascii="Calibri" w:hAnsi="Calibri" w:cs="Calibri"/>
                <w:color w:val="000000"/>
                <w:sz w:val="16"/>
                <w:szCs w:val="16"/>
                <w:lang w:eastAsia="cs-CZ"/>
              </w:rPr>
              <w:t>148/2017</w:t>
            </w:r>
            <w:r w:rsidR="000A2052">
              <w:rPr>
                <w:rFonts w:ascii="Calibri" w:hAnsi="Calibri" w:cs="Calibri"/>
                <w:color w:val="000000"/>
                <w:sz w:val="16"/>
                <w:szCs w:val="16"/>
                <w:lang w:eastAsia="cs-CZ"/>
              </w:rPr>
              <w:t>.</w:t>
            </w:r>
          </w:p>
          <w:p w14:paraId="68D8B29A" w14:textId="7978DA7E" w:rsidR="00A2524F" w:rsidRPr="00A2524F" w:rsidRDefault="000A2052" w:rsidP="00EA3840">
            <w:pPr>
              <w:rPr>
                <w:rFonts w:ascii="Calibri" w:hAnsi="Calibri" w:cs="Calibri"/>
                <w:color w:val="000000"/>
                <w:sz w:val="16"/>
                <w:szCs w:val="16"/>
                <w:lang w:eastAsia="cs-CZ"/>
              </w:rPr>
            </w:pPr>
            <w:r>
              <w:rPr>
                <w:rFonts w:ascii="Calibri" w:hAnsi="Calibri" w:cs="Calibri"/>
                <w:sz w:val="16"/>
                <w:szCs w:val="16"/>
                <w:lang w:eastAsia="cs-CZ"/>
              </w:rPr>
              <w:t>R</w:t>
            </w:r>
            <w:r w:rsidR="00A2524F" w:rsidRPr="00A2524F">
              <w:rPr>
                <w:rFonts w:ascii="Calibri" w:hAnsi="Calibri" w:cs="Calibri"/>
                <w:sz w:val="16"/>
                <w:szCs w:val="16"/>
                <w:lang w:eastAsia="cs-CZ"/>
              </w:rPr>
              <w:t>ozpočtové dopady v dalších letech</w:t>
            </w:r>
            <w:r>
              <w:rPr>
                <w:rFonts w:ascii="Calibri" w:hAnsi="Calibri" w:cs="Calibri"/>
                <w:sz w:val="16"/>
                <w:szCs w:val="16"/>
                <w:lang w:eastAsia="cs-CZ"/>
              </w:rPr>
              <w:t>:</w:t>
            </w:r>
            <w:r w:rsidR="00A2524F" w:rsidRPr="00A2524F">
              <w:rPr>
                <w:rFonts w:ascii="Calibri" w:hAnsi="Calibri" w:cs="Calibri"/>
                <w:sz w:val="16"/>
                <w:szCs w:val="16"/>
                <w:lang w:eastAsia="cs-CZ"/>
              </w:rPr>
              <w:t xml:space="preserve"> 4 998 564 Kč.</w:t>
            </w:r>
          </w:p>
        </w:tc>
        <w:tc>
          <w:tcPr>
            <w:tcW w:w="992" w:type="dxa"/>
            <w:tcBorders>
              <w:top w:val="single" w:sz="4" w:space="0" w:color="auto"/>
              <w:left w:val="single" w:sz="4" w:space="0" w:color="auto"/>
              <w:bottom w:val="single" w:sz="4" w:space="0" w:color="auto"/>
              <w:right w:val="single" w:sz="4" w:space="0" w:color="auto"/>
            </w:tcBorders>
            <w:hideMark/>
          </w:tcPr>
          <w:p w14:paraId="5C48B528" w14:textId="2C6310D5" w:rsidR="00A2524F" w:rsidRPr="00A2524F" w:rsidRDefault="000A2052" w:rsidP="00EA3840">
            <w:pPr>
              <w:jc w:val="center"/>
              <w:rPr>
                <w:rFonts w:ascii="Calibri" w:hAnsi="Calibri" w:cs="Calibri"/>
                <w:color w:val="000000"/>
                <w:sz w:val="16"/>
                <w:szCs w:val="16"/>
                <w:lang w:eastAsia="cs-CZ"/>
              </w:rPr>
            </w:pPr>
            <w:r>
              <w:rPr>
                <w:rFonts w:ascii="Calibri" w:hAnsi="Calibri" w:cs="Calibri"/>
                <w:color w:val="000000"/>
                <w:sz w:val="16"/>
                <w:szCs w:val="16"/>
                <w:lang w:eastAsia="cs-CZ"/>
              </w:rPr>
              <w:t>N</w:t>
            </w:r>
            <w:r w:rsidR="00A2524F" w:rsidRPr="00A2524F">
              <w:rPr>
                <w:rFonts w:ascii="Calibri" w:hAnsi="Calibri" w:cs="Calibri"/>
                <w:color w:val="000000"/>
                <w:sz w:val="16"/>
                <w:szCs w:val="16"/>
                <w:lang w:eastAsia="cs-CZ"/>
              </w:rPr>
              <w:t>avýšení o</w:t>
            </w:r>
            <w:r w:rsidR="00EA3840">
              <w:rPr>
                <w:rFonts w:ascii="Calibri" w:hAnsi="Calibri" w:cs="Calibri"/>
                <w:color w:val="000000"/>
                <w:sz w:val="16"/>
                <w:szCs w:val="16"/>
                <w:lang w:eastAsia="cs-CZ"/>
              </w:rPr>
              <w:t> </w:t>
            </w:r>
            <w:r w:rsidR="00A2524F" w:rsidRPr="00A2524F">
              <w:rPr>
                <w:rFonts w:ascii="Calibri" w:hAnsi="Calibri" w:cs="Calibri"/>
                <w:color w:val="000000"/>
                <w:sz w:val="16"/>
                <w:szCs w:val="16"/>
                <w:lang w:eastAsia="cs-CZ"/>
              </w:rPr>
              <w:t>1</w:t>
            </w:r>
            <w:r w:rsidR="00EA3840">
              <w:rPr>
                <w:rFonts w:ascii="Calibri" w:hAnsi="Calibri" w:cs="Calibri"/>
                <w:color w:val="000000"/>
                <w:sz w:val="16"/>
                <w:szCs w:val="16"/>
                <w:lang w:eastAsia="cs-CZ"/>
              </w:rPr>
              <w:t> </w:t>
            </w:r>
            <w:r w:rsidR="00A2524F" w:rsidRPr="00A2524F">
              <w:rPr>
                <w:rFonts w:ascii="Calibri" w:hAnsi="Calibri" w:cs="Calibri"/>
                <w:color w:val="000000"/>
                <w:sz w:val="16"/>
                <w:szCs w:val="16"/>
                <w:lang w:eastAsia="cs-CZ"/>
              </w:rPr>
              <w:t>493 Kč (2,98 %)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5A98FE" w14:textId="77777777" w:rsidR="00A2524F" w:rsidRPr="00A2524F" w:rsidRDefault="00A2524F" w:rsidP="00EA3840">
            <w:pPr>
              <w:jc w:val="right"/>
              <w:rPr>
                <w:rFonts w:ascii="Calibri" w:hAnsi="Calibri" w:cs="Calibri"/>
                <w:color w:val="000000"/>
                <w:sz w:val="16"/>
                <w:szCs w:val="16"/>
                <w:lang w:eastAsia="cs-CZ"/>
              </w:rPr>
            </w:pPr>
            <w:r w:rsidRPr="00A2524F">
              <w:rPr>
                <w:rFonts w:ascii="Calibri" w:hAnsi="Calibri" w:cs="Calibri"/>
                <w:color w:val="000000"/>
                <w:sz w:val="16"/>
                <w:szCs w:val="16"/>
                <w:lang w:eastAsia="cs-CZ"/>
              </w:rPr>
              <w:t>56 995 Kč</w:t>
            </w:r>
          </w:p>
        </w:tc>
      </w:tr>
      <w:tr w:rsidR="00A2524F" w:rsidRPr="00A2524F" w14:paraId="426AD189"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DB30A15" w14:textId="77777777" w:rsidR="00A2524F" w:rsidRPr="00A2524F" w:rsidRDefault="00A2524F" w:rsidP="00A2524F">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1. 11. 2017</w:t>
            </w:r>
          </w:p>
          <w:p w14:paraId="0896C151" w14:textId="77777777" w:rsidR="00A2524F" w:rsidRPr="00A2524F" w:rsidRDefault="00A2524F" w:rsidP="00A2524F">
            <w:pPr>
              <w:jc w:val="center"/>
              <w:rPr>
                <w:rFonts w:ascii="Calibri" w:hAnsi="Calibri" w:cs="Calibri"/>
                <w:color w:val="000000"/>
                <w:sz w:val="16"/>
                <w:szCs w:val="16"/>
                <w:lang w:eastAsia="cs-CZ"/>
              </w:rPr>
            </w:pPr>
          </w:p>
          <w:p w14:paraId="1A82F34E" w14:textId="77777777" w:rsidR="00A2524F" w:rsidRPr="00A2524F" w:rsidRDefault="00A2524F" w:rsidP="00A2524F">
            <w:pPr>
              <w:jc w:val="center"/>
              <w:rPr>
                <w:rFonts w:ascii="Calibri" w:hAnsi="Calibri" w:cs="Calibri"/>
                <w:color w:val="000000"/>
                <w:sz w:val="16"/>
                <w:szCs w:val="16"/>
                <w:lang w:eastAsia="cs-CZ"/>
              </w:rPr>
            </w:pPr>
          </w:p>
          <w:p w14:paraId="2CBCB7A0" w14:textId="77777777" w:rsidR="00A2524F" w:rsidRPr="00A2524F" w:rsidRDefault="00A2524F" w:rsidP="00A2524F">
            <w:pPr>
              <w:jc w:val="center"/>
              <w:rPr>
                <w:rFonts w:ascii="Calibri" w:hAnsi="Calibri" w:cs="Calibri"/>
                <w:color w:val="000000"/>
                <w:sz w:val="16"/>
                <w:szCs w:val="16"/>
                <w:lang w:eastAsia="cs-CZ"/>
              </w:rPr>
            </w:pPr>
          </w:p>
        </w:tc>
        <w:tc>
          <w:tcPr>
            <w:tcW w:w="1134" w:type="dxa"/>
            <w:tcBorders>
              <w:top w:val="single" w:sz="4" w:space="0" w:color="auto"/>
              <w:left w:val="single" w:sz="4" w:space="0" w:color="auto"/>
              <w:bottom w:val="single" w:sz="4" w:space="0" w:color="auto"/>
              <w:right w:val="single" w:sz="4" w:space="0" w:color="auto"/>
            </w:tcBorders>
            <w:noWrap/>
            <w:hideMark/>
          </w:tcPr>
          <w:p w14:paraId="5EDD491E" w14:textId="77777777" w:rsidR="00A2524F" w:rsidRPr="00A2524F" w:rsidRDefault="00A2524F" w:rsidP="00EA3840">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UV č. 674 ze dne 25. září 2017</w:t>
            </w:r>
            <w:r w:rsidRPr="00A2524F">
              <w:rPr>
                <w:rFonts w:ascii="Calibri" w:hAnsi="Calibri" w:cs="Calibri"/>
                <w:color w:val="000000"/>
                <w:sz w:val="16"/>
                <w:szCs w:val="16"/>
                <w:vertAlign w:val="superscript"/>
                <w:lang w:eastAsia="cs-CZ"/>
              </w:rPr>
              <w:footnoteReference w:id="20"/>
            </w:r>
          </w:p>
        </w:tc>
        <w:tc>
          <w:tcPr>
            <w:tcW w:w="2551" w:type="dxa"/>
            <w:tcBorders>
              <w:top w:val="single" w:sz="4" w:space="0" w:color="auto"/>
              <w:left w:val="single" w:sz="4" w:space="0" w:color="auto"/>
              <w:bottom w:val="single" w:sz="4" w:space="0" w:color="auto"/>
              <w:right w:val="single" w:sz="4" w:space="0" w:color="auto"/>
            </w:tcBorders>
          </w:tcPr>
          <w:p w14:paraId="58B8A456" w14:textId="37576A7D" w:rsidR="00A2524F" w:rsidRPr="00A2524F" w:rsidRDefault="00A2524F" w:rsidP="006D6AB7">
            <w:pPr>
              <w:rPr>
                <w:rFonts w:ascii="Calibri" w:hAnsi="Calibri" w:cs="Calibri"/>
                <w:color w:val="000000"/>
                <w:sz w:val="16"/>
                <w:szCs w:val="16"/>
                <w:lang w:eastAsia="cs-CZ"/>
              </w:rPr>
            </w:pPr>
            <w:r w:rsidRPr="00A2524F">
              <w:rPr>
                <w:rFonts w:ascii="Calibri" w:hAnsi="Calibri" w:cs="Calibri"/>
                <w:color w:val="000000"/>
                <w:sz w:val="16"/>
                <w:szCs w:val="16"/>
                <w:lang w:eastAsia="cs-CZ"/>
              </w:rPr>
              <w:t>Plošné 10% zvýšení platů v OSS a PO vče</w:t>
            </w:r>
            <w:r w:rsidR="0070664A">
              <w:rPr>
                <w:rFonts w:ascii="Calibri" w:hAnsi="Calibri" w:cs="Calibri"/>
                <w:color w:val="000000"/>
                <w:sz w:val="16"/>
                <w:szCs w:val="16"/>
                <w:lang w:eastAsia="cs-CZ"/>
              </w:rPr>
              <w:t>tně příslušenství na listopad a </w:t>
            </w:r>
            <w:r w:rsidRPr="00A2524F">
              <w:rPr>
                <w:rFonts w:ascii="Calibri" w:hAnsi="Calibri" w:cs="Calibri"/>
                <w:color w:val="000000"/>
                <w:sz w:val="16"/>
                <w:szCs w:val="16"/>
                <w:lang w:eastAsia="cs-CZ"/>
              </w:rPr>
              <w:t>prosinec 2017.</w:t>
            </w:r>
          </w:p>
        </w:tc>
        <w:tc>
          <w:tcPr>
            <w:tcW w:w="2552" w:type="dxa"/>
            <w:tcBorders>
              <w:top w:val="single" w:sz="4" w:space="0" w:color="auto"/>
              <w:left w:val="single" w:sz="4" w:space="0" w:color="auto"/>
              <w:bottom w:val="single" w:sz="4" w:space="0" w:color="auto"/>
              <w:right w:val="single" w:sz="4" w:space="0" w:color="auto"/>
            </w:tcBorders>
            <w:hideMark/>
          </w:tcPr>
          <w:p w14:paraId="3E854E9C" w14:textId="2E8730DC" w:rsidR="00A2524F" w:rsidRPr="00A2524F" w:rsidRDefault="00EA3840" w:rsidP="000A2052">
            <w:pPr>
              <w:rPr>
                <w:rFonts w:ascii="Calibri" w:hAnsi="Calibri" w:cs="Calibri"/>
                <w:color w:val="000000"/>
                <w:sz w:val="16"/>
                <w:szCs w:val="16"/>
                <w:lang w:eastAsia="cs-CZ"/>
              </w:rPr>
            </w:pPr>
            <w:r>
              <w:rPr>
                <w:rFonts w:ascii="Calibri" w:hAnsi="Calibri" w:cs="Calibri"/>
                <w:color w:val="000000"/>
                <w:sz w:val="16"/>
                <w:szCs w:val="16"/>
                <w:lang w:eastAsia="cs-CZ"/>
              </w:rPr>
              <w:t xml:space="preserve">RO </w:t>
            </w:r>
            <w:r w:rsidR="000A2052">
              <w:rPr>
                <w:rFonts w:ascii="Calibri" w:hAnsi="Calibri" w:cs="Calibri"/>
                <w:color w:val="000000"/>
                <w:sz w:val="16"/>
                <w:szCs w:val="16"/>
                <w:lang w:eastAsia="cs-CZ"/>
              </w:rPr>
              <w:t>č. </w:t>
            </w:r>
            <w:r>
              <w:rPr>
                <w:rFonts w:ascii="Calibri" w:hAnsi="Calibri" w:cs="Calibri"/>
                <w:color w:val="000000"/>
                <w:sz w:val="16"/>
                <w:szCs w:val="16"/>
                <w:lang w:eastAsia="cs-CZ"/>
              </w:rPr>
              <w:t>3/2017 – rozpočet navýšen o </w:t>
            </w:r>
            <w:r w:rsidR="00A2524F" w:rsidRPr="00A2524F">
              <w:rPr>
                <w:rFonts w:ascii="Calibri" w:hAnsi="Calibri" w:cs="Calibri"/>
                <w:color w:val="000000"/>
                <w:sz w:val="16"/>
                <w:szCs w:val="16"/>
                <w:lang w:eastAsia="cs-CZ"/>
              </w:rPr>
              <w:t>3 477 619 Kč, z toho 2 263 521 Kč na služební příjmy příslušníků</w:t>
            </w:r>
            <w:r w:rsidR="000A2052">
              <w:rPr>
                <w:rFonts w:ascii="Calibri" w:hAnsi="Calibri" w:cs="Calibri"/>
                <w:color w:val="000000"/>
                <w:sz w:val="16"/>
                <w:szCs w:val="16"/>
                <w:lang w:eastAsia="cs-CZ"/>
              </w:rPr>
              <w:t>.</w:t>
            </w:r>
            <w:r w:rsidR="00A2524F" w:rsidRPr="00A2524F">
              <w:rPr>
                <w:rFonts w:ascii="Calibri" w:hAnsi="Calibri" w:cs="Calibri"/>
                <w:color w:val="000000"/>
                <w:sz w:val="16"/>
                <w:szCs w:val="16"/>
                <w:lang w:eastAsia="cs-CZ"/>
              </w:rPr>
              <w:t xml:space="preserve"> </w:t>
            </w:r>
            <w:r w:rsidR="000A2052">
              <w:rPr>
                <w:rFonts w:ascii="Calibri" w:hAnsi="Calibri" w:cs="Calibri"/>
                <w:sz w:val="16"/>
                <w:szCs w:val="16"/>
                <w:lang w:eastAsia="cs-CZ"/>
              </w:rPr>
              <w:t>R</w:t>
            </w:r>
            <w:r w:rsidR="00A2524F" w:rsidRPr="00A2524F">
              <w:rPr>
                <w:rFonts w:ascii="Calibri" w:hAnsi="Calibri" w:cs="Calibri"/>
                <w:sz w:val="16"/>
                <w:szCs w:val="16"/>
                <w:lang w:eastAsia="cs-CZ"/>
              </w:rPr>
              <w:t>ozpočtové dopady v dalších letech</w:t>
            </w:r>
            <w:r w:rsidR="000A2052">
              <w:rPr>
                <w:rFonts w:ascii="Calibri" w:hAnsi="Calibri" w:cs="Calibri"/>
                <w:sz w:val="16"/>
                <w:szCs w:val="16"/>
                <w:lang w:eastAsia="cs-CZ"/>
              </w:rPr>
              <w:t>:</w:t>
            </w:r>
            <w:r w:rsidR="00A2524F" w:rsidRPr="00A2524F">
              <w:rPr>
                <w:rFonts w:ascii="Calibri" w:hAnsi="Calibri" w:cs="Calibri"/>
                <w:sz w:val="16"/>
                <w:szCs w:val="16"/>
                <w:lang w:eastAsia="cs-CZ"/>
              </w:rPr>
              <w:t xml:space="preserve"> 17 175 240 Kč.</w:t>
            </w:r>
          </w:p>
        </w:tc>
        <w:tc>
          <w:tcPr>
            <w:tcW w:w="992" w:type="dxa"/>
            <w:tcBorders>
              <w:top w:val="single" w:sz="4" w:space="0" w:color="auto"/>
              <w:left w:val="single" w:sz="4" w:space="0" w:color="auto"/>
              <w:bottom w:val="single" w:sz="4" w:space="0" w:color="auto"/>
              <w:right w:val="single" w:sz="4" w:space="0" w:color="auto"/>
            </w:tcBorders>
          </w:tcPr>
          <w:p w14:paraId="1B258892" w14:textId="3625A705" w:rsidR="00A2524F" w:rsidRPr="00A2524F" w:rsidRDefault="00A2524F" w:rsidP="00EA3840">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Navýšení o</w:t>
            </w:r>
            <w:r w:rsidR="00EA3840">
              <w:rPr>
                <w:rFonts w:ascii="Calibri" w:hAnsi="Calibri" w:cs="Calibri"/>
                <w:color w:val="000000"/>
                <w:sz w:val="16"/>
                <w:szCs w:val="16"/>
                <w:lang w:eastAsia="cs-CZ"/>
              </w:rPr>
              <w:t> </w:t>
            </w:r>
            <w:r w:rsidRPr="00A2524F">
              <w:rPr>
                <w:rFonts w:ascii="Calibri" w:hAnsi="Calibri" w:cs="Calibri"/>
                <w:color w:val="000000"/>
                <w:sz w:val="16"/>
                <w:szCs w:val="16"/>
                <w:lang w:eastAsia="cs-CZ"/>
              </w:rPr>
              <w:t>5</w:t>
            </w:r>
            <w:r w:rsidR="00EA3840">
              <w:rPr>
                <w:rFonts w:ascii="Calibri" w:hAnsi="Calibri" w:cs="Calibri"/>
                <w:color w:val="000000"/>
                <w:sz w:val="16"/>
                <w:szCs w:val="16"/>
                <w:lang w:eastAsia="cs-CZ"/>
              </w:rPr>
              <w:t> </w:t>
            </w:r>
            <w:r w:rsidRPr="00A2524F">
              <w:rPr>
                <w:rFonts w:ascii="Calibri" w:hAnsi="Calibri" w:cs="Calibri"/>
                <w:color w:val="000000"/>
                <w:sz w:val="16"/>
                <w:szCs w:val="16"/>
                <w:lang w:eastAsia="cs-CZ"/>
              </w:rPr>
              <w:t>130 Kč</w:t>
            </w:r>
          </w:p>
          <w:p w14:paraId="1998E252" w14:textId="0B7D2AEC" w:rsidR="00A2524F" w:rsidRPr="00A2524F" w:rsidRDefault="00A2524F" w:rsidP="006D6AB7">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(9 %)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2F30AB" w14:textId="77777777" w:rsidR="00A2524F" w:rsidRPr="00A2524F" w:rsidRDefault="00A2524F" w:rsidP="00EA3840">
            <w:pPr>
              <w:jc w:val="right"/>
              <w:rPr>
                <w:rFonts w:ascii="Calibri" w:hAnsi="Calibri" w:cs="Calibri"/>
                <w:color w:val="000000"/>
                <w:sz w:val="16"/>
                <w:szCs w:val="16"/>
                <w:lang w:eastAsia="cs-CZ"/>
              </w:rPr>
            </w:pPr>
            <w:r w:rsidRPr="00A2524F">
              <w:rPr>
                <w:rFonts w:ascii="Calibri" w:hAnsi="Calibri" w:cs="Calibri"/>
                <w:color w:val="000000"/>
                <w:sz w:val="16"/>
                <w:szCs w:val="16"/>
                <w:lang w:eastAsia="cs-CZ"/>
              </w:rPr>
              <w:t>62 125 Kč</w:t>
            </w:r>
          </w:p>
        </w:tc>
      </w:tr>
      <w:tr w:rsidR="00A2524F" w:rsidRPr="00A2524F" w14:paraId="539FDB4D"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53E34" w14:textId="77777777" w:rsidR="00A2524F" w:rsidRPr="00A2524F" w:rsidRDefault="00A2524F" w:rsidP="00A2524F">
            <w:pPr>
              <w:jc w:val="center"/>
              <w:rPr>
                <w:rFonts w:ascii="Calibri" w:hAnsi="Calibri" w:cs="Calibri"/>
                <w:b/>
                <w:color w:val="000000"/>
                <w:sz w:val="16"/>
                <w:szCs w:val="16"/>
                <w:lang w:eastAsia="cs-CZ"/>
              </w:rPr>
            </w:pPr>
            <w:r w:rsidRPr="00A2524F">
              <w:rPr>
                <w:rFonts w:ascii="Calibri" w:hAnsi="Calibri" w:cs="Calibri"/>
                <w:b/>
                <w:color w:val="000000"/>
                <w:sz w:val="16"/>
                <w:szCs w:val="16"/>
                <w:lang w:eastAsia="cs-CZ"/>
              </w:rPr>
              <w:t>2018</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96004AA" w14:textId="6936BF8F" w:rsidR="00A2524F" w:rsidRPr="00A2524F" w:rsidRDefault="00A2524F" w:rsidP="00061E04">
            <w:pPr>
              <w:rPr>
                <w:rFonts w:ascii="Calibri" w:hAnsi="Calibri" w:cs="Calibri"/>
                <w:b/>
                <w:color w:val="000000"/>
                <w:sz w:val="16"/>
                <w:szCs w:val="16"/>
                <w:lang w:eastAsia="cs-CZ"/>
              </w:rPr>
            </w:pPr>
            <w:r w:rsidRPr="00A2524F">
              <w:rPr>
                <w:rFonts w:ascii="Calibri" w:hAnsi="Calibri" w:cs="Calibri"/>
                <w:b/>
                <w:color w:val="000000"/>
                <w:sz w:val="16"/>
                <w:szCs w:val="16"/>
                <w:lang w:eastAsia="cs-CZ"/>
              </w:rPr>
              <w:t>Průměrný plánovaný plat příslušníků na rok 2018: 62 126 Kč</w:t>
            </w:r>
          </w:p>
        </w:tc>
      </w:tr>
      <w:tr w:rsidR="00A2524F" w:rsidRPr="00A2524F" w14:paraId="5EBD0EEA"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AD083E" w14:textId="77777777" w:rsidR="00A2524F" w:rsidRPr="00A2524F" w:rsidRDefault="00A2524F" w:rsidP="00A2524F">
            <w:pPr>
              <w:jc w:val="center"/>
              <w:rPr>
                <w:rFonts w:ascii="Calibri" w:hAnsi="Calibri" w:cs="Calibri"/>
                <w:b/>
                <w:color w:val="000000"/>
                <w:sz w:val="16"/>
                <w:szCs w:val="16"/>
                <w:lang w:eastAsia="cs-CZ"/>
              </w:rPr>
            </w:pPr>
            <w:r w:rsidRPr="00A2524F">
              <w:rPr>
                <w:rFonts w:ascii="Calibri" w:hAnsi="Calibri" w:cs="Calibri"/>
                <w:b/>
                <w:color w:val="000000"/>
                <w:sz w:val="16"/>
                <w:szCs w:val="16"/>
                <w:lang w:eastAsia="cs-CZ"/>
              </w:rPr>
              <w:t>2019</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7220240" w14:textId="6C2B5BA4" w:rsidR="00A2524F" w:rsidRPr="00A2524F" w:rsidRDefault="00A2524F" w:rsidP="00061E04">
            <w:pPr>
              <w:rPr>
                <w:rFonts w:ascii="Calibri" w:hAnsi="Calibri" w:cs="Calibri"/>
                <w:b/>
                <w:color w:val="000000"/>
                <w:sz w:val="16"/>
                <w:szCs w:val="16"/>
                <w:lang w:eastAsia="cs-CZ"/>
              </w:rPr>
            </w:pPr>
            <w:r w:rsidRPr="00A2524F">
              <w:rPr>
                <w:rFonts w:ascii="Calibri" w:hAnsi="Calibri" w:cs="Calibri"/>
                <w:b/>
                <w:color w:val="000000"/>
                <w:sz w:val="16"/>
                <w:szCs w:val="16"/>
                <w:lang w:eastAsia="cs-CZ"/>
              </w:rPr>
              <w:t>Průměrný plánovaný plat příslušníků na rok 2019: 63 368 Kč</w:t>
            </w:r>
          </w:p>
        </w:tc>
      </w:tr>
      <w:tr w:rsidR="00A2524F" w:rsidRPr="00A2524F" w14:paraId="57A94AA3"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15F213A8" w14:textId="77777777" w:rsidR="00A2524F" w:rsidRPr="00A2524F" w:rsidRDefault="00A2524F" w:rsidP="00A2524F">
            <w:pPr>
              <w:jc w:val="center"/>
              <w:rPr>
                <w:rFonts w:ascii="Calibri" w:eastAsia="Calibri" w:hAnsi="Calibri" w:cs="Calibri"/>
                <w:color w:val="000000"/>
                <w:sz w:val="16"/>
                <w:szCs w:val="16"/>
                <w:lang w:eastAsia="cs-CZ"/>
              </w:rPr>
            </w:pPr>
            <w:r w:rsidRPr="00A2524F">
              <w:rPr>
                <w:rFonts w:ascii="Calibri" w:eastAsia="Calibri" w:hAnsi="Calibri" w:cs="Calibri"/>
                <w:color w:val="000000"/>
                <w:sz w:val="16"/>
                <w:szCs w:val="16"/>
                <w:lang w:eastAsia="cs-CZ"/>
              </w:rPr>
              <w:t>1. 1. 2019</w:t>
            </w:r>
          </w:p>
        </w:tc>
        <w:tc>
          <w:tcPr>
            <w:tcW w:w="1134" w:type="dxa"/>
            <w:tcBorders>
              <w:top w:val="single" w:sz="4" w:space="0" w:color="auto"/>
              <w:left w:val="single" w:sz="4" w:space="0" w:color="auto"/>
              <w:bottom w:val="single" w:sz="4" w:space="0" w:color="auto"/>
              <w:right w:val="single" w:sz="4" w:space="0" w:color="auto"/>
            </w:tcBorders>
            <w:hideMark/>
          </w:tcPr>
          <w:p w14:paraId="02E8D60C" w14:textId="2A8CB84B" w:rsidR="00A2524F" w:rsidRPr="00A2524F" w:rsidRDefault="00EA3840" w:rsidP="00061DC6">
            <w:pPr>
              <w:jc w:val="center"/>
              <w:rPr>
                <w:rFonts w:ascii="Calibri" w:hAnsi="Calibri" w:cs="Calibri"/>
                <w:i/>
                <w:color w:val="000000"/>
                <w:sz w:val="16"/>
                <w:szCs w:val="16"/>
                <w:lang w:eastAsia="cs-CZ"/>
              </w:rPr>
            </w:pPr>
            <w:r>
              <w:rPr>
                <w:rFonts w:ascii="Calibri" w:hAnsi="Calibri" w:cs="Calibri"/>
                <w:color w:val="000000"/>
                <w:sz w:val="16"/>
                <w:szCs w:val="16"/>
                <w:lang w:eastAsia="cs-CZ"/>
              </w:rPr>
              <w:t>NV č. </w:t>
            </w:r>
            <w:r w:rsidR="00A2524F" w:rsidRPr="00A2524F">
              <w:rPr>
                <w:rFonts w:ascii="Calibri" w:hAnsi="Calibri" w:cs="Calibri"/>
                <w:color w:val="000000"/>
                <w:sz w:val="16"/>
                <w:szCs w:val="16"/>
                <w:lang w:eastAsia="cs-CZ"/>
              </w:rPr>
              <w:t>304/2018 z 12.</w:t>
            </w:r>
            <w:r>
              <w:rPr>
                <w:rFonts w:ascii="Calibri" w:hAnsi="Calibri" w:cs="Calibri"/>
                <w:color w:val="000000"/>
                <w:sz w:val="16"/>
                <w:szCs w:val="16"/>
                <w:lang w:eastAsia="cs-CZ"/>
              </w:rPr>
              <w:t> 12. </w:t>
            </w:r>
            <w:r w:rsidR="00A2524F" w:rsidRPr="00A2524F">
              <w:rPr>
                <w:rFonts w:ascii="Calibri" w:hAnsi="Calibri" w:cs="Calibri"/>
                <w:color w:val="000000"/>
                <w:sz w:val="16"/>
                <w:szCs w:val="16"/>
                <w:lang w:eastAsia="cs-CZ"/>
              </w:rPr>
              <w:t>2018</w:t>
            </w:r>
          </w:p>
        </w:tc>
        <w:tc>
          <w:tcPr>
            <w:tcW w:w="2551" w:type="dxa"/>
            <w:tcBorders>
              <w:top w:val="single" w:sz="4" w:space="0" w:color="auto"/>
              <w:left w:val="single" w:sz="4" w:space="0" w:color="auto"/>
              <w:bottom w:val="single" w:sz="4" w:space="0" w:color="auto"/>
              <w:right w:val="single" w:sz="4" w:space="0" w:color="auto"/>
            </w:tcBorders>
          </w:tcPr>
          <w:p w14:paraId="39683ECF" w14:textId="08139747" w:rsidR="00A2524F" w:rsidRPr="00A2524F" w:rsidRDefault="00A2524F" w:rsidP="00EA3840">
            <w:pPr>
              <w:rPr>
                <w:rFonts w:ascii="Calibri" w:eastAsia="Calibri" w:hAnsi="Calibri" w:cs="Calibri"/>
                <w:color w:val="000000"/>
                <w:sz w:val="16"/>
                <w:szCs w:val="16"/>
                <w:lang w:eastAsia="cs-CZ"/>
              </w:rPr>
            </w:pPr>
            <w:r w:rsidRPr="00A2524F">
              <w:rPr>
                <w:rFonts w:ascii="Calibri" w:eastAsia="Calibri" w:hAnsi="Calibri" w:cs="Calibri"/>
                <w:color w:val="000000"/>
                <w:sz w:val="16"/>
                <w:szCs w:val="16"/>
                <w:lang w:eastAsia="cs-CZ"/>
              </w:rPr>
              <w:t>Navýšení základních tarifů GIBS o</w:t>
            </w:r>
            <w:r>
              <w:rPr>
                <w:rFonts w:ascii="Calibri" w:eastAsia="Calibri" w:hAnsi="Calibri" w:cs="Calibri"/>
                <w:color w:val="000000"/>
                <w:sz w:val="16"/>
                <w:szCs w:val="16"/>
                <w:lang w:eastAsia="cs-CZ"/>
              </w:rPr>
              <w:t> </w:t>
            </w:r>
            <w:r w:rsidRPr="00A2524F">
              <w:rPr>
                <w:rFonts w:ascii="Calibri" w:eastAsia="Calibri" w:hAnsi="Calibri" w:cs="Calibri"/>
                <w:color w:val="000000"/>
                <w:sz w:val="16"/>
                <w:szCs w:val="16"/>
                <w:lang w:eastAsia="cs-CZ"/>
              </w:rPr>
              <w:t>2</w:t>
            </w:r>
            <w:r>
              <w:rPr>
                <w:rFonts w:ascii="Calibri" w:eastAsia="Calibri" w:hAnsi="Calibri" w:cs="Calibri"/>
                <w:color w:val="000000"/>
                <w:sz w:val="16"/>
                <w:szCs w:val="16"/>
                <w:lang w:eastAsia="cs-CZ"/>
              </w:rPr>
              <w:t> </w:t>
            </w:r>
            <w:r w:rsidRPr="00A2524F">
              <w:rPr>
                <w:rFonts w:ascii="Calibri" w:eastAsia="Calibri" w:hAnsi="Calibri" w:cs="Calibri"/>
                <w:color w:val="000000"/>
                <w:sz w:val="16"/>
                <w:szCs w:val="16"/>
                <w:lang w:eastAsia="cs-CZ"/>
              </w:rPr>
              <w:t>% v rámci zvyšování základních tarifů příslušníků BS, zároveň navýšení zvláštních příplatků příslušníků BS, které navýšila i GIBS</w:t>
            </w:r>
            <w:r w:rsidR="00061DC6">
              <w:rPr>
                <w:rFonts w:ascii="Calibri" w:eastAsia="Calibri" w:hAnsi="Calibri" w:cs="Calibri"/>
                <w:color w:val="000000"/>
                <w:sz w:val="16"/>
                <w:szCs w:val="16"/>
                <w:lang w:eastAsia="cs-CZ"/>
              </w:rPr>
              <w:t>.</w:t>
            </w:r>
          </w:p>
        </w:tc>
        <w:tc>
          <w:tcPr>
            <w:tcW w:w="2552" w:type="dxa"/>
            <w:tcBorders>
              <w:top w:val="single" w:sz="4" w:space="0" w:color="auto"/>
              <w:left w:val="single" w:sz="4" w:space="0" w:color="auto"/>
              <w:bottom w:val="single" w:sz="4" w:space="0" w:color="auto"/>
              <w:right w:val="single" w:sz="4" w:space="0" w:color="auto"/>
            </w:tcBorders>
            <w:hideMark/>
          </w:tcPr>
          <w:p w14:paraId="6F3E6ABC" w14:textId="136A2E82" w:rsidR="00A2524F" w:rsidRPr="00A2524F" w:rsidRDefault="00A2524F" w:rsidP="00EA3840">
            <w:pPr>
              <w:rPr>
                <w:rFonts w:ascii="Calibri" w:eastAsia="Calibri" w:hAnsi="Calibri" w:cs="Calibri"/>
                <w:color w:val="000000"/>
                <w:sz w:val="16"/>
                <w:szCs w:val="16"/>
                <w:lang w:eastAsia="cs-CZ"/>
              </w:rPr>
            </w:pPr>
            <w:r w:rsidRPr="00A2524F">
              <w:rPr>
                <w:rFonts w:ascii="Calibri" w:eastAsia="Calibri" w:hAnsi="Calibri" w:cs="Calibri"/>
                <w:color w:val="000000"/>
                <w:sz w:val="16"/>
                <w:szCs w:val="16"/>
                <w:lang w:eastAsia="cs-CZ"/>
              </w:rPr>
              <w:t>2 % navýšení zahrnuto do plánu rozpočtu na rok 2019</w:t>
            </w:r>
            <w:r w:rsidR="00061DC6">
              <w:rPr>
                <w:rFonts w:ascii="Calibri" w:eastAsia="Calibri" w:hAnsi="Calibri" w:cs="Calibri"/>
                <w:color w:val="000000"/>
                <w:sz w:val="16"/>
                <w:szCs w:val="16"/>
                <w:lang w:eastAsia="cs-CZ"/>
              </w:rPr>
              <w:t>.</w:t>
            </w:r>
          </w:p>
          <w:p w14:paraId="48918F7B" w14:textId="6B86E8BF" w:rsidR="00A2524F" w:rsidRPr="00A2524F" w:rsidRDefault="00061DC6" w:rsidP="00EA3840">
            <w:pPr>
              <w:rPr>
                <w:rFonts w:ascii="Calibri" w:eastAsia="Calibri" w:hAnsi="Calibri" w:cs="Calibri"/>
                <w:color w:val="000000"/>
                <w:sz w:val="16"/>
                <w:szCs w:val="16"/>
                <w:lang w:eastAsia="cs-CZ"/>
              </w:rPr>
            </w:pPr>
            <w:r>
              <w:rPr>
                <w:rFonts w:ascii="Calibri" w:hAnsi="Calibri" w:cs="Calibri"/>
                <w:sz w:val="16"/>
                <w:szCs w:val="16"/>
                <w:lang w:eastAsia="cs-CZ"/>
              </w:rPr>
              <w:t>R</w:t>
            </w:r>
            <w:r w:rsidR="00A2524F" w:rsidRPr="00A2524F">
              <w:rPr>
                <w:rFonts w:ascii="Calibri" w:hAnsi="Calibri" w:cs="Calibri"/>
                <w:sz w:val="16"/>
                <w:szCs w:val="16"/>
                <w:lang w:eastAsia="cs-CZ"/>
              </w:rPr>
              <w:t>ozpočtové dopady v dalších letech</w:t>
            </w:r>
            <w:r>
              <w:rPr>
                <w:rFonts w:ascii="Calibri" w:hAnsi="Calibri" w:cs="Calibri"/>
                <w:sz w:val="16"/>
                <w:szCs w:val="16"/>
                <w:lang w:eastAsia="cs-CZ"/>
              </w:rPr>
              <w:t>:</w:t>
            </w:r>
            <w:r w:rsidR="00A2524F" w:rsidRPr="00A2524F">
              <w:rPr>
                <w:rFonts w:ascii="Calibri" w:hAnsi="Calibri" w:cs="Calibri"/>
                <w:sz w:val="16"/>
                <w:szCs w:val="16"/>
                <w:lang w:eastAsia="cs-CZ"/>
              </w:rPr>
              <w:t xml:space="preserve"> 4</w:t>
            </w:r>
            <w:r w:rsidR="00A2524F">
              <w:rPr>
                <w:rFonts w:ascii="Calibri" w:hAnsi="Calibri" w:cs="Calibri"/>
                <w:sz w:val="16"/>
                <w:szCs w:val="16"/>
                <w:lang w:eastAsia="cs-CZ"/>
              </w:rPr>
              <w:t> </w:t>
            </w:r>
            <w:r w:rsidR="00A2524F" w:rsidRPr="00A2524F">
              <w:rPr>
                <w:rFonts w:ascii="Calibri" w:hAnsi="Calibri" w:cs="Calibri"/>
                <w:sz w:val="16"/>
                <w:szCs w:val="16"/>
                <w:lang w:eastAsia="cs-CZ"/>
              </w:rPr>
              <w:t>158 216 Kč</w:t>
            </w:r>
            <w:r>
              <w:rPr>
                <w:rFonts w:ascii="Calibri" w:hAnsi="Calibri" w:cs="Calibri"/>
                <w:sz w:val="16"/>
                <w:szCs w:val="16"/>
                <w:lang w:eastAsia="cs-CZ"/>
              </w:rPr>
              <w:t>.</w:t>
            </w:r>
          </w:p>
          <w:p w14:paraId="133A2BCA" w14:textId="1F3212B0" w:rsidR="00A2524F" w:rsidRPr="00A2524F" w:rsidRDefault="00A2524F" w:rsidP="00EA3840">
            <w:pPr>
              <w:rPr>
                <w:rFonts w:ascii="Calibri" w:eastAsia="Calibri" w:hAnsi="Calibri" w:cs="Calibri"/>
                <w:color w:val="000000"/>
                <w:sz w:val="16"/>
                <w:szCs w:val="16"/>
                <w:lang w:eastAsia="cs-CZ"/>
              </w:rPr>
            </w:pPr>
            <w:r w:rsidRPr="00A2524F">
              <w:rPr>
                <w:rFonts w:ascii="Calibri" w:eastAsia="Calibri" w:hAnsi="Calibri" w:cs="Calibri"/>
                <w:color w:val="000000"/>
                <w:sz w:val="16"/>
                <w:szCs w:val="16"/>
                <w:lang w:eastAsia="cs-CZ"/>
              </w:rPr>
              <w:t>Navýšení zvláštních příplatků nebylo v navýšení rozpočtu zahrnuto, prostředky na rok 2019 částeč</w:t>
            </w:r>
            <w:r w:rsidR="00EA3840">
              <w:rPr>
                <w:rFonts w:ascii="Calibri" w:eastAsia="Calibri" w:hAnsi="Calibri" w:cs="Calibri"/>
                <w:color w:val="000000"/>
                <w:sz w:val="16"/>
                <w:szCs w:val="16"/>
                <w:lang w:eastAsia="cs-CZ"/>
              </w:rPr>
              <w:t>ně navýšeny až na základě UV č. </w:t>
            </w:r>
            <w:r w:rsidRPr="00A2524F">
              <w:rPr>
                <w:rFonts w:ascii="Calibri" w:eastAsia="Calibri" w:hAnsi="Calibri" w:cs="Calibri"/>
                <w:color w:val="000000"/>
                <w:sz w:val="16"/>
                <w:szCs w:val="16"/>
                <w:lang w:eastAsia="cs-CZ"/>
              </w:rPr>
              <w:t>694/2019</w:t>
            </w:r>
            <w:r w:rsidR="00061DC6">
              <w:rPr>
                <w:rFonts w:ascii="Calibri" w:eastAsia="Calibri" w:hAnsi="Calibri" w:cs="Calibri"/>
                <w:color w:val="000000"/>
                <w:sz w:val="16"/>
                <w:szCs w:val="16"/>
                <w:lang w:eastAsia="cs-CZ"/>
              </w:rPr>
              <w:t>.</w:t>
            </w:r>
          </w:p>
        </w:tc>
        <w:tc>
          <w:tcPr>
            <w:tcW w:w="992" w:type="dxa"/>
            <w:tcBorders>
              <w:top w:val="single" w:sz="4" w:space="0" w:color="auto"/>
              <w:left w:val="single" w:sz="4" w:space="0" w:color="auto"/>
              <w:bottom w:val="single" w:sz="4" w:space="0" w:color="auto"/>
              <w:right w:val="single" w:sz="4" w:space="0" w:color="auto"/>
            </w:tcBorders>
            <w:hideMark/>
          </w:tcPr>
          <w:p w14:paraId="39AEB083" w14:textId="493C93B2" w:rsidR="00A2524F" w:rsidRPr="00A2524F" w:rsidRDefault="00A2524F" w:rsidP="00EA3840">
            <w:pPr>
              <w:spacing w:after="160"/>
              <w:jc w:val="center"/>
              <w:rPr>
                <w:rFonts w:ascii="Calibri" w:eastAsia="Calibri" w:hAnsi="Calibri" w:cs="Calibri"/>
                <w:color w:val="000000"/>
                <w:sz w:val="16"/>
                <w:szCs w:val="16"/>
                <w:lang w:eastAsia="cs-CZ"/>
              </w:rPr>
            </w:pPr>
            <w:r w:rsidRPr="00A2524F">
              <w:rPr>
                <w:rFonts w:ascii="Calibri" w:eastAsia="Calibri" w:hAnsi="Calibri" w:cs="Calibri"/>
                <w:color w:val="000000"/>
                <w:sz w:val="16"/>
                <w:szCs w:val="16"/>
                <w:lang w:eastAsia="cs-CZ"/>
              </w:rPr>
              <w:t>Navýšení o</w:t>
            </w:r>
            <w:r>
              <w:rPr>
                <w:rFonts w:ascii="Calibri" w:eastAsia="Calibri" w:hAnsi="Calibri" w:cs="Calibri"/>
                <w:color w:val="000000"/>
                <w:sz w:val="16"/>
                <w:szCs w:val="16"/>
                <w:lang w:eastAsia="cs-CZ"/>
              </w:rPr>
              <w:t> </w:t>
            </w:r>
            <w:r w:rsidRPr="00A2524F">
              <w:rPr>
                <w:rFonts w:ascii="Calibri" w:eastAsia="Calibri" w:hAnsi="Calibri" w:cs="Calibri"/>
                <w:color w:val="000000"/>
                <w:sz w:val="16"/>
                <w:szCs w:val="16"/>
                <w:lang w:eastAsia="cs-CZ"/>
              </w:rPr>
              <w:t>1 242 Kč (2</w:t>
            </w:r>
            <w:r>
              <w:rPr>
                <w:rFonts w:ascii="Calibri" w:eastAsia="Calibri" w:hAnsi="Calibri" w:cs="Calibri"/>
                <w:color w:val="000000"/>
                <w:sz w:val="16"/>
                <w:szCs w:val="16"/>
                <w:lang w:eastAsia="cs-CZ"/>
              </w:rPr>
              <w:t> </w:t>
            </w:r>
            <w:r w:rsidRPr="00A2524F">
              <w:rPr>
                <w:rFonts w:ascii="Calibri" w:eastAsia="Calibri" w:hAnsi="Calibri" w:cs="Calibri"/>
                <w:color w:val="000000"/>
                <w:sz w:val="16"/>
                <w:szCs w:val="16"/>
                <w:lang w:eastAsia="cs-CZ"/>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65A0B" w14:textId="77777777" w:rsidR="00A2524F" w:rsidRPr="00A2524F" w:rsidRDefault="00A2524F" w:rsidP="00EA3840">
            <w:pPr>
              <w:spacing w:after="160"/>
              <w:jc w:val="right"/>
              <w:rPr>
                <w:rFonts w:ascii="Calibri" w:hAnsi="Calibri" w:cs="Calibri"/>
                <w:color w:val="000000"/>
                <w:sz w:val="16"/>
                <w:szCs w:val="16"/>
                <w:lang w:eastAsia="cs-CZ"/>
              </w:rPr>
            </w:pPr>
            <w:r w:rsidRPr="00A2524F">
              <w:rPr>
                <w:rFonts w:ascii="Calibri" w:hAnsi="Calibri" w:cs="Calibri"/>
                <w:color w:val="000000"/>
                <w:sz w:val="16"/>
                <w:szCs w:val="16"/>
                <w:lang w:eastAsia="cs-CZ"/>
              </w:rPr>
              <w:t xml:space="preserve">63 368 Kč </w:t>
            </w:r>
          </w:p>
        </w:tc>
      </w:tr>
      <w:tr w:rsidR="00A2524F" w:rsidRPr="00A2524F" w14:paraId="252224F1"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14A125C3" w14:textId="77777777" w:rsidR="00A2524F" w:rsidRPr="00A2524F" w:rsidRDefault="00A2524F" w:rsidP="00A2524F">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1. 9. 2019</w:t>
            </w:r>
          </w:p>
        </w:tc>
        <w:tc>
          <w:tcPr>
            <w:tcW w:w="1134" w:type="dxa"/>
            <w:tcBorders>
              <w:top w:val="single" w:sz="4" w:space="0" w:color="auto"/>
              <w:left w:val="single" w:sz="4" w:space="0" w:color="auto"/>
              <w:bottom w:val="single" w:sz="4" w:space="0" w:color="auto"/>
              <w:right w:val="single" w:sz="4" w:space="0" w:color="auto"/>
            </w:tcBorders>
            <w:noWrap/>
            <w:hideMark/>
          </w:tcPr>
          <w:p w14:paraId="05325574" w14:textId="649371B1" w:rsidR="00A2524F" w:rsidRPr="00A2524F" w:rsidRDefault="0070664A" w:rsidP="0070664A">
            <w:pPr>
              <w:jc w:val="center"/>
              <w:rPr>
                <w:rFonts w:ascii="Calibri" w:hAnsi="Calibri" w:cs="Calibri"/>
                <w:color w:val="000000"/>
                <w:sz w:val="16"/>
                <w:szCs w:val="16"/>
                <w:lang w:eastAsia="cs-CZ"/>
              </w:rPr>
            </w:pPr>
            <w:r>
              <w:rPr>
                <w:rFonts w:ascii="Calibri" w:hAnsi="Calibri" w:cs="Calibri"/>
                <w:color w:val="000000"/>
                <w:sz w:val="16"/>
                <w:szCs w:val="16"/>
                <w:lang w:eastAsia="cs-CZ"/>
              </w:rPr>
              <w:t>UV č. 694 ze dne 30. </w:t>
            </w:r>
            <w:r w:rsidR="00A2524F" w:rsidRPr="00A2524F">
              <w:rPr>
                <w:rFonts w:ascii="Calibri" w:hAnsi="Calibri" w:cs="Calibri"/>
                <w:color w:val="000000"/>
                <w:sz w:val="16"/>
                <w:szCs w:val="16"/>
                <w:lang w:eastAsia="cs-CZ"/>
              </w:rPr>
              <w:t>9.</w:t>
            </w:r>
            <w:r>
              <w:rPr>
                <w:rFonts w:ascii="Calibri" w:hAnsi="Calibri" w:cs="Calibri"/>
                <w:color w:val="000000"/>
                <w:sz w:val="16"/>
                <w:szCs w:val="16"/>
                <w:lang w:eastAsia="cs-CZ"/>
              </w:rPr>
              <w:t> </w:t>
            </w:r>
            <w:r w:rsidR="00A2524F" w:rsidRPr="00A2524F">
              <w:rPr>
                <w:rFonts w:ascii="Calibri" w:hAnsi="Calibri" w:cs="Calibri"/>
                <w:color w:val="000000"/>
                <w:sz w:val="16"/>
                <w:szCs w:val="16"/>
                <w:lang w:eastAsia="cs-CZ"/>
              </w:rPr>
              <w:t>2019</w:t>
            </w:r>
            <w:r w:rsidR="00A2524F" w:rsidRPr="00A2524F">
              <w:rPr>
                <w:rFonts w:ascii="Calibri" w:hAnsi="Calibri" w:cs="Calibri"/>
                <w:color w:val="000000"/>
                <w:sz w:val="16"/>
                <w:szCs w:val="16"/>
                <w:vertAlign w:val="superscript"/>
                <w:lang w:eastAsia="cs-CZ"/>
              </w:rPr>
              <w:footnoteReference w:id="21"/>
            </w:r>
          </w:p>
        </w:tc>
        <w:tc>
          <w:tcPr>
            <w:tcW w:w="2551" w:type="dxa"/>
            <w:tcBorders>
              <w:top w:val="single" w:sz="4" w:space="0" w:color="auto"/>
              <w:left w:val="single" w:sz="4" w:space="0" w:color="auto"/>
              <w:bottom w:val="single" w:sz="4" w:space="0" w:color="auto"/>
              <w:right w:val="single" w:sz="4" w:space="0" w:color="auto"/>
            </w:tcBorders>
          </w:tcPr>
          <w:p w14:paraId="7704EBAC" w14:textId="104A55A8" w:rsidR="00A2524F" w:rsidRPr="00A2524F" w:rsidRDefault="00A2524F" w:rsidP="00EA3840">
            <w:pPr>
              <w:rPr>
                <w:rFonts w:ascii="Calibri" w:eastAsia="Calibri" w:hAnsi="Calibri" w:cs="Calibri"/>
                <w:color w:val="000000"/>
                <w:sz w:val="16"/>
                <w:szCs w:val="16"/>
                <w:lang w:eastAsia="cs-CZ"/>
              </w:rPr>
            </w:pPr>
            <w:r w:rsidRPr="00A2524F">
              <w:rPr>
                <w:rFonts w:ascii="Calibri" w:hAnsi="Calibri" w:cs="Calibri"/>
                <w:color w:val="000000"/>
                <w:sz w:val="16"/>
                <w:szCs w:val="16"/>
                <w:lang w:eastAsia="cs-CZ"/>
              </w:rPr>
              <w:t xml:space="preserve">Navýšení o 2 % </w:t>
            </w:r>
            <w:r w:rsidRPr="00A2524F">
              <w:rPr>
                <w:rFonts w:ascii="Calibri" w:eastAsia="Calibri" w:hAnsi="Calibri" w:cs="Calibri"/>
                <w:color w:val="000000"/>
                <w:sz w:val="16"/>
                <w:szCs w:val="16"/>
                <w:lang w:eastAsia="cs-CZ"/>
              </w:rPr>
              <w:t>GIBS znevýhodňovalo, protože jiným BS byly od ledna navýšeny platy o 8 %, proto si vyžádala navýšení o dalších 6 % a zároveň prostředky na navýšení zvláštního příplatku</w:t>
            </w:r>
            <w:r w:rsidR="00061DC6">
              <w:rPr>
                <w:rFonts w:ascii="Calibri" w:eastAsia="Calibri" w:hAnsi="Calibri" w:cs="Calibri"/>
                <w:color w:val="000000"/>
                <w:sz w:val="16"/>
                <w:szCs w:val="16"/>
                <w:lang w:eastAsia="cs-CZ"/>
              </w:rPr>
              <w:t>.</w:t>
            </w:r>
          </w:p>
        </w:tc>
        <w:tc>
          <w:tcPr>
            <w:tcW w:w="2552" w:type="dxa"/>
            <w:tcBorders>
              <w:top w:val="single" w:sz="4" w:space="0" w:color="auto"/>
              <w:left w:val="single" w:sz="4" w:space="0" w:color="auto"/>
              <w:bottom w:val="single" w:sz="4" w:space="0" w:color="auto"/>
              <w:right w:val="single" w:sz="4" w:space="0" w:color="auto"/>
            </w:tcBorders>
            <w:hideMark/>
          </w:tcPr>
          <w:p w14:paraId="12D22FF4" w14:textId="16118295" w:rsidR="00A2524F" w:rsidRPr="00A2524F" w:rsidRDefault="00EA3840" w:rsidP="00EA3840">
            <w:pPr>
              <w:rPr>
                <w:rFonts w:ascii="Calibri" w:hAnsi="Calibri" w:cs="Calibri"/>
                <w:color w:val="000000"/>
                <w:sz w:val="16"/>
                <w:szCs w:val="16"/>
                <w:lang w:eastAsia="cs-CZ"/>
              </w:rPr>
            </w:pPr>
            <w:r>
              <w:rPr>
                <w:rFonts w:ascii="Calibri" w:hAnsi="Calibri" w:cs="Calibri"/>
                <w:color w:val="000000"/>
                <w:sz w:val="16"/>
                <w:szCs w:val="16"/>
                <w:lang w:eastAsia="cs-CZ"/>
              </w:rPr>
              <w:t xml:space="preserve">RO </w:t>
            </w:r>
            <w:r w:rsidR="00061DC6">
              <w:rPr>
                <w:rFonts w:ascii="Calibri" w:hAnsi="Calibri" w:cs="Calibri"/>
                <w:color w:val="000000"/>
                <w:sz w:val="16"/>
                <w:szCs w:val="16"/>
                <w:lang w:eastAsia="cs-CZ"/>
              </w:rPr>
              <w:t>č. </w:t>
            </w:r>
            <w:r>
              <w:rPr>
                <w:rFonts w:ascii="Calibri" w:hAnsi="Calibri" w:cs="Calibri"/>
                <w:color w:val="000000"/>
                <w:sz w:val="16"/>
                <w:szCs w:val="16"/>
                <w:lang w:eastAsia="cs-CZ"/>
              </w:rPr>
              <w:t>3/2019 – navýšení o </w:t>
            </w:r>
            <w:r w:rsidR="00A2524F" w:rsidRPr="00A2524F">
              <w:rPr>
                <w:rFonts w:ascii="Calibri" w:hAnsi="Calibri" w:cs="Calibri"/>
                <w:color w:val="000000"/>
                <w:sz w:val="16"/>
                <w:szCs w:val="16"/>
                <w:lang w:eastAsia="cs-CZ"/>
              </w:rPr>
              <w:t>6 278</w:t>
            </w:r>
            <w:r>
              <w:rPr>
                <w:rFonts w:ascii="Calibri" w:hAnsi="Calibri" w:cs="Calibri"/>
                <w:color w:val="000000"/>
                <w:sz w:val="16"/>
                <w:szCs w:val="16"/>
                <w:lang w:eastAsia="cs-CZ"/>
              </w:rPr>
              <w:t> </w:t>
            </w:r>
            <w:r w:rsidR="00A2524F" w:rsidRPr="00A2524F">
              <w:rPr>
                <w:rFonts w:ascii="Calibri" w:hAnsi="Calibri" w:cs="Calibri"/>
                <w:color w:val="000000"/>
                <w:sz w:val="16"/>
                <w:szCs w:val="16"/>
                <w:lang w:eastAsia="cs-CZ"/>
              </w:rPr>
              <w:t>458</w:t>
            </w:r>
            <w:r>
              <w:rPr>
                <w:rFonts w:ascii="Calibri" w:hAnsi="Calibri" w:cs="Calibri"/>
                <w:color w:val="000000"/>
                <w:sz w:val="16"/>
                <w:szCs w:val="16"/>
                <w:lang w:eastAsia="cs-CZ"/>
              </w:rPr>
              <w:t> </w:t>
            </w:r>
            <w:r w:rsidR="00A2524F" w:rsidRPr="00A2524F">
              <w:rPr>
                <w:rFonts w:ascii="Calibri" w:hAnsi="Calibri" w:cs="Calibri"/>
                <w:color w:val="000000"/>
                <w:sz w:val="16"/>
                <w:szCs w:val="16"/>
                <w:lang w:eastAsia="cs-CZ"/>
              </w:rPr>
              <w:t>Kč, z toho služební příjmy příslušníků 4 159 952 Kč</w:t>
            </w:r>
            <w:r w:rsidR="00061DC6">
              <w:rPr>
                <w:rFonts w:ascii="Calibri" w:hAnsi="Calibri" w:cs="Calibri"/>
                <w:color w:val="000000"/>
                <w:sz w:val="16"/>
                <w:szCs w:val="16"/>
                <w:lang w:eastAsia="cs-CZ"/>
              </w:rPr>
              <w:t>.</w:t>
            </w:r>
          </w:p>
          <w:p w14:paraId="248670E5" w14:textId="1741BFF2" w:rsidR="00A2524F" w:rsidRPr="00A2524F" w:rsidRDefault="00A2524F" w:rsidP="00EA3840">
            <w:pPr>
              <w:rPr>
                <w:rFonts w:ascii="Calibri" w:hAnsi="Calibri" w:cs="Calibri"/>
                <w:sz w:val="16"/>
                <w:szCs w:val="16"/>
                <w:lang w:eastAsia="cs-CZ"/>
              </w:rPr>
            </w:pPr>
            <w:r w:rsidRPr="00A2524F">
              <w:rPr>
                <w:rFonts w:ascii="Calibri" w:hAnsi="Calibri" w:cs="Calibri"/>
                <w:sz w:val="16"/>
                <w:szCs w:val="16"/>
                <w:lang w:eastAsia="cs-CZ"/>
              </w:rPr>
              <w:t>Rozpočtové dopady v dalších letech</w:t>
            </w:r>
            <w:r w:rsidR="00061DC6">
              <w:rPr>
                <w:rFonts w:ascii="Calibri" w:hAnsi="Calibri" w:cs="Calibri"/>
                <w:sz w:val="16"/>
                <w:szCs w:val="16"/>
                <w:lang w:eastAsia="cs-CZ"/>
              </w:rPr>
              <w:t>:</w:t>
            </w:r>
            <w:r w:rsidRPr="00A2524F">
              <w:rPr>
                <w:rFonts w:ascii="Calibri" w:hAnsi="Calibri" w:cs="Calibri"/>
                <w:sz w:val="16"/>
                <w:szCs w:val="16"/>
                <w:lang w:eastAsia="cs-CZ"/>
              </w:rPr>
              <w:t xml:space="preserve"> 12 481 344 Kč.</w:t>
            </w:r>
          </w:p>
        </w:tc>
        <w:tc>
          <w:tcPr>
            <w:tcW w:w="992" w:type="dxa"/>
            <w:tcBorders>
              <w:top w:val="single" w:sz="4" w:space="0" w:color="auto"/>
              <w:left w:val="single" w:sz="4" w:space="0" w:color="auto"/>
              <w:bottom w:val="single" w:sz="4" w:space="0" w:color="auto"/>
              <w:right w:val="single" w:sz="4" w:space="0" w:color="auto"/>
            </w:tcBorders>
          </w:tcPr>
          <w:p w14:paraId="54A5BF15" w14:textId="5471F1EF" w:rsidR="00A2524F" w:rsidRPr="00A2524F" w:rsidRDefault="00A2524F" w:rsidP="00EA3840">
            <w:pPr>
              <w:jc w:val="center"/>
              <w:rPr>
                <w:rFonts w:ascii="Calibri" w:hAnsi="Calibri" w:cs="Calibri"/>
                <w:color w:val="000000"/>
                <w:sz w:val="16"/>
                <w:szCs w:val="16"/>
                <w:highlight w:val="yellow"/>
                <w:lang w:eastAsia="cs-CZ"/>
              </w:rPr>
            </w:pPr>
            <w:r w:rsidRPr="00A2524F">
              <w:rPr>
                <w:rFonts w:ascii="Calibri" w:hAnsi="Calibri" w:cs="Calibri"/>
                <w:sz w:val="16"/>
                <w:szCs w:val="16"/>
                <w:lang w:eastAsia="cs-CZ"/>
              </w:rPr>
              <w:t>Navýšení o</w:t>
            </w:r>
            <w:r w:rsidR="00EA3840">
              <w:rPr>
                <w:rFonts w:ascii="Calibri" w:hAnsi="Calibri" w:cs="Calibri"/>
                <w:sz w:val="16"/>
                <w:szCs w:val="16"/>
                <w:lang w:eastAsia="cs-CZ"/>
              </w:rPr>
              <w:t> </w:t>
            </w:r>
            <w:r w:rsidRPr="00A2524F">
              <w:rPr>
                <w:rFonts w:ascii="Calibri" w:hAnsi="Calibri" w:cs="Calibri"/>
                <w:sz w:val="16"/>
                <w:szCs w:val="16"/>
                <w:lang w:eastAsia="cs-CZ"/>
              </w:rPr>
              <w:t>3 728 Kč (5,9</w:t>
            </w:r>
            <w:r w:rsidR="00EA3840">
              <w:rPr>
                <w:rFonts w:ascii="Calibri" w:hAnsi="Calibri" w:cs="Calibri"/>
                <w:sz w:val="16"/>
                <w:szCs w:val="16"/>
                <w:lang w:eastAsia="cs-CZ"/>
              </w:rPr>
              <w:t> </w:t>
            </w:r>
            <w:r w:rsidRPr="00A2524F">
              <w:rPr>
                <w:rFonts w:ascii="Calibri" w:hAnsi="Calibri" w:cs="Calibri"/>
                <w:sz w:val="16"/>
                <w:szCs w:val="16"/>
                <w:lang w:eastAsia="cs-CZ"/>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A063D0" w14:textId="77777777" w:rsidR="00A2524F" w:rsidRPr="00A2524F" w:rsidRDefault="00A2524F" w:rsidP="00EA3840">
            <w:pPr>
              <w:jc w:val="right"/>
              <w:rPr>
                <w:rFonts w:ascii="Calibri" w:hAnsi="Calibri" w:cs="Calibri"/>
                <w:color w:val="000000"/>
                <w:sz w:val="16"/>
                <w:szCs w:val="16"/>
                <w:highlight w:val="yellow"/>
                <w:lang w:eastAsia="cs-CZ"/>
              </w:rPr>
            </w:pPr>
            <w:r w:rsidRPr="00A2524F">
              <w:rPr>
                <w:rFonts w:ascii="Calibri" w:hAnsi="Calibri" w:cs="Calibri"/>
                <w:color w:val="000000"/>
                <w:sz w:val="16"/>
                <w:szCs w:val="16"/>
                <w:lang w:eastAsia="cs-CZ"/>
              </w:rPr>
              <w:t>67 096 Kč</w:t>
            </w:r>
          </w:p>
        </w:tc>
      </w:tr>
      <w:tr w:rsidR="00A2524F" w:rsidRPr="00A2524F" w14:paraId="72321F4E"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FE720" w14:textId="77777777" w:rsidR="00A2524F" w:rsidRPr="00A2524F" w:rsidRDefault="00A2524F" w:rsidP="00A2524F">
            <w:pPr>
              <w:jc w:val="center"/>
              <w:rPr>
                <w:rFonts w:ascii="Calibri" w:hAnsi="Calibri" w:cs="Calibri"/>
                <w:b/>
                <w:color w:val="000000"/>
                <w:sz w:val="16"/>
                <w:szCs w:val="16"/>
                <w:lang w:eastAsia="cs-CZ"/>
              </w:rPr>
            </w:pPr>
            <w:r w:rsidRPr="00A2524F">
              <w:rPr>
                <w:rFonts w:ascii="Calibri" w:hAnsi="Calibri" w:cs="Calibri"/>
                <w:b/>
                <w:color w:val="000000"/>
                <w:sz w:val="16"/>
                <w:szCs w:val="16"/>
                <w:lang w:eastAsia="cs-CZ"/>
              </w:rPr>
              <w:t>2020</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3828B97" w14:textId="1F83851F" w:rsidR="00A2524F" w:rsidRPr="00A2524F" w:rsidRDefault="00A2524F" w:rsidP="00061E04">
            <w:pPr>
              <w:rPr>
                <w:rFonts w:ascii="Calibri" w:hAnsi="Calibri" w:cs="Calibri"/>
                <w:b/>
                <w:color w:val="000000"/>
                <w:sz w:val="16"/>
                <w:szCs w:val="16"/>
                <w:lang w:eastAsia="cs-CZ"/>
              </w:rPr>
            </w:pPr>
            <w:r w:rsidRPr="00A2524F">
              <w:rPr>
                <w:rFonts w:ascii="Calibri" w:hAnsi="Calibri" w:cs="Calibri"/>
                <w:b/>
                <w:color w:val="000000"/>
                <w:sz w:val="16"/>
                <w:szCs w:val="16"/>
                <w:lang w:eastAsia="cs-CZ"/>
              </w:rPr>
              <w:t>Průměrný plánovaný</w:t>
            </w:r>
            <w:r w:rsidR="0070664A">
              <w:rPr>
                <w:rFonts w:ascii="Calibri" w:hAnsi="Calibri" w:cs="Calibri"/>
                <w:b/>
                <w:color w:val="000000"/>
                <w:sz w:val="16"/>
                <w:szCs w:val="16"/>
                <w:lang w:eastAsia="cs-CZ"/>
              </w:rPr>
              <w:t xml:space="preserve"> plat příslušníků na rok 2020: </w:t>
            </w:r>
            <w:r w:rsidRPr="00A2524F">
              <w:rPr>
                <w:rFonts w:ascii="Calibri" w:hAnsi="Calibri" w:cs="Calibri"/>
                <w:b/>
                <w:color w:val="000000"/>
                <w:sz w:val="16"/>
                <w:szCs w:val="16"/>
                <w:lang w:eastAsia="cs-CZ"/>
              </w:rPr>
              <w:t>68 596 Kč</w:t>
            </w:r>
          </w:p>
        </w:tc>
      </w:tr>
      <w:tr w:rsidR="00A2524F" w:rsidRPr="00A2524F" w14:paraId="735C7A0A"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vAlign w:val="center"/>
            <w:hideMark/>
          </w:tcPr>
          <w:p w14:paraId="07E7F27E" w14:textId="77777777" w:rsidR="00A2524F" w:rsidRPr="00A2524F" w:rsidRDefault="00A2524F" w:rsidP="00A2524F">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1. 1. 2020</w:t>
            </w:r>
          </w:p>
        </w:tc>
        <w:tc>
          <w:tcPr>
            <w:tcW w:w="1134" w:type="dxa"/>
            <w:tcBorders>
              <w:top w:val="single" w:sz="4" w:space="0" w:color="auto"/>
              <w:left w:val="single" w:sz="4" w:space="0" w:color="auto"/>
              <w:bottom w:val="single" w:sz="4" w:space="0" w:color="auto"/>
              <w:right w:val="single" w:sz="4" w:space="0" w:color="auto"/>
            </w:tcBorders>
            <w:hideMark/>
          </w:tcPr>
          <w:p w14:paraId="684E88B0" w14:textId="47470F16" w:rsidR="00A2524F" w:rsidRPr="00A2524F" w:rsidRDefault="00A2524F" w:rsidP="00EA3840">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Na základě jednání vlády ČR dne 16.</w:t>
            </w:r>
            <w:r w:rsidR="00EA3840">
              <w:rPr>
                <w:rFonts w:ascii="Calibri" w:hAnsi="Calibri" w:cs="Calibri"/>
                <w:color w:val="000000"/>
                <w:sz w:val="16"/>
                <w:szCs w:val="16"/>
                <w:lang w:eastAsia="cs-CZ"/>
              </w:rPr>
              <w:t> 9. </w:t>
            </w:r>
            <w:r w:rsidRPr="00A2524F">
              <w:rPr>
                <w:rFonts w:ascii="Calibri" w:hAnsi="Calibri" w:cs="Calibri"/>
                <w:color w:val="000000"/>
                <w:sz w:val="16"/>
                <w:szCs w:val="16"/>
                <w:lang w:eastAsia="cs-CZ"/>
              </w:rPr>
              <w:t>2019</w:t>
            </w:r>
          </w:p>
        </w:tc>
        <w:tc>
          <w:tcPr>
            <w:tcW w:w="2551" w:type="dxa"/>
            <w:tcBorders>
              <w:top w:val="single" w:sz="4" w:space="0" w:color="auto"/>
              <w:left w:val="single" w:sz="4" w:space="0" w:color="auto"/>
              <w:bottom w:val="single" w:sz="4" w:space="0" w:color="auto"/>
              <w:right w:val="single" w:sz="4" w:space="0" w:color="auto"/>
            </w:tcBorders>
          </w:tcPr>
          <w:p w14:paraId="27DEBBA1" w14:textId="319BD814" w:rsidR="00A2524F" w:rsidRPr="00A2524F" w:rsidRDefault="00061DC6" w:rsidP="00EA3840">
            <w:pPr>
              <w:rPr>
                <w:rFonts w:ascii="Calibri" w:hAnsi="Calibri" w:cs="Calibri"/>
                <w:color w:val="000000"/>
                <w:sz w:val="16"/>
                <w:szCs w:val="16"/>
                <w:lang w:eastAsia="cs-CZ"/>
              </w:rPr>
            </w:pPr>
            <w:r>
              <w:rPr>
                <w:rFonts w:ascii="Calibri" w:hAnsi="Calibri" w:cs="Calibri"/>
                <w:color w:val="000000"/>
                <w:sz w:val="16"/>
                <w:szCs w:val="16"/>
                <w:lang w:eastAsia="cs-CZ"/>
              </w:rPr>
              <w:t>P</w:t>
            </w:r>
            <w:r w:rsidR="00A2524F" w:rsidRPr="00A2524F">
              <w:rPr>
                <w:rFonts w:ascii="Calibri" w:hAnsi="Calibri" w:cs="Calibri"/>
                <w:color w:val="000000"/>
                <w:sz w:val="16"/>
                <w:szCs w:val="16"/>
                <w:lang w:eastAsia="cs-CZ"/>
              </w:rPr>
              <w:t>lošné navýšení platových prostředků</w:t>
            </w:r>
          </w:p>
        </w:tc>
        <w:tc>
          <w:tcPr>
            <w:tcW w:w="2552" w:type="dxa"/>
            <w:tcBorders>
              <w:top w:val="single" w:sz="4" w:space="0" w:color="auto"/>
              <w:left w:val="single" w:sz="4" w:space="0" w:color="auto"/>
              <w:bottom w:val="single" w:sz="4" w:space="0" w:color="auto"/>
              <w:right w:val="single" w:sz="4" w:space="0" w:color="auto"/>
            </w:tcBorders>
            <w:hideMark/>
          </w:tcPr>
          <w:p w14:paraId="26D0D459" w14:textId="7E5C4095" w:rsidR="00A2524F" w:rsidRPr="00A2524F" w:rsidRDefault="00A2524F" w:rsidP="00EA3840">
            <w:pPr>
              <w:rPr>
                <w:rFonts w:ascii="Calibri" w:hAnsi="Calibri" w:cs="Calibri"/>
                <w:color w:val="000000"/>
                <w:sz w:val="16"/>
                <w:szCs w:val="16"/>
                <w:lang w:eastAsia="cs-CZ"/>
              </w:rPr>
            </w:pPr>
            <w:r w:rsidRPr="00A2524F">
              <w:rPr>
                <w:rFonts w:ascii="Calibri" w:hAnsi="Calibri" w:cs="Calibri"/>
                <w:color w:val="000000"/>
                <w:sz w:val="16"/>
                <w:szCs w:val="16"/>
                <w:lang w:eastAsia="cs-CZ"/>
              </w:rPr>
              <w:t>Zahrnuto do plánu rozpočtu na rok 2020</w:t>
            </w:r>
            <w:r w:rsidR="00061DC6">
              <w:rPr>
                <w:rFonts w:ascii="Calibri" w:hAnsi="Calibri" w:cs="Calibri"/>
                <w:color w:val="000000"/>
                <w:sz w:val="16"/>
                <w:szCs w:val="16"/>
                <w:lang w:eastAsia="cs-CZ"/>
              </w:rPr>
              <w:t>.</w:t>
            </w:r>
          </w:p>
          <w:p w14:paraId="346F3166" w14:textId="42BD584C" w:rsidR="00A2524F" w:rsidRPr="00A2524F" w:rsidRDefault="00061DC6" w:rsidP="00EA3840">
            <w:pPr>
              <w:spacing w:after="160"/>
              <w:rPr>
                <w:rFonts w:ascii="Calibri" w:eastAsia="Calibri" w:hAnsi="Calibri" w:cs="Calibri"/>
                <w:color w:val="000000"/>
                <w:sz w:val="16"/>
                <w:szCs w:val="16"/>
                <w:lang w:eastAsia="cs-CZ"/>
              </w:rPr>
            </w:pPr>
            <w:r>
              <w:rPr>
                <w:rFonts w:ascii="Calibri" w:hAnsi="Calibri" w:cs="Calibri"/>
                <w:sz w:val="16"/>
                <w:szCs w:val="16"/>
                <w:lang w:eastAsia="cs-CZ"/>
              </w:rPr>
              <w:t>R</w:t>
            </w:r>
            <w:r w:rsidR="00A2524F" w:rsidRPr="00A2524F">
              <w:rPr>
                <w:rFonts w:ascii="Calibri" w:hAnsi="Calibri" w:cs="Calibri"/>
                <w:sz w:val="16"/>
                <w:szCs w:val="16"/>
                <w:lang w:eastAsia="cs-CZ"/>
              </w:rPr>
              <w:t>ozpočtové dopady v dalších letech</w:t>
            </w:r>
            <w:r>
              <w:rPr>
                <w:rFonts w:ascii="Calibri" w:hAnsi="Calibri" w:cs="Calibri"/>
                <w:sz w:val="16"/>
                <w:szCs w:val="16"/>
                <w:lang w:eastAsia="cs-CZ"/>
              </w:rPr>
              <w:t>:</w:t>
            </w:r>
            <w:r w:rsidR="00A2524F" w:rsidRPr="00A2524F">
              <w:rPr>
                <w:rFonts w:ascii="Calibri" w:hAnsi="Calibri" w:cs="Calibri"/>
                <w:sz w:val="16"/>
                <w:szCs w:val="16"/>
                <w:lang w:eastAsia="cs-CZ"/>
              </w:rPr>
              <w:t xml:space="preserve"> 5 022 000 Kč</w:t>
            </w:r>
            <w:r>
              <w:rPr>
                <w:rFonts w:ascii="Calibri" w:hAnsi="Calibri" w:cs="Calibri"/>
                <w:sz w:val="16"/>
                <w:szCs w:val="16"/>
                <w:lang w:eastAsia="cs-CZ"/>
              </w:rPr>
              <w:t>.</w:t>
            </w:r>
          </w:p>
        </w:tc>
        <w:tc>
          <w:tcPr>
            <w:tcW w:w="992" w:type="dxa"/>
            <w:tcBorders>
              <w:top w:val="single" w:sz="4" w:space="0" w:color="auto"/>
              <w:left w:val="single" w:sz="4" w:space="0" w:color="auto"/>
              <w:bottom w:val="single" w:sz="4" w:space="0" w:color="auto"/>
              <w:right w:val="single" w:sz="4" w:space="0" w:color="auto"/>
            </w:tcBorders>
            <w:hideMark/>
          </w:tcPr>
          <w:p w14:paraId="28C6F271" w14:textId="5D697DEF" w:rsidR="00A2524F" w:rsidRPr="00A2524F" w:rsidRDefault="00A2524F" w:rsidP="00EA3840">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Navýšení o</w:t>
            </w:r>
            <w:r>
              <w:rPr>
                <w:rFonts w:ascii="Calibri" w:hAnsi="Calibri" w:cs="Calibri"/>
                <w:color w:val="000000"/>
                <w:sz w:val="16"/>
                <w:szCs w:val="16"/>
                <w:lang w:eastAsia="cs-CZ"/>
              </w:rPr>
              <w:t> </w:t>
            </w:r>
            <w:r w:rsidRPr="00A2524F">
              <w:rPr>
                <w:rFonts w:ascii="Calibri" w:hAnsi="Calibri" w:cs="Calibri"/>
                <w:color w:val="000000"/>
                <w:sz w:val="16"/>
                <w:szCs w:val="16"/>
                <w:lang w:eastAsia="cs-CZ"/>
              </w:rPr>
              <w:t>1</w:t>
            </w:r>
            <w:r>
              <w:rPr>
                <w:rFonts w:ascii="Calibri" w:hAnsi="Calibri" w:cs="Calibri"/>
                <w:color w:val="000000"/>
                <w:sz w:val="16"/>
                <w:szCs w:val="16"/>
                <w:lang w:eastAsia="cs-CZ"/>
              </w:rPr>
              <w:t> </w:t>
            </w:r>
            <w:r w:rsidRPr="00A2524F">
              <w:rPr>
                <w:rFonts w:ascii="Calibri" w:hAnsi="Calibri" w:cs="Calibri"/>
                <w:color w:val="000000"/>
                <w:sz w:val="16"/>
                <w:szCs w:val="16"/>
                <w:lang w:eastAsia="cs-CZ"/>
              </w:rPr>
              <w:t>500 Kč</w:t>
            </w:r>
          </w:p>
          <w:p w14:paraId="734FB177" w14:textId="77777777" w:rsidR="00A2524F" w:rsidRPr="00A2524F" w:rsidRDefault="00A2524F" w:rsidP="00EA3840">
            <w:pPr>
              <w:jc w:val="center"/>
              <w:rPr>
                <w:rFonts w:ascii="Calibri" w:hAnsi="Calibri" w:cs="Calibri"/>
                <w:color w:val="000000"/>
                <w:sz w:val="16"/>
                <w:szCs w:val="16"/>
                <w:lang w:eastAsia="cs-CZ"/>
              </w:rPr>
            </w:pPr>
            <w:r w:rsidRPr="00A2524F">
              <w:rPr>
                <w:rFonts w:ascii="Calibri" w:hAnsi="Calibri" w:cs="Calibri"/>
                <w:color w:val="000000"/>
                <w:sz w:val="16"/>
                <w:szCs w:val="16"/>
                <w:lang w:eastAsia="cs-CZ"/>
              </w:rPr>
              <w:t>(2,2 %)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5808F5" w14:textId="77777777" w:rsidR="00A2524F" w:rsidRPr="00A2524F" w:rsidRDefault="00A2524F" w:rsidP="00EA3840">
            <w:pPr>
              <w:jc w:val="right"/>
              <w:rPr>
                <w:rFonts w:ascii="Calibri" w:hAnsi="Calibri" w:cs="Calibri"/>
                <w:color w:val="000000"/>
                <w:sz w:val="16"/>
                <w:szCs w:val="16"/>
                <w:lang w:eastAsia="cs-CZ"/>
              </w:rPr>
            </w:pPr>
            <w:r w:rsidRPr="00A2524F">
              <w:rPr>
                <w:rFonts w:ascii="Calibri" w:hAnsi="Calibri" w:cs="Calibri"/>
                <w:color w:val="000000"/>
                <w:sz w:val="16"/>
                <w:szCs w:val="16"/>
                <w:lang w:eastAsia="cs-CZ"/>
              </w:rPr>
              <w:t>68 596 Kč</w:t>
            </w:r>
          </w:p>
        </w:tc>
      </w:tr>
      <w:tr w:rsidR="00A2524F" w:rsidRPr="00A2524F" w14:paraId="44371ACE" w14:textId="77777777" w:rsidTr="0070664A">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2C612" w14:textId="77777777" w:rsidR="00A2524F" w:rsidRPr="00A2524F" w:rsidRDefault="00A2524F" w:rsidP="00A2524F">
            <w:pPr>
              <w:jc w:val="center"/>
              <w:rPr>
                <w:rFonts w:ascii="Calibri" w:hAnsi="Calibri" w:cs="Calibri"/>
                <w:b/>
                <w:color w:val="000000"/>
                <w:sz w:val="16"/>
                <w:szCs w:val="16"/>
                <w:lang w:eastAsia="cs-CZ"/>
              </w:rPr>
            </w:pPr>
            <w:r w:rsidRPr="00A2524F">
              <w:rPr>
                <w:rFonts w:ascii="Calibri" w:hAnsi="Calibri" w:cs="Calibri"/>
                <w:b/>
                <w:color w:val="000000"/>
                <w:sz w:val="16"/>
                <w:szCs w:val="16"/>
                <w:lang w:eastAsia="cs-CZ"/>
              </w:rPr>
              <w:t>2021</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3584DD" w14:textId="4EA9E002" w:rsidR="00A2524F" w:rsidRPr="00A2524F" w:rsidRDefault="00A2524F" w:rsidP="00061E04">
            <w:pPr>
              <w:rPr>
                <w:rFonts w:ascii="Calibri" w:hAnsi="Calibri" w:cs="Calibri"/>
                <w:b/>
                <w:color w:val="000000"/>
                <w:sz w:val="16"/>
                <w:szCs w:val="16"/>
                <w:lang w:eastAsia="cs-CZ"/>
              </w:rPr>
            </w:pPr>
            <w:r w:rsidRPr="00A2524F">
              <w:rPr>
                <w:rFonts w:ascii="Calibri" w:hAnsi="Calibri" w:cs="Calibri"/>
                <w:b/>
                <w:color w:val="000000"/>
                <w:sz w:val="16"/>
                <w:szCs w:val="16"/>
                <w:lang w:eastAsia="cs-CZ"/>
              </w:rPr>
              <w:t>Průměrný plánovaný plat příslušníků na rok 2021: 68 596 Kč</w:t>
            </w:r>
          </w:p>
        </w:tc>
      </w:tr>
    </w:tbl>
    <w:p w14:paraId="154AE32D" w14:textId="77777777" w:rsidR="00A2524F" w:rsidRPr="00A2524F" w:rsidRDefault="00A2524F" w:rsidP="00A2524F">
      <w:pPr>
        <w:jc w:val="both"/>
        <w:rPr>
          <w:rFonts w:ascii="Calibri" w:eastAsia="Calibri" w:hAnsi="Calibri"/>
          <w:sz w:val="24"/>
        </w:rPr>
      </w:pPr>
    </w:p>
    <w:sectPr w:rsidR="00A2524F" w:rsidRPr="00A2524F" w:rsidSect="0048434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72138" w16cex:dateUtc="2021-06-06T08:26:00Z"/>
  <w16cex:commentExtensible w16cex:durableId="24672419" w16cex:dateUtc="2021-06-06T08:38:00Z"/>
  <w16cex:commentExtensible w16cex:durableId="246721A8" w16cex:dateUtc="2021-06-06T08:27:00Z"/>
  <w16cex:commentExtensible w16cex:durableId="24672293" w16cex:dateUtc="2021-06-06T08:31:00Z"/>
  <w16cex:commentExtensible w16cex:durableId="24672567" w16cex:dateUtc="2021-06-06T08:43:00Z"/>
  <w16cex:commentExtensible w16cex:durableId="246727AB" w16cex:dateUtc="2021-06-06T08:53:00Z"/>
  <w16cex:commentExtensible w16cex:durableId="24675E82" w16cex:dateUtc="2021-06-06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7C949" w16cid:durableId="24672138"/>
  <w16cid:commentId w16cid:paraId="0A9499F5" w16cid:durableId="24672419"/>
  <w16cid:commentId w16cid:paraId="1529F719" w16cid:durableId="246721A8"/>
  <w16cid:commentId w16cid:paraId="73AD224F" w16cid:durableId="24672293"/>
  <w16cid:commentId w16cid:paraId="51DD83A5" w16cid:durableId="24672567"/>
  <w16cid:commentId w16cid:paraId="158FC9ED" w16cid:durableId="246727AB"/>
  <w16cid:commentId w16cid:paraId="2B8AEEBC" w16cid:durableId="24675E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95F6" w14:textId="77777777" w:rsidR="00646334" w:rsidRDefault="00646334" w:rsidP="00EB4E9D">
      <w:r>
        <w:separator/>
      </w:r>
    </w:p>
  </w:endnote>
  <w:endnote w:type="continuationSeparator" w:id="0">
    <w:p w14:paraId="51A454D9" w14:textId="77777777" w:rsidR="00646334" w:rsidRDefault="00646334" w:rsidP="00EB4E9D">
      <w:r>
        <w:continuationSeparator/>
      </w:r>
    </w:p>
  </w:endnote>
  <w:endnote w:type="continuationNotice" w:id="1">
    <w:p w14:paraId="588177AE" w14:textId="77777777" w:rsidR="00646334" w:rsidRDefault="00646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0F25" w14:textId="77777777" w:rsidR="006F2558" w:rsidRDefault="006F25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50081"/>
      <w:docPartObj>
        <w:docPartGallery w:val="Page Numbers (Bottom of Page)"/>
        <w:docPartUnique/>
      </w:docPartObj>
    </w:sdtPr>
    <w:sdtEndPr>
      <w:rPr>
        <w:sz w:val="24"/>
      </w:rPr>
    </w:sdtEndPr>
    <w:sdtContent>
      <w:p w14:paraId="100CED93" w14:textId="76FCB24E" w:rsidR="00646334" w:rsidRPr="00484348" w:rsidRDefault="00646334" w:rsidP="00A2524F">
        <w:pPr>
          <w:pStyle w:val="Zpat"/>
          <w:jc w:val="center"/>
          <w:rPr>
            <w:sz w:val="24"/>
          </w:rPr>
        </w:pPr>
        <w:r w:rsidRPr="00484348">
          <w:rPr>
            <w:sz w:val="24"/>
          </w:rPr>
          <w:fldChar w:fldCharType="begin"/>
        </w:r>
        <w:r w:rsidRPr="00484348">
          <w:rPr>
            <w:sz w:val="24"/>
          </w:rPr>
          <w:instrText>PAGE   \* MERGEFORMAT</w:instrText>
        </w:r>
        <w:r w:rsidRPr="00484348">
          <w:rPr>
            <w:sz w:val="24"/>
          </w:rPr>
          <w:fldChar w:fldCharType="separate"/>
        </w:r>
        <w:r w:rsidR="006F2558">
          <w:rPr>
            <w:noProof/>
            <w:sz w:val="24"/>
          </w:rPr>
          <w:t>4</w:t>
        </w:r>
        <w:r w:rsidRPr="00484348">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E478" w14:textId="77777777" w:rsidR="00646334" w:rsidRDefault="00646334" w:rsidP="0048434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915D8" w14:textId="77777777" w:rsidR="00646334" w:rsidRDefault="00646334" w:rsidP="00EB4E9D">
      <w:r>
        <w:separator/>
      </w:r>
    </w:p>
  </w:footnote>
  <w:footnote w:type="continuationSeparator" w:id="0">
    <w:p w14:paraId="79AF50D3" w14:textId="77777777" w:rsidR="00646334" w:rsidRDefault="00646334" w:rsidP="00EB4E9D">
      <w:r>
        <w:continuationSeparator/>
      </w:r>
    </w:p>
  </w:footnote>
  <w:footnote w:type="continuationNotice" w:id="1">
    <w:p w14:paraId="6C733409" w14:textId="77777777" w:rsidR="00646334" w:rsidRDefault="00646334"/>
  </w:footnote>
  <w:footnote w:id="2">
    <w:p w14:paraId="62FC6C06" w14:textId="7250A1F4" w:rsidR="00646334" w:rsidRDefault="00646334" w:rsidP="001C169E">
      <w:pPr>
        <w:pStyle w:val="Textpoznpodarou"/>
        <w:ind w:left="284" w:hanging="284"/>
        <w:jc w:val="both"/>
      </w:pPr>
      <w:r>
        <w:rPr>
          <w:rStyle w:val="Znakapoznpodarou"/>
        </w:rPr>
        <w:footnoteRef/>
      </w:r>
      <w:r>
        <w:t xml:space="preserve"> </w:t>
      </w:r>
      <w:r>
        <w:tab/>
      </w:r>
      <w:r>
        <w:rPr>
          <w:rFonts w:ascii="Calibri" w:eastAsia="Times New Roman" w:hAnsi="Calibri" w:cs="Times New Roman"/>
        </w:rPr>
        <w:t>GIBS</w:t>
      </w:r>
      <w:r w:rsidRPr="001C169E">
        <w:rPr>
          <w:rFonts w:ascii="Calibri" w:eastAsia="Times New Roman" w:hAnsi="Calibri" w:cs="Times New Roman"/>
        </w:rPr>
        <w:t xml:space="preserve"> byla</w:t>
      </w:r>
      <w:r>
        <w:rPr>
          <w:rFonts w:ascii="Calibri" w:eastAsia="Times New Roman" w:hAnsi="Calibri" w:cs="Times New Roman"/>
        </w:rPr>
        <w:t xml:space="preserve"> zřízena zákonem č. </w:t>
      </w:r>
      <w:r w:rsidRPr="00CF4F7A">
        <w:t>341/2011 Sb., o Generální inspekci bezpečnostních sborů</w:t>
      </w:r>
      <w:r>
        <w:t xml:space="preserve"> </w:t>
      </w:r>
      <w:r w:rsidRPr="00D5739B">
        <w:t>a o změně souvisejících zákonů</w:t>
      </w:r>
      <w:r w:rsidRPr="00CF4F7A">
        <w:t>.</w:t>
      </w:r>
      <w:r>
        <w:t xml:space="preserve"> </w:t>
      </w:r>
    </w:p>
  </w:footnote>
  <w:footnote w:id="3">
    <w:p w14:paraId="70B88A6E" w14:textId="165CF3A0" w:rsidR="00646334" w:rsidRDefault="00646334" w:rsidP="003A5711">
      <w:pPr>
        <w:pStyle w:val="Textpoznpodarou"/>
        <w:ind w:left="284" w:hanging="284"/>
        <w:jc w:val="both"/>
      </w:pPr>
      <w:r>
        <w:rPr>
          <w:rStyle w:val="Znakapoznpodarou"/>
        </w:rPr>
        <w:footnoteRef/>
      </w:r>
      <w:r>
        <w:t xml:space="preserve"> </w:t>
      </w:r>
      <w:r>
        <w:tab/>
      </w:r>
      <w:r w:rsidRPr="00CB072E">
        <w:rPr>
          <w:rFonts w:cstheme="minorHAnsi"/>
        </w:rPr>
        <w:t xml:space="preserve">Program reprodukce majetku 176 100 – </w:t>
      </w:r>
      <w:r w:rsidRPr="009D6D78">
        <w:rPr>
          <w:rFonts w:cstheme="minorHAnsi"/>
          <w:i/>
        </w:rPr>
        <w:t>Rozvoj a obnova materiálně technické základny GIBS</w:t>
      </w:r>
      <w:r>
        <w:rPr>
          <w:rFonts w:cstheme="minorHAnsi"/>
        </w:rPr>
        <w:t>.</w:t>
      </w:r>
    </w:p>
  </w:footnote>
  <w:footnote w:id="4">
    <w:p w14:paraId="72A39971" w14:textId="77777777" w:rsidR="00646334" w:rsidRDefault="00646334" w:rsidP="003A5711">
      <w:pPr>
        <w:pStyle w:val="Textpoznpodarou"/>
        <w:ind w:left="284" w:hanging="284"/>
        <w:jc w:val="both"/>
      </w:pPr>
      <w:r w:rsidRPr="002D3B66">
        <w:rPr>
          <w:rStyle w:val="Znakapoznpodarou"/>
        </w:rPr>
        <w:footnoteRef/>
      </w:r>
      <w:r w:rsidRPr="00CB072E">
        <w:rPr>
          <w:rStyle w:val="Znakapoznpodarou"/>
        </w:rPr>
        <w:t xml:space="preserve"> </w:t>
      </w:r>
      <w:bookmarkStart w:id="1" w:name="_Toc57734701"/>
      <w:r>
        <w:tab/>
      </w:r>
      <w:r w:rsidRPr="00004DF8">
        <w:rPr>
          <w:rFonts w:ascii="Calibri" w:eastAsia="Times New Roman" w:hAnsi="Calibri" w:cs="Times New Roman"/>
        </w:rPr>
        <w:t xml:space="preserve">Program reprodukce majetku 176 200 – </w:t>
      </w:r>
      <w:r w:rsidRPr="009D6D78">
        <w:rPr>
          <w:rFonts w:ascii="Calibri" w:eastAsia="Times New Roman" w:hAnsi="Calibri" w:cs="Times New Roman"/>
          <w:i/>
        </w:rPr>
        <w:t>Rozvoj a obnova materiálně technické základny GIBS II</w:t>
      </w:r>
      <w:r w:rsidRPr="00004DF8">
        <w:rPr>
          <w:rFonts w:ascii="Calibri" w:eastAsia="Times New Roman" w:hAnsi="Calibri" w:cs="Times New Roman"/>
        </w:rPr>
        <w:t>.</w:t>
      </w:r>
      <w:bookmarkEnd w:id="1"/>
    </w:p>
  </w:footnote>
  <w:footnote w:id="5">
    <w:p w14:paraId="09426B15" w14:textId="77777777" w:rsidR="00646334" w:rsidRDefault="00646334" w:rsidP="003A5711">
      <w:pPr>
        <w:pStyle w:val="footnotedescription"/>
        <w:spacing w:line="240" w:lineRule="auto"/>
        <w:ind w:left="284" w:hanging="284"/>
      </w:pPr>
      <w:r>
        <w:rPr>
          <w:rStyle w:val="footnotemark"/>
        </w:rPr>
        <w:footnoteRef/>
      </w:r>
      <w:r>
        <w:t xml:space="preserve"> </w:t>
      </w:r>
      <w:r>
        <w:tab/>
      </w:r>
      <w:r w:rsidRPr="007A3156">
        <w:rPr>
          <w:rFonts w:eastAsia="Times New Roman" w:cs="Times New Roman"/>
          <w:color w:val="auto"/>
          <w:sz w:val="20"/>
          <w:szCs w:val="20"/>
          <w:lang w:eastAsia="en-US"/>
        </w:rPr>
        <w:t>Zákon č. 219/2000 Sb., o majetku České republiky a jejím vystupování v právních vztazích.</w:t>
      </w:r>
    </w:p>
  </w:footnote>
  <w:footnote w:id="6">
    <w:p w14:paraId="5412AED0" w14:textId="77777777" w:rsidR="00646334" w:rsidRDefault="00646334" w:rsidP="003A5711">
      <w:pPr>
        <w:pStyle w:val="footnotedescription"/>
        <w:spacing w:after="14" w:line="240" w:lineRule="auto"/>
        <w:ind w:left="284" w:hanging="284"/>
      </w:pPr>
      <w:r>
        <w:rPr>
          <w:rStyle w:val="footnotemark"/>
        </w:rPr>
        <w:footnoteRef/>
      </w:r>
      <w:r>
        <w:t xml:space="preserve"> </w:t>
      </w:r>
      <w:r>
        <w:tab/>
      </w:r>
      <w:r w:rsidRPr="007A3156">
        <w:rPr>
          <w:rFonts w:eastAsia="Times New Roman" w:cs="Times New Roman"/>
          <w:color w:val="auto"/>
          <w:sz w:val="20"/>
          <w:szCs w:val="20"/>
          <w:lang w:eastAsia="en-US"/>
        </w:rPr>
        <w:t>Zákon č. 218/2000 Sb., o rozpočtových pravidlech a o změně některých souvisejících zákonů (rozpočtová pravidla)</w:t>
      </w:r>
      <w:r>
        <w:rPr>
          <w:rFonts w:eastAsia="Times New Roman" w:cs="Times New Roman"/>
          <w:color w:val="auto"/>
          <w:sz w:val="20"/>
          <w:szCs w:val="20"/>
          <w:lang w:eastAsia="en-US"/>
        </w:rPr>
        <w:t>.</w:t>
      </w:r>
    </w:p>
  </w:footnote>
  <w:footnote w:id="7">
    <w:p w14:paraId="5F46BDAC" w14:textId="7B7687C4" w:rsidR="00646334" w:rsidRDefault="00646334" w:rsidP="009D71F8">
      <w:pPr>
        <w:pStyle w:val="Textpoznpodarou"/>
        <w:ind w:left="284" w:hanging="284"/>
        <w:jc w:val="both"/>
      </w:pPr>
      <w:r>
        <w:rPr>
          <w:rStyle w:val="Znakapoznpodarou"/>
        </w:rPr>
        <w:footnoteRef/>
      </w:r>
      <w:r>
        <w:t xml:space="preserve"> </w:t>
      </w:r>
      <w:r>
        <w:tab/>
      </w:r>
      <w:r w:rsidRPr="00004DF8">
        <w:rPr>
          <w:rFonts w:ascii="Calibri" w:eastAsia="Times New Roman" w:hAnsi="Calibri" w:cs="Times New Roman"/>
        </w:rPr>
        <w:t xml:space="preserve">Usnesení vlády </w:t>
      </w:r>
      <w:r>
        <w:rPr>
          <w:rFonts w:ascii="Calibri" w:eastAsia="Times New Roman" w:hAnsi="Calibri" w:cs="Times New Roman"/>
        </w:rPr>
        <w:t xml:space="preserve">ČR </w:t>
      </w:r>
      <w:r w:rsidRPr="00004DF8">
        <w:rPr>
          <w:rFonts w:ascii="Calibri" w:eastAsia="Times New Roman" w:hAnsi="Calibri" w:cs="Times New Roman"/>
        </w:rPr>
        <w:t xml:space="preserve">ze dne 27. 2. 2017 </w:t>
      </w:r>
      <w:r>
        <w:rPr>
          <w:rFonts w:ascii="Calibri" w:eastAsia="Times New Roman" w:hAnsi="Calibri" w:cs="Times New Roman"/>
        </w:rPr>
        <w:t xml:space="preserve">č. 148, </w:t>
      </w:r>
      <w:r w:rsidRPr="009D6D78">
        <w:rPr>
          <w:rFonts w:ascii="Calibri" w:eastAsia="Times New Roman" w:hAnsi="Calibri" w:cs="Times New Roman"/>
          <w:i/>
        </w:rPr>
        <w:t>o uvolnění finančních prostředků z kapitoly Všeobecná pokladní správa, položky Vládní rozpočtová rezerva, ve prospěch kapitoly Generální inspekce bezpečnostních sborů a o změně systemizace Generální inspekce bezpečnostních sborů pro rok 2017</w:t>
      </w:r>
      <w:r w:rsidRPr="00004DF8">
        <w:rPr>
          <w:rFonts w:ascii="Calibri" w:eastAsia="Times New Roman" w:hAnsi="Calibri" w:cs="Times New Roman"/>
        </w:rPr>
        <w:t>.</w:t>
      </w:r>
    </w:p>
  </w:footnote>
  <w:footnote w:id="8">
    <w:p w14:paraId="237CBEA2" w14:textId="6E156B5A" w:rsidR="00646334" w:rsidRDefault="00646334" w:rsidP="003A5711">
      <w:pPr>
        <w:ind w:left="284" w:hanging="284"/>
        <w:jc w:val="both"/>
      </w:pPr>
      <w:r>
        <w:rPr>
          <w:rStyle w:val="Znakapoznpodarou"/>
        </w:rPr>
        <w:footnoteRef/>
      </w:r>
      <w:r>
        <w:t xml:space="preserve"> </w:t>
      </w:r>
      <w:r>
        <w:tab/>
      </w:r>
      <w:r w:rsidRPr="00A604E3">
        <w:rPr>
          <w:rFonts w:ascii="Calibri" w:eastAsia="Times New Roman" w:hAnsi="Calibri" w:cs="Times New Roman"/>
          <w:sz w:val="20"/>
          <w:szCs w:val="20"/>
        </w:rPr>
        <w:t xml:space="preserve">Návrh státního závěrečného účtu České republiky za rok 2020 </w:t>
      </w:r>
      <w:r>
        <w:rPr>
          <w:rFonts w:ascii="Calibri" w:eastAsia="Times New Roman" w:hAnsi="Calibri" w:cs="Times New Roman"/>
          <w:sz w:val="20"/>
          <w:szCs w:val="20"/>
        </w:rPr>
        <w:t>–</w:t>
      </w:r>
      <w:r w:rsidRPr="00A604E3">
        <w:rPr>
          <w:rFonts w:ascii="Calibri" w:eastAsia="Times New Roman" w:hAnsi="Calibri" w:cs="Times New Roman"/>
          <w:sz w:val="20"/>
          <w:szCs w:val="20"/>
        </w:rPr>
        <w:t xml:space="preserve"> </w:t>
      </w:r>
      <w:r>
        <w:rPr>
          <w:rFonts w:ascii="Calibri" w:eastAsia="Times New Roman" w:hAnsi="Calibri" w:cs="Times New Roman"/>
          <w:sz w:val="20"/>
          <w:szCs w:val="20"/>
        </w:rPr>
        <w:t>s</w:t>
      </w:r>
      <w:r w:rsidRPr="00A604E3">
        <w:rPr>
          <w:rFonts w:ascii="Calibri" w:eastAsia="Times New Roman" w:hAnsi="Calibri" w:cs="Times New Roman"/>
          <w:sz w:val="20"/>
          <w:szCs w:val="20"/>
        </w:rPr>
        <w:t>ešit H</w:t>
      </w:r>
      <w:r>
        <w:rPr>
          <w:rFonts w:ascii="Calibri" w:eastAsia="Times New Roman" w:hAnsi="Calibri" w:cs="Times New Roman"/>
          <w:sz w:val="20"/>
          <w:szCs w:val="20"/>
        </w:rPr>
        <w:t>:</w:t>
      </w:r>
      <w:r w:rsidRPr="00A604E3">
        <w:rPr>
          <w:rFonts w:ascii="Calibri" w:eastAsia="Times New Roman" w:hAnsi="Calibri" w:cs="Times New Roman"/>
          <w:sz w:val="20"/>
          <w:szCs w:val="20"/>
        </w:rPr>
        <w:t xml:space="preserve"> </w:t>
      </w:r>
      <w:r w:rsidRPr="009D6D78">
        <w:rPr>
          <w:rFonts w:ascii="Calibri" w:eastAsia="Times New Roman" w:hAnsi="Calibri" w:cs="Times New Roman"/>
          <w:i/>
          <w:sz w:val="20"/>
          <w:szCs w:val="20"/>
        </w:rPr>
        <w:t>Výsledky rozpočtového hospodaření kapitol</w:t>
      </w:r>
      <w:r>
        <w:rPr>
          <w:rFonts w:ascii="Calibri" w:eastAsia="Times New Roman" w:hAnsi="Calibri" w:cs="Times New Roman"/>
          <w:sz w:val="20"/>
          <w:szCs w:val="20"/>
        </w:rPr>
        <w:t>.</w:t>
      </w:r>
    </w:p>
  </w:footnote>
  <w:footnote w:id="9">
    <w:p w14:paraId="03AA1310" w14:textId="0162BE0B" w:rsidR="00646334" w:rsidRDefault="00646334" w:rsidP="003A5711">
      <w:pPr>
        <w:pStyle w:val="Textpoznpodarou"/>
        <w:ind w:left="284" w:hanging="284"/>
        <w:jc w:val="both"/>
      </w:pPr>
      <w:r>
        <w:rPr>
          <w:rStyle w:val="Znakapoznpodarou"/>
        </w:rPr>
        <w:footnoteRef/>
      </w:r>
      <w:r>
        <w:t xml:space="preserve"> </w:t>
      </w:r>
      <w:r>
        <w:tab/>
      </w:r>
      <w:r>
        <w:rPr>
          <w:rFonts w:ascii="Calibri" w:eastAsia="Calibri" w:hAnsi="Calibri" w:cs="Calibri"/>
          <w:color w:val="000000"/>
          <w:shd w:val="clear" w:color="auto" w:fill="FFFFFF"/>
        </w:rPr>
        <w:t>V</w:t>
      </w:r>
      <w:r w:rsidRPr="00A47A6A">
        <w:rPr>
          <w:rFonts w:ascii="Calibri" w:eastAsia="Calibri" w:hAnsi="Calibri" w:cs="Calibri"/>
          <w:color w:val="000000"/>
          <w:shd w:val="clear" w:color="auto" w:fill="FFFFFF"/>
        </w:rPr>
        <w:t>ýsluhový příspěvek</w:t>
      </w:r>
      <w:r>
        <w:rPr>
          <w:rFonts w:ascii="Calibri" w:eastAsia="Calibri" w:hAnsi="Calibri" w:cs="Calibri"/>
          <w:color w:val="000000"/>
          <w:shd w:val="clear" w:color="auto" w:fill="FFFFFF"/>
        </w:rPr>
        <w:t xml:space="preserve"> je upraven ustanovením</w:t>
      </w:r>
      <w:r w:rsidRPr="00A47A6A">
        <w:rPr>
          <w:rFonts w:ascii="Calibri" w:eastAsia="Calibri" w:hAnsi="Calibri" w:cs="Calibri"/>
          <w:color w:val="000000"/>
          <w:shd w:val="clear" w:color="auto" w:fill="FFFFFF"/>
        </w:rPr>
        <w:t xml:space="preserve"> § 158 zákona č. 361/2003 Sb.</w:t>
      </w:r>
      <w:r>
        <w:rPr>
          <w:rFonts w:ascii="Calibri" w:eastAsia="Calibri" w:hAnsi="Calibri" w:cs="Calibri"/>
          <w:color w:val="000000"/>
          <w:shd w:val="clear" w:color="auto" w:fill="FFFFFF"/>
        </w:rPr>
        <w:t>, o služebním poměru příslušníků bezpečnostních sborů.</w:t>
      </w:r>
      <w:r w:rsidRPr="00A47A6A">
        <w:rPr>
          <w:rFonts w:ascii="Calibri" w:eastAsia="Calibri" w:hAnsi="Calibri" w:cs="Calibri"/>
          <w:color w:val="000000"/>
          <w:shd w:val="clear" w:color="auto" w:fill="FFFFFF"/>
        </w:rPr>
        <w:t xml:space="preserve"> Na tuto dávku má nárok příslušník, který vykonával službu alespoň po dobu 15 let.</w:t>
      </w:r>
    </w:p>
  </w:footnote>
  <w:footnote w:id="10">
    <w:p w14:paraId="1E641E23" w14:textId="6F342E70" w:rsidR="00646334" w:rsidRDefault="00646334" w:rsidP="00CF75B3">
      <w:pPr>
        <w:pStyle w:val="Textpoznpodarou"/>
        <w:ind w:left="284" w:hanging="284"/>
      </w:pPr>
      <w:r>
        <w:rPr>
          <w:rStyle w:val="Znakapoznpodarou"/>
        </w:rPr>
        <w:footnoteRef/>
      </w:r>
      <w:r>
        <w:t xml:space="preserve"> </w:t>
      </w:r>
      <w:r>
        <w:tab/>
      </w:r>
      <w:r w:rsidRPr="00CF75B3">
        <w:rPr>
          <w:rFonts w:ascii="Calibri" w:eastAsia="Calibri" w:hAnsi="Calibri" w:cs="Calibri"/>
          <w:color w:val="000000"/>
          <w:shd w:val="clear" w:color="auto" w:fill="FFFFFF"/>
        </w:rPr>
        <w:t>Pro Prahu a Středočeský kraj má GIBS zřízeno společné dislokované pracoviště.</w:t>
      </w:r>
    </w:p>
  </w:footnote>
  <w:footnote w:id="11">
    <w:p w14:paraId="26832FEF" w14:textId="77777777" w:rsidR="00646334" w:rsidRDefault="00646334" w:rsidP="00442CA2">
      <w:pPr>
        <w:pStyle w:val="Textpoznpodarou"/>
        <w:ind w:left="284" w:hanging="284"/>
        <w:jc w:val="both"/>
      </w:pPr>
      <w:r>
        <w:rPr>
          <w:rStyle w:val="Znakapoznpodarou"/>
        </w:rPr>
        <w:footnoteRef/>
      </w:r>
      <w:r>
        <w:t xml:space="preserve"> </w:t>
      </w:r>
      <w:r>
        <w:tab/>
        <w:t>Data za rok 2020 nebyla do doby ukončení kontroly k dispozici.</w:t>
      </w:r>
    </w:p>
  </w:footnote>
  <w:footnote w:id="12">
    <w:p w14:paraId="11D2B187" w14:textId="482A70FF" w:rsidR="00646334" w:rsidRDefault="00646334" w:rsidP="00442CA2">
      <w:pPr>
        <w:pStyle w:val="Textpoznpodarou"/>
        <w:ind w:left="284" w:hanging="284"/>
        <w:jc w:val="both"/>
      </w:pPr>
      <w:r>
        <w:rPr>
          <w:rStyle w:val="Znakapoznpodarou"/>
        </w:rPr>
        <w:footnoteRef/>
      </w:r>
      <w:r>
        <w:t xml:space="preserve"> </w:t>
      </w:r>
      <w:r>
        <w:tab/>
        <w:t xml:space="preserve">Ve skutečnosti dle statistik Policie České republiky naopak počet policistů v období let 2017 až 2020 stagnoval. </w:t>
      </w:r>
    </w:p>
  </w:footnote>
  <w:footnote w:id="13">
    <w:p w14:paraId="5AF14961" w14:textId="6D892A5A" w:rsidR="00646334" w:rsidRDefault="00646334" w:rsidP="003A5711">
      <w:pPr>
        <w:pStyle w:val="Textpoznpodarou"/>
        <w:ind w:left="284" w:hanging="284"/>
        <w:jc w:val="both"/>
      </w:pPr>
      <w:r>
        <w:rPr>
          <w:rStyle w:val="Znakapoznpodarou"/>
        </w:rPr>
        <w:footnoteRef/>
      </w:r>
      <w:r>
        <w:t xml:space="preserve"> </w:t>
      </w:r>
      <w:r>
        <w:tab/>
      </w:r>
      <w:r w:rsidRPr="00A47A6A">
        <w:rPr>
          <w:rFonts w:ascii="Calibri" w:eastAsia="Calibri" w:hAnsi="Calibri" w:cs="Calibri"/>
        </w:rPr>
        <w:t>Jednorázov</w:t>
      </w:r>
      <w:r>
        <w:rPr>
          <w:rFonts w:ascii="Calibri" w:eastAsia="Calibri" w:hAnsi="Calibri" w:cs="Calibri"/>
        </w:rPr>
        <w:t xml:space="preserve">á </w:t>
      </w:r>
      <w:r w:rsidRPr="00A47A6A">
        <w:rPr>
          <w:rFonts w:ascii="Calibri" w:eastAsia="Calibri" w:hAnsi="Calibri" w:cs="Calibri"/>
        </w:rPr>
        <w:t>dávk</w:t>
      </w:r>
      <w:r>
        <w:rPr>
          <w:rFonts w:ascii="Calibri" w:eastAsia="Calibri" w:hAnsi="Calibri" w:cs="Calibri"/>
        </w:rPr>
        <w:t>a</w:t>
      </w:r>
      <w:r w:rsidRPr="00A47A6A">
        <w:rPr>
          <w:rFonts w:ascii="Calibri" w:eastAsia="Calibri" w:hAnsi="Calibri" w:cs="Calibri"/>
        </w:rPr>
        <w:t>, kterou příslušníci pobírají při ukončení služebního poměru podle</w:t>
      </w:r>
      <w:r>
        <w:rPr>
          <w:rFonts w:ascii="Calibri" w:eastAsia="Calibri" w:hAnsi="Calibri" w:cs="Calibri"/>
        </w:rPr>
        <w:t xml:space="preserve"> ustanovení</w:t>
      </w:r>
      <w:r w:rsidRPr="00A47A6A">
        <w:rPr>
          <w:rFonts w:ascii="Calibri" w:eastAsia="Calibri" w:hAnsi="Calibri" w:cs="Calibri"/>
        </w:rPr>
        <w:t xml:space="preserve"> </w:t>
      </w:r>
      <w:r>
        <w:rPr>
          <w:rFonts w:ascii="Calibri" w:eastAsia="Calibri" w:hAnsi="Calibri" w:cs="Calibri"/>
          <w:color w:val="000000"/>
          <w:shd w:val="clear" w:color="auto" w:fill="FFFFFF"/>
        </w:rPr>
        <w:t>§ 156 zákona č. </w:t>
      </w:r>
      <w:r w:rsidRPr="00A47A6A">
        <w:rPr>
          <w:rFonts w:ascii="Calibri" w:eastAsia="Calibri" w:hAnsi="Calibri" w:cs="Calibri"/>
          <w:color w:val="000000"/>
          <w:shd w:val="clear" w:color="auto" w:fill="FFFFFF"/>
        </w:rPr>
        <w:t xml:space="preserve">361/2003 Sb., na které má nárok příslušník, který vykonával službu alespoň po dobu </w:t>
      </w:r>
      <w:r>
        <w:rPr>
          <w:rFonts w:ascii="Calibri" w:eastAsia="Calibri" w:hAnsi="Calibri" w:cs="Calibri"/>
          <w:color w:val="000000"/>
          <w:shd w:val="clear" w:color="auto" w:fill="FFFFFF"/>
        </w:rPr>
        <w:t>šesti</w:t>
      </w:r>
      <w:r w:rsidRPr="00A47A6A">
        <w:rPr>
          <w:rFonts w:ascii="Calibri" w:eastAsia="Calibri" w:hAnsi="Calibri" w:cs="Calibri"/>
          <w:color w:val="000000"/>
          <w:shd w:val="clear" w:color="auto" w:fill="FFFFFF"/>
        </w:rPr>
        <w:t xml:space="preserve"> let</w:t>
      </w:r>
      <w:r>
        <w:rPr>
          <w:rFonts w:ascii="Calibri" w:eastAsia="Calibri" w:hAnsi="Calibri" w:cs="Calibri"/>
          <w:color w:val="000000"/>
          <w:shd w:val="clear" w:color="auto" w:fill="FFFFFF"/>
        </w:rPr>
        <w:t>.</w:t>
      </w:r>
    </w:p>
  </w:footnote>
  <w:footnote w:id="14">
    <w:p w14:paraId="7598F70F" w14:textId="77777777" w:rsidR="00646334" w:rsidRDefault="00646334" w:rsidP="003A5711">
      <w:pPr>
        <w:pStyle w:val="Textpoznpodarou"/>
        <w:ind w:left="284" w:hanging="284"/>
      </w:pPr>
      <w:r>
        <w:rPr>
          <w:rStyle w:val="Znakapoznpodarou"/>
        </w:rPr>
        <w:footnoteRef/>
      </w:r>
      <w:r>
        <w:t xml:space="preserve"> </w:t>
      </w:r>
      <w:r>
        <w:tab/>
        <w:t>P</w:t>
      </w:r>
      <w:r w:rsidRPr="00A47A6A">
        <w:rPr>
          <w:rFonts w:ascii="Calibri" w:eastAsia="Calibri" w:hAnsi="Calibri" w:cs="Calibri"/>
          <w:color w:val="000000"/>
          <w:shd w:val="clear" w:color="auto" w:fill="FFFFFF"/>
        </w:rPr>
        <w:t>okud je vyšší</w:t>
      </w:r>
      <w:r>
        <w:rPr>
          <w:rFonts w:ascii="Calibri" w:eastAsia="Calibri" w:hAnsi="Calibri" w:cs="Calibri"/>
          <w:color w:val="000000"/>
          <w:shd w:val="clear" w:color="auto" w:fill="FFFFFF"/>
        </w:rPr>
        <w:t xml:space="preserve"> </w:t>
      </w:r>
      <w:r w:rsidRPr="00A47A6A">
        <w:rPr>
          <w:rFonts w:ascii="Calibri" w:eastAsia="Calibri" w:hAnsi="Calibri" w:cs="Calibri"/>
          <w:color w:val="000000"/>
          <w:shd w:val="clear" w:color="auto" w:fill="FFFFFF"/>
        </w:rPr>
        <w:t xml:space="preserve">než vypočítaný důchod, vyplácí se rozdíl mezi výsluhou a důchodem i </w:t>
      </w:r>
      <w:r>
        <w:rPr>
          <w:rFonts w:ascii="Calibri" w:eastAsia="Calibri" w:hAnsi="Calibri" w:cs="Calibri"/>
          <w:color w:val="000000"/>
          <w:shd w:val="clear" w:color="auto" w:fill="FFFFFF"/>
        </w:rPr>
        <w:t>v dalším období.</w:t>
      </w:r>
    </w:p>
  </w:footnote>
  <w:footnote w:id="15">
    <w:p w14:paraId="4D57689C" w14:textId="76765E7C" w:rsidR="00646334" w:rsidRDefault="00646334" w:rsidP="0051336B">
      <w:pPr>
        <w:pStyle w:val="Textpoznpodarou"/>
        <w:ind w:left="284" w:hanging="284"/>
      </w:pPr>
      <w:r>
        <w:rPr>
          <w:rStyle w:val="Znakapoznpodarou"/>
        </w:rPr>
        <w:footnoteRef/>
      </w:r>
      <w:r>
        <w:t xml:space="preserve"> </w:t>
      </w:r>
      <w:r>
        <w:tab/>
        <w:t xml:space="preserve">Podprogram 176 102 – </w:t>
      </w:r>
      <w:r w:rsidRPr="009D6D78">
        <w:rPr>
          <w:i/>
        </w:rPr>
        <w:t>Materiálně technické zabezpečení</w:t>
      </w:r>
      <w:r>
        <w:t>.</w:t>
      </w:r>
    </w:p>
  </w:footnote>
  <w:footnote w:id="16">
    <w:p w14:paraId="617D0AFD" w14:textId="7F6BA91A" w:rsidR="00646334" w:rsidRDefault="00646334" w:rsidP="005B0E1F">
      <w:pPr>
        <w:pStyle w:val="Textpoznpodarou"/>
        <w:ind w:left="284" w:hanging="284"/>
      </w:pPr>
      <w:r>
        <w:rPr>
          <w:rStyle w:val="Znakapoznpodarou"/>
        </w:rPr>
        <w:footnoteRef/>
      </w:r>
      <w:r>
        <w:t xml:space="preserve"> </w:t>
      </w:r>
      <w:r>
        <w:tab/>
        <w:t xml:space="preserve">Podprogram 176 202 – </w:t>
      </w:r>
      <w:r w:rsidRPr="009D6D78">
        <w:rPr>
          <w:i/>
        </w:rPr>
        <w:t>Materiálně technické zabezpečení</w:t>
      </w:r>
      <w:r>
        <w:t>.</w:t>
      </w:r>
    </w:p>
  </w:footnote>
  <w:footnote w:id="17">
    <w:p w14:paraId="11B05D38" w14:textId="36283AC1" w:rsidR="00646334" w:rsidRPr="0010359B" w:rsidRDefault="00646334" w:rsidP="005B0E1F">
      <w:pPr>
        <w:pStyle w:val="Textpoznpodarou"/>
        <w:ind w:left="284" w:hanging="284"/>
      </w:pPr>
      <w:r>
        <w:rPr>
          <w:rStyle w:val="Znakapoznpodarou"/>
        </w:rPr>
        <w:footnoteRef/>
      </w:r>
      <w:r>
        <w:t xml:space="preserve"> </w:t>
      </w:r>
      <w:r>
        <w:tab/>
        <w:t xml:space="preserve">Plnění </w:t>
      </w:r>
      <w:r w:rsidRPr="0010359B">
        <w:t>bylo vypočítáno z přehledu nákladů na provoz ubytovací</w:t>
      </w:r>
      <w:r>
        <w:t>ho</w:t>
      </w:r>
      <w:r w:rsidRPr="0010359B">
        <w:t xml:space="preserve"> zařízení</w:t>
      </w:r>
      <w:r>
        <w:t>.</w:t>
      </w:r>
    </w:p>
  </w:footnote>
  <w:footnote w:id="18">
    <w:p w14:paraId="5E5FF286" w14:textId="2A2B8701" w:rsidR="00646334" w:rsidRDefault="00646334" w:rsidP="005B0E1F">
      <w:pPr>
        <w:pStyle w:val="Textpoznpodarou"/>
        <w:ind w:left="284" w:hanging="284"/>
      </w:pPr>
      <w:r>
        <w:rPr>
          <w:rStyle w:val="Znakapoznpodarou"/>
        </w:rPr>
        <w:footnoteRef/>
      </w:r>
      <w:r>
        <w:t xml:space="preserve"> </w:t>
      </w:r>
      <w:r>
        <w:tab/>
        <w:t>Pro Prahu a Středočeský kraj má GIBS zřízeno společné dislokované pracoviště.</w:t>
      </w:r>
    </w:p>
  </w:footnote>
  <w:footnote w:id="19">
    <w:p w14:paraId="110C28E1" w14:textId="419C8775" w:rsidR="00646334" w:rsidRPr="00FC0684" w:rsidRDefault="00646334" w:rsidP="00A2524F">
      <w:pPr>
        <w:pStyle w:val="Textpoznpodarou"/>
        <w:ind w:left="284" w:hanging="284"/>
      </w:pPr>
      <w:r w:rsidRPr="00FC0684">
        <w:rPr>
          <w:rStyle w:val="Znakapoznpodarou"/>
        </w:rPr>
        <w:footnoteRef/>
      </w:r>
      <w:r>
        <w:t xml:space="preserve"> </w:t>
      </w:r>
      <w:r>
        <w:tab/>
      </w:r>
      <w:r w:rsidRPr="00FC0684">
        <w:t>Usnesení vlády Č</w:t>
      </w:r>
      <w:r>
        <w:t>R</w:t>
      </w:r>
      <w:r w:rsidRPr="00FC0684">
        <w:t xml:space="preserve"> ze dne 29. března 2017 č. 228</w:t>
      </w:r>
      <w:r>
        <w:t>,</w:t>
      </w:r>
      <w:r w:rsidRPr="00FC0684">
        <w:t xml:space="preserve"> </w:t>
      </w:r>
      <w:r w:rsidRPr="009D6D78">
        <w:rPr>
          <w:i/>
        </w:rPr>
        <w:t>o nařízení vlády, kterým se mění nařízení vlády č. 330/2016 Sb., kterým se stanoví stupnice základních tarifů pro příslušníky bezpečnostních sborů pro rok 2017</w:t>
      </w:r>
      <w:r w:rsidRPr="00FC0684">
        <w:t>.</w:t>
      </w:r>
    </w:p>
  </w:footnote>
  <w:footnote w:id="20">
    <w:p w14:paraId="1A8903A0" w14:textId="425AD07F" w:rsidR="00646334" w:rsidRPr="00FC0684" w:rsidRDefault="00646334" w:rsidP="00A2524F">
      <w:pPr>
        <w:pStyle w:val="Textpoznpodarou"/>
        <w:ind w:left="284" w:hanging="284"/>
      </w:pPr>
      <w:r w:rsidRPr="00FC0684">
        <w:rPr>
          <w:rStyle w:val="Znakapoznpodarou"/>
        </w:rPr>
        <w:footnoteRef/>
      </w:r>
      <w:r>
        <w:t xml:space="preserve"> </w:t>
      </w:r>
      <w:r>
        <w:tab/>
      </w:r>
      <w:r w:rsidRPr="00FC0684">
        <w:t>Usnesení vlády Č</w:t>
      </w:r>
      <w:r>
        <w:t>R</w:t>
      </w:r>
      <w:r w:rsidRPr="00FC0684">
        <w:t xml:space="preserve"> ze dne 25. září 2017 č. 674</w:t>
      </w:r>
      <w:r>
        <w:t>,</w:t>
      </w:r>
      <w:r w:rsidRPr="00FC0684">
        <w:t xml:space="preserve"> </w:t>
      </w:r>
      <w:r w:rsidRPr="009D6D78">
        <w:rPr>
          <w:i/>
        </w:rPr>
        <w:t xml:space="preserve">k návrhu zákona o státním rozpočtu České republiky na rok 2018 a k návrhům střednědobého výhledu státního rozpočtu České republiky na léta 2019 </w:t>
      </w:r>
      <w:r w:rsidRPr="009D6D78">
        <w:rPr>
          <w:i/>
        </w:rPr>
        <w:br/>
        <w:t>a 2020</w:t>
      </w:r>
      <w:r w:rsidRPr="00FC0684">
        <w:t>.</w:t>
      </w:r>
    </w:p>
  </w:footnote>
  <w:footnote w:id="21">
    <w:p w14:paraId="155CDA55" w14:textId="30FD7772" w:rsidR="00646334" w:rsidRPr="00FC0684" w:rsidRDefault="00646334" w:rsidP="00A2524F">
      <w:pPr>
        <w:pStyle w:val="Textpoznpodarou"/>
        <w:ind w:left="284" w:hanging="284"/>
      </w:pPr>
      <w:r w:rsidRPr="00FC0684">
        <w:rPr>
          <w:rStyle w:val="Znakapoznpodarou"/>
        </w:rPr>
        <w:footnoteRef/>
      </w:r>
      <w:r>
        <w:t xml:space="preserve"> </w:t>
      </w:r>
      <w:r>
        <w:tab/>
      </w:r>
      <w:r w:rsidRPr="00FC0684">
        <w:t>Usnesení vlády Č</w:t>
      </w:r>
      <w:r>
        <w:t>R</w:t>
      </w:r>
      <w:r w:rsidRPr="00FC0684">
        <w:t xml:space="preserve"> ze dne 30. září 2019 č. 694</w:t>
      </w:r>
      <w:r>
        <w:t>,</w:t>
      </w:r>
      <w:r w:rsidRPr="00FC0684">
        <w:t xml:space="preserve"> </w:t>
      </w:r>
      <w:r w:rsidRPr="009D6D78">
        <w:rPr>
          <w:i/>
        </w:rPr>
        <w:t xml:space="preserve">o uvolnění finančních prostředků z kapitoly </w:t>
      </w:r>
      <w:r w:rsidRPr="009D6D78">
        <w:rPr>
          <w:i/>
        </w:rPr>
        <w:br/>
        <w:t>398 – Všeobecná pokladní správa, položka Vládní rozpočtová rezerva ve prospěch kapitoly 376 – Generální inspekce bezpečnostních sborů a na změnu systemizace Generální inspekce bezpečnostních sborů pro rok 2019 v oblasti služebních příjmů</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2485" w14:textId="77777777" w:rsidR="006F2558" w:rsidRDefault="006F25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4D0E" w14:textId="77777777" w:rsidR="00646334" w:rsidRDefault="00646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4CBA" w14:textId="77777777" w:rsidR="006F2558" w:rsidRDefault="006F25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291"/>
    <w:multiLevelType w:val="hybridMultilevel"/>
    <w:tmpl w:val="DF008CDE"/>
    <w:lvl w:ilvl="0" w:tplc="6848E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414884"/>
    <w:multiLevelType w:val="hybridMultilevel"/>
    <w:tmpl w:val="2536D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601776"/>
    <w:multiLevelType w:val="hybridMultilevel"/>
    <w:tmpl w:val="D9D66276"/>
    <w:lvl w:ilvl="0" w:tplc="0405000B">
      <w:start w:val="1"/>
      <w:numFmt w:val="bullet"/>
      <w:lvlText w:val=""/>
      <w:lvlJc w:val="left"/>
      <w:pPr>
        <w:ind w:left="709" w:hanging="360"/>
      </w:pPr>
      <w:rPr>
        <w:rFonts w:ascii="Wingdings" w:hAnsi="Wingdings"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3" w15:restartNumberingAfterBreak="0">
    <w:nsid w:val="670C0BED"/>
    <w:multiLevelType w:val="hybridMultilevel"/>
    <w:tmpl w:val="1D16361E"/>
    <w:lvl w:ilvl="0" w:tplc="635A0228">
      <w:start w:val="1"/>
      <w:numFmt w:val="decimal"/>
      <w:lvlText w:val="%1."/>
      <w:lvlJc w:val="left"/>
      <w:pPr>
        <w:ind w:left="349" w:hanging="360"/>
      </w:pPr>
      <w:rPr>
        <w:rFonts w:asciiTheme="minorHAnsi" w:eastAsiaTheme="minorHAnsi" w:hAnsiTheme="minorHAnsi" w:cstheme="minorBidi"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7"/>
    <w:rsid w:val="00001210"/>
    <w:rsid w:val="0000208F"/>
    <w:rsid w:val="00004DF8"/>
    <w:rsid w:val="0001115B"/>
    <w:rsid w:val="00016CE8"/>
    <w:rsid w:val="00017ECB"/>
    <w:rsid w:val="0002026C"/>
    <w:rsid w:val="00023972"/>
    <w:rsid w:val="00023D7A"/>
    <w:rsid w:val="00027D35"/>
    <w:rsid w:val="0003143E"/>
    <w:rsid w:val="00031506"/>
    <w:rsid w:val="00035B7E"/>
    <w:rsid w:val="0004714A"/>
    <w:rsid w:val="00047542"/>
    <w:rsid w:val="00047AB0"/>
    <w:rsid w:val="00051D79"/>
    <w:rsid w:val="00053716"/>
    <w:rsid w:val="00054247"/>
    <w:rsid w:val="00061DC6"/>
    <w:rsid w:val="00061E04"/>
    <w:rsid w:val="0006271D"/>
    <w:rsid w:val="000656A1"/>
    <w:rsid w:val="00067312"/>
    <w:rsid w:val="000673AD"/>
    <w:rsid w:val="00075313"/>
    <w:rsid w:val="000774BF"/>
    <w:rsid w:val="00077A47"/>
    <w:rsid w:val="00080CE2"/>
    <w:rsid w:val="0008300D"/>
    <w:rsid w:val="00083278"/>
    <w:rsid w:val="000864F5"/>
    <w:rsid w:val="000900F6"/>
    <w:rsid w:val="00091A40"/>
    <w:rsid w:val="000941B8"/>
    <w:rsid w:val="000A2052"/>
    <w:rsid w:val="000A26E4"/>
    <w:rsid w:val="000B4C2A"/>
    <w:rsid w:val="000B69C0"/>
    <w:rsid w:val="000C0E1E"/>
    <w:rsid w:val="000C38A8"/>
    <w:rsid w:val="000C3BA1"/>
    <w:rsid w:val="000C5F46"/>
    <w:rsid w:val="000C6E0F"/>
    <w:rsid w:val="000D67AF"/>
    <w:rsid w:val="000D788C"/>
    <w:rsid w:val="000D7DE3"/>
    <w:rsid w:val="000F2D12"/>
    <w:rsid w:val="00100C02"/>
    <w:rsid w:val="00101E8C"/>
    <w:rsid w:val="00106095"/>
    <w:rsid w:val="001116AB"/>
    <w:rsid w:val="001165A0"/>
    <w:rsid w:val="0013137A"/>
    <w:rsid w:val="00132695"/>
    <w:rsid w:val="00134658"/>
    <w:rsid w:val="001402C4"/>
    <w:rsid w:val="0014109A"/>
    <w:rsid w:val="001433E2"/>
    <w:rsid w:val="0014481B"/>
    <w:rsid w:val="001455A9"/>
    <w:rsid w:val="001463E1"/>
    <w:rsid w:val="001509CF"/>
    <w:rsid w:val="00150F80"/>
    <w:rsid w:val="00152D59"/>
    <w:rsid w:val="00161ADE"/>
    <w:rsid w:val="00163186"/>
    <w:rsid w:val="0016622C"/>
    <w:rsid w:val="0017119D"/>
    <w:rsid w:val="0017318F"/>
    <w:rsid w:val="001830EC"/>
    <w:rsid w:val="00193C49"/>
    <w:rsid w:val="00194AA8"/>
    <w:rsid w:val="001A38F6"/>
    <w:rsid w:val="001A4501"/>
    <w:rsid w:val="001B194A"/>
    <w:rsid w:val="001C1458"/>
    <w:rsid w:val="001C169E"/>
    <w:rsid w:val="001C1C66"/>
    <w:rsid w:val="001C2324"/>
    <w:rsid w:val="001C4F91"/>
    <w:rsid w:val="001C518F"/>
    <w:rsid w:val="001D0138"/>
    <w:rsid w:val="001D145C"/>
    <w:rsid w:val="001E249C"/>
    <w:rsid w:val="001E413D"/>
    <w:rsid w:val="001F411F"/>
    <w:rsid w:val="001F5C8F"/>
    <w:rsid w:val="001F6E21"/>
    <w:rsid w:val="001F7CCC"/>
    <w:rsid w:val="00202445"/>
    <w:rsid w:val="0020376B"/>
    <w:rsid w:val="002040A9"/>
    <w:rsid w:val="002122D0"/>
    <w:rsid w:val="00221DB1"/>
    <w:rsid w:val="002238B9"/>
    <w:rsid w:val="00226F10"/>
    <w:rsid w:val="00231BB9"/>
    <w:rsid w:val="002340E8"/>
    <w:rsid w:val="00235CC5"/>
    <w:rsid w:val="00236179"/>
    <w:rsid w:val="00236D75"/>
    <w:rsid w:val="0023767B"/>
    <w:rsid w:val="00237DA8"/>
    <w:rsid w:val="002405F5"/>
    <w:rsid w:val="00242E46"/>
    <w:rsid w:val="0024394C"/>
    <w:rsid w:val="00243E7E"/>
    <w:rsid w:val="00245B76"/>
    <w:rsid w:val="002468CE"/>
    <w:rsid w:val="00253E56"/>
    <w:rsid w:val="00255CB5"/>
    <w:rsid w:val="00265657"/>
    <w:rsid w:val="002750FC"/>
    <w:rsid w:val="0027599B"/>
    <w:rsid w:val="00276DF5"/>
    <w:rsid w:val="00280AED"/>
    <w:rsid w:val="00283138"/>
    <w:rsid w:val="00283161"/>
    <w:rsid w:val="00290A7E"/>
    <w:rsid w:val="0029172D"/>
    <w:rsid w:val="002939F8"/>
    <w:rsid w:val="00294899"/>
    <w:rsid w:val="0029629F"/>
    <w:rsid w:val="002A0DB0"/>
    <w:rsid w:val="002A5267"/>
    <w:rsid w:val="002B04DD"/>
    <w:rsid w:val="002B67C8"/>
    <w:rsid w:val="002C3C10"/>
    <w:rsid w:val="002C59F5"/>
    <w:rsid w:val="002D104A"/>
    <w:rsid w:val="002D3A76"/>
    <w:rsid w:val="002D3B66"/>
    <w:rsid w:val="002D43EB"/>
    <w:rsid w:val="002D5242"/>
    <w:rsid w:val="002E1310"/>
    <w:rsid w:val="002E1520"/>
    <w:rsid w:val="002E173D"/>
    <w:rsid w:val="002E5E2A"/>
    <w:rsid w:val="002E66BB"/>
    <w:rsid w:val="002F40AF"/>
    <w:rsid w:val="002F4CBD"/>
    <w:rsid w:val="002F4FB9"/>
    <w:rsid w:val="002F7011"/>
    <w:rsid w:val="002F70BE"/>
    <w:rsid w:val="00304153"/>
    <w:rsid w:val="003044CF"/>
    <w:rsid w:val="00305191"/>
    <w:rsid w:val="00306FEA"/>
    <w:rsid w:val="003145B3"/>
    <w:rsid w:val="00316BBB"/>
    <w:rsid w:val="00324BEC"/>
    <w:rsid w:val="0032791C"/>
    <w:rsid w:val="00330CD9"/>
    <w:rsid w:val="0033353D"/>
    <w:rsid w:val="00340619"/>
    <w:rsid w:val="00340A03"/>
    <w:rsid w:val="00344B8B"/>
    <w:rsid w:val="003501F7"/>
    <w:rsid w:val="0035030A"/>
    <w:rsid w:val="00354F5C"/>
    <w:rsid w:val="00356B44"/>
    <w:rsid w:val="00356BC8"/>
    <w:rsid w:val="00362444"/>
    <w:rsid w:val="00362F97"/>
    <w:rsid w:val="00364496"/>
    <w:rsid w:val="00365AB5"/>
    <w:rsid w:val="00372A1C"/>
    <w:rsid w:val="00385DB1"/>
    <w:rsid w:val="003A5711"/>
    <w:rsid w:val="003B3A4E"/>
    <w:rsid w:val="003B5364"/>
    <w:rsid w:val="003C2C22"/>
    <w:rsid w:val="003C33B0"/>
    <w:rsid w:val="003C639E"/>
    <w:rsid w:val="003D5815"/>
    <w:rsid w:val="003D6194"/>
    <w:rsid w:val="003D7AA4"/>
    <w:rsid w:val="003D7F2E"/>
    <w:rsid w:val="003D7F40"/>
    <w:rsid w:val="003E2630"/>
    <w:rsid w:val="003E5724"/>
    <w:rsid w:val="003E60F0"/>
    <w:rsid w:val="003E7AAA"/>
    <w:rsid w:val="003F0330"/>
    <w:rsid w:val="003F55A3"/>
    <w:rsid w:val="003F7F41"/>
    <w:rsid w:val="00401281"/>
    <w:rsid w:val="00406DC8"/>
    <w:rsid w:val="00407B38"/>
    <w:rsid w:val="004153E8"/>
    <w:rsid w:val="00417F00"/>
    <w:rsid w:val="00421F65"/>
    <w:rsid w:val="00422C93"/>
    <w:rsid w:val="00427012"/>
    <w:rsid w:val="004310F4"/>
    <w:rsid w:val="004318A3"/>
    <w:rsid w:val="00435B7C"/>
    <w:rsid w:val="0043670D"/>
    <w:rsid w:val="00436EDE"/>
    <w:rsid w:val="00437D97"/>
    <w:rsid w:val="004425EB"/>
    <w:rsid w:val="00442CA2"/>
    <w:rsid w:val="00447118"/>
    <w:rsid w:val="00450CE7"/>
    <w:rsid w:val="00451D71"/>
    <w:rsid w:val="00453E50"/>
    <w:rsid w:val="00460D6B"/>
    <w:rsid w:val="00462366"/>
    <w:rsid w:val="00463519"/>
    <w:rsid w:val="00466BF4"/>
    <w:rsid w:val="004755C0"/>
    <w:rsid w:val="004822FE"/>
    <w:rsid w:val="00484348"/>
    <w:rsid w:val="0048537C"/>
    <w:rsid w:val="004879D0"/>
    <w:rsid w:val="00492D11"/>
    <w:rsid w:val="0049499D"/>
    <w:rsid w:val="0049742E"/>
    <w:rsid w:val="004A32C3"/>
    <w:rsid w:val="004A745B"/>
    <w:rsid w:val="004B2236"/>
    <w:rsid w:val="004B2715"/>
    <w:rsid w:val="004B2FAB"/>
    <w:rsid w:val="004B31A2"/>
    <w:rsid w:val="004C10F5"/>
    <w:rsid w:val="004C3BFA"/>
    <w:rsid w:val="004D351E"/>
    <w:rsid w:val="004E292C"/>
    <w:rsid w:val="004E40A9"/>
    <w:rsid w:val="004F0686"/>
    <w:rsid w:val="004F15E2"/>
    <w:rsid w:val="004F16D1"/>
    <w:rsid w:val="004F4E2A"/>
    <w:rsid w:val="00506A6E"/>
    <w:rsid w:val="00512015"/>
    <w:rsid w:val="0051336B"/>
    <w:rsid w:val="00514FEB"/>
    <w:rsid w:val="005169BF"/>
    <w:rsid w:val="00516CBA"/>
    <w:rsid w:val="005172ED"/>
    <w:rsid w:val="005408B3"/>
    <w:rsid w:val="00540954"/>
    <w:rsid w:val="00540D2B"/>
    <w:rsid w:val="0054513F"/>
    <w:rsid w:val="00546AF6"/>
    <w:rsid w:val="00547C25"/>
    <w:rsid w:val="00547C75"/>
    <w:rsid w:val="00550061"/>
    <w:rsid w:val="00551F5D"/>
    <w:rsid w:val="00565126"/>
    <w:rsid w:val="005820AA"/>
    <w:rsid w:val="005838CD"/>
    <w:rsid w:val="00583961"/>
    <w:rsid w:val="00592BA9"/>
    <w:rsid w:val="00593E4E"/>
    <w:rsid w:val="005A0097"/>
    <w:rsid w:val="005A1795"/>
    <w:rsid w:val="005B0E1F"/>
    <w:rsid w:val="005B15F5"/>
    <w:rsid w:val="005B369B"/>
    <w:rsid w:val="005C0ADC"/>
    <w:rsid w:val="005C0E9B"/>
    <w:rsid w:val="005D071F"/>
    <w:rsid w:val="005D4CFA"/>
    <w:rsid w:val="005E1D94"/>
    <w:rsid w:val="005E6E2D"/>
    <w:rsid w:val="005E7E5F"/>
    <w:rsid w:val="005F3207"/>
    <w:rsid w:val="005F52D4"/>
    <w:rsid w:val="005F72CE"/>
    <w:rsid w:val="005F765A"/>
    <w:rsid w:val="005F77C6"/>
    <w:rsid w:val="00602B8A"/>
    <w:rsid w:val="00606950"/>
    <w:rsid w:val="00606A72"/>
    <w:rsid w:val="00613A9B"/>
    <w:rsid w:val="00615EF5"/>
    <w:rsid w:val="0063045B"/>
    <w:rsid w:val="00631059"/>
    <w:rsid w:val="006421C0"/>
    <w:rsid w:val="006426CB"/>
    <w:rsid w:val="006430E0"/>
    <w:rsid w:val="00646334"/>
    <w:rsid w:val="006605A3"/>
    <w:rsid w:val="0066138A"/>
    <w:rsid w:val="0066154B"/>
    <w:rsid w:val="00662177"/>
    <w:rsid w:val="00662D19"/>
    <w:rsid w:val="006654FE"/>
    <w:rsid w:val="00666F0D"/>
    <w:rsid w:val="00671593"/>
    <w:rsid w:val="0067490D"/>
    <w:rsid w:val="00680773"/>
    <w:rsid w:val="00683F8D"/>
    <w:rsid w:val="00684276"/>
    <w:rsid w:val="0068753E"/>
    <w:rsid w:val="00693348"/>
    <w:rsid w:val="006948DF"/>
    <w:rsid w:val="00695B3E"/>
    <w:rsid w:val="006A40E5"/>
    <w:rsid w:val="006A71A0"/>
    <w:rsid w:val="006B5240"/>
    <w:rsid w:val="006C2D32"/>
    <w:rsid w:val="006D08BF"/>
    <w:rsid w:val="006D251A"/>
    <w:rsid w:val="006D6AB7"/>
    <w:rsid w:val="006E0D29"/>
    <w:rsid w:val="006E2675"/>
    <w:rsid w:val="006E2CC6"/>
    <w:rsid w:val="006E409D"/>
    <w:rsid w:val="006E5826"/>
    <w:rsid w:val="006E6E10"/>
    <w:rsid w:val="006E707F"/>
    <w:rsid w:val="006F035B"/>
    <w:rsid w:val="006F0CD9"/>
    <w:rsid w:val="006F1E69"/>
    <w:rsid w:val="006F2558"/>
    <w:rsid w:val="006F4749"/>
    <w:rsid w:val="006F5EFD"/>
    <w:rsid w:val="00702E43"/>
    <w:rsid w:val="00703ADF"/>
    <w:rsid w:val="0070664A"/>
    <w:rsid w:val="0071320E"/>
    <w:rsid w:val="00713A76"/>
    <w:rsid w:val="00716314"/>
    <w:rsid w:val="007170DC"/>
    <w:rsid w:val="00721DA8"/>
    <w:rsid w:val="00722CFA"/>
    <w:rsid w:val="0074097E"/>
    <w:rsid w:val="0074108D"/>
    <w:rsid w:val="00743620"/>
    <w:rsid w:val="007534A8"/>
    <w:rsid w:val="00753805"/>
    <w:rsid w:val="00755E18"/>
    <w:rsid w:val="00761604"/>
    <w:rsid w:val="0076490B"/>
    <w:rsid w:val="0076500B"/>
    <w:rsid w:val="00780DBF"/>
    <w:rsid w:val="00781DB2"/>
    <w:rsid w:val="007867A5"/>
    <w:rsid w:val="007945EA"/>
    <w:rsid w:val="007957D7"/>
    <w:rsid w:val="00796F40"/>
    <w:rsid w:val="007A00A7"/>
    <w:rsid w:val="007A1EB2"/>
    <w:rsid w:val="007A65F9"/>
    <w:rsid w:val="007B1E85"/>
    <w:rsid w:val="007B4FE6"/>
    <w:rsid w:val="007C2099"/>
    <w:rsid w:val="007C3E0C"/>
    <w:rsid w:val="007C4ABE"/>
    <w:rsid w:val="007D0FC8"/>
    <w:rsid w:val="007D68B1"/>
    <w:rsid w:val="007E0076"/>
    <w:rsid w:val="007E468D"/>
    <w:rsid w:val="007F02E4"/>
    <w:rsid w:val="007F238B"/>
    <w:rsid w:val="007F7947"/>
    <w:rsid w:val="00800C91"/>
    <w:rsid w:val="00811105"/>
    <w:rsid w:val="00811CAB"/>
    <w:rsid w:val="0081537D"/>
    <w:rsid w:val="00815B66"/>
    <w:rsid w:val="008212CB"/>
    <w:rsid w:val="008223C6"/>
    <w:rsid w:val="00824CCD"/>
    <w:rsid w:val="00826882"/>
    <w:rsid w:val="0082782A"/>
    <w:rsid w:val="008278DA"/>
    <w:rsid w:val="008278EB"/>
    <w:rsid w:val="008308BE"/>
    <w:rsid w:val="00832540"/>
    <w:rsid w:val="00845BC5"/>
    <w:rsid w:val="008547F2"/>
    <w:rsid w:val="00862E37"/>
    <w:rsid w:val="00865B39"/>
    <w:rsid w:val="00867CA2"/>
    <w:rsid w:val="008719B7"/>
    <w:rsid w:val="00872D44"/>
    <w:rsid w:val="0087375E"/>
    <w:rsid w:val="008776F3"/>
    <w:rsid w:val="00881169"/>
    <w:rsid w:val="008813E6"/>
    <w:rsid w:val="0088360E"/>
    <w:rsid w:val="00883CE5"/>
    <w:rsid w:val="008862CB"/>
    <w:rsid w:val="0089055F"/>
    <w:rsid w:val="00891EF0"/>
    <w:rsid w:val="00895E8E"/>
    <w:rsid w:val="008960CC"/>
    <w:rsid w:val="008A06E2"/>
    <w:rsid w:val="008A4029"/>
    <w:rsid w:val="008A4855"/>
    <w:rsid w:val="008A713B"/>
    <w:rsid w:val="008B23D4"/>
    <w:rsid w:val="008B3E85"/>
    <w:rsid w:val="008B61A1"/>
    <w:rsid w:val="008B705C"/>
    <w:rsid w:val="008C0A58"/>
    <w:rsid w:val="008C0C3E"/>
    <w:rsid w:val="008D66E5"/>
    <w:rsid w:val="008D7B14"/>
    <w:rsid w:val="008E2B93"/>
    <w:rsid w:val="008F30C1"/>
    <w:rsid w:val="008F38CF"/>
    <w:rsid w:val="008F3F83"/>
    <w:rsid w:val="008F5C3B"/>
    <w:rsid w:val="00901C8C"/>
    <w:rsid w:val="00903DF3"/>
    <w:rsid w:val="00916022"/>
    <w:rsid w:val="00922242"/>
    <w:rsid w:val="00922AD5"/>
    <w:rsid w:val="00926BAB"/>
    <w:rsid w:val="00926FBE"/>
    <w:rsid w:val="009270D8"/>
    <w:rsid w:val="00930F74"/>
    <w:rsid w:val="0094568A"/>
    <w:rsid w:val="00950EBD"/>
    <w:rsid w:val="00953DBA"/>
    <w:rsid w:val="00954537"/>
    <w:rsid w:val="00956787"/>
    <w:rsid w:val="00961A4F"/>
    <w:rsid w:val="00963F43"/>
    <w:rsid w:val="00965A75"/>
    <w:rsid w:val="00965B88"/>
    <w:rsid w:val="009720B7"/>
    <w:rsid w:val="009774AC"/>
    <w:rsid w:val="00981CE9"/>
    <w:rsid w:val="00995EA9"/>
    <w:rsid w:val="009A1A74"/>
    <w:rsid w:val="009A3DAB"/>
    <w:rsid w:val="009A439D"/>
    <w:rsid w:val="009A4ECB"/>
    <w:rsid w:val="009A5781"/>
    <w:rsid w:val="009B2755"/>
    <w:rsid w:val="009B61A1"/>
    <w:rsid w:val="009B794B"/>
    <w:rsid w:val="009C0EFA"/>
    <w:rsid w:val="009D0BAA"/>
    <w:rsid w:val="009D2106"/>
    <w:rsid w:val="009D44A3"/>
    <w:rsid w:val="009D46B3"/>
    <w:rsid w:val="009D5FBD"/>
    <w:rsid w:val="009D6D78"/>
    <w:rsid w:val="009D70A0"/>
    <w:rsid w:val="009D71F8"/>
    <w:rsid w:val="009E4B61"/>
    <w:rsid w:val="009E5A39"/>
    <w:rsid w:val="009F5978"/>
    <w:rsid w:val="009F5CF5"/>
    <w:rsid w:val="009F7CC6"/>
    <w:rsid w:val="00A03458"/>
    <w:rsid w:val="00A05C18"/>
    <w:rsid w:val="00A10953"/>
    <w:rsid w:val="00A10AC2"/>
    <w:rsid w:val="00A11085"/>
    <w:rsid w:val="00A13111"/>
    <w:rsid w:val="00A154FA"/>
    <w:rsid w:val="00A167FE"/>
    <w:rsid w:val="00A219B9"/>
    <w:rsid w:val="00A2290D"/>
    <w:rsid w:val="00A23A40"/>
    <w:rsid w:val="00A2524F"/>
    <w:rsid w:val="00A27F40"/>
    <w:rsid w:val="00A301BE"/>
    <w:rsid w:val="00A30A5B"/>
    <w:rsid w:val="00A359A5"/>
    <w:rsid w:val="00A362D0"/>
    <w:rsid w:val="00A42A04"/>
    <w:rsid w:val="00A466E3"/>
    <w:rsid w:val="00A613CF"/>
    <w:rsid w:val="00A628BD"/>
    <w:rsid w:val="00A75377"/>
    <w:rsid w:val="00A824EE"/>
    <w:rsid w:val="00A829A9"/>
    <w:rsid w:val="00A869A1"/>
    <w:rsid w:val="00A873EA"/>
    <w:rsid w:val="00A93209"/>
    <w:rsid w:val="00A9382D"/>
    <w:rsid w:val="00A93FBC"/>
    <w:rsid w:val="00A9701F"/>
    <w:rsid w:val="00AA541F"/>
    <w:rsid w:val="00AA7D5B"/>
    <w:rsid w:val="00AC3B54"/>
    <w:rsid w:val="00AC3D28"/>
    <w:rsid w:val="00AC7439"/>
    <w:rsid w:val="00AC76EF"/>
    <w:rsid w:val="00AE7408"/>
    <w:rsid w:val="00AF644B"/>
    <w:rsid w:val="00B03ACA"/>
    <w:rsid w:val="00B06557"/>
    <w:rsid w:val="00B06DAA"/>
    <w:rsid w:val="00B075C3"/>
    <w:rsid w:val="00B101B4"/>
    <w:rsid w:val="00B130AF"/>
    <w:rsid w:val="00B1401D"/>
    <w:rsid w:val="00B172F7"/>
    <w:rsid w:val="00B2574E"/>
    <w:rsid w:val="00B4368D"/>
    <w:rsid w:val="00B4437F"/>
    <w:rsid w:val="00B4682A"/>
    <w:rsid w:val="00B47226"/>
    <w:rsid w:val="00B52F9B"/>
    <w:rsid w:val="00B551A9"/>
    <w:rsid w:val="00B60C9D"/>
    <w:rsid w:val="00B73D52"/>
    <w:rsid w:val="00B9334B"/>
    <w:rsid w:val="00B97213"/>
    <w:rsid w:val="00BA167E"/>
    <w:rsid w:val="00BA24A1"/>
    <w:rsid w:val="00BA27DE"/>
    <w:rsid w:val="00BA3AD1"/>
    <w:rsid w:val="00BA6F02"/>
    <w:rsid w:val="00BB1B9F"/>
    <w:rsid w:val="00BB2951"/>
    <w:rsid w:val="00BB3EAE"/>
    <w:rsid w:val="00BC6936"/>
    <w:rsid w:val="00BC7720"/>
    <w:rsid w:val="00BD259A"/>
    <w:rsid w:val="00BD4499"/>
    <w:rsid w:val="00BD7050"/>
    <w:rsid w:val="00BD7AAF"/>
    <w:rsid w:val="00BE0177"/>
    <w:rsid w:val="00BE2A67"/>
    <w:rsid w:val="00BE7F4C"/>
    <w:rsid w:val="00BF0546"/>
    <w:rsid w:val="00BF0A10"/>
    <w:rsid w:val="00BF0D25"/>
    <w:rsid w:val="00BF1E69"/>
    <w:rsid w:val="00BF486A"/>
    <w:rsid w:val="00BF5CA7"/>
    <w:rsid w:val="00C0093B"/>
    <w:rsid w:val="00C00A67"/>
    <w:rsid w:val="00C10449"/>
    <w:rsid w:val="00C13C6C"/>
    <w:rsid w:val="00C15923"/>
    <w:rsid w:val="00C21D9F"/>
    <w:rsid w:val="00C2280B"/>
    <w:rsid w:val="00C24665"/>
    <w:rsid w:val="00C2478D"/>
    <w:rsid w:val="00C24BF9"/>
    <w:rsid w:val="00C30171"/>
    <w:rsid w:val="00C33520"/>
    <w:rsid w:val="00C366BC"/>
    <w:rsid w:val="00C41955"/>
    <w:rsid w:val="00C41B43"/>
    <w:rsid w:val="00C42A18"/>
    <w:rsid w:val="00C46008"/>
    <w:rsid w:val="00C52811"/>
    <w:rsid w:val="00C60442"/>
    <w:rsid w:val="00C71020"/>
    <w:rsid w:val="00C73B72"/>
    <w:rsid w:val="00C73EEE"/>
    <w:rsid w:val="00C76B2B"/>
    <w:rsid w:val="00C82E56"/>
    <w:rsid w:val="00C83F6C"/>
    <w:rsid w:val="00C84D70"/>
    <w:rsid w:val="00C876DB"/>
    <w:rsid w:val="00C90355"/>
    <w:rsid w:val="00C92E17"/>
    <w:rsid w:val="00C973AA"/>
    <w:rsid w:val="00CA2B59"/>
    <w:rsid w:val="00CA4434"/>
    <w:rsid w:val="00CB072E"/>
    <w:rsid w:val="00CB0F45"/>
    <w:rsid w:val="00CB1255"/>
    <w:rsid w:val="00CB1B38"/>
    <w:rsid w:val="00CC0BCD"/>
    <w:rsid w:val="00CC109E"/>
    <w:rsid w:val="00CC4CF2"/>
    <w:rsid w:val="00CC796B"/>
    <w:rsid w:val="00CD0A91"/>
    <w:rsid w:val="00CD22A8"/>
    <w:rsid w:val="00CD3B17"/>
    <w:rsid w:val="00CE1063"/>
    <w:rsid w:val="00CE39CD"/>
    <w:rsid w:val="00CF4F7A"/>
    <w:rsid w:val="00CF75B3"/>
    <w:rsid w:val="00D00195"/>
    <w:rsid w:val="00D02528"/>
    <w:rsid w:val="00D0408E"/>
    <w:rsid w:val="00D0592F"/>
    <w:rsid w:val="00D10D99"/>
    <w:rsid w:val="00D139FA"/>
    <w:rsid w:val="00D1482E"/>
    <w:rsid w:val="00D14846"/>
    <w:rsid w:val="00D14B77"/>
    <w:rsid w:val="00D215E0"/>
    <w:rsid w:val="00D225B1"/>
    <w:rsid w:val="00D2565A"/>
    <w:rsid w:val="00D25DFA"/>
    <w:rsid w:val="00D32093"/>
    <w:rsid w:val="00D34784"/>
    <w:rsid w:val="00D415BD"/>
    <w:rsid w:val="00D4580B"/>
    <w:rsid w:val="00D458CF"/>
    <w:rsid w:val="00D51704"/>
    <w:rsid w:val="00D51C3B"/>
    <w:rsid w:val="00D522F7"/>
    <w:rsid w:val="00D52582"/>
    <w:rsid w:val="00D5739B"/>
    <w:rsid w:val="00D60D7F"/>
    <w:rsid w:val="00D6358A"/>
    <w:rsid w:val="00D63662"/>
    <w:rsid w:val="00D63760"/>
    <w:rsid w:val="00D63858"/>
    <w:rsid w:val="00D64660"/>
    <w:rsid w:val="00D76182"/>
    <w:rsid w:val="00D76212"/>
    <w:rsid w:val="00D77807"/>
    <w:rsid w:val="00D9524B"/>
    <w:rsid w:val="00D96025"/>
    <w:rsid w:val="00D97CCF"/>
    <w:rsid w:val="00DA04E2"/>
    <w:rsid w:val="00DA34A7"/>
    <w:rsid w:val="00DA4EE8"/>
    <w:rsid w:val="00DA59D9"/>
    <w:rsid w:val="00DB3485"/>
    <w:rsid w:val="00DB5D18"/>
    <w:rsid w:val="00DB6BA9"/>
    <w:rsid w:val="00DB7FD3"/>
    <w:rsid w:val="00DC3B95"/>
    <w:rsid w:val="00DC447E"/>
    <w:rsid w:val="00DC47EE"/>
    <w:rsid w:val="00DC73CC"/>
    <w:rsid w:val="00DD3FAA"/>
    <w:rsid w:val="00DD52A2"/>
    <w:rsid w:val="00DE4F0F"/>
    <w:rsid w:val="00DE50E1"/>
    <w:rsid w:val="00DF290E"/>
    <w:rsid w:val="00DF7B82"/>
    <w:rsid w:val="00E022A5"/>
    <w:rsid w:val="00E02A69"/>
    <w:rsid w:val="00E07696"/>
    <w:rsid w:val="00E07A46"/>
    <w:rsid w:val="00E262E8"/>
    <w:rsid w:val="00E27DAB"/>
    <w:rsid w:val="00E407C6"/>
    <w:rsid w:val="00E40FE8"/>
    <w:rsid w:val="00E41C51"/>
    <w:rsid w:val="00E42645"/>
    <w:rsid w:val="00E44BFF"/>
    <w:rsid w:val="00E45508"/>
    <w:rsid w:val="00E45CFC"/>
    <w:rsid w:val="00E52C79"/>
    <w:rsid w:val="00E5568D"/>
    <w:rsid w:val="00E56C8F"/>
    <w:rsid w:val="00E60619"/>
    <w:rsid w:val="00E62DC5"/>
    <w:rsid w:val="00E63BFA"/>
    <w:rsid w:val="00E647EB"/>
    <w:rsid w:val="00E67A2D"/>
    <w:rsid w:val="00E71370"/>
    <w:rsid w:val="00E71B3C"/>
    <w:rsid w:val="00E75874"/>
    <w:rsid w:val="00E8240C"/>
    <w:rsid w:val="00E82420"/>
    <w:rsid w:val="00E82CDD"/>
    <w:rsid w:val="00E842DA"/>
    <w:rsid w:val="00E90C3B"/>
    <w:rsid w:val="00E916CF"/>
    <w:rsid w:val="00E94376"/>
    <w:rsid w:val="00E94A81"/>
    <w:rsid w:val="00EA3840"/>
    <w:rsid w:val="00EA39DC"/>
    <w:rsid w:val="00EA7FBA"/>
    <w:rsid w:val="00EB3E0D"/>
    <w:rsid w:val="00EB4E9D"/>
    <w:rsid w:val="00EC0D46"/>
    <w:rsid w:val="00EC244F"/>
    <w:rsid w:val="00EC3B48"/>
    <w:rsid w:val="00EC4AC6"/>
    <w:rsid w:val="00EC4C41"/>
    <w:rsid w:val="00EC54A0"/>
    <w:rsid w:val="00EC7E6D"/>
    <w:rsid w:val="00ED05E7"/>
    <w:rsid w:val="00ED0B0B"/>
    <w:rsid w:val="00EE09B6"/>
    <w:rsid w:val="00EE360D"/>
    <w:rsid w:val="00EE5C64"/>
    <w:rsid w:val="00F011A3"/>
    <w:rsid w:val="00F049FD"/>
    <w:rsid w:val="00F05341"/>
    <w:rsid w:val="00F070C4"/>
    <w:rsid w:val="00F10E55"/>
    <w:rsid w:val="00F116C8"/>
    <w:rsid w:val="00F15C1C"/>
    <w:rsid w:val="00F16E95"/>
    <w:rsid w:val="00F17DE6"/>
    <w:rsid w:val="00F20D4E"/>
    <w:rsid w:val="00F21B78"/>
    <w:rsid w:val="00F26E53"/>
    <w:rsid w:val="00F3373F"/>
    <w:rsid w:val="00F34BFD"/>
    <w:rsid w:val="00F35BAB"/>
    <w:rsid w:val="00F422F9"/>
    <w:rsid w:val="00F4441F"/>
    <w:rsid w:val="00F532ED"/>
    <w:rsid w:val="00F53530"/>
    <w:rsid w:val="00F56622"/>
    <w:rsid w:val="00F601A7"/>
    <w:rsid w:val="00F60449"/>
    <w:rsid w:val="00F66851"/>
    <w:rsid w:val="00F71165"/>
    <w:rsid w:val="00F71D3F"/>
    <w:rsid w:val="00F75565"/>
    <w:rsid w:val="00F76C17"/>
    <w:rsid w:val="00F772DE"/>
    <w:rsid w:val="00F91716"/>
    <w:rsid w:val="00F976A2"/>
    <w:rsid w:val="00FA2CE5"/>
    <w:rsid w:val="00FA4587"/>
    <w:rsid w:val="00FA762A"/>
    <w:rsid w:val="00FB01E9"/>
    <w:rsid w:val="00FB40D0"/>
    <w:rsid w:val="00FB5C05"/>
    <w:rsid w:val="00FC036A"/>
    <w:rsid w:val="00FC59EB"/>
    <w:rsid w:val="00FC6C92"/>
    <w:rsid w:val="00FC75ED"/>
    <w:rsid w:val="00FD2F79"/>
    <w:rsid w:val="00FD4471"/>
    <w:rsid w:val="00FD5069"/>
    <w:rsid w:val="00FE07A4"/>
    <w:rsid w:val="00FE79D6"/>
    <w:rsid w:val="00FF3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C8AD63"/>
  <w15:chartTrackingRefBased/>
  <w15:docId w15:val="{12888688-5002-4467-AF79-A63AAD21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358A"/>
  </w:style>
  <w:style w:type="paragraph" w:styleId="Nadpis1">
    <w:name w:val="heading 1"/>
    <w:basedOn w:val="Normln"/>
    <w:next w:val="Normln"/>
    <w:link w:val="Nadpis1Char"/>
    <w:qFormat/>
    <w:rsid w:val="00451D71"/>
    <w:pPr>
      <w:spacing w:line="256" w:lineRule="auto"/>
      <w:jc w:val="center"/>
      <w:outlineLvl w:val="0"/>
    </w:pPr>
    <w:rPr>
      <w:rFonts w:cstheme="minorHAnsi"/>
      <w:b/>
      <w:sz w:val="28"/>
      <w:szCs w:val="28"/>
    </w:rPr>
  </w:style>
  <w:style w:type="paragraph" w:styleId="Nadpis2">
    <w:name w:val="heading 2"/>
    <w:basedOn w:val="Odstavecseseznamem"/>
    <w:next w:val="Normln"/>
    <w:link w:val="Nadpis2Char"/>
    <w:uiPriority w:val="9"/>
    <w:unhideWhenUsed/>
    <w:qFormat/>
    <w:rsid w:val="007945EA"/>
    <w:pPr>
      <w:spacing w:before="240"/>
      <w:ind w:left="360" w:hanging="360"/>
      <w:jc w:val="both"/>
      <w:outlineLvl w:val="1"/>
    </w:pPr>
    <w:rPr>
      <w:rFonts w:cs="Calibri"/>
      <w:b/>
      <w:sz w:val="24"/>
      <w:szCs w:val="24"/>
    </w:rPr>
  </w:style>
  <w:style w:type="paragraph" w:styleId="Nadpis3">
    <w:name w:val="heading 3"/>
    <w:basedOn w:val="Nadpis2"/>
    <w:next w:val="Normln"/>
    <w:link w:val="Nadpis3Char"/>
    <w:uiPriority w:val="9"/>
    <w:unhideWhenUsed/>
    <w:qFormat/>
    <w:rsid w:val="00A829A9"/>
    <w:pPr>
      <w:ind w:left="792" w:hanging="432"/>
      <w:outlineLvl w:val="2"/>
    </w:pPr>
  </w:style>
  <w:style w:type="paragraph" w:styleId="Nadpis6">
    <w:name w:val="heading 6"/>
    <w:basedOn w:val="Normln"/>
    <w:next w:val="Normln"/>
    <w:link w:val="Nadpis6Char"/>
    <w:uiPriority w:val="9"/>
    <w:semiHidden/>
    <w:unhideWhenUsed/>
    <w:qFormat/>
    <w:rsid w:val="002D3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1">
    <w:name w:val="f1"/>
    <w:basedOn w:val="Normln"/>
    <w:next w:val="Textpoznpodarou"/>
    <w:link w:val="TextpoznpodarouChar"/>
    <w:uiPriority w:val="99"/>
    <w:unhideWhenUsed/>
    <w:qFormat/>
    <w:rsid w:val="00EB4E9D"/>
    <w:pPr>
      <w:jc w:val="both"/>
    </w:pPr>
    <w:rPr>
      <w:rFonts w:ascii="Calibri" w:eastAsia="Calibri" w:hAnsi="Calibri" w:cs="Times New Roman"/>
    </w:rPr>
  </w:style>
  <w:style w:type="character" w:customStyle="1" w:styleId="TextpoznpodarouChar">
    <w:name w:val="Text pozn. pod čarou Char"/>
    <w:aliases w:val="Text pozn. pod čarou times Char,Text poznámky pod čiarou 007 Char,Footnote Char,pozn. pod čarou Char,Schriftart: 9 pt Char,Schriftart: 10 pt Char,Schriftart: 8 pt Char,Podrozdział Char,Podrozdzia3 Char,Fußnotentextf Char,f Char"/>
    <w:basedOn w:val="Standardnpsmoodstavce"/>
    <w:link w:val="f1"/>
    <w:uiPriority w:val="99"/>
    <w:rsid w:val="00EB4E9D"/>
    <w:rPr>
      <w:rFonts w:ascii="Calibri" w:eastAsia="Calibri" w:hAnsi="Calibri" w:cs="Times New Roman"/>
      <w:lang w:eastAsia="en-US"/>
    </w:rPr>
  </w:style>
  <w:style w:type="character" w:styleId="Znakapoznpodarou">
    <w:name w:val="footnote reference"/>
    <w:aliases w:val="PGI Fußnote Ziffer + Times New Roman,12 b.,Zúžené o ...,PGI Fußnote Ziffer,Appel note de bas de p,Appel note de bas de page,BVI fnr,Char Car Car Car Car,Footnote Reference Superscript,Footnote call,Footnote reference number,number"/>
    <w:basedOn w:val="Standardnpsmoodstavce"/>
    <w:link w:val="BVIfnrCharChar"/>
    <w:uiPriority w:val="99"/>
    <w:unhideWhenUsed/>
    <w:qFormat/>
    <w:rsid w:val="00EB4E9D"/>
    <w:rPr>
      <w:vertAlign w:val="superscript"/>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EB4E9D"/>
    <w:pPr>
      <w:spacing w:line="240" w:lineRule="exact"/>
    </w:pPr>
    <w:rPr>
      <w:vertAlign w:val="superscript"/>
    </w:rPr>
  </w:style>
  <w:style w:type="paragraph" w:styleId="Textpoznpodarou">
    <w:name w:val="footnote text"/>
    <w:aliases w:val="Text pozn. pod čarou times,Text poznámky pod čiarou 007,Footnote,pozn. pod čarou,Schriftart: 9 pt,Schriftart: 10 pt,Schriftart: 8 pt,Podrozdział,Podrozdzia3,Fußnotentextf,Geneva 9,Font: Geneva 9,Boston 10,f"/>
    <w:basedOn w:val="Normln"/>
    <w:link w:val="TextpoznpodarouChar1"/>
    <w:uiPriority w:val="99"/>
    <w:unhideWhenUsed/>
    <w:qFormat/>
    <w:rsid w:val="00EB4E9D"/>
    <w:rPr>
      <w:sz w:val="20"/>
      <w:szCs w:val="20"/>
    </w:rPr>
  </w:style>
  <w:style w:type="character" w:customStyle="1" w:styleId="TextpoznpodarouChar1">
    <w:name w:val="Text pozn. pod čarou Char1"/>
    <w:aliases w:val="Text pozn. pod čarou times Char1,Text poznámky pod čiarou 007 Char1,Footnote Char1,pozn. pod čarou Char1,Schriftart: 9 pt Char1,Schriftart: 10 pt Char1,Schriftart: 8 pt Char1,Podrozdział Char1,Podrozdzia3 Char1,Geneva 9 Char"/>
    <w:basedOn w:val="Standardnpsmoodstavce"/>
    <w:link w:val="Textpoznpodarou"/>
    <w:uiPriority w:val="99"/>
    <w:semiHidden/>
    <w:rsid w:val="00EB4E9D"/>
    <w:rPr>
      <w:sz w:val="20"/>
      <w:szCs w:val="20"/>
    </w:rPr>
  </w:style>
  <w:style w:type="paragraph" w:customStyle="1" w:styleId="footnotedescription">
    <w:name w:val="footnote description"/>
    <w:next w:val="Normln"/>
    <w:link w:val="footnotedescriptionChar"/>
    <w:hidden/>
    <w:rsid w:val="003145B3"/>
    <w:pPr>
      <w:spacing w:line="245" w:lineRule="auto"/>
      <w:ind w:left="425"/>
      <w:jc w:val="both"/>
    </w:pPr>
    <w:rPr>
      <w:rFonts w:ascii="Calibri" w:eastAsia="Calibri" w:hAnsi="Calibri" w:cs="Calibri"/>
      <w:color w:val="000000"/>
      <w:sz w:val="18"/>
      <w:lang w:eastAsia="cs-CZ"/>
    </w:rPr>
  </w:style>
  <w:style w:type="character" w:customStyle="1" w:styleId="footnotedescriptionChar">
    <w:name w:val="footnote description Char"/>
    <w:link w:val="footnotedescription"/>
    <w:rsid w:val="003145B3"/>
    <w:rPr>
      <w:rFonts w:ascii="Calibri" w:eastAsia="Calibri" w:hAnsi="Calibri" w:cs="Calibri"/>
      <w:color w:val="000000"/>
      <w:sz w:val="18"/>
      <w:lang w:eastAsia="cs-CZ"/>
    </w:rPr>
  </w:style>
  <w:style w:type="character" w:customStyle="1" w:styleId="footnotemark">
    <w:name w:val="footnote mark"/>
    <w:hidden/>
    <w:rsid w:val="003145B3"/>
    <w:rPr>
      <w:rFonts w:ascii="Calibri" w:eastAsia="Calibri" w:hAnsi="Calibri" w:cs="Calibri"/>
      <w:color w:val="000000"/>
      <w:sz w:val="18"/>
      <w:vertAlign w:val="superscript"/>
    </w:rPr>
  </w:style>
  <w:style w:type="character" w:customStyle="1" w:styleId="Nadpis1Char">
    <w:name w:val="Nadpis 1 Char"/>
    <w:basedOn w:val="Standardnpsmoodstavce"/>
    <w:link w:val="Nadpis1"/>
    <w:rsid w:val="00451D71"/>
    <w:rPr>
      <w:rFonts w:cstheme="minorHAnsi"/>
      <w:b/>
      <w:sz w:val="28"/>
      <w:szCs w:val="28"/>
    </w:rPr>
  </w:style>
  <w:style w:type="character" w:customStyle="1" w:styleId="Nadpis2Char">
    <w:name w:val="Nadpis 2 Char"/>
    <w:basedOn w:val="Standardnpsmoodstavce"/>
    <w:link w:val="Nadpis2"/>
    <w:uiPriority w:val="9"/>
    <w:rsid w:val="007945EA"/>
    <w:rPr>
      <w:rFonts w:cs="Calibri"/>
      <w:b/>
      <w:sz w:val="24"/>
      <w:szCs w:val="24"/>
    </w:rPr>
  </w:style>
  <w:style w:type="paragraph" w:styleId="Odstavecseseznamem">
    <w:name w:val="List Paragraph"/>
    <w:basedOn w:val="Normln"/>
    <w:uiPriority w:val="34"/>
    <w:qFormat/>
    <w:rsid w:val="007945EA"/>
    <w:pPr>
      <w:ind w:left="720"/>
      <w:contextualSpacing/>
    </w:pPr>
  </w:style>
  <w:style w:type="paragraph" w:customStyle="1" w:styleId="Nadpisdruhrove">
    <w:name w:val="Nadpis druhá úroveň"/>
    <w:basedOn w:val="Normln"/>
    <w:link w:val="NadpisdruhroveChar"/>
    <w:qFormat/>
    <w:rsid w:val="00A829A9"/>
    <w:pPr>
      <w:spacing w:after="120" w:line="250" w:lineRule="auto"/>
      <w:ind w:right="6" w:hanging="11"/>
      <w:jc w:val="both"/>
    </w:pPr>
    <w:rPr>
      <w:rFonts w:ascii="Calibri" w:eastAsia="Calibri" w:hAnsi="Calibri" w:cs="Calibri"/>
      <w:b/>
      <w:color w:val="000000"/>
      <w:sz w:val="24"/>
      <w:lang w:eastAsia="cs-CZ"/>
    </w:rPr>
  </w:style>
  <w:style w:type="character" w:customStyle="1" w:styleId="Nadpis3Char">
    <w:name w:val="Nadpis 3 Char"/>
    <w:basedOn w:val="Standardnpsmoodstavce"/>
    <w:link w:val="Nadpis3"/>
    <w:uiPriority w:val="9"/>
    <w:rsid w:val="00A829A9"/>
    <w:rPr>
      <w:rFonts w:cs="Calibri"/>
      <w:b/>
      <w:sz w:val="24"/>
      <w:szCs w:val="24"/>
    </w:rPr>
  </w:style>
  <w:style w:type="character" w:customStyle="1" w:styleId="NadpisdruhroveChar">
    <w:name w:val="Nadpis druhá úroveň Char"/>
    <w:basedOn w:val="Standardnpsmoodstavce"/>
    <w:link w:val="Nadpisdruhrove"/>
    <w:rsid w:val="00A829A9"/>
    <w:rPr>
      <w:rFonts w:ascii="Calibri" w:eastAsia="Calibri" w:hAnsi="Calibri" w:cs="Calibri"/>
      <w:b/>
      <w:color w:val="000000"/>
      <w:sz w:val="24"/>
      <w:lang w:eastAsia="cs-CZ"/>
    </w:rPr>
  </w:style>
  <w:style w:type="table" w:customStyle="1" w:styleId="Mkatabulky181">
    <w:name w:val="Mřížka tabulky181"/>
    <w:basedOn w:val="Normlntabulka"/>
    <w:next w:val="Mkatabulky"/>
    <w:uiPriority w:val="39"/>
    <w:rsid w:val="002468CE"/>
    <w:pPr>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246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1C14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FB5C0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832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278"/>
    <w:rPr>
      <w:rFonts w:ascii="Segoe UI" w:hAnsi="Segoe UI" w:cs="Segoe UI"/>
      <w:sz w:val="18"/>
      <w:szCs w:val="18"/>
    </w:rPr>
  </w:style>
  <w:style w:type="character" w:styleId="Odkaznakoment">
    <w:name w:val="annotation reference"/>
    <w:basedOn w:val="Standardnpsmoodstavce"/>
    <w:uiPriority w:val="99"/>
    <w:semiHidden/>
    <w:unhideWhenUsed/>
    <w:rsid w:val="00083278"/>
    <w:rPr>
      <w:sz w:val="16"/>
      <w:szCs w:val="16"/>
    </w:rPr>
  </w:style>
  <w:style w:type="paragraph" w:styleId="Textkomente">
    <w:name w:val="annotation text"/>
    <w:basedOn w:val="Normln"/>
    <w:link w:val="TextkomenteChar"/>
    <w:uiPriority w:val="99"/>
    <w:unhideWhenUsed/>
    <w:rsid w:val="00083278"/>
    <w:rPr>
      <w:sz w:val="20"/>
      <w:szCs w:val="20"/>
    </w:rPr>
  </w:style>
  <w:style w:type="character" w:customStyle="1" w:styleId="TextkomenteChar">
    <w:name w:val="Text komentáře Char"/>
    <w:basedOn w:val="Standardnpsmoodstavce"/>
    <w:link w:val="Textkomente"/>
    <w:uiPriority w:val="99"/>
    <w:rsid w:val="00083278"/>
    <w:rPr>
      <w:sz w:val="20"/>
      <w:szCs w:val="20"/>
    </w:rPr>
  </w:style>
  <w:style w:type="paragraph" w:styleId="Pedmtkomente">
    <w:name w:val="annotation subject"/>
    <w:basedOn w:val="Textkomente"/>
    <w:next w:val="Textkomente"/>
    <w:link w:val="PedmtkomenteChar"/>
    <w:uiPriority w:val="99"/>
    <w:semiHidden/>
    <w:unhideWhenUsed/>
    <w:rsid w:val="00083278"/>
    <w:rPr>
      <w:b/>
      <w:bCs/>
    </w:rPr>
  </w:style>
  <w:style w:type="character" w:customStyle="1" w:styleId="PedmtkomenteChar">
    <w:name w:val="Předmět komentáře Char"/>
    <w:basedOn w:val="TextkomenteChar"/>
    <w:link w:val="Pedmtkomente"/>
    <w:uiPriority w:val="99"/>
    <w:semiHidden/>
    <w:rsid w:val="00083278"/>
    <w:rPr>
      <w:b/>
      <w:bCs/>
      <w:sz w:val="20"/>
      <w:szCs w:val="20"/>
    </w:rPr>
  </w:style>
  <w:style w:type="character" w:customStyle="1" w:styleId="Nadpis6Char">
    <w:name w:val="Nadpis 6 Char"/>
    <w:basedOn w:val="Standardnpsmoodstavce"/>
    <w:link w:val="Nadpis6"/>
    <w:uiPriority w:val="9"/>
    <w:semiHidden/>
    <w:rsid w:val="002D3B66"/>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rsid w:val="00C83F6C"/>
    <w:rPr>
      <w:color w:val="0000FF"/>
      <w:u w:val="single"/>
    </w:rPr>
  </w:style>
  <w:style w:type="table" w:customStyle="1" w:styleId="Mkatabulky231">
    <w:name w:val="Mřížka tabulky231"/>
    <w:basedOn w:val="Normlntabulka"/>
    <w:next w:val="Mkatabulky"/>
    <w:uiPriority w:val="59"/>
    <w:rsid w:val="00D215E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01">
    <w:name w:val="Mřížka tabulky201"/>
    <w:basedOn w:val="Normlntabulka"/>
    <w:next w:val="Mkatabulky"/>
    <w:uiPriority w:val="39"/>
    <w:rsid w:val="002D43EB"/>
    <w:pPr>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15B66"/>
    <w:rPr>
      <w:color w:val="954F72" w:themeColor="followedHyperlink"/>
      <w:u w:val="single"/>
    </w:rPr>
  </w:style>
  <w:style w:type="table" w:customStyle="1" w:styleId="Mkatabulky2011">
    <w:name w:val="Mřížka tabulky2011"/>
    <w:basedOn w:val="Normlntabulka"/>
    <w:next w:val="Mkatabulky"/>
    <w:uiPriority w:val="39"/>
    <w:rsid w:val="003501F7"/>
    <w:pPr>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E5E2A"/>
    <w:pPr>
      <w:tabs>
        <w:tab w:val="center" w:pos="4536"/>
        <w:tab w:val="right" w:pos="9072"/>
      </w:tabs>
    </w:pPr>
  </w:style>
  <w:style w:type="character" w:customStyle="1" w:styleId="ZhlavChar">
    <w:name w:val="Záhlaví Char"/>
    <w:basedOn w:val="Standardnpsmoodstavce"/>
    <w:link w:val="Zhlav"/>
    <w:uiPriority w:val="99"/>
    <w:rsid w:val="002E5E2A"/>
  </w:style>
  <w:style w:type="paragraph" w:styleId="Zpat">
    <w:name w:val="footer"/>
    <w:basedOn w:val="Normln"/>
    <w:link w:val="ZpatChar"/>
    <w:uiPriority w:val="99"/>
    <w:unhideWhenUsed/>
    <w:rsid w:val="002E5E2A"/>
    <w:pPr>
      <w:tabs>
        <w:tab w:val="center" w:pos="4536"/>
        <w:tab w:val="right" w:pos="9072"/>
      </w:tabs>
    </w:pPr>
  </w:style>
  <w:style w:type="character" w:customStyle="1" w:styleId="ZpatChar">
    <w:name w:val="Zápatí Char"/>
    <w:basedOn w:val="Standardnpsmoodstavce"/>
    <w:link w:val="Zpat"/>
    <w:uiPriority w:val="99"/>
    <w:rsid w:val="002E5E2A"/>
  </w:style>
  <w:style w:type="numbering" w:customStyle="1" w:styleId="Bezseznamu1">
    <w:name w:val="Bez seznamu1"/>
    <w:next w:val="Bezseznamu"/>
    <w:uiPriority w:val="99"/>
    <w:semiHidden/>
    <w:unhideWhenUsed/>
    <w:rsid w:val="003A5711"/>
  </w:style>
  <w:style w:type="table" w:customStyle="1" w:styleId="Mkatabulky1811">
    <w:name w:val="Mřížka tabulky1811"/>
    <w:basedOn w:val="Normlntabulka"/>
    <w:next w:val="Mkatabulky"/>
    <w:uiPriority w:val="39"/>
    <w:rsid w:val="003A5711"/>
    <w:pPr>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3A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59"/>
    <w:rsid w:val="003A571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3A571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11">
    <w:name w:val="Mřížka tabulky2311"/>
    <w:basedOn w:val="Normlntabulka"/>
    <w:next w:val="Mkatabulky"/>
    <w:uiPriority w:val="59"/>
    <w:rsid w:val="003A571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012">
    <w:name w:val="Mřížka tabulky2012"/>
    <w:basedOn w:val="Normlntabulka"/>
    <w:next w:val="Mkatabulky"/>
    <w:uiPriority w:val="39"/>
    <w:rsid w:val="003A5711"/>
    <w:pPr>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0111">
    <w:name w:val="Mřížka tabulky20111"/>
    <w:basedOn w:val="Normlntabulka"/>
    <w:next w:val="Mkatabulky"/>
    <w:uiPriority w:val="39"/>
    <w:rsid w:val="003A5711"/>
    <w:pPr>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3A5711"/>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9524B"/>
  </w:style>
  <w:style w:type="character" w:styleId="Siln">
    <w:name w:val="Strong"/>
    <w:basedOn w:val="Standardnpsmoodstavce"/>
    <w:uiPriority w:val="22"/>
    <w:qFormat/>
    <w:rsid w:val="00C84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926">
      <w:bodyDiv w:val="1"/>
      <w:marLeft w:val="0"/>
      <w:marRight w:val="0"/>
      <w:marTop w:val="0"/>
      <w:marBottom w:val="0"/>
      <w:divBdr>
        <w:top w:val="none" w:sz="0" w:space="0" w:color="auto"/>
        <w:left w:val="none" w:sz="0" w:space="0" w:color="auto"/>
        <w:bottom w:val="none" w:sz="0" w:space="0" w:color="auto"/>
        <w:right w:val="none" w:sz="0" w:space="0" w:color="auto"/>
      </w:divBdr>
    </w:div>
    <w:div w:id="1193962519">
      <w:bodyDiv w:val="1"/>
      <w:marLeft w:val="0"/>
      <w:marRight w:val="0"/>
      <w:marTop w:val="0"/>
      <w:marBottom w:val="0"/>
      <w:divBdr>
        <w:top w:val="none" w:sz="0" w:space="0" w:color="auto"/>
        <w:left w:val="none" w:sz="0" w:space="0" w:color="auto"/>
        <w:bottom w:val="none" w:sz="0" w:space="0" w:color="auto"/>
        <w:right w:val="none" w:sz="0" w:space="0" w:color="auto"/>
      </w:divBdr>
    </w:div>
    <w:div w:id="1677220612">
      <w:bodyDiv w:val="1"/>
      <w:marLeft w:val="0"/>
      <w:marRight w:val="0"/>
      <w:marTop w:val="0"/>
      <w:marBottom w:val="0"/>
      <w:divBdr>
        <w:top w:val="none" w:sz="0" w:space="0" w:color="auto"/>
        <w:left w:val="none" w:sz="0" w:space="0" w:color="auto"/>
        <w:bottom w:val="none" w:sz="0" w:space="0" w:color="auto"/>
        <w:right w:val="none" w:sz="0" w:space="0" w:color="auto"/>
      </w:divBdr>
    </w:div>
    <w:div w:id="1945919651">
      <w:bodyDiv w:val="1"/>
      <w:marLeft w:val="0"/>
      <w:marRight w:val="0"/>
      <w:marTop w:val="0"/>
      <w:marBottom w:val="0"/>
      <w:divBdr>
        <w:top w:val="none" w:sz="0" w:space="0" w:color="auto"/>
        <w:left w:val="none" w:sz="0" w:space="0" w:color="auto"/>
        <w:bottom w:val="none" w:sz="0" w:space="0" w:color="auto"/>
        <w:right w:val="none" w:sz="0" w:space="0" w:color="auto"/>
      </w:divBdr>
    </w:div>
    <w:div w:id="20415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D:\FINU_PVF%20(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locha\20-27%20(GIBS)\REALIZACE\pomocn&#253;%20se&#353;i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Plocha\20-27%20(GIBS)\REALIZACE\pomocn&#253;%20se&#353;i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Plocha\20-27%20(GIBS)\REALIZACE\Se&#353;it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61572719617323E-2"/>
          <c:y val="8.8406080742797322E-2"/>
          <c:w val="0.87818263896726245"/>
          <c:h val="0.56324882800054621"/>
        </c:manualLayout>
      </c:layout>
      <c:areaChart>
        <c:grouping val="standard"/>
        <c:varyColors val="0"/>
        <c:ser>
          <c:idx val="2"/>
          <c:order val="2"/>
          <c:tx>
            <c:strRef>
              <c:f>'MON1TOR EXPORT'!$C$26</c:f>
              <c:strCache>
                <c:ptCount val="1"/>
                <c:pt idx="0">
                  <c:v>Výdaje (předpoklad při vzniku GIBS se započteným vlivem dosažené inflace dle ČSÚ)</c:v>
                </c:pt>
              </c:strCache>
            </c:strRef>
          </c:tx>
          <c:spPr>
            <a:solidFill>
              <a:schemeClr val="accent1">
                <a:lumMod val="20000"/>
                <a:lumOff val="80000"/>
              </a:schemeClr>
            </a:solidFill>
            <a:ln>
              <a:noFill/>
            </a:ln>
            <a:effectLst/>
          </c:spPr>
          <c:cat>
            <c:strRef>
              <c:f>'MON1TOR EXPORT'!$D$23:$M$23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'MON1TOR EXPORT'!$D$26:$M$26</c:f>
              <c:numCache>
                <c:formatCode>#,##0</c:formatCode>
                <c:ptCount val="10"/>
                <c:pt idx="0">
                  <c:v>325118</c:v>
                </c:pt>
                <c:pt idx="1">
                  <c:v>283309.57199999999</c:v>
                </c:pt>
                <c:pt idx="2">
                  <c:v>284442.81028799998</c:v>
                </c:pt>
                <c:pt idx="3">
                  <c:v>285296.13871886401</c:v>
                </c:pt>
                <c:pt idx="4">
                  <c:v>287293.21168989607</c:v>
                </c:pt>
                <c:pt idx="5">
                  <c:v>294475.54198214348</c:v>
                </c:pt>
                <c:pt idx="6">
                  <c:v>300659.52836376848</c:v>
                </c:pt>
                <c:pt idx="7">
                  <c:v>309077.99515795399</c:v>
                </c:pt>
                <c:pt idx="8">
                  <c:v>318968.4910030085</c:v>
                </c:pt>
              </c:numCache>
            </c:numRef>
          </c:val>
          <c:extLst>
            <c:ext xmlns:c16="http://schemas.microsoft.com/office/drawing/2014/chart" uri="{C3380CC4-5D6E-409C-BE32-E72D297353CC}">
              <c16:uniqueId val="{00000000-70E8-4311-8214-5C6C78789946}"/>
            </c:ext>
          </c:extLst>
        </c:ser>
        <c:dLbls>
          <c:showLegendKey val="0"/>
          <c:showVal val="0"/>
          <c:showCatName val="0"/>
          <c:showSerName val="0"/>
          <c:showPercent val="0"/>
          <c:showBubbleSize val="0"/>
        </c:dLbls>
        <c:axId val="2126437616"/>
        <c:axId val="2126442192"/>
      </c:areaChart>
      <c:barChart>
        <c:barDir val="col"/>
        <c:grouping val="stacked"/>
        <c:varyColors val="0"/>
        <c:ser>
          <c:idx val="0"/>
          <c:order val="0"/>
          <c:tx>
            <c:strRef>
              <c:f>'MON1TOR EXPORT'!$C$24</c:f>
              <c:strCache>
                <c:ptCount val="1"/>
                <c:pt idx="0">
                  <c:v>Výdaje (skutečnost)</c:v>
                </c:pt>
              </c:strCache>
            </c:strRef>
          </c:tx>
          <c:spPr>
            <a:solidFill>
              <a:srgbClr val="BD2A33"/>
            </a:solidFill>
            <a:ln>
              <a:solidFill>
                <a:srgbClr val="BD2A33"/>
              </a:solidFill>
            </a:ln>
            <a:effectLst/>
          </c:spPr>
          <c:invertIfNegative val="0"/>
          <c:dPt>
            <c:idx val="3"/>
            <c:invertIfNegative val="0"/>
            <c:bubble3D val="0"/>
            <c:extLst>
              <c:ext xmlns:c16="http://schemas.microsoft.com/office/drawing/2014/chart" uri="{C3380CC4-5D6E-409C-BE32-E72D297353CC}">
                <c16:uniqueId val="{00000001-70E8-4311-8214-5C6C78789946}"/>
              </c:ext>
            </c:extLst>
          </c:dPt>
          <c:dPt>
            <c:idx val="9"/>
            <c:invertIfNegative val="0"/>
            <c:bubble3D val="0"/>
            <c:spPr>
              <a:pattFill prst="dkDnDiag">
                <a:fgClr>
                  <a:srgbClr val="BD2A33"/>
                </a:fgClr>
                <a:bgClr>
                  <a:schemeClr val="bg1"/>
                </a:bgClr>
              </a:pattFill>
              <a:ln>
                <a:solidFill>
                  <a:srgbClr val="BD2A33"/>
                </a:solidFill>
              </a:ln>
              <a:effectLst/>
            </c:spPr>
            <c:extLst>
              <c:ext xmlns:c16="http://schemas.microsoft.com/office/drawing/2014/chart" uri="{C3380CC4-5D6E-409C-BE32-E72D297353CC}">
                <c16:uniqueId val="{00000003-70E8-4311-8214-5C6C7878994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0" tIns="0" rIns="0" bIns="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'MON1TOR EXPORT'!$D$23:$M$23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'MON1TOR EXPORT'!$D$24:$M$24</c:f>
              <c:numCache>
                <c:formatCode>#,##0</c:formatCode>
                <c:ptCount val="10"/>
                <c:pt idx="0">
                  <c:v>310467.61851999996</c:v>
                </c:pt>
                <c:pt idx="1">
                  <c:v>275534.37629000004</c:v>
                </c:pt>
                <c:pt idx="2">
                  <c:v>282333.26616</c:v>
                </c:pt>
                <c:pt idx="3">
                  <c:v>270490.91287</c:v>
                </c:pt>
                <c:pt idx="4">
                  <c:v>282522.69376999995</c:v>
                </c:pt>
                <c:pt idx="5">
                  <c:v>374944.52254000003</c:v>
                </c:pt>
                <c:pt idx="6">
                  <c:v>406274.92860000004</c:v>
                </c:pt>
                <c:pt idx="7">
                  <c:v>426578.52852999995</c:v>
                </c:pt>
                <c:pt idx="8">
                  <c:v>447988</c:v>
                </c:pt>
                <c:pt idx="9">
                  <c:v>469757</c:v>
                </c:pt>
              </c:numCache>
            </c:numRef>
          </c:val>
          <c:extLst>
            <c:ext xmlns:c16="http://schemas.microsoft.com/office/drawing/2014/chart" uri="{C3380CC4-5D6E-409C-BE32-E72D297353CC}">
              <c16:uniqueId val="{00000004-70E8-4311-8214-5C6C78789946}"/>
            </c:ext>
          </c:extLst>
        </c:ser>
        <c:dLbls>
          <c:showLegendKey val="0"/>
          <c:showVal val="0"/>
          <c:showCatName val="0"/>
          <c:showSerName val="0"/>
          <c:showPercent val="0"/>
          <c:showBubbleSize val="0"/>
        </c:dLbls>
        <c:gapWidth val="219"/>
        <c:overlap val="100"/>
        <c:axId val="2126437616"/>
        <c:axId val="2126442192"/>
      </c:barChart>
      <c:lineChart>
        <c:grouping val="standard"/>
        <c:varyColors val="0"/>
        <c:ser>
          <c:idx val="1"/>
          <c:order val="1"/>
          <c:tx>
            <c:strRef>
              <c:f>'MON1TOR EXPORT'!$C$25</c:f>
              <c:strCache>
                <c:ptCount val="1"/>
                <c:pt idx="0">
                  <c:v>Výdaje (předpoklad při vzniku GIBS bez vlivu inflace)</c:v>
                </c:pt>
              </c:strCache>
            </c:strRef>
          </c:tx>
          <c:spPr>
            <a:ln w="28575" cap="rnd">
              <a:solidFill>
                <a:srgbClr val="004595"/>
              </a:solidFill>
              <a:round/>
            </a:ln>
            <a:effectLst/>
          </c:spPr>
          <c:marker>
            <c:symbol val="circle"/>
            <c:size val="5"/>
            <c:spPr>
              <a:solidFill>
                <a:srgbClr val="004595"/>
              </a:solidFill>
              <a:ln w="9525">
                <a:solidFill>
                  <a:srgbClr val="004595"/>
                </a:solidFill>
              </a:ln>
              <a:effectLst/>
            </c:spPr>
          </c:marker>
          <c:cat>
            <c:strRef>
              <c:f>'MON1TOR EXPORT'!$D$23:$M$23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'MON1TOR EXPORT'!$D$25:$M$25</c:f>
              <c:numCache>
                <c:formatCode>#,##0</c:formatCode>
                <c:ptCount val="10"/>
                <c:pt idx="0">
                  <c:v>325118</c:v>
                </c:pt>
                <c:pt idx="1">
                  <c:v>279398</c:v>
                </c:pt>
                <c:pt idx="2">
                  <c:v>279398</c:v>
                </c:pt>
                <c:pt idx="3">
                  <c:v>279398</c:v>
                </c:pt>
                <c:pt idx="4">
                  <c:v>279398</c:v>
                </c:pt>
                <c:pt idx="5">
                  <c:v>279398</c:v>
                </c:pt>
                <c:pt idx="6">
                  <c:v>279398</c:v>
                </c:pt>
                <c:pt idx="7">
                  <c:v>279398</c:v>
                </c:pt>
                <c:pt idx="8">
                  <c:v>279398</c:v>
                </c:pt>
                <c:pt idx="9">
                  <c:v>279398</c:v>
                </c:pt>
              </c:numCache>
            </c:numRef>
          </c:val>
          <c:smooth val="0"/>
          <c:extLst>
            <c:ext xmlns:c16="http://schemas.microsoft.com/office/drawing/2014/chart" uri="{C3380CC4-5D6E-409C-BE32-E72D297353CC}">
              <c16:uniqueId val="{00000005-70E8-4311-8214-5C6C78789946}"/>
            </c:ext>
          </c:extLst>
        </c:ser>
        <c:dLbls>
          <c:showLegendKey val="0"/>
          <c:showVal val="0"/>
          <c:showCatName val="0"/>
          <c:showSerName val="0"/>
          <c:showPercent val="0"/>
          <c:showBubbleSize val="0"/>
        </c:dLbls>
        <c:marker val="1"/>
        <c:smooth val="0"/>
        <c:axId val="2126437616"/>
        <c:axId val="2126442192"/>
      </c:lineChart>
      <c:catAx>
        <c:axId val="212643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26442192"/>
        <c:crosses val="autoZero"/>
        <c:auto val="1"/>
        <c:lblAlgn val="ctr"/>
        <c:lblOffset val="100"/>
        <c:noMultiLvlLbl val="0"/>
      </c:catAx>
      <c:valAx>
        <c:axId val="2126442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26437616"/>
        <c:crosses val="autoZero"/>
        <c:crossBetween val="between"/>
        <c:majorUnit val="100000"/>
      </c:valAx>
      <c:spPr>
        <a:noFill/>
        <a:ln>
          <a:noFill/>
        </a:ln>
        <a:effectLst/>
      </c:spPr>
    </c:plotArea>
    <c:legend>
      <c:legendPos val="b"/>
      <c:layout>
        <c:manualLayout>
          <c:xMode val="edge"/>
          <c:yMode val="edge"/>
          <c:x val="2.52138659073349E-2"/>
          <c:y val="0.78564448674684906"/>
          <c:w val="0.96059745288178555"/>
          <c:h val="0.169059901995009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77333017319327E-2"/>
          <c:y val="8.8256612154249944E-2"/>
          <c:w val="0.64303208064130779"/>
          <c:h val="0.7760029275186755"/>
        </c:manualLayout>
      </c:layout>
      <c:barChart>
        <c:barDir val="col"/>
        <c:grouping val="stacked"/>
        <c:varyColors val="0"/>
        <c:ser>
          <c:idx val="0"/>
          <c:order val="0"/>
          <c:tx>
            <c:strRef>
              <c:f>List1!$B$4</c:f>
              <c:strCache>
                <c:ptCount val="1"/>
                <c:pt idx="0">
                  <c:v>Počet podezření z protiprávního jednání</c:v>
                </c:pt>
              </c:strCache>
            </c:strRef>
          </c:tx>
          <c:spPr>
            <a:solidFill>
              <a:srgbClr val="BD2A33"/>
            </a:solidFill>
            <a:ln>
              <a:noFill/>
            </a:ln>
            <a:effectLst/>
          </c:spPr>
          <c:invertIfNegative val="0"/>
          <c:cat>
            <c:numRef>
              <c:f>List1!$C$3:$J$3</c:f>
              <c:numCache>
                <c:formatCode>General</c:formatCode>
                <c:ptCount val="8"/>
                <c:pt idx="0">
                  <c:v>2012</c:v>
                </c:pt>
                <c:pt idx="1">
                  <c:v>2013</c:v>
                </c:pt>
                <c:pt idx="2">
                  <c:v>2014</c:v>
                </c:pt>
                <c:pt idx="3">
                  <c:v>2015</c:v>
                </c:pt>
                <c:pt idx="4">
                  <c:v>2016</c:v>
                </c:pt>
                <c:pt idx="5">
                  <c:v>2017</c:v>
                </c:pt>
                <c:pt idx="6">
                  <c:v>2018</c:v>
                </c:pt>
                <c:pt idx="7">
                  <c:v>2019</c:v>
                </c:pt>
              </c:numCache>
            </c:numRef>
          </c:cat>
          <c:val>
            <c:numRef>
              <c:f>List1!$C$4:$J$4</c:f>
              <c:numCache>
                <c:formatCode>General</c:formatCode>
                <c:ptCount val="8"/>
                <c:pt idx="0">
                  <c:v>536</c:v>
                </c:pt>
                <c:pt idx="1">
                  <c:v>571</c:v>
                </c:pt>
                <c:pt idx="2">
                  <c:v>732</c:v>
                </c:pt>
                <c:pt idx="3">
                  <c:v>604</c:v>
                </c:pt>
                <c:pt idx="4">
                  <c:v>617</c:v>
                </c:pt>
                <c:pt idx="5">
                  <c:v>551</c:v>
                </c:pt>
                <c:pt idx="6">
                  <c:v>460</c:v>
                </c:pt>
                <c:pt idx="7">
                  <c:v>437</c:v>
                </c:pt>
              </c:numCache>
            </c:numRef>
          </c:val>
          <c:extLst>
            <c:ext xmlns:c16="http://schemas.microsoft.com/office/drawing/2014/chart" uri="{C3380CC4-5D6E-409C-BE32-E72D297353CC}">
              <c16:uniqueId val="{00000000-4953-45CB-A438-D90DE10F46E0}"/>
            </c:ext>
          </c:extLst>
        </c:ser>
        <c:ser>
          <c:idx val="1"/>
          <c:order val="1"/>
          <c:tx>
            <c:strRef>
              <c:f>List1!$B$5</c:f>
              <c:strCache>
                <c:ptCount val="1"/>
                <c:pt idx="0">
                  <c:v>Počet osob podezřelých (zjištění pachatelé)</c:v>
                </c:pt>
              </c:strCache>
            </c:strRef>
          </c:tx>
          <c:spPr>
            <a:solidFill>
              <a:srgbClr val="004595"/>
            </a:solidFill>
            <a:ln>
              <a:noFill/>
            </a:ln>
            <a:effectLst/>
          </c:spPr>
          <c:invertIfNegative val="0"/>
          <c:cat>
            <c:numRef>
              <c:f>List1!$C$3:$J$3</c:f>
              <c:numCache>
                <c:formatCode>General</c:formatCode>
                <c:ptCount val="8"/>
                <c:pt idx="0">
                  <c:v>2012</c:v>
                </c:pt>
                <c:pt idx="1">
                  <c:v>2013</c:v>
                </c:pt>
                <c:pt idx="2">
                  <c:v>2014</c:v>
                </c:pt>
                <c:pt idx="3">
                  <c:v>2015</c:v>
                </c:pt>
                <c:pt idx="4">
                  <c:v>2016</c:v>
                </c:pt>
                <c:pt idx="5">
                  <c:v>2017</c:v>
                </c:pt>
                <c:pt idx="6">
                  <c:v>2018</c:v>
                </c:pt>
                <c:pt idx="7">
                  <c:v>2019</c:v>
                </c:pt>
              </c:numCache>
            </c:numRef>
          </c:cat>
          <c:val>
            <c:numRef>
              <c:f>List1!$C$5:$J$5</c:f>
              <c:numCache>
                <c:formatCode>General</c:formatCode>
                <c:ptCount val="8"/>
                <c:pt idx="0">
                  <c:v>307</c:v>
                </c:pt>
                <c:pt idx="1">
                  <c:v>390</c:v>
                </c:pt>
                <c:pt idx="2">
                  <c:v>454</c:v>
                </c:pt>
                <c:pt idx="3">
                  <c:v>382</c:v>
                </c:pt>
                <c:pt idx="4">
                  <c:v>418</c:v>
                </c:pt>
                <c:pt idx="5">
                  <c:v>451</c:v>
                </c:pt>
                <c:pt idx="6">
                  <c:v>482</c:v>
                </c:pt>
                <c:pt idx="7">
                  <c:v>582</c:v>
                </c:pt>
              </c:numCache>
            </c:numRef>
          </c:val>
          <c:extLst>
            <c:ext xmlns:c16="http://schemas.microsoft.com/office/drawing/2014/chart" uri="{C3380CC4-5D6E-409C-BE32-E72D297353CC}">
              <c16:uniqueId val="{00000001-4953-45CB-A438-D90DE10F46E0}"/>
            </c:ext>
          </c:extLst>
        </c:ser>
        <c:ser>
          <c:idx val="2"/>
          <c:order val="2"/>
          <c:tx>
            <c:strRef>
              <c:f>List1!$B$6</c:f>
              <c:strCache>
                <c:ptCount val="1"/>
                <c:pt idx="0">
                  <c:v>Počet zahájených trestních stíhání</c:v>
                </c:pt>
              </c:strCache>
            </c:strRef>
          </c:tx>
          <c:spPr>
            <a:solidFill>
              <a:srgbClr val="BD2A33">
                <a:alpha val="60000"/>
              </a:srgbClr>
            </a:solidFill>
            <a:ln>
              <a:noFill/>
            </a:ln>
            <a:effectLst/>
          </c:spPr>
          <c:invertIfNegative val="0"/>
          <c:cat>
            <c:numRef>
              <c:f>List1!$C$3:$J$3</c:f>
              <c:numCache>
                <c:formatCode>General</c:formatCode>
                <c:ptCount val="8"/>
                <c:pt idx="0">
                  <c:v>2012</c:v>
                </c:pt>
                <c:pt idx="1">
                  <c:v>2013</c:v>
                </c:pt>
                <c:pt idx="2">
                  <c:v>2014</c:v>
                </c:pt>
                <c:pt idx="3">
                  <c:v>2015</c:v>
                </c:pt>
                <c:pt idx="4">
                  <c:v>2016</c:v>
                </c:pt>
                <c:pt idx="5">
                  <c:v>2017</c:v>
                </c:pt>
                <c:pt idx="6">
                  <c:v>2018</c:v>
                </c:pt>
                <c:pt idx="7">
                  <c:v>2019</c:v>
                </c:pt>
              </c:numCache>
            </c:numRef>
          </c:cat>
          <c:val>
            <c:numRef>
              <c:f>List1!$C$6:$J$6</c:f>
              <c:numCache>
                <c:formatCode>General</c:formatCode>
                <c:ptCount val="8"/>
                <c:pt idx="0">
                  <c:v>183</c:v>
                </c:pt>
                <c:pt idx="1">
                  <c:v>269</c:v>
                </c:pt>
                <c:pt idx="2">
                  <c:v>313</c:v>
                </c:pt>
                <c:pt idx="3">
                  <c:v>258</c:v>
                </c:pt>
                <c:pt idx="4">
                  <c:v>247</c:v>
                </c:pt>
                <c:pt idx="5">
                  <c:v>147</c:v>
                </c:pt>
                <c:pt idx="6">
                  <c:v>135</c:v>
                </c:pt>
                <c:pt idx="7">
                  <c:v>113</c:v>
                </c:pt>
              </c:numCache>
            </c:numRef>
          </c:val>
          <c:extLst>
            <c:ext xmlns:c16="http://schemas.microsoft.com/office/drawing/2014/chart" uri="{C3380CC4-5D6E-409C-BE32-E72D297353CC}">
              <c16:uniqueId val="{00000002-4953-45CB-A438-D90DE10F46E0}"/>
            </c:ext>
          </c:extLst>
        </c:ser>
        <c:ser>
          <c:idx val="3"/>
          <c:order val="3"/>
          <c:tx>
            <c:strRef>
              <c:f>List1!$B$7</c:f>
              <c:strCache>
                <c:ptCount val="1"/>
                <c:pt idx="0">
                  <c:v>Počet provedených zkoušek spolehlivosti</c:v>
                </c:pt>
              </c:strCache>
            </c:strRef>
          </c:tx>
          <c:spPr>
            <a:solidFill>
              <a:srgbClr val="C3C5C6"/>
            </a:solidFill>
            <a:ln>
              <a:noFill/>
            </a:ln>
            <a:effectLst/>
          </c:spPr>
          <c:invertIfNegative val="0"/>
          <c:cat>
            <c:numRef>
              <c:f>List1!$C$3:$J$3</c:f>
              <c:numCache>
                <c:formatCode>General</c:formatCode>
                <c:ptCount val="8"/>
                <c:pt idx="0">
                  <c:v>2012</c:v>
                </c:pt>
                <c:pt idx="1">
                  <c:v>2013</c:v>
                </c:pt>
                <c:pt idx="2">
                  <c:v>2014</c:v>
                </c:pt>
                <c:pt idx="3">
                  <c:v>2015</c:v>
                </c:pt>
                <c:pt idx="4">
                  <c:v>2016</c:v>
                </c:pt>
                <c:pt idx="5">
                  <c:v>2017</c:v>
                </c:pt>
                <c:pt idx="6">
                  <c:v>2018</c:v>
                </c:pt>
                <c:pt idx="7">
                  <c:v>2019</c:v>
                </c:pt>
              </c:numCache>
            </c:numRef>
          </c:cat>
          <c:val>
            <c:numRef>
              <c:f>List1!$C$7:$J$7</c:f>
              <c:numCache>
                <c:formatCode>General</c:formatCode>
                <c:ptCount val="8"/>
                <c:pt idx="0">
                  <c:v>31</c:v>
                </c:pt>
                <c:pt idx="1">
                  <c:v>56</c:v>
                </c:pt>
                <c:pt idx="2">
                  <c:v>40</c:v>
                </c:pt>
                <c:pt idx="3">
                  <c:v>4</c:v>
                </c:pt>
                <c:pt idx="4">
                  <c:v>22</c:v>
                </c:pt>
                <c:pt idx="5">
                  <c:v>15</c:v>
                </c:pt>
                <c:pt idx="6">
                  <c:v>40</c:v>
                </c:pt>
                <c:pt idx="7">
                  <c:v>13</c:v>
                </c:pt>
              </c:numCache>
            </c:numRef>
          </c:val>
          <c:extLst>
            <c:ext xmlns:c16="http://schemas.microsoft.com/office/drawing/2014/chart" uri="{C3380CC4-5D6E-409C-BE32-E72D297353CC}">
              <c16:uniqueId val="{00000003-4953-45CB-A438-D90DE10F46E0}"/>
            </c:ext>
          </c:extLst>
        </c:ser>
        <c:dLbls>
          <c:showLegendKey val="0"/>
          <c:showVal val="0"/>
          <c:showCatName val="0"/>
          <c:showSerName val="0"/>
          <c:showPercent val="0"/>
          <c:showBubbleSize val="0"/>
        </c:dLbls>
        <c:gapWidth val="150"/>
        <c:overlap val="100"/>
        <c:axId val="640354224"/>
        <c:axId val="640349232"/>
      </c:barChart>
      <c:catAx>
        <c:axId val="64035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0349232"/>
        <c:crosses val="autoZero"/>
        <c:auto val="1"/>
        <c:lblAlgn val="ctr"/>
        <c:lblOffset val="100"/>
        <c:noMultiLvlLbl val="0"/>
      </c:catAx>
      <c:valAx>
        <c:axId val="640349232"/>
        <c:scaling>
          <c:orientation val="minMax"/>
          <c:max val="16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0354224"/>
        <c:crosses val="autoZero"/>
        <c:crossBetween val="between"/>
        <c:majorUnit val="200"/>
      </c:valAx>
      <c:spPr>
        <a:noFill/>
        <a:ln>
          <a:noFill/>
        </a:ln>
        <a:effectLst/>
      </c:spPr>
    </c:plotArea>
    <c:legend>
      <c:legendPos val="b"/>
      <c:layout>
        <c:manualLayout>
          <c:xMode val="edge"/>
          <c:yMode val="edge"/>
          <c:x val="0.73474860781291229"/>
          <c:y val="0.10462447001817081"/>
          <c:w val="0.25329767806801928"/>
          <c:h val="0.743107880745675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635359116022102E-2"/>
          <c:y val="7.0853462157809979E-2"/>
          <c:w val="0.75686187845303865"/>
          <c:h val="0.80429633602301276"/>
        </c:manualLayout>
      </c:layout>
      <c:areaChart>
        <c:grouping val="standard"/>
        <c:varyColors val="0"/>
        <c:ser>
          <c:idx val="0"/>
          <c:order val="0"/>
          <c:tx>
            <c:strRef>
              <c:f>'systemizace po měsících'!$K$1</c:f>
              <c:strCache>
                <c:ptCount val="1"/>
                <c:pt idx="0">
                  <c:v>Systemizovaná místa</c:v>
                </c:pt>
              </c:strCache>
            </c:strRef>
          </c:tx>
          <c:spPr>
            <a:solidFill>
              <a:srgbClr val="BD2A33">
                <a:alpha val="60000"/>
              </a:srgbClr>
            </a:solidFill>
            <a:ln>
              <a:noFill/>
            </a:ln>
            <a:effectLst/>
          </c:spPr>
          <c:cat>
            <c:numRef>
              <c:f>'systemizace po měsících'!$A$2:$A$61</c:f>
              <c:numCache>
                <c:formatCode>m/d/yyyy</c:formatCode>
                <c:ptCount val="60"/>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pt idx="12">
                  <c:v>42736</c:v>
                </c:pt>
                <c:pt idx="13">
                  <c:v>42767</c:v>
                </c:pt>
                <c:pt idx="14">
                  <c:v>42795</c:v>
                </c:pt>
                <c:pt idx="15">
                  <c:v>42826</c:v>
                </c:pt>
                <c:pt idx="16">
                  <c:v>42856</c:v>
                </c:pt>
                <c:pt idx="17">
                  <c:v>42887</c:v>
                </c:pt>
                <c:pt idx="18">
                  <c:v>42917</c:v>
                </c:pt>
                <c:pt idx="19">
                  <c:v>42948</c:v>
                </c:pt>
                <c:pt idx="20">
                  <c:v>42979</c:v>
                </c:pt>
                <c:pt idx="21">
                  <c:v>43009</c:v>
                </c:pt>
                <c:pt idx="22">
                  <c:v>43040</c:v>
                </c:pt>
                <c:pt idx="23">
                  <c:v>43070</c:v>
                </c:pt>
                <c:pt idx="24">
                  <c:v>43101</c:v>
                </c:pt>
                <c:pt idx="25">
                  <c:v>43132</c:v>
                </c:pt>
                <c:pt idx="26">
                  <c:v>43160</c:v>
                </c:pt>
                <c:pt idx="27">
                  <c:v>43191</c:v>
                </c:pt>
                <c:pt idx="28">
                  <c:v>43221</c:v>
                </c:pt>
                <c:pt idx="29">
                  <c:v>43252</c:v>
                </c:pt>
                <c:pt idx="30">
                  <c:v>43282</c:v>
                </c:pt>
                <c:pt idx="31">
                  <c:v>43313</c:v>
                </c:pt>
                <c:pt idx="32">
                  <c:v>43344</c:v>
                </c:pt>
                <c:pt idx="33">
                  <c:v>43374</c:v>
                </c:pt>
                <c:pt idx="34">
                  <c:v>43405</c:v>
                </c:pt>
                <c:pt idx="35">
                  <c:v>43435</c:v>
                </c:pt>
                <c:pt idx="36">
                  <c:v>43466</c:v>
                </c:pt>
                <c:pt idx="37">
                  <c:v>43497</c:v>
                </c:pt>
                <c:pt idx="38">
                  <c:v>43525</c:v>
                </c:pt>
                <c:pt idx="39">
                  <c:v>43556</c:v>
                </c:pt>
                <c:pt idx="40">
                  <c:v>43586</c:v>
                </c:pt>
                <c:pt idx="41">
                  <c:v>43617</c:v>
                </c:pt>
                <c:pt idx="42">
                  <c:v>43647</c:v>
                </c:pt>
                <c:pt idx="43">
                  <c:v>43678</c:v>
                </c:pt>
                <c:pt idx="44">
                  <c:v>43709</c:v>
                </c:pt>
                <c:pt idx="45">
                  <c:v>43739</c:v>
                </c:pt>
                <c:pt idx="46">
                  <c:v>43770</c:v>
                </c:pt>
                <c:pt idx="47">
                  <c:v>43800</c:v>
                </c:pt>
                <c:pt idx="48">
                  <c:v>43831</c:v>
                </c:pt>
                <c:pt idx="49">
                  <c:v>43862</c:v>
                </c:pt>
                <c:pt idx="50">
                  <c:v>43891</c:v>
                </c:pt>
                <c:pt idx="51">
                  <c:v>43922</c:v>
                </c:pt>
                <c:pt idx="52">
                  <c:v>43952</c:v>
                </c:pt>
                <c:pt idx="53">
                  <c:v>43983</c:v>
                </c:pt>
                <c:pt idx="54">
                  <c:v>44013</c:v>
                </c:pt>
                <c:pt idx="55">
                  <c:v>44044</c:v>
                </c:pt>
                <c:pt idx="56">
                  <c:v>44075</c:v>
                </c:pt>
                <c:pt idx="57">
                  <c:v>44105</c:v>
                </c:pt>
                <c:pt idx="58">
                  <c:v>44136</c:v>
                </c:pt>
                <c:pt idx="59">
                  <c:v>44166</c:v>
                </c:pt>
              </c:numCache>
            </c:numRef>
          </c:cat>
          <c:val>
            <c:numRef>
              <c:f>'systemizace po měsících'!$K$2:$K$61</c:f>
              <c:numCache>
                <c:formatCode>General</c:formatCode>
                <c:ptCount val="60"/>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335</c:v>
                </c:pt>
                <c:pt idx="17">
                  <c:v>335</c:v>
                </c:pt>
                <c:pt idx="18">
                  <c:v>335</c:v>
                </c:pt>
                <c:pt idx="19">
                  <c:v>335</c:v>
                </c:pt>
                <c:pt idx="20">
                  <c:v>335</c:v>
                </c:pt>
                <c:pt idx="21">
                  <c:v>335</c:v>
                </c:pt>
                <c:pt idx="22">
                  <c:v>335</c:v>
                </c:pt>
                <c:pt idx="23">
                  <c:v>335</c:v>
                </c:pt>
                <c:pt idx="24">
                  <c:v>335</c:v>
                </c:pt>
                <c:pt idx="25">
                  <c:v>335</c:v>
                </c:pt>
                <c:pt idx="26">
                  <c:v>335</c:v>
                </c:pt>
                <c:pt idx="27">
                  <c:v>335</c:v>
                </c:pt>
                <c:pt idx="28">
                  <c:v>335</c:v>
                </c:pt>
                <c:pt idx="29">
                  <c:v>335</c:v>
                </c:pt>
                <c:pt idx="30">
                  <c:v>335</c:v>
                </c:pt>
                <c:pt idx="31">
                  <c:v>335</c:v>
                </c:pt>
                <c:pt idx="32">
                  <c:v>335</c:v>
                </c:pt>
                <c:pt idx="33">
                  <c:v>335</c:v>
                </c:pt>
                <c:pt idx="34">
                  <c:v>335</c:v>
                </c:pt>
                <c:pt idx="35">
                  <c:v>335</c:v>
                </c:pt>
                <c:pt idx="36">
                  <c:v>335</c:v>
                </c:pt>
                <c:pt idx="37">
                  <c:v>335</c:v>
                </c:pt>
                <c:pt idx="38">
                  <c:v>335</c:v>
                </c:pt>
                <c:pt idx="39">
                  <c:v>335</c:v>
                </c:pt>
                <c:pt idx="40">
                  <c:v>335</c:v>
                </c:pt>
                <c:pt idx="41">
                  <c:v>335</c:v>
                </c:pt>
                <c:pt idx="42">
                  <c:v>335</c:v>
                </c:pt>
                <c:pt idx="43">
                  <c:v>335</c:v>
                </c:pt>
                <c:pt idx="44">
                  <c:v>335</c:v>
                </c:pt>
                <c:pt idx="45">
                  <c:v>335</c:v>
                </c:pt>
                <c:pt idx="46">
                  <c:v>335</c:v>
                </c:pt>
                <c:pt idx="47">
                  <c:v>335</c:v>
                </c:pt>
                <c:pt idx="48">
                  <c:v>333</c:v>
                </c:pt>
                <c:pt idx="49">
                  <c:v>333</c:v>
                </c:pt>
                <c:pt idx="50">
                  <c:v>333</c:v>
                </c:pt>
                <c:pt idx="51">
                  <c:v>333</c:v>
                </c:pt>
                <c:pt idx="52">
                  <c:v>333</c:v>
                </c:pt>
                <c:pt idx="53">
                  <c:v>333</c:v>
                </c:pt>
                <c:pt idx="54">
                  <c:v>333</c:v>
                </c:pt>
                <c:pt idx="55">
                  <c:v>333</c:v>
                </c:pt>
                <c:pt idx="56">
                  <c:v>333</c:v>
                </c:pt>
                <c:pt idx="57">
                  <c:v>333</c:v>
                </c:pt>
                <c:pt idx="58">
                  <c:v>333</c:v>
                </c:pt>
                <c:pt idx="59">
                  <c:v>333</c:v>
                </c:pt>
              </c:numCache>
            </c:numRef>
          </c:val>
          <c:extLst>
            <c:ext xmlns:c16="http://schemas.microsoft.com/office/drawing/2014/chart" uri="{C3380CC4-5D6E-409C-BE32-E72D297353CC}">
              <c16:uniqueId val="{00000000-6754-4CEF-9E9B-A8D618C16D28}"/>
            </c:ext>
          </c:extLst>
        </c:ser>
        <c:ser>
          <c:idx val="1"/>
          <c:order val="1"/>
          <c:tx>
            <c:strRef>
              <c:f>'systemizace po měsících'!$L$1</c:f>
              <c:strCache>
                <c:ptCount val="1"/>
                <c:pt idx="0">
                  <c:v>Naplněnost</c:v>
                </c:pt>
              </c:strCache>
            </c:strRef>
          </c:tx>
          <c:spPr>
            <a:solidFill>
              <a:srgbClr val="004595"/>
            </a:solidFill>
            <a:ln>
              <a:noFill/>
            </a:ln>
            <a:effectLst/>
          </c:spPr>
          <c:dLbls>
            <c:dLbl>
              <c:idx val="0"/>
              <c:layout>
                <c:manualLayout>
                  <c:x val="1.7847183491355261E-2"/>
                  <c:y val="-7.66316739564502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754-4CEF-9E9B-A8D618C16D28}"/>
                </c:ext>
              </c:extLst>
            </c:dLbl>
            <c:dLbl>
              <c:idx val="1"/>
              <c:delete val="1"/>
              <c:extLst>
                <c:ext xmlns:c15="http://schemas.microsoft.com/office/drawing/2012/chart" uri="{CE6537A1-D6FC-4f65-9D91-7224C49458BB}"/>
                <c:ext xmlns:c16="http://schemas.microsoft.com/office/drawing/2014/chart" uri="{C3380CC4-5D6E-409C-BE32-E72D297353CC}">
                  <c16:uniqueId val="{00000002-6754-4CEF-9E9B-A8D618C16D28}"/>
                </c:ext>
              </c:extLst>
            </c:dLbl>
            <c:dLbl>
              <c:idx val="2"/>
              <c:delete val="1"/>
              <c:extLst>
                <c:ext xmlns:c15="http://schemas.microsoft.com/office/drawing/2012/chart" uri="{CE6537A1-D6FC-4f65-9D91-7224C49458BB}"/>
                <c:ext xmlns:c16="http://schemas.microsoft.com/office/drawing/2014/chart" uri="{C3380CC4-5D6E-409C-BE32-E72D297353CC}">
                  <c16:uniqueId val="{00000003-6754-4CEF-9E9B-A8D618C16D28}"/>
                </c:ext>
              </c:extLst>
            </c:dLbl>
            <c:dLbl>
              <c:idx val="3"/>
              <c:delete val="1"/>
              <c:extLst>
                <c:ext xmlns:c15="http://schemas.microsoft.com/office/drawing/2012/chart" uri="{CE6537A1-D6FC-4f65-9D91-7224C49458BB}"/>
                <c:ext xmlns:c16="http://schemas.microsoft.com/office/drawing/2014/chart" uri="{C3380CC4-5D6E-409C-BE32-E72D297353CC}">
                  <c16:uniqueId val="{00000004-6754-4CEF-9E9B-A8D618C16D28}"/>
                </c:ext>
              </c:extLst>
            </c:dLbl>
            <c:dLbl>
              <c:idx val="4"/>
              <c:delete val="1"/>
              <c:extLst>
                <c:ext xmlns:c15="http://schemas.microsoft.com/office/drawing/2012/chart" uri="{CE6537A1-D6FC-4f65-9D91-7224C49458BB}"/>
                <c:ext xmlns:c16="http://schemas.microsoft.com/office/drawing/2014/chart" uri="{C3380CC4-5D6E-409C-BE32-E72D297353CC}">
                  <c16:uniqueId val="{00000005-6754-4CEF-9E9B-A8D618C16D28}"/>
                </c:ext>
              </c:extLst>
            </c:dLbl>
            <c:dLbl>
              <c:idx val="5"/>
              <c:delete val="1"/>
              <c:extLst>
                <c:ext xmlns:c15="http://schemas.microsoft.com/office/drawing/2012/chart" uri="{CE6537A1-D6FC-4f65-9D91-7224C49458BB}"/>
                <c:ext xmlns:c16="http://schemas.microsoft.com/office/drawing/2014/chart" uri="{C3380CC4-5D6E-409C-BE32-E72D297353CC}">
                  <c16:uniqueId val="{00000006-6754-4CEF-9E9B-A8D618C16D28}"/>
                </c:ext>
              </c:extLst>
            </c:dLbl>
            <c:dLbl>
              <c:idx val="6"/>
              <c:delete val="1"/>
              <c:extLst>
                <c:ext xmlns:c15="http://schemas.microsoft.com/office/drawing/2012/chart" uri="{CE6537A1-D6FC-4f65-9D91-7224C49458BB}"/>
                <c:ext xmlns:c16="http://schemas.microsoft.com/office/drawing/2014/chart" uri="{C3380CC4-5D6E-409C-BE32-E72D297353CC}">
                  <c16:uniqueId val="{00000007-6754-4CEF-9E9B-A8D618C16D28}"/>
                </c:ext>
              </c:extLst>
            </c:dLbl>
            <c:dLbl>
              <c:idx val="7"/>
              <c:delete val="1"/>
              <c:extLst>
                <c:ext xmlns:c15="http://schemas.microsoft.com/office/drawing/2012/chart" uri="{CE6537A1-D6FC-4f65-9D91-7224C49458BB}"/>
                <c:ext xmlns:c16="http://schemas.microsoft.com/office/drawing/2014/chart" uri="{C3380CC4-5D6E-409C-BE32-E72D297353CC}">
                  <c16:uniqueId val="{00000008-6754-4CEF-9E9B-A8D618C16D28}"/>
                </c:ext>
              </c:extLst>
            </c:dLbl>
            <c:dLbl>
              <c:idx val="8"/>
              <c:delete val="1"/>
              <c:extLst>
                <c:ext xmlns:c15="http://schemas.microsoft.com/office/drawing/2012/chart" uri="{CE6537A1-D6FC-4f65-9D91-7224C49458BB}"/>
                <c:ext xmlns:c16="http://schemas.microsoft.com/office/drawing/2014/chart" uri="{C3380CC4-5D6E-409C-BE32-E72D297353CC}">
                  <c16:uniqueId val="{00000009-6754-4CEF-9E9B-A8D618C16D28}"/>
                </c:ext>
              </c:extLst>
            </c:dLbl>
            <c:dLbl>
              <c:idx val="9"/>
              <c:delete val="1"/>
              <c:extLst>
                <c:ext xmlns:c15="http://schemas.microsoft.com/office/drawing/2012/chart" uri="{CE6537A1-D6FC-4f65-9D91-7224C49458BB}"/>
                <c:ext xmlns:c16="http://schemas.microsoft.com/office/drawing/2014/chart" uri="{C3380CC4-5D6E-409C-BE32-E72D297353CC}">
                  <c16:uniqueId val="{0000000A-6754-4CEF-9E9B-A8D618C16D28}"/>
                </c:ext>
              </c:extLst>
            </c:dLbl>
            <c:dLbl>
              <c:idx val="10"/>
              <c:delete val="1"/>
              <c:extLst>
                <c:ext xmlns:c15="http://schemas.microsoft.com/office/drawing/2012/chart" uri="{CE6537A1-D6FC-4f65-9D91-7224C49458BB}"/>
                <c:ext xmlns:c16="http://schemas.microsoft.com/office/drawing/2014/chart" uri="{C3380CC4-5D6E-409C-BE32-E72D297353CC}">
                  <c16:uniqueId val="{0000000B-6754-4CEF-9E9B-A8D618C16D28}"/>
                </c:ext>
              </c:extLst>
            </c:dLbl>
            <c:dLbl>
              <c:idx val="11"/>
              <c:delete val="1"/>
              <c:extLst>
                <c:ext xmlns:c15="http://schemas.microsoft.com/office/drawing/2012/chart" uri="{CE6537A1-D6FC-4f65-9D91-7224C49458BB}"/>
                <c:ext xmlns:c16="http://schemas.microsoft.com/office/drawing/2014/chart" uri="{C3380CC4-5D6E-409C-BE32-E72D297353CC}">
                  <c16:uniqueId val="{0000000C-6754-4CEF-9E9B-A8D618C16D28}"/>
                </c:ext>
              </c:extLst>
            </c:dLbl>
            <c:dLbl>
              <c:idx val="12"/>
              <c:layout>
                <c:manualLayout>
                  <c:x val="0"/>
                  <c:y val="-0.148445336008024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754-4CEF-9E9B-A8D618C16D28}"/>
                </c:ext>
              </c:extLst>
            </c:dLbl>
            <c:dLbl>
              <c:idx val="13"/>
              <c:delete val="1"/>
              <c:extLst>
                <c:ext xmlns:c15="http://schemas.microsoft.com/office/drawing/2012/chart" uri="{CE6537A1-D6FC-4f65-9D91-7224C49458BB}"/>
                <c:ext xmlns:c16="http://schemas.microsoft.com/office/drawing/2014/chart" uri="{C3380CC4-5D6E-409C-BE32-E72D297353CC}">
                  <c16:uniqueId val="{0000000E-6754-4CEF-9E9B-A8D618C16D28}"/>
                </c:ext>
              </c:extLst>
            </c:dLbl>
            <c:dLbl>
              <c:idx val="14"/>
              <c:delete val="1"/>
              <c:extLst>
                <c:ext xmlns:c15="http://schemas.microsoft.com/office/drawing/2012/chart" uri="{CE6537A1-D6FC-4f65-9D91-7224C49458BB}"/>
                <c:ext xmlns:c16="http://schemas.microsoft.com/office/drawing/2014/chart" uri="{C3380CC4-5D6E-409C-BE32-E72D297353CC}">
                  <c16:uniqueId val="{0000000F-6754-4CEF-9E9B-A8D618C16D28}"/>
                </c:ext>
              </c:extLst>
            </c:dLbl>
            <c:dLbl>
              <c:idx val="15"/>
              <c:delete val="1"/>
              <c:extLst>
                <c:ext xmlns:c15="http://schemas.microsoft.com/office/drawing/2012/chart" uri="{CE6537A1-D6FC-4f65-9D91-7224C49458BB}"/>
                <c:ext xmlns:c16="http://schemas.microsoft.com/office/drawing/2014/chart" uri="{C3380CC4-5D6E-409C-BE32-E72D297353CC}">
                  <c16:uniqueId val="{00000010-6754-4CEF-9E9B-A8D618C16D28}"/>
                </c:ext>
              </c:extLst>
            </c:dLbl>
            <c:dLbl>
              <c:idx val="16"/>
              <c:delete val="1"/>
              <c:extLst>
                <c:ext xmlns:c15="http://schemas.microsoft.com/office/drawing/2012/chart" uri="{CE6537A1-D6FC-4f65-9D91-7224C49458BB}"/>
                <c:ext xmlns:c16="http://schemas.microsoft.com/office/drawing/2014/chart" uri="{C3380CC4-5D6E-409C-BE32-E72D297353CC}">
                  <c16:uniqueId val="{00000011-6754-4CEF-9E9B-A8D618C16D28}"/>
                </c:ext>
              </c:extLst>
            </c:dLbl>
            <c:dLbl>
              <c:idx val="17"/>
              <c:delete val="1"/>
              <c:extLst>
                <c:ext xmlns:c15="http://schemas.microsoft.com/office/drawing/2012/chart" uri="{CE6537A1-D6FC-4f65-9D91-7224C49458BB}"/>
                <c:ext xmlns:c16="http://schemas.microsoft.com/office/drawing/2014/chart" uri="{C3380CC4-5D6E-409C-BE32-E72D297353CC}">
                  <c16:uniqueId val="{00000012-6754-4CEF-9E9B-A8D618C16D28}"/>
                </c:ext>
              </c:extLst>
            </c:dLbl>
            <c:dLbl>
              <c:idx val="18"/>
              <c:delete val="1"/>
              <c:extLst>
                <c:ext xmlns:c15="http://schemas.microsoft.com/office/drawing/2012/chart" uri="{CE6537A1-D6FC-4f65-9D91-7224C49458BB}"/>
                <c:ext xmlns:c16="http://schemas.microsoft.com/office/drawing/2014/chart" uri="{C3380CC4-5D6E-409C-BE32-E72D297353CC}">
                  <c16:uniqueId val="{00000013-6754-4CEF-9E9B-A8D618C16D28}"/>
                </c:ext>
              </c:extLst>
            </c:dLbl>
            <c:dLbl>
              <c:idx val="19"/>
              <c:delete val="1"/>
              <c:extLst>
                <c:ext xmlns:c15="http://schemas.microsoft.com/office/drawing/2012/chart" uri="{CE6537A1-D6FC-4f65-9D91-7224C49458BB}"/>
                <c:ext xmlns:c16="http://schemas.microsoft.com/office/drawing/2014/chart" uri="{C3380CC4-5D6E-409C-BE32-E72D297353CC}">
                  <c16:uniqueId val="{00000014-6754-4CEF-9E9B-A8D618C16D28}"/>
                </c:ext>
              </c:extLst>
            </c:dLbl>
            <c:dLbl>
              <c:idx val="20"/>
              <c:delete val="1"/>
              <c:extLst>
                <c:ext xmlns:c15="http://schemas.microsoft.com/office/drawing/2012/chart" uri="{CE6537A1-D6FC-4f65-9D91-7224C49458BB}"/>
                <c:ext xmlns:c16="http://schemas.microsoft.com/office/drawing/2014/chart" uri="{C3380CC4-5D6E-409C-BE32-E72D297353CC}">
                  <c16:uniqueId val="{00000015-6754-4CEF-9E9B-A8D618C16D28}"/>
                </c:ext>
              </c:extLst>
            </c:dLbl>
            <c:dLbl>
              <c:idx val="21"/>
              <c:delete val="1"/>
              <c:extLst>
                <c:ext xmlns:c15="http://schemas.microsoft.com/office/drawing/2012/chart" uri="{CE6537A1-D6FC-4f65-9D91-7224C49458BB}"/>
                <c:ext xmlns:c16="http://schemas.microsoft.com/office/drawing/2014/chart" uri="{C3380CC4-5D6E-409C-BE32-E72D297353CC}">
                  <c16:uniqueId val="{00000016-6754-4CEF-9E9B-A8D618C16D28}"/>
                </c:ext>
              </c:extLst>
            </c:dLbl>
            <c:dLbl>
              <c:idx val="22"/>
              <c:delete val="1"/>
              <c:extLst>
                <c:ext xmlns:c15="http://schemas.microsoft.com/office/drawing/2012/chart" uri="{CE6537A1-D6FC-4f65-9D91-7224C49458BB}"/>
                <c:ext xmlns:c16="http://schemas.microsoft.com/office/drawing/2014/chart" uri="{C3380CC4-5D6E-409C-BE32-E72D297353CC}">
                  <c16:uniqueId val="{00000017-6754-4CEF-9E9B-A8D618C16D28}"/>
                </c:ext>
              </c:extLst>
            </c:dLbl>
            <c:dLbl>
              <c:idx val="23"/>
              <c:delete val="1"/>
              <c:extLst>
                <c:ext xmlns:c15="http://schemas.microsoft.com/office/drawing/2012/chart" uri="{CE6537A1-D6FC-4f65-9D91-7224C49458BB}"/>
                <c:ext xmlns:c16="http://schemas.microsoft.com/office/drawing/2014/chart" uri="{C3380CC4-5D6E-409C-BE32-E72D297353CC}">
                  <c16:uniqueId val="{00000018-6754-4CEF-9E9B-A8D618C16D28}"/>
                </c:ext>
              </c:extLst>
            </c:dLbl>
            <c:dLbl>
              <c:idx val="24"/>
              <c:layout>
                <c:manualLayout>
                  <c:x val="-4.4198895027624313E-3"/>
                  <c:y val="-0.324974924774323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6754-4CEF-9E9B-A8D618C16D28}"/>
                </c:ext>
              </c:extLst>
            </c:dLbl>
            <c:dLbl>
              <c:idx val="25"/>
              <c:delete val="1"/>
              <c:extLst>
                <c:ext xmlns:c15="http://schemas.microsoft.com/office/drawing/2012/chart" uri="{CE6537A1-D6FC-4f65-9D91-7224C49458BB}"/>
                <c:ext xmlns:c16="http://schemas.microsoft.com/office/drawing/2014/chart" uri="{C3380CC4-5D6E-409C-BE32-E72D297353CC}">
                  <c16:uniqueId val="{0000001A-6754-4CEF-9E9B-A8D618C16D28}"/>
                </c:ext>
              </c:extLst>
            </c:dLbl>
            <c:dLbl>
              <c:idx val="26"/>
              <c:delete val="1"/>
              <c:extLst>
                <c:ext xmlns:c15="http://schemas.microsoft.com/office/drawing/2012/chart" uri="{CE6537A1-D6FC-4f65-9D91-7224C49458BB}"/>
                <c:ext xmlns:c16="http://schemas.microsoft.com/office/drawing/2014/chart" uri="{C3380CC4-5D6E-409C-BE32-E72D297353CC}">
                  <c16:uniqueId val="{0000001B-6754-4CEF-9E9B-A8D618C16D28}"/>
                </c:ext>
              </c:extLst>
            </c:dLbl>
            <c:dLbl>
              <c:idx val="27"/>
              <c:delete val="1"/>
              <c:extLst>
                <c:ext xmlns:c15="http://schemas.microsoft.com/office/drawing/2012/chart" uri="{CE6537A1-D6FC-4f65-9D91-7224C49458BB}"/>
                <c:ext xmlns:c16="http://schemas.microsoft.com/office/drawing/2014/chart" uri="{C3380CC4-5D6E-409C-BE32-E72D297353CC}">
                  <c16:uniqueId val="{0000001C-6754-4CEF-9E9B-A8D618C16D28}"/>
                </c:ext>
              </c:extLst>
            </c:dLbl>
            <c:dLbl>
              <c:idx val="28"/>
              <c:delete val="1"/>
              <c:extLst>
                <c:ext xmlns:c15="http://schemas.microsoft.com/office/drawing/2012/chart" uri="{CE6537A1-D6FC-4f65-9D91-7224C49458BB}"/>
                <c:ext xmlns:c16="http://schemas.microsoft.com/office/drawing/2014/chart" uri="{C3380CC4-5D6E-409C-BE32-E72D297353CC}">
                  <c16:uniqueId val="{0000001D-6754-4CEF-9E9B-A8D618C16D28}"/>
                </c:ext>
              </c:extLst>
            </c:dLbl>
            <c:dLbl>
              <c:idx val="29"/>
              <c:delete val="1"/>
              <c:extLst>
                <c:ext xmlns:c15="http://schemas.microsoft.com/office/drawing/2012/chart" uri="{CE6537A1-D6FC-4f65-9D91-7224C49458BB}"/>
                <c:ext xmlns:c16="http://schemas.microsoft.com/office/drawing/2014/chart" uri="{C3380CC4-5D6E-409C-BE32-E72D297353CC}">
                  <c16:uniqueId val="{0000001E-6754-4CEF-9E9B-A8D618C16D28}"/>
                </c:ext>
              </c:extLst>
            </c:dLbl>
            <c:dLbl>
              <c:idx val="30"/>
              <c:delete val="1"/>
              <c:extLst>
                <c:ext xmlns:c15="http://schemas.microsoft.com/office/drawing/2012/chart" uri="{CE6537A1-D6FC-4f65-9D91-7224C49458BB}"/>
                <c:ext xmlns:c16="http://schemas.microsoft.com/office/drawing/2014/chart" uri="{C3380CC4-5D6E-409C-BE32-E72D297353CC}">
                  <c16:uniqueId val="{0000001F-6754-4CEF-9E9B-A8D618C16D28}"/>
                </c:ext>
              </c:extLst>
            </c:dLbl>
            <c:dLbl>
              <c:idx val="31"/>
              <c:delete val="1"/>
              <c:extLst>
                <c:ext xmlns:c15="http://schemas.microsoft.com/office/drawing/2012/chart" uri="{CE6537A1-D6FC-4f65-9D91-7224C49458BB}"/>
                <c:ext xmlns:c16="http://schemas.microsoft.com/office/drawing/2014/chart" uri="{C3380CC4-5D6E-409C-BE32-E72D297353CC}">
                  <c16:uniqueId val="{00000020-6754-4CEF-9E9B-A8D618C16D28}"/>
                </c:ext>
              </c:extLst>
            </c:dLbl>
            <c:dLbl>
              <c:idx val="32"/>
              <c:delete val="1"/>
              <c:extLst>
                <c:ext xmlns:c15="http://schemas.microsoft.com/office/drawing/2012/chart" uri="{CE6537A1-D6FC-4f65-9D91-7224C49458BB}"/>
                <c:ext xmlns:c16="http://schemas.microsoft.com/office/drawing/2014/chart" uri="{C3380CC4-5D6E-409C-BE32-E72D297353CC}">
                  <c16:uniqueId val="{00000021-6754-4CEF-9E9B-A8D618C16D28}"/>
                </c:ext>
              </c:extLst>
            </c:dLbl>
            <c:dLbl>
              <c:idx val="33"/>
              <c:delete val="1"/>
              <c:extLst>
                <c:ext xmlns:c15="http://schemas.microsoft.com/office/drawing/2012/chart" uri="{CE6537A1-D6FC-4f65-9D91-7224C49458BB}"/>
                <c:ext xmlns:c16="http://schemas.microsoft.com/office/drawing/2014/chart" uri="{C3380CC4-5D6E-409C-BE32-E72D297353CC}">
                  <c16:uniqueId val="{00000022-6754-4CEF-9E9B-A8D618C16D28}"/>
                </c:ext>
              </c:extLst>
            </c:dLbl>
            <c:dLbl>
              <c:idx val="34"/>
              <c:delete val="1"/>
              <c:extLst>
                <c:ext xmlns:c15="http://schemas.microsoft.com/office/drawing/2012/chart" uri="{CE6537A1-D6FC-4f65-9D91-7224C49458BB}"/>
                <c:ext xmlns:c16="http://schemas.microsoft.com/office/drawing/2014/chart" uri="{C3380CC4-5D6E-409C-BE32-E72D297353CC}">
                  <c16:uniqueId val="{00000023-6754-4CEF-9E9B-A8D618C16D28}"/>
                </c:ext>
              </c:extLst>
            </c:dLbl>
            <c:dLbl>
              <c:idx val="35"/>
              <c:delete val="1"/>
              <c:extLst>
                <c:ext xmlns:c15="http://schemas.microsoft.com/office/drawing/2012/chart" uri="{CE6537A1-D6FC-4f65-9D91-7224C49458BB}"/>
                <c:ext xmlns:c16="http://schemas.microsoft.com/office/drawing/2014/chart" uri="{C3380CC4-5D6E-409C-BE32-E72D297353CC}">
                  <c16:uniqueId val="{00000024-6754-4CEF-9E9B-A8D618C16D28}"/>
                </c:ext>
              </c:extLst>
            </c:dLbl>
            <c:dLbl>
              <c:idx val="36"/>
              <c:layout>
                <c:manualLayout>
                  <c:x val="-2.2099447513812156E-3"/>
                  <c:y val="-0.2006018054162487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6754-4CEF-9E9B-A8D618C16D28}"/>
                </c:ext>
              </c:extLst>
            </c:dLbl>
            <c:dLbl>
              <c:idx val="37"/>
              <c:delete val="1"/>
              <c:extLst>
                <c:ext xmlns:c15="http://schemas.microsoft.com/office/drawing/2012/chart" uri="{CE6537A1-D6FC-4f65-9D91-7224C49458BB}"/>
                <c:ext xmlns:c16="http://schemas.microsoft.com/office/drawing/2014/chart" uri="{C3380CC4-5D6E-409C-BE32-E72D297353CC}">
                  <c16:uniqueId val="{00000026-6754-4CEF-9E9B-A8D618C16D28}"/>
                </c:ext>
              </c:extLst>
            </c:dLbl>
            <c:dLbl>
              <c:idx val="38"/>
              <c:delete val="1"/>
              <c:extLst>
                <c:ext xmlns:c15="http://schemas.microsoft.com/office/drawing/2012/chart" uri="{CE6537A1-D6FC-4f65-9D91-7224C49458BB}"/>
                <c:ext xmlns:c16="http://schemas.microsoft.com/office/drawing/2014/chart" uri="{C3380CC4-5D6E-409C-BE32-E72D297353CC}">
                  <c16:uniqueId val="{00000027-6754-4CEF-9E9B-A8D618C16D28}"/>
                </c:ext>
              </c:extLst>
            </c:dLbl>
            <c:dLbl>
              <c:idx val="39"/>
              <c:delete val="1"/>
              <c:extLst>
                <c:ext xmlns:c15="http://schemas.microsoft.com/office/drawing/2012/chart" uri="{CE6537A1-D6FC-4f65-9D91-7224C49458BB}"/>
                <c:ext xmlns:c16="http://schemas.microsoft.com/office/drawing/2014/chart" uri="{C3380CC4-5D6E-409C-BE32-E72D297353CC}">
                  <c16:uniqueId val="{00000028-6754-4CEF-9E9B-A8D618C16D28}"/>
                </c:ext>
              </c:extLst>
            </c:dLbl>
            <c:dLbl>
              <c:idx val="40"/>
              <c:delete val="1"/>
              <c:extLst>
                <c:ext xmlns:c15="http://schemas.microsoft.com/office/drawing/2012/chart" uri="{CE6537A1-D6FC-4f65-9D91-7224C49458BB}"/>
                <c:ext xmlns:c16="http://schemas.microsoft.com/office/drawing/2014/chart" uri="{C3380CC4-5D6E-409C-BE32-E72D297353CC}">
                  <c16:uniqueId val="{00000029-6754-4CEF-9E9B-A8D618C16D28}"/>
                </c:ext>
              </c:extLst>
            </c:dLbl>
            <c:dLbl>
              <c:idx val="41"/>
              <c:delete val="1"/>
              <c:extLst>
                <c:ext xmlns:c15="http://schemas.microsoft.com/office/drawing/2012/chart" uri="{CE6537A1-D6FC-4f65-9D91-7224C49458BB}"/>
                <c:ext xmlns:c16="http://schemas.microsoft.com/office/drawing/2014/chart" uri="{C3380CC4-5D6E-409C-BE32-E72D297353CC}">
                  <c16:uniqueId val="{0000002A-6754-4CEF-9E9B-A8D618C16D28}"/>
                </c:ext>
              </c:extLst>
            </c:dLbl>
            <c:dLbl>
              <c:idx val="42"/>
              <c:delete val="1"/>
              <c:extLst>
                <c:ext xmlns:c15="http://schemas.microsoft.com/office/drawing/2012/chart" uri="{CE6537A1-D6FC-4f65-9D91-7224C49458BB}"/>
                <c:ext xmlns:c16="http://schemas.microsoft.com/office/drawing/2014/chart" uri="{C3380CC4-5D6E-409C-BE32-E72D297353CC}">
                  <c16:uniqueId val="{0000002B-6754-4CEF-9E9B-A8D618C16D28}"/>
                </c:ext>
              </c:extLst>
            </c:dLbl>
            <c:dLbl>
              <c:idx val="43"/>
              <c:delete val="1"/>
              <c:extLst>
                <c:ext xmlns:c15="http://schemas.microsoft.com/office/drawing/2012/chart" uri="{CE6537A1-D6FC-4f65-9D91-7224C49458BB}"/>
                <c:ext xmlns:c16="http://schemas.microsoft.com/office/drawing/2014/chart" uri="{C3380CC4-5D6E-409C-BE32-E72D297353CC}">
                  <c16:uniqueId val="{0000002C-6754-4CEF-9E9B-A8D618C16D28}"/>
                </c:ext>
              </c:extLst>
            </c:dLbl>
            <c:dLbl>
              <c:idx val="44"/>
              <c:delete val="1"/>
              <c:extLst>
                <c:ext xmlns:c15="http://schemas.microsoft.com/office/drawing/2012/chart" uri="{CE6537A1-D6FC-4f65-9D91-7224C49458BB}"/>
                <c:ext xmlns:c16="http://schemas.microsoft.com/office/drawing/2014/chart" uri="{C3380CC4-5D6E-409C-BE32-E72D297353CC}">
                  <c16:uniqueId val="{0000002D-6754-4CEF-9E9B-A8D618C16D28}"/>
                </c:ext>
              </c:extLst>
            </c:dLbl>
            <c:dLbl>
              <c:idx val="45"/>
              <c:delete val="1"/>
              <c:extLst>
                <c:ext xmlns:c15="http://schemas.microsoft.com/office/drawing/2012/chart" uri="{CE6537A1-D6FC-4f65-9D91-7224C49458BB}"/>
                <c:ext xmlns:c16="http://schemas.microsoft.com/office/drawing/2014/chart" uri="{C3380CC4-5D6E-409C-BE32-E72D297353CC}">
                  <c16:uniqueId val="{0000002E-6754-4CEF-9E9B-A8D618C16D28}"/>
                </c:ext>
              </c:extLst>
            </c:dLbl>
            <c:dLbl>
              <c:idx val="46"/>
              <c:delete val="1"/>
              <c:extLst>
                <c:ext xmlns:c15="http://schemas.microsoft.com/office/drawing/2012/chart" uri="{CE6537A1-D6FC-4f65-9D91-7224C49458BB}"/>
                <c:ext xmlns:c16="http://schemas.microsoft.com/office/drawing/2014/chart" uri="{C3380CC4-5D6E-409C-BE32-E72D297353CC}">
                  <c16:uniqueId val="{0000002F-6754-4CEF-9E9B-A8D618C16D28}"/>
                </c:ext>
              </c:extLst>
            </c:dLbl>
            <c:dLbl>
              <c:idx val="47"/>
              <c:delete val="1"/>
              <c:extLst>
                <c:ext xmlns:c15="http://schemas.microsoft.com/office/drawing/2012/chart" uri="{CE6537A1-D6FC-4f65-9D91-7224C49458BB}"/>
                <c:ext xmlns:c16="http://schemas.microsoft.com/office/drawing/2014/chart" uri="{C3380CC4-5D6E-409C-BE32-E72D297353CC}">
                  <c16:uniqueId val="{00000030-6754-4CEF-9E9B-A8D618C16D28}"/>
                </c:ext>
              </c:extLst>
            </c:dLbl>
            <c:dLbl>
              <c:idx val="48"/>
              <c:layout>
                <c:manualLayout>
                  <c:x val="-6.6298342541438087E-3"/>
                  <c:y val="-0.2647943831494483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31-6754-4CEF-9E9B-A8D618C16D28}"/>
                </c:ext>
              </c:extLst>
            </c:dLbl>
            <c:dLbl>
              <c:idx val="49"/>
              <c:delete val="1"/>
              <c:extLst>
                <c:ext xmlns:c15="http://schemas.microsoft.com/office/drawing/2012/chart" uri="{CE6537A1-D6FC-4f65-9D91-7224C49458BB}"/>
                <c:ext xmlns:c16="http://schemas.microsoft.com/office/drawing/2014/chart" uri="{C3380CC4-5D6E-409C-BE32-E72D297353CC}">
                  <c16:uniqueId val="{00000032-6754-4CEF-9E9B-A8D618C16D28}"/>
                </c:ext>
              </c:extLst>
            </c:dLbl>
            <c:dLbl>
              <c:idx val="50"/>
              <c:delete val="1"/>
              <c:extLst>
                <c:ext xmlns:c15="http://schemas.microsoft.com/office/drawing/2012/chart" uri="{CE6537A1-D6FC-4f65-9D91-7224C49458BB}"/>
                <c:ext xmlns:c16="http://schemas.microsoft.com/office/drawing/2014/chart" uri="{C3380CC4-5D6E-409C-BE32-E72D297353CC}">
                  <c16:uniqueId val="{00000033-6754-4CEF-9E9B-A8D618C16D28}"/>
                </c:ext>
              </c:extLst>
            </c:dLbl>
            <c:dLbl>
              <c:idx val="51"/>
              <c:delete val="1"/>
              <c:extLst>
                <c:ext xmlns:c15="http://schemas.microsoft.com/office/drawing/2012/chart" uri="{CE6537A1-D6FC-4f65-9D91-7224C49458BB}"/>
                <c:ext xmlns:c16="http://schemas.microsoft.com/office/drawing/2014/chart" uri="{C3380CC4-5D6E-409C-BE32-E72D297353CC}">
                  <c16:uniqueId val="{00000034-6754-4CEF-9E9B-A8D618C16D28}"/>
                </c:ext>
              </c:extLst>
            </c:dLbl>
            <c:dLbl>
              <c:idx val="52"/>
              <c:delete val="1"/>
              <c:extLst>
                <c:ext xmlns:c15="http://schemas.microsoft.com/office/drawing/2012/chart" uri="{CE6537A1-D6FC-4f65-9D91-7224C49458BB}"/>
                <c:ext xmlns:c16="http://schemas.microsoft.com/office/drawing/2014/chart" uri="{C3380CC4-5D6E-409C-BE32-E72D297353CC}">
                  <c16:uniqueId val="{00000035-6754-4CEF-9E9B-A8D618C16D28}"/>
                </c:ext>
              </c:extLst>
            </c:dLbl>
            <c:dLbl>
              <c:idx val="53"/>
              <c:delete val="1"/>
              <c:extLst>
                <c:ext xmlns:c15="http://schemas.microsoft.com/office/drawing/2012/chart" uri="{CE6537A1-D6FC-4f65-9D91-7224C49458BB}"/>
                <c:ext xmlns:c16="http://schemas.microsoft.com/office/drawing/2014/chart" uri="{C3380CC4-5D6E-409C-BE32-E72D297353CC}">
                  <c16:uniqueId val="{00000036-6754-4CEF-9E9B-A8D618C16D28}"/>
                </c:ext>
              </c:extLst>
            </c:dLbl>
            <c:dLbl>
              <c:idx val="54"/>
              <c:delete val="1"/>
              <c:extLst>
                <c:ext xmlns:c15="http://schemas.microsoft.com/office/drawing/2012/chart" uri="{CE6537A1-D6FC-4f65-9D91-7224C49458BB}"/>
                <c:ext xmlns:c16="http://schemas.microsoft.com/office/drawing/2014/chart" uri="{C3380CC4-5D6E-409C-BE32-E72D297353CC}">
                  <c16:uniqueId val="{00000037-6754-4CEF-9E9B-A8D618C16D28}"/>
                </c:ext>
              </c:extLst>
            </c:dLbl>
            <c:dLbl>
              <c:idx val="55"/>
              <c:delete val="1"/>
              <c:extLst>
                <c:ext xmlns:c15="http://schemas.microsoft.com/office/drawing/2012/chart" uri="{CE6537A1-D6FC-4f65-9D91-7224C49458BB}"/>
                <c:ext xmlns:c16="http://schemas.microsoft.com/office/drawing/2014/chart" uri="{C3380CC4-5D6E-409C-BE32-E72D297353CC}">
                  <c16:uniqueId val="{00000038-6754-4CEF-9E9B-A8D618C16D28}"/>
                </c:ext>
              </c:extLst>
            </c:dLbl>
            <c:dLbl>
              <c:idx val="56"/>
              <c:delete val="1"/>
              <c:extLst>
                <c:ext xmlns:c15="http://schemas.microsoft.com/office/drawing/2012/chart" uri="{CE6537A1-D6FC-4f65-9D91-7224C49458BB}"/>
                <c:ext xmlns:c16="http://schemas.microsoft.com/office/drawing/2014/chart" uri="{C3380CC4-5D6E-409C-BE32-E72D297353CC}">
                  <c16:uniqueId val="{00000039-6754-4CEF-9E9B-A8D618C16D28}"/>
                </c:ext>
              </c:extLst>
            </c:dLbl>
            <c:dLbl>
              <c:idx val="57"/>
              <c:delete val="1"/>
              <c:extLst>
                <c:ext xmlns:c15="http://schemas.microsoft.com/office/drawing/2012/chart" uri="{CE6537A1-D6FC-4f65-9D91-7224C49458BB}"/>
                <c:ext xmlns:c16="http://schemas.microsoft.com/office/drawing/2014/chart" uri="{C3380CC4-5D6E-409C-BE32-E72D297353CC}">
                  <c16:uniqueId val="{0000003A-6754-4CEF-9E9B-A8D618C16D28}"/>
                </c:ext>
              </c:extLst>
            </c:dLbl>
            <c:dLbl>
              <c:idx val="58"/>
              <c:delete val="1"/>
              <c:extLst>
                <c:ext xmlns:c15="http://schemas.microsoft.com/office/drawing/2012/chart" uri="{CE6537A1-D6FC-4f65-9D91-7224C49458BB}"/>
                <c:ext xmlns:c16="http://schemas.microsoft.com/office/drawing/2014/chart" uri="{C3380CC4-5D6E-409C-BE32-E72D297353CC}">
                  <c16:uniqueId val="{0000003B-6754-4CEF-9E9B-A8D618C16D28}"/>
                </c:ext>
              </c:extLst>
            </c:dLbl>
            <c:dLbl>
              <c:idx val="59"/>
              <c:layout>
                <c:manualLayout>
                  <c:x val="-4.4617958728388179E-3"/>
                  <c:y val="-0.1891822789392705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3C-6754-4CEF-9E9B-A8D618C16D2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'systemizace po měsících'!$A$2:$A$61</c:f>
              <c:numCache>
                <c:formatCode>m/d/yyyy</c:formatCode>
                <c:ptCount val="60"/>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pt idx="12">
                  <c:v>42736</c:v>
                </c:pt>
                <c:pt idx="13">
                  <c:v>42767</c:v>
                </c:pt>
                <c:pt idx="14">
                  <c:v>42795</c:v>
                </c:pt>
                <c:pt idx="15">
                  <c:v>42826</c:v>
                </c:pt>
                <c:pt idx="16">
                  <c:v>42856</c:v>
                </c:pt>
                <c:pt idx="17">
                  <c:v>42887</c:v>
                </c:pt>
                <c:pt idx="18">
                  <c:v>42917</c:v>
                </c:pt>
                <c:pt idx="19">
                  <c:v>42948</c:v>
                </c:pt>
                <c:pt idx="20">
                  <c:v>42979</c:v>
                </c:pt>
                <c:pt idx="21">
                  <c:v>43009</c:v>
                </c:pt>
                <c:pt idx="22">
                  <c:v>43040</c:v>
                </c:pt>
                <c:pt idx="23">
                  <c:v>43070</c:v>
                </c:pt>
                <c:pt idx="24">
                  <c:v>43101</c:v>
                </c:pt>
                <c:pt idx="25">
                  <c:v>43132</c:v>
                </c:pt>
                <c:pt idx="26">
                  <c:v>43160</c:v>
                </c:pt>
                <c:pt idx="27">
                  <c:v>43191</c:v>
                </c:pt>
                <c:pt idx="28">
                  <c:v>43221</c:v>
                </c:pt>
                <c:pt idx="29">
                  <c:v>43252</c:v>
                </c:pt>
                <c:pt idx="30">
                  <c:v>43282</c:v>
                </c:pt>
                <c:pt idx="31">
                  <c:v>43313</c:v>
                </c:pt>
                <c:pt idx="32">
                  <c:v>43344</c:v>
                </c:pt>
                <c:pt idx="33">
                  <c:v>43374</c:v>
                </c:pt>
                <c:pt idx="34">
                  <c:v>43405</c:v>
                </c:pt>
                <c:pt idx="35">
                  <c:v>43435</c:v>
                </c:pt>
                <c:pt idx="36">
                  <c:v>43466</c:v>
                </c:pt>
                <c:pt idx="37">
                  <c:v>43497</c:v>
                </c:pt>
                <c:pt idx="38">
                  <c:v>43525</c:v>
                </c:pt>
                <c:pt idx="39">
                  <c:v>43556</c:v>
                </c:pt>
                <c:pt idx="40">
                  <c:v>43586</c:v>
                </c:pt>
                <c:pt idx="41">
                  <c:v>43617</c:v>
                </c:pt>
                <c:pt idx="42">
                  <c:v>43647</c:v>
                </c:pt>
                <c:pt idx="43">
                  <c:v>43678</c:v>
                </c:pt>
                <c:pt idx="44">
                  <c:v>43709</c:v>
                </c:pt>
                <c:pt idx="45">
                  <c:v>43739</c:v>
                </c:pt>
                <c:pt idx="46">
                  <c:v>43770</c:v>
                </c:pt>
                <c:pt idx="47">
                  <c:v>43800</c:v>
                </c:pt>
                <c:pt idx="48">
                  <c:v>43831</c:v>
                </c:pt>
                <c:pt idx="49">
                  <c:v>43862</c:v>
                </c:pt>
                <c:pt idx="50">
                  <c:v>43891</c:v>
                </c:pt>
                <c:pt idx="51">
                  <c:v>43922</c:v>
                </c:pt>
                <c:pt idx="52">
                  <c:v>43952</c:v>
                </c:pt>
                <c:pt idx="53">
                  <c:v>43983</c:v>
                </c:pt>
                <c:pt idx="54">
                  <c:v>44013</c:v>
                </c:pt>
                <c:pt idx="55">
                  <c:v>44044</c:v>
                </c:pt>
                <c:pt idx="56">
                  <c:v>44075</c:v>
                </c:pt>
                <c:pt idx="57">
                  <c:v>44105</c:v>
                </c:pt>
                <c:pt idx="58">
                  <c:v>44136</c:v>
                </c:pt>
                <c:pt idx="59">
                  <c:v>44166</c:v>
                </c:pt>
              </c:numCache>
            </c:numRef>
          </c:cat>
          <c:val>
            <c:numRef>
              <c:f>'systemizace po měsících'!$L$2:$L$61</c:f>
              <c:numCache>
                <c:formatCode>General</c:formatCode>
                <c:ptCount val="60"/>
                <c:pt idx="0">
                  <c:v>285</c:v>
                </c:pt>
                <c:pt idx="1">
                  <c:v>286</c:v>
                </c:pt>
                <c:pt idx="2">
                  <c:v>287</c:v>
                </c:pt>
                <c:pt idx="3">
                  <c:v>286</c:v>
                </c:pt>
                <c:pt idx="4">
                  <c:v>289</c:v>
                </c:pt>
                <c:pt idx="5">
                  <c:v>291</c:v>
                </c:pt>
                <c:pt idx="6">
                  <c:v>292</c:v>
                </c:pt>
                <c:pt idx="7">
                  <c:v>293</c:v>
                </c:pt>
                <c:pt idx="8">
                  <c:v>297</c:v>
                </c:pt>
                <c:pt idx="9">
                  <c:v>297</c:v>
                </c:pt>
                <c:pt idx="10">
                  <c:v>297</c:v>
                </c:pt>
                <c:pt idx="11">
                  <c:v>295</c:v>
                </c:pt>
                <c:pt idx="12">
                  <c:v>297</c:v>
                </c:pt>
                <c:pt idx="13">
                  <c:v>300</c:v>
                </c:pt>
                <c:pt idx="14">
                  <c:v>299</c:v>
                </c:pt>
                <c:pt idx="15">
                  <c:v>300</c:v>
                </c:pt>
                <c:pt idx="16">
                  <c:v>300</c:v>
                </c:pt>
                <c:pt idx="17">
                  <c:v>302</c:v>
                </c:pt>
                <c:pt idx="18">
                  <c:v>301</c:v>
                </c:pt>
                <c:pt idx="19">
                  <c:v>302</c:v>
                </c:pt>
                <c:pt idx="20">
                  <c:v>311</c:v>
                </c:pt>
                <c:pt idx="21">
                  <c:v>316</c:v>
                </c:pt>
                <c:pt idx="22">
                  <c:v>319</c:v>
                </c:pt>
                <c:pt idx="23">
                  <c:v>327</c:v>
                </c:pt>
                <c:pt idx="24">
                  <c:v>333</c:v>
                </c:pt>
                <c:pt idx="25">
                  <c:v>334</c:v>
                </c:pt>
                <c:pt idx="26">
                  <c:v>332</c:v>
                </c:pt>
                <c:pt idx="27">
                  <c:v>332</c:v>
                </c:pt>
                <c:pt idx="28">
                  <c:v>329</c:v>
                </c:pt>
                <c:pt idx="29">
                  <c:v>331</c:v>
                </c:pt>
                <c:pt idx="30">
                  <c:v>326</c:v>
                </c:pt>
                <c:pt idx="31">
                  <c:v>326</c:v>
                </c:pt>
                <c:pt idx="32">
                  <c:v>321</c:v>
                </c:pt>
                <c:pt idx="33">
                  <c:v>317</c:v>
                </c:pt>
                <c:pt idx="34">
                  <c:v>317</c:v>
                </c:pt>
                <c:pt idx="35">
                  <c:v>308</c:v>
                </c:pt>
                <c:pt idx="36">
                  <c:v>308</c:v>
                </c:pt>
                <c:pt idx="37">
                  <c:v>312</c:v>
                </c:pt>
                <c:pt idx="38">
                  <c:v>313</c:v>
                </c:pt>
                <c:pt idx="39">
                  <c:v>314</c:v>
                </c:pt>
                <c:pt idx="40">
                  <c:v>309</c:v>
                </c:pt>
                <c:pt idx="41">
                  <c:v>308</c:v>
                </c:pt>
                <c:pt idx="42">
                  <c:v>315</c:v>
                </c:pt>
                <c:pt idx="43">
                  <c:v>315</c:v>
                </c:pt>
                <c:pt idx="44">
                  <c:v>315</c:v>
                </c:pt>
                <c:pt idx="45">
                  <c:v>317</c:v>
                </c:pt>
                <c:pt idx="46">
                  <c:v>322</c:v>
                </c:pt>
                <c:pt idx="47">
                  <c:v>320</c:v>
                </c:pt>
                <c:pt idx="48">
                  <c:v>324</c:v>
                </c:pt>
                <c:pt idx="49">
                  <c:v>324</c:v>
                </c:pt>
                <c:pt idx="50">
                  <c:v>322</c:v>
                </c:pt>
                <c:pt idx="51">
                  <c:v>319</c:v>
                </c:pt>
                <c:pt idx="52">
                  <c:v>316</c:v>
                </c:pt>
                <c:pt idx="53">
                  <c:v>315</c:v>
                </c:pt>
                <c:pt idx="54">
                  <c:v>314</c:v>
                </c:pt>
                <c:pt idx="55">
                  <c:v>312</c:v>
                </c:pt>
                <c:pt idx="56">
                  <c:v>311</c:v>
                </c:pt>
                <c:pt idx="57">
                  <c:v>308</c:v>
                </c:pt>
                <c:pt idx="58">
                  <c:v>309</c:v>
                </c:pt>
                <c:pt idx="59">
                  <c:v>308</c:v>
                </c:pt>
              </c:numCache>
            </c:numRef>
          </c:val>
          <c:extLst>
            <c:ext xmlns:c16="http://schemas.microsoft.com/office/drawing/2014/chart" uri="{C3380CC4-5D6E-409C-BE32-E72D297353CC}">
              <c16:uniqueId val="{0000003D-6754-4CEF-9E9B-A8D618C16D28}"/>
            </c:ext>
          </c:extLst>
        </c:ser>
        <c:dLbls>
          <c:showLegendKey val="0"/>
          <c:showVal val="0"/>
          <c:showCatName val="0"/>
          <c:showSerName val="0"/>
          <c:showPercent val="0"/>
          <c:showBubbleSize val="0"/>
        </c:dLbls>
        <c:axId val="1769822447"/>
        <c:axId val="1769816207"/>
      </c:areaChart>
      <c:dateAx>
        <c:axId val="1769822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900">
                    <a:solidFill>
                      <a:sysClr val="windowText" lastClr="000000"/>
                    </a:solidFill>
                  </a:rPr>
                  <a:t>1. 12. 2020</a:t>
                </a:r>
                <a:endParaRPr lang="cs-CZ">
                  <a:solidFill>
                    <a:sysClr val="windowText" lastClr="000000"/>
                  </a:solidFill>
                </a:endParaRPr>
              </a:p>
            </c:rich>
          </c:tx>
          <c:layout>
            <c:manualLayout>
              <c:xMode val="edge"/>
              <c:yMode val="edge"/>
              <c:x val="0.77973923086719565"/>
              <c:y val="0.899532763145986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769816207"/>
        <c:crosses val="autoZero"/>
        <c:auto val="1"/>
        <c:lblOffset val="100"/>
        <c:baseTimeUnit val="months"/>
        <c:majorUnit val="1"/>
        <c:majorTimeUnit val="years"/>
      </c:dateAx>
      <c:valAx>
        <c:axId val="1769816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769822447"/>
        <c:crossesAt val="42370"/>
        <c:crossBetween val="midCat"/>
      </c:valAx>
      <c:spPr>
        <a:noFill/>
        <a:ln>
          <a:noFill/>
        </a:ln>
        <a:effectLst/>
      </c:spPr>
    </c:plotArea>
    <c:legend>
      <c:legendPos val="b"/>
      <c:layout>
        <c:manualLayout>
          <c:xMode val="edge"/>
          <c:yMode val="edge"/>
          <c:x val="0.83382726350505687"/>
          <c:y val="0.49768723102147983"/>
          <c:w val="0.15444486013833905"/>
          <c:h val="0.39410448306964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zero"/>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800336654611575E-2"/>
          <c:y val="4.6047330503440162E-2"/>
          <c:w val="0.78160128918302418"/>
          <c:h val="0.78823909147278926"/>
        </c:manualLayout>
      </c:layout>
      <c:lineChart>
        <c:grouping val="standard"/>
        <c:varyColors val="0"/>
        <c:ser>
          <c:idx val="0"/>
          <c:order val="0"/>
          <c:tx>
            <c:strRef>
              <c:f>'[pomocný sešit.xlsx]List3'!$R$8:$R$9</c:f>
              <c:strCache>
                <c:ptCount val="2"/>
                <c:pt idx="1">
                  <c:v>Policie ČR</c:v>
                </c:pt>
              </c:strCache>
            </c:strRef>
          </c:tx>
          <c:spPr>
            <a:ln w="28575" cap="rnd">
              <a:solidFill>
                <a:srgbClr val="004595"/>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355E-4B15-858E-E3621B408132}"/>
                </c:ext>
              </c:extLst>
            </c:dLbl>
            <c:dLbl>
              <c:idx val="1"/>
              <c:delete val="1"/>
              <c:extLst>
                <c:ext xmlns:c15="http://schemas.microsoft.com/office/drawing/2012/chart" uri="{CE6537A1-D6FC-4f65-9D91-7224C49458BB}"/>
                <c:ext xmlns:c16="http://schemas.microsoft.com/office/drawing/2014/chart" uri="{C3380CC4-5D6E-409C-BE32-E72D297353CC}">
                  <c16:uniqueId val="{00000001-355E-4B15-858E-E3621B408132}"/>
                </c:ext>
              </c:extLst>
            </c:dLbl>
            <c:dLbl>
              <c:idx val="2"/>
              <c:layout>
                <c:manualLayout>
                  <c:x val="4.3941557728221468E-3"/>
                  <c:y val="2.15749730312837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5E-4B15-858E-E3621B408132}"/>
                </c:ext>
              </c:extLst>
            </c:dLbl>
            <c:dLbl>
              <c:idx val="3"/>
              <c:layout>
                <c:manualLayout>
                  <c:x val="-1.7576623091288667E-2"/>
                  <c:y val="5.39374325782092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55E-4B15-858E-E3621B408132}"/>
                </c:ext>
              </c:extLst>
            </c:dLbl>
            <c:dLbl>
              <c:idx val="4"/>
              <c:layout>
                <c:manualLayout>
                  <c:x val="-1.5379545204877594E-2"/>
                  <c:y val="4.85436893203883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55E-4B15-858E-E3621B408132}"/>
                </c:ext>
              </c:extLst>
            </c:dLbl>
            <c:dLbl>
              <c:idx val="5"/>
              <c:layout>
                <c:manualLayout>
                  <c:x val="-2.6364934636932878E-2"/>
                  <c:y val="6.4724919093851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55E-4B15-858E-E3621B408132}"/>
                </c:ext>
              </c:extLst>
            </c:dLbl>
            <c:dLbl>
              <c:idx val="6"/>
              <c:layout>
                <c:manualLayout>
                  <c:x val="-1.5379545204877594E-2"/>
                  <c:y val="5.39374325782092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55E-4B15-858E-E3621B408132}"/>
                </c:ext>
              </c:extLst>
            </c:dLbl>
            <c:dLbl>
              <c:idx val="7"/>
              <c:layout>
                <c:manualLayout>
                  <c:x val="-3.2956168296166016E-2"/>
                  <c:y val="6.47249190938510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55E-4B15-858E-E3621B408132}"/>
                </c:ext>
              </c:extLst>
            </c:dLbl>
            <c:dLbl>
              <c:idx val="8"/>
              <c:layout>
                <c:manualLayout>
                  <c:x val="-4.3941557728221468E-2"/>
                  <c:y val="5.93311758360302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55E-4B15-858E-E3621B408132}"/>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'[pomocný sešit.xlsx]List3'!$Q$10:$Q$18</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'[pomocný sešit.xlsx]List3'!$R$10:$R$18</c:f>
              <c:numCache>
                <c:formatCode>0%</c:formatCode>
                <c:ptCount val="9"/>
                <c:pt idx="0">
                  <c:v>0</c:v>
                </c:pt>
                <c:pt idx="1">
                  <c:v>0.04</c:v>
                </c:pt>
                <c:pt idx="2">
                  <c:v>7.0000000000000007E-2</c:v>
                </c:pt>
                <c:pt idx="3">
                  <c:v>0.12</c:v>
                </c:pt>
                <c:pt idx="4">
                  <c:v>0.15</c:v>
                </c:pt>
                <c:pt idx="5">
                  <c:v>0.24</c:v>
                </c:pt>
                <c:pt idx="6">
                  <c:v>0.37</c:v>
                </c:pt>
                <c:pt idx="7">
                  <c:v>0.42</c:v>
                </c:pt>
                <c:pt idx="8">
                  <c:v>0.48</c:v>
                </c:pt>
              </c:numCache>
            </c:numRef>
          </c:val>
          <c:smooth val="0"/>
          <c:extLst>
            <c:ext xmlns:c16="http://schemas.microsoft.com/office/drawing/2014/chart" uri="{C3380CC4-5D6E-409C-BE32-E72D297353CC}">
              <c16:uniqueId val="{00000009-355E-4B15-858E-E3621B408132}"/>
            </c:ext>
          </c:extLst>
        </c:ser>
        <c:ser>
          <c:idx val="1"/>
          <c:order val="1"/>
          <c:tx>
            <c:strRef>
              <c:f>'[pomocný sešit.xlsx]List3'!$S$8:$S$9</c:f>
              <c:strCache>
                <c:ptCount val="2"/>
                <c:pt idx="1">
                  <c:v>GIBS</c:v>
                </c:pt>
              </c:strCache>
            </c:strRef>
          </c:tx>
          <c:spPr>
            <a:ln w="28575" cap="rnd">
              <a:solidFill>
                <a:srgbClr val="BD2A33"/>
              </a:solidFill>
              <a:round/>
            </a:ln>
            <a:effectLst/>
          </c:spPr>
          <c:marker>
            <c:symbol val="none"/>
          </c:marker>
          <c:dLbls>
            <c:dLbl>
              <c:idx val="0"/>
              <c:layout>
                <c:manualLayout>
                  <c:x val="-2.6364934636932898E-2"/>
                  <c:y val="-6.47249190938512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55E-4B15-858E-E3621B408132}"/>
                </c:ext>
              </c:extLst>
            </c:dLbl>
            <c:dLbl>
              <c:idx val="1"/>
              <c:layout>
                <c:manualLayout>
                  <c:x val="-3.9547401955399297E-2"/>
                  <c:y val="-5.93311758360302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55E-4B15-858E-E3621B408132}"/>
                </c:ext>
              </c:extLst>
            </c:dLbl>
            <c:dLbl>
              <c:idx val="2"/>
              <c:layout>
                <c:manualLayout>
                  <c:x val="-4.833571350104357E-2"/>
                  <c:y val="-7.01186623516720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55E-4B15-858E-E3621B408132}"/>
                </c:ext>
              </c:extLst>
            </c:dLbl>
            <c:dLbl>
              <c:idx val="3"/>
              <c:layout>
                <c:manualLayout>
                  <c:x val="-5.0532791387454687E-2"/>
                  <c:y val="-6.47249190938511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55E-4B15-858E-E3621B408132}"/>
                </c:ext>
              </c:extLst>
            </c:dLbl>
            <c:dLbl>
              <c:idx val="4"/>
              <c:layout>
                <c:manualLayout>
                  <c:x val="-5.0532791387454687E-2"/>
                  <c:y val="-7.01186623516720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55E-4B15-858E-E3621B408132}"/>
                </c:ext>
              </c:extLst>
            </c:dLbl>
            <c:dLbl>
              <c:idx val="5"/>
              <c:layout>
                <c:manualLayout>
                  <c:x val="-6.3715258705921124E-2"/>
                  <c:y val="-4.31499460625674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55E-4B15-858E-E3621B408132}"/>
                </c:ext>
              </c:extLst>
            </c:dLbl>
            <c:dLbl>
              <c:idx val="6"/>
              <c:layout>
                <c:manualLayout>
                  <c:x val="-5.2729869273865838E-2"/>
                  <c:y val="-5.393743257820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55E-4B15-858E-E3621B408132}"/>
                </c:ext>
              </c:extLst>
            </c:dLbl>
            <c:dLbl>
              <c:idx val="7"/>
              <c:layout>
                <c:manualLayout>
                  <c:x val="-4.174447984181047E-2"/>
                  <c:y val="-5.39374325782092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55E-4B15-858E-E3621B408132}"/>
                </c:ext>
              </c:extLst>
            </c:dLbl>
            <c:dLbl>
              <c:idx val="8"/>
              <c:layout>
                <c:manualLayout>
                  <c:x val="-4.6138635614632703E-2"/>
                  <c:y val="-4.85436893203883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55E-4B15-858E-E3621B408132}"/>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'[pomocný sešit.xlsx]List3'!$Q$10:$Q$18</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'[pomocný sešit.xlsx]List3'!$S$10:$S$18</c:f>
              <c:numCache>
                <c:formatCode>0%</c:formatCode>
                <c:ptCount val="9"/>
                <c:pt idx="0">
                  <c:v>0</c:v>
                </c:pt>
                <c:pt idx="1">
                  <c:v>0.04</c:v>
                </c:pt>
                <c:pt idx="2">
                  <c:v>0.11</c:v>
                </c:pt>
                <c:pt idx="3">
                  <c:v>0.25</c:v>
                </c:pt>
                <c:pt idx="4">
                  <c:v>0.26</c:v>
                </c:pt>
                <c:pt idx="5">
                  <c:v>0.45</c:v>
                </c:pt>
                <c:pt idx="6">
                  <c:v>0.55000000000000004</c:v>
                </c:pt>
                <c:pt idx="7">
                  <c:v>0.6</c:v>
                </c:pt>
                <c:pt idx="8">
                  <c:v>0.66</c:v>
                </c:pt>
              </c:numCache>
            </c:numRef>
          </c:val>
          <c:smooth val="0"/>
          <c:extLst>
            <c:ext xmlns:c16="http://schemas.microsoft.com/office/drawing/2014/chart" uri="{C3380CC4-5D6E-409C-BE32-E72D297353CC}">
              <c16:uniqueId val="{00000013-355E-4B15-858E-E3621B408132}"/>
            </c:ext>
          </c:extLst>
        </c:ser>
        <c:dLbls>
          <c:showLegendKey val="0"/>
          <c:showVal val="0"/>
          <c:showCatName val="0"/>
          <c:showSerName val="0"/>
          <c:showPercent val="0"/>
          <c:showBubbleSize val="0"/>
        </c:dLbls>
        <c:smooth val="0"/>
        <c:axId val="1538780287"/>
        <c:axId val="1538769055"/>
      </c:lineChart>
      <c:catAx>
        <c:axId val="1538780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8769055"/>
        <c:crosses val="autoZero"/>
        <c:auto val="1"/>
        <c:lblAlgn val="ctr"/>
        <c:lblOffset val="100"/>
        <c:noMultiLvlLbl val="0"/>
      </c:catAx>
      <c:valAx>
        <c:axId val="1538769055"/>
        <c:scaling>
          <c:orientation val="minMax"/>
        </c:scaling>
        <c:delete val="0"/>
        <c:axPos val="l"/>
        <c:numFmt formatCode="0_I%"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8780287"/>
        <c:crosses val="autoZero"/>
        <c:crossBetween val="between"/>
      </c:valAx>
      <c:spPr>
        <a:noFill/>
        <a:ln>
          <a:noFill/>
        </a:ln>
        <a:effectLst/>
      </c:spPr>
    </c:plotArea>
    <c:legend>
      <c:legendPos val="b"/>
      <c:layout>
        <c:manualLayout>
          <c:xMode val="edge"/>
          <c:yMode val="edge"/>
          <c:x val="0.83759148364171709"/>
          <c:y val="0.664848502019174"/>
          <c:w val="0.14872106712245944"/>
          <c:h val="0.132765503077547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566980919136535E-2"/>
          <c:y val="6.9031436209186642E-2"/>
          <c:w val="0.72092378998489004"/>
          <c:h val="0.7988631307065116"/>
        </c:manualLayout>
      </c:layout>
      <c:lineChart>
        <c:grouping val="standard"/>
        <c:varyColors val="0"/>
        <c:ser>
          <c:idx val="0"/>
          <c:order val="0"/>
          <c:tx>
            <c:strRef>
              <c:f>'[Sešit1 2.xlsx]List2'!$A$2</c:f>
              <c:strCache>
                <c:ptCount val="1"/>
                <c:pt idx="0">
                  <c:v>Odchodné</c:v>
                </c:pt>
              </c:strCache>
            </c:strRef>
          </c:tx>
          <c:spPr>
            <a:ln w="28575" cap="rnd">
              <a:solidFill>
                <a:srgbClr val="004595"/>
              </a:solidFill>
              <a:round/>
            </a:ln>
            <a:effectLst/>
          </c:spPr>
          <c:marker>
            <c:symbol val="none"/>
          </c:marker>
          <c:cat>
            <c:numRef>
              <c:f>'[Sešit1 2.xlsx]List2'!$B$1:$J$1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'[Sešit1 2.xlsx]List2'!$B$2:$J$2</c:f>
              <c:numCache>
                <c:formatCode>General</c:formatCode>
                <c:ptCount val="9"/>
                <c:pt idx="0">
                  <c:v>0.432</c:v>
                </c:pt>
                <c:pt idx="1">
                  <c:v>3.0710000000000002</c:v>
                </c:pt>
                <c:pt idx="2">
                  <c:v>2.794</c:v>
                </c:pt>
                <c:pt idx="3">
                  <c:v>4.4000000000000004</c:v>
                </c:pt>
                <c:pt idx="4">
                  <c:v>5.0709999999999997</c:v>
                </c:pt>
                <c:pt idx="5">
                  <c:v>1.883</c:v>
                </c:pt>
                <c:pt idx="6">
                  <c:v>17.878</c:v>
                </c:pt>
                <c:pt idx="7">
                  <c:v>9.8580000000000005</c:v>
                </c:pt>
                <c:pt idx="8" formatCode="#,##0">
                  <c:v>13.726000000000001</c:v>
                </c:pt>
              </c:numCache>
            </c:numRef>
          </c:val>
          <c:smooth val="0"/>
          <c:extLst>
            <c:ext xmlns:c16="http://schemas.microsoft.com/office/drawing/2014/chart" uri="{C3380CC4-5D6E-409C-BE32-E72D297353CC}">
              <c16:uniqueId val="{00000000-F0DC-4FEB-BFE6-90B86C635BFB}"/>
            </c:ext>
          </c:extLst>
        </c:ser>
        <c:ser>
          <c:idx val="1"/>
          <c:order val="1"/>
          <c:tx>
            <c:strRef>
              <c:f>'[Sešit1 2.xlsx]List2'!$A$3</c:f>
              <c:strCache>
                <c:ptCount val="1"/>
                <c:pt idx="0">
                  <c:v>Výsluhový příspěvek</c:v>
                </c:pt>
              </c:strCache>
            </c:strRef>
          </c:tx>
          <c:spPr>
            <a:ln w="28575" cap="rnd">
              <a:solidFill>
                <a:srgbClr val="C3C5C6"/>
              </a:solidFill>
              <a:round/>
            </a:ln>
            <a:effectLst/>
          </c:spPr>
          <c:marker>
            <c:symbol val="none"/>
          </c:marker>
          <c:cat>
            <c:numRef>
              <c:f>'[Sešit1 2.xlsx]List2'!$B$1:$J$1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'[Sešit1 2.xlsx]List2'!$B$3:$J$3</c:f>
              <c:numCache>
                <c:formatCode>General</c:formatCode>
                <c:ptCount val="9"/>
                <c:pt idx="0">
                  <c:v>4.4999999999999998E-2</c:v>
                </c:pt>
                <c:pt idx="1">
                  <c:v>0.94499999999999995</c:v>
                </c:pt>
                <c:pt idx="2">
                  <c:v>3.0859999999999999</c:v>
                </c:pt>
                <c:pt idx="3">
                  <c:v>3.278</c:v>
                </c:pt>
                <c:pt idx="4">
                  <c:v>9.4019999999999992</c:v>
                </c:pt>
                <c:pt idx="5">
                  <c:v>13.507999999999999</c:v>
                </c:pt>
                <c:pt idx="6">
                  <c:v>18.509</c:v>
                </c:pt>
                <c:pt idx="7">
                  <c:v>33.094999999999999</c:v>
                </c:pt>
                <c:pt idx="8" formatCode="#,##0">
                  <c:v>42.012</c:v>
                </c:pt>
              </c:numCache>
            </c:numRef>
          </c:val>
          <c:smooth val="0"/>
          <c:extLst>
            <c:ext xmlns:c16="http://schemas.microsoft.com/office/drawing/2014/chart" uri="{C3380CC4-5D6E-409C-BE32-E72D297353CC}">
              <c16:uniqueId val="{00000001-F0DC-4FEB-BFE6-90B86C635BFB}"/>
            </c:ext>
          </c:extLst>
        </c:ser>
        <c:ser>
          <c:idx val="2"/>
          <c:order val="2"/>
          <c:tx>
            <c:strRef>
              <c:f>'[Sešit1 2.xlsx]List2'!$A$4</c:f>
              <c:strCache>
                <c:ptCount val="1"/>
                <c:pt idx="0">
                  <c:v>Celkem</c:v>
                </c:pt>
              </c:strCache>
            </c:strRef>
          </c:tx>
          <c:spPr>
            <a:ln w="28575" cap="rnd">
              <a:solidFill>
                <a:srgbClr val="BD2A33"/>
              </a:solidFill>
              <a:round/>
            </a:ln>
            <a:effectLst/>
          </c:spPr>
          <c:marker>
            <c:symbol val="none"/>
          </c:marker>
          <c:cat>
            <c:numRef>
              <c:f>'[Sešit1 2.xlsx]List2'!$B$1:$J$1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'[Sešit1 2.xlsx]List2'!$B$4:$J$4</c:f>
              <c:numCache>
                <c:formatCode>General</c:formatCode>
                <c:ptCount val="9"/>
                <c:pt idx="0">
                  <c:v>0.47699999999999998</c:v>
                </c:pt>
                <c:pt idx="1">
                  <c:v>4.016</c:v>
                </c:pt>
                <c:pt idx="2">
                  <c:v>5.88</c:v>
                </c:pt>
                <c:pt idx="3">
                  <c:v>7.6780000000000008</c:v>
                </c:pt>
                <c:pt idx="4">
                  <c:v>14.472999999999999</c:v>
                </c:pt>
                <c:pt idx="5">
                  <c:v>15.390999999999998</c:v>
                </c:pt>
                <c:pt idx="6">
                  <c:v>36.387</c:v>
                </c:pt>
                <c:pt idx="7">
                  <c:v>42.953000000000003</c:v>
                </c:pt>
                <c:pt idx="8">
                  <c:v>55.738</c:v>
                </c:pt>
              </c:numCache>
            </c:numRef>
          </c:val>
          <c:smooth val="0"/>
          <c:extLst>
            <c:ext xmlns:c16="http://schemas.microsoft.com/office/drawing/2014/chart" uri="{C3380CC4-5D6E-409C-BE32-E72D297353CC}">
              <c16:uniqueId val="{00000002-F0DC-4FEB-BFE6-90B86C635BFB}"/>
            </c:ext>
          </c:extLst>
        </c:ser>
        <c:dLbls>
          <c:showLegendKey val="0"/>
          <c:showVal val="0"/>
          <c:showCatName val="0"/>
          <c:showSerName val="0"/>
          <c:showPercent val="0"/>
          <c:showBubbleSize val="0"/>
        </c:dLbls>
        <c:smooth val="0"/>
        <c:axId val="1325440432"/>
        <c:axId val="1325443344"/>
      </c:lineChart>
      <c:catAx>
        <c:axId val="132544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325443344"/>
        <c:crosses val="autoZero"/>
        <c:auto val="1"/>
        <c:lblAlgn val="ctr"/>
        <c:lblOffset val="100"/>
        <c:noMultiLvlLbl val="0"/>
      </c:catAx>
      <c:valAx>
        <c:axId val="132544334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cs-CZ">
                    <a:solidFill>
                      <a:sysClr val="windowText" lastClr="000000"/>
                    </a:solidFill>
                  </a:rPr>
                  <a:t>v mil. Kč</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325440432"/>
        <c:crosses val="autoZero"/>
        <c:crossBetween val="between"/>
      </c:valAx>
      <c:spPr>
        <a:noFill/>
        <a:ln>
          <a:noFill/>
        </a:ln>
        <a:effectLst/>
      </c:spPr>
    </c:plotArea>
    <c:legend>
      <c:legendPos val="b"/>
      <c:layout>
        <c:manualLayout>
          <c:xMode val="edge"/>
          <c:yMode val="edge"/>
          <c:x val="0.81232210351871459"/>
          <c:y val="0.32525182818405363"/>
          <c:w val="0.15374482202834475"/>
          <c:h val="0.472277161673809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E2A0-F003-47AA-A8DD-25A0CF0D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CF0075D2.dotm</Template>
  <TotalTime>10</TotalTime>
  <Pages>20</Pages>
  <Words>7221</Words>
  <Characters>42609</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Kontrolní závěr z kontrolní akce NKÚ č. 20/27 - Majetek a peněžní prostředky státu určené na zajištění činnosti Generální inspekce bezpečnostních sborů</vt:lpstr>
    </vt:vector>
  </TitlesOfParts>
  <Company>NKU</Company>
  <LinksUpToDate>false</LinksUpToDate>
  <CharactersWithSpaces>49731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20/27 - Majetek a peněžní prostředky státu určené na zajištění činnosti Generální inspekce bezpečnostních sborů</dc:title>
  <dc:subject>Kontrolní závěr z kontrolní akce NKÚ č. 20/27 - Majetek a peněžní prostředky státu určené na zajištění činnosti Generální inspekce bezpečnostních sborů</dc:subject>
  <dc:creator>Nejvyšší kontrolní úřad</dc:creator>
  <cp:keywords>kontrolní závěr; GIBS</cp:keywords>
  <dc:description/>
  <cp:lastModifiedBy>KOKRDA Daniel</cp:lastModifiedBy>
  <cp:revision>6</cp:revision>
  <cp:lastPrinted>2021-07-21T08:04:00Z</cp:lastPrinted>
  <dcterms:created xsi:type="dcterms:W3CDTF">2021-07-21T07:54:00Z</dcterms:created>
  <dcterms:modified xsi:type="dcterms:W3CDTF">2021-07-21T08:08:00Z</dcterms:modified>
</cp:coreProperties>
</file>