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B842" w14:textId="77777777" w:rsidR="00AB3724" w:rsidRPr="009E560F" w:rsidRDefault="00AB3724" w:rsidP="003639C6">
      <w:pPr>
        <w:jc w:val="center"/>
      </w:pPr>
      <w:r w:rsidRPr="009E56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6DB1D3" wp14:editId="404BC1BF">
            <wp:simplePos x="0" y="0"/>
            <wp:positionH relativeFrom="margin">
              <wp:posOffset>2520315</wp:posOffset>
            </wp:positionH>
            <wp:positionV relativeFrom="paragraph">
              <wp:posOffset>0</wp:posOffset>
            </wp:positionV>
            <wp:extent cx="763905" cy="53975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6289FB" w14:textId="77777777" w:rsidR="00AB3724" w:rsidRPr="009E560F" w:rsidRDefault="00AB3724" w:rsidP="003639C6">
      <w:pPr>
        <w:jc w:val="center"/>
      </w:pPr>
    </w:p>
    <w:p w14:paraId="74541907" w14:textId="77777777" w:rsidR="00AB3724" w:rsidRPr="0010177B" w:rsidRDefault="00AB3724" w:rsidP="003639C6">
      <w:pPr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14:paraId="5951203F" w14:textId="77777777" w:rsidR="00AB3724" w:rsidRPr="009E560F" w:rsidRDefault="00AB3724" w:rsidP="003639C6">
      <w:pPr>
        <w:jc w:val="center"/>
      </w:pPr>
    </w:p>
    <w:p w14:paraId="184EF0B9" w14:textId="77777777" w:rsidR="00AB3724" w:rsidRDefault="00B43AE3" w:rsidP="0036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21/04</w:t>
      </w:r>
    </w:p>
    <w:p w14:paraId="2775A8E6" w14:textId="77777777" w:rsidR="00AB3724" w:rsidRPr="009E560F" w:rsidRDefault="00AB3724" w:rsidP="003639C6">
      <w:pPr>
        <w:jc w:val="center"/>
      </w:pPr>
    </w:p>
    <w:p w14:paraId="67DD422A" w14:textId="77777777" w:rsidR="00B43AE3" w:rsidRPr="00B43AE3" w:rsidRDefault="00B43AE3" w:rsidP="00B43AE3">
      <w:pPr>
        <w:jc w:val="center"/>
        <w:rPr>
          <w:b/>
          <w:sz w:val="28"/>
          <w:szCs w:val="28"/>
        </w:rPr>
      </w:pPr>
      <w:r w:rsidRPr="00B43AE3">
        <w:rPr>
          <w:b/>
          <w:sz w:val="28"/>
          <w:szCs w:val="28"/>
        </w:rPr>
        <w:t>Majetek a peněžní prostředky státu, se kterými je příslušná hospodařit</w:t>
      </w:r>
    </w:p>
    <w:p w14:paraId="2E403175" w14:textId="77777777" w:rsidR="00AB3724" w:rsidRDefault="00B43AE3" w:rsidP="00B43AE3">
      <w:pPr>
        <w:jc w:val="center"/>
      </w:pPr>
      <w:r w:rsidRPr="00B43AE3">
        <w:rPr>
          <w:b/>
          <w:sz w:val="28"/>
          <w:szCs w:val="28"/>
        </w:rPr>
        <w:t>Správa státních hmotných rezerv</w:t>
      </w:r>
    </w:p>
    <w:p w14:paraId="6FB61411" w14:textId="77777777" w:rsidR="00BC5A0B" w:rsidRDefault="00BC5A0B" w:rsidP="003639C6"/>
    <w:p w14:paraId="372CC3B7" w14:textId="77777777" w:rsidR="00B43AE3" w:rsidRPr="009E560F" w:rsidRDefault="00B43AE3" w:rsidP="003639C6"/>
    <w:p w14:paraId="4B5D20EA" w14:textId="4ABFEBD0" w:rsidR="00AB3724" w:rsidRPr="00876251" w:rsidRDefault="00AB3724" w:rsidP="003639C6">
      <w:pPr>
        <w:rPr>
          <w:color w:val="000000" w:themeColor="text1"/>
        </w:rPr>
      </w:pPr>
      <w:r w:rsidRPr="00876251">
        <w:rPr>
          <w:color w:val="000000" w:themeColor="text1"/>
        </w:rPr>
        <w:t>Kontrolní akce byla zařazena do plánu kontrolní činnosti Nej</w:t>
      </w:r>
      <w:r w:rsidR="00BB2F43">
        <w:rPr>
          <w:color w:val="000000" w:themeColor="text1"/>
        </w:rPr>
        <w:t xml:space="preserve">vyššího kontrolního úřadu </w:t>
      </w:r>
      <w:r w:rsidR="00432A4D">
        <w:rPr>
          <w:color w:val="000000" w:themeColor="text1"/>
        </w:rPr>
        <w:br/>
      </w:r>
      <w:r w:rsidR="00BB2F43">
        <w:rPr>
          <w:color w:val="000000" w:themeColor="text1"/>
        </w:rPr>
        <w:t>(dále</w:t>
      </w:r>
      <w:r w:rsidR="00432A4D">
        <w:rPr>
          <w:color w:val="000000" w:themeColor="text1"/>
        </w:rPr>
        <w:t xml:space="preserve"> </w:t>
      </w:r>
      <w:r w:rsidRPr="00876251">
        <w:rPr>
          <w:color w:val="000000" w:themeColor="text1"/>
        </w:rPr>
        <w:t xml:space="preserve">jen „NKÚ“) na rok </w:t>
      </w:r>
      <w:r w:rsidR="00B43AE3">
        <w:rPr>
          <w:color w:val="000000" w:themeColor="text1"/>
        </w:rPr>
        <w:t>2021</w:t>
      </w:r>
      <w:r w:rsidRPr="00876251">
        <w:rPr>
          <w:color w:val="000000" w:themeColor="text1"/>
        </w:rPr>
        <w:t xml:space="preserve"> pod číslem </w:t>
      </w:r>
      <w:r w:rsidR="00B43AE3">
        <w:rPr>
          <w:color w:val="000000" w:themeColor="text1"/>
        </w:rPr>
        <w:t>21/04</w:t>
      </w:r>
      <w:r w:rsidRPr="00876251">
        <w:rPr>
          <w:color w:val="000000" w:themeColor="text1"/>
        </w:rPr>
        <w:t xml:space="preserve">. Kontrolní akci řídil a kontrolní závěr vypracoval člen NKÚ Ing. </w:t>
      </w:r>
      <w:r w:rsidR="00D54CD1">
        <w:rPr>
          <w:color w:val="000000" w:themeColor="text1"/>
        </w:rPr>
        <w:t>Adolf Beznoska</w:t>
      </w:r>
      <w:r w:rsidRPr="00876251">
        <w:rPr>
          <w:color w:val="000000" w:themeColor="text1"/>
        </w:rPr>
        <w:t>.</w:t>
      </w:r>
    </w:p>
    <w:p w14:paraId="4EC49E41" w14:textId="77777777" w:rsidR="00AB3724" w:rsidRDefault="00AB3724" w:rsidP="003639C6">
      <w:pPr>
        <w:rPr>
          <w:color w:val="000000" w:themeColor="text1"/>
        </w:rPr>
      </w:pPr>
    </w:p>
    <w:p w14:paraId="67F7F702" w14:textId="3945D23F" w:rsidR="0050448E" w:rsidRDefault="00AB3724" w:rsidP="0050448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6251">
        <w:rPr>
          <w:color w:val="000000" w:themeColor="text1"/>
        </w:rPr>
        <w:t>Cílem kontroly bylo</w:t>
      </w:r>
      <w:r w:rsidR="007163A7">
        <w:rPr>
          <w:rFonts w:asciiTheme="minorHAnsi" w:hAnsiTheme="minorHAnsi" w:cstheme="minorHAnsi"/>
        </w:rPr>
        <w:t xml:space="preserve"> </w:t>
      </w:r>
      <w:r w:rsidR="00D54CD1">
        <w:rPr>
          <w:rFonts w:asciiTheme="minorHAnsi" w:hAnsiTheme="minorHAnsi" w:cstheme="minorHAnsi"/>
        </w:rPr>
        <w:t>p</w:t>
      </w:r>
      <w:r w:rsidR="00D54CD1" w:rsidRPr="00746DF8">
        <w:rPr>
          <w:rFonts w:asciiTheme="minorHAnsi" w:hAnsiTheme="minorHAnsi" w:cstheme="minorHAnsi"/>
        </w:rPr>
        <w:t>rověřit, zda</w:t>
      </w:r>
      <w:r w:rsidR="0050448E">
        <w:rPr>
          <w:rFonts w:asciiTheme="minorHAnsi" w:hAnsiTheme="minorHAnsi" w:cstheme="minorHAnsi"/>
        </w:rPr>
        <w:t xml:space="preserve"> </w:t>
      </w:r>
      <w:r w:rsidR="0050448E" w:rsidRPr="004B7E1A">
        <w:rPr>
          <w:rFonts w:asciiTheme="minorHAnsi" w:hAnsiTheme="minorHAnsi" w:cstheme="minorHAnsi"/>
        </w:rPr>
        <w:t xml:space="preserve">Správa státních hmotných rezerv nakládá s </w:t>
      </w:r>
      <w:r w:rsidR="0050448E">
        <w:rPr>
          <w:rFonts w:asciiTheme="minorHAnsi" w:hAnsiTheme="minorHAnsi" w:cstheme="minorHAnsi"/>
        </w:rPr>
        <w:t xml:space="preserve">majetkem </w:t>
      </w:r>
      <w:r w:rsidR="006B1A78">
        <w:rPr>
          <w:rFonts w:asciiTheme="minorHAnsi" w:hAnsiTheme="minorHAnsi" w:cstheme="minorHAnsi"/>
        </w:rPr>
        <w:br/>
      </w:r>
      <w:r w:rsidR="0050448E">
        <w:rPr>
          <w:rFonts w:asciiTheme="minorHAnsi" w:hAnsiTheme="minorHAnsi" w:cstheme="minorHAnsi"/>
        </w:rPr>
        <w:t>a</w:t>
      </w:r>
      <w:r w:rsidR="006B1A78">
        <w:rPr>
          <w:rFonts w:asciiTheme="minorHAnsi" w:hAnsiTheme="minorHAnsi" w:cstheme="minorHAnsi"/>
        </w:rPr>
        <w:t xml:space="preserve"> </w:t>
      </w:r>
      <w:r w:rsidR="0050448E">
        <w:rPr>
          <w:rFonts w:asciiTheme="minorHAnsi" w:hAnsiTheme="minorHAnsi" w:cstheme="minorHAnsi"/>
        </w:rPr>
        <w:t xml:space="preserve">peněžními prostředky </w:t>
      </w:r>
      <w:r w:rsidR="0050448E" w:rsidRPr="004B7E1A">
        <w:rPr>
          <w:rFonts w:asciiTheme="minorHAnsi" w:hAnsiTheme="minorHAnsi" w:cstheme="minorHAnsi"/>
        </w:rPr>
        <w:t xml:space="preserve">státu hospodárně, v souladu s právními předpisy a </w:t>
      </w:r>
      <w:r w:rsidR="0050448E">
        <w:rPr>
          <w:rFonts w:asciiTheme="minorHAnsi" w:hAnsiTheme="minorHAnsi" w:cstheme="minorHAnsi"/>
        </w:rPr>
        <w:t>s ohledem na</w:t>
      </w:r>
      <w:r w:rsidR="002D1E8E">
        <w:rPr>
          <w:rFonts w:asciiTheme="minorHAnsi" w:hAnsiTheme="minorHAnsi" w:cstheme="minorHAnsi"/>
        </w:rPr>
        <w:t xml:space="preserve"> </w:t>
      </w:r>
      <w:r w:rsidR="0050448E">
        <w:rPr>
          <w:rFonts w:asciiTheme="minorHAnsi" w:hAnsiTheme="minorHAnsi" w:cstheme="minorHAnsi"/>
        </w:rPr>
        <w:t xml:space="preserve">náležitou přípravu </w:t>
      </w:r>
      <w:r w:rsidR="0050448E" w:rsidRPr="004B7E1A">
        <w:rPr>
          <w:rFonts w:asciiTheme="minorHAnsi" w:hAnsiTheme="minorHAnsi" w:cstheme="minorHAnsi"/>
        </w:rPr>
        <w:t>opatření pro krizové stavy a zajištění státních hmotných rezerv</w:t>
      </w:r>
      <w:r w:rsidR="0050448E">
        <w:rPr>
          <w:rFonts w:asciiTheme="minorHAnsi" w:hAnsiTheme="minorHAnsi" w:cstheme="minorHAnsi"/>
        </w:rPr>
        <w:t>.</w:t>
      </w:r>
    </w:p>
    <w:p w14:paraId="2ECBE7F0" w14:textId="77777777" w:rsidR="00B43AE3" w:rsidRDefault="00B43AE3" w:rsidP="003639C6">
      <w:pPr>
        <w:rPr>
          <w:rFonts w:asciiTheme="minorHAnsi" w:hAnsiTheme="minorHAnsi" w:cstheme="minorHAnsi"/>
        </w:rPr>
      </w:pPr>
    </w:p>
    <w:p w14:paraId="5F8D9E5A" w14:textId="77777777" w:rsidR="00AB3724" w:rsidRPr="0050448E" w:rsidRDefault="00AB3724" w:rsidP="003639C6">
      <w:pPr>
        <w:rPr>
          <w:rFonts w:asciiTheme="minorHAnsi" w:hAnsiTheme="minorHAnsi" w:cstheme="minorHAnsi"/>
        </w:rPr>
      </w:pPr>
      <w:r w:rsidRPr="00876251">
        <w:rPr>
          <w:color w:val="000000" w:themeColor="text1"/>
        </w:rPr>
        <w:t>Kontrola</w:t>
      </w:r>
      <w:r w:rsidR="00B43AE3">
        <w:rPr>
          <w:color w:val="000000" w:themeColor="text1"/>
        </w:rPr>
        <w:t xml:space="preserve"> byla prováděna u kontrolované</w:t>
      </w:r>
      <w:r w:rsidRPr="00876251">
        <w:rPr>
          <w:color w:val="000000" w:themeColor="text1"/>
        </w:rPr>
        <w:t xml:space="preserve"> osob</w:t>
      </w:r>
      <w:r w:rsidR="00B43AE3">
        <w:rPr>
          <w:color w:val="000000" w:themeColor="text1"/>
        </w:rPr>
        <w:t>y</w:t>
      </w:r>
      <w:r w:rsidRPr="00876251">
        <w:rPr>
          <w:color w:val="000000" w:themeColor="text1"/>
        </w:rPr>
        <w:t xml:space="preserve"> v období </w:t>
      </w:r>
      <w:r w:rsidRPr="00134731">
        <w:rPr>
          <w:color w:val="000000" w:themeColor="text1"/>
        </w:rPr>
        <w:t xml:space="preserve">od </w:t>
      </w:r>
      <w:r w:rsidR="00B43AE3" w:rsidRPr="00134731">
        <w:rPr>
          <w:color w:val="000000" w:themeColor="text1"/>
        </w:rPr>
        <w:t xml:space="preserve">února </w:t>
      </w:r>
      <w:r w:rsidR="00D54CD1" w:rsidRPr="00134731">
        <w:rPr>
          <w:color w:val="000000" w:themeColor="text1"/>
        </w:rPr>
        <w:t xml:space="preserve">do </w:t>
      </w:r>
      <w:r w:rsidR="00B43AE3" w:rsidRPr="00134731">
        <w:rPr>
          <w:color w:val="000000" w:themeColor="text1"/>
        </w:rPr>
        <w:t>srpna 2021</w:t>
      </w:r>
      <w:r w:rsidRPr="00876251">
        <w:rPr>
          <w:color w:val="000000" w:themeColor="text1"/>
        </w:rPr>
        <w:t xml:space="preserve">. </w:t>
      </w:r>
    </w:p>
    <w:p w14:paraId="5700DD6D" w14:textId="77777777" w:rsidR="00AB3724" w:rsidRPr="00876251" w:rsidRDefault="00AB3724" w:rsidP="003639C6">
      <w:pPr>
        <w:rPr>
          <w:color w:val="000000" w:themeColor="text1"/>
        </w:rPr>
      </w:pPr>
    </w:p>
    <w:p w14:paraId="573B8CAB" w14:textId="70F18E12" w:rsidR="00AB3724" w:rsidRDefault="00AB3724" w:rsidP="003639C6">
      <w:pPr>
        <w:rPr>
          <w:color w:val="000000" w:themeColor="text1"/>
        </w:rPr>
      </w:pPr>
      <w:r w:rsidRPr="00876251">
        <w:rPr>
          <w:color w:val="000000" w:themeColor="text1"/>
        </w:rPr>
        <w:t xml:space="preserve">Kontrolovaným obdobím </w:t>
      </w:r>
      <w:r w:rsidRPr="00134731">
        <w:rPr>
          <w:color w:val="000000" w:themeColor="text1"/>
        </w:rPr>
        <w:t>byly roky 201</w:t>
      </w:r>
      <w:r w:rsidR="00B43AE3" w:rsidRPr="00134731">
        <w:rPr>
          <w:color w:val="000000" w:themeColor="text1"/>
        </w:rPr>
        <w:t>6</w:t>
      </w:r>
      <w:r w:rsidRPr="00134731">
        <w:rPr>
          <w:color w:val="000000" w:themeColor="text1"/>
        </w:rPr>
        <w:t xml:space="preserve"> až </w:t>
      </w:r>
      <w:r w:rsidR="00B43AE3" w:rsidRPr="00134731">
        <w:rPr>
          <w:color w:val="000000" w:themeColor="text1"/>
        </w:rPr>
        <w:t>2021</w:t>
      </w:r>
      <w:r w:rsidRPr="00134731">
        <w:rPr>
          <w:color w:val="000000" w:themeColor="text1"/>
        </w:rPr>
        <w:t>, v</w:t>
      </w:r>
      <w:r w:rsidR="002D1E8E">
        <w:rPr>
          <w:color w:val="000000" w:themeColor="text1"/>
        </w:rPr>
        <w:t xml:space="preserve"> </w:t>
      </w:r>
      <w:r w:rsidRPr="00876251">
        <w:rPr>
          <w:color w:val="000000" w:themeColor="text1"/>
        </w:rPr>
        <w:t>případě věcných sou</w:t>
      </w:r>
      <w:r w:rsidR="00D54CD1">
        <w:rPr>
          <w:color w:val="000000" w:themeColor="text1"/>
        </w:rPr>
        <w:t>vislostí i</w:t>
      </w:r>
      <w:r w:rsidR="002D1E8E">
        <w:rPr>
          <w:color w:val="000000" w:themeColor="text1"/>
        </w:rPr>
        <w:t xml:space="preserve"> </w:t>
      </w:r>
      <w:r w:rsidR="00D54CD1">
        <w:rPr>
          <w:color w:val="000000" w:themeColor="text1"/>
        </w:rPr>
        <w:t>období předcházející.</w:t>
      </w:r>
    </w:p>
    <w:p w14:paraId="22904F72" w14:textId="77777777" w:rsidR="00AB3724" w:rsidRPr="00876251" w:rsidRDefault="00AB3724" w:rsidP="003639C6">
      <w:pPr>
        <w:rPr>
          <w:color w:val="000000" w:themeColor="text1"/>
        </w:rPr>
      </w:pPr>
    </w:p>
    <w:p w14:paraId="15447B4B" w14:textId="77777777" w:rsidR="00AB3724" w:rsidRPr="00B43AE3" w:rsidRDefault="00B43AE3" w:rsidP="00B43AE3">
      <w:pPr>
        <w:rPr>
          <w:color w:val="000000" w:themeColor="text1"/>
        </w:rPr>
      </w:pPr>
      <w:r>
        <w:rPr>
          <w:b/>
          <w:color w:val="000000" w:themeColor="text1"/>
        </w:rPr>
        <w:t>Kontrolovaná osoba</w:t>
      </w:r>
      <w:r w:rsidR="00AB3724" w:rsidRPr="00876251">
        <w:rPr>
          <w:b/>
          <w:color w:val="000000" w:themeColor="text1"/>
        </w:rPr>
        <w:t>:</w:t>
      </w:r>
      <w:r w:rsidR="00AB3724" w:rsidRPr="00876251">
        <w:rPr>
          <w:b/>
          <w:color w:val="000000" w:themeColor="text1"/>
        </w:rPr>
        <w:cr/>
      </w:r>
      <w:r w:rsidRPr="00B43AE3">
        <w:rPr>
          <w:color w:val="000000" w:themeColor="text1"/>
        </w:rPr>
        <w:t>Správa státních hmotných rezerv</w:t>
      </w:r>
      <w:r w:rsidR="00A154DE">
        <w:rPr>
          <w:color w:val="000000" w:themeColor="text1"/>
        </w:rPr>
        <w:t>, Praha</w:t>
      </w:r>
      <w:r w:rsidRPr="00B43AE3">
        <w:rPr>
          <w:color w:val="000000" w:themeColor="text1"/>
        </w:rPr>
        <w:t xml:space="preserve"> (dále </w:t>
      </w:r>
      <w:r w:rsidR="00134731">
        <w:rPr>
          <w:color w:val="000000" w:themeColor="text1"/>
        </w:rPr>
        <w:t>také</w:t>
      </w:r>
      <w:r w:rsidRPr="00B43AE3">
        <w:rPr>
          <w:color w:val="000000" w:themeColor="text1"/>
        </w:rPr>
        <w:t xml:space="preserve"> „SSHR“)</w:t>
      </w:r>
      <w:r w:rsidR="00432A4D">
        <w:rPr>
          <w:color w:val="000000" w:themeColor="text1"/>
        </w:rPr>
        <w:t>.</w:t>
      </w:r>
      <w:r w:rsidRPr="00B43AE3">
        <w:rPr>
          <w:color w:val="000000" w:themeColor="text1"/>
        </w:rPr>
        <w:t xml:space="preserve"> </w:t>
      </w:r>
    </w:p>
    <w:p w14:paraId="7F3AAC88" w14:textId="77777777" w:rsidR="00AB3724" w:rsidRDefault="00AB3724" w:rsidP="003639C6">
      <w:pPr>
        <w:rPr>
          <w:color w:val="000000" w:themeColor="text1"/>
        </w:rPr>
      </w:pPr>
    </w:p>
    <w:p w14:paraId="08F9D7C5" w14:textId="77777777" w:rsidR="00AB3724" w:rsidRPr="00D15BBF" w:rsidRDefault="00AB3724" w:rsidP="003639C6">
      <w:pPr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Kolegium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b/>
          <w:i/>
          <w:color w:val="000000" w:themeColor="text1"/>
          <w:spacing w:val="40"/>
        </w:rPr>
        <w:t>NKÚ</w:t>
      </w:r>
      <w:r w:rsidRPr="00876251">
        <w:rPr>
          <w:b/>
          <w:i/>
          <w:color w:val="000000" w:themeColor="text1"/>
        </w:rPr>
        <w:t xml:space="preserve">   </w:t>
      </w:r>
      <w:r w:rsidR="006E0CFA">
        <w:rPr>
          <w:color w:val="000000" w:themeColor="text1"/>
        </w:rPr>
        <w:t>na svém</w:t>
      </w:r>
      <w:r w:rsidR="00D15BBF">
        <w:rPr>
          <w:color w:val="000000" w:themeColor="text1"/>
        </w:rPr>
        <w:t xml:space="preserve"> </w:t>
      </w:r>
      <w:r w:rsidR="00A154DE">
        <w:rPr>
          <w:color w:val="000000" w:themeColor="text1"/>
        </w:rPr>
        <w:t>XVII.</w:t>
      </w:r>
      <w:r w:rsidR="00B43AE3" w:rsidRPr="00D15BBF">
        <w:rPr>
          <w:color w:val="000000" w:themeColor="text1"/>
        </w:rPr>
        <w:t xml:space="preserve"> </w:t>
      </w:r>
      <w:r w:rsidR="006E0CFA" w:rsidRPr="00D15BBF">
        <w:rPr>
          <w:color w:val="000000" w:themeColor="text1"/>
        </w:rPr>
        <w:t xml:space="preserve">jednání, které se konalo dne </w:t>
      </w:r>
      <w:r w:rsidR="00A154DE">
        <w:rPr>
          <w:color w:val="000000" w:themeColor="text1"/>
        </w:rPr>
        <w:t xml:space="preserve">8. listopadu </w:t>
      </w:r>
      <w:r w:rsidR="006E0CFA" w:rsidRPr="00D15BBF">
        <w:rPr>
          <w:color w:val="000000" w:themeColor="text1"/>
        </w:rPr>
        <w:t>2021</w:t>
      </w:r>
      <w:r w:rsidRPr="00D15BBF">
        <w:rPr>
          <w:color w:val="000000" w:themeColor="text1"/>
        </w:rPr>
        <w:t>,</w:t>
      </w:r>
    </w:p>
    <w:p w14:paraId="73D74581" w14:textId="77777777" w:rsidR="00575078" w:rsidRPr="00D15BBF" w:rsidRDefault="00AB3724" w:rsidP="003639C6">
      <w:pPr>
        <w:rPr>
          <w:color w:val="000000" w:themeColor="text1"/>
        </w:rPr>
      </w:pPr>
      <w:r w:rsidRPr="00D15BBF">
        <w:rPr>
          <w:b/>
          <w:i/>
          <w:color w:val="000000" w:themeColor="text1"/>
          <w:spacing w:val="40"/>
        </w:rPr>
        <w:t>schválilo</w:t>
      </w:r>
      <w:r w:rsidRPr="00D15BBF">
        <w:rPr>
          <w:b/>
          <w:i/>
          <w:color w:val="000000" w:themeColor="text1"/>
        </w:rPr>
        <w:t xml:space="preserve">   </w:t>
      </w:r>
      <w:r w:rsidRPr="00D15BBF">
        <w:rPr>
          <w:color w:val="000000" w:themeColor="text1"/>
        </w:rPr>
        <w:t>usnesením č</w:t>
      </w:r>
      <w:r w:rsidR="00A154DE">
        <w:rPr>
          <w:color w:val="000000" w:themeColor="text1"/>
        </w:rPr>
        <w:t>.</w:t>
      </w:r>
      <w:r w:rsidR="00B9360C">
        <w:rPr>
          <w:color w:val="000000" w:themeColor="text1"/>
        </w:rPr>
        <w:t xml:space="preserve"> 10</w:t>
      </w:r>
      <w:r w:rsidR="00A154DE">
        <w:rPr>
          <w:color w:val="000000" w:themeColor="text1"/>
        </w:rPr>
        <w:t>/XVII/2021</w:t>
      </w:r>
    </w:p>
    <w:p w14:paraId="249254C2" w14:textId="77777777" w:rsidR="00AB3724" w:rsidRPr="00876251" w:rsidRDefault="00AB3724" w:rsidP="003639C6">
      <w:pPr>
        <w:rPr>
          <w:color w:val="000000" w:themeColor="text1"/>
        </w:rPr>
      </w:pPr>
      <w:r w:rsidRPr="00D15BBF">
        <w:rPr>
          <w:b/>
          <w:i/>
          <w:color w:val="000000" w:themeColor="text1"/>
          <w:spacing w:val="40"/>
        </w:rPr>
        <w:t>kontrolní</w:t>
      </w:r>
      <w:r w:rsidRPr="00D15BBF">
        <w:rPr>
          <w:b/>
          <w:i/>
          <w:color w:val="000000" w:themeColor="text1"/>
        </w:rPr>
        <w:t xml:space="preserve">   </w:t>
      </w:r>
      <w:r w:rsidRPr="00D15BBF">
        <w:rPr>
          <w:b/>
          <w:i/>
          <w:color w:val="000000" w:themeColor="text1"/>
          <w:spacing w:val="40"/>
        </w:rPr>
        <w:t>závěr</w:t>
      </w:r>
      <w:r w:rsidRPr="00D15BBF">
        <w:rPr>
          <w:color w:val="000000" w:themeColor="text1"/>
        </w:rPr>
        <w:t xml:space="preserve">   v tomto znění:</w:t>
      </w:r>
    </w:p>
    <w:p w14:paraId="1CCA69B9" w14:textId="77777777" w:rsidR="00AB3724" w:rsidRDefault="00AB3724" w:rsidP="003639C6"/>
    <w:p w14:paraId="1C46B07B" w14:textId="77777777" w:rsidR="00AB3724" w:rsidRDefault="00AB3724" w:rsidP="003639C6"/>
    <w:p w14:paraId="5EED2317" w14:textId="77777777" w:rsidR="00C81C4A" w:rsidRDefault="00C81C4A" w:rsidP="003639C6">
      <w:pPr>
        <w:jc w:val="left"/>
        <w:rPr>
          <w:b/>
        </w:rPr>
      </w:pPr>
    </w:p>
    <w:p w14:paraId="4A682357" w14:textId="77777777" w:rsidR="00C81C4A" w:rsidRDefault="00C81C4A" w:rsidP="003639C6">
      <w:pPr>
        <w:jc w:val="left"/>
        <w:rPr>
          <w:b/>
        </w:rPr>
      </w:pPr>
    </w:p>
    <w:p w14:paraId="18208F5C" w14:textId="77777777" w:rsidR="00C81C4A" w:rsidRDefault="00C81C4A" w:rsidP="003639C6">
      <w:pPr>
        <w:jc w:val="left"/>
        <w:rPr>
          <w:b/>
        </w:rPr>
      </w:pPr>
    </w:p>
    <w:p w14:paraId="34286C3A" w14:textId="77777777" w:rsidR="00C81C4A" w:rsidRDefault="00C81C4A" w:rsidP="003639C6">
      <w:pPr>
        <w:jc w:val="left"/>
        <w:rPr>
          <w:b/>
        </w:rPr>
      </w:pPr>
    </w:p>
    <w:p w14:paraId="0DCCC291" w14:textId="77777777" w:rsidR="00C81C4A" w:rsidRDefault="00C81C4A" w:rsidP="003639C6">
      <w:pPr>
        <w:jc w:val="left"/>
        <w:rPr>
          <w:b/>
        </w:rPr>
      </w:pPr>
    </w:p>
    <w:p w14:paraId="0350F1D2" w14:textId="77777777" w:rsidR="00C81C4A" w:rsidRDefault="00C81C4A" w:rsidP="003639C6">
      <w:pPr>
        <w:jc w:val="left"/>
        <w:rPr>
          <w:b/>
        </w:rPr>
      </w:pPr>
    </w:p>
    <w:p w14:paraId="5359C128" w14:textId="77777777" w:rsidR="00C81C4A" w:rsidRDefault="00C81C4A" w:rsidP="003639C6">
      <w:pPr>
        <w:jc w:val="left"/>
        <w:rPr>
          <w:b/>
        </w:rPr>
      </w:pPr>
    </w:p>
    <w:p w14:paraId="3553FA65" w14:textId="77777777" w:rsidR="00C81C4A" w:rsidRDefault="00C81C4A" w:rsidP="003639C6">
      <w:pPr>
        <w:jc w:val="left"/>
        <w:rPr>
          <w:b/>
        </w:rPr>
      </w:pPr>
    </w:p>
    <w:p w14:paraId="71B9BD85" w14:textId="77777777" w:rsidR="00C81C4A" w:rsidRDefault="00C81C4A" w:rsidP="003639C6">
      <w:pPr>
        <w:jc w:val="left"/>
        <w:rPr>
          <w:b/>
        </w:rPr>
      </w:pPr>
    </w:p>
    <w:p w14:paraId="7DA8866E" w14:textId="77777777" w:rsidR="00C81C4A" w:rsidRDefault="00C81C4A" w:rsidP="003639C6">
      <w:pPr>
        <w:jc w:val="left"/>
        <w:rPr>
          <w:b/>
        </w:rPr>
      </w:pPr>
    </w:p>
    <w:p w14:paraId="453A388D" w14:textId="77777777" w:rsidR="00C81C4A" w:rsidRDefault="00C81C4A" w:rsidP="003639C6">
      <w:pPr>
        <w:jc w:val="left"/>
        <w:rPr>
          <w:b/>
        </w:rPr>
      </w:pPr>
    </w:p>
    <w:p w14:paraId="6598462C" w14:textId="77777777" w:rsidR="003A0DBE" w:rsidRPr="006B1A78" w:rsidRDefault="003A0DBE" w:rsidP="00C81C4A">
      <w:pPr>
        <w:jc w:val="center"/>
        <w:rPr>
          <w:rStyle w:val="A4"/>
          <w:color w:val="auto"/>
          <w:sz w:val="50"/>
          <w:szCs w:val="50"/>
        </w:rPr>
      </w:pPr>
    </w:p>
    <w:p w14:paraId="1DC8F4BB" w14:textId="77777777" w:rsidR="00CE11DE" w:rsidRPr="00C81C4A" w:rsidRDefault="00B43AE3" w:rsidP="00C81C4A">
      <w:pPr>
        <w:jc w:val="center"/>
        <w:rPr>
          <w:rStyle w:val="A4"/>
          <w:rFonts w:asciiTheme="minorHAnsi" w:hAnsiTheme="minorHAnsi" w:cstheme="minorHAnsi"/>
          <w:sz w:val="20"/>
          <w:szCs w:val="20"/>
        </w:rPr>
      </w:pPr>
      <w:r>
        <w:rPr>
          <w:rStyle w:val="A4"/>
          <w:color w:val="5B9BD5" w:themeColor="accent1"/>
          <w:sz w:val="50"/>
          <w:szCs w:val="50"/>
        </w:rPr>
        <w:lastRenderedPageBreak/>
        <w:t>Správa státních hmotných rezerv</w:t>
      </w:r>
    </w:p>
    <w:p w14:paraId="41616F3E" w14:textId="77777777" w:rsidR="00134731" w:rsidRPr="00134731" w:rsidRDefault="00432A4D" w:rsidP="00CE11DE">
      <w:pPr>
        <w:jc w:val="center"/>
        <w:rPr>
          <w:rStyle w:val="A4"/>
          <w:color w:val="5B9BD5" w:themeColor="accent1"/>
          <w:sz w:val="50"/>
          <w:szCs w:val="50"/>
        </w:rPr>
      </w:pPr>
      <w:r>
        <w:rPr>
          <w:rStyle w:val="A4"/>
          <w:color w:val="5B9BD5" w:themeColor="accent1"/>
          <w:sz w:val="50"/>
          <w:szCs w:val="50"/>
        </w:rPr>
        <w:t>(</w:t>
      </w:r>
      <w:r w:rsidR="00134731" w:rsidRPr="00134731">
        <w:rPr>
          <w:rStyle w:val="A4"/>
          <w:color w:val="5B9BD5" w:themeColor="accent1"/>
          <w:sz w:val="50"/>
          <w:szCs w:val="50"/>
        </w:rPr>
        <w:t>SSHR</w:t>
      </w:r>
      <w:r>
        <w:rPr>
          <w:rStyle w:val="A4"/>
          <w:color w:val="5B9BD5" w:themeColor="accent1"/>
          <w:sz w:val="50"/>
          <w:szCs w:val="50"/>
        </w:rPr>
        <w:t>)</w:t>
      </w:r>
    </w:p>
    <w:p w14:paraId="51F57809" w14:textId="77777777" w:rsidR="00900023" w:rsidRDefault="00900023" w:rsidP="00CE11DE">
      <w:pPr>
        <w:jc w:val="center"/>
        <w:rPr>
          <w:b/>
          <w:bCs/>
          <w:highlight w:val="yellow"/>
          <w:lang w:eastAsia="cs-CZ"/>
        </w:rPr>
      </w:pPr>
    </w:p>
    <w:p w14:paraId="510ADB4B" w14:textId="77777777" w:rsidR="009F21B8" w:rsidRDefault="009F21B8" w:rsidP="00CE11DE">
      <w:pPr>
        <w:jc w:val="center"/>
        <w:rPr>
          <w:b/>
          <w:bCs/>
          <w:highlight w:val="yellow"/>
          <w:lang w:eastAsia="cs-CZ"/>
        </w:rPr>
      </w:pPr>
    </w:p>
    <w:p w14:paraId="288BA6E9" w14:textId="77777777" w:rsidR="002835F3" w:rsidRDefault="002835F3" w:rsidP="00CE11DE">
      <w:pPr>
        <w:jc w:val="center"/>
        <w:rPr>
          <w:b/>
          <w:bCs/>
          <w:highlight w:val="yellow"/>
          <w:lang w:eastAsia="cs-CZ"/>
        </w:rPr>
      </w:pPr>
    </w:p>
    <w:tbl>
      <w:tblPr>
        <w:tblStyle w:val="Mkatabulky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864"/>
        <w:gridCol w:w="3232"/>
        <w:gridCol w:w="3430"/>
      </w:tblGrid>
      <w:tr w:rsidR="002835F3" w:rsidRPr="00055D3A" w14:paraId="3B6D5505" w14:textId="77777777" w:rsidTr="00134731">
        <w:trPr>
          <w:trHeight w:val="715"/>
        </w:trPr>
        <w:tc>
          <w:tcPr>
            <w:tcW w:w="2864" w:type="dxa"/>
          </w:tcPr>
          <w:p w14:paraId="108F0A3F" w14:textId="77777777" w:rsidR="002835F3" w:rsidRDefault="0096746B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419</w:t>
            </w:r>
            <w:r w:rsidR="00BA6400">
              <w:rPr>
                <w:rStyle w:val="A5"/>
              </w:rPr>
              <w:t>,</w:t>
            </w:r>
            <w:r>
              <w:rPr>
                <w:rStyle w:val="A5"/>
              </w:rPr>
              <w:t>4</w:t>
            </w:r>
            <w:r w:rsidR="00BA6400">
              <w:rPr>
                <w:rStyle w:val="A5"/>
              </w:rPr>
              <w:t xml:space="preserve"> mil. </w:t>
            </w:r>
            <w:r>
              <w:rPr>
                <w:rStyle w:val="A5"/>
              </w:rPr>
              <w:t>Kč</w:t>
            </w:r>
          </w:p>
          <w:p w14:paraId="5A88BEF1" w14:textId="77777777" w:rsidR="002835F3" w:rsidRPr="0096746B" w:rsidRDefault="0046475E" w:rsidP="00241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96746B" w:rsidRPr="0096746B">
              <w:rPr>
                <w:bCs/>
                <w:sz w:val="20"/>
                <w:szCs w:val="20"/>
              </w:rPr>
              <w:t xml:space="preserve">elkové </w:t>
            </w:r>
            <w:r w:rsidR="00D274F1">
              <w:rPr>
                <w:bCs/>
                <w:sz w:val="20"/>
                <w:szCs w:val="20"/>
              </w:rPr>
              <w:t xml:space="preserve">rozpočtové </w:t>
            </w:r>
            <w:r w:rsidR="0096746B" w:rsidRPr="0096746B">
              <w:rPr>
                <w:bCs/>
                <w:sz w:val="20"/>
                <w:szCs w:val="20"/>
              </w:rPr>
              <w:t xml:space="preserve">příjmy </w:t>
            </w:r>
          </w:p>
          <w:p w14:paraId="4B121C43" w14:textId="77777777" w:rsidR="0096746B" w:rsidRDefault="0096746B" w:rsidP="00241F14">
            <w:pPr>
              <w:jc w:val="center"/>
              <w:rPr>
                <w:rStyle w:val="A5"/>
              </w:rPr>
            </w:pPr>
            <w:r w:rsidRPr="0096746B">
              <w:rPr>
                <w:bCs/>
                <w:sz w:val="20"/>
                <w:szCs w:val="20"/>
              </w:rPr>
              <w:t>v letech 2016 až 2020</w:t>
            </w:r>
          </w:p>
        </w:tc>
        <w:tc>
          <w:tcPr>
            <w:tcW w:w="3232" w:type="dxa"/>
          </w:tcPr>
          <w:p w14:paraId="10D301B9" w14:textId="77777777" w:rsidR="002835F3" w:rsidRPr="00B43AE3" w:rsidRDefault="0096746B" w:rsidP="00241F14">
            <w:pPr>
              <w:jc w:val="center"/>
              <w:rPr>
                <w:rStyle w:val="A5"/>
                <w:bCs w:val="0"/>
              </w:rPr>
            </w:pPr>
            <w:r>
              <w:rPr>
                <w:rStyle w:val="A5"/>
                <w:bCs w:val="0"/>
              </w:rPr>
              <w:t>1</w:t>
            </w:r>
            <w:r>
              <w:rPr>
                <w:rStyle w:val="A5"/>
              </w:rPr>
              <w:t>3</w:t>
            </w:r>
            <w:r w:rsidR="00C81C4A">
              <w:rPr>
                <w:rStyle w:val="A5"/>
              </w:rPr>
              <w:t> </w:t>
            </w:r>
            <w:r>
              <w:rPr>
                <w:rStyle w:val="A5"/>
              </w:rPr>
              <w:t>628</w:t>
            </w:r>
            <w:r w:rsidR="00C81C4A">
              <w:rPr>
                <w:rStyle w:val="A5"/>
              </w:rPr>
              <w:t xml:space="preserve">,5 mil. </w:t>
            </w:r>
            <w:r>
              <w:rPr>
                <w:rStyle w:val="A5"/>
              </w:rPr>
              <w:t>Kč</w:t>
            </w:r>
          </w:p>
          <w:p w14:paraId="09F5BF59" w14:textId="77777777" w:rsidR="0096746B" w:rsidRPr="0096746B" w:rsidRDefault="0046475E" w:rsidP="00B3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6746B" w:rsidRPr="0096746B">
              <w:rPr>
                <w:sz w:val="20"/>
                <w:szCs w:val="20"/>
              </w:rPr>
              <w:t>elkové</w:t>
            </w:r>
            <w:r w:rsidR="00D274F1">
              <w:rPr>
                <w:sz w:val="20"/>
                <w:szCs w:val="20"/>
              </w:rPr>
              <w:t xml:space="preserve"> rozpočtové</w:t>
            </w:r>
            <w:r w:rsidR="0096746B" w:rsidRPr="0096746B">
              <w:rPr>
                <w:sz w:val="20"/>
                <w:szCs w:val="20"/>
              </w:rPr>
              <w:t xml:space="preserve"> výdaje </w:t>
            </w:r>
          </w:p>
          <w:p w14:paraId="33BA6218" w14:textId="77777777" w:rsidR="002835F3" w:rsidRPr="00B43AE3" w:rsidRDefault="0096746B" w:rsidP="00B31921">
            <w:pPr>
              <w:jc w:val="center"/>
              <w:rPr>
                <w:sz w:val="20"/>
                <w:szCs w:val="20"/>
              </w:rPr>
            </w:pPr>
            <w:r w:rsidRPr="0096746B">
              <w:rPr>
                <w:sz w:val="20"/>
                <w:szCs w:val="20"/>
              </w:rPr>
              <w:t>v letech 2016 až 2020</w:t>
            </w:r>
          </w:p>
        </w:tc>
        <w:tc>
          <w:tcPr>
            <w:tcW w:w="3430" w:type="dxa"/>
          </w:tcPr>
          <w:p w14:paraId="1052055E" w14:textId="77777777" w:rsidR="002835F3" w:rsidRDefault="0096746B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  <w:r w:rsidR="00C81C4A">
              <w:rPr>
                <w:rStyle w:val="A5"/>
              </w:rPr>
              <w:t> </w:t>
            </w:r>
            <w:r>
              <w:rPr>
                <w:rStyle w:val="A5"/>
              </w:rPr>
              <w:t>340</w:t>
            </w:r>
            <w:r w:rsidR="00C81C4A">
              <w:rPr>
                <w:rStyle w:val="A5"/>
              </w:rPr>
              <w:t xml:space="preserve">,7 mil. </w:t>
            </w:r>
            <w:r>
              <w:rPr>
                <w:rStyle w:val="A5"/>
              </w:rPr>
              <w:t>Kč</w:t>
            </w:r>
          </w:p>
          <w:p w14:paraId="35A4A80A" w14:textId="7DE439E7" w:rsidR="007828E3" w:rsidRDefault="0046475E" w:rsidP="00B43AE3">
            <w:pPr>
              <w:jc w:val="center"/>
              <w:rPr>
                <w:sz w:val="20"/>
                <w:szCs w:val="20"/>
              </w:rPr>
            </w:pPr>
            <w:r w:rsidRPr="0046475E">
              <w:rPr>
                <w:sz w:val="20"/>
                <w:szCs w:val="20"/>
              </w:rPr>
              <w:t>k</w:t>
            </w:r>
            <w:r w:rsidR="001F6320" w:rsidRPr="001F6320">
              <w:rPr>
                <w:sz w:val="20"/>
                <w:szCs w:val="20"/>
              </w:rPr>
              <w:t>o</w:t>
            </w:r>
            <w:r w:rsidR="0096746B">
              <w:rPr>
                <w:sz w:val="20"/>
                <w:szCs w:val="20"/>
              </w:rPr>
              <w:t>nečn</w:t>
            </w:r>
            <w:r w:rsidR="004C0E82">
              <w:rPr>
                <w:sz w:val="20"/>
                <w:szCs w:val="20"/>
              </w:rPr>
              <w:t>ý</w:t>
            </w:r>
            <w:r w:rsidR="0096746B">
              <w:rPr>
                <w:sz w:val="20"/>
                <w:szCs w:val="20"/>
              </w:rPr>
              <w:t xml:space="preserve"> zůstatek </w:t>
            </w:r>
          </w:p>
          <w:p w14:paraId="08CF46A7" w14:textId="77777777" w:rsidR="0096746B" w:rsidRDefault="007828E3" w:rsidP="00B43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mimorozpočtových zdrojů</w:t>
            </w:r>
            <w:r w:rsidR="0096746B">
              <w:rPr>
                <w:sz w:val="20"/>
                <w:szCs w:val="20"/>
              </w:rPr>
              <w:t xml:space="preserve"> </w:t>
            </w:r>
          </w:p>
          <w:p w14:paraId="12D61EEE" w14:textId="77777777" w:rsidR="002835F3" w:rsidRPr="00055D3A" w:rsidRDefault="0096746B" w:rsidP="00B43AE3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k 31. prosinci 2020</w:t>
            </w:r>
          </w:p>
        </w:tc>
      </w:tr>
    </w:tbl>
    <w:p w14:paraId="6C63825F" w14:textId="77777777" w:rsidR="002835F3" w:rsidRDefault="002835F3" w:rsidP="00CE11DE">
      <w:pPr>
        <w:jc w:val="center"/>
        <w:rPr>
          <w:b/>
          <w:bCs/>
          <w:highlight w:val="yellow"/>
          <w:lang w:eastAsia="cs-CZ"/>
        </w:rPr>
      </w:pPr>
    </w:p>
    <w:tbl>
      <w:tblPr>
        <w:tblStyle w:val="Mkatabulky"/>
        <w:tblW w:w="8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330"/>
        <w:gridCol w:w="4330"/>
      </w:tblGrid>
      <w:tr w:rsidR="006D1D72" w:rsidRPr="00055D3A" w14:paraId="57A2AA7C" w14:textId="77777777" w:rsidTr="006D1D72">
        <w:trPr>
          <w:trHeight w:val="808"/>
          <w:jc w:val="center"/>
        </w:trPr>
        <w:tc>
          <w:tcPr>
            <w:tcW w:w="4330" w:type="dxa"/>
          </w:tcPr>
          <w:p w14:paraId="408D6362" w14:textId="77777777" w:rsidR="006D1D72" w:rsidRDefault="006D1D72" w:rsidP="000144BA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 roky</w:t>
            </w:r>
          </w:p>
          <w:p w14:paraId="0B2A7D99" w14:textId="77777777" w:rsidR="00AE71A1" w:rsidRDefault="0046475E" w:rsidP="0001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D1D72">
              <w:rPr>
                <w:sz w:val="20"/>
                <w:szCs w:val="20"/>
              </w:rPr>
              <w:t xml:space="preserve">očet let, kdy ČR neplnila požadavek </w:t>
            </w:r>
          </w:p>
          <w:p w14:paraId="782105A2" w14:textId="77777777" w:rsidR="006D1D72" w:rsidRDefault="006D1D72" w:rsidP="0001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Evropské </w:t>
            </w:r>
            <w:r w:rsidR="0079691E">
              <w:rPr>
                <w:sz w:val="20"/>
                <w:szCs w:val="20"/>
              </w:rPr>
              <w:t>unie</w:t>
            </w:r>
            <w:r>
              <w:rPr>
                <w:sz w:val="20"/>
                <w:szCs w:val="20"/>
              </w:rPr>
              <w:t xml:space="preserve"> na výši nouzových zásob </w:t>
            </w:r>
          </w:p>
          <w:p w14:paraId="25E21AC1" w14:textId="6914E9A5" w:rsidR="006D1D72" w:rsidRPr="00B43AE3" w:rsidRDefault="006D1D72" w:rsidP="0001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ropy a ropných produktů</w:t>
            </w:r>
          </w:p>
          <w:p w14:paraId="6E291E2D" w14:textId="77777777" w:rsidR="006D1D72" w:rsidRPr="00B43AE3" w:rsidRDefault="006D1D72" w:rsidP="0001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14:paraId="3A7789CD" w14:textId="77777777" w:rsidR="006D1D72" w:rsidRPr="00B43AE3" w:rsidRDefault="006D1D72" w:rsidP="000144BA">
            <w:pPr>
              <w:jc w:val="center"/>
              <w:rPr>
                <w:rStyle w:val="A5"/>
                <w:bCs w:val="0"/>
              </w:rPr>
            </w:pPr>
            <w:r>
              <w:rPr>
                <w:rStyle w:val="A5"/>
                <w:bCs w:val="0"/>
              </w:rPr>
              <w:t>5</w:t>
            </w:r>
            <w:r>
              <w:rPr>
                <w:rStyle w:val="A5"/>
              </w:rPr>
              <w:t xml:space="preserve"> z 9</w:t>
            </w:r>
          </w:p>
          <w:p w14:paraId="16EE5537" w14:textId="77777777" w:rsidR="006D1D72" w:rsidRDefault="006D1D72" w:rsidP="000144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96746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plnění minimálních limitů na základě požadavku Ministerstva zemědělství</w:t>
            </w:r>
          </w:p>
          <w:p w14:paraId="5047ED5B" w14:textId="77777777" w:rsidR="006D1D72" w:rsidRDefault="006D1D72" w:rsidP="000144BA">
            <w:pPr>
              <w:jc w:val="center"/>
              <w:rPr>
                <w:bCs/>
                <w:sz w:val="20"/>
                <w:szCs w:val="20"/>
              </w:rPr>
            </w:pPr>
            <w:r w:rsidRPr="0096746B">
              <w:rPr>
                <w:bCs/>
                <w:sz w:val="20"/>
                <w:szCs w:val="20"/>
              </w:rPr>
              <w:t>u pěti z devíti základních potravin</w:t>
            </w:r>
          </w:p>
          <w:p w14:paraId="726995BF" w14:textId="77777777" w:rsidR="006D1D72" w:rsidRPr="00055D3A" w:rsidRDefault="006D1D72" w:rsidP="000144BA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</w:p>
        </w:tc>
      </w:tr>
    </w:tbl>
    <w:p w14:paraId="167338AE" w14:textId="77777777" w:rsidR="00134731" w:rsidRDefault="00134731" w:rsidP="00CE11DE">
      <w:pPr>
        <w:jc w:val="center"/>
        <w:rPr>
          <w:b/>
          <w:bCs/>
          <w:highlight w:val="yellow"/>
          <w:lang w:eastAsia="cs-CZ"/>
        </w:rPr>
      </w:pPr>
    </w:p>
    <w:p w14:paraId="5D5238AF" w14:textId="77777777" w:rsidR="00E836C2" w:rsidRDefault="00E836C2" w:rsidP="00CE11DE">
      <w:pPr>
        <w:jc w:val="center"/>
        <w:rPr>
          <w:b/>
          <w:bCs/>
          <w:highlight w:val="yellow"/>
          <w:lang w:eastAsia="cs-CZ"/>
        </w:rPr>
      </w:pPr>
    </w:p>
    <w:p w14:paraId="36558ABC" w14:textId="77777777" w:rsidR="00E836C2" w:rsidRDefault="00E836C2" w:rsidP="00CE11DE">
      <w:pPr>
        <w:jc w:val="center"/>
        <w:rPr>
          <w:b/>
          <w:bCs/>
          <w:highlight w:val="yellow"/>
          <w:lang w:eastAsia="cs-CZ"/>
        </w:rPr>
      </w:pPr>
    </w:p>
    <w:p w14:paraId="0AB81D20" w14:textId="77777777" w:rsidR="00D17A48" w:rsidRDefault="00BE663C" w:rsidP="00661385">
      <w:pPr>
        <w:jc w:val="center"/>
        <w:rPr>
          <w:b/>
          <w:bCs/>
          <w:lang w:eastAsia="cs-CZ"/>
        </w:rPr>
      </w:pPr>
      <w:r w:rsidRPr="0096746B">
        <w:rPr>
          <w:b/>
          <w:bCs/>
          <w:lang w:eastAsia="cs-CZ"/>
        </w:rPr>
        <w:t>Od dubna 2017 do června 2021</w:t>
      </w:r>
      <w:r w:rsidR="00E75983" w:rsidRPr="0096746B">
        <w:rPr>
          <w:b/>
          <w:bCs/>
          <w:lang w:eastAsia="cs-CZ"/>
        </w:rPr>
        <w:t xml:space="preserve"> byly </w:t>
      </w:r>
      <w:r w:rsidR="006202C9">
        <w:rPr>
          <w:b/>
          <w:bCs/>
          <w:lang w:eastAsia="cs-CZ"/>
        </w:rPr>
        <w:t>nouzové zásoby</w:t>
      </w:r>
      <w:r w:rsidR="00E75983" w:rsidRPr="0096746B">
        <w:rPr>
          <w:b/>
          <w:bCs/>
          <w:lang w:eastAsia="cs-CZ"/>
        </w:rPr>
        <w:t xml:space="preserve"> ropy a ropných produktů </w:t>
      </w:r>
    </w:p>
    <w:p w14:paraId="54420B66" w14:textId="77777777" w:rsidR="00E836C2" w:rsidRPr="00661385" w:rsidRDefault="00E75983" w:rsidP="00661385">
      <w:pPr>
        <w:jc w:val="center"/>
        <w:rPr>
          <w:b/>
          <w:bCs/>
          <w:lang w:eastAsia="cs-CZ"/>
        </w:rPr>
      </w:pPr>
      <w:r w:rsidRPr="0096746B">
        <w:rPr>
          <w:b/>
          <w:bCs/>
          <w:lang w:eastAsia="cs-CZ"/>
        </w:rPr>
        <w:t xml:space="preserve">pod hranicí požadovanou Evropskou </w:t>
      </w:r>
      <w:r w:rsidR="0079691E">
        <w:rPr>
          <w:b/>
          <w:bCs/>
          <w:lang w:eastAsia="cs-CZ"/>
        </w:rPr>
        <w:t>unií</w:t>
      </w:r>
    </w:p>
    <w:p w14:paraId="04BC196E" w14:textId="77777777" w:rsidR="00E836C2" w:rsidRDefault="00E836C2" w:rsidP="00CE11DE">
      <w:pPr>
        <w:jc w:val="center"/>
        <w:rPr>
          <w:b/>
          <w:bCs/>
          <w:highlight w:val="yellow"/>
          <w:lang w:eastAsia="cs-CZ"/>
        </w:rPr>
      </w:pPr>
    </w:p>
    <w:p w14:paraId="3F284E7A" w14:textId="77777777" w:rsidR="00991D5F" w:rsidRDefault="0059514E" w:rsidP="00CE11DE">
      <w:pPr>
        <w:jc w:val="center"/>
        <w:rPr>
          <w:b/>
          <w:bCs/>
          <w:highlight w:val="yellow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548AEA" wp14:editId="0761F446">
            <wp:extent cx="5153025" cy="310197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95AE3">
        <w:rPr>
          <w:noProof/>
        </w:rPr>
        <w:t xml:space="preserve"> </w:t>
      </w:r>
    </w:p>
    <w:p w14:paraId="08577D09" w14:textId="77777777" w:rsidR="00991D5F" w:rsidRPr="00C95AE3" w:rsidRDefault="00661385" w:rsidP="00C95AE3">
      <w:pPr>
        <w:jc w:val="left"/>
        <w:rPr>
          <w:i/>
          <w:sz w:val="16"/>
          <w:szCs w:val="16"/>
        </w:rPr>
      </w:pPr>
      <w:r w:rsidRPr="00C95AE3">
        <w:rPr>
          <w:i/>
          <w:sz w:val="16"/>
          <w:szCs w:val="16"/>
        </w:rPr>
        <w:t xml:space="preserve">       </w:t>
      </w:r>
      <w:r w:rsidR="00C95AE3" w:rsidRPr="00C95AE3">
        <w:rPr>
          <w:i/>
          <w:sz w:val="16"/>
          <w:szCs w:val="16"/>
        </w:rPr>
        <w:tab/>
      </w:r>
      <w:r w:rsidR="00C95AE3" w:rsidRPr="00C95AE3">
        <w:rPr>
          <w:i/>
          <w:sz w:val="16"/>
          <w:szCs w:val="16"/>
        </w:rPr>
        <w:tab/>
      </w:r>
      <w:r w:rsidR="00C95AE3">
        <w:rPr>
          <w:i/>
          <w:sz w:val="16"/>
          <w:szCs w:val="16"/>
        </w:rPr>
        <w:tab/>
      </w:r>
      <w:r w:rsidR="00C95AE3">
        <w:rPr>
          <w:i/>
          <w:sz w:val="16"/>
          <w:szCs w:val="16"/>
        </w:rPr>
        <w:tab/>
      </w:r>
      <w:r w:rsidR="00C95AE3">
        <w:rPr>
          <w:i/>
          <w:sz w:val="16"/>
          <w:szCs w:val="16"/>
        </w:rPr>
        <w:tab/>
      </w:r>
      <w:r w:rsidR="00C95AE3">
        <w:rPr>
          <w:i/>
          <w:sz w:val="16"/>
          <w:szCs w:val="16"/>
        </w:rPr>
        <w:tab/>
      </w:r>
    </w:p>
    <w:p w14:paraId="1F64662A" w14:textId="49183D00" w:rsidR="00C95AE3" w:rsidRPr="00A50D14" w:rsidRDefault="00C95AE3" w:rsidP="00A50D14">
      <w:pPr>
        <w:jc w:val="center"/>
        <w:rPr>
          <w:i/>
          <w:sz w:val="20"/>
          <w:szCs w:val="20"/>
        </w:rPr>
      </w:pPr>
      <w:r w:rsidRPr="00A50D14">
        <w:rPr>
          <w:b/>
          <w:i/>
          <w:sz w:val="20"/>
          <w:szCs w:val="20"/>
        </w:rPr>
        <w:t>Zdroj:</w:t>
      </w:r>
      <w:r w:rsidRPr="00A50D14">
        <w:rPr>
          <w:i/>
          <w:sz w:val="20"/>
          <w:szCs w:val="20"/>
        </w:rPr>
        <w:t xml:space="preserve"> </w:t>
      </w:r>
      <w:r w:rsidR="008B1F0A">
        <w:rPr>
          <w:i/>
          <w:sz w:val="20"/>
          <w:szCs w:val="20"/>
        </w:rPr>
        <w:t>zpracoval</w:t>
      </w:r>
      <w:r w:rsidRPr="00A50D14">
        <w:rPr>
          <w:i/>
          <w:sz w:val="20"/>
          <w:szCs w:val="20"/>
        </w:rPr>
        <w:t xml:space="preserve"> NKÚ na základě dat poskytnutých Správ</w:t>
      </w:r>
      <w:r w:rsidR="008B1F0A">
        <w:rPr>
          <w:i/>
          <w:sz w:val="20"/>
          <w:szCs w:val="20"/>
        </w:rPr>
        <w:t>ou</w:t>
      </w:r>
      <w:r w:rsidRPr="00A50D14">
        <w:rPr>
          <w:i/>
          <w:sz w:val="20"/>
          <w:szCs w:val="20"/>
        </w:rPr>
        <w:t xml:space="preserve"> státních hmotných rezerv.</w:t>
      </w:r>
    </w:p>
    <w:p w14:paraId="69B00CF5" w14:textId="77777777" w:rsidR="006202C9" w:rsidRDefault="006202C9" w:rsidP="00930C5E">
      <w:pPr>
        <w:spacing w:after="160" w:line="259" w:lineRule="auto"/>
        <w:jc w:val="left"/>
        <w:rPr>
          <w:b/>
        </w:rPr>
      </w:pPr>
    </w:p>
    <w:p w14:paraId="21EDF995" w14:textId="77777777" w:rsidR="005B0857" w:rsidRPr="003639C6" w:rsidRDefault="00B43AE3" w:rsidP="00930C5E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18C9628" w14:textId="77777777" w:rsidR="00AB3724" w:rsidRDefault="00AB3724" w:rsidP="000C215A">
      <w:pPr>
        <w:pStyle w:val="Nadpis1"/>
        <w:rPr>
          <w:sz w:val="28"/>
          <w:szCs w:val="24"/>
        </w:rPr>
      </w:pPr>
      <w:r w:rsidRPr="004F1E9C">
        <w:rPr>
          <w:sz w:val="28"/>
          <w:szCs w:val="24"/>
        </w:rPr>
        <w:lastRenderedPageBreak/>
        <w:t>I. Shrnutí a vyhodnocení</w:t>
      </w:r>
    </w:p>
    <w:p w14:paraId="49694BE1" w14:textId="77777777" w:rsidR="005C6D42" w:rsidRDefault="005C6D42" w:rsidP="005C6D42">
      <w:pPr>
        <w:rPr>
          <w:b/>
        </w:rPr>
      </w:pPr>
    </w:p>
    <w:p w14:paraId="6790DE49" w14:textId="1EA87C0F" w:rsidR="005C6D42" w:rsidRDefault="00E75983" w:rsidP="003A0DBE">
      <w:pPr>
        <w:rPr>
          <w:rFonts w:asciiTheme="minorHAnsi" w:hAnsiTheme="minorHAnsi" w:cstheme="minorHAnsi"/>
        </w:rPr>
      </w:pPr>
      <w:r w:rsidRPr="00530F09">
        <w:t>Cílem kontroly</w:t>
      </w:r>
      <w:r w:rsidRPr="00E75983">
        <w:t xml:space="preserve"> bylo prověřit, zda Správa státních hmotných rezerv n</w:t>
      </w:r>
      <w:r w:rsidR="005C6D42" w:rsidRPr="00E75983">
        <w:t>aklád</w:t>
      </w:r>
      <w:r w:rsidRPr="00E75983">
        <w:t>ala</w:t>
      </w:r>
      <w:r w:rsidR="005C6D42" w:rsidRPr="00E75983">
        <w:t xml:space="preserve"> s majetkem </w:t>
      </w:r>
      <w:r w:rsidR="00602263">
        <w:br/>
      </w:r>
      <w:r w:rsidR="005C6D42" w:rsidRPr="00E75983">
        <w:t>a</w:t>
      </w:r>
      <w:r w:rsidR="00602263">
        <w:t xml:space="preserve"> </w:t>
      </w:r>
      <w:r w:rsidR="005C6D42" w:rsidRPr="00E75983">
        <w:t>peněžními</w:t>
      </w:r>
      <w:r w:rsidR="00707EB0">
        <w:t xml:space="preserve"> </w:t>
      </w:r>
      <w:r w:rsidR="005C6D42" w:rsidRPr="00E75983">
        <w:t>prostředky</w:t>
      </w:r>
      <w:r w:rsidR="00707EB0">
        <w:t xml:space="preserve"> </w:t>
      </w:r>
      <w:r w:rsidR="005C6D42" w:rsidRPr="00E75983">
        <w:t>státu</w:t>
      </w:r>
      <w:r w:rsidR="00707EB0">
        <w:t xml:space="preserve"> </w:t>
      </w:r>
      <w:r w:rsidR="005C6D42" w:rsidRPr="00E75983">
        <w:t>hospodárně, v souladu s právními předpis</w:t>
      </w:r>
      <w:r w:rsidRPr="00E75983">
        <w:t>y</w:t>
      </w:r>
      <w:r>
        <w:t xml:space="preserve"> </w:t>
      </w:r>
      <w:r w:rsidR="005C6D42" w:rsidRPr="00E75983">
        <w:t>a</w:t>
      </w:r>
      <w:r w:rsidR="00530F09">
        <w:t xml:space="preserve"> </w:t>
      </w:r>
      <w:r w:rsidR="005C6D42" w:rsidRPr="00E75983">
        <w:t>s</w:t>
      </w:r>
      <w:r w:rsidR="008D6018">
        <w:t xml:space="preserve"> </w:t>
      </w:r>
      <w:r w:rsidR="005C6D42" w:rsidRPr="00E75983">
        <w:t>ohledem</w:t>
      </w:r>
      <w:r w:rsidR="0085746C">
        <w:t xml:space="preserve"> </w:t>
      </w:r>
      <w:r w:rsidR="005C6D42" w:rsidRPr="00E75983">
        <w:t>na</w:t>
      </w:r>
      <w:r w:rsidR="0085746C">
        <w:t xml:space="preserve"> </w:t>
      </w:r>
      <w:r w:rsidR="005C6D42" w:rsidRPr="00E75983">
        <w:t>náležitou přípravu opatření pro</w:t>
      </w:r>
      <w:r w:rsidRPr="00E75983">
        <w:t xml:space="preserve"> </w:t>
      </w:r>
      <w:r w:rsidR="005C6D42" w:rsidRPr="00E75983">
        <w:t>krizové stavy a zajištění státních hmotných rezerv</w:t>
      </w:r>
      <w:r w:rsidRPr="00E75983">
        <w:t>.</w:t>
      </w:r>
      <w:r w:rsidR="007C4AF8">
        <w:t xml:space="preserve"> </w:t>
      </w:r>
      <w:r w:rsidR="00F97FD3">
        <w:rPr>
          <w:rFonts w:asciiTheme="minorHAnsi" w:hAnsiTheme="minorHAnsi" w:cstheme="minorHAnsi"/>
        </w:rPr>
        <w:t>K</w:t>
      </w:r>
      <w:r w:rsidR="007C4AF8">
        <w:rPr>
          <w:rFonts w:asciiTheme="minorHAnsi" w:hAnsiTheme="minorHAnsi" w:cstheme="minorHAnsi"/>
        </w:rPr>
        <w:t xml:space="preserve">ontrola v oblasti přípravy opatření pro krizové stavy a zajištění státních hmotných rezerv </w:t>
      </w:r>
      <w:r w:rsidR="00ED2785">
        <w:rPr>
          <w:rFonts w:asciiTheme="minorHAnsi" w:hAnsiTheme="minorHAnsi" w:cstheme="minorHAnsi"/>
        </w:rPr>
        <w:t xml:space="preserve">byla </w:t>
      </w:r>
      <w:r w:rsidR="007C4AF8">
        <w:rPr>
          <w:rFonts w:asciiTheme="minorHAnsi" w:hAnsiTheme="minorHAnsi" w:cstheme="minorHAnsi"/>
        </w:rPr>
        <w:t xml:space="preserve">provedena </w:t>
      </w:r>
      <w:r w:rsidR="00530F09">
        <w:rPr>
          <w:rFonts w:asciiTheme="minorHAnsi" w:hAnsiTheme="minorHAnsi" w:cstheme="minorHAnsi"/>
        </w:rPr>
        <w:t xml:space="preserve">na </w:t>
      </w:r>
      <w:r w:rsidR="007C4AF8">
        <w:rPr>
          <w:rFonts w:asciiTheme="minorHAnsi" w:hAnsiTheme="minorHAnsi" w:cstheme="minorHAnsi"/>
        </w:rPr>
        <w:t>vzorku</w:t>
      </w:r>
      <w:r w:rsidR="00F63BB9">
        <w:rPr>
          <w:rFonts w:asciiTheme="minorHAnsi" w:hAnsiTheme="minorHAnsi" w:cstheme="minorHAnsi"/>
        </w:rPr>
        <w:t xml:space="preserve"> komodit</w:t>
      </w:r>
      <w:r w:rsidR="007C4AF8">
        <w:rPr>
          <w:rFonts w:asciiTheme="minorHAnsi" w:hAnsiTheme="minorHAnsi" w:cstheme="minorHAnsi"/>
        </w:rPr>
        <w:t>, a to ropy a ropných produktů, potravin a</w:t>
      </w:r>
      <w:r w:rsidR="0085746C">
        <w:rPr>
          <w:rFonts w:asciiTheme="minorHAnsi" w:hAnsiTheme="minorHAnsi" w:cstheme="minorHAnsi"/>
        </w:rPr>
        <w:t xml:space="preserve"> </w:t>
      </w:r>
      <w:r w:rsidR="007C4AF8">
        <w:rPr>
          <w:rFonts w:asciiTheme="minorHAnsi" w:hAnsiTheme="minorHAnsi" w:cstheme="minorHAnsi"/>
        </w:rPr>
        <w:t>osobních ochranných a zdravotnických prostředků.</w:t>
      </w:r>
      <w:r w:rsidR="003A0DBE">
        <w:rPr>
          <w:rFonts w:asciiTheme="minorHAnsi" w:hAnsiTheme="minorHAnsi" w:cstheme="minorHAnsi"/>
        </w:rPr>
        <w:t xml:space="preserve"> </w:t>
      </w:r>
    </w:p>
    <w:p w14:paraId="3BAC97C5" w14:textId="77777777" w:rsidR="007C4AF8" w:rsidRDefault="007C4AF8" w:rsidP="005C6D42">
      <w:pPr>
        <w:rPr>
          <w:b/>
        </w:rPr>
      </w:pPr>
    </w:p>
    <w:p w14:paraId="67474711" w14:textId="2D584352" w:rsidR="00F63BB9" w:rsidRDefault="00EB14DA" w:rsidP="005C6D42">
      <w:pPr>
        <w:rPr>
          <w:b/>
        </w:rPr>
      </w:pPr>
      <w:r w:rsidRPr="008D6018">
        <w:rPr>
          <w:b/>
        </w:rPr>
        <w:t>NKÚ kontrolou</w:t>
      </w:r>
      <w:r>
        <w:rPr>
          <w:b/>
        </w:rPr>
        <w:t xml:space="preserve"> </w:t>
      </w:r>
      <w:r w:rsidR="00313ED9">
        <w:rPr>
          <w:b/>
        </w:rPr>
        <w:t>na vybraném vzorku o</w:t>
      </w:r>
      <w:r>
        <w:rPr>
          <w:b/>
        </w:rPr>
        <w:t xml:space="preserve">věřil, že Správa státních hmotných rezerv </w:t>
      </w:r>
      <w:r w:rsidR="00313ED9">
        <w:rPr>
          <w:b/>
        </w:rPr>
        <w:t xml:space="preserve">nakládala </w:t>
      </w:r>
      <w:r>
        <w:rPr>
          <w:b/>
        </w:rPr>
        <w:t>s majetkem a</w:t>
      </w:r>
      <w:r w:rsidR="0085746C">
        <w:rPr>
          <w:b/>
        </w:rPr>
        <w:t xml:space="preserve"> </w:t>
      </w:r>
      <w:r>
        <w:rPr>
          <w:b/>
        </w:rPr>
        <w:t>peněžními prostředky státu hospodárně a v</w:t>
      </w:r>
      <w:r w:rsidR="008C2ED6">
        <w:rPr>
          <w:b/>
        </w:rPr>
        <w:t xml:space="preserve"> </w:t>
      </w:r>
      <w:r>
        <w:rPr>
          <w:b/>
        </w:rPr>
        <w:t>souladu</w:t>
      </w:r>
      <w:r w:rsidR="00707EB0">
        <w:rPr>
          <w:b/>
        </w:rPr>
        <w:t xml:space="preserve"> </w:t>
      </w:r>
      <w:r>
        <w:rPr>
          <w:b/>
        </w:rPr>
        <w:t>s</w:t>
      </w:r>
      <w:r w:rsidR="008C2ED6">
        <w:rPr>
          <w:b/>
        </w:rPr>
        <w:t xml:space="preserve"> </w:t>
      </w:r>
      <w:r>
        <w:rPr>
          <w:b/>
        </w:rPr>
        <w:t>právními předpisy. V oblasti přípravy opatření pro krizové stavy a zajištění státních hmotných rezerv kontrola zjistila některé nedostatky</w:t>
      </w:r>
      <w:r w:rsidR="005B5953">
        <w:rPr>
          <w:b/>
        </w:rPr>
        <w:t>.</w:t>
      </w:r>
    </w:p>
    <w:p w14:paraId="347E4399" w14:textId="77777777" w:rsidR="005B5953" w:rsidRDefault="005B5953" w:rsidP="005C6D42">
      <w:pPr>
        <w:rPr>
          <w:b/>
        </w:rPr>
      </w:pPr>
    </w:p>
    <w:p w14:paraId="6AF4180D" w14:textId="457CCE1E" w:rsidR="00BC368C" w:rsidRPr="00C73853" w:rsidRDefault="00ED16F2" w:rsidP="00BC368C">
      <w:pPr>
        <w:pStyle w:val="Odstavecseseznamem"/>
        <w:ind w:left="0"/>
        <w:rPr>
          <w:b/>
        </w:rPr>
      </w:pPr>
      <w:bookmarkStart w:id="0" w:name="_Hlk82688633"/>
      <w:r w:rsidRPr="003C15DB">
        <w:rPr>
          <w:b/>
        </w:rPr>
        <w:t>Správa státních hmotných rezerv</w:t>
      </w:r>
      <w:r w:rsidR="00050F15" w:rsidRPr="003C15DB">
        <w:rPr>
          <w:b/>
        </w:rPr>
        <w:t xml:space="preserve"> disponovala</w:t>
      </w:r>
      <w:r w:rsidRPr="003C15DB">
        <w:rPr>
          <w:b/>
        </w:rPr>
        <w:t xml:space="preserve"> </w:t>
      </w:r>
      <w:r w:rsidR="00050F15" w:rsidRPr="003C15DB">
        <w:rPr>
          <w:b/>
        </w:rPr>
        <w:t>o</w:t>
      </w:r>
      <w:r w:rsidR="007C4AF8" w:rsidRPr="003C15DB">
        <w:rPr>
          <w:b/>
        </w:rPr>
        <w:t xml:space="preserve">d dubna 2017 do června 2021 </w:t>
      </w:r>
      <w:r w:rsidR="00050F15" w:rsidRPr="003C15DB">
        <w:rPr>
          <w:b/>
        </w:rPr>
        <w:t xml:space="preserve">nouzovými </w:t>
      </w:r>
      <w:r w:rsidR="007C4AF8" w:rsidRPr="003C15DB">
        <w:rPr>
          <w:b/>
        </w:rPr>
        <w:t>zásobami ropy a ropných produktů</w:t>
      </w:r>
      <w:r w:rsidR="003519E7" w:rsidRPr="003C15DB">
        <w:rPr>
          <w:b/>
        </w:rPr>
        <w:t xml:space="preserve"> v</w:t>
      </w:r>
      <w:r w:rsidR="007C4AF8" w:rsidRPr="003C15DB">
        <w:rPr>
          <w:b/>
        </w:rPr>
        <w:t xml:space="preserve"> </w:t>
      </w:r>
      <w:r w:rsidR="00050F15" w:rsidRPr="003C15DB">
        <w:rPr>
          <w:b/>
        </w:rPr>
        <w:t>nižší výši, než</w:t>
      </w:r>
      <w:r w:rsidR="007C4AF8" w:rsidRPr="003C15DB">
        <w:rPr>
          <w:b/>
        </w:rPr>
        <w:t xml:space="preserve"> požadova</w:t>
      </w:r>
      <w:r w:rsidR="00050F15" w:rsidRPr="003C15DB">
        <w:rPr>
          <w:b/>
        </w:rPr>
        <w:t>la</w:t>
      </w:r>
      <w:r w:rsidR="007C4AF8" w:rsidRPr="003C15DB">
        <w:rPr>
          <w:b/>
        </w:rPr>
        <w:t xml:space="preserve"> Evropsk</w:t>
      </w:r>
      <w:r w:rsidR="00050F15" w:rsidRPr="003C15DB">
        <w:rPr>
          <w:b/>
        </w:rPr>
        <w:t>á</w:t>
      </w:r>
      <w:r w:rsidR="007C4AF8" w:rsidRPr="003C15DB">
        <w:rPr>
          <w:b/>
        </w:rPr>
        <w:t xml:space="preserve"> </w:t>
      </w:r>
      <w:r w:rsidR="0079691E" w:rsidRPr="003C15DB">
        <w:rPr>
          <w:b/>
        </w:rPr>
        <w:t>unie</w:t>
      </w:r>
      <w:r w:rsidR="003519E7" w:rsidRPr="003C15DB">
        <w:rPr>
          <w:b/>
        </w:rPr>
        <w:t>.</w:t>
      </w:r>
      <w:r w:rsidR="00D5242D" w:rsidRPr="003C15DB">
        <w:rPr>
          <w:b/>
        </w:rPr>
        <w:t xml:space="preserve"> </w:t>
      </w:r>
      <w:r w:rsidR="00B948C5" w:rsidRPr="00C73853">
        <w:rPr>
          <w:b/>
        </w:rPr>
        <w:t>Aniž byl</w:t>
      </w:r>
      <w:r w:rsidR="00292067" w:rsidRPr="00C73853">
        <w:rPr>
          <w:b/>
        </w:rPr>
        <w:t>o</w:t>
      </w:r>
      <w:r w:rsidR="00B948C5" w:rsidRPr="00C73853">
        <w:rPr>
          <w:b/>
        </w:rPr>
        <w:t xml:space="preserve"> </w:t>
      </w:r>
      <w:r w:rsidR="00292067" w:rsidRPr="00C73853">
        <w:rPr>
          <w:b/>
        </w:rPr>
        <w:t>množství těchto zásob</w:t>
      </w:r>
      <w:r w:rsidR="00B948C5" w:rsidRPr="00C73853">
        <w:rPr>
          <w:b/>
        </w:rPr>
        <w:t xml:space="preserve"> navýšen</w:t>
      </w:r>
      <w:r w:rsidR="00292067" w:rsidRPr="00C73853">
        <w:rPr>
          <w:b/>
        </w:rPr>
        <w:t>o</w:t>
      </w:r>
      <w:r w:rsidR="00B948C5" w:rsidRPr="00C73853">
        <w:rPr>
          <w:b/>
        </w:rPr>
        <w:t>,</w:t>
      </w:r>
      <w:r w:rsidR="00B948C5">
        <w:rPr>
          <w:b/>
        </w:rPr>
        <w:t xml:space="preserve"> </w:t>
      </w:r>
      <w:r w:rsidR="00292067" w:rsidRPr="00C73853">
        <w:rPr>
          <w:b/>
        </w:rPr>
        <w:t>vzrostla jejich úroveň</w:t>
      </w:r>
      <w:r w:rsidR="00B948C5" w:rsidRPr="00C73853">
        <w:rPr>
          <w:b/>
        </w:rPr>
        <w:t xml:space="preserve"> od července 2021</w:t>
      </w:r>
      <w:r w:rsidR="00292067" w:rsidRPr="00C73853">
        <w:rPr>
          <w:b/>
        </w:rPr>
        <w:t xml:space="preserve"> </w:t>
      </w:r>
      <w:r w:rsidR="00B948C5" w:rsidRPr="00C73853">
        <w:rPr>
          <w:b/>
        </w:rPr>
        <w:t>nad</w:t>
      </w:r>
      <w:r w:rsidR="0085746C">
        <w:rPr>
          <w:b/>
        </w:rPr>
        <w:t xml:space="preserve"> </w:t>
      </w:r>
      <w:r w:rsidR="00B948C5" w:rsidRPr="00C73853">
        <w:rPr>
          <w:b/>
        </w:rPr>
        <w:t>požadovanou hranici</w:t>
      </w:r>
      <w:r w:rsidR="003F4FFE" w:rsidRPr="00C73853">
        <w:rPr>
          <w:b/>
        </w:rPr>
        <w:t xml:space="preserve">, </w:t>
      </w:r>
      <w:r w:rsidR="00B948C5" w:rsidRPr="00C73853">
        <w:rPr>
          <w:b/>
        </w:rPr>
        <w:t>a</w:t>
      </w:r>
      <w:r w:rsidR="0085746C">
        <w:rPr>
          <w:b/>
        </w:rPr>
        <w:t xml:space="preserve"> </w:t>
      </w:r>
      <w:r w:rsidR="00B948C5" w:rsidRPr="00C73853">
        <w:rPr>
          <w:b/>
        </w:rPr>
        <w:t>to v</w:t>
      </w:r>
      <w:r w:rsidR="00063024">
        <w:rPr>
          <w:b/>
        </w:rPr>
        <w:t xml:space="preserve"> </w:t>
      </w:r>
      <w:r w:rsidR="00B948C5" w:rsidRPr="00C73853">
        <w:rPr>
          <w:b/>
        </w:rPr>
        <w:t>důsledku zpomalení ekonomiky v</w:t>
      </w:r>
      <w:r w:rsidR="00063024">
        <w:rPr>
          <w:b/>
        </w:rPr>
        <w:t xml:space="preserve"> </w:t>
      </w:r>
      <w:r w:rsidR="00B948C5" w:rsidRPr="00C73853">
        <w:rPr>
          <w:b/>
        </w:rPr>
        <w:t>souvislosti s</w:t>
      </w:r>
      <w:r w:rsidR="00063024">
        <w:rPr>
          <w:b/>
        </w:rPr>
        <w:t xml:space="preserve"> </w:t>
      </w:r>
      <w:r w:rsidR="00503245">
        <w:rPr>
          <w:b/>
        </w:rPr>
        <w:t xml:space="preserve">pandemií </w:t>
      </w:r>
      <w:r w:rsidR="00753BC3">
        <w:rPr>
          <w:b/>
        </w:rPr>
        <w:t>covidu</w:t>
      </w:r>
      <w:r w:rsidR="003F4FFE" w:rsidRPr="00C73853">
        <w:rPr>
          <w:b/>
        </w:rPr>
        <w:t>-19.</w:t>
      </w:r>
      <w:r w:rsidR="00B948C5" w:rsidRPr="00C73853">
        <w:rPr>
          <w:b/>
        </w:rPr>
        <w:t xml:space="preserve"> </w:t>
      </w:r>
      <w:r w:rsidR="0010184E" w:rsidRPr="003C15DB">
        <w:rPr>
          <w:b/>
        </w:rPr>
        <w:t>Z</w:t>
      </w:r>
      <w:r w:rsidR="00E01192" w:rsidRPr="003C15DB">
        <w:rPr>
          <w:b/>
        </w:rPr>
        <w:t>a</w:t>
      </w:r>
      <w:r w:rsidR="008D6018">
        <w:rPr>
          <w:b/>
        </w:rPr>
        <w:t xml:space="preserve"> </w:t>
      </w:r>
      <w:r w:rsidR="00E01192" w:rsidRPr="003C15DB">
        <w:rPr>
          <w:b/>
        </w:rPr>
        <w:t>neplnění stanoveného limitu zásob ropy a ropných produktů, které může v</w:t>
      </w:r>
      <w:r w:rsidR="0010184E" w:rsidRPr="003C15DB">
        <w:rPr>
          <w:b/>
        </w:rPr>
        <w:t> </w:t>
      </w:r>
      <w:r w:rsidR="00E01192" w:rsidRPr="003C15DB">
        <w:rPr>
          <w:b/>
        </w:rPr>
        <w:t>důsledku</w:t>
      </w:r>
      <w:r w:rsidR="0010184E" w:rsidRPr="003C15DB">
        <w:rPr>
          <w:b/>
        </w:rPr>
        <w:t xml:space="preserve"> </w:t>
      </w:r>
      <w:r w:rsidR="00E01192" w:rsidRPr="003C15DB">
        <w:rPr>
          <w:b/>
        </w:rPr>
        <w:t xml:space="preserve">oživení ekonomiky </w:t>
      </w:r>
      <w:r w:rsidR="00E56511" w:rsidRPr="003C15DB">
        <w:rPr>
          <w:b/>
        </w:rPr>
        <w:t xml:space="preserve">opět </w:t>
      </w:r>
      <w:r w:rsidR="00E01192" w:rsidRPr="003C15DB">
        <w:rPr>
          <w:b/>
        </w:rPr>
        <w:t>nastat i v</w:t>
      </w:r>
      <w:r w:rsidR="00753BC3">
        <w:rPr>
          <w:b/>
        </w:rPr>
        <w:t xml:space="preserve"> </w:t>
      </w:r>
      <w:r w:rsidR="00E01192" w:rsidRPr="003C15DB">
        <w:rPr>
          <w:b/>
        </w:rPr>
        <w:t xml:space="preserve">budoucnu, hrozí ČR sankce ze strany Evropské </w:t>
      </w:r>
      <w:r w:rsidR="009B3B76">
        <w:rPr>
          <w:b/>
        </w:rPr>
        <w:t>unie</w:t>
      </w:r>
      <w:r w:rsidR="00E01192" w:rsidRPr="003C15DB">
        <w:rPr>
          <w:b/>
        </w:rPr>
        <w:t xml:space="preserve">. </w:t>
      </w:r>
      <w:r w:rsidR="00CF091E" w:rsidRPr="00C73853">
        <w:rPr>
          <w:b/>
        </w:rPr>
        <w:t>Navíc</w:t>
      </w:r>
      <w:r w:rsidR="0085746C">
        <w:rPr>
          <w:b/>
        </w:rPr>
        <w:t xml:space="preserve"> </w:t>
      </w:r>
      <w:r w:rsidR="00CF091E" w:rsidRPr="00C73853">
        <w:rPr>
          <w:b/>
        </w:rPr>
        <w:t>v</w:t>
      </w:r>
      <w:r w:rsidR="00602263">
        <w:rPr>
          <w:b/>
        </w:rPr>
        <w:t xml:space="preserve"> </w:t>
      </w:r>
      <w:r w:rsidR="00CF091E" w:rsidRPr="00C73853">
        <w:rPr>
          <w:b/>
        </w:rPr>
        <w:t xml:space="preserve">kontrolovaném období státní hmotné rezervy neobsahovaly zásoby </w:t>
      </w:r>
      <w:proofErr w:type="spellStart"/>
      <w:r w:rsidR="00CF091E" w:rsidRPr="00C73853">
        <w:rPr>
          <w:b/>
        </w:rPr>
        <w:t>nízkosirné</w:t>
      </w:r>
      <w:proofErr w:type="spellEnd"/>
      <w:r w:rsidR="00CF091E" w:rsidRPr="00C73853">
        <w:rPr>
          <w:b/>
        </w:rPr>
        <w:t xml:space="preserve"> ropy</w:t>
      </w:r>
      <w:r w:rsidR="00B948C5" w:rsidRPr="00C73853">
        <w:rPr>
          <w:b/>
        </w:rPr>
        <w:t>, kter</w:t>
      </w:r>
      <w:r w:rsidR="00063024">
        <w:rPr>
          <w:b/>
        </w:rPr>
        <w:t>ou</w:t>
      </w:r>
      <w:r w:rsidR="00B948C5" w:rsidRPr="00C73853">
        <w:rPr>
          <w:b/>
        </w:rPr>
        <w:t xml:space="preserve"> zpracovává jedna ze dvou rafinérií v</w:t>
      </w:r>
      <w:r w:rsidR="00602263">
        <w:rPr>
          <w:b/>
        </w:rPr>
        <w:t xml:space="preserve"> </w:t>
      </w:r>
      <w:r w:rsidR="00B948C5" w:rsidRPr="00C73853">
        <w:rPr>
          <w:b/>
        </w:rPr>
        <w:t xml:space="preserve">ČR. </w:t>
      </w:r>
      <w:r w:rsidR="00BC368C" w:rsidRPr="00C73853">
        <w:rPr>
          <w:b/>
        </w:rPr>
        <w:t xml:space="preserve">SSHR </w:t>
      </w:r>
      <w:r w:rsidR="009B3B76" w:rsidRPr="00C73853">
        <w:rPr>
          <w:b/>
        </w:rPr>
        <w:t>opakovaně zpracovala pro vládu ČR</w:t>
      </w:r>
      <w:r w:rsidR="00BC368C" w:rsidRPr="00C73853">
        <w:rPr>
          <w:b/>
        </w:rPr>
        <w:t xml:space="preserve"> návrhy na doplnění ropy nebo ropných produktů do státních hmotných rezerv</w:t>
      </w:r>
      <w:r w:rsidR="00E820F5" w:rsidRPr="00C73853">
        <w:rPr>
          <w:b/>
        </w:rPr>
        <w:t xml:space="preserve">, naposledy v souvislosti </w:t>
      </w:r>
      <w:r w:rsidR="00432A4D">
        <w:rPr>
          <w:b/>
        </w:rPr>
        <w:t>s</w:t>
      </w:r>
      <w:r w:rsidR="00E820F5" w:rsidRPr="00C73853">
        <w:rPr>
          <w:b/>
        </w:rPr>
        <w:t> nízkými cenami těchto komodit v roce 2020.</w:t>
      </w:r>
      <w:r w:rsidR="009B3B76" w:rsidRPr="00C73853">
        <w:rPr>
          <w:b/>
        </w:rPr>
        <w:t xml:space="preserve"> </w:t>
      </w:r>
      <w:r w:rsidR="00E820F5" w:rsidRPr="00C73853">
        <w:rPr>
          <w:b/>
        </w:rPr>
        <w:t>D</w:t>
      </w:r>
      <w:r w:rsidR="00BC368C" w:rsidRPr="00C73853">
        <w:rPr>
          <w:b/>
        </w:rPr>
        <w:t>o</w:t>
      </w:r>
      <w:r w:rsidR="008B1F0A">
        <w:rPr>
          <w:b/>
        </w:rPr>
        <w:t xml:space="preserve"> </w:t>
      </w:r>
      <w:r w:rsidR="00BC368C" w:rsidRPr="00C73853">
        <w:rPr>
          <w:b/>
        </w:rPr>
        <w:t xml:space="preserve">doby ukončení kontroly NKÚ </w:t>
      </w:r>
      <w:r w:rsidR="00E820F5" w:rsidRPr="00C73853">
        <w:rPr>
          <w:b/>
        </w:rPr>
        <w:t xml:space="preserve">však </w:t>
      </w:r>
      <w:r w:rsidR="00BC368C" w:rsidRPr="00C73853">
        <w:rPr>
          <w:b/>
        </w:rPr>
        <w:t xml:space="preserve">nebylo </w:t>
      </w:r>
      <w:r w:rsidR="00657048" w:rsidRPr="00C73853">
        <w:rPr>
          <w:b/>
        </w:rPr>
        <w:t>učiněno strategické rozhodnutí, které by u</w:t>
      </w:r>
      <w:r w:rsidR="009B3B76" w:rsidRPr="00C73853">
        <w:rPr>
          <w:b/>
        </w:rPr>
        <w:t>r</w:t>
      </w:r>
      <w:r w:rsidR="00657048" w:rsidRPr="00C73853">
        <w:rPr>
          <w:b/>
        </w:rPr>
        <w:t>čilo konkrétní komodit</w:t>
      </w:r>
      <w:r w:rsidR="009B3B76" w:rsidRPr="00C73853">
        <w:rPr>
          <w:b/>
        </w:rPr>
        <w:t>u</w:t>
      </w:r>
      <w:r w:rsidR="00657048" w:rsidRPr="00C73853">
        <w:rPr>
          <w:b/>
        </w:rPr>
        <w:t xml:space="preserve"> (ropu nebo ropný produ</w:t>
      </w:r>
      <w:r w:rsidR="009B3B76" w:rsidRPr="00C73853">
        <w:rPr>
          <w:b/>
        </w:rPr>
        <w:t>kt)</w:t>
      </w:r>
      <w:r w:rsidR="00657048" w:rsidRPr="00C73853">
        <w:rPr>
          <w:b/>
        </w:rPr>
        <w:t xml:space="preserve"> vhodnou pro nákup</w:t>
      </w:r>
      <w:r w:rsidR="009B3B76" w:rsidRPr="00C73853">
        <w:rPr>
          <w:b/>
        </w:rPr>
        <w:t xml:space="preserve"> ve vazbě na</w:t>
      </w:r>
      <w:r w:rsidR="0085746C">
        <w:rPr>
          <w:b/>
        </w:rPr>
        <w:t xml:space="preserve"> </w:t>
      </w:r>
      <w:r w:rsidR="009B3B76" w:rsidRPr="00C73853">
        <w:rPr>
          <w:b/>
        </w:rPr>
        <w:t>strategické priority ČR v oblasti energetické bezpečnosti</w:t>
      </w:r>
      <w:r w:rsidR="00063024">
        <w:rPr>
          <w:b/>
        </w:rPr>
        <w:t>,</w:t>
      </w:r>
      <w:r w:rsidR="009B3B76" w:rsidRPr="00C73853">
        <w:rPr>
          <w:b/>
        </w:rPr>
        <w:t xml:space="preserve"> a SSHR</w:t>
      </w:r>
      <w:r w:rsidR="008D180F" w:rsidRPr="00C73853">
        <w:rPr>
          <w:b/>
        </w:rPr>
        <w:t xml:space="preserve"> tak</w:t>
      </w:r>
      <w:r w:rsidR="009B3B76" w:rsidRPr="00C73853">
        <w:rPr>
          <w:b/>
        </w:rPr>
        <w:t xml:space="preserve"> nákup nerealizovala.</w:t>
      </w:r>
    </w:p>
    <w:p w14:paraId="314B91E6" w14:textId="77777777" w:rsidR="003C6238" w:rsidRPr="006E1FCD" w:rsidRDefault="003C6238" w:rsidP="005C6D42">
      <w:pPr>
        <w:rPr>
          <w:b/>
          <w:highlight w:val="yellow"/>
        </w:rPr>
      </w:pPr>
    </w:p>
    <w:p w14:paraId="3B29030A" w14:textId="5DFC86FC" w:rsidR="00870A3E" w:rsidRPr="00763E4E" w:rsidRDefault="00D26EA0" w:rsidP="005C6D42">
      <w:pPr>
        <w:rPr>
          <w:b/>
        </w:rPr>
      </w:pPr>
      <w:r w:rsidRPr="00763E4E">
        <w:rPr>
          <w:b/>
        </w:rPr>
        <w:t xml:space="preserve">Správa státních hmotných rezerv </w:t>
      </w:r>
      <w:r w:rsidR="003519E7" w:rsidRPr="00763E4E">
        <w:rPr>
          <w:b/>
        </w:rPr>
        <w:t>do roku 2017</w:t>
      </w:r>
      <w:r w:rsidRPr="00763E4E">
        <w:rPr>
          <w:b/>
        </w:rPr>
        <w:t xml:space="preserve"> u</w:t>
      </w:r>
      <w:r w:rsidR="00870A3E" w:rsidRPr="00763E4E">
        <w:rPr>
          <w:b/>
        </w:rPr>
        <w:t>skladňov</w:t>
      </w:r>
      <w:r w:rsidRPr="00763E4E">
        <w:rPr>
          <w:b/>
        </w:rPr>
        <w:t>ala část</w:t>
      </w:r>
      <w:r w:rsidR="00870A3E" w:rsidRPr="00763E4E">
        <w:rPr>
          <w:b/>
        </w:rPr>
        <w:t xml:space="preserve"> nouzových zásob ropných produktů </w:t>
      </w:r>
      <w:bookmarkStart w:id="1" w:name="_Hlk87274499"/>
      <w:r w:rsidR="005B5953" w:rsidRPr="005B5953">
        <w:rPr>
          <w:rFonts w:cstheme="minorHAnsi"/>
          <w:b/>
          <w:noProof/>
        </w:rPr>
        <w:t>u</w:t>
      </w:r>
      <w:r w:rsidR="008D6018">
        <w:rPr>
          <w:rFonts w:cstheme="minorHAnsi"/>
          <w:b/>
          <w:noProof/>
        </w:rPr>
        <w:t xml:space="preserve"> </w:t>
      </w:r>
      <w:r w:rsidR="005B5953" w:rsidRPr="005B5953">
        <w:rPr>
          <w:rFonts w:cstheme="minorHAnsi"/>
          <w:b/>
          <w:noProof/>
        </w:rPr>
        <w:t xml:space="preserve">soukromé právnické osoby na území </w:t>
      </w:r>
      <w:r w:rsidRPr="00763E4E">
        <w:rPr>
          <w:b/>
        </w:rPr>
        <w:t>Spolkové republiky Německo</w:t>
      </w:r>
      <w:bookmarkEnd w:id="1"/>
      <w:r w:rsidRPr="00763E4E">
        <w:rPr>
          <w:b/>
        </w:rPr>
        <w:t>.</w:t>
      </w:r>
      <w:r w:rsidR="003519E7" w:rsidRPr="00763E4E">
        <w:rPr>
          <w:b/>
        </w:rPr>
        <w:t xml:space="preserve"> </w:t>
      </w:r>
      <w:r w:rsidR="00763E4E">
        <w:rPr>
          <w:b/>
        </w:rPr>
        <w:t>V</w:t>
      </w:r>
      <w:r w:rsidR="003519E7" w:rsidRPr="00763E4E">
        <w:rPr>
          <w:b/>
        </w:rPr>
        <w:t>lastnic</w:t>
      </w:r>
      <w:r w:rsidR="00CD11AF" w:rsidRPr="00763E4E">
        <w:rPr>
          <w:b/>
        </w:rPr>
        <w:t>ké právo k</w:t>
      </w:r>
      <w:r w:rsidR="00763E4E">
        <w:rPr>
          <w:b/>
        </w:rPr>
        <w:t xml:space="preserve"> těmto </w:t>
      </w:r>
      <w:r w:rsidR="00CD11AF" w:rsidRPr="00763E4E">
        <w:rPr>
          <w:b/>
        </w:rPr>
        <w:t xml:space="preserve">zásobám </w:t>
      </w:r>
      <w:r w:rsidR="00D5242D" w:rsidRPr="00763E4E">
        <w:rPr>
          <w:b/>
        </w:rPr>
        <w:t>je</w:t>
      </w:r>
      <w:r w:rsidR="003519E7" w:rsidRPr="00763E4E">
        <w:rPr>
          <w:b/>
        </w:rPr>
        <w:t xml:space="preserve"> předmětem </w:t>
      </w:r>
      <w:r w:rsidR="00763E4E">
        <w:rPr>
          <w:b/>
        </w:rPr>
        <w:t xml:space="preserve">probíhajícího </w:t>
      </w:r>
      <w:r w:rsidR="003519E7" w:rsidRPr="00763E4E">
        <w:rPr>
          <w:b/>
        </w:rPr>
        <w:t>soudního sporu. Výdaje na zajištění návratu zásob</w:t>
      </w:r>
      <w:r w:rsidR="00570313" w:rsidRPr="00763E4E">
        <w:rPr>
          <w:b/>
        </w:rPr>
        <w:t xml:space="preserve"> </w:t>
      </w:r>
      <w:r w:rsidR="003519E7" w:rsidRPr="00763E4E">
        <w:rPr>
          <w:b/>
        </w:rPr>
        <w:t>do ČR a</w:t>
      </w:r>
      <w:r w:rsidR="008D6018">
        <w:rPr>
          <w:b/>
        </w:rPr>
        <w:t xml:space="preserve"> </w:t>
      </w:r>
      <w:r w:rsidR="00570313" w:rsidRPr="00763E4E">
        <w:rPr>
          <w:b/>
        </w:rPr>
        <w:t>na</w:t>
      </w:r>
      <w:r w:rsidR="008D6018">
        <w:rPr>
          <w:b/>
        </w:rPr>
        <w:t xml:space="preserve"> </w:t>
      </w:r>
      <w:r w:rsidR="00570313" w:rsidRPr="00763E4E">
        <w:rPr>
          <w:b/>
        </w:rPr>
        <w:t>související soudní spory</w:t>
      </w:r>
      <w:r w:rsidR="003519E7" w:rsidRPr="00763E4E">
        <w:rPr>
          <w:b/>
        </w:rPr>
        <w:t xml:space="preserve"> v době kontroly NKÚ </w:t>
      </w:r>
      <w:r w:rsidR="00975BFB" w:rsidRPr="00763E4E">
        <w:rPr>
          <w:b/>
        </w:rPr>
        <w:t>překročily</w:t>
      </w:r>
      <w:r w:rsidR="003519E7" w:rsidRPr="00763E4E">
        <w:rPr>
          <w:b/>
        </w:rPr>
        <w:t xml:space="preserve"> 124 mil. Kč a</w:t>
      </w:r>
      <w:r w:rsidR="00D5242D" w:rsidRPr="00763E4E">
        <w:rPr>
          <w:b/>
        </w:rPr>
        <w:t> </w:t>
      </w:r>
      <w:r w:rsidR="00CD11AF" w:rsidRPr="00763E4E">
        <w:rPr>
          <w:b/>
        </w:rPr>
        <w:t>tato částka</w:t>
      </w:r>
      <w:r w:rsidR="003519E7" w:rsidRPr="00763E4E">
        <w:rPr>
          <w:b/>
        </w:rPr>
        <w:t xml:space="preserve"> </w:t>
      </w:r>
      <w:r w:rsidR="00763E4E">
        <w:rPr>
          <w:b/>
        </w:rPr>
        <w:t>stále není</w:t>
      </w:r>
      <w:r w:rsidR="003519E7" w:rsidRPr="00763E4E">
        <w:rPr>
          <w:b/>
        </w:rPr>
        <w:t xml:space="preserve"> konečná.</w:t>
      </w:r>
      <w:r w:rsidR="00CF091E" w:rsidRPr="00763E4E">
        <w:rPr>
          <w:b/>
        </w:rPr>
        <w:t xml:space="preserve"> </w:t>
      </w:r>
    </w:p>
    <w:p w14:paraId="2F667259" w14:textId="77777777" w:rsidR="00D26EA0" w:rsidRPr="00451FD0" w:rsidRDefault="00D26EA0" w:rsidP="005C6D42">
      <w:pPr>
        <w:rPr>
          <w:b/>
        </w:rPr>
      </w:pPr>
    </w:p>
    <w:bookmarkEnd w:id="0"/>
    <w:p w14:paraId="083D8066" w14:textId="3BD34D56" w:rsidR="00451FD0" w:rsidRDefault="003519E7" w:rsidP="003639C6">
      <w:pPr>
        <w:rPr>
          <w:rFonts w:asciiTheme="minorHAnsi" w:hAnsiTheme="minorHAnsi" w:cstheme="minorHAnsi"/>
          <w:b/>
          <w:color w:val="000000" w:themeColor="text1"/>
          <w:lang w:eastAsia="cs-CZ"/>
        </w:rPr>
      </w:pPr>
      <w:r w:rsidRPr="003C15DB">
        <w:rPr>
          <w:b/>
        </w:rPr>
        <w:t xml:space="preserve">Státní hmotné rezervy základních potravin u pěti druhů z devíti nedosahovaly v době kontroly NKÚ minimálních množstevních limitů </w:t>
      </w:r>
      <w:r w:rsidR="006D1D72" w:rsidRPr="003C15DB">
        <w:rPr>
          <w:b/>
        </w:rPr>
        <w:t>požadovaných Ministerstvem zemědělství</w:t>
      </w:r>
      <w:r w:rsidR="00C76D9A" w:rsidRPr="003C15DB">
        <w:rPr>
          <w:b/>
        </w:rPr>
        <w:t xml:space="preserve">. </w:t>
      </w:r>
      <w:r w:rsidR="00D72B57" w:rsidRPr="003C15DB">
        <w:rPr>
          <w:b/>
        </w:rPr>
        <w:t xml:space="preserve">Dle NKÚ </w:t>
      </w:r>
      <w:r w:rsidR="008053F7" w:rsidRPr="003C15DB">
        <w:rPr>
          <w:b/>
        </w:rPr>
        <w:t xml:space="preserve">toto </w:t>
      </w:r>
      <w:r w:rsidR="00657592">
        <w:rPr>
          <w:b/>
        </w:rPr>
        <w:t xml:space="preserve">neplnění limitů </w:t>
      </w:r>
      <w:r w:rsidR="00A44B83" w:rsidRPr="003C15DB">
        <w:rPr>
          <w:b/>
        </w:rPr>
        <w:t xml:space="preserve">základních </w:t>
      </w:r>
      <w:r w:rsidR="00930C5E" w:rsidRPr="003C15DB">
        <w:rPr>
          <w:b/>
        </w:rPr>
        <w:t>potravin ve</w:t>
      </w:r>
      <w:r w:rsidR="008D6018">
        <w:rPr>
          <w:b/>
        </w:rPr>
        <w:t xml:space="preserve"> </w:t>
      </w:r>
      <w:r w:rsidR="00930C5E" w:rsidRPr="003C15DB">
        <w:rPr>
          <w:b/>
        </w:rPr>
        <w:t>státních hmotných rezervách</w:t>
      </w:r>
      <w:r w:rsidR="00C76D9A" w:rsidRPr="003C15DB">
        <w:rPr>
          <w:b/>
        </w:rPr>
        <w:t xml:space="preserve"> </w:t>
      </w:r>
      <w:r w:rsidR="00076077">
        <w:rPr>
          <w:b/>
        </w:rPr>
        <w:t>může ohrozit</w:t>
      </w:r>
      <w:r w:rsidR="00C76D9A" w:rsidRPr="003C15DB">
        <w:rPr>
          <w:b/>
        </w:rPr>
        <w:t xml:space="preserve"> připravenost ČR na krizov</w:t>
      </w:r>
      <w:r w:rsidR="00930C5E" w:rsidRPr="003C15DB">
        <w:rPr>
          <w:b/>
        </w:rPr>
        <w:t>é stavy.</w:t>
      </w:r>
      <w:r w:rsidR="008053F7">
        <w:rPr>
          <w:b/>
        </w:rPr>
        <w:t xml:space="preserve"> </w:t>
      </w:r>
    </w:p>
    <w:p w14:paraId="3A738825" w14:textId="77777777" w:rsidR="00F63BB9" w:rsidRDefault="00F63BB9" w:rsidP="003639C6">
      <w:pPr>
        <w:rPr>
          <w:rFonts w:asciiTheme="minorHAnsi" w:hAnsiTheme="minorHAnsi" w:cstheme="minorHAnsi"/>
          <w:b/>
          <w:color w:val="000000" w:themeColor="text1"/>
          <w:lang w:eastAsia="cs-CZ"/>
        </w:rPr>
      </w:pPr>
    </w:p>
    <w:p w14:paraId="7D3ACB07" w14:textId="77777777" w:rsidR="00EB14DA" w:rsidRDefault="00EB14DA" w:rsidP="003639C6">
      <w:pPr>
        <w:rPr>
          <w:rFonts w:asciiTheme="minorHAnsi" w:hAnsiTheme="minorHAnsi" w:cstheme="minorHAnsi"/>
          <w:b/>
          <w:color w:val="000000" w:themeColor="text1"/>
          <w:lang w:eastAsia="cs-CZ"/>
        </w:rPr>
      </w:pPr>
    </w:p>
    <w:p w14:paraId="538BD8B5" w14:textId="77777777" w:rsidR="00C068B5" w:rsidRPr="003169A2" w:rsidRDefault="0044728A" w:rsidP="003169A2">
      <w:pPr>
        <w:spacing w:after="120"/>
        <w:rPr>
          <w:color w:val="auto"/>
        </w:rPr>
      </w:pPr>
      <w:r>
        <w:rPr>
          <w:color w:val="auto"/>
        </w:rPr>
        <w:t>Celkové vyhodnocení vyplývá z následujících skutečností zjištěných kontrolou</w:t>
      </w:r>
      <w:r w:rsidR="008454D2" w:rsidRPr="0044728A">
        <w:rPr>
          <w:color w:val="auto"/>
        </w:rPr>
        <w:t>:</w:t>
      </w:r>
    </w:p>
    <w:p w14:paraId="370579B0" w14:textId="76D03A3E" w:rsidR="009B3F22" w:rsidRPr="00FC2902" w:rsidRDefault="006107C0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>
        <w:t xml:space="preserve">Evropská </w:t>
      </w:r>
      <w:r w:rsidR="0079691E">
        <w:t>unie</w:t>
      </w:r>
      <w:r>
        <w:t xml:space="preserve"> ukládá</w:t>
      </w:r>
      <w:r w:rsidR="00325213">
        <w:t xml:space="preserve"> s</w:t>
      </w:r>
      <w:r w:rsidR="00325213" w:rsidRPr="00F72AF7">
        <w:rPr>
          <w:rFonts w:asciiTheme="minorHAnsi" w:hAnsiTheme="minorHAnsi" w:cstheme="minorHAnsi"/>
        </w:rPr>
        <w:t>měrnic</w:t>
      </w:r>
      <w:r w:rsidR="00325213">
        <w:rPr>
          <w:rFonts w:asciiTheme="minorHAnsi" w:hAnsiTheme="minorHAnsi" w:cstheme="minorHAnsi"/>
        </w:rPr>
        <w:t>í</w:t>
      </w:r>
      <w:r w:rsidR="00325213" w:rsidRPr="00F72AF7">
        <w:rPr>
          <w:rFonts w:asciiTheme="minorHAnsi" w:hAnsiTheme="minorHAnsi" w:cstheme="minorHAnsi"/>
        </w:rPr>
        <w:t xml:space="preserve"> Rady 2009/119/ES</w:t>
      </w:r>
      <w:r w:rsidR="00325213">
        <w:rPr>
          <w:rStyle w:val="Znakapoznpodarou"/>
          <w:rFonts w:asciiTheme="minorHAnsi" w:hAnsiTheme="minorHAnsi" w:cstheme="minorHAnsi"/>
        </w:rPr>
        <w:footnoteReference w:id="1"/>
      </w:r>
      <w:r w:rsidR="000A37FD">
        <w:rPr>
          <w:rFonts w:asciiTheme="minorHAnsi" w:hAnsiTheme="minorHAnsi" w:cstheme="minorHAnsi"/>
        </w:rPr>
        <w:t xml:space="preserve"> </w:t>
      </w:r>
      <w:r>
        <w:t xml:space="preserve">všem členským státům povinnost vytvářet a udržovat nouzové zásoby </w:t>
      </w:r>
      <w:r w:rsidR="00DD742E">
        <w:t xml:space="preserve">ropy </w:t>
      </w:r>
      <w:r>
        <w:t>a ropných produktů</w:t>
      </w:r>
      <w:r w:rsidR="00F63BB9">
        <w:t xml:space="preserve"> (dále také „nouzové zásoby“)</w:t>
      </w:r>
      <w:r>
        <w:t xml:space="preserve">. ČR má povinnost udržovat tyto zásoby </w:t>
      </w:r>
      <w:r w:rsidR="00680997">
        <w:t xml:space="preserve">v množství odpovídajícím </w:t>
      </w:r>
      <w:r>
        <w:t xml:space="preserve">nejméně </w:t>
      </w:r>
      <w:r w:rsidR="00602263">
        <w:br/>
      </w:r>
      <w:r>
        <w:lastRenderedPageBreak/>
        <w:t>90</w:t>
      </w:r>
      <w:r w:rsidR="00602263">
        <w:t xml:space="preserve"> </w:t>
      </w:r>
      <w:r>
        <w:t>dnů</w:t>
      </w:r>
      <w:r w:rsidR="00C87BCA">
        <w:t>m</w:t>
      </w:r>
      <w:r>
        <w:t xml:space="preserve"> průměrného denního čistého dovoz</w:t>
      </w:r>
      <w:r w:rsidR="00680997">
        <w:t>u. T</w:t>
      </w:r>
      <w:r>
        <w:t>yto zásoby jsou součástí státních hmotných rezerv. V období od dubna 2017 do</w:t>
      </w:r>
      <w:r w:rsidR="00087C57">
        <w:t xml:space="preserve"> </w:t>
      </w:r>
      <w:r>
        <w:t>června 2021 byly nouzové zásoby pod hranicí 90</w:t>
      </w:r>
      <w:r w:rsidR="0033408B">
        <w:t xml:space="preserve"> dnů průměrného</w:t>
      </w:r>
      <w:r w:rsidR="00F97FD3">
        <w:t xml:space="preserve"> </w:t>
      </w:r>
      <w:r w:rsidR="00063024">
        <w:t xml:space="preserve">denního </w:t>
      </w:r>
      <w:r w:rsidR="00F97FD3">
        <w:t>čistého dovozu</w:t>
      </w:r>
      <w:r w:rsidR="00063024">
        <w:t>,</w:t>
      </w:r>
      <w:r>
        <w:t xml:space="preserve"> a ČR tudíž neplnila povinnost </w:t>
      </w:r>
      <w:r w:rsidR="00E820F5">
        <w:t xml:space="preserve">vyplývající ze </w:t>
      </w:r>
      <w:r w:rsidR="000A37FD">
        <w:t>s</w:t>
      </w:r>
      <w:r w:rsidR="000A37FD" w:rsidRPr="00F72AF7">
        <w:rPr>
          <w:rFonts w:asciiTheme="minorHAnsi" w:hAnsiTheme="minorHAnsi" w:cstheme="minorHAnsi"/>
        </w:rPr>
        <w:t>měrnic</w:t>
      </w:r>
      <w:r w:rsidR="000A37FD">
        <w:rPr>
          <w:rFonts w:asciiTheme="minorHAnsi" w:hAnsiTheme="minorHAnsi" w:cstheme="minorHAnsi"/>
        </w:rPr>
        <w:t>e</w:t>
      </w:r>
      <w:r w:rsidR="000A37FD" w:rsidRPr="00F72AF7">
        <w:rPr>
          <w:rFonts w:asciiTheme="minorHAnsi" w:hAnsiTheme="minorHAnsi" w:cstheme="minorHAnsi"/>
        </w:rPr>
        <w:t xml:space="preserve"> Rady 2009/119/ES</w:t>
      </w:r>
      <w:r w:rsidR="005C6D42">
        <w:t xml:space="preserve">. </w:t>
      </w:r>
      <w:r w:rsidR="0033408B">
        <w:t xml:space="preserve">Evropská komise </w:t>
      </w:r>
      <w:r w:rsidR="00E574A1">
        <w:t xml:space="preserve">proto </w:t>
      </w:r>
      <w:r>
        <w:t xml:space="preserve">v prosinci 2020 zahájila </w:t>
      </w:r>
      <w:r w:rsidR="00063024">
        <w:t>s</w:t>
      </w:r>
      <w:r>
        <w:t xml:space="preserve"> ČR řízení a ČR hrozí</w:t>
      </w:r>
      <w:r w:rsidR="00E820F5">
        <w:t xml:space="preserve"> za porušení </w:t>
      </w:r>
      <w:r w:rsidR="000A37FD">
        <w:t>s</w:t>
      </w:r>
      <w:r w:rsidR="000A37FD" w:rsidRPr="00F72AF7">
        <w:rPr>
          <w:rFonts w:asciiTheme="minorHAnsi" w:hAnsiTheme="minorHAnsi" w:cstheme="minorHAnsi"/>
        </w:rPr>
        <w:t>měrnic</w:t>
      </w:r>
      <w:r w:rsidR="000A37FD">
        <w:rPr>
          <w:rFonts w:asciiTheme="minorHAnsi" w:hAnsiTheme="minorHAnsi" w:cstheme="minorHAnsi"/>
        </w:rPr>
        <w:t>e</w:t>
      </w:r>
      <w:r w:rsidR="000A37FD" w:rsidRPr="00F72AF7">
        <w:rPr>
          <w:rFonts w:asciiTheme="minorHAnsi" w:hAnsiTheme="minorHAnsi" w:cstheme="minorHAnsi"/>
        </w:rPr>
        <w:t xml:space="preserve"> Rady 2009/119/ES</w:t>
      </w:r>
      <w:r w:rsidR="000A37FD">
        <w:rPr>
          <w:rFonts w:asciiTheme="minorHAnsi" w:hAnsiTheme="minorHAnsi" w:cstheme="minorHAnsi"/>
        </w:rPr>
        <w:t xml:space="preserve"> sankce</w:t>
      </w:r>
      <w:r>
        <w:t>.</w:t>
      </w:r>
      <w:r w:rsidR="005706D1">
        <w:t xml:space="preserve"> </w:t>
      </w:r>
      <w:r w:rsidR="00E820F5">
        <w:t>V</w:t>
      </w:r>
      <w:r w:rsidR="00063024">
        <w:t xml:space="preserve"> </w:t>
      </w:r>
      <w:r w:rsidR="00E820F5">
        <w:t xml:space="preserve">důsledku zpomalení ekonomiky v souvislosti s pandemií </w:t>
      </w:r>
      <w:r w:rsidR="00063024">
        <w:t>covidu</w:t>
      </w:r>
      <w:r w:rsidR="00E820F5">
        <w:t xml:space="preserve">-19 </w:t>
      </w:r>
      <w:r w:rsidR="00A72067">
        <w:t xml:space="preserve">stoupla </w:t>
      </w:r>
      <w:r w:rsidR="005706D1">
        <w:t xml:space="preserve">od července 2021 výše </w:t>
      </w:r>
      <w:r w:rsidR="00E820F5">
        <w:t xml:space="preserve">nouzových zásob </w:t>
      </w:r>
      <w:r w:rsidR="005706D1">
        <w:t>nad hranici 90</w:t>
      </w:r>
      <w:r w:rsidR="0033408B">
        <w:t xml:space="preserve"> dnů průměrného</w:t>
      </w:r>
      <w:r w:rsidR="00F97FD3">
        <w:t xml:space="preserve"> </w:t>
      </w:r>
      <w:r w:rsidR="00063024">
        <w:t xml:space="preserve">denního </w:t>
      </w:r>
      <w:r w:rsidR="00F97FD3">
        <w:t>čistého dovozu</w:t>
      </w:r>
      <w:r w:rsidR="005706D1">
        <w:t xml:space="preserve"> </w:t>
      </w:r>
      <w:r w:rsidR="00E820F5">
        <w:t>i bez jejich faktického navýšení</w:t>
      </w:r>
      <w:r w:rsidR="005706D1">
        <w:t xml:space="preserve">. NKÚ ale upozorňuje na riziko, že bez </w:t>
      </w:r>
      <w:r w:rsidR="00063024">
        <w:t xml:space="preserve">cíleného </w:t>
      </w:r>
      <w:r w:rsidR="005706D1">
        <w:t>navýšení nouzových zásob doj</w:t>
      </w:r>
      <w:r w:rsidR="005C6D42">
        <w:t>d</w:t>
      </w:r>
      <w:r w:rsidR="005706D1">
        <w:t>e po oživení ekonomiky opět k</w:t>
      </w:r>
      <w:r w:rsidR="00E820F5">
        <w:t xml:space="preserve"> jejich </w:t>
      </w:r>
      <w:r w:rsidR="005706D1">
        <w:t>poklesu pod povinnou hranici.</w:t>
      </w:r>
    </w:p>
    <w:p w14:paraId="681A17EC" w14:textId="77777777" w:rsidR="00FC2902" w:rsidRPr="00FC2902" w:rsidRDefault="00FC2902" w:rsidP="00FC2902">
      <w:pPr>
        <w:pStyle w:val="Odstavecseseznamem"/>
        <w:ind w:left="0"/>
        <w:rPr>
          <w:color w:val="auto"/>
          <w:lang w:eastAsia="cs-CZ"/>
        </w:rPr>
      </w:pPr>
    </w:p>
    <w:p w14:paraId="4C14A169" w14:textId="6EB24A5E" w:rsidR="00B43AE3" w:rsidRPr="00F72AF7" w:rsidRDefault="0033408B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 w:rsidRPr="00F72AF7">
        <w:rPr>
          <w:color w:val="auto"/>
          <w:lang w:eastAsia="cs-CZ"/>
        </w:rPr>
        <w:t>Nouzové zásoby ropy a ropných produktů vytváří a udržuje SSHR, přičemž dle zákona o</w:t>
      </w:r>
      <w:r w:rsidR="006E529B" w:rsidRPr="00F72AF7">
        <w:rPr>
          <w:color w:val="auto"/>
          <w:lang w:eastAsia="cs-CZ"/>
        </w:rPr>
        <w:t> </w:t>
      </w:r>
      <w:r w:rsidRPr="00F72AF7">
        <w:rPr>
          <w:color w:val="auto"/>
          <w:lang w:eastAsia="cs-CZ"/>
        </w:rPr>
        <w:t>působnosti Správy státních hmotných rezerv</w:t>
      </w:r>
      <w:r w:rsidRPr="00F72AF7">
        <w:rPr>
          <w:rStyle w:val="Znakapoznpodarou"/>
          <w:color w:val="auto"/>
        </w:rPr>
        <w:footnoteReference w:id="2"/>
      </w:r>
      <w:r w:rsidRPr="00F72AF7">
        <w:rPr>
          <w:color w:val="auto"/>
          <w:lang w:eastAsia="cs-CZ"/>
        </w:rPr>
        <w:t xml:space="preserve"> zajišťuje pořizování státních hmotných rezerv podle požadavků krizových plánů a </w:t>
      </w:r>
      <w:r w:rsidR="00E820F5" w:rsidRPr="00F72AF7">
        <w:rPr>
          <w:color w:val="auto"/>
          <w:lang w:eastAsia="cs-CZ"/>
        </w:rPr>
        <w:t xml:space="preserve">při těchto činnostech </w:t>
      </w:r>
      <w:r w:rsidRPr="00F72AF7">
        <w:rPr>
          <w:color w:val="auto"/>
          <w:lang w:eastAsia="cs-CZ"/>
        </w:rPr>
        <w:t>postupuje v součinnosti s ostatními ústředními orgány státní správy. Dle stávající právní úpravy nenáleží do působnosti SSHR rozhodování o</w:t>
      </w:r>
      <w:r w:rsidR="006E529B" w:rsidRPr="00F72AF7">
        <w:rPr>
          <w:color w:val="auto"/>
          <w:lang w:eastAsia="cs-CZ"/>
        </w:rPr>
        <w:t> </w:t>
      </w:r>
      <w:r w:rsidRPr="00F72AF7">
        <w:rPr>
          <w:color w:val="auto"/>
          <w:lang w:eastAsia="cs-CZ"/>
        </w:rPr>
        <w:t xml:space="preserve">struktuře státních hmotných rezerv. </w:t>
      </w:r>
      <w:r w:rsidR="004D26CD" w:rsidRPr="00F72AF7">
        <w:rPr>
          <w:color w:val="auto"/>
          <w:lang w:eastAsia="cs-CZ"/>
        </w:rPr>
        <w:t>Statut SSHR</w:t>
      </w:r>
      <w:r w:rsidR="00B339DF" w:rsidRPr="00F72AF7">
        <w:rPr>
          <w:rStyle w:val="Znakapoznpodarou"/>
          <w:color w:val="auto"/>
          <w:lang w:eastAsia="cs-CZ"/>
        </w:rPr>
        <w:footnoteReference w:id="3"/>
      </w:r>
      <w:r w:rsidR="004D26CD" w:rsidRPr="00F72AF7">
        <w:rPr>
          <w:color w:val="auto"/>
          <w:lang w:eastAsia="cs-CZ"/>
        </w:rPr>
        <w:t xml:space="preserve"> ukládá povinnost předkládat vládě ČR návrhy opatření týkající se jednotlivých oblastí hospodářských opatření pro</w:t>
      </w:r>
      <w:r w:rsidR="008D6018">
        <w:rPr>
          <w:color w:val="auto"/>
          <w:lang w:eastAsia="cs-CZ"/>
        </w:rPr>
        <w:t xml:space="preserve"> </w:t>
      </w:r>
      <w:r w:rsidR="004D26CD" w:rsidRPr="00F72AF7">
        <w:rPr>
          <w:color w:val="auto"/>
          <w:lang w:eastAsia="cs-CZ"/>
        </w:rPr>
        <w:t xml:space="preserve">krizové stavy a státních hmotných rezerv. </w:t>
      </w:r>
      <w:r w:rsidRPr="00F72AF7">
        <w:rPr>
          <w:color w:val="auto"/>
          <w:lang w:eastAsia="cs-CZ"/>
        </w:rPr>
        <w:t>V kontrolovaném období SSHR v rámci své působnosti pře</w:t>
      </w:r>
      <w:r w:rsidR="008D180F" w:rsidRPr="00F72AF7">
        <w:rPr>
          <w:color w:val="auto"/>
          <w:lang w:eastAsia="cs-CZ"/>
        </w:rPr>
        <w:t>d</w:t>
      </w:r>
      <w:r w:rsidRPr="00F72AF7">
        <w:rPr>
          <w:color w:val="auto"/>
          <w:lang w:eastAsia="cs-CZ"/>
        </w:rPr>
        <w:t>kládala prostřednictvím Ministerstva průmyslu a</w:t>
      </w:r>
      <w:r w:rsidR="00063024">
        <w:rPr>
          <w:color w:val="auto"/>
          <w:lang w:eastAsia="cs-CZ"/>
        </w:rPr>
        <w:t> </w:t>
      </w:r>
      <w:r w:rsidRPr="00F72AF7">
        <w:rPr>
          <w:color w:val="auto"/>
          <w:lang w:eastAsia="cs-CZ"/>
        </w:rPr>
        <w:t xml:space="preserve">obchodu vládě ČR návrhy na doplnění nouzových zásob, a to včetně </w:t>
      </w:r>
      <w:r w:rsidR="007802F2" w:rsidRPr="00F72AF7">
        <w:rPr>
          <w:color w:val="auto"/>
          <w:lang w:eastAsia="cs-CZ"/>
        </w:rPr>
        <w:t xml:space="preserve">konkrétních </w:t>
      </w:r>
      <w:r w:rsidR="004D26CD" w:rsidRPr="00F72AF7">
        <w:rPr>
          <w:color w:val="auto"/>
          <w:lang w:eastAsia="cs-CZ"/>
        </w:rPr>
        <w:t xml:space="preserve">návrhů </w:t>
      </w:r>
      <w:r w:rsidRPr="00F72AF7">
        <w:rPr>
          <w:color w:val="auto"/>
          <w:lang w:eastAsia="cs-CZ"/>
        </w:rPr>
        <w:t>variantního řešení struktury nákupu nouzových zásob</w:t>
      </w:r>
      <w:r w:rsidR="00E820F5" w:rsidRPr="00F72AF7">
        <w:rPr>
          <w:color w:val="auto"/>
          <w:lang w:eastAsia="cs-CZ"/>
        </w:rPr>
        <w:t xml:space="preserve"> ropy a ropných produktů</w:t>
      </w:r>
      <w:r w:rsidRPr="00F72AF7">
        <w:rPr>
          <w:color w:val="auto"/>
          <w:lang w:eastAsia="cs-CZ"/>
        </w:rPr>
        <w:t>.</w:t>
      </w:r>
      <w:r w:rsidR="004D26CD" w:rsidRPr="00F72AF7">
        <w:rPr>
          <w:color w:val="auto"/>
          <w:lang w:eastAsia="cs-CZ"/>
        </w:rPr>
        <w:t xml:space="preserve"> </w:t>
      </w:r>
      <w:r w:rsidR="00657048" w:rsidRPr="00F72AF7">
        <w:rPr>
          <w:color w:val="auto"/>
        </w:rPr>
        <w:t>Poslední návrh v</w:t>
      </w:r>
      <w:r w:rsidR="00602263">
        <w:rPr>
          <w:color w:val="auto"/>
        </w:rPr>
        <w:t xml:space="preserve"> </w:t>
      </w:r>
      <w:r w:rsidR="00657048" w:rsidRPr="00F72AF7">
        <w:rPr>
          <w:color w:val="auto"/>
        </w:rPr>
        <w:t xml:space="preserve">roce 2020 byl SSHR zpracován </w:t>
      </w:r>
      <w:r w:rsidR="00E820F5" w:rsidRPr="00F72AF7">
        <w:rPr>
          <w:color w:val="auto"/>
        </w:rPr>
        <w:t>v</w:t>
      </w:r>
      <w:r w:rsidR="00602263">
        <w:rPr>
          <w:color w:val="auto"/>
        </w:rPr>
        <w:t xml:space="preserve"> </w:t>
      </w:r>
      <w:r w:rsidR="00E820F5" w:rsidRPr="00F72AF7">
        <w:rPr>
          <w:color w:val="auto"/>
        </w:rPr>
        <w:t>souvislosti s výrazným</w:t>
      </w:r>
      <w:r w:rsidR="00657048" w:rsidRPr="00F72AF7">
        <w:rPr>
          <w:rFonts w:asciiTheme="minorHAnsi" w:hAnsiTheme="minorHAnsi" w:cstheme="minorHAnsi"/>
          <w:color w:val="auto"/>
        </w:rPr>
        <w:t xml:space="preserve"> pokles</w:t>
      </w:r>
      <w:r w:rsidR="00E820F5" w:rsidRPr="00F72AF7">
        <w:rPr>
          <w:rFonts w:asciiTheme="minorHAnsi" w:hAnsiTheme="minorHAnsi" w:cstheme="minorHAnsi"/>
          <w:color w:val="auto"/>
        </w:rPr>
        <w:t>em</w:t>
      </w:r>
      <w:r w:rsidR="00657048" w:rsidRPr="00F72AF7">
        <w:rPr>
          <w:rFonts w:asciiTheme="minorHAnsi" w:hAnsiTheme="minorHAnsi" w:cstheme="minorHAnsi"/>
          <w:color w:val="auto"/>
        </w:rPr>
        <w:t xml:space="preserve"> cen ropy na</w:t>
      </w:r>
      <w:r w:rsidR="00087C57">
        <w:rPr>
          <w:rFonts w:asciiTheme="minorHAnsi" w:hAnsiTheme="minorHAnsi" w:cstheme="minorHAnsi"/>
          <w:color w:val="auto"/>
        </w:rPr>
        <w:t xml:space="preserve"> </w:t>
      </w:r>
      <w:r w:rsidR="00657048" w:rsidRPr="00F72AF7">
        <w:rPr>
          <w:rFonts w:asciiTheme="minorHAnsi" w:hAnsiTheme="minorHAnsi" w:cstheme="minorHAnsi"/>
          <w:color w:val="auto"/>
        </w:rPr>
        <w:t>světových trzích. D</w:t>
      </w:r>
      <w:r w:rsidR="006107C0" w:rsidRPr="00F72AF7">
        <w:rPr>
          <w:rFonts w:asciiTheme="minorHAnsi" w:hAnsiTheme="minorHAnsi" w:cstheme="minorHAnsi"/>
          <w:color w:val="auto"/>
        </w:rPr>
        <w:t>o doby ukončení kontroly NKÚ</w:t>
      </w:r>
      <w:r w:rsidR="004D26CD" w:rsidRPr="00F72AF7">
        <w:rPr>
          <w:rFonts w:asciiTheme="minorHAnsi" w:hAnsiTheme="minorHAnsi" w:cstheme="minorHAnsi"/>
          <w:color w:val="auto"/>
        </w:rPr>
        <w:t xml:space="preserve"> vláda ČR žádný z návrhů SSHR neschválila. </w:t>
      </w:r>
      <w:r w:rsidR="00E820F5" w:rsidRPr="00F72AF7">
        <w:rPr>
          <w:rFonts w:asciiTheme="minorHAnsi" w:hAnsiTheme="minorHAnsi" w:cstheme="minorHAnsi"/>
          <w:color w:val="auto"/>
        </w:rPr>
        <w:t>Vzhledem k</w:t>
      </w:r>
      <w:r w:rsidR="00602263">
        <w:rPr>
          <w:rFonts w:asciiTheme="minorHAnsi" w:hAnsiTheme="minorHAnsi" w:cstheme="minorHAnsi"/>
          <w:color w:val="auto"/>
        </w:rPr>
        <w:t xml:space="preserve"> </w:t>
      </w:r>
      <w:r w:rsidR="00E820F5" w:rsidRPr="00F72AF7">
        <w:rPr>
          <w:rFonts w:asciiTheme="minorHAnsi" w:hAnsiTheme="minorHAnsi" w:cstheme="minorHAnsi"/>
          <w:color w:val="auto"/>
        </w:rPr>
        <w:t>tomu, že n</w:t>
      </w:r>
      <w:r w:rsidR="003B47C2" w:rsidRPr="00F72AF7">
        <w:rPr>
          <w:rFonts w:asciiTheme="minorHAnsi" w:hAnsiTheme="minorHAnsi" w:cstheme="minorHAnsi"/>
          <w:color w:val="auto"/>
        </w:rPr>
        <w:t xml:space="preserve">ebylo </w:t>
      </w:r>
      <w:r w:rsidR="002A1A48" w:rsidRPr="00F72AF7">
        <w:rPr>
          <w:rFonts w:asciiTheme="minorHAnsi" w:hAnsiTheme="minorHAnsi" w:cstheme="minorHAnsi"/>
          <w:color w:val="auto"/>
        </w:rPr>
        <w:t xml:space="preserve">učiněno </w:t>
      </w:r>
      <w:r w:rsidR="003B47C2" w:rsidRPr="00F72AF7">
        <w:rPr>
          <w:rFonts w:asciiTheme="minorHAnsi" w:hAnsiTheme="minorHAnsi" w:cstheme="minorHAnsi"/>
          <w:color w:val="auto"/>
        </w:rPr>
        <w:t>strategické rozhodnutí</w:t>
      </w:r>
      <w:r w:rsidR="002A1A48" w:rsidRPr="00F72AF7">
        <w:rPr>
          <w:rFonts w:asciiTheme="minorHAnsi" w:hAnsiTheme="minorHAnsi" w:cstheme="minorHAnsi"/>
          <w:color w:val="auto"/>
        </w:rPr>
        <w:t xml:space="preserve"> o</w:t>
      </w:r>
      <w:r w:rsidR="008D180F" w:rsidRPr="00F72AF7">
        <w:rPr>
          <w:rFonts w:asciiTheme="minorHAnsi" w:hAnsiTheme="minorHAnsi" w:cstheme="minorHAnsi"/>
          <w:color w:val="auto"/>
        </w:rPr>
        <w:t xml:space="preserve"> nákupu</w:t>
      </w:r>
      <w:r w:rsidR="002A1A48" w:rsidRPr="00F72AF7">
        <w:rPr>
          <w:rFonts w:asciiTheme="minorHAnsi" w:hAnsiTheme="minorHAnsi" w:cstheme="minorHAnsi"/>
          <w:color w:val="auto"/>
        </w:rPr>
        <w:t xml:space="preserve"> konkrétní komodit</w:t>
      </w:r>
      <w:r w:rsidR="008D180F" w:rsidRPr="00F72AF7">
        <w:rPr>
          <w:rFonts w:asciiTheme="minorHAnsi" w:hAnsiTheme="minorHAnsi" w:cstheme="minorHAnsi"/>
          <w:color w:val="auto"/>
        </w:rPr>
        <w:t>y</w:t>
      </w:r>
      <w:r w:rsidR="00BA6388" w:rsidRPr="00F72AF7">
        <w:rPr>
          <w:rFonts w:asciiTheme="minorHAnsi" w:hAnsiTheme="minorHAnsi" w:cstheme="minorHAnsi"/>
          <w:color w:val="auto"/>
        </w:rPr>
        <w:t xml:space="preserve"> (rop</w:t>
      </w:r>
      <w:r w:rsidR="008D180F" w:rsidRPr="00F72AF7">
        <w:rPr>
          <w:rFonts w:asciiTheme="minorHAnsi" w:hAnsiTheme="minorHAnsi" w:cstheme="minorHAnsi"/>
          <w:color w:val="auto"/>
        </w:rPr>
        <w:t>y</w:t>
      </w:r>
      <w:r w:rsidR="00BA6388" w:rsidRPr="00F72AF7">
        <w:rPr>
          <w:rFonts w:asciiTheme="minorHAnsi" w:hAnsiTheme="minorHAnsi" w:cstheme="minorHAnsi"/>
          <w:color w:val="auto"/>
        </w:rPr>
        <w:t xml:space="preserve"> nebo konkrétní</w:t>
      </w:r>
      <w:r w:rsidR="008D180F" w:rsidRPr="00F72AF7">
        <w:rPr>
          <w:rFonts w:asciiTheme="minorHAnsi" w:hAnsiTheme="minorHAnsi" w:cstheme="minorHAnsi"/>
          <w:color w:val="auto"/>
        </w:rPr>
        <w:t>ho</w:t>
      </w:r>
      <w:r w:rsidR="00BA6388" w:rsidRPr="00F72AF7">
        <w:rPr>
          <w:rFonts w:asciiTheme="minorHAnsi" w:hAnsiTheme="minorHAnsi" w:cstheme="minorHAnsi"/>
          <w:color w:val="auto"/>
        </w:rPr>
        <w:t xml:space="preserve"> ropn</w:t>
      </w:r>
      <w:r w:rsidR="008D180F" w:rsidRPr="00F72AF7">
        <w:rPr>
          <w:rFonts w:asciiTheme="minorHAnsi" w:hAnsiTheme="minorHAnsi" w:cstheme="minorHAnsi"/>
          <w:color w:val="auto"/>
        </w:rPr>
        <w:t>ého</w:t>
      </w:r>
      <w:r w:rsidR="00BA6388" w:rsidRPr="00F72AF7">
        <w:rPr>
          <w:rFonts w:asciiTheme="minorHAnsi" w:hAnsiTheme="minorHAnsi" w:cstheme="minorHAnsi"/>
          <w:color w:val="auto"/>
        </w:rPr>
        <w:t xml:space="preserve"> produkt</w:t>
      </w:r>
      <w:r w:rsidR="008D180F" w:rsidRPr="00F72AF7">
        <w:rPr>
          <w:rFonts w:asciiTheme="minorHAnsi" w:hAnsiTheme="minorHAnsi" w:cstheme="minorHAnsi"/>
          <w:color w:val="auto"/>
        </w:rPr>
        <w:t>u</w:t>
      </w:r>
      <w:r w:rsidR="00BA6388" w:rsidRPr="00F72AF7">
        <w:rPr>
          <w:rFonts w:asciiTheme="minorHAnsi" w:hAnsiTheme="minorHAnsi" w:cstheme="minorHAnsi"/>
          <w:color w:val="auto"/>
        </w:rPr>
        <w:t>)</w:t>
      </w:r>
      <w:r w:rsidR="008D180F" w:rsidRPr="00F72AF7">
        <w:rPr>
          <w:rFonts w:asciiTheme="minorHAnsi" w:hAnsiTheme="minorHAnsi" w:cstheme="minorHAnsi"/>
          <w:color w:val="auto"/>
        </w:rPr>
        <w:t xml:space="preserve">, která by byla </w:t>
      </w:r>
      <w:r w:rsidR="00BA6388" w:rsidRPr="00F72AF7">
        <w:rPr>
          <w:rFonts w:asciiTheme="minorHAnsi" w:hAnsiTheme="minorHAnsi" w:cstheme="minorHAnsi"/>
          <w:color w:val="auto"/>
        </w:rPr>
        <w:t>žádoucí z hlediska struktury nově pořizovaných nouzových zásob ve vazbě na</w:t>
      </w:r>
      <w:r w:rsidR="008C2ED6">
        <w:rPr>
          <w:rFonts w:asciiTheme="minorHAnsi" w:hAnsiTheme="minorHAnsi" w:cstheme="minorHAnsi"/>
          <w:color w:val="auto"/>
        </w:rPr>
        <w:t xml:space="preserve"> </w:t>
      </w:r>
      <w:r w:rsidR="00BA6388" w:rsidRPr="00F72AF7">
        <w:rPr>
          <w:rFonts w:asciiTheme="minorHAnsi" w:hAnsiTheme="minorHAnsi" w:cstheme="minorHAnsi"/>
          <w:color w:val="auto"/>
        </w:rPr>
        <w:t>strategické priority ČR v oblasti energetické bezpečnosti</w:t>
      </w:r>
      <w:r w:rsidR="00E820F5" w:rsidRPr="00F72AF7">
        <w:rPr>
          <w:rFonts w:asciiTheme="minorHAnsi" w:hAnsiTheme="minorHAnsi" w:cstheme="minorHAnsi"/>
          <w:color w:val="auto"/>
        </w:rPr>
        <w:t xml:space="preserve">, </w:t>
      </w:r>
      <w:r w:rsidR="004D1C6E" w:rsidRPr="00F72AF7">
        <w:rPr>
          <w:rFonts w:asciiTheme="minorHAnsi" w:hAnsiTheme="minorHAnsi" w:cstheme="minorHAnsi"/>
          <w:color w:val="auto"/>
        </w:rPr>
        <w:t>SSHR</w:t>
      </w:r>
      <w:r w:rsidR="008D180F" w:rsidRPr="00F72AF7">
        <w:rPr>
          <w:rFonts w:asciiTheme="minorHAnsi" w:hAnsiTheme="minorHAnsi" w:cstheme="minorHAnsi"/>
          <w:color w:val="auto"/>
        </w:rPr>
        <w:t xml:space="preserve"> doplnění nouzových zásob</w:t>
      </w:r>
      <w:r w:rsidR="004D1C6E" w:rsidRPr="00F72AF7">
        <w:rPr>
          <w:rFonts w:asciiTheme="minorHAnsi" w:hAnsiTheme="minorHAnsi" w:cstheme="minorHAnsi"/>
          <w:color w:val="auto"/>
        </w:rPr>
        <w:t xml:space="preserve"> nerealizovala.</w:t>
      </w:r>
    </w:p>
    <w:p w14:paraId="4E810978" w14:textId="77777777" w:rsidR="003F4FFE" w:rsidRPr="00B43AE3" w:rsidRDefault="003F4FFE" w:rsidP="006107C0">
      <w:pPr>
        <w:pStyle w:val="Odstavecseseznamem"/>
        <w:ind w:left="0"/>
        <w:rPr>
          <w:color w:val="auto"/>
          <w:lang w:eastAsia="cs-CZ"/>
        </w:rPr>
      </w:pPr>
    </w:p>
    <w:p w14:paraId="47550FA5" w14:textId="291EE66E" w:rsidR="00B43AE3" w:rsidRPr="003C15DB" w:rsidRDefault="005706D1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 w:rsidRPr="003C15DB">
        <w:t xml:space="preserve">V ČR </w:t>
      </w:r>
      <w:r w:rsidR="00455965" w:rsidRPr="003C15DB">
        <w:t>se v kontrolovaném období nacházely</w:t>
      </w:r>
      <w:r w:rsidRPr="003C15DB">
        <w:t xml:space="preserve"> dvě rafinérie, </w:t>
      </w:r>
      <w:r w:rsidR="005C6D42" w:rsidRPr="003C15DB">
        <w:t>z nichž</w:t>
      </w:r>
      <w:r w:rsidRPr="003C15DB">
        <w:t xml:space="preserve"> každá zpracováv</w:t>
      </w:r>
      <w:r w:rsidR="00455965" w:rsidRPr="003C15DB">
        <w:t>ala</w:t>
      </w:r>
      <w:r w:rsidRPr="003C15DB">
        <w:t xml:space="preserve"> jiný druh ropy. </w:t>
      </w:r>
      <w:r w:rsidR="00455965" w:rsidRPr="003C15DB">
        <w:t>Přechod na z</w:t>
      </w:r>
      <w:r w:rsidRPr="003C15DB">
        <w:t>pracování jiného druhu ropy je pro rafinérii technologicky, finančně a</w:t>
      </w:r>
      <w:r w:rsidR="00753BC3">
        <w:t xml:space="preserve"> </w:t>
      </w:r>
      <w:r w:rsidRPr="003C15DB">
        <w:t>časov</w:t>
      </w:r>
      <w:r w:rsidR="002C1F93" w:rsidRPr="003C15DB">
        <w:t>ě</w:t>
      </w:r>
      <w:r w:rsidRPr="003C15DB">
        <w:t xml:space="preserve"> náročn</w:t>
      </w:r>
      <w:r w:rsidR="002C1F93" w:rsidRPr="003C15DB">
        <w:t>ý</w:t>
      </w:r>
      <w:r w:rsidRPr="003C15DB">
        <w:t>. SSHR v</w:t>
      </w:r>
      <w:r w:rsidR="00602263">
        <w:t xml:space="preserve"> </w:t>
      </w:r>
      <w:r w:rsidRPr="003C15DB">
        <w:t xml:space="preserve">době kontroly NKÚ disponovala pouze </w:t>
      </w:r>
      <w:r w:rsidR="00455965" w:rsidRPr="003C15DB">
        <w:t>ropou</w:t>
      </w:r>
      <w:r w:rsidR="00137860" w:rsidRPr="003C15DB">
        <w:t xml:space="preserve"> typu REB</w:t>
      </w:r>
      <w:r w:rsidR="00661385" w:rsidRPr="003C15DB">
        <w:rPr>
          <w:rStyle w:val="Znakapoznpodarou"/>
        </w:rPr>
        <w:footnoteReference w:id="4"/>
      </w:r>
      <w:r w:rsidRPr="003C15DB">
        <w:t>. V roce 2019 došlo k</w:t>
      </w:r>
      <w:r w:rsidR="00602263">
        <w:t xml:space="preserve"> </w:t>
      </w:r>
      <w:r w:rsidRPr="003C15DB">
        <w:t>závažnému narušení dodávek</w:t>
      </w:r>
      <w:r w:rsidR="00A14513" w:rsidRPr="003C15DB">
        <w:t xml:space="preserve"> </w:t>
      </w:r>
      <w:r w:rsidR="00137860" w:rsidRPr="003C15DB">
        <w:t xml:space="preserve">ropy typu REB </w:t>
      </w:r>
      <w:r w:rsidR="00A14513" w:rsidRPr="003C15DB">
        <w:t>do ČR</w:t>
      </w:r>
      <w:r w:rsidRPr="003C15DB">
        <w:t>. SSHR na</w:t>
      </w:r>
      <w:r w:rsidR="00602263">
        <w:t xml:space="preserve"> </w:t>
      </w:r>
      <w:r w:rsidRPr="003C15DB">
        <w:t>vzniklou situac</w:t>
      </w:r>
      <w:r w:rsidR="0050448E" w:rsidRPr="003C15DB">
        <w:t>i</w:t>
      </w:r>
      <w:r w:rsidRPr="003C15DB">
        <w:t xml:space="preserve"> v</w:t>
      </w:r>
      <w:r w:rsidR="00602263">
        <w:t xml:space="preserve"> </w:t>
      </w:r>
      <w:r w:rsidRPr="003C15DB">
        <w:t>souladu s </w:t>
      </w:r>
      <w:r w:rsidR="00292067">
        <w:t>rozhodnutím</w:t>
      </w:r>
      <w:r w:rsidRPr="003C15DB">
        <w:t xml:space="preserve"> vlády</w:t>
      </w:r>
      <w:r w:rsidR="00165319" w:rsidRPr="003C15DB">
        <w:t xml:space="preserve"> ČR</w:t>
      </w:r>
      <w:r w:rsidRPr="003C15DB">
        <w:t xml:space="preserve"> neprodleně reagovala a</w:t>
      </w:r>
      <w:r w:rsidR="009429D0">
        <w:t xml:space="preserve"> zapůjčila </w:t>
      </w:r>
      <w:r w:rsidR="009429D0" w:rsidRPr="003C15DB">
        <w:t xml:space="preserve">ropu ze státních hmotných rezerv </w:t>
      </w:r>
      <w:r w:rsidR="00F72AF7">
        <w:t>společnosti</w:t>
      </w:r>
      <w:r w:rsidR="009429D0">
        <w:t xml:space="preserve"> dot</w:t>
      </w:r>
      <w:r w:rsidR="00F72AF7">
        <w:t>č</w:t>
      </w:r>
      <w:r w:rsidR="009429D0">
        <w:t>ené zastavením ropovodu</w:t>
      </w:r>
      <w:r w:rsidR="00614E2F" w:rsidRPr="003C15DB">
        <w:t xml:space="preserve">. </w:t>
      </w:r>
    </w:p>
    <w:p w14:paraId="2545F89F" w14:textId="77777777" w:rsidR="006107C0" w:rsidRPr="003C15DB" w:rsidRDefault="006107C0" w:rsidP="006107C0">
      <w:pPr>
        <w:pStyle w:val="Odstavecseseznamem"/>
        <w:ind w:left="0"/>
        <w:rPr>
          <w:color w:val="auto"/>
          <w:lang w:eastAsia="cs-CZ"/>
        </w:rPr>
      </w:pPr>
    </w:p>
    <w:p w14:paraId="085FB0C6" w14:textId="0C2BF602" w:rsidR="00614E2F" w:rsidRPr="003C15DB" w:rsidRDefault="00455965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 w:rsidRPr="003C15DB">
        <w:t>N</w:t>
      </w:r>
      <w:r w:rsidR="00614E2F" w:rsidRPr="003C15DB">
        <w:t xml:space="preserve">ouzové zásoby ropy nebo ropných produktů </w:t>
      </w:r>
      <w:r w:rsidRPr="003C15DB">
        <w:t xml:space="preserve">je možné uskladnit </w:t>
      </w:r>
      <w:r w:rsidR="00614E2F" w:rsidRPr="003C15DB">
        <w:t>na území jiného členského státu Evropské unie</w:t>
      </w:r>
      <w:r w:rsidRPr="003C15DB">
        <w:t>.</w:t>
      </w:r>
      <w:r w:rsidR="00614E2F" w:rsidRPr="003C15DB">
        <w:t xml:space="preserve"> SSHR v letech 2010 až 2017 uskladňovala část zásob motorové nafty </w:t>
      </w:r>
      <w:r w:rsidR="005B5953" w:rsidRPr="005B5953">
        <w:rPr>
          <w:rFonts w:cstheme="minorHAnsi"/>
          <w:noProof/>
        </w:rPr>
        <w:t>u</w:t>
      </w:r>
      <w:r w:rsidR="0085746C">
        <w:rPr>
          <w:rFonts w:cstheme="minorHAnsi"/>
          <w:noProof/>
        </w:rPr>
        <w:t xml:space="preserve"> </w:t>
      </w:r>
      <w:r w:rsidR="005B5953" w:rsidRPr="005B5953">
        <w:rPr>
          <w:rFonts w:cstheme="minorHAnsi"/>
          <w:noProof/>
        </w:rPr>
        <w:t>soukromé právnické osoby</w:t>
      </w:r>
      <w:r w:rsidR="005B5953" w:rsidRPr="00240193">
        <w:rPr>
          <w:rFonts w:cstheme="minorHAnsi"/>
          <w:b/>
          <w:noProof/>
        </w:rPr>
        <w:t xml:space="preserve"> </w:t>
      </w:r>
      <w:r w:rsidR="00614E2F" w:rsidRPr="003C15DB">
        <w:t xml:space="preserve">na území Spolkové republiky Německo. </w:t>
      </w:r>
      <w:r w:rsidR="00384249" w:rsidRPr="003C15DB">
        <w:t>U</w:t>
      </w:r>
      <w:r w:rsidR="005B5953">
        <w:t> </w:t>
      </w:r>
      <w:r w:rsidR="00384249" w:rsidRPr="003C15DB">
        <w:t xml:space="preserve">těchto zásob </w:t>
      </w:r>
      <w:r w:rsidR="009429D0" w:rsidRPr="00F72AF7">
        <w:rPr>
          <w:color w:val="auto"/>
        </w:rPr>
        <w:t>byl zjištěn úbytek části skladovaného množství</w:t>
      </w:r>
      <w:r w:rsidR="00614E2F" w:rsidRPr="003C15DB">
        <w:t xml:space="preserve"> a v důsledku insolvence společnosti, která motorovou naftu skladovala</w:t>
      </w:r>
      <w:r w:rsidRPr="003C15DB">
        <w:t>,</w:t>
      </w:r>
      <w:r w:rsidR="00614E2F" w:rsidRPr="003C15DB">
        <w:t xml:space="preserve"> bylo zpochybněno vlastnické právo ČR</w:t>
      </w:r>
      <w:r w:rsidRPr="003C15DB">
        <w:t xml:space="preserve"> k uskladněné naftě</w:t>
      </w:r>
      <w:r w:rsidR="00614E2F" w:rsidRPr="003C15DB">
        <w:t xml:space="preserve">. Přestože se SSHR nakonec podařilo přemístit zásoby motorové nafty zpět do ČR, </w:t>
      </w:r>
      <w:r w:rsidR="00456526" w:rsidRPr="003C15DB">
        <w:t>probíhaly v</w:t>
      </w:r>
      <w:r w:rsidR="00602263">
        <w:t xml:space="preserve"> </w:t>
      </w:r>
      <w:r w:rsidR="00456526" w:rsidRPr="003C15DB">
        <w:t>době kontroly NKÚ v</w:t>
      </w:r>
      <w:r w:rsidR="00602263">
        <w:t xml:space="preserve"> </w:t>
      </w:r>
      <w:r w:rsidR="00456526" w:rsidRPr="003C15DB">
        <w:t>této záležitosti soudní spory</w:t>
      </w:r>
      <w:r w:rsidR="00614E2F" w:rsidRPr="003C15DB">
        <w:t>. V</w:t>
      </w:r>
      <w:r w:rsidR="00602263">
        <w:t xml:space="preserve"> </w:t>
      </w:r>
      <w:r w:rsidR="00614E2F" w:rsidRPr="003C15DB">
        <w:t xml:space="preserve">době </w:t>
      </w:r>
      <w:r w:rsidR="00137860" w:rsidRPr="003C15DB">
        <w:t xml:space="preserve">ukončení </w:t>
      </w:r>
      <w:r w:rsidR="00614E2F" w:rsidRPr="003C15DB">
        <w:t>kontroly NKÚ náklady na</w:t>
      </w:r>
      <w:r w:rsidR="0085746C">
        <w:t xml:space="preserve"> </w:t>
      </w:r>
      <w:r w:rsidR="00614E2F" w:rsidRPr="003C15DB">
        <w:t xml:space="preserve">přemístění motorové nafty a náklady na soudní spory </w:t>
      </w:r>
      <w:r w:rsidR="00614E2F" w:rsidRPr="003C15DB">
        <w:lastRenderedPageBreak/>
        <w:t>přes</w:t>
      </w:r>
      <w:r w:rsidR="00137860" w:rsidRPr="003C15DB">
        <w:t xml:space="preserve">áhly </w:t>
      </w:r>
      <w:r w:rsidR="00614E2F" w:rsidRPr="003C15DB">
        <w:t>124</w:t>
      </w:r>
      <w:r w:rsidR="008A74B6">
        <w:t xml:space="preserve"> </w:t>
      </w:r>
      <w:r w:rsidR="00614E2F" w:rsidRPr="003C15DB">
        <w:t>mil. Kč</w:t>
      </w:r>
      <w:r w:rsidR="008A74B6">
        <w:t>,</w:t>
      </w:r>
      <w:r w:rsidR="00614E2F" w:rsidRPr="003C15DB">
        <w:t xml:space="preserve"> a</w:t>
      </w:r>
      <w:r w:rsidR="008A74B6">
        <w:t>však</w:t>
      </w:r>
      <w:r w:rsidR="00614E2F" w:rsidRPr="003C15DB">
        <w:t xml:space="preserve"> tato částka </w:t>
      </w:r>
      <w:r w:rsidR="00292067">
        <w:t>n</w:t>
      </w:r>
      <w:r w:rsidR="00F72AF7">
        <w:t>ení</w:t>
      </w:r>
      <w:r w:rsidR="00292067">
        <w:t xml:space="preserve"> </w:t>
      </w:r>
      <w:r w:rsidR="00614E2F" w:rsidRPr="003C15DB">
        <w:t>konečná.</w:t>
      </w:r>
      <w:r w:rsidR="003F4FFE">
        <w:t xml:space="preserve"> </w:t>
      </w:r>
      <w:r w:rsidR="003F4FFE" w:rsidRPr="00F72AF7">
        <w:rPr>
          <w:color w:val="auto"/>
        </w:rPr>
        <w:t>V </w:t>
      </w:r>
      <w:r w:rsidR="003A049A" w:rsidRPr="00F72AF7">
        <w:rPr>
          <w:color w:val="auto"/>
        </w:rPr>
        <w:t>d</w:t>
      </w:r>
      <w:r w:rsidR="003F4FFE" w:rsidRPr="00F72AF7">
        <w:rPr>
          <w:color w:val="auto"/>
        </w:rPr>
        <w:t>obě kontroly NKÚ neukládala SSHR žádné zásoby ropy nebo ropných produktů mimo území ČR.</w:t>
      </w:r>
    </w:p>
    <w:p w14:paraId="5A0D5A92" w14:textId="6FAB26F7" w:rsidR="00B43AE3" w:rsidRPr="003C15DB" w:rsidRDefault="00B43AE3" w:rsidP="00614E2F">
      <w:pPr>
        <w:pStyle w:val="Odstavecseseznamem"/>
        <w:ind w:left="0"/>
        <w:rPr>
          <w:color w:val="auto"/>
          <w:lang w:eastAsia="cs-CZ"/>
        </w:rPr>
      </w:pPr>
    </w:p>
    <w:p w14:paraId="4D58672F" w14:textId="29BDAB26" w:rsidR="00B43AE3" w:rsidRPr="003C15DB" w:rsidRDefault="000212E0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 w:rsidRPr="003C15DB">
        <w:t>V</w:t>
      </w:r>
      <w:r w:rsidR="008A74B6">
        <w:t xml:space="preserve"> </w:t>
      </w:r>
      <w:r w:rsidRPr="003C15DB">
        <w:t xml:space="preserve">době kontroly NKÚ nesplňovala SSHR minimální limity </w:t>
      </w:r>
      <w:r w:rsidR="00AE3A1E" w:rsidRPr="003C15DB">
        <w:t>rezerv</w:t>
      </w:r>
      <w:r w:rsidR="00AE3A1E">
        <w:t xml:space="preserve"> požadované Ministerstvem zemědělství </w:t>
      </w:r>
      <w:r w:rsidRPr="003C15DB">
        <w:t>u pěti z devíti základních potravin.</w:t>
      </w:r>
      <w:r w:rsidR="00F6317D">
        <w:t xml:space="preserve"> </w:t>
      </w:r>
      <w:r w:rsidR="00F6317D" w:rsidRPr="00F6317D">
        <w:t>Důvodem byl zejména nezájem firem o</w:t>
      </w:r>
      <w:r w:rsidR="008A74B6">
        <w:t xml:space="preserve"> </w:t>
      </w:r>
      <w:r w:rsidR="00F6317D" w:rsidRPr="00F6317D">
        <w:t>zapojení do systému pořizování a</w:t>
      </w:r>
      <w:r w:rsidR="008A74B6">
        <w:t xml:space="preserve"> </w:t>
      </w:r>
      <w:r w:rsidR="00F6317D" w:rsidRPr="00F6317D">
        <w:t>ochraňování státních hmotných rezerv.</w:t>
      </w:r>
      <w:r w:rsidRPr="003C15DB">
        <w:t xml:space="preserve"> </w:t>
      </w:r>
      <w:r w:rsidR="00614E2F" w:rsidRPr="003C15DB">
        <w:t xml:space="preserve">SSHR </w:t>
      </w:r>
      <w:r w:rsidR="00456526" w:rsidRPr="003C15DB">
        <w:t xml:space="preserve">již </w:t>
      </w:r>
      <w:r w:rsidR="00614E2F" w:rsidRPr="003C15DB">
        <w:t xml:space="preserve">podnikla </w:t>
      </w:r>
      <w:r w:rsidRPr="003C15DB">
        <w:t xml:space="preserve">některé </w:t>
      </w:r>
      <w:r w:rsidR="00614E2F" w:rsidRPr="003C15DB">
        <w:t>kroky</w:t>
      </w:r>
      <w:r w:rsidR="00456526" w:rsidRPr="003C15DB">
        <w:t xml:space="preserve"> </w:t>
      </w:r>
      <w:r w:rsidR="00614E2F" w:rsidRPr="003C15DB">
        <w:t>k řešení situace</w:t>
      </w:r>
      <w:r w:rsidRPr="003C15DB">
        <w:t xml:space="preserve"> v oblasti rezerv potravin (</w:t>
      </w:r>
      <w:r w:rsidR="00456526" w:rsidRPr="003C15DB">
        <w:t>například</w:t>
      </w:r>
      <w:r w:rsidRPr="003C15DB">
        <w:t xml:space="preserve"> </w:t>
      </w:r>
      <w:r w:rsidR="00AE3A1E">
        <w:t>připravila</w:t>
      </w:r>
      <w:r w:rsidR="006A5ECB" w:rsidRPr="003C15DB">
        <w:t xml:space="preserve"> změnu legislativy</w:t>
      </w:r>
      <w:r w:rsidR="009429D0">
        <w:t xml:space="preserve"> tak</w:t>
      </w:r>
      <w:r w:rsidR="006A5ECB" w:rsidRPr="003C15DB">
        <w:t>, aby mohla potraviny pouze rezervovat u výrobců</w:t>
      </w:r>
      <w:r w:rsidR="00A3022A">
        <w:t>,</w:t>
      </w:r>
      <w:r w:rsidR="006A5ECB" w:rsidRPr="003C15DB">
        <w:t xml:space="preserve"> </w:t>
      </w:r>
      <w:r w:rsidR="00602263">
        <w:br/>
      </w:r>
      <w:r w:rsidR="006A5ECB" w:rsidRPr="003C15DB">
        <w:t>a</w:t>
      </w:r>
      <w:r w:rsidR="00602263">
        <w:t xml:space="preserve"> </w:t>
      </w:r>
      <w:r w:rsidRPr="003C15DB">
        <w:t>dohodla s</w:t>
      </w:r>
      <w:r w:rsidR="008A74B6">
        <w:t xml:space="preserve"> </w:t>
      </w:r>
      <w:r w:rsidRPr="003C15DB">
        <w:t>Ministerstvem zemědělství delší interval pro</w:t>
      </w:r>
      <w:r w:rsidR="008A74B6">
        <w:t xml:space="preserve"> </w:t>
      </w:r>
      <w:r w:rsidRPr="003C15DB">
        <w:t xml:space="preserve">naplnění limitů). </w:t>
      </w:r>
      <w:r w:rsidR="00A878D9" w:rsidRPr="003C15DB">
        <w:t xml:space="preserve">Dle NKÚ </w:t>
      </w:r>
      <w:r w:rsidRPr="003C15DB">
        <w:t xml:space="preserve">neplněním minimálních limitů </w:t>
      </w:r>
      <w:r w:rsidR="00A3022A">
        <w:t xml:space="preserve">rezerv </w:t>
      </w:r>
      <w:r w:rsidRPr="003C15DB">
        <w:t xml:space="preserve">některých potravin </w:t>
      </w:r>
      <w:r w:rsidR="00076077">
        <w:t>může být ohrožena</w:t>
      </w:r>
      <w:r w:rsidRPr="003C15DB">
        <w:t xml:space="preserve"> připravenost ČR na</w:t>
      </w:r>
      <w:r w:rsidR="0085746C">
        <w:t xml:space="preserve"> </w:t>
      </w:r>
      <w:r w:rsidRPr="003C15DB">
        <w:t>krizové stavy vzniklé v</w:t>
      </w:r>
      <w:r w:rsidR="00A44B83" w:rsidRPr="003C15DB">
        <w:t> </w:t>
      </w:r>
      <w:r w:rsidRPr="003C15DB">
        <w:t>oblasti</w:t>
      </w:r>
      <w:r w:rsidR="00A44B83" w:rsidRPr="003C15DB">
        <w:t xml:space="preserve"> zásobování</w:t>
      </w:r>
      <w:r w:rsidRPr="003C15DB">
        <w:t xml:space="preserve"> </w:t>
      </w:r>
      <w:r w:rsidR="00A44B83" w:rsidRPr="003C15DB">
        <w:t xml:space="preserve">obyvatelstva </w:t>
      </w:r>
      <w:r w:rsidRPr="003C15DB">
        <w:t>potravin</w:t>
      </w:r>
      <w:r w:rsidR="00A44B83" w:rsidRPr="003C15DB">
        <w:t>ami</w:t>
      </w:r>
      <w:r w:rsidRPr="003C15DB">
        <w:t>.</w:t>
      </w:r>
    </w:p>
    <w:p w14:paraId="537B4F3D" w14:textId="77777777" w:rsidR="000212E0" w:rsidRPr="00B43AE3" w:rsidRDefault="000212E0" w:rsidP="000212E0">
      <w:pPr>
        <w:pStyle w:val="Odstavecseseznamem"/>
        <w:ind w:left="0"/>
        <w:rPr>
          <w:color w:val="auto"/>
          <w:lang w:eastAsia="cs-CZ"/>
        </w:rPr>
      </w:pPr>
    </w:p>
    <w:p w14:paraId="3C9BB6D8" w14:textId="51B39FDE" w:rsidR="000212E0" w:rsidRPr="00927C5D" w:rsidRDefault="000212E0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>
        <w:t xml:space="preserve">V roce 2020 vláda ČR stanovila v souvislosti s pandemií </w:t>
      </w:r>
      <w:r w:rsidR="00FF03E3">
        <w:t>covidu</w:t>
      </w:r>
      <w:r>
        <w:t>-19 pro SSHR úkol vytvořit státní hmotné rezervy osobních ochranných prostředků, zdravotnických prostředků a</w:t>
      </w:r>
      <w:r w:rsidR="00FF03E3">
        <w:t> </w:t>
      </w:r>
      <w:r>
        <w:t>dezinfekce. NKÚ</w:t>
      </w:r>
      <w:r w:rsidR="00A14513">
        <w:t xml:space="preserve"> </w:t>
      </w:r>
      <w:r w:rsidR="00FF03E3">
        <w:t>na</w:t>
      </w:r>
      <w:r>
        <w:t xml:space="preserve"> vzork</w:t>
      </w:r>
      <w:r w:rsidR="00A14513">
        <w:t>u</w:t>
      </w:r>
      <w:r>
        <w:t xml:space="preserve"> čtyř </w:t>
      </w:r>
      <w:r w:rsidR="00FF03E3">
        <w:t xml:space="preserve">druhů </w:t>
      </w:r>
      <w:r>
        <w:t>osobních ochranných a</w:t>
      </w:r>
      <w:r w:rsidR="008D6018">
        <w:t xml:space="preserve"> </w:t>
      </w:r>
      <w:r>
        <w:t>zdravotnických prostředků ověřil, že je SSHR pořídila v souladu s požadavky vlády</w:t>
      </w:r>
      <w:r w:rsidR="00165319">
        <w:t xml:space="preserve"> ČR</w:t>
      </w:r>
      <w:r>
        <w:t xml:space="preserve"> a </w:t>
      </w:r>
      <w:r w:rsidR="005C6D42">
        <w:t xml:space="preserve">za </w:t>
      </w:r>
      <w:r>
        <w:t xml:space="preserve">ceny nižší, než byly limitní </w:t>
      </w:r>
      <w:r w:rsidRPr="00573E61">
        <w:t xml:space="preserve">ceny </w:t>
      </w:r>
      <w:r w:rsidR="00573E61" w:rsidRPr="00573E61">
        <w:t xml:space="preserve">navržené </w:t>
      </w:r>
      <w:r w:rsidRPr="00573E61">
        <w:t xml:space="preserve">vládou. </w:t>
      </w:r>
    </w:p>
    <w:p w14:paraId="3CC25496" w14:textId="77777777" w:rsidR="00927C5D" w:rsidRPr="00F63BB9" w:rsidRDefault="00927C5D" w:rsidP="00927C5D">
      <w:pPr>
        <w:pStyle w:val="Odstavecseseznamem"/>
        <w:ind w:left="0"/>
        <w:rPr>
          <w:color w:val="auto"/>
          <w:lang w:eastAsia="cs-CZ"/>
        </w:rPr>
      </w:pPr>
    </w:p>
    <w:p w14:paraId="0633C959" w14:textId="6E6AC895" w:rsidR="003F3D04" w:rsidRDefault="005C6D42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>
        <w:rPr>
          <w:color w:val="auto"/>
          <w:lang w:eastAsia="cs-CZ"/>
        </w:rPr>
        <w:t>NKÚ kontrol</w:t>
      </w:r>
      <w:r w:rsidR="00A27DF5">
        <w:rPr>
          <w:color w:val="auto"/>
          <w:lang w:eastAsia="cs-CZ"/>
        </w:rPr>
        <w:t>ou</w:t>
      </w:r>
      <w:r>
        <w:rPr>
          <w:color w:val="auto"/>
          <w:lang w:eastAsia="cs-CZ"/>
        </w:rPr>
        <w:t xml:space="preserve"> 15 veřejných zakázek na pořizování státních hmotných rezerv a</w:t>
      </w:r>
      <w:r w:rsidR="00A27DF5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 xml:space="preserve">majetku nezjistil nehospodárné </w:t>
      </w:r>
      <w:r w:rsidR="00DA4A0B">
        <w:rPr>
          <w:color w:val="auto"/>
          <w:lang w:eastAsia="cs-CZ"/>
        </w:rPr>
        <w:t>ani neúčelné vynakládání peněžních prostředků státu. V</w:t>
      </w:r>
      <w:r w:rsidR="00A27DF5">
        <w:rPr>
          <w:color w:val="auto"/>
          <w:lang w:eastAsia="cs-CZ"/>
        </w:rPr>
        <w:t xml:space="preserve"> </w:t>
      </w:r>
      <w:r w:rsidR="00DA4A0B">
        <w:rPr>
          <w:color w:val="auto"/>
          <w:lang w:eastAsia="cs-CZ"/>
        </w:rPr>
        <w:t xml:space="preserve">jednom případě NKÚ zjistil pochybení ze strany SSHR při uveřejnění smlouvy na profilu zadavatele. Toto pochybení SSHR na základě upozornění NKÚ napravila </w:t>
      </w:r>
      <w:r w:rsidR="007802F2">
        <w:rPr>
          <w:color w:val="auto"/>
          <w:lang w:eastAsia="cs-CZ"/>
        </w:rPr>
        <w:t>již</w:t>
      </w:r>
      <w:r w:rsidR="00DA4A0B">
        <w:rPr>
          <w:color w:val="auto"/>
          <w:lang w:eastAsia="cs-CZ"/>
        </w:rPr>
        <w:t xml:space="preserve"> v</w:t>
      </w:r>
      <w:r w:rsidR="00602263">
        <w:rPr>
          <w:color w:val="auto"/>
          <w:lang w:eastAsia="cs-CZ"/>
        </w:rPr>
        <w:t xml:space="preserve"> </w:t>
      </w:r>
      <w:r w:rsidR="00DA4A0B">
        <w:rPr>
          <w:color w:val="auto"/>
          <w:lang w:eastAsia="cs-CZ"/>
        </w:rPr>
        <w:t xml:space="preserve">průběhu kontroly. </w:t>
      </w:r>
      <w:r w:rsidR="00384249">
        <w:rPr>
          <w:color w:val="auto"/>
          <w:lang w:eastAsia="cs-CZ"/>
        </w:rPr>
        <w:t>Na</w:t>
      </w:r>
      <w:r w:rsidR="008D6018">
        <w:rPr>
          <w:color w:val="auto"/>
          <w:lang w:eastAsia="cs-CZ"/>
        </w:rPr>
        <w:t xml:space="preserve"> </w:t>
      </w:r>
      <w:r w:rsidR="00A27DF5">
        <w:rPr>
          <w:color w:val="auto"/>
          <w:lang w:eastAsia="cs-CZ"/>
        </w:rPr>
        <w:t xml:space="preserve">kontrolním </w:t>
      </w:r>
      <w:r w:rsidR="00DA4A0B">
        <w:rPr>
          <w:color w:val="auto"/>
          <w:lang w:eastAsia="cs-CZ"/>
        </w:rPr>
        <w:t xml:space="preserve">vzorku NKÚ ověřil, že SSHR zajistila, aby byly </w:t>
      </w:r>
      <w:r w:rsidR="00A14513">
        <w:rPr>
          <w:color w:val="auto"/>
          <w:lang w:eastAsia="cs-CZ"/>
        </w:rPr>
        <w:t xml:space="preserve">státní hmotné rezervy </w:t>
      </w:r>
      <w:r w:rsidR="00DD742E">
        <w:rPr>
          <w:color w:val="auto"/>
          <w:lang w:eastAsia="cs-CZ"/>
        </w:rPr>
        <w:t>uskladněné</w:t>
      </w:r>
      <w:r w:rsidR="00A14513">
        <w:rPr>
          <w:color w:val="auto"/>
          <w:lang w:eastAsia="cs-CZ"/>
        </w:rPr>
        <w:t xml:space="preserve"> u</w:t>
      </w:r>
      <w:r w:rsidR="00A27DF5">
        <w:rPr>
          <w:color w:val="auto"/>
          <w:lang w:eastAsia="cs-CZ"/>
        </w:rPr>
        <w:t xml:space="preserve"> </w:t>
      </w:r>
      <w:r w:rsidR="00A14513">
        <w:rPr>
          <w:color w:val="auto"/>
          <w:lang w:eastAsia="cs-CZ"/>
        </w:rPr>
        <w:t>externích subjektů</w:t>
      </w:r>
      <w:r w:rsidR="00DD742E">
        <w:rPr>
          <w:color w:val="auto"/>
          <w:lang w:eastAsia="cs-CZ"/>
        </w:rPr>
        <w:t xml:space="preserve"> </w:t>
      </w:r>
      <w:r w:rsidR="00DA4A0B">
        <w:rPr>
          <w:color w:val="auto"/>
          <w:lang w:eastAsia="cs-CZ"/>
        </w:rPr>
        <w:t>připraveny na realizac</w:t>
      </w:r>
      <w:r w:rsidR="00750230">
        <w:rPr>
          <w:color w:val="auto"/>
          <w:lang w:eastAsia="cs-CZ"/>
        </w:rPr>
        <w:t>i</w:t>
      </w:r>
      <w:r w:rsidR="00DA4A0B">
        <w:rPr>
          <w:color w:val="auto"/>
          <w:lang w:eastAsia="cs-CZ"/>
        </w:rPr>
        <w:t xml:space="preserve"> opatření v případě krizových stavů.</w:t>
      </w:r>
    </w:p>
    <w:p w14:paraId="0BC0206B" w14:textId="77777777" w:rsidR="000212E0" w:rsidRDefault="000212E0" w:rsidP="000212E0">
      <w:pPr>
        <w:pStyle w:val="Odstavecseseznamem"/>
        <w:ind w:left="0"/>
        <w:rPr>
          <w:color w:val="auto"/>
          <w:lang w:eastAsia="cs-CZ"/>
        </w:rPr>
      </w:pPr>
    </w:p>
    <w:p w14:paraId="64A86E7A" w14:textId="1B6DE773" w:rsidR="00455965" w:rsidRPr="006D1D72" w:rsidRDefault="00DA4A0B" w:rsidP="00087C57">
      <w:pPr>
        <w:pStyle w:val="Odstavecseseznamem"/>
        <w:numPr>
          <w:ilvl w:val="0"/>
          <w:numId w:val="17"/>
        </w:numPr>
        <w:ind w:left="284" w:hanging="284"/>
        <w:rPr>
          <w:color w:val="auto"/>
          <w:lang w:eastAsia="cs-CZ"/>
        </w:rPr>
      </w:pPr>
      <w:r>
        <w:rPr>
          <w:color w:val="auto"/>
          <w:lang w:eastAsia="cs-CZ"/>
        </w:rPr>
        <w:t xml:space="preserve">NKÚ </w:t>
      </w:r>
      <w:r w:rsidR="003B0D6E">
        <w:rPr>
          <w:color w:val="auto"/>
          <w:lang w:eastAsia="cs-CZ"/>
        </w:rPr>
        <w:t>na</w:t>
      </w:r>
      <w:r>
        <w:rPr>
          <w:color w:val="auto"/>
          <w:lang w:eastAsia="cs-CZ"/>
        </w:rPr>
        <w:t xml:space="preserve"> vzorku pronajímaného a prodaného majetku ověřil, že SSHR postupovala transparentně, hospodárně </w:t>
      </w:r>
      <w:r w:rsidR="00137860">
        <w:rPr>
          <w:color w:val="auto"/>
          <w:lang w:eastAsia="cs-CZ"/>
        </w:rPr>
        <w:t xml:space="preserve">a </w:t>
      </w:r>
      <w:r>
        <w:rPr>
          <w:color w:val="auto"/>
          <w:lang w:eastAsia="cs-CZ"/>
        </w:rPr>
        <w:t>v souladu s právními předpisy. Formální pochybení ze strany SSHR zjistil NKÚ pouze u opožděného vydávání faktur za nájemné v</w:t>
      </w:r>
      <w:r w:rsidR="002D1E8E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 xml:space="preserve">roce 2016 a 2017. </w:t>
      </w:r>
      <w:r w:rsidR="00602263">
        <w:rPr>
          <w:color w:val="auto"/>
          <w:lang w:eastAsia="cs-CZ"/>
        </w:rPr>
        <w:br/>
      </w:r>
      <w:r>
        <w:rPr>
          <w:color w:val="auto"/>
          <w:lang w:eastAsia="cs-CZ"/>
        </w:rPr>
        <w:t>U</w:t>
      </w:r>
      <w:r w:rsidR="00602263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 xml:space="preserve">vzorku majetku </w:t>
      </w:r>
      <w:r w:rsidR="003B0D6E">
        <w:rPr>
          <w:color w:val="auto"/>
          <w:lang w:eastAsia="cs-CZ"/>
        </w:rPr>
        <w:t xml:space="preserve">pořízeného </w:t>
      </w:r>
      <w:r>
        <w:rPr>
          <w:color w:val="auto"/>
          <w:lang w:eastAsia="cs-CZ"/>
        </w:rPr>
        <w:t>v</w:t>
      </w:r>
      <w:r w:rsidR="002D1E8E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>rámci programového financování NKÚ ověřil, že SSHR majetek pořídila v</w:t>
      </w:r>
      <w:r w:rsidR="002D1E8E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>souladu s</w:t>
      </w:r>
      <w:r w:rsidR="002D1E8E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>cíli programu a pořízený majetek využívala k</w:t>
      </w:r>
      <w:r w:rsidR="002D1E8E">
        <w:rPr>
          <w:color w:val="auto"/>
          <w:lang w:eastAsia="cs-CZ"/>
        </w:rPr>
        <w:t xml:space="preserve"> </w:t>
      </w:r>
      <w:r>
        <w:rPr>
          <w:color w:val="auto"/>
          <w:lang w:eastAsia="cs-CZ"/>
        </w:rPr>
        <w:t>plnění svých úkolů</w:t>
      </w:r>
      <w:r w:rsidR="007F2BB0">
        <w:rPr>
          <w:color w:val="auto"/>
          <w:lang w:eastAsia="cs-CZ"/>
        </w:rPr>
        <w:t>.</w:t>
      </w:r>
    </w:p>
    <w:p w14:paraId="0C29DD4C" w14:textId="77777777" w:rsidR="00AB1976" w:rsidRDefault="00AB1976" w:rsidP="00455965">
      <w:pPr>
        <w:pStyle w:val="Odstavecseseznamem"/>
        <w:ind w:left="0"/>
        <w:rPr>
          <w:color w:val="auto"/>
          <w:lang w:eastAsia="cs-CZ"/>
        </w:rPr>
      </w:pPr>
    </w:p>
    <w:p w14:paraId="3D1B6269" w14:textId="77777777" w:rsidR="0046475E" w:rsidRPr="00930C5E" w:rsidRDefault="0046475E" w:rsidP="00455965">
      <w:pPr>
        <w:pStyle w:val="Odstavecseseznamem"/>
        <w:ind w:left="0"/>
        <w:rPr>
          <w:color w:val="auto"/>
          <w:lang w:eastAsia="cs-CZ"/>
        </w:rPr>
      </w:pPr>
    </w:p>
    <w:p w14:paraId="5E9B19A7" w14:textId="77777777" w:rsidR="00AB3724" w:rsidRDefault="00AB3724" w:rsidP="003639C6">
      <w:pPr>
        <w:pStyle w:val="Nadpis1"/>
        <w:rPr>
          <w:sz w:val="28"/>
          <w:szCs w:val="28"/>
        </w:rPr>
      </w:pPr>
      <w:r w:rsidRPr="00D86DAB">
        <w:rPr>
          <w:sz w:val="28"/>
          <w:szCs w:val="28"/>
        </w:rPr>
        <w:t>II. Informace o kontrolované oblasti</w:t>
      </w:r>
    </w:p>
    <w:p w14:paraId="7F340EC1" w14:textId="77777777" w:rsidR="00FC3BF4" w:rsidRDefault="00FC3BF4" w:rsidP="00FC3BF4"/>
    <w:p w14:paraId="0B270252" w14:textId="60899744" w:rsidR="00FC3BF4" w:rsidRDefault="00451695" w:rsidP="00FC3BF4">
      <w:pPr>
        <w:rPr>
          <w:rFonts w:asciiTheme="minorHAnsi" w:hAnsiTheme="minorHAnsi" w:cstheme="minorHAnsi"/>
          <w:lang w:eastAsia="cs-CZ"/>
        </w:rPr>
      </w:pPr>
      <w:r w:rsidRPr="00F81E18">
        <w:rPr>
          <w:rFonts w:asciiTheme="minorHAnsi" w:hAnsiTheme="minorHAnsi" w:cstheme="minorHAnsi"/>
          <w:b/>
          <w:lang w:eastAsia="cs-CZ"/>
        </w:rPr>
        <w:t>Správa státních hmotných rezerv</w:t>
      </w:r>
      <w:r w:rsidRPr="00F81E18">
        <w:rPr>
          <w:rFonts w:asciiTheme="minorHAnsi" w:hAnsiTheme="minorHAnsi" w:cstheme="minorHAnsi"/>
          <w:lang w:eastAsia="cs-CZ"/>
        </w:rPr>
        <w:t xml:space="preserve"> byla zřízena zákonem </w:t>
      </w:r>
      <w:r>
        <w:rPr>
          <w:rFonts w:cstheme="minorHAnsi"/>
          <w:lang w:eastAsia="cs-CZ"/>
        </w:rPr>
        <w:t xml:space="preserve">č. 2/1969 Sb., o zřízení ministerstev a jiných </w:t>
      </w:r>
      <w:r w:rsidR="004C1E85">
        <w:rPr>
          <w:rFonts w:cstheme="minorHAnsi"/>
          <w:lang w:eastAsia="cs-CZ"/>
        </w:rPr>
        <w:t xml:space="preserve">ústředních </w:t>
      </w:r>
      <w:r>
        <w:rPr>
          <w:rFonts w:cstheme="minorHAnsi"/>
          <w:lang w:eastAsia="cs-CZ"/>
        </w:rPr>
        <w:t>orgánů státní správy</w:t>
      </w:r>
      <w:r w:rsidR="006C1E17">
        <w:rPr>
          <w:rFonts w:cstheme="minorHAnsi"/>
          <w:lang w:eastAsia="cs-CZ"/>
        </w:rPr>
        <w:t>,</w:t>
      </w:r>
      <w:r>
        <w:rPr>
          <w:rFonts w:cstheme="minorHAnsi"/>
          <w:lang w:eastAsia="cs-CZ"/>
        </w:rPr>
        <w:t xml:space="preserve"> a její působnost </w:t>
      </w:r>
      <w:r w:rsidR="007855F1">
        <w:rPr>
          <w:rFonts w:cstheme="minorHAnsi"/>
          <w:lang w:eastAsia="cs-CZ"/>
        </w:rPr>
        <w:t xml:space="preserve">je </w:t>
      </w:r>
      <w:r>
        <w:rPr>
          <w:rFonts w:cstheme="minorHAnsi"/>
          <w:lang w:eastAsia="cs-CZ"/>
        </w:rPr>
        <w:t>uprav</w:t>
      </w:r>
      <w:r w:rsidR="007855F1">
        <w:rPr>
          <w:rFonts w:cstheme="minorHAnsi"/>
          <w:lang w:eastAsia="cs-CZ"/>
        </w:rPr>
        <w:t>ena</w:t>
      </w:r>
      <w:r>
        <w:rPr>
          <w:rFonts w:cstheme="minorHAnsi"/>
          <w:lang w:eastAsia="cs-CZ"/>
        </w:rPr>
        <w:t xml:space="preserve"> zákon</w:t>
      </w:r>
      <w:r w:rsidR="007855F1">
        <w:rPr>
          <w:rFonts w:cstheme="minorHAnsi"/>
          <w:lang w:eastAsia="cs-CZ"/>
        </w:rPr>
        <w:t>em</w:t>
      </w:r>
      <w:r>
        <w:rPr>
          <w:rFonts w:cstheme="minorHAnsi"/>
          <w:lang w:eastAsia="cs-CZ"/>
        </w:rPr>
        <w:t xml:space="preserve"> </w:t>
      </w:r>
      <w:r w:rsidRPr="00F81E18">
        <w:rPr>
          <w:rFonts w:asciiTheme="minorHAnsi" w:hAnsiTheme="minorHAnsi" w:cstheme="minorHAnsi"/>
          <w:lang w:eastAsia="cs-CZ"/>
        </w:rPr>
        <w:t>č.</w:t>
      </w:r>
      <w:r w:rsidR="006C1E17">
        <w:rPr>
          <w:rFonts w:asciiTheme="minorHAnsi" w:hAnsiTheme="minorHAnsi" w:cstheme="minorHAnsi"/>
          <w:lang w:eastAsia="cs-CZ"/>
        </w:rPr>
        <w:t> </w:t>
      </w:r>
      <w:r w:rsidRPr="00F81E18">
        <w:rPr>
          <w:rFonts w:asciiTheme="minorHAnsi" w:hAnsiTheme="minorHAnsi" w:cstheme="minorHAnsi"/>
          <w:lang w:eastAsia="cs-CZ"/>
        </w:rPr>
        <w:t>97/1993</w:t>
      </w:r>
      <w:r w:rsidR="006C1E17">
        <w:rPr>
          <w:rFonts w:asciiTheme="minorHAnsi" w:hAnsiTheme="minorHAnsi" w:cstheme="minorHAnsi"/>
          <w:lang w:eastAsia="cs-CZ"/>
        </w:rPr>
        <w:t> </w:t>
      </w:r>
      <w:r w:rsidRPr="00F81E18">
        <w:rPr>
          <w:rFonts w:asciiTheme="minorHAnsi" w:hAnsiTheme="minorHAnsi" w:cstheme="minorHAnsi"/>
          <w:lang w:eastAsia="cs-CZ"/>
        </w:rPr>
        <w:t>Sb</w:t>
      </w:r>
      <w:r w:rsidR="004C1E85">
        <w:rPr>
          <w:rFonts w:asciiTheme="minorHAnsi" w:hAnsiTheme="minorHAnsi" w:cstheme="minorHAnsi"/>
          <w:lang w:eastAsia="cs-CZ"/>
        </w:rPr>
        <w:t>.</w:t>
      </w:r>
      <w:r w:rsidRPr="00F81E18">
        <w:rPr>
          <w:rFonts w:asciiTheme="minorHAnsi" w:hAnsiTheme="minorHAnsi" w:cstheme="minorHAnsi"/>
          <w:lang w:eastAsia="cs-CZ"/>
        </w:rPr>
        <w:t xml:space="preserve"> </w:t>
      </w:r>
      <w:r w:rsidR="00FC3BF4">
        <w:rPr>
          <w:rFonts w:asciiTheme="minorHAnsi" w:hAnsiTheme="minorHAnsi" w:cstheme="minorHAnsi"/>
          <w:lang w:eastAsia="cs-CZ"/>
        </w:rPr>
        <w:t>Činnost</w:t>
      </w:r>
      <w:r w:rsidR="00FC3BF4" w:rsidRPr="007C1176">
        <w:rPr>
          <w:rFonts w:asciiTheme="minorHAnsi" w:hAnsiTheme="minorHAnsi" w:cstheme="minorHAnsi"/>
          <w:lang w:eastAsia="cs-CZ"/>
        </w:rPr>
        <w:t xml:space="preserve"> </w:t>
      </w:r>
      <w:r w:rsidR="00FC3BF4">
        <w:rPr>
          <w:rFonts w:asciiTheme="minorHAnsi" w:hAnsiTheme="minorHAnsi" w:cstheme="minorHAnsi"/>
          <w:lang w:eastAsia="cs-CZ"/>
        </w:rPr>
        <w:t>SSHR</w:t>
      </w:r>
      <w:r w:rsidR="00FC3BF4" w:rsidRPr="007C1176">
        <w:rPr>
          <w:rFonts w:asciiTheme="minorHAnsi" w:hAnsiTheme="minorHAnsi" w:cstheme="minorHAnsi"/>
          <w:lang w:eastAsia="cs-CZ"/>
        </w:rPr>
        <w:t xml:space="preserve"> upravuje </w:t>
      </w:r>
      <w:r w:rsidR="006C1E17">
        <w:rPr>
          <w:rFonts w:asciiTheme="minorHAnsi" w:hAnsiTheme="minorHAnsi" w:cstheme="minorHAnsi"/>
          <w:lang w:eastAsia="cs-CZ"/>
        </w:rPr>
        <w:t>její s</w:t>
      </w:r>
      <w:r w:rsidR="00FC3BF4" w:rsidRPr="007C1176">
        <w:rPr>
          <w:rFonts w:asciiTheme="minorHAnsi" w:hAnsiTheme="minorHAnsi" w:cstheme="minorHAnsi"/>
          <w:lang w:eastAsia="cs-CZ"/>
        </w:rPr>
        <w:t>tatut, k</w:t>
      </w:r>
      <w:r w:rsidR="00FC3BF4">
        <w:rPr>
          <w:rFonts w:asciiTheme="minorHAnsi" w:hAnsiTheme="minorHAnsi" w:cstheme="minorHAnsi"/>
          <w:lang w:eastAsia="cs-CZ"/>
        </w:rPr>
        <w:t xml:space="preserve">terý schvaluje vláda ČR. SSHR je </w:t>
      </w:r>
      <w:r w:rsidR="00FC3BF4" w:rsidRPr="007C1176">
        <w:rPr>
          <w:rFonts w:asciiTheme="minorHAnsi" w:hAnsiTheme="minorHAnsi" w:cstheme="minorHAnsi"/>
          <w:lang w:eastAsia="cs-CZ"/>
        </w:rPr>
        <w:t>organizační složkou státu a</w:t>
      </w:r>
      <w:r w:rsidR="006C1E17">
        <w:rPr>
          <w:rFonts w:asciiTheme="minorHAnsi" w:hAnsiTheme="minorHAnsi" w:cstheme="minorHAnsi"/>
          <w:lang w:eastAsia="cs-CZ"/>
        </w:rPr>
        <w:t xml:space="preserve"> </w:t>
      </w:r>
      <w:r w:rsidR="00FC3BF4" w:rsidRPr="007C1176">
        <w:rPr>
          <w:rFonts w:asciiTheme="minorHAnsi" w:hAnsiTheme="minorHAnsi" w:cstheme="minorHAnsi"/>
          <w:lang w:eastAsia="cs-CZ"/>
        </w:rPr>
        <w:t>účetní jednotkou</w:t>
      </w:r>
      <w:r w:rsidR="00371419">
        <w:rPr>
          <w:rFonts w:asciiTheme="minorHAnsi" w:hAnsiTheme="minorHAnsi" w:cstheme="minorHAnsi"/>
          <w:lang w:eastAsia="cs-CZ"/>
        </w:rPr>
        <w:t>.</w:t>
      </w:r>
      <w:r w:rsidR="00FC3BF4">
        <w:rPr>
          <w:rFonts w:asciiTheme="minorHAnsi" w:hAnsiTheme="minorHAnsi" w:cstheme="minorHAnsi"/>
        </w:rPr>
        <w:t xml:space="preserve"> V </w:t>
      </w:r>
      <w:r w:rsidR="00FC3BF4" w:rsidRPr="00EA6976">
        <w:rPr>
          <w:rFonts w:asciiTheme="minorHAnsi" w:hAnsiTheme="minorHAnsi" w:cstheme="minorHAnsi"/>
        </w:rPr>
        <w:t xml:space="preserve">čele SSHR </w:t>
      </w:r>
      <w:r w:rsidR="00FC3BF4">
        <w:rPr>
          <w:rFonts w:asciiTheme="minorHAnsi" w:hAnsiTheme="minorHAnsi" w:cstheme="minorHAnsi"/>
        </w:rPr>
        <w:t>stojí</w:t>
      </w:r>
      <w:r w:rsidR="00FC3BF4" w:rsidRPr="00EA6976">
        <w:rPr>
          <w:rFonts w:asciiTheme="minorHAnsi" w:hAnsiTheme="minorHAnsi" w:cstheme="minorHAnsi"/>
        </w:rPr>
        <w:t xml:space="preserve"> předseda, kterého jmenuje a</w:t>
      </w:r>
      <w:r>
        <w:rPr>
          <w:rFonts w:asciiTheme="minorHAnsi" w:hAnsiTheme="minorHAnsi" w:cstheme="minorHAnsi"/>
        </w:rPr>
        <w:t> </w:t>
      </w:r>
      <w:r w:rsidR="00FC3BF4" w:rsidRPr="00EA6976">
        <w:rPr>
          <w:rFonts w:asciiTheme="minorHAnsi" w:hAnsiTheme="minorHAnsi" w:cstheme="minorHAnsi"/>
        </w:rPr>
        <w:t>odvolává vláda</w:t>
      </w:r>
      <w:r w:rsidR="00FC3BF4">
        <w:rPr>
          <w:rFonts w:asciiTheme="minorHAnsi" w:hAnsiTheme="minorHAnsi" w:cstheme="minorHAnsi"/>
        </w:rPr>
        <w:t xml:space="preserve"> ČR</w:t>
      </w:r>
      <w:r w:rsidR="00FC3BF4" w:rsidRPr="00EA6976">
        <w:rPr>
          <w:rFonts w:asciiTheme="minorHAnsi" w:hAnsiTheme="minorHAnsi" w:cstheme="minorHAnsi"/>
        </w:rPr>
        <w:t>.</w:t>
      </w:r>
    </w:p>
    <w:p w14:paraId="7290AF2B" w14:textId="77777777" w:rsidR="00FC3BF4" w:rsidRDefault="00FC3BF4" w:rsidP="00FC3BF4">
      <w:pPr>
        <w:rPr>
          <w:rFonts w:asciiTheme="minorHAnsi" w:hAnsiTheme="minorHAnsi" w:cstheme="minorHAnsi"/>
        </w:rPr>
      </w:pPr>
    </w:p>
    <w:p w14:paraId="339D0B58" w14:textId="71DB1D98" w:rsidR="00FC3BF4" w:rsidRPr="00FC3BF4" w:rsidRDefault="00371419" w:rsidP="00FC3BF4">
      <w:pPr>
        <w:rPr>
          <w:b/>
        </w:rPr>
      </w:pPr>
      <w:r w:rsidRPr="007C1176">
        <w:rPr>
          <w:rFonts w:asciiTheme="minorHAnsi" w:hAnsiTheme="minorHAnsi" w:cstheme="minorHAnsi"/>
          <w:b/>
          <w:lang w:eastAsia="cs-CZ"/>
        </w:rPr>
        <w:t>Správa státních hmotných rezerv</w:t>
      </w:r>
      <w:r w:rsidR="00FC3BF4">
        <w:rPr>
          <w:rFonts w:asciiTheme="minorHAnsi" w:hAnsiTheme="minorHAnsi" w:cstheme="minorHAnsi"/>
          <w:b/>
        </w:rPr>
        <w:t xml:space="preserve"> </w:t>
      </w:r>
      <w:r w:rsidR="00FC3BF4">
        <w:rPr>
          <w:rFonts w:asciiTheme="minorHAnsi" w:hAnsiTheme="minorHAnsi" w:cstheme="minorHAnsi"/>
        </w:rPr>
        <w:t>je ústředním orgánem státní správy v</w:t>
      </w:r>
      <w:r w:rsidR="00602263">
        <w:rPr>
          <w:rFonts w:asciiTheme="minorHAnsi" w:hAnsiTheme="minorHAnsi" w:cstheme="minorHAnsi"/>
        </w:rPr>
        <w:t xml:space="preserve"> </w:t>
      </w:r>
      <w:r w:rsidR="00FC3BF4">
        <w:rPr>
          <w:rFonts w:asciiTheme="minorHAnsi" w:hAnsiTheme="minorHAnsi" w:cstheme="minorHAnsi"/>
        </w:rPr>
        <w:t>oblastech h</w:t>
      </w:r>
      <w:r w:rsidR="00FC3BF4" w:rsidRPr="007D333D">
        <w:rPr>
          <w:rFonts w:asciiTheme="minorHAnsi" w:hAnsiTheme="minorHAnsi" w:cstheme="minorHAnsi"/>
        </w:rPr>
        <w:t>ospodářských opatření pro krizové stavy a státních hmotných rezerv.</w:t>
      </w:r>
      <w:r w:rsidR="00FC3BF4">
        <w:rPr>
          <w:rFonts w:asciiTheme="minorHAnsi" w:hAnsiTheme="minorHAnsi" w:cstheme="minorHAnsi"/>
        </w:rPr>
        <w:t xml:space="preserve"> SSHR zejména </w:t>
      </w:r>
      <w:r w:rsidR="00FC3BF4" w:rsidRPr="00371419">
        <w:rPr>
          <w:rFonts w:asciiTheme="minorHAnsi" w:hAnsiTheme="minorHAnsi" w:cstheme="minorHAnsi"/>
        </w:rPr>
        <w:t>zabezpečuje financování hospodářských opatření pro krizové stavy a financování, obměnu</w:t>
      </w:r>
      <w:r w:rsidR="00FC3BF4" w:rsidRPr="00371419">
        <w:rPr>
          <w:rStyle w:val="Znakapoznpodarou"/>
          <w:rFonts w:asciiTheme="minorHAnsi" w:hAnsiTheme="minorHAnsi" w:cstheme="minorHAnsi"/>
        </w:rPr>
        <w:footnoteReference w:id="5"/>
      </w:r>
      <w:r w:rsidR="00FC3BF4" w:rsidRPr="00371419">
        <w:rPr>
          <w:rFonts w:asciiTheme="minorHAnsi" w:hAnsiTheme="minorHAnsi" w:cstheme="minorHAnsi"/>
        </w:rPr>
        <w:t xml:space="preserve">, </w:t>
      </w:r>
      <w:r w:rsidR="00FC3BF4" w:rsidRPr="00371419">
        <w:rPr>
          <w:rFonts w:asciiTheme="minorHAnsi" w:hAnsiTheme="minorHAnsi" w:cstheme="minorHAnsi"/>
        </w:rPr>
        <w:lastRenderedPageBreak/>
        <w:t>záměnu</w:t>
      </w:r>
      <w:r w:rsidR="00FC3BF4" w:rsidRPr="00371419">
        <w:rPr>
          <w:rStyle w:val="Znakapoznpodarou"/>
          <w:rFonts w:asciiTheme="minorHAnsi" w:hAnsiTheme="minorHAnsi" w:cstheme="minorHAnsi"/>
        </w:rPr>
        <w:footnoteReference w:id="6"/>
      </w:r>
      <w:r w:rsidR="00FC3BF4" w:rsidRPr="00371419">
        <w:rPr>
          <w:rFonts w:asciiTheme="minorHAnsi" w:hAnsiTheme="minorHAnsi" w:cstheme="minorHAnsi"/>
        </w:rPr>
        <w:t>, půjčku, uvolnění, nájem, prodej, skladování, ochraňování a kontrolu státních hmotných rezerv a podle požadavků krizových plánů i jejich pořizování</w:t>
      </w:r>
      <w:r w:rsidR="00FC3BF4" w:rsidRPr="0043512D">
        <w:rPr>
          <w:rFonts w:asciiTheme="minorHAnsi" w:hAnsiTheme="minorHAnsi" w:cstheme="minorHAnsi"/>
        </w:rPr>
        <w:t>.</w:t>
      </w:r>
    </w:p>
    <w:p w14:paraId="2AC8F939" w14:textId="77777777" w:rsidR="00B43AE3" w:rsidRDefault="00B43AE3" w:rsidP="003639C6">
      <w:pPr>
        <w:rPr>
          <w:b/>
        </w:rPr>
      </w:pPr>
    </w:p>
    <w:p w14:paraId="7B0DD9C4" w14:textId="40DE2F99" w:rsidR="00FC3BF4" w:rsidRDefault="00FC3BF4" w:rsidP="00FC3BF4">
      <w:pPr>
        <w:rPr>
          <w:lang w:eastAsia="cs-CZ"/>
        </w:rPr>
      </w:pPr>
      <w:r w:rsidRPr="00BC251D">
        <w:rPr>
          <w:b/>
          <w:lang w:eastAsia="cs-CZ"/>
        </w:rPr>
        <w:t>Státní hmotné rezervy</w:t>
      </w:r>
      <w:r w:rsidRPr="00EF499E">
        <w:rPr>
          <w:lang w:eastAsia="cs-CZ"/>
        </w:rPr>
        <w:t xml:space="preserve"> </w:t>
      </w:r>
      <w:r w:rsidRPr="00A878D9">
        <w:rPr>
          <w:b/>
          <w:lang w:eastAsia="cs-CZ"/>
        </w:rPr>
        <w:t xml:space="preserve">tvoří </w:t>
      </w:r>
      <w:r w:rsidRPr="00EF499E">
        <w:rPr>
          <w:lang w:eastAsia="cs-CZ"/>
        </w:rPr>
        <w:t>materiální zdroje nezbytn</w:t>
      </w:r>
      <w:r>
        <w:rPr>
          <w:lang w:eastAsia="cs-CZ"/>
        </w:rPr>
        <w:t>é pro řešení krizových situací, za</w:t>
      </w:r>
      <w:r w:rsidR="008D6018">
        <w:rPr>
          <w:lang w:eastAsia="cs-CZ"/>
        </w:rPr>
        <w:t xml:space="preserve"> </w:t>
      </w:r>
      <w:r w:rsidRPr="00EF499E">
        <w:rPr>
          <w:lang w:eastAsia="cs-CZ"/>
        </w:rPr>
        <w:t xml:space="preserve">zajištění </w:t>
      </w:r>
      <w:r w:rsidR="006C1E17">
        <w:rPr>
          <w:lang w:eastAsia="cs-CZ"/>
        </w:rPr>
        <w:t xml:space="preserve">těchto zdrojů </w:t>
      </w:r>
      <w:r w:rsidRPr="00EF499E">
        <w:rPr>
          <w:lang w:eastAsia="cs-CZ"/>
        </w:rPr>
        <w:t xml:space="preserve">odpovídá stát. Státní hmotné rezervy </w:t>
      </w:r>
      <w:r w:rsidRPr="00A878D9">
        <w:rPr>
          <w:b/>
          <w:lang w:eastAsia="cs-CZ"/>
        </w:rPr>
        <w:t>vznikají</w:t>
      </w:r>
      <w:r w:rsidRPr="00EF499E">
        <w:rPr>
          <w:lang w:eastAsia="cs-CZ"/>
        </w:rPr>
        <w:t xml:space="preserve"> </w:t>
      </w:r>
      <w:r w:rsidRPr="00BC251D">
        <w:rPr>
          <w:b/>
          <w:lang w:eastAsia="cs-CZ"/>
        </w:rPr>
        <w:t>na základě požadavků krizových plánů ústředních správních úřadů</w:t>
      </w:r>
      <w:r w:rsidRPr="0043512D">
        <w:rPr>
          <w:b/>
          <w:lang w:eastAsia="cs-CZ"/>
        </w:rPr>
        <w:t>.</w:t>
      </w:r>
      <w:r>
        <w:rPr>
          <w:lang w:eastAsia="cs-CZ"/>
        </w:rPr>
        <w:t xml:space="preserve"> </w:t>
      </w:r>
      <w:r w:rsidRPr="00BC251D">
        <w:rPr>
          <w:lang w:eastAsia="cs-CZ"/>
        </w:rPr>
        <w:t>Státní hmotn</w:t>
      </w:r>
      <w:r>
        <w:rPr>
          <w:lang w:eastAsia="cs-CZ"/>
        </w:rPr>
        <w:t>é rezervy jsou majetkem státu a </w:t>
      </w:r>
      <w:r w:rsidRPr="00BC251D">
        <w:rPr>
          <w:lang w:eastAsia="cs-CZ"/>
        </w:rPr>
        <w:t xml:space="preserve">SSHR </w:t>
      </w:r>
      <w:r>
        <w:rPr>
          <w:lang w:eastAsia="cs-CZ"/>
        </w:rPr>
        <w:t>k nim má příslušnost hospodař</w:t>
      </w:r>
      <w:r w:rsidR="00371419">
        <w:rPr>
          <w:lang w:eastAsia="cs-CZ"/>
        </w:rPr>
        <w:t>it</w:t>
      </w:r>
      <w:r>
        <w:rPr>
          <w:lang w:eastAsia="cs-CZ"/>
        </w:rPr>
        <w:t>.</w:t>
      </w:r>
    </w:p>
    <w:p w14:paraId="5D684124" w14:textId="77777777" w:rsidR="00FC3BF4" w:rsidRDefault="00FC3BF4" w:rsidP="00FC3BF4">
      <w:pPr>
        <w:rPr>
          <w:lang w:eastAsia="cs-CZ"/>
        </w:rPr>
      </w:pPr>
    </w:p>
    <w:p w14:paraId="0397F58C" w14:textId="684CE4D0" w:rsidR="000411BB" w:rsidRDefault="00FC3BF4" w:rsidP="00FC3B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 </w:t>
      </w:r>
      <w:r w:rsidRPr="00A85D30">
        <w:rPr>
          <w:rFonts w:asciiTheme="minorHAnsi" w:hAnsiTheme="minorHAnsi" w:cstheme="minorHAnsi"/>
          <w:b/>
        </w:rPr>
        <w:t>hlediska účelu se</w:t>
      </w:r>
      <w:r>
        <w:rPr>
          <w:rFonts w:asciiTheme="minorHAnsi" w:hAnsiTheme="minorHAnsi" w:cstheme="minorHAnsi"/>
          <w:b/>
        </w:rPr>
        <w:t xml:space="preserve"> státní hmotné rezervy člení </w:t>
      </w:r>
      <w:r w:rsidRPr="00261B1D">
        <w:rPr>
          <w:rFonts w:asciiTheme="minorHAnsi" w:hAnsiTheme="minorHAnsi" w:cstheme="minorHAnsi"/>
        </w:rPr>
        <w:t>na hmotné rezervy (jejichž součástí jsou nouzové zásoby ropy a ropných produktů, základní potravinářské komodity a základní suroviny průmyslového charakteru), mobilizační rezervy, p</w:t>
      </w:r>
      <w:r>
        <w:rPr>
          <w:rFonts w:asciiTheme="minorHAnsi" w:hAnsiTheme="minorHAnsi" w:cstheme="minorHAnsi"/>
        </w:rPr>
        <w:t>ohotovostní zásoby a zásoby pro</w:t>
      </w:r>
      <w:r w:rsidR="002D1E8E">
        <w:rPr>
          <w:rFonts w:asciiTheme="minorHAnsi" w:hAnsiTheme="minorHAnsi" w:cstheme="minorHAnsi"/>
        </w:rPr>
        <w:t xml:space="preserve"> </w:t>
      </w:r>
      <w:r w:rsidRPr="00261B1D">
        <w:rPr>
          <w:rFonts w:asciiTheme="minorHAnsi" w:hAnsiTheme="minorHAnsi" w:cstheme="minorHAnsi"/>
        </w:rPr>
        <w:t>humanitární pomoc.</w:t>
      </w:r>
    </w:p>
    <w:p w14:paraId="77B3ABCF" w14:textId="77777777" w:rsidR="0084672E" w:rsidRDefault="0084672E" w:rsidP="00FC3BF4">
      <w:pPr>
        <w:rPr>
          <w:rFonts w:asciiTheme="minorHAnsi" w:hAnsiTheme="minorHAnsi" w:cstheme="minorHAnsi"/>
        </w:rPr>
      </w:pPr>
    </w:p>
    <w:p w14:paraId="42D32DFE" w14:textId="68F2DB7F" w:rsidR="00FC3BF4" w:rsidRDefault="00FC3BF4" w:rsidP="00FC3BF4">
      <w:pPr>
        <w:rPr>
          <w:rFonts w:asciiTheme="minorHAnsi" w:hAnsiTheme="minorHAnsi" w:cstheme="minorHAnsi"/>
        </w:rPr>
      </w:pPr>
      <w:r w:rsidRPr="00B56C58">
        <w:rPr>
          <w:rFonts w:asciiTheme="minorHAnsi" w:hAnsiTheme="minorHAnsi" w:cstheme="minorHAnsi"/>
          <w:b/>
        </w:rPr>
        <w:t>Skladování státních hmotných rezerv</w:t>
      </w:r>
      <w:r w:rsidRPr="00B56C58">
        <w:rPr>
          <w:rFonts w:asciiTheme="minorHAnsi" w:hAnsiTheme="minorHAnsi" w:cstheme="minorHAnsi"/>
        </w:rPr>
        <w:t xml:space="preserve"> zajišťuje SSHR ve vlastních skladovacích kapacitách</w:t>
      </w:r>
      <w:r>
        <w:rPr>
          <w:rFonts w:asciiTheme="minorHAnsi" w:hAnsiTheme="minorHAnsi" w:cstheme="minorHAnsi"/>
        </w:rPr>
        <w:t xml:space="preserve"> nebo ve skladech </w:t>
      </w:r>
      <w:r w:rsidRPr="00B56C58">
        <w:rPr>
          <w:rFonts w:asciiTheme="minorHAnsi" w:hAnsiTheme="minorHAnsi" w:cstheme="minorHAnsi"/>
        </w:rPr>
        <w:t>organizačních složek státu či státních organ</w:t>
      </w:r>
      <w:r>
        <w:rPr>
          <w:rFonts w:asciiTheme="minorHAnsi" w:hAnsiTheme="minorHAnsi" w:cstheme="minorHAnsi"/>
        </w:rPr>
        <w:t xml:space="preserve">izací nebo ve skladech </w:t>
      </w:r>
      <w:r w:rsidR="00927C5D">
        <w:rPr>
          <w:rFonts w:asciiTheme="minorHAnsi" w:hAnsiTheme="minorHAnsi" w:cstheme="minorHAnsi"/>
        </w:rPr>
        <w:t xml:space="preserve">jiných </w:t>
      </w:r>
      <w:r>
        <w:rPr>
          <w:rFonts w:asciiTheme="minorHAnsi" w:hAnsiTheme="minorHAnsi" w:cstheme="minorHAnsi"/>
        </w:rPr>
        <w:t>právnických nebo fyzických osob</w:t>
      </w:r>
      <w:r w:rsidRPr="00B56C58">
        <w:rPr>
          <w:rFonts w:asciiTheme="minorHAnsi" w:hAnsiTheme="minorHAnsi" w:cstheme="minorHAnsi"/>
        </w:rPr>
        <w:t xml:space="preserve">. </w:t>
      </w:r>
      <w:r w:rsidR="00324B95">
        <w:rPr>
          <w:rFonts w:asciiTheme="minorHAnsi" w:hAnsiTheme="minorHAnsi" w:cstheme="minorHAnsi"/>
        </w:rPr>
        <w:t>S</w:t>
      </w:r>
      <w:r w:rsidR="008D6018">
        <w:rPr>
          <w:rFonts w:asciiTheme="minorHAnsi" w:hAnsiTheme="minorHAnsi" w:cstheme="minorHAnsi"/>
        </w:rPr>
        <w:t xml:space="preserve"> </w:t>
      </w:r>
      <w:r w:rsidR="00324B95">
        <w:rPr>
          <w:rFonts w:asciiTheme="minorHAnsi" w:hAnsiTheme="minorHAnsi" w:cstheme="minorHAnsi"/>
        </w:rPr>
        <w:t xml:space="preserve">těmito </w:t>
      </w:r>
      <w:r>
        <w:rPr>
          <w:rFonts w:asciiTheme="minorHAnsi" w:hAnsiTheme="minorHAnsi" w:cstheme="minorHAnsi"/>
        </w:rPr>
        <w:t>externími subjekty SSHR uzavírá smlouvy o</w:t>
      </w:r>
      <w:r w:rsidR="00137860">
        <w:rPr>
          <w:rFonts w:asciiTheme="minorHAnsi" w:hAnsiTheme="minorHAnsi" w:cstheme="minorHAnsi"/>
        </w:rPr>
        <w:t> </w:t>
      </w:r>
      <w:r w:rsidRPr="00125DB3">
        <w:rPr>
          <w:rFonts w:asciiTheme="minorHAnsi" w:hAnsiTheme="minorHAnsi" w:cstheme="minorHAnsi"/>
          <w:b/>
        </w:rPr>
        <w:t>ochraňování státních hmotných rezerv</w:t>
      </w:r>
      <w:r w:rsidRPr="0043512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Ochraňování v sobě zahrnuje nejen skladování státních hmotných rezerv, ale i</w:t>
      </w:r>
      <w:r w:rsidRPr="00222B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jejich </w:t>
      </w:r>
      <w:r w:rsidRPr="00222BE1">
        <w:rPr>
          <w:rFonts w:asciiTheme="minorHAnsi" w:hAnsiTheme="minorHAnsi" w:cstheme="minorHAnsi"/>
        </w:rPr>
        <w:t>obměnu, kontrolu množství a kvality, naskladnění, vyskladnění a veškerou manipulaci</w:t>
      </w:r>
      <w:r>
        <w:rPr>
          <w:rFonts w:asciiTheme="minorHAnsi" w:hAnsiTheme="minorHAnsi" w:cstheme="minorHAnsi"/>
        </w:rPr>
        <w:t xml:space="preserve"> s komoditami</w:t>
      </w:r>
      <w:r w:rsidRPr="00222BE1">
        <w:rPr>
          <w:rFonts w:asciiTheme="minorHAnsi" w:hAnsiTheme="minorHAnsi" w:cstheme="minorHAnsi"/>
        </w:rPr>
        <w:t>.</w:t>
      </w:r>
    </w:p>
    <w:p w14:paraId="3A98449D" w14:textId="77777777" w:rsidR="00FC3BF4" w:rsidRDefault="00FC3BF4" w:rsidP="003639C6">
      <w:pPr>
        <w:rPr>
          <w:b/>
        </w:rPr>
      </w:pPr>
    </w:p>
    <w:p w14:paraId="7E8CFE9E" w14:textId="7D01B849" w:rsidR="00324B95" w:rsidRDefault="00324B95" w:rsidP="00324B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3CE1">
        <w:rPr>
          <w:rFonts w:asciiTheme="minorHAnsi" w:hAnsiTheme="minorHAnsi" w:cstheme="minorHAnsi"/>
        </w:rPr>
        <w:t xml:space="preserve">Základním plánovacím dokumentem pro zajištění opatření v oblasti nouzového hospodářství, hospodářské mobilizace a tvorby státních hmotných rezerv </w:t>
      </w:r>
      <w:r>
        <w:rPr>
          <w:rFonts w:asciiTheme="minorHAnsi" w:hAnsiTheme="minorHAnsi" w:cstheme="minorHAnsi"/>
        </w:rPr>
        <w:t xml:space="preserve">je </w:t>
      </w:r>
      <w:r w:rsidR="00533F62">
        <w:rPr>
          <w:rFonts w:asciiTheme="minorHAnsi" w:hAnsiTheme="minorHAnsi" w:cstheme="minorHAnsi"/>
          <w:b/>
          <w:i/>
        </w:rPr>
        <w:t>p</w:t>
      </w:r>
      <w:r w:rsidRPr="000A37FD">
        <w:rPr>
          <w:rFonts w:asciiTheme="minorHAnsi" w:hAnsiTheme="minorHAnsi" w:cstheme="minorHAnsi"/>
          <w:b/>
          <w:i/>
        </w:rPr>
        <w:t>lán vytváření a udržování státních hmotných rezerv k zajištění bezpečnosti ČR</w:t>
      </w:r>
      <w:r w:rsidRPr="0043512D">
        <w:rPr>
          <w:rFonts w:asciiTheme="minorHAnsi" w:hAnsiTheme="minorHAnsi" w:cstheme="minorHAnsi"/>
          <w:b/>
        </w:rPr>
        <w:t>.</w:t>
      </w:r>
      <w:r w:rsidRPr="00C83CE1">
        <w:rPr>
          <w:rFonts w:asciiTheme="minorHAnsi" w:hAnsiTheme="minorHAnsi" w:cstheme="minorHAnsi"/>
        </w:rPr>
        <w:t xml:space="preserve"> Jeho příloh</w:t>
      </w:r>
      <w:r>
        <w:rPr>
          <w:rFonts w:asciiTheme="minorHAnsi" w:hAnsiTheme="minorHAnsi" w:cstheme="minorHAnsi"/>
        </w:rPr>
        <w:t xml:space="preserve">u tvoří skladba hmotných rezerv, </w:t>
      </w:r>
      <w:r w:rsidRPr="00C83CE1">
        <w:rPr>
          <w:rFonts w:asciiTheme="minorHAnsi" w:hAnsiTheme="minorHAnsi" w:cstheme="minorHAnsi"/>
        </w:rPr>
        <w:t>jejich minimální limity a orientační cílové stavy</w:t>
      </w:r>
      <w:r w:rsidR="00D9523C">
        <w:rPr>
          <w:rFonts w:asciiTheme="minorHAnsi" w:hAnsiTheme="minorHAnsi" w:cstheme="minorHAnsi"/>
        </w:rPr>
        <w:t xml:space="preserve"> a SSHR ho </w:t>
      </w:r>
      <w:r w:rsidRPr="004F3BC2">
        <w:rPr>
          <w:rFonts w:asciiTheme="minorHAnsi" w:hAnsiTheme="minorHAnsi" w:cstheme="minorHAnsi"/>
        </w:rPr>
        <w:t xml:space="preserve">zpracovává </w:t>
      </w:r>
      <w:r>
        <w:rPr>
          <w:rFonts w:asciiTheme="minorHAnsi" w:hAnsiTheme="minorHAnsi" w:cstheme="minorHAnsi"/>
        </w:rPr>
        <w:t>na období dvou let. Po jeho projednání ve S</w:t>
      </w:r>
      <w:r w:rsidRPr="004F3BC2">
        <w:rPr>
          <w:rFonts w:asciiTheme="minorHAnsi" w:hAnsiTheme="minorHAnsi" w:cstheme="minorHAnsi"/>
        </w:rPr>
        <w:t xml:space="preserve">tálé komisi předsedy </w:t>
      </w:r>
      <w:r>
        <w:rPr>
          <w:rFonts w:asciiTheme="minorHAnsi" w:hAnsiTheme="minorHAnsi" w:cstheme="minorHAnsi"/>
        </w:rPr>
        <w:t>SSHR pro</w:t>
      </w:r>
      <w:r w:rsidR="008D6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tvorbu státních hmotných rezerv</w:t>
      </w:r>
      <w:r w:rsidR="00A878D9">
        <w:rPr>
          <w:rFonts w:asciiTheme="minorHAnsi" w:hAnsiTheme="minorHAnsi" w:cstheme="minorHAnsi"/>
        </w:rPr>
        <w:t xml:space="preserve"> a</w:t>
      </w:r>
      <w:r w:rsidR="006E529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</w:t>
      </w:r>
      <w:r w:rsidR="000A433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Bezpečnostní radě státu </w:t>
      </w:r>
      <w:r w:rsidR="0049392F">
        <w:rPr>
          <w:rFonts w:asciiTheme="minorHAnsi" w:hAnsiTheme="minorHAnsi" w:cstheme="minorHAnsi"/>
        </w:rPr>
        <w:t>ho schvaluje</w:t>
      </w:r>
      <w:r>
        <w:rPr>
          <w:rFonts w:asciiTheme="minorHAnsi" w:hAnsiTheme="minorHAnsi" w:cstheme="minorHAnsi"/>
        </w:rPr>
        <w:t xml:space="preserve"> vlád</w:t>
      </w:r>
      <w:r w:rsidR="0049392F">
        <w:rPr>
          <w:rFonts w:asciiTheme="minorHAnsi" w:hAnsiTheme="minorHAnsi" w:cstheme="minorHAnsi"/>
        </w:rPr>
        <w:t>a</w:t>
      </w:r>
      <w:r w:rsidRPr="004F3BC2">
        <w:rPr>
          <w:rFonts w:asciiTheme="minorHAnsi" w:hAnsiTheme="minorHAnsi" w:cstheme="minorHAnsi"/>
        </w:rPr>
        <w:t xml:space="preserve"> ČR.</w:t>
      </w:r>
      <w:r>
        <w:rPr>
          <w:rFonts w:asciiTheme="minorHAnsi" w:hAnsiTheme="minorHAnsi" w:cstheme="minorHAnsi"/>
        </w:rPr>
        <w:t xml:space="preserve"> </w:t>
      </w:r>
      <w:r w:rsidRPr="0043512D">
        <w:rPr>
          <w:rFonts w:asciiTheme="minorHAnsi" w:hAnsiTheme="minorHAnsi" w:cstheme="minorHAnsi"/>
        </w:rPr>
        <w:t>Plán</w:t>
      </w:r>
      <w:r w:rsidR="008D6018" w:rsidRPr="0043512D">
        <w:rPr>
          <w:rFonts w:asciiTheme="minorHAnsi" w:hAnsiTheme="minorHAnsi" w:cstheme="minorHAnsi"/>
        </w:rPr>
        <w:t xml:space="preserve"> </w:t>
      </w:r>
      <w:r w:rsidR="00DA0D58" w:rsidRPr="0043512D">
        <w:rPr>
          <w:rFonts w:asciiTheme="minorHAnsi" w:hAnsiTheme="minorHAnsi" w:cstheme="minorHAnsi"/>
        </w:rPr>
        <w:t>vytváření a udržování státních hmotných rezerv</w:t>
      </w:r>
      <w:r w:rsidR="00DA0D58" w:rsidRPr="00533F62">
        <w:rPr>
          <w:rFonts w:asciiTheme="minorHAnsi" w:hAnsiTheme="minorHAnsi" w:cstheme="minorHAnsi"/>
        </w:rPr>
        <w:t xml:space="preserve"> </w:t>
      </w:r>
      <w:r w:rsidR="00DA0D58" w:rsidRPr="0043512D">
        <w:rPr>
          <w:rFonts w:asciiTheme="minorHAnsi" w:hAnsiTheme="minorHAnsi" w:cstheme="minorHAnsi"/>
        </w:rPr>
        <w:t>k zajištění bezpečnosti ČR</w:t>
      </w:r>
      <w:r w:rsidRPr="00533F62">
        <w:rPr>
          <w:rFonts w:asciiTheme="minorHAnsi" w:hAnsiTheme="minorHAnsi" w:cstheme="minorHAnsi"/>
        </w:rPr>
        <w:t xml:space="preserve"> podléhá</w:t>
      </w:r>
      <w:r>
        <w:rPr>
          <w:rFonts w:asciiTheme="minorHAnsi" w:hAnsiTheme="minorHAnsi" w:cstheme="minorHAnsi"/>
        </w:rPr>
        <w:t xml:space="preserve"> utajení ve stupni „vyhrazené</w:t>
      </w:r>
      <w:r w:rsidRPr="00A85D3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</w:t>
      </w:r>
    </w:p>
    <w:p w14:paraId="0210ED76" w14:textId="77777777" w:rsidR="00324B95" w:rsidRDefault="00324B95" w:rsidP="003639C6"/>
    <w:p w14:paraId="5E72774C" w14:textId="66D63074" w:rsidR="00324B95" w:rsidRPr="00324B95" w:rsidRDefault="00324B95" w:rsidP="00324B95">
      <w:pPr>
        <w:rPr>
          <w:rFonts w:asciiTheme="minorHAnsi" w:hAnsiTheme="minorHAnsi" w:cstheme="minorHAnsi"/>
        </w:rPr>
      </w:pPr>
      <w:r w:rsidRPr="00C47080">
        <w:rPr>
          <w:rFonts w:asciiTheme="minorHAnsi" w:hAnsiTheme="minorHAnsi" w:cstheme="minorHAnsi"/>
        </w:rPr>
        <w:t>Zdrojem financování státních hmotných rezerv jsou</w:t>
      </w:r>
      <w:r w:rsidRPr="009523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kromě</w:t>
      </w:r>
      <w:r w:rsidRPr="009523E0">
        <w:rPr>
          <w:rFonts w:asciiTheme="minorHAnsi" w:hAnsiTheme="minorHAnsi" w:cstheme="minorHAnsi"/>
        </w:rPr>
        <w:t xml:space="preserve"> </w:t>
      </w:r>
      <w:r w:rsidR="006E6638">
        <w:rPr>
          <w:rFonts w:asciiTheme="minorHAnsi" w:hAnsiTheme="minorHAnsi" w:cstheme="minorHAnsi"/>
        </w:rPr>
        <w:t>peněžních</w:t>
      </w:r>
      <w:r>
        <w:rPr>
          <w:rFonts w:asciiTheme="minorHAnsi" w:hAnsiTheme="minorHAnsi" w:cstheme="minorHAnsi"/>
        </w:rPr>
        <w:t xml:space="preserve"> prostředků </w:t>
      </w:r>
      <w:r w:rsidRPr="00324B95">
        <w:rPr>
          <w:rFonts w:asciiTheme="minorHAnsi" w:hAnsiTheme="minorHAnsi" w:cstheme="minorHAnsi"/>
          <w:b/>
        </w:rPr>
        <w:t>přidělených SSHR ze státního rozpočtu</w:t>
      </w:r>
      <w:r w:rsidRPr="009523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také</w:t>
      </w:r>
      <w:r w:rsidRPr="009523E0">
        <w:rPr>
          <w:rFonts w:asciiTheme="minorHAnsi" w:hAnsiTheme="minorHAnsi" w:cstheme="minorHAnsi"/>
        </w:rPr>
        <w:t xml:space="preserve"> </w:t>
      </w:r>
      <w:r w:rsidRPr="00324B95">
        <w:rPr>
          <w:rFonts w:asciiTheme="minorHAnsi" w:hAnsiTheme="minorHAnsi" w:cstheme="minorHAnsi"/>
          <w:b/>
        </w:rPr>
        <w:t xml:space="preserve">mimorozpočtové </w:t>
      </w:r>
      <w:r w:rsidR="007802F2">
        <w:rPr>
          <w:rFonts w:asciiTheme="minorHAnsi" w:hAnsiTheme="minorHAnsi" w:cstheme="minorHAnsi"/>
          <w:b/>
        </w:rPr>
        <w:t>zdroje</w:t>
      </w:r>
      <w:r w:rsidRPr="0043512D">
        <w:rPr>
          <w:rFonts w:asciiTheme="minorHAnsi" w:hAnsiTheme="minorHAnsi" w:cstheme="minorHAnsi"/>
          <w:b/>
        </w:rPr>
        <w:t>,</w:t>
      </w:r>
      <w:r w:rsidRPr="009523E0">
        <w:rPr>
          <w:rFonts w:asciiTheme="minorHAnsi" w:hAnsiTheme="minorHAnsi" w:cstheme="minorHAnsi"/>
        </w:rPr>
        <w:t xml:space="preserve"> které SSHR</w:t>
      </w:r>
      <w:r>
        <w:rPr>
          <w:rFonts w:asciiTheme="minorHAnsi" w:hAnsiTheme="minorHAnsi" w:cstheme="minorHAnsi"/>
        </w:rPr>
        <w:t xml:space="preserve"> získává </w:t>
      </w:r>
      <w:r w:rsidR="00D202EB">
        <w:rPr>
          <w:rFonts w:asciiTheme="minorHAnsi" w:hAnsiTheme="minorHAnsi" w:cstheme="minorHAnsi"/>
        </w:rPr>
        <w:br/>
      </w:r>
      <w:r w:rsidRPr="009523E0">
        <w:rPr>
          <w:rFonts w:asciiTheme="minorHAnsi" w:hAnsiTheme="minorHAnsi" w:cstheme="minorHAnsi"/>
        </w:rPr>
        <w:t>z</w:t>
      </w:r>
      <w:r w:rsidR="00D202EB">
        <w:rPr>
          <w:rFonts w:asciiTheme="minorHAnsi" w:hAnsiTheme="minorHAnsi" w:cstheme="minorHAnsi"/>
        </w:rPr>
        <w:t xml:space="preserve"> </w:t>
      </w:r>
      <w:r w:rsidRPr="009523E0">
        <w:rPr>
          <w:rFonts w:asciiTheme="minorHAnsi" w:hAnsiTheme="minorHAnsi" w:cstheme="minorHAnsi"/>
        </w:rPr>
        <w:t>prodeje státních hmotných rezerv.</w:t>
      </w:r>
      <w:r>
        <w:rPr>
          <w:rFonts w:asciiTheme="minorHAnsi" w:hAnsiTheme="minorHAnsi" w:cstheme="minorHAnsi"/>
        </w:rPr>
        <w:t xml:space="preserve"> Příjmy</w:t>
      </w:r>
      <w:r w:rsidRPr="007F4A11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a</w:t>
      </w:r>
      <w:r w:rsidR="008731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prodané státní hmotné rezervy </w:t>
      </w:r>
      <w:r w:rsidRPr="007F4A11">
        <w:rPr>
          <w:rFonts w:asciiTheme="minorHAnsi" w:hAnsiTheme="minorHAnsi" w:cstheme="minorHAnsi"/>
        </w:rPr>
        <w:t xml:space="preserve">jsou </w:t>
      </w:r>
      <w:bookmarkStart w:id="2" w:name="_Hlk33614054"/>
      <w:r w:rsidRPr="007F4A11">
        <w:rPr>
          <w:rFonts w:asciiTheme="minorHAnsi" w:hAnsiTheme="minorHAnsi" w:cstheme="minorHAnsi"/>
        </w:rPr>
        <w:t>převoditelné do příštího roku</w:t>
      </w:r>
      <w:r w:rsidR="003B6FF8">
        <w:rPr>
          <w:rFonts w:asciiTheme="minorHAnsi" w:hAnsiTheme="minorHAnsi" w:cstheme="minorHAnsi"/>
        </w:rPr>
        <w:t xml:space="preserve"> a </w:t>
      </w:r>
      <w:r w:rsidRPr="007F4A11">
        <w:rPr>
          <w:rFonts w:asciiTheme="minorHAnsi" w:hAnsiTheme="minorHAnsi" w:cstheme="minorHAnsi"/>
        </w:rPr>
        <w:t xml:space="preserve">nejsou </w:t>
      </w:r>
      <w:r w:rsidR="00135404">
        <w:rPr>
          <w:rFonts w:asciiTheme="minorHAnsi" w:hAnsiTheme="minorHAnsi" w:cstheme="minorHAnsi"/>
        </w:rPr>
        <w:t>příjmem</w:t>
      </w:r>
      <w:r w:rsidRPr="007F4A11">
        <w:rPr>
          <w:rFonts w:asciiTheme="minorHAnsi" w:hAnsiTheme="minorHAnsi" w:cstheme="minorHAnsi"/>
        </w:rPr>
        <w:t xml:space="preserve"> státního </w:t>
      </w:r>
      <w:r w:rsidR="003B6FF8">
        <w:rPr>
          <w:rFonts w:asciiTheme="minorHAnsi" w:hAnsiTheme="minorHAnsi" w:cstheme="minorHAnsi"/>
        </w:rPr>
        <w:t xml:space="preserve">rozpočtu. </w:t>
      </w:r>
      <w:r>
        <w:rPr>
          <w:rFonts w:asciiTheme="minorHAnsi" w:eastAsia="Calibri" w:hAnsiTheme="minorHAnsi" w:cstheme="minorHAnsi"/>
        </w:rPr>
        <w:t xml:space="preserve">Tyto peněžní prostředky soustřeďuje SSHR </w:t>
      </w:r>
      <w:r w:rsidRPr="006858D1">
        <w:rPr>
          <w:rFonts w:asciiTheme="minorHAnsi" w:eastAsia="Calibri" w:hAnsiTheme="minorHAnsi" w:cstheme="minorHAnsi"/>
        </w:rPr>
        <w:t xml:space="preserve">na </w:t>
      </w:r>
      <w:r w:rsidRPr="00B859E5">
        <w:rPr>
          <w:rFonts w:asciiTheme="minorHAnsi" w:eastAsia="Calibri" w:hAnsiTheme="minorHAnsi" w:cstheme="minorHAnsi"/>
          <w:b/>
        </w:rPr>
        <w:t>zvláštních účtech</w:t>
      </w:r>
      <w:r>
        <w:rPr>
          <w:rFonts w:asciiTheme="minorHAnsi" w:eastAsia="Calibri" w:hAnsiTheme="minorHAnsi" w:cstheme="minorHAnsi"/>
          <w:b/>
        </w:rPr>
        <w:t xml:space="preserve"> k financování obměn a záměn státních hmotných rezerv</w:t>
      </w:r>
      <w:r w:rsidRPr="00B859E5">
        <w:rPr>
          <w:rFonts w:asciiTheme="minorHAnsi" w:eastAsia="Calibri" w:hAnsiTheme="minorHAnsi" w:cstheme="minorHAnsi"/>
          <w:b/>
        </w:rPr>
        <w:t>.</w:t>
      </w:r>
      <w:r>
        <w:rPr>
          <w:rFonts w:asciiTheme="minorHAnsi" w:eastAsia="Calibri" w:hAnsiTheme="minorHAnsi" w:cstheme="minorHAnsi"/>
        </w:rPr>
        <w:t xml:space="preserve"> Na zvláštních účtech </w:t>
      </w:r>
      <w:r w:rsidR="008731B7">
        <w:rPr>
          <w:rFonts w:asciiTheme="minorHAnsi" w:eastAsia="Calibri" w:hAnsiTheme="minorHAnsi" w:cstheme="minorHAnsi"/>
        </w:rPr>
        <w:t xml:space="preserve">evidovala </w:t>
      </w:r>
      <w:r>
        <w:rPr>
          <w:rFonts w:asciiTheme="minorHAnsi" w:eastAsia="Calibri" w:hAnsiTheme="minorHAnsi" w:cstheme="minorHAnsi"/>
        </w:rPr>
        <w:t>SSHR</w:t>
      </w:r>
      <w:r w:rsidRPr="007F4A11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>k 31.</w:t>
      </w:r>
      <w:r w:rsidR="00760FBC">
        <w:rPr>
          <w:rFonts w:eastAsia="Calibri"/>
        </w:rPr>
        <w:t> </w:t>
      </w:r>
      <w:r>
        <w:rPr>
          <w:rFonts w:asciiTheme="minorHAnsi" w:eastAsia="Calibri" w:hAnsiTheme="minorHAnsi" w:cstheme="minorHAnsi"/>
        </w:rPr>
        <w:t xml:space="preserve">prosinci 2020 </w:t>
      </w:r>
      <w:r w:rsidRPr="00324B95">
        <w:rPr>
          <w:rFonts w:asciiTheme="minorHAnsi" w:eastAsia="Calibri" w:hAnsiTheme="minorHAnsi" w:cstheme="minorHAnsi"/>
        </w:rPr>
        <w:t xml:space="preserve">konečný zůstatek </w:t>
      </w:r>
      <w:bookmarkEnd w:id="2"/>
      <w:r w:rsidRPr="00324B95">
        <w:rPr>
          <w:rFonts w:asciiTheme="minorHAnsi" w:eastAsia="Calibri" w:hAnsiTheme="minorHAnsi" w:cstheme="minorHAnsi"/>
        </w:rPr>
        <w:t>ve výši 3</w:t>
      </w:r>
      <w:r w:rsidR="00E67869">
        <w:rPr>
          <w:rFonts w:asciiTheme="minorHAnsi" w:eastAsia="Calibri" w:hAnsiTheme="minorHAnsi" w:cstheme="minorHAnsi"/>
        </w:rPr>
        <w:t> </w:t>
      </w:r>
      <w:r w:rsidRPr="00324B95">
        <w:rPr>
          <w:rFonts w:asciiTheme="minorHAnsi" w:eastAsia="Calibri" w:hAnsiTheme="minorHAnsi" w:cstheme="minorHAnsi"/>
        </w:rPr>
        <w:t>340</w:t>
      </w:r>
      <w:r w:rsidR="00E67869">
        <w:rPr>
          <w:rFonts w:asciiTheme="minorHAnsi" w:eastAsia="Calibri" w:hAnsiTheme="minorHAnsi" w:cstheme="minorHAnsi"/>
        </w:rPr>
        <w:t>,7</w:t>
      </w:r>
      <w:r w:rsidRPr="00324B95">
        <w:rPr>
          <w:rFonts w:asciiTheme="minorHAnsi" w:eastAsia="Calibri" w:hAnsiTheme="minorHAnsi" w:cstheme="minorHAnsi"/>
        </w:rPr>
        <w:t> </w:t>
      </w:r>
      <w:r w:rsidR="00E67869">
        <w:rPr>
          <w:rFonts w:asciiTheme="minorHAnsi" w:eastAsia="Calibri" w:hAnsiTheme="minorHAnsi" w:cstheme="minorHAnsi"/>
        </w:rPr>
        <w:t>mil. </w:t>
      </w:r>
      <w:r w:rsidRPr="00324B95">
        <w:rPr>
          <w:rFonts w:asciiTheme="minorHAnsi" w:eastAsia="Calibri" w:hAnsiTheme="minorHAnsi" w:cstheme="minorHAnsi"/>
        </w:rPr>
        <w:t>Kč.</w:t>
      </w:r>
    </w:p>
    <w:p w14:paraId="685777A0" w14:textId="77777777" w:rsidR="00A878D9" w:rsidRDefault="00A878D9" w:rsidP="003639C6"/>
    <w:p w14:paraId="7E951DDF" w14:textId="34C73A29" w:rsidR="003B6FF8" w:rsidRPr="00FC3BF4" w:rsidRDefault="003B6FF8" w:rsidP="003B6FF8">
      <w:pPr>
        <w:rPr>
          <w:rFonts w:asciiTheme="minorHAnsi" w:hAnsiTheme="minorHAnsi" w:cstheme="minorHAnsi"/>
          <w:b/>
        </w:rPr>
      </w:pPr>
      <w:r w:rsidRPr="008D2C2A">
        <w:rPr>
          <w:rFonts w:asciiTheme="minorHAnsi" w:hAnsiTheme="minorHAnsi" w:cstheme="minorHAnsi"/>
          <w:b/>
        </w:rPr>
        <w:t>Rozpočtové příjmy SSHR</w:t>
      </w:r>
      <w:r>
        <w:rPr>
          <w:rFonts w:asciiTheme="minorHAnsi" w:hAnsiTheme="minorHAnsi" w:cstheme="minorHAnsi"/>
        </w:rPr>
        <w:t xml:space="preserve"> v</w:t>
      </w:r>
      <w:r w:rsidR="008731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letech 2016 až 2020 vykázala v</w:t>
      </w:r>
      <w:r w:rsidR="008731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celkové výši </w:t>
      </w:r>
      <w:r w:rsidRPr="00524AB1">
        <w:rPr>
          <w:rFonts w:asciiTheme="minorHAnsi" w:hAnsiTheme="minorHAnsi" w:cstheme="minorHAnsi"/>
          <w:b/>
        </w:rPr>
        <w:t>419</w:t>
      </w:r>
      <w:r>
        <w:rPr>
          <w:rFonts w:asciiTheme="minorHAnsi" w:hAnsiTheme="minorHAnsi" w:cstheme="minorHAnsi"/>
          <w:b/>
        </w:rPr>
        <w:t xml:space="preserve">,4 mil. </w:t>
      </w:r>
      <w:r w:rsidRPr="00524AB1">
        <w:rPr>
          <w:rFonts w:asciiTheme="minorHAnsi" w:hAnsiTheme="minorHAnsi" w:cstheme="minorHAnsi"/>
          <w:b/>
        </w:rPr>
        <w:t>Kč</w:t>
      </w:r>
      <w:r>
        <w:rPr>
          <w:rFonts w:asciiTheme="minorHAnsi" w:hAnsiTheme="minorHAnsi" w:cstheme="minorHAnsi"/>
        </w:rPr>
        <w:t xml:space="preserve"> a </w:t>
      </w:r>
      <w:r w:rsidRPr="00FC3BF4">
        <w:rPr>
          <w:rFonts w:asciiTheme="minorHAnsi" w:hAnsiTheme="minorHAnsi" w:cstheme="minorHAnsi"/>
          <w:b/>
        </w:rPr>
        <w:t>ro</w:t>
      </w:r>
      <w:r w:rsidRPr="00122008">
        <w:rPr>
          <w:rFonts w:asciiTheme="minorHAnsi" w:hAnsiTheme="minorHAnsi" w:cstheme="minorHAnsi"/>
          <w:b/>
        </w:rPr>
        <w:t>zpočtové výdaje SSHR</w:t>
      </w:r>
      <w:r w:rsidRPr="00122008">
        <w:rPr>
          <w:rFonts w:asciiTheme="minorHAnsi" w:hAnsiTheme="minorHAnsi" w:cstheme="minorHAnsi"/>
        </w:rPr>
        <w:t xml:space="preserve"> v</w:t>
      </w:r>
      <w:r w:rsidR="008731B7">
        <w:rPr>
          <w:rFonts w:asciiTheme="minorHAnsi" w:hAnsiTheme="minorHAnsi" w:cstheme="minorHAnsi"/>
        </w:rPr>
        <w:t xml:space="preserve"> </w:t>
      </w:r>
      <w:r w:rsidRPr="00122008">
        <w:rPr>
          <w:rFonts w:asciiTheme="minorHAnsi" w:hAnsiTheme="minorHAnsi" w:cstheme="minorHAnsi"/>
        </w:rPr>
        <w:t>letech 2016 až 2020 vykázala v</w:t>
      </w:r>
      <w:r w:rsidR="008731B7">
        <w:rPr>
          <w:rFonts w:asciiTheme="minorHAnsi" w:hAnsiTheme="minorHAnsi" w:cstheme="minorHAnsi"/>
        </w:rPr>
        <w:t xml:space="preserve"> </w:t>
      </w:r>
      <w:r w:rsidRPr="00122008">
        <w:rPr>
          <w:rFonts w:asciiTheme="minorHAnsi" w:hAnsiTheme="minorHAnsi" w:cstheme="minorHAnsi"/>
        </w:rPr>
        <w:t xml:space="preserve">celkové výši </w:t>
      </w:r>
      <w:r w:rsidRPr="00524AB1">
        <w:rPr>
          <w:rFonts w:asciiTheme="minorHAnsi" w:hAnsiTheme="minorHAnsi" w:cstheme="minorHAnsi"/>
          <w:b/>
        </w:rPr>
        <w:t>13</w:t>
      </w:r>
      <w:r w:rsidR="008731B7">
        <w:rPr>
          <w:rFonts w:asciiTheme="minorHAnsi" w:hAnsiTheme="minorHAnsi" w:cstheme="minorHAnsi"/>
          <w:b/>
        </w:rPr>
        <w:t xml:space="preserve"> </w:t>
      </w:r>
      <w:r w:rsidRPr="00524AB1">
        <w:rPr>
          <w:rFonts w:asciiTheme="minorHAnsi" w:hAnsiTheme="minorHAnsi" w:cstheme="minorHAnsi"/>
          <w:b/>
        </w:rPr>
        <w:t>628</w:t>
      </w:r>
      <w:r>
        <w:rPr>
          <w:rFonts w:asciiTheme="minorHAnsi" w:hAnsiTheme="minorHAnsi" w:cstheme="minorHAnsi"/>
          <w:b/>
        </w:rPr>
        <w:t xml:space="preserve">,5 mil. </w:t>
      </w:r>
      <w:r w:rsidRPr="00524AB1">
        <w:rPr>
          <w:rFonts w:asciiTheme="minorHAnsi" w:hAnsiTheme="minorHAnsi" w:cstheme="minorHAnsi"/>
          <w:b/>
        </w:rPr>
        <w:t>Kč</w:t>
      </w:r>
      <w:r w:rsidRPr="0043512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K 31. prosinci 2020 SSHR disponovala </w:t>
      </w:r>
      <w:r w:rsidRPr="00FC3BF4">
        <w:rPr>
          <w:rFonts w:asciiTheme="minorHAnsi" w:hAnsiTheme="minorHAnsi" w:cstheme="minorHAnsi"/>
          <w:b/>
        </w:rPr>
        <w:t>aktivy</w:t>
      </w:r>
      <w:r w:rsidR="00237183">
        <w:rPr>
          <w:rStyle w:val="Znakapoznpodarou"/>
          <w:rFonts w:asciiTheme="minorHAnsi" w:hAnsiTheme="minorHAnsi" w:cstheme="minorHAnsi"/>
          <w:b/>
        </w:rPr>
        <w:footnoteReference w:id="7"/>
      </w:r>
      <w:r>
        <w:rPr>
          <w:rFonts w:asciiTheme="minorHAnsi" w:hAnsiTheme="minorHAnsi" w:cstheme="minorHAnsi"/>
        </w:rPr>
        <w:t xml:space="preserve"> ve výši </w:t>
      </w:r>
      <w:r w:rsidRPr="00FC3BF4">
        <w:rPr>
          <w:rFonts w:asciiTheme="minorHAnsi" w:hAnsiTheme="minorHAnsi" w:cstheme="minorHAnsi"/>
          <w:b/>
        </w:rPr>
        <w:t>36</w:t>
      </w:r>
      <w:r>
        <w:rPr>
          <w:rFonts w:asciiTheme="minorHAnsi" w:hAnsiTheme="minorHAnsi" w:cstheme="minorHAnsi"/>
          <w:b/>
        </w:rPr>
        <w:t> </w:t>
      </w:r>
      <w:r w:rsidRPr="00FC3BF4">
        <w:rPr>
          <w:rFonts w:asciiTheme="minorHAnsi" w:hAnsiTheme="minorHAnsi" w:cstheme="minorHAnsi"/>
          <w:b/>
        </w:rPr>
        <w:t>136</w:t>
      </w:r>
      <w:r>
        <w:rPr>
          <w:rFonts w:asciiTheme="minorHAnsi" w:hAnsiTheme="minorHAnsi" w:cstheme="minorHAnsi"/>
          <w:b/>
        </w:rPr>
        <w:t>,1 mil. Kč</w:t>
      </w:r>
      <w:r w:rsidRPr="0043512D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</w:t>
      </w:r>
      <w:r w:rsidRPr="0084672E">
        <w:rPr>
          <w:rFonts w:asciiTheme="minorHAnsi" w:hAnsiTheme="minorHAnsi" w:cstheme="minorHAnsi"/>
        </w:rPr>
        <w:t>z čehož státní hmotné rezervy</w:t>
      </w:r>
      <w:r w:rsidR="00760FBC">
        <w:rPr>
          <w:rFonts w:asciiTheme="minorHAnsi" w:hAnsiTheme="minorHAnsi" w:cstheme="minorHAnsi"/>
        </w:rPr>
        <w:t xml:space="preserve"> tvořily</w:t>
      </w:r>
      <w:r w:rsidRPr="0084672E">
        <w:rPr>
          <w:rFonts w:asciiTheme="minorHAnsi" w:hAnsiTheme="minorHAnsi" w:cstheme="minorHAnsi"/>
        </w:rPr>
        <w:t xml:space="preserve"> </w:t>
      </w:r>
      <w:r w:rsidR="00760FBC" w:rsidRPr="0084672E">
        <w:rPr>
          <w:rFonts w:asciiTheme="minorHAnsi" w:hAnsiTheme="minorHAnsi" w:cstheme="minorHAnsi"/>
        </w:rPr>
        <w:t>26 352,1</w:t>
      </w:r>
      <w:r w:rsidR="00760FBC">
        <w:rPr>
          <w:rFonts w:asciiTheme="minorHAnsi" w:hAnsiTheme="minorHAnsi" w:cstheme="minorHAnsi"/>
        </w:rPr>
        <w:t> </w:t>
      </w:r>
      <w:r w:rsidR="00760FBC" w:rsidRPr="0084672E">
        <w:rPr>
          <w:rFonts w:asciiTheme="minorHAnsi" w:hAnsiTheme="minorHAnsi" w:cstheme="minorHAnsi"/>
        </w:rPr>
        <w:t>mil.</w:t>
      </w:r>
      <w:r w:rsidR="00760FBC">
        <w:rPr>
          <w:rFonts w:asciiTheme="minorHAnsi" w:hAnsiTheme="minorHAnsi" w:cstheme="minorHAnsi"/>
        </w:rPr>
        <w:t> </w:t>
      </w:r>
      <w:r w:rsidR="00760FBC" w:rsidRPr="0084672E">
        <w:rPr>
          <w:rFonts w:asciiTheme="minorHAnsi" w:hAnsiTheme="minorHAnsi" w:cstheme="minorHAnsi"/>
        </w:rPr>
        <w:t xml:space="preserve">Kč </w:t>
      </w:r>
      <w:r w:rsidRPr="0084672E">
        <w:rPr>
          <w:rFonts w:asciiTheme="minorHAnsi" w:hAnsiTheme="minorHAnsi" w:cstheme="minorHAnsi"/>
        </w:rPr>
        <w:t>a dlouhodobý hmotný majetek</w:t>
      </w:r>
      <w:r w:rsidR="00760FBC">
        <w:rPr>
          <w:rFonts w:asciiTheme="minorHAnsi" w:hAnsiTheme="minorHAnsi" w:cstheme="minorHAnsi"/>
        </w:rPr>
        <w:t xml:space="preserve"> tvořil </w:t>
      </w:r>
      <w:r w:rsidR="00760FBC" w:rsidRPr="0084672E">
        <w:rPr>
          <w:rFonts w:asciiTheme="minorHAnsi" w:hAnsiTheme="minorHAnsi" w:cstheme="minorHAnsi"/>
        </w:rPr>
        <w:t>5 217,7 mil. Kč</w:t>
      </w:r>
      <w:r w:rsidRPr="0084672E">
        <w:rPr>
          <w:rFonts w:asciiTheme="minorHAnsi" w:hAnsiTheme="minorHAnsi" w:cstheme="minorHAnsi"/>
        </w:rPr>
        <w:t>.</w:t>
      </w:r>
      <w:r w:rsidRPr="0084672E">
        <w:rPr>
          <w:rFonts w:asciiTheme="minorHAnsi" w:hAnsiTheme="minorHAnsi" w:cstheme="minorHAnsi"/>
          <w:b/>
        </w:rPr>
        <w:t xml:space="preserve"> </w:t>
      </w:r>
    </w:p>
    <w:p w14:paraId="39A7F1AB" w14:textId="77777777" w:rsidR="00313ED9" w:rsidRDefault="00313ED9" w:rsidP="003639C6"/>
    <w:p w14:paraId="7AEEF81F" w14:textId="77777777" w:rsidR="00A719E7" w:rsidRDefault="00A719E7" w:rsidP="003639C6"/>
    <w:p w14:paraId="3CB1B6A5" w14:textId="77777777" w:rsidR="00313ED9" w:rsidRPr="0096632E" w:rsidRDefault="00313ED9" w:rsidP="003639C6"/>
    <w:p w14:paraId="08B8BBAD" w14:textId="77777777" w:rsidR="00780EFE" w:rsidRDefault="00AB3724" w:rsidP="003639C6">
      <w:pPr>
        <w:pStyle w:val="Nadpis1"/>
        <w:rPr>
          <w:sz w:val="28"/>
          <w:szCs w:val="28"/>
        </w:rPr>
      </w:pPr>
      <w:r w:rsidRPr="00D86DAB">
        <w:rPr>
          <w:sz w:val="28"/>
          <w:szCs w:val="28"/>
        </w:rPr>
        <w:lastRenderedPageBreak/>
        <w:t>III. Rozsah kontroly</w:t>
      </w:r>
    </w:p>
    <w:p w14:paraId="32048642" w14:textId="77777777" w:rsidR="00684789" w:rsidRDefault="00684789" w:rsidP="003639C6">
      <w:pPr>
        <w:rPr>
          <w:b/>
          <w:color w:val="auto"/>
        </w:rPr>
      </w:pPr>
    </w:p>
    <w:p w14:paraId="729F6478" w14:textId="77777777" w:rsidR="00460875" w:rsidRDefault="00460875" w:rsidP="003639C6">
      <w:pPr>
        <w:rPr>
          <w:b/>
          <w:color w:val="auto"/>
        </w:rPr>
      </w:pPr>
      <w:r>
        <w:rPr>
          <w:b/>
          <w:color w:val="auto"/>
        </w:rPr>
        <w:t xml:space="preserve">Předmětem kontrolní akce </w:t>
      </w:r>
      <w:r w:rsidRPr="00460875">
        <w:rPr>
          <w:color w:val="auto"/>
        </w:rPr>
        <w:t>byl majetek a peněžní prostředky státu, se kterými je příslušná hospodařit Správa státních hmotných rezerv.</w:t>
      </w:r>
    </w:p>
    <w:p w14:paraId="67DE4F45" w14:textId="77777777" w:rsidR="00460875" w:rsidRDefault="00460875" w:rsidP="003639C6">
      <w:pPr>
        <w:rPr>
          <w:b/>
          <w:color w:val="auto"/>
        </w:rPr>
      </w:pPr>
    </w:p>
    <w:p w14:paraId="5693F7AF" w14:textId="5A0F1946" w:rsidR="00573E61" w:rsidRDefault="00B43AE3" w:rsidP="00FC3BF4">
      <w:pPr>
        <w:rPr>
          <w:rFonts w:asciiTheme="minorHAnsi" w:hAnsiTheme="minorHAnsi" w:cstheme="minorHAnsi"/>
        </w:rPr>
      </w:pPr>
      <w:r>
        <w:rPr>
          <w:b/>
          <w:color w:val="auto"/>
        </w:rPr>
        <w:t xml:space="preserve">Kontrole byl podroben </w:t>
      </w:r>
      <w:r w:rsidR="00FC3BF4">
        <w:rPr>
          <w:rFonts w:asciiTheme="minorHAnsi" w:hAnsiTheme="minorHAnsi" w:cstheme="minorHAnsi"/>
        </w:rPr>
        <w:t xml:space="preserve">postup </w:t>
      </w:r>
      <w:r w:rsidR="007474C6">
        <w:rPr>
          <w:rFonts w:asciiTheme="minorHAnsi" w:hAnsiTheme="minorHAnsi" w:cstheme="minorHAnsi"/>
        </w:rPr>
        <w:t>SSHR</w:t>
      </w:r>
      <w:r w:rsidR="00FC3BF4">
        <w:rPr>
          <w:rFonts w:asciiTheme="minorHAnsi" w:hAnsiTheme="minorHAnsi" w:cstheme="minorHAnsi"/>
        </w:rPr>
        <w:t xml:space="preserve"> při </w:t>
      </w:r>
      <w:r w:rsidR="00FC3BF4" w:rsidRPr="004B7E1A">
        <w:rPr>
          <w:rFonts w:asciiTheme="minorHAnsi" w:hAnsiTheme="minorHAnsi" w:cstheme="minorHAnsi"/>
        </w:rPr>
        <w:t>nakládá</w:t>
      </w:r>
      <w:r w:rsidR="00FC3BF4">
        <w:rPr>
          <w:rFonts w:asciiTheme="minorHAnsi" w:hAnsiTheme="minorHAnsi" w:cstheme="minorHAnsi"/>
        </w:rPr>
        <w:t>n</w:t>
      </w:r>
      <w:r w:rsidR="00975BFB">
        <w:rPr>
          <w:rFonts w:asciiTheme="minorHAnsi" w:hAnsiTheme="minorHAnsi" w:cstheme="minorHAnsi"/>
        </w:rPr>
        <w:t>í</w:t>
      </w:r>
      <w:r w:rsidR="00FC3BF4" w:rsidRPr="004B7E1A">
        <w:rPr>
          <w:rFonts w:asciiTheme="minorHAnsi" w:hAnsiTheme="minorHAnsi" w:cstheme="minorHAnsi"/>
        </w:rPr>
        <w:t xml:space="preserve"> s </w:t>
      </w:r>
      <w:r w:rsidR="00FC3BF4">
        <w:rPr>
          <w:rFonts w:asciiTheme="minorHAnsi" w:hAnsiTheme="minorHAnsi" w:cstheme="minorHAnsi"/>
        </w:rPr>
        <w:t xml:space="preserve">majetkem a peněžními prostředky </w:t>
      </w:r>
      <w:r w:rsidR="00FC3BF4" w:rsidRPr="004B7E1A">
        <w:rPr>
          <w:rFonts w:asciiTheme="minorHAnsi" w:hAnsiTheme="minorHAnsi" w:cstheme="minorHAnsi"/>
        </w:rPr>
        <w:t>státu</w:t>
      </w:r>
      <w:r w:rsidR="00DD60CA">
        <w:rPr>
          <w:rFonts w:asciiTheme="minorHAnsi" w:hAnsiTheme="minorHAnsi" w:cstheme="minorHAnsi"/>
        </w:rPr>
        <w:t xml:space="preserve"> a </w:t>
      </w:r>
      <w:r w:rsidR="00FC3BF4">
        <w:rPr>
          <w:rFonts w:asciiTheme="minorHAnsi" w:hAnsiTheme="minorHAnsi" w:cstheme="minorHAnsi"/>
        </w:rPr>
        <w:t xml:space="preserve">bylo ověřováno, zda </w:t>
      </w:r>
      <w:r w:rsidR="007474C6">
        <w:rPr>
          <w:rFonts w:asciiTheme="minorHAnsi" w:hAnsiTheme="minorHAnsi" w:cstheme="minorHAnsi"/>
        </w:rPr>
        <w:t>SSHR</w:t>
      </w:r>
      <w:r w:rsidR="00FC3BF4">
        <w:rPr>
          <w:rFonts w:asciiTheme="minorHAnsi" w:hAnsiTheme="minorHAnsi" w:cstheme="minorHAnsi"/>
        </w:rPr>
        <w:t xml:space="preserve"> postupovala hospodárně, v </w:t>
      </w:r>
      <w:r w:rsidR="00FC3BF4" w:rsidRPr="004B7E1A">
        <w:rPr>
          <w:rFonts w:asciiTheme="minorHAnsi" w:hAnsiTheme="minorHAnsi" w:cstheme="minorHAnsi"/>
        </w:rPr>
        <w:t>souladu s právními předpisy a</w:t>
      </w:r>
      <w:r w:rsidR="00DD60CA">
        <w:rPr>
          <w:rFonts w:asciiTheme="minorHAnsi" w:hAnsiTheme="minorHAnsi" w:cstheme="minorHAnsi"/>
        </w:rPr>
        <w:t> </w:t>
      </w:r>
      <w:r w:rsidR="00FC3BF4">
        <w:rPr>
          <w:rFonts w:asciiTheme="minorHAnsi" w:hAnsiTheme="minorHAnsi" w:cstheme="minorHAnsi"/>
        </w:rPr>
        <w:t>s</w:t>
      </w:r>
      <w:r w:rsidR="00DD60CA">
        <w:rPr>
          <w:rFonts w:asciiTheme="minorHAnsi" w:hAnsiTheme="minorHAnsi" w:cstheme="minorHAnsi"/>
        </w:rPr>
        <w:t> </w:t>
      </w:r>
      <w:r w:rsidR="00FC3BF4">
        <w:rPr>
          <w:rFonts w:asciiTheme="minorHAnsi" w:hAnsiTheme="minorHAnsi" w:cstheme="minorHAnsi"/>
        </w:rPr>
        <w:t xml:space="preserve">ohledem na náležitou přípravu opatření </w:t>
      </w:r>
      <w:r w:rsidR="00FC3BF4" w:rsidRPr="0005441A">
        <w:t>pro</w:t>
      </w:r>
      <w:r w:rsidR="008D6018">
        <w:t xml:space="preserve"> </w:t>
      </w:r>
      <w:r w:rsidR="00FC3BF4" w:rsidRPr="0005441A">
        <w:t>krizové</w:t>
      </w:r>
      <w:r w:rsidR="00FC3BF4">
        <w:rPr>
          <w:rFonts w:asciiTheme="minorHAnsi" w:hAnsiTheme="minorHAnsi" w:cstheme="minorHAnsi"/>
        </w:rPr>
        <w:t xml:space="preserve"> stavy a </w:t>
      </w:r>
      <w:r w:rsidR="00FC3BF4" w:rsidRPr="004B7E1A">
        <w:rPr>
          <w:rFonts w:asciiTheme="minorHAnsi" w:hAnsiTheme="minorHAnsi" w:cstheme="minorHAnsi"/>
        </w:rPr>
        <w:t>zajištění státních hmotných rezerv</w:t>
      </w:r>
      <w:r w:rsidR="00FC3BF4">
        <w:rPr>
          <w:rFonts w:asciiTheme="minorHAnsi" w:hAnsiTheme="minorHAnsi" w:cstheme="minorHAnsi"/>
        </w:rPr>
        <w:t xml:space="preserve">. </w:t>
      </w:r>
    </w:p>
    <w:p w14:paraId="0591EAD1" w14:textId="77777777" w:rsidR="00573E61" w:rsidRDefault="00573E61" w:rsidP="00FC3BF4">
      <w:pPr>
        <w:rPr>
          <w:rFonts w:asciiTheme="minorHAnsi" w:hAnsiTheme="minorHAnsi" w:cstheme="minorHAnsi"/>
        </w:rPr>
      </w:pPr>
    </w:p>
    <w:p w14:paraId="49E9F92A" w14:textId="50629670" w:rsidR="00D85A55" w:rsidRDefault="00D85A55" w:rsidP="00D85A55">
      <w:pPr>
        <w:rPr>
          <w:color w:val="000000" w:themeColor="text1"/>
        </w:rPr>
      </w:pPr>
      <w:r w:rsidRPr="003A0DBE">
        <w:rPr>
          <w:b/>
          <w:color w:val="000000" w:themeColor="text1"/>
        </w:rPr>
        <w:t>Kontrolovaným obdobím</w:t>
      </w:r>
      <w:r w:rsidRPr="00876251">
        <w:rPr>
          <w:color w:val="000000" w:themeColor="text1"/>
        </w:rPr>
        <w:t xml:space="preserve"> </w:t>
      </w:r>
      <w:r w:rsidRPr="00134731">
        <w:rPr>
          <w:color w:val="000000" w:themeColor="text1"/>
        </w:rPr>
        <w:t>byly roky 2016 až 2021, v</w:t>
      </w:r>
      <w:r w:rsidR="008C2ED6">
        <w:rPr>
          <w:color w:val="000000" w:themeColor="text1"/>
        </w:rPr>
        <w:t xml:space="preserve"> </w:t>
      </w:r>
      <w:r w:rsidRPr="00876251">
        <w:rPr>
          <w:color w:val="000000" w:themeColor="text1"/>
        </w:rPr>
        <w:t>případě věcných sou</w:t>
      </w:r>
      <w:r>
        <w:rPr>
          <w:color w:val="000000" w:themeColor="text1"/>
        </w:rPr>
        <w:t>vislostí i</w:t>
      </w:r>
      <w:r w:rsidR="008C2ED6">
        <w:rPr>
          <w:color w:val="000000" w:themeColor="text1"/>
        </w:rPr>
        <w:t xml:space="preserve"> </w:t>
      </w:r>
      <w:r>
        <w:rPr>
          <w:color w:val="000000" w:themeColor="text1"/>
        </w:rPr>
        <w:t>období předcházející.</w:t>
      </w:r>
    </w:p>
    <w:p w14:paraId="3008A4AA" w14:textId="77777777" w:rsidR="00D85A55" w:rsidRDefault="00D85A55" w:rsidP="00D85A55">
      <w:pPr>
        <w:rPr>
          <w:rFonts w:asciiTheme="minorHAnsi" w:hAnsiTheme="minorHAnsi" w:cstheme="minorHAnsi"/>
        </w:rPr>
      </w:pPr>
    </w:p>
    <w:p w14:paraId="56A1D085" w14:textId="77777777" w:rsidR="00D85A55" w:rsidRDefault="00D85A55" w:rsidP="00D85A55">
      <w:pPr>
        <w:rPr>
          <w:rFonts w:asciiTheme="minorHAnsi" w:hAnsiTheme="minorHAnsi" w:cstheme="minorHAnsi"/>
          <w:bCs/>
        </w:rPr>
      </w:pPr>
      <w:r w:rsidRPr="00FC3BF4">
        <w:rPr>
          <w:rFonts w:asciiTheme="minorHAnsi" w:hAnsiTheme="minorHAnsi" w:cstheme="minorHAnsi"/>
          <w:b/>
          <w:bCs/>
        </w:rPr>
        <w:t>Kontrolovaný objem</w:t>
      </w:r>
      <w:r w:rsidRPr="00FB0B7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činil celkem</w:t>
      </w:r>
      <w:r w:rsidRPr="00FB0B76">
        <w:rPr>
          <w:rFonts w:asciiTheme="minorHAnsi" w:hAnsiTheme="minorHAnsi" w:cstheme="minorHAnsi"/>
          <w:bCs/>
        </w:rPr>
        <w:t xml:space="preserve"> </w:t>
      </w:r>
      <w:r w:rsidRPr="000D0B12">
        <w:rPr>
          <w:rFonts w:asciiTheme="minorHAnsi" w:hAnsiTheme="minorHAnsi" w:cstheme="minorHAnsi"/>
          <w:bCs/>
        </w:rPr>
        <w:t>46</w:t>
      </w:r>
      <w:r w:rsidR="00AE3A1E">
        <w:rPr>
          <w:rFonts w:asciiTheme="minorHAnsi" w:hAnsiTheme="minorHAnsi" w:cstheme="minorHAnsi"/>
          <w:bCs/>
        </w:rPr>
        <w:t> </w:t>
      </w:r>
      <w:r w:rsidRPr="000D0B12">
        <w:rPr>
          <w:rFonts w:asciiTheme="minorHAnsi" w:hAnsiTheme="minorHAnsi" w:cstheme="minorHAnsi"/>
          <w:bCs/>
        </w:rPr>
        <w:t>064</w:t>
      </w:r>
      <w:r w:rsidR="00AE3A1E">
        <w:rPr>
          <w:rFonts w:asciiTheme="minorHAnsi" w:hAnsiTheme="minorHAnsi" w:cstheme="minorHAnsi"/>
          <w:bCs/>
        </w:rPr>
        <w:t>,1</w:t>
      </w:r>
      <w:r>
        <w:rPr>
          <w:rFonts w:asciiTheme="minorHAnsi" w:hAnsiTheme="minorHAnsi" w:cstheme="minorHAnsi"/>
          <w:bCs/>
        </w:rPr>
        <w:t xml:space="preserve"> mil. </w:t>
      </w:r>
      <w:r w:rsidRPr="00C35581">
        <w:rPr>
          <w:rFonts w:asciiTheme="minorHAnsi" w:hAnsiTheme="minorHAnsi" w:cstheme="minorHAnsi"/>
          <w:bCs/>
        </w:rPr>
        <w:t>Kč</w:t>
      </w:r>
      <w:r>
        <w:rPr>
          <w:rFonts w:asciiTheme="minorHAnsi" w:hAnsiTheme="minorHAnsi" w:cstheme="minorHAnsi"/>
          <w:bCs/>
        </w:rPr>
        <w:t>.</w:t>
      </w:r>
    </w:p>
    <w:p w14:paraId="18C95217" w14:textId="77777777" w:rsidR="00D85A55" w:rsidRDefault="00D85A55" w:rsidP="00D85A55">
      <w:pPr>
        <w:rPr>
          <w:rFonts w:asciiTheme="minorHAnsi" w:hAnsiTheme="minorHAnsi" w:cstheme="minorHAnsi"/>
        </w:rPr>
      </w:pPr>
    </w:p>
    <w:p w14:paraId="7E5EF2AD" w14:textId="3F309C5C" w:rsidR="00573E61" w:rsidRDefault="00FC3BF4" w:rsidP="00FC3BF4">
      <w:pPr>
        <w:rPr>
          <w:rFonts w:asciiTheme="minorHAnsi" w:hAnsiTheme="minorHAnsi" w:cstheme="minorHAnsi"/>
        </w:rPr>
      </w:pPr>
      <w:r w:rsidRPr="0046475E">
        <w:rPr>
          <w:rFonts w:asciiTheme="minorHAnsi" w:hAnsiTheme="minorHAnsi" w:cstheme="minorHAnsi"/>
          <w:b/>
        </w:rPr>
        <w:t>Kontrola v oblasti přípravy opatření pro krizové stavy a zajištění státních hmotných rezerv</w:t>
      </w:r>
      <w:r>
        <w:rPr>
          <w:rFonts w:asciiTheme="minorHAnsi" w:hAnsiTheme="minorHAnsi" w:cstheme="minorHAnsi"/>
        </w:rPr>
        <w:t xml:space="preserve"> byla provedena </w:t>
      </w:r>
      <w:r w:rsidR="007802F2">
        <w:rPr>
          <w:rFonts w:asciiTheme="minorHAnsi" w:hAnsiTheme="minorHAnsi" w:cstheme="minorHAnsi"/>
        </w:rPr>
        <w:t>na</w:t>
      </w:r>
      <w:r w:rsidR="008D6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vzorku státních hmotných rezerv, a to </w:t>
      </w:r>
      <w:r w:rsidR="000E04E8">
        <w:rPr>
          <w:rFonts w:asciiTheme="minorHAnsi" w:hAnsiTheme="minorHAnsi" w:cstheme="minorHAnsi"/>
        </w:rPr>
        <w:t xml:space="preserve">nouzových zásob </w:t>
      </w:r>
      <w:r>
        <w:rPr>
          <w:rFonts w:asciiTheme="minorHAnsi" w:hAnsiTheme="minorHAnsi" w:cstheme="minorHAnsi"/>
        </w:rPr>
        <w:t>ropy a ropných produktů, potravin a</w:t>
      </w:r>
      <w:r w:rsidR="008D6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osobních ochranných a</w:t>
      </w:r>
      <w:r w:rsidR="008D6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zdravotnických prostředků. </w:t>
      </w:r>
      <w:r w:rsidR="00F174E2">
        <w:rPr>
          <w:rFonts w:asciiTheme="minorHAnsi" w:hAnsiTheme="minorHAnsi" w:cstheme="minorHAnsi"/>
        </w:rPr>
        <w:t xml:space="preserve">Kontrole bylo podrobeno nejen pořizování těchto státních hmotných rezerv, ale i </w:t>
      </w:r>
      <w:r w:rsidR="005E389E">
        <w:rPr>
          <w:rFonts w:asciiTheme="minorHAnsi" w:hAnsiTheme="minorHAnsi" w:cstheme="minorHAnsi"/>
        </w:rPr>
        <w:t>zajištění jejich ochraňování a</w:t>
      </w:r>
      <w:r w:rsidR="00F174E2">
        <w:rPr>
          <w:rFonts w:asciiTheme="minorHAnsi" w:hAnsiTheme="minorHAnsi" w:cstheme="minorHAnsi"/>
        </w:rPr>
        <w:t xml:space="preserve"> </w:t>
      </w:r>
      <w:r w:rsidR="00DA0D58">
        <w:rPr>
          <w:rFonts w:asciiTheme="minorHAnsi" w:hAnsiTheme="minorHAnsi" w:cstheme="minorHAnsi"/>
        </w:rPr>
        <w:t xml:space="preserve">v případě potravin i zajištění jejich </w:t>
      </w:r>
      <w:r w:rsidR="00F174E2">
        <w:rPr>
          <w:rFonts w:asciiTheme="minorHAnsi" w:hAnsiTheme="minorHAnsi" w:cstheme="minorHAnsi"/>
        </w:rPr>
        <w:t xml:space="preserve">obměny. </w:t>
      </w:r>
    </w:p>
    <w:p w14:paraId="1B90CB24" w14:textId="77777777" w:rsidR="00963BD7" w:rsidRPr="00B54A85" w:rsidRDefault="00963BD7" w:rsidP="00FC3BF4">
      <w:pPr>
        <w:rPr>
          <w:rFonts w:asciiTheme="minorHAnsi" w:hAnsiTheme="minorHAnsi" w:cstheme="minorHAnsi"/>
          <w:color w:val="auto"/>
        </w:rPr>
      </w:pPr>
    </w:p>
    <w:p w14:paraId="1CCDD3F6" w14:textId="0C8AEE90" w:rsidR="00963BD7" w:rsidRPr="00B54A85" w:rsidRDefault="00963BD7" w:rsidP="00FC3BF4">
      <w:pPr>
        <w:rPr>
          <w:rFonts w:asciiTheme="minorHAnsi" w:hAnsiTheme="minorHAnsi" w:cstheme="minorHAnsi"/>
          <w:color w:val="auto"/>
        </w:rPr>
      </w:pPr>
      <w:r w:rsidRPr="00B54A85">
        <w:rPr>
          <w:rFonts w:eastAsia="Calibri"/>
          <w:b/>
          <w:color w:val="auto"/>
        </w:rPr>
        <w:t>Kontrola nastavení podmínek ochraňování a plnění smluvních povinností ochraňovatelů</w:t>
      </w:r>
      <w:r w:rsidRPr="00B54A85">
        <w:rPr>
          <w:rFonts w:eastAsia="Calibri"/>
          <w:color w:val="auto"/>
        </w:rPr>
        <w:t xml:space="preserve"> </w:t>
      </w:r>
      <w:r w:rsidR="005E389E" w:rsidRPr="00B54A85">
        <w:rPr>
          <w:rFonts w:eastAsia="Calibri"/>
          <w:color w:val="auto"/>
        </w:rPr>
        <w:t>byla v</w:t>
      </w:r>
      <w:r w:rsidR="00D202EB">
        <w:rPr>
          <w:rFonts w:eastAsia="Calibri"/>
          <w:color w:val="auto"/>
        </w:rPr>
        <w:t xml:space="preserve"> </w:t>
      </w:r>
      <w:r w:rsidR="005E389E" w:rsidRPr="00B54A85">
        <w:rPr>
          <w:rFonts w:eastAsia="Calibri"/>
          <w:color w:val="auto"/>
        </w:rPr>
        <w:t xml:space="preserve">případě </w:t>
      </w:r>
      <w:r w:rsidRPr="00B54A85">
        <w:rPr>
          <w:rFonts w:eastAsia="Calibri"/>
          <w:color w:val="auto"/>
        </w:rPr>
        <w:t xml:space="preserve">nouzových zásob ropy a ropných produktů provedena </w:t>
      </w:r>
      <w:r w:rsidR="005E389E" w:rsidRPr="00B54A85">
        <w:rPr>
          <w:rFonts w:eastAsia="Calibri"/>
          <w:color w:val="auto"/>
        </w:rPr>
        <w:t>u všech</w:t>
      </w:r>
      <w:r w:rsidRPr="00B54A85">
        <w:rPr>
          <w:rFonts w:eastAsia="Calibri"/>
          <w:color w:val="auto"/>
        </w:rPr>
        <w:t xml:space="preserve"> smluv </w:t>
      </w:r>
      <w:r w:rsidR="00D202EB">
        <w:rPr>
          <w:rFonts w:eastAsia="Calibri"/>
          <w:color w:val="auto"/>
        </w:rPr>
        <w:br/>
      </w:r>
      <w:r w:rsidRPr="00B54A85">
        <w:rPr>
          <w:rFonts w:eastAsia="Calibri"/>
          <w:color w:val="auto"/>
        </w:rPr>
        <w:t>o</w:t>
      </w:r>
      <w:r w:rsidR="00D202EB">
        <w:rPr>
          <w:rFonts w:eastAsia="Calibri"/>
          <w:color w:val="auto"/>
        </w:rPr>
        <w:t xml:space="preserve"> </w:t>
      </w:r>
      <w:r w:rsidRPr="00B54A85">
        <w:rPr>
          <w:rFonts w:eastAsia="Calibri"/>
          <w:color w:val="auto"/>
        </w:rPr>
        <w:t xml:space="preserve">ochraňování, </w:t>
      </w:r>
      <w:r w:rsidRPr="00B54A85">
        <w:rPr>
          <w:rFonts w:asciiTheme="minorHAnsi" w:hAnsiTheme="minorHAnsi" w:cstheme="minorHAnsi"/>
          <w:color w:val="auto"/>
          <w:lang w:eastAsia="cs-CZ"/>
        </w:rPr>
        <w:t>které byly v</w:t>
      </w:r>
      <w:r w:rsidR="00D202EB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B54A85">
        <w:rPr>
          <w:rFonts w:asciiTheme="minorHAnsi" w:hAnsiTheme="minorHAnsi" w:cstheme="minorHAnsi"/>
          <w:color w:val="auto"/>
          <w:lang w:eastAsia="cs-CZ"/>
        </w:rPr>
        <w:t xml:space="preserve">době kontroly platné a zároveň na </w:t>
      </w:r>
      <w:r w:rsidR="006C1E17">
        <w:rPr>
          <w:rFonts w:asciiTheme="minorHAnsi" w:hAnsiTheme="minorHAnsi" w:cstheme="minorHAnsi"/>
          <w:color w:val="auto"/>
          <w:lang w:eastAsia="cs-CZ"/>
        </w:rPr>
        <w:t>jej</w:t>
      </w:r>
      <w:r w:rsidR="006C1E17" w:rsidRPr="00B54A85">
        <w:rPr>
          <w:rFonts w:asciiTheme="minorHAnsi" w:hAnsiTheme="minorHAnsi" w:cstheme="minorHAnsi"/>
          <w:color w:val="auto"/>
          <w:lang w:eastAsia="cs-CZ"/>
        </w:rPr>
        <w:t xml:space="preserve">ich </w:t>
      </w:r>
      <w:r w:rsidRPr="00B54A85">
        <w:rPr>
          <w:rFonts w:asciiTheme="minorHAnsi" w:hAnsiTheme="minorHAnsi" w:cstheme="minorHAnsi"/>
          <w:color w:val="auto"/>
          <w:lang w:eastAsia="cs-CZ"/>
        </w:rPr>
        <w:t>základě skutečně probíhalo po</w:t>
      </w:r>
      <w:r w:rsidR="00432A4D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B54A85">
        <w:rPr>
          <w:rFonts w:asciiTheme="minorHAnsi" w:hAnsiTheme="minorHAnsi" w:cstheme="minorHAnsi"/>
          <w:color w:val="auto"/>
          <w:lang w:eastAsia="cs-CZ"/>
        </w:rPr>
        <w:t>celou dobu kontrolovaného období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B54A85">
        <w:rPr>
          <w:rFonts w:asciiTheme="minorHAnsi" w:hAnsiTheme="minorHAnsi" w:cstheme="minorHAnsi"/>
          <w:color w:val="auto"/>
          <w:lang w:eastAsia="cs-CZ"/>
        </w:rPr>
        <w:t>ochraňování.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 xml:space="preserve"> Kontrolovaný objem výdajů </w:t>
      </w:r>
      <w:r w:rsidR="006C1E17">
        <w:rPr>
          <w:rFonts w:asciiTheme="minorHAnsi" w:hAnsiTheme="minorHAnsi" w:cstheme="minorHAnsi"/>
          <w:color w:val="auto"/>
          <w:lang w:eastAsia="cs-CZ"/>
        </w:rPr>
        <w:t xml:space="preserve">vynaložených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na ochraňování ropy a ropných produktů v</w:t>
      </w:r>
      <w:r w:rsidR="006C1E17">
        <w:rPr>
          <w:rFonts w:asciiTheme="minorHAnsi" w:hAnsiTheme="minorHAnsi" w:cstheme="minorHAnsi"/>
          <w:color w:val="auto"/>
          <w:lang w:eastAsia="cs-CZ"/>
        </w:rPr>
        <w:t xml:space="preserve"> období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let 2016 až 2020 činil 7</w:t>
      </w:r>
      <w:r w:rsidR="00552159">
        <w:rPr>
          <w:rFonts w:asciiTheme="minorHAnsi" w:hAnsiTheme="minorHAnsi" w:cstheme="minorHAnsi"/>
          <w:color w:val="auto"/>
          <w:lang w:eastAsia="cs-CZ"/>
        </w:rPr>
        <w:t> 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27</w:t>
      </w:r>
      <w:r w:rsidR="00552159">
        <w:rPr>
          <w:rFonts w:asciiTheme="minorHAnsi" w:hAnsiTheme="minorHAnsi" w:cstheme="minorHAnsi"/>
          <w:color w:val="auto"/>
          <w:lang w:eastAsia="cs-CZ"/>
        </w:rPr>
        <w:t>1,7</w:t>
      </w:r>
      <w:r w:rsidR="006C1E17">
        <w:rPr>
          <w:rFonts w:asciiTheme="minorHAnsi" w:hAnsiTheme="minorHAnsi" w:cstheme="minorHAnsi"/>
          <w:color w:val="auto"/>
          <w:lang w:eastAsia="cs-CZ"/>
        </w:rPr>
        <w:t> 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mil. Kč. V</w:t>
      </w:r>
      <w:r w:rsidR="00D202EB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 xml:space="preserve">případě ochraňování </w:t>
      </w:r>
      <w:r w:rsidR="00DA0D58">
        <w:rPr>
          <w:rFonts w:asciiTheme="minorHAnsi" w:hAnsiTheme="minorHAnsi" w:cstheme="minorHAnsi"/>
          <w:color w:val="auto"/>
          <w:lang w:eastAsia="cs-CZ"/>
        </w:rPr>
        <w:t xml:space="preserve">a obměny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vybraných potravin byla kontrola provedena na vzorku komodit vybraných pro</w:t>
      </w:r>
      <w:r w:rsidR="008D6018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kontrolu veřejných zakázek a</w:t>
      </w:r>
      <w:r w:rsidR="008D6018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>kontrolovaný objem je zahrnut v</w:t>
      </w:r>
      <w:r w:rsidR="00D202EB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5E389E" w:rsidRPr="00B54A85">
        <w:rPr>
          <w:rFonts w:asciiTheme="minorHAnsi" w:hAnsiTheme="minorHAnsi" w:cstheme="minorHAnsi"/>
          <w:color w:val="auto"/>
          <w:lang w:eastAsia="cs-CZ"/>
        </w:rPr>
        <w:t xml:space="preserve">kontrolovaném objemu veřejných zakázek. </w:t>
      </w:r>
      <w:r w:rsidR="00DD60CA" w:rsidRPr="00B54A85">
        <w:rPr>
          <w:rFonts w:asciiTheme="minorHAnsi" w:hAnsiTheme="minorHAnsi" w:cstheme="minorHAnsi"/>
          <w:color w:val="auto"/>
          <w:lang w:eastAsia="cs-CZ"/>
        </w:rPr>
        <w:t xml:space="preserve">U </w:t>
      </w:r>
      <w:r w:rsidR="00F60130" w:rsidRPr="00B54A85">
        <w:rPr>
          <w:rFonts w:asciiTheme="minorHAnsi" w:hAnsiTheme="minorHAnsi" w:cstheme="minorHAnsi"/>
          <w:color w:val="auto"/>
          <w:lang w:eastAsia="cs-CZ"/>
        </w:rPr>
        <w:t>vzorku osobních ochranných a zdravotnických prostředků nebyla kontrola nastavení podmínek ochraňování a</w:t>
      </w:r>
      <w:r w:rsidR="006C1E17">
        <w:rPr>
          <w:rFonts w:asciiTheme="minorHAnsi" w:hAnsiTheme="minorHAnsi" w:cstheme="minorHAnsi"/>
          <w:color w:val="auto"/>
          <w:lang w:eastAsia="cs-CZ"/>
        </w:rPr>
        <w:t> </w:t>
      </w:r>
      <w:r w:rsidR="00F60130" w:rsidRPr="00B54A85">
        <w:rPr>
          <w:rFonts w:asciiTheme="minorHAnsi" w:hAnsiTheme="minorHAnsi" w:cstheme="minorHAnsi"/>
          <w:color w:val="auto"/>
          <w:lang w:eastAsia="cs-CZ"/>
        </w:rPr>
        <w:t>plnění smluvních povinnost</w:t>
      </w:r>
      <w:r w:rsidR="00CE06E1" w:rsidRPr="00B54A85">
        <w:rPr>
          <w:rFonts w:asciiTheme="minorHAnsi" w:hAnsiTheme="minorHAnsi" w:cstheme="minorHAnsi"/>
          <w:color w:val="auto"/>
          <w:lang w:eastAsia="cs-CZ"/>
        </w:rPr>
        <w:t>í</w:t>
      </w:r>
      <w:r w:rsidR="00F60130" w:rsidRPr="00B54A85">
        <w:rPr>
          <w:rFonts w:asciiTheme="minorHAnsi" w:hAnsiTheme="minorHAnsi" w:cstheme="minorHAnsi"/>
          <w:color w:val="auto"/>
          <w:lang w:eastAsia="cs-CZ"/>
        </w:rPr>
        <w:t xml:space="preserve"> ochraňovatelů </w:t>
      </w:r>
      <w:r w:rsidR="006C1E17">
        <w:rPr>
          <w:rFonts w:asciiTheme="minorHAnsi" w:hAnsiTheme="minorHAnsi" w:cstheme="minorHAnsi"/>
          <w:color w:val="auto"/>
          <w:lang w:eastAsia="cs-CZ"/>
        </w:rPr>
        <w:t>realizována</w:t>
      </w:r>
      <w:r w:rsidR="00F60130" w:rsidRPr="00B54A85">
        <w:rPr>
          <w:rFonts w:asciiTheme="minorHAnsi" w:hAnsiTheme="minorHAnsi" w:cstheme="minorHAnsi"/>
          <w:color w:val="auto"/>
          <w:lang w:eastAsia="cs-CZ"/>
        </w:rPr>
        <w:t>, neboť jejich ochraňování zajiš</w:t>
      </w:r>
      <w:r w:rsidR="008D6018">
        <w:rPr>
          <w:rFonts w:asciiTheme="minorHAnsi" w:hAnsiTheme="minorHAnsi" w:cstheme="minorHAnsi"/>
          <w:color w:val="auto"/>
          <w:lang w:eastAsia="cs-CZ"/>
        </w:rPr>
        <w:t>ť</w:t>
      </w:r>
      <w:r w:rsidR="00F60130" w:rsidRPr="00B54A85">
        <w:rPr>
          <w:rFonts w:asciiTheme="minorHAnsi" w:hAnsiTheme="minorHAnsi" w:cstheme="minorHAnsi"/>
          <w:color w:val="auto"/>
          <w:lang w:eastAsia="cs-CZ"/>
        </w:rPr>
        <w:t>uje sama SSHR.</w:t>
      </w:r>
    </w:p>
    <w:p w14:paraId="1F493A78" w14:textId="77777777" w:rsidR="00384249" w:rsidRPr="00B54A85" w:rsidRDefault="00384249" w:rsidP="00FC3BF4">
      <w:pPr>
        <w:rPr>
          <w:rFonts w:asciiTheme="minorHAnsi" w:hAnsiTheme="minorHAnsi" w:cstheme="minorHAnsi"/>
          <w:color w:val="auto"/>
        </w:rPr>
      </w:pPr>
    </w:p>
    <w:p w14:paraId="5754C69D" w14:textId="0CBB8B6B" w:rsidR="00384249" w:rsidRPr="00B54A85" w:rsidRDefault="00384249" w:rsidP="00FC3BF4">
      <w:pPr>
        <w:rPr>
          <w:rFonts w:asciiTheme="minorHAnsi" w:hAnsiTheme="minorHAnsi" w:cstheme="minorHAnsi"/>
          <w:color w:val="auto"/>
        </w:rPr>
      </w:pPr>
      <w:r w:rsidRPr="00B54A85">
        <w:rPr>
          <w:rFonts w:asciiTheme="minorHAnsi" w:hAnsiTheme="minorHAnsi" w:cstheme="minorHAnsi"/>
          <w:b/>
          <w:color w:val="auto"/>
        </w:rPr>
        <w:t>Kontrola veřejných zakázek</w:t>
      </w:r>
      <w:r w:rsidRPr="00B54A85">
        <w:rPr>
          <w:rFonts w:asciiTheme="minorHAnsi" w:hAnsiTheme="minorHAnsi" w:cstheme="minorHAnsi"/>
          <w:color w:val="auto"/>
        </w:rPr>
        <w:t xml:space="preserve"> byla provedena </w:t>
      </w:r>
      <w:r w:rsidR="00D85A55" w:rsidRPr="00B54A85">
        <w:rPr>
          <w:rFonts w:asciiTheme="minorHAnsi" w:hAnsiTheme="minorHAnsi" w:cstheme="minorHAnsi"/>
          <w:color w:val="auto"/>
        </w:rPr>
        <w:t>na</w:t>
      </w:r>
      <w:r w:rsidRPr="00B54A85">
        <w:rPr>
          <w:rFonts w:asciiTheme="minorHAnsi" w:hAnsiTheme="minorHAnsi" w:cstheme="minorHAnsi"/>
          <w:color w:val="auto"/>
        </w:rPr>
        <w:t xml:space="preserve"> vzorku 15 veřejných zakázek: nákupy benzinu, motorové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nafty</w:t>
      </w:r>
      <w:r w:rsidRPr="00B54A85">
        <w:rPr>
          <w:rFonts w:asciiTheme="minorHAnsi" w:hAnsiTheme="minorHAnsi" w:cstheme="minorHAnsi"/>
          <w:color w:val="auto"/>
        </w:rPr>
        <w:t>, leteckého petroleje, filtračních polomasek FFP3, ochranných obleků, plicních ventilátorů, vyšetřovacích ochranných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rukavic</w:t>
      </w:r>
      <w:r w:rsidRPr="00B54A85">
        <w:rPr>
          <w:rFonts w:asciiTheme="minorHAnsi" w:hAnsiTheme="minorHAnsi" w:cstheme="minorHAnsi"/>
          <w:color w:val="auto"/>
        </w:rPr>
        <w:t>, sušeného plnotučného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mléka</w:t>
      </w:r>
      <w:r w:rsidRPr="00B54A85">
        <w:rPr>
          <w:rFonts w:asciiTheme="minorHAnsi" w:hAnsiTheme="minorHAnsi" w:cstheme="minorHAnsi"/>
          <w:color w:val="auto"/>
        </w:rPr>
        <w:t>, stolního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másla</w:t>
      </w:r>
      <w:r w:rsidRPr="00B54A85">
        <w:rPr>
          <w:rFonts w:asciiTheme="minorHAnsi" w:hAnsiTheme="minorHAnsi" w:cstheme="minorHAnsi"/>
          <w:color w:val="auto"/>
        </w:rPr>
        <w:t>, zmrazeného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masa</w:t>
      </w:r>
      <w:r w:rsidRPr="00B54A85">
        <w:rPr>
          <w:rFonts w:asciiTheme="minorHAnsi" w:hAnsiTheme="minorHAnsi" w:cstheme="minorHAnsi"/>
          <w:color w:val="auto"/>
        </w:rPr>
        <w:t>, přírodních</w:t>
      </w:r>
      <w:r w:rsidR="006C1E17" w:rsidRPr="006C1E17">
        <w:rPr>
          <w:rFonts w:asciiTheme="minorHAnsi" w:hAnsiTheme="minorHAnsi" w:cstheme="minorHAnsi"/>
          <w:color w:val="auto"/>
        </w:rPr>
        <w:t xml:space="preserve"> </w:t>
      </w:r>
      <w:r w:rsidR="006C1E17" w:rsidRPr="00B54A85">
        <w:rPr>
          <w:rFonts w:asciiTheme="minorHAnsi" w:hAnsiTheme="minorHAnsi" w:cstheme="minorHAnsi"/>
          <w:color w:val="auto"/>
        </w:rPr>
        <w:t>sýrů</w:t>
      </w:r>
      <w:r w:rsidRPr="00B54A85">
        <w:rPr>
          <w:rFonts w:asciiTheme="minorHAnsi" w:hAnsiTheme="minorHAnsi" w:cstheme="minorHAnsi"/>
          <w:color w:val="auto"/>
        </w:rPr>
        <w:t xml:space="preserve">, cukru krystalu, pořízení majetku pro videokonference, pořízení technického zhodnocení sila Blovice a </w:t>
      </w:r>
      <w:r w:rsidR="00840E0E">
        <w:rPr>
          <w:rFonts w:asciiTheme="minorHAnsi" w:hAnsiTheme="minorHAnsi" w:cstheme="minorHAnsi"/>
          <w:color w:val="auto"/>
        </w:rPr>
        <w:t>s</w:t>
      </w:r>
      <w:r w:rsidR="002D1E8E">
        <w:rPr>
          <w:rFonts w:asciiTheme="minorHAnsi" w:hAnsiTheme="minorHAnsi" w:cstheme="minorHAnsi"/>
          <w:color w:val="auto"/>
        </w:rPr>
        <w:t xml:space="preserve"> </w:t>
      </w:r>
      <w:r w:rsidR="00840E0E">
        <w:rPr>
          <w:rFonts w:asciiTheme="minorHAnsi" w:hAnsiTheme="minorHAnsi" w:cstheme="minorHAnsi"/>
          <w:color w:val="auto"/>
        </w:rPr>
        <w:t xml:space="preserve">tím souvisejícího </w:t>
      </w:r>
      <w:r w:rsidRPr="00B54A85">
        <w:rPr>
          <w:rFonts w:asciiTheme="minorHAnsi" w:hAnsiTheme="minorHAnsi" w:cstheme="minorHAnsi"/>
          <w:color w:val="auto"/>
        </w:rPr>
        <w:t>výkonu správce stavby sila Blovice.</w:t>
      </w:r>
      <w:r w:rsidR="00D85A55" w:rsidRPr="00B54A85">
        <w:rPr>
          <w:rFonts w:asciiTheme="minorHAnsi" w:hAnsiTheme="minorHAnsi" w:cstheme="minorHAnsi"/>
          <w:color w:val="auto"/>
        </w:rPr>
        <w:t xml:space="preserve"> Finanční objem zkontrolovaných veřejných zakázek činil</w:t>
      </w:r>
      <w:r w:rsidR="008D6018">
        <w:rPr>
          <w:rFonts w:asciiTheme="minorHAnsi" w:hAnsiTheme="minorHAnsi" w:cstheme="minorHAnsi"/>
          <w:color w:val="auto"/>
        </w:rPr>
        <w:t xml:space="preserve"> </w:t>
      </w:r>
      <w:r w:rsidR="00D85A55" w:rsidRPr="00B54A85">
        <w:rPr>
          <w:rFonts w:asciiTheme="minorHAnsi" w:hAnsiTheme="minorHAnsi" w:cstheme="minorHAnsi"/>
          <w:color w:val="auto"/>
        </w:rPr>
        <w:t>1</w:t>
      </w:r>
      <w:r w:rsidR="00552159">
        <w:rPr>
          <w:rFonts w:asciiTheme="minorHAnsi" w:hAnsiTheme="minorHAnsi" w:cstheme="minorHAnsi"/>
          <w:color w:val="auto"/>
        </w:rPr>
        <w:t> </w:t>
      </w:r>
      <w:r w:rsidR="00D85A55" w:rsidRPr="00B54A85">
        <w:rPr>
          <w:rFonts w:asciiTheme="minorHAnsi" w:hAnsiTheme="minorHAnsi" w:cstheme="minorHAnsi"/>
          <w:color w:val="auto"/>
        </w:rPr>
        <w:t>841</w:t>
      </w:r>
      <w:r w:rsidR="00552159">
        <w:rPr>
          <w:rFonts w:asciiTheme="minorHAnsi" w:hAnsiTheme="minorHAnsi" w:cstheme="minorHAnsi"/>
          <w:color w:val="auto"/>
        </w:rPr>
        <w:t>,2</w:t>
      </w:r>
      <w:r w:rsidR="00D85A55" w:rsidRPr="00B54A85">
        <w:rPr>
          <w:rFonts w:asciiTheme="minorHAnsi" w:hAnsiTheme="minorHAnsi" w:cstheme="minorHAnsi"/>
          <w:color w:val="auto"/>
        </w:rPr>
        <w:t> mil. Kč.</w:t>
      </w:r>
    </w:p>
    <w:p w14:paraId="6A5457A3" w14:textId="77777777" w:rsidR="00573E61" w:rsidRPr="00B54A85" w:rsidRDefault="00573E61" w:rsidP="00FC3BF4">
      <w:pPr>
        <w:rPr>
          <w:rFonts w:asciiTheme="minorHAnsi" w:hAnsiTheme="minorHAnsi" w:cstheme="minorHAnsi"/>
          <w:color w:val="auto"/>
        </w:rPr>
      </w:pPr>
    </w:p>
    <w:p w14:paraId="40B309EA" w14:textId="17F36665" w:rsidR="00FC3BF4" w:rsidRPr="00B54A85" w:rsidRDefault="00FC3BF4" w:rsidP="00FC3BF4">
      <w:pPr>
        <w:rPr>
          <w:rFonts w:asciiTheme="minorHAnsi" w:hAnsiTheme="minorHAnsi" w:cstheme="minorHAnsi"/>
          <w:color w:val="auto"/>
        </w:rPr>
      </w:pPr>
      <w:r w:rsidRPr="00B54A85">
        <w:rPr>
          <w:rFonts w:asciiTheme="minorHAnsi" w:hAnsiTheme="minorHAnsi" w:cstheme="minorHAnsi"/>
          <w:b/>
          <w:color w:val="auto"/>
        </w:rPr>
        <w:t>Kontrola nakládání s</w:t>
      </w:r>
      <w:r w:rsidR="00126CB7" w:rsidRPr="00B54A85">
        <w:rPr>
          <w:rFonts w:asciiTheme="minorHAnsi" w:hAnsiTheme="minorHAnsi" w:cstheme="minorHAnsi"/>
          <w:b/>
          <w:color w:val="auto"/>
        </w:rPr>
        <w:t> </w:t>
      </w:r>
      <w:r w:rsidRPr="00B54A85">
        <w:rPr>
          <w:rFonts w:asciiTheme="minorHAnsi" w:hAnsiTheme="minorHAnsi" w:cstheme="minorHAnsi"/>
          <w:b/>
          <w:color w:val="auto"/>
        </w:rPr>
        <w:t>majetke</w:t>
      </w:r>
      <w:r w:rsidR="00126CB7" w:rsidRPr="00B54A85">
        <w:rPr>
          <w:rFonts w:asciiTheme="minorHAnsi" w:hAnsiTheme="minorHAnsi" w:cstheme="minorHAnsi"/>
          <w:b/>
          <w:color w:val="auto"/>
        </w:rPr>
        <w:t>m</w:t>
      </w:r>
      <w:r w:rsidRPr="00B54A85">
        <w:rPr>
          <w:rFonts w:asciiTheme="minorHAnsi" w:hAnsiTheme="minorHAnsi" w:cstheme="minorHAnsi"/>
          <w:color w:val="auto"/>
        </w:rPr>
        <w:t xml:space="preserve"> byla provedena</w:t>
      </w:r>
      <w:r w:rsidR="005E389E" w:rsidRPr="00B54A85">
        <w:rPr>
          <w:rFonts w:asciiTheme="minorHAnsi" w:hAnsiTheme="minorHAnsi" w:cstheme="minorHAnsi"/>
          <w:color w:val="auto"/>
        </w:rPr>
        <w:t xml:space="preserve"> na vzorku z oblasti prodejů nemovitého majetku</w:t>
      </w:r>
      <w:r w:rsidR="00126CB7" w:rsidRPr="00B54A85">
        <w:rPr>
          <w:rFonts w:asciiTheme="minorHAnsi" w:hAnsiTheme="minorHAnsi" w:cstheme="minorHAnsi"/>
          <w:color w:val="auto"/>
        </w:rPr>
        <w:t xml:space="preserve"> a vyřazování </w:t>
      </w:r>
      <w:r w:rsidR="00DD60CA" w:rsidRPr="00B54A85">
        <w:rPr>
          <w:rFonts w:asciiTheme="minorHAnsi" w:hAnsiTheme="minorHAnsi" w:cstheme="minorHAnsi"/>
          <w:color w:val="auto"/>
        </w:rPr>
        <w:t>tohoto</w:t>
      </w:r>
      <w:r w:rsidR="00126CB7" w:rsidRPr="00B54A85">
        <w:rPr>
          <w:rFonts w:asciiTheme="minorHAnsi" w:hAnsiTheme="minorHAnsi" w:cstheme="minorHAnsi"/>
          <w:color w:val="auto"/>
        </w:rPr>
        <w:t xml:space="preserve"> majetku z majetkové evidence</w:t>
      </w:r>
      <w:r w:rsidR="00F60130" w:rsidRPr="00B54A85">
        <w:rPr>
          <w:rFonts w:asciiTheme="minorHAnsi" w:hAnsiTheme="minorHAnsi" w:cstheme="minorHAnsi"/>
          <w:color w:val="auto"/>
        </w:rPr>
        <w:t xml:space="preserve"> a </w:t>
      </w:r>
      <w:r w:rsidR="005E389E" w:rsidRPr="00B54A85">
        <w:rPr>
          <w:rFonts w:asciiTheme="minorHAnsi" w:hAnsiTheme="minorHAnsi" w:cstheme="minorHAnsi"/>
          <w:color w:val="auto"/>
        </w:rPr>
        <w:t>pronájmů nemovitého majetku</w:t>
      </w:r>
      <w:r w:rsidR="00F60130" w:rsidRPr="00B54A85">
        <w:rPr>
          <w:rFonts w:asciiTheme="minorHAnsi" w:hAnsiTheme="minorHAnsi" w:cstheme="minorHAnsi"/>
          <w:color w:val="auto"/>
        </w:rPr>
        <w:t xml:space="preserve">. Dále byla kontrole podrobena </w:t>
      </w:r>
      <w:r w:rsidR="00126CB7" w:rsidRPr="00B54A85">
        <w:rPr>
          <w:rFonts w:asciiTheme="minorHAnsi" w:hAnsiTheme="minorHAnsi" w:cstheme="minorHAnsi"/>
          <w:color w:val="auto"/>
        </w:rPr>
        <w:t xml:space="preserve">činnost SSHR jako správce programu ev. č. </w:t>
      </w:r>
      <w:r w:rsidR="00126CB7" w:rsidRPr="007A3F7C">
        <w:rPr>
          <w:rFonts w:asciiTheme="minorHAnsi" w:hAnsiTheme="minorHAnsi" w:cstheme="minorHAnsi"/>
          <w:color w:val="auto"/>
        </w:rPr>
        <w:t>174V11</w:t>
      </w:r>
      <w:r w:rsidR="00126CB7" w:rsidRPr="00B54A85">
        <w:rPr>
          <w:rFonts w:asciiTheme="minorHAnsi" w:hAnsiTheme="minorHAnsi" w:cstheme="minorHAnsi"/>
          <w:i/>
          <w:color w:val="auto"/>
        </w:rPr>
        <w:t xml:space="preserve"> Rozvoj a obnova materiálně technické základny systému řízení SSHR </w:t>
      </w:r>
      <w:r w:rsidR="00126CB7" w:rsidRPr="00B54A85">
        <w:rPr>
          <w:rFonts w:asciiTheme="minorHAnsi" w:hAnsiTheme="minorHAnsi" w:cstheme="minorHAnsi"/>
          <w:color w:val="auto"/>
        </w:rPr>
        <w:t>a</w:t>
      </w:r>
      <w:r w:rsidR="00DD60CA" w:rsidRPr="00B54A85">
        <w:rPr>
          <w:rFonts w:asciiTheme="minorHAnsi" w:hAnsiTheme="minorHAnsi" w:cstheme="minorHAnsi"/>
          <w:color w:val="auto"/>
        </w:rPr>
        <w:t xml:space="preserve"> </w:t>
      </w:r>
      <w:r w:rsidR="00126CB7" w:rsidRPr="00B54A85">
        <w:rPr>
          <w:rFonts w:asciiTheme="minorHAnsi" w:hAnsiTheme="minorHAnsi" w:cstheme="minorHAnsi"/>
          <w:color w:val="auto"/>
        </w:rPr>
        <w:t>zařazování majetku pořízeného v</w:t>
      </w:r>
      <w:r w:rsidR="008C2ED6">
        <w:rPr>
          <w:rFonts w:asciiTheme="minorHAnsi" w:hAnsiTheme="minorHAnsi" w:cstheme="minorHAnsi"/>
          <w:color w:val="auto"/>
        </w:rPr>
        <w:t xml:space="preserve"> </w:t>
      </w:r>
      <w:r w:rsidR="00126CB7" w:rsidRPr="00B54A85">
        <w:rPr>
          <w:rFonts w:asciiTheme="minorHAnsi" w:hAnsiTheme="minorHAnsi" w:cstheme="minorHAnsi"/>
          <w:color w:val="auto"/>
        </w:rPr>
        <w:t>rámci programového financování do majetkové evidence (na vzorku zařízení pro videokonference, technického zhodnocení sila Blovice a s</w:t>
      </w:r>
      <w:r w:rsidR="002D1E8E">
        <w:rPr>
          <w:rFonts w:asciiTheme="minorHAnsi" w:hAnsiTheme="minorHAnsi" w:cstheme="minorHAnsi"/>
          <w:color w:val="auto"/>
        </w:rPr>
        <w:t xml:space="preserve"> </w:t>
      </w:r>
      <w:r w:rsidR="00126CB7" w:rsidRPr="00B54A85">
        <w:rPr>
          <w:rFonts w:asciiTheme="minorHAnsi" w:hAnsiTheme="minorHAnsi" w:cstheme="minorHAnsi"/>
          <w:color w:val="auto"/>
        </w:rPr>
        <w:t>tím sou</w:t>
      </w:r>
      <w:r w:rsidR="00785DFE" w:rsidRPr="00B54A85">
        <w:rPr>
          <w:rFonts w:asciiTheme="minorHAnsi" w:hAnsiTheme="minorHAnsi" w:cstheme="minorHAnsi"/>
          <w:color w:val="auto"/>
        </w:rPr>
        <w:t xml:space="preserve">visejícího výkonu </w:t>
      </w:r>
      <w:r w:rsidR="00785DFE" w:rsidRPr="00B54A85">
        <w:rPr>
          <w:rFonts w:asciiTheme="minorHAnsi" w:hAnsiTheme="minorHAnsi" w:cstheme="minorHAnsi"/>
          <w:color w:val="auto"/>
        </w:rPr>
        <w:lastRenderedPageBreak/>
        <w:t>funkce správce stavby)</w:t>
      </w:r>
      <w:r w:rsidR="00126CB7" w:rsidRPr="00B54A85">
        <w:rPr>
          <w:rFonts w:asciiTheme="minorHAnsi" w:hAnsiTheme="minorHAnsi" w:cstheme="minorHAnsi"/>
          <w:color w:val="auto"/>
        </w:rPr>
        <w:t>. Kontrole byl</w:t>
      </w:r>
      <w:r w:rsidR="008D180F" w:rsidRPr="00B54A85">
        <w:rPr>
          <w:rFonts w:asciiTheme="minorHAnsi" w:hAnsiTheme="minorHAnsi" w:cstheme="minorHAnsi"/>
          <w:color w:val="auto"/>
        </w:rPr>
        <w:t>o</w:t>
      </w:r>
      <w:r w:rsidR="00126CB7" w:rsidRPr="00B54A85">
        <w:rPr>
          <w:rFonts w:asciiTheme="minorHAnsi" w:hAnsiTheme="minorHAnsi" w:cstheme="minorHAnsi"/>
          <w:color w:val="auto"/>
        </w:rPr>
        <w:t xml:space="preserve"> dále podroben</w:t>
      </w:r>
      <w:r w:rsidR="00785DFE" w:rsidRPr="00B54A85">
        <w:rPr>
          <w:rFonts w:asciiTheme="minorHAnsi" w:hAnsiTheme="minorHAnsi" w:cstheme="minorHAnsi"/>
          <w:color w:val="auto"/>
        </w:rPr>
        <w:t xml:space="preserve">o </w:t>
      </w:r>
      <w:r w:rsidR="00126CB7" w:rsidRPr="00B54A85">
        <w:rPr>
          <w:rFonts w:asciiTheme="minorHAnsi" w:hAnsiTheme="minorHAnsi" w:cstheme="minorHAnsi"/>
          <w:color w:val="auto"/>
        </w:rPr>
        <w:t>provádění řádné inventarizace. Kontrolovaný objem u vzorku šesti prodejů nemovitého majetku a jeho vyřazení z majetkové evidence činil 49</w:t>
      </w:r>
      <w:r w:rsidR="00552159">
        <w:rPr>
          <w:rFonts w:asciiTheme="minorHAnsi" w:hAnsiTheme="minorHAnsi" w:cstheme="minorHAnsi"/>
          <w:color w:val="auto"/>
        </w:rPr>
        <w:t xml:space="preserve">,3 </w:t>
      </w:r>
      <w:r w:rsidR="00126CB7" w:rsidRPr="00B54A85">
        <w:rPr>
          <w:rFonts w:asciiTheme="minorHAnsi" w:hAnsiTheme="minorHAnsi" w:cstheme="minorHAnsi"/>
          <w:color w:val="auto"/>
        </w:rPr>
        <w:t>mil.</w:t>
      </w:r>
      <w:r w:rsidR="008C2ED6">
        <w:rPr>
          <w:rFonts w:asciiTheme="minorHAnsi" w:hAnsiTheme="minorHAnsi" w:cstheme="minorHAnsi"/>
          <w:color w:val="auto"/>
        </w:rPr>
        <w:t xml:space="preserve"> </w:t>
      </w:r>
      <w:r w:rsidR="00126CB7" w:rsidRPr="00B54A85">
        <w:rPr>
          <w:rFonts w:asciiTheme="minorHAnsi" w:hAnsiTheme="minorHAnsi" w:cstheme="minorHAnsi"/>
          <w:color w:val="auto"/>
        </w:rPr>
        <w:t>Kč. U vzorku sedmi pronájmů nemovitého majetku, u kterého byla SSHR v</w:t>
      </w:r>
      <w:r w:rsidR="008C2ED6">
        <w:rPr>
          <w:rFonts w:asciiTheme="minorHAnsi" w:hAnsiTheme="minorHAnsi" w:cstheme="minorHAnsi"/>
          <w:color w:val="auto"/>
        </w:rPr>
        <w:t xml:space="preserve"> </w:t>
      </w:r>
      <w:r w:rsidR="00126CB7" w:rsidRPr="00B54A85">
        <w:rPr>
          <w:rFonts w:asciiTheme="minorHAnsi" w:hAnsiTheme="minorHAnsi" w:cstheme="minorHAnsi"/>
          <w:color w:val="auto"/>
        </w:rPr>
        <w:t>pozici pronajímatele</w:t>
      </w:r>
      <w:r w:rsidR="009429D0" w:rsidRPr="00B54A85">
        <w:rPr>
          <w:rFonts w:asciiTheme="minorHAnsi" w:hAnsiTheme="minorHAnsi" w:cstheme="minorHAnsi"/>
          <w:color w:val="auto"/>
        </w:rPr>
        <w:t>,</w:t>
      </w:r>
      <w:r w:rsidR="00126CB7" w:rsidRPr="00B54A85">
        <w:rPr>
          <w:rFonts w:asciiTheme="minorHAnsi" w:hAnsiTheme="minorHAnsi" w:cstheme="minorHAnsi"/>
          <w:color w:val="auto"/>
        </w:rPr>
        <w:t xml:space="preserve"> </w:t>
      </w:r>
      <w:r w:rsidR="008D180F" w:rsidRPr="00B54A85">
        <w:rPr>
          <w:rFonts w:asciiTheme="minorHAnsi" w:hAnsiTheme="minorHAnsi" w:cstheme="minorHAnsi"/>
          <w:color w:val="auto"/>
        </w:rPr>
        <w:t>činil</w:t>
      </w:r>
      <w:r w:rsidR="00126CB7" w:rsidRPr="00B54A85">
        <w:rPr>
          <w:rFonts w:asciiTheme="minorHAnsi" w:hAnsiTheme="minorHAnsi" w:cstheme="minorHAnsi"/>
          <w:color w:val="auto"/>
        </w:rPr>
        <w:t xml:space="preserve"> kontrolovaný objem </w:t>
      </w:r>
      <w:r w:rsidR="00552159">
        <w:rPr>
          <w:rFonts w:asciiTheme="minorHAnsi" w:hAnsiTheme="minorHAnsi" w:cstheme="minorHAnsi"/>
          <w:color w:val="auto"/>
        </w:rPr>
        <w:t>19,8</w:t>
      </w:r>
      <w:r w:rsidR="00126CB7" w:rsidRPr="00B54A85">
        <w:rPr>
          <w:rFonts w:asciiTheme="minorHAnsi" w:hAnsiTheme="minorHAnsi" w:cstheme="minorHAnsi"/>
          <w:color w:val="auto"/>
        </w:rPr>
        <w:t xml:space="preserve"> mil. Kč. Kontrolovaný objem u</w:t>
      </w:r>
      <w:r w:rsidR="008D180F" w:rsidRPr="00B54A85">
        <w:rPr>
          <w:rFonts w:asciiTheme="minorHAnsi" w:hAnsiTheme="minorHAnsi" w:cstheme="minorHAnsi"/>
          <w:color w:val="auto"/>
        </w:rPr>
        <w:t> </w:t>
      </w:r>
      <w:r w:rsidR="00126CB7" w:rsidRPr="00B54A85">
        <w:rPr>
          <w:rFonts w:asciiTheme="minorHAnsi" w:hAnsiTheme="minorHAnsi" w:cstheme="minorHAnsi"/>
          <w:color w:val="auto"/>
        </w:rPr>
        <w:t xml:space="preserve">programu ev. č. </w:t>
      </w:r>
      <w:r w:rsidR="00126CB7" w:rsidRPr="007A3F7C">
        <w:rPr>
          <w:rFonts w:asciiTheme="minorHAnsi" w:hAnsiTheme="minorHAnsi" w:cstheme="minorHAnsi"/>
          <w:color w:val="auto"/>
        </w:rPr>
        <w:t>174V11</w:t>
      </w:r>
      <w:r w:rsidR="00126CB7" w:rsidRPr="00B54A85">
        <w:rPr>
          <w:rFonts w:asciiTheme="minorHAnsi" w:hAnsiTheme="minorHAnsi" w:cstheme="minorHAnsi"/>
          <w:i/>
          <w:color w:val="auto"/>
        </w:rPr>
        <w:t xml:space="preserve"> Rozvoj a obnova materiálně technické základny systému řízení SSHR </w:t>
      </w:r>
      <w:r w:rsidR="00126CB7" w:rsidRPr="00B54A85">
        <w:rPr>
          <w:rFonts w:asciiTheme="minorHAnsi" w:hAnsiTheme="minorHAnsi" w:cstheme="minorHAnsi"/>
          <w:color w:val="auto"/>
        </w:rPr>
        <w:t>činil 74</w:t>
      </w:r>
      <w:r w:rsidR="00552159">
        <w:rPr>
          <w:rFonts w:asciiTheme="minorHAnsi" w:hAnsiTheme="minorHAnsi" w:cstheme="minorHAnsi"/>
          <w:color w:val="auto"/>
        </w:rPr>
        <w:t>5,7</w:t>
      </w:r>
      <w:r w:rsidR="00126CB7" w:rsidRPr="00B54A85">
        <w:rPr>
          <w:rFonts w:asciiTheme="minorHAnsi" w:hAnsiTheme="minorHAnsi" w:cstheme="minorHAnsi"/>
          <w:color w:val="auto"/>
        </w:rPr>
        <w:t xml:space="preserve"> mil. Kč, což byla výše čerpaných peněžních prostředků na realizac</w:t>
      </w:r>
      <w:r w:rsidR="008D180F" w:rsidRPr="00B54A85">
        <w:rPr>
          <w:rFonts w:asciiTheme="minorHAnsi" w:hAnsiTheme="minorHAnsi" w:cstheme="minorHAnsi"/>
          <w:color w:val="auto"/>
        </w:rPr>
        <w:t>i</w:t>
      </w:r>
      <w:r w:rsidR="00126CB7" w:rsidRPr="00B54A85">
        <w:rPr>
          <w:rFonts w:asciiTheme="minorHAnsi" w:hAnsiTheme="minorHAnsi" w:cstheme="minorHAnsi"/>
          <w:color w:val="auto"/>
        </w:rPr>
        <w:t xml:space="preserve"> programu se stavem k 31. prosinci 2020. </w:t>
      </w:r>
      <w:r w:rsidR="0046475E" w:rsidRPr="00B54A85">
        <w:rPr>
          <w:rFonts w:asciiTheme="minorHAnsi" w:hAnsiTheme="minorHAnsi" w:cstheme="minorHAnsi"/>
          <w:color w:val="auto"/>
        </w:rPr>
        <w:t>Kontrola provádění řádné inventarizace byla provedena u</w:t>
      </w:r>
      <w:r w:rsidR="008D180F" w:rsidRPr="00B54A85">
        <w:rPr>
          <w:rFonts w:asciiTheme="minorHAnsi" w:hAnsiTheme="minorHAnsi" w:cstheme="minorHAnsi"/>
          <w:color w:val="auto"/>
        </w:rPr>
        <w:t> </w:t>
      </w:r>
      <w:r w:rsidR="0046475E" w:rsidRPr="00B54A85">
        <w:rPr>
          <w:rFonts w:asciiTheme="minorHAnsi" w:hAnsiTheme="minorHAnsi" w:cstheme="minorHAnsi"/>
          <w:color w:val="auto"/>
        </w:rPr>
        <w:t>inventarizace za rok 2020</w:t>
      </w:r>
      <w:r w:rsidR="005E389E" w:rsidRPr="00B54A85">
        <w:rPr>
          <w:rFonts w:asciiTheme="minorHAnsi" w:hAnsiTheme="minorHAnsi" w:cstheme="minorHAnsi"/>
          <w:color w:val="auto"/>
        </w:rPr>
        <w:t>, v</w:t>
      </w:r>
      <w:r w:rsidR="00DA0D58">
        <w:rPr>
          <w:rFonts w:asciiTheme="minorHAnsi" w:hAnsiTheme="minorHAnsi" w:cstheme="minorHAnsi"/>
          <w:color w:val="auto"/>
        </w:rPr>
        <w:t>e</w:t>
      </w:r>
      <w:r w:rsidR="008D6018">
        <w:rPr>
          <w:rFonts w:asciiTheme="minorHAnsi" w:hAnsiTheme="minorHAnsi" w:cstheme="minorHAnsi"/>
          <w:color w:val="auto"/>
        </w:rPr>
        <w:t xml:space="preserve"> </w:t>
      </w:r>
      <w:r w:rsidR="005E389E" w:rsidRPr="00B54A85">
        <w:rPr>
          <w:rFonts w:asciiTheme="minorHAnsi" w:hAnsiTheme="minorHAnsi" w:cstheme="minorHAnsi"/>
          <w:color w:val="auto"/>
        </w:rPr>
        <w:t>kterém činila hodnota aktiv SSHR ke dni 31. prosince celkem 36</w:t>
      </w:r>
      <w:r w:rsidR="00552159">
        <w:rPr>
          <w:rFonts w:asciiTheme="minorHAnsi" w:hAnsiTheme="minorHAnsi" w:cstheme="minorHAnsi"/>
          <w:color w:val="auto"/>
        </w:rPr>
        <w:t> </w:t>
      </w:r>
      <w:r w:rsidR="005E389E" w:rsidRPr="00B54A85">
        <w:rPr>
          <w:rFonts w:asciiTheme="minorHAnsi" w:hAnsiTheme="minorHAnsi" w:cstheme="minorHAnsi"/>
          <w:color w:val="auto"/>
        </w:rPr>
        <w:t>136</w:t>
      </w:r>
      <w:r w:rsidR="00552159">
        <w:rPr>
          <w:rFonts w:asciiTheme="minorHAnsi" w:hAnsiTheme="minorHAnsi" w:cstheme="minorHAnsi"/>
          <w:color w:val="auto"/>
        </w:rPr>
        <w:t>,1</w:t>
      </w:r>
      <w:r w:rsidR="005E389E" w:rsidRPr="00B54A85">
        <w:rPr>
          <w:rFonts w:asciiTheme="minorHAnsi" w:hAnsiTheme="minorHAnsi" w:cstheme="minorHAnsi"/>
          <w:color w:val="auto"/>
        </w:rPr>
        <w:t xml:space="preserve"> mil. Kč.</w:t>
      </w:r>
      <w:r w:rsidR="00785DFE" w:rsidRPr="00B54A85">
        <w:rPr>
          <w:rFonts w:asciiTheme="minorHAnsi" w:hAnsiTheme="minorHAnsi" w:cstheme="minorHAnsi"/>
          <w:color w:val="auto"/>
        </w:rPr>
        <w:t xml:space="preserve"> Do kontroly byl</w:t>
      </w:r>
      <w:r w:rsidR="00DD60CA" w:rsidRPr="00B54A85">
        <w:rPr>
          <w:rFonts w:asciiTheme="minorHAnsi" w:hAnsiTheme="minorHAnsi" w:cstheme="minorHAnsi"/>
          <w:color w:val="auto"/>
        </w:rPr>
        <w:t>o</w:t>
      </w:r>
      <w:r w:rsidR="00785DFE" w:rsidRPr="00B54A85">
        <w:rPr>
          <w:rFonts w:asciiTheme="minorHAnsi" w:hAnsiTheme="minorHAnsi" w:cstheme="minorHAnsi"/>
          <w:color w:val="auto"/>
        </w:rPr>
        <w:t xml:space="preserve"> zahrnuto </w:t>
      </w:r>
      <w:r w:rsidR="00753BC3" w:rsidRPr="00B54A85">
        <w:rPr>
          <w:rFonts w:asciiTheme="minorHAnsi" w:hAnsiTheme="minorHAnsi" w:cstheme="minorHAnsi"/>
          <w:color w:val="auto"/>
        </w:rPr>
        <w:t xml:space="preserve">i </w:t>
      </w:r>
      <w:r w:rsidR="00785DFE" w:rsidRPr="00B54A85">
        <w:rPr>
          <w:rFonts w:asciiTheme="minorHAnsi" w:hAnsiTheme="minorHAnsi" w:cstheme="minorHAnsi"/>
          <w:color w:val="auto"/>
        </w:rPr>
        <w:t xml:space="preserve">nakládání s přijatými úroky na zvláštních účtech </w:t>
      </w:r>
      <w:r w:rsidR="00FE158C" w:rsidRPr="00FE158C">
        <w:rPr>
          <w:rFonts w:asciiTheme="minorHAnsi" w:hAnsiTheme="minorHAnsi" w:cstheme="minorHAnsi"/>
          <w:color w:val="auto"/>
        </w:rPr>
        <w:t>k</w:t>
      </w:r>
      <w:r w:rsidR="00FE158C">
        <w:rPr>
          <w:rFonts w:asciiTheme="minorHAnsi" w:hAnsiTheme="minorHAnsi" w:cstheme="minorHAnsi"/>
          <w:color w:val="auto"/>
        </w:rPr>
        <w:t> </w:t>
      </w:r>
      <w:r w:rsidR="00FE158C" w:rsidRPr="00FE158C">
        <w:rPr>
          <w:rFonts w:asciiTheme="minorHAnsi" w:hAnsiTheme="minorHAnsi" w:cstheme="minorHAnsi"/>
          <w:color w:val="auto"/>
        </w:rPr>
        <w:t>financování obměn a záměn státních hmotných rezerv</w:t>
      </w:r>
      <w:r w:rsidR="00432791" w:rsidRPr="00B54A85">
        <w:rPr>
          <w:rFonts w:asciiTheme="minorHAnsi" w:hAnsiTheme="minorHAnsi" w:cstheme="minorHAnsi"/>
          <w:color w:val="auto"/>
        </w:rPr>
        <w:t xml:space="preserve"> v roce 2020</w:t>
      </w:r>
      <w:r w:rsidR="00785DFE" w:rsidRPr="00B54A85">
        <w:rPr>
          <w:rFonts w:asciiTheme="minorHAnsi" w:hAnsiTheme="minorHAnsi" w:cstheme="minorHAnsi"/>
          <w:color w:val="auto"/>
        </w:rPr>
        <w:t xml:space="preserve"> ve výši 0,271 mil. Kč.</w:t>
      </w:r>
    </w:p>
    <w:p w14:paraId="2F903FF5" w14:textId="77777777" w:rsidR="00C828B7" w:rsidRDefault="00C828B7" w:rsidP="00FC3BF4">
      <w:pPr>
        <w:rPr>
          <w:b/>
          <w:bCs/>
          <w:sz w:val="22"/>
          <w:szCs w:val="22"/>
          <w:lang w:eastAsia="cs-CZ"/>
        </w:rPr>
      </w:pPr>
    </w:p>
    <w:p w14:paraId="4BF26DB3" w14:textId="1C7AE6AF" w:rsidR="009B3CB1" w:rsidRDefault="009B3CB1" w:rsidP="0044705E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DC5FA5">
        <w:rPr>
          <w:rFonts w:asciiTheme="minorHAnsi" w:hAnsiTheme="minorHAnsi" w:cstheme="minorHAnsi"/>
          <w:b/>
          <w:sz w:val="20"/>
          <w:szCs w:val="20"/>
        </w:rPr>
        <w:t>Pozn.: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705E">
        <w:rPr>
          <w:rFonts w:asciiTheme="minorHAnsi" w:hAnsiTheme="minorHAnsi" w:cstheme="minorHAnsi"/>
          <w:sz w:val="20"/>
          <w:szCs w:val="20"/>
        </w:rPr>
        <w:tab/>
      </w:r>
      <w:r w:rsidRPr="00DC5FA5">
        <w:rPr>
          <w:rFonts w:asciiTheme="minorHAnsi" w:hAnsiTheme="minorHAnsi" w:cstheme="minorHAnsi"/>
          <w:sz w:val="20"/>
          <w:szCs w:val="20"/>
        </w:rPr>
        <w:t xml:space="preserve">Právní předpisy uvedené v tomto kontrolním </w:t>
      </w:r>
      <w:r w:rsidR="002206D0">
        <w:rPr>
          <w:rFonts w:asciiTheme="minorHAnsi" w:hAnsiTheme="minorHAnsi" w:cstheme="minorHAnsi"/>
          <w:sz w:val="20"/>
          <w:szCs w:val="20"/>
        </w:rPr>
        <w:t>závěru</w:t>
      </w:r>
      <w:r w:rsidRPr="00DC5FA5">
        <w:rPr>
          <w:rFonts w:asciiTheme="minorHAnsi" w:hAnsiTheme="minorHAnsi" w:cstheme="minorHAnsi"/>
          <w:sz w:val="20"/>
          <w:szCs w:val="20"/>
        </w:rPr>
        <w:t xml:space="preserve"> jsou aplikovány ve z</w:t>
      </w:r>
      <w:r>
        <w:rPr>
          <w:rFonts w:asciiTheme="minorHAnsi" w:hAnsiTheme="minorHAnsi" w:cstheme="minorHAnsi"/>
          <w:sz w:val="20"/>
          <w:szCs w:val="20"/>
        </w:rPr>
        <w:t>nění účinném pro</w:t>
      </w:r>
      <w:r w:rsidR="0044705E">
        <w:rPr>
          <w:rFonts w:asciiTheme="minorHAnsi" w:hAnsiTheme="minorHAnsi" w:cstheme="minorHAnsi"/>
          <w:sz w:val="20"/>
          <w:szCs w:val="20"/>
        </w:rPr>
        <w:t xml:space="preserve"> </w:t>
      </w:r>
      <w:r w:rsidRPr="00DC5FA5">
        <w:rPr>
          <w:rFonts w:asciiTheme="minorHAnsi" w:hAnsiTheme="minorHAnsi" w:cstheme="minorHAnsi"/>
          <w:sz w:val="20"/>
          <w:szCs w:val="20"/>
        </w:rPr>
        <w:t>kontrolované období.</w:t>
      </w:r>
    </w:p>
    <w:p w14:paraId="4A520E6F" w14:textId="77777777" w:rsidR="00AB1976" w:rsidRDefault="00AB1976" w:rsidP="00FC3BF4">
      <w:pPr>
        <w:rPr>
          <w:rFonts w:asciiTheme="minorHAnsi" w:hAnsiTheme="minorHAnsi" w:cstheme="minorHAnsi"/>
        </w:rPr>
      </w:pPr>
    </w:p>
    <w:p w14:paraId="49008E31" w14:textId="77777777" w:rsidR="009D21A6" w:rsidRDefault="009D21A6" w:rsidP="00FC3BF4">
      <w:pPr>
        <w:rPr>
          <w:rFonts w:asciiTheme="minorHAnsi" w:hAnsiTheme="minorHAnsi" w:cstheme="minorHAnsi"/>
        </w:rPr>
      </w:pPr>
    </w:p>
    <w:p w14:paraId="355BCDC9" w14:textId="77777777" w:rsidR="00161F79" w:rsidRPr="00CB419C" w:rsidRDefault="00AB3724" w:rsidP="00CB419C">
      <w:pPr>
        <w:pStyle w:val="Nadpis1"/>
        <w:rPr>
          <w:sz w:val="28"/>
          <w:szCs w:val="28"/>
        </w:rPr>
      </w:pPr>
      <w:r w:rsidRPr="00AB3724">
        <w:rPr>
          <w:sz w:val="28"/>
          <w:szCs w:val="28"/>
        </w:rPr>
        <w:t>IV. Podrobné skutečnosti zjištěné kontrolou</w:t>
      </w:r>
    </w:p>
    <w:p w14:paraId="1DF265A6" w14:textId="77777777" w:rsidR="00B43AE3" w:rsidRDefault="00C77917" w:rsidP="003F3D04">
      <w:pPr>
        <w:pStyle w:val="Nadpis2"/>
        <w:numPr>
          <w:ilvl w:val="0"/>
          <w:numId w:val="29"/>
        </w:numPr>
        <w:ind w:left="284" w:hanging="284"/>
      </w:pPr>
      <w:r w:rsidRPr="00E2043B">
        <w:rPr>
          <w:rFonts w:cstheme="minorHAnsi"/>
          <w:noProof/>
          <w:color w:val="000000"/>
          <w:szCs w:val="24"/>
        </w:rPr>
        <w:t>Povinnosti stanovené směrnicí</w:t>
      </w:r>
      <w:r w:rsidR="007C1E0F">
        <w:rPr>
          <w:rFonts w:cstheme="minorHAnsi"/>
          <w:noProof/>
          <w:color w:val="000000"/>
          <w:szCs w:val="24"/>
        </w:rPr>
        <w:t xml:space="preserve"> Rady </w:t>
      </w:r>
      <w:r w:rsidRPr="00E2043B">
        <w:rPr>
          <w:rFonts w:cstheme="minorHAnsi"/>
          <w:noProof/>
          <w:color w:val="000000"/>
          <w:szCs w:val="24"/>
        </w:rPr>
        <w:t>EU u nouzových zásob ropy a ropných produktů</w:t>
      </w:r>
      <w:r w:rsidR="00712D77">
        <w:t xml:space="preserve"> </w:t>
      </w:r>
    </w:p>
    <w:p w14:paraId="77324BAC" w14:textId="10A0E236" w:rsidR="00496BBA" w:rsidRDefault="00496BBA" w:rsidP="00496BBA">
      <w:r w:rsidRPr="00F57FF3">
        <w:t>Členské státy EU jsou povinny vytvářet a udržovat nouzové zásoby</w:t>
      </w:r>
      <w:r>
        <w:t xml:space="preserve"> ropy a ropných produktů </w:t>
      </w:r>
      <w:r w:rsidRPr="00F57FF3">
        <w:t>za účelem řešení</w:t>
      </w:r>
      <w:r w:rsidRPr="00BB6049">
        <w:t xml:space="preserve"> situací, kdy dojde k významnému a náhlému poklesu dodávek ropy a</w:t>
      </w:r>
      <w:r w:rsidR="00F63BB9">
        <w:t> </w:t>
      </w:r>
      <w:r w:rsidRPr="00BB6049">
        <w:t xml:space="preserve">ropných produktů do EU nebo do členského státu. Tuto povinnost ukládá členským státům EU </w:t>
      </w:r>
      <w:r w:rsidR="00E820F5">
        <w:t>s</w:t>
      </w:r>
      <w:r w:rsidRPr="00BB6049">
        <w:t>měrnice Rady 2009/119/ES s tím, že od 1. ledna 2013 jsou povinny udržovat své nouzové zásoby v množství, které odpovídá přinejmenším 61 dnům průměrné denní domácí spotřeby nebo 90 dnům průměrného denního čistého dovozu</w:t>
      </w:r>
      <w:r w:rsidR="00C828B7">
        <w:t xml:space="preserve"> </w:t>
      </w:r>
      <w:r w:rsidRPr="00BB6049">
        <w:t xml:space="preserve">podle toho, která z těchto dvou hodnot je vyšší. </w:t>
      </w:r>
      <w:r w:rsidRPr="00496BBA">
        <w:rPr>
          <w:b/>
        </w:rPr>
        <w:t>ČR vykazuje úroveň nouzových zásob</w:t>
      </w:r>
      <w:r w:rsidR="00712D77">
        <w:rPr>
          <w:b/>
        </w:rPr>
        <w:t xml:space="preserve"> ropy a</w:t>
      </w:r>
      <w:r w:rsidR="00753BC3">
        <w:rPr>
          <w:b/>
        </w:rPr>
        <w:t xml:space="preserve"> </w:t>
      </w:r>
      <w:r w:rsidR="00712D77">
        <w:rPr>
          <w:b/>
        </w:rPr>
        <w:t>ropných produktů</w:t>
      </w:r>
      <w:r w:rsidRPr="00496BBA">
        <w:rPr>
          <w:b/>
        </w:rPr>
        <w:t xml:space="preserve"> ve</w:t>
      </w:r>
      <w:r w:rsidR="00753BC3">
        <w:rPr>
          <w:b/>
        </w:rPr>
        <w:t xml:space="preserve"> </w:t>
      </w:r>
      <w:r w:rsidRPr="00496BBA">
        <w:rPr>
          <w:b/>
        </w:rPr>
        <w:t>dnech průměrného denního čistého dovozu.</w:t>
      </w:r>
      <w:r w:rsidRPr="00BB6049">
        <w:t xml:space="preserve"> V právním řádu ČR je oblast nouzových zásob ropy </w:t>
      </w:r>
      <w:r w:rsidR="00D202EB">
        <w:br/>
      </w:r>
      <w:r w:rsidRPr="00BB6049">
        <w:t>a</w:t>
      </w:r>
      <w:r w:rsidR="00D202EB">
        <w:t xml:space="preserve"> </w:t>
      </w:r>
      <w:r w:rsidRPr="00BB6049">
        <w:t xml:space="preserve">ropných produktů upravena zákonem </w:t>
      </w:r>
      <w:r>
        <w:t xml:space="preserve">o nouzových zásobách </w:t>
      </w:r>
      <w:r w:rsidR="00606A0A">
        <w:t>ropy</w:t>
      </w:r>
      <w:r w:rsidR="00606A0A" w:rsidRPr="00BB6049">
        <w:rPr>
          <w:rStyle w:val="Znakapoznpodarou"/>
          <w:rFonts w:asciiTheme="minorHAnsi" w:hAnsiTheme="minorHAnsi" w:cstheme="minorHAnsi"/>
        </w:rPr>
        <w:footnoteReference w:id="8"/>
      </w:r>
      <w:r w:rsidR="00606A0A">
        <w:t xml:space="preserve"> </w:t>
      </w:r>
      <w:r w:rsidRPr="00BB6049">
        <w:t>a vyhláškou č.</w:t>
      </w:r>
      <w:r w:rsidR="00614886">
        <w:t> </w:t>
      </w:r>
      <w:r w:rsidRPr="00BB6049">
        <w:t>165/2013</w:t>
      </w:r>
      <w:r w:rsidR="00614886">
        <w:t> </w:t>
      </w:r>
      <w:r w:rsidRPr="00BB6049">
        <w:t>Sb.</w:t>
      </w:r>
      <w:r w:rsidRPr="00BB6049">
        <w:rPr>
          <w:rStyle w:val="Znakapoznpodarou"/>
          <w:rFonts w:asciiTheme="minorHAnsi" w:hAnsiTheme="minorHAnsi" w:cstheme="minorHAnsi"/>
        </w:rPr>
        <w:footnoteReference w:id="9"/>
      </w:r>
      <w:r w:rsidRPr="00BB6049">
        <w:t xml:space="preserve">, do nichž byla transponována </w:t>
      </w:r>
      <w:r w:rsidR="00E820F5">
        <w:t>s</w:t>
      </w:r>
      <w:r w:rsidRPr="00BB6049">
        <w:t>měrnice Rady 2009/119/ES.</w:t>
      </w:r>
      <w:r w:rsidR="00606A0A">
        <w:t xml:space="preserve"> </w:t>
      </w:r>
      <w:r w:rsidR="00606A0A" w:rsidRPr="008E3A97">
        <w:rPr>
          <w:b/>
        </w:rPr>
        <w:t>Nouzové zásoby jsou součástí státních hmotných rezerv</w:t>
      </w:r>
      <w:r w:rsidR="00606A0A">
        <w:t xml:space="preserve"> a dle zákona o nouzových zásobách ropy</w:t>
      </w:r>
      <w:r w:rsidR="00606A0A">
        <w:rPr>
          <w:rFonts w:asciiTheme="minorHAnsi" w:hAnsiTheme="minorHAnsi" w:cstheme="minorHAnsi"/>
        </w:rPr>
        <w:t xml:space="preserve"> </w:t>
      </w:r>
      <w:r w:rsidR="00606A0A">
        <w:t xml:space="preserve">je </w:t>
      </w:r>
      <w:r w:rsidR="00606A0A" w:rsidRPr="008E3A97">
        <w:rPr>
          <w:b/>
        </w:rPr>
        <w:t>vytváří a</w:t>
      </w:r>
      <w:r w:rsidR="00661385">
        <w:rPr>
          <w:b/>
        </w:rPr>
        <w:t> </w:t>
      </w:r>
      <w:r w:rsidR="00606A0A" w:rsidRPr="008E3A97">
        <w:rPr>
          <w:b/>
        </w:rPr>
        <w:t>udržuje SSHR</w:t>
      </w:r>
      <w:r w:rsidR="00606A0A" w:rsidRPr="007A3F7C">
        <w:rPr>
          <w:b/>
        </w:rPr>
        <w:t>.</w:t>
      </w:r>
    </w:p>
    <w:p w14:paraId="5F8DF26E" w14:textId="77777777" w:rsidR="00DD742E" w:rsidRPr="008E3A97" w:rsidRDefault="00DD742E" w:rsidP="00496BBA">
      <w:pPr>
        <w:rPr>
          <w:b/>
        </w:rPr>
      </w:pPr>
    </w:p>
    <w:p w14:paraId="639A43FE" w14:textId="0D12E34E" w:rsidR="00606A0A" w:rsidRDefault="00496BBA" w:rsidP="00606A0A">
      <w:pPr>
        <w:rPr>
          <w:rFonts w:asciiTheme="minorHAnsi" w:hAnsiTheme="minorHAnsi" w:cstheme="minorHAnsi"/>
          <w:b/>
        </w:rPr>
      </w:pPr>
      <w:r w:rsidRPr="00BB6049">
        <w:rPr>
          <w:rFonts w:asciiTheme="minorHAnsi" w:hAnsiTheme="minorHAnsi" w:cstheme="minorHAnsi"/>
        </w:rPr>
        <w:t xml:space="preserve">SSHR udržuje od roku 2012 ve státních hmotných rezervách téměř </w:t>
      </w:r>
      <w:r w:rsidR="00C828B7">
        <w:rPr>
          <w:rFonts w:asciiTheme="minorHAnsi" w:hAnsiTheme="minorHAnsi" w:cstheme="minorHAnsi"/>
        </w:rPr>
        <w:t>konstantní</w:t>
      </w:r>
      <w:r>
        <w:rPr>
          <w:rFonts w:asciiTheme="minorHAnsi" w:hAnsiTheme="minorHAnsi" w:cstheme="minorHAnsi"/>
        </w:rPr>
        <w:t xml:space="preserve"> množství nouzových zásob</w:t>
      </w:r>
      <w:r w:rsidR="00712D77">
        <w:rPr>
          <w:rFonts w:asciiTheme="minorHAnsi" w:hAnsiTheme="minorHAnsi" w:cstheme="minorHAnsi"/>
        </w:rPr>
        <w:t xml:space="preserve"> ropy a ropných produktů</w:t>
      </w:r>
      <w:r>
        <w:rPr>
          <w:rFonts w:asciiTheme="minorHAnsi" w:hAnsiTheme="minorHAnsi" w:cstheme="minorHAnsi"/>
        </w:rPr>
        <w:t xml:space="preserve">. </w:t>
      </w:r>
      <w:r w:rsidRPr="00BB6049">
        <w:rPr>
          <w:rFonts w:asciiTheme="minorHAnsi" w:hAnsiTheme="minorHAnsi" w:cstheme="minorHAnsi"/>
        </w:rPr>
        <w:t xml:space="preserve">Úroveň nouzových zásob vyjádřená ve dnech průměrného denního čistého dovozu je ovlivňována ekonomickým vývojem </w:t>
      </w:r>
      <w:r w:rsidR="00C828B7">
        <w:rPr>
          <w:rFonts w:asciiTheme="minorHAnsi" w:hAnsiTheme="minorHAnsi" w:cstheme="minorHAnsi"/>
        </w:rPr>
        <w:t>ČR</w:t>
      </w:r>
      <w:r w:rsidRPr="00BB6049">
        <w:rPr>
          <w:rFonts w:asciiTheme="minorHAnsi" w:hAnsiTheme="minorHAnsi" w:cstheme="minorHAnsi"/>
        </w:rPr>
        <w:t>. Postupné oživování ekonomiky ČR od</w:t>
      </w:r>
      <w:r w:rsidR="00661385">
        <w:rPr>
          <w:rFonts w:asciiTheme="minorHAnsi" w:hAnsiTheme="minorHAnsi" w:cstheme="minorHAnsi"/>
        </w:rPr>
        <w:t> </w:t>
      </w:r>
      <w:r w:rsidRPr="00BB6049">
        <w:rPr>
          <w:rFonts w:asciiTheme="minorHAnsi" w:hAnsiTheme="minorHAnsi" w:cstheme="minorHAnsi"/>
        </w:rPr>
        <w:t>roku 2014 se projevilo růstem dovozu ropy a ropných produktů do ČR (zejména nárůstem dovozu pohonných hmot), což při téměř neměnném množství nouzový</w:t>
      </w:r>
      <w:r>
        <w:rPr>
          <w:rFonts w:asciiTheme="minorHAnsi" w:hAnsiTheme="minorHAnsi" w:cstheme="minorHAnsi"/>
        </w:rPr>
        <w:t>ch zásob vedlo k </w:t>
      </w:r>
      <w:r w:rsidR="00753BC3">
        <w:rPr>
          <w:rFonts w:asciiTheme="minorHAnsi" w:hAnsiTheme="minorHAnsi" w:cstheme="minorHAnsi"/>
        </w:rPr>
        <w:t>tomu</w:t>
      </w:r>
      <w:r>
        <w:rPr>
          <w:rFonts w:asciiTheme="minorHAnsi" w:hAnsiTheme="minorHAnsi" w:cstheme="minorHAnsi"/>
        </w:rPr>
        <w:t xml:space="preserve">, </w:t>
      </w:r>
      <w:r w:rsidR="00753BC3">
        <w:rPr>
          <w:rFonts w:asciiTheme="minorHAnsi" w:hAnsiTheme="minorHAnsi" w:cstheme="minorHAnsi"/>
        </w:rPr>
        <w:t>že</w:t>
      </w:r>
      <w:r w:rsidRPr="00606A0A">
        <w:rPr>
          <w:rFonts w:asciiTheme="minorHAnsi" w:hAnsiTheme="minorHAnsi" w:cstheme="minorHAnsi"/>
        </w:rPr>
        <w:t xml:space="preserve"> </w:t>
      </w:r>
      <w:r w:rsidR="00753BC3">
        <w:rPr>
          <w:rFonts w:asciiTheme="minorHAnsi" w:hAnsiTheme="minorHAnsi" w:cstheme="minorHAnsi"/>
        </w:rPr>
        <w:t xml:space="preserve">od </w:t>
      </w:r>
      <w:r w:rsidRPr="00606A0A">
        <w:rPr>
          <w:rFonts w:asciiTheme="minorHAnsi" w:hAnsiTheme="minorHAnsi" w:cstheme="minorHAnsi"/>
          <w:b/>
        </w:rPr>
        <w:t>dubn</w:t>
      </w:r>
      <w:r w:rsidR="00753BC3">
        <w:rPr>
          <w:rFonts w:asciiTheme="minorHAnsi" w:hAnsiTheme="minorHAnsi" w:cstheme="minorHAnsi"/>
          <w:b/>
        </w:rPr>
        <w:t>a</w:t>
      </w:r>
      <w:r w:rsidRPr="00606A0A">
        <w:rPr>
          <w:rFonts w:asciiTheme="minorHAnsi" w:hAnsiTheme="minorHAnsi" w:cstheme="minorHAnsi"/>
          <w:b/>
        </w:rPr>
        <w:t xml:space="preserve"> 2017 </w:t>
      </w:r>
      <w:r w:rsidR="00753BC3">
        <w:rPr>
          <w:rFonts w:asciiTheme="minorHAnsi" w:hAnsiTheme="minorHAnsi" w:cstheme="minorHAnsi"/>
          <w:b/>
        </w:rPr>
        <w:t>do</w:t>
      </w:r>
      <w:r w:rsidRPr="00606A0A">
        <w:rPr>
          <w:rFonts w:asciiTheme="minorHAnsi" w:hAnsiTheme="minorHAnsi" w:cstheme="minorHAnsi"/>
          <w:b/>
        </w:rPr>
        <w:t xml:space="preserve"> červn</w:t>
      </w:r>
      <w:r w:rsidR="00753BC3">
        <w:rPr>
          <w:rFonts w:asciiTheme="minorHAnsi" w:hAnsiTheme="minorHAnsi" w:cstheme="minorHAnsi"/>
          <w:b/>
        </w:rPr>
        <w:t>a</w:t>
      </w:r>
      <w:r w:rsidRPr="00606A0A">
        <w:rPr>
          <w:rFonts w:asciiTheme="minorHAnsi" w:hAnsiTheme="minorHAnsi" w:cstheme="minorHAnsi"/>
          <w:b/>
        </w:rPr>
        <w:t xml:space="preserve"> 2021 </w:t>
      </w:r>
      <w:r w:rsidR="00753BC3">
        <w:rPr>
          <w:rFonts w:asciiTheme="minorHAnsi" w:hAnsiTheme="minorHAnsi" w:cstheme="minorHAnsi"/>
          <w:b/>
        </w:rPr>
        <w:t xml:space="preserve">se </w:t>
      </w:r>
      <w:r w:rsidRPr="00606A0A">
        <w:rPr>
          <w:rFonts w:asciiTheme="minorHAnsi" w:hAnsiTheme="minorHAnsi" w:cstheme="minorHAnsi"/>
          <w:b/>
        </w:rPr>
        <w:t>úroveň nouzových zásob</w:t>
      </w:r>
      <w:r w:rsidR="00753BC3">
        <w:rPr>
          <w:rFonts w:asciiTheme="minorHAnsi" w:hAnsiTheme="minorHAnsi" w:cstheme="minorHAnsi"/>
          <w:b/>
        </w:rPr>
        <w:t xml:space="preserve"> pohybovala</w:t>
      </w:r>
      <w:r w:rsidRPr="00606A0A">
        <w:rPr>
          <w:rFonts w:asciiTheme="minorHAnsi" w:hAnsiTheme="minorHAnsi" w:cstheme="minorHAnsi"/>
          <w:b/>
        </w:rPr>
        <w:t xml:space="preserve"> pod</w:t>
      </w:r>
      <w:r w:rsidR="00753BC3">
        <w:rPr>
          <w:rFonts w:asciiTheme="minorHAnsi" w:hAnsiTheme="minorHAnsi" w:cstheme="minorHAnsi"/>
          <w:b/>
        </w:rPr>
        <w:t xml:space="preserve"> </w:t>
      </w:r>
      <w:r w:rsidRPr="00606A0A">
        <w:rPr>
          <w:rFonts w:asciiTheme="minorHAnsi" w:hAnsiTheme="minorHAnsi" w:cstheme="minorHAnsi"/>
          <w:b/>
        </w:rPr>
        <w:t>minimáln</w:t>
      </w:r>
      <w:r w:rsidR="009429D0">
        <w:rPr>
          <w:rFonts w:asciiTheme="minorHAnsi" w:hAnsiTheme="minorHAnsi" w:cstheme="minorHAnsi"/>
          <w:b/>
        </w:rPr>
        <w:t>í</w:t>
      </w:r>
      <w:r w:rsidRPr="00606A0A">
        <w:rPr>
          <w:rFonts w:asciiTheme="minorHAnsi" w:hAnsiTheme="minorHAnsi" w:cstheme="minorHAnsi"/>
          <w:b/>
        </w:rPr>
        <w:t xml:space="preserve"> úrov</w:t>
      </w:r>
      <w:r w:rsidR="00753BC3">
        <w:rPr>
          <w:rFonts w:asciiTheme="minorHAnsi" w:hAnsiTheme="minorHAnsi" w:cstheme="minorHAnsi"/>
          <w:b/>
        </w:rPr>
        <w:t>ní</w:t>
      </w:r>
      <w:r w:rsidRPr="00606A0A">
        <w:rPr>
          <w:rFonts w:asciiTheme="minorHAnsi" w:hAnsiTheme="minorHAnsi" w:cstheme="minorHAnsi"/>
          <w:b/>
        </w:rPr>
        <w:t xml:space="preserve"> 90 dnů</w:t>
      </w:r>
      <w:r w:rsidRPr="00BB6049">
        <w:rPr>
          <w:rFonts w:asciiTheme="minorHAnsi" w:hAnsiTheme="minorHAnsi" w:cstheme="minorHAnsi"/>
        </w:rPr>
        <w:t xml:space="preserve"> průměrného denního čistého dovozu</w:t>
      </w:r>
      <w:r w:rsidR="009429D0">
        <w:rPr>
          <w:rFonts w:asciiTheme="minorHAnsi" w:hAnsiTheme="minorHAnsi" w:cstheme="minorHAnsi"/>
        </w:rPr>
        <w:t xml:space="preserve"> požadovanou EU</w:t>
      </w:r>
      <w:r>
        <w:rPr>
          <w:rFonts w:asciiTheme="minorHAnsi" w:hAnsiTheme="minorHAnsi" w:cstheme="minorHAnsi"/>
        </w:rPr>
        <w:t>.</w:t>
      </w:r>
      <w:r w:rsidRPr="000C76C2">
        <w:rPr>
          <w:rFonts w:asciiTheme="minorHAnsi" w:hAnsiTheme="minorHAnsi" w:cstheme="minorHAnsi"/>
        </w:rPr>
        <w:t xml:space="preserve"> </w:t>
      </w:r>
      <w:r w:rsidR="00606A0A">
        <w:rPr>
          <w:rFonts w:asciiTheme="minorHAnsi" w:hAnsiTheme="minorHAnsi" w:cstheme="minorHAnsi"/>
        </w:rPr>
        <w:t xml:space="preserve">ČR tímto neplnila požadavek </w:t>
      </w:r>
      <w:r w:rsidR="009429D0">
        <w:rPr>
          <w:rFonts w:asciiTheme="minorHAnsi" w:hAnsiTheme="minorHAnsi" w:cstheme="minorHAnsi"/>
        </w:rPr>
        <w:t xml:space="preserve">definovaný ve </w:t>
      </w:r>
      <w:r w:rsidR="000A37FD">
        <w:t>s</w:t>
      </w:r>
      <w:r w:rsidR="000A37FD" w:rsidRPr="00BB6049">
        <w:t>měrnic</w:t>
      </w:r>
      <w:r w:rsidR="000A37FD">
        <w:t>i</w:t>
      </w:r>
      <w:r w:rsidR="000A37FD" w:rsidRPr="00BB6049">
        <w:t xml:space="preserve"> Rady 2009/119/ES</w:t>
      </w:r>
      <w:r w:rsidR="00606A0A">
        <w:rPr>
          <w:rFonts w:asciiTheme="minorHAnsi" w:hAnsiTheme="minorHAnsi" w:cstheme="minorHAnsi"/>
        </w:rPr>
        <w:t xml:space="preserve">. </w:t>
      </w:r>
      <w:r w:rsidR="00753BC3">
        <w:rPr>
          <w:rFonts w:asciiTheme="minorHAnsi" w:hAnsiTheme="minorHAnsi" w:cstheme="minorHAnsi"/>
        </w:rPr>
        <w:t>V</w:t>
      </w:r>
      <w:r w:rsidR="00145F43">
        <w:rPr>
          <w:rFonts w:asciiTheme="minorHAnsi" w:hAnsiTheme="minorHAnsi" w:cstheme="minorHAnsi"/>
        </w:rPr>
        <w:t xml:space="preserve"> důsledku zpomalení ekonomiky vlivem pandemie </w:t>
      </w:r>
      <w:r w:rsidR="00753BC3">
        <w:rPr>
          <w:rFonts w:asciiTheme="minorHAnsi" w:hAnsiTheme="minorHAnsi" w:cstheme="minorHAnsi"/>
        </w:rPr>
        <w:t>covidu</w:t>
      </w:r>
      <w:r w:rsidR="00145F43">
        <w:rPr>
          <w:rFonts w:asciiTheme="minorHAnsi" w:hAnsiTheme="minorHAnsi" w:cstheme="minorHAnsi"/>
        </w:rPr>
        <w:t>-19</w:t>
      </w:r>
      <w:r w:rsidR="009429D0">
        <w:rPr>
          <w:rFonts w:asciiTheme="minorHAnsi" w:hAnsiTheme="minorHAnsi" w:cstheme="minorHAnsi"/>
        </w:rPr>
        <w:t xml:space="preserve"> </w:t>
      </w:r>
      <w:r w:rsidR="009429D0" w:rsidRPr="00E15EE6">
        <w:rPr>
          <w:rFonts w:asciiTheme="minorHAnsi" w:hAnsiTheme="minorHAnsi" w:cstheme="minorHAnsi"/>
          <w:color w:val="auto"/>
        </w:rPr>
        <w:t>a</w:t>
      </w:r>
      <w:r w:rsidR="00753BC3">
        <w:rPr>
          <w:rFonts w:asciiTheme="minorHAnsi" w:hAnsiTheme="minorHAnsi" w:cstheme="minorHAnsi"/>
          <w:color w:val="auto"/>
        </w:rPr>
        <w:t xml:space="preserve"> </w:t>
      </w:r>
      <w:r w:rsidR="009429D0" w:rsidRPr="00E15EE6">
        <w:rPr>
          <w:rFonts w:asciiTheme="minorHAnsi" w:hAnsiTheme="minorHAnsi" w:cstheme="minorHAnsi"/>
          <w:color w:val="auto"/>
        </w:rPr>
        <w:t>tím i</w:t>
      </w:r>
      <w:r w:rsidR="00753BC3">
        <w:rPr>
          <w:rFonts w:asciiTheme="minorHAnsi" w:hAnsiTheme="minorHAnsi" w:cstheme="minorHAnsi"/>
          <w:color w:val="auto"/>
        </w:rPr>
        <w:t xml:space="preserve"> </w:t>
      </w:r>
      <w:r w:rsidR="009429D0" w:rsidRPr="00E15EE6">
        <w:rPr>
          <w:rFonts w:asciiTheme="minorHAnsi" w:hAnsiTheme="minorHAnsi" w:cstheme="minorHAnsi"/>
          <w:color w:val="auto"/>
        </w:rPr>
        <w:t>nižšího dovozu ropy a</w:t>
      </w:r>
      <w:r w:rsidR="00753BC3">
        <w:rPr>
          <w:rFonts w:asciiTheme="minorHAnsi" w:hAnsiTheme="minorHAnsi" w:cstheme="minorHAnsi"/>
          <w:color w:val="auto"/>
        </w:rPr>
        <w:t> </w:t>
      </w:r>
      <w:r w:rsidR="009429D0" w:rsidRPr="00E15EE6">
        <w:rPr>
          <w:rFonts w:asciiTheme="minorHAnsi" w:hAnsiTheme="minorHAnsi" w:cstheme="minorHAnsi"/>
          <w:color w:val="auto"/>
        </w:rPr>
        <w:t>ropných produktů</w:t>
      </w:r>
      <w:r w:rsidR="00145F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dosáhla úroveň nouzových zásob </w:t>
      </w:r>
      <w:r w:rsidR="00753BC3">
        <w:rPr>
          <w:rFonts w:asciiTheme="minorHAnsi" w:hAnsiTheme="minorHAnsi" w:cstheme="minorHAnsi"/>
        </w:rPr>
        <w:t>v době</w:t>
      </w:r>
      <w:r w:rsidR="00753BC3" w:rsidRPr="000B0274">
        <w:rPr>
          <w:rFonts w:asciiTheme="minorHAnsi" w:hAnsiTheme="minorHAnsi" w:cstheme="minorHAnsi"/>
        </w:rPr>
        <w:t xml:space="preserve"> ukončení kontroly </w:t>
      </w:r>
      <w:r w:rsidRPr="00917DB4">
        <w:rPr>
          <w:rFonts w:asciiTheme="minorHAnsi" w:hAnsiTheme="minorHAnsi" w:cstheme="minorHAnsi"/>
        </w:rPr>
        <w:t>94,43</w:t>
      </w:r>
      <w:r w:rsidR="00D202EB">
        <w:rPr>
          <w:rFonts w:asciiTheme="minorHAnsi" w:hAnsiTheme="minorHAnsi" w:cstheme="minorHAnsi"/>
        </w:rPr>
        <w:t xml:space="preserve"> </w:t>
      </w:r>
      <w:r w:rsidRPr="00917DB4">
        <w:rPr>
          <w:rFonts w:asciiTheme="minorHAnsi" w:hAnsiTheme="minorHAnsi" w:cstheme="minorHAnsi"/>
        </w:rPr>
        <w:t>dn</w:t>
      </w:r>
      <w:r w:rsidR="00753BC3">
        <w:rPr>
          <w:rFonts w:asciiTheme="minorHAnsi" w:hAnsiTheme="minorHAnsi" w:cstheme="minorHAnsi"/>
        </w:rPr>
        <w:t>e</w:t>
      </w:r>
      <w:r w:rsidRPr="00917DB4">
        <w:rPr>
          <w:rFonts w:asciiTheme="minorHAnsi" w:hAnsiTheme="minorHAnsi" w:cstheme="minorHAnsi"/>
        </w:rPr>
        <w:t xml:space="preserve"> průměrného denního čistého dovozu (údaj k</w:t>
      </w:r>
      <w:r w:rsidR="00D202EB">
        <w:rPr>
          <w:rFonts w:asciiTheme="minorHAnsi" w:hAnsiTheme="minorHAnsi" w:cstheme="minorHAnsi"/>
        </w:rPr>
        <w:t xml:space="preserve"> </w:t>
      </w:r>
      <w:r w:rsidRPr="00917DB4">
        <w:rPr>
          <w:rFonts w:asciiTheme="minorHAnsi" w:hAnsiTheme="minorHAnsi" w:cstheme="minorHAnsi"/>
        </w:rPr>
        <w:t>1. červenci 2021).</w:t>
      </w:r>
      <w:r w:rsidR="00606A0A">
        <w:rPr>
          <w:rFonts w:asciiTheme="minorHAnsi" w:hAnsiTheme="minorHAnsi" w:cstheme="minorHAnsi"/>
        </w:rPr>
        <w:t xml:space="preserve"> </w:t>
      </w:r>
      <w:r w:rsidR="00606A0A" w:rsidRPr="001B65F2">
        <w:rPr>
          <w:rFonts w:asciiTheme="minorHAnsi" w:hAnsiTheme="minorHAnsi" w:cstheme="minorHAnsi"/>
        </w:rPr>
        <w:t>NKÚ však upozorňuje, že</w:t>
      </w:r>
      <w:r w:rsidR="00087C57">
        <w:rPr>
          <w:rFonts w:asciiTheme="minorHAnsi" w:hAnsiTheme="minorHAnsi" w:cstheme="minorHAnsi"/>
        </w:rPr>
        <w:t xml:space="preserve"> </w:t>
      </w:r>
      <w:r w:rsidR="00606A0A" w:rsidRPr="00BE663C">
        <w:rPr>
          <w:rFonts w:asciiTheme="minorHAnsi" w:hAnsiTheme="minorHAnsi" w:cstheme="minorHAnsi"/>
        </w:rPr>
        <w:lastRenderedPageBreak/>
        <w:t>v případě, že nedojde k </w:t>
      </w:r>
      <w:r w:rsidR="008E3A97" w:rsidRPr="00BE663C">
        <w:rPr>
          <w:rFonts w:asciiTheme="minorHAnsi" w:hAnsiTheme="minorHAnsi" w:cstheme="minorHAnsi"/>
        </w:rPr>
        <w:t>navýšení</w:t>
      </w:r>
      <w:r w:rsidR="00606A0A" w:rsidRPr="00BE663C">
        <w:rPr>
          <w:rFonts w:asciiTheme="minorHAnsi" w:hAnsiTheme="minorHAnsi" w:cstheme="minorHAnsi"/>
        </w:rPr>
        <w:t xml:space="preserve"> nouzových zásob, tak po oživení ekonomiky se ČR vrátí pod</w:t>
      </w:r>
      <w:r w:rsidR="00087C57">
        <w:rPr>
          <w:rFonts w:asciiTheme="minorHAnsi" w:hAnsiTheme="minorHAnsi" w:cstheme="minorHAnsi"/>
        </w:rPr>
        <w:t xml:space="preserve"> </w:t>
      </w:r>
      <w:r w:rsidR="00606A0A" w:rsidRPr="00BE663C">
        <w:rPr>
          <w:rFonts w:asciiTheme="minorHAnsi" w:hAnsiTheme="minorHAnsi" w:cstheme="minorHAnsi"/>
        </w:rPr>
        <w:t>požadovanou hranici a</w:t>
      </w:r>
      <w:r w:rsidR="00606A0A">
        <w:rPr>
          <w:rFonts w:asciiTheme="minorHAnsi" w:hAnsiTheme="minorHAnsi" w:cstheme="minorHAnsi"/>
          <w:b/>
        </w:rPr>
        <w:t xml:space="preserve"> opět nebude plnit povinnost danou zákonem o nouzových zásobách</w:t>
      </w:r>
      <w:r w:rsidR="00712D77">
        <w:rPr>
          <w:rFonts w:asciiTheme="minorHAnsi" w:hAnsiTheme="minorHAnsi" w:cstheme="minorHAnsi"/>
          <w:b/>
        </w:rPr>
        <w:t xml:space="preserve"> ropy a</w:t>
      </w:r>
      <w:r w:rsidR="00240044">
        <w:rPr>
          <w:rFonts w:asciiTheme="minorHAnsi" w:hAnsiTheme="minorHAnsi" w:cstheme="minorHAnsi"/>
          <w:b/>
        </w:rPr>
        <w:t xml:space="preserve"> </w:t>
      </w:r>
      <w:r w:rsidR="000A37FD" w:rsidRPr="000A37FD">
        <w:rPr>
          <w:b/>
        </w:rPr>
        <w:t>s</w:t>
      </w:r>
      <w:r w:rsidR="000A37FD" w:rsidRPr="000A37FD">
        <w:rPr>
          <w:rFonts w:asciiTheme="minorHAnsi" w:hAnsiTheme="minorHAnsi" w:cstheme="minorHAnsi"/>
          <w:b/>
        </w:rPr>
        <w:t>měrnic</w:t>
      </w:r>
      <w:r w:rsidR="00753BC3">
        <w:rPr>
          <w:rFonts w:asciiTheme="minorHAnsi" w:hAnsiTheme="minorHAnsi" w:cstheme="minorHAnsi"/>
          <w:b/>
        </w:rPr>
        <w:t>í</w:t>
      </w:r>
      <w:r w:rsidR="000A37FD" w:rsidRPr="000A37FD">
        <w:rPr>
          <w:rFonts w:asciiTheme="minorHAnsi" w:hAnsiTheme="minorHAnsi" w:cstheme="minorHAnsi"/>
          <w:b/>
        </w:rPr>
        <w:t xml:space="preserve"> Rady 2009/119/ES</w:t>
      </w:r>
      <w:r w:rsidR="00C828B7" w:rsidRPr="000A37FD">
        <w:rPr>
          <w:rFonts w:asciiTheme="minorHAnsi" w:hAnsiTheme="minorHAnsi" w:cstheme="minorHAnsi"/>
          <w:b/>
        </w:rPr>
        <w:t>.</w:t>
      </w:r>
    </w:p>
    <w:p w14:paraId="302F65E7" w14:textId="77777777" w:rsidR="00C828B7" w:rsidRDefault="00C828B7" w:rsidP="00606A0A">
      <w:pPr>
        <w:rPr>
          <w:rFonts w:asciiTheme="minorHAnsi" w:hAnsiTheme="minorHAnsi" w:cstheme="minorHAnsi"/>
          <w:b/>
        </w:rPr>
      </w:pPr>
    </w:p>
    <w:p w14:paraId="256527B6" w14:textId="03ECE7B8" w:rsidR="008E3A97" w:rsidRDefault="008E3A97" w:rsidP="00606A0A">
      <w:pPr>
        <w:rPr>
          <w:rFonts w:asciiTheme="minorHAnsi" w:hAnsiTheme="minorHAnsi" w:cstheme="minorHAnsi"/>
        </w:rPr>
      </w:pPr>
      <w:r>
        <w:rPr>
          <w:rFonts w:cstheme="minorHAnsi"/>
        </w:rPr>
        <w:t>NKÚ ověřil</w:t>
      </w:r>
      <w:r w:rsidRPr="00BB6049">
        <w:rPr>
          <w:rFonts w:cstheme="minorHAnsi"/>
        </w:rPr>
        <w:t xml:space="preserve">, že SSHR </w:t>
      </w:r>
      <w:r>
        <w:rPr>
          <w:rFonts w:cstheme="minorHAnsi"/>
        </w:rPr>
        <w:t>v</w:t>
      </w:r>
      <w:r w:rsidR="00D202EB">
        <w:rPr>
          <w:rFonts w:cstheme="minorHAnsi"/>
        </w:rPr>
        <w:t xml:space="preserve"> </w:t>
      </w:r>
      <w:r>
        <w:rPr>
          <w:rFonts w:cstheme="minorHAnsi"/>
        </w:rPr>
        <w:t>souladu se</w:t>
      </w:r>
      <w:r w:rsidRPr="00BB6049">
        <w:rPr>
          <w:rFonts w:cstheme="minorHAnsi"/>
        </w:rPr>
        <w:t xml:space="preserve"> zákon</w:t>
      </w:r>
      <w:r>
        <w:rPr>
          <w:rFonts w:cstheme="minorHAnsi"/>
        </w:rPr>
        <w:t>em</w:t>
      </w:r>
      <w:r w:rsidRPr="00BB6049">
        <w:rPr>
          <w:rFonts w:cstheme="minorHAnsi"/>
        </w:rPr>
        <w:t xml:space="preserve"> </w:t>
      </w:r>
      <w:r>
        <w:rPr>
          <w:rFonts w:cstheme="minorHAnsi"/>
        </w:rPr>
        <w:t>o nouzových zásobách ropy</w:t>
      </w:r>
      <w:r w:rsidRPr="00BB6049">
        <w:rPr>
          <w:rFonts w:cstheme="minorHAnsi"/>
        </w:rPr>
        <w:t xml:space="preserve"> informov</w:t>
      </w:r>
      <w:r>
        <w:rPr>
          <w:rFonts w:cstheme="minorHAnsi"/>
        </w:rPr>
        <w:t>ala</w:t>
      </w:r>
      <w:r w:rsidRPr="00BB6049">
        <w:rPr>
          <w:rFonts w:cstheme="minorHAnsi"/>
        </w:rPr>
        <w:t xml:space="preserve"> Evropskou komisi a M</w:t>
      </w:r>
      <w:r>
        <w:rPr>
          <w:rFonts w:cstheme="minorHAnsi"/>
        </w:rPr>
        <w:t>inisterstvo průmyslu a obchodu</w:t>
      </w:r>
      <w:r w:rsidRPr="00BB6049">
        <w:rPr>
          <w:rFonts w:cstheme="minorHAnsi"/>
        </w:rPr>
        <w:t xml:space="preserve"> o poklesu nouzových zásob pod</w:t>
      </w:r>
      <w:r w:rsidR="0044705E">
        <w:rPr>
          <w:rFonts w:cstheme="minorHAnsi"/>
        </w:rPr>
        <w:t xml:space="preserve"> </w:t>
      </w:r>
      <w:r w:rsidRPr="00BB6049">
        <w:rPr>
          <w:rFonts w:cstheme="minorHAnsi"/>
        </w:rPr>
        <w:t>povinné minimum, uvedla příčiny t</w:t>
      </w:r>
      <w:r>
        <w:rPr>
          <w:rFonts w:cstheme="minorHAnsi"/>
        </w:rPr>
        <w:t>ohoto stavu (růst dovozů ropy a</w:t>
      </w:r>
      <w:r w:rsidR="0044705E">
        <w:rPr>
          <w:rFonts w:cstheme="minorHAnsi"/>
        </w:rPr>
        <w:t xml:space="preserve"> </w:t>
      </w:r>
      <w:r w:rsidRPr="00BB6049">
        <w:rPr>
          <w:rFonts w:cstheme="minorHAnsi"/>
        </w:rPr>
        <w:t>ropných produktů související s růstem ekonomiky a průmyslové výroby v</w:t>
      </w:r>
      <w:r w:rsidR="00D202EB">
        <w:rPr>
          <w:rFonts w:cstheme="minorHAnsi"/>
        </w:rPr>
        <w:t xml:space="preserve"> </w:t>
      </w:r>
      <w:r w:rsidRPr="00BB6049">
        <w:rPr>
          <w:rFonts w:cstheme="minorHAnsi"/>
        </w:rPr>
        <w:t>ČR) a informovala o krocích, které učinila ke zpětnému doplnění nouzových zásob</w:t>
      </w:r>
      <w:r w:rsidR="00912834">
        <w:rPr>
          <w:rFonts w:cstheme="minorHAnsi"/>
        </w:rPr>
        <w:t>.</w:t>
      </w:r>
      <w:r w:rsidRPr="00BB6049">
        <w:rPr>
          <w:rFonts w:cstheme="minorHAnsi"/>
        </w:rPr>
        <w:t xml:space="preserve"> </w:t>
      </w:r>
      <w:bookmarkStart w:id="3" w:name="_Hlk87275817"/>
      <w:r w:rsidR="00C828B7" w:rsidRPr="001D5AFE">
        <w:rPr>
          <w:rFonts w:eastAsia="Calibri" w:cstheme="minorHAnsi"/>
        </w:rPr>
        <w:t xml:space="preserve">SSHR </w:t>
      </w:r>
      <w:r w:rsidR="00912834">
        <w:rPr>
          <w:rFonts w:eastAsia="Calibri" w:cstheme="minorHAnsi"/>
        </w:rPr>
        <w:t xml:space="preserve">informovala vládu </w:t>
      </w:r>
      <w:r w:rsidR="00C828B7" w:rsidRPr="001D5AFE">
        <w:rPr>
          <w:rFonts w:eastAsia="Calibri" w:cstheme="minorHAnsi"/>
        </w:rPr>
        <w:t xml:space="preserve">o nouzových zásobách ropy </w:t>
      </w:r>
      <w:r w:rsidR="00912834">
        <w:rPr>
          <w:rFonts w:eastAsia="Calibri" w:cstheme="minorHAnsi"/>
        </w:rPr>
        <w:t xml:space="preserve">a </w:t>
      </w:r>
      <w:r w:rsidR="00C828B7" w:rsidRPr="001D5AFE">
        <w:rPr>
          <w:rFonts w:eastAsia="Calibri" w:cstheme="minorHAnsi"/>
        </w:rPr>
        <w:t xml:space="preserve">navrhovala vládě ČR </w:t>
      </w:r>
      <w:r w:rsidR="00A615E1">
        <w:rPr>
          <w:rFonts w:eastAsia="Calibri" w:cstheme="minorHAnsi"/>
        </w:rPr>
        <w:t>jejich navýšení</w:t>
      </w:r>
      <w:r>
        <w:rPr>
          <w:rFonts w:cstheme="minorHAnsi"/>
        </w:rPr>
        <w:t xml:space="preserve">. </w:t>
      </w:r>
      <w:bookmarkEnd w:id="3"/>
      <w:r>
        <w:rPr>
          <w:rFonts w:asciiTheme="minorHAnsi" w:hAnsiTheme="minorHAnsi" w:cstheme="minorHAnsi"/>
        </w:rPr>
        <w:t>Evropská komise</w:t>
      </w:r>
      <w:r w:rsidRPr="002B3C70">
        <w:rPr>
          <w:rFonts w:asciiTheme="minorHAnsi" w:hAnsiTheme="minorHAnsi" w:cstheme="minorHAnsi"/>
        </w:rPr>
        <w:t xml:space="preserve"> zahájila v</w:t>
      </w:r>
      <w:r w:rsidR="00D202EB">
        <w:rPr>
          <w:rFonts w:asciiTheme="minorHAnsi" w:hAnsiTheme="minorHAnsi" w:cstheme="minorHAnsi"/>
        </w:rPr>
        <w:t xml:space="preserve"> </w:t>
      </w:r>
      <w:r w:rsidRPr="002B3C70">
        <w:rPr>
          <w:rFonts w:asciiTheme="minorHAnsi" w:hAnsiTheme="minorHAnsi" w:cstheme="minorHAnsi"/>
        </w:rPr>
        <w:t xml:space="preserve">prosinci 2020 </w:t>
      </w:r>
      <w:r w:rsidR="00240044">
        <w:rPr>
          <w:rFonts w:asciiTheme="minorHAnsi" w:hAnsiTheme="minorHAnsi" w:cstheme="minorHAnsi"/>
        </w:rPr>
        <w:t>s</w:t>
      </w:r>
      <w:r w:rsidRPr="002B3C70">
        <w:rPr>
          <w:rFonts w:asciiTheme="minorHAnsi" w:hAnsiTheme="minorHAnsi" w:cstheme="minorHAnsi"/>
        </w:rPr>
        <w:t xml:space="preserve"> ČR řízení o porušení </w:t>
      </w:r>
      <w:r w:rsidRPr="007A3F7C">
        <w:rPr>
          <w:rFonts w:asciiTheme="minorHAnsi" w:hAnsiTheme="minorHAnsi" w:cstheme="minorHAnsi"/>
          <w:i/>
        </w:rPr>
        <w:t>Smlouvy o fungování Evropské unie</w:t>
      </w:r>
      <w:r>
        <w:rPr>
          <w:rFonts w:asciiTheme="minorHAnsi" w:hAnsiTheme="minorHAnsi" w:cstheme="minorHAnsi"/>
        </w:rPr>
        <w:t xml:space="preserve"> </w:t>
      </w:r>
      <w:r w:rsidRPr="002B3C70">
        <w:rPr>
          <w:rFonts w:asciiTheme="minorHAnsi" w:hAnsiTheme="minorHAnsi" w:cstheme="minorHAnsi"/>
        </w:rPr>
        <w:t xml:space="preserve">týkající se nedodržení povinnosti udržovat </w:t>
      </w:r>
      <w:r w:rsidR="00292067">
        <w:rPr>
          <w:rFonts w:asciiTheme="minorHAnsi" w:hAnsiTheme="minorHAnsi" w:cstheme="minorHAnsi"/>
        </w:rPr>
        <w:t>minimální úroveň nouzových zásob</w:t>
      </w:r>
      <w:r w:rsidRPr="002B3C70">
        <w:rPr>
          <w:rFonts w:asciiTheme="minorHAnsi" w:hAnsiTheme="minorHAnsi" w:cstheme="minorHAnsi"/>
        </w:rPr>
        <w:t xml:space="preserve"> dle </w:t>
      </w:r>
      <w:r w:rsidR="00E820F5">
        <w:rPr>
          <w:rFonts w:asciiTheme="minorHAnsi" w:hAnsiTheme="minorHAnsi" w:cstheme="minorHAnsi"/>
        </w:rPr>
        <w:t>s</w:t>
      </w:r>
      <w:r w:rsidRPr="002B3C70">
        <w:rPr>
          <w:rFonts w:asciiTheme="minorHAnsi" w:hAnsiTheme="minorHAnsi" w:cstheme="minorHAnsi"/>
        </w:rPr>
        <w:t>měrnice</w:t>
      </w:r>
      <w:r w:rsidR="00292067">
        <w:rPr>
          <w:rFonts w:asciiTheme="minorHAnsi" w:hAnsiTheme="minorHAnsi" w:cstheme="minorHAnsi"/>
        </w:rPr>
        <w:t xml:space="preserve"> Rady</w:t>
      </w:r>
      <w:r w:rsidRPr="002B3C70">
        <w:rPr>
          <w:rFonts w:asciiTheme="minorHAnsi" w:hAnsiTheme="minorHAnsi" w:cstheme="minorHAnsi"/>
        </w:rPr>
        <w:t xml:space="preserve"> 2009/119/ES.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Za</w:t>
      </w:r>
      <w:r w:rsidR="00240044">
        <w:rPr>
          <w:rFonts w:asciiTheme="minorHAnsi" w:hAnsiTheme="minorHAnsi" w:cstheme="minorHAnsi"/>
          <w:b/>
        </w:rPr>
        <w:t xml:space="preserve"> </w:t>
      </w:r>
      <w:r w:rsidRPr="00246C43">
        <w:rPr>
          <w:rFonts w:asciiTheme="minorHAnsi" w:hAnsiTheme="minorHAnsi" w:cstheme="minorHAnsi"/>
          <w:b/>
        </w:rPr>
        <w:t>neplnění závazků v období od 1. dubna 201</w:t>
      </w:r>
      <w:r w:rsidR="00D84911">
        <w:rPr>
          <w:rFonts w:asciiTheme="minorHAnsi" w:hAnsiTheme="minorHAnsi" w:cstheme="minorHAnsi"/>
          <w:b/>
        </w:rPr>
        <w:t>7</w:t>
      </w:r>
      <w:r w:rsidRPr="00246C43">
        <w:rPr>
          <w:rFonts w:asciiTheme="minorHAnsi" w:hAnsiTheme="minorHAnsi" w:cstheme="minorHAnsi"/>
          <w:b/>
        </w:rPr>
        <w:t xml:space="preserve"> do 30. června 2021 hrozí ČR ze strany Evropské </w:t>
      </w:r>
      <w:r w:rsidR="00325BBF">
        <w:rPr>
          <w:rFonts w:asciiTheme="minorHAnsi" w:hAnsiTheme="minorHAnsi" w:cstheme="minorHAnsi"/>
          <w:b/>
        </w:rPr>
        <w:t>unie</w:t>
      </w:r>
      <w:r w:rsidRPr="00246C43">
        <w:rPr>
          <w:rFonts w:asciiTheme="minorHAnsi" w:hAnsiTheme="minorHAnsi" w:cstheme="minorHAnsi"/>
          <w:b/>
        </w:rPr>
        <w:t xml:space="preserve"> sankce</w:t>
      </w:r>
      <w:r>
        <w:rPr>
          <w:rFonts w:asciiTheme="minorHAnsi" w:hAnsiTheme="minorHAnsi" w:cstheme="minorHAnsi"/>
          <w:b/>
        </w:rPr>
        <w:t>.</w:t>
      </w:r>
      <w:r w:rsidR="00D87223">
        <w:rPr>
          <w:rFonts w:asciiTheme="minorHAnsi" w:hAnsiTheme="minorHAnsi" w:cstheme="minorHAnsi"/>
          <w:b/>
        </w:rPr>
        <w:t xml:space="preserve"> </w:t>
      </w:r>
      <w:r w:rsidR="00D87223">
        <w:rPr>
          <w:rFonts w:asciiTheme="minorHAnsi" w:hAnsiTheme="minorHAnsi" w:cstheme="minorHAnsi"/>
        </w:rPr>
        <w:t xml:space="preserve">V době kontroly NKÚ probíhala oficiální komunikace v této záležitosti na úrovni Evropské komise, Ministerstva průmyslu a obchodu </w:t>
      </w:r>
      <w:r w:rsidR="00D87223" w:rsidRPr="002B3C70">
        <w:rPr>
          <w:rFonts w:asciiTheme="minorHAnsi" w:hAnsiTheme="minorHAnsi" w:cstheme="minorHAnsi"/>
        </w:rPr>
        <w:t>a M</w:t>
      </w:r>
      <w:r w:rsidR="00D87223">
        <w:rPr>
          <w:rFonts w:asciiTheme="minorHAnsi" w:hAnsiTheme="minorHAnsi" w:cstheme="minorHAnsi"/>
        </w:rPr>
        <w:t>inisterstva zahraničních věcí</w:t>
      </w:r>
      <w:r w:rsidR="00D87223" w:rsidRPr="002B3C70">
        <w:rPr>
          <w:rFonts w:asciiTheme="minorHAnsi" w:hAnsiTheme="minorHAnsi" w:cstheme="minorHAnsi"/>
        </w:rPr>
        <w:t>.</w:t>
      </w:r>
    </w:p>
    <w:p w14:paraId="34B12DF6" w14:textId="77777777" w:rsidR="00D87223" w:rsidRDefault="00D87223" w:rsidP="00606A0A">
      <w:pPr>
        <w:rPr>
          <w:rFonts w:asciiTheme="minorHAnsi" w:hAnsiTheme="minorHAnsi" w:cstheme="minorHAnsi"/>
          <w:b/>
        </w:rPr>
      </w:pPr>
    </w:p>
    <w:p w14:paraId="0C3CFCBA" w14:textId="77777777" w:rsidR="00900533" w:rsidRPr="00912834" w:rsidRDefault="00900533" w:rsidP="00900533">
      <w:pPr>
        <w:rPr>
          <w:rFonts w:cstheme="minorHAnsi"/>
          <w:noProof/>
        </w:rPr>
      </w:pPr>
      <w:r w:rsidRPr="00912834">
        <w:rPr>
          <w:rFonts w:asciiTheme="minorHAnsi" w:hAnsiTheme="minorHAnsi" w:cstheme="minorHAnsi"/>
        </w:rPr>
        <w:t xml:space="preserve">V období, kdy ČR neplnila povinnost udržovat minimální nouzové zásoby ropy a ropných produktů, neplnily </w:t>
      </w:r>
      <w:r w:rsidR="00912834" w:rsidRPr="00912834">
        <w:rPr>
          <w:rFonts w:cstheme="minorHAnsi"/>
          <w:noProof/>
        </w:rPr>
        <w:t>dle veřejných zdrojů</w:t>
      </w:r>
      <w:r w:rsidR="00912834">
        <w:rPr>
          <w:rFonts w:cstheme="minorHAnsi"/>
          <w:noProof/>
        </w:rPr>
        <w:t xml:space="preserve"> </w:t>
      </w:r>
      <w:r w:rsidRPr="009429D0">
        <w:rPr>
          <w:rFonts w:asciiTheme="minorHAnsi" w:hAnsiTheme="minorHAnsi" w:cstheme="minorHAnsi"/>
        </w:rPr>
        <w:t xml:space="preserve">tuto povinnost další tři státy Evropské unie, a to konkrétně Bulharsko, Rumunsko a Kypr. Ostatní členské země svou povinnost plnily. </w:t>
      </w:r>
    </w:p>
    <w:p w14:paraId="1AB8348E" w14:textId="77777777" w:rsidR="00900533" w:rsidRPr="00D87223" w:rsidRDefault="00900533" w:rsidP="00606A0A">
      <w:pPr>
        <w:rPr>
          <w:rFonts w:asciiTheme="minorHAnsi" w:hAnsiTheme="minorHAnsi" w:cstheme="minorHAnsi"/>
          <w:b/>
        </w:rPr>
      </w:pPr>
    </w:p>
    <w:p w14:paraId="27C4DBEB" w14:textId="77777777" w:rsidR="004B5740" w:rsidRPr="00F72AF7" w:rsidRDefault="004B5740" w:rsidP="00921287">
      <w:pPr>
        <w:pStyle w:val="Nadpis2"/>
        <w:spacing w:before="120"/>
        <w:ind w:left="284" w:hanging="284"/>
      </w:pPr>
      <w:r w:rsidRPr="00F72AF7">
        <w:t xml:space="preserve">Strategické </w:t>
      </w:r>
      <w:r w:rsidR="00712D77" w:rsidRPr="00F72AF7">
        <w:t xml:space="preserve">rozhodnutí o pořízení konkrétního druhu ropy </w:t>
      </w:r>
      <w:r w:rsidR="00B948C5" w:rsidRPr="00F72AF7">
        <w:t>nebo</w:t>
      </w:r>
      <w:r w:rsidR="00712D77" w:rsidRPr="00F72AF7">
        <w:t xml:space="preserve"> ropných produktů</w:t>
      </w:r>
    </w:p>
    <w:p w14:paraId="46357FEA" w14:textId="3839BE17" w:rsidR="00C35D56" w:rsidRPr="00F72AF7" w:rsidRDefault="00292067" w:rsidP="00E1033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72AF7">
        <w:rPr>
          <w:rFonts w:asciiTheme="minorHAnsi" w:hAnsiTheme="minorHAnsi" w:cstheme="minorHAnsi"/>
          <w:color w:val="auto"/>
        </w:rPr>
        <w:t>Ropa a ropné produkty představují významný zdroj primární energie a</w:t>
      </w:r>
      <w:r w:rsidR="00D202EB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>na</w:t>
      </w:r>
      <w:r w:rsidR="00D202EB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 xml:space="preserve">jejich dovozu je ČR závislá. </w:t>
      </w:r>
      <w:r w:rsidRPr="00F72AF7">
        <w:rPr>
          <w:rFonts w:asciiTheme="minorHAnsi" w:hAnsiTheme="minorHAnsi" w:cstheme="minorHAnsi"/>
          <w:b/>
          <w:color w:val="auto"/>
        </w:rPr>
        <w:t>Patří k základní</w:t>
      </w:r>
      <w:r w:rsidR="009429D0" w:rsidRPr="00F72AF7">
        <w:rPr>
          <w:rFonts w:asciiTheme="minorHAnsi" w:hAnsiTheme="minorHAnsi" w:cstheme="minorHAnsi"/>
          <w:b/>
          <w:color w:val="auto"/>
        </w:rPr>
        <w:t>m</w:t>
      </w:r>
      <w:r w:rsidRPr="00F72AF7">
        <w:rPr>
          <w:rFonts w:asciiTheme="minorHAnsi" w:hAnsiTheme="minorHAnsi" w:cstheme="minorHAnsi"/>
          <w:b/>
          <w:color w:val="auto"/>
        </w:rPr>
        <w:t xml:space="preserve"> strategickým komoditám</w:t>
      </w:r>
      <w:r w:rsidRPr="007A3F7C">
        <w:rPr>
          <w:rFonts w:asciiTheme="minorHAnsi" w:hAnsiTheme="minorHAnsi" w:cstheme="minorHAnsi"/>
          <w:b/>
          <w:color w:val="auto"/>
        </w:rPr>
        <w:t>,</w:t>
      </w:r>
      <w:r w:rsidRPr="00F72AF7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b/>
          <w:color w:val="auto"/>
        </w:rPr>
        <w:t>které zajišťují energetickou bezpečnost</w:t>
      </w:r>
      <w:r w:rsidR="006D11FA" w:rsidRPr="00F72AF7">
        <w:rPr>
          <w:rFonts w:asciiTheme="minorHAnsi" w:hAnsiTheme="minorHAnsi" w:cstheme="minorHAnsi"/>
          <w:b/>
          <w:color w:val="auto"/>
        </w:rPr>
        <w:t xml:space="preserve"> </w:t>
      </w:r>
      <w:r w:rsidRPr="00F72AF7">
        <w:rPr>
          <w:rFonts w:asciiTheme="minorHAnsi" w:hAnsiTheme="minorHAnsi" w:cstheme="minorHAnsi"/>
          <w:b/>
          <w:color w:val="auto"/>
        </w:rPr>
        <w:t>ČR.</w:t>
      </w:r>
      <w:r w:rsidRPr="00F72AF7">
        <w:rPr>
          <w:rFonts w:asciiTheme="minorHAnsi" w:hAnsiTheme="minorHAnsi" w:cstheme="minorHAnsi"/>
          <w:color w:val="auto"/>
        </w:rPr>
        <w:t xml:space="preserve"> </w:t>
      </w:r>
      <w:r w:rsidR="00B339DF" w:rsidRPr="00F72AF7">
        <w:rPr>
          <w:rFonts w:asciiTheme="minorHAnsi" w:hAnsiTheme="minorHAnsi" w:cstheme="minorHAnsi"/>
          <w:color w:val="auto"/>
        </w:rPr>
        <w:t>Zajištění energetické bezpečnosti ČR včetně udržení zásob ropy a ropných produktů nad</w:t>
      </w:r>
      <w:r w:rsidR="00087C57">
        <w:rPr>
          <w:rFonts w:asciiTheme="minorHAnsi" w:hAnsiTheme="minorHAnsi" w:cstheme="minorHAnsi"/>
          <w:color w:val="auto"/>
        </w:rPr>
        <w:t xml:space="preserve"> </w:t>
      </w:r>
      <w:r w:rsidR="00B339DF" w:rsidRPr="00F72AF7">
        <w:rPr>
          <w:rFonts w:asciiTheme="minorHAnsi" w:hAnsiTheme="minorHAnsi" w:cstheme="minorHAnsi"/>
          <w:color w:val="auto"/>
        </w:rPr>
        <w:t>úrovní 90 dnů průměrného denního čistého dovozu patří mezi strategické priority</w:t>
      </w:r>
      <w:r w:rsidR="00D55A05" w:rsidRPr="00F72AF7">
        <w:rPr>
          <w:rFonts w:asciiTheme="minorHAnsi" w:hAnsiTheme="minorHAnsi" w:cstheme="minorHAnsi"/>
          <w:color w:val="auto"/>
        </w:rPr>
        <w:t xml:space="preserve"> ČR</w:t>
      </w:r>
      <w:r w:rsidR="00B339DF" w:rsidRPr="00F72AF7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B339DF" w:rsidRPr="00F72AF7">
        <w:rPr>
          <w:rFonts w:asciiTheme="minorHAnsi" w:hAnsiTheme="minorHAnsi" w:cstheme="minorHAnsi"/>
          <w:color w:val="auto"/>
        </w:rPr>
        <w:t xml:space="preserve">definované vládou ve </w:t>
      </w:r>
      <w:r w:rsidR="00675ED4" w:rsidRPr="007A3F7C">
        <w:rPr>
          <w:rFonts w:asciiTheme="minorHAnsi" w:hAnsiTheme="minorHAnsi" w:cstheme="minorHAnsi"/>
          <w:i/>
          <w:color w:val="auto"/>
        </w:rPr>
        <w:t>S</w:t>
      </w:r>
      <w:r w:rsidR="00084344" w:rsidRPr="007A3F7C">
        <w:rPr>
          <w:rFonts w:asciiTheme="minorHAnsi" w:hAnsiTheme="minorHAnsi" w:cstheme="minorHAnsi"/>
          <w:i/>
          <w:color w:val="auto"/>
        </w:rPr>
        <w:t>tátní energetick</w:t>
      </w:r>
      <w:r w:rsidR="00B339DF" w:rsidRPr="007A3F7C">
        <w:rPr>
          <w:rFonts w:asciiTheme="minorHAnsi" w:hAnsiTheme="minorHAnsi" w:cstheme="minorHAnsi"/>
          <w:i/>
          <w:color w:val="auto"/>
        </w:rPr>
        <w:t>é</w:t>
      </w:r>
      <w:r w:rsidR="00084344" w:rsidRPr="007A3F7C">
        <w:rPr>
          <w:rFonts w:asciiTheme="minorHAnsi" w:hAnsiTheme="minorHAnsi" w:cstheme="minorHAnsi"/>
          <w:i/>
          <w:color w:val="auto"/>
        </w:rPr>
        <w:t xml:space="preserve"> koncepc</w:t>
      </w:r>
      <w:r w:rsidR="00B339DF" w:rsidRPr="007A3F7C">
        <w:rPr>
          <w:rFonts w:asciiTheme="minorHAnsi" w:hAnsiTheme="minorHAnsi" w:cstheme="minorHAnsi"/>
          <w:i/>
          <w:color w:val="auto"/>
        </w:rPr>
        <w:t>i</w:t>
      </w:r>
      <w:r w:rsidR="00084344" w:rsidRPr="007A3F7C">
        <w:rPr>
          <w:rFonts w:asciiTheme="minorHAnsi" w:hAnsiTheme="minorHAnsi" w:cstheme="minorHAnsi"/>
          <w:i/>
          <w:color w:val="auto"/>
        </w:rPr>
        <w:t xml:space="preserve"> České republiky</w:t>
      </w:r>
      <w:r w:rsidR="00A43777" w:rsidRPr="00F72AF7">
        <w:rPr>
          <w:rStyle w:val="Znakapoznpodarou"/>
          <w:rFonts w:asciiTheme="minorHAnsi" w:hAnsiTheme="minorHAnsi" w:cstheme="minorHAnsi"/>
          <w:color w:val="auto"/>
        </w:rPr>
        <w:footnoteReference w:id="10"/>
      </w:r>
      <w:r w:rsidR="00084344" w:rsidRPr="00F72AF7">
        <w:rPr>
          <w:rFonts w:asciiTheme="minorHAnsi" w:hAnsiTheme="minorHAnsi" w:cstheme="minorHAnsi"/>
          <w:color w:val="auto"/>
        </w:rPr>
        <w:t>.</w:t>
      </w:r>
      <w:r w:rsidR="0098299C" w:rsidRPr="00F72AF7">
        <w:rPr>
          <w:rFonts w:asciiTheme="minorHAnsi" w:hAnsiTheme="minorHAnsi" w:cstheme="minorHAnsi"/>
          <w:color w:val="auto"/>
        </w:rPr>
        <w:t xml:space="preserve"> </w:t>
      </w:r>
      <w:r w:rsidR="0034159E">
        <w:rPr>
          <w:rFonts w:asciiTheme="minorHAnsi" w:hAnsiTheme="minorHAnsi" w:cstheme="minorHAnsi"/>
          <w:color w:val="auto"/>
        </w:rPr>
        <w:t>V</w:t>
      </w:r>
      <w:r w:rsidR="00E1033B" w:rsidRPr="00F72AF7">
        <w:rPr>
          <w:rFonts w:asciiTheme="minorHAnsi" w:hAnsiTheme="minorHAnsi" w:cstheme="minorHAnsi"/>
          <w:color w:val="auto"/>
        </w:rPr>
        <w:t xml:space="preserve">láda ČR </w:t>
      </w:r>
      <w:r w:rsidR="0034159E">
        <w:rPr>
          <w:rFonts w:asciiTheme="minorHAnsi" w:hAnsiTheme="minorHAnsi" w:cstheme="minorHAnsi"/>
          <w:color w:val="auto"/>
        </w:rPr>
        <w:t xml:space="preserve">rovněž </w:t>
      </w:r>
      <w:r w:rsidR="00E1033B" w:rsidRPr="00F72AF7">
        <w:rPr>
          <w:rFonts w:asciiTheme="minorHAnsi" w:hAnsiTheme="minorHAnsi" w:cstheme="minorHAnsi"/>
          <w:color w:val="auto"/>
        </w:rPr>
        <w:t>v </w:t>
      </w:r>
      <w:r w:rsidR="00E1033B" w:rsidRPr="007A3F7C">
        <w:rPr>
          <w:rFonts w:asciiTheme="minorHAnsi" w:hAnsiTheme="minorHAnsi" w:cstheme="minorHAnsi"/>
          <w:i/>
          <w:color w:val="auto"/>
        </w:rPr>
        <w:t>Bezpečnost</w:t>
      </w:r>
      <w:r w:rsidR="008D180F" w:rsidRPr="007A3F7C">
        <w:rPr>
          <w:rFonts w:asciiTheme="minorHAnsi" w:hAnsiTheme="minorHAnsi" w:cstheme="minorHAnsi"/>
          <w:i/>
          <w:color w:val="auto"/>
        </w:rPr>
        <w:t>n</w:t>
      </w:r>
      <w:r w:rsidR="00E1033B" w:rsidRPr="007A3F7C">
        <w:rPr>
          <w:rFonts w:asciiTheme="minorHAnsi" w:hAnsiTheme="minorHAnsi" w:cstheme="minorHAnsi"/>
          <w:i/>
          <w:color w:val="auto"/>
        </w:rPr>
        <w:t>í strategii České republiky</w:t>
      </w:r>
      <w:r w:rsidR="000708A7">
        <w:rPr>
          <w:rFonts w:asciiTheme="minorHAnsi" w:hAnsiTheme="minorHAnsi" w:cstheme="minorHAnsi"/>
          <w:i/>
          <w:color w:val="auto"/>
        </w:rPr>
        <w:t xml:space="preserve"> 2015</w:t>
      </w:r>
      <w:r w:rsidR="00E1033B" w:rsidRPr="00F72AF7">
        <w:rPr>
          <w:rStyle w:val="Znakapoznpodarou"/>
          <w:rFonts w:asciiTheme="minorHAnsi" w:hAnsiTheme="minorHAnsi" w:cstheme="minorHAnsi"/>
          <w:color w:val="auto"/>
        </w:rPr>
        <w:footnoteReference w:id="11"/>
      </w:r>
      <w:r w:rsidR="0034159E">
        <w:rPr>
          <w:rFonts w:asciiTheme="minorHAnsi" w:hAnsiTheme="minorHAnsi" w:cstheme="minorHAnsi"/>
          <w:color w:val="auto"/>
        </w:rPr>
        <w:t xml:space="preserve"> definovala</w:t>
      </w:r>
      <w:r w:rsidR="00E1033B" w:rsidRPr="00F72AF7">
        <w:rPr>
          <w:rFonts w:asciiTheme="minorHAnsi" w:hAnsiTheme="minorHAnsi" w:cstheme="minorHAnsi"/>
          <w:color w:val="auto"/>
        </w:rPr>
        <w:t xml:space="preserve"> mimo jiné svou prioritu vytvářet předpoklady pro tvorbu strategických rezerv státu.</w:t>
      </w:r>
      <w:r w:rsidR="009429D0" w:rsidRPr="00F72AF7">
        <w:rPr>
          <w:rFonts w:asciiTheme="minorHAnsi" w:hAnsiTheme="minorHAnsi" w:cstheme="minorHAnsi"/>
          <w:color w:val="auto"/>
        </w:rPr>
        <w:t xml:space="preserve"> </w:t>
      </w:r>
    </w:p>
    <w:p w14:paraId="0D792108" w14:textId="77777777" w:rsidR="00E1033B" w:rsidRPr="00F72AF7" w:rsidRDefault="00E1033B" w:rsidP="00E1033B">
      <w:pPr>
        <w:rPr>
          <w:rFonts w:asciiTheme="minorHAnsi" w:hAnsiTheme="minorHAnsi" w:cstheme="minorHAnsi"/>
          <w:color w:val="auto"/>
        </w:rPr>
      </w:pPr>
    </w:p>
    <w:p w14:paraId="7AF4EE65" w14:textId="16FC9F1C" w:rsidR="008D180F" w:rsidRPr="00F72AF7" w:rsidRDefault="00967940" w:rsidP="00921287">
      <w:pPr>
        <w:rPr>
          <w:color w:val="auto"/>
        </w:rPr>
      </w:pPr>
      <w:r w:rsidRPr="00F72AF7">
        <w:rPr>
          <w:rFonts w:asciiTheme="minorHAnsi" w:hAnsiTheme="minorHAnsi" w:cstheme="minorHAnsi"/>
          <w:color w:val="auto"/>
        </w:rPr>
        <w:t xml:space="preserve">Dle svého </w:t>
      </w:r>
      <w:r w:rsidR="000708A7">
        <w:rPr>
          <w:rFonts w:asciiTheme="minorHAnsi" w:hAnsiTheme="minorHAnsi" w:cstheme="minorHAnsi"/>
          <w:color w:val="auto"/>
        </w:rPr>
        <w:t>s</w:t>
      </w:r>
      <w:r w:rsidRPr="00F72AF7">
        <w:rPr>
          <w:rFonts w:asciiTheme="minorHAnsi" w:hAnsiTheme="minorHAnsi" w:cstheme="minorHAnsi"/>
          <w:color w:val="auto"/>
        </w:rPr>
        <w:t xml:space="preserve">tatutu předkládá SSHR vládě ČR návrhy na opatření týkající se jednotlivých oblastí hospodářských opatření pro krizové stavy a státních hmotných rezerv. </w:t>
      </w:r>
      <w:r w:rsidR="00D9523C" w:rsidRPr="00F72AF7">
        <w:rPr>
          <w:color w:val="auto"/>
        </w:rPr>
        <w:t>SSHR dle zákona</w:t>
      </w:r>
      <w:r w:rsidR="004D26CD" w:rsidRPr="00F72AF7">
        <w:rPr>
          <w:color w:val="auto"/>
        </w:rPr>
        <w:t xml:space="preserve"> o</w:t>
      </w:r>
      <w:r w:rsidR="00DA0D58">
        <w:rPr>
          <w:color w:val="auto"/>
        </w:rPr>
        <w:t> </w:t>
      </w:r>
      <w:r w:rsidR="004D26CD" w:rsidRPr="00F72AF7">
        <w:rPr>
          <w:color w:val="auto"/>
        </w:rPr>
        <w:t>působnosti</w:t>
      </w:r>
      <w:r w:rsidR="00D9523C" w:rsidRPr="00F72AF7">
        <w:rPr>
          <w:color w:val="auto"/>
        </w:rPr>
        <w:t xml:space="preserve"> </w:t>
      </w:r>
      <w:r w:rsidR="001F56F8" w:rsidRPr="00F72AF7">
        <w:rPr>
          <w:color w:val="auto"/>
        </w:rPr>
        <w:t xml:space="preserve">Správy státních hmotných rezerv </w:t>
      </w:r>
      <w:r w:rsidR="00D9523C" w:rsidRPr="00F72AF7">
        <w:rPr>
          <w:color w:val="auto"/>
        </w:rPr>
        <w:t xml:space="preserve">pořizuje státní hmotné rezervy v součinnosti s ostatními ústředními orgány státní správy. </w:t>
      </w:r>
      <w:r w:rsidR="00D9523C" w:rsidRPr="00F72AF7">
        <w:rPr>
          <w:b/>
          <w:color w:val="auto"/>
        </w:rPr>
        <w:t>SSHR sama nerozhoduje o skladbě státních hmotných rezerv</w:t>
      </w:r>
      <w:r w:rsidR="00D9523C" w:rsidRPr="007A3F7C">
        <w:rPr>
          <w:b/>
          <w:color w:val="auto"/>
        </w:rPr>
        <w:t>,</w:t>
      </w:r>
      <w:r w:rsidR="00D9523C" w:rsidRPr="00F72AF7">
        <w:rPr>
          <w:color w:val="auto"/>
        </w:rPr>
        <w:t xml:space="preserve"> </w:t>
      </w:r>
      <w:r w:rsidR="00D9523C" w:rsidRPr="00F72AF7">
        <w:rPr>
          <w:b/>
          <w:color w:val="auto"/>
        </w:rPr>
        <w:t>ale pořizuje je na</w:t>
      </w:r>
      <w:r w:rsidR="000708A7">
        <w:rPr>
          <w:b/>
          <w:color w:val="auto"/>
        </w:rPr>
        <w:t xml:space="preserve"> </w:t>
      </w:r>
      <w:r w:rsidR="00D9523C" w:rsidRPr="00F72AF7">
        <w:rPr>
          <w:b/>
          <w:color w:val="auto"/>
        </w:rPr>
        <w:t>základě požadavků definovaných v krizových plánech ústředních orgán</w:t>
      </w:r>
      <w:r w:rsidR="008D180F" w:rsidRPr="00F72AF7">
        <w:rPr>
          <w:b/>
          <w:color w:val="auto"/>
        </w:rPr>
        <w:t>ů</w:t>
      </w:r>
      <w:r w:rsidR="00D9523C" w:rsidRPr="00F72AF7">
        <w:rPr>
          <w:b/>
          <w:color w:val="auto"/>
        </w:rPr>
        <w:t xml:space="preserve"> státní správy.</w:t>
      </w:r>
      <w:r w:rsidR="00D9523C" w:rsidRPr="00F72AF7">
        <w:rPr>
          <w:color w:val="auto"/>
        </w:rPr>
        <w:t xml:space="preserve"> Souhrn těchto požadavků zapracovává </w:t>
      </w:r>
      <w:r w:rsidR="000708A7" w:rsidRPr="00F72AF7">
        <w:rPr>
          <w:color w:val="auto"/>
        </w:rPr>
        <w:t xml:space="preserve">SSHR </w:t>
      </w:r>
      <w:r w:rsidR="00D9523C" w:rsidRPr="00F72AF7">
        <w:rPr>
          <w:color w:val="auto"/>
        </w:rPr>
        <w:t xml:space="preserve">do </w:t>
      </w:r>
      <w:r w:rsidR="000708A7">
        <w:rPr>
          <w:i/>
          <w:color w:val="auto"/>
        </w:rPr>
        <w:t>p</w:t>
      </w:r>
      <w:r w:rsidR="00D9523C" w:rsidRPr="00F72AF7">
        <w:rPr>
          <w:i/>
          <w:color w:val="auto"/>
        </w:rPr>
        <w:t>lán</w:t>
      </w:r>
      <w:r w:rsidR="000708A7">
        <w:rPr>
          <w:i/>
          <w:color w:val="auto"/>
        </w:rPr>
        <w:t>ů</w:t>
      </w:r>
      <w:r w:rsidR="00D9523C" w:rsidRPr="00F72AF7">
        <w:rPr>
          <w:i/>
          <w:color w:val="auto"/>
        </w:rPr>
        <w:t xml:space="preserve"> vytváření a udržování státních hmotných rezerv k</w:t>
      </w:r>
      <w:r w:rsidR="000708A7">
        <w:rPr>
          <w:i/>
          <w:color w:val="auto"/>
        </w:rPr>
        <w:t xml:space="preserve"> </w:t>
      </w:r>
      <w:r w:rsidR="00D9523C" w:rsidRPr="00F72AF7">
        <w:rPr>
          <w:i/>
          <w:color w:val="auto"/>
        </w:rPr>
        <w:t>zajištění bezpečnosti ČR</w:t>
      </w:r>
      <w:r w:rsidR="00D9523C" w:rsidRPr="00F72AF7">
        <w:rPr>
          <w:color w:val="auto"/>
        </w:rPr>
        <w:t>,</w:t>
      </w:r>
      <w:r w:rsidR="0093015C" w:rsidRPr="00F72AF7">
        <w:rPr>
          <w:color w:val="auto"/>
        </w:rPr>
        <w:t xml:space="preserve"> kter</w:t>
      </w:r>
      <w:r w:rsidR="000708A7">
        <w:rPr>
          <w:color w:val="auto"/>
        </w:rPr>
        <w:t>é</w:t>
      </w:r>
      <w:r w:rsidR="0093015C" w:rsidRPr="00F72AF7">
        <w:rPr>
          <w:color w:val="auto"/>
        </w:rPr>
        <w:t xml:space="preserve"> </w:t>
      </w:r>
      <w:r w:rsidR="000708A7">
        <w:rPr>
          <w:color w:val="auto"/>
        </w:rPr>
        <w:t>jsou</w:t>
      </w:r>
      <w:r w:rsidR="0093015C" w:rsidRPr="00F72AF7">
        <w:rPr>
          <w:color w:val="auto"/>
        </w:rPr>
        <w:t xml:space="preserve"> zpracová</w:t>
      </w:r>
      <w:r w:rsidR="006D11FA" w:rsidRPr="00F72AF7">
        <w:rPr>
          <w:color w:val="auto"/>
        </w:rPr>
        <w:t>vá</w:t>
      </w:r>
      <w:r w:rsidR="0093015C" w:rsidRPr="00F72AF7">
        <w:rPr>
          <w:color w:val="auto"/>
        </w:rPr>
        <w:t>n</w:t>
      </w:r>
      <w:r w:rsidR="000708A7">
        <w:rPr>
          <w:color w:val="auto"/>
        </w:rPr>
        <w:t>y</w:t>
      </w:r>
      <w:r w:rsidR="0093015C" w:rsidRPr="00F72AF7">
        <w:rPr>
          <w:color w:val="auto"/>
        </w:rPr>
        <w:t xml:space="preserve"> na období dvou let a </w:t>
      </w:r>
      <w:r w:rsidR="00D9523C" w:rsidRPr="00F72AF7">
        <w:rPr>
          <w:color w:val="auto"/>
        </w:rPr>
        <w:t>kter</w:t>
      </w:r>
      <w:r w:rsidR="000708A7">
        <w:rPr>
          <w:color w:val="auto"/>
        </w:rPr>
        <w:t>é</w:t>
      </w:r>
      <w:r w:rsidR="007802F2" w:rsidRPr="00F72AF7">
        <w:rPr>
          <w:color w:val="auto"/>
        </w:rPr>
        <w:t xml:space="preserve"> </w:t>
      </w:r>
      <w:r w:rsidR="0093015C" w:rsidRPr="00F72AF7">
        <w:rPr>
          <w:color w:val="auto"/>
        </w:rPr>
        <w:t xml:space="preserve">SSHR </w:t>
      </w:r>
      <w:r w:rsidR="000370C0" w:rsidRPr="00F72AF7">
        <w:rPr>
          <w:color w:val="auto"/>
        </w:rPr>
        <w:t>po je</w:t>
      </w:r>
      <w:r w:rsidR="000708A7">
        <w:rPr>
          <w:color w:val="auto"/>
        </w:rPr>
        <w:t>jich</w:t>
      </w:r>
      <w:r w:rsidR="000370C0" w:rsidRPr="00F72AF7">
        <w:rPr>
          <w:color w:val="auto"/>
        </w:rPr>
        <w:t xml:space="preserve"> posouzení Bezpečnostní radou státu</w:t>
      </w:r>
      <w:r w:rsidR="004A3E35" w:rsidRPr="00F72AF7">
        <w:rPr>
          <w:rStyle w:val="Znakapoznpodarou"/>
          <w:color w:val="auto"/>
        </w:rPr>
        <w:footnoteReference w:id="12"/>
      </w:r>
      <w:r w:rsidR="000370C0" w:rsidRPr="00F72AF7">
        <w:rPr>
          <w:color w:val="auto"/>
        </w:rPr>
        <w:t xml:space="preserve"> </w:t>
      </w:r>
      <w:r w:rsidR="0093015C" w:rsidRPr="00F72AF7">
        <w:rPr>
          <w:color w:val="auto"/>
        </w:rPr>
        <w:t>předklád</w:t>
      </w:r>
      <w:r w:rsidR="008D180F" w:rsidRPr="00F72AF7">
        <w:rPr>
          <w:color w:val="auto"/>
        </w:rPr>
        <w:t xml:space="preserve">á </w:t>
      </w:r>
      <w:r w:rsidR="00D9523C" w:rsidRPr="00F72AF7">
        <w:rPr>
          <w:color w:val="auto"/>
        </w:rPr>
        <w:t>ke schválení</w:t>
      </w:r>
      <w:r w:rsidR="001F56F8" w:rsidRPr="00F72AF7">
        <w:rPr>
          <w:color w:val="auto"/>
        </w:rPr>
        <w:t xml:space="preserve"> vládě ČR</w:t>
      </w:r>
      <w:r w:rsidR="00D9523C" w:rsidRPr="00F72AF7">
        <w:rPr>
          <w:color w:val="auto"/>
        </w:rPr>
        <w:t xml:space="preserve">. </w:t>
      </w:r>
      <w:r w:rsidR="0093015C" w:rsidRPr="00F72AF7">
        <w:rPr>
          <w:color w:val="auto"/>
        </w:rPr>
        <w:t>Plány na léta 2019</w:t>
      </w:r>
      <w:r w:rsidR="000708A7">
        <w:rPr>
          <w:color w:val="auto"/>
        </w:rPr>
        <w:t>–</w:t>
      </w:r>
      <w:r w:rsidR="0093015C" w:rsidRPr="00F72AF7">
        <w:rPr>
          <w:color w:val="auto"/>
        </w:rPr>
        <w:t>2020 a na léta 2021</w:t>
      </w:r>
      <w:r w:rsidR="000708A7">
        <w:rPr>
          <w:color w:val="auto"/>
        </w:rPr>
        <w:t>–</w:t>
      </w:r>
      <w:r w:rsidR="0093015C" w:rsidRPr="00F72AF7">
        <w:rPr>
          <w:color w:val="auto"/>
        </w:rPr>
        <w:t xml:space="preserve">2022 </w:t>
      </w:r>
      <w:r w:rsidR="008D180F" w:rsidRPr="00F72AF7">
        <w:rPr>
          <w:color w:val="auto"/>
        </w:rPr>
        <w:t xml:space="preserve">však </w:t>
      </w:r>
      <w:r w:rsidR="0093015C" w:rsidRPr="00F72AF7">
        <w:rPr>
          <w:color w:val="auto"/>
        </w:rPr>
        <w:t>vláda ČR neschválila. V</w:t>
      </w:r>
      <w:r w:rsidR="003308D6">
        <w:rPr>
          <w:color w:val="auto"/>
        </w:rPr>
        <w:t xml:space="preserve"> </w:t>
      </w:r>
      <w:r w:rsidR="0093015C" w:rsidRPr="00F72AF7">
        <w:rPr>
          <w:color w:val="auto"/>
        </w:rPr>
        <w:t>prvním případě na</w:t>
      </w:r>
      <w:r w:rsidR="000708A7">
        <w:rPr>
          <w:color w:val="auto"/>
        </w:rPr>
        <w:t xml:space="preserve"> </w:t>
      </w:r>
      <w:r w:rsidR="0093015C" w:rsidRPr="00F72AF7">
        <w:rPr>
          <w:color w:val="auto"/>
        </w:rPr>
        <w:t xml:space="preserve">základě rozhodnutí Ministerstva průmyslu </w:t>
      </w:r>
      <w:r w:rsidR="003308D6">
        <w:rPr>
          <w:color w:val="auto"/>
        </w:rPr>
        <w:br/>
      </w:r>
      <w:r w:rsidR="0093015C" w:rsidRPr="00F72AF7">
        <w:rPr>
          <w:color w:val="auto"/>
        </w:rPr>
        <w:lastRenderedPageBreak/>
        <w:t>a</w:t>
      </w:r>
      <w:r w:rsidR="003308D6">
        <w:rPr>
          <w:color w:val="auto"/>
        </w:rPr>
        <w:t xml:space="preserve"> </w:t>
      </w:r>
      <w:r w:rsidR="0093015C" w:rsidRPr="00F72AF7">
        <w:rPr>
          <w:color w:val="auto"/>
        </w:rPr>
        <w:t xml:space="preserve">obchodu tento plán ke schválení </w:t>
      </w:r>
      <w:r w:rsidR="006E529B" w:rsidRPr="00F72AF7">
        <w:rPr>
          <w:color w:val="auto"/>
        </w:rPr>
        <w:t xml:space="preserve">vládě ČR </w:t>
      </w:r>
      <w:r w:rsidR="0093015C" w:rsidRPr="00F72AF7">
        <w:rPr>
          <w:color w:val="auto"/>
        </w:rPr>
        <w:t>nepřed</w:t>
      </w:r>
      <w:r w:rsidR="000708A7">
        <w:rPr>
          <w:color w:val="auto"/>
        </w:rPr>
        <w:t>ložit</w:t>
      </w:r>
      <w:r w:rsidR="008D180F" w:rsidRPr="00F72AF7">
        <w:rPr>
          <w:color w:val="auto"/>
        </w:rPr>
        <w:t xml:space="preserve"> a </w:t>
      </w:r>
      <w:r w:rsidR="0093015C" w:rsidRPr="00F72AF7">
        <w:rPr>
          <w:color w:val="auto"/>
        </w:rPr>
        <w:t>v</w:t>
      </w:r>
      <w:r w:rsidR="003308D6">
        <w:rPr>
          <w:color w:val="auto"/>
        </w:rPr>
        <w:t xml:space="preserve"> </w:t>
      </w:r>
      <w:r w:rsidR="0093015C" w:rsidRPr="00F72AF7">
        <w:rPr>
          <w:color w:val="auto"/>
        </w:rPr>
        <w:t xml:space="preserve">druhém případě z rozhodnutí vlády </w:t>
      </w:r>
      <w:r w:rsidR="008D180F" w:rsidRPr="00F72AF7">
        <w:rPr>
          <w:color w:val="auto"/>
        </w:rPr>
        <w:t xml:space="preserve">ČR plán </w:t>
      </w:r>
      <w:r w:rsidR="0093015C" w:rsidRPr="00F72AF7">
        <w:rPr>
          <w:color w:val="auto"/>
        </w:rPr>
        <w:t>z důvodu krizové situace v souvislosti s</w:t>
      </w:r>
      <w:r w:rsidR="000708A7">
        <w:rPr>
          <w:color w:val="auto"/>
        </w:rPr>
        <w:t> </w:t>
      </w:r>
      <w:r w:rsidR="00DA0D58">
        <w:rPr>
          <w:color w:val="auto"/>
        </w:rPr>
        <w:t>pandemií</w:t>
      </w:r>
      <w:r w:rsidR="000708A7">
        <w:rPr>
          <w:color w:val="auto"/>
        </w:rPr>
        <w:t xml:space="preserve"> covidu</w:t>
      </w:r>
      <w:r w:rsidR="0093015C" w:rsidRPr="00F72AF7">
        <w:rPr>
          <w:color w:val="auto"/>
        </w:rPr>
        <w:t>-19</w:t>
      </w:r>
      <w:r w:rsidR="008D180F" w:rsidRPr="00F72AF7">
        <w:rPr>
          <w:color w:val="auto"/>
        </w:rPr>
        <w:t xml:space="preserve"> neprojednávat</w:t>
      </w:r>
      <w:r w:rsidR="0093015C" w:rsidRPr="00F72AF7">
        <w:rPr>
          <w:color w:val="auto"/>
        </w:rPr>
        <w:t xml:space="preserve">. </w:t>
      </w:r>
    </w:p>
    <w:p w14:paraId="216A8544" w14:textId="77777777" w:rsidR="008D180F" w:rsidRPr="00F72AF7" w:rsidRDefault="008D180F" w:rsidP="00921287">
      <w:pPr>
        <w:rPr>
          <w:color w:val="auto"/>
        </w:rPr>
      </w:pPr>
    </w:p>
    <w:p w14:paraId="0E873CD3" w14:textId="2B4EE5C8" w:rsidR="00BB73FA" w:rsidRPr="00F72AF7" w:rsidRDefault="004D1C6E" w:rsidP="00921287">
      <w:pPr>
        <w:rPr>
          <w:rFonts w:asciiTheme="minorHAnsi" w:hAnsiTheme="minorHAnsi" w:cstheme="minorHAnsi"/>
          <w:color w:val="auto"/>
        </w:rPr>
      </w:pPr>
      <w:r w:rsidRPr="00F72AF7">
        <w:rPr>
          <w:color w:val="auto"/>
        </w:rPr>
        <w:t>SSHR dále v</w:t>
      </w:r>
      <w:r w:rsidR="003308D6">
        <w:rPr>
          <w:color w:val="auto"/>
        </w:rPr>
        <w:t xml:space="preserve"> </w:t>
      </w:r>
      <w:r w:rsidRPr="00F72AF7">
        <w:rPr>
          <w:color w:val="auto"/>
        </w:rPr>
        <w:t xml:space="preserve">kontrolovaném období </w:t>
      </w:r>
      <w:r w:rsidR="00DB4B08">
        <w:rPr>
          <w:color w:val="auto"/>
        </w:rPr>
        <w:t>vy</w:t>
      </w:r>
      <w:r w:rsidRPr="00F72AF7">
        <w:rPr>
          <w:color w:val="auto"/>
        </w:rPr>
        <w:t xml:space="preserve">pracovala materiály </w:t>
      </w:r>
      <w:r w:rsidR="008D180F" w:rsidRPr="00F72AF7">
        <w:rPr>
          <w:color w:val="auto"/>
        </w:rPr>
        <w:t>určené k projednání vládou ČR</w:t>
      </w:r>
      <w:r w:rsidR="00DB4B08">
        <w:rPr>
          <w:color w:val="auto"/>
        </w:rPr>
        <w:t>,</w:t>
      </w:r>
      <w:r w:rsidR="008D180F" w:rsidRPr="00F72AF7">
        <w:rPr>
          <w:color w:val="auto"/>
        </w:rPr>
        <w:t xml:space="preserve"> </w:t>
      </w:r>
      <w:r w:rsidR="00DB4B08">
        <w:rPr>
          <w:color w:val="auto"/>
        </w:rPr>
        <w:t xml:space="preserve">tyto materiály se </w:t>
      </w:r>
      <w:r w:rsidRPr="00F72AF7">
        <w:rPr>
          <w:color w:val="auto"/>
        </w:rPr>
        <w:t>týka</w:t>
      </w:r>
      <w:r w:rsidR="00DB4B08">
        <w:rPr>
          <w:color w:val="auto"/>
        </w:rPr>
        <w:t>ly</w:t>
      </w:r>
      <w:r w:rsidRPr="00F72AF7">
        <w:rPr>
          <w:color w:val="auto"/>
        </w:rPr>
        <w:t xml:space="preserve"> konkrétně jen navýšení nouzových zásob.</w:t>
      </w:r>
      <w:r w:rsidR="008D180F" w:rsidRPr="00F72AF7">
        <w:rPr>
          <w:rFonts w:asciiTheme="minorHAnsi" w:hAnsiTheme="minorHAnsi" w:cstheme="minorHAnsi"/>
          <w:color w:val="auto"/>
        </w:rPr>
        <w:t xml:space="preserve"> </w:t>
      </w:r>
      <w:r w:rsidR="00BB73FA" w:rsidRPr="00F72AF7">
        <w:rPr>
          <w:rFonts w:asciiTheme="minorHAnsi" w:hAnsiTheme="minorHAnsi" w:cstheme="minorHAnsi"/>
          <w:color w:val="auto"/>
        </w:rPr>
        <w:t>V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="00BB73FA" w:rsidRPr="00F72AF7">
        <w:rPr>
          <w:rFonts w:asciiTheme="minorHAnsi" w:hAnsiTheme="minorHAnsi" w:cstheme="minorHAnsi"/>
          <w:color w:val="auto"/>
        </w:rPr>
        <w:t>roce 2017 SSHR zpracovala a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="00BB73FA" w:rsidRPr="00F72AF7">
        <w:rPr>
          <w:rFonts w:asciiTheme="minorHAnsi" w:hAnsiTheme="minorHAnsi" w:cstheme="minorHAnsi"/>
          <w:color w:val="auto"/>
        </w:rPr>
        <w:t>prostřednictvím M</w:t>
      </w:r>
      <w:r w:rsidR="007D169A" w:rsidRPr="00F72AF7">
        <w:rPr>
          <w:rFonts w:asciiTheme="minorHAnsi" w:hAnsiTheme="minorHAnsi" w:cstheme="minorHAnsi"/>
          <w:color w:val="auto"/>
        </w:rPr>
        <w:t>inisterstva průmyslu a obchodu</w:t>
      </w:r>
      <w:r w:rsidR="00BB73FA" w:rsidRPr="00F72AF7">
        <w:rPr>
          <w:rFonts w:asciiTheme="minorHAnsi" w:hAnsiTheme="minorHAnsi" w:cstheme="minorHAnsi"/>
          <w:color w:val="auto"/>
        </w:rPr>
        <w:t xml:space="preserve"> předložila vládě ČR materiál </w:t>
      </w:r>
      <w:r w:rsidR="00BB73FA" w:rsidRPr="00F72AF7">
        <w:rPr>
          <w:rFonts w:asciiTheme="minorHAnsi" w:hAnsiTheme="minorHAnsi" w:cstheme="minorHAnsi"/>
          <w:i/>
          <w:color w:val="auto"/>
        </w:rPr>
        <w:t>Navýšení nouzových zásob ropy a ropných produktů</w:t>
      </w:r>
      <w:r w:rsidR="00BB73FA" w:rsidRPr="00F72AF7">
        <w:rPr>
          <w:rFonts w:asciiTheme="minorHAnsi" w:hAnsiTheme="minorHAnsi" w:cstheme="minorHAnsi"/>
          <w:color w:val="auto"/>
        </w:rPr>
        <w:t xml:space="preserve">, který </w:t>
      </w:r>
      <w:r w:rsidR="00BB73FA" w:rsidRPr="00F72AF7">
        <w:rPr>
          <w:rFonts w:asciiTheme="minorHAnsi" w:hAnsiTheme="minorHAnsi" w:cstheme="minorHAnsi"/>
          <w:b/>
          <w:color w:val="auto"/>
        </w:rPr>
        <w:t>zahrnoval variantní řešení</w:t>
      </w:r>
      <w:r w:rsidR="00BB73FA" w:rsidRPr="005A17ED">
        <w:rPr>
          <w:rFonts w:asciiTheme="minorHAnsi" w:hAnsiTheme="minorHAnsi" w:cstheme="minorHAnsi"/>
          <w:b/>
          <w:color w:val="auto"/>
        </w:rPr>
        <w:t>,</w:t>
      </w:r>
      <w:r w:rsidR="00BB73FA" w:rsidRPr="00F72AF7">
        <w:rPr>
          <w:rFonts w:asciiTheme="minorHAnsi" w:hAnsiTheme="minorHAnsi" w:cstheme="minorHAnsi"/>
          <w:color w:val="auto"/>
        </w:rPr>
        <w:t xml:space="preserve"> a to jak návrh na nákup směsi </w:t>
      </w:r>
      <w:proofErr w:type="spellStart"/>
      <w:r w:rsidR="00BB73FA" w:rsidRPr="00F72AF7">
        <w:rPr>
          <w:rFonts w:asciiTheme="minorHAnsi" w:hAnsiTheme="minorHAnsi" w:cstheme="minorHAnsi"/>
          <w:color w:val="auto"/>
        </w:rPr>
        <w:t>nízkosirných</w:t>
      </w:r>
      <w:proofErr w:type="spellEnd"/>
      <w:r w:rsidR="00BB73FA" w:rsidRPr="00F72AF7">
        <w:rPr>
          <w:rFonts w:asciiTheme="minorHAnsi" w:hAnsiTheme="minorHAnsi" w:cstheme="minorHAnsi"/>
          <w:color w:val="auto"/>
        </w:rPr>
        <w:t xml:space="preserve"> rop, tak návrh na nákup motorové </w:t>
      </w:r>
      <w:r w:rsidR="00DB4B08" w:rsidRPr="00F72AF7">
        <w:rPr>
          <w:rFonts w:asciiTheme="minorHAnsi" w:hAnsiTheme="minorHAnsi" w:cstheme="minorHAnsi"/>
          <w:color w:val="auto"/>
        </w:rPr>
        <w:t xml:space="preserve">nafty </w:t>
      </w:r>
      <w:r w:rsidR="00646AFD">
        <w:rPr>
          <w:rFonts w:asciiTheme="minorHAnsi" w:hAnsiTheme="minorHAnsi" w:cstheme="minorHAnsi"/>
          <w:color w:val="auto"/>
        </w:rPr>
        <w:br/>
      </w:r>
      <w:r w:rsidR="00BB73FA" w:rsidRPr="00F72AF7">
        <w:rPr>
          <w:rFonts w:asciiTheme="minorHAnsi" w:hAnsiTheme="minorHAnsi" w:cstheme="minorHAnsi"/>
          <w:color w:val="auto"/>
        </w:rPr>
        <w:t>a</w:t>
      </w:r>
      <w:r w:rsidR="00646AFD">
        <w:rPr>
          <w:rFonts w:asciiTheme="minorHAnsi" w:hAnsiTheme="minorHAnsi" w:cstheme="minorHAnsi"/>
          <w:color w:val="auto"/>
        </w:rPr>
        <w:t xml:space="preserve"> </w:t>
      </w:r>
      <w:r w:rsidR="00BB73FA" w:rsidRPr="00F72AF7">
        <w:rPr>
          <w:rFonts w:asciiTheme="minorHAnsi" w:hAnsiTheme="minorHAnsi" w:cstheme="minorHAnsi"/>
          <w:color w:val="auto"/>
        </w:rPr>
        <w:t>automobilového benzinu. Zdrojem pro financování nákupu ropy nebo ropných produktů měly být mimorozpočtové zdroje SSHR.</w:t>
      </w:r>
      <w:r w:rsidR="009F67D7" w:rsidRPr="00F72AF7">
        <w:rPr>
          <w:rFonts w:asciiTheme="minorHAnsi" w:hAnsiTheme="minorHAnsi" w:cstheme="minorHAnsi"/>
          <w:color w:val="auto"/>
        </w:rPr>
        <w:t xml:space="preserve"> Vláda ČR uvedený materiál v červnu 2017 projednala, nicméně nepřijala k němu usnesení.</w:t>
      </w:r>
    </w:p>
    <w:p w14:paraId="75352A30" w14:textId="77777777" w:rsidR="009F67D7" w:rsidRPr="00F72AF7" w:rsidRDefault="009F67D7" w:rsidP="00921287">
      <w:pPr>
        <w:rPr>
          <w:rFonts w:asciiTheme="minorHAnsi" w:hAnsiTheme="minorHAnsi" w:cstheme="minorHAnsi"/>
          <w:color w:val="auto"/>
        </w:rPr>
      </w:pPr>
    </w:p>
    <w:p w14:paraId="13A074D7" w14:textId="551336AE" w:rsidR="009F67D7" w:rsidRPr="00F72AF7" w:rsidRDefault="009F67D7" w:rsidP="00921287">
      <w:pPr>
        <w:rPr>
          <w:rFonts w:asciiTheme="minorHAnsi" w:hAnsiTheme="minorHAnsi" w:cstheme="minorHAnsi"/>
          <w:color w:val="auto"/>
        </w:rPr>
      </w:pPr>
      <w:r w:rsidRPr="00F72AF7">
        <w:rPr>
          <w:rFonts w:asciiTheme="minorHAnsi" w:hAnsiTheme="minorHAnsi" w:cstheme="minorHAnsi"/>
          <w:color w:val="auto"/>
        </w:rPr>
        <w:t>V</w:t>
      </w:r>
      <w:r w:rsidR="00DB4B08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 xml:space="preserve">červenci 2018 SSHR prostřednictvím Ministerstva průmyslu a obchodu </w:t>
      </w:r>
      <w:r w:rsidR="00DB4B08">
        <w:rPr>
          <w:rFonts w:asciiTheme="minorHAnsi" w:hAnsiTheme="minorHAnsi" w:cstheme="minorHAnsi"/>
          <w:color w:val="auto"/>
        </w:rPr>
        <w:t>zaslala</w:t>
      </w:r>
      <w:r w:rsidRPr="00F72AF7">
        <w:rPr>
          <w:rFonts w:asciiTheme="minorHAnsi" w:hAnsiTheme="minorHAnsi" w:cstheme="minorHAnsi"/>
          <w:color w:val="auto"/>
        </w:rPr>
        <w:t xml:space="preserve"> do</w:t>
      </w:r>
      <w:r w:rsidR="00087C57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>mezire</w:t>
      </w:r>
      <w:r w:rsidR="00DB4B08">
        <w:rPr>
          <w:rFonts w:asciiTheme="minorHAnsi" w:hAnsiTheme="minorHAnsi" w:cstheme="minorHAnsi"/>
          <w:color w:val="auto"/>
        </w:rPr>
        <w:t>s</w:t>
      </w:r>
      <w:r w:rsidRPr="00F72AF7">
        <w:rPr>
          <w:rFonts w:asciiTheme="minorHAnsi" w:hAnsiTheme="minorHAnsi" w:cstheme="minorHAnsi"/>
          <w:color w:val="auto"/>
        </w:rPr>
        <w:t xml:space="preserve">ortního připomínkového řízení </w:t>
      </w:r>
      <w:r w:rsidRPr="00F72AF7">
        <w:rPr>
          <w:rFonts w:asciiTheme="minorHAnsi" w:hAnsiTheme="minorHAnsi" w:cstheme="minorHAnsi"/>
          <w:b/>
          <w:color w:val="auto"/>
        </w:rPr>
        <w:t>aktualizaci materiálu</w:t>
      </w:r>
      <w:r w:rsidRPr="00F72AF7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i/>
          <w:color w:val="auto"/>
        </w:rPr>
        <w:t>Navýšení nouzových zásob ropy a ropných produktů</w:t>
      </w:r>
      <w:r w:rsidRPr="00F72AF7">
        <w:rPr>
          <w:rFonts w:asciiTheme="minorHAnsi" w:hAnsiTheme="minorHAnsi" w:cstheme="minorHAnsi"/>
          <w:color w:val="auto"/>
        </w:rPr>
        <w:t xml:space="preserve">. Tento materiál nebyl </w:t>
      </w:r>
      <w:r w:rsidR="0093015C" w:rsidRPr="00F72AF7">
        <w:rPr>
          <w:rFonts w:asciiTheme="minorHAnsi" w:hAnsiTheme="minorHAnsi" w:cstheme="minorHAnsi"/>
          <w:color w:val="auto"/>
        </w:rPr>
        <w:t>k projednání</w:t>
      </w:r>
      <w:r w:rsidRPr="00F72AF7">
        <w:rPr>
          <w:rFonts w:asciiTheme="minorHAnsi" w:hAnsiTheme="minorHAnsi" w:cstheme="minorHAnsi"/>
          <w:color w:val="auto"/>
        </w:rPr>
        <w:t xml:space="preserve"> vládě ČR předložen.</w:t>
      </w:r>
    </w:p>
    <w:p w14:paraId="0DAF2A42" w14:textId="77777777" w:rsidR="009F67D7" w:rsidRPr="00F72AF7" w:rsidRDefault="009F67D7" w:rsidP="00921287">
      <w:pPr>
        <w:rPr>
          <w:rFonts w:asciiTheme="minorHAnsi" w:hAnsiTheme="minorHAnsi" w:cstheme="minorHAnsi"/>
          <w:color w:val="auto"/>
        </w:rPr>
      </w:pPr>
    </w:p>
    <w:p w14:paraId="13F4EAC4" w14:textId="29960506" w:rsidR="009F67D7" w:rsidRPr="00F72AF7" w:rsidRDefault="009F67D7" w:rsidP="00921287">
      <w:pPr>
        <w:rPr>
          <w:rFonts w:asciiTheme="minorHAnsi" w:hAnsiTheme="minorHAnsi" w:cstheme="minorHAnsi"/>
          <w:b/>
          <w:color w:val="auto"/>
        </w:rPr>
      </w:pPr>
      <w:r w:rsidRPr="00F72AF7">
        <w:rPr>
          <w:rFonts w:asciiTheme="minorHAnsi" w:hAnsiTheme="minorHAnsi" w:cstheme="minorHAnsi"/>
          <w:color w:val="auto"/>
        </w:rPr>
        <w:t xml:space="preserve">V souvislosti </w:t>
      </w:r>
      <w:r w:rsidRPr="00F72AF7">
        <w:rPr>
          <w:rFonts w:asciiTheme="minorHAnsi" w:hAnsiTheme="minorHAnsi" w:cstheme="minorHAnsi"/>
          <w:b/>
          <w:color w:val="auto"/>
        </w:rPr>
        <w:t>s výrazným poklesem cen ropy na</w:t>
      </w:r>
      <w:r w:rsidR="00DB4B08">
        <w:rPr>
          <w:rFonts w:asciiTheme="minorHAnsi" w:hAnsiTheme="minorHAnsi" w:cstheme="minorHAnsi"/>
          <w:b/>
          <w:color w:val="auto"/>
        </w:rPr>
        <w:t xml:space="preserve"> </w:t>
      </w:r>
      <w:r w:rsidRPr="00F72AF7">
        <w:rPr>
          <w:rFonts w:asciiTheme="minorHAnsi" w:hAnsiTheme="minorHAnsi" w:cstheme="minorHAnsi"/>
          <w:b/>
          <w:color w:val="auto"/>
        </w:rPr>
        <w:t>světových trzích</w:t>
      </w:r>
      <w:r w:rsidRPr="00F72AF7">
        <w:rPr>
          <w:rFonts w:asciiTheme="minorHAnsi" w:hAnsiTheme="minorHAnsi" w:cstheme="minorHAnsi"/>
          <w:color w:val="auto"/>
        </w:rPr>
        <w:t xml:space="preserve"> se předseda SSHR v březnu 2020 písemně obrátil na Ministerstvo průmyslu a obchodu s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 xml:space="preserve">návrhem na doplnění nouzových zásob. </w:t>
      </w:r>
      <w:r w:rsidR="007802F2" w:rsidRPr="00F72AF7">
        <w:rPr>
          <w:rFonts w:asciiTheme="minorHAnsi" w:hAnsiTheme="minorHAnsi" w:cstheme="minorHAnsi"/>
          <w:color w:val="auto"/>
        </w:rPr>
        <w:t>Následně byl předseda SSHR ministrem průmyslu a obchodu písemně informován, že s</w:t>
      </w:r>
      <w:r w:rsidR="002D1E8E">
        <w:rPr>
          <w:rFonts w:asciiTheme="minorHAnsi" w:hAnsiTheme="minorHAnsi" w:cstheme="minorHAnsi"/>
          <w:color w:val="auto"/>
        </w:rPr>
        <w:t xml:space="preserve"> </w:t>
      </w:r>
      <w:r w:rsidR="007802F2" w:rsidRPr="00F72AF7">
        <w:rPr>
          <w:rFonts w:asciiTheme="minorHAnsi" w:hAnsiTheme="minorHAnsi" w:cstheme="minorHAnsi"/>
          <w:color w:val="auto"/>
        </w:rPr>
        <w:t>ohledem na situaci spojenou s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="00DA0D58">
        <w:rPr>
          <w:rFonts w:asciiTheme="minorHAnsi" w:hAnsiTheme="minorHAnsi" w:cstheme="minorHAnsi"/>
          <w:color w:val="auto"/>
        </w:rPr>
        <w:t xml:space="preserve">pandemií </w:t>
      </w:r>
      <w:r w:rsidR="00DB4B08">
        <w:rPr>
          <w:rFonts w:asciiTheme="minorHAnsi" w:hAnsiTheme="minorHAnsi" w:cstheme="minorHAnsi"/>
          <w:color w:val="auto"/>
        </w:rPr>
        <w:t>covidu</w:t>
      </w:r>
      <w:r w:rsidR="007802F2" w:rsidRPr="00F72AF7">
        <w:rPr>
          <w:rFonts w:asciiTheme="minorHAnsi" w:hAnsiTheme="minorHAnsi" w:cstheme="minorHAnsi"/>
          <w:color w:val="auto"/>
        </w:rPr>
        <w:t xml:space="preserve">-19 </w:t>
      </w:r>
      <w:r w:rsidR="007802F2" w:rsidRPr="00F72AF7">
        <w:rPr>
          <w:rFonts w:asciiTheme="minorHAnsi" w:hAnsiTheme="minorHAnsi" w:cstheme="minorHAnsi"/>
          <w:b/>
          <w:color w:val="auto"/>
        </w:rPr>
        <w:t>není doplnění nouzových zásob ropy a ropných produktů aktuální vládní prioritou.</w:t>
      </w:r>
    </w:p>
    <w:p w14:paraId="35DF0AF0" w14:textId="77777777" w:rsidR="00BB73FA" w:rsidRPr="00F72AF7" w:rsidRDefault="00BB73FA" w:rsidP="00921287">
      <w:pPr>
        <w:rPr>
          <w:rFonts w:asciiTheme="minorHAnsi" w:hAnsiTheme="minorHAnsi" w:cstheme="minorHAnsi"/>
          <w:b/>
          <w:color w:val="auto"/>
        </w:rPr>
      </w:pPr>
    </w:p>
    <w:p w14:paraId="48B379B2" w14:textId="04C50E5B" w:rsidR="009F67D7" w:rsidRPr="00F72AF7" w:rsidRDefault="008D180F" w:rsidP="00921287">
      <w:pPr>
        <w:rPr>
          <w:rFonts w:asciiTheme="minorHAnsi" w:hAnsiTheme="minorHAnsi" w:cstheme="minorHAnsi"/>
          <w:color w:val="auto"/>
        </w:rPr>
      </w:pPr>
      <w:r w:rsidRPr="00F72AF7">
        <w:rPr>
          <w:rFonts w:asciiTheme="minorHAnsi" w:hAnsiTheme="minorHAnsi" w:cstheme="minorHAnsi"/>
          <w:color w:val="auto"/>
        </w:rPr>
        <w:t>Z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 xml:space="preserve">výše uvedeného je zřejmé, že </w:t>
      </w:r>
      <w:r w:rsidR="004D1C6E" w:rsidRPr="00F72AF7">
        <w:rPr>
          <w:rFonts w:asciiTheme="minorHAnsi" w:hAnsiTheme="minorHAnsi" w:cstheme="minorHAnsi"/>
          <w:color w:val="auto"/>
        </w:rPr>
        <w:t xml:space="preserve">SSHR </w:t>
      </w:r>
      <w:r w:rsidR="00DB4B08">
        <w:rPr>
          <w:rFonts w:asciiTheme="minorHAnsi" w:hAnsiTheme="minorHAnsi" w:cstheme="minorHAnsi"/>
          <w:color w:val="auto"/>
        </w:rPr>
        <w:t>vy</w:t>
      </w:r>
      <w:r w:rsidR="004D1C6E" w:rsidRPr="00F72AF7">
        <w:rPr>
          <w:rFonts w:asciiTheme="minorHAnsi" w:hAnsiTheme="minorHAnsi" w:cstheme="minorHAnsi"/>
          <w:color w:val="auto"/>
        </w:rPr>
        <w:t xml:space="preserve">pracovala návrhy na doplnění nouzových zásob, </w:t>
      </w:r>
      <w:r w:rsidRPr="00F72AF7">
        <w:rPr>
          <w:rFonts w:asciiTheme="minorHAnsi" w:hAnsiTheme="minorHAnsi" w:cstheme="minorHAnsi"/>
          <w:color w:val="auto"/>
        </w:rPr>
        <w:t>žádný návrh SSHR však nebyl vládou ČR schválen.</w:t>
      </w:r>
      <w:r w:rsidR="004D1C6E" w:rsidRPr="00F72AF7">
        <w:rPr>
          <w:rFonts w:asciiTheme="minorHAnsi" w:hAnsiTheme="minorHAnsi" w:cstheme="minorHAnsi"/>
          <w:color w:val="auto"/>
        </w:rPr>
        <w:t xml:space="preserve"> </w:t>
      </w:r>
      <w:r w:rsidRPr="00F72AF7">
        <w:rPr>
          <w:rFonts w:asciiTheme="minorHAnsi" w:hAnsiTheme="minorHAnsi" w:cstheme="minorHAnsi"/>
          <w:color w:val="auto"/>
        </w:rPr>
        <w:t>D</w:t>
      </w:r>
      <w:r w:rsidR="009F67D7" w:rsidRPr="00F72AF7">
        <w:rPr>
          <w:rFonts w:asciiTheme="minorHAnsi" w:hAnsiTheme="minorHAnsi" w:cstheme="minorHAnsi"/>
          <w:color w:val="auto"/>
        </w:rPr>
        <w:t xml:space="preserve">o doby ukončení kontroly NKÚ </w:t>
      </w:r>
      <w:r w:rsidR="009F67D7" w:rsidRPr="00F72AF7">
        <w:rPr>
          <w:rFonts w:asciiTheme="minorHAnsi" w:hAnsiTheme="minorHAnsi" w:cstheme="minorHAnsi"/>
          <w:b/>
          <w:color w:val="auto"/>
        </w:rPr>
        <w:t>nebylo přijato strategické rozhodnutí</w:t>
      </w:r>
      <w:r w:rsidR="009F67D7" w:rsidRPr="00F72AF7">
        <w:rPr>
          <w:rFonts w:asciiTheme="minorHAnsi" w:hAnsiTheme="minorHAnsi" w:cstheme="minorHAnsi"/>
          <w:color w:val="auto"/>
        </w:rPr>
        <w:t xml:space="preserve"> </w:t>
      </w:r>
      <w:r w:rsidR="007D169A" w:rsidRPr="00F72AF7">
        <w:rPr>
          <w:rFonts w:asciiTheme="minorHAnsi" w:hAnsiTheme="minorHAnsi" w:cstheme="minorHAnsi"/>
          <w:color w:val="auto"/>
        </w:rPr>
        <w:t xml:space="preserve">o struktuře nově pořizovaných nouzových zásob </w:t>
      </w:r>
      <w:r w:rsidR="009F67D7" w:rsidRPr="00F72AF7">
        <w:rPr>
          <w:rFonts w:asciiTheme="minorHAnsi" w:hAnsiTheme="minorHAnsi" w:cstheme="minorHAnsi"/>
          <w:color w:val="auto"/>
        </w:rPr>
        <w:t xml:space="preserve">ve </w:t>
      </w:r>
      <w:r w:rsidR="007D169A" w:rsidRPr="00F72AF7">
        <w:rPr>
          <w:rFonts w:asciiTheme="minorHAnsi" w:hAnsiTheme="minorHAnsi" w:cstheme="minorHAnsi"/>
          <w:color w:val="auto"/>
        </w:rPr>
        <w:t>vazbě na</w:t>
      </w:r>
      <w:r w:rsidR="00087C57">
        <w:rPr>
          <w:rFonts w:asciiTheme="minorHAnsi" w:hAnsiTheme="minorHAnsi" w:cstheme="minorHAnsi"/>
          <w:color w:val="auto"/>
        </w:rPr>
        <w:t xml:space="preserve"> </w:t>
      </w:r>
      <w:r w:rsidR="007D169A" w:rsidRPr="00F72AF7">
        <w:rPr>
          <w:rFonts w:asciiTheme="minorHAnsi" w:hAnsiTheme="minorHAnsi" w:cstheme="minorHAnsi"/>
          <w:color w:val="auto"/>
        </w:rPr>
        <w:t>strategické priority ČR v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="007D169A" w:rsidRPr="00F72AF7">
        <w:rPr>
          <w:rFonts w:asciiTheme="minorHAnsi" w:hAnsiTheme="minorHAnsi" w:cstheme="minorHAnsi"/>
          <w:color w:val="auto"/>
        </w:rPr>
        <w:t>oblasti energetické bezpečnosti</w:t>
      </w:r>
      <w:r w:rsidR="009B3B76" w:rsidRPr="00F72AF7">
        <w:rPr>
          <w:rFonts w:asciiTheme="minorHAnsi" w:hAnsiTheme="minorHAnsi" w:cstheme="minorHAnsi"/>
          <w:color w:val="auto"/>
        </w:rPr>
        <w:t xml:space="preserve">. </w:t>
      </w:r>
      <w:r w:rsidR="006E3928" w:rsidRPr="00F72AF7">
        <w:rPr>
          <w:rFonts w:asciiTheme="minorHAnsi" w:hAnsiTheme="minorHAnsi" w:cstheme="minorHAnsi"/>
          <w:color w:val="auto"/>
        </w:rPr>
        <w:t>S</w:t>
      </w:r>
      <w:r w:rsidR="003308D6">
        <w:rPr>
          <w:rFonts w:asciiTheme="minorHAnsi" w:hAnsiTheme="minorHAnsi" w:cstheme="minorHAnsi"/>
          <w:color w:val="auto"/>
        </w:rPr>
        <w:t xml:space="preserve"> </w:t>
      </w:r>
      <w:r w:rsidR="006E3928" w:rsidRPr="00F72AF7">
        <w:rPr>
          <w:rFonts w:asciiTheme="minorHAnsi" w:hAnsiTheme="minorHAnsi" w:cstheme="minorHAnsi"/>
          <w:color w:val="auto"/>
        </w:rPr>
        <w:t xml:space="preserve">ohledem na absenci takového strategického rozhodnutí </w:t>
      </w:r>
      <w:r w:rsidR="00DB4B08" w:rsidRPr="005A17ED">
        <w:rPr>
          <w:rFonts w:asciiTheme="minorHAnsi" w:hAnsiTheme="minorHAnsi" w:cstheme="minorHAnsi"/>
          <w:b/>
          <w:color w:val="auto"/>
        </w:rPr>
        <w:t>Správa státních hmotných rezerv</w:t>
      </w:r>
      <w:r w:rsidR="007D169A" w:rsidRPr="00F72AF7">
        <w:rPr>
          <w:rFonts w:asciiTheme="minorHAnsi" w:hAnsiTheme="minorHAnsi" w:cstheme="minorHAnsi"/>
          <w:color w:val="auto"/>
        </w:rPr>
        <w:t xml:space="preserve"> </w:t>
      </w:r>
      <w:r w:rsidR="006E3928" w:rsidRPr="00F72AF7">
        <w:rPr>
          <w:rFonts w:asciiTheme="minorHAnsi" w:hAnsiTheme="minorHAnsi" w:cstheme="minorHAnsi"/>
          <w:b/>
          <w:color w:val="auto"/>
        </w:rPr>
        <w:t>doplnění</w:t>
      </w:r>
      <w:r w:rsidR="007D169A" w:rsidRPr="00F72AF7">
        <w:rPr>
          <w:rFonts w:asciiTheme="minorHAnsi" w:hAnsiTheme="minorHAnsi" w:cstheme="minorHAnsi"/>
          <w:b/>
          <w:color w:val="auto"/>
        </w:rPr>
        <w:t xml:space="preserve"> nouzových zásob nerealizovala</w:t>
      </w:r>
      <w:r w:rsidR="007D169A" w:rsidRPr="005A17ED">
        <w:rPr>
          <w:rFonts w:asciiTheme="minorHAnsi" w:hAnsiTheme="minorHAnsi" w:cstheme="minorHAnsi"/>
          <w:b/>
          <w:color w:val="auto"/>
        </w:rPr>
        <w:t>.</w:t>
      </w:r>
    </w:p>
    <w:p w14:paraId="285079B5" w14:textId="77777777" w:rsidR="009F67D7" w:rsidRPr="003112DB" w:rsidRDefault="009F67D7" w:rsidP="00921287">
      <w:pPr>
        <w:rPr>
          <w:rFonts w:asciiTheme="minorHAnsi" w:hAnsiTheme="minorHAnsi" w:cstheme="minorHAnsi"/>
          <w:b/>
        </w:rPr>
      </w:pPr>
    </w:p>
    <w:p w14:paraId="3259D8A4" w14:textId="77777777" w:rsidR="00161F79" w:rsidRPr="003C15DB" w:rsidRDefault="00324B95" w:rsidP="008D6018">
      <w:pPr>
        <w:pStyle w:val="Nadpis2"/>
        <w:spacing w:before="120"/>
        <w:ind w:left="284" w:hanging="284"/>
        <w:jc w:val="left"/>
      </w:pPr>
      <w:r w:rsidRPr="003C15DB">
        <w:t xml:space="preserve">Absence </w:t>
      </w:r>
      <w:proofErr w:type="spellStart"/>
      <w:r w:rsidRPr="003C15DB">
        <w:t>nízkosirné</w:t>
      </w:r>
      <w:proofErr w:type="spellEnd"/>
      <w:r w:rsidRPr="003C15DB">
        <w:t xml:space="preserve"> ropy v nouzových zásobách</w:t>
      </w:r>
    </w:p>
    <w:p w14:paraId="3BD8D4C9" w14:textId="3F84B685" w:rsidR="00B43AE3" w:rsidRPr="003C15DB" w:rsidRDefault="00E549C1" w:rsidP="00B43AE3">
      <w:r w:rsidRPr="003C15DB">
        <w:rPr>
          <w:rFonts w:asciiTheme="minorHAnsi" w:hAnsiTheme="minorHAnsi" w:cstheme="minorHAnsi"/>
        </w:rPr>
        <w:t>Na území ČR se nacházejí dvě rafinérie</w:t>
      </w:r>
      <w:r w:rsidR="00DB4B08">
        <w:rPr>
          <w:rFonts w:asciiTheme="minorHAnsi" w:hAnsiTheme="minorHAnsi" w:cstheme="minorHAnsi"/>
        </w:rPr>
        <w:t>,</w:t>
      </w:r>
      <w:r w:rsidRPr="003C15DB">
        <w:rPr>
          <w:rFonts w:asciiTheme="minorHAnsi" w:hAnsiTheme="minorHAnsi" w:cstheme="minorHAnsi"/>
        </w:rPr>
        <w:t xml:space="preserve"> v Kralupech nad Vltavou a </w:t>
      </w:r>
      <w:r w:rsidR="00DB4B08">
        <w:rPr>
          <w:rFonts w:asciiTheme="minorHAnsi" w:hAnsiTheme="minorHAnsi" w:cstheme="minorHAnsi"/>
        </w:rPr>
        <w:t xml:space="preserve">v </w:t>
      </w:r>
      <w:r w:rsidRPr="003C15DB">
        <w:rPr>
          <w:rFonts w:asciiTheme="minorHAnsi" w:hAnsiTheme="minorHAnsi" w:cstheme="minorHAnsi"/>
        </w:rPr>
        <w:t xml:space="preserve">Litvínově. V době kontroly NKÚ byly </w:t>
      </w:r>
      <w:r w:rsidRPr="003C15DB">
        <w:rPr>
          <w:rFonts w:asciiTheme="minorHAnsi" w:hAnsiTheme="minorHAnsi" w:cstheme="minorHAnsi"/>
          <w:b/>
        </w:rPr>
        <w:t>nouzové zásoby ropy tvořeny výhradně zásobami ropy</w:t>
      </w:r>
      <w:r w:rsidRPr="003C15DB">
        <w:rPr>
          <w:rFonts w:asciiTheme="minorHAnsi" w:hAnsiTheme="minorHAnsi" w:cstheme="minorHAnsi"/>
        </w:rPr>
        <w:t xml:space="preserve"> typu REB</w:t>
      </w:r>
      <w:r w:rsidR="00661385" w:rsidRPr="003C15DB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  <w:b/>
        </w:rPr>
        <w:t>zpracovatelné v rafin</w:t>
      </w:r>
      <w:r w:rsidR="00DB4B08">
        <w:rPr>
          <w:rFonts w:asciiTheme="minorHAnsi" w:hAnsiTheme="minorHAnsi" w:cstheme="minorHAnsi"/>
          <w:b/>
        </w:rPr>
        <w:t>é</w:t>
      </w:r>
      <w:r w:rsidRPr="003C15DB">
        <w:rPr>
          <w:rFonts w:asciiTheme="minorHAnsi" w:hAnsiTheme="minorHAnsi" w:cstheme="minorHAnsi"/>
          <w:b/>
        </w:rPr>
        <w:t>rii v Litvínově</w:t>
      </w:r>
      <w:r w:rsidRPr="005A17ED">
        <w:rPr>
          <w:rFonts w:asciiTheme="minorHAnsi" w:hAnsiTheme="minorHAnsi" w:cstheme="minorHAnsi"/>
          <w:b/>
        </w:rPr>
        <w:t>.</w:t>
      </w:r>
      <w:r w:rsidRPr="003C15DB">
        <w:rPr>
          <w:rFonts w:asciiTheme="minorHAnsi" w:hAnsiTheme="minorHAnsi" w:cstheme="minorHAnsi"/>
        </w:rPr>
        <w:t xml:space="preserve"> V</w:t>
      </w:r>
      <w:r w:rsidR="00DB4B08">
        <w:rPr>
          <w:rFonts w:asciiTheme="minorHAnsi" w:hAnsiTheme="minorHAnsi" w:cstheme="minorHAnsi"/>
        </w:rPr>
        <w:t> </w:t>
      </w:r>
      <w:r w:rsidRPr="003C15DB">
        <w:rPr>
          <w:rFonts w:asciiTheme="minorHAnsi" w:hAnsiTheme="minorHAnsi" w:cstheme="minorHAnsi"/>
        </w:rPr>
        <w:t>rafin</w:t>
      </w:r>
      <w:r w:rsidR="006A5ECB" w:rsidRPr="003C15DB">
        <w:rPr>
          <w:rFonts w:asciiTheme="minorHAnsi" w:hAnsiTheme="minorHAnsi" w:cstheme="minorHAnsi"/>
        </w:rPr>
        <w:t>é</w:t>
      </w:r>
      <w:r w:rsidRPr="003C15DB">
        <w:rPr>
          <w:rFonts w:asciiTheme="minorHAnsi" w:hAnsiTheme="minorHAnsi" w:cstheme="minorHAnsi"/>
        </w:rPr>
        <w:t>rii</w:t>
      </w:r>
      <w:r w:rsidR="00DB4B08">
        <w:rPr>
          <w:rFonts w:asciiTheme="minorHAnsi" w:hAnsiTheme="minorHAnsi" w:cstheme="minorHAnsi"/>
        </w:rPr>
        <w:t xml:space="preserve"> v</w:t>
      </w:r>
      <w:r w:rsidRPr="003C15DB">
        <w:rPr>
          <w:rFonts w:asciiTheme="minorHAnsi" w:hAnsiTheme="minorHAnsi" w:cstheme="minorHAnsi"/>
        </w:rPr>
        <w:t xml:space="preserve"> Kralup</w:t>
      </w:r>
      <w:r w:rsidR="00DB4B08">
        <w:rPr>
          <w:rFonts w:asciiTheme="minorHAnsi" w:hAnsiTheme="minorHAnsi" w:cstheme="minorHAnsi"/>
        </w:rPr>
        <w:t>ech</w:t>
      </w:r>
      <w:r w:rsidRPr="003C15DB">
        <w:rPr>
          <w:rFonts w:asciiTheme="minorHAnsi" w:hAnsiTheme="minorHAnsi" w:cstheme="minorHAnsi"/>
        </w:rPr>
        <w:t xml:space="preserve"> nad Vltavou bez zásadní úpravy technologie nelze ropu typu REB zpracovávat. Technologie rafin</w:t>
      </w:r>
      <w:r w:rsidR="00DB4B08">
        <w:rPr>
          <w:rFonts w:asciiTheme="minorHAnsi" w:hAnsiTheme="minorHAnsi" w:cstheme="minorHAnsi"/>
        </w:rPr>
        <w:t>é</w:t>
      </w:r>
      <w:r w:rsidRPr="003C15DB">
        <w:rPr>
          <w:rFonts w:asciiTheme="minorHAnsi" w:hAnsiTheme="minorHAnsi" w:cstheme="minorHAnsi"/>
        </w:rPr>
        <w:t xml:space="preserve">rie v Kralupech nad Vltavou je uzpůsobena zpracování </w:t>
      </w:r>
      <w:proofErr w:type="spellStart"/>
      <w:r w:rsidRPr="003C15DB">
        <w:rPr>
          <w:rFonts w:asciiTheme="minorHAnsi" w:hAnsiTheme="minorHAnsi" w:cstheme="minorHAnsi"/>
        </w:rPr>
        <w:t>nízkosirné</w:t>
      </w:r>
      <w:proofErr w:type="spellEnd"/>
      <w:r w:rsidRPr="003C15DB">
        <w:rPr>
          <w:rFonts w:asciiTheme="minorHAnsi" w:hAnsiTheme="minorHAnsi" w:cstheme="minorHAnsi"/>
        </w:rPr>
        <w:t xml:space="preserve"> ropy.</w:t>
      </w:r>
    </w:p>
    <w:p w14:paraId="0867E842" w14:textId="77777777" w:rsidR="003E3A70" w:rsidRPr="003C15DB" w:rsidRDefault="003E3A70" w:rsidP="003639C6"/>
    <w:p w14:paraId="1545D929" w14:textId="283E8ACB" w:rsidR="00E549C1" w:rsidRPr="003C15DB" w:rsidRDefault="00E549C1" w:rsidP="00E549C1">
      <w:pPr>
        <w:rPr>
          <w:rFonts w:asciiTheme="minorHAnsi" w:hAnsiTheme="minorHAnsi" w:cstheme="minorHAnsi"/>
        </w:rPr>
      </w:pPr>
      <w:r w:rsidRPr="003C15DB">
        <w:rPr>
          <w:rFonts w:asciiTheme="minorHAnsi" w:hAnsiTheme="minorHAnsi" w:cstheme="minorHAnsi"/>
          <w:lang w:eastAsia="cs-CZ"/>
        </w:rPr>
        <w:t>Na konci dubna 2019 došlo ke kontaminaci ropy v ropovodu Družba a následně k zastavení dodáv</w:t>
      </w:r>
      <w:r w:rsidR="00DB4B08">
        <w:rPr>
          <w:rFonts w:asciiTheme="minorHAnsi" w:hAnsiTheme="minorHAnsi" w:cstheme="minorHAnsi"/>
          <w:lang w:eastAsia="cs-CZ"/>
        </w:rPr>
        <w:t>e</w:t>
      </w:r>
      <w:r w:rsidRPr="003C15DB">
        <w:rPr>
          <w:rFonts w:asciiTheme="minorHAnsi" w:hAnsiTheme="minorHAnsi" w:cstheme="minorHAnsi"/>
          <w:lang w:eastAsia="cs-CZ"/>
        </w:rPr>
        <w:t>k ropy typu REB z Ruské federace do zemí napojených na ropovod Družba. V případě ČR se jednalo o období od 26. dubna 2019 do 27.</w:t>
      </w:r>
      <w:r w:rsidR="003308D6">
        <w:rPr>
          <w:rFonts w:asciiTheme="minorHAnsi" w:hAnsiTheme="minorHAnsi" w:cstheme="minorHAnsi"/>
          <w:lang w:eastAsia="cs-CZ"/>
        </w:rPr>
        <w:t xml:space="preserve"> </w:t>
      </w:r>
      <w:r w:rsidRPr="003C15DB">
        <w:rPr>
          <w:rFonts w:asciiTheme="minorHAnsi" w:hAnsiTheme="minorHAnsi" w:cstheme="minorHAnsi"/>
          <w:lang w:eastAsia="cs-CZ"/>
        </w:rPr>
        <w:t xml:space="preserve">května 2019. Došlo tak </w:t>
      </w:r>
      <w:r w:rsidRPr="003C15DB">
        <w:rPr>
          <w:rFonts w:asciiTheme="minorHAnsi" w:hAnsiTheme="minorHAnsi" w:cstheme="minorHAnsi"/>
          <w:b/>
          <w:lang w:eastAsia="cs-CZ"/>
        </w:rPr>
        <w:t>k závažnému narušení dodávek ropy do ČR</w:t>
      </w:r>
      <w:r w:rsidRPr="003C15DB">
        <w:rPr>
          <w:rFonts w:asciiTheme="minorHAnsi" w:hAnsiTheme="minorHAnsi" w:cstheme="minorHAnsi"/>
          <w:lang w:eastAsia="cs-CZ"/>
        </w:rPr>
        <w:t xml:space="preserve"> po dobu jednoho měsíce</w:t>
      </w:r>
      <w:r w:rsidRPr="003C15DB">
        <w:rPr>
          <w:rFonts w:cstheme="minorHAnsi"/>
          <w:sz w:val="20"/>
          <w:szCs w:val="20"/>
          <w:lang w:eastAsia="cs-CZ"/>
        </w:rPr>
        <w:t xml:space="preserve"> </w:t>
      </w:r>
      <w:r w:rsidRPr="003C15DB">
        <w:rPr>
          <w:rFonts w:asciiTheme="minorHAnsi" w:hAnsiTheme="minorHAnsi" w:cstheme="minorHAnsi"/>
          <w:lang w:eastAsia="cs-CZ"/>
        </w:rPr>
        <w:t>a vznikla tím mimořádná situace ve</w:t>
      </w:r>
      <w:r w:rsidR="00DB4B08">
        <w:rPr>
          <w:rFonts w:asciiTheme="minorHAnsi" w:hAnsiTheme="minorHAnsi" w:cstheme="minorHAnsi"/>
          <w:lang w:eastAsia="cs-CZ"/>
        </w:rPr>
        <w:t xml:space="preserve"> </w:t>
      </w:r>
      <w:r w:rsidRPr="003C15DB">
        <w:rPr>
          <w:rFonts w:asciiTheme="minorHAnsi" w:hAnsiTheme="minorHAnsi" w:cstheme="minorHAnsi"/>
          <w:lang w:eastAsia="cs-CZ"/>
        </w:rPr>
        <w:t>smyslu zákona o nouzových zásobách ropy. Kontaminace ropy v ropovodu Družba se nepříznivě dotkla zásobování ropou rafinérie v</w:t>
      </w:r>
      <w:r w:rsidR="003308D6">
        <w:rPr>
          <w:rFonts w:asciiTheme="minorHAnsi" w:hAnsiTheme="minorHAnsi" w:cstheme="minorHAnsi"/>
          <w:lang w:eastAsia="cs-CZ"/>
        </w:rPr>
        <w:t xml:space="preserve"> </w:t>
      </w:r>
      <w:r w:rsidRPr="003C15DB">
        <w:rPr>
          <w:rFonts w:asciiTheme="minorHAnsi" w:hAnsiTheme="minorHAnsi" w:cstheme="minorHAnsi"/>
          <w:lang w:eastAsia="cs-CZ"/>
        </w:rPr>
        <w:t xml:space="preserve">Litvínově. V důsledku této situace požádala společnost provozující tuto rafinérii o zápůjčku ropy ze státních hmotných rezerv. </w:t>
      </w:r>
      <w:r w:rsidR="001F56F8">
        <w:rPr>
          <w:rFonts w:asciiTheme="minorHAnsi" w:hAnsiTheme="minorHAnsi" w:cstheme="minorHAnsi"/>
          <w:lang w:eastAsia="cs-CZ"/>
        </w:rPr>
        <w:t xml:space="preserve">V souladu se zákonem o nouzových zásobách ropy zapůjčila </w:t>
      </w:r>
      <w:r w:rsidRPr="003C15DB">
        <w:rPr>
          <w:rFonts w:asciiTheme="minorHAnsi" w:hAnsiTheme="minorHAnsi" w:cstheme="minorHAnsi"/>
        </w:rPr>
        <w:t xml:space="preserve">SSHR </w:t>
      </w:r>
      <w:r w:rsidR="001F56F8" w:rsidRPr="00E15EE6">
        <w:rPr>
          <w:rFonts w:asciiTheme="minorHAnsi" w:hAnsiTheme="minorHAnsi" w:cstheme="minorHAnsi"/>
          <w:color w:val="auto"/>
        </w:rPr>
        <w:t>na základě</w:t>
      </w:r>
      <w:r w:rsidR="0093015C" w:rsidRPr="00E15EE6">
        <w:rPr>
          <w:rFonts w:asciiTheme="minorHAnsi" w:hAnsiTheme="minorHAnsi" w:cstheme="minorHAnsi"/>
          <w:color w:val="auto"/>
        </w:rPr>
        <w:t xml:space="preserve"> rozhodnutí</w:t>
      </w:r>
      <w:r w:rsidRPr="003C15DB">
        <w:rPr>
          <w:rFonts w:asciiTheme="minorHAnsi" w:hAnsiTheme="minorHAnsi" w:cstheme="minorHAnsi"/>
        </w:rPr>
        <w:t xml:space="preserve"> vlády</w:t>
      </w:r>
      <w:r w:rsidR="00165319" w:rsidRPr="003C15DB">
        <w:rPr>
          <w:rFonts w:asciiTheme="minorHAnsi" w:hAnsiTheme="minorHAnsi" w:cstheme="minorHAnsi"/>
        </w:rPr>
        <w:t xml:space="preserve"> ČR</w:t>
      </w:r>
      <w:r w:rsidRPr="003C15DB">
        <w:rPr>
          <w:rFonts w:asciiTheme="minorHAnsi" w:hAnsiTheme="minorHAnsi" w:cstheme="minorHAnsi"/>
        </w:rPr>
        <w:t xml:space="preserve"> </w:t>
      </w:r>
      <w:r w:rsidR="00390BEB">
        <w:rPr>
          <w:rFonts w:asciiTheme="minorHAnsi" w:hAnsiTheme="minorHAnsi" w:cstheme="minorHAnsi"/>
        </w:rPr>
        <w:t xml:space="preserve">dotčené společnosti </w:t>
      </w:r>
      <w:r w:rsidRPr="003C15DB">
        <w:rPr>
          <w:rFonts w:asciiTheme="minorHAnsi" w:hAnsiTheme="minorHAnsi" w:cstheme="minorHAnsi"/>
        </w:rPr>
        <w:t xml:space="preserve">ropu </w:t>
      </w:r>
      <w:r w:rsidR="00E43DEB">
        <w:rPr>
          <w:rFonts w:asciiTheme="minorHAnsi" w:hAnsiTheme="minorHAnsi" w:cstheme="minorHAnsi"/>
        </w:rPr>
        <w:t>ze státních hmotných rezerv</w:t>
      </w:r>
      <w:r w:rsidRPr="003C15DB">
        <w:rPr>
          <w:rFonts w:asciiTheme="minorHAnsi" w:hAnsiTheme="minorHAnsi" w:cstheme="minorHAnsi"/>
        </w:rPr>
        <w:t xml:space="preserve">. SSHR byla v roce 2019 </w:t>
      </w:r>
      <w:r w:rsidRPr="003C15DB">
        <w:rPr>
          <w:rFonts w:asciiTheme="minorHAnsi" w:hAnsiTheme="minorHAnsi" w:cstheme="minorHAnsi"/>
          <w:b/>
        </w:rPr>
        <w:t>náležitě připravena reagovat na vzniklou mimořádnou situaci</w:t>
      </w:r>
      <w:r w:rsidRPr="003C15DB">
        <w:rPr>
          <w:rFonts w:asciiTheme="minorHAnsi" w:hAnsiTheme="minorHAnsi" w:cstheme="minorHAnsi"/>
        </w:rPr>
        <w:t xml:space="preserve"> výpadku dodávek ropy ropovodem Družba. </w:t>
      </w:r>
    </w:p>
    <w:p w14:paraId="6C1AE422" w14:textId="1A524BE6" w:rsidR="00C84237" w:rsidRDefault="001B65F2" w:rsidP="001347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15DB">
        <w:rPr>
          <w:rFonts w:asciiTheme="minorHAnsi" w:hAnsiTheme="minorHAnsi" w:cstheme="minorHAnsi"/>
        </w:rPr>
        <w:lastRenderedPageBreak/>
        <w:t xml:space="preserve">Nouzové zásoby ale v kontrolovaném období neobsahovaly zásoby </w:t>
      </w:r>
      <w:proofErr w:type="spellStart"/>
      <w:r w:rsidRPr="003C15DB">
        <w:rPr>
          <w:rFonts w:asciiTheme="minorHAnsi" w:hAnsiTheme="minorHAnsi" w:cstheme="minorHAnsi"/>
        </w:rPr>
        <w:t>nízkosirné</w:t>
      </w:r>
      <w:proofErr w:type="spellEnd"/>
      <w:r w:rsidRPr="003C15DB">
        <w:rPr>
          <w:rFonts w:asciiTheme="minorHAnsi" w:hAnsiTheme="minorHAnsi" w:cstheme="minorHAnsi"/>
        </w:rPr>
        <w:t xml:space="preserve"> ropy. SSHR by</w:t>
      </w:r>
      <w:r w:rsidR="005860E0" w:rsidRPr="003C15DB">
        <w:rPr>
          <w:rFonts w:asciiTheme="minorHAnsi" w:hAnsiTheme="minorHAnsi" w:cstheme="minorHAnsi"/>
        </w:rPr>
        <w:t xml:space="preserve"> v případě vzniku závažného narušení dodávek </w:t>
      </w:r>
      <w:proofErr w:type="spellStart"/>
      <w:r w:rsidR="005860E0" w:rsidRPr="003C15DB">
        <w:rPr>
          <w:rFonts w:asciiTheme="minorHAnsi" w:hAnsiTheme="minorHAnsi" w:cstheme="minorHAnsi"/>
        </w:rPr>
        <w:t>nízkosirné</w:t>
      </w:r>
      <w:proofErr w:type="spellEnd"/>
      <w:r w:rsidR="005860E0" w:rsidRPr="003C15DB">
        <w:rPr>
          <w:rFonts w:asciiTheme="minorHAnsi" w:hAnsiTheme="minorHAnsi" w:cstheme="minorHAnsi"/>
        </w:rPr>
        <w:t xml:space="preserve"> ropy</w:t>
      </w:r>
      <w:r w:rsidRPr="003C15DB">
        <w:rPr>
          <w:rFonts w:asciiTheme="minorHAnsi" w:hAnsiTheme="minorHAnsi" w:cstheme="minorHAnsi"/>
        </w:rPr>
        <w:t xml:space="preserve"> nemohla na mimořádnou situaci reagovat tak, jako zareagovala v případě výpadku ropovodu Družba v roce 2019. Dle</w:t>
      </w:r>
      <w:r w:rsidR="00087C57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</w:rPr>
        <w:t xml:space="preserve">NKÚ </w:t>
      </w:r>
      <w:r w:rsidRPr="003C15DB">
        <w:rPr>
          <w:rFonts w:asciiTheme="minorHAnsi" w:hAnsiTheme="minorHAnsi" w:cstheme="minorHAnsi"/>
          <w:b/>
        </w:rPr>
        <w:t xml:space="preserve">v důsledku absence </w:t>
      </w:r>
      <w:proofErr w:type="spellStart"/>
      <w:r w:rsidRPr="003C15DB">
        <w:rPr>
          <w:rFonts w:asciiTheme="minorHAnsi" w:hAnsiTheme="minorHAnsi" w:cstheme="minorHAnsi"/>
          <w:b/>
        </w:rPr>
        <w:t>nízkosirné</w:t>
      </w:r>
      <w:proofErr w:type="spellEnd"/>
      <w:r w:rsidRPr="003C15DB">
        <w:rPr>
          <w:rFonts w:asciiTheme="minorHAnsi" w:hAnsiTheme="minorHAnsi" w:cstheme="minorHAnsi"/>
          <w:b/>
        </w:rPr>
        <w:t xml:space="preserve"> ropy v nouzových zásobách </w:t>
      </w:r>
      <w:r w:rsidR="00D72B57" w:rsidRPr="003C15DB">
        <w:rPr>
          <w:rFonts w:asciiTheme="minorHAnsi" w:hAnsiTheme="minorHAnsi" w:cstheme="minorHAnsi"/>
          <w:b/>
        </w:rPr>
        <w:t>hrozí</w:t>
      </w:r>
      <w:r w:rsidR="005860E0" w:rsidRPr="003C15DB">
        <w:rPr>
          <w:rFonts w:asciiTheme="minorHAnsi" w:hAnsiTheme="minorHAnsi" w:cstheme="minorHAnsi"/>
          <w:b/>
        </w:rPr>
        <w:t xml:space="preserve"> </w:t>
      </w:r>
      <w:r w:rsidRPr="003C15DB">
        <w:rPr>
          <w:rFonts w:asciiTheme="minorHAnsi" w:hAnsiTheme="minorHAnsi" w:cstheme="minorHAnsi"/>
          <w:b/>
        </w:rPr>
        <w:t>riziko</w:t>
      </w:r>
      <w:r w:rsidRPr="00A8576E">
        <w:rPr>
          <w:rFonts w:asciiTheme="minorHAnsi" w:hAnsiTheme="minorHAnsi" w:cstheme="minorHAnsi"/>
          <w:b/>
        </w:rPr>
        <w:t>,</w:t>
      </w:r>
      <w:r w:rsidRPr="003C15DB">
        <w:rPr>
          <w:rFonts w:asciiTheme="minorHAnsi" w:hAnsiTheme="minorHAnsi" w:cstheme="minorHAnsi"/>
        </w:rPr>
        <w:t xml:space="preserve"> že</w:t>
      </w:r>
      <w:r w:rsidR="00E43DEB">
        <w:rPr>
          <w:rFonts w:asciiTheme="minorHAnsi" w:hAnsiTheme="minorHAnsi" w:cstheme="minorHAnsi"/>
        </w:rPr>
        <w:t xml:space="preserve"> by</w:t>
      </w:r>
      <w:r w:rsidRPr="003C15DB">
        <w:rPr>
          <w:rFonts w:asciiTheme="minorHAnsi" w:hAnsiTheme="minorHAnsi" w:cstheme="minorHAnsi"/>
        </w:rPr>
        <w:t xml:space="preserve"> rafinérie </w:t>
      </w:r>
      <w:r w:rsidR="003308D6">
        <w:rPr>
          <w:rFonts w:asciiTheme="minorHAnsi" w:hAnsiTheme="minorHAnsi" w:cstheme="minorHAnsi"/>
        </w:rPr>
        <w:br/>
      </w:r>
      <w:r w:rsidRPr="003C15DB">
        <w:rPr>
          <w:rFonts w:asciiTheme="minorHAnsi" w:hAnsiTheme="minorHAnsi" w:cstheme="minorHAnsi"/>
        </w:rPr>
        <w:t>v</w:t>
      </w:r>
      <w:r w:rsidR="003308D6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</w:rPr>
        <w:t>Kralupech nad Vltavou nebyla schopna využít nouzové zásoby</w:t>
      </w:r>
      <w:r w:rsidR="003B07FF" w:rsidRPr="003C15DB">
        <w:rPr>
          <w:rFonts w:asciiTheme="minorHAnsi" w:hAnsiTheme="minorHAnsi" w:cstheme="minorHAnsi"/>
        </w:rPr>
        <w:t xml:space="preserve"> ropy</w:t>
      </w:r>
      <w:r w:rsidR="005860E0" w:rsidRPr="003C15DB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</w:rPr>
        <w:t xml:space="preserve">bez zásadní technologické úpravy, která je časově náročná a </w:t>
      </w:r>
      <w:r w:rsidR="00E855D8" w:rsidRPr="003C15DB">
        <w:rPr>
          <w:rFonts w:asciiTheme="minorHAnsi" w:hAnsiTheme="minorHAnsi" w:cstheme="minorHAnsi"/>
        </w:rPr>
        <w:t xml:space="preserve">přináší </w:t>
      </w:r>
      <w:r w:rsidR="00E855D8">
        <w:rPr>
          <w:rFonts w:asciiTheme="minorHAnsi" w:hAnsiTheme="minorHAnsi" w:cstheme="minorHAnsi"/>
        </w:rPr>
        <w:t xml:space="preserve">s </w:t>
      </w:r>
      <w:r w:rsidRPr="003C15DB">
        <w:rPr>
          <w:rFonts w:asciiTheme="minorHAnsi" w:hAnsiTheme="minorHAnsi" w:cstheme="minorHAnsi"/>
        </w:rPr>
        <w:t xml:space="preserve">sebou výrazné finanční náklady. </w:t>
      </w:r>
      <w:r w:rsidR="005860E0" w:rsidRPr="003C15DB">
        <w:rPr>
          <w:rFonts w:asciiTheme="minorHAnsi" w:hAnsiTheme="minorHAnsi" w:cstheme="minorHAnsi"/>
        </w:rPr>
        <w:t xml:space="preserve">Dle NKÚ by </w:t>
      </w:r>
      <w:r w:rsidRPr="003C15DB">
        <w:rPr>
          <w:rFonts w:asciiTheme="minorHAnsi" w:hAnsiTheme="minorHAnsi" w:cstheme="minorHAnsi"/>
        </w:rPr>
        <w:t xml:space="preserve">SSHR doplněním nouzových zásob o zásoby </w:t>
      </w:r>
      <w:proofErr w:type="spellStart"/>
      <w:r w:rsidRPr="003C15DB">
        <w:rPr>
          <w:rFonts w:asciiTheme="minorHAnsi" w:hAnsiTheme="minorHAnsi" w:cstheme="minorHAnsi"/>
        </w:rPr>
        <w:t>nízkosirné</w:t>
      </w:r>
      <w:proofErr w:type="spellEnd"/>
      <w:r w:rsidRPr="003C15DB">
        <w:rPr>
          <w:rFonts w:asciiTheme="minorHAnsi" w:hAnsiTheme="minorHAnsi" w:cstheme="minorHAnsi"/>
        </w:rPr>
        <w:t xml:space="preserve"> ropy</w:t>
      </w:r>
      <w:r w:rsidR="00D8771E" w:rsidRPr="003C15DB">
        <w:rPr>
          <w:rFonts w:asciiTheme="minorHAnsi" w:hAnsiTheme="minorHAnsi" w:cstheme="minorHAnsi"/>
        </w:rPr>
        <w:t xml:space="preserve"> na základě strategického rozhodnutí vlády ČR</w:t>
      </w:r>
      <w:r w:rsidR="00E43DEB">
        <w:rPr>
          <w:rFonts w:asciiTheme="minorHAnsi" w:hAnsiTheme="minorHAnsi" w:cstheme="minorHAnsi"/>
        </w:rPr>
        <w:t xml:space="preserve"> o pořízení uvedené komodity</w:t>
      </w:r>
      <w:r w:rsidR="00D8771E" w:rsidRPr="003C15DB">
        <w:rPr>
          <w:rFonts w:asciiTheme="minorHAnsi" w:hAnsiTheme="minorHAnsi" w:cstheme="minorHAnsi"/>
        </w:rPr>
        <w:t xml:space="preserve"> </w:t>
      </w:r>
      <w:r w:rsidR="00C84237" w:rsidRPr="003C15DB">
        <w:rPr>
          <w:rFonts w:asciiTheme="minorHAnsi" w:hAnsiTheme="minorHAnsi" w:cstheme="minorHAnsi"/>
        </w:rPr>
        <w:t xml:space="preserve">toto </w:t>
      </w:r>
      <w:r w:rsidR="00C84237" w:rsidRPr="003C15DB">
        <w:rPr>
          <w:rFonts w:asciiTheme="minorHAnsi" w:hAnsiTheme="minorHAnsi" w:cstheme="minorHAnsi"/>
          <w:b/>
        </w:rPr>
        <w:t>riziko eliminovala</w:t>
      </w:r>
      <w:r w:rsidR="00C84237" w:rsidRPr="003C15DB">
        <w:rPr>
          <w:rFonts w:asciiTheme="minorHAnsi" w:hAnsiTheme="minorHAnsi" w:cstheme="minorHAnsi"/>
        </w:rPr>
        <w:t xml:space="preserve"> </w:t>
      </w:r>
      <w:r w:rsidR="00C84237" w:rsidRPr="0086765F">
        <w:t>a</w:t>
      </w:r>
      <w:r w:rsidR="002D1E8E">
        <w:t xml:space="preserve"> </w:t>
      </w:r>
      <w:r w:rsidR="00C84237" w:rsidRPr="0086765F">
        <w:t>zároveň</w:t>
      </w:r>
      <w:r w:rsidR="00C84237" w:rsidRPr="003C15DB">
        <w:rPr>
          <w:rFonts w:asciiTheme="minorHAnsi" w:hAnsiTheme="minorHAnsi" w:cstheme="minorHAnsi"/>
        </w:rPr>
        <w:t xml:space="preserve"> by</w:t>
      </w:r>
      <w:r w:rsidRPr="003C15DB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  <w:b/>
        </w:rPr>
        <w:t xml:space="preserve">zvýšila svou připravenost </w:t>
      </w:r>
      <w:r w:rsidR="00E855D8">
        <w:rPr>
          <w:rFonts w:asciiTheme="minorHAnsi" w:hAnsiTheme="minorHAnsi" w:cstheme="minorHAnsi"/>
          <w:b/>
        </w:rPr>
        <w:t>na</w:t>
      </w:r>
      <w:r w:rsidRPr="003C15DB">
        <w:rPr>
          <w:rFonts w:asciiTheme="minorHAnsi" w:hAnsiTheme="minorHAnsi" w:cstheme="minorHAnsi"/>
          <w:b/>
        </w:rPr>
        <w:t xml:space="preserve"> řešení mimořádných situací</w:t>
      </w:r>
      <w:r w:rsidRPr="00A8576E">
        <w:rPr>
          <w:rFonts w:asciiTheme="minorHAnsi" w:hAnsiTheme="minorHAnsi" w:cstheme="minorHAnsi"/>
          <w:b/>
        </w:rPr>
        <w:t>.</w:t>
      </w:r>
    </w:p>
    <w:p w14:paraId="5EAEE7D5" w14:textId="77777777" w:rsidR="00E15EE6" w:rsidRPr="009D21A6" w:rsidRDefault="00E15EE6" w:rsidP="001347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00BD67" w14:textId="77777777" w:rsidR="00E836C2" w:rsidRPr="003C15DB" w:rsidRDefault="00325BBF" w:rsidP="008D6018">
      <w:pPr>
        <w:pStyle w:val="Nadpis2"/>
        <w:spacing w:before="120"/>
        <w:ind w:left="284" w:hanging="284"/>
        <w:jc w:val="left"/>
      </w:pPr>
      <w:bookmarkStart w:id="4" w:name="_Hlk87276175"/>
      <w:r>
        <w:t>U</w:t>
      </w:r>
      <w:r w:rsidR="00324B95" w:rsidRPr="003C15DB">
        <w:t>skladnění nouzových zásob na území cizích států</w:t>
      </w:r>
    </w:p>
    <w:bookmarkEnd w:id="4"/>
    <w:p w14:paraId="726F0F40" w14:textId="0F5C201D" w:rsidR="00B44A27" w:rsidRPr="006E1FCD" w:rsidRDefault="00B44A27" w:rsidP="00B44A27">
      <w:pPr>
        <w:rPr>
          <w:rFonts w:asciiTheme="minorHAnsi" w:hAnsiTheme="minorHAnsi" w:cstheme="minorHAnsi"/>
        </w:rPr>
      </w:pPr>
      <w:r w:rsidRPr="003C15DB">
        <w:rPr>
          <w:rFonts w:asciiTheme="minorHAnsi" w:hAnsiTheme="minorHAnsi" w:cstheme="minorHAnsi"/>
        </w:rPr>
        <w:t xml:space="preserve">Zákon o nouzových zásobách ropy umožňuje uskladnit nouzové zásoby na území jiného členského státu Evropské unie. </w:t>
      </w:r>
      <w:r w:rsidRPr="003C15DB">
        <w:rPr>
          <w:rFonts w:asciiTheme="minorHAnsi" w:hAnsiTheme="minorHAnsi" w:cstheme="minorHAnsi"/>
          <w:b/>
        </w:rPr>
        <w:t>ČR je oprávněna ukládat nouzové zásoby ve skladovacích zařízeních na území Spolkové republiky Německo</w:t>
      </w:r>
      <w:r w:rsidRPr="003C15DB">
        <w:rPr>
          <w:rFonts w:asciiTheme="minorHAnsi" w:hAnsiTheme="minorHAnsi" w:cstheme="minorHAnsi"/>
        </w:rPr>
        <w:t xml:space="preserve"> (dále jen „SRN“), a</w:t>
      </w:r>
      <w:r w:rsidR="00087C57">
        <w:rPr>
          <w:rFonts w:asciiTheme="minorHAnsi" w:hAnsiTheme="minorHAnsi" w:cstheme="minorHAnsi"/>
        </w:rPr>
        <w:t xml:space="preserve"> </w:t>
      </w:r>
      <w:r w:rsidRPr="003C15DB">
        <w:rPr>
          <w:rFonts w:asciiTheme="minorHAnsi" w:hAnsiTheme="minorHAnsi" w:cstheme="minorHAnsi"/>
        </w:rPr>
        <w:t>to na základě bilate</w:t>
      </w:r>
      <w:r w:rsidR="00E0394C">
        <w:rPr>
          <w:rFonts w:asciiTheme="minorHAnsi" w:hAnsiTheme="minorHAnsi" w:cstheme="minorHAnsi"/>
        </w:rPr>
        <w:t>r</w:t>
      </w:r>
      <w:r w:rsidRPr="003C15DB">
        <w:rPr>
          <w:rFonts w:asciiTheme="minorHAnsi" w:hAnsiTheme="minorHAnsi" w:cstheme="minorHAnsi"/>
        </w:rPr>
        <w:t>á</w:t>
      </w:r>
      <w:r w:rsidR="00E0394C">
        <w:rPr>
          <w:rFonts w:asciiTheme="minorHAnsi" w:hAnsiTheme="minorHAnsi" w:cstheme="minorHAnsi"/>
        </w:rPr>
        <w:t>l</w:t>
      </w:r>
      <w:r w:rsidRPr="003C15DB">
        <w:rPr>
          <w:rFonts w:asciiTheme="minorHAnsi" w:hAnsiTheme="minorHAnsi" w:cstheme="minorHAnsi"/>
        </w:rPr>
        <w:t xml:space="preserve">ní dohody uzavřené mezi vládou SRN a vládou ČR dne </w:t>
      </w:r>
      <w:r w:rsidRPr="003C15DB">
        <w:rPr>
          <w:rFonts w:asciiTheme="minorHAnsi" w:hAnsiTheme="minorHAnsi" w:cstheme="minorHAnsi"/>
          <w:lang w:eastAsia="cs-CZ"/>
        </w:rPr>
        <w:t>12.</w:t>
      </w:r>
      <w:r w:rsidR="000A3343">
        <w:rPr>
          <w:rFonts w:asciiTheme="minorHAnsi" w:hAnsiTheme="minorHAnsi" w:cstheme="minorHAnsi"/>
          <w:lang w:eastAsia="cs-CZ"/>
        </w:rPr>
        <w:t xml:space="preserve"> </w:t>
      </w:r>
      <w:r w:rsidRPr="003C15DB">
        <w:rPr>
          <w:rFonts w:asciiTheme="minorHAnsi" w:hAnsiTheme="minorHAnsi" w:cstheme="minorHAnsi"/>
          <w:lang w:eastAsia="cs-CZ"/>
        </w:rPr>
        <w:t>ledna 2004</w:t>
      </w:r>
      <w:r w:rsidRPr="003C15DB">
        <w:rPr>
          <w:rStyle w:val="Znakapoznpodarou"/>
          <w:rFonts w:asciiTheme="minorHAnsi" w:hAnsiTheme="minorHAnsi" w:cstheme="minorHAnsi"/>
        </w:rPr>
        <w:footnoteReference w:id="13"/>
      </w:r>
      <w:r w:rsidRPr="003C15DB">
        <w:rPr>
          <w:rFonts w:asciiTheme="minorHAnsi" w:hAnsiTheme="minorHAnsi" w:cstheme="minorHAnsi"/>
        </w:rPr>
        <w:t>. Na území</w:t>
      </w:r>
      <w:r w:rsidRPr="00C7162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SRN byly fyzicky skladovány zásoby motorové </w:t>
      </w:r>
      <w:r w:rsidR="00E855D8" w:rsidRPr="006E1FCD">
        <w:rPr>
          <w:rFonts w:asciiTheme="minorHAnsi" w:hAnsiTheme="minorHAnsi" w:cstheme="minorHAnsi"/>
        </w:rPr>
        <w:t xml:space="preserve">nafty </w:t>
      </w:r>
      <w:r w:rsidRPr="006E1FCD">
        <w:rPr>
          <w:rFonts w:asciiTheme="minorHAnsi" w:hAnsiTheme="minorHAnsi" w:cstheme="minorHAnsi"/>
        </w:rPr>
        <w:t>v období od září 2010 do prosince 2017, přičemž v období od 12. října 2016 do 20.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prosince 2017 byl realizován jejich transport zpět na území ČR. </w:t>
      </w:r>
    </w:p>
    <w:p w14:paraId="29A90DC0" w14:textId="77777777" w:rsidR="00B44A27" w:rsidRPr="006E1FCD" w:rsidRDefault="00B44A27" w:rsidP="00B44A27">
      <w:pPr>
        <w:rPr>
          <w:rFonts w:asciiTheme="minorHAnsi" w:hAnsiTheme="minorHAnsi" w:cstheme="minorHAnsi"/>
        </w:rPr>
      </w:pPr>
    </w:p>
    <w:p w14:paraId="55815032" w14:textId="7F129545" w:rsidR="00B44A27" w:rsidRPr="00912834" w:rsidRDefault="00B44A27" w:rsidP="00B44A27">
      <w:pPr>
        <w:rPr>
          <w:rFonts w:cstheme="minorHAnsi"/>
          <w:noProof/>
        </w:rPr>
      </w:pPr>
      <w:r w:rsidRPr="00912834">
        <w:rPr>
          <w:rFonts w:asciiTheme="minorHAnsi" w:hAnsiTheme="minorHAnsi" w:cstheme="minorHAnsi"/>
          <w:b/>
        </w:rPr>
        <w:t>Nouzové zásoby byly na území SRN</w:t>
      </w:r>
      <w:r w:rsidRPr="00912834">
        <w:rPr>
          <w:rFonts w:asciiTheme="minorHAnsi" w:hAnsiTheme="minorHAnsi" w:cstheme="minorHAnsi"/>
        </w:rPr>
        <w:t xml:space="preserve"> skladovány</w:t>
      </w:r>
      <w:r w:rsidR="00912834" w:rsidRPr="00912834">
        <w:rPr>
          <w:rFonts w:asciiTheme="minorHAnsi" w:hAnsiTheme="minorHAnsi" w:cstheme="minorHAnsi"/>
        </w:rPr>
        <w:t xml:space="preserve"> </w:t>
      </w:r>
      <w:r w:rsidR="00912834" w:rsidRPr="00912834">
        <w:rPr>
          <w:rFonts w:cstheme="minorHAnsi"/>
          <w:noProof/>
        </w:rPr>
        <w:t>u soukromé právnické osoby.</w:t>
      </w:r>
      <w:r w:rsidR="00912834">
        <w:rPr>
          <w:rFonts w:cstheme="minorHAnsi"/>
          <w:noProof/>
        </w:rPr>
        <w:t xml:space="preserve"> </w:t>
      </w:r>
      <w:r w:rsidR="00927C5D" w:rsidRPr="006E1FCD">
        <w:rPr>
          <w:rFonts w:asciiTheme="minorHAnsi" w:hAnsiTheme="minorHAnsi" w:cstheme="minorHAnsi"/>
        </w:rPr>
        <w:t>Výběr této společnost</w:t>
      </w:r>
      <w:r w:rsidR="000A37FD">
        <w:rPr>
          <w:rFonts w:asciiTheme="minorHAnsi" w:hAnsiTheme="minorHAnsi" w:cstheme="minorHAnsi"/>
        </w:rPr>
        <w:t>i</w:t>
      </w:r>
      <w:r w:rsidR="00927C5D" w:rsidRPr="006E1FCD">
        <w:rPr>
          <w:rFonts w:asciiTheme="minorHAnsi" w:hAnsiTheme="minorHAnsi" w:cstheme="minorHAnsi"/>
        </w:rPr>
        <w:t xml:space="preserve"> nebyl předmětem kontroly</w:t>
      </w:r>
      <w:r w:rsidR="00325BBF">
        <w:rPr>
          <w:rFonts w:asciiTheme="minorHAnsi" w:hAnsiTheme="minorHAnsi" w:cstheme="minorHAnsi"/>
        </w:rPr>
        <w:t xml:space="preserve"> NKÚ</w:t>
      </w:r>
      <w:r w:rsidR="00927C5D" w:rsidRPr="006E1FCD">
        <w:rPr>
          <w:rFonts w:asciiTheme="minorHAnsi" w:hAnsiTheme="minorHAnsi" w:cstheme="minorHAnsi"/>
        </w:rPr>
        <w:t>, neboť byl realizován před kontrolovaným obdobím.</w:t>
      </w:r>
      <w:r w:rsidRPr="006E1FCD">
        <w:rPr>
          <w:rFonts w:asciiTheme="minorHAnsi" w:hAnsiTheme="minorHAnsi" w:cstheme="minorHAnsi"/>
        </w:rPr>
        <w:t xml:space="preserve"> S</w:t>
      </w:r>
      <w:r w:rsidR="00CB517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ohledem na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reálné riziko insolvence </w:t>
      </w:r>
      <w:r w:rsidR="00877AB8" w:rsidRPr="006E1FCD">
        <w:rPr>
          <w:rFonts w:asciiTheme="minorHAnsi" w:hAnsiTheme="minorHAnsi" w:cstheme="minorHAnsi"/>
        </w:rPr>
        <w:t>společnosti</w:t>
      </w:r>
      <w:r w:rsidRPr="006E1FCD">
        <w:rPr>
          <w:rFonts w:asciiTheme="minorHAnsi" w:hAnsiTheme="minorHAnsi" w:cstheme="minorHAnsi"/>
        </w:rPr>
        <w:t xml:space="preserve"> usilovala </w:t>
      </w:r>
      <w:r w:rsidR="000A37FD" w:rsidRPr="006E1FCD">
        <w:rPr>
          <w:rFonts w:asciiTheme="minorHAnsi" w:hAnsiTheme="minorHAnsi" w:cstheme="minorHAnsi"/>
        </w:rPr>
        <w:t xml:space="preserve">SSHR </w:t>
      </w:r>
      <w:r w:rsidRPr="006E1FCD">
        <w:rPr>
          <w:rFonts w:asciiTheme="minorHAnsi" w:hAnsiTheme="minorHAnsi" w:cstheme="minorHAnsi"/>
        </w:rPr>
        <w:t>o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transport nouzových zásob uložených v</w:t>
      </w:r>
      <w:r w:rsidR="00AE71A1" w:rsidRPr="006E1FCD">
        <w:rPr>
          <w:rFonts w:asciiTheme="minorHAnsi" w:hAnsiTheme="minorHAnsi" w:cstheme="minorHAnsi"/>
        </w:rPr>
        <w:t> </w:t>
      </w:r>
      <w:r w:rsidRPr="006E1FCD">
        <w:rPr>
          <w:rFonts w:asciiTheme="minorHAnsi" w:hAnsiTheme="minorHAnsi" w:cstheme="minorHAnsi"/>
        </w:rPr>
        <w:t xml:space="preserve">SRN zpět na území ČR. Fyzické vyskladnění však nebylo možné z důvodu nefunkční železniční vlečky ve skladovacím areálu. SSHR na základě měření provedeného celní správou </w:t>
      </w:r>
      <w:r w:rsidR="00711356" w:rsidRPr="006E1FCD">
        <w:rPr>
          <w:rFonts w:asciiTheme="minorHAnsi" w:hAnsiTheme="minorHAnsi" w:cstheme="minorHAnsi"/>
        </w:rPr>
        <w:t>navíc</w:t>
      </w:r>
      <w:r w:rsidRPr="006E1FCD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  <w:b/>
        </w:rPr>
        <w:t xml:space="preserve">zjistila v SRN </w:t>
      </w:r>
      <w:r w:rsidR="00032905">
        <w:rPr>
          <w:rFonts w:asciiTheme="minorHAnsi" w:hAnsiTheme="minorHAnsi" w:cstheme="minorHAnsi"/>
          <w:b/>
        </w:rPr>
        <w:t>částečný úbytek skladované</w:t>
      </w:r>
      <w:r w:rsidRPr="006E1FCD">
        <w:rPr>
          <w:rFonts w:asciiTheme="minorHAnsi" w:hAnsiTheme="minorHAnsi" w:cstheme="minorHAnsi"/>
          <w:b/>
        </w:rPr>
        <w:t xml:space="preserve"> nafty</w:t>
      </w:r>
      <w:r w:rsidRPr="00A8576E">
        <w:rPr>
          <w:rFonts w:asciiTheme="minorHAnsi" w:hAnsiTheme="minorHAnsi" w:cstheme="minorHAnsi"/>
          <w:b/>
        </w:rPr>
        <w:t>.</w:t>
      </w:r>
      <w:r w:rsidRPr="006E1FCD">
        <w:rPr>
          <w:rFonts w:asciiTheme="minorHAnsi" w:hAnsiTheme="minorHAnsi" w:cstheme="minorHAnsi"/>
        </w:rPr>
        <w:t xml:space="preserve"> Dne</w:t>
      </w:r>
      <w:r w:rsidR="00E855D8">
        <w:rPr>
          <w:rFonts w:asciiTheme="minorHAnsi" w:hAnsiTheme="minorHAnsi" w:cstheme="minorHAnsi"/>
        </w:rPr>
        <w:t xml:space="preserve"> </w:t>
      </w:r>
      <w:r w:rsidR="000A3343">
        <w:rPr>
          <w:rFonts w:asciiTheme="minorHAnsi" w:hAnsiTheme="minorHAnsi" w:cstheme="minorHAnsi"/>
        </w:rPr>
        <w:br/>
      </w:r>
      <w:r w:rsidRPr="006E1FCD">
        <w:rPr>
          <w:rFonts w:asciiTheme="minorHAnsi" w:hAnsiTheme="minorHAnsi" w:cstheme="minorHAnsi"/>
        </w:rPr>
        <w:t>8.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prosince 2014 bylo v SRN zahájeno insolvenční řízení na majetek společnosti. SSHR dne </w:t>
      </w:r>
      <w:r w:rsidR="000A3343">
        <w:rPr>
          <w:rFonts w:asciiTheme="minorHAnsi" w:hAnsiTheme="minorHAnsi" w:cstheme="minorHAnsi"/>
        </w:rPr>
        <w:br/>
      </w:r>
      <w:r w:rsidRPr="006E1FCD">
        <w:rPr>
          <w:rFonts w:asciiTheme="minorHAnsi" w:hAnsiTheme="minorHAnsi" w:cstheme="minorHAnsi"/>
        </w:rPr>
        <w:t>19.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prosince 2014 odeslala insolvenčnímu správci návrh na vynětí motorové</w:t>
      </w:r>
      <w:r w:rsidR="00E43DEB">
        <w:rPr>
          <w:rFonts w:asciiTheme="minorHAnsi" w:hAnsiTheme="minorHAnsi" w:cstheme="minorHAnsi"/>
        </w:rPr>
        <w:t xml:space="preserve"> </w:t>
      </w:r>
      <w:r w:rsidR="00E855D8" w:rsidRPr="006E1FCD">
        <w:rPr>
          <w:rFonts w:asciiTheme="minorHAnsi" w:hAnsiTheme="minorHAnsi" w:cstheme="minorHAnsi"/>
        </w:rPr>
        <w:t xml:space="preserve">nafty </w:t>
      </w:r>
      <w:r w:rsidR="00E43DEB">
        <w:rPr>
          <w:rFonts w:asciiTheme="minorHAnsi" w:hAnsiTheme="minorHAnsi" w:cstheme="minorHAnsi"/>
        </w:rPr>
        <w:t>z majetkové podstaty společnosti</w:t>
      </w:r>
      <w:r w:rsidRPr="006E1FCD">
        <w:rPr>
          <w:rFonts w:asciiTheme="minorHAnsi" w:hAnsiTheme="minorHAnsi" w:cstheme="minorHAnsi"/>
        </w:rPr>
        <w:t xml:space="preserve"> a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její vydání zpět na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území ČR, ten však její vydání ze</w:t>
      </w:r>
      <w:r w:rsidR="00087C5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skladu v </w:t>
      </w:r>
      <w:r w:rsidR="003B07FF" w:rsidRPr="006E1FCD">
        <w:rPr>
          <w:rFonts w:asciiTheme="minorHAnsi" w:hAnsiTheme="minorHAnsi" w:cstheme="minorHAnsi"/>
        </w:rPr>
        <w:t>SRN</w:t>
      </w:r>
      <w:r w:rsidRPr="006E1FCD">
        <w:rPr>
          <w:rFonts w:asciiTheme="minorHAnsi" w:hAnsiTheme="minorHAnsi" w:cstheme="minorHAnsi"/>
        </w:rPr>
        <w:t xml:space="preserve"> odmítl s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tím, že </w:t>
      </w:r>
      <w:r w:rsidRPr="006E1FCD">
        <w:rPr>
          <w:rFonts w:asciiTheme="minorHAnsi" w:hAnsiTheme="minorHAnsi" w:cstheme="minorHAnsi"/>
          <w:b/>
        </w:rPr>
        <w:t>neuznal vlastnictví ČR</w:t>
      </w:r>
      <w:r w:rsidRPr="006E1FCD">
        <w:rPr>
          <w:rFonts w:asciiTheme="minorHAnsi" w:hAnsiTheme="minorHAnsi" w:cstheme="minorHAnsi"/>
        </w:rPr>
        <w:t xml:space="preserve"> ke</w:t>
      </w:r>
      <w:r w:rsidR="00CB517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skladovaným nouzovým zásobám. Následně v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roce 2015 a počátkem roku 2016 byla učiněna ze strany SSHR řada kroků </w:t>
      </w:r>
      <w:r w:rsidR="000A3343">
        <w:rPr>
          <w:rFonts w:asciiTheme="minorHAnsi" w:hAnsiTheme="minorHAnsi" w:cstheme="minorHAnsi"/>
        </w:rPr>
        <w:br/>
      </w:r>
      <w:r w:rsidRPr="006E1FCD">
        <w:rPr>
          <w:rFonts w:asciiTheme="minorHAnsi" w:hAnsiTheme="minorHAnsi" w:cstheme="minorHAnsi"/>
        </w:rPr>
        <w:t>a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jednání s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insolvenčním správcem s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cílem dosáhnout vydání nouzových zásob. Jednání s ohledem na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uzavřenou bilaterá</w:t>
      </w:r>
      <w:r w:rsidR="00E855D8">
        <w:rPr>
          <w:rFonts w:asciiTheme="minorHAnsi" w:hAnsiTheme="minorHAnsi" w:cstheme="minorHAnsi"/>
        </w:rPr>
        <w:t>l</w:t>
      </w:r>
      <w:r w:rsidRPr="006E1FCD">
        <w:rPr>
          <w:rFonts w:asciiTheme="minorHAnsi" w:hAnsiTheme="minorHAnsi" w:cstheme="minorHAnsi"/>
        </w:rPr>
        <w:t>ní dohodu mezi ČR a SRN probíhala i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na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úrovni obou států. Dne</w:t>
      </w:r>
      <w:r w:rsidR="00087C5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12.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července 2016 uzavřela SSHR s</w:t>
      </w:r>
      <w:r w:rsidR="00E855D8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insolvenčním správcem </w:t>
      </w:r>
      <w:r w:rsidR="00E855D8" w:rsidRPr="00A8576E">
        <w:rPr>
          <w:rFonts w:asciiTheme="minorHAnsi" w:hAnsiTheme="minorHAnsi" w:cstheme="minorHAnsi"/>
          <w:i/>
        </w:rPr>
        <w:t>d</w:t>
      </w:r>
      <w:r w:rsidRPr="00A8576E">
        <w:rPr>
          <w:rFonts w:asciiTheme="minorHAnsi" w:hAnsiTheme="minorHAnsi" w:cstheme="minorHAnsi"/>
          <w:i/>
        </w:rPr>
        <w:t>ohodu o</w:t>
      </w:r>
      <w:r w:rsidR="00E855D8">
        <w:rPr>
          <w:rFonts w:asciiTheme="minorHAnsi" w:hAnsiTheme="minorHAnsi" w:cstheme="minorHAnsi"/>
          <w:i/>
        </w:rPr>
        <w:t xml:space="preserve"> </w:t>
      </w:r>
      <w:r w:rsidRPr="00A8576E">
        <w:rPr>
          <w:rFonts w:asciiTheme="minorHAnsi" w:hAnsiTheme="minorHAnsi" w:cstheme="minorHAnsi"/>
          <w:i/>
        </w:rPr>
        <w:t>vyskladnění</w:t>
      </w:r>
      <w:r w:rsidRPr="006E1FCD">
        <w:rPr>
          <w:rFonts w:asciiTheme="minorHAnsi" w:hAnsiTheme="minorHAnsi" w:cstheme="minorHAnsi"/>
        </w:rPr>
        <w:t xml:space="preserve">, která </w:t>
      </w:r>
      <w:r w:rsidRPr="006E1FCD">
        <w:rPr>
          <w:rFonts w:asciiTheme="minorHAnsi" w:hAnsiTheme="minorHAnsi" w:cstheme="minorHAnsi"/>
          <w:b/>
        </w:rPr>
        <w:t>opravňovala SSHR k</w:t>
      </w:r>
      <w:r w:rsidR="000A3343">
        <w:rPr>
          <w:rFonts w:asciiTheme="minorHAnsi" w:hAnsiTheme="minorHAnsi" w:cstheme="minorHAnsi"/>
          <w:b/>
        </w:rPr>
        <w:t xml:space="preserve"> </w:t>
      </w:r>
      <w:r w:rsidRPr="006E1FCD">
        <w:rPr>
          <w:rFonts w:asciiTheme="minorHAnsi" w:hAnsiTheme="minorHAnsi" w:cstheme="minorHAnsi"/>
          <w:b/>
        </w:rPr>
        <w:t>přepravě uskladněných nouzových zásob na území ČR</w:t>
      </w:r>
      <w:r w:rsidRPr="00A8576E">
        <w:rPr>
          <w:rFonts w:asciiTheme="minorHAnsi" w:hAnsiTheme="minorHAnsi" w:cstheme="minorHAnsi"/>
          <w:b/>
        </w:rPr>
        <w:t>.</w:t>
      </w:r>
      <w:r w:rsidRPr="006E1FCD">
        <w:rPr>
          <w:rFonts w:asciiTheme="minorHAnsi" w:hAnsiTheme="minorHAnsi" w:cstheme="minorHAnsi"/>
        </w:rPr>
        <w:t xml:space="preserve"> Převoz motorové </w:t>
      </w:r>
      <w:r w:rsidR="00E855D8" w:rsidRPr="006E1FCD">
        <w:rPr>
          <w:rFonts w:asciiTheme="minorHAnsi" w:hAnsiTheme="minorHAnsi" w:cstheme="minorHAnsi"/>
        </w:rPr>
        <w:t xml:space="preserve">nafty </w:t>
      </w:r>
      <w:r w:rsidRPr="006E1FCD">
        <w:rPr>
          <w:rFonts w:asciiTheme="minorHAnsi" w:hAnsiTheme="minorHAnsi" w:cstheme="minorHAnsi"/>
        </w:rPr>
        <w:t xml:space="preserve">ze SRN na území ČR </w:t>
      </w:r>
      <w:r w:rsidR="00E855D8">
        <w:rPr>
          <w:rFonts w:asciiTheme="minorHAnsi" w:hAnsiTheme="minorHAnsi" w:cstheme="minorHAnsi"/>
        </w:rPr>
        <w:t>byl</w:t>
      </w:r>
      <w:r w:rsidRPr="006E1FCD">
        <w:rPr>
          <w:rFonts w:asciiTheme="minorHAnsi" w:hAnsiTheme="minorHAnsi" w:cstheme="minorHAnsi"/>
        </w:rPr>
        <w:t xml:space="preserve"> uskuteč</w:t>
      </w:r>
      <w:r w:rsidR="00E855D8">
        <w:rPr>
          <w:rFonts w:asciiTheme="minorHAnsi" w:hAnsiTheme="minorHAnsi" w:cstheme="minorHAnsi"/>
        </w:rPr>
        <w:t>ňován</w:t>
      </w:r>
      <w:r w:rsidRPr="006E1FCD">
        <w:rPr>
          <w:rFonts w:asciiTheme="minorHAnsi" w:hAnsiTheme="minorHAnsi" w:cstheme="minorHAnsi"/>
        </w:rPr>
        <w:t xml:space="preserve"> v</w:t>
      </w:r>
      <w:r w:rsidR="000A3343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období od</w:t>
      </w:r>
      <w:r w:rsidR="002D1E8E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12.</w:t>
      </w:r>
      <w:r w:rsidR="002D1E8E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října</w:t>
      </w:r>
      <w:r w:rsidR="002D1E8E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2016 do</w:t>
      </w:r>
      <w:r w:rsidR="002D1E8E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20. prosince 2017.</w:t>
      </w:r>
    </w:p>
    <w:p w14:paraId="5CEE7903" w14:textId="77777777" w:rsidR="00B44A27" w:rsidRPr="00A8576E" w:rsidRDefault="00B44A27" w:rsidP="00B44A27">
      <w:pPr>
        <w:rPr>
          <w:rFonts w:asciiTheme="minorHAnsi" w:hAnsiTheme="minorHAnsi" w:cstheme="minorHAnsi"/>
          <w:color w:val="auto"/>
        </w:rPr>
      </w:pPr>
    </w:p>
    <w:p w14:paraId="43A542AE" w14:textId="1A2D0563" w:rsidR="000411BB" w:rsidRPr="006E1FCD" w:rsidRDefault="00B44A27" w:rsidP="00B44A27">
      <w:pPr>
        <w:rPr>
          <w:rFonts w:asciiTheme="minorHAnsi" w:hAnsiTheme="minorHAnsi" w:cstheme="minorHAnsi"/>
        </w:rPr>
      </w:pPr>
      <w:r w:rsidRPr="006E1FCD">
        <w:rPr>
          <w:rFonts w:asciiTheme="minorHAnsi" w:hAnsiTheme="minorHAnsi" w:cstheme="minorHAnsi"/>
          <w:b/>
        </w:rPr>
        <w:t>Chybějící množství motorové</w:t>
      </w:r>
      <w:r w:rsidRPr="006E1FCD">
        <w:rPr>
          <w:rFonts w:asciiTheme="minorHAnsi" w:hAnsiTheme="minorHAnsi" w:cstheme="minorHAnsi"/>
        </w:rPr>
        <w:t xml:space="preserve"> </w:t>
      </w:r>
      <w:r w:rsidR="00E855D8" w:rsidRPr="006E1FCD">
        <w:rPr>
          <w:rFonts w:asciiTheme="minorHAnsi" w:hAnsiTheme="minorHAnsi" w:cstheme="minorHAnsi"/>
          <w:b/>
        </w:rPr>
        <w:t xml:space="preserve">nafty </w:t>
      </w:r>
      <w:r w:rsidRPr="006E1FCD">
        <w:rPr>
          <w:rFonts w:asciiTheme="minorHAnsi" w:hAnsiTheme="minorHAnsi" w:cstheme="minorHAnsi"/>
        </w:rPr>
        <w:t>bylo předmětem vyšetřování ze strany Policie ČR. SSHR podala dne 1. března 2021 u Městského soudu v Praze návrh na přiznání nároku na náhradu škody ze strany obžalovaných ve výši cca 144 mil. Kč. Přestože insolvenční správce souhlasil s vyskladněním motorové nafty a</w:t>
      </w:r>
      <w:r w:rsidR="00DA0D58">
        <w:rPr>
          <w:rFonts w:asciiTheme="minorHAnsi" w:hAnsiTheme="minorHAnsi" w:cstheme="minorHAnsi"/>
        </w:rPr>
        <w:t xml:space="preserve"> s</w:t>
      </w:r>
      <w:r w:rsidRPr="006E1FCD">
        <w:rPr>
          <w:rFonts w:asciiTheme="minorHAnsi" w:hAnsiTheme="minorHAnsi" w:cstheme="minorHAnsi"/>
        </w:rPr>
        <w:t xml:space="preserve"> jejím transportem na území ČR, </w:t>
      </w:r>
      <w:r w:rsidRPr="006E1FCD">
        <w:rPr>
          <w:rFonts w:asciiTheme="minorHAnsi" w:hAnsiTheme="minorHAnsi" w:cstheme="minorHAnsi"/>
          <w:b/>
        </w:rPr>
        <w:t>zpochybnil vlastnické právo ČR k</w:t>
      </w:r>
      <w:r w:rsidR="00CB5177">
        <w:rPr>
          <w:rFonts w:asciiTheme="minorHAnsi" w:hAnsiTheme="minorHAnsi" w:cstheme="minorHAnsi"/>
          <w:b/>
        </w:rPr>
        <w:t xml:space="preserve"> </w:t>
      </w:r>
      <w:r w:rsidRPr="006E1FCD">
        <w:rPr>
          <w:rFonts w:asciiTheme="minorHAnsi" w:hAnsiTheme="minorHAnsi" w:cstheme="minorHAnsi"/>
          <w:b/>
        </w:rPr>
        <w:t>nouzovým zásobám</w:t>
      </w:r>
      <w:r w:rsidRPr="006E1FCD">
        <w:rPr>
          <w:rFonts w:asciiTheme="minorHAnsi" w:hAnsiTheme="minorHAnsi" w:cstheme="minorHAnsi"/>
        </w:rPr>
        <w:t xml:space="preserve"> uskladněným na</w:t>
      </w:r>
      <w:r w:rsidR="00CB517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 xml:space="preserve">území SRN a vyjádřil svůj úmysl nechat </w:t>
      </w:r>
      <w:r w:rsidRPr="006E1FCD">
        <w:rPr>
          <w:rFonts w:asciiTheme="minorHAnsi" w:hAnsiTheme="minorHAnsi" w:cstheme="minorHAnsi"/>
        </w:rPr>
        <w:lastRenderedPageBreak/>
        <w:t xml:space="preserve">v této otázce </w:t>
      </w:r>
      <w:r w:rsidR="00CB5177" w:rsidRPr="006E1FCD">
        <w:rPr>
          <w:rFonts w:asciiTheme="minorHAnsi" w:hAnsiTheme="minorHAnsi" w:cstheme="minorHAnsi"/>
        </w:rPr>
        <w:t xml:space="preserve">rozhodnout </w:t>
      </w:r>
      <w:r w:rsidRPr="006E1FCD">
        <w:rPr>
          <w:rFonts w:asciiTheme="minorHAnsi" w:hAnsiTheme="minorHAnsi" w:cstheme="minorHAnsi"/>
        </w:rPr>
        <w:t>příslušné soudy</w:t>
      </w:r>
      <w:r w:rsidR="003C15DB">
        <w:rPr>
          <w:rFonts w:asciiTheme="minorHAnsi" w:hAnsiTheme="minorHAnsi" w:cstheme="minorHAnsi"/>
        </w:rPr>
        <w:t xml:space="preserve"> </w:t>
      </w:r>
      <w:r w:rsidR="0049011F">
        <w:rPr>
          <w:rFonts w:asciiTheme="minorHAnsi" w:hAnsiTheme="minorHAnsi" w:cstheme="minorHAnsi"/>
        </w:rPr>
        <w:t xml:space="preserve">postupující </w:t>
      </w:r>
      <w:r w:rsidR="003C15DB">
        <w:rPr>
          <w:rFonts w:asciiTheme="minorHAnsi" w:hAnsiTheme="minorHAnsi" w:cstheme="minorHAnsi"/>
        </w:rPr>
        <w:t>podle německého právního řádu</w:t>
      </w:r>
      <w:r w:rsidRPr="006E1FCD">
        <w:rPr>
          <w:rFonts w:asciiTheme="minorHAnsi" w:hAnsiTheme="minorHAnsi" w:cstheme="minorHAnsi"/>
        </w:rPr>
        <w:t>. Vlastnictví motorové nafty bylo v</w:t>
      </w:r>
      <w:r w:rsidR="00CB517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době ukončení kontroly předmětem probíhajícího soudního sporu. V</w:t>
      </w:r>
      <w:r w:rsidR="00CB5177">
        <w:rPr>
          <w:rFonts w:asciiTheme="minorHAnsi" w:hAnsiTheme="minorHAnsi" w:cstheme="minorHAnsi"/>
        </w:rPr>
        <w:t xml:space="preserve"> </w:t>
      </w:r>
      <w:r w:rsidRPr="006E1FCD">
        <w:rPr>
          <w:rFonts w:asciiTheme="minorHAnsi" w:hAnsiTheme="minorHAnsi" w:cstheme="minorHAnsi"/>
        </w:rPr>
        <w:t>době kontroly NKÚ</w:t>
      </w:r>
      <w:r w:rsidR="00711356" w:rsidRPr="006E1FCD">
        <w:rPr>
          <w:rFonts w:asciiTheme="minorHAnsi" w:hAnsiTheme="minorHAnsi" w:cstheme="minorHAnsi"/>
        </w:rPr>
        <w:t xml:space="preserve"> dosáhly </w:t>
      </w:r>
      <w:r w:rsidRPr="006E1FCD">
        <w:rPr>
          <w:rFonts w:asciiTheme="minorHAnsi" w:hAnsiTheme="minorHAnsi" w:cstheme="minorHAnsi"/>
        </w:rPr>
        <w:t xml:space="preserve">výdaje vynaložené SSHR v přímé souvislosti s řešením problémů spojených s redislokací nouzových zásob uložených na území SRN </w:t>
      </w:r>
      <w:r w:rsidR="002F2199" w:rsidRPr="006E1FCD">
        <w:rPr>
          <w:rFonts w:asciiTheme="minorHAnsi" w:hAnsiTheme="minorHAnsi" w:cstheme="minorHAnsi"/>
        </w:rPr>
        <w:t>více než</w:t>
      </w:r>
      <w:r w:rsidRPr="006E1FCD">
        <w:rPr>
          <w:rFonts w:asciiTheme="minorHAnsi" w:hAnsiTheme="minorHAnsi" w:cstheme="minorHAnsi"/>
        </w:rPr>
        <w:t xml:space="preserve"> 124</w:t>
      </w:r>
      <w:r w:rsidR="00CB5177">
        <w:rPr>
          <w:rFonts w:asciiTheme="minorHAnsi" w:hAnsiTheme="minorHAnsi" w:cstheme="minorHAnsi"/>
        </w:rPr>
        <w:t xml:space="preserve"> </w:t>
      </w:r>
      <w:r w:rsidR="00C84237" w:rsidRPr="006E1FCD">
        <w:rPr>
          <w:rFonts w:asciiTheme="minorHAnsi" w:hAnsiTheme="minorHAnsi" w:cstheme="minorHAnsi"/>
        </w:rPr>
        <w:t>mil.</w:t>
      </w:r>
      <w:r w:rsidRPr="006E1FCD">
        <w:rPr>
          <w:rFonts w:asciiTheme="minorHAnsi" w:hAnsiTheme="minorHAnsi" w:cstheme="minorHAnsi"/>
        </w:rPr>
        <w:t xml:space="preserve"> Kč</w:t>
      </w:r>
      <w:r w:rsidR="00711356" w:rsidRPr="006E1FCD">
        <w:rPr>
          <w:rFonts w:asciiTheme="minorHAnsi" w:hAnsiTheme="minorHAnsi" w:cstheme="minorHAnsi"/>
        </w:rPr>
        <w:t>.</w:t>
      </w:r>
      <w:r w:rsidR="00711356" w:rsidRPr="006E1FCD">
        <w:rPr>
          <w:rFonts w:asciiTheme="minorHAnsi" w:hAnsiTheme="minorHAnsi" w:cstheme="minorHAnsi"/>
          <w:b/>
        </w:rPr>
        <w:t xml:space="preserve"> </w:t>
      </w:r>
      <w:r w:rsidR="00711356" w:rsidRPr="006E1FCD">
        <w:rPr>
          <w:rFonts w:asciiTheme="minorHAnsi" w:hAnsiTheme="minorHAnsi" w:cstheme="minorHAnsi"/>
        </w:rPr>
        <w:t>Tyto</w:t>
      </w:r>
      <w:r w:rsidR="00711356" w:rsidRPr="006E1FCD">
        <w:rPr>
          <w:rFonts w:asciiTheme="minorHAnsi" w:hAnsiTheme="minorHAnsi" w:cstheme="minorHAnsi"/>
          <w:b/>
        </w:rPr>
        <w:t xml:space="preserve"> výdaje však</w:t>
      </w:r>
      <w:r w:rsidRPr="006E1FCD">
        <w:rPr>
          <w:rFonts w:asciiTheme="minorHAnsi" w:hAnsiTheme="minorHAnsi" w:cstheme="minorHAnsi"/>
          <w:b/>
        </w:rPr>
        <w:t xml:space="preserve"> </w:t>
      </w:r>
      <w:r w:rsidR="00D55A05">
        <w:rPr>
          <w:rFonts w:asciiTheme="minorHAnsi" w:hAnsiTheme="minorHAnsi" w:cstheme="minorHAnsi"/>
          <w:b/>
        </w:rPr>
        <w:t>ne</w:t>
      </w:r>
      <w:r w:rsidR="006179FC">
        <w:rPr>
          <w:rFonts w:asciiTheme="minorHAnsi" w:hAnsiTheme="minorHAnsi" w:cstheme="minorHAnsi"/>
          <w:b/>
        </w:rPr>
        <w:t>jsou</w:t>
      </w:r>
      <w:r w:rsidRPr="006E1FCD">
        <w:rPr>
          <w:rFonts w:asciiTheme="minorHAnsi" w:hAnsiTheme="minorHAnsi" w:cstheme="minorHAnsi"/>
          <w:b/>
        </w:rPr>
        <w:t xml:space="preserve"> definitivní </w:t>
      </w:r>
      <w:r w:rsidRPr="006E1FCD">
        <w:rPr>
          <w:rFonts w:asciiTheme="minorHAnsi" w:hAnsiTheme="minorHAnsi" w:cstheme="minorHAnsi"/>
        </w:rPr>
        <w:t>a v dalším období bude docházet k jejich růstu v důsledku pokračující</w:t>
      </w:r>
      <w:r w:rsidR="00711356" w:rsidRPr="006E1FCD">
        <w:rPr>
          <w:rFonts w:asciiTheme="minorHAnsi" w:hAnsiTheme="minorHAnsi" w:cstheme="minorHAnsi"/>
        </w:rPr>
        <w:t>ch</w:t>
      </w:r>
      <w:r w:rsidRPr="006E1FCD">
        <w:rPr>
          <w:rFonts w:asciiTheme="minorHAnsi" w:hAnsiTheme="minorHAnsi" w:cstheme="minorHAnsi"/>
        </w:rPr>
        <w:t xml:space="preserve"> soudní</w:t>
      </w:r>
      <w:r w:rsidR="00711356" w:rsidRPr="006E1FCD">
        <w:rPr>
          <w:rFonts w:asciiTheme="minorHAnsi" w:hAnsiTheme="minorHAnsi" w:cstheme="minorHAnsi"/>
        </w:rPr>
        <w:t>c</w:t>
      </w:r>
      <w:r w:rsidRPr="006E1FCD">
        <w:rPr>
          <w:rFonts w:asciiTheme="minorHAnsi" w:hAnsiTheme="minorHAnsi" w:cstheme="minorHAnsi"/>
        </w:rPr>
        <w:t>h spor</w:t>
      </w:r>
      <w:r w:rsidR="00711356" w:rsidRPr="006E1FCD">
        <w:rPr>
          <w:rFonts w:asciiTheme="minorHAnsi" w:hAnsiTheme="minorHAnsi" w:cstheme="minorHAnsi"/>
        </w:rPr>
        <w:t>ů</w:t>
      </w:r>
      <w:r w:rsidRPr="006E1FCD">
        <w:rPr>
          <w:rFonts w:asciiTheme="minorHAnsi" w:hAnsiTheme="minorHAnsi" w:cstheme="minorHAnsi"/>
        </w:rPr>
        <w:t>.</w:t>
      </w:r>
      <w:r w:rsidR="003112DB" w:rsidRPr="006E1FCD">
        <w:rPr>
          <w:rFonts w:asciiTheme="minorHAnsi" w:hAnsiTheme="minorHAnsi" w:cstheme="minorHAnsi"/>
        </w:rPr>
        <w:t xml:space="preserve"> </w:t>
      </w:r>
    </w:p>
    <w:p w14:paraId="35FBD7D7" w14:textId="77777777" w:rsidR="000411BB" w:rsidRPr="006E1FCD" w:rsidRDefault="000411BB" w:rsidP="00B44A27">
      <w:pPr>
        <w:rPr>
          <w:rFonts w:asciiTheme="minorHAnsi" w:hAnsiTheme="minorHAnsi" w:cstheme="minorHAnsi"/>
        </w:rPr>
      </w:pPr>
    </w:p>
    <w:p w14:paraId="199429A6" w14:textId="265E0CE2" w:rsidR="00B44A27" w:rsidRPr="006E1FCD" w:rsidRDefault="00B44A27" w:rsidP="00B44A27">
      <w:pPr>
        <w:rPr>
          <w:rFonts w:asciiTheme="minorHAnsi" w:hAnsiTheme="minorHAnsi" w:cstheme="minorHAnsi"/>
        </w:rPr>
      </w:pPr>
      <w:r w:rsidRPr="003A049A">
        <w:rPr>
          <w:rFonts w:asciiTheme="minorHAnsi" w:hAnsiTheme="minorHAnsi" w:cstheme="minorHAnsi"/>
          <w:color w:val="auto"/>
        </w:rPr>
        <w:t xml:space="preserve">Problémy spojené s vydáním, úbytkem a návratem motorové </w:t>
      </w:r>
      <w:r w:rsidR="00CB5177" w:rsidRPr="003A049A">
        <w:rPr>
          <w:rFonts w:asciiTheme="minorHAnsi" w:hAnsiTheme="minorHAnsi" w:cstheme="minorHAnsi"/>
          <w:color w:val="auto"/>
        </w:rPr>
        <w:t xml:space="preserve">nafty </w:t>
      </w:r>
      <w:r w:rsidRPr="003A049A">
        <w:rPr>
          <w:rFonts w:asciiTheme="minorHAnsi" w:hAnsiTheme="minorHAnsi" w:cstheme="minorHAnsi"/>
          <w:color w:val="auto"/>
        </w:rPr>
        <w:t>na</w:t>
      </w:r>
      <w:r w:rsidR="00CB5177">
        <w:rPr>
          <w:rFonts w:asciiTheme="minorHAnsi" w:hAnsiTheme="minorHAnsi" w:cstheme="minorHAnsi"/>
          <w:color w:val="auto"/>
        </w:rPr>
        <w:t xml:space="preserve"> </w:t>
      </w:r>
      <w:r w:rsidRPr="003A049A">
        <w:rPr>
          <w:rFonts w:asciiTheme="minorHAnsi" w:hAnsiTheme="minorHAnsi" w:cstheme="minorHAnsi"/>
          <w:color w:val="auto"/>
        </w:rPr>
        <w:t xml:space="preserve">území ČR a související soudní spory poukázaly na </w:t>
      </w:r>
      <w:r w:rsidR="006179FC">
        <w:rPr>
          <w:rFonts w:asciiTheme="minorHAnsi" w:hAnsiTheme="minorHAnsi" w:cstheme="minorHAnsi"/>
          <w:b/>
          <w:color w:val="auto"/>
        </w:rPr>
        <w:t>možné problémy spojené s</w:t>
      </w:r>
      <w:r w:rsidRPr="003A049A">
        <w:rPr>
          <w:rFonts w:asciiTheme="minorHAnsi" w:hAnsiTheme="minorHAnsi" w:cstheme="minorHAnsi"/>
          <w:b/>
          <w:color w:val="auto"/>
        </w:rPr>
        <w:t xml:space="preserve"> uskladňování</w:t>
      </w:r>
      <w:r w:rsidR="006179FC">
        <w:rPr>
          <w:rFonts w:asciiTheme="minorHAnsi" w:hAnsiTheme="minorHAnsi" w:cstheme="minorHAnsi"/>
          <w:b/>
          <w:color w:val="auto"/>
        </w:rPr>
        <w:t>m</w:t>
      </w:r>
      <w:r w:rsidRPr="003A049A">
        <w:rPr>
          <w:rFonts w:asciiTheme="minorHAnsi" w:hAnsiTheme="minorHAnsi" w:cstheme="minorHAnsi"/>
          <w:b/>
          <w:color w:val="auto"/>
        </w:rPr>
        <w:t xml:space="preserve"> nouzových zásob mimo území ČR</w:t>
      </w:r>
      <w:r w:rsidRPr="00A8576E">
        <w:rPr>
          <w:rFonts w:asciiTheme="minorHAnsi" w:hAnsiTheme="minorHAnsi" w:cstheme="minorHAnsi"/>
          <w:b/>
          <w:color w:val="auto"/>
        </w:rPr>
        <w:t>.</w:t>
      </w:r>
      <w:r w:rsidRPr="003A049A">
        <w:rPr>
          <w:rFonts w:asciiTheme="minorHAnsi" w:hAnsiTheme="minorHAnsi" w:cstheme="minorHAnsi"/>
          <w:color w:val="auto"/>
        </w:rPr>
        <w:t xml:space="preserve"> </w:t>
      </w:r>
      <w:r w:rsidRPr="006E1FCD">
        <w:rPr>
          <w:rFonts w:asciiTheme="minorHAnsi" w:hAnsiTheme="minorHAnsi" w:cstheme="minorHAnsi"/>
        </w:rPr>
        <w:t>Od</w:t>
      </w:r>
      <w:r w:rsidR="00CB5177">
        <w:rPr>
          <w:rFonts w:asciiTheme="minorHAnsi" w:hAnsiTheme="minorHAnsi" w:cstheme="minorHAnsi"/>
        </w:rPr>
        <w:t xml:space="preserve"> </w:t>
      </w:r>
      <w:r w:rsidR="00AF45E7" w:rsidRPr="006E1FCD">
        <w:rPr>
          <w:rFonts w:asciiTheme="minorHAnsi" w:hAnsiTheme="minorHAnsi" w:cstheme="minorHAnsi"/>
        </w:rPr>
        <w:t xml:space="preserve">konce roku </w:t>
      </w:r>
      <w:r w:rsidRPr="006E1FCD">
        <w:rPr>
          <w:rFonts w:asciiTheme="minorHAnsi" w:hAnsiTheme="minorHAnsi" w:cstheme="minorHAnsi"/>
        </w:rPr>
        <w:t>201</w:t>
      </w:r>
      <w:r w:rsidR="00AF45E7" w:rsidRPr="006E1FCD">
        <w:rPr>
          <w:rFonts w:asciiTheme="minorHAnsi" w:hAnsiTheme="minorHAnsi" w:cstheme="minorHAnsi"/>
        </w:rPr>
        <w:t>7</w:t>
      </w:r>
      <w:r w:rsidRPr="006E1FCD">
        <w:rPr>
          <w:rFonts w:asciiTheme="minorHAnsi" w:hAnsiTheme="minorHAnsi" w:cstheme="minorHAnsi"/>
        </w:rPr>
        <w:t xml:space="preserve"> do doby ukončení kontroly ukládala SSHR veškeré nouzové zásoby ve</w:t>
      </w:r>
      <w:r w:rsidR="00661385" w:rsidRPr="006E1FCD">
        <w:rPr>
          <w:rFonts w:asciiTheme="minorHAnsi" w:hAnsiTheme="minorHAnsi" w:cstheme="minorHAnsi"/>
        </w:rPr>
        <w:t> </w:t>
      </w:r>
      <w:r w:rsidRPr="006E1FCD">
        <w:rPr>
          <w:rFonts w:asciiTheme="minorHAnsi" w:hAnsiTheme="minorHAnsi" w:cstheme="minorHAnsi"/>
        </w:rPr>
        <w:t>skladovacích zařízeních umístěných na území ČR.</w:t>
      </w:r>
    </w:p>
    <w:p w14:paraId="640E9746" w14:textId="77777777" w:rsidR="004E6283" w:rsidRPr="003C15DB" w:rsidRDefault="003F3D04" w:rsidP="003F3D04">
      <w:pPr>
        <w:pStyle w:val="Nadpis2"/>
        <w:ind w:left="284" w:hanging="284"/>
      </w:pPr>
      <w:r w:rsidRPr="003C15DB">
        <w:t>Neplnění minimálních limitů rezerv některých potravin</w:t>
      </w:r>
    </w:p>
    <w:p w14:paraId="1ECE4DB2" w14:textId="408409F3" w:rsidR="0014708B" w:rsidRPr="003C15DB" w:rsidRDefault="00790B70" w:rsidP="00B626D4">
      <w:pPr>
        <w:tabs>
          <w:tab w:val="left" w:pos="1080"/>
        </w:tabs>
        <w:rPr>
          <w:rFonts w:asciiTheme="minorHAnsi" w:hAnsiTheme="minorHAnsi" w:cstheme="minorHAnsi"/>
          <w:b/>
        </w:rPr>
      </w:pPr>
      <w:r w:rsidRPr="003C15DB">
        <w:rPr>
          <w:lang w:eastAsia="cs-CZ"/>
        </w:rPr>
        <w:t xml:space="preserve">SSHR </w:t>
      </w:r>
      <w:r w:rsidR="00CB5177" w:rsidRPr="003C15DB">
        <w:rPr>
          <w:lang w:eastAsia="cs-CZ"/>
        </w:rPr>
        <w:t xml:space="preserve">vytváří </w:t>
      </w:r>
      <w:r w:rsidRPr="003C15DB">
        <w:rPr>
          <w:lang w:eastAsia="cs-CZ"/>
        </w:rPr>
        <w:t>rezervy z</w:t>
      </w:r>
      <w:r w:rsidR="00B626D4" w:rsidRPr="003C15DB">
        <w:rPr>
          <w:lang w:eastAsia="cs-CZ"/>
        </w:rPr>
        <w:t>ákladní</w:t>
      </w:r>
      <w:r w:rsidRPr="003C15DB">
        <w:rPr>
          <w:lang w:eastAsia="cs-CZ"/>
        </w:rPr>
        <w:t>ch</w:t>
      </w:r>
      <w:r w:rsidR="00B626D4" w:rsidRPr="003C15DB">
        <w:rPr>
          <w:lang w:eastAsia="cs-CZ"/>
        </w:rPr>
        <w:t xml:space="preserve"> </w:t>
      </w:r>
      <w:r w:rsidR="006179FC">
        <w:rPr>
          <w:lang w:eastAsia="cs-CZ"/>
        </w:rPr>
        <w:t>potravin</w:t>
      </w:r>
      <w:r w:rsidR="00B626D4" w:rsidRPr="003C15DB">
        <w:rPr>
          <w:lang w:eastAsia="cs-CZ"/>
        </w:rPr>
        <w:t xml:space="preserve"> na základě požadavk</w:t>
      </w:r>
      <w:r w:rsidR="00CB5177">
        <w:rPr>
          <w:lang w:eastAsia="cs-CZ"/>
        </w:rPr>
        <w:t>ů</w:t>
      </w:r>
      <w:r w:rsidR="00B626D4" w:rsidRPr="003C15DB">
        <w:rPr>
          <w:lang w:eastAsia="cs-CZ"/>
        </w:rPr>
        <w:t xml:space="preserve"> Ministerstva zemědělství </w:t>
      </w:r>
      <w:r w:rsidR="000A3343">
        <w:rPr>
          <w:lang w:eastAsia="cs-CZ"/>
        </w:rPr>
        <w:br/>
      </w:r>
      <w:r w:rsidR="00B626D4" w:rsidRPr="003C15DB">
        <w:rPr>
          <w:lang w:eastAsia="cs-CZ"/>
        </w:rPr>
        <w:t>a</w:t>
      </w:r>
      <w:r w:rsidR="000A3343">
        <w:rPr>
          <w:lang w:eastAsia="cs-CZ"/>
        </w:rPr>
        <w:t xml:space="preserve"> </w:t>
      </w:r>
      <w:r w:rsidR="00B626D4" w:rsidRPr="003C15DB">
        <w:rPr>
          <w:lang w:eastAsia="cs-CZ"/>
        </w:rPr>
        <w:t xml:space="preserve">Ministerstva obrany. </w:t>
      </w:r>
      <w:r w:rsidR="00B626D4" w:rsidRPr="003C15DB">
        <w:rPr>
          <w:rFonts w:asciiTheme="minorHAnsi" w:hAnsiTheme="minorHAnsi" w:cstheme="minorHAnsi"/>
          <w:b/>
        </w:rPr>
        <w:t>SSHR v</w:t>
      </w:r>
      <w:r w:rsidR="000A3343">
        <w:rPr>
          <w:rFonts w:asciiTheme="minorHAnsi" w:hAnsiTheme="minorHAnsi" w:cstheme="minorHAnsi"/>
          <w:b/>
        </w:rPr>
        <w:t xml:space="preserve"> </w:t>
      </w:r>
      <w:r w:rsidR="00B626D4" w:rsidRPr="003C15DB">
        <w:rPr>
          <w:rFonts w:asciiTheme="minorHAnsi" w:hAnsiTheme="minorHAnsi" w:cstheme="minorHAnsi"/>
          <w:b/>
        </w:rPr>
        <w:t xml:space="preserve">době kontroly NKÚ nenaplňovala minimální limity </w:t>
      </w:r>
      <w:r w:rsidR="00614886" w:rsidRPr="003C15DB">
        <w:rPr>
          <w:rFonts w:asciiTheme="minorHAnsi" w:hAnsiTheme="minorHAnsi" w:cstheme="minorHAnsi"/>
          <w:b/>
        </w:rPr>
        <w:t xml:space="preserve">definované Ministerstvem zemědělství </w:t>
      </w:r>
      <w:r w:rsidR="00B626D4" w:rsidRPr="003C15DB">
        <w:rPr>
          <w:rFonts w:asciiTheme="minorHAnsi" w:hAnsiTheme="minorHAnsi" w:cstheme="minorHAnsi"/>
          <w:b/>
        </w:rPr>
        <w:t xml:space="preserve">u pěti z devíti druhů základních potravin. </w:t>
      </w:r>
    </w:p>
    <w:p w14:paraId="6B876367" w14:textId="77777777" w:rsidR="0014708B" w:rsidRPr="003C15DB" w:rsidRDefault="0014708B" w:rsidP="00B626D4">
      <w:pPr>
        <w:tabs>
          <w:tab w:val="left" w:pos="1080"/>
        </w:tabs>
        <w:rPr>
          <w:rFonts w:asciiTheme="minorHAnsi" w:hAnsiTheme="minorHAnsi" w:cstheme="minorHAnsi"/>
        </w:rPr>
      </w:pPr>
    </w:p>
    <w:p w14:paraId="43FD5A08" w14:textId="25494702" w:rsidR="000411BB" w:rsidRPr="003C15DB" w:rsidRDefault="00250779" w:rsidP="0014708B">
      <w:pPr>
        <w:tabs>
          <w:tab w:val="left" w:pos="1080"/>
        </w:tabs>
        <w:rPr>
          <w:rFonts w:asciiTheme="minorHAnsi" w:hAnsiTheme="minorHAnsi" w:cstheme="minorHAnsi"/>
        </w:rPr>
      </w:pPr>
      <w:r w:rsidRPr="003C15DB">
        <w:rPr>
          <w:rFonts w:asciiTheme="minorHAnsi" w:hAnsiTheme="minorHAnsi" w:cstheme="minorHAnsi"/>
        </w:rPr>
        <w:t>SSHR postupovala</w:t>
      </w:r>
      <w:r w:rsidR="006179FC">
        <w:rPr>
          <w:rFonts w:asciiTheme="minorHAnsi" w:hAnsiTheme="minorHAnsi" w:cstheme="minorHAnsi"/>
        </w:rPr>
        <w:t xml:space="preserve"> při pořizování komodit</w:t>
      </w:r>
      <w:r w:rsidRPr="003C15DB">
        <w:rPr>
          <w:rFonts w:asciiTheme="minorHAnsi" w:hAnsiTheme="minorHAnsi" w:cstheme="minorHAnsi"/>
        </w:rPr>
        <w:t xml:space="preserve"> v souladu s platnými právními předpisy. Neplnění limitů u potravin </w:t>
      </w:r>
      <w:r w:rsidR="00B626D4" w:rsidRPr="003C15DB">
        <w:rPr>
          <w:rFonts w:asciiTheme="minorHAnsi" w:hAnsiTheme="minorHAnsi" w:cstheme="minorHAnsi"/>
        </w:rPr>
        <w:t xml:space="preserve">zdůvodnila </w:t>
      </w:r>
      <w:r w:rsidR="00CB5177" w:rsidRPr="003C15DB">
        <w:rPr>
          <w:rFonts w:asciiTheme="minorHAnsi" w:hAnsiTheme="minorHAnsi" w:cstheme="minorHAnsi"/>
        </w:rPr>
        <w:t xml:space="preserve">SSHR </w:t>
      </w:r>
      <w:r w:rsidR="00B626D4" w:rsidRPr="003C15DB">
        <w:rPr>
          <w:rFonts w:asciiTheme="minorHAnsi" w:hAnsiTheme="minorHAnsi" w:cstheme="minorHAnsi"/>
        </w:rPr>
        <w:t xml:space="preserve">zejména nezájmem trhu. </w:t>
      </w:r>
      <w:r w:rsidR="005035F8" w:rsidRPr="003C15DB">
        <w:rPr>
          <w:rFonts w:asciiTheme="minorHAnsi" w:hAnsiTheme="minorHAnsi" w:cstheme="minorHAnsi"/>
        </w:rPr>
        <w:t xml:space="preserve">NKÚ z přehledu veřejných zakázek </w:t>
      </w:r>
      <w:r w:rsidR="00CB5177" w:rsidRPr="003C15DB">
        <w:rPr>
          <w:rFonts w:asciiTheme="minorHAnsi" w:hAnsiTheme="minorHAnsi" w:cstheme="minorHAnsi"/>
        </w:rPr>
        <w:t xml:space="preserve">vyhlášených </w:t>
      </w:r>
      <w:r w:rsidR="005035F8" w:rsidRPr="003C15DB">
        <w:rPr>
          <w:rFonts w:asciiTheme="minorHAnsi" w:hAnsiTheme="minorHAnsi" w:cstheme="minorHAnsi"/>
        </w:rPr>
        <w:t>v</w:t>
      </w:r>
      <w:r w:rsidR="006E529B">
        <w:rPr>
          <w:rFonts w:asciiTheme="minorHAnsi" w:hAnsiTheme="minorHAnsi" w:cstheme="minorHAnsi"/>
        </w:rPr>
        <w:t> </w:t>
      </w:r>
      <w:r w:rsidR="00711356" w:rsidRPr="003C15DB">
        <w:rPr>
          <w:rFonts w:asciiTheme="minorHAnsi" w:hAnsiTheme="minorHAnsi" w:cstheme="minorHAnsi"/>
        </w:rPr>
        <w:t xml:space="preserve">období let 2016 až 2020 </w:t>
      </w:r>
      <w:r w:rsidR="005035F8" w:rsidRPr="003C15DB">
        <w:rPr>
          <w:rFonts w:asciiTheme="minorHAnsi" w:hAnsiTheme="minorHAnsi" w:cstheme="minorHAnsi"/>
        </w:rPr>
        <w:t>zjistil, že SSHR vyhlásila</w:t>
      </w:r>
      <w:r w:rsidR="00711356" w:rsidRPr="003C15DB">
        <w:rPr>
          <w:rFonts w:asciiTheme="minorHAnsi" w:hAnsiTheme="minorHAnsi" w:cstheme="minorHAnsi"/>
        </w:rPr>
        <w:t xml:space="preserve"> celkem 78 veřejných zakázek na</w:t>
      </w:r>
      <w:r w:rsidR="00CB5177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pořízení a</w:t>
      </w:r>
      <w:r w:rsidR="00CB5177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ochraňování potravin. Z tohoto počtu bylo 47 veřejných zakázek, tj.</w:t>
      </w:r>
      <w:r w:rsidR="00E0394C">
        <w:rPr>
          <w:rFonts w:asciiTheme="minorHAnsi" w:hAnsiTheme="minorHAnsi" w:cstheme="minorHAnsi"/>
        </w:rPr>
        <w:t> </w:t>
      </w:r>
      <w:r w:rsidR="00711356" w:rsidRPr="003C15DB">
        <w:rPr>
          <w:rFonts w:asciiTheme="minorHAnsi" w:hAnsiTheme="minorHAnsi" w:cstheme="minorHAnsi"/>
        </w:rPr>
        <w:t>cca</w:t>
      </w:r>
      <w:r w:rsidR="00E0394C">
        <w:rPr>
          <w:rFonts w:asciiTheme="minorHAnsi" w:hAnsiTheme="minorHAnsi" w:cstheme="minorHAnsi"/>
        </w:rPr>
        <w:t> </w:t>
      </w:r>
      <w:r w:rsidR="00711356" w:rsidRPr="003C15DB">
        <w:rPr>
          <w:rFonts w:asciiTheme="minorHAnsi" w:hAnsiTheme="minorHAnsi" w:cstheme="minorHAnsi"/>
        </w:rPr>
        <w:t>60 %</w:t>
      </w:r>
      <w:r w:rsidR="00CB5177">
        <w:rPr>
          <w:rFonts w:asciiTheme="minorHAnsi" w:hAnsiTheme="minorHAnsi" w:cstheme="minorHAnsi"/>
        </w:rPr>
        <w:t>,</w:t>
      </w:r>
      <w:r w:rsidR="00711356" w:rsidRPr="003C15DB">
        <w:rPr>
          <w:rFonts w:asciiTheme="minorHAnsi" w:hAnsiTheme="minorHAnsi" w:cstheme="minorHAnsi"/>
        </w:rPr>
        <w:t xml:space="preserve"> zrušeno zejména </w:t>
      </w:r>
      <w:r w:rsidR="00711356" w:rsidRPr="003C15DB">
        <w:rPr>
          <w:rFonts w:asciiTheme="minorHAnsi" w:hAnsiTheme="minorHAnsi" w:cstheme="minorHAnsi"/>
          <w:b/>
        </w:rPr>
        <w:t>z důvodu nepodání žádné nabídky</w:t>
      </w:r>
      <w:r w:rsidR="00711356" w:rsidRPr="00A8576E">
        <w:rPr>
          <w:rFonts w:asciiTheme="minorHAnsi" w:hAnsiTheme="minorHAnsi" w:cstheme="minorHAnsi"/>
          <w:b/>
        </w:rPr>
        <w:t>.</w:t>
      </w:r>
      <w:r w:rsidR="00711356" w:rsidRPr="003C15DB">
        <w:rPr>
          <w:rFonts w:asciiTheme="minorHAnsi" w:hAnsiTheme="minorHAnsi" w:cstheme="minorHAnsi"/>
        </w:rPr>
        <w:t xml:space="preserve"> Jako další důvod neplnění min</w:t>
      </w:r>
      <w:r w:rsidR="00B626D4" w:rsidRPr="003C15DB">
        <w:rPr>
          <w:rFonts w:asciiTheme="minorHAnsi" w:hAnsiTheme="minorHAnsi" w:cstheme="minorHAnsi"/>
        </w:rPr>
        <w:t>imálních</w:t>
      </w:r>
      <w:r w:rsidR="00711356" w:rsidRPr="003C15DB">
        <w:rPr>
          <w:rFonts w:asciiTheme="minorHAnsi" w:hAnsiTheme="minorHAnsi" w:cstheme="minorHAnsi"/>
        </w:rPr>
        <w:t xml:space="preserve"> limitů u</w:t>
      </w:r>
      <w:r w:rsidR="00CB5177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 xml:space="preserve">některých potravin uvedla </w:t>
      </w:r>
      <w:r w:rsidR="00CB5177" w:rsidRPr="003C15DB">
        <w:rPr>
          <w:rFonts w:asciiTheme="minorHAnsi" w:hAnsiTheme="minorHAnsi" w:cstheme="minorHAnsi"/>
        </w:rPr>
        <w:t xml:space="preserve">SSHR </w:t>
      </w:r>
      <w:r w:rsidR="00711356" w:rsidRPr="003C15DB">
        <w:rPr>
          <w:rFonts w:asciiTheme="minorHAnsi" w:hAnsiTheme="minorHAnsi" w:cstheme="minorHAnsi"/>
        </w:rPr>
        <w:t>omezení vyplývající z</w:t>
      </w:r>
      <w:r w:rsidR="00CB5177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 xml:space="preserve">aktuální legislativy. </w:t>
      </w:r>
      <w:r w:rsidR="00E43DEB">
        <w:rPr>
          <w:rFonts w:asciiTheme="minorHAnsi" w:hAnsiTheme="minorHAnsi" w:cstheme="minorHAnsi"/>
        </w:rPr>
        <w:t>Z</w:t>
      </w:r>
      <w:r w:rsidR="002F2199" w:rsidRPr="003C15DB">
        <w:rPr>
          <w:rFonts w:asciiTheme="minorHAnsi" w:hAnsiTheme="minorHAnsi" w:cstheme="minorHAnsi"/>
        </w:rPr>
        <w:t>ejména ze</w:t>
      </w:r>
      <w:r w:rsidR="00CB5177">
        <w:rPr>
          <w:rFonts w:asciiTheme="minorHAnsi" w:hAnsiTheme="minorHAnsi" w:cstheme="minorHAnsi"/>
        </w:rPr>
        <w:t xml:space="preserve"> </w:t>
      </w:r>
      <w:r w:rsidR="002F2199" w:rsidRPr="003C15DB">
        <w:rPr>
          <w:rFonts w:asciiTheme="minorHAnsi" w:hAnsiTheme="minorHAnsi" w:cstheme="minorHAnsi"/>
        </w:rPr>
        <w:t>zákona o</w:t>
      </w:r>
      <w:r w:rsidR="00711356" w:rsidRPr="003C15DB">
        <w:rPr>
          <w:rFonts w:asciiTheme="minorHAnsi" w:hAnsiTheme="minorHAnsi" w:cstheme="minorHAnsi"/>
        </w:rPr>
        <w:t xml:space="preserve"> </w:t>
      </w:r>
      <w:r w:rsidR="00E43DEB">
        <w:rPr>
          <w:rFonts w:asciiTheme="minorHAnsi" w:hAnsiTheme="minorHAnsi" w:cstheme="minorHAnsi"/>
        </w:rPr>
        <w:t xml:space="preserve">působnosti </w:t>
      </w:r>
      <w:r w:rsidR="00AE3A1E">
        <w:rPr>
          <w:rFonts w:asciiTheme="minorHAnsi" w:hAnsiTheme="minorHAnsi" w:cstheme="minorHAnsi"/>
        </w:rPr>
        <w:t>Správy státních hmotných rezerv</w:t>
      </w:r>
      <w:r w:rsidR="002F2199" w:rsidRPr="003C15DB">
        <w:rPr>
          <w:rFonts w:asciiTheme="minorHAnsi" w:hAnsiTheme="minorHAnsi" w:cstheme="minorHAnsi"/>
        </w:rPr>
        <w:t>, který</w:t>
      </w:r>
      <w:r w:rsidR="00711356" w:rsidRPr="003C15DB">
        <w:rPr>
          <w:rFonts w:asciiTheme="minorHAnsi" w:hAnsiTheme="minorHAnsi" w:cstheme="minorHAnsi"/>
        </w:rPr>
        <w:t xml:space="preserve"> stanoví, že hmotné rezervy musí SSHR nakoupit do</w:t>
      </w:r>
      <w:r w:rsidR="00CB5177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majetku státu</w:t>
      </w:r>
      <w:r w:rsidR="00CB5177">
        <w:rPr>
          <w:rFonts w:asciiTheme="minorHAnsi" w:hAnsiTheme="minorHAnsi" w:cstheme="minorHAnsi"/>
        </w:rPr>
        <w:t>,</w:t>
      </w:r>
      <w:r w:rsidR="00E43DEB">
        <w:rPr>
          <w:rFonts w:asciiTheme="minorHAnsi" w:hAnsiTheme="minorHAnsi" w:cstheme="minorHAnsi"/>
        </w:rPr>
        <w:t xml:space="preserve"> a </w:t>
      </w:r>
      <w:r w:rsidR="00711356" w:rsidRPr="003C15DB">
        <w:rPr>
          <w:rFonts w:asciiTheme="minorHAnsi" w:hAnsiTheme="minorHAnsi" w:cstheme="minorHAnsi"/>
          <w:b/>
        </w:rPr>
        <w:t xml:space="preserve">nepřipouští jiné formy jejich </w:t>
      </w:r>
      <w:r w:rsidR="000411BB" w:rsidRPr="003C15DB">
        <w:rPr>
          <w:rFonts w:asciiTheme="minorHAnsi" w:hAnsiTheme="minorHAnsi" w:cstheme="minorHAnsi"/>
          <w:b/>
        </w:rPr>
        <w:t>pořízení</w:t>
      </w:r>
      <w:r w:rsidR="00711356" w:rsidRPr="00A8576E">
        <w:rPr>
          <w:rFonts w:asciiTheme="minorHAnsi" w:hAnsiTheme="minorHAnsi" w:cstheme="minorHAnsi"/>
          <w:b/>
        </w:rPr>
        <w:t>.</w:t>
      </w:r>
      <w:r w:rsidR="00711356" w:rsidRPr="003C15DB">
        <w:rPr>
          <w:rFonts w:asciiTheme="minorHAnsi" w:hAnsiTheme="minorHAnsi" w:cstheme="minorHAnsi"/>
        </w:rPr>
        <w:t xml:space="preserve"> K tomu SSHR v roce 2020 připravila dílčí novelu zákona o SSHR, kterou </w:t>
      </w:r>
      <w:r w:rsidR="00CB5177">
        <w:rPr>
          <w:rFonts w:asciiTheme="minorHAnsi" w:hAnsiTheme="minorHAnsi" w:cstheme="minorHAnsi"/>
        </w:rPr>
        <w:t>zaslala</w:t>
      </w:r>
      <w:r w:rsidR="00711356" w:rsidRPr="003C15DB">
        <w:rPr>
          <w:rFonts w:asciiTheme="minorHAnsi" w:hAnsiTheme="minorHAnsi" w:cstheme="minorHAnsi"/>
        </w:rPr>
        <w:t xml:space="preserve"> do mezire</w:t>
      </w:r>
      <w:r w:rsidR="00CB5177">
        <w:rPr>
          <w:rFonts w:asciiTheme="minorHAnsi" w:hAnsiTheme="minorHAnsi" w:cstheme="minorHAnsi"/>
        </w:rPr>
        <w:t>s</w:t>
      </w:r>
      <w:r w:rsidR="00711356" w:rsidRPr="003C15DB">
        <w:rPr>
          <w:rFonts w:asciiTheme="minorHAnsi" w:hAnsiTheme="minorHAnsi" w:cstheme="minorHAnsi"/>
        </w:rPr>
        <w:t xml:space="preserve">ortního připomínkového řízení </w:t>
      </w:r>
      <w:r w:rsidR="00DA0D58">
        <w:rPr>
          <w:rFonts w:asciiTheme="minorHAnsi" w:hAnsiTheme="minorHAnsi" w:cstheme="minorHAnsi"/>
        </w:rPr>
        <w:t xml:space="preserve">dne </w:t>
      </w:r>
      <w:r w:rsidR="00711356" w:rsidRPr="003C15DB">
        <w:rPr>
          <w:rFonts w:asciiTheme="minorHAnsi" w:hAnsiTheme="minorHAnsi" w:cstheme="minorHAnsi"/>
        </w:rPr>
        <w:t xml:space="preserve">4. prosince 2020. Součástí novely bylo vytvoření podmínek pro zcela nový způsob pořizování státních hmotných rezerv, a to formou jejich </w:t>
      </w:r>
      <w:r w:rsidR="00711356" w:rsidRPr="003C15DB">
        <w:rPr>
          <w:rFonts w:asciiTheme="minorHAnsi" w:hAnsiTheme="minorHAnsi" w:cstheme="minorHAnsi"/>
          <w:b/>
        </w:rPr>
        <w:t>rezervace u vlastníka</w:t>
      </w:r>
      <w:r w:rsidR="00711356" w:rsidRPr="00A8576E">
        <w:rPr>
          <w:rFonts w:asciiTheme="minorHAnsi" w:hAnsiTheme="minorHAnsi" w:cstheme="minorHAnsi"/>
          <w:b/>
        </w:rPr>
        <w:t>.</w:t>
      </w:r>
      <w:r w:rsidR="00AA2D3D" w:rsidRPr="003C15DB">
        <w:rPr>
          <w:rFonts w:asciiTheme="minorHAnsi" w:hAnsiTheme="minorHAnsi" w:cstheme="minorHAnsi"/>
        </w:rPr>
        <w:t xml:space="preserve"> V důvodové zprávě k novele SSHR doplnila, že</w:t>
      </w:r>
      <w:r w:rsidR="000411BB" w:rsidRPr="003C15DB">
        <w:rPr>
          <w:rFonts w:asciiTheme="minorHAnsi" w:hAnsiTheme="minorHAnsi" w:cstheme="minorHAnsi"/>
        </w:rPr>
        <w:t xml:space="preserve"> tato forma pořízení státních hmotných rezerv</w:t>
      </w:r>
      <w:r w:rsidR="00BD5759" w:rsidRPr="003C15DB">
        <w:rPr>
          <w:rFonts w:asciiTheme="minorHAnsi" w:hAnsiTheme="minorHAnsi" w:cstheme="minorHAnsi"/>
        </w:rPr>
        <w:t xml:space="preserve"> v</w:t>
      </w:r>
      <w:r w:rsidR="00E43DEB">
        <w:rPr>
          <w:rFonts w:asciiTheme="minorHAnsi" w:hAnsiTheme="minorHAnsi" w:cstheme="minorHAnsi"/>
        </w:rPr>
        <w:t> </w:t>
      </w:r>
      <w:r w:rsidR="000411BB" w:rsidRPr="003C15DB">
        <w:t>modifikované formě již dlouhodobě funguje např. ve Slovinsku a</w:t>
      </w:r>
      <w:r w:rsidR="00334E93">
        <w:t> </w:t>
      </w:r>
      <w:r w:rsidR="000411BB" w:rsidRPr="003C15DB">
        <w:t>ve</w:t>
      </w:r>
      <w:r w:rsidRPr="003C15DB">
        <w:t xml:space="preserve"> svém právním řádu</w:t>
      </w:r>
      <w:r w:rsidR="000411BB" w:rsidRPr="003C15DB">
        <w:t xml:space="preserve"> má tento systém zavedeno </w:t>
      </w:r>
      <w:r w:rsidR="00596E47" w:rsidRPr="003C15DB">
        <w:t>i</w:t>
      </w:r>
      <w:r w:rsidR="00C12510">
        <w:t xml:space="preserve"> </w:t>
      </w:r>
      <w:r w:rsidR="000411BB" w:rsidRPr="003C15DB">
        <w:t>Polsko či Slovensko.</w:t>
      </w:r>
      <w:r w:rsidR="00900533">
        <w:t xml:space="preserve"> </w:t>
      </w:r>
      <w:r w:rsidR="00900533">
        <w:rPr>
          <w:rFonts w:asciiTheme="minorHAnsi" w:hAnsiTheme="minorHAnsi" w:cstheme="minorHAnsi"/>
        </w:rPr>
        <w:t>V</w:t>
      </w:r>
      <w:r w:rsidR="00900533" w:rsidRPr="009F31D8">
        <w:rPr>
          <w:rFonts w:asciiTheme="minorHAnsi" w:hAnsiTheme="minorHAnsi" w:cstheme="minorHAnsi"/>
        </w:rPr>
        <w:t>láda</w:t>
      </w:r>
      <w:r w:rsidR="00900533">
        <w:rPr>
          <w:rFonts w:asciiTheme="minorHAnsi" w:hAnsiTheme="minorHAnsi" w:cstheme="minorHAnsi"/>
        </w:rPr>
        <w:t xml:space="preserve"> ČR </w:t>
      </w:r>
      <w:r w:rsidR="006179FC">
        <w:rPr>
          <w:rFonts w:asciiTheme="minorHAnsi" w:hAnsiTheme="minorHAnsi" w:cstheme="minorHAnsi"/>
        </w:rPr>
        <w:t>do doby ukončení kontroly tuto dílčí novelu neprojednala.</w:t>
      </w:r>
    </w:p>
    <w:p w14:paraId="6973C93C" w14:textId="77777777" w:rsidR="003112DB" w:rsidRPr="003C15DB" w:rsidRDefault="003112DB" w:rsidP="003112DB">
      <w:pPr>
        <w:tabs>
          <w:tab w:val="left" w:pos="1080"/>
        </w:tabs>
        <w:rPr>
          <w:rFonts w:asciiTheme="minorHAnsi" w:hAnsiTheme="minorHAnsi" w:cstheme="minorHAnsi"/>
        </w:rPr>
      </w:pPr>
    </w:p>
    <w:p w14:paraId="19FBE4F5" w14:textId="669F982F" w:rsidR="00DA0D58" w:rsidRDefault="00FB36A2" w:rsidP="00047AC0">
      <w:pPr>
        <w:rPr>
          <w:rFonts w:asciiTheme="minorHAnsi" w:hAnsiTheme="minorHAnsi" w:cstheme="minorHAnsi"/>
          <w:b/>
        </w:rPr>
      </w:pPr>
      <w:r w:rsidRPr="003C15DB">
        <w:rPr>
          <w:rFonts w:asciiTheme="minorHAnsi" w:hAnsiTheme="minorHAnsi" w:cstheme="minorHAnsi"/>
          <w:b/>
        </w:rPr>
        <w:t xml:space="preserve">Kvůli </w:t>
      </w:r>
      <w:r w:rsidR="00570313" w:rsidRPr="003C15DB">
        <w:rPr>
          <w:rFonts w:asciiTheme="minorHAnsi" w:hAnsiTheme="minorHAnsi" w:cstheme="minorHAnsi"/>
          <w:b/>
        </w:rPr>
        <w:t xml:space="preserve">naplnění </w:t>
      </w:r>
      <w:r w:rsidRPr="003C15DB">
        <w:rPr>
          <w:rFonts w:asciiTheme="minorHAnsi" w:hAnsiTheme="minorHAnsi" w:cstheme="minorHAnsi"/>
          <w:b/>
        </w:rPr>
        <w:t>minimální</w:t>
      </w:r>
      <w:r w:rsidR="00570313" w:rsidRPr="003C15DB">
        <w:rPr>
          <w:rFonts w:asciiTheme="minorHAnsi" w:hAnsiTheme="minorHAnsi" w:cstheme="minorHAnsi"/>
          <w:b/>
        </w:rPr>
        <w:t>ch</w:t>
      </w:r>
      <w:r w:rsidRPr="003C15DB">
        <w:rPr>
          <w:rFonts w:asciiTheme="minorHAnsi" w:hAnsiTheme="minorHAnsi" w:cstheme="minorHAnsi"/>
          <w:b/>
        </w:rPr>
        <w:t xml:space="preserve"> limitů </w:t>
      </w:r>
      <w:r w:rsidR="00334E93">
        <w:rPr>
          <w:rFonts w:asciiTheme="minorHAnsi" w:hAnsiTheme="minorHAnsi" w:cstheme="minorHAnsi"/>
          <w:b/>
        </w:rPr>
        <w:t xml:space="preserve">rezerv </w:t>
      </w:r>
      <w:r w:rsidRPr="003C15DB">
        <w:rPr>
          <w:rFonts w:asciiTheme="minorHAnsi" w:hAnsiTheme="minorHAnsi" w:cstheme="minorHAnsi"/>
          <w:b/>
        </w:rPr>
        <w:t>potravin</w:t>
      </w:r>
      <w:r w:rsidRPr="003C15DB">
        <w:rPr>
          <w:rFonts w:asciiTheme="minorHAnsi" w:hAnsiTheme="minorHAnsi" w:cstheme="minorHAnsi"/>
        </w:rPr>
        <w:t xml:space="preserve"> došlo m</w:t>
      </w:r>
      <w:r w:rsidR="00711356" w:rsidRPr="003C15DB">
        <w:rPr>
          <w:rFonts w:asciiTheme="minorHAnsi" w:hAnsiTheme="minorHAnsi" w:cstheme="minorHAnsi"/>
        </w:rPr>
        <w:t>ezi SSHR a Ministerstvem zemědělství k</w:t>
      </w:r>
      <w:r w:rsidR="000A3343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dohodě</w:t>
      </w:r>
      <w:r w:rsidR="00570313" w:rsidRPr="003C15DB">
        <w:rPr>
          <w:rFonts w:asciiTheme="minorHAnsi" w:hAnsiTheme="minorHAnsi" w:cstheme="minorHAnsi"/>
        </w:rPr>
        <w:t>.</w:t>
      </w:r>
      <w:r w:rsidR="00711356" w:rsidRPr="003C15DB">
        <w:rPr>
          <w:rFonts w:asciiTheme="minorHAnsi" w:hAnsiTheme="minorHAnsi" w:cstheme="minorHAnsi"/>
        </w:rPr>
        <w:t xml:space="preserve"> </w:t>
      </w:r>
      <w:r w:rsidR="00570313" w:rsidRPr="003C15DB">
        <w:rPr>
          <w:rFonts w:asciiTheme="minorHAnsi" w:hAnsiTheme="minorHAnsi" w:cstheme="minorHAnsi"/>
        </w:rPr>
        <w:t>P</w:t>
      </w:r>
      <w:r w:rsidR="00711356" w:rsidRPr="003C15DB">
        <w:rPr>
          <w:rFonts w:asciiTheme="minorHAnsi" w:hAnsiTheme="minorHAnsi" w:cstheme="minorHAnsi"/>
        </w:rPr>
        <w:t xml:space="preserve">ůvodní požadavek na navýšení </w:t>
      </w:r>
      <w:r w:rsidR="00334E93">
        <w:rPr>
          <w:rFonts w:asciiTheme="minorHAnsi" w:hAnsiTheme="minorHAnsi" w:cstheme="minorHAnsi"/>
        </w:rPr>
        <w:t xml:space="preserve">zásob </w:t>
      </w:r>
      <w:r w:rsidR="00711356" w:rsidRPr="003C15DB">
        <w:rPr>
          <w:rFonts w:asciiTheme="minorHAnsi" w:hAnsiTheme="minorHAnsi" w:cstheme="minorHAnsi"/>
        </w:rPr>
        <w:t>potravinových komodit v</w:t>
      </w:r>
      <w:r w:rsidRPr="003C15DB">
        <w:rPr>
          <w:rFonts w:asciiTheme="minorHAnsi" w:hAnsiTheme="minorHAnsi" w:cstheme="minorHAnsi"/>
        </w:rPr>
        <w:t>e státních</w:t>
      </w:r>
      <w:r w:rsidR="00334E93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hmotných rezervách jednorázově na 15 dnů průměrné spotřeby rozlož</w:t>
      </w:r>
      <w:r w:rsidRPr="003C15DB">
        <w:rPr>
          <w:rFonts w:asciiTheme="minorHAnsi" w:hAnsiTheme="minorHAnsi" w:cstheme="minorHAnsi"/>
        </w:rPr>
        <w:t>í</w:t>
      </w:r>
      <w:r w:rsidR="00711356" w:rsidRPr="003C15DB">
        <w:rPr>
          <w:rFonts w:asciiTheme="minorHAnsi" w:hAnsiTheme="minorHAnsi" w:cstheme="minorHAnsi"/>
        </w:rPr>
        <w:t xml:space="preserve"> </w:t>
      </w:r>
      <w:r w:rsidR="00570313" w:rsidRPr="003C15DB">
        <w:rPr>
          <w:rFonts w:asciiTheme="minorHAnsi" w:hAnsiTheme="minorHAnsi" w:cstheme="minorHAnsi"/>
        </w:rPr>
        <w:t xml:space="preserve">SSHR časově </w:t>
      </w:r>
      <w:r w:rsidR="00711356" w:rsidRPr="003C15DB">
        <w:rPr>
          <w:rFonts w:asciiTheme="minorHAnsi" w:hAnsiTheme="minorHAnsi" w:cstheme="minorHAnsi"/>
        </w:rPr>
        <w:t>tak, aby navýšení každoročně představovalo nárůst o</w:t>
      </w:r>
      <w:r w:rsidR="00334E93">
        <w:rPr>
          <w:rFonts w:asciiTheme="minorHAnsi" w:hAnsiTheme="minorHAnsi" w:cstheme="minorHAnsi"/>
        </w:rPr>
        <w:t xml:space="preserve"> </w:t>
      </w:r>
      <w:r w:rsidR="00711356" w:rsidRPr="003C15DB">
        <w:rPr>
          <w:rFonts w:asciiTheme="minorHAnsi" w:hAnsiTheme="minorHAnsi" w:cstheme="minorHAnsi"/>
        </w:rPr>
        <w:t>jeden den</w:t>
      </w:r>
      <w:r w:rsidR="00D95995">
        <w:rPr>
          <w:rFonts w:asciiTheme="minorHAnsi" w:hAnsiTheme="minorHAnsi" w:cstheme="minorHAnsi"/>
        </w:rPr>
        <w:t xml:space="preserve"> průměrné spotřeby</w:t>
      </w:r>
      <w:r w:rsidR="00570313" w:rsidRPr="003C15DB">
        <w:rPr>
          <w:rFonts w:asciiTheme="minorHAnsi" w:hAnsiTheme="minorHAnsi" w:cstheme="minorHAnsi"/>
        </w:rPr>
        <w:t>.</w:t>
      </w:r>
      <w:r w:rsidRPr="003C15DB">
        <w:rPr>
          <w:rFonts w:asciiTheme="minorHAnsi" w:hAnsiTheme="minorHAnsi" w:cstheme="minorHAnsi"/>
        </w:rPr>
        <w:t xml:space="preserve"> Nicméně </w:t>
      </w:r>
      <w:r w:rsidR="00573E61" w:rsidRPr="003C15DB">
        <w:rPr>
          <w:rFonts w:asciiTheme="minorHAnsi" w:hAnsiTheme="minorHAnsi" w:cstheme="minorHAnsi"/>
        </w:rPr>
        <w:t xml:space="preserve">dle </w:t>
      </w:r>
      <w:r w:rsidRPr="003C15DB">
        <w:rPr>
          <w:rFonts w:asciiTheme="minorHAnsi" w:hAnsiTheme="minorHAnsi" w:cstheme="minorHAnsi"/>
        </w:rPr>
        <w:t xml:space="preserve">NKÚ neplněním minimálních limitů stanovených Ministerstvem zemědělství </w:t>
      </w:r>
      <w:r w:rsidR="00076077">
        <w:rPr>
          <w:rFonts w:asciiTheme="minorHAnsi" w:hAnsiTheme="minorHAnsi" w:cstheme="minorHAnsi"/>
          <w:b/>
        </w:rPr>
        <w:t xml:space="preserve">může být </w:t>
      </w:r>
      <w:r w:rsidR="00475A33">
        <w:rPr>
          <w:rFonts w:asciiTheme="minorHAnsi" w:hAnsiTheme="minorHAnsi" w:cstheme="minorHAnsi"/>
          <w:b/>
        </w:rPr>
        <w:t>až</w:t>
      </w:r>
      <w:r w:rsidR="00334E93">
        <w:rPr>
          <w:rFonts w:asciiTheme="minorHAnsi" w:hAnsiTheme="minorHAnsi" w:cstheme="minorHAnsi"/>
          <w:b/>
        </w:rPr>
        <w:t xml:space="preserve"> </w:t>
      </w:r>
      <w:r w:rsidR="00475A33">
        <w:rPr>
          <w:rFonts w:asciiTheme="minorHAnsi" w:hAnsiTheme="minorHAnsi" w:cstheme="minorHAnsi"/>
          <w:b/>
        </w:rPr>
        <w:t xml:space="preserve">do doby jejich naplnění </w:t>
      </w:r>
      <w:r w:rsidRPr="003C15DB">
        <w:rPr>
          <w:rFonts w:asciiTheme="minorHAnsi" w:hAnsiTheme="minorHAnsi" w:cstheme="minorHAnsi"/>
          <w:b/>
        </w:rPr>
        <w:t>ohrožena připravenost ČR na krizové stavy v oblasti potravin.</w:t>
      </w:r>
    </w:p>
    <w:p w14:paraId="62E5FBB9" w14:textId="77777777" w:rsidR="00245C04" w:rsidRPr="009D21A6" w:rsidRDefault="00245C04" w:rsidP="00047AC0">
      <w:pPr>
        <w:rPr>
          <w:rFonts w:asciiTheme="minorHAnsi" w:hAnsiTheme="minorHAnsi" w:cstheme="minorHAnsi"/>
          <w:b/>
        </w:rPr>
      </w:pPr>
    </w:p>
    <w:p w14:paraId="6F8B3C87" w14:textId="77777777" w:rsidR="004E6283" w:rsidRDefault="003F3D04" w:rsidP="003F3D04">
      <w:pPr>
        <w:pStyle w:val="Nadpis2"/>
        <w:ind w:left="284" w:hanging="284"/>
      </w:pPr>
      <w:r>
        <w:lastRenderedPageBreak/>
        <w:t xml:space="preserve">Nákup ochranných </w:t>
      </w:r>
      <w:r w:rsidR="00DD5077">
        <w:t xml:space="preserve">a zdravotnických </w:t>
      </w:r>
      <w:r>
        <w:t xml:space="preserve">prostředků </w:t>
      </w:r>
    </w:p>
    <w:p w14:paraId="4B9E09B8" w14:textId="38C5F7B8" w:rsidR="00FB36A2" w:rsidRDefault="00FB36A2" w:rsidP="00FB36A2">
      <w:pPr>
        <w:rPr>
          <w:rFonts w:asciiTheme="minorHAnsi" w:eastAsia="Calibri" w:hAnsiTheme="minorHAnsi" w:cstheme="minorHAnsi"/>
        </w:rPr>
      </w:pPr>
      <w:r w:rsidRPr="009C1070">
        <w:rPr>
          <w:rFonts w:asciiTheme="minorHAnsi" w:eastAsia="Calibri" w:hAnsiTheme="minorHAnsi" w:cstheme="minorHAnsi"/>
          <w:b/>
        </w:rPr>
        <w:t xml:space="preserve">V souvislosti s pandemií </w:t>
      </w:r>
      <w:r w:rsidR="00C12510">
        <w:rPr>
          <w:rFonts w:asciiTheme="minorHAnsi" w:eastAsia="Calibri" w:hAnsiTheme="minorHAnsi" w:cstheme="minorHAnsi"/>
          <w:b/>
        </w:rPr>
        <w:t>covidu</w:t>
      </w:r>
      <w:r w:rsidRPr="009C1070">
        <w:rPr>
          <w:rFonts w:asciiTheme="minorHAnsi" w:eastAsia="Calibri" w:hAnsiTheme="minorHAnsi" w:cstheme="minorHAnsi"/>
          <w:b/>
        </w:rPr>
        <w:t>-19</w:t>
      </w:r>
      <w:r>
        <w:rPr>
          <w:rFonts w:asciiTheme="minorHAnsi" w:eastAsia="Calibri" w:hAnsiTheme="minorHAnsi" w:cstheme="minorHAnsi"/>
        </w:rPr>
        <w:t xml:space="preserve"> byl </w:t>
      </w:r>
      <w:bookmarkStart w:id="5" w:name="_Hlk82417557"/>
      <w:r>
        <w:rPr>
          <w:rFonts w:asciiTheme="minorHAnsi" w:eastAsia="Calibri" w:hAnsiTheme="minorHAnsi" w:cstheme="minorHAnsi"/>
        </w:rPr>
        <w:t>u</w:t>
      </w:r>
      <w:r w:rsidRPr="003C0501">
        <w:rPr>
          <w:rFonts w:asciiTheme="minorHAnsi" w:eastAsia="Calibri" w:hAnsiTheme="minorHAnsi" w:cstheme="minorHAnsi"/>
        </w:rPr>
        <w:t>snesením vlády</w:t>
      </w:r>
      <w:r w:rsidR="005A2801">
        <w:rPr>
          <w:rFonts w:asciiTheme="minorHAnsi" w:eastAsia="Calibri" w:hAnsiTheme="minorHAnsi" w:cstheme="minorHAnsi"/>
        </w:rPr>
        <w:t xml:space="preserve"> </w:t>
      </w:r>
      <w:r w:rsidR="00165319">
        <w:rPr>
          <w:rFonts w:asciiTheme="minorHAnsi" w:eastAsia="Calibri" w:hAnsiTheme="minorHAnsi" w:cstheme="minorHAnsi"/>
        </w:rPr>
        <w:t>ČR</w:t>
      </w:r>
      <w:r w:rsidRPr="003C050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ze dne 18. května 2020 č. 549</w:t>
      </w:r>
      <w:bookmarkEnd w:id="5"/>
      <w:r>
        <w:rPr>
          <w:rStyle w:val="Znakapoznpodarou"/>
          <w:rFonts w:asciiTheme="minorHAnsi" w:eastAsia="Calibri" w:hAnsiTheme="minorHAnsi" w:cstheme="minorHAnsi"/>
        </w:rPr>
        <w:footnoteReference w:id="14"/>
      </w:r>
      <w:r>
        <w:rPr>
          <w:rFonts w:asciiTheme="minorHAnsi" w:eastAsia="Calibri" w:hAnsiTheme="minorHAnsi" w:cstheme="minorHAnsi"/>
        </w:rPr>
        <w:t xml:space="preserve"> a </w:t>
      </w:r>
      <w:r w:rsidRPr="003C0501">
        <w:rPr>
          <w:rFonts w:asciiTheme="minorHAnsi" w:eastAsia="Calibri" w:hAnsiTheme="minorHAnsi" w:cstheme="minorHAnsi"/>
        </w:rPr>
        <w:t>usnesením vlády</w:t>
      </w:r>
      <w:r w:rsidR="00165319">
        <w:rPr>
          <w:rFonts w:asciiTheme="minorHAnsi" w:eastAsia="Calibri" w:hAnsiTheme="minorHAnsi" w:cstheme="minorHAnsi"/>
        </w:rPr>
        <w:t xml:space="preserve"> ČR</w:t>
      </w:r>
      <w:r w:rsidRPr="003C0501">
        <w:rPr>
          <w:rFonts w:asciiTheme="minorHAnsi" w:eastAsia="Calibri" w:hAnsiTheme="minorHAnsi" w:cstheme="minorHAnsi"/>
        </w:rPr>
        <w:t xml:space="preserve"> ze dne 27. července 2020 č. 808</w:t>
      </w:r>
      <w:r>
        <w:rPr>
          <w:rStyle w:val="Znakapoznpodarou"/>
          <w:rFonts w:asciiTheme="minorHAnsi" w:eastAsia="Calibri" w:hAnsiTheme="minorHAnsi" w:cstheme="minorHAnsi"/>
        </w:rPr>
        <w:footnoteReference w:id="15"/>
      </w:r>
      <w:r w:rsidRPr="003C0501">
        <w:rPr>
          <w:rFonts w:asciiTheme="minorHAnsi" w:eastAsia="Calibri" w:hAnsiTheme="minorHAnsi" w:cstheme="minorHAnsi"/>
        </w:rPr>
        <w:t xml:space="preserve"> </w:t>
      </w:r>
      <w:r w:rsidRPr="005076FA">
        <w:rPr>
          <w:rFonts w:asciiTheme="minorHAnsi" w:eastAsia="Calibri" w:hAnsiTheme="minorHAnsi" w:cstheme="minorHAnsi"/>
          <w:b/>
        </w:rPr>
        <w:t>stanoven pro SSHR úkol</w:t>
      </w:r>
      <w:r>
        <w:rPr>
          <w:rFonts w:asciiTheme="minorHAnsi" w:eastAsia="Calibri" w:hAnsiTheme="minorHAnsi" w:cstheme="minorHAnsi"/>
        </w:rPr>
        <w:t xml:space="preserve"> </w:t>
      </w:r>
      <w:r w:rsidRPr="009C1070">
        <w:rPr>
          <w:rFonts w:asciiTheme="minorHAnsi" w:eastAsia="Calibri" w:hAnsiTheme="minorHAnsi" w:cstheme="minorHAnsi"/>
        </w:rPr>
        <w:t xml:space="preserve">vytvořit </w:t>
      </w:r>
      <w:r w:rsidR="003B07FF">
        <w:rPr>
          <w:rFonts w:asciiTheme="minorHAnsi" w:eastAsia="Calibri" w:hAnsiTheme="minorHAnsi" w:cstheme="minorHAnsi"/>
        </w:rPr>
        <w:t>zásoby</w:t>
      </w:r>
      <w:r w:rsidRPr="009C1070">
        <w:rPr>
          <w:rFonts w:asciiTheme="minorHAnsi" w:eastAsia="Calibri" w:hAnsiTheme="minorHAnsi" w:cstheme="minorHAnsi"/>
        </w:rPr>
        <w:t xml:space="preserve"> osobních ochranných prostředků, zdravotnických prostředků</w:t>
      </w:r>
      <w:r>
        <w:rPr>
          <w:rFonts w:asciiTheme="minorHAnsi" w:eastAsia="Calibri" w:hAnsiTheme="minorHAnsi" w:cstheme="minorHAnsi"/>
        </w:rPr>
        <w:t xml:space="preserve"> a dezinfekce</w:t>
      </w:r>
      <w:r w:rsidR="003B07FF">
        <w:rPr>
          <w:rFonts w:asciiTheme="minorHAnsi" w:eastAsia="Calibri" w:hAnsiTheme="minorHAnsi" w:cstheme="minorHAnsi"/>
        </w:rPr>
        <w:t xml:space="preserve"> na dva měsíce </w:t>
      </w:r>
      <w:r w:rsidRPr="00BB216B">
        <w:rPr>
          <w:rFonts w:asciiTheme="minorHAnsi" w:eastAsia="Calibri" w:hAnsiTheme="minorHAnsi" w:cstheme="minorHAnsi"/>
        </w:rPr>
        <w:t>v</w:t>
      </w:r>
      <w:r w:rsidR="00C12510">
        <w:rPr>
          <w:rFonts w:asciiTheme="minorHAnsi" w:eastAsia="Calibri" w:hAnsiTheme="minorHAnsi" w:cstheme="minorHAnsi"/>
        </w:rPr>
        <w:t xml:space="preserve"> </w:t>
      </w:r>
      <w:r w:rsidRPr="00BB216B">
        <w:rPr>
          <w:rFonts w:asciiTheme="minorHAnsi" w:eastAsia="Calibri" w:hAnsiTheme="minorHAnsi" w:cstheme="minorHAnsi"/>
        </w:rPr>
        <w:t>celkové hodnotě 3 058,726 mil. Kč bez DPH.</w:t>
      </w:r>
      <w:r>
        <w:rPr>
          <w:rFonts w:asciiTheme="minorHAnsi" w:eastAsia="Calibri" w:hAnsiTheme="minorHAnsi" w:cstheme="minorHAnsi"/>
        </w:rPr>
        <w:t xml:space="preserve"> Součástí usnesení vlády</w:t>
      </w:r>
      <w:r w:rsidR="00165319">
        <w:rPr>
          <w:rFonts w:asciiTheme="minorHAnsi" w:eastAsia="Calibri" w:hAnsiTheme="minorHAnsi" w:cstheme="minorHAnsi"/>
        </w:rPr>
        <w:t xml:space="preserve"> ČR</w:t>
      </w:r>
      <w:r>
        <w:rPr>
          <w:rFonts w:asciiTheme="minorHAnsi" w:eastAsia="Calibri" w:hAnsiTheme="minorHAnsi" w:cstheme="minorHAnsi"/>
        </w:rPr>
        <w:t xml:space="preserve"> ze</w:t>
      </w:r>
      <w:r w:rsidR="00087C57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dne </w:t>
      </w:r>
      <w:r w:rsidR="000A3343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18.</w:t>
      </w:r>
      <w:r w:rsidR="000A334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května 2020 č. 549 byla příloha s </w:t>
      </w:r>
      <w:r w:rsidRPr="005076FA">
        <w:rPr>
          <w:rFonts w:asciiTheme="minorHAnsi" w:eastAsia="Calibri" w:hAnsiTheme="minorHAnsi" w:cstheme="minorHAnsi"/>
          <w:b/>
        </w:rPr>
        <w:t>návrhy limitních cen</w:t>
      </w:r>
      <w:r w:rsidRPr="00920C4C">
        <w:rPr>
          <w:rFonts w:asciiTheme="minorHAnsi" w:eastAsia="Calibri" w:hAnsiTheme="minorHAnsi" w:cstheme="minorHAnsi"/>
          <w:b/>
        </w:rPr>
        <w:t>.</w:t>
      </w:r>
      <w:r>
        <w:rPr>
          <w:rFonts w:asciiTheme="minorHAnsi" w:eastAsia="Calibri" w:hAnsiTheme="minorHAnsi" w:cstheme="minorHAnsi"/>
        </w:rPr>
        <w:t xml:space="preserve"> </w:t>
      </w:r>
      <w:r w:rsidR="005076FA">
        <w:rPr>
          <w:rFonts w:asciiTheme="minorHAnsi" w:eastAsia="Calibri" w:hAnsiTheme="minorHAnsi" w:cstheme="minorHAnsi"/>
        </w:rPr>
        <w:t>NKÚ ke kontrole vybral vzorek čtyř druhů osobních ochranných a zdravotnických prostředků, které SSHR pořídila v roce 2020</w:t>
      </w:r>
      <w:r w:rsidR="009B3CB1">
        <w:rPr>
          <w:rFonts w:asciiTheme="minorHAnsi" w:eastAsia="Calibri" w:hAnsiTheme="minorHAnsi" w:cstheme="minorHAnsi"/>
        </w:rPr>
        <w:t xml:space="preserve">, </w:t>
      </w:r>
      <w:r w:rsidR="005076FA" w:rsidRPr="002F2199">
        <w:rPr>
          <w:rFonts w:eastAsia="Calibri"/>
        </w:rPr>
        <w:t>a</w:t>
      </w:r>
      <w:r w:rsidR="00C12510">
        <w:rPr>
          <w:rFonts w:eastAsia="Calibri"/>
        </w:rPr>
        <w:t xml:space="preserve"> </w:t>
      </w:r>
      <w:r w:rsidR="005076FA" w:rsidRPr="002F2199">
        <w:rPr>
          <w:rFonts w:eastAsia="Calibri"/>
        </w:rPr>
        <w:t>to</w:t>
      </w:r>
      <w:r w:rsidR="005076FA">
        <w:rPr>
          <w:rFonts w:asciiTheme="minorHAnsi" w:eastAsia="Calibri" w:hAnsiTheme="minorHAnsi" w:cstheme="minorHAnsi"/>
        </w:rPr>
        <w:t xml:space="preserve"> konkrétně 1 109 000 ks filtračních polomasek (respirátorů) FFP3 bez</w:t>
      </w:r>
      <w:r w:rsidR="00087C57">
        <w:rPr>
          <w:rFonts w:asciiTheme="minorHAnsi" w:eastAsia="Calibri" w:hAnsiTheme="minorHAnsi" w:cstheme="minorHAnsi"/>
        </w:rPr>
        <w:t xml:space="preserve"> </w:t>
      </w:r>
      <w:r w:rsidR="005076FA">
        <w:rPr>
          <w:rFonts w:asciiTheme="minorHAnsi" w:eastAsia="Calibri" w:hAnsiTheme="minorHAnsi" w:cstheme="minorHAnsi"/>
        </w:rPr>
        <w:t>výdechového ventilu, 1 479</w:t>
      </w:r>
      <w:r w:rsidR="0093363E">
        <w:rPr>
          <w:rFonts w:asciiTheme="minorHAnsi" w:eastAsia="Calibri" w:hAnsiTheme="minorHAnsi" w:cstheme="minorHAnsi"/>
        </w:rPr>
        <w:t> </w:t>
      </w:r>
      <w:r w:rsidR="005076FA">
        <w:rPr>
          <w:rFonts w:asciiTheme="minorHAnsi" w:eastAsia="Calibri" w:hAnsiTheme="minorHAnsi" w:cstheme="minorHAnsi"/>
        </w:rPr>
        <w:t>000</w:t>
      </w:r>
      <w:r w:rsidR="0093363E">
        <w:rPr>
          <w:rFonts w:asciiTheme="minorHAnsi" w:eastAsia="Calibri" w:hAnsiTheme="minorHAnsi" w:cstheme="minorHAnsi"/>
        </w:rPr>
        <w:t xml:space="preserve"> ks </w:t>
      </w:r>
      <w:r w:rsidR="005076FA">
        <w:rPr>
          <w:rFonts w:asciiTheme="minorHAnsi" w:eastAsia="Calibri" w:hAnsiTheme="minorHAnsi" w:cstheme="minorHAnsi"/>
        </w:rPr>
        <w:t>ochranných obleků, 1 500 ks plicních ventilátorů a</w:t>
      </w:r>
      <w:r w:rsidR="002D1E8E">
        <w:rPr>
          <w:rFonts w:asciiTheme="minorHAnsi" w:eastAsia="Calibri" w:hAnsiTheme="minorHAnsi" w:cstheme="minorHAnsi"/>
        </w:rPr>
        <w:t xml:space="preserve"> </w:t>
      </w:r>
      <w:r w:rsidR="005076FA">
        <w:rPr>
          <w:rFonts w:asciiTheme="minorHAnsi" w:eastAsia="Calibri" w:hAnsiTheme="minorHAnsi" w:cstheme="minorHAnsi"/>
        </w:rPr>
        <w:t>45 000 000 ks vyšetřovacích ochranných rukavic.</w:t>
      </w:r>
    </w:p>
    <w:p w14:paraId="08E7A94B" w14:textId="77777777" w:rsidR="00E43DEB" w:rsidRDefault="00E43DEB" w:rsidP="00FB36A2">
      <w:pPr>
        <w:rPr>
          <w:rFonts w:asciiTheme="minorHAnsi" w:eastAsia="Calibri" w:hAnsiTheme="minorHAnsi" w:cstheme="minorHAnsi"/>
        </w:rPr>
      </w:pPr>
    </w:p>
    <w:p w14:paraId="3A5666BB" w14:textId="7A05DEF7" w:rsidR="0031643B" w:rsidRPr="002F2199" w:rsidRDefault="00FB36A2" w:rsidP="00047AC0">
      <w:pPr>
        <w:spacing w:after="160"/>
        <w:rPr>
          <w:lang w:eastAsia="cs-CZ"/>
        </w:rPr>
      </w:pPr>
      <w:r w:rsidRPr="005076FA">
        <w:rPr>
          <w:lang w:eastAsia="cs-CZ"/>
        </w:rPr>
        <w:t>NKÚ ověřil, že při pořizování vybraných</w:t>
      </w:r>
      <w:r>
        <w:rPr>
          <w:b/>
          <w:lang w:eastAsia="cs-CZ"/>
        </w:rPr>
        <w:t xml:space="preserve"> </w:t>
      </w:r>
      <w:r w:rsidR="005076FA">
        <w:rPr>
          <w:rFonts w:asciiTheme="minorHAnsi" w:eastAsia="Calibri" w:hAnsiTheme="minorHAnsi" w:cstheme="minorHAnsi"/>
        </w:rPr>
        <w:t>osobních ochranných a zdravotnických prostředků</w:t>
      </w:r>
      <w:r w:rsidR="005076FA">
        <w:rPr>
          <w:b/>
          <w:lang w:eastAsia="cs-CZ"/>
        </w:rPr>
        <w:t xml:space="preserve"> </w:t>
      </w:r>
      <w:r w:rsidRPr="005076FA">
        <w:rPr>
          <w:b/>
          <w:lang w:eastAsia="cs-CZ"/>
        </w:rPr>
        <w:t>postupovala</w:t>
      </w:r>
      <w:r w:rsidR="00927C5D">
        <w:rPr>
          <w:b/>
          <w:lang w:eastAsia="cs-CZ"/>
        </w:rPr>
        <w:t xml:space="preserve"> </w:t>
      </w:r>
      <w:r w:rsidR="00C12510" w:rsidRPr="00920C4C">
        <w:rPr>
          <w:b/>
          <w:lang w:eastAsia="cs-CZ"/>
        </w:rPr>
        <w:t>SSHR</w:t>
      </w:r>
      <w:r w:rsidR="00C12510" w:rsidRPr="00C12510">
        <w:rPr>
          <w:b/>
          <w:lang w:eastAsia="cs-CZ"/>
        </w:rPr>
        <w:t xml:space="preserve"> </w:t>
      </w:r>
      <w:r w:rsidR="00927C5D">
        <w:rPr>
          <w:b/>
          <w:lang w:eastAsia="cs-CZ"/>
        </w:rPr>
        <w:t>při výběrových řízeních na dodavatele</w:t>
      </w:r>
      <w:r>
        <w:rPr>
          <w:b/>
          <w:lang w:eastAsia="cs-CZ"/>
        </w:rPr>
        <w:t xml:space="preserve"> v</w:t>
      </w:r>
      <w:r w:rsidR="00C12510">
        <w:rPr>
          <w:b/>
          <w:lang w:eastAsia="cs-CZ"/>
        </w:rPr>
        <w:t xml:space="preserve"> </w:t>
      </w:r>
      <w:r>
        <w:rPr>
          <w:b/>
          <w:lang w:eastAsia="cs-CZ"/>
        </w:rPr>
        <w:t>souladu s</w:t>
      </w:r>
      <w:r w:rsidR="00C12510">
        <w:rPr>
          <w:b/>
          <w:lang w:eastAsia="cs-CZ"/>
        </w:rPr>
        <w:t xml:space="preserve"> </w:t>
      </w:r>
      <w:r>
        <w:rPr>
          <w:b/>
          <w:lang w:eastAsia="cs-CZ"/>
        </w:rPr>
        <w:t>příslušnými usneseními vlády</w:t>
      </w:r>
      <w:r w:rsidR="00165319">
        <w:rPr>
          <w:b/>
          <w:lang w:eastAsia="cs-CZ"/>
        </w:rPr>
        <w:t xml:space="preserve"> ČR</w:t>
      </w:r>
      <w:r w:rsidR="005076FA">
        <w:rPr>
          <w:b/>
          <w:lang w:eastAsia="cs-CZ"/>
        </w:rPr>
        <w:t xml:space="preserve"> </w:t>
      </w:r>
      <w:r w:rsidRPr="005076FA">
        <w:rPr>
          <w:lang w:eastAsia="cs-CZ"/>
        </w:rPr>
        <w:t>a</w:t>
      </w:r>
      <w:r w:rsidR="005076FA" w:rsidRPr="005076FA">
        <w:rPr>
          <w:lang w:eastAsia="cs-CZ"/>
        </w:rPr>
        <w:t xml:space="preserve"> tyto vybrané</w:t>
      </w:r>
      <w:r w:rsidR="00C12510">
        <w:rPr>
          <w:lang w:eastAsia="cs-CZ"/>
        </w:rPr>
        <w:t xml:space="preserve"> </w:t>
      </w:r>
      <w:r w:rsidR="005076FA" w:rsidRPr="005076FA">
        <w:rPr>
          <w:lang w:eastAsia="cs-CZ"/>
        </w:rPr>
        <w:t>osobní ochranné a zdravotnické prostředky</w:t>
      </w:r>
      <w:r w:rsidR="005076FA">
        <w:rPr>
          <w:b/>
          <w:lang w:eastAsia="cs-CZ"/>
        </w:rPr>
        <w:t xml:space="preserve"> </w:t>
      </w:r>
      <w:r>
        <w:rPr>
          <w:b/>
          <w:lang w:eastAsia="cs-CZ"/>
        </w:rPr>
        <w:t>zajistila za</w:t>
      </w:r>
      <w:r w:rsidR="00087C57">
        <w:rPr>
          <w:b/>
          <w:lang w:eastAsia="cs-CZ"/>
        </w:rPr>
        <w:t xml:space="preserve"> </w:t>
      </w:r>
      <w:r>
        <w:rPr>
          <w:b/>
          <w:lang w:eastAsia="cs-CZ"/>
        </w:rPr>
        <w:t>ceny nižší</w:t>
      </w:r>
      <w:r w:rsidR="00C12510">
        <w:rPr>
          <w:b/>
          <w:lang w:eastAsia="cs-CZ"/>
        </w:rPr>
        <w:t>,</w:t>
      </w:r>
      <w:r>
        <w:rPr>
          <w:b/>
          <w:lang w:eastAsia="cs-CZ"/>
        </w:rPr>
        <w:t xml:space="preserve"> než</w:t>
      </w:r>
      <w:r w:rsidR="00C12510">
        <w:rPr>
          <w:b/>
          <w:lang w:eastAsia="cs-CZ"/>
        </w:rPr>
        <w:t xml:space="preserve"> byly</w:t>
      </w:r>
      <w:r>
        <w:rPr>
          <w:b/>
          <w:lang w:eastAsia="cs-CZ"/>
        </w:rPr>
        <w:t xml:space="preserve"> </w:t>
      </w:r>
      <w:r w:rsidRPr="00573E61">
        <w:rPr>
          <w:b/>
          <w:lang w:eastAsia="cs-CZ"/>
        </w:rPr>
        <w:t xml:space="preserve">limitní </w:t>
      </w:r>
      <w:r w:rsidR="00C12510">
        <w:rPr>
          <w:b/>
          <w:lang w:eastAsia="cs-CZ"/>
        </w:rPr>
        <w:t xml:space="preserve">ceny </w:t>
      </w:r>
      <w:r w:rsidR="001C4BDD" w:rsidRPr="00573E61">
        <w:rPr>
          <w:b/>
          <w:lang w:eastAsia="cs-CZ"/>
        </w:rPr>
        <w:t>navržené</w:t>
      </w:r>
      <w:r>
        <w:rPr>
          <w:b/>
          <w:lang w:eastAsia="cs-CZ"/>
        </w:rPr>
        <w:t xml:space="preserve"> vládou</w:t>
      </w:r>
      <w:r w:rsidR="0093363E">
        <w:rPr>
          <w:rStyle w:val="Znakapoznpodarou"/>
          <w:b/>
          <w:lang w:eastAsia="cs-CZ"/>
        </w:rPr>
        <w:footnoteReference w:id="16"/>
      </w:r>
      <w:r>
        <w:rPr>
          <w:b/>
          <w:lang w:eastAsia="cs-CZ"/>
        </w:rPr>
        <w:t>.</w:t>
      </w:r>
      <w:r w:rsidRPr="000A3343">
        <w:rPr>
          <w:lang w:eastAsia="cs-CZ"/>
        </w:rPr>
        <w:t xml:space="preserve"> </w:t>
      </w:r>
      <w:r w:rsidR="002F2199" w:rsidRPr="002F2199">
        <w:rPr>
          <w:lang w:eastAsia="cs-CZ"/>
        </w:rPr>
        <w:t>SSHR při jejich pořizování zohledňovala jak hledisko ceny, tak hledisko kvality</w:t>
      </w:r>
      <w:r w:rsidR="000411BB">
        <w:rPr>
          <w:lang w:eastAsia="cs-CZ"/>
        </w:rPr>
        <w:t xml:space="preserve"> a termínů dodání.</w:t>
      </w:r>
    </w:p>
    <w:p w14:paraId="1FAFEE86" w14:textId="77777777" w:rsidR="0046475E" w:rsidRPr="00432791" w:rsidRDefault="00A97840" w:rsidP="00920C4C">
      <w:pPr>
        <w:ind w:left="1304" w:hanging="1304"/>
        <w:rPr>
          <w:i/>
          <w:lang w:eastAsia="cs-CZ"/>
        </w:rPr>
      </w:pPr>
      <w:r w:rsidRPr="00432791">
        <w:rPr>
          <w:i/>
          <w:lang w:eastAsia="cs-CZ"/>
        </w:rPr>
        <w:t xml:space="preserve">Tabulka č. </w:t>
      </w:r>
      <w:r w:rsidR="00785DFE" w:rsidRPr="00432791">
        <w:rPr>
          <w:i/>
          <w:lang w:eastAsia="cs-CZ"/>
        </w:rPr>
        <w:t>1</w:t>
      </w:r>
      <w:r w:rsidRPr="00432791">
        <w:rPr>
          <w:i/>
          <w:lang w:eastAsia="cs-CZ"/>
        </w:rPr>
        <w:t xml:space="preserve">: </w:t>
      </w:r>
      <w:r w:rsidR="00087C57">
        <w:rPr>
          <w:i/>
          <w:lang w:eastAsia="cs-CZ"/>
        </w:rPr>
        <w:tab/>
      </w:r>
      <w:r w:rsidR="0093363E" w:rsidRPr="00432791">
        <w:rPr>
          <w:i/>
          <w:lang w:eastAsia="cs-CZ"/>
        </w:rPr>
        <w:t>Porovnání jednotkových cen vybraných o</w:t>
      </w:r>
      <w:r w:rsidRPr="00432791">
        <w:rPr>
          <w:i/>
          <w:lang w:eastAsia="cs-CZ"/>
        </w:rPr>
        <w:t>sobních ochranných a</w:t>
      </w:r>
      <w:r w:rsidR="0093363E" w:rsidRPr="00432791">
        <w:rPr>
          <w:i/>
          <w:lang w:eastAsia="cs-CZ"/>
        </w:rPr>
        <w:t> </w:t>
      </w:r>
      <w:r w:rsidRPr="00432791">
        <w:rPr>
          <w:i/>
          <w:lang w:eastAsia="cs-CZ"/>
        </w:rPr>
        <w:t>zdravotnických prostředků</w:t>
      </w:r>
      <w:r w:rsidR="0093363E" w:rsidRPr="00432791">
        <w:rPr>
          <w:i/>
          <w:lang w:eastAsia="cs-CZ"/>
        </w:rPr>
        <w:t xml:space="preserve"> navržených vládou ČR a skutečně pořízených SSHR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1983"/>
      </w:tblGrid>
      <w:tr w:rsidR="00A97840" w:rsidRPr="00C70365" w14:paraId="1C6B1A60" w14:textId="77777777" w:rsidTr="00AB1976">
        <w:trPr>
          <w:trHeight w:val="531"/>
        </w:trPr>
        <w:tc>
          <w:tcPr>
            <w:tcW w:w="2266" w:type="pct"/>
            <w:shd w:val="clear" w:color="auto" w:fill="E5F1FF"/>
            <w:vAlign w:val="center"/>
          </w:tcPr>
          <w:p w14:paraId="3B5E554F" w14:textId="77777777" w:rsidR="00AE71A1" w:rsidRDefault="00A97840" w:rsidP="00AE71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Vzorek osobních ochranných</w:t>
            </w:r>
            <w:r w:rsidR="00AE71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CFB8E3E" w14:textId="77777777" w:rsidR="00A97840" w:rsidRPr="00326FEF" w:rsidRDefault="00A97840" w:rsidP="00AE71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zdravotnických prostředků</w:t>
            </w:r>
          </w:p>
        </w:tc>
        <w:tc>
          <w:tcPr>
            <w:tcW w:w="1641" w:type="pct"/>
            <w:shd w:val="clear" w:color="auto" w:fill="E5F1FF"/>
            <w:vAlign w:val="center"/>
          </w:tcPr>
          <w:p w14:paraId="498CB27F" w14:textId="77777777" w:rsidR="00A97840" w:rsidRPr="00326FEF" w:rsidRDefault="00A97840" w:rsidP="000144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Limitní cena v usnesení vlády</w:t>
            </w:r>
            <w:r w:rsidR="001653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(v Kč bez DPH za kus)</w:t>
            </w:r>
          </w:p>
        </w:tc>
        <w:tc>
          <w:tcPr>
            <w:tcW w:w="1093" w:type="pct"/>
            <w:shd w:val="clear" w:color="auto" w:fill="E5F1FF"/>
            <w:vAlign w:val="center"/>
          </w:tcPr>
          <w:p w14:paraId="35A8810A" w14:textId="77777777" w:rsidR="00A97840" w:rsidRPr="00326FEF" w:rsidRDefault="00A97840" w:rsidP="000144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Pořizovací cena SSHR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(v Kč bez DPH za kus)</w:t>
            </w:r>
          </w:p>
        </w:tc>
      </w:tr>
      <w:tr w:rsidR="00A97840" w:rsidRPr="00DD5077" w14:paraId="24CAFB1D" w14:textId="77777777" w:rsidTr="00165319">
        <w:trPr>
          <w:trHeight w:val="300"/>
        </w:trPr>
        <w:tc>
          <w:tcPr>
            <w:tcW w:w="2266" w:type="pct"/>
            <w:shd w:val="clear" w:color="auto" w:fill="auto"/>
            <w:vAlign w:val="center"/>
          </w:tcPr>
          <w:p w14:paraId="53DFA220" w14:textId="77777777" w:rsidR="00A97840" w:rsidRPr="00DD5077" w:rsidRDefault="00A97840" w:rsidP="00014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sz w:val="20"/>
                <w:szCs w:val="20"/>
              </w:rPr>
              <w:t xml:space="preserve">Filtrační polomaska (respirátor) FFP3 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55B89E1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144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3C557ED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69 až 142</w:t>
            </w:r>
          </w:p>
        </w:tc>
      </w:tr>
      <w:tr w:rsidR="00A97840" w:rsidRPr="00DD5077" w14:paraId="2A6A806A" w14:textId="77777777" w:rsidTr="00165319">
        <w:trPr>
          <w:trHeight w:val="300"/>
        </w:trPr>
        <w:tc>
          <w:tcPr>
            <w:tcW w:w="2266" w:type="pct"/>
            <w:shd w:val="clear" w:color="auto" w:fill="auto"/>
            <w:vAlign w:val="center"/>
          </w:tcPr>
          <w:p w14:paraId="1A103D1D" w14:textId="77777777" w:rsidR="00A97840" w:rsidRPr="00DD5077" w:rsidRDefault="00A97840" w:rsidP="00014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sz w:val="20"/>
                <w:szCs w:val="20"/>
              </w:rPr>
              <w:t xml:space="preserve">Ochranný oblek 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C053023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250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E14AE2A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172 až 179</w:t>
            </w:r>
          </w:p>
        </w:tc>
      </w:tr>
      <w:tr w:rsidR="00A97840" w:rsidRPr="00DD5077" w14:paraId="3B9F0312" w14:textId="77777777" w:rsidTr="00165319">
        <w:trPr>
          <w:trHeight w:val="300"/>
        </w:trPr>
        <w:tc>
          <w:tcPr>
            <w:tcW w:w="2266" w:type="pct"/>
            <w:shd w:val="clear" w:color="auto" w:fill="auto"/>
            <w:vAlign w:val="center"/>
          </w:tcPr>
          <w:p w14:paraId="52CD1F6C" w14:textId="77777777" w:rsidR="00A97840" w:rsidRPr="00DD5077" w:rsidRDefault="00A97840" w:rsidP="00432A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sz w:val="20"/>
                <w:szCs w:val="20"/>
              </w:rPr>
              <w:t>Rukavice vyšetřovací ochranné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23B65ED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4,4</w:t>
            </w:r>
            <w:r w:rsidR="0093363E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BC1F9F5" w14:textId="77777777" w:rsidR="00A97840" w:rsidRPr="00DD5077" w:rsidRDefault="00A97840" w:rsidP="000144B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5077">
              <w:rPr>
                <w:rFonts w:asciiTheme="minorHAnsi" w:hAnsiTheme="minorHAnsi" w:cstheme="minorHAnsi"/>
                <w:bCs/>
                <w:sz w:val="20"/>
                <w:szCs w:val="20"/>
              </w:rPr>
              <w:t>2,88</w:t>
            </w:r>
          </w:p>
        </w:tc>
      </w:tr>
    </w:tbl>
    <w:p w14:paraId="5E45A5ED" w14:textId="4E47AC54" w:rsidR="00A97840" w:rsidRPr="003112DB" w:rsidRDefault="00A97840" w:rsidP="00C12510">
      <w:pPr>
        <w:ind w:left="567" w:hanging="567"/>
        <w:rPr>
          <w:i/>
          <w:sz w:val="20"/>
          <w:szCs w:val="20"/>
        </w:rPr>
      </w:pPr>
      <w:r w:rsidRPr="00920C4C">
        <w:rPr>
          <w:b/>
          <w:i/>
          <w:sz w:val="20"/>
          <w:szCs w:val="20"/>
        </w:rPr>
        <w:t>Zdroj:</w:t>
      </w:r>
      <w:r w:rsidRPr="003112DB">
        <w:rPr>
          <w:i/>
          <w:sz w:val="20"/>
          <w:szCs w:val="20"/>
        </w:rPr>
        <w:t xml:space="preserve"> </w:t>
      </w:r>
      <w:r w:rsidR="00C12510">
        <w:rPr>
          <w:i/>
          <w:sz w:val="20"/>
          <w:szCs w:val="20"/>
        </w:rPr>
        <w:tab/>
      </w:r>
      <w:r w:rsidR="00087C57">
        <w:rPr>
          <w:i/>
          <w:sz w:val="20"/>
          <w:szCs w:val="20"/>
        </w:rPr>
        <w:t>u</w:t>
      </w:r>
      <w:r w:rsidR="005B0148" w:rsidRPr="003112DB">
        <w:rPr>
          <w:i/>
          <w:sz w:val="20"/>
          <w:szCs w:val="20"/>
        </w:rPr>
        <w:t>snesení vlády</w:t>
      </w:r>
      <w:r w:rsidR="00165319">
        <w:rPr>
          <w:i/>
          <w:sz w:val="20"/>
          <w:szCs w:val="20"/>
        </w:rPr>
        <w:t xml:space="preserve"> ČR</w:t>
      </w:r>
      <w:r w:rsidR="005B0148" w:rsidRPr="003112DB">
        <w:rPr>
          <w:i/>
          <w:sz w:val="20"/>
          <w:szCs w:val="20"/>
        </w:rPr>
        <w:t xml:space="preserve"> ze dne 18. května 2020 č. 549</w:t>
      </w:r>
      <w:r w:rsidR="001C6024" w:rsidRPr="003112DB">
        <w:rPr>
          <w:i/>
          <w:sz w:val="20"/>
          <w:szCs w:val="20"/>
        </w:rPr>
        <w:t>,</w:t>
      </w:r>
      <w:r w:rsidR="001C6024" w:rsidRPr="003112DB">
        <w:rPr>
          <w:sz w:val="20"/>
          <w:szCs w:val="20"/>
        </w:rPr>
        <w:t xml:space="preserve"> </w:t>
      </w:r>
      <w:r w:rsidR="001C6024" w:rsidRPr="003112DB">
        <w:rPr>
          <w:i/>
          <w:sz w:val="20"/>
          <w:szCs w:val="20"/>
        </w:rPr>
        <w:t>usnesení vlády</w:t>
      </w:r>
      <w:r w:rsidR="00165319">
        <w:rPr>
          <w:i/>
          <w:sz w:val="20"/>
          <w:szCs w:val="20"/>
        </w:rPr>
        <w:t xml:space="preserve"> ČR</w:t>
      </w:r>
      <w:r w:rsidR="004B38CA" w:rsidRPr="003112DB">
        <w:rPr>
          <w:i/>
          <w:sz w:val="20"/>
          <w:szCs w:val="20"/>
        </w:rPr>
        <w:t xml:space="preserve"> </w:t>
      </w:r>
      <w:r w:rsidR="001C6024" w:rsidRPr="003112DB">
        <w:rPr>
          <w:i/>
          <w:sz w:val="20"/>
          <w:szCs w:val="20"/>
        </w:rPr>
        <w:t>ze dne 9. listopadu 2020 č. 1163</w:t>
      </w:r>
      <w:r w:rsidR="004B38CA" w:rsidRPr="00920C4C">
        <w:rPr>
          <w:rStyle w:val="Znakapoznpodarou"/>
          <w:sz w:val="20"/>
          <w:szCs w:val="20"/>
        </w:rPr>
        <w:footnoteReference w:id="17"/>
      </w:r>
      <w:r w:rsidR="004B38CA" w:rsidRPr="003112DB">
        <w:rPr>
          <w:i/>
          <w:sz w:val="20"/>
          <w:szCs w:val="20"/>
        </w:rPr>
        <w:t xml:space="preserve"> (aktualizace jednotkové ceny rukavic vyšetřovacích ochranných)</w:t>
      </w:r>
      <w:r w:rsidR="001C6024" w:rsidRPr="003112DB">
        <w:rPr>
          <w:i/>
          <w:sz w:val="20"/>
          <w:szCs w:val="20"/>
        </w:rPr>
        <w:t xml:space="preserve">, </w:t>
      </w:r>
      <w:r w:rsidR="005B0148" w:rsidRPr="003112DB">
        <w:rPr>
          <w:i/>
          <w:sz w:val="20"/>
          <w:szCs w:val="20"/>
        </w:rPr>
        <w:t>s</w:t>
      </w:r>
      <w:r w:rsidRPr="003112DB">
        <w:rPr>
          <w:i/>
          <w:sz w:val="20"/>
          <w:szCs w:val="20"/>
        </w:rPr>
        <w:t>mlouvy</w:t>
      </w:r>
      <w:r w:rsidR="005B0148" w:rsidRPr="003112DB">
        <w:rPr>
          <w:i/>
          <w:sz w:val="20"/>
          <w:szCs w:val="20"/>
        </w:rPr>
        <w:t xml:space="preserve"> uzavřené</w:t>
      </w:r>
      <w:r w:rsidRPr="003112DB">
        <w:rPr>
          <w:i/>
          <w:sz w:val="20"/>
          <w:szCs w:val="20"/>
        </w:rPr>
        <w:t xml:space="preserve"> s vítěznými uchazeči</w:t>
      </w:r>
      <w:r w:rsidR="005B0148" w:rsidRPr="003112DB">
        <w:rPr>
          <w:i/>
          <w:sz w:val="20"/>
          <w:szCs w:val="20"/>
        </w:rPr>
        <w:t>.</w:t>
      </w:r>
    </w:p>
    <w:p w14:paraId="30FB4D84" w14:textId="77777777" w:rsidR="003F3D04" w:rsidRDefault="00DD5077" w:rsidP="003F3D04">
      <w:pPr>
        <w:pStyle w:val="Nadpis2"/>
        <w:ind w:left="284" w:hanging="284"/>
      </w:pPr>
      <w:r>
        <w:t xml:space="preserve">Veřejné zakázky </w:t>
      </w:r>
    </w:p>
    <w:p w14:paraId="33D98151" w14:textId="706BC08A" w:rsidR="00A90A90" w:rsidRPr="005076FA" w:rsidRDefault="005076FA" w:rsidP="00A90A90">
      <w:r>
        <w:t xml:space="preserve">NKÚ </w:t>
      </w:r>
      <w:r w:rsidR="00A90A90">
        <w:t xml:space="preserve">kontrole podrobil celkem </w:t>
      </w:r>
      <w:r w:rsidR="00A90A90" w:rsidRPr="00A10362">
        <w:rPr>
          <w:b/>
        </w:rPr>
        <w:t>15 veřejných zakázek</w:t>
      </w:r>
      <w:r w:rsidR="00A90A90">
        <w:t xml:space="preserve"> realizovaných SSHR, z</w:t>
      </w:r>
      <w:r w:rsidR="00646AFD">
        <w:t xml:space="preserve"> </w:t>
      </w:r>
      <w:r w:rsidR="00A90A90">
        <w:t xml:space="preserve">toho </w:t>
      </w:r>
      <w:r w:rsidR="00646AFD">
        <w:br/>
      </w:r>
      <w:r w:rsidR="00A90A90">
        <w:t>12</w:t>
      </w:r>
      <w:r w:rsidR="00646AFD">
        <w:t xml:space="preserve"> </w:t>
      </w:r>
      <w:r w:rsidR="00A90A90">
        <w:t xml:space="preserve">veřejných zakázek na pořízení a ochraňování státních hmotných rezerv a 3 veřejné zakázky na pořízení majetku. NKÚ u těchto vybraných veřejných zakázek ověřil, že </w:t>
      </w:r>
      <w:r w:rsidR="00A90A90" w:rsidRPr="00A10362">
        <w:rPr>
          <w:b/>
        </w:rPr>
        <w:t>postup SSHR byl transparentní a v</w:t>
      </w:r>
      <w:r w:rsidR="000144BA">
        <w:rPr>
          <w:b/>
        </w:rPr>
        <w:t xml:space="preserve"> </w:t>
      </w:r>
      <w:r w:rsidR="00A90A90" w:rsidRPr="00A10362">
        <w:rPr>
          <w:b/>
        </w:rPr>
        <w:t>souladu s</w:t>
      </w:r>
      <w:r w:rsidR="000144BA">
        <w:rPr>
          <w:b/>
        </w:rPr>
        <w:t xml:space="preserve"> </w:t>
      </w:r>
      <w:r w:rsidR="00A90A90" w:rsidRPr="00A10362">
        <w:rPr>
          <w:b/>
        </w:rPr>
        <w:t>právními předpisy</w:t>
      </w:r>
      <w:r w:rsidR="009B3CB1" w:rsidRPr="000144BA">
        <w:rPr>
          <w:rStyle w:val="Znakapoznpodarou"/>
          <w:b/>
        </w:rPr>
        <w:footnoteReference w:id="18"/>
      </w:r>
      <w:r w:rsidR="00A90A90" w:rsidRPr="00920C4C">
        <w:rPr>
          <w:b/>
        </w:rPr>
        <w:t>.</w:t>
      </w:r>
      <w:r w:rsidR="00A90A90" w:rsidRPr="00A90A90">
        <w:t xml:space="preserve"> </w:t>
      </w:r>
      <w:r w:rsidR="00A90A90">
        <w:t>Pouze v</w:t>
      </w:r>
      <w:r w:rsidR="00C12510">
        <w:t xml:space="preserve"> </w:t>
      </w:r>
      <w:r w:rsidR="00A90A90">
        <w:t>jednom případě NKÚ zjistil</w:t>
      </w:r>
      <w:r w:rsidR="00A10362">
        <w:t xml:space="preserve"> pochybení při uveřejnění smlouvy a skutečně uhrazené ceny na profilu zadavatele. SSHR na základě upozornění NKÚ toto pochybení ještě v průběhu kontroly napravila.</w:t>
      </w:r>
    </w:p>
    <w:p w14:paraId="3A42DB64" w14:textId="77777777" w:rsidR="00A90A90" w:rsidRDefault="00A90A90" w:rsidP="005076FA"/>
    <w:p w14:paraId="31E75270" w14:textId="4E64C5D0" w:rsidR="005076FA" w:rsidRPr="00E26D38" w:rsidRDefault="00A90A90" w:rsidP="005076FA">
      <w:r>
        <w:t xml:space="preserve">NKÚ u vzorku </w:t>
      </w:r>
      <w:r w:rsidRPr="00A10362">
        <w:rPr>
          <w:b/>
        </w:rPr>
        <w:t xml:space="preserve">nezjistil nehospodárné </w:t>
      </w:r>
      <w:r w:rsidR="00C12510" w:rsidRPr="00A10362">
        <w:rPr>
          <w:b/>
        </w:rPr>
        <w:t xml:space="preserve">ani </w:t>
      </w:r>
      <w:r w:rsidRPr="00A10362">
        <w:rPr>
          <w:b/>
        </w:rPr>
        <w:t xml:space="preserve">neúčelné </w:t>
      </w:r>
      <w:r w:rsidR="0014708B">
        <w:rPr>
          <w:b/>
        </w:rPr>
        <w:t>použití</w:t>
      </w:r>
      <w:r w:rsidRPr="00A10362">
        <w:rPr>
          <w:b/>
        </w:rPr>
        <w:t xml:space="preserve"> rozpočtových </w:t>
      </w:r>
      <w:r w:rsidR="00C12510" w:rsidRPr="00A10362">
        <w:rPr>
          <w:b/>
        </w:rPr>
        <w:t xml:space="preserve">nebo </w:t>
      </w:r>
      <w:r w:rsidRPr="00A10362">
        <w:rPr>
          <w:b/>
        </w:rPr>
        <w:t>mimorozpočtových zdrojů.</w:t>
      </w:r>
      <w:r>
        <w:t xml:space="preserve"> NKÚ u vzorku ověřil, že SSHR zajistila v případech, kdy jsou státní hmotné rezervy ochraňovány externími subjekty</w:t>
      </w:r>
      <w:r w:rsidR="003B07FF">
        <w:t>,</w:t>
      </w:r>
      <w:r>
        <w:t xml:space="preserve"> </w:t>
      </w:r>
      <w:r w:rsidR="003B07FF">
        <w:t xml:space="preserve">aby </w:t>
      </w:r>
      <w:r>
        <w:t xml:space="preserve">smluvní podmínky </w:t>
      </w:r>
      <w:r w:rsidR="003B07FF">
        <w:t xml:space="preserve">byly </w:t>
      </w:r>
      <w:r>
        <w:t xml:space="preserve">jasné, </w:t>
      </w:r>
      <w:r>
        <w:lastRenderedPageBreak/>
        <w:t>konkrétní, zaji</w:t>
      </w:r>
      <w:r w:rsidR="000144BA">
        <w:t>šťovaly</w:t>
      </w:r>
      <w:r>
        <w:t xml:space="preserve"> účelné vynakládání peněžních prostředků státu a nebyly pro stát nevýhodné. </w:t>
      </w:r>
      <w:r w:rsidR="00E26D38">
        <w:t xml:space="preserve">Dále u vybraného vzorku NKÚ ověřil, že </w:t>
      </w:r>
      <w:r>
        <w:t>SSHR kontrolovala, zda ochraňovatelé dodržují smluvní podmínky</w:t>
      </w:r>
      <w:r w:rsidR="000144BA">
        <w:t>,</w:t>
      </w:r>
      <w:r>
        <w:t xml:space="preserve"> a </w:t>
      </w:r>
      <w:r w:rsidR="00E26D38">
        <w:t>uplatnila</w:t>
      </w:r>
      <w:r>
        <w:t xml:space="preserve"> sankce v</w:t>
      </w:r>
      <w:r w:rsidR="000144BA">
        <w:t xml:space="preserve"> </w:t>
      </w:r>
      <w:r>
        <w:t>případě nedodržení smluvních podmínek</w:t>
      </w:r>
      <w:r w:rsidR="00E26D38">
        <w:t>. U</w:t>
      </w:r>
      <w:r w:rsidR="006E529B">
        <w:t> </w:t>
      </w:r>
      <w:r w:rsidR="00E26D38">
        <w:t xml:space="preserve">vybraného vzorku smluv SSHR </w:t>
      </w:r>
      <w:r>
        <w:t>zajistila, aby ochraňovatelé vytvořili optimální podmínky pro</w:t>
      </w:r>
      <w:r w:rsidR="00087C57">
        <w:t xml:space="preserve"> </w:t>
      </w:r>
      <w:r>
        <w:t>uskladnění státních hmotných rezerv</w:t>
      </w:r>
      <w:r w:rsidR="00A10362">
        <w:t>,</w:t>
      </w:r>
      <w:r w:rsidR="003B07FF">
        <w:t xml:space="preserve"> </w:t>
      </w:r>
      <w:r w:rsidR="00A10362">
        <w:t>prováděli případnou obměnu</w:t>
      </w:r>
      <w:r w:rsidR="00DA0D58">
        <w:t xml:space="preserve"> potravin</w:t>
      </w:r>
      <w:r w:rsidR="00E26D38">
        <w:t xml:space="preserve"> za ceny vzešlé z výběrových řízení</w:t>
      </w:r>
      <w:r>
        <w:t xml:space="preserve"> a aby </w:t>
      </w:r>
      <w:r w:rsidRPr="00E26D38">
        <w:t>uskladněné rezervy byly připraveny na realizaci opatření v případě krizových stavů.</w:t>
      </w:r>
    </w:p>
    <w:p w14:paraId="125254A1" w14:textId="77777777" w:rsidR="003F3D04" w:rsidRDefault="00DD5077" w:rsidP="008D6018">
      <w:pPr>
        <w:pStyle w:val="Nadpis2"/>
        <w:ind w:left="284" w:hanging="284"/>
      </w:pPr>
      <w:r>
        <w:t xml:space="preserve">Oblast hospodaření s majetkem </w:t>
      </w:r>
    </w:p>
    <w:p w14:paraId="7B8551F7" w14:textId="5799DE56" w:rsidR="00651757" w:rsidRPr="00B54A85" w:rsidRDefault="00651757" w:rsidP="00651757">
      <w:pPr>
        <w:rPr>
          <w:color w:val="auto"/>
        </w:rPr>
      </w:pPr>
      <w:r w:rsidRPr="00B54A85">
        <w:rPr>
          <w:color w:val="auto"/>
        </w:rPr>
        <w:t>SSHR v</w:t>
      </w:r>
      <w:r w:rsidR="008C2ED6">
        <w:rPr>
          <w:color w:val="auto"/>
        </w:rPr>
        <w:t xml:space="preserve"> </w:t>
      </w:r>
      <w:r w:rsidRPr="00B54A85">
        <w:rPr>
          <w:color w:val="auto"/>
        </w:rPr>
        <w:t>kontrolovaném období ke skladování státních hmotných rezerv využívala jak nemovitý majetek, ke kterému měla příslušnost hospodařit</w:t>
      </w:r>
      <w:r w:rsidR="00DD60CA" w:rsidRPr="00B54A85">
        <w:rPr>
          <w:color w:val="auto"/>
        </w:rPr>
        <w:t xml:space="preserve">, tak skladovací kapacity externích subjektů. K využívání skladů těchto externích subjektů přistupovala zejména v případech, kdy nedisponovala vhodnými vlastními </w:t>
      </w:r>
      <w:r w:rsidR="006E3928" w:rsidRPr="00B54A85">
        <w:rPr>
          <w:color w:val="auto"/>
        </w:rPr>
        <w:t xml:space="preserve">skladovacími </w:t>
      </w:r>
      <w:r w:rsidR="00DD60CA" w:rsidRPr="00B54A85">
        <w:rPr>
          <w:color w:val="auto"/>
        </w:rPr>
        <w:t>kapacitami</w:t>
      </w:r>
      <w:r w:rsidRPr="00B54A85">
        <w:rPr>
          <w:color w:val="auto"/>
        </w:rPr>
        <w:t xml:space="preserve"> (např. v případě potravin, které nejsou trvanlivé</w:t>
      </w:r>
      <w:r w:rsidR="00DD60CA" w:rsidRPr="00B54A85">
        <w:rPr>
          <w:color w:val="auto"/>
        </w:rPr>
        <w:t xml:space="preserve"> a vyžadují chlazení nebo mrazení</w:t>
      </w:r>
      <w:r w:rsidRPr="00B54A85">
        <w:rPr>
          <w:color w:val="auto"/>
        </w:rPr>
        <w:t>).</w:t>
      </w:r>
    </w:p>
    <w:p w14:paraId="44A67AC0" w14:textId="77777777" w:rsidR="00432791" w:rsidRPr="00920C4C" w:rsidRDefault="00432791" w:rsidP="00651757">
      <w:pPr>
        <w:rPr>
          <w:color w:val="auto"/>
        </w:rPr>
      </w:pPr>
    </w:p>
    <w:p w14:paraId="41BFE1B4" w14:textId="0B058A57" w:rsidR="00D64131" w:rsidRDefault="00D64131" w:rsidP="00D64131">
      <w:pPr>
        <w:rPr>
          <w:lang w:eastAsia="cs-CZ"/>
        </w:rPr>
      </w:pPr>
      <w:r w:rsidRPr="00D64131">
        <w:t xml:space="preserve">SSHR v kontrolovaném období </w:t>
      </w:r>
      <w:r w:rsidRPr="00D64131">
        <w:rPr>
          <w:lang w:eastAsia="cs-CZ"/>
        </w:rPr>
        <w:t>analyzovala a optimalizovala využívání nemovitého majetku, se</w:t>
      </w:r>
      <w:r w:rsidR="00087C57">
        <w:rPr>
          <w:lang w:eastAsia="cs-CZ"/>
        </w:rPr>
        <w:t xml:space="preserve"> </w:t>
      </w:r>
      <w:r w:rsidRPr="00D64131">
        <w:rPr>
          <w:lang w:eastAsia="cs-CZ"/>
        </w:rPr>
        <w:t xml:space="preserve">kterým měla příslušnost hospodařit. </w:t>
      </w:r>
      <w:r w:rsidRPr="00047AC0">
        <w:rPr>
          <w:b/>
          <w:lang w:eastAsia="cs-CZ"/>
        </w:rPr>
        <w:t>Optimalizaci nevyužívaného majetku prováděla</w:t>
      </w:r>
      <w:r w:rsidRPr="00047AC0">
        <w:rPr>
          <w:rFonts w:asciiTheme="minorHAnsi" w:hAnsiTheme="minorHAnsi" w:cstheme="minorHAnsi"/>
          <w:b/>
          <w:lang w:eastAsia="cs-CZ"/>
        </w:rPr>
        <w:t xml:space="preserve"> formou pronájmů nebo prodejů.</w:t>
      </w:r>
      <w:r w:rsidRPr="00D64131">
        <w:rPr>
          <w:rFonts w:asciiTheme="minorHAnsi" w:hAnsiTheme="minorHAnsi" w:cstheme="minorHAnsi"/>
          <w:lang w:eastAsia="cs-CZ"/>
        </w:rPr>
        <w:t xml:space="preserve"> </w:t>
      </w:r>
      <w:r w:rsidR="00E43DEB">
        <w:rPr>
          <w:lang w:eastAsia="cs-CZ"/>
        </w:rPr>
        <w:t>V</w:t>
      </w:r>
      <w:r>
        <w:rPr>
          <w:lang w:eastAsia="cs-CZ"/>
        </w:rPr>
        <w:t xml:space="preserve"> případě</w:t>
      </w:r>
      <w:r w:rsidRPr="00D64131">
        <w:rPr>
          <w:lang w:eastAsia="cs-CZ"/>
        </w:rPr>
        <w:t xml:space="preserve"> obilných sil byl však prodej nebo pronájem limitován majetkovými vztahy, kdy u šesti ze sedmi sil </w:t>
      </w:r>
      <w:r w:rsidR="00A66876">
        <w:rPr>
          <w:lang w:eastAsia="cs-CZ"/>
        </w:rPr>
        <w:t>měla</w:t>
      </w:r>
      <w:r w:rsidRPr="00D64131">
        <w:rPr>
          <w:lang w:eastAsia="cs-CZ"/>
        </w:rPr>
        <w:t xml:space="preserve"> SSHR </w:t>
      </w:r>
      <w:r w:rsidR="00A66876">
        <w:rPr>
          <w:lang w:eastAsia="cs-CZ"/>
        </w:rPr>
        <w:t>příslušnost hospodařit s</w:t>
      </w:r>
      <w:r w:rsidR="00E43DEB">
        <w:rPr>
          <w:lang w:eastAsia="cs-CZ"/>
        </w:rPr>
        <w:t> </w:t>
      </w:r>
      <w:r w:rsidR="00A66876">
        <w:rPr>
          <w:lang w:eastAsia="cs-CZ"/>
        </w:rPr>
        <w:t>budovou</w:t>
      </w:r>
      <w:r w:rsidRPr="00D64131">
        <w:rPr>
          <w:lang w:eastAsia="cs-CZ"/>
        </w:rPr>
        <w:t xml:space="preserve"> sila, ale </w:t>
      </w:r>
      <w:r w:rsidR="00A66876">
        <w:rPr>
          <w:lang w:eastAsia="cs-CZ"/>
        </w:rPr>
        <w:t xml:space="preserve">neměla příslušnost </w:t>
      </w:r>
      <w:r w:rsidR="00900533">
        <w:rPr>
          <w:lang w:eastAsia="cs-CZ"/>
        </w:rPr>
        <w:t xml:space="preserve">hospodařit </w:t>
      </w:r>
      <w:r w:rsidR="00A66876">
        <w:rPr>
          <w:lang w:eastAsia="cs-CZ"/>
        </w:rPr>
        <w:t>k pozemkům, na kterých se sila nacházela</w:t>
      </w:r>
      <w:r w:rsidRPr="00D64131">
        <w:rPr>
          <w:lang w:eastAsia="cs-CZ"/>
        </w:rPr>
        <w:t>.</w:t>
      </w:r>
    </w:p>
    <w:p w14:paraId="79429AF1" w14:textId="77777777" w:rsidR="00D64131" w:rsidRDefault="00D64131" w:rsidP="00D64131">
      <w:pPr>
        <w:rPr>
          <w:lang w:eastAsia="cs-CZ"/>
        </w:rPr>
      </w:pPr>
    </w:p>
    <w:p w14:paraId="0B3F069E" w14:textId="62E3951D" w:rsidR="00D64131" w:rsidRDefault="00D64131" w:rsidP="00D64131">
      <w:pPr>
        <w:rPr>
          <w:lang w:eastAsia="cs-CZ"/>
        </w:rPr>
      </w:pPr>
      <w:r>
        <w:rPr>
          <w:lang w:eastAsia="cs-CZ"/>
        </w:rPr>
        <w:t xml:space="preserve">U vzorku sedmi smluv o </w:t>
      </w:r>
      <w:r w:rsidR="00E43DEB">
        <w:rPr>
          <w:lang w:eastAsia="cs-CZ"/>
        </w:rPr>
        <w:t>pro</w:t>
      </w:r>
      <w:r>
        <w:rPr>
          <w:lang w:eastAsia="cs-CZ"/>
        </w:rPr>
        <w:t>nájmu nemovitého majetku</w:t>
      </w:r>
      <w:r w:rsidR="00A66876">
        <w:rPr>
          <w:lang w:eastAsia="cs-CZ"/>
        </w:rPr>
        <w:t>, u kterého byla SSHR v</w:t>
      </w:r>
      <w:r w:rsidR="000144BA">
        <w:rPr>
          <w:lang w:eastAsia="cs-CZ"/>
        </w:rPr>
        <w:t xml:space="preserve"> </w:t>
      </w:r>
      <w:r w:rsidR="00A66876">
        <w:rPr>
          <w:lang w:eastAsia="cs-CZ"/>
        </w:rPr>
        <w:t>pozici pronajímatele</w:t>
      </w:r>
      <w:r w:rsidR="00432A4D">
        <w:rPr>
          <w:lang w:eastAsia="cs-CZ"/>
        </w:rPr>
        <w:t>,</w:t>
      </w:r>
      <w:r>
        <w:rPr>
          <w:lang w:eastAsia="cs-CZ"/>
        </w:rPr>
        <w:t xml:space="preserve"> a u vzorku šesti kupních smluv o prodej</w:t>
      </w:r>
      <w:r w:rsidR="00790B70">
        <w:rPr>
          <w:lang w:eastAsia="cs-CZ"/>
        </w:rPr>
        <w:t>i</w:t>
      </w:r>
      <w:r>
        <w:rPr>
          <w:lang w:eastAsia="cs-CZ"/>
        </w:rPr>
        <w:t xml:space="preserve"> nemovitého majetku </w:t>
      </w:r>
      <w:r w:rsidR="000144BA">
        <w:rPr>
          <w:lang w:eastAsia="cs-CZ"/>
        </w:rPr>
        <w:t>kontrola</w:t>
      </w:r>
      <w:r>
        <w:rPr>
          <w:lang w:eastAsia="cs-CZ"/>
        </w:rPr>
        <w:t xml:space="preserve"> ověřil</w:t>
      </w:r>
      <w:r w:rsidR="000144BA">
        <w:rPr>
          <w:lang w:eastAsia="cs-CZ"/>
        </w:rPr>
        <w:t>a</w:t>
      </w:r>
      <w:r>
        <w:rPr>
          <w:lang w:eastAsia="cs-CZ"/>
        </w:rPr>
        <w:t>, že</w:t>
      </w:r>
      <w:r w:rsidR="00087C57">
        <w:rPr>
          <w:lang w:eastAsia="cs-CZ"/>
        </w:rPr>
        <w:t xml:space="preserve"> </w:t>
      </w:r>
      <w:r w:rsidRPr="000E04E8">
        <w:rPr>
          <w:b/>
          <w:lang w:eastAsia="cs-CZ"/>
        </w:rPr>
        <w:t>SSHR postupovala transparentně, hospodárně a</w:t>
      </w:r>
      <w:r w:rsidR="00087C57">
        <w:rPr>
          <w:b/>
          <w:lang w:eastAsia="cs-CZ"/>
        </w:rPr>
        <w:t xml:space="preserve"> </w:t>
      </w:r>
      <w:r w:rsidRPr="000E04E8">
        <w:rPr>
          <w:b/>
          <w:lang w:eastAsia="cs-CZ"/>
        </w:rPr>
        <w:t>v</w:t>
      </w:r>
      <w:r w:rsidR="000144BA">
        <w:rPr>
          <w:b/>
          <w:lang w:eastAsia="cs-CZ"/>
        </w:rPr>
        <w:t xml:space="preserve"> </w:t>
      </w:r>
      <w:r w:rsidRPr="000E04E8">
        <w:rPr>
          <w:b/>
          <w:lang w:eastAsia="cs-CZ"/>
        </w:rPr>
        <w:t xml:space="preserve">souladu </w:t>
      </w:r>
      <w:r w:rsidR="0014708B">
        <w:rPr>
          <w:b/>
          <w:lang w:eastAsia="cs-CZ"/>
        </w:rPr>
        <w:t>s</w:t>
      </w:r>
      <w:r w:rsidR="000144BA">
        <w:rPr>
          <w:b/>
          <w:lang w:eastAsia="cs-CZ"/>
        </w:rPr>
        <w:t xml:space="preserve"> </w:t>
      </w:r>
      <w:r w:rsidR="0014708B">
        <w:rPr>
          <w:b/>
          <w:lang w:eastAsia="cs-CZ"/>
        </w:rPr>
        <w:t>právními předpisy</w:t>
      </w:r>
      <w:r w:rsidRPr="00920C4C">
        <w:rPr>
          <w:b/>
          <w:lang w:eastAsia="cs-CZ"/>
        </w:rPr>
        <w:t>.</w:t>
      </w:r>
      <w:r>
        <w:rPr>
          <w:lang w:eastAsia="cs-CZ"/>
        </w:rPr>
        <w:t xml:space="preserve"> </w:t>
      </w:r>
      <w:r w:rsidRPr="00047AC0">
        <w:rPr>
          <w:b/>
          <w:lang w:eastAsia="cs-CZ"/>
        </w:rPr>
        <w:t xml:space="preserve">Pouze v případě fakturace nájemného zjistil </w:t>
      </w:r>
      <w:r w:rsidR="000144BA" w:rsidRPr="00047AC0">
        <w:rPr>
          <w:b/>
          <w:lang w:eastAsia="cs-CZ"/>
        </w:rPr>
        <w:t xml:space="preserve">NKÚ </w:t>
      </w:r>
      <w:r w:rsidRPr="00047AC0">
        <w:rPr>
          <w:b/>
          <w:lang w:eastAsia="cs-CZ"/>
        </w:rPr>
        <w:t>pochybení</w:t>
      </w:r>
      <w:r>
        <w:rPr>
          <w:lang w:eastAsia="cs-CZ"/>
        </w:rPr>
        <w:t xml:space="preserve"> </w:t>
      </w:r>
      <w:r w:rsidR="00A14513">
        <w:rPr>
          <w:lang w:eastAsia="cs-CZ"/>
        </w:rPr>
        <w:t>ze</w:t>
      </w:r>
      <w:r w:rsidR="000144BA">
        <w:rPr>
          <w:lang w:eastAsia="cs-CZ"/>
        </w:rPr>
        <w:t xml:space="preserve"> </w:t>
      </w:r>
      <w:r w:rsidR="00A14513">
        <w:rPr>
          <w:lang w:eastAsia="cs-CZ"/>
        </w:rPr>
        <w:t xml:space="preserve">strany SSHR </w:t>
      </w:r>
      <w:r>
        <w:rPr>
          <w:lang w:eastAsia="cs-CZ"/>
        </w:rPr>
        <w:t>v</w:t>
      </w:r>
      <w:r w:rsidR="00646AFD">
        <w:rPr>
          <w:lang w:eastAsia="cs-CZ"/>
        </w:rPr>
        <w:t xml:space="preserve"> </w:t>
      </w:r>
      <w:r>
        <w:rPr>
          <w:lang w:eastAsia="cs-CZ"/>
        </w:rPr>
        <w:t xml:space="preserve">letech 2016 </w:t>
      </w:r>
      <w:r w:rsidR="00646AFD">
        <w:rPr>
          <w:lang w:eastAsia="cs-CZ"/>
        </w:rPr>
        <w:br/>
      </w:r>
      <w:r>
        <w:rPr>
          <w:lang w:eastAsia="cs-CZ"/>
        </w:rPr>
        <w:t>a</w:t>
      </w:r>
      <w:r w:rsidR="00646AFD">
        <w:rPr>
          <w:lang w:eastAsia="cs-CZ"/>
        </w:rPr>
        <w:t xml:space="preserve"> </w:t>
      </w:r>
      <w:r>
        <w:rPr>
          <w:lang w:eastAsia="cs-CZ"/>
        </w:rPr>
        <w:t xml:space="preserve">2017, kdy SSHR </w:t>
      </w:r>
      <w:r w:rsidR="000144BA">
        <w:rPr>
          <w:lang w:eastAsia="cs-CZ"/>
        </w:rPr>
        <w:t>vyhotovila</w:t>
      </w:r>
      <w:r>
        <w:rPr>
          <w:lang w:eastAsia="cs-CZ"/>
        </w:rPr>
        <w:t xml:space="preserve"> v</w:t>
      </w:r>
      <w:r w:rsidR="000144BA">
        <w:rPr>
          <w:lang w:eastAsia="cs-CZ"/>
        </w:rPr>
        <w:t xml:space="preserve"> </w:t>
      </w:r>
      <w:r>
        <w:rPr>
          <w:lang w:eastAsia="cs-CZ"/>
        </w:rPr>
        <w:t>devíti případech faktury za nájemné později</w:t>
      </w:r>
      <w:r w:rsidR="00047AC0">
        <w:rPr>
          <w:lang w:eastAsia="cs-CZ"/>
        </w:rPr>
        <w:t xml:space="preserve">, </w:t>
      </w:r>
      <w:r>
        <w:rPr>
          <w:lang w:eastAsia="cs-CZ"/>
        </w:rPr>
        <w:t>než stanovily uzavřené smlouvy</w:t>
      </w:r>
      <w:r w:rsidR="000144BA">
        <w:rPr>
          <w:lang w:eastAsia="cs-CZ"/>
        </w:rPr>
        <w:t>,</w:t>
      </w:r>
      <w:r>
        <w:rPr>
          <w:lang w:eastAsia="cs-CZ"/>
        </w:rPr>
        <w:t xml:space="preserve"> </w:t>
      </w:r>
      <w:r w:rsidR="00790B70">
        <w:rPr>
          <w:lang w:eastAsia="cs-CZ"/>
        </w:rPr>
        <w:t xml:space="preserve">a </w:t>
      </w:r>
      <w:r>
        <w:rPr>
          <w:lang w:eastAsia="cs-CZ"/>
        </w:rPr>
        <w:t>v důsledku toho zaplatili nájemci nájemné opožděně.</w:t>
      </w:r>
    </w:p>
    <w:p w14:paraId="0BED80A4" w14:textId="77777777" w:rsidR="00047AC0" w:rsidRDefault="00047AC0" w:rsidP="00D64131">
      <w:pPr>
        <w:rPr>
          <w:lang w:eastAsia="cs-CZ"/>
        </w:rPr>
      </w:pPr>
    </w:p>
    <w:p w14:paraId="316CD19F" w14:textId="4BCA84A8" w:rsidR="00047AC0" w:rsidRDefault="00047AC0" w:rsidP="00047AC0">
      <w:pPr>
        <w:rPr>
          <w:b/>
        </w:rPr>
      </w:pPr>
      <w:r w:rsidRPr="00A3243B">
        <w:rPr>
          <w:rFonts w:asciiTheme="minorHAnsi" w:hAnsiTheme="minorHAnsi"/>
        </w:rPr>
        <w:t>SSHR byla v</w:t>
      </w:r>
      <w:r w:rsidR="008C2ED6">
        <w:rPr>
          <w:rFonts w:asciiTheme="minorHAnsi" w:hAnsiTheme="minorHAnsi"/>
        </w:rPr>
        <w:t xml:space="preserve"> </w:t>
      </w:r>
      <w:r w:rsidRPr="00A3243B">
        <w:rPr>
          <w:rFonts w:asciiTheme="minorHAnsi" w:hAnsiTheme="minorHAnsi"/>
        </w:rPr>
        <w:t xml:space="preserve">kontrolovaném období správcem programu </w:t>
      </w:r>
      <w:r w:rsidRPr="000E04E8">
        <w:rPr>
          <w:rFonts w:asciiTheme="minorHAnsi" w:hAnsiTheme="minorHAnsi"/>
        </w:rPr>
        <w:t xml:space="preserve">ev. č. 174V11 </w:t>
      </w:r>
      <w:r w:rsidRPr="00920C4C">
        <w:rPr>
          <w:rFonts w:asciiTheme="minorHAnsi" w:hAnsiTheme="minorHAnsi"/>
          <w:i/>
        </w:rPr>
        <w:t>Rozvoj a obnova materiálně technické základny systému řízení SSHR</w:t>
      </w:r>
      <w:r w:rsidRPr="000E04E8">
        <w:rPr>
          <w:rFonts w:asciiTheme="minorHAnsi" w:hAnsiTheme="minorHAnsi"/>
        </w:rPr>
        <w:t xml:space="preserve">. Dokumentaci programu </w:t>
      </w:r>
      <w:r w:rsidRPr="000E04E8">
        <w:t xml:space="preserve">schválilo Ministerstvo financí </w:t>
      </w:r>
      <w:r w:rsidR="00E43DEB">
        <w:t>v červenci</w:t>
      </w:r>
      <w:r w:rsidRPr="000E04E8">
        <w:t xml:space="preserve"> 2015</w:t>
      </w:r>
      <w:r w:rsidR="00E43DEB">
        <w:t xml:space="preserve">. </w:t>
      </w:r>
      <w:r w:rsidRPr="000E04E8">
        <w:rPr>
          <w:b/>
        </w:rPr>
        <w:t>NKÚ ověřil, že obsahovala všechny povinné náležitosti</w:t>
      </w:r>
      <w:r>
        <w:t xml:space="preserve"> </w:t>
      </w:r>
      <w:r w:rsidR="00E43DEB">
        <w:t>dané</w:t>
      </w:r>
      <w:r>
        <w:t xml:space="preserve"> zákonem </w:t>
      </w:r>
      <w:r w:rsidRPr="00047AC0">
        <w:t>o rozpočtových pravidlech</w:t>
      </w:r>
      <w:r w:rsidR="00121BDD">
        <w:rPr>
          <w:rStyle w:val="Znakapoznpodarou"/>
        </w:rPr>
        <w:footnoteReference w:id="19"/>
      </w:r>
      <w:r>
        <w:t xml:space="preserve">. NKÚ ke kontrole výdajů čerpaných v rámci programu vybral </w:t>
      </w:r>
      <w:r w:rsidR="00D87223">
        <w:t>nákup</w:t>
      </w:r>
      <w:r>
        <w:t xml:space="preserve"> zařízení pro videokonference, </w:t>
      </w:r>
      <w:r w:rsidR="00D87223">
        <w:t>realizac</w:t>
      </w:r>
      <w:r w:rsidR="005B0148">
        <w:t>i</w:t>
      </w:r>
      <w:r>
        <w:t xml:space="preserve"> technického zhodnocení sila Blovice a s tím související financování </w:t>
      </w:r>
      <w:r w:rsidR="0014708B">
        <w:t>výkonu funkce správce stavby</w:t>
      </w:r>
      <w:r>
        <w:t xml:space="preserve">. NKÚ u těchto výdajů ověřil, že </w:t>
      </w:r>
      <w:r w:rsidRPr="00CB3EAF">
        <w:t>je SSHR vynaložila v souladu s cíli programu a pořízený majetek využívala k plnění svých úkolů.</w:t>
      </w:r>
      <w:r w:rsidR="00CB3EAF">
        <w:rPr>
          <w:b/>
        </w:rPr>
        <w:t xml:space="preserve"> NKÚ ověřil, že </w:t>
      </w:r>
      <w:r w:rsidR="00DA0D58">
        <w:rPr>
          <w:b/>
        </w:rPr>
        <w:t xml:space="preserve">u </w:t>
      </w:r>
      <w:r w:rsidR="00CB3EAF">
        <w:rPr>
          <w:b/>
        </w:rPr>
        <w:t>u</w:t>
      </w:r>
      <w:r w:rsidR="00E43DEB">
        <w:rPr>
          <w:b/>
        </w:rPr>
        <w:t>vedeného</w:t>
      </w:r>
      <w:r w:rsidR="00CB3EAF">
        <w:rPr>
          <w:b/>
        </w:rPr>
        <w:t xml:space="preserve"> vzorku byl postup SSHR</w:t>
      </w:r>
      <w:r w:rsidR="00E43DEB">
        <w:rPr>
          <w:b/>
        </w:rPr>
        <w:t xml:space="preserve"> při pořizování majetku</w:t>
      </w:r>
      <w:r w:rsidR="00CB3EAF">
        <w:rPr>
          <w:b/>
        </w:rPr>
        <w:t xml:space="preserve"> účelný a</w:t>
      </w:r>
      <w:r w:rsidR="006E529B">
        <w:rPr>
          <w:b/>
        </w:rPr>
        <w:t> </w:t>
      </w:r>
      <w:r w:rsidR="00CB3EAF">
        <w:rPr>
          <w:b/>
        </w:rPr>
        <w:t>hospodárný.</w:t>
      </w:r>
    </w:p>
    <w:p w14:paraId="36B28386" w14:textId="77777777" w:rsidR="00785DFE" w:rsidRDefault="00785DFE" w:rsidP="00047AC0">
      <w:pPr>
        <w:rPr>
          <w:b/>
        </w:rPr>
      </w:pPr>
    </w:p>
    <w:p w14:paraId="796C7F72" w14:textId="7A4AAD36" w:rsidR="00460875" w:rsidRDefault="00047AC0" w:rsidP="003639C6">
      <w:pPr>
        <w:rPr>
          <w:rFonts w:asciiTheme="minorHAnsi" w:eastAsia="Calibri" w:hAnsiTheme="minorHAnsi" w:cstheme="minorHAnsi"/>
          <w:color w:val="auto"/>
        </w:rPr>
      </w:pPr>
      <w:r w:rsidRPr="00047AC0">
        <w:rPr>
          <w:lang w:eastAsia="cs-CZ"/>
        </w:rPr>
        <w:t xml:space="preserve">NKÚ ověřil, že za rok 2020 SSHR </w:t>
      </w:r>
      <w:r w:rsidRPr="000E04E8">
        <w:rPr>
          <w:b/>
          <w:lang w:eastAsia="cs-CZ"/>
        </w:rPr>
        <w:t>provedla řádnou inventarizaci</w:t>
      </w:r>
      <w:r w:rsidRPr="00047AC0">
        <w:rPr>
          <w:lang w:eastAsia="cs-CZ"/>
        </w:rPr>
        <w:t xml:space="preserve"> majetku a závazků. NKÚ nezjistil u vzorku </w:t>
      </w:r>
      <w:r w:rsidRPr="000E04E8">
        <w:rPr>
          <w:b/>
          <w:lang w:eastAsia="cs-CZ"/>
        </w:rPr>
        <w:t>žádné chyby v evidenci majetku</w:t>
      </w:r>
      <w:r w:rsidRPr="00047AC0">
        <w:rPr>
          <w:lang w:eastAsia="cs-CZ"/>
        </w:rPr>
        <w:t xml:space="preserve"> u vyřazování majetku ani u</w:t>
      </w:r>
      <w:r w:rsidR="00087C57">
        <w:rPr>
          <w:lang w:eastAsia="cs-CZ"/>
        </w:rPr>
        <w:t xml:space="preserve"> </w:t>
      </w:r>
      <w:r w:rsidRPr="00047AC0">
        <w:rPr>
          <w:lang w:eastAsia="cs-CZ"/>
        </w:rPr>
        <w:t>zařazování majetku</w:t>
      </w:r>
      <w:r w:rsidR="00A14513">
        <w:rPr>
          <w:lang w:eastAsia="cs-CZ"/>
        </w:rPr>
        <w:t xml:space="preserve"> do evidence.</w:t>
      </w:r>
      <w:r w:rsidR="00AB1976">
        <w:rPr>
          <w:lang w:eastAsia="cs-CZ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>Dále</w:t>
      </w:r>
      <w:r w:rsidR="00AB1976">
        <w:rPr>
          <w:rFonts w:asciiTheme="minorHAnsi" w:eastAsia="Calibri" w:hAnsiTheme="minorHAnsi" w:cstheme="minorHAnsi"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NKÚ ověřil, že SSHR </w:t>
      </w:r>
      <w:r w:rsidR="00785DFE" w:rsidRPr="00B54A85">
        <w:rPr>
          <w:rFonts w:asciiTheme="minorHAnsi" w:eastAsia="Calibri" w:hAnsiTheme="minorHAnsi" w:cstheme="minorHAnsi"/>
          <w:b/>
          <w:color w:val="auto"/>
        </w:rPr>
        <w:t>v</w:t>
      </w:r>
      <w:r w:rsidR="000144BA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b/>
          <w:color w:val="auto"/>
        </w:rPr>
        <w:t>souladu s</w:t>
      </w:r>
      <w:r w:rsidR="000144BA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b/>
          <w:color w:val="auto"/>
        </w:rPr>
        <w:t>rozpočtovými pravidly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 vedla k financování obměn a záměn státních hmotných rezerv </w:t>
      </w:r>
      <w:r w:rsidR="000144BA" w:rsidRPr="00B54A85">
        <w:rPr>
          <w:rFonts w:asciiTheme="minorHAnsi" w:eastAsia="Calibri" w:hAnsiTheme="minorHAnsi" w:cstheme="minorHAnsi"/>
          <w:color w:val="auto"/>
        </w:rPr>
        <w:t xml:space="preserve">zvláštní účty </w:t>
      </w:r>
      <w:r w:rsidR="00785DFE" w:rsidRPr="00B54A85">
        <w:rPr>
          <w:rFonts w:asciiTheme="minorHAnsi" w:eastAsia="Calibri" w:hAnsiTheme="minorHAnsi" w:cstheme="minorHAnsi"/>
          <w:color w:val="auto"/>
        </w:rPr>
        <w:t>u</w:t>
      </w:r>
      <w:r w:rsidR="002D114B">
        <w:rPr>
          <w:rFonts w:asciiTheme="minorHAnsi" w:eastAsia="Calibri" w:hAnsiTheme="minorHAnsi" w:cstheme="minorHAnsi"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>České národní banky</w:t>
      </w:r>
      <w:r w:rsidR="00E43DEB">
        <w:rPr>
          <w:rFonts w:asciiTheme="minorHAnsi" w:eastAsia="Calibri" w:hAnsiTheme="minorHAnsi" w:cstheme="minorHAnsi"/>
          <w:color w:val="auto"/>
        </w:rPr>
        <w:t xml:space="preserve"> </w:t>
      </w:r>
      <w:r w:rsidR="00927A04">
        <w:rPr>
          <w:rFonts w:asciiTheme="minorHAnsi" w:eastAsia="Calibri" w:hAnsiTheme="minorHAnsi" w:cstheme="minorHAnsi"/>
          <w:color w:val="auto"/>
        </w:rPr>
        <w:t xml:space="preserve">a </w:t>
      </w:r>
      <w:r w:rsidR="00E43DEB">
        <w:rPr>
          <w:rFonts w:asciiTheme="minorHAnsi" w:eastAsia="Calibri" w:hAnsiTheme="minorHAnsi" w:cstheme="minorHAnsi"/>
          <w:color w:val="auto"/>
        </w:rPr>
        <w:t>že převedla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 v</w:t>
      </w:r>
      <w:r w:rsidR="002D114B">
        <w:rPr>
          <w:rFonts w:asciiTheme="minorHAnsi" w:eastAsia="Calibri" w:hAnsiTheme="minorHAnsi" w:cstheme="minorHAnsi"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>roce 2020 z</w:t>
      </w:r>
      <w:r w:rsidR="002D114B">
        <w:rPr>
          <w:rFonts w:asciiTheme="minorHAnsi" w:eastAsia="Calibri" w:hAnsiTheme="minorHAnsi" w:cstheme="minorHAnsi"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>devizového</w:t>
      </w:r>
      <w:r w:rsidR="00651757" w:rsidRPr="00B54A85">
        <w:rPr>
          <w:rFonts w:asciiTheme="minorHAnsi" w:eastAsia="Calibri" w:hAnsiTheme="minorHAnsi" w:cstheme="minorHAnsi"/>
          <w:color w:val="auto"/>
        </w:rPr>
        <w:t xml:space="preserve"> zvláštního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 účtu</w:t>
      </w:r>
      <w:r w:rsidR="00E43DEB">
        <w:rPr>
          <w:rFonts w:asciiTheme="minorHAnsi" w:eastAsia="Calibri" w:hAnsiTheme="minorHAnsi" w:cstheme="minorHAnsi"/>
          <w:color w:val="auto"/>
        </w:rPr>
        <w:t xml:space="preserve"> 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na </w:t>
      </w:r>
      <w:r w:rsidR="000144BA">
        <w:rPr>
          <w:rFonts w:asciiTheme="minorHAnsi" w:eastAsia="Calibri" w:hAnsiTheme="minorHAnsi" w:cstheme="minorHAnsi"/>
          <w:color w:val="auto"/>
        </w:rPr>
        <w:t xml:space="preserve">svůj </w:t>
      </w:r>
      <w:r w:rsidR="00785DFE" w:rsidRPr="00B54A85">
        <w:rPr>
          <w:rFonts w:asciiTheme="minorHAnsi" w:eastAsia="Calibri" w:hAnsiTheme="minorHAnsi" w:cstheme="minorHAnsi"/>
          <w:color w:val="auto"/>
        </w:rPr>
        <w:t>rozpočtový příjmový účet přijaté úroky k 31.</w:t>
      </w:r>
      <w:r w:rsidR="006E529B" w:rsidRPr="00B54A85">
        <w:rPr>
          <w:rFonts w:asciiTheme="minorHAnsi" w:eastAsia="Calibri" w:hAnsiTheme="minorHAnsi" w:cstheme="minorHAnsi"/>
          <w:color w:val="auto"/>
        </w:rPr>
        <w:t> </w:t>
      </w:r>
      <w:r w:rsidR="00785DFE" w:rsidRPr="00B54A85">
        <w:rPr>
          <w:rFonts w:asciiTheme="minorHAnsi" w:eastAsia="Calibri" w:hAnsiTheme="minorHAnsi" w:cstheme="minorHAnsi"/>
          <w:color w:val="auto"/>
        </w:rPr>
        <w:t xml:space="preserve">prosinci 2019 </w:t>
      </w:r>
      <w:r w:rsidR="006E3928" w:rsidRPr="00B54A85">
        <w:rPr>
          <w:rFonts w:asciiTheme="minorHAnsi" w:eastAsia="Calibri" w:hAnsiTheme="minorHAnsi" w:cstheme="minorHAnsi"/>
          <w:color w:val="auto"/>
        </w:rPr>
        <w:t xml:space="preserve">a </w:t>
      </w:r>
      <w:r w:rsidR="00785DFE" w:rsidRPr="00B54A85">
        <w:rPr>
          <w:rFonts w:asciiTheme="minorHAnsi" w:eastAsia="Calibri" w:hAnsiTheme="minorHAnsi" w:cstheme="minorHAnsi"/>
          <w:color w:val="auto"/>
        </w:rPr>
        <w:t>k 31. březnu 2020.</w:t>
      </w:r>
    </w:p>
    <w:p w14:paraId="1D90123C" w14:textId="77777777" w:rsidR="002D114B" w:rsidRPr="00920C4C" w:rsidRDefault="002D114B" w:rsidP="003639C6">
      <w:pPr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920C4C">
        <w:rPr>
          <w:rFonts w:asciiTheme="minorHAnsi" w:eastAsia="Calibri" w:hAnsiTheme="minorHAnsi" w:cstheme="minorHAnsi"/>
          <w:b/>
          <w:color w:val="auto"/>
          <w:sz w:val="28"/>
          <w:szCs w:val="28"/>
        </w:rPr>
        <w:lastRenderedPageBreak/>
        <w:t>Seznam zkratek</w:t>
      </w:r>
    </w:p>
    <w:p w14:paraId="3B183EA5" w14:textId="77777777" w:rsidR="00A21B0A" w:rsidRPr="00D64131" w:rsidRDefault="00A21B0A" w:rsidP="00A21B0A">
      <w:pPr>
        <w:spacing w:after="80"/>
        <w:ind w:left="2268" w:hanging="2268"/>
        <w:rPr>
          <w:lang w:eastAsia="cs-CZ"/>
        </w:rPr>
      </w:pPr>
    </w:p>
    <w:p w14:paraId="2C281849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ČR</w:t>
      </w:r>
      <w:r>
        <w:rPr>
          <w:lang w:eastAsia="cs-CZ"/>
        </w:rPr>
        <w:tab/>
        <w:t>Česká republika</w:t>
      </w:r>
    </w:p>
    <w:p w14:paraId="193861EB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DPH</w:t>
      </w:r>
      <w:r>
        <w:rPr>
          <w:lang w:eastAsia="cs-CZ"/>
        </w:rPr>
        <w:tab/>
        <w:t>daň z přidané hodnoty</w:t>
      </w:r>
    </w:p>
    <w:p w14:paraId="23112D18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EU</w:t>
      </w:r>
      <w:r>
        <w:rPr>
          <w:lang w:eastAsia="cs-CZ"/>
        </w:rPr>
        <w:tab/>
        <w:t>Evropská unie</w:t>
      </w:r>
    </w:p>
    <w:p w14:paraId="64FBB873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ev. č.</w:t>
      </w:r>
      <w:r>
        <w:rPr>
          <w:lang w:eastAsia="cs-CZ"/>
        </w:rPr>
        <w:tab/>
        <w:t>evidenční číslo</w:t>
      </w:r>
    </w:p>
    <w:p w14:paraId="27DFFF9A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NKÚ</w:t>
      </w:r>
      <w:r>
        <w:rPr>
          <w:lang w:eastAsia="cs-CZ"/>
        </w:rPr>
        <w:tab/>
        <w:t>Nejvyšší kontrolní úřad</w:t>
      </w:r>
    </w:p>
    <w:p w14:paraId="575D7908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nouzové zásoby</w:t>
      </w:r>
      <w:r>
        <w:rPr>
          <w:lang w:eastAsia="cs-CZ"/>
        </w:rPr>
        <w:tab/>
        <w:t>nouzové zásoby ropy a ropných produktů</w:t>
      </w:r>
    </w:p>
    <w:p w14:paraId="37F909B0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REB</w:t>
      </w:r>
      <w:r>
        <w:rPr>
          <w:lang w:eastAsia="cs-CZ"/>
        </w:rPr>
        <w:tab/>
      </w:r>
      <w:proofErr w:type="spellStart"/>
      <w:r w:rsidRPr="007A0401">
        <w:rPr>
          <w:rFonts w:asciiTheme="minorHAnsi" w:hAnsiTheme="minorHAnsi" w:cstheme="minorHAnsi"/>
          <w:lang w:eastAsia="cs-CZ"/>
        </w:rPr>
        <w:t>Russian</w:t>
      </w:r>
      <w:proofErr w:type="spellEnd"/>
      <w:r w:rsidRPr="007A0401">
        <w:rPr>
          <w:rFonts w:asciiTheme="minorHAnsi" w:hAnsiTheme="minorHAnsi" w:cstheme="minorHAnsi"/>
          <w:lang w:eastAsia="cs-CZ"/>
        </w:rPr>
        <w:t xml:space="preserve"> Export </w:t>
      </w:r>
      <w:proofErr w:type="spellStart"/>
      <w:r w:rsidRPr="007A0401">
        <w:rPr>
          <w:rFonts w:asciiTheme="minorHAnsi" w:hAnsiTheme="minorHAnsi" w:cstheme="minorHAnsi"/>
          <w:lang w:eastAsia="cs-CZ"/>
        </w:rPr>
        <w:t>Ble</w:t>
      </w:r>
      <w:r>
        <w:rPr>
          <w:rFonts w:asciiTheme="minorHAnsi" w:hAnsiTheme="minorHAnsi" w:cstheme="minorHAnsi"/>
          <w:lang w:eastAsia="cs-CZ"/>
        </w:rPr>
        <w:t>nd</w:t>
      </w:r>
      <w:proofErr w:type="spellEnd"/>
      <w:r>
        <w:rPr>
          <w:rFonts w:asciiTheme="minorHAnsi" w:hAnsiTheme="minorHAnsi" w:cstheme="minorHAnsi"/>
          <w:lang w:eastAsia="cs-CZ"/>
        </w:rPr>
        <w:t xml:space="preserve"> – směs středně sirných rop z Ruské federace</w:t>
      </w:r>
    </w:p>
    <w:p w14:paraId="67F58059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SRN</w:t>
      </w:r>
      <w:r>
        <w:rPr>
          <w:lang w:eastAsia="cs-CZ"/>
        </w:rPr>
        <w:tab/>
        <w:t>Spolková republika Německo</w:t>
      </w:r>
    </w:p>
    <w:p w14:paraId="5049C740" w14:textId="77777777" w:rsidR="00A21B0A" w:rsidRDefault="00A21B0A" w:rsidP="00A21B0A">
      <w:pPr>
        <w:spacing w:after="80"/>
        <w:ind w:left="2268" w:hanging="2268"/>
        <w:rPr>
          <w:lang w:eastAsia="cs-CZ"/>
        </w:rPr>
      </w:pPr>
      <w:r>
        <w:rPr>
          <w:lang w:eastAsia="cs-CZ"/>
        </w:rPr>
        <w:t>SSHR</w:t>
      </w:r>
      <w:r>
        <w:rPr>
          <w:lang w:eastAsia="cs-CZ"/>
        </w:rPr>
        <w:tab/>
        <w:t>Správa státních hmotných rezerv</w:t>
      </w:r>
      <w:bookmarkStart w:id="6" w:name="_GoBack"/>
      <w:bookmarkEnd w:id="6"/>
    </w:p>
    <w:sectPr w:rsidR="00A21B0A" w:rsidSect="006C1E17">
      <w:footerReference w:type="default" r:id="rId10"/>
      <w:headerReference w:type="first" r:id="rId11"/>
      <w:pgSz w:w="11906" w:h="16838"/>
      <w:pgMar w:top="1418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2FD5" w14:textId="77777777" w:rsidR="00A8576E" w:rsidRDefault="00A8576E" w:rsidP="00D0493E">
      <w:r>
        <w:separator/>
      </w:r>
    </w:p>
  </w:endnote>
  <w:endnote w:type="continuationSeparator" w:id="0">
    <w:p w14:paraId="49A04646" w14:textId="77777777" w:rsidR="00A8576E" w:rsidRDefault="00A8576E" w:rsidP="00D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372727"/>
      <w:docPartObj>
        <w:docPartGallery w:val="Page Numbers (Bottom of Page)"/>
        <w:docPartUnique/>
      </w:docPartObj>
    </w:sdtPr>
    <w:sdtEndPr/>
    <w:sdtContent>
      <w:p w14:paraId="445FEC7E" w14:textId="225604BB" w:rsidR="00A8576E" w:rsidRDefault="00A857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3ADD" w14:textId="77777777" w:rsidR="00A8576E" w:rsidRDefault="00A8576E" w:rsidP="00D0493E">
      <w:r>
        <w:separator/>
      </w:r>
    </w:p>
  </w:footnote>
  <w:footnote w:type="continuationSeparator" w:id="0">
    <w:p w14:paraId="5EAD287A" w14:textId="77777777" w:rsidR="00A8576E" w:rsidRDefault="00A8576E" w:rsidP="00D0493E">
      <w:r>
        <w:continuationSeparator/>
      </w:r>
    </w:p>
  </w:footnote>
  <w:footnote w:id="1">
    <w:p w14:paraId="63DA8596" w14:textId="308C31CF" w:rsidR="00A8576E" w:rsidRDefault="00A8576E" w:rsidP="008574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72AF7">
        <w:rPr>
          <w:rFonts w:asciiTheme="minorHAnsi" w:hAnsiTheme="minorHAnsi" w:cstheme="minorHAnsi"/>
        </w:rPr>
        <w:t xml:space="preserve">Směrnice Rady 2009/119/ES ze dne 14. září 2009, kterou se členským státům ukládá povinnost udržovat minimální zásoby ropy </w:t>
      </w:r>
      <w:r>
        <w:rPr>
          <w:rFonts w:asciiTheme="minorHAnsi" w:hAnsiTheme="minorHAnsi" w:cstheme="minorHAnsi"/>
        </w:rPr>
        <w:t>nebo</w:t>
      </w:r>
      <w:r w:rsidRPr="00F72AF7">
        <w:rPr>
          <w:rFonts w:asciiTheme="minorHAnsi" w:hAnsiTheme="minorHAnsi" w:cstheme="minorHAnsi"/>
        </w:rPr>
        <w:t xml:space="preserve"> ropných produktů.</w:t>
      </w:r>
    </w:p>
  </w:footnote>
  <w:footnote w:id="2">
    <w:p w14:paraId="5143B537" w14:textId="77777777" w:rsidR="00A8576E" w:rsidRDefault="00A8576E" w:rsidP="008574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97/1993 Sb., o působnosti Správy státních hmotných rezerv.</w:t>
      </w:r>
    </w:p>
  </w:footnote>
  <w:footnote w:id="3">
    <w:p w14:paraId="2D8BE423" w14:textId="77777777" w:rsidR="00A8576E" w:rsidRDefault="00A8576E" w:rsidP="008574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F3869">
        <w:rPr>
          <w:rFonts w:asciiTheme="minorHAnsi" w:hAnsiTheme="minorHAnsi" w:cstheme="minorHAnsi"/>
          <w:color w:val="000000"/>
          <w:shd w:val="clear" w:color="auto" w:fill="FFFFFF"/>
        </w:rPr>
        <w:t>Schválený usnesením vlády ČR ze dne 3. prosince 2001 č. 1293, o Statutu Správy státních hmotných rezerv.</w:t>
      </w:r>
    </w:p>
  </w:footnote>
  <w:footnote w:id="4">
    <w:p w14:paraId="6ABBCE6E" w14:textId="77777777" w:rsidR="00A8576E" w:rsidRDefault="00A8576E" w:rsidP="008574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A0401">
        <w:rPr>
          <w:rFonts w:asciiTheme="minorHAnsi" w:hAnsiTheme="minorHAnsi" w:cstheme="minorHAnsi"/>
        </w:rPr>
        <w:t xml:space="preserve">REB </w:t>
      </w:r>
      <w:r w:rsidRPr="007A0401">
        <w:rPr>
          <w:rFonts w:asciiTheme="minorHAnsi" w:hAnsiTheme="minorHAnsi" w:cstheme="minorHAnsi"/>
          <w:lang w:eastAsia="cs-CZ"/>
        </w:rPr>
        <w:t>(</w:t>
      </w:r>
      <w:proofErr w:type="spellStart"/>
      <w:r w:rsidRPr="007A0401">
        <w:rPr>
          <w:rFonts w:asciiTheme="minorHAnsi" w:hAnsiTheme="minorHAnsi" w:cstheme="minorHAnsi"/>
          <w:lang w:eastAsia="cs-CZ"/>
        </w:rPr>
        <w:t>Russian</w:t>
      </w:r>
      <w:proofErr w:type="spellEnd"/>
      <w:r w:rsidRPr="007A0401">
        <w:rPr>
          <w:rFonts w:asciiTheme="minorHAnsi" w:hAnsiTheme="minorHAnsi" w:cstheme="minorHAnsi"/>
          <w:lang w:eastAsia="cs-CZ"/>
        </w:rPr>
        <w:t xml:space="preserve"> Export </w:t>
      </w:r>
      <w:proofErr w:type="spellStart"/>
      <w:r w:rsidRPr="007A0401">
        <w:rPr>
          <w:rFonts w:asciiTheme="minorHAnsi" w:hAnsiTheme="minorHAnsi" w:cstheme="minorHAnsi"/>
          <w:lang w:eastAsia="cs-CZ"/>
        </w:rPr>
        <w:t>Ble</w:t>
      </w:r>
      <w:r>
        <w:rPr>
          <w:rFonts w:asciiTheme="minorHAnsi" w:hAnsiTheme="minorHAnsi" w:cstheme="minorHAnsi"/>
          <w:lang w:eastAsia="cs-CZ"/>
        </w:rPr>
        <w:t>nd</w:t>
      </w:r>
      <w:proofErr w:type="spellEnd"/>
      <w:r>
        <w:rPr>
          <w:rFonts w:asciiTheme="minorHAnsi" w:hAnsiTheme="minorHAnsi" w:cstheme="minorHAnsi"/>
          <w:lang w:eastAsia="cs-CZ"/>
        </w:rPr>
        <w:t>) je směs středně sirných rop z Ruské federace dopravovaná do ČR ropovodem Družba.</w:t>
      </w:r>
    </w:p>
  </w:footnote>
  <w:footnote w:id="5">
    <w:p w14:paraId="41EB493F" w14:textId="77777777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63446">
        <w:t>Obměna položky státních hmotných rezerv je nahrazení státních hmotných rezerv novou zásobou stejné položky s cílem zachovat její jakost a nenarušit její připravenost k použití.</w:t>
      </w:r>
    </w:p>
  </w:footnote>
  <w:footnote w:id="6">
    <w:p w14:paraId="7A65D651" w14:textId="77777777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63446">
        <w:t>Záměna položky státních hmotných rezerv je nahrazení položky státních hmotných rezerv jinou položkou, která lépe a vhodněji zabezpečí splnění účelu.</w:t>
      </w:r>
    </w:p>
  </w:footnote>
  <w:footnote w:id="7">
    <w:p w14:paraId="2FDBD8DD" w14:textId="77777777" w:rsidR="00A8576E" w:rsidRDefault="00A8576E" w:rsidP="004470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Aktiva brutto.</w:t>
      </w:r>
    </w:p>
  </w:footnote>
  <w:footnote w:id="8">
    <w:p w14:paraId="201B5E72" w14:textId="77777777" w:rsidR="00A8576E" w:rsidRPr="0030065D" w:rsidRDefault="00A8576E" w:rsidP="0044705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065D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0065D">
        <w:rPr>
          <w:rFonts w:asciiTheme="minorHAnsi" w:hAnsiTheme="minorHAnsi" w:cstheme="minorHAnsi"/>
        </w:rPr>
        <w:t>Zákon č. 189/1999 Sb., o nouzových zásobách ropy, o řešení stavů ropné nouze a o změně některých souvisejících zákonů (zákon o nouzových zásobách ropy).</w:t>
      </w:r>
    </w:p>
  </w:footnote>
  <w:footnote w:id="9">
    <w:p w14:paraId="5502EBD1" w14:textId="77777777" w:rsidR="00A8576E" w:rsidRPr="0030065D" w:rsidRDefault="00A8576E" w:rsidP="0044705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065D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30065D">
        <w:rPr>
          <w:rFonts w:asciiTheme="minorHAnsi" w:hAnsiTheme="minorHAnsi" w:cstheme="minorHAnsi"/>
        </w:rPr>
        <w:t>Vyhláška č. 165/2013 Sb.</w:t>
      </w:r>
      <w:r>
        <w:rPr>
          <w:rFonts w:asciiTheme="minorHAnsi" w:hAnsiTheme="minorHAnsi" w:cstheme="minorHAnsi"/>
        </w:rPr>
        <w:t>,</w:t>
      </w:r>
      <w:r w:rsidRPr="0030065D">
        <w:rPr>
          <w:rFonts w:asciiTheme="minorHAnsi" w:hAnsiTheme="minorHAnsi" w:cstheme="minorHAnsi"/>
        </w:rPr>
        <w:t xml:space="preserve"> o druzích ropy a skladbě ropných produktů pro skladování v nouzových zásobách ropy, o výpočtu úrovně nouzových zásob ropy, o skladovacích zařízeních a o vykazování nouzových zásob ropy.</w:t>
      </w:r>
    </w:p>
  </w:footnote>
  <w:footnote w:id="10">
    <w:p w14:paraId="6C1D97CD" w14:textId="6696D104" w:rsidR="00A8576E" w:rsidRPr="00F72AF7" w:rsidRDefault="00A8576E" w:rsidP="0044705E">
      <w:pPr>
        <w:pStyle w:val="Textpoznpodarou"/>
        <w:ind w:left="284" w:hanging="284"/>
        <w:jc w:val="both"/>
      </w:pPr>
      <w:r w:rsidRPr="00F72AF7">
        <w:rPr>
          <w:rStyle w:val="Znakapoznpodarou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F72AF7">
        <w:rPr>
          <w:rFonts w:asciiTheme="minorHAnsi" w:hAnsiTheme="minorHAnsi" w:cstheme="minorHAnsi"/>
        </w:rPr>
        <w:t>Schválená usnesením vlády ČR ze</w:t>
      </w:r>
      <w:r>
        <w:rPr>
          <w:rFonts w:asciiTheme="minorHAnsi" w:hAnsiTheme="minorHAnsi" w:cstheme="minorHAnsi"/>
        </w:rPr>
        <w:t xml:space="preserve"> </w:t>
      </w:r>
      <w:r w:rsidRPr="00F72AF7">
        <w:rPr>
          <w:rFonts w:asciiTheme="minorHAnsi" w:hAnsiTheme="minorHAnsi" w:cstheme="minorHAnsi"/>
        </w:rPr>
        <w:t xml:space="preserve">dne 18. května 2015 č. 362, </w:t>
      </w:r>
      <w:r w:rsidRPr="007A3F7C">
        <w:rPr>
          <w:rFonts w:asciiTheme="minorHAnsi" w:hAnsiTheme="minorHAnsi" w:cstheme="minorHAnsi"/>
          <w:i/>
        </w:rPr>
        <w:t>o Státní energetické koncepci České republiky</w:t>
      </w:r>
      <w:r w:rsidRPr="00F72AF7">
        <w:rPr>
          <w:rFonts w:asciiTheme="minorHAnsi" w:hAnsiTheme="minorHAnsi" w:cstheme="minorHAnsi"/>
        </w:rPr>
        <w:t xml:space="preserve">. </w:t>
      </w:r>
      <w:r w:rsidRPr="00F72AF7">
        <w:t>Státní energetick</w:t>
      </w:r>
      <w:r>
        <w:t>á</w:t>
      </w:r>
      <w:r w:rsidRPr="00F72AF7">
        <w:t xml:space="preserve"> koncepce je klíčovým strategickým dokumentem ČR v oblasti energetiky. Dokument je veřejně dostupný na </w:t>
      </w:r>
      <w:hyperlink r:id="rId1" w:history="1">
        <w:r w:rsidRPr="004859F5">
          <w:rPr>
            <w:rStyle w:val="Hypertextovodkaz"/>
          </w:rPr>
          <w:t>https://www.mpo.cz/dokument158012.html</w:t>
        </w:r>
      </w:hyperlink>
      <w:r w:rsidRPr="00F72AF7">
        <w:t>.</w:t>
      </w:r>
    </w:p>
  </w:footnote>
  <w:footnote w:id="11">
    <w:p w14:paraId="46557C5F" w14:textId="77777777" w:rsidR="00A8576E" w:rsidRDefault="00A8576E" w:rsidP="004470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Schválená vládou ČR v únoru 2015.</w:t>
      </w:r>
    </w:p>
  </w:footnote>
  <w:footnote w:id="12">
    <w:p w14:paraId="58912DBD" w14:textId="77777777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</w:r>
      <w:r w:rsidRPr="004A3E35">
        <w:t>Bezpečnostní rada státu je stálým pracovním orgánem vlády pro koordinaci problematiky bezpečnosti České republiky a přípravu návrhů opatření k jejímu zajišťování.</w:t>
      </w:r>
      <w:r>
        <w:t xml:space="preserve"> T</w:t>
      </w:r>
      <w:r w:rsidRPr="004A3E35">
        <w:t>voří</w:t>
      </w:r>
      <w:r>
        <w:t xml:space="preserve"> ji</w:t>
      </w:r>
      <w:r w:rsidRPr="004A3E35">
        <w:t xml:space="preserve"> předseda vlády a další členové vlády podle rozhodnutí vlády.</w:t>
      </w:r>
    </w:p>
  </w:footnote>
  <w:footnote w:id="13">
    <w:p w14:paraId="549494B5" w14:textId="747FFAEF" w:rsidR="00A8576E" w:rsidRPr="00125E0E" w:rsidRDefault="00A8576E" w:rsidP="0044705E">
      <w:pPr>
        <w:pStyle w:val="Textpoznpodarou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25E0E">
        <w:rPr>
          <w:rStyle w:val="Znakapoznpodarou"/>
          <w:rFonts w:asciiTheme="minorHAnsi" w:hAnsiTheme="minorHAnsi" w:cstheme="minorHAnsi"/>
        </w:rPr>
        <w:footnoteRef/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 w:rsidRPr="001D5AFE">
        <w:rPr>
          <w:rFonts w:eastAsia="Calibri" w:cstheme="minorHAnsi"/>
        </w:rPr>
        <w:t xml:space="preserve">Sdělení Ministerstva zahraničních věcí č. 37/2004 Sb. m. s., o sjednání Dohody </w:t>
      </w:r>
      <w:r w:rsidRPr="00125E0E">
        <w:rPr>
          <w:rFonts w:asciiTheme="minorHAnsi" w:hAnsiTheme="minorHAnsi" w:cstheme="minorHAnsi"/>
          <w:lang w:eastAsia="cs-CZ"/>
        </w:rPr>
        <w:t xml:space="preserve">mezi vládou České republiky </w:t>
      </w:r>
      <w:r w:rsidR="000A3343">
        <w:rPr>
          <w:rFonts w:asciiTheme="minorHAnsi" w:hAnsiTheme="minorHAnsi" w:cstheme="minorHAnsi"/>
          <w:lang w:eastAsia="cs-CZ"/>
        </w:rPr>
        <w:br/>
      </w:r>
      <w:r w:rsidRPr="00125E0E">
        <w:rPr>
          <w:rFonts w:asciiTheme="minorHAnsi" w:hAnsiTheme="minorHAnsi" w:cstheme="minorHAnsi"/>
          <w:lang w:eastAsia="cs-CZ"/>
        </w:rPr>
        <w:t>a</w:t>
      </w:r>
      <w:r w:rsidR="000A3343">
        <w:rPr>
          <w:rFonts w:asciiTheme="minorHAnsi" w:hAnsiTheme="minorHAnsi" w:cstheme="minorHAnsi"/>
          <w:lang w:eastAsia="cs-CZ"/>
        </w:rPr>
        <w:t xml:space="preserve"> </w:t>
      </w:r>
      <w:r w:rsidRPr="00125E0E">
        <w:rPr>
          <w:rFonts w:asciiTheme="minorHAnsi" w:hAnsiTheme="minorHAnsi" w:cstheme="minorHAnsi"/>
          <w:lang w:eastAsia="cs-CZ"/>
        </w:rPr>
        <w:t>vládou Spolkové republiky Německo o započítání zásob ropy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5E0E">
        <w:rPr>
          <w:rFonts w:asciiTheme="minorHAnsi" w:hAnsiTheme="minorHAnsi" w:cstheme="minorHAnsi"/>
          <w:lang w:eastAsia="cs-CZ"/>
        </w:rPr>
        <w:t>ropných produktů České republiky uskladněných ve Spolkové republice Německo</w:t>
      </w:r>
      <w:r>
        <w:rPr>
          <w:rFonts w:asciiTheme="minorHAnsi" w:hAnsiTheme="minorHAnsi" w:cstheme="minorHAnsi"/>
          <w:lang w:eastAsia="cs-CZ"/>
        </w:rPr>
        <w:t>; dohoda byla uzavřena</w:t>
      </w:r>
      <w:r w:rsidRPr="00125E0E">
        <w:rPr>
          <w:rFonts w:asciiTheme="minorHAnsi" w:hAnsiTheme="minorHAnsi" w:cstheme="minorHAnsi"/>
          <w:lang w:eastAsia="cs-CZ"/>
        </w:rPr>
        <w:t xml:space="preserve"> dne 12. ledna 2004 na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5E0E">
        <w:rPr>
          <w:rFonts w:asciiTheme="minorHAnsi" w:hAnsiTheme="minorHAnsi" w:cstheme="minorHAnsi"/>
          <w:lang w:eastAsia="cs-CZ"/>
        </w:rPr>
        <w:t xml:space="preserve">dobu neurčitou. Tato dohoda zahrnovala </w:t>
      </w:r>
      <w:r>
        <w:rPr>
          <w:rFonts w:asciiTheme="minorHAnsi" w:hAnsiTheme="minorHAnsi" w:cstheme="minorHAnsi"/>
          <w:lang w:eastAsia="cs-CZ"/>
        </w:rPr>
        <w:t xml:space="preserve">mj. </w:t>
      </w:r>
      <w:r w:rsidRPr="00125E0E">
        <w:rPr>
          <w:rFonts w:asciiTheme="minorHAnsi" w:hAnsiTheme="minorHAnsi" w:cstheme="minorHAnsi"/>
          <w:lang w:eastAsia="cs-CZ"/>
        </w:rPr>
        <w:t>ustanovení, že uskladněné nouzové zásoby mohou být kdykoliv bez překážky převezeny na území ČR.</w:t>
      </w:r>
    </w:p>
  </w:footnote>
  <w:footnote w:id="14">
    <w:p w14:paraId="6319D6EB" w14:textId="1F123BB2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18. května 2020 č. 549, </w:t>
      </w:r>
      <w:r w:rsidRPr="00A8576E">
        <w:rPr>
          <w:i/>
        </w:rPr>
        <w:t>o návrhu na vytvoření státních hmotných rezerv pro</w:t>
      </w:r>
      <w:r>
        <w:rPr>
          <w:i/>
        </w:rPr>
        <w:t xml:space="preserve"> </w:t>
      </w:r>
      <w:r w:rsidRPr="00A8576E">
        <w:rPr>
          <w:i/>
        </w:rPr>
        <w:t>zajištění osobních ochranných prostředků a zdravotnických prostředků za krizových stavů a</w:t>
      </w:r>
      <w:r>
        <w:rPr>
          <w:i/>
        </w:rPr>
        <w:t xml:space="preserve"> </w:t>
      </w:r>
      <w:r w:rsidRPr="00A8576E">
        <w:rPr>
          <w:i/>
        </w:rPr>
        <w:t>o</w:t>
      </w:r>
      <w:r>
        <w:rPr>
          <w:i/>
        </w:rPr>
        <w:t xml:space="preserve"> </w:t>
      </w:r>
      <w:r w:rsidRPr="00A8576E">
        <w:rPr>
          <w:i/>
        </w:rPr>
        <w:t>změně usnesení vlády ČR ze</w:t>
      </w:r>
      <w:r>
        <w:rPr>
          <w:i/>
        </w:rPr>
        <w:t xml:space="preserve"> </w:t>
      </w:r>
      <w:r w:rsidRPr="00A8576E">
        <w:rPr>
          <w:i/>
        </w:rPr>
        <w:t>dne 30. března 2020 č. 349, k zajištění nákupu ochranných prostředků a dalšího vybavení Ministerstvem zdravotnictví</w:t>
      </w:r>
      <w:r>
        <w:t>.</w:t>
      </w:r>
    </w:p>
  </w:footnote>
  <w:footnote w:id="15">
    <w:p w14:paraId="7156D62D" w14:textId="77777777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  <w:t>U</w:t>
      </w:r>
      <w:r w:rsidRPr="003C0501">
        <w:rPr>
          <w:rFonts w:asciiTheme="minorHAnsi" w:eastAsia="Calibri" w:hAnsiTheme="minorHAnsi" w:cstheme="minorHAnsi"/>
        </w:rPr>
        <w:t>snesení vlády</w:t>
      </w:r>
      <w:r>
        <w:rPr>
          <w:rFonts w:asciiTheme="minorHAnsi" w:eastAsia="Calibri" w:hAnsiTheme="minorHAnsi" w:cstheme="minorHAnsi"/>
        </w:rPr>
        <w:t xml:space="preserve"> </w:t>
      </w:r>
      <w:r>
        <w:t>ČR</w:t>
      </w:r>
      <w:r w:rsidRPr="003C0501">
        <w:rPr>
          <w:rFonts w:asciiTheme="minorHAnsi" w:eastAsia="Calibri" w:hAnsiTheme="minorHAnsi" w:cstheme="minorHAnsi"/>
        </w:rPr>
        <w:t xml:space="preserve"> </w:t>
      </w:r>
      <w:r>
        <w:t xml:space="preserve">ze dne 27. července 2020 č. 808, </w:t>
      </w:r>
      <w:r w:rsidRPr="00A8576E">
        <w:rPr>
          <w:i/>
        </w:rPr>
        <w:t>o analýze schopností českého průmyslu zabezpečit výrobu osobních ochranných prostředků a zdravotnických prostředků z tuzemských zdrojů</w:t>
      </w:r>
      <w:r>
        <w:t>.</w:t>
      </w:r>
    </w:p>
  </w:footnote>
  <w:footnote w:id="16">
    <w:p w14:paraId="2B637043" w14:textId="77777777" w:rsidR="00A8576E" w:rsidRDefault="00A8576E" w:rsidP="004470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Vláda ČR u vybraného vzorku nenavrhla jednotkové ceny plicních ventilátorů.</w:t>
      </w:r>
    </w:p>
  </w:footnote>
  <w:footnote w:id="17">
    <w:p w14:paraId="20D6942E" w14:textId="1988CE05" w:rsidR="00A8576E" w:rsidRDefault="00A8576E" w:rsidP="0044705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B38CA">
        <w:t xml:space="preserve">snesení vlády </w:t>
      </w:r>
      <w:r>
        <w:t>ČR</w:t>
      </w:r>
      <w:r w:rsidRPr="004B38CA">
        <w:t xml:space="preserve"> ze dne 9. listopadu 2020 č. 1163, </w:t>
      </w:r>
      <w:r w:rsidRPr="00A8576E">
        <w:rPr>
          <w:i/>
        </w:rPr>
        <w:t>k pořízení vyšetřovacích (ochranných) rukavic do</w:t>
      </w:r>
      <w:r>
        <w:rPr>
          <w:i/>
        </w:rPr>
        <w:t xml:space="preserve"> </w:t>
      </w:r>
      <w:r w:rsidRPr="00A8576E">
        <w:rPr>
          <w:i/>
        </w:rPr>
        <w:t>pohotovostních zásob státních hmotných rezerv</w:t>
      </w:r>
      <w:r>
        <w:t>.</w:t>
      </w:r>
    </w:p>
  </w:footnote>
  <w:footnote w:id="18">
    <w:p w14:paraId="62FF7A62" w14:textId="77777777" w:rsidR="00A8576E" w:rsidRDefault="00A8576E" w:rsidP="004470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B3CB1">
        <w:t>Zákon č. 134/2016 Sb., o zadávání veřejných zakáze</w:t>
      </w:r>
      <w:r>
        <w:t>k, a zákon č. 137/2006 Sb., o veřejných zakázkách.</w:t>
      </w:r>
    </w:p>
  </w:footnote>
  <w:footnote w:id="19">
    <w:p w14:paraId="7E06DAFD" w14:textId="77777777" w:rsidR="00A8576E" w:rsidRDefault="00A8576E" w:rsidP="00432A4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>
        <w:rPr>
          <w:rFonts w:asciiTheme="minorHAnsi" w:hAnsiTheme="minorHAnsi" w:cstheme="minorHAnsi"/>
        </w:rPr>
        <w:t>ákon</w:t>
      </w:r>
      <w:r w:rsidRPr="007F4A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č. 218/2000 Sb., o </w:t>
      </w:r>
      <w:r w:rsidRPr="007F4A11">
        <w:rPr>
          <w:rFonts w:asciiTheme="minorHAnsi" w:hAnsiTheme="minorHAnsi" w:cstheme="minorHAnsi"/>
        </w:rPr>
        <w:t>rozpočtových</w:t>
      </w:r>
      <w:r>
        <w:rPr>
          <w:rFonts w:asciiTheme="minorHAnsi" w:hAnsiTheme="minorHAnsi" w:cstheme="minorHAnsi"/>
        </w:rPr>
        <w:t xml:space="preserve"> pravidlech a o změně některých souvisejících zákonů (rozpočtová pravidla).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08C" w14:textId="77777777" w:rsidR="00A8576E" w:rsidRDefault="00A8576E" w:rsidP="00972D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904"/>
    <w:multiLevelType w:val="hybridMultilevel"/>
    <w:tmpl w:val="5BB46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D31"/>
    <w:multiLevelType w:val="hybridMultilevel"/>
    <w:tmpl w:val="7D86D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FB8"/>
    <w:multiLevelType w:val="hybridMultilevel"/>
    <w:tmpl w:val="BE70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9D1"/>
    <w:multiLevelType w:val="hybridMultilevel"/>
    <w:tmpl w:val="EB2E0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AF"/>
    <w:multiLevelType w:val="hybridMultilevel"/>
    <w:tmpl w:val="F482E3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33901"/>
    <w:multiLevelType w:val="hybridMultilevel"/>
    <w:tmpl w:val="17E02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1894"/>
    <w:multiLevelType w:val="hybridMultilevel"/>
    <w:tmpl w:val="4E4AF01E"/>
    <w:lvl w:ilvl="0" w:tplc="823EF330">
      <w:start w:val="1"/>
      <w:numFmt w:val="decimal"/>
      <w:pStyle w:val="Nadpis2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6A14B21"/>
    <w:multiLevelType w:val="hybridMultilevel"/>
    <w:tmpl w:val="39666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AF1"/>
    <w:multiLevelType w:val="hybridMultilevel"/>
    <w:tmpl w:val="73249DFA"/>
    <w:lvl w:ilvl="0" w:tplc="1A266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441F"/>
    <w:multiLevelType w:val="hybridMultilevel"/>
    <w:tmpl w:val="D43A2C8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D86C95"/>
    <w:multiLevelType w:val="hybridMultilevel"/>
    <w:tmpl w:val="CC4C2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5B40"/>
    <w:multiLevelType w:val="hybridMultilevel"/>
    <w:tmpl w:val="F14A5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59F0"/>
    <w:multiLevelType w:val="hybridMultilevel"/>
    <w:tmpl w:val="8E8406BE"/>
    <w:lvl w:ilvl="0" w:tplc="46E2C65A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4E24"/>
    <w:multiLevelType w:val="hybridMultilevel"/>
    <w:tmpl w:val="12C45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641"/>
    <w:multiLevelType w:val="hybridMultilevel"/>
    <w:tmpl w:val="45F66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1AD"/>
    <w:multiLevelType w:val="hybridMultilevel"/>
    <w:tmpl w:val="87F67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1911"/>
    <w:multiLevelType w:val="hybridMultilevel"/>
    <w:tmpl w:val="F68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3CD4"/>
    <w:multiLevelType w:val="hybridMultilevel"/>
    <w:tmpl w:val="AA4492B6"/>
    <w:lvl w:ilvl="0" w:tplc="5822614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013A"/>
    <w:multiLevelType w:val="hybridMultilevel"/>
    <w:tmpl w:val="57408920"/>
    <w:lvl w:ilvl="0" w:tplc="190AD8D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C2625"/>
    <w:multiLevelType w:val="hybridMultilevel"/>
    <w:tmpl w:val="3EACB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A11DA"/>
    <w:multiLevelType w:val="hybridMultilevel"/>
    <w:tmpl w:val="2884C8BA"/>
    <w:lvl w:ilvl="0" w:tplc="03EE1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28E41E">
      <w:start w:val="1"/>
      <w:numFmt w:val="lowerLetter"/>
      <w:lvlText w:val="%2."/>
      <w:lvlJc w:val="left"/>
      <w:pPr>
        <w:ind w:left="1440" w:hanging="360"/>
      </w:pPr>
    </w:lvl>
    <w:lvl w:ilvl="2" w:tplc="D0E2FFC0" w:tentative="1">
      <w:start w:val="1"/>
      <w:numFmt w:val="lowerRoman"/>
      <w:lvlText w:val="%3."/>
      <w:lvlJc w:val="right"/>
      <w:pPr>
        <w:ind w:left="2160" w:hanging="180"/>
      </w:pPr>
    </w:lvl>
    <w:lvl w:ilvl="3" w:tplc="382E955E" w:tentative="1">
      <w:start w:val="1"/>
      <w:numFmt w:val="decimal"/>
      <w:lvlText w:val="%4."/>
      <w:lvlJc w:val="left"/>
      <w:pPr>
        <w:ind w:left="2880" w:hanging="360"/>
      </w:pPr>
    </w:lvl>
    <w:lvl w:ilvl="4" w:tplc="E638B3A0" w:tentative="1">
      <w:start w:val="1"/>
      <w:numFmt w:val="lowerLetter"/>
      <w:lvlText w:val="%5."/>
      <w:lvlJc w:val="left"/>
      <w:pPr>
        <w:ind w:left="3600" w:hanging="360"/>
      </w:pPr>
    </w:lvl>
    <w:lvl w:ilvl="5" w:tplc="743E0ECC" w:tentative="1">
      <w:start w:val="1"/>
      <w:numFmt w:val="lowerRoman"/>
      <w:lvlText w:val="%6."/>
      <w:lvlJc w:val="right"/>
      <w:pPr>
        <w:ind w:left="4320" w:hanging="180"/>
      </w:pPr>
    </w:lvl>
    <w:lvl w:ilvl="6" w:tplc="00D082E2" w:tentative="1">
      <w:start w:val="1"/>
      <w:numFmt w:val="decimal"/>
      <w:lvlText w:val="%7."/>
      <w:lvlJc w:val="left"/>
      <w:pPr>
        <w:ind w:left="5040" w:hanging="360"/>
      </w:pPr>
    </w:lvl>
    <w:lvl w:ilvl="7" w:tplc="BC14C158" w:tentative="1">
      <w:start w:val="1"/>
      <w:numFmt w:val="lowerLetter"/>
      <w:lvlText w:val="%8."/>
      <w:lvlJc w:val="left"/>
      <w:pPr>
        <w:ind w:left="5760" w:hanging="360"/>
      </w:pPr>
    </w:lvl>
    <w:lvl w:ilvl="8" w:tplc="FC68A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F6602"/>
    <w:multiLevelType w:val="hybridMultilevel"/>
    <w:tmpl w:val="A12C8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CE2DC">
      <w:start w:val="2017"/>
      <w:numFmt w:val="bullet"/>
      <w:lvlText w:val="-"/>
      <w:lvlJc w:val="left"/>
      <w:pPr>
        <w:ind w:left="727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1997"/>
    <w:multiLevelType w:val="hybridMultilevel"/>
    <w:tmpl w:val="99889F98"/>
    <w:lvl w:ilvl="0" w:tplc="1A56ADF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848"/>
    <w:multiLevelType w:val="hybridMultilevel"/>
    <w:tmpl w:val="E46A4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67B62"/>
    <w:multiLevelType w:val="hybridMultilevel"/>
    <w:tmpl w:val="80B085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7E3F"/>
    <w:multiLevelType w:val="hybridMultilevel"/>
    <w:tmpl w:val="208A9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E4AC0"/>
    <w:multiLevelType w:val="hybridMultilevel"/>
    <w:tmpl w:val="CDE2D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837"/>
    <w:multiLevelType w:val="hybridMultilevel"/>
    <w:tmpl w:val="3152A46C"/>
    <w:lvl w:ilvl="0" w:tplc="7E6A343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5890"/>
    <w:multiLevelType w:val="hybridMultilevel"/>
    <w:tmpl w:val="BAC80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5A1E"/>
    <w:multiLevelType w:val="hybridMultilevel"/>
    <w:tmpl w:val="D8EEDF42"/>
    <w:lvl w:ilvl="0" w:tplc="D8806946">
      <w:numFmt w:val="bullet"/>
      <w:lvlText w:val="-"/>
      <w:lvlJc w:val="left"/>
      <w:pPr>
        <w:ind w:left="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1B52C32"/>
    <w:multiLevelType w:val="hybridMultilevel"/>
    <w:tmpl w:val="84BED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3983"/>
    <w:multiLevelType w:val="hybridMultilevel"/>
    <w:tmpl w:val="8722928E"/>
    <w:lvl w:ilvl="0" w:tplc="45EE0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5949"/>
    <w:multiLevelType w:val="hybridMultilevel"/>
    <w:tmpl w:val="31502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5264"/>
    <w:multiLevelType w:val="hybridMultilevel"/>
    <w:tmpl w:val="25323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24"/>
  </w:num>
  <w:num w:numId="9">
    <w:abstractNumId w:val="32"/>
  </w:num>
  <w:num w:numId="10">
    <w:abstractNumId w:val="28"/>
  </w:num>
  <w:num w:numId="11">
    <w:abstractNumId w:val="13"/>
  </w:num>
  <w:num w:numId="12">
    <w:abstractNumId w:val="20"/>
  </w:num>
  <w:num w:numId="13">
    <w:abstractNumId w:val="25"/>
  </w:num>
  <w:num w:numId="14">
    <w:abstractNumId w:val="1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6"/>
  </w:num>
  <w:num w:numId="20">
    <w:abstractNumId w:val="23"/>
  </w:num>
  <w:num w:numId="21">
    <w:abstractNumId w:val="5"/>
  </w:num>
  <w:num w:numId="22">
    <w:abstractNumId w:val="4"/>
  </w:num>
  <w:num w:numId="23">
    <w:abstractNumId w:val="31"/>
  </w:num>
  <w:num w:numId="24">
    <w:abstractNumId w:val="19"/>
  </w:num>
  <w:num w:numId="25">
    <w:abstractNumId w:val="8"/>
  </w:num>
  <w:num w:numId="26">
    <w:abstractNumId w:val="7"/>
  </w:num>
  <w:num w:numId="27">
    <w:abstractNumId w:val="29"/>
  </w:num>
  <w:num w:numId="28">
    <w:abstractNumId w:val="30"/>
  </w:num>
  <w:num w:numId="29">
    <w:abstractNumId w:val="6"/>
    <w:lvlOverride w:ilvl="0">
      <w:startOverride w:val="1"/>
    </w:lvlOverride>
  </w:num>
  <w:num w:numId="30">
    <w:abstractNumId w:val="0"/>
  </w:num>
  <w:num w:numId="31">
    <w:abstractNumId w:val="2"/>
  </w:num>
  <w:num w:numId="32">
    <w:abstractNumId w:val="10"/>
  </w:num>
  <w:num w:numId="33">
    <w:abstractNumId w:val="22"/>
  </w:num>
  <w:num w:numId="34">
    <w:abstractNumId w:val="17"/>
  </w:num>
  <w:num w:numId="35">
    <w:abstractNumId w:val="1"/>
  </w:num>
  <w:num w:numId="36">
    <w:abstractNumId w:val="6"/>
  </w:num>
  <w:num w:numId="37">
    <w:abstractNumId w:val="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24"/>
    <w:rsid w:val="00000330"/>
    <w:rsid w:val="00000BCF"/>
    <w:rsid w:val="0000251F"/>
    <w:rsid w:val="00002599"/>
    <w:rsid w:val="00003288"/>
    <w:rsid w:val="000056A2"/>
    <w:rsid w:val="00005BF6"/>
    <w:rsid w:val="00007D0E"/>
    <w:rsid w:val="00010542"/>
    <w:rsid w:val="00010B91"/>
    <w:rsid w:val="000128B2"/>
    <w:rsid w:val="000144BA"/>
    <w:rsid w:val="00015B0A"/>
    <w:rsid w:val="00016254"/>
    <w:rsid w:val="0001658D"/>
    <w:rsid w:val="00016AFF"/>
    <w:rsid w:val="00016CAB"/>
    <w:rsid w:val="00016D60"/>
    <w:rsid w:val="00020393"/>
    <w:rsid w:val="00020D87"/>
    <w:rsid w:val="000212E0"/>
    <w:rsid w:val="00021654"/>
    <w:rsid w:val="0002404E"/>
    <w:rsid w:val="00024651"/>
    <w:rsid w:val="0002611C"/>
    <w:rsid w:val="00026AE9"/>
    <w:rsid w:val="00027EB2"/>
    <w:rsid w:val="000302B5"/>
    <w:rsid w:val="00032905"/>
    <w:rsid w:val="000370C0"/>
    <w:rsid w:val="0003724A"/>
    <w:rsid w:val="000411BB"/>
    <w:rsid w:val="000425B6"/>
    <w:rsid w:val="0004637C"/>
    <w:rsid w:val="00047AC0"/>
    <w:rsid w:val="00050F15"/>
    <w:rsid w:val="000534E1"/>
    <w:rsid w:val="0005647F"/>
    <w:rsid w:val="000566DC"/>
    <w:rsid w:val="00056FDA"/>
    <w:rsid w:val="00063024"/>
    <w:rsid w:val="00063B25"/>
    <w:rsid w:val="000708A7"/>
    <w:rsid w:val="000715F7"/>
    <w:rsid w:val="00073940"/>
    <w:rsid w:val="00073B70"/>
    <w:rsid w:val="00076077"/>
    <w:rsid w:val="00080C46"/>
    <w:rsid w:val="00082A4F"/>
    <w:rsid w:val="00083E4E"/>
    <w:rsid w:val="00084344"/>
    <w:rsid w:val="000847FB"/>
    <w:rsid w:val="000849EF"/>
    <w:rsid w:val="00087C57"/>
    <w:rsid w:val="00090A4D"/>
    <w:rsid w:val="0009161F"/>
    <w:rsid w:val="00092573"/>
    <w:rsid w:val="00092EF1"/>
    <w:rsid w:val="0009379F"/>
    <w:rsid w:val="00093BFE"/>
    <w:rsid w:val="000945B7"/>
    <w:rsid w:val="000945E8"/>
    <w:rsid w:val="00094621"/>
    <w:rsid w:val="000A123C"/>
    <w:rsid w:val="000A312F"/>
    <w:rsid w:val="000A3343"/>
    <w:rsid w:val="000A37FD"/>
    <w:rsid w:val="000A3C79"/>
    <w:rsid w:val="000A4338"/>
    <w:rsid w:val="000B0AC1"/>
    <w:rsid w:val="000B3E62"/>
    <w:rsid w:val="000B518E"/>
    <w:rsid w:val="000B674B"/>
    <w:rsid w:val="000B7DA4"/>
    <w:rsid w:val="000C013D"/>
    <w:rsid w:val="000C1B1A"/>
    <w:rsid w:val="000C215A"/>
    <w:rsid w:val="000C4972"/>
    <w:rsid w:val="000C7F33"/>
    <w:rsid w:val="000D00F5"/>
    <w:rsid w:val="000D187D"/>
    <w:rsid w:val="000D19A3"/>
    <w:rsid w:val="000D2F5B"/>
    <w:rsid w:val="000D38B6"/>
    <w:rsid w:val="000D4F90"/>
    <w:rsid w:val="000E0037"/>
    <w:rsid w:val="000E04E8"/>
    <w:rsid w:val="000E04EB"/>
    <w:rsid w:val="000E31DB"/>
    <w:rsid w:val="000E73F7"/>
    <w:rsid w:val="000E7D3B"/>
    <w:rsid w:val="000F2A2C"/>
    <w:rsid w:val="000F4C22"/>
    <w:rsid w:val="000F59D3"/>
    <w:rsid w:val="000F619C"/>
    <w:rsid w:val="00100BD7"/>
    <w:rsid w:val="0010184E"/>
    <w:rsid w:val="00103F25"/>
    <w:rsid w:val="00107907"/>
    <w:rsid w:val="00110F83"/>
    <w:rsid w:val="0011228B"/>
    <w:rsid w:val="001122ED"/>
    <w:rsid w:val="001138E6"/>
    <w:rsid w:val="00115B23"/>
    <w:rsid w:val="00116B75"/>
    <w:rsid w:val="001174E8"/>
    <w:rsid w:val="00117528"/>
    <w:rsid w:val="00117FD9"/>
    <w:rsid w:val="00121499"/>
    <w:rsid w:val="00121B98"/>
    <w:rsid w:val="00121BDD"/>
    <w:rsid w:val="0012264D"/>
    <w:rsid w:val="001266AE"/>
    <w:rsid w:val="001269DF"/>
    <w:rsid w:val="00126B2F"/>
    <w:rsid w:val="00126CB7"/>
    <w:rsid w:val="00126CF8"/>
    <w:rsid w:val="00134731"/>
    <w:rsid w:val="00135404"/>
    <w:rsid w:val="00137860"/>
    <w:rsid w:val="0013799D"/>
    <w:rsid w:val="00145DE8"/>
    <w:rsid w:val="00145F43"/>
    <w:rsid w:val="0014708B"/>
    <w:rsid w:val="00147093"/>
    <w:rsid w:val="001502F0"/>
    <w:rsid w:val="001525E4"/>
    <w:rsid w:val="00152C0C"/>
    <w:rsid w:val="001579EC"/>
    <w:rsid w:val="00161F79"/>
    <w:rsid w:val="001622C4"/>
    <w:rsid w:val="00163C52"/>
    <w:rsid w:val="00164B71"/>
    <w:rsid w:val="00165319"/>
    <w:rsid w:val="001659D3"/>
    <w:rsid w:val="00165ECB"/>
    <w:rsid w:val="00166798"/>
    <w:rsid w:val="00166C24"/>
    <w:rsid w:val="001722C0"/>
    <w:rsid w:val="00173C33"/>
    <w:rsid w:val="00175806"/>
    <w:rsid w:val="00176E0F"/>
    <w:rsid w:val="00180440"/>
    <w:rsid w:val="001814FA"/>
    <w:rsid w:val="00186FF9"/>
    <w:rsid w:val="001918A3"/>
    <w:rsid w:val="00194DC5"/>
    <w:rsid w:val="001A3136"/>
    <w:rsid w:val="001A34F4"/>
    <w:rsid w:val="001A5887"/>
    <w:rsid w:val="001A775E"/>
    <w:rsid w:val="001B0B82"/>
    <w:rsid w:val="001B0BAD"/>
    <w:rsid w:val="001B16BD"/>
    <w:rsid w:val="001B18BE"/>
    <w:rsid w:val="001B239B"/>
    <w:rsid w:val="001B3FB7"/>
    <w:rsid w:val="001B5F3D"/>
    <w:rsid w:val="001B65F2"/>
    <w:rsid w:val="001B71ED"/>
    <w:rsid w:val="001B72B7"/>
    <w:rsid w:val="001C01D2"/>
    <w:rsid w:val="001C2EDF"/>
    <w:rsid w:val="001C35A0"/>
    <w:rsid w:val="001C47C9"/>
    <w:rsid w:val="001C4BDD"/>
    <w:rsid w:val="001C6024"/>
    <w:rsid w:val="001C6951"/>
    <w:rsid w:val="001C6F1C"/>
    <w:rsid w:val="001C7EC9"/>
    <w:rsid w:val="001D1C04"/>
    <w:rsid w:val="001D2BC9"/>
    <w:rsid w:val="001D2EE2"/>
    <w:rsid w:val="001D4B45"/>
    <w:rsid w:val="001D5D98"/>
    <w:rsid w:val="001D6CB6"/>
    <w:rsid w:val="001E05E8"/>
    <w:rsid w:val="001E449A"/>
    <w:rsid w:val="001E5D44"/>
    <w:rsid w:val="001E630A"/>
    <w:rsid w:val="001E6FC4"/>
    <w:rsid w:val="001E7E6C"/>
    <w:rsid w:val="001F1614"/>
    <w:rsid w:val="001F552E"/>
    <w:rsid w:val="001F56F8"/>
    <w:rsid w:val="001F607A"/>
    <w:rsid w:val="001F6320"/>
    <w:rsid w:val="001F6704"/>
    <w:rsid w:val="002003D1"/>
    <w:rsid w:val="00201D5A"/>
    <w:rsid w:val="002023AE"/>
    <w:rsid w:val="002024F5"/>
    <w:rsid w:val="00203177"/>
    <w:rsid w:val="002056B4"/>
    <w:rsid w:val="00206ED9"/>
    <w:rsid w:val="0020750D"/>
    <w:rsid w:val="00207C28"/>
    <w:rsid w:val="002105E0"/>
    <w:rsid w:val="002118FF"/>
    <w:rsid w:val="002132E1"/>
    <w:rsid w:val="00214767"/>
    <w:rsid w:val="002157FF"/>
    <w:rsid w:val="002158A7"/>
    <w:rsid w:val="00217248"/>
    <w:rsid w:val="002173F7"/>
    <w:rsid w:val="00217429"/>
    <w:rsid w:val="0021759B"/>
    <w:rsid w:val="002200F7"/>
    <w:rsid w:val="002206D0"/>
    <w:rsid w:val="00223FC7"/>
    <w:rsid w:val="00223FF7"/>
    <w:rsid w:val="00224676"/>
    <w:rsid w:val="0022689B"/>
    <w:rsid w:val="00227A2F"/>
    <w:rsid w:val="00232C82"/>
    <w:rsid w:val="0023307A"/>
    <w:rsid w:val="00235FBE"/>
    <w:rsid w:val="00236E56"/>
    <w:rsid w:val="00237172"/>
    <w:rsid w:val="00237183"/>
    <w:rsid w:val="00240044"/>
    <w:rsid w:val="0024184E"/>
    <w:rsid w:val="00241F14"/>
    <w:rsid w:val="002429E5"/>
    <w:rsid w:val="002433BF"/>
    <w:rsid w:val="00243E20"/>
    <w:rsid w:val="00244BF1"/>
    <w:rsid w:val="00245C04"/>
    <w:rsid w:val="00246E02"/>
    <w:rsid w:val="00246ED7"/>
    <w:rsid w:val="00250779"/>
    <w:rsid w:val="00250958"/>
    <w:rsid w:val="00251457"/>
    <w:rsid w:val="002524CD"/>
    <w:rsid w:val="00254663"/>
    <w:rsid w:val="00255BF4"/>
    <w:rsid w:val="00261133"/>
    <w:rsid w:val="0026124B"/>
    <w:rsid w:val="0026163E"/>
    <w:rsid w:val="00261F2C"/>
    <w:rsid w:val="0026607D"/>
    <w:rsid w:val="00266632"/>
    <w:rsid w:val="00267E99"/>
    <w:rsid w:val="00272348"/>
    <w:rsid w:val="00272463"/>
    <w:rsid w:val="00272D08"/>
    <w:rsid w:val="00273193"/>
    <w:rsid w:val="00274719"/>
    <w:rsid w:val="00274A6C"/>
    <w:rsid w:val="00275D8B"/>
    <w:rsid w:val="00277B4A"/>
    <w:rsid w:val="00277BD8"/>
    <w:rsid w:val="00281496"/>
    <w:rsid w:val="002835F3"/>
    <w:rsid w:val="00285AFC"/>
    <w:rsid w:val="00286791"/>
    <w:rsid w:val="0028711E"/>
    <w:rsid w:val="002877D5"/>
    <w:rsid w:val="00292067"/>
    <w:rsid w:val="002926C0"/>
    <w:rsid w:val="002945A6"/>
    <w:rsid w:val="002A0F98"/>
    <w:rsid w:val="002A1A48"/>
    <w:rsid w:val="002A1D99"/>
    <w:rsid w:val="002A1E7A"/>
    <w:rsid w:val="002A40C6"/>
    <w:rsid w:val="002A439F"/>
    <w:rsid w:val="002B0E05"/>
    <w:rsid w:val="002B0F62"/>
    <w:rsid w:val="002B31DB"/>
    <w:rsid w:val="002B465B"/>
    <w:rsid w:val="002B4DBD"/>
    <w:rsid w:val="002C0736"/>
    <w:rsid w:val="002C0F54"/>
    <w:rsid w:val="002C1F93"/>
    <w:rsid w:val="002C5CBB"/>
    <w:rsid w:val="002C65BE"/>
    <w:rsid w:val="002C6951"/>
    <w:rsid w:val="002D114B"/>
    <w:rsid w:val="002D1E8E"/>
    <w:rsid w:val="002E01CE"/>
    <w:rsid w:val="002E0C5E"/>
    <w:rsid w:val="002E1BEA"/>
    <w:rsid w:val="002E39AF"/>
    <w:rsid w:val="002E5F2D"/>
    <w:rsid w:val="002E7028"/>
    <w:rsid w:val="002E70D5"/>
    <w:rsid w:val="002F2199"/>
    <w:rsid w:val="002F238A"/>
    <w:rsid w:val="002F3884"/>
    <w:rsid w:val="002F4B90"/>
    <w:rsid w:val="002F5F79"/>
    <w:rsid w:val="002F632D"/>
    <w:rsid w:val="002F7FC6"/>
    <w:rsid w:val="0030010D"/>
    <w:rsid w:val="00301C60"/>
    <w:rsid w:val="0030214E"/>
    <w:rsid w:val="00303C45"/>
    <w:rsid w:val="003064CE"/>
    <w:rsid w:val="003100F8"/>
    <w:rsid w:val="003112DB"/>
    <w:rsid w:val="00312788"/>
    <w:rsid w:val="00313BAD"/>
    <w:rsid w:val="00313CD3"/>
    <w:rsid w:val="00313ED9"/>
    <w:rsid w:val="00316136"/>
    <w:rsid w:val="0031643B"/>
    <w:rsid w:val="003169A2"/>
    <w:rsid w:val="00320920"/>
    <w:rsid w:val="00324B95"/>
    <w:rsid w:val="00325213"/>
    <w:rsid w:val="0032569C"/>
    <w:rsid w:val="00325BBF"/>
    <w:rsid w:val="00326A8A"/>
    <w:rsid w:val="00327F42"/>
    <w:rsid w:val="003308D6"/>
    <w:rsid w:val="00332553"/>
    <w:rsid w:val="00333158"/>
    <w:rsid w:val="0033408B"/>
    <w:rsid w:val="0033479C"/>
    <w:rsid w:val="00334E93"/>
    <w:rsid w:val="003410FA"/>
    <w:rsid w:val="0034159E"/>
    <w:rsid w:val="00344627"/>
    <w:rsid w:val="00346600"/>
    <w:rsid w:val="003519E7"/>
    <w:rsid w:val="00355CEA"/>
    <w:rsid w:val="00355E02"/>
    <w:rsid w:val="003566A8"/>
    <w:rsid w:val="003568E9"/>
    <w:rsid w:val="003571BA"/>
    <w:rsid w:val="00360E01"/>
    <w:rsid w:val="0036360F"/>
    <w:rsid w:val="003639C6"/>
    <w:rsid w:val="00371419"/>
    <w:rsid w:val="003716A0"/>
    <w:rsid w:val="003723CF"/>
    <w:rsid w:val="00373BB6"/>
    <w:rsid w:val="003745E6"/>
    <w:rsid w:val="003745FB"/>
    <w:rsid w:val="00374C56"/>
    <w:rsid w:val="003750ED"/>
    <w:rsid w:val="0037582E"/>
    <w:rsid w:val="00375B58"/>
    <w:rsid w:val="00375C28"/>
    <w:rsid w:val="00376252"/>
    <w:rsid w:val="00377CE5"/>
    <w:rsid w:val="00381F21"/>
    <w:rsid w:val="00383CC8"/>
    <w:rsid w:val="00384249"/>
    <w:rsid w:val="00384C3C"/>
    <w:rsid w:val="0038594F"/>
    <w:rsid w:val="00385BE9"/>
    <w:rsid w:val="00386D7A"/>
    <w:rsid w:val="003877FB"/>
    <w:rsid w:val="00390BEB"/>
    <w:rsid w:val="00393DFB"/>
    <w:rsid w:val="00396FDB"/>
    <w:rsid w:val="003A01D5"/>
    <w:rsid w:val="003A049A"/>
    <w:rsid w:val="003A0D9F"/>
    <w:rsid w:val="003A0DBE"/>
    <w:rsid w:val="003A566D"/>
    <w:rsid w:val="003B045C"/>
    <w:rsid w:val="003B07FF"/>
    <w:rsid w:val="003B0D6E"/>
    <w:rsid w:val="003B2877"/>
    <w:rsid w:val="003B47C2"/>
    <w:rsid w:val="003B64DE"/>
    <w:rsid w:val="003B6FF8"/>
    <w:rsid w:val="003B7857"/>
    <w:rsid w:val="003C13E3"/>
    <w:rsid w:val="003C15DB"/>
    <w:rsid w:val="003C28CF"/>
    <w:rsid w:val="003C6238"/>
    <w:rsid w:val="003C6987"/>
    <w:rsid w:val="003C79DE"/>
    <w:rsid w:val="003D0C6D"/>
    <w:rsid w:val="003D2390"/>
    <w:rsid w:val="003D35A2"/>
    <w:rsid w:val="003D6040"/>
    <w:rsid w:val="003D633D"/>
    <w:rsid w:val="003E20E0"/>
    <w:rsid w:val="003E336F"/>
    <w:rsid w:val="003E3A70"/>
    <w:rsid w:val="003E3DE0"/>
    <w:rsid w:val="003F35DE"/>
    <w:rsid w:val="003F3D04"/>
    <w:rsid w:val="003F4B01"/>
    <w:rsid w:val="003F4BD9"/>
    <w:rsid w:val="003F4FFE"/>
    <w:rsid w:val="003F514B"/>
    <w:rsid w:val="00401892"/>
    <w:rsid w:val="00402948"/>
    <w:rsid w:val="0040425A"/>
    <w:rsid w:val="00404AEC"/>
    <w:rsid w:val="00406E51"/>
    <w:rsid w:val="00406F7F"/>
    <w:rsid w:val="00407605"/>
    <w:rsid w:val="0040796A"/>
    <w:rsid w:val="00411DC2"/>
    <w:rsid w:val="00412AE3"/>
    <w:rsid w:val="00413C39"/>
    <w:rsid w:val="00423CB0"/>
    <w:rsid w:val="00425FEA"/>
    <w:rsid w:val="0042731F"/>
    <w:rsid w:val="00432168"/>
    <w:rsid w:val="0043216F"/>
    <w:rsid w:val="00432791"/>
    <w:rsid w:val="00432A4D"/>
    <w:rsid w:val="00433642"/>
    <w:rsid w:val="00433785"/>
    <w:rsid w:val="0043512D"/>
    <w:rsid w:val="0043526F"/>
    <w:rsid w:val="00435AB3"/>
    <w:rsid w:val="00436B83"/>
    <w:rsid w:val="0044094F"/>
    <w:rsid w:val="00445C6C"/>
    <w:rsid w:val="00445F96"/>
    <w:rsid w:val="00446055"/>
    <w:rsid w:val="004460BB"/>
    <w:rsid w:val="0044705E"/>
    <w:rsid w:val="0044728A"/>
    <w:rsid w:val="00447769"/>
    <w:rsid w:val="00451695"/>
    <w:rsid w:val="00451E2F"/>
    <w:rsid w:val="00451FD0"/>
    <w:rsid w:val="004553E4"/>
    <w:rsid w:val="00455965"/>
    <w:rsid w:val="00455ED4"/>
    <w:rsid w:val="00455FB5"/>
    <w:rsid w:val="00456526"/>
    <w:rsid w:val="00456D5E"/>
    <w:rsid w:val="0046016A"/>
    <w:rsid w:val="00460875"/>
    <w:rsid w:val="00461DCF"/>
    <w:rsid w:val="00462D2C"/>
    <w:rsid w:val="0046475E"/>
    <w:rsid w:val="00464944"/>
    <w:rsid w:val="0046676B"/>
    <w:rsid w:val="00467972"/>
    <w:rsid w:val="00470A0A"/>
    <w:rsid w:val="0047159B"/>
    <w:rsid w:val="00473FAE"/>
    <w:rsid w:val="00474D1E"/>
    <w:rsid w:val="00475A33"/>
    <w:rsid w:val="00475D0F"/>
    <w:rsid w:val="00477CAD"/>
    <w:rsid w:val="00481431"/>
    <w:rsid w:val="00484816"/>
    <w:rsid w:val="004876A5"/>
    <w:rsid w:val="00487F83"/>
    <w:rsid w:val="0049011F"/>
    <w:rsid w:val="004901C2"/>
    <w:rsid w:val="00490B20"/>
    <w:rsid w:val="0049337D"/>
    <w:rsid w:val="0049365C"/>
    <w:rsid w:val="0049392F"/>
    <w:rsid w:val="0049583F"/>
    <w:rsid w:val="00496BBA"/>
    <w:rsid w:val="004A0926"/>
    <w:rsid w:val="004A2C8C"/>
    <w:rsid w:val="004A3E35"/>
    <w:rsid w:val="004A46D7"/>
    <w:rsid w:val="004A6F6E"/>
    <w:rsid w:val="004B38CA"/>
    <w:rsid w:val="004B52CF"/>
    <w:rsid w:val="004B5740"/>
    <w:rsid w:val="004B5D78"/>
    <w:rsid w:val="004B6193"/>
    <w:rsid w:val="004B7B94"/>
    <w:rsid w:val="004C0E82"/>
    <w:rsid w:val="004C13CA"/>
    <w:rsid w:val="004C1E85"/>
    <w:rsid w:val="004C299C"/>
    <w:rsid w:val="004C66D5"/>
    <w:rsid w:val="004C7442"/>
    <w:rsid w:val="004C7AC3"/>
    <w:rsid w:val="004C7D5B"/>
    <w:rsid w:val="004C7FD2"/>
    <w:rsid w:val="004D0460"/>
    <w:rsid w:val="004D1443"/>
    <w:rsid w:val="004D1C6E"/>
    <w:rsid w:val="004D26CD"/>
    <w:rsid w:val="004D2C87"/>
    <w:rsid w:val="004D2E45"/>
    <w:rsid w:val="004D3996"/>
    <w:rsid w:val="004D44FA"/>
    <w:rsid w:val="004D6AA5"/>
    <w:rsid w:val="004D7FFC"/>
    <w:rsid w:val="004E17FE"/>
    <w:rsid w:val="004E3B42"/>
    <w:rsid w:val="004E4466"/>
    <w:rsid w:val="004E6283"/>
    <w:rsid w:val="004F230F"/>
    <w:rsid w:val="004F25AD"/>
    <w:rsid w:val="004F616C"/>
    <w:rsid w:val="00502687"/>
    <w:rsid w:val="00503245"/>
    <w:rsid w:val="005035F8"/>
    <w:rsid w:val="0050448E"/>
    <w:rsid w:val="005076FA"/>
    <w:rsid w:val="00507C8E"/>
    <w:rsid w:val="00510928"/>
    <w:rsid w:val="00512C4D"/>
    <w:rsid w:val="00521FAF"/>
    <w:rsid w:val="00522470"/>
    <w:rsid w:val="00522AB8"/>
    <w:rsid w:val="00523B4D"/>
    <w:rsid w:val="00524CC3"/>
    <w:rsid w:val="00527BC1"/>
    <w:rsid w:val="00527CF8"/>
    <w:rsid w:val="00530866"/>
    <w:rsid w:val="00530F09"/>
    <w:rsid w:val="00533E99"/>
    <w:rsid w:val="00533F62"/>
    <w:rsid w:val="005357C2"/>
    <w:rsid w:val="00536360"/>
    <w:rsid w:val="00536B15"/>
    <w:rsid w:val="0053745A"/>
    <w:rsid w:val="005379C8"/>
    <w:rsid w:val="00537BA1"/>
    <w:rsid w:val="00540F9E"/>
    <w:rsid w:val="0054621C"/>
    <w:rsid w:val="005470F0"/>
    <w:rsid w:val="005477D2"/>
    <w:rsid w:val="005500D7"/>
    <w:rsid w:val="005506B4"/>
    <w:rsid w:val="00552159"/>
    <w:rsid w:val="00552B18"/>
    <w:rsid w:val="00553DC2"/>
    <w:rsid w:val="0055409B"/>
    <w:rsid w:val="00554525"/>
    <w:rsid w:val="005546D1"/>
    <w:rsid w:val="00555188"/>
    <w:rsid w:val="005556AD"/>
    <w:rsid w:val="00555C3C"/>
    <w:rsid w:val="00556425"/>
    <w:rsid w:val="005567CE"/>
    <w:rsid w:val="005616B2"/>
    <w:rsid w:val="0056295A"/>
    <w:rsid w:val="00564866"/>
    <w:rsid w:val="00565AC8"/>
    <w:rsid w:val="005664FC"/>
    <w:rsid w:val="00567C29"/>
    <w:rsid w:val="00567F50"/>
    <w:rsid w:val="00570313"/>
    <w:rsid w:val="00570605"/>
    <w:rsid w:val="005706D1"/>
    <w:rsid w:val="00573E61"/>
    <w:rsid w:val="00575078"/>
    <w:rsid w:val="005762DD"/>
    <w:rsid w:val="005808FF"/>
    <w:rsid w:val="00585CE7"/>
    <w:rsid w:val="005860E0"/>
    <w:rsid w:val="00590FC2"/>
    <w:rsid w:val="00594E2F"/>
    <w:rsid w:val="0059514E"/>
    <w:rsid w:val="00595646"/>
    <w:rsid w:val="00595B69"/>
    <w:rsid w:val="00595EC5"/>
    <w:rsid w:val="00596197"/>
    <w:rsid w:val="005962DA"/>
    <w:rsid w:val="00596E47"/>
    <w:rsid w:val="005A02E5"/>
    <w:rsid w:val="005A17ED"/>
    <w:rsid w:val="005A1ED7"/>
    <w:rsid w:val="005A2801"/>
    <w:rsid w:val="005A3093"/>
    <w:rsid w:val="005A5F86"/>
    <w:rsid w:val="005A6C26"/>
    <w:rsid w:val="005A7429"/>
    <w:rsid w:val="005A752E"/>
    <w:rsid w:val="005A7950"/>
    <w:rsid w:val="005B0148"/>
    <w:rsid w:val="005B0830"/>
    <w:rsid w:val="005B0857"/>
    <w:rsid w:val="005B1EE7"/>
    <w:rsid w:val="005B5953"/>
    <w:rsid w:val="005C1191"/>
    <w:rsid w:val="005C5421"/>
    <w:rsid w:val="005C6B18"/>
    <w:rsid w:val="005C6D42"/>
    <w:rsid w:val="005D040D"/>
    <w:rsid w:val="005D162F"/>
    <w:rsid w:val="005D2A69"/>
    <w:rsid w:val="005D6774"/>
    <w:rsid w:val="005D6C59"/>
    <w:rsid w:val="005D766A"/>
    <w:rsid w:val="005D78E5"/>
    <w:rsid w:val="005E0CE4"/>
    <w:rsid w:val="005E389E"/>
    <w:rsid w:val="005E529E"/>
    <w:rsid w:val="005E5C07"/>
    <w:rsid w:val="005E6B58"/>
    <w:rsid w:val="005E749D"/>
    <w:rsid w:val="005F1608"/>
    <w:rsid w:val="005F3D8A"/>
    <w:rsid w:val="00602263"/>
    <w:rsid w:val="006066D8"/>
    <w:rsid w:val="00606A0A"/>
    <w:rsid w:val="00607083"/>
    <w:rsid w:val="006107C0"/>
    <w:rsid w:val="006120D0"/>
    <w:rsid w:val="006139B0"/>
    <w:rsid w:val="00614886"/>
    <w:rsid w:val="00614E2F"/>
    <w:rsid w:val="006157F4"/>
    <w:rsid w:val="006179FC"/>
    <w:rsid w:val="006202C9"/>
    <w:rsid w:val="00621D20"/>
    <w:rsid w:val="00622C3E"/>
    <w:rsid w:val="00622CA1"/>
    <w:rsid w:val="00630C8A"/>
    <w:rsid w:val="00630D4D"/>
    <w:rsid w:val="0063105E"/>
    <w:rsid w:val="006315FC"/>
    <w:rsid w:val="00631AFB"/>
    <w:rsid w:val="00635236"/>
    <w:rsid w:val="00637795"/>
    <w:rsid w:val="00640D07"/>
    <w:rsid w:val="00641468"/>
    <w:rsid w:val="00642057"/>
    <w:rsid w:val="00642528"/>
    <w:rsid w:val="00644B17"/>
    <w:rsid w:val="00644DB7"/>
    <w:rsid w:val="006468A6"/>
    <w:rsid w:val="00646AFD"/>
    <w:rsid w:val="00646CA5"/>
    <w:rsid w:val="0065095C"/>
    <w:rsid w:val="00651757"/>
    <w:rsid w:val="0065341E"/>
    <w:rsid w:val="00656D0C"/>
    <w:rsid w:val="00657048"/>
    <w:rsid w:val="00657592"/>
    <w:rsid w:val="0066073D"/>
    <w:rsid w:val="00661385"/>
    <w:rsid w:val="00662E1F"/>
    <w:rsid w:val="00664008"/>
    <w:rsid w:val="00665266"/>
    <w:rsid w:val="0066711D"/>
    <w:rsid w:val="00670865"/>
    <w:rsid w:val="00672A67"/>
    <w:rsid w:val="00675ED4"/>
    <w:rsid w:val="00680633"/>
    <w:rsid w:val="00680997"/>
    <w:rsid w:val="00681F55"/>
    <w:rsid w:val="00683B95"/>
    <w:rsid w:val="00684789"/>
    <w:rsid w:val="006855F5"/>
    <w:rsid w:val="00691432"/>
    <w:rsid w:val="006938FF"/>
    <w:rsid w:val="006944B1"/>
    <w:rsid w:val="006A4507"/>
    <w:rsid w:val="006A5ECB"/>
    <w:rsid w:val="006B1A78"/>
    <w:rsid w:val="006B37FE"/>
    <w:rsid w:val="006B38BC"/>
    <w:rsid w:val="006B5078"/>
    <w:rsid w:val="006B5FDB"/>
    <w:rsid w:val="006B67F7"/>
    <w:rsid w:val="006C1E17"/>
    <w:rsid w:val="006C2FF2"/>
    <w:rsid w:val="006C3BA9"/>
    <w:rsid w:val="006C4DD0"/>
    <w:rsid w:val="006C50A3"/>
    <w:rsid w:val="006C59BC"/>
    <w:rsid w:val="006C680D"/>
    <w:rsid w:val="006C75ED"/>
    <w:rsid w:val="006D0F1B"/>
    <w:rsid w:val="006D11FA"/>
    <w:rsid w:val="006D1D72"/>
    <w:rsid w:val="006D2564"/>
    <w:rsid w:val="006D2634"/>
    <w:rsid w:val="006D47A0"/>
    <w:rsid w:val="006D4881"/>
    <w:rsid w:val="006D4E62"/>
    <w:rsid w:val="006D4EAE"/>
    <w:rsid w:val="006E0CFA"/>
    <w:rsid w:val="006E0DB4"/>
    <w:rsid w:val="006E1FCD"/>
    <w:rsid w:val="006E3928"/>
    <w:rsid w:val="006E435A"/>
    <w:rsid w:val="006E529B"/>
    <w:rsid w:val="006E5709"/>
    <w:rsid w:val="006E6638"/>
    <w:rsid w:val="006E6786"/>
    <w:rsid w:val="006E6C8A"/>
    <w:rsid w:val="006F012D"/>
    <w:rsid w:val="006F12EB"/>
    <w:rsid w:val="006F19CF"/>
    <w:rsid w:val="006F322D"/>
    <w:rsid w:val="006F3676"/>
    <w:rsid w:val="006F5D64"/>
    <w:rsid w:val="006F61F9"/>
    <w:rsid w:val="006F754E"/>
    <w:rsid w:val="00701E7C"/>
    <w:rsid w:val="00704481"/>
    <w:rsid w:val="007049B9"/>
    <w:rsid w:val="00707DE4"/>
    <w:rsid w:val="00707EB0"/>
    <w:rsid w:val="00711356"/>
    <w:rsid w:val="00711662"/>
    <w:rsid w:val="00711E96"/>
    <w:rsid w:val="00712D77"/>
    <w:rsid w:val="00713526"/>
    <w:rsid w:val="007142DA"/>
    <w:rsid w:val="007145E9"/>
    <w:rsid w:val="0071466C"/>
    <w:rsid w:val="007163A7"/>
    <w:rsid w:val="00720A3E"/>
    <w:rsid w:val="00721695"/>
    <w:rsid w:val="00721774"/>
    <w:rsid w:val="0072225F"/>
    <w:rsid w:val="00724107"/>
    <w:rsid w:val="007274E9"/>
    <w:rsid w:val="00731587"/>
    <w:rsid w:val="0073163C"/>
    <w:rsid w:val="00734605"/>
    <w:rsid w:val="0073550F"/>
    <w:rsid w:val="00736858"/>
    <w:rsid w:val="00740BF8"/>
    <w:rsid w:val="0074104D"/>
    <w:rsid w:val="00741AC2"/>
    <w:rsid w:val="007474C6"/>
    <w:rsid w:val="00747BA2"/>
    <w:rsid w:val="00750230"/>
    <w:rsid w:val="007502FE"/>
    <w:rsid w:val="007520C7"/>
    <w:rsid w:val="00752881"/>
    <w:rsid w:val="00753BC3"/>
    <w:rsid w:val="00755F90"/>
    <w:rsid w:val="00756D4B"/>
    <w:rsid w:val="00760FBC"/>
    <w:rsid w:val="00761B26"/>
    <w:rsid w:val="00763CD6"/>
    <w:rsid w:val="00763E4E"/>
    <w:rsid w:val="00764C68"/>
    <w:rsid w:val="00764D7A"/>
    <w:rsid w:val="00765885"/>
    <w:rsid w:val="00767275"/>
    <w:rsid w:val="007715AA"/>
    <w:rsid w:val="00772D7D"/>
    <w:rsid w:val="007776F4"/>
    <w:rsid w:val="007802F2"/>
    <w:rsid w:val="00780EFE"/>
    <w:rsid w:val="00781729"/>
    <w:rsid w:val="007828E3"/>
    <w:rsid w:val="007855F1"/>
    <w:rsid w:val="00785DFE"/>
    <w:rsid w:val="00786D59"/>
    <w:rsid w:val="00786F26"/>
    <w:rsid w:val="00790B70"/>
    <w:rsid w:val="007938BA"/>
    <w:rsid w:val="00795C74"/>
    <w:rsid w:val="0079691E"/>
    <w:rsid w:val="007A0287"/>
    <w:rsid w:val="007A1A20"/>
    <w:rsid w:val="007A31A8"/>
    <w:rsid w:val="007A3D1C"/>
    <w:rsid w:val="007A3F7C"/>
    <w:rsid w:val="007A5AB2"/>
    <w:rsid w:val="007A7743"/>
    <w:rsid w:val="007A7911"/>
    <w:rsid w:val="007B0F7F"/>
    <w:rsid w:val="007B14ED"/>
    <w:rsid w:val="007B373E"/>
    <w:rsid w:val="007B5EB9"/>
    <w:rsid w:val="007C0FA7"/>
    <w:rsid w:val="007C123B"/>
    <w:rsid w:val="007C1E0F"/>
    <w:rsid w:val="007C22CD"/>
    <w:rsid w:val="007C4AF8"/>
    <w:rsid w:val="007C5AF0"/>
    <w:rsid w:val="007C6D11"/>
    <w:rsid w:val="007C7B5A"/>
    <w:rsid w:val="007D169A"/>
    <w:rsid w:val="007D2B08"/>
    <w:rsid w:val="007D5B21"/>
    <w:rsid w:val="007D5E70"/>
    <w:rsid w:val="007D5EFD"/>
    <w:rsid w:val="007E0457"/>
    <w:rsid w:val="007E0A1C"/>
    <w:rsid w:val="007E1F73"/>
    <w:rsid w:val="007E21AB"/>
    <w:rsid w:val="007E28E0"/>
    <w:rsid w:val="007E377F"/>
    <w:rsid w:val="007E4B0C"/>
    <w:rsid w:val="007E6875"/>
    <w:rsid w:val="007F16B4"/>
    <w:rsid w:val="007F2BB0"/>
    <w:rsid w:val="007F3FDE"/>
    <w:rsid w:val="007F5141"/>
    <w:rsid w:val="007F5FA8"/>
    <w:rsid w:val="007F651F"/>
    <w:rsid w:val="008009BC"/>
    <w:rsid w:val="00800BA7"/>
    <w:rsid w:val="00801FBA"/>
    <w:rsid w:val="008023FE"/>
    <w:rsid w:val="00802B46"/>
    <w:rsid w:val="008053F7"/>
    <w:rsid w:val="008066E6"/>
    <w:rsid w:val="0080704C"/>
    <w:rsid w:val="008079C5"/>
    <w:rsid w:val="00810407"/>
    <w:rsid w:val="00810E7C"/>
    <w:rsid w:val="00812DFF"/>
    <w:rsid w:val="00813428"/>
    <w:rsid w:val="008138E0"/>
    <w:rsid w:val="0081468C"/>
    <w:rsid w:val="008207D4"/>
    <w:rsid w:val="00820DB5"/>
    <w:rsid w:val="00822A89"/>
    <w:rsid w:val="00832056"/>
    <w:rsid w:val="008326F9"/>
    <w:rsid w:val="008336FE"/>
    <w:rsid w:val="008349BF"/>
    <w:rsid w:val="00834D41"/>
    <w:rsid w:val="00840681"/>
    <w:rsid w:val="00840E0E"/>
    <w:rsid w:val="00840E83"/>
    <w:rsid w:val="00841AFC"/>
    <w:rsid w:val="008454D2"/>
    <w:rsid w:val="0084672E"/>
    <w:rsid w:val="0084758C"/>
    <w:rsid w:val="00847DA5"/>
    <w:rsid w:val="0085172A"/>
    <w:rsid w:val="008527CE"/>
    <w:rsid w:val="00854199"/>
    <w:rsid w:val="00854793"/>
    <w:rsid w:val="0085746C"/>
    <w:rsid w:val="00864EC0"/>
    <w:rsid w:val="00866F39"/>
    <w:rsid w:val="0086765F"/>
    <w:rsid w:val="00870A3E"/>
    <w:rsid w:val="00871A3A"/>
    <w:rsid w:val="008731B7"/>
    <w:rsid w:val="00874FC3"/>
    <w:rsid w:val="008757A2"/>
    <w:rsid w:val="00876289"/>
    <w:rsid w:val="00877AB8"/>
    <w:rsid w:val="00882845"/>
    <w:rsid w:val="0088303A"/>
    <w:rsid w:val="0088485B"/>
    <w:rsid w:val="00887E21"/>
    <w:rsid w:val="00893DBA"/>
    <w:rsid w:val="00894561"/>
    <w:rsid w:val="008A248F"/>
    <w:rsid w:val="008A329C"/>
    <w:rsid w:val="008A391A"/>
    <w:rsid w:val="008A3B12"/>
    <w:rsid w:val="008A5519"/>
    <w:rsid w:val="008A74B6"/>
    <w:rsid w:val="008A74C3"/>
    <w:rsid w:val="008B0ECA"/>
    <w:rsid w:val="008B1F0A"/>
    <w:rsid w:val="008B4E00"/>
    <w:rsid w:val="008B50CB"/>
    <w:rsid w:val="008B5B5A"/>
    <w:rsid w:val="008B722F"/>
    <w:rsid w:val="008C2ED6"/>
    <w:rsid w:val="008C6419"/>
    <w:rsid w:val="008C686C"/>
    <w:rsid w:val="008C705E"/>
    <w:rsid w:val="008D012F"/>
    <w:rsid w:val="008D128E"/>
    <w:rsid w:val="008D14A7"/>
    <w:rsid w:val="008D180F"/>
    <w:rsid w:val="008D1D83"/>
    <w:rsid w:val="008D2AAB"/>
    <w:rsid w:val="008D4455"/>
    <w:rsid w:val="008D5BA6"/>
    <w:rsid w:val="008D6018"/>
    <w:rsid w:val="008D605F"/>
    <w:rsid w:val="008D68B9"/>
    <w:rsid w:val="008E0252"/>
    <w:rsid w:val="008E05F6"/>
    <w:rsid w:val="008E07F7"/>
    <w:rsid w:val="008E272E"/>
    <w:rsid w:val="008E3A97"/>
    <w:rsid w:val="008E7E2B"/>
    <w:rsid w:val="008E7F25"/>
    <w:rsid w:val="008F20BE"/>
    <w:rsid w:val="008F221E"/>
    <w:rsid w:val="008F38E6"/>
    <w:rsid w:val="008F593B"/>
    <w:rsid w:val="00900023"/>
    <w:rsid w:val="00900533"/>
    <w:rsid w:val="00906895"/>
    <w:rsid w:val="00911BC3"/>
    <w:rsid w:val="00912834"/>
    <w:rsid w:val="00917F28"/>
    <w:rsid w:val="00920C4C"/>
    <w:rsid w:val="00921287"/>
    <w:rsid w:val="00922E32"/>
    <w:rsid w:val="00924439"/>
    <w:rsid w:val="009253F0"/>
    <w:rsid w:val="009262B5"/>
    <w:rsid w:val="009270E7"/>
    <w:rsid w:val="009272D1"/>
    <w:rsid w:val="00927A04"/>
    <w:rsid w:val="00927C5D"/>
    <w:rsid w:val="00927EB6"/>
    <w:rsid w:val="0093015C"/>
    <w:rsid w:val="00930C5E"/>
    <w:rsid w:val="00930F39"/>
    <w:rsid w:val="009324F6"/>
    <w:rsid w:val="00933078"/>
    <w:rsid w:val="009331B9"/>
    <w:rsid w:val="0093363E"/>
    <w:rsid w:val="00934B51"/>
    <w:rsid w:val="00935A49"/>
    <w:rsid w:val="0093666A"/>
    <w:rsid w:val="009429D0"/>
    <w:rsid w:val="00946E72"/>
    <w:rsid w:val="00955891"/>
    <w:rsid w:val="009567C9"/>
    <w:rsid w:val="0096071C"/>
    <w:rsid w:val="00961010"/>
    <w:rsid w:val="00963BD7"/>
    <w:rsid w:val="0096632E"/>
    <w:rsid w:val="0096746B"/>
    <w:rsid w:val="00967940"/>
    <w:rsid w:val="00972D3C"/>
    <w:rsid w:val="00975BFB"/>
    <w:rsid w:val="009777CB"/>
    <w:rsid w:val="00980BC7"/>
    <w:rsid w:val="00980BE7"/>
    <w:rsid w:val="0098299C"/>
    <w:rsid w:val="00982CEC"/>
    <w:rsid w:val="0098663C"/>
    <w:rsid w:val="009906D2"/>
    <w:rsid w:val="0099102A"/>
    <w:rsid w:val="00991D5F"/>
    <w:rsid w:val="00994A30"/>
    <w:rsid w:val="00997408"/>
    <w:rsid w:val="009A0980"/>
    <w:rsid w:val="009A2A3A"/>
    <w:rsid w:val="009A7EB9"/>
    <w:rsid w:val="009B0884"/>
    <w:rsid w:val="009B2435"/>
    <w:rsid w:val="009B2B4C"/>
    <w:rsid w:val="009B3B76"/>
    <w:rsid w:val="009B3CB1"/>
    <w:rsid w:val="009B3F22"/>
    <w:rsid w:val="009B4F22"/>
    <w:rsid w:val="009B5634"/>
    <w:rsid w:val="009B6C68"/>
    <w:rsid w:val="009B7CFD"/>
    <w:rsid w:val="009C0BBE"/>
    <w:rsid w:val="009C2244"/>
    <w:rsid w:val="009C22B3"/>
    <w:rsid w:val="009C2D5D"/>
    <w:rsid w:val="009C3079"/>
    <w:rsid w:val="009C3411"/>
    <w:rsid w:val="009C4535"/>
    <w:rsid w:val="009C51BF"/>
    <w:rsid w:val="009C53B2"/>
    <w:rsid w:val="009C5FAB"/>
    <w:rsid w:val="009C650F"/>
    <w:rsid w:val="009D21A6"/>
    <w:rsid w:val="009D366A"/>
    <w:rsid w:val="009D3FBB"/>
    <w:rsid w:val="009D52E0"/>
    <w:rsid w:val="009D6F7B"/>
    <w:rsid w:val="009E0298"/>
    <w:rsid w:val="009E0499"/>
    <w:rsid w:val="009E0A08"/>
    <w:rsid w:val="009E1B6B"/>
    <w:rsid w:val="009E1D66"/>
    <w:rsid w:val="009E458D"/>
    <w:rsid w:val="009F193E"/>
    <w:rsid w:val="009F21B8"/>
    <w:rsid w:val="009F319A"/>
    <w:rsid w:val="009F54C8"/>
    <w:rsid w:val="009F5768"/>
    <w:rsid w:val="009F5A36"/>
    <w:rsid w:val="009F67D7"/>
    <w:rsid w:val="009F72A0"/>
    <w:rsid w:val="009F7707"/>
    <w:rsid w:val="009F77E9"/>
    <w:rsid w:val="009F7DCE"/>
    <w:rsid w:val="00A0037E"/>
    <w:rsid w:val="00A01AFE"/>
    <w:rsid w:val="00A02C6E"/>
    <w:rsid w:val="00A03514"/>
    <w:rsid w:val="00A04B85"/>
    <w:rsid w:val="00A10362"/>
    <w:rsid w:val="00A12C51"/>
    <w:rsid w:val="00A1366A"/>
    <w:rsid w:val="00A14513"/>
    <w:rsid w:val="00A14B10"/>
    <w:rsid w:val="00A154DE"/>
    <w:rsid w:val="00A16DC6"/>
    <w:rsid w:val="00A16DEA"/>
    <w:rsid w:val="00A1730A"/>
    <w:rsid w:val="00A21B0A"/>
    <w:rsid w:val="00A25236"/>
    <w:rsid w:val="00A27DF5"/>
    <w:rsid w:val="00A3022A"/>
    <w:rsid w:val="00A30CDC"/>
    <w:rsid w:val="00A317AD"/>
    <w:rsid w:val="00A32818"/>
    <w:rsid w:val="00A3388A"/>
    <w:rsid w:val="00A3409F"/>
    <w:rsid w:val="00A342E9"/>
    <w:rsid w:val="00A34552"/>
    <w:rsid w:val="00A350DF"/>
    <w:rsid w:val="00A43777"/>
    <w:rsid w:val="00A44258"/>
    <w:rsid w:val="00A44B83"/>
    <w:rsid w:val="00A461B8"/>
    <w:rsid w:val="00A46504"/>
    <w:rsid w:val="00A46599"/>
    <w:rsid w:val="00A47AC8"/>
    <w:rsid w:val="00A47D0A"/>
    <w:rsid w:val="00A50168"/>
    <w:rsid w:val="00A50C26"/>
    <w:rsid w:val="00A50D14"/>
    <w:rsid w:val="00A53DAE"/>
    <w:rsid w:val="00A54876"/>
    <w:rsid w:val="00A5500C"/>
    <w:rsid w:val="00A55731"/>
    <w:rsid w:val="00A5646F"/>
    <w:rsid w:val="00A565EB"/>
    <w:rsid w:val="00A56A43"/>
    <w:rsid w:val="00A57AE9"/>
    <w:rsid w:val="00A6123D"/>
    <w:rsid w:val="00A615E1"/>
    <w:rsid w:val="00A62576"/>
    <w:rsid w:val="00A63650"/>
    <w:rsid w:val="00A63F7C"/>
    <w:rsid w:val="00A65FDA"/>
    <w:rsid w:val="00A66876"/>
    <w:rsid w:val="00A66C7B"/>
    <w:rsid w:val="00A67B3C"/>
    <w:rsid w:val="00A719E7"/>
    <w:rsid w:val="00A72067"/>
    <w:rsid w:val="00A77C4F"/>
    <w:rsid w:val="00A77D88"/>
    <w:rsid w:val="00A80D59"/>
    <w:rsid w:val="00A8137A"/>
    <w:rsid w:val="00A841EB"/>
    <w:rsid w:val="00A8452B"/>
    <w:rsid w:val="00A8576E"/>
    <w:rsid w:val="00A86A57"/>
    <w:rsid w:val="00A87210"/>
    <w:rsid w:val="00A878D9"/>
    <w:rsid w:val="00A90A90"/>
    <w:rsid w:val="00A91015"/>
    <w:rsid w:val="00A91549"/>
    <w:rsid w:val="00A9241C"/>
    <w:rsid w:val="00A92862"/>
    <w:rsid w:val="00A93362"/>
    <w:rsid w:val="00A93A92"/>
    <w:rsid w:val="00A97840"/>
    <w:rsid w:val="00A97CD9"/>
    <w:rsid w:val="00A97D29"/>
    <w:rsid w:val="00AA1B23"/>
    <w:rsid w:val="00AA2D3D"/>
    <w:rsid w:val="00AA48F2"/>
    <w:rsid w:val="00AA5307"/>
    <w:rsid w:val="00AB1976"/>
    <w:rsid w:val="00AB3724"/>
    <w:rsid w:val="00AB4524"/>
    <w:rsid w:val="00AB4D34"/>
    <w:rsid w:val="00AB53E7"/>
    <w:rsid w:val="00AB6891"/>
    <w:rsid w:val="00AB7755"/>
    <w:rsid w:val="00AC2933"/>
    <w:rsid w:val="00AC4BE8"/>
    <w:rsid w:val="00AD1855"/>
    <w:rsid w:val="00AD1DD2"/>
    <w:rsid w:val="00AD3063"/>
    <w:rsid w:val="00AE361F"/>
    <w:rsid w:val="00AE3A1E"/>
    <w:rsid w:val="00AE49F2"/>
    <w:rsid w:val="00AE4E9E"/>
    <w:rsid w:val="00AE554B"/>
    <w:rsid w:val="00AE5D85"/>
    <w:rsid w:val="00AE5FF0"/>
    <w:rsid w:val="00AE604E"/>
    <w:rsid w:val="00AE71A1"/>
    <w:rsid w:val="00AF09D4"/>
    <w:rsid w:val="00AF45E7"/>
    <w:rsid w:val="00AF65C3"/>
    <w:rsid w:val="00B01DD6"/>
    <w:rsid w:val="00B02DE3"/>
    <w:rsid w:val="00B05E7D"/>
    <w:rsid w:val="00B06227"/>
    <w:rsid w:val="00B07815"/>
    <w:rsid w:val="00B1091D"/>
    <w:rsid w:val="00B130D2"/>
    <w:rsid w:val="00B1369D"/>
    <w:rsid w:val="00B1427D"/>
    <w:rsid w:val="00B1516A"/>
    <w:rsid w:val="00B15594"/>
    <w:rsid w:val="00B1601A"/>
    <w:rsid w:val="00B21E32"/>
    <w:rsid w:val="00B22405"/>
    <w:rsid w:val="00B2343F"/>
    <w:rsid w:val="00B23BA3"/>
    <w:rsid w:val="00B25AAC"/>
    <w:rsid w:val="00B26B19"/>
    <w:rsid w:val="00B2741A"/>
    <w:rsid w:val="00B30AC8"/>
    <w:rsid w:val="00B31284"/>
    <w:rsid w:val="00B31921"/>
    <w:rsid w:val="00B31C04"/>
    <w:rsid w:val="00B328B9"/>
    <w:rsid w:val="00B339DF"/>
    <w:rsid w:val="00B33C5C"/>
    <w:rsid w:val="00B3415F"/>
    <w:rsid w:val="00B3494C"/>
    <w:rsid w:val="00B35ADC"/>
    <w:rsid w:val="00B3626F"/>
    <w:rsid w:val="00B362F4"/>
    <w:rsid w:val="00B37011"/>
    <w:rsid w:val="00B37929"/>
    <w:rsid w:val="00B400F7"/>
    <w:rsid w:val="00B410F4"/>
    <w:rsid w:val="00B4263A"/>
    <w:rsid w:val="00B42BEB"/>
    <w:rsid w:val="00B43AE3"/>
    <w:rsid w:val="00B44A27"/>
    <w:rsid w:val="00B50774"/>
    <w:rsid w:val="00B518B7"/>
    <w:rsid w:val="00B51BBC"/>
    <w:rsid w:val="00B52287"/>
    <w:rsid w:val="00B5311A"/>
    <w:rsid w:val="00B54A85"/>
    <w:rsid w:val="00B550B1"/>
    <w:rsid w:val="00B55990"/>
    <w:rsid w:val="00B60B47"/>
    <w:rsid w:val="00B626D4"/>
    <w:rsid w:val="00B6583B"/>
    <w:rsid w:val="00B7297E"/>
    <w:rsid w:val="00B73E4C"/>
    <w:rsid w:val="00B77270"/>
    <w:rsid w:val="00B80A38"/>
    <w:rsid w:val="00B80A3A"/>
    <w:rsid w:val="00B81530"/>
    <w:rsid w:val="00B83C9F"/>
    <w:rsid w:val="00B85F4D"/>
    <w:rsid w:val="00B91248"/>
    <w:rsid w:val="00B92A7B"/>
    <w:rsid w:val="00B9360C"/>
    <w:rsid w:val="00B948A6"/>
    <w:rsid w:val="00B948C5"/>
    <w:rsid w:val="00B94ED9"/>
    <w:rsid w:val="00B960B5"/>
    <w:rsid w:val="00B97578"/>
    <w:rsid w:val="00BA09C7"/>
    <w:rsid w:val="00BA1A2C"/>
    <w:rsid w:val="00BA396D"/>
    <w:rsid w:val="00BA6388"/>
    <w:rsid w:val="00BA6400"/>
    <w:rsid w:val="00BA66D3"/>
    <w:rsid w:val="00BB117B"/>
    <w:rsid w:val="00BB2B91"/>
    <w:rsid w:val="00BB2F43"/>
    <w:rsid w:val="00BB328E"/>
    <w:rsid w:val="00BB37BE"/>
    <w:rsid w:val="00BB3A86"/>
    <w:rsid w:val="00BB430B"/>
    <w:rsid w:val="00BB4F82"/>
    <w:rsid w:val="00BB5A63"/>
    <w:rsid w:val="00BB73FA"/>
    <w:rsid w:val="00BC3232"/>
    <w:rsid w:val="00BC368C"/>
    <w:rsid w:val="00BC5A0B"/>
    <w:rsid w:val="00BD0987"/>
    <w:rsid w:val="00BD1260"/>
    <w:rsid w:val="00BD5759"/>
    <w:rsid w:val="00BE2F61"/>
    <w:rsid w:val="00BE59FA"/>
    <w:rsid w:val="00BE6519"/>
    <w:rsid w:val="00BE663C"/>
    <w:rsid w:val="00BF245D"/>
    <w:rsid w:val="00BF368E"/>
    <w:rsid w:val="00BF3805"/>
    <w:rsid w:val="00BF3869"/>
    <w:rsid w:val="00BF4ED3"/>
    <w:rsid w:val="00BF5A29"/>
    <w:rsid w:val="00BF6CEE"/>
    <w:rsid w:val="00C01D13"/>
    <w:rsid w:val="00C020B4"/>
    <w:rsid w:val="00C04F7A"/>
    <w:rsid w:val="00C05102"/>
    <w:rsid w:val="00C05951"/>
    <w:rsid w:val="00C067EB"/>
    <w:rsid w:val="00C068B5"/>
    <w:rsid w:val="00C12510"/>
    <w:rsid w:val="00C1382F"/>
    <w:rsid w:val="00C14EE7"/>
    <w:rsid w:val="00C20CA8"/>
    <w:rsid w:val="00C23E19"/>
    <w:rsid w:val="00C25E27"/>
    <w:rsid w:val="00C26877"/>
    <w:rsid w:val="00C26FB7"/>
    <w:rsid w:val="00C27737"/>
    <w:rsid w:val="00C27BD0"/>
    <w:rsid w:val="00C30B8E"/>
    <w:rsid w:val="00C30FBC"/>
    <w:rsid w:val="00C31412"/>
    <w:rsid w:val="00C328AA"/>
    <w:rsid w:val="00C32916"/>
    <w:rsid w:val="00C32D17"/>
    <w:rsid w:val="00C336EE"/>
    <w:rsid w:val="00C35D56"/>
    <w:rsid w:val="00C36A1B"/>
    <w:rsid w:val="00C37114"/>
    <w:rsid w:val="00C42F8A"/>
    <w:rsid w:val="00C46260"/>
    <w:rsid w:val="00C47CCC"/>
    <w:rsid w:val="00C52B71"/>
    <w:rsid w:val="00C53B74"/>
    <w:rsid w:val="00C53E4C"/>
    <w:rsid w:val="00C56075"/>
    <w:rsid w:val="00C573CE"/>
    <w:rsid w:val="00C57D97"/>
    <w:rsid w:val="00C61904"/>
    <w:rsid w:val="00C63958"/>
    <w:rsid w:val="00C64030"/>
    <w:rsid w:val="00C649AE"/>
    <w:rsid w:val="00C64CFD"/>
    <w:rsid w:val="00C64F87"/>
    <w:rsid w:val="00C652CA"/>
    <w:rsid w:val="00C66DC8"/>
    <w:rsid w:val="00C72894"/>
    <w:rsid w:val="00C73853"/>
    <w:rsid w:val="00C74AB8"/>
    <w:rsid w:val="00C76D9A"/>
    <w:rsid w:val="00C7762C"/>
    <w:rsid w:val="00C77917"/>
    <w:rsid w:val="00C80FE4"/>
    <w:rsid w:val="00C81C4A"/>
    <w:rsid w:val="00C828B7"/>
    <w:rsid w:val="00C84237"/>
    <w:rsid w:val="00C84C57"/>
    <w:rsid w:val="00C862E2"/>
    <w:rsid w:val="00C87BCA"/>
    <w:rsid w:val="00C92515"/>
    <w:rsid w:val="00C9599B"/>
    <w:rsid w:val="00C95AE3"/>
    <w:rsid w:val="00CA01AA"/>
    <w:rsid w:val="00CA0778"/>
    <w:rsid w:val="00CA1F1A"/>
    <w:rsid w:val="00CA4016"/>
    <w:rsid w:val="00CA779B"/>
    <w:rsid w:val="00CA7F33"/>
    <w:rsid w:val="00CB2A3A"/>
    <w:rsid w:val="00CB3EAF"/>
    <w:rsid w:val="00CB419C"/>
    <w:rsid w:val="00CB5177"/>
    <w:rsid w:val="00CB53B2"/>
    <w:rsid w:val="00CB7510"/>
    <w:rsid w:val="00CB7FE8"/>
    <w:rsid w:val="00CC00C0"/>
    <w:rsid w:val="00CC4136"/>
    <w:rsid w:val="00CC5450"/>
    <w:rsid w:val="00CC773E"/>
    <w:rsid w:val="00CC7F8A"/>
    <w:rsid w:val="00CC7FC7"/>
    <w:rsid w:val="00CD0BCC"/>
    <w:rsid w:val="00CD11AF"/>
    <w:rsid w:val="00CD216E"/>
    <w:rsid w:val="00CD34C9"/>
    <w:rsid w:val="00CD4509"/>
    <w:rsid w:val="00CD46CC"/>
    <w:rsid w:val="00CD4D2C"/>
    <w:rsid w:val="00CD5F23"/>
    <w:rsid w:val="00CD7666"/>
    <w:rsid w:val="00CE0607"/>
    <w:rsid w:val="00CE06E1"/>
    <w:rsid w:val="00CE11DE"/>
    <w:rsid w:val="00CE1BCE"/>
    <w:rsid w:val="00CE27D1"/>
    <w:rsid w:val="00CE2C23"/>
    <w:rsid w:val="00CE65D4"/>
    <w:rsid w:val="00CF091E"/>
    <w:rsid w:val="00CF456D"/>
    <w:rsid w:val="00CF4BDC"/>
    <w:rsid w:val="00CF4F55"/>
    <w:rsid w:val="00CF553B"/>
    <w:rsid w:val="00CF5832"/>
    <w:rsid w:val="00D0493E"/>
    <w:rsid w:val="00D04C66"/>
    <w:rsid w:val="00D05799"/>
    <w:rsid w:val="00D07FA0"/>
    <w:rsid w:val="00D102C7"/>
    <w:rsid w:val="00D115CC"/>
    <w:rsid w:val="00D12EEE"/>
    <w:rsid w:val="00D15B08"/>
    <w:rsid w:val="00D15BBF"/>
    <w:rsid w:val="00D17A48"/>
    <w:rsid w:val="00D202EB"/>
    <w:rsid w:val="00D20A25"/>
    <w:rsid w:val="00D20EC3"/>
    <w:rsid w:val="00D21D0D"/>
    <w:rsid w:val="00D2329F"/>
    <w:rsid w:val="00D236E2"/>
    <w:rsid w:val="00D26EA0"/>
    <w:rsid w:val="00D274F1"/>
    <w:rsid w:val="00D31374"/>
    <w:rsid w:val="00D3212C"/>
    <w:rsid w:val="00D348CC"/>
    <w:rsid w:val="00D349D5"/>
    <w:rsid w:val="00D351A9"/>
    <w:rsid w:val="00D3712D"/>
    <w:rsid w:val="00D40960"/>
    <w:rsid w:val="00D40DF3"/>
    <w:rsid w:val="00D41732"/>
    <w:rsid w:val="00D4243B"/>
    <w:rsid w:val="00D42E55"/>
    <w:rsid w:val="00D43822"/>
    <w:rsid w:val="00D47D98"/>
    <w:rsid w:val="00D5242D"/>
    <w:rsid w:val="00D5258B"/>
    <w:rsid w:val="00D54364"/>
    <w:rsid w:val="00D54B44"/>
    <w:rsid w:val="00D54CD1"/>
    <w:rsid w:val="00D55A05"/>
    <w:rsid w:val="00D56411"/>
    <w:rsid w:val="00D56FE1"/>
    <w:rsid w:val="00D57C9F"/>
    <w:rsid w:val="00D60B01"/>
    <w:rsid w:val="00D63667"/>
    <w:rsid w:val="00D63FB5"/>
    <w:rsid w:val="00D64131"/>
    <w:rsid w:val="00D644FF"/>
    <w:rsid w:val="00D713CF"/>
    <w:rsid w:val="00D71B65"/>
    <w:rsid w:val="00D72B57"/>
    <w:rsid w:val="00D73A99"/>
    <w:rsid w:val="00D73B29"/>
    <w:rsid w:val="00D749CC"/>
    <w:rsid w:val="00D75044"/>
    <w:rsid w:val="00D76123"/>
    <w:rsid w:val="00D77988"/>
    <w:rsid w:val="00D84911"/>
    <w:rsid w:val="00D8525A"/>
    <w:rsid w:val="00D85A55"/>
    <w:rsid w:val="00D86AAE"/>
    <w:rsid w:val="00D86B1D"/>
    <w:rsid w:val="00D87223"/>
    <w:rsid w:val="00D87640"/>
    <w:rsid w:val="00D8771E"/>
    <w:rsid w:val="00D9160A"/>
    <w:rsid w:val="00D93F3C"/>
    <w:rsid w:val="00D9523C"/>
    <w:rsid w:val="00D953D2"/>
    <w:rsid w:val="00D95995"/>
    <w:rsid w:val="00D96C6C"/>
    <w:rsid w:val="00D974C8"/>
    <w:rsid w:val="00DA00C5"/>
    <w:rsid w:val="00DA0D58"/>
    <w:rsid w:val="00DA482C"/>
    <w:rsid w:val="00DA4A0B"/>
    <w:rsid w:val="00DA6D5F"/>
    <w:rsid w:val="00DA7959"/>
    <w:rsid w:val="00DB0E60"/>
    <w:rsid w:val="00DB0EC5"/>
    <w:rsid w:val="00DB1C60"/>
    <w:rsid w:val="00DB2C0C"/>
    <w:rsid w:val="00DB4B08"/>
    <w:rsid w:val="00DB5331"/>
    <w:rsid w:val="00DB67D6"/>
    <w:rsid w:val="00DB6FD8"/>
    <w:rsid w:val="00DB7495"/>
    <w:rsid w:val="00DC0089"/>
    <w:rsid w:val="00DC0C3F"/>
    <w:rsid w:val="00DC316C"/>
    <w:rsid w:val="00DC6C55"/>
    <w:rsid w:val="00DC7072"/>
    <w:rsid w:val="00DC7722"/>
    <w:rsid w:val="00DD2A21"/>
    <w:rsid w:val="00DD5077"/>
    <w:rsid w:val="00DD60CA"/>
    <w:rsid w:val="00DD742E"/>
    <w:rsid w:val="00DD7F92"/>
    <w:rsid w:val="00DE1CDA"/>
    <w:rsid w:val="00DE46B3"/>
    <w:rsid w:val="00DE553A"/>
    <w:rsid w:val="00DE6194"/>
    <w:rsid w:val="00DE6518"/>
    <w:rsid w:val="00DF12E7"/>
    <w:rsid w:val="00DF18C7"/>
    <w:rsid w:val="00DF5812"/>
    <w:rsid w:val="00DF789B"/>
    <w:rsid w:val="00E01192"/>
    <w:rsid w:val="00E02153"/>
    <w:rsid w:val="00E0394C"/>
    <w:rsid w:val="00E070D8"/>
    <w:rsid w:val="00E1033B"/>
    <w:rsid w:val="00E13246"/>
    <w:rsid w:val="00E13C47"/>
    <w:rsid w:val="00E13CFB"/>
    <w:rsid w:val="00E144C5"/>
    <w:rsid w:val="00E15984"/>
    <w:rsid w:val="00E15DB3"/>
    <w:rsid w:val="00E15EE6"/>
    <w:rsid w:val="00E1746F"/>
    <w:rsid w:val="00E207A6"/>
    <w:rsid w:val="00E21168"/>
    <w:rsid w:val="00E254C8"/>
    <w:rsid w:val="00E25D2A"/>
    <w:rsid w:val="00E26D2B"/>
    <w:rsid w:val="00E26D38"/>
    <w:rsid w:val="00E27A5C"/>
    <w:rsid w:val="00E30D49"/>
    <w:rsid w:val="00E30EA3"/>
    <w:rsid w:val="00E33149"/>
    <w:rsid w:val="00E347E7"/>
    <w:rsid w:val="00E35353"/>
    <w:rsid w:val="00E40926"/>
    <w:rsid w:val="00E43868"/>
    <w:rsid w:val="00E43DEB"/>
    <w:rsid w:val="00E471BD"/>
    <w:rsid w:val="00E50E66"/>
    <w:rsid w:val="00E52145"/>
    <w:rsid w:val="00E549C1"/>
    <w:rsid w:val="00E55D86"/>
    <w:rsid w:val="00E56421"/>
    <w:rsid w:val="00E56511"/>
    <w:rsid w:val="00E574A1"/>
    <w:rsid w:val="00E61088"/>
    <w:rsid w:val="00E622D7"/>
    <w:rsid w:val="00E630EC"/>
    <w:rsid w:val="00E633EF"/>
    <w:rsid w:val="00E6344B"/>
    <w:rsid w:val="00E638DB"/>
    <w:rsid w:val="00E639EC"/>
    <w:rsid w:val="00E64F0B"/>
    <w:rsid w:val="00E671A9"/>
    <w:rsid w:val="00E67869"/>
    <w:rsid w:val="00E67F3B"/>
    <w:rsid w:val="00E7256F"/>
    <w:rsid w:val="00E7313F"/>
    <w:rsid w:val="00E75983"/>
    <w:rsid w:val="00E75A93"/>
    <w:rsid w:val="00E81F3D"/>
    <w:rsid w:val="00E820F5"/>
    <w:rsid w:val="00E83372"/>
    <w:rsid w:val="00E836C2"/>
    <w:rsid w:val="00E83CCC"/>
    <w:rsid w:val="00E84A0F"/>
    <w:rsid w:val="00E855D8"/>
    <w:rsid w:val="00E85B2A"/>
    <w:rsid w:val="00E90BC8"/>
    <w:rsid w:val="00E953AD"/>
    <w:rsid w:val="00EA1B56"/>
    <w:rsid w:val="00EA2CB0"/>
    <w:rsid w:val="00EA77A5"/>
    <w:rsid w:val="00EB14DA"/>
    <w:rsid w:val="00EB256E"/>
    <w:rsid w:val="00EB39A1"/>
    <w:rsid w:val="00EB75D5"/>
    <w:rsid w:val="00EC0C2D"/>
    <w:rsid w:val="00EC0D96"/>
    <w:rsid w:val="00EC50A8"/>
    <w:rsid w:val="00EC54A6"/>
    <w:rsid w:val="00EC581C"/>
    <w:rsid w:val="00ED16F2"/>
    <w:rsid w:val="00ED2233"/>
    <w:rsid w:val="00ED2785"/>
    <w:rsid w:val="00ED2EEB"/>
    <w:rsid w:val="00ED36BC"/>
    <w:rsid w:val="00ED6130"/>
    <w:rsid w:val="00ED6DC5"/>
    <w:rsid w:val="00ED7721"/>
    <w:rsid w:val="00ED7981"/>
    <w:rsid w:val="00ED7B34"/>
    <w:rsid w:val="00EE589D"/>
    <w:rsid w:val="00EE5F9A"/>
    <w:rsid w:val="00EF3D7E"/>
    <w:rsid w:val="00EF56E0"/>
    <w:rsid w:val="00EF5804"/>
    <w:rsid w:val="00F01C57"/>
    <w:rsid w:val="00F0711E"/>
    <w:rsid w:val="00F07240"/>
    <w:rsid w:val="00F07AF9"/>
    <w:rsid w:val="00F122CC"/>
    <w:rsid w:val="00F1312E"/>
    <w:rsid w:val="00F14EE3"/>
    <w:rsid w:val="00F16EA2"/>
    <w:rsid w:val="00F174E2"/>
    <w:rsid w:val="00F21374"/>
    <w:rsid w:val="00F23CA0"/>
    <w:rsid w:val="00F24324"/>
    <w:rsid w:val="00F31FE0"/>
    <w:rsid w:val="00F326F7"/>
    <w:rsid w:val="00F34AFB"/>
    <w:rsid w:val="00F3766F"/>
    <w:rsid w:val="00F44D4E"/>
    <w:rsid w:val="00F4632C"/>
    <w:rsid w:val="00F471D3"/>
    <w:rsid w:val="00F47EAD"/>
    <w:rsid w:val="00F50C4A"/>
    <w:rsid w:val="00F52097"/>
    <w:rsid w:val="00F60130"/>
    <w:rsid w:val="00F6097D"/>
    <w:rsid w:val="00F6317D"/>
    <w:rsid w:val="00F63BB9"/>
    <w:rsid w:val="00F649B2"/>
    <w:rsid w:val="00F65DA2"/>
    <w:rsid w:val="00F66B9D"/>
    <w:rsid w:val="00F67B60"/>
    <w:rsid w:val="00F706BD"/>
    <w:rsid w:val="00F70C25"/>
    <w:rsid w:val="00F72AF7"/>
    <w:rsid w:val="00F75D36"/>
    <w:rsid w:val="00F817BF"/>
    <w:rsid w:val="00F84B32"/>
    <w:rsid w:val="00F84BCB"/>
    <w:rsid w:val="00F8604E"/>
    <w:rsid w:val="00F9222A"/>
    <w:rsid w:val="00F93E61"/>
    <w:rsid w:val="00F94FB6"/>
    <w:rsid w:val="00F9556B"/>
    <w:rsid w:val="00F96137"/>
    <w:rsid w:val="00F96B50"/>
    <w:rsid w:val="00F96EDE"/>
    <w:rsid w:val="00F97096"/>
    <w:rsid w:val="00F97FD3"/>
    <w:rsid w:val="00FA4FBA"/>
    <w:rsid w:val="00FA630C"/>
    <w:rsid w:val="00FA765D"/>
    <w:rsid w:val="00FB3272"/>
    <w:rsid w:val="00FB36A2"/>
    <w:rsid w:val="00FB3992"/>
    <w:rsid w:val="00FC031C"/>
    <w:rsid w:val="00FC2902"/>
    <w:rsid w:val="00FC3BF4"/>
    <w:rsid w:val="00FC4C95"/>
    <w:rsid w:val="00FC66C8"/>
    <w:rsid w:val="00FD12F5"/>
    <w:rsid w:val="00FD4F55"/>
    <w:rsid w:val="00FD79FE"/>
    <w:rsid w:val="00FE0ABE"/>
    <w:rsid w:val="00FE1583"/>
    <w:rsid w:val="00FE158C"/>
    <w:rsid w:val="00FE1B65"/>
    <w:rsid w:val="00FE6758"/>
    <w:rsid w:val="00FE6D0A"/>
    <w:rsid w:val="00FE7288"/>
    <w:rsid w:val="00FE7456"/>
    <w:rsid w:val="00FE7580"/>
    <w:rsid w:val="00FE75BA"/>
    <w:rsid w:val="00FF03E3"/>
    <w:rsid w:val="00FF2445"/>
    <w:rsid w:val="00FF2607"/>
    <w:rsid w:val="00FF51C7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4C4E"/>
  <w15:docId w15:val="{AE1919A5-403E-470C-8D66-38EB6FD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7D7"/>
    <w:pPr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10F4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4B44"/>
    <w:pPr>
      <w:keepNext/>
      <w:keepLines/>
      <w:numPr>
        <w:numId w:val="4"/>
      </w:numPr>
      <w:spacing w:before="360" w:after="120"/>
      <w:outlineLvl w:val="1"/>
    </w:pPr>
    <w:rPr>
      <w:rFonts w:eastAsiaTheme="majorEastAsia" w:cstheme="majorBidi"/>
      <w:b/>
      <w:color w:val="auto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3724"/>
    <w:rPr>
      <w:b/>
      <w:bCs/>
    </w:rPr>
  </w:style>
  <w:style w:type="table" w:styleId="Mkatabulky">
    <w:name w:val="Table Grid"/>
    <w:basedOn w:val="Normlntabulka"/>
    <w:uiPriority w:val="39"/>
    <w:rsid w:val="00AB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Odstavec se seznamem5,_Odstavec se seznamem"/>
    <w:basedOn w:val="Normln"/>
    <w:link w:val="OdstavecseseznamemChar"/>
    <w:uiPriority w:val="34"/>
    <w:qFormat/>
    <w:rsid w:val="00AB3724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qFormat/>
    <w:rsid w:val="00AB372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18">
    <w:name w:val="Pa18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AB3724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rsid w:val="00B410F4"/>
    <w:rPr>
      <w:rFonts w:ascii="Calibri" w:eastAsia="Times New Roman" w:hAnsi="Calibri" w:cs="Calibri"/>
      <w:b/>
      <w:bCs/>
      <w:color w:val="0000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4B44"/>
    <w:rPr>
      <w:rFonts w:ascii="Calibri" w:eastAsiaTheme="majorEastAsia" w:hAnsi="Calibri" w:cstheme="majorBidi"/>
      <w:b/>
      <w:sz w:val="24"/>
      <w:szCs w:val="26"/>
      <w:u w:val="single"/>
    </w:rPr>
  </w:style>
  <w:style w:type="paragraph" w:styleId="Textpoznpodarou">
    <w:name w:val="footnote text"/>
    <w:aliases w:val="Boston 10,Font: Geneva 9,Fußnotentextf,Geneva 9,Podrozdzia3,Podrozdział,Schriftart: 10 pt,Schriftart: 8 pt,Schriftart: 9 pt,Text poznámky pod čiarou 007,f,pozn. pod čarou"/>
    <w:basedOn w:val="Normln"/>
    <w:link w:val="TextpoznpodarouChar"/>
    <w:uiPriority w:val="99"/>
    <w:unhideWhenUsed/>
    <w:rsid w:val="00D0493E"/>
    <w:pPr>
      <w:jc w:val="left"/>
    </w:pPr>
    <w:rPr>
      <w:rFonts w:cs="Times New Roman"/>
      <w:color w:val="auto"/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Podrozdzia3 Char,Podrozdział Char,Schriftart: 10 pt Char,Schriftart: 8 pt Char,Schriftart: 9 pt Char,Text poznámky pod čiarou 007 Char,f Char"/>
    <w:basedOn w:val="Standardnpsmoodstavce"/>
    <w:link w:val="Textpoznpodarou"/>
    <w:uiPriority w:val="99"/>
    <w:rsid w:val="00D0493E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12 b.,Footnote,PGI Fußnote Ziffer,PGI Fußnote Ziffer + Times New Roman,Zúžené o ..."/>
    <w:basedOn w:val="Standardnpsmoodstavce"/>
    <w:uiPriority w:val="99"/>
    <w:unhideWhenUsed/>
    <w:rsid w:val="00D0493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71A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7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0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nhideWhenUsed/>
    <w:rsid w:val="00570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B1C6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D7F9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lang w:eastAsia="cs-CZ"/>
    </w:rPr>
  </w:style>
  <w:style w:type="character" w:customStyle="1" w:styleId="A1">
    <w:name w:val="A1"/>
    <w:uiPriority w:val="99"/>
    <w:rsid w:val="00A50168"/>
    <w:rPr>
      <w:color w:val="000000"/>
      <w:sz w:val="28"/>
      <w:szCs w:val="28"/>
    </w:rPr>
  </w:style>
  <w:style w:type="character" w:customStyle="1" w:styleId="A4">
    <w:name w:val="A4"/>
    <w:uiPriority w:val="99"/>
    <w:rsid w:val="00A50168"/>
    <w:rPr>
      <w:color w:val="000000"/>
      <w:sz w:val="60"/>
      <w:szCs w:val="60"/>
    </w:rPr>
  </w:style>
  <w:style w:type="character" w:customStyle="1" w:styleId="A5">
    <w:name w:val="A5"/>
    <w:uiPriority w:val="99"/>
    <w:rsid w:val="00A50168"/>
    <w:rPr>
      <w:b/>
      <w:bCs/>
      <w:color w:val="000000"/>
      <w:sz w:val="40"/>
      <w:szCs w:val="40"/>
    </w:rPr>
  </w:style>
  <w:style w:type="paragraph" w:customStyle="1" w:styleId="Default">
    <w:name w:val="Default"/>
    <w:rsid w:val="00393D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Bodytext2">
    <w:name w:val="Body text|2_"/>
    <w:basedOn w:val="Standardnpsmoodstavce"/>
    <w:link w:val="Bodytext20"/>
    <w:rsid w:val="00930F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930F39"/>
    <w:pPr>
      <w:widowControl w:val="0"/>
      <w:shd w:val="clear" w:color="auto" w:fill="FFFFFF"/>
      <w:spacing w:after="4560" w:line="206" w:lineRule="exact"/>
      <w:ind w:hanging="360"/>
      <w:jc w:val="left"/>
    </w:pPr>
    <w:rPr>
      <w:rFonts w:eastAsia="Calibri"/>
      <w:color w:val="auto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34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E93"/>
    <w:rPr>
      <w:rFonts w:ascii="Calibri" w:eastAsia="Times New Roman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E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E93"/>
    <w:rPr>
      <w:rFonts w:ascii="Calibri" w:eastAsia="Times New Roman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dokument158012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UDOBOVA\KA%2021_04%20(SSHR)\aKONTROLN&#205;%20Z&#193;V&#282;R\pomocn&#233;\v&#253;&#353;e%20nouzov&#253;ch%20z&#225;sob%20ropy%20-%20data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Množství nouzových zásob vyjádřené v počtu dnů průměrného denního čistého dovozu, které ČR vykazuje Evropské unii 1x ročně ve stanoveném termínu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E9-47D7-A14D-22697F575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List2!$B$1:$I$1</c:f>
              <c:strCache>
                <c:ptCount val="7"/>
                <c:pt idx="1">
                  <c:v>1. dubna 2016</c:v>
                </c:pt>
                <c:pt idx="2">
                  <c:v>1. dubna 2017</c:v>
                </c:pt>
                <c:pt idx="3">
                  <c:v>1. dubna 2018</c:v>
                </c:pt>
                <c:pt idx="4">
                  <c:v>1. dubna 2019</c:v>
                </c:pt>
                <c:pt idx="5">
                  <c:v>1. července 2020</c:v>
                </c:pt>
                <c:pt idx="6">
                  <c:v>1. července 2021</c:v>
                </c:pt>
              </c:strCache>
            </c:strRef>
          </c:cat>
          <c:val>
            <c:numRef>
              <c:f>List2!$B$2:$I$2</c:f>
              <c:numCache>
                <c:formatCode>General</c:formatCode>
                <c:ptCount val="8"/>
                <c:pt idx="0">
                  <c:v>0</c:v>
                </c:pt>
                <c:pt idx="1">
                  <c:v>91.34</c:v>
                </c:pt>
                <c:pt idx="2">
                  <c:v>86.24</c:v>
                </c:pt>
                <c:pt idx="3">
                  <c:v>83.37</c:v>
                </c:pt>
                <c:pt idx="4">
                  <c:v>83.72</c:v>
                </c:pt>
                <c:pt idx="5">
                  <c:v>82.98</c:v>
                </c:pt>
                <c:pt idx="6">
                  <c:v>94.43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E9-47D7-A14D-22697F57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4099344"/>
        <c:axId val="2144100176"/>
      </c:barChart>
      <c:lineChart>
        <c:grouping val="standard"/>
        <c:varyColors val="0"/>
        <c:ser>
          <c:idx val="1"/>
          <c:order val="1"/>
          <c:tx>
            <c:strRef>
              <c:f>List2!$A$3</c:f>
              <c:strCache>
                <c:ptCount val="1"/>
                <c:pt idx="0">
                  <c:v>Minimální úroveň nouzových zásob požadovaná Evropskou unií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strRef>
              <c:f>List2!$B$1:$I$1</c:f>
              <c:strCache>
                <c:ptCount val="7"/>
                <c:pt idx="1">
                  <c:v>1. dubna 2016</c:v>
                </c:pt>
                <c:pt idx="2">
                  <c:v>1. dubna 2017</c:v>
                </c:pt>
                <c:pt idx="3">
                  <c:v>1. dubna 2018</c:v>
                </c:pt>
                <c:pt idx="4">
                  <c:v>1. dubna 2019</c:v>
                </c:pt>
                <c:pt idx="5">
                  <c:v>1. července 2020</c:v>
                </c:pt>
                <c:pt idx="6">
                  <c:v>1. července 2021</c:v>
                </c:pt>
              </c:strCache>
            </c:strRef>
          </c:cat>
          <c:val>
            <c:numRef>
              <c:f>List2!$B$3:$I$3</c:f>
              <c:numCache>
                <c:formatCode>General</c:formatCode>
                <c:ptCount val="8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E9-47D7-A14D-22697F57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099344"/>
        <c:axId val="2144100176"/>
      </c:lineChart>
      <c:catAx>
        <c:axId val="214409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cs-CZ"/>
          </a:p>
        </c:txPr>
        <c:crossAx val="2144100176"/>
        <c:crosses val="autoZero"/>
        <c:auto val="1"/>
        <c:lblAlgn val="ctr"/>
        <c:lblOffset val="100"/>
        <c:noMultiLvlLbl val="0"/>
      </c:catAx>
      <c:valAx>
        <c:axId val="214410017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dnů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cs-CZ"/>
          </a:p>
        </c:txPr>
        <c:crossAx val="214409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11922608564872"/>
          <c:y val="0.79964313058615877"/>
          <c:w val="0.8932733685553631"/>
          <c:h val="0.18398020615897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F710-0F91-468D-970A-D42B67C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5433</Words>
  <Characters>32055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21/04 - Majetek a peněžní prostředky státu, se kterými je příslušná hospodařit Správa státních hmotných rezerv</dc:title>
  <dc:subject>Kontrolní závěr z kontrolní akce NKÚ č. 21/04 - Majetek a peněžní prostředky státu, se kterými je příslušná hospodařit Správa státních hmotných rezerv</dc:subject>
  <dc:creator>Nejvyšší kontrolní úřad</dc:creator>
  <cp:keywords>kontrolní závěr;SSHR</cp:keywords>
  <dc:description/>
  <cp:lastModifiedBy>KOKRDA Daniel</cp:lastModifiedBy>
  <cp:revision>3</cp:revision>
  <cp:lastPrinted>2021-11-18T09:46:00Z</cp:lastPrinted>
  <dcterms:created xsi:type="dcterms:W3CDTF">2021-12-03T06:43:00Z</dcterms:created>
  <dcterms:modified xsi:type="dcterms:W3CDTF">2021-12-03T06:44:00Z</dcterms:modified>
</cp:coreProperties>
</file>